
<file path=[Content_Types].xml><?xml version="1.0" encoding="utf-8"?>
<Types xmlns="http://schemas.openxmlformats.org/package/2006/content-types">
  <Default Extension="xml" ContentType="application/xml"/>
  <Default Extension="jpeg" ContentType="image/jpeg"/>
  <Default Extension="JPG" ContentType="image/.jpg"/>
  <Default Extension="wmf" ContentType="image/x-wmf"/>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kinsoku w:val="0"/>
        <w:overflowPunct w:val="0"/>
        <w:ind w:right="17"/>
        <w:jc w:val="center"/>
        <w:rPr>
          <w:rFonts w:asciiTheme="minorEastAsia" w:hAnsiTheme="minorEastAsia" w:eastAsiaTheme="minorEastAsia" w:cstheme="minorEastAsia"/>
          <w:color w:val="auto"/>
          <w:sz w:val="28"/>
        </w:rPr>
      </w:pPr>
      <w:r>
        <w:rPr>
          <w:rFonts w:hint="eastAsia" w:asciiTheme="minorEastAsia" w:hAnsiTheme="minorEastAsia" w:eastAsiaTheme="minorEastAsia" w:cstheme="minorEastAsia"/>
          <w:color w:val="auto"/>
          <w:sz w:val="30"/>
          <w:szCs w:val="30"/>
        </w:rPr>
        <w:drawing>
          <wp:anchor distT="0" distB="0" distL="114300" distR="114300" simplePos="0" relativeHeight="251660288" behindDoc="0" locked="0" layoutInCell="1" allowOverlap="1">
            <wp:simplePos x="0" y="0"/>
            <wp:positionH relativeFrom="column">
              <wp:posOffset>11430</wp:posOffset>
            </wp:positionH>
            <wp:positionV relativeFrom="paragraph">
              <wp:posOffset>62865</wp:posOffset>
            </wp:positionV>
            <wp:extent cx="1222375" cy="784860"/>
            <wp:effectExtent l="0" t="0" r="15875" b="15240"/>
            <wp:wrapSquare wrapText="bothSides"/>
            <wp:docPr id="3" name="图片 5" descr="背景墙"/>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5" descr="背景墙"/>
                    <pic:cNvPicPr>
                      <a:picLocks noChangeAspect="1" noChangeArrowheads="1"/>
                    </pic:cNvPicPr>
                  </pic:nvPicPr>
                  <pic:blipFill>
                    <a:blip r:embed="rId13" cstate="print"/>
                    <a:srcRect/>
                    <a:stretch>
                      <a:fillRect/>
                    </a:stretch>
                  </pic:blipFill>
                  <pic:spPr>
                    <a:xfrm>
                      <a:off x="0" y="0"/>
                      <a:ext cx="1222375" cy="784860"/>
                    </a:xfrm>
                    <a:prstGeom prst="rect">
                      <a:avLst/>
                    </a:prstGeom>
                    <a:noFill/>
                    <a:ln w="9525" cmpd="sng">
                      <a:noFill/>
                      <a:miter lim="800000"/>
                      <a:headEnd/>
                      <a:tailEnd/>
                    </a:ln>
                  </pic:spPr>
                </pic:pic>
              </a:graphicData>
            </a:graphic>
          </wp:anchor>
        </w:drawing>
      </w:r>
    </w:p>
    <w:p>
      <w:pPr>
        <w:kinsoku w:val="0"/>
        <w:overflowPunct w:val="0"/>
        <w:ind w:right="17"/>
        <w:jc w:val="center"/>
        <w:rPr>
          <w:rFonts w:asciiTheme="minorEastAsia" w:hAnsiTheme="minorEastAsia" w:eastAsiaTheme="minorEastAsia" w:cstheme="minorEastAsia"/>
          <w:color w:val="auto"/>
          <w:sz w:val="28"/>
        </w:rPr>
      </w:pPr>
    </w:p>
    <w:p>
      <w:pPr>
        <w:kinsoku w:val="0"/>
        <w:overflowPunct w:val="0"/>
        <w:ind w:right="17"/>
        <w:jc w:val="center"/>
        <w:rPr>
          <w:rFonts w:asciiTheme="minorEastAsia" w:hAnsiTheme="minorEastAsia" w:eastAsiaTheme="minorEastAsia" w:cstheme="minorEastAsia"/>
          <w:color w:val="auto"/>
          <w:sz w:val="28"/>
        </w:rPr>
      </w:pPr>
    </w:p>
    <w:p>
      <w:pPr>
        <w:kinsoku w:val="0"/>
        <w:overflowPunct w:val="0"/>
        <w:ind w:right="17"/>
        <w:jc w:val="center"/>
        <w:rPr>
          <w:rFonts w:asciiTheme="minorEastAsia" w:hAnsiTheme="minorEastAsia" w:eastAsiaTheme="minorEastAsia" w:cstheme="minorEastAsia"/>
          <w:color w:val="auto"/>
          <w:sz w:val="28"/>
        </w:rPr>
      </w:pPr>
      <w:r>
        <w:rPr>
          <w:rFonts w:hint="eastAsia" w:asciiTheme="minorEastAsia" w:hAnsiTheme="minorEastAsia" w:eastAsiaTheme="minorEastAsia" w:cstheme="minorEastAsia"/>
          <w:color w:val="auto"/>
          <w:sz w:val="28"/>
        </w:rPr>
        <w:br w:type="textWrapping"/>
      </w:r>
      <w:r>
        <w:rPr>
          <w:rFonts w:hint="eastAsia" w:asciiTheme="minorEastAsia" w:hAnsiTheme="minorEastAsia" w:eastAsiaTheme="minorEastAsia" w:cstheme="minorEastAsia"/>
          <w:color w:val="auto"/>
          <w:sz w:val="28"/>
        </w:rPr>
        <w:br w:type="textWrapping"/>
      </w:r>
      <w:r>
        <w:rPr>
          <w:rFonts w:hint="eastAsia" w:asciiTheme="minorEastAsia" w:hAnsiTheme="minorEastAsia" w:eastAsiaTheme="minorEastAsia" w:cstheme="minorEastAsia"/>
          <w:b/>
          <w:bCs/>
          <w:color w:val="auto"/>
          <w:sz w:val="28"/>
        </w:rPr>
        <w:t>湖 北 省 省 级 政 府 采 购 项 目</w:t>
      </w:r>
    </w:p>
    <w:p>
      <w:pPr>
        <w:pStyle w:val="12"/>
        <w:kinsoku w:val="0"/>
        <w:overflowPunct w:val="0"/>
        <w:spacing w:before="194"/>
        <w:jc w:val="center"/>
        <w:rPr>
          <w:rFonts w:asciiTheme="minorEastAsia" w:hAnsiTheme="minorEastAsia" w:eastAsiaTheme="minorEastAsia" w:cstheme="minorEastAsia"/>
          <w:color w:val="auto"/>
          <w:sz w:val="92"/>
        </w:rPr>
      </w:pPr>
      <w:r>
        <w:rPr>
          <w:rFonts w:hint="eastAsia" w:asciiTheme="minorEastAsia" w:hAnsiTheme="minorEastAsia" w:eastAsiaTheme="minorEastAsia" w:cstheme="minorEastAsia"/>
          <w:color w:val="auto"/>
          <w:sz w:val="92"/>
          <w14:shadow w14:blurRad="50800" w14:dist="38100" w14:dir="2700000" w14:sx="100000" w14:sy="100000" w14:kx="0" w14:ky="0" w14:algn="tl">
            <w14:srgbClr w14:val="000000">
              <w14:alpha w14:val="60000"/>
            </w14:srgbClr>
          </w14:shadow>
        </w:rPr>
        <w:t>竞争性磋商采购文件</w:t>
      </w:r>
    </w:p>
    <w:p>
      <w:pPr>
        <w:pStyle w:val="12"/>
        <w:kinsoku w:val="0"/>
        <w:overflowPunct w:val="0"/>
        <w:rPr>
          <w:rFonts w:asciiTheme="minorEastAsia" w:hAnsiTheme="minorEastAsia" w:eastAsiaTheme="minorEastAsia" w:cstheme="minorEastAsia"/>
          <w:color w:val="auto"/>
          <w:sz w:val="20"/>
        </w:rPr>
      </w:pPr>
    </w:p>
    <w:p>
      <w:pPr>
        <w:pStyle w:val="12"/>
        <w:kinsoku w:val="0"/>
        <w:overflowPunct w:val="0"/>
        <w:jc w:val="center"/>
        <w:rPr>
          <w:rFonts w:asciiTheme="minorEastAsia" w:hAnsiTheme="minorEastAsia" w:eastAsiaTheme="minorEastAsia" w:cstheme="minorEastAsia"/>
          <w:color w:val="auto"/>
          <w:sz w:val="20"/>
        </w:rPr>
      </w:pPr>
    </w:p>
    <w:p>
      <w:pPr>
        <w:pStyle w:val="12"/>
        <w:kinsoku w:val="0"/>
        <w:overflowPunct w:val="0"/>
        <w:rPr>
          <w:rFonts w:asciiTheme="minorEastAsia" w:hAnsiTheme="minorEastAsia" w:eastAsiaTheme="minorEastAsia" w:cstheme="minorEastAsia"/>
          <w:color w:val="auto"/>
          <w:sz w:val="20"/>
        </w:rPr>
      </w:pPr>
    </w:p>
    <w:p>
      <w:pPr>
        <w:pStyle w:val="12"/>
        <w:kinsoku w:val="0"/>
        <w:overflowPunct w:val="0"/>
        <w:rPr>
          <w:rFonts w:asciiTheme="minorEastAsia" w:hAnsiTheme="minorEastAsia" w:eastAsiaTheme="minorEastAsia" w:cstheme="minorEastAsia"/>
          <w:color w:val="auto"/>
          <w:sz w:val="20"/>
        </w:rPr>
      </w:pPr>
    </w:p>
    <w:p>
      <w:pPr>
        <w:pStyle w:val="12"/>
        <w:kinsoku w:val="0"/>
        <w:overflowPunct w:val="0"/>
        <w:spacing w:before="2" w:after="1"/>
        <w:rPr>
          <w:rFonts w:asciiTheme="minorEastAsia" w:hAnsiTheme="minorEastAsia" w:eastAsiaTheme="minorEastAsia" w:cstheme="minorEastAsia"/>
          <w:color w:val="auto"/>
          <w:sz w:val="11"/>
        </w:rPr>
      </w:pPr>
    </w:p>
    <w:tbl>
      <w:tblPr>
        <w:tblStyle w:val="26"/>
        <w:tblW w:w="8146" w:type="dxa"/>
        <w:tblInd w:w="690" w:type="dxa"/>
        <w:tblLayout w:type="fixed"/>
        <w:tblCellMar>
          <w:top w:w="0" w:type="dxa"/>
          <w:left w:w="0" w:type="dxa"/>
          <w:bottom w:w="0" w:type="dxa"/>
          <w:right w:w="0" w:type="dxa"/>
        </w:tblCellMar>
      </w:tblPr>
      <w:tblGrid>
        <w:gridCol w:w="2093"/>
        <w:gridCol w:w="6053"/>
      </w:tblGrid>
      <w:tr>
        <w:tblPrEx>
          <w:tblCellMar>
            <w:top w:w="0" w:type="dxa"/>
            <w:left w:w="0" w:type="dxa"/>
            <w:bottom w:w="0" w:type="dxa"/>
            <w:right w:w="0" w:type="dxa"/>
          </w:tblCellMar>
        </w:tblPrEx>
        <w:trPr>
          <w:trHeight w:val="743" w:hRule="atLeast"/>
        </w:trPr>
        <w:tc>
          <w:tcPr>
            <w:tcW w:w="2093" w:type="dxa"/>
            <w:tcBorders>
              <w:top w:val="nil"/>
              <w:left w:val="nil"/>
              <w:bottom w:val="nil"/>
              <w:right w:val="nil"/>
              <w:tl2br w:val="nil"/>
              <w:tr2bl w:val="nil"/>
            </w:tcBorders>
            <w:vAlign w:val="center"/>
          </w:tcPr>
          <w:p>
            <w:pPr>
              <w:pStyle w:val="95"/>
              <w:kinsoku w:val="0"/>
              <w:overflowPunct w:val="0"/>
              <w:spacing w:line="320" w:lineRule="exact"/>
              <w:ind w:right="53"/>
              <w:rPr>
                <w:rFonts w:hint="default" w:asciiTheme="minorEastAsia" w:hAnsiTheme="minorEastAsia" w:eastAsiaTheme="minorEastAsia" w:cstheme="minorEastAsia"/>
                <w:b/>
                <w:color w:val="auto"/>
                <w:sz w:val="28"/>
              </w:rPr>
            </w:pPr>
            <w:r>
              <w:rPr>
                <w:rFonts w:asciiTheme="minorEastAsia" w:hAnsiTheme="minorEastAsia" w:eastAsiaTheme="minorEastAsia" w:cstheme="minorEastAsia"/>
                <w:b/>
                <w:color w:val="auto"/>
                <w:sz w:val="28"/>
              </w:rPr>
              <w:t>预算执行计划：</w:t>
            </w:r>
          </w:p>
        </w:tc>
        <w:tc>
          <w:tcPr>
            <w:tcW w:w="6053" w:type="dxa"/>
            <w:tcBorders>
              <w:top w:val="nil"/>
              <w:left w:val="nil"/>
              <w:bottom w:val="nil"/>
              <w:right w:val="nil"/>
              <w:tl2br w:val="nil"/>
              <w:tr2bl w:val="nil"/>
            </w:tcBorders>
            <w:vAlign w:val="center"/>
          </w:tcPr>
          <w:p>
            <w:pPr>
              <w:pStyle w:val="95"/>
              <w:kinsoku w:val="0"/>
              <w:overflowPunct w:val="0"/>
              <w:spacing w:line="320" w:lineRule="exact"/>
              <w:ind w:left="55"/>
              <w:rPr>
                <w:rFonts w:hint="default" w:asciiTheme="minorEastAsia" w:hAnsiTheme="minorEastAsia" w:eastAsiaTheme="minorEastAsia" w:cstheme="minorEastAsia"/>
                <w:b/>
                <w:color w:val="auto"/>
                <w:sz w:val="28"/>
              </w:rPr>
            </w:pPr>
            <w:r>
              <w:rPr>
                <w:rFonts w:asciiTheme="minorEastAsia" w:hAnsiTheme="minorEastAsia" w:eastAsiaTheme="minorEastAsia" w:cstheme="minorEastAsia"/>
                <w:b/>
                <w:color w:val="auto"/>
                <w:sz w:val="28"/>
              </w:rPr>
              <w:t>鄂采计[2021]-13056号</w:t>
            </w:r>
          </w:p>
        </w:tc>
      </w:tr>
      <w:tr>
        <w:tblPrEx>
          <w:tblCellMar>
            <w:top w:w="0" w:type="dxa"/>
            <w:left w:w="0" w:type="dxa"/>
            <w:bottom w:w="0" w:type="dxa"/>
            <w:right w:w="0" w:type="dxa"/>
          </w:tblCellMar>
        </w:tblPrEx>
        <w:trPr>
          <w:trHeight w:val="743" w:hRule="atLeast"/>
        </w:trPr>
        <w:tc>
          <w:tcPr>
            <w:tcW w:w="2093" w:type="dxa"/>
            <w:tcBorders>
              <w:top w:val="nil"/>
              <w:left w:val="nil"/>
              <w:bottom w:val="nil"/>
              <w:right w:val="nil"/>
              <w:tl2br w:val="nil"/>
              <w:tr2bl w:val="nil"/>
            </w:tcBorders>
            <w:vAlign w:val="center"/>
          </w:tcPr>
          <w:p>
            <w:pPr>
              <w:pStyle w:val="95"/>
              <w:kinsoku w:val="0"/>
              <w:overflowPunct w:val="0"/>
              <w:spacing w:before="122"/>
              <w:ind w:right="53"/>
              <w:rPr>
                <w:rFonts w:hint="default" w:asciiTheme="minorEastAsia" w:hAnsiTheme="minorEastAsia" w:eastAsiaTheme="minorEastAsia" w:cstheme="minorEastAsia"/>
                <w:b/>
                <w:color w:val="auto"/>
                <w:sz w:val="28"/>
              </w:rPr>
            </w:pPr>
            <w:r>
              <w:rPr>
                <w:rFonts w:asciiTheme="minorEastAsia" w:hAnsiTheme="minorEastAsia" w:eastAsiaTheme="minorEastAsia" w:cstheme="minorEastAsia"/>
                <w:b/>
                <w:color w:val="auto"/>
                <w:sz w:val="28"/>
              </w:rPr>
              <w:t>项 目  编 号：</w:t>
            </w:r>
          </w:p>
        </w:tc>
        <w:tc>
          <w:tcPr>
            <w:tcW w:w="6053" w:type="dxa"/>
            <w:tcBorders>
              <w:top w:val="nil"/>
              <w:left w:val="nil"/>
              <w:bottom w:val="nil"/>
              <w:right w:val="nil"/>
              <w:tl2br w:val="nil"/>
              <w:tr2bl w:val="nil"/>
            </w:tcBorders>
            <w:vAlign w:val="center"/>
          </w:tcPr>
          <w:p>
            <w:pPr>
              <w:pStyle w:val="95"/>
              <w:kinsoku w:val="0"/>
              <w:overflowPunct w:val="0"/>
              <w:spacing w:before="122"/>
              <w:ind w:left="55"/>
              <w:rPr>
                <w:rFonts w:hint="default" w:asciiTheme="minorEastAsia" w:hAnsiTheme="minorEastAsia" w:eastAsiaTheme="minorEastAsia" w:cstheme="minorEastAsia"/>
                <w:b/>
                <w:color w:val="auto"/>
                <w:sz w:val="28"/>
              </w:rPr>
            </w:pPr>
            <w:r>
              <w:rPr>
                <w:rFonts w:asciiTheme="minorEastAsia" w:hAnsiTheme="minorEastAsia" w:eastAsiaTheme="minorEastAsia" w:cstheme="minorEastAsia"/>
                <w:b/>
                <w:color w:val="auto"/>
                <w:sz w:val="28"/>
              </w:rPr>
              <w:t>HGDXW21-077/ZJZB-ZC-202109-263</w:t>
            </w:r>
          </w:p>
        </w:tc>
      </w:tr>
      <w:tr>
        <w:tblPrEx>
          <w:tblCellMar>
            <w:top w:w="0" w:type="dxa"/>
            <w:left w:w="0" w:type="dxa"/>
            <w:bottom w:w="0" w:type="dxa"/>
            <w:right w:w="0" w:type="dxa"/>
          </w:tblCellMar>
        </w:tblPrEx>
        <w:trPr>
          <w:trHeight w:val="743" w:hRule="atLeast"/>
        </w:trPr>
        <w:tc>
          <w:tcPr>
            <w:tcW w:w="2093" w:type="dxa"/>
            <w:tcBorders>
              <w:top w:val="nil"/>
              <w:left w:val="nil"/>
              <w:bottom w:val="nil"/>
              <w:right w:val="nil"/>
              <w:tl2br w:val="nil"/>
              <w:tr2bl w:val="nil"/>
            </w:tcBorders>
            <w:vAlign w:val="center"/>
          </w:tcPr>
          <w:p>
            <w:pPr>
              <w:pStyle w:val="95"/>
              <w:kinsoku w:val="0"/>
              <w:overflowPunct w:val="0"/>
              <w:spacing w:before="123"/>
              <w:ind w:right="53"/>
              <w:rPr>
                <w:rFonts w:hint="default" w:asciiTheme="minorEastAsia" w:hAnsiTheme="minorEastAsia" w:eastAsiaTheme="minorEastAsia" w:cstheme="minorEastAsia"/>
                <w:b/>
                <w:color w:val="auto"/>
                <w:sz w:val="28"/>
              </w:rPr>
            </w:pPr>
            <w:r>
              <w:rPr>
                <w:rFonts w:asciiTheme="minorEastAsia" w:hAnsiTheme="minorEastAsia" w:eastAsiaTheme="minorEastAsia" w:cstheme="minorEastAsia"/>
                <w:b/>
                <w:color w:val="auto"/>
                <w:sz w:val="28"/>
              </w:rPr>
              <w:t>项 目  名 称：</w:t>
            </w:r>
          </w:p>
        </w:tc>
        <w:tc>
          <w:tcPr>
            <w:tcW w:w="6053" w:type="dxa"/>
            <w:tcBorders>
              <w:top w:val="nil"/>
              <w:left w:val="nil"/>
              <w:bottom w:val="nil"/>
              <w:right w:val="nil"/>
              <w:tl2br w:val="nil"/>
              <w:tr2bl w:val="nil"/>
            </w:tcBorders>
            <w:vAlign w:val="center"/>
          </w:tcPr>
          <w:p>
            <w:pPr>
              <w:pStyle w:val="95"/>
              <w:kinsoku w:val="0"/>
              <w:overflowPunct w:val="0"/>
              <w:spacing w:before="123" w:line="242" w:lineRule="auto"/>
              <w:ind w:left="55" w:right="136"/>
              <w:rPr>
                <w:rFonts w:hint="default" w:asciiTheme="minorEastAsia" w:hAnsiTheme="minorEastAsia" w:eastAsiaTheme="minorEastAsia" w:cstheme="minorEastAsia"/>
                <w:b/>
                <w:color w:val="auto"/>
                <w:sz w:val="28"/>
              </w:rPr>
            </w:pPr>
            <w:r>
              <w:rPr>
                <w:rFonts w:asciiTheme="minorEastAsia" w:hAnsiTheme="minorEastAsia" w:eastAsiaTheme="minorEastAsia" w:cstheme="minorEastAsia"/>
                <w:b/>
                <w:color w:val="auto"/>
                <w:sz w:val="28"/>
              </w:rPr>
              <w:t>湖北工业大学电气工程申博学科建设项目2 </w:t>
            </w:r>
          </w:p>
        </w:tc>
      </w:tr>
      <w:tr>
        <w:tblPrEx>
          <w:tblCellMar>
            <w:top w:w="0" w:type="dxa"/>
            <w:left w:w="0" w:type="dxa"/>
            <w:bottom w:w="0" w:type="dxa"/>
            <w:right w:w="0" w:type="dxa"/>
          </w:tblCellMar>
        </w:tblPrEx>
        <w:trPr>
          <w:trHeight w:val="743" w:hRule="atLeast"/>
        </w:trPr>
        <w:tc>
          <w:tcPr>
            <w:tcW w:w="2093" w:type="dxa"/>
            <w:tcBorders>
              <w:top w:val="nil"/>
              <w:left w:val="nil"/>
              <w:bottom w:val="nil"/>
              <w:right w:val="nil"/>
              <w:tl2br w:val="nil"/>
              <w:tr2bl w:val="nil"/>
            </w:tcBorders>
            <w:vAlign w:val="center"/>
          </w:tcPr>
          <w:p>
            <w:pPr>
              <w:pStyle w:val="95"/>
              <w:kinsoku w:val="0"/>
              <w:overflowPunct w:val="0"/>
              <w:spacing w:before="122" w:line="299" w:lineRule="exact"/>
              <w:ind w:right="53"/>
              <w:rPr>
                <w:rFonts w:hint="default" w:asciiTheme="minorEastAsia" w:hAnsiTheme="minorEastAsia" w:eastAsiaTheme="minorEastAsia" w:cstheme="minorEastAsia"/>
                <w:b/>
                <w:color w:val="auto"/>
                <w:sz w:val="28"/>
              </w:rPr>
            </w:pPr>
            <w:r>
              <w:rPr>
                <w:rFonts w:asciiTheme="minorEastAsia" w:hAnsiTheme="minorEastAsia" w:eastAsiaTheme="minorEastAsia" w:cstheme="minorEastAsia"/>
                <w:b/>
                <w:color w:val="auto"/>
                <w:sz w:val="28"/>
              </w:rPr>
              <w:t>采 购  方 式：</w:t>
            </w:r>
          </w:p>
        </w:tc>
        <w:tc>
          <w:tcPr>
            <w:tcW w:w="6053" w:type="dxa"/>
            <w:tcBorders>
              <w:top w:val="nil"/>
              <w:left w:val="nil"/>
              <w:bottom w:val="nil"/>
              <w:right w:val="nil"/>
              <w:tl2br w:val="nil"/>
              <w:tr2bl w:val="nil"/>
            </w:tcBorders>
            <w:vAlign w:val="center"/>
          </w:tcPr>
          <w:p>
            <w:pPr>
              <w:pStyle w:val="95"/>
              <w:kinsoku w:val="0"/>
              <w:overflowPunct w:val="0"/>
              <w:spacing w:before="122" w:line="299" w:lineRule="exact"/>
              <w:ind w:left="55"/>
              <w:rPr>
                <w:rFonts w:hint="default" w:asciiTheme="minorEastAsia" w:hAnsiTheme="minorEastAsia" w:eastAsiaTheme="minorEastAsia" w:cstheme="minorEastAsia"/>
                <w:b/>
                <w:color w:val="auto"/>
                <w:sz w:val="28"/>
              </w:rPr>
            </w:pPr>
            <w:r>
              <w:rPr>
                <w:rFonts w:asciiTheme="minorEastAsia" w:hAnsiTheme="minorEastAsia" w:eastAsiaTheme="minorEastAsia" w:cstheme="minorEastAsia"/>
                <w:b/>
                <w:color w:val="auto"/>
                <w:sz w:val="28"/>
              </w:rPr>
              <w:t>竞争性磋商</w:t>
            </w:r>
          </w:p>
        </w:tc>
      </w:tr>
      <w:tr>
        <w:tblPrEx>
          <w:tblCellMar>
            <w:top w:w="0" w:type="dxa"/>
            <w:left w:w="0" w:type="dxa"/>
            <w:bottom w:w="0" w:type="dxa"/>
            <w:right w:w="0" w:type="dxa"/>
          </w:tblCellMar>
        </w:tblPrEx>
        <w:trPr>
          <w:trHeight w:val="743" w:hRule="atLeast"/>
        </w:trPr>
        <w:tc>
          <w:tcPr>
            <w:tcW w:w="2093" w:type="dxa"/>
            <w:tcBorders>
              <w:top w:val="nil"/>
              <w:left w:val="nil"/>
              <w:bottom w:val="nil"/>
              <w:right w:val="nil"/>
              <w:tl2br w:val="nil"/>
              <w:tr2bl w:val="nil"/>
            </w:tcBorders>
            <w:vAlign w:val="center"/>
          </w:tcPr>
          <w:p>
            <w:pPr>
              <w:pStyle w:val="95"/>
              <w:kinsoku w:val="0"/>
              <w:overflowPunct w:val="0"/>
              <w:spacing w:before="122" w:line="299" w:lineRule="exact"/>
              <w:ind w:right="53"/>
              <w:rPr>
                <w:rFonts w:hint="default" w:asciiTheme="minorEastAsia" w:hAnsiTheme="minorEastAsia" w:eastAsiaTheme="minorEastAsia" w:cstheme="minorEastAsia"/>
                <w:b/>
                <w:color w:val="auto"/>
                <w:sz w:val="28"/>
              </w:rPr>
            </w:pPr>
            <w:r>
              <w:rPr>
                <w:rFonts w:asciiTheme="minorEastAsia" w:hAnsiTheme="minorEastAsia" w:eastAsiaTheme="minorEastAsia" w:cstheme="minorEastAsia"/>
                <w:b/>
                <w:color w:val="auto"/>
                <w:sz w:val="28"/>
              </w:rPr>
              <w:t>采 购  类 别：</w:t>
            </w:r>
          </w:p>
        </w:tc>
        <w:tc>
          <w:tcPr>
            <w:tcW w:w="6053" w:type="dxa"/>
            <w:tcBorders>
              <w:top w:val="nil"/>
              <w:left w:val="nil"/>
              <w:bottom w:val="nil"/>
              <w:right w:val="nil"/>
              <w:tl2br w:val="nil"/>
              <w:tr2bl w:val="nil"/>
            </w:tcBorders>
            <w:vAlign w:val="center"/>
          </w:tcPr>
          <w:p>
            <w:pPr>
              <w:pStyle w:val="95"/>
              <w:kinsoku w:val="0"/>
              <w:overflowPunct w:val="0"/>
              <w:spacing w:before="122" w:line="299" w:lineRule="exact"/>
              <w:ind w:left="55"/>
              <w:rPr>
                <w:rFonts w:hint="default" w:asciiTheme="minorEastAsia" w:hAnsiTheme="minorEastAsia" w:eastAsiaTheme="minorEastAsia" w:cstheme="minorEastAsia"/>
                <w:b/>
                <w:color w:val="auto"/>
                <w:sz w:val="28"/>
              </w:rPr>
            </w:pPr>
            <w:r>
              <w:rPr>
                <w:rFonts w:asciiTheme="minorEastAsia" w:hAnsiTheme="minorEastAsia" w:eastAsiaTheme="minorEastAsia" w:cstheme="minorEastAsia"/>
                <w:b/>
                <w:color w:val="auto"/>
                <w:sz w:val="28"/>
              </w:rPr>
              <w:t>货物</w:t>
            </w:r>
          </w:p>
        </w:tc>
      </w:tr>
    </w:tbl>
    <w:p>
      <w:pPr>
        <w:pStyle w:val="12"/>
        <w:kinsoku w:val="0"/>
        <w:overflowPunct w:val="0"/>
        <w:rPr>
          <w:rFonts w:asciiTheme="minorEastAsia" w:hAnsiTheme="minorEastAsia" w:eastAsiaTheme="minorEastAsia" w:cstheme="minorEastAsia"/>
          <w:color w:val="auto"/>
          <w:sz w:val="20"/>
        </w:rPr>
      </w:pPr>
    </w:p>
    <w:p>
      <w:pPr>
        <w:pStyle w:val="12"/>
        <w:kinsoku w:val="0"/>
        <w:overflowPunct w:val="0"/>
        <w:rPr>
          <w:rFonts w:asciiTheme="minorEastAsia" w:hAnsiTheme="minorEastAsia" w:eastAsiaTheme="minorEastAsia" w:cstheme="minorEastAsia"/>
          <w:color w:val="auto"/>
          <w:sz w:val="20"/>
        </w:rPr>
      </w:pPr>
    </w:p>
    <w:p>
      <w:pPr>
        <w:pStyle w:val="12"/>
        <w:kinsoku w:val="0"/>
        <w:overflowPunct w:val="0"/>
        <w:rPr>
          <w:rFonts w:asciiTheme="minorEastAsia" w:hAnsiTheme="minorEastAsia" w:eastAsiaTheme="minorEastAsia" w:cstheme="minorEastAsia"/>
          <w:color w:val="auto"/>
          <w:sz w:val="20"/>
        </w:rPr>
      </w:pPr>
    </w:p>
    <w:p>
      <w:pPr>
        <w:pStyle w:val="12"/>
        <w:kinsoku w:val="0"/>
        <w:overflowPunct w:val="0"/>
        <w:rPr>
          <w:rFonts w:asciiTheme="minorEastAsia" w:hAnsiTheme="minorEastAsia" w:eastAsiaTheme="minorEastAsia" w:cstheme="minorEastAsia"/>
          <w:color w:val="auto"/>
          <w:sz w:val="20"/>
        </w:rPr>
      </w:pPr>
    </w:p>
    <w:p>
      <w:pPr>
        <w:pStyle w:val="12"/>
        <w:kinsoku w:val="0"/>
        <w:overflowPunct w:val="0"/>
        <w:rPr>
          <w:rFonts w:asciiTheme="minorEastAsia" w:hAnsiTheme="minorEastAsia" w:eastAsiaTheme="minorEastAsia" w:cstheme="minorEastAsia"/>
          <w:color w:val="auto"/>
          <w:sz w:val="20"/>
        </w:rPr>
      </w:pPr>
    </w:p>
    <w:p>
      <w:pPr>
        <w:pStyle w:val="12"/>
        <w:kinsoku w:val="0"/>
        <w:overflowPunct w:val="0"/>
        <w:rPr>
          <w:rFonts w:asciiTheme="minorEastAsia" w:hAnsiTheme="minorEastAsia" w:eastAsiaTheme="minorEastAsia" w:cstheme="minorEastAsia"/>
          <w:color w:val="auto"/>
          <w:sz w:val="20"/>
        </w:rPr>
      </w:pPr>
    </w:p>
    <w:p>
      <w:pPr>
        <w:pStyle w:val="12"/>
        <w:kinsoku w:val="0"/>
        <w:overflowPunct w:val="0"/>
        <w:rPr>
          <w:rFonts w:asciiTheme="minorEastAsia" w:hAnsiTheme="minorEastAsia" w:eastAsiaTheme="minorEastAsia" w:cstheme="minorEastAsia"/>
          <w:color w:val="auto"/>
          <w:sz w:val="20"/>
        </w:rPr>
      </w:pPr>
    </w:p>
    <w:p>
      <w:pPr>
        <w:pStyle w:val="12"/>
        <w:kinsoku w:val="0"/>
        <w:overflowPunct w:val="0"/>
        <w:spacing w:before="4"/>
        <w:rPr>
          <w:rFonts w:asciiTheme="minorEastAsia" w:hAnsiTheme="minorEastAsia" w:eastAsiaTheme="minorEastAsia" w:cstheme="minorEastAsia"/>
          <w:color w:val="auto"/>
          <w:sz w:val="20"/>
        </w:rPr>
      </w:pPr>
    </w:p>
    <w:tbl>
      <w:tblPr>
        <w:tblStyle w:val="26"/>
        <w:tblW w:w="8123" w:type="dxa"/>
        <w:tblInd w:w="713" w:type="dxa"/>
        <w:tblLayout w:type="fixed"/>
        <w:tblCellMar>
          <w:top w:w="0" w:type="dxa"/>
          <w:left w:w="0" w:type="dxa"/>
          <w:bottom w:w="0" w:type="dxa"/>
          <w:right w:w="0" w:type="dxa"/>
        </w:tblCellMar>
      </w:tblPr>
      <w:tblGrid>
        <w:gridCol w:w="2041"/>
        <w:gridCol w:w="6082"/>
      </w:tblGrid>
      <w:tr>
        <w:tblPrEx>
          <w:tblCellMar>
            <w:top w:w="0" w:type="dxa"/>
            <w:left w:w="0" w:type="dxa"/>
            <w:bottom w:w="0" w:type="dxa"/>
            <w:right w:w="0" w:type="dxa"/>
          </w:tblCellMar>
        </w:tblPrEx>
        <w:trPr>
          <w:trHeight w:val="441" w:hRule="atLeast"/>
        </w:trPr>
        <w:tc>
          <w:tcPr>
            <w:tcW w:w="2041" w:type="dxa"/>
            <w:tcBorders>
              <w:top w:val="nil"/>
              <w:left w:val="nil"/>
              <w:bottom w:val="nil"/>
              <w:right w:val="nil"/>
              <w:tl2br w:val="nil"/>
              <w:tr2bl w:val="nil"/>
            </w:tcBorders>
            <w:vAlign w:val="center"/>
          </w:tcPr>
          <w:p>
            <w:pPr>
              <w:pStyle w:val="95"/>
              <w:kinsoku w:val="0"/>
              <w:overflowPunct w:val="0"/>
              <w:spacing w:before="122" w:line="299" w:lineRule="exact"/>
              <w:ind w:right="53"/>
              <w:rPr>
                <w:rFonts w:hint="default" w:asciiTheme="minorEastAsia" w:hAnsiTheme="minorEastAsia" w:eastAsiaTheme="minorEastAsia" w:cstheme="minorEastAsia"/>
                <w:b/>
                <w:color w:val="auto"/>
                <w:sz w:val="28"/>
              </w:rPr>
            </w:pPr>
            <w:r>
              <w:rPr>
                <w:rFonts w:asciiTheme="minorEastAsia" w:hAnsiTheme="minorEastAsia" w:eastAsiaTheme="minorEastAsia" w:cstheme="minorEastAsia"/>
                <w:b/>
                <w:color w:val="auto"/>
                <w:sz w:val="28"/>
              </w:rPr>
              <w:t>采   购   人：</w:t>
            </w:r>
          </w:p>
        </w:tc>
        <w:tc>
          <w:tcPr>
            <w:tcW w:w="6082" w:type="dxa"/>
            <w:tcBorders>
              <w:top w:val="nil"/>
              <w:left w:val="nil"/>
              <w:bottom w:val="nil"/>
              <w:right w:val="nil"/>
              <w:tl2br w:val="nil"/>
              <w:tr2bl w:val="nil"/>
            </w:tcBorders>
            <w:vAlign w:val="center"/>
          </w:tcPr>
          <w:p>
            <w:pPr>
              <w:pStyle w:val="95"/>
              <w:kinsoku w:val="0"/>
              <w:overflowPunct w:val="0"/>
              <w:spacing w:before="122" w:line="299" w:lineRule="exact"/>
              <w:ind w:right="53"/>
              <w:rPr>
                <w:rFonts w:hint="default" w:asciiTheme="minorEastAsia" w:hAnsiTheme="minorEastAsia" w:eastAsiaTheme="minorEastAsia" w:cstheme="minorEastAsia"/>
                <w:b/>
                <w:color w:val="auto"/>
                <w:sz w:val="28"/>
              </w:rPr>
            </w:pPr>
            <w:r>
              <w:rPr>
                <w:rFonts w:asciiTheme="minorEastAsia" w:hAnsiTheme="minorEastAsia" w:eastAsiaTheme="minorEastAsia" w:cstheme="minorEastAsia"/>
                <w:b/>
                <w:color w:val="auto"/>
                <w:sz w:val="28"/>
              </w:rPr>
              <w:t>湖北工业大学</w:t>
            </w:r>
          </w:p>
        </w:tc>
      </w:tr>
      <w:tr>
        <w:tblPrEx>
          <w:tblCellMar>
            <w:top w:w="0" w:type="dxa"/>
            <w:left w:w="0" w:type="dxa"/>
            <w:bottom w:w="0" w:type="dxa"/>
            <w:right w:w="0" w:type="dxa"/>
          </w:tblCellMar>
        </w:tblPrEx>
        <w:trPr>
          <w:trHeight w:val="603" w:hRule="atLeast"/>
        </w:trPr>
        <w:tc>
          <w:tcPr>
            <w:tcW w:w="2041" w:type="dxa"/>
            <w:tcBorders>
              <w:top w:val="nil"/>
              <w:left w:val="nil"/>
              <w:bottom w:val="nil"/>
              <w:right w:val="nil"/>
              <w:tl2br w:val="nil"/>
              <w:tr2bl w:val="nil"/>
            </w:tcBorders>
            <w:vAlign w:val="center"/>
          </w:tcPr>
          <w:p>
            <w:pPr>
              <w:pStyle w:val="95"/>
              <w:kinsoku w:val="0"/>
              <w:overflowPunct w:val="0"/>
              <w:spacing w:before="122" w:line="299" w:lineRule="exact"/>
              <w:ind w:right="53"/>
              <w:rPr>
                <w:rFonts w:hint="default" w:asciiTheme="minorEastAsia" w:hAnsiTheme="minorEastAsia" w:eastAsiaTheme="minorEastAsia" w:cstheme="minorEastAsia"/>
                <w:b/>
                <w:color w:val="auto"/>
                <w:sz w:val="28"/>
              </w:rPr>
            </w:pPr>
            <w:r>
              <w:rPr>
                <w:rFonts w:asciiTheme="minorEastAsia" w:hAnsiTheme="minorEastAsia" w:eastAsiaTheme="minorEastAsia" w:cstheme="minorEastAsia"/>
                <w:b/>
                <w:color w:val="auto"/>
                <w:sz w:val="28"/>
              </w:rPr>
              <w:t>采购代理机构：</w:t>
            </w:r>
          </w:p>
        </w:tc>
        <w:tc>
          <w:tcPr>
            <w:tcW w:w="6082" w:type="dxa"/>
            <w:tcBorders>
              <w:top w:val="nil"/>
              <w:left w:val="nil"/>
              <w:bottom w:val="nil"/>
              <w:right w:val="nil"/>
              <w:tl2br w:val="nil"/>
              <w:tr2bl w:val="nil"/>
            </w:tcBorders>
            <w:vAlign w:val="center"/>
          </w:tcPr>
          <w:p>
            <w:pPr>
              <w:pStyle w:val="95"/>
              <w:kinsoku w:val="0"/>
              <w:overflowPunct w:val="0"/>
              <w:spacing w:before="122" w:line="299" w:lineRule="exact"/>
              <w:ind w:right="53"/>
              <w:rPr>
                <w:rFonts w:hint="default" w:asciiTheme="minorEastAsia" w:hAnsiTheme="minorEastAsia" w:eastAsiaTheme="minorEastAsia" w:cstheme="minorEastAsia"/>
                <w:b/>
                <w:color w:val="auto"/>
                <w:sz w:val="28"/>
              </w:rPr>
            </w:pPr>
            <w:r>
              <w:rPr>
                <w:rFonts w:asciiTheme="minorEastAsia" w:hAnsiTheme="minorEastAsia" w:eastAsiaTheme="minorEastAsia" w:cstheme="minorEastAsia"/>
                <w:b/>
                <w:color w:val="auto"/>
                <w:sz w:val="28"/>
              </w:rPr>
              <w:t>中经国际招标集团有限公司</w:t>
            </w:r>
          </w:p>
        </w:tc>
      </w:tr>
      <w:tr>
        <w:tblPrEx>
          <w:tblCellMar>
            <w:top w:w="0" w:type="dxa"/>
            <w:left w:w="0" w:type="dxa"/>
            <w:bottom w:w="0" w:type="dxa"/>
            <w:right w:w="0" w:type="dxa"/>
          </w:tblCellMar>
        </w:tblPrEx>
        <w:trPr>
          <w:trHeight w:val="442" w:hRule="atLeast"/>
        </w:trPr>
        <w:tc>
          <w:tcPr>
            <w:tcW w:w="2041" w:type="dxa"/>
            <w:tcBorders>
              <w:top w:val="nil"/>
              <w:left w:val="nil"/>
              <w:bottom w:val="nil"/>
              <w:right w:val="nil"/>
              <w:tl2br w:val="nil"/>
              <w:tr2bl w:val="nil"/>
            </w:tcBorders>
            <w:vAlign w:val="center"/>
          </w:tcPr>
          <w:p>
            <w:pPr>
              <w:pStyle w:val="95"/>
              <w:kinsoku w:val="0"/>
              <w:overflowPunct w:val="0"/>
              <w:spacing w:before="122" w:line="299" w:lineRule="exact"/>
              <w:ind w:right="53"/>
              <w:rPr>
                <w:rFonts w:hint="default" w:asciiTheme="minorEastAsia" w:hAnsiTheme="minorEastAsia" w:eastAsiaTheme="minorEastAsia" w:cstheme="minorEastAsia"/>
                <w:b/>
                <w:color w:val="auto"/>
                <w:sz w:val="28"/>
              </w:rPr>
            </w:pPr>
            <w:r>
              <w:rPr>
                <w:rFonts w:asciiTheme="minorEastAsia" w:hAnsiTheme="minorEastAsia" w:eastAsiaTheme="minorEastAsia" w:cstheme="minorEastAsia"/>
                <w:b/>
                <w:color w:val="auto"/>
                <w:sz w:val="28"/>
              </w:rPr>
              <w:t>编 制 时 间 ：</w:t>
            </w:r>
          </w:p>
        </w:tc>
        <w:tc>
          <w:tcPr>
            <w:tcW w:w="6082" w:type="dxa"/>
            <w:tcBorders>
              <w:top w:val="nil"/>
              <w:left w:val="nil"/>
              <w:bottom w:val="nil"/>
              <w:right w:val="nil"/>
              <w:tl2br w:val="nil"/>
              <w:tr2bl w:val="nil"/>
            </w:tcBorders>
            <w:vAlign w:val="center"/>
          </w:tcPr>
          <w:p>
            <w:pPr>
              <w:pStyle w:val="95"/>
              <w:kinsoku w:val="0"/>
              <w:overflowPunct w:val="0"/>
              <w:spacing w:before="122" w:line="299" w:lineRule="exact"/>
              <w:ind w:right="53"/>
              <w:rPr>
                <w:rFonts w:hint="default" w:asciiTheme="minorEastAsia" w:hAnsiTheme="minorEastAsia" w:eastAsiaTheme="minorEastAsia" w:cstheme="minorEastAsia"/>
                <w:b/>
                <w:color w:val="auto"/>
                <w:sz w:val="28"/>
              </w:rPr>
            </w:pPr>
            <w:r>
              <w:rPr>
                <w:rFonts w:asciiTheme="minorEastAsia" w:hAnsiTheme="minorEastAsia" w:eastAsiaTheme="minorEastAsia" w:cstheme="minorEastAsia"/>
                <w:b/>
                <w:color w:val="auto"/>
                <w:sz w:val="28"/>
              </w:rPr>
              <w:t>2021年9月</w:t>
            </w:r>
          </w:p>
        </w:tc>
      </w:tr>
    </w:tbl>
    <w:p>
      <w:pPr>
        <w:rPr>
          <w:rFonts w:asciiTheme="minorEastAsia" w:hAnsiTheme="minorEastAsia" w:eastAsiaTheme="minorEastAsia" w:cstheme="minorEastAsia"/>
          <w:color w:val="auto"/>
          <w:sz w:val="20"/>
        </w:rPr>
        <w:sectPr>
          <w:type w:val="continuous"/>
          <w:pgSz w:w="11910" w:h="16840"/>
          <w:pgMar w:top="1400" w:right="1200" w:bottom="280" w:left="1200" w:header="720" w:footer="720" w:gutter="0"/>
          <w:cols w:space="720" w:num="1"/>
        </w:sectPr>
      </w:pPr>
    </w:p>
    <w:p>
      <w:pPr>
        <w:tabs>
          <w:tab w:val="center" w:pos="4597"/>
          <w:tab w:val="left" w:pos="6772"/>
        </w:tabs>
        <w:spacing w:line="360" w:lineRule="auto"/>
        <w:jc w:val="left"/>
        <w:rPr>
          <w:rFonts w:asciiTheme="minorEastAsia" w:hAnsiTheme="minorEastAsia" w:eastAsiaTheme="minorEastAsia" w:cstheme="minorEastAsia"/>
          <w:b/>
          <w:bCs/>
          <w:color w:val="auto"/>
          <w:szCs w:val="21"/>
          <w:lang w:val="zh-CN"/>
        </w:rPr>
      </w:pPr>
      <w:r>
        <w:rPr>
          <w:rFonts w:hint="eastAsia" w:asciiTheme="minorEastAsia" w:hAnsiTheme="minorEastAsia" w:eastAsiaTheme="minorEastAsia" w:cstheme="minorEastAsia"/>
          <w:b/>
          <w:bCs/>
          <w:color w:val="auto"/>
          <w:sz w:val="44"/>
          <w:szCs w:val="44"/>
          <w:lang w:val="zh-CN"/>
        </w:rPr>
        <w:tab/>
      </w:r>
      <w:r>
        <w:rPr>
          <w:rFonts w:hint="eastAsia" w:asciiTheme="minorEastAsia" w:hAnsiTheme="minorEastAsia" w:eastAsiaTheme="minorEastAsia" w:cstheme="minorEastAsia"/>
          <w:b/>
          <w:bCs/>
          <w:color w:val="auto"/>
          <w:sz w:val="24"/>
          <w:lang w:val="zh-CN"/>
        </w:rPr>
        <w:t>目  录</w:t>
      </w:r>
      <w:r>
        <w:rPr>
          <w:rFonts w:hint="eastAsia" w:asciiTheme="minorEastAsia" w:hAnsiTheme="minorEastAsia" w:eastAsiaTheme="minorEastAsia" w:cstheme="minorEastAsia"/>
          <w:b/>
          <w:bCs/>
          <w:color w:val="auto"/>
          <w:szCs w:val="21"/>
          <w:lang w:val="zh-CN"/>
        </w:rPr>
        <w:tab/>
      </w:r>
    </w:p>
    <w:p>
      <w:pPr>
        <w:pStyle w:val="20"/>
        <w:tabs>
          <w:tab w:val="right" w:leader="dot" w:pos="9072"/>
        </w:tabs>
        <w:spacing w:line="360" w:lineRule="auto"/>
        <w:rPr>
          <w:color w:val="auto"/>
        </w:rPr>
      </w:pPr>
      <w:r>
        <w:rPr>
          <w:rFonts w:hint="eastAsia" w:asciiTheme="minorEastAsia" w:hAnsiTheme="minorEastAsia" w:eastAsiaTheme="minorEastAsia" w:cstheme="minorEastAsia"/>
          <w:color w:val="auto"/>
          <w:szCs w:val="21"/>
        </w:rPr>
        <w:fldChar w:fldCharType="begin"/>
      </w:r>
      <w:r>
        <w:rPr>
          <w:rFonts w:hint="eastAsia" w:asciiTheme="minorEastAsia" w:hAnsiTheme="minorEastAsia" w:eastAsiaTheme="minorEastAsia" w:cstheme="minorEastAsia"/>
          <w:color w:val="auto"/>
          <w:szCs w:val="21"/>
        </w:rPr>
        <w:instrText xml:space="preserve"> TOC \o "1-3" \h \z \u </w:instrText>
      </w:r>
      <w:r>
        <w:rPr>
          <w:rFonts w:hint="eastAsia" w:asciiTheme="minorEastAsia" w:hAnsiTheme="minorEastAsia" w:eastAsiaTheme="minorEastAsia" w:cstheme="minorEastAsia"/>
          <w:color w:val="auto"/>
          <w:szCs w:val="21"/>
        </w:rPr>
        <w:fldChar w:fldCharType="separate"/>
      </w:r>
      <w:r>
        <w:rPr>
          <w:rFonts w:hint="eastAsia" w:asciiTheme="minorEastAsia" w:hAnsiTheme="minorEastAsia" w:eastAsiaTheme="minorEastAsia" w:cstheme="minorEastAsia"/>
          <w:color w:val="auto"/>
          <w:szCs w:val="21"/>
        </w:rPr>
        <w:fldChar w:fldCharType="begin"/>
      </w:r>
      <w:r>
        <w:rPr>
          <w:rFonts w:hint="eastAsia" w:asciiTheme="minorEastAsia" w:hAnsiTheme="minorEastAsia" w:eastAsiaTheme="minorEastAsia" w:cstheme="minorEastAsia"/>
          <w:color w:val="auto"/>
          <w:szCs w:val="21"/>
        </w:rPr>
        <w:instrText xml:space="preserve"> TOC \o "1-3" \h \z \u </w:instrText>
      </w:r>
      <w:r>
        <w:rPr>
          <w:rFonts w:hint="eastAsia" w:asciiTheme="minorEastAsia" w:hAnsiTheme="minorEastAsia" w:eastAsiaTheme="minorEastAsia" w:cstheme="minorEastAsia"/>
          <w:color w:val="auto"/>
          <w:szCs w:val="21"/>
        </w:rPr>
        <w:fldChar w:fldCharType="separate"/>
      </w:r>
      <w:r>
        <w:rPr>
          <w:color w:val="auto"/>
        </w:rPr>
        <w:fldChar w:fldCharType="begin"/>
      </w:r>
      <w:r>
        <w:rPr>
          <w:color w:val="auto"/>
        </w:rPr>
        <w:instrText xml:space="preserve"> HYPERLINK \l "_Toc25194" </w:instrText>
      </w:r>
      <w:r>
        <w:rPr>
          <w:color w:val="auto"/>
        </w:rPr>
        <w:fldChar w:fldCharType="separate"/>
      </w:r>
      <w:r>
        <w:rPr>
          <w:bCs/>
          <w:color w:val="auto"/>
          <w:szCs w:val="36"/>
        </w:rPr>
        <w:t xml:space="preserve">第一章 </w:t>
      </w:r>
      <w:r>
        <w:rPr>
          <w:rFonts w:hint="eastAsia" w:ascii="宋体" w:hAnsi="宋体" w:cs="宋体"/>
          <w:color w:val="auto"/>
          <w:szCs w:val="36"/>
        </w:rPr>
        <w:t>竞争性磋商公告</w:t>
      </w:r>
      <w:r>
        <w:rPr>
          <w:color w:val="auto"/>
        </w:rPr>
        <w:tab/>
      </w:r>
      <w:r>
        <w:rPr>
          <w:color w:val="auto"/>
        </w:rPr>
        <w:fldChar w:fldCharType="begin"/>
      </w:r>
      <w:r>
        <w:rPr>
          <w:color w:val="auto"/>
        </w:rPr>
        <w:instrText xml:space="preserve"> PAGEREF _Toc25194 </w:instrText>
      </w:r>
      <w:r>
        <w:rPr>
          <w:color w:val="auto"/>
        </w:rPr>
        <w:fldChar w:fldCharType="separate"/>
      </w:r>
      <w:r>
        <w:rPr>
          <w:color w:val="auto"/>
        </w:rPr>
        <w:t>5</w:t>
      </w:r>
      <w:r>
        <w:rPr>
          <w:color w:val="auto"/>
        </w:rPr>
        <w:fldChar w:fldCharType="end"/>
      </w:r>
      <w:r>
        <w:rPr>
          <w:color w:val="auto"/>
        </w:rPr>
        <w:fldChar w:fldCharType="end"/>
      </w:r>
    </w:p>
    <w:p>
      <w:pPr>
        <w:pStyle w:val="22"/>
        <w:tabs>
          <w:tab w:val="right" w:leader="dot" w:pos="9072"/>
        </w:tabs>
        <w:spacing w:line="360" w:lineRule="auto"/>
        <w:rPr>
          <w:color w:val="auto"/>
        </w:rPr>
      </w:pPr>
      <w:r>
        <w:rPr>
          <w:color w:val="auto"/>
        </w:rPr>
        <w:fldChar w:fldCharType="begin"/>
      </w:r>
      <w:r>
        <w:rPr>
          <w:color w:val="auto"/>
        </w:rPr>
        <w:instrText xml:space="preserve"> HYPERLINK \l "_Toc29388" </w:instrText>
      </w:r>
      <w:r>
        <w:rPr>
          <w:color w:val="auto"/>
        </w:rPr>
        <w:fldChar w:fldCharType="separate"/>
      </w:r>
      <w:r>
        <w:rPr>
          <w:rFonts w:hint="eastAsia" w:ascii="宋体" w:hAnsi="宋体" w:cs="宋体"/>
          <w:color w:val="auto"/>
          <w:szCs w:val="21"/>
        </w:rPr>
        <w:t>一、 项目基本情况</w:t>
      </w:r>
      <w:r>
        <w:rPr>
          <w:color w:val="auto"/>
        </w:rPr>
        <w:tab/>
      </w:r>
      <w:r>
        <w:rPr>
          <w:color w:val="auto"/>
        </w:rPr>
        <w:fldChar w:fldCharType="begin"/>
      </w:r>
      <w:r>
        <w:rPr>
          <w:color w:val="auto"/>
        </w:rPr>
        <w:instrText xml:space="preserve"> PAGEREF _Toc29388 </w:instrText>
      </w:r>
      <w:r>
        <w:rPr>
          <w:color w:val="auto"/>
        </w:rPr>
        <w:fldChar w:fldCharType="separate"/>
      </w:r>
      <w:r>
        <w:rPr>
          <w:color w:val="auto"/>
        </w:rPr>
        <w:t>5</w:t>
      </w:r>
      <w:r>
        <w:rPr>
          <w:color w:val="auto"/>
        </w:rPr>
        <w:fldChar w:fldCharType="end"/>
      </w:r>
      <w:r>
        <w:rPr>
          <w:color w:val="auto"/>
        </w:rPr>
        <w:fldChar w:fldCharType="end"/>
      </w:r>
    </w:p>
    <w:p>
      <w:pPr>
        <w:pStyle w:val="22"/>
        <w:tabs>
          <w:tab w:val="right" w:leader="dot" w:pos="9072"/>
        </w:tabs>
        <w:spacing w:line="360" w:lineRule="auto"/>
        <w:rPr>
          <w:color w:val="auto"/>
        </w:rPr>
      </w:pPr>
      <w:r>
        <w:rPr>
          <w:color w:val="auto"/>
        </w:rPr>
        <w:fldChar w:fldCharType="begin"/>
      </w:r>
      <w:r>
        <w:rPr>
          <w:color w:val="auto"/>
        </w:rPr>
        <w:instrText xml:space="preserve"> HYPERLINK \l "_Toc32323" </w:instrText>
      </w:r>
      <w:r>
        <w:rPr>
          <w:color w:val="auto"/>
        </w:rPr>
        <w:fldChar w:fldCharType="separate"/>
      </w:r>
      <w:r>
        <w:rPr>
          <w:rFonts w:hint="eastAsia" w:ascii="宋体" w:hAnsi="宋体" w:cs="宋体"/>
          <w:color w:val="auto"/>
          <w:szCs w:val="21"/>
        </w:rPr>
        <w:t>二、 申请人的资格要求</w:t>
      </w:r>
      <w:r>
        <w:rPr>
          <w:color w:val="auto"/>
        </w:rPr>
        <w:tab/>
      </w:r>
      <w:r>
        <w:rPr>
          <w:color w:val="auto"/>
        </w:rPr>
        <w:fldChar w:fldCharType="begin"/>
      </w:r>
      <w:r>
        <w:rPr>
          <w:color w:val="auto"/>
        </w:rPr>
        <w:instrText xml:space="preserve"> PAGEREF _Toc32323 </w:instrText>
      </w:r>
      <w:r>
        <w:rPr>
          <w:color w:val="auto"/>
        </w:rPr>
        <w:fldChar w:fldCharType="separate"/>
      </w:r>
      <w:r>
        <w:rPr>
          <w:color w:val="auto"/>
        </w:rPr>
        <w:t>6</w:t>
      </w:r>
      <w:r>
        <w:rPr>
          <w:color w:val="auto"/>
        </w:rPr>
        <w:fldChar w:fldCharType="end"/>
      </w:r>
      <w:r>
        <w:rPr>
          <w:color w:val="auto"/>
        </w:rPr>
        <w:fldChar w:fldCharType="end"/>
      </w:r>
    </w:p>
    <w:p>
      <w:pPr>
        <w:pStyle w:val="22"/>
        <w:tabs>
          <w:tab w:val="right" w:leader="dot" w:pos="9072"/>
        </w:tabs>
        <w:spacing w:line="360" w:lineRule="auto"/>
        <w:rPr>
          <w:color w:val="auto"/>
        </w:rPr>
      </w:pPr>
      <w:r>
        <w:rPr>
          <w:color w:val="auto"/>
        </w:rPr>
        <w:fldChar w:fldCharType="begin"/>
      </w:r>
      <w:r>
        <w:rPr>
          <w:color w:val="auto"/>
        </w:rPr>
        <w:instrText xml:space="preserve"> HYPERLINK \l "_Toc31037" </w:instrText>
      </w:r>
      <w:r>
        <w:rPr>
          <w:color w:val="auto"/>
        </w:rPr>
        <w:fldChar w:fldCharType="separate"/>
      </w:r>
      <w:r>
        <w:rPr>
          <w:rFonts w:hint="eastAsia" w:ascii="宋体" w:hAnsi="宋体" w:cs="宋体"/>
          <w:color w:val="auto"/>
          <w:szCs w:val="21"/>
        </w:rPr>
        <w:t>三、 获取采购文件</w:t>
      </w:r>
      <w:r>
        <w:rPr>
          <w:color w:val="auto"/>
        </w:rPr>
        <w:tab/>
      </w:r>
      <w:r>
        <w:rPr>
          <w:color w:val="auto"/>
        </w:rPr>
        <w:fldChar w:fldCharType="begin"/>
      </w:r>
      <w:r>
        <w:rPr>
          <w:color w:val="auto"/>
        </w:rPr>
        <w:instrText xml:space="preserve"> PAGEREF _Toc31037 </w:instrText>
      </w:r>
      <w:r>
        <w:rPr>
          <w:color w:val="auto"/>
        </w:rPr>
        <w:fldChar w:fldCharType="separate"/>
      </w:r>
      <w:r>
        <w:rPr>
          <w:color w:val="auto"/>
        </w:rPr>
        <w:t>6</w:t>
      </w:r>
      <w:r>
        <w:rPr>
          <w:color w:val="auto"/>
        </w:rPr>
        <w:fldChar w:fldCharType="end"/>
      </w:r>
      <w:r>
        <w:rPr>
          <w:color w:val="auto"/>
        </w:rPr>
        <w:fldChar w:fldCharType="end"/>
      </w:r>
    </w:p>
    <w:p>
      <w:pPr>
        <w:pStyle w:val="22"/>
        <w:tabs>
          <w:tab w:val="right" w:leader="dot" w:pos="9072"/>
        </w:tabs>
        <w:spacing w:line="360" w:lineRule="auto"/>
        <w:rPr>
          <w:color w:val="auto"/>
        </w:rPr>
      </w:pPr>
      <w:r>
        <w:rPr>
          <w:color w:val="auto"/>
        </w:rPr>
        <w:fldChar w:fldCharType="begin"/>
      </w:r>
      <w:r>
        <w:rPr>
          <w:color w:val="auto"/>
        </w:rPr>
        <w:instrText xml:space="preserve"> HYPERLINK \l "_Toc30368" </w:instrText>
      </w:r>
      <w:r>
        <w:rPr>
          <w:color w:val="auto"/>
        </w:rPr>
        <w:fldChar w:fldCharType="separate"/>
      </w:r>
      <w:r>
        <w:rPr>
          <w:rFonts w:hint="eastAsia" w:ascii="宋体" w:hAnsi="宋体" w:cs="宋体"/>
          <w:color w:val="auto"/>
          <w:szCs w:val="21"/>
        </w:rPr>
        <w:t>四、 响应文件提交</w:t>
      </w:r>
      <w:r>
        <w:rPr>
          <w:color w:val="auto"/>
        </w:rPr>
        <w:tab/>
      </w:r>
      <w:r>
        <w:rPr>
          <w:color w:val="auto"/>
        </w:rPr>
        <w:fldChar w:fldCharType="begin"/>
      </w:r>
      <w:r>
        <w:rPr>
          <w:color w:val="auto"/>
        </w:rPr>
        <w:instrText xml:space="preserve"> PAGEREF _Toc30368 </w:instrText>
      </w:r>
      <w:r>
        <w:rPr>
          <w:color w:val="auto"/>
        </w:rPr>
        <w:fldChar w:fldCharType="separate"/>
      </w:r>
      <w:r>
        <w:rPr>
          <w:color w:val="auto"/>
        </w:rPr>
        <w:t>7</w:t>
      </w:r>
      <w:r>
        <w:rPr>
          <w:color w:val="auto"/>
        </w:rPr>
        <w:fldChar w:fldCharType="end"/>
      </w:r>
      <w:r>
        <w:rPr>
          <w:color w:val="auto"/>
        </w:rPr>
        <w:fldChar w:fldCharType="end"/>
      </w:r>
    </w:p>
    <w:p>
      <w:pPr>
        <w:pStyle w:val="22"/>
        <w:tabs>
          <w:tab w:val="right" w:leader="dot" w:pos="9072"/>
        </w:tabs>
        <w:spacing w:line="360" w:lineRule="auto"/>
        <w:rPr>
          <w:color w:val="auto"/>
        </w:rPr>
      </w:pPr>
      <w:r>
        <w:rPr>
          <w:color w:val="auto"/>
        </w:rPr>
        <w:fldChar w:fldCharType="begin"/>
      </w:r>
      <w:r>
        <w:rPr>
          <w:color w:val="auto"/>
        </w:rPr>
        <w:instrText xml:space="preserve"> HYPERLINK \l "_Toc8237" </w:instrText>
      </w:r>
      <w:r>
        <w:rPr>
          <w:color w:val="auto"/>
        </w:rPr>
        <w:fldChar w:fldCharType="separate"/>
      </w:r>
      <w:r>
        <w:rPr>
          <w:rFonts w:hint="eastAsia"/>
          <w:color w:val="auto"/>
          <w:szCs w:val="21"/>
        </w:rPr>
        <w:t xml:space="preserve">五、 </w:t>
      </w:r>
      <w:r>
        <w:rPr>
          <w:rFonts w:hint="eastAsia" w:ascii="宋体" w:hAnsi="宋体" w:cs="宋体"/>
          <w:color w:val="auto"/>
          <w:szCs w:val="21"/>
        </w:rPr>
        <w:t>开启</w:t>
      </w:r>
      <w:r>
        <w:rPr>
          <w:color w:val="auto"/>
        </w:rPr>
        <w:tab/>
      </w:r>
      <w:r>
        <w:rPr>
          <w:color w:val="auto"/>
        </w:rPr>
        <w:fldChar w:fldCharType="begin"/>
      </w:r>
      <w:r>
        <w:rPr>
          <w:color w:val="auto"/>
        </w:rPr>
        <w:instrText xml:space="preserve"> PAGEREF _Toc8237 </w:instrText>
      </w:r>
      <w:r>
        <w:rPr>
          <w:color w:val="auto"/>
        </w:rPr>
        <w:fldChar w:fldCharType="separate"/>
      </w:r>
      <w:r>
        <w:rPr>
          <w:color w:val="auto"/>
        </w:rPr>
        <w:t>7</w:t>
      </w:r>
      <w:r>
        <w:rPr>
          <w:color w:val="auto"/>
        </w:rPr>
        <w:fldChar w:fldCharType="end"/>
      </w:r>
      <w:r>
        <w:rPr>
          <w:color w:val="auto"/>
        </w:rPr>
        <w:fldChar w:fldCharType="end"/>
      </w:r>
    </w:p>
    <w:p>
      <w:pPr>
        <w:pStyle w:val="22"/>
        <w:tabs>
          <w:tab w:val="right" w:leader="dot" w:pos="9072"/>
        </w:tabs>
        <w:spacing w:line="360" w:lineRule="auto"/>
        <w:rPr>
          <w:color w:val="auto"/>
        </w:rPr>
      </w:pPr>
      <w:r>
        <w:rPr>
          <w:color w:val="auto"/>
        </w:rPr>
        <w:fldChar w:fldCharType="begin"/>
      </w:r>
      <w:r>
        <w:rPr>
          <w:color w:val="auto"/>
        </w:rPr>
        <w:instrText xml:space="preserve"> HYPERLINK \l "_Toc14422" </w:instrText>
      </w:r>
      <w:r>
        <w:rPr>
          <w:color w:val="auto"/>
        </w:rPr>
        <w:fldChar w:fldCharType="separate"/>
      </w:r>
      <w:r>
        <w:rPr>
          <w:rFonts w:hint="eastAsia" w:ascii="宋体" w:hAnsi="宋体" w:cs="宋体"/>
          <w:color w:val="auto"/>
          <w:szCs w:val="21"/>
        </w:rPr>
        <w:t>六、 公告期限</w:t>
      </w:r>
      <w:r>
        <w:rPr>
          <w:color w:val="auto"/>
        </w:rPr>
        <w:tab/>
      </w:r>
      <w:r>
        <w:rPr>
          <w:color w:val="auto"/>
        </w:rPr>
        <w:fldChar w:fldCharType="begin"/>
      </w:r>
      <w:r>
        <w:rPr>
          <w:color w:val="auto"/>
        </w:rPr>
        <w:instrText xml:space="preserve"> PAGEREF _Toc14422 </w:instrText>
      </w:r>
      <w:r>
        <w:rPr>
          <w:color w:val="auto"/>
        </w:rPr>
        <w:fldChar w:fldCharType="separate"/>
      </w:r>
      <w:r>
        <w:rPr>
          <w:color w:val="auto"/>
        </w:rPr>
        <w:t>7</w:t>
      </w:r>
      <w:r>
        <w:rPr>
          <w:color w:val="auto"/>
        </w:rPr>
        <w:fldChar w:fldCharType="end"/>
      </w:r>
      <w:r>
        <w:rPr>
          <w:color w:val="auto"/>
        </w:rPr>
        <w:fldChar w:fldCharType="end"/>
      </w:r>
    </w:p>
    <w:p>
      <w:pPr>
        <w:pStyle w:val="22"/>
        <w:tabs>
          <w:tab w:val="right" w:leader="dot" w:pos="9072"/>
        </w:tabs>
        <w:spacing w:line="360" w:lineRule="auto"/>
        <w:rPr>
          <w:color w:val="auto"/>
        </w:rPr>
      </w:pPr>
      <w:r>
        <w:rPr>
          <w:color w:val="auto"/>
        </w:rPr>
        <w:fldChar w:fldCharType="begin"/>
      </w:r>
      <w:r>
        <w:rPr>
          <w:color w:val="auto"/>
        </w:rPr>
        <w:instrText xml:space="preserve"> HYPERLINK \l "_Toc925" </w:instrText>
      </w:r>
      <w:r>
        <w:rPr>
          <w:color w:val="auto"/>
        </w:rPr>
        <w:fldChar w:fldCharType="separate"/>
      </w:r>
      <w:r>
        <w:rPr>
          <w:rFonts w:hint="eastAsia" w:ascii="宋体" w:hAnsi="宋体" w:cs="宋体"/>
          <w:color w:val="auto"/>
          <w:szCs w:val="21"/>
        </w:rPr>
        <w:t>七、 其他补充事宜</w:t>
      </w:r>
      <w:r>
        <w:rPr>
          <w:color w:val="auto"/>
        </w:rPr>
        <w:tab/>
      </w:r>
      <w:r>
        <w:rPr>
          <w:color w:val="auto"/>
        </w:rPr>
        <w:fldChar w:fldCharType="begin"/>
      </w:r>
      <w:r>
        <w:rPr>
          <w:color w:val="auto"/>
        </w:rPr>
        <w:instrText xml:space="preserve"> PAGEREF _Toc925 </w:instrText>
      </w:r>
      <w:r>
        <w:rPr>
          <w:color w:val="auto"/>
        </w:rPr>
        <w:fldChar w:fldCharType="separate"/>
      </w:r>
      <w:r>
        <w:rPr>
          <w:color w:val="auto"/>
        </w:rPr>
        <w:t>7</w:t>
      </w:r>
      <w:r>
        <w:rPr>
          <w:color w:val="auto"/>
        </w:rPr>
        <w:fldChar w:fldCharType="end"/>
      </w:r>
      <w:r>
        <w:rPr>
          <w:color w:val="auto"/>
        </w:rPr>
        <w:fldChar w:fldCharType="end"/>
      </w:r>
    </w:p>
    <w:p>
      <w:pPr>
        <w:pStyle w:val="22"/>
        <w:tabs>
          <w:tab w:val="right" w:leader="dot" w:pos="9072"/>
        </w:tabs>
        <w:spacing w:line="360" w:lineRule="auto"/>
        <w:rPr>
          <w:color w:val="auto"/>
        </w:rPr>
      </w:pPr>
      <w:r>
        <w:rPr>
          <w:color w:val="auto"/>
        </w:rPr>
        <w:fldChar w:fldCharType="begin"/>
      </w:r>
      <w:r>
        <w:rPr>
          <w:color w:val="auto"/>
        </w:rPr>
        <w:instrText xml:space="preserve"> HYPERLINK \l "_Toc12269" </w:instrText>
      </w:r>
      <w:r>
        <w:rPr>
          <w:color w:val="auto"/>
        </w:rPr>
        <w:fldChar w:fldCharType="separate"/>
      </w:r>
      <w:r>
        <w:rPr>
          <w:rFonts w:hint="eastAsia" w:ascii="宋体" w:hAnsi="宋体" w:cs="宋体"/>
          <w:color w:val="auto"/>
          <w:szCs w:val="21"/>
        </w:rPr>
        <w:t>八、 凡对本次采购提出询问，请按以下方式联系</w:t>
      </w:r>
      <w:r>
        <w:rPr>
          <w:color w:val="auto"/>
        </w:rPr>
        <w:tab/>
      </w:r>
      <w:r>
        <w:rPr>
          <w:color w:val="auto"/>
        </w:rPr>
        <w:fldChar w:fldCharType="begin"/>
      </w:r>
      <w:r>
        <w:rPr>
          <w:color w:val="auto"/>
        </w:rPr>
        <w:instrText xml:space="preserve"> PAGEREF _Toc12269 </w:instrText>
      </w:r>
      <w:r>
        <w:rPr>
          <w:color w:val="auto"/>
        </w:rPr>
        <w:fldChar w:fldCharType="separate"/>
      </w:r>
      <w:r>
        <w:rPr>
          <w:color w:val="auto"/>
        </w:rPr>
        <w:t>8</w:t>
      </w:r>
      <w:r>
        <w:rPr>
          <w:color w:val="auto"/>
        </w:rPr>
        <w:fldChar w:fldCharType="end"/>
      </w:r>
      <w:r>
        <w:rPr>
          <w:color w:val="auto"/>
        </w:rPr>
        <w:fldChar w:fldCharType="end"/>
      </w:r>
    </w:p>
    <w:p>
      <w:pPr>
        <w:pStyle w:val="22"/>
        <w:tabs>
          <w:tab w:val="right" w:leader="dot" w:pos="9072"/>
        </w:tabs>
        <w:spacing w:line="360" w:lineRule="auto"/>
        <w:rPr>
          <w:color w:val="auto"/>
        </w:rPr>
      </w:pPr>
      <w:r>
        <w:rPr>
          <w:color w:val="auto"/>
        </w:rPr>
        <w:fldChar w:fldCharType="begin"/>
      </w:r>
      <w:r>
        <w:rPr>
          <w:color w:val="auto"/>
        </w:rPr>
        <w:instrText xml:space="preserve"> HYPERLINK \l "_Toc25662" </w:instrText>
      </w:r>
      <w:r>
        <w:rPr>
          <w:color w:val="auto"/>
        </w:rPr>
        <w:fldChar w:fldCharType="separate"/>
      </w:r>
      <w:r>
        <w:rPr>
          <w:rFonts w:hint="eastAsia" w:asciiTheme="minorEastAsia" w:hAnsiTheme="minorEastAsia" w:eastAsiaTheme="minorEastAsia" w:cstheme="minorEastAsia"/>
          <w:color w:val="auto"/>
          <w:szCs w:val="21"/>
        </w:rPr>
        <w:t>九、 注意事项</w:t>
      </w:r>
      <w:r>
        <w:rPr>
          <w:color w:val="auto"/>
        </w:rPr>
        <w:tab/>
      </w:r>
      <w:r>
        <w:rPr>
          <w:color w:val="auto"/>
        </w:rPr>
        <w:fldChar w:fldCharType="begin"/>
      </w:r>
      <w:r>
        <w:rPr>
          <w:color w:val="auto"/>
        </w:rPr>
        <w:instrText xml:space="preserve"> PAGEREF _Toc25662 </w:instrText>
      </w:r>
      <w:r>
        <w:rPr>
          <w:color w:val="auto"/>
        </w:rPr>
        <w:fldChar w:fldCharType="separate"/>
      </w:r>
      <w:r>
        <w:rPr>
          <w:color w:val="auto"/>
        </w:rPr>
        <w:t>8</w:t>
      </w:r>
      <w:r>
        <w:rPr>
          <w:color w:val="auto"/>
        </w:rPr>
        <w:fldChar w:fldCharType="end"/>
      </w:r>
      <w:r>
        <w:rPr>
          <w:color w:val="auto"/>
        </w:rPr>
        <w:fldChar w:fldCharType="end"/>
      </w:r>
    </w:p>
    <w:p>
      <w:pPr>
        <w:pStyle w:val="20"/>
        <w:tabs>
          <w:tab w:val="right" w:leader="dot" w:pos="9072"/>
        </w:tabs>
        <w:spacing w:line="360" w:lineRule="auto"/>
        <w:rPr>
          <w:color w:val="auto"/>
        </w:rPr>
      </w:pPr>
      <w:r>
        <w:rPr>
          <w:color w:val="auto"/>
        </w:rPr>
        <w:fldChar w:fldCharType="begin"/>
      </w:r>
      <w:r>
        <w:rPr>
          <w:color w:val="auto"/>
        </w:rPr>
        <w:instrText xml:space="preserve"> HYPERLINK \l "_Toc12411" </w:instrText>
      </w:r>
      <w:r>
        <w:rPr>
          <w:color w:val="auto"/>
        </w:rPr>
        <w:fldChar w:fldCharType="separate"/>
      </w:r>
      <w:r>
        <w:rPr>
          <w:rFonts w:asciiTheme="minorEastAsia" w:hAnsiTheme="minorEastAsia" w:eastAsiaTheme="minorEastAsia" w:cstheme="minorEastAsia"/>
          <w:color w:val="auto"/>
          <w:szCs w:val="36"/>
        </w:rPr>
        <w:t xml:space="preserve">第二章 </w:t>
      </w:r>
      <w:r>
        <w:rPr>
          <w:rFonts w:hint="eastAsia" w:asciiTheme="minorEastAsia" w:hAnsiTheme="minorEastAsia" w:eastAsiaTheme="minorEastAsia" w:cstheme="minorEastAsia"/>
          <w:color w:val="auto"/>
          <w:szCs w:val="36"/>
        </w:rPr>
        <w:t>供应商须知</w:t>
      </w:r>
      <w:r>
        <w:rPr>
          <w:color w:val="auto"/>
        </w:rPr>
        <w:tab/>
      </w:r>
      <w:r>
        <w:rPr>
          <w:color w:val="auto"/>
        </w:rPr>
        <w:fldChar w:fldCharType="begin"/>
      </w:r>
      <w:r>
        <w:rPr>
          <w:color w:val="auto"/>
        </w:rPr>
        <w:instrText xml:space="preserve"> PAGEREF _Toc12411 </w:instrText>
      </w:r>
      <w:r>
        <w:rPr>
          <w:color w:val="auto"/>
        </w:rPr>
        <w:fldChar w:fldCharType="separate"/>
      </w:r>
      <w:r>
        <w:rPr>
          <w:color w:val="auto"/>
        </w:rPr>
        <w:t>9</w:t>
      </w:r>
      <w:r>
        <w:rPr>
          <w:color w:val="auto"/>
        </w:rPr>
        <w:fldChar w:fldCharType="end"/>
      </w:r>
      <w:r>
        <w:rPr>
          <w:color w:val="auto"/>
        </w:rPr>
        <w:fldChar w:fldCharType="end"/>
      </w:r>
    </w:p>
    <w:p>
      <w:pPr>
        <w:pStyle w:val="22"/>
        <w:tabs>
          <w:tab w:val="right" w:leader="dot" w:pos="9072"/>
        </w:tabs>
        <w:spacing w:line="360" w:lineRule="auto"/>
        <w:rPr>
          <w:color w:val="auto"/>
        </w:rPr>
      </w:pPr>
      <w:r>
        <w:rPr>
          <w:color w:val="auto"/>
        </w:rPr>
        <w:fldChar w:fldCharType="begin"/>
      </w:r>
      <w:r>
        <w:rPr>
          <w:color w:val="auto"/>
        </w:rPr>
        <w:instrText xml:space="preserve"> HYPERLINK \l "_Toc4456" </w:instrText>
      </w:r>
      <w:r>
        <w:rPr>
          <w:color w:val="auto"/>
        </w:rPr>
        <w:fldChar w:fldCharType="separate"/>
      </w:r>
      <w:r>
        <w:rPr>
          <w:rFonts w:hint="eastAsia" w:asciiTheme="minorEastAsia" w:hAnsiTheme="minorEastAsia" w:eastAsiaTheme="minorEastAsia" w:cstheme="minorEastAsia"/>
          <w:color w:val="auto"/>
          <w:szCs w:val="21"/>
        </w:rPr>
        <w:t>《供应商须知前附表》</w:t>
      </w:r>
      <w:r>
        <w:rPr>
          <w:color w:val="auto"/>
        </w:rPr>
        <w:tab/>
      </w:r>
      <w:r>
        <w:rPr>
          <w:color w:val="auto"/>
        </w:rPr>
        <w:fldChar w:fldCharType="begin"/>
      </w:r>
      <w:r>
        <w:rPr>
          <w:color w:val="auto"/>
        </w:rPr>
        <w:instrText xml:space="preserve"> PAGEREF _Toc4456 </w:instrText>
      </w:r>
      <w:r>
        <w:rPr>
          <w:color w:val="auto"/>
        </w:rPr>
        <w:fldChar w:fldCharType="separate"/>
      </w:r>
      <w:r>
        <w:rPr>
          <w:color w:val="auto"/>
        </w:rPr>
        <w:t>9</w:t>
      </w:r>
      <w:r>
        <w:rPr>
          <w:color w:val="auto"/>
        </w:rPr>
        <w:fldChar w:fldCharType="end"/>
      </w:r>
      <w:r>
        <w:rPr>
          <w:color w:val="auto"/>
        </w:rPr>
        <w:fldChar w:fldCharType="end"/>
      </w:r>
    </w:p>
    <w:p>
      <w:pPr>
        <w:pStyle w:val="22"/>
        <w:tabs>
          <w:tab w:val="right" w:leader="dot" w:pos="9072"/>
        </w:tabs>
        <w:spacing w:line="360" w:lineRule="auto"/>
        <w:rPr>
          <w:color w:val="auto"/>
        </w:rPr>
      </w:pPr>
      <w:r>
        <w:rPr>
          <w:color w:val="auto"/>
        </w:rPr>
        <w:fldChar w:fldCharType="begin"/>
      </w:r>
      <w:r>
        <w:rPr>
          <w:color w:val="auto"/>
        </w:rPr>
        <w:instrText xml:space="preserve"> HYPERLINK \l "_Toc23075" </w:instrText>
      </w:r>
      <w:r>
        <w:rPr>
          <w:color w:val="auto"/>
        </w:rPr>
        <w:fldChar w:fldCharType="separate"/>
      </w:r>
      <w:r>
        <w:rPr>
          <w:rFonts w:hint="eastAsia" w:asciiTheme="minorEastAsia" w:hAnsiTheme="minorEastAsia" w:eastAsiaTheme="minorEastAsia" w:cstheme="minorEastAsia"/>
          <w:color w:val="auto"/>
          <w:szCs w:val="21"/>
        </w:rPr>
        <w:t>供应商须知</w:t>
      </w:r>
      <w:r>
        <w:rPr>
          <w:color w:val="auto"/>
        </w:rPr>
        <w:tab/>
      </w:r>
      <w:r>
        <w:rPr>
          <w:color w:val="auto"/>
        </w:rPr>
        <w:fldChar w:fldCharType="begin"/>
      </w:r>
      <w:r>
        <w:rPr>
          <w:color w:val="auto"/>
        </w:rPr>
        <w:instrText xml:space="preserve"> PAGEREF _Toc23075 </w:instrText>
      </w:r>
      <w:r>
        <w:rPr>
          <w:color w:val="auto"/>
        </w:rPr>
        <w:fldChar w:fldCharType="separate"/>
      </w:r>
      <w:r>
        <w:rPr>
          <w:color w:val="auto"/>
        </w:rPr>
        <w:t>13</w:t>
      </w:r>
      <w:r>
        <w:rPr>
          <w:color w:val="auto"/>
        </w:rPr>
        <w:fldChar w:fldCharType="end"/>
      </w:r>
      <w:r>
        <w:rPr>
          <w:color w:val="auto"/>
        </w:rPr>
        <w:fldChar w:fldCharType="end"/>
      </w:r>
    </w:p>
    <w:p>
      <w:pPr>
        <w:pStyle w:val="22"/>
        <w:tabs>
          <w:tab w:val="right" w:leader="dot" w:pos="9072"/>
        </w:tabs>
        <w:spacing w:line="360" w:lineRule="auto"/>
        <w:rPr>
          <w:color w:val="auto"/>
        </w:rPr>
      </w:pPr>
      <w:r>
        <w:rPr>
          <w:color w:val="auto"/>
        </w:rPr>
        <w:fldChar w:fldCharType="begin"/>
      </w:r>
      <w:r>
        <w:rPr>
          <w:color w:val="auto"/>
        </w:rPr>
        <w:instrText xml:space="preserve"> HYPERLINK \l "_Toc18457" </w:instrText>
      </w:r>
      <w:r>
        <w:rPr>
          <w:color w:val="auto"/>
        </w:rPr>
        <w:fldChar w:fldCharType="separate"/>
      </w:r>
      <w:r>
        <w:rPr>
          <w:rFonts w:asciiTheme="minorEastAsia" w:hAnsiTheme="minorEastAsia" w:eastAsiaTheme="minorEastAsia" w:cstheme="minorEastAsia"/>
          <w:color w:val="auto"/>
          <w:szCs w:val="21"/>
        </w:rPr>
        <w:t xml:space="preserve">一、 </w:t>
      </w:r>
      <w:r>
        <w:rPr>
          <w:rFonts w:hint="eastAsia" w:asciiTheme="minorEastAsia" w:hAnsiTheme="minorEastAsia" w:eastAsiaTheme="minorEastAsia" w:cstheme="minorEastAsia"/>
          <w:color w:val="auto"/>
          <w:szCs w:val="21"/>
        </w:rPr>
        <w:t>总则</w:t>
      </w:r>
      <w:r>
        <w:rPr>
          <w:color w:val="auto"/>
        </w:rPr>
        <w:tab/>
      </w:r>
      <w:r>
        <w:rPr>
          <w:color w:val="auto"/>
        </w:rPr>
        <w:fldChar w:fldCharType="begin"/>
      </w:r>
      <w:r>
        <w:rPr>
          <w:color w:val="auto"/>
        </w:rPr>
        <w:instrText xml:space="preserve"> PAGEREF _Toc18457 </w:instrText>
      </w:r>
      <w:r>
        <w:rPr>
          <w:color w:val="auto"/>
        </w:rPr>
        <w:fldChar w:fldCharType="separate"/>
      </w:r>
      <w:r>
        <w:rPr>
          <w:color w:val="auto"/>
        </w:rPr>
        <w:t>13</w:t>
      </w:r>
      <w:r>
        <w:rPr>
          <w:color w:val="auto"/>
        </w:rPr>
        <w:fldChar w:fldCharType="end"/>
      </w:r>
      <w:r>
        <w:rPr>
          <w:color w:val="auto"/>
        </w:rPr>
        <w:fldChar w:fldCharType="end"/>
      </w:r>
    </w:p>
    <w:p>
      <w:pPr>
        <w:pStyle w:val="22"/>
        <w:tabs>
          <w:tab w:val="right" w:leader="dot" w:pos="9072"/>
        </w:tabs>
        <w:spacing w:line="360" w:lineRule="auto"/>
        <w:rPr>
          <w:color w:val="auto"/>
        </w:rPr>
      </w:pPr>
      <w:r>
        <w:rPr>
          <w:color w:val="auto"/>
        </w:rPr>
        <w:fldChar w:fldCharType="begin"/>
      </w:r>
      <w:r>
        <w:rPr>
          <w:color w:val="auto"/>
        </w:rPr>
        <w:instrText xml:space="preserve"> HYPERLINK \l "_Toc17841" </w:instrText>
      </w:r>
      <w:r>
        <w:rPr>
          <w:color w:val="auto"/>
        </w:rPr>
        <w:fldChar w:fldCharType="separate"/>
      </w:r>
      <w:r>
        <w:rPr>
          <w:rFonts w:asciiTheme="minorEastAsia" w:hAnsiTheme="minorEastAsia" w:eastAsiaTheme="minorEastAsia" w:cstheme="minorEastAsia"/>
          <w:color w:val="auto"/>
          <w:szCs w:val="21"/>
        </w:rPr>
        <w:t xml:space="preserve">1、 </w:t>
      </w:r>
      <w:r>
        <w:rPr>
          <w:rFonts w:hint="eastAsia" w:asciiTheme="minorEastAsia" w:hAnsiTheme="minorEastAsia" w:eastAsiaTheme="minorEastAsia" w:cstheme="minorEastAsia"/>
          <w:color w:val="auto"/>
          <w:szCs w:val="21"/>
        </w:rPr>
        <w:t>适用法律及范围</w:t>
      </w:r>
      <w:r>
        <w:rPr>
          <w:color w:val="auto"/>
        </w:rPr>
        <w:tab/>
      </w:r>
      <w:r>
        <w:rPr>
          <w:color w:val="auto"/>
        </w:rPr>
        <w:fldChar w:fldCharType="begin"/>
      </w:r>
      <w:r>
        <w:rPr>
          <w:color w:val="auto"/>
        </w:rPr>
        <w:instrText xml:space="preserve"> PAGEREF _Toc17841 </w:instrText>
      </w:r>
      <w:r>
        <w:rPr>
          <w:color w:val="auto"/>
        </w:rPr>
        <w:fldChar w:fldCharType="separate"/>
      </w:r>
      <w:r>
        <w:rPr>
          <w:color w:val="auto"/>
        </w:rPr>
        <w:t>13</w:t>
      </w:r>
      <w:r>
        <w:rPr>
          <w:color w:val="auto"/>
        </w:rPr>
        <w:fldChar w:fldCharType="end"/>
      </w:r>
      <w:r>
        <w:rPr>
          <w:color w:val="auto"/>
        </w:rPr>
        <w:fldChar w:fldCharType="end"/>
      </w:r>
    </w:p>
    <w:p>
      <w:pPr>
        <w:pStyle w:val="22"/>
        <w:tabs>
          <w:tab w:val="right" w:leader="dot" w:pos="9072"/>
        </w:tabs>
        <w:spacing w:line="360" w:lineRule="auto"/>
        <w:rPr>
          <w:color w:val="auto"/>
        </w:rPr>
      </w:pPr>
      <w:r>
        <w:rPr>
          <w:color w:val="auto"/>
        </w:rPr>
        <w:fldChar w:fldCharType="begin"/>
      </w:r>
      <w:r>
        <w:rPr>
          <w:color w:val="auto"/>
        </w:rPr>
        <w:instrText xml:space="preserve"> HYPERLINK \l "_Toc22187" </w:instrText>
      </w:r>
      <w:r>
        <w:rPr>
          <w:color w:val="auto"/>
        </w:rPr>
        <w:fldChar w:fldCharType="separate"/>
      </w:r>
      <w:r>
        <w:rPr>
          <w:rFonts w:asciiTheme="minorEastAsia" w:hAnsiTheme="minorEastAsia" w:eastAsiaTheme="minorEastAsia" w:cstheme="minorEastAsia"/>
          <w:color w:val="auto"/>
          <w:szCs w:val="21"/>
        </w:rPr>
        <w:t xml:space="preserve">2、 </w:t>
      </w:r>
      <w:r>
        <w:rPr>
          <w:rFonts w:hint="eastAsia" w:asciiTheme="minorEastAsia" w:hAnsiTheme="minorEastAsia" w:eastAsiaTheme="minorEastAsia" w:cstheme="minorEastAsia"/>
          <w:color w:val="auto"/>
          <w:szCs w:val="21"/>
        </w:rPr>
        <w:t>定义</w:t>
      </w:r>
      <w:r>
        <w:rPr>
          <w:color w:val="auto"/>
        </w:rPr>
        <w:tab/>
      </w:r>
      <w:r>
        <w:rPr>
          <w:color w:val="auto"/>
        </w:rPr>
        <w:fldChar w:fldCharType="begin"/>
      </w:r>
      <w:r>
        <w:rPr>
          <w:color w:val="auto"/>
        </w:rPr>
        <w:instrText xml:space="preserve"> PAGEREF _Toc22187 </w:instrText>
      </w:r>
      <w:r>
        <w:rPr>
          <w:color w:val="auto"/>
        </w:rPr>
        <w:fldChar w:fldCharType="separate"/>
      </w:r>
      <w:r>
        <w:rPr>
          <w:color w:val="auto"/>
        </w:rPr>
        <w:t>13</w:t>
      </w:r>
      <w:r>
        <w:rPr>
          <w:color w:val="auto"/>
        </w:rPr>
        <w:fldChar w:fldCharType="end"/>
      </w:r>
      <w:r>
        <w:rPr>
          <w:color w:val="auto"/>
        </w:rPr>
        <w:fldChar w:fldCharType="end"/>
      </w:r>
    </w:p>
    <w:p>
      <w:pPr>
        <w:pStyle w:val="22"/>
        <w:tabs>
          <w:tab w:val="right" w:leader="dot" w:pos="9072"/>
        </w:tabs>
        <w:spacing w:line="360" w:lineRule="auto"/>
        <w:rPr>
          <w:color w:val="auto"/>
        </w:rPr>
      </w:pPr>
      <w:r>
        <w:rPr>
          <w:color w:val="auto"/>
        </w:rPr>
        <w:fldChar w:fldCharType="begin"/>
      </w:r>
      <w:r>
        <w:rPr>
          <w:color w:val="auto"/>
        </w:rPr>
        <w:instrText xml:space="preserve"> HYPERLINK \l "_Toc9707" </w:instrText>
      </w:r>
      <w:r>
        <w:rPr>
          <w:color w:val="auto"/>
        </w:rPr>
        <w:fldChar w:fldCharType="separate"/>
      </w:r>
      <w:r>
        <w:rPr>
          <w:rFonts w:asciiTheme="minorEastAsia" w:hAnsiTheme="minorEastAsia" w:eastAsiaTheme="minorEastAsia" w:cstheme="minorEastAsia"/>
          <w:color w:val="auto"/>
          <w:szCs w:val="21"/>
        </w:rPr>
        <w:t xml:space="preserve">3、 </w:t>
      </w:r>
      <w:r>
        <w:rPr>
          <w:rFonts w:hint="eastAsia" w:asciiTheme="minorEastAsia" w:hAnsiTheme="minorEastAsia" w:eastAsiaTheme="minorEastAsia" w:cstheme="minorEastAsia"/>
          <w:snapToGrid w:val="0"/>
          <w:color w:val="auto"/>
          <w:kern w:val="0"/>
          <w:szCs w:val="21"/>
          <w:lang w:val="zh-CN"/>
        </w:rPr>
        <w:t>工程、货物及服务</w:t>
      </w:r>
      <w:r>
        <w:rPr>
          <w:color w:val="auto"/>
        </w:rPr>
        <w:tab/>
      </w:r>
      <w:r>
        <w:rPr>
          <w:color w:val="auto"/>
        </w:rPr>
        <w:fldChar w:fldCharType="begin"/>
      </w:r>
      <w:r>
        <w:rPr>
          <w:color w:val="auto"/>
        </w:rPr>
        <w:instrText xml:space="preserve"> PAGEREF _Toc9707 </w:instrText>
      </w:r>
      <w:r>
        <w:rPr>
          <w:color w:val="auto"/>
        </w:rPr>
        <w:fldChar w:fldCharType="separate"/>
      </w:r>
      <w:r>
        <w:rPr>
          <w:color w:val="auto"/>
        </w:rPr>
        <w:t>13</w:t>
      </w:r>
      <w:r>
        <w:rPr>
          <w:color w:val="auto"/>
        </w:rPr>
        <w:fldChar w:fldCharType="end"/>
      </w:r>
      <w:r>
        <w:rPr>
          <w:color w:val="auto"/>
        </w:rPr>
        <w:fldChar w:fldCharType="end"/>
      </w:r>
    </w:p>
    <w:p>
      <w:pPr>
        <w:pStyle w:val="22"/>
        <w:tabs>
          <w:tab w:val="right" w:leader="dot" w:pos="9072"/>
        </w:tabs>
        <w:spacing w:line="360" w:lineRule="auto"/>
        <w:rPr>
          <w:color w:val="auto"/>
        </w:rPr>
      </w:pPr>
      <w:r>
        <w:rPr>
          <w:color w:val="auto"/>
        </w:rPr>
        <w:fldChar w:fldCharType="begin"/>
      </w:r>
      <w:r>
        <w:rPr>
          <w:color w:val="auto"/>
        </w:rPr>
        <w:instrText xml:space="preserve"> HYPERLINK \l "_Toc4948" </w:instrText>
      </w:r>
      <w:r>
        <w:rPr>
          <w:color w:val="auto"/>
        </w:rPr>
        <w:fldChar w:fldCharType="separate"/>
      </w:r>
      <w:r>
        <w:rPr>
          <w:rFonts w:asciiTheme="minorEastAsia" w:hAnsiTheme="minorEastAsia" w:eastAsiaTheme="minorEastAsia" w:cstheme="minorEastAsia"/>
          <w:color w:val="auto"/>
          <w:szCs w:val="21"/>
        </w:rPr>
        <w:t xml:space="preserve">4、 </w:t>
      </w:r>
      <w:r>
        <w:rPr>
          <w:rFonts w:hint="eastAsia" w:asciiTheme="minorEastAsia" w:hAnsiTheme="minorEastAsia" w:eastAsiaTheme="minorEastAsia" w:cstheme="minorEastAsia"/>
          <w:color w:val="auto"/>
          <w:szCs w:val="21"/>
        </w:rPr>
        <w:t>费用</w:t>
      </w:r>
      <w:r>
        <w:rPr>
          <w:color w:val="auto"/>
        </w:rPr>
        <w:tab/>
      </w:r>
      <w:r>
        <w:rPr>
          <w:color w:val="auto"/>
        </w:rPr>
        <w:fldChar w:fldCharType="begin"/>
      </w:r>
      <w:r>
        <w:rPr>
          <w:color w:val="auto"/>
        </w:rPr>
        <w:instrText xml:space="preserve"> PAGEREF _Toc4948 </w:instrText>
      </w:r>
      <w:r>
        <w:rPr>
          <w:color w:val="auto"/>
        </w:rPr>
        <w:fldChar w:fldCharType="separate"/>
      </w:r>
      <w:r>
        <w:rPr>
          <w:color w:val="auto"/>
        </w:rPr>
        <w:t>13</w:t>
      </w:r>
      <w:r>
        <w:rPr>
          <w:color w:val="auto"/>
        </w:rPr>
        <w:fldChar w:fldCharType="end"/>
      </w:r>
      <w:r>
        <w:rPr>
          <w:color w:val="auto"/>
        </w:rPr>
        <w:fldChar w:fldCharType="end"/>
      </w:r>
    </w:p>
    <w:p>
      <w:pPr>
        <w:pStyle w:val="22"/>
        <w:tabs>
          <w:tab w:val="right" w:leader="dot" w:pos="9072"/>
        </w:tabs>
        <w:spacing w:line="360" w:lineRule="auto"/>
        <w:rPr>
          <w:color w:val="auto"/>
        </w:rPr>
      </w:pPr>
      <w:r>
        <w:rPr>
          <w:color w:val="auto"/>
        </w:rPr>
        <w:fldChar w:fldCharType="begin"/>
      </w:r>
      <w:r>
        <w:rPr>
          <w:color w:val="auto"/>
        </w:rPr>
        <w:instrText xml:space="preserve"> HYPERLINK \l "_Toc21644" </w:instrText>
      </w:r>
      <w:r>
        <w:rPr>
          <w:color w:val="auto"/>
        </w:rPr>
        <w:fldChar w:fldCharType="separate"/>
      </w:r>
      <w:r>
        <w:rPr>
          <w:rFonts w:asciiTheme="minorEastAsia" w:hAnsiTheme="minorEastAsia" w:eastAsiaTheme="minorEastAsia" w:cstheme="minorEastAsia"/>
          <w:color w:val="auto"/>
          <w:szCs w:val="21"/>
        </w:rPr>
        <w:t xml:space="preserve">二、 </w:t>
      </w:r>
      <w:r>
        <w:rPr>
          <w:rFonts w:hint="eastAsia" w:asciiTheme="minorEastAsia" w:hAnsiTheme="minorEastAsia" w:eastAsiaTheme="minorEastAsia" w:cstheme="minorEastAsia"/>
          <w:color w:val="auto"/>
          <w:szCs w:val="21"/>
        </w:rPr>
        <w:t>竞争性磋商采购文件</w:t>
      </w:r>
      <w:r>
        <w:rPr>
          <w:color w:val="auto"/>
        </w:rPr>
        <w:tab/>
      </w:r>
      <w:r>
        <w:rPr>
          <w:color w:val="auto"/>
        </w:rPr>
        <w:fldChar w:fldCharType="begin"/>
      </w:r>
      <w:r>
        <w:rPr>
          <w:color w:val="auto"/>
        </w:rPr>
        <w:instrText xml:space="preserve"> PAGEREF _Toc21644 </w:instrText>
      </w:r>
      <w:r>
        <w:rPr>
          <w:color w:val="auto"/>
        </w:rPr>
        <w:fldChar w:fldCharType="separate"/>
      </w:r>
      <w:r>
        <w:rPr>
          <w:color w:val="auto"/>
        </w:rPr>
        <w:t>14</w:t>
      </w:r>
      <w:r>
        <w:rPr>
          <w:color w:val="auto"/>
        </w:rPr>
        <w:fldChar w:fldCharType="end"/>
      </w:r>
      <w:r>
        <w:rPr>
          <w:color w:val="auto"/>
        </w:rPr>
        <w:fldChar w:fldCharType="end"/>
      </w:r>
    </w:p>
    <w:p>
      <w:pPr>
        <w:pStyle w:val="22"/>
        <w:tabs>
          <w:tab w:val="right" w:leader="dot" w:pos="9072"/>
        </w:tabs>
        <w:spacing w:line="360" w:lineRule="auto"/>
        <w:rPr>
          <w:color w:val="auto"/>
        </w:rPr>
      </w:pPr>
      <w:r>
        <w:rPr>
          <w:color w:val="auto"/>
        </w:rPr>
        <w:fldChar w:fldCharType="begin"/>
      </w:r>
      <w:r>
        <w:rPr>
          <w:color w:val="auto"/>
        </w:rPr>
        <w:instrText xml:space="preserve"> HYPERLINK \l "_Toc25534" </w:instrText>
      </w:r>
      <w:r>
        <w:rPr>
          <w:color w:val="auto"/>
        </w:rPr>
        <w:fldChar w:fldCharType="separate"/>
      </w:r>
      <w:r>
        <w:rPr>
          <w:rFonts w:asciiTheme="minorEastAsia" w:hAnsiTheme="minorEastAsia" w:eastAsiaTheme="minorEastAsia" w:cstheme="minorEastAsia"/>
          <w:color w:val="auto"/>
          <w:szCs w:val="21"/>
        </w:rPr>
        <w:t xml:space="preserve">5、 </w:t>
      </w:r>
      <w:r>
        <w:rPr>
          <w:rFonts w:hint="eastAsia" w:asciiTheme="minorEastAsia" w:hAnsiTheme="minorEastAsia" w:eastAsiaTheme="minorEastAsia" w:cstheme="minorEastAsia"/>
          <w:color w:val="auto"/>
          <w:szCs w:val="21"/>
        </w:rPr>
        <w:t>竞争性磋商采购文件的构成</w:t>
      </w:r>
      <w:r>
        <w:rPr>
          <w:color w:val="auto"/>
        </w:rPr>
        <w:tab/>
      </w:r>
      <w:r>
        <w:rPr>
          <w:color w:val="auto"/>
        </w:rPr>
        <w:fldChar w:fldCharType="begin"/>
      </w:r>
      <w:r>
        <w:rPr>
          <w:color w:val="auto"/>
        </w:rPr>
        <w:instrText xml:space="preserve"> PAGEREF _Toc25534 </w:instrText>
      </w:r>
      <w:r>
        <w:rPr>
          <w:color w:val="auto"/>
        </w:rPr>
        <w:fldChar w:fldCharType="separate"/>
      </w:r>
      <w:r>
        <w:rPr>
          <w:color w:val="auto"/>
        </w:rPr>
        <w:t>14</w:t>
      </w:r>
      <w:r>
        <w:rPr>
          <w:color w:val="auto"/>
        </w:rPr>
        <w:fldChar w:fldCharType="end"/>
      </w:r>
      <w:r>
        <w:rPr>
          <w:color w:val="auto"/>
        </w:rPr>
        <w:fldChar w:fldCharType="end"/>
      </w:r>
    </w:p>
    <w:p>
      <w:pPr>
        <w:pStyle w:val="22"/>
        <w:tabs>
          <w:tab w:val="right" w:leader="dot" w:pos="9072"/>
        </w:tabs>
        <w:spacing w:line="360" w:lineRule="auto"/>
        <w:rPr>
          <w:color w:val="auto"/>
        </w:rPr>
      </w:pPr>
      <w:r>
        <w:rPr>
          <w:color w:val="auto"/>
        </w:rPr>
        <w:fldChar w:fldCharType="begin"/>
      </w:r>
      <w:r>
        <w:rPr>
          <w:color w:val="auto"/>
        </w:rPr>
        <w:instrText xml:space="preserve"> HYPERLINK \l "_Toc12297" </w:instrText>
      </w:r>
      <w:r>
        <w:rPr>
          <w:color w:val="auto"/>
        </w:rPr>
        <w:fldChar w:fldCharType="separate"/>
      </w:r>
      <w:r>
        <w:rPr>
          <w:rFonts w:asciiTheme="minorEastAsia" w:hAnsiTheme="minorEastAsia" w:eastAsiaTheme="minorEastAsia" w:cstheme="minorEastAsia"/>
          <w:snapToGrid w:val="0"/>
          <w:color w:val="auto"/>
          <w:kern w:val="0"/>
          <w:szCs w:val="21"/>
          <w:lang w:val="zh-CN"/>
        </w:rPr>
        <w:t xml:space="preserve">6、 </w:t>
      </w:r>
      <w:r>
        <w:rPr>
          <w:rFonts w:hint="eastAsia" w:asciiTheme="minorEastAsia" w:hAnsiTheme="minorEastAsia" w:eastAsiaTheme="minorEastAsia" w:cstheme="minorEastAsia"/>
          <w:snapToGrid w:val="0"/>
          <w:color w:val="auto"/>
          <w:kern w:val="0"/>
          <w:szCs w:val="21"/>
          <w:lang w:val="zh-CN"/>
        </w:rPr>
        <w:t>竞争性磋商采购文件的澄清</w:t>
      </w:r>
      <w:r>
        <w:rPr>
          <w:color w:val="auto"/>
        </w:rPr>
        <w:tab/>
      </w:r>
      <w:r>
        <w:rPr>
          <w:color w:val="auto"/>
        </w:rPr>
        <w:fldChar w:fldCharType="begin"/>
      </w:r>
      <w:r>
        <w:rPr>
          <w:color w:val="auto"/>
        </w:rPr>
        <w:instrText xml:space="preserve"> PAGEREF _Toc12297 </w:instrText>
      </w:r>
      <w:r>
        <w:rPr>
          <w:color w:val="auto"/>
        </w:rPr>
        <w:fldChar w:fldCharType="separate"/>
      </w:r>
      <w:r>
        <w:rPr>
          <w:color w:val="auto"/>
        </w:rPr>
        <w:t>15</w:t>
      </w:r>
      <w:r>
        <w:rPr>
          <w:color w:val="auto"/>
        </w:rPr>
        <w:fldChar w:fldCharType="end"/>
      </w:r>
      <w:r>
        <w:rPr>
          <w:color w:val="auto"/>
        </w:rPr>
        <w:fldChar w:fldCharType="end"/>
      </w:r>
    </w:p>
    <w:p>
      <w:pPr>
        <w:pStyle w:val="22"/>
        <w:tabs>
          <w:tab w:val="right" w:leader="dot" w:pos="9072"/>
        </w:tabs>
        <w:spacing w:line="360" w:lineRule="auto"/>
        <w:rPr>
          <w:color w:val="auto"/>
        </w:rPr>
      </w:pPr>
      <w:r>
        <w:rPr>
          <w:color w:val="auto"/>
        </w:rPr>
        <w:fldChar w:fldCharType="begin"/>
      </w:r>
      <w:r>
        <w:rPr>
          <w:color w:val="auto"/>
        </w:rPr>
        <w:instrText xml:space="preserve"> HYPERLINK \l "_Toc17968" </w:instrText>
      </w:r>
      <w:r>
        <w:rPr>
          <w:color w:val="auto"/>
        </w:rPr>
        <w:fldChar w:fldCharType="separate"/>
      </w:r>
      <w:r>
        <w:rPr>
          <w:rFonts w:asciiTheme="minorEastAsia" w:hAnsiTheme="minorEastAsia" w:eastAsiaTheme="minorEastAsia" w:cstheme="minorEastAsia"/>
          <w:snapToGrid w:val="0"/>
          <w:color w:val="auto"/>
          <w:kern w:val="0"/>
          <w:szCs w:val="21"/>
          <w:lang w:val="zh-CN"/>
        </w:rPr>
        <w:t xml:space="preserve">7、 </w:t>
      </w:r>
      <w:r>
        <w:rPr>
          <w:rFonts w:hint="eastAsia" w:asciiTheme="minorEastAsia" w:hAnsiTheme="minorEastAsia" w:eastAsiaTheme="minorEastAsia" w:cstheme="minorEastAsia"/>
          <w:snapToGrid w:val="0"/>
          <w:color w:val="auto"/>
          <w:kern w:val="0"/>
          <w:szCs w:val="21"/>
          <w:lang w:val="zh-CN"/>
        </w:rPr>
        <w:t>竞争性磋商采购文件的修改</w:t>
      </w:r>
      <w:r>
        <w:rPr>
          <w:color w:val="auto"/>
        </w:rPr>
        <w:tab/>
      </w:r>
      <w:r>
        <w:rPr>
          <w:color w:val="auto"/>
        </w:rPr>
        <w:fldChar w:fldCharType="begin"/>
      </w:r>
      <w:r>
        <w:rPr>
          <w:color w:val="auto"/>
        </w:rPr>
        <w:instrText xml:space="preserve"> PAGEREF _Toc17968 </w:instrText>
      </w:r>
      <w:r>
        <w:rPr>
          <w:color w:val="auto"/>
        </w:rPr>
        <w:fldChar w:fldCharType="separate"/>
      </w:r>
      <w:r>
        <w:rPr>
          <w:color w:val="auto"/>
        </w:rPr>
        <w:t>15</w:t>
      </w:r>
      <w:r>
        <w:rPr>
          <w:color w:val="auto"/>
        </w:rPr>
        <w:fldChar w:fldCharType="end"/>
      </w:r>
      <w:r>
        <w:rPr>
          <w:color w:val="auto"/>
        </w:rPr>
        <w:fldChar w:fldCharType="end"/>
      </w:r>
    </w:p>
    <w:p>
      <w:pPr>
        <w:pStyle w:val="22"/>
        <w:tabs>
          <w:tab w:val="right" w:leader="dot" w:pos="9072"/>
        </w:tabs>
        <w:spacing w:line="360" w:lineRule="auto"/>
        <w:rPr>
          <w:color w:val="auto"/>
        </w:rPr>
      </w:pPr>
      <w:r>
        <w:rPr>
          <w:color w:val="auto"/>
        </w:rPr>
        <w:fldChar w:fldCharType="begin"/>
      </w:r>
      <w:r>
        <w:rPr>
          <w:color w:val="auto"/>
        </w:rPr>
        <w:instrText xml:space="preserve"> HYPERLINK \l "_Toc6290" </w:instrText>
      </w:r>
      <w:r>
        <w:rPr>
          <w:color w:val="auto"/>
        </w:rPr>
        <w:fldChar w:fldCharType="separate"/>
      </w:r>
      <w:r>
        <w:rPr>
          <w:rFonts w:asciiTheme="minorEastAsia" w:hAnsiTheme="minorEastAsia" w:eastAsiaTheme="minorEastAsia" w:cstheme="minorEastAsia"/>
          <w:color w:val="auto"/>
          <w:szCs w:val="21"/>
        </w:rPr>
        <w:t xml:space="preserve">三、 </w:t>
      </w:r>
      <w:r>
        <w:rPr>
          <w:rFonts w:hint="eastAsia" w:asciiTheme="minorEastAsia" w:hAnsiTheme="minorEastAsia" w:eastAsiaTheme="minorEastAsia" w:cstheme="minorEastAsia"/>
          <w:color w:val="auto"/>
          <w:szCs w:val="21"/>
        </w:rPr>
        <w:t>竞争性磋商响应文件</w:t>
      </w:r>
      <w:r>
        <w:rPr>
          <w:color w:val="auto"/>
        </w:rPr>
        <w:tab/>
      </w:r>
      <w:r>
        <w:rPr>
          <w:color w:val="auto"/>
        </w:rPr>
        <w:fldChar w:fldCharType="begin"/>
      </w:r>
      <w:r>
        <w:rPr>
          <w:color w:val="auto"/>
        </w:rPr>
        <w:instrText xml:space="preserve"> PAGEREF _Toc6290 </w:instrText>
      </w:r>
      <w:r>
        <w:rPr>
          <w:color w:val="auto"/>
        </w:rPr>
        <w:fldChar w:fldCharType="separate"/>
      </w:r>
      <w:r>
        <w:rPr>
          <w:color w:val="auto"/>
        </w:rPr>
        <w:t>15</w:t>
      </w:r>
      <w:r>
        <w:rPr>
          <w:color w:val="auto"/>
        </w:rPr>
        <w:fldChar w:fldCharType="end"/>
      </w:r>
      <w:r>
        <w:rPr>
          <w:color w:val="auto"/>
        </w:rPr>
        <w:fldChar w:fldCharType="end"/>
      </w:r>
    </w:p>
    <w:p>
      <w:pPr>
        <w:pStyle w:val="22"/>
        <w:tabs>
          <w:tab w:val="right" w:leader="dot" w:pos="9072"/>
        </w:tabs>
        <w:spacing w:line="360" w:lineRule="auto"/>
        <w:rPr>
          <w:color w:val="auto"/>
        </w:rPr>
      </w:pPr>
      <w:r>
        <w:rPr>
          <w:color w:val="auto"/>
        </w:rPr>
        <w:fldChar w:fldCharType="begin"/>
      </w:r>
      <w:r>
        <w:rPr>
          <w:color w:val="auto"/>
        </w:rPr>
        <w:instrText xml:space="preserve"> HYPERLINK \l "_Toc4380" </w:instrText>
      </w:r>
      <w:r>
        <w:rPr>
          <w:color w:val="auto"/>
        </w:rPr>
        <w:fldChar w:fldCharType="separate"/>
      </w:r>
      <w:r>
        <w:rPr>
          <w:rFonts w:asciiTheme="minorEastAsia" w:hAnsiTheme="minorEastAsia" w:eastAsiaTheme="minorEastAsia" w:cstheme="minorEastAsia"/>
          <w:snapToGrid w:val="0"/>
          <w:color w:val="auto"/>
          <w:kern w:val="0"/>
          <w:szCs w:val="21"/>
          <w:lang w:val="zh-CN"/>
        </w:rPr>
        <w:t xml:space="preserve">8、 </w:t>
      </w:r>
      <w:r>
        <w:rPr>
          <w:rFonts w:hint="eastAsia" w:asciiTheme="minorEastAsia" w:hAnsiTheme="minorEastAsia" w:eastAsiaTheme="minorEastAsia" w:cstheme="minorEastAsia"/>
          <w:snapToGrid w:val="0"/>
          <w:color w:val="auto"/>
          <w:kern w:val="0"/>
          <w:szCs w:val="21"/>
          <w:lang w:val="zh-CN"/>
        </w:rPr>
        <w:t>语言和计量单位</w:t>
      </w:r>
      <w:r>
        <w:rPr>
          <w:color w:val="auto"/>
        </w:rPr>
        <w:tab/>
      </w:r>
      <w:r>
        <w:rPr>
          <w:color w:val="auto"/>
        </w:rPr>
        <w:fldChar w:fldCharType="begin"/>
      </w:r>
      <w:r>
        <w:rPr>
          <w:color w:val="auto"/>
        </w:rPr>
        <w:instrText xml:space="preserve"> PAGEREF _Toc4380 </w:instrText>
      </w:r>
      <w:r>
        <w:rPr>
          <w:color w:val="auto"/>
        </w:rPr>
        <w:fldChar w:fldCharType="separate"/>
      </w:r>
      <w:r>
        <w:rPr>
          <w:color w:val="auto"/>
        </w:rPr>
        <w:t>15</w:t>
      </w:r>
      <w:r>
        <w:rPr>
          <w:color w:val="auto"/>
        </w:rPr>
        <w:fldChar w:fldCharType="end"/>
      </w:r>
      <w:r>
        <w:rPr>
          <w:color w:val="auto"/>
        </w:rPr>
        <w:fldChar w:fldCharType="end"/>
      </w:r>
    </w:p>
    <w:p>
      <w:pPr>
        <w:pStyle w:val="22"/>
        <w:tabs>
          <w:tab w:val="right" w:leader="dot" w:pos="9072"/>
        </w:tabs>
        <w:spacing w:line="360" w:lineRule="auto"/>
        <w:rPr>
          <w:color w:val="auto"/>
        </w:rPr>
      </w:pPr>
      <w:r>
        <w:rPr>
          <w:color w:val="auto"/>
        </w:rPr>
        <w:fldChar w:fldCharType="begin"/>
      </w:r>
      <w:r>
        <w:rPr>
          <w:color w:val="auto"/>
        </w:rPr>
        <w:instrText xml:space="preserve"> HYPERLINK \l "_Toc3554" </w:instrText>
      </w:r>
      <w:r>
        <w:rPr>
          <w:color w:val="auto"/>
        </w:rPr>
        <w:fldChar w:fldCharType="separate"/>
      </w:r>
      <w:r>
        <w:rPr>
          <w:rFonts w:asciiTheme="minorEastAsia" w:hAnsiTheme="minorEastAsia" w:eastAsiaTheme="minorEastAsia" w:cstheme="minorEastAsia"/>
          <w:snapToGrid w:val="0"/>
          <w:color w:val="auto"/>
          <w:kern w:val="0"/>
          <w:szCs w:val="21"/>
          <w:lang w:val="zh-CN"/>
        </w:rPr>
        <w:t xml:space="preserve">9、 </w:t>
      </w:r>
      <w:r>
        <w:rPr>
          <w:rFonts w:hint="eastAsia" w:asciiTheme="minorEastAsia" w:hAnsiTheme="minorEastAsia" w:eastAsiaTheme="minorEastAsia" w:cstheme="minorEastAsia"/>
          <w:snapToGrid w:val="0"/>
          <w:color w:val="auto"/>
          <w:kern w:val="0"/>
          <w:szCs w:val="21"/>
          <w:lang w:val="zh-CN"/>
        </w:rPr>
        <w:t>竞争性磋商响应文件的构成</w:t>
      </w:r>
      <w:r>
        <w:rPr>
          <w:color w:val="auto"/>
        </w:rPr>
        <w:tab/>
      </w:r>
      <w:r>
        <w:rPr>
          <w:color w:val="auto"/>
        </w:rPr>
        <w:fldChar w:fldCharType="begin"/>
      </w:r>
      <w:r>
        <w:rPr>
          <w:color w:val="auto"/>
        </w:rPr>
        <w:instrText xml:space="preserve"> PAGEREF _Toc3554 </w:instrText>
      </w:r>
      <w:r>
        <w:rPr>
          <w:color w:val="auto"/>
        </w:rPr>
        <w:fldChar w:fldCharType="separate"/>
      </w:r>
      <w:r>
        <w:rPr>
          <w:color w:val="auto"/>
        </w:rPr>
        <w:t>15</w:t>
      </w:r>
      <w:r>
        <w:rPr>
          <w:color w:val="auto"/>
        </w:rPr>
        <w:fldChar w:fldCharType="end"/>
      </w:r>
      <w:r>
        <w:rPr>
          <w:color w:val="auto"/>
        </w:rPr>
        <w:fldChar w:fldCharType="end"/>
      </w:r>
    </w:p>
    <w:p>
      <w:pPr>
        <w:pStyle w:val="22"/>
        <w:tabs>
          <w:tab w:val="right" w:leader="dot" w:pos="9072"/>
        </w:tabs>
        <w:spacing w:line="360" w:lineRule="auto"/>
        <w:rPr>
          <w:color w:val="auto"/>
        </w:rPr>
      </w:pPr>
      <w:r>
        <w:rPr>
          <w:color w:val="auto"/>
        </w:rPr>
        <w:fldChar w:fldCharType="begin"/>
      </w:r>
      <w:r>
        <w:rPr>
          <w:color w:val="auto"/>
        </w:rPr>
        <w:instrText xml:space="preserve"> HYPERLINK \l "_Toc1043" </w:instrText>
      </w:r>
      <w:r>
        <w:rPr>
          <w:color w:val="auto"/>
        </w:rPr>
        <w:fldChar w:fldCharType="separate"/>
      </w:r>
      <w:r>
        <w:rPr>
          <w:rFonts w:asciiTheme="minorEastAsia" w:hAnsiTheme="minorEastAsia" w:eastAsiaTheme="minorEastAsia" w:cstheme="minorEastAsia"/>
          <w:snapToGrid w:val="0"/>
          <w:color w:val="auto"/>
          <w:kern w:val="0"/>
          <w:szCs w:val="21"/>
          <w:lang w:val="zh-CN"/>
        </w:rPr>
        <w:t xml:space="preserve">10、 </w:t>
      </w:r>
      <w:r>
        <w:rPr>
          <w:rFonts w:hint="eastAsia" w:asciiTheme="minorEastAsia" w:hAnsiTheme="minorEastAsia" w:eastAsiaTheme="minorEastAsia" w:cstheme="minorEastAsia"/>
          <w:snapToGrid w:val="0"/>
          <w:color w:val="auto"/>
          <w:kern w:val="0"/>
          <w:szCs w:val="21"/>
          <w:lang w:val="zh-CN"/>
        </w:rPr>
        <w:t>竞争性磋商响应文件的编制</w:t>
      </w:r>
      <w:r>
        <w:rPr>
          <w:color w:val="auto"/>
        </w:rPr>
        <w:tab/>
      </w:r>
      <w:r>
        <w:rPr>
          <w:color w:val="auto"/>
        </w:rPr>
        <w:fldChar w:fldCharType="begin"/>
      </w:r>
      <w:r>
        <w:rPr>
          <w:color w:val="auto"/>
        </w:rPr>
        <w:instrText xml:space="preserve"> PAGEREF _Toc1043 </w:instrText>
      </w:r>
      <w:r>
        <w:rPr>
          <w:color w:val="auto"/>
        </w:rPr>
        <w:fldChar w:fldCharType="separate"/>
      </w:r>
      <w:r>
        <w:rPr>
          <w:color w:val="auto"/>
        </w:rPr>
        <w:t>16</w:t>
      </w:r>
      <w:r>
        <w:rPr>
          <w:color w:val="auto"/>
        </w:rPr>
        <w:fldChar w:fldCharType="end"/>
      </w:r>
      <w:r>
        <w:rPr>
          <w:color w:val="auto"/>
        </w:rPr>
        <w:fldChar w:fldCharType="end"/>
      </w:r>
    </w:p>
    <w:p>
      <w:pPr>
        <w:pStyle w:val="22"/>
        <w:tabs>
          <w:tab w:val="right" w:leader="dot" w:pos="9072"/>
        </w:tabs>
        <w:spacing w:line="360" w:lineRule="auto"/>
        <w:rPr>
          <w:color w:val="auto"/>
        </w:rPr>
      </w:pPr>
      <w:r>
        <w:rPr>
          <w:color w:val="auto"/>
        </w:rPr>
        <w:fldChar w:fldCharType="begin"/>
      </w:r>
      <w:r>
        <w:rPr>
          <w:color w:val="auto"/>
        </w:rPr>
        <w:instrText xml:space="preserve"> HYPERLINK \l "_Toc15588" </w:instrText>
      </w:r>
      <w:r>
        <w:rPr>
          <w:color w:val="auto"/>
        </w:rPr>
        <w:fldChar w:fldCharType="separate"/>
      </w:r>
      <w:r>
        <w:rPr>
          <w:rFonts w:asciiTheme="minorEastAsia" w:hAnsiTheme="minorEastAsia" w:eastAsiaTheme="minorEastAsia" w:cstheme="minorEastAsia"/>
          <w:snapToGrid w:val="0"/>
          <w:color w:val="auto"/>
          <w:kern w:val="0"/>
          <w:szCs w:val="21"/>
          <w:lang w:val="zh-CN"/>
        </w:rPr>
        <w:t xml:space="preserve">11、 </w:t>
      </w:r>
      <w:r>
        <w:rPr>
          <w:rFonts w:hint="eastAsia" w:asciiTheme="minorEastAsia" w:hAnsiTheme="minorEastAsia" w:eastAsiaTheme="minorEastAsia" w:cstheme="minorEastAsia"/>
          <w:snapToGrid w:val="0"/>
          <w:color w:val="auto"/>
          <w:kern w:val="0"/>
          <w:szCs w:val="21"/>
          <w:lang w:val="zh-CN"/>
        </w:rPr>
        <w:t>磋商报价</w:t>
      </w:r>
      <w:r>
        <w:rPr>
          <w:color w:val="auto"/>
        </w:rPr>
        <w:tab/>
      </w:r>
      <w:r>
        <w:rPr>
          <w:color w:val="auto"/>
        </w:rPr>
        <w:fldChar w:fldCharType="begin"/>
      </w:r>
      <w:r>
        <w:rPr>
          <w:color w:val="auto"/>
        </w:rPr>
        <w:instrText xml:space="preserve"> PAGEREF _Toc15588 </w:instrText>
      </w:r>
      <w:r>
        <w:rPr>
          <w:color w:val="auto"/>
        </w:rPr>
        <w:fldChar w:fldCharType="separate"/>
      </w:r>
      <w:r>
        <w:rPr>
          <w:color w:val="auto"/>
        </w:rPr>
        <w:t>16</w:t>
      </w:r>
      <w:r>
        <w:rPr>
          <w:color w:val="auto"/>
        </w:rPr>
        <w:fldChar w:fldCharType="end"/>
      </w:r>
      <w:r>
        <w:rPr>
          <w:color w:val="auto"/>
        </w:rPr>
        <w:fldChar w:fldCharType="end"/>
      </w:r>
    </w:p>
    <w:p>
      <w:pPr>
        <w:pStyle w:val="22"/>
        <w:tabs>
          <w:tab w:val="right" w:leader="dot" w:pos="9072"/>
        </w:tabs>
        <w:spacing w:line="360" w:lineRule="auto"/>
        <w:rPr>
          <w:color w:val="auto"/>
        </w:rPr>
      </w:pPr>
      <w:r>
        <w:rPr>
          <w:color w:val="auto"/>
        </w:rPr>
        <w:fldChar w:fldCharType="begin"/>
      </w:r>
      <w:r>
        <w:rPr>
          <w:color w:val="auto"/>
        </w:rPr>
        <w:instrText xml:space="preserve"> HYPERLINK \l "_Toc23921" </w:instrText>
      </w:r>
      <w:r>
        <w:rPr>
          <w:color w:val="auto"/>
        </w:rPr>
        <w:fldChar w:fldCharType="separate"/>
      </w:r>
      <w:r>
        <w:rPr>
          <w:rFonts w:asciiTheme="minorEastAsia" w:hAnsiTheme="minorEastAsia" w:eastAsiaTheme="minorEastAsia" w:cstheme="minorEastAsia"/>
          <w:snapToGrid w:val="0"/>
          <w:color w:val="auto"/>
          <w:kern w:val="0"/>
          <w:szCs w:val="21"/>
          <w:lang w:val="zh-CN"/>
        </w:rPr>
        <w:t xml:space="preserve">12、 </w:t>
      </w:r>
      <w:r>
        <w:rPr>
          <w:rFonts w:hint="eastAsia" w:asciiTheme="minorEastAsia" w:hAnsiTheme="minorEastAsia" w:eastAsiaTheme="minorEastAsia" w:cstheme="minorEastAsia"/>
          <w:snapToGrid w:val="0"/>
          <w:color w:val="auto"/>
          <w:kern w:val="0"/>
          <w:szCs w:val="21"/>
          <w:lang w:val="zh-CN"/>
        </w:rPr>
        <w:t>备选方案</w:t>
      </w:r>
      <w:r>
        <w:rPr>
          <w:color w:val="auto"/>
        </w:rPr>
        <w:tab/>
      </w:r>
      <w:r>
        <w:rPr>
          <w:color w:val="auto"/>
        </w:rPr>
        <w:fldChar w:fldCharType="begin"/>
      </w:r>
      <w:r>
        <w:rPr>
          <w:color w:val="auto"/>
        </w:rPr>
        <w:instrText xml:space="preserve"> PAGEREF _Toc23921 </w:instrText>
      </w:r>
      <w:r>
        <w:rPr>
          <w:color w:val="auto"/>
        </w:rPr>
        <w:fldChar w:fldCharType="separate"/>
      </w:r>
      <w:r>
        <w:rPr>
          <w:color w:val="auto"/>
        </w:rPr>
        <w:t>16</w:t>
      </w:r>
      <w:r>
        <w:rPr>
          <w:color w:val="auto"/>
        </w:rPr>
        <w:fldChar w:fldCharType="end"/>
      </w:r>
      <w:r>
        <w:rPr>
          <w:color w:val="auto"/>
        </w:rPr>
        <w:fldChar w:fldCharType="end"/>
      </w:r>
    </w:p>
    <w:p>
      <w:pPr>
        <w:pStyle w:val="22"/>
        <w:tabs>
          <w:tab w:val="right" w:leader="dot" w:pos="9072"/>
        </w:tabs>
        <w:spacing w:line="360" w:lineRule="auto"/>
        <w:rPr>
          <w:color w:val="auto"/>
        </w:rPr>
      </w:pPr>
      <w:r>
        <w:rPr>
          <w:color w:val="auto"/>
        </w:rPr>
        <w:fldChar w:fldCharType="begin"/>
      </w:r>
      <w:r>
        <w:rPr>
          <w:color w:val="auto"/>
        </w:rPr>
        <w:instrText xml:space="preserve"> HYPERLINK \l "_Toc827" </w:instrText>
      </w:r>
      <w:r>
        <w:rPr>
          <w:color w:val="auto"/>
        </w:rPr>
        <w:fldChar w:fldCharType="separate"/>
      </w:r>
      <w:r>
        <w:rPr>
          <w:rFonts w:asciiTheme="minorEastAsia" w:hAnsiTheme="minorEastAsia" w:eastAsiaTheme="minorEastAsia" w:cstheme="minorEastAsia"/>
          <w:snapToGrid w:val="0"/>
          <w:color w:val="auto"/>
          <w:kern w:val="0"/>
          <w:szCs w:val="21"/>
          <w:lang w:val="zh-CN"/>
        </w:rPr>
        <w:t xml:space="preserve">13、 </w:t>
      </w:r>
      <w:r>
        <w:rPr>
          <w:rFonts w:hint="eastAsia" w:asciiTheme="minorEastAsia" w:hAnsiTheme="minorEastAsia" w:eastAsiaTheme="minorEastAsia" w:cstheme="minorEastAsia"/>
          <w:snapToGrid w:val="0"/>
          <w:color w:val="auto"/>
          <w:kern w:val="0"/>
          <w:szCs w:val="21"/>
          <w:lang w:val="zh-CN"/>
        </w:rPr>
        <w:t>联合体</w:t>
      </w:r>
      <w:r>
        <w:rPr>
          <w:color w:val="auto"/>
        </w:rPr>
        <w:tab/>
      </w:r>
      <w:r>
        <w:rPr>
          <w:color w:val="auto"/>
        </w:rPr>
        <w:fldChar w:fldCharType="begin"/>
      </w:r>
      <w:r>
        <w:rPr>
          <w:color w:val="auto"/>
        </w:rPr>
        <w:instrText xml:space="preserve"> PAGEREF _Toc827 </w:instrText>
      </w:r>
      <w:r>
        <w:rPr>
          <w:color w:val="auto"/>
        </w:rPr>
        <w:fldChar w:fldCharType="separate"/>
      </w:r>
      <w:r>
        <w:rPr>
          <w:color w:val="auto"/>
        </w:rPr>
        <w:t>16</w:t>
      </w:r>
      <w:r>
        <w:rPr>
          <w:color w:val="auto"/>
        </w:rPr>
        <w:fldChar w:fldCharType="end"/>
      </w:r>
      <w:r>
        <w:rPr>
          <w:color w:val="auto"/>
        </w:rPr>
        <w:fldChar w:fldCharType="end"/>
      </w:r>
    </w:p>
    <w:p>
      <w:pPr>
        <w:pStyle w:val="22"/>
        <w:tabs>
          <w:tab w:val="right" w:leader="dot" w:pos="9072"/>
        </w:tabs>
        <w:spacing w:line="360" w:lineRule="auto"/>
        <w:rPr>
          <w:color w:val="auto"/>
        </w:rPr>
      </w:pPr>
      <w:r>
        <w:rPr>
          <w:color w:val="auto"/>
        </w:rPr>
        <w:fldChar w:fldCharType="begin"/>
      </w:r>
      <w:r>
        <w:rPr>
          <w:color w:val="auto"/>
        </w:rPr>
        <w:instrText xml:space="preserve"> HYPERLINK \l "_Toc569" </w:instrText>
      </w:r>
      <w:r>
        <w:rPr>
          <w:color w:val="auto"/>
        </w:rPr>
        <w:fldChar w:fldCharType="separate"/>
      </w:r>
      <w:r>
        <w:rPr>
          <w:rFonts w:asciiTheme="minorEastAsia" w:hAnsiTheme="minorEastAsia" w:eastAsiaTheme="minorEastAsia" w:cstheme="minorEastAsia"/>
          <w:snapToGrid w:val="0"/>
          <w:color w:val="auto"/>
          <w:kern w:val="0"/>
          <w:szCs w:val="21"/>
          <w:lang w:val="zh-CN"/>
        </w:rPr>
        <w:t xml:space="preserve">14、 </w:t>
      </w:r>
      <w:r>
        <w:rPr>
          <w:rFonts w:hint="eastAsia" w:asciiTheme="minorEastAsia" w:hAnsiTheme="minorEastAsia" w:eastAsiaTheme="minorEastAsia" w:cstheme="minorEastAsia"/>
          <w:snapToGrid w:val="0"/>
          <w:color w:val="auto"/>
          <w:kern w:val="0"/>
          <w:szCs w:val="21"/>
          <w:lang w:val="zh-CN"/>
        </w:rPr>
        <w:t>供应商资格证明文件</w:t>
      </w:r>
      <w:r>
        <w:rPr>
          <w:color w:val="auto"/>
        </w:rPr>
        <w:tab/>
      </w:r>
      <w:r>
        <w:rPr>
          <w:color w:val="auto"/>
        </w:rPr>
        <w:fldChar w:fldCharType="begin"/>
      </w:r>
      <w:r>
        <w:rPr>
          <w:color w:val="auto"/>
        </w:rPr>
        <w:instrText xml:space="preserve"> PAGEREF _Toc569 </w:instrText>
      </w:r>
      <w:r>
        <w:rPr>
          <w:color w:val="auto"/>
        </w:rPr>
        <w:fldChar w:fldCharType="separate"/>
      </w:r>
      <w:r>
        <w:rPr>
          <w:color w:val="auto"/>
        </w:rPr>
        <w:t>17</w:t>
      </w:r>
      <w:r>
        <w:rPr>
          <w:color w:val="auto"/>
        </w:rPr>
        <w:fldChar w:fldCharType="end"/>
      </w:r>
      <w:r>
        <w:rPr>
          <w:color w:val="auto"/>
        </w:rPr>
        <w:fldChar w:fldCharType="end"/>
      </w:r>
    </w:p>
    <w:p>
      <w:pPr>
        <w:pStyle w:val="22"/>
        <w:tabs>
          <w:tab w:val="right" w:leader="dot" w:pos="9072"/>
        </w:tabs>
        <w:spacing w:line="360" w:lineRule="auto"/>
        <w:rPr>
          <w:color w:val="auto"/>
        </w:rPr>
      </w:pPr>
      <w:r>
        <w:rPr>
          <w:color w:val="auto"/>
        </w:rPr>
        <w:fldChar w:fldCharType="begin"/>
      </w:r>
      <w:r>
        <w:rPr>
          <w:color w:val="auto"/>
        </w:rPr>
        <w:instrText xml:space="preserve"> HYPERLINK \l "_Toc24609" </w:instrText>
      </w:r>
      <w:r>
        <w:rPr>
          <w:color w:val="auto"/>
        </w:rPr>
        <w:fldChar w:fldCharType="separate"/>
      </w:r>
      <w:r>
        <w:rPr>
          <w:rFonts w:asciiTheme="minorEastAsia" w:hAnsiTheme="minorEastAsia" w:eastAsiaTheme="minorEastAsia" w:cstheme="minorEastAsia"/>
          <w:snapToGrid w:val="0"/>
          <w:color w:val="auto"/>
          <w:kern w:val="0"/>
          <w:szCs w:val="21"/>
          <w:lang w:val="zh-CN"/>
        </w:rPr>
        <w:t xml:space="preserve">15、 </w:t>
      </w:r>
      <w:r>
        <w:rPr>
          <w:rFonts w:hint="eastAsia" w:asciiTheme="minorEastAsia" w:hAnsiTheme="minorEastAsia" w:eastAsiaTheme="minorEastAsia" w:cstheme="minorEastAsia"/>
          <w:snapToGrid w:val="0"/>
          <w:color w:val="auto"/>
          <w:kern w:val="0"/>
          <w:szCs w:val="21"/>
          <w:lang w:val="zh-CN"/>
        </w:rPr>
        <w:t>证明报价内容、服务合格性和符合竞争性磋商采购文件规定的文件</w:t>
      </w:r>
      <w:r>
        <w:rPr>
          <w:color w:val="auto"/>
        </w:rPr>
        <w:tab/>
      </w:r>
      <w:r>
        <w:rPr>
          <w:color w:val="auto"/>
        </w:rPr>
        <w:fldChar w:fldCharType="begin"/>
      </w:r>
      <w:r>
        <w:rPr>
          <w:color w:val="auto"/>
        </w:rPr>
        <w:instrText xml:space="preserve"> PAGEREF _Toc24609 </w:instrText>
      </w:r>
      <w:r>
        <w:rPr>
          <w:color w:val="auto"/>
        </w:rPr>
        <w:fldChar w:fldCharType="separate"/>
      </w:r>
      <w:r>
        <w:rPr>
          <w:color w:val="auto"/>
        </w:rPr>
        <w:t>17</w:t>
      </w:r>
      <w:r>
        <w:rPr>
          <w:color w:val="auto"/>
        </w:rPr>
        <w:fldChar w:fldCharType="end"/>
      </w:r>
      <w:r>
        <w:rPr>
          <w:color w:val="auto"/>
        </w:rPr>
        <w:fldChar w:fldCharType="end"/>
      </w:r>
    </w:p>
    <w:p>
      <w:pPr>
        <w:pStyle w:val="22"/>
        <w:tabs>
          <w:tab w:val="right" w:leader="dot" w:pos="9072"/>
        </w:tabs>
        <w:spacing w:line="360" w:lineRule="auto"/>
        <w:rPr>
          <w:color w:val="auto"/>
        </w:rPr>
      </w:pPr>
      <w:r>
        <w:rPr>
          <w:color w:val="auto"/>
        </w:rPr>
        <w:fldChar w:fldCharType="begin"/>
      </w:r>
      <w:r>
        <w:rPr>
          <w:color w:val="auto"/>
        </w:rPr>
        <w:instrText xml:space="preserve"> HYPERLINK \l "_Toc29173" </w:instrText>
      </w:r>
      <w:r>
        <w:rPr>
          <w:color w:val="auto"/>
        </w:rPr>
        <w:fldChar w:fldCharType="separate"/>
      </w:r>
      <w:r>
        <w:rPr>
          <w:rFonts w:asciiTheme="minorEastAsia" w:hAnsiTheme="minorEastAsia" w:eastAsiaTheme="minorEastAsia" w:cstheme="minorEastAsia"/>
          <w:snapToGrid w:val="0"/>
          <w:color w:val="auto"/>
          <w:kern w:val="0"/>
          <w:szCs w:val="21"/>
          <w:lang w:val="zh-CN"/>
        </w:rPr>
        <w:t xml:space="preserve">16、 </w:t>
      </w:r>
      <w:r>
        <w:rPr>
          <w:rFonts w:hint="eastAsia" w:asciiTheme="minorEastAsia" w:hAnsiTheme="minorEastAsia" w:eastAsiaTheme="minorEastAsia" w:cstheme="minorEastAsia"/>
          <w:snapToGrid w:val="0"/>
          <w:color w:val="auto"/>
          <w:kern w:val="0"/>
          <w:szCs w:val="21"/>
          <w:lang w:val="zh-CN"/>
        </w:rPr>
        <w:t>磋商保证金</w:t>
      </w:r>
      <w:r>
        <w:rPr>
          <w:color w:val="auto"/>
        </w:rPr>
        <w:tab/>
      </w:r>
      <w:r>
        <w:rPr>
          <w:color w:val="auto"/>
        </w:rPr>
        <w:fldChar w:fldCharType="begin"/>
      </w:r>
      <w:r>
        <w:rPr>
          <w:color w:val="auto"/>
        </w:rPr>
        <w:instrText xml:space="preserve"> PAGEREF _Toc29173 </w:instrText>
      </w:r>
      <w:r>
        <w:rPr>
          <w:color w:val="auto"/>
        </w:rPr>
        <w:fldChar w:fldCharType="separate"/>
      </w:r>
      <w:r>
        <w:rPr>
          <w:color w:val="auto"/>
        </w:rPr>
        <w:t>17</w:t>
      </w:r>
      <w:r>
        <w:rPr>
          <w:color w:val="auto"/>
        </w:rPr>
        <w:fldChar w:fldCharType="end"/>
      </w:r>
      <w:r>
        <w:rPr>
          <w:color w:val="auto"/>
        </w:rPr>
        <w:fldChar w:fldCharType="end"/>
      </w:r>
    </w:p>
    <w:p>
      <w:pPr>
        <w:pStyle w:val="22"/>
        <w:tabs>
          <w:tab w:val="right" w:leader="dot" w:pos="9072"/>
        </w:tabs>
        <w:spacing w:line="360" w:lineRule="auto"/>
        <w:rPr>
          <w:color w:val="auto"/>
        </w:rPr>
      </w:pPr>
      <w:r>
        <w:rPr>
          <w:color w:val="auto"/>
        </w:rPr>
        <w:fldChar w:fldCharType="begin"/>
      </w:r>
      <w:r>
        <w:rPr>
          <w:color w:val="auto"/>
        </w:rPr>
        <w:instrText xml:space="preserve"> HYPERLINK \l "_Toc17731" </w:instrText>
      </w:r>
      <w:r>
        <w:rPr>
          <w:color w:val="auto"/>
        </w:rPr>
        <w:fldChar w:fldCharType="separate"/>
      </w:r>
      <w:r>
        <w:rPr>
          <w:rFonts w:asciiTheme="minorEastAsia" w:hAnsiTheme="minorEastAsia" w:eastAsiaTheme="minorEastAsia" w:cstheme="minorEastAsia"/>
          <w:snapToGrid w:val="0"/>
          <w:color w:val="auto"/>
          <w:kern w:val="0"/>
          <w:szCs w:val="21"/>
          <w:lang w:val="zh-CN"/>
        </w:rPr>
        <w:t xml:space="preserve">17、 </w:t>
      </w:r>
      <w:r>
        <w:rPr>
          <w:rFonts w:hint="eastAsia" w:asciiTheme="minorEastAsia" w:hAnsiTheme="minorEastAsia" w:eastAsiaTheme="minorEastAsia" w:cstheme="minorEastAsia"/>
          <w:snapToGrid w:val="0"/>
          <w:color w:val="auto"/>
          <w:kern w:val="0"/>
          <w:szCs w:val="21"/>
          <w:lang w:val="zh-CN"/>
        </w:rPr>
        <w:t>磋商有效期</w:t>
      </w:r>
      <w:r>
        <w:rPr>
          <w:color w:val="auto"/>
        </w:rPr>
        <w:tab/>
      </w:r>
      <w:r>
        <w:rPr>
          <w:color w:val="auto"/>
        </w:rPr>
        <w:fldChar w:fldCharType="begin"/>
      </w:r>
      <w:r>
        <w:rPr>
          <w:color w:val="auto"/>
        </w:rPr>
        <w:instrText xml:space="preserve"> PAGEREF _Toc17731 </w:instrText>
      </w:r>
      <w:r>
        <w:rPr>
          <w:color w:val="auto"/>
        </w:rPr>
        <w:fldChar w:fldCharType="separate"/>
      </w:r>
      <w:r>
        <w:rPr>
          <w:color w:val="auto"/>
        </w:rPr>
        <w:t>18</w:t>
      </w:r>
      <w:r>
        <w:rPr>
          <w:color w:val="auto"/>
        </w:rPr>
        <w:fldChar w:fldCharType="end"/>
      </w:r>
      <w:r>
        <w:rPr>
          <w:color w:val="auto"/>
        </w:rPr>
        <w:fldChar w:fldCharType="end"/>
      </w:r>
    </w:p>
    <w:p>
      <w:pPr>
        <w:pStyle w:val="22"/>
        <w:tabs>
          <w:tab w:val="right" w:leader="dot" w:pos="9072"/>
        </w:tabs>
        <w:spacing w:line="360" w:lineRule="auto"/>
        <w:rPr>
          <w:color w:val="auto"/>
        </w:rPr>
      </w:pPr>
      <w:r>
        <w:rPr>
          <w:color w:val="auto"/>
        </w:rPr>
        <w:fldChar w:fldCharType="begin"/>
      </w:r>
      <w:r>
        <w:rPr>
          <w:color w:val="auto"/>
        </w:rPr>
        <w:instrText xml:space="preserve"> HYPERLINK \l "_Toc20134" </w:instrText>
      </w:r>
      <w:r>
        <w:rPr>
          <w:color w:val="auto"/>
        </w:rPr>
        <w:fldChar w:fldCharType="separate"/>
      </w:r>
      <w:r>
        <w:rPr>
          <w:rFonts w:asciiTheme="minorEastAsia" w:hAnsiTheme="minorEastAsia" w:eastAsiaTheme="minorEastAsia" w:cstheme="minorEastAsia"/>
          <w:snapToGrid w:val="0"/>
          <w:color w:val="auto"/>
          <w:kern w:val="0"/>
          <w:szCs w:val="21"/>
          <w:lang w:val="zh-CN"/>
        </w:rPr>
        <w:t xml:space="preserve">18、 </w:t>
      </w:r>
      <w:r>
        <w:rPr>
          <w:rFonts w:hint="eastAsia" w:asciiTheme="minorEastAsia" w:hAnsiTheme="minorEastAsia" w:eastAsiaTheme="minorEastAsia" w:cstheme="minorEastAsia"/>
          <w:snapToGrid w:val="0"/>
          <w:color w:val="auto"/>
          <w:kern w:val="0"/>
          <w:szCs w:val="21"/>
          <w:lang w:val="zh-CN"/>
        </w:rPr>
        <w:t>竞争性磋商响应文件的装订、签署和数量</w:t>
      </w:r>
      <w:r>
        <w:rPr>
          <w:color w:val="auto"/>
        </w:rPr>
        <w:tab/>
      </w:r>
      <w:r>
        <w:rPr>
          <w:color w:val="auto"/>
        </w:rPr>
        <w:fldChar w:fldCharType="begin"/>
      </w:r>
      <w:r>
        <w:rPr>
          <w:color w:val="auto"/>
        </w:rPr>
        <w:instrText xml:space="preserve"> PAGEREF _Toc20134 </w:instrText>
      </w:r>
      <w:r>
        <w:rPr>
          <w:color w:val="auto"/>
        </w:rPr>
        <w:fldChar w:fldCharType="separate"/>
      </w:r>
      <w:r>
        <w:rPr>
          <w:color w:val="auto"/>
        </w:rPr>
        <w:t>18</w:t>
      </w:r>
      <w:r>
        <w:rPr>
          <w:color w:val="auto"/>
        </w:rPr>
        <w:fldChar w:fldCharType="end"/>
      </w:r>
      <w:r>
        <w:rPr>
          <w:color w:val="auto"/>
        </w:rPr>
        <w:fldChar w:fldCharType="end"/>
      </w:r>
    </w:p>
    <w:p>
      <w:pPr>
        <w:pStyle w:val="22"/>
        <w:tabs>
          <w:tab w:val="right" w:leader="dot" w:pos="9072"/>
        </w:tabs>
        <w:spacing w:line="360" w:lineRule="auto"/>
        <w:rPr>
          <w:color w:val="auto"/>
        </w:rPr>
      </w:pPr>
      <w:r>
        <w:rPr>
          <w:color w:val="auto"/>
        </w:rPr>
        <w:fldChar w:fldCharType="begin"/>
      </w:r>
      <w:r>
        <w:rPr>
          <w:color w:val="auto"/>
        </w:rPr>
        <w:instrText xml:space="preserve"> HYPERLINK \l "_Toc3975" </w:instrText>
      </w:r>
      <w:r>
        <w:rPr>
          <w:color w:val="auto"/>
        </w:rPr>
        <w:fldChar w:fldCharType="separate"/>
      </w:r>
      <w:r>
        <w:rPr>
          <w:rFonts w:asciiTheme="minorEastAsia" w:hAnsiTheme="minorEastAsia" w:eastAsiaTheme="minorEastAsia" w:cstheme="minorEastAsia"/>
          <w:color w:val="auto"/>
          <w:szCs w:val="21"/>
        </w:rPr>
        <w:t xml:space="preserve">四、 </w:t>
      </w:r>
      <w:r>
        <w:rPr>
          <w:rFonts w:hint="eastAsia" w:asciiTheme="minorEastAsia" w:hAnsiTheme="minorEastAsia" w:eastAsiaTheme="minorEastAsia" w:cstheme="minorEastAsia"/>
          <w:color w:val="auto"/>
          <w:szCs w:val="21"/>
        </w:rPr>
        <w:t>竞争性磋商响应文件的递交</w:t>
      </w:r>
      <w:r>
        <w:rPr>
          <w:color w:val="auto"/>
        </w:rPr>
        <w:tab/>
      </w:r>
      <w:r>
        <w:rPr>
          <w:color w:val="auto"/>
        </w:rPr>
        <w:fldChar w:fldCharType="begin"/>
      </w:r>
      <w:r>
        <w:rPr>
          <w:color w:val="auto"/>
        </w:rPr>
        <w:instrText xml:space="preserve"> PAGEREF _Toc3975 </w:instrText>
      </w:r>
      <w:r>
        <w:rPr>
          <w:color w:val="auto"/>
        </w:rPr>
        <w:fldChar w:fldCharType="separate"/>
      </w:r>
      <w:r>
        <w:rPr>
          <w:color w:val="auto"/>
        </w:rPr>
        <w:t>18</w:t>
      </w:r>
      <w:r>
        <w:rPr>
          <w:color w:val="auto"/>
        </w:rPr>
        <w:fldChar w:fldCharType="end"/>
      </w:r>
      <w:r>
        <w:rPr>
          <w:color w:val="auto"/>
        </w:rPr>
        <w:fldChar w:fldCharType="end"/>
      </w:r>
    </w:p>
    <w:p>
      <w:pPr>
        <w:pStyle w:val="22"/>
        <w:tabs>
          <w:tab w:val="right" w:leader="dot" w:pos="9072"/>
        </w:tabs>
        <w:spacing w:line="360" w:lineRule="auto"/>
        <w:rPr>
          <w:color w:val="auto"/>
        </w:rPr>
      </w:pPr>
      <w:r>
        <w:rPr>
          <w:color w:val="auto"/>
        </w:rPr>
        <w:fldChar w:fldCharType="begin"/>
      </w:r>
      <w:r>
        <w:rPr>
          <w:color w:val="auto"/>
        </w:rPr>
        <w:instrText xml:space="preserve"> HYPERLINK \l "_Toc16633" </w:instrText>
      </w:r>
      <w:r>
        <w:rPr>
          <w:color w:val="auto"/>
        </w:rPr>
        <w:fldChar w:fldCharType="separate"/>
      </w:r>
      <w:r>
        <w:rPr>
          <w:rFonts w:asciiTheme="minorEastAsia" w:hAnsiTheme="minorEastAsia" w:eastAsiaTheme="minorEastAsia" w:cstheme="minorEastAsia"/>
          <w:snapToGrid w:val="0"/>
          <w:color w:val="auto"/>
          <w:kern w:val="0"/>
          <w:szCs w:val="21"/>
          <w:lang w:val="zh-CN"/>
        </w:rPr>
        <w:t xml:space="preserve">19、 </w:t>
      </w:r>
      <w:r>
        <w:rPr>
          <w:rFonts w:hint="eastAsia" w:asciiTheme="minorEastAsia" w:hAnsiTheme="minorEastAsia" w:eastAsiaTheme="minorEastAsia" w:cstheme="minorEastAsia"/>
          <w:color w:val="auto"/>
          <w:szCs w:val="21"/>
        </w:rPr>
        <w:t>竞争性磋商响应文件</w:t>
      </w:r>
      <w:r>
        <w:rPr>
          <w:rFonts w:hint="eastAsia" w:asciiTheme="minorEastAsia" w:hAnsiTheme="minorEastAsia" w:eastAsiaTheme="minorEastAsia" w:cstheme="minorEastAsia"/>
          <w:snapToGrid w:val="0"/>
          <w:color w:val="auto"/>
          <w:kern w:val="0"/>
          <w:szCs w:val="21"/>
          <w:lang w:val="zh-CN"/>
        </w:rPr>
        <w:t>的密封和标记</w:t>
      </w:r>
      <w:r>
        <w:rPr>
          <w:color w:val="auto"/>
        </w:rPr>
        <w:tab/>
      </w:r>
      <w:r>
        <w:rPr>
          <w:color w:val="auto"/>
        </w:rPr>
        <w:fldChar w:fldCharType="begin"/>
      </w:r>
      <w:r>
        <w:rPr>
          <w:color w:val="auto"/>
        </w:rPr>
        <w:instrText xml:space="preserve"> PAGEREF _Toc16633 </w:instrText>
      </w:r>
      <w:r>
        <w:rPr>
          <w:color w:val="auto"/>
        </w:rPr>
        <w:fldChar w:fldCharType="separate"/>
      </w:r>
      <w:r>
        <w:rPr>
          <w:color w:val="auto"/>
        </w:rPr>
        <w:t>18</w:t>
      </w:r>
      <w:r>
        <w:rPr>
          <w:color w:val="auto"/>
        </w:rPr>
        <w:fldChar w:fldCharType="end"/>
      </w:r>
      <w:r>
        <w:rPr>
          <w:color w:val="auto"/>
        </w:rPr>
        <w:fldChar w:fldCharType="end"/>
      </w:r>
    </w:p>
    <w:p>
      <w:pPr>
        <w:pStyle w:val="22"/>
        <w:tabs>
          <w:tab w:val="right" w:leader="dot" w:pos="9072"/>
        </w:tabs>
        <w:spacing w:line="360" w:lineRule="auto"/>
        <w:rPr>
          <w:color w:val="auto"/>
        </w:rPr>
      </w:pPr>
      <w:r>
        <w:rPr>
          <w:color w:val="auto"/>
        </w:rPr>
        <w:fldChar w:fldCharType="begin"/>
      </w:r>
      <w:r>
        <w:rPr>
          <w:color w:val="auto"/>
        </w:rPr>
        <w:instrText xml:space="preserve"> HYPERLINK \l "_Toc28372" </w:instrText>
      </w:r>
      <w:r>
        <w:rPr>
          <w:color w:val="auto"/>
        </w:rPr>
        <w:fldChar w:fldCharType="separate"/>
      </w:r>
      <w:r>
        <w:rPr>
          <w:rFonts w:asciiTheme="minorEastAsia" w:hAnsiTheme="minorEastAsia" w:eastAsiaTheme="minorEastAsia" w:cstheme="minorEastAsia"/>
          <w:snapToGrid w:val="0"/>
          <w:color w:val="auto"/>
          <w:kern w:val="0"/>
          <w:szCs w:val="21"/>
          <w:lang w:val="zh-CN"/>
        </w:rPr>
        <w:t xml:space="preserve">20、 </w:t>
      </w:r>
      <w:r>
        <w:rPr>
          <w:rFonts w:hint="eastAsia" w:asciiTheme="minorEastAsia" w:hAnsiTheme="minorEastAsia" w:eastAsiaTheme="minorEastAsia" w:cstheme="minorEastAsia"/>
          <w:snapToGrid w:val="0"/>
          <w:color w:val="auto"/>
          <w:kern w:val="0"/>
          <w:szCs w:val="21"/>
          <w:lang w:val="zh-CN"/>
        </w:rPr>
        <w:t>竞争性磋商响应文件的送达地点及截止时间</w:t>
      </w:r>
      <w:r>
        <w:rPr>
          <w:color w:val="auto"/>
        </w:rPr>
        <w:tab/>
      </w:r>
      <w:r>
        <w:rPr>
          <w:color w:val="auto"/>
        </w:rPr>
        <w:fldChar w:fldCharType="begin"/>
      </w:r>
      <w:r>
        <w:rPr>
          <w:color w:val="auto"/>
        </w:rPr>
        <w:instrText xml:space="preserve"> PAGEREF _Toc28372 </w:instrText>
      </w:r>
      <w:r>
        <w:rPr>
          <w:color w:val="auto"/>
        </w:rPr>
        <w:fldChar w:fldCharType="separate"/>
      </w:r>
      <w:r>
        <w:rPr>
          <w:color w:val="auto"/>
        </w:rPr>
        <w:t>19</w:t>
      </w:r>
      <w:r>
        <w:rPr>
          <w:color w:val="auto"/>
        </w:rPr>
        <w:fldChar w:fldCharType="end"/>
      </w:r>
      <w:r>
        <w:rPr>
          <w:color w:val="auto"/>
        </w:rPr>
        <w:fldChar w:fldCharType="end"/>
      </w:r>
    </w:p>
    <w:p>
      <w:pPr>
        <w:pStyle w:val="22"/>
        <w:tabs>
          <w:tab w:val="right" w:leader="dot" w:pos="9072"/>
        </w:tabs>
        <w:spacing w:line="360" w:lineRule="auto"/>
        <w:rPr>
          <w:color w:val="auto"/>
        </w:rPr>
      </w:pPr>
      <w:r>
        <w:rPr>
          <w:color w:val="auto"/>
        </w:rPr>
        <w:fldChar w:fldCharType="begin"/>
      </w:r>
      <w:r>
        <w:rPr>
          <w:color w:val="auto"/>
        </w:rPr>
        <w:instrText xml:space="preserve"> HYPERLINK \l "_Toc863" </w:instrText>
      </w:r>
      <w:r>
        <w:rPr>
          <w:color w:val="auto"/>
        </w:rPr>
        <w:fldChar w:fldCharType="separate"/>
      </w:r>
      <w:r>
        <w:rPr>
          <w:rFonts w:asciiTheme="minorEastAsia" w:hAnsiTheme="minorEastAsia" w:eastAsiaTheme="minorEastAsia" w:cstheme="minorEastAsia"/>
          <w:snapToGrid w:val="0"/>
          <w:color w:val="auto"/>
          <w:kern w:val="0"/>
          <w:szCs w:val="21"/>
          <w:lang w:val="zh-CN"/>
        </w:rPr>
        <w:t xml:space="preserve">21、 </w:t>
      </w:r>
      <w:r>
        <w:rPr>
          <w:rFonts w:hint="eastAsia" w:asciiTheme="minorEastAsia" w:hAnsiTheme="minorEastAsia" w:eastAsiaTheme="minorEastAsia" w:cstheme="minorEastAsia"/>
          <w:snapToGrid w:val="0"/>
          <w:color w:val="auto"/>
          <w:kern w:val="0"/>
          <w:szCs w:val="21"/>
          <w:lang w:val="zh-CN"/>
        </w:rPr>
        <w:t>迟交的竞争性磋商响应文件</w:t>
      </w:r>
      <w:r>
        <w:rPr>
          <w:color w:val="auto"/>
        </w:rPr>
        <w:tab/>
      </w:r>
      <w:r>
        <w:rPr>
          <w:color w:val="auto"/>
        </w:rPr>
        <w:fldChar w:fldCharType="begin"/>
      </w:r>
      <w:r>
        <w:rPr>
          <w:color w:val="auto"/>
        </w:rPr>
        <w:instrText xml:space="preserve"> PAGEREF _Toc863 </w:instrText>
      </w:r>
      <w:r>
        <w:rPr>
          <w:color w:val="auto"/>
        </w:rPr>
        <w:fldChar w:fldCharType="separate"/>
      </w:r>
      <w:r>
        <w:rPr>
          <w:color w:val="auto"/>
        </w:rPr>
        <w:t>19</w:t>
      </w:r>
      <w:r>
        <w:rPr>
          <w:color w:val="auto"/>
        </w:rPr>
        <w:fldChar w:fldCharType="end"/>
      </w:r>
      <w:r>
        <w:rPr>
          <w:color w:val="auto"/>
        </w:rPr>
        <w:fldChar w:fldCharType="end"/>
      </w:r>
    </w:p>
    <w:p>
      <w:pPr>
        <w:pStyle w:val="22"/>
        <w:tabs>
          <w:tab w:val="right" w:leader="dot" w:pos="9072"/>
        </w:tabs>
        <w:spacing w:line="360" w:lineRule="auto"/>
        <w:rPr>
          <w:color w:val="auto"/>
        </w:rPr>
      </w:pPr>
      <w:r>
        <w:rPr>
          <w:color w:val="auto"/>
        </w:rPr>
        <w:fldChar w:fldCharType="begin"/>
      </w:r>
      <w:r>
        <w:rPr>
          <w:color w:val="auto"/>
        </w:rPr>
        <w:instrText xml:space="preserve"> HYPERLINK \l "_Toc32091" </w:instrText>
      </w:r>
      <w:r>
        <w:rPr>
          <w:color w:val="auto"/>
        </w:rPr>
        <w:fldChar w:fldCharType="separate"/>
      </w:r>
      <w:r>
        <w:rPr>
          <w:rFonts w:asciiTheme="minorEastAsia" w:hAnsiTheme="minorEastAsia" w:eastAsiaTheme="minorEastAsia" w:cstheme="minorEastAsia"/>
          <w:snapToGrid w:val="0"/>
          <w:color w:val="auto"/>
          <w:kern w:val="0"/>
          <w:szCs w:val="21"/>
          <w:lang w:val="zh-CN"/>
        </w:rPr>
        <w:t xml:space="preserve">22、 </w:t>
      </w:r>
      <w:r>
        <w:rPr>
          <w:rFonts w:hint="eastAsia" w:asciiTheme="minorEastAsia" w:hAnsiTheme="minorEastAsia" w:eastAsiaTheme="minorEastAsia" w:cstheme="minorEastAsia"/>
          <w:snapToGrid w:val="0"/>
          <w:color w:val="auto"/>
          <w:kern w:val="0"/>
          <w:szCs w:val="21"/>
          <w:lang w:val="zh-CN"/>
        </w:rPr>
        <w:t>竞争性磋商响应文件的补充、修改或者撤回</w:t>
      </w:r>
      <w:r>
        <w:rPr>
          <w:color w:val="auto"/>
        </w:rPr>
        <w:tab/>
      </w:r>
      <w:r>
        <w:rPr>
          <w:color w:val="auto"/>
        </w:rPr>
        <w:fldChar w:fldCharType="begin"/>
      </w:r>
      <w:r>
        <w:rPr>
          <w:color w:val="auto"/>
        </w:rPr>
        <w:instrText xml:space="preserve"> PAGEREF _Toc32091 </w:instrText>
      </w:r>
      <w:r>
        <w:rPr>
          <w:color w:val="auto"/>
        </w:rPr>
        <w:fldChar w:fldCharType="separate"/>
      </w:r>
      <w:r>
        <w:rPr>
          <w:color w:val="auto"/>
        </w:rPr>
        <w:t>19</w:t>
      </w:r>
      <w:r>
        <w:rPr>
          <w:color w:val="auto"/>
        </w:rPr>
        <w:fldChar w:fldCharType="end"/>
      </w:r>
      <w:r>
        <w:rPr>
          <w:color w:val="auto"/>
        </w:rPr>
        <w:fldChar w:fldCharType="end"/>
      </w:r>
    </w:p>
    <w:p>
      <w:pPr>
        <w:pStyle w:val="22"/>
        <w:tabs>
          <w:tab w:val="right" w:leader="dot" w:pos="9072"/>
        </w:tabs>
        <w:spacing w:line="360" w:lineRule="auto"/>
        <w:rPr>
          <w:color w:val="auto"/>
        </w:rPr>
      </w:pPr>
      <w:r>
        <w:rPr>
          <w:color w:val="auto"/>
        </w:rPr>
        <w:fldChar w:fldCharType="begin"/>
      </w:r>
      <w:r>
        <w:rPr>
          <w:color w:val="auto"/>
        </w:rPr>
        <w:instrText xml:space="preserve"> HYPERLINK \l "_Toc29375" </w:instrText>
      </w:r>
      <w:r>
        <w:rPr>
          <w:color w:val="auto"/>
        </w:rPr>
        <w:fldChar w:fldCharType="separate"/>
      </w:r>
      <w:r>
        <w:rPr>
          <w:rFonts w:asciiTheme="minorEastAsia" w:hAnsiTheme="minorEastAsia" w:eastAsiaTheme="minorEastAsia" w:cstheme="minorEastAsia"/>
          <w:color w:val="auto"/>
          <w:szCs w:val="21"/>
        </w:rPr>
        <w:t xml:space="preserve">五、 </w:t>
      </w:r>
      <w:r>
        <w:rPr>
          <w:rFonts w:hint="eastAsia" w:asciiTheme="minorEastAsia" w:hAnsiTheme="minorEastAsia" w:eastAsiaTheme="minorEastAsia" w:cstheme="minorEastAsia"/>
          <w:color w:val="auto"/>
          <w:szCs w:val="21"/>
        </w:rPr>
        <w:t>磋商程序及步骤</w:t>
      </w:r>
      <w:r>
        <w:rPr>
          <w:color w:val="auto"/>
        </w:rPr>
        <w:tab/>
      </w:r>
      <w:r>
        <w:rPr>
          <w:color w:val="auto"/>
        </w:rPr>
        <w:fldChar w:fldCharType="begin"/>
      </w:r>
      <w:r>
        <w:rPr>
          <w:color w:val="auto"/>
        </w:rPr>
        <w:instrText xml:space="preserve"> PAGEREF _Toc29375 </w:instrText>
      </w:r>
      <w:r>
        <w:rPr>
          <w:color w:val="auto"/>
        </w:rPr>
        <w:fldChar w:fldCharType="separate"/>
      </w:r>
      <w:r>
        <w:rPr>
          <w:color w:val="auto"/>
        </w:rPr>
        <w:t>19</w:t>
      </w:r>
      <w:r>
        <w:rPr>
          <w:color w:val="auto"/>
        </w:rPr>
        <w:fldChar w:fldCharType="end"/>
      </w:r>
      <w:r>
        <w:rPr>
          <w:color w:val="auto"/>
        </w:rPr>
        <w:fldChar w:fldCharType="end"/>
      </w:r>
    </w:p>
    <w:p>
      <w:pPr>
        <w:pStyle w:val="22"/>
        <w:tabs>
          <w:tab w:val="right" w:leader="dot" w:pos="9072"/>
        </w:tabs>
        <w:spacing w:line="360" w:lineRule="auto"/>
        <w:rPr>
          <w:color w:val="auto"/>
        </w:rPr>
      </w:pPr>
      <w:r>
        <w:rPr>
          <w:color w:val="auto"/>
        </w:rPr>
        <w:fldChar w:fldCharType="begin"/>
      </w:r>
      <w:r>
        <w:rPr>
          <w:color w:val="auto"/>
        </w:rPr>
        <w:instrText xml:space="preserve"> HYPERLINK \l "_Toc2550" </w:instrText>
      </w:r>
      <w:r>
        <w:rPr>
          <w:color w:val="auto"/>
        </w:rPr>
        <w:fldChar w:fldCharType="separate"/>
      </w:r>
      <w:r>
        <w:rPr>
          <w:rFonts w:asciiTheme="minorEastAsia" w:hAnsiTheme="minorEastAsia" w:eastAsiaTheme="minorEastAsia" w:cstheme="minorEastAsia"/>
          <w:snapToGrid w:val="0"/>
          <w:color w:val="auto"/>
          <w:kern w:val="0"/>
          <w:szCs w:val="21"/>
          <w:lang w:val="zh-CN"/>
        </w:rPr>
        <w:t xml:space="preserve">23、 </w:t>
      </w:r>
      <w:r>
        <w:rPr>
          <w:rFonts w:hint="eastAsia" w:asciiTheme="minorEastAsia" w:hAnsiTheme="minorEastAsia" w:eastAsiaTheme="minorEastAsia" w:cstheme="minorEastAsia"/>
          <w:color w:val="auto"/>
        </w:rPr>
        <w:t>竞争性磋商小组</w:t>
      </w:r>
      <w:r>
        <w:rPr>
          <w:color w:val="auto"/>
        </w:rPr>
        <w:tab/>
      </w:r>
      <w:r>
        <w:rPr>
          <w:color w:val="auto"/>
        </w:rPr>
        <w:fldChar w:fldCharType="begin"/>
      </w:r>
      <w:r>
        <w:rPr>
          <w:color w:val="auto"/>
        </w:rPr>
        <w:instrText xml:space="preserve"> PAGEREF _Toc2550 </w:instrText>
      </w:r>
      <w:r>
        <w:rPr>
          <w:color w:val="auto"/>
        </w:rPr>
        <w:fldChar w:fldCharType="separate"/>
      </w:r>
      <w:r>
        <w:rPr>
          <w:color w:val="auto"/>
        </w:rPr>
        <w:t>19</w:t>
      </w:r>
      <w:r>
        <w:rPr>
          <w:color w:val="auto"/>
        </w:rPr>
        <w:fldChar w:fldCharType="end"/>
      </w:r>
      <w:r>
        <w:rPr>
          <w:color w:val="auto"/>
        </w:rPr>
        <w:fldChar w:fldCharType="end"/>
      </w:r>
    </w:p>
    <w:p>
      <w:pPr>
        <w:pStyle w:val="22"/>
        <w:tabs>
          <w:tab w:val="right" w:leader="dot" w:pos="9072"/>
        </w:tabs>
        <w:spacing w:line="360" w:lineRule="auto"/>
        <w:rPr>
          <w:color w:val="auto"/>
        </w:rPr>
      </w:pPr>
      <w:r>
        <w:rPr>
          <w:color w:val="auto"/>
        </w:rPr>
        <w:fldChar w:fldCharType="begin"/>
      </w:r>
      <w:r>
        <w:rPr>
          <w:color w:val="auto"/>
        </w:rPr>
        <w:instrText xml:space="preserve"> HYPERLINK \l "_Toc14809" </w:instrText>
      </w:r>
      <w:r>
        <w:rPr>
          <w:color w:val="auto"/>
        </w:rPr>
        <w:fldChar w:fldCharType="separate"/>
      </w:r>
      <w:r>
        <w:rPr>
          <w:rFonts w:asciiTheme="minorEastAsia" w:hAnsiTheme="minorEastAsia" w:eastAsiaTheme="minorEastAsia" w:cstheme="minorEastAsia"/>
          <w:snapToGrid w:val="0"/>
          <w:color w:val="auto"/>
          <w:kern w:val="0"/>
          <w:szCs w:val="21"/>
          <w:lang w:val="zh-CN"/>
        </w:rPr>
        <w:t xml:space="preserve">24、 </w:t>
      </w:r>
      <w:r>
        <w:rPr>
          <w:rFonts w:hint="eastAsia" w:asciiTheme="minorEastAsia" w:hAnsiTheme="minorEastAsia" w:eastAsiaTheme="minorEastAsia" w:cstheme="minorEastAsia"/>
          <w:color w:val="auto"/>
        </w:rPr>
        <w:t>磋商代表</w:t>
      </w:r>
      <w:r>
        <w:rPr>
          <w:color w:val="auto"/>
        </w:rPr>
        <w:tab/>
      </w:r>
      <w:r>
        <w:rPr>
          <w:color w:val="auto"/>
        </w:rPr>
        <w:fldChar w:fldCharType="begin"/>
      </w:r>
      <w:r>
        <w:rPr>
          <w:color w:val="auto"/>
        </w:rPr>
        <w:instrText xml:space="preserve"> PAGEREF _Toc14809 </w:instrText>
      </w:r>
      <w:r>
        <w:rPr>
          <w:color w:val="auto"/>
        </w:rPr>
        <w:fldChar w:fldCharType="separate"/>
      </w:r>
      <w:r>
        <w:rPr>
          <w:color w:val="auto"/>
        </w:rPr>
        <w:t>19</w:t>
      </w:r>
      <w:r>
        <w:rPr>
          <w:color w:val="auto"/>
        </w:rPr>
        <w:fldChar w:fldCharType="end"/>
      </w:r>
      <w:r>
        <w:rPr>
          <w:color w:val="auto"/>
        </w:rPr>
        <w:fldChar w:fldCharType="end"/>
      </w:r>
    </w:p>
    <w:p>
      <w:pPr>
        <w:pStyle w:val="22"/>
        <w:tabs>
          <w:tab w:val="right" w:leader="dot" w:pos="9072"/>
        </w:tabs>
        <w:spacing w:line="360" w:lineRule="auto"/>
        <w:rPr>
          <w:color w:val="auto"/>
        </w:rPr>
      </w:pPr>
      <w:r>
        <w:rPr>
          <w:color w:val="auto"/>
        </w:rPr>
        <w:fldChar w:fldCharType="begin"/>
      </w:r>
      <w:r>
        <w:rPr>
          <w:color w:val="auto"/>
        </w:rPr>
        <w:instrText xml:space="preserve"> HYPERLINK \l "_Toc30347" </w:instrText>
      </w:r>
      <w:r>
        <w:rPr>
          <w:color w:val="auto"/>
        </w:rPr>
        <w:fldChar w:fldCharType="separate"/>
      </w:r>
      <w:r>
        <w:rPr>
          <w:rFonts w:asciiTheme="minorEastAsia" w:hAnsiTheme="minorEastAsia" w:eastAsiaTheme="minorEastAsia" w:cstheme="minorEastAsia"/>
          <w:color w:val="auto"/>
        </w:rPr>
        <w:t xml:space="preserve">25、 </w:t>
      </w:r>
      <w:r>
        <w:rPr>
          <w:rFonts w:hint="eastAsia" w:asciiTheme="minorEastAsia" w:hAnsiTheme="minorEastAsia" w:eastAsiaTheme="minorEastAsia" w:cstheme="minorEastAsia"/>
          <w:color w:val="auto"/>
        </w:rPr>
        <w:t>资格审查和符合性审查</w:t>
      </w:r>
      <w:r>
        <w:rPr>
          <w:color w:val="auto"/>
        </w:rPr>
        <w:tab/>
      </w:r>
      <w:r>
        <w:rPr>
          <w:color w:val="auto"/>
        </w:rPr>
        <w:fldChar w:fldCharType="begin"/>
      </w:r>
      <w:r>
        <w:rPr>
          <w:color w:val="auto"/>
        </w:rPr>
        <w:instrText xml:space="preserve"> PAGEREF _Toc30347 </w:instrText>
      </w:r>
      <w:r>
        <w:rPr>
          <w:color w:val="auto"/>
        </w:rPr>
        <w:fldChar w:fldCharType="separate"/>
      </w:r>
      <w:r>
        <w:rPr>
          <w:color w:val="auto"/>
        </w:rPr>
        <w:t>20</w:t>
      </w:r>
      <w:r>
        <w:rPr>
          <w:color w:val="auto"/>
        </w:rPr>
        <w:fldChar w:fldCharType="end"/>
      </w:r>
      <w:r>
        <w:rPr>
          <w:color w:val="auto"/>
        </w:rPr>
        <w:fldChar w:fldCharType="end"/>
      </w:r>
    </w:p>
    <w:p>
      <w:pPr>
        <w:pStyle w:val="22"/>
        <w:tabs>
          <w:tab w:val="right" w:leader="dot" w:pos="9072"/>
        </w:tabs>
        <w:spacing w:line="360" w:lineRule="auto"/>
        <w:rPr>
          <w:color w:val="auto"/>
        </w:rPr>
      </w:pPr>
      <w:r>
        <w:rPr>
          <w:color w:val="auto"/>
        </w:rPr>
        <w:fldChar w:fldCharType="begin"/>
      </w:r>
      <w:r>
        <w:rPr>
          <w:color w:val="auto"/>
        </w:rPr>
        <w:instrText xml:space="preserve"> HYPERLINK \l "_Toc5263" </w:instrText>
      </w:r>
      <w:r>
        <w:rPr>
          <w:color w:val="auto"/>
        </w:rPr>
        <w:fldChar w:fldCharType="separate"/>
      </w:r>
      <w:r>
        <w:rPr>
          <w:rFonts w:asciiTheme="minorEastAsia" w:hAnsiTheme="minorEastAsia" w:eastAsiaTheme="minorEastAsia" w:cstheme="minorEastAsia"/>
          <w:color w:val="auto"/>
        </w:rPr>
        <w:t xml:space="preserve">26、 </w:t>
      </w:r>
      <w:r>
        <w:rPr>
          <w:rFonts w:hint="eastAsia" w:asciiTheme="minorEastAsia" w:hAnsiTheme="minorEastAsia" w:eastAsiaTheme="minorEastAsia" w:cstheme="minorEastAsia"/>
          <w:color w:val="auto"/>
        </w:rPr>
        <w:t>磋商</w:t>
      </w:r>
      <w:r>
        <w:rPr>
          <w:color w:val="auto"/>
        </w:rPr>
        <w:tab/>
      </w:r>
      <w:r>
        <w:rPr>
          <w:color w:val="auto"/>
        </w:rPr>
        <w:fldChar w:fldCharType="begin"/>
      </w:r>
      <w:r>
        <w:rPr>
          <w:color w:val="auto"/>
        </w:rPr>
        <w:instrText xml:space="preserve"> PAGEREF _Toc5263 </w:instrText>
      </w:r>
      <w:r>
        <w:rPr>
          <w:color w:val="auto"/>
        </w:rPr>
        <w:fldChar w:fldCharType="separate"/>
      </w:r>
      <w:r>
        <w:rPr>
          <w:color w:val="auto"/>
        </w:rPr>
        <w:t>20</w:t>
      </w:r>
      <w:r>
        <w:rPr>
          <w:color w:val="auto"/>
        </w:rPr>
        <w:fldChar w:fldCharType="end"/>
      </w:r>
      <w:r>
        <w:rPr>
          <w:color w:val="auto"/>
        </w:rPr>
        <w:fldChar w:fldCharType="end"/>
      </w:r>
    </w:p>
    <w:p>
      <w:pPr>
        <w:pStyle w:val="22"/>
        <w:tabs>
          <w:tab w:val="right" w:leader="dot" w:pos="9072"/>
        </w:tabs>
        <w:spacing w:line="360" w:lineRule="auto"/>
        <w:rPr>
          <w:color w:val="auto"/>
        </w:rPr>
      </w:pPr>
      <w:r>
        <w:rPr>
          <w:color w:val="auto"/>
        </w:rPr>
        <w:fldChar w:fldCharType="begin"/>
      </w:r>
      <w:r>
        <w:rPr>
          <w:color w:val="auto"/>
        </w:rPr>
        <w:instrText xml:space="preserve"> HYPERLINK \l "_Toc21157" </w:instrText>
      </w:r>
      <w:r>
        <w:rPr>
          <w:color w:val="auto"/>
        </w:rPr>
        <w:fldChar w:fldCharType="separate"/>
      </w:r>
      <w:r>
        <w:rPr>
          <w:rFonts w:asciiTheme="minorEastAsia" w:hAnsiTheme="minorEastAsia" w:eastAsiaTheme="minorEastAsia" w:cstheme="minorEastAsia"/>
          <w:color w:val="auto"/>
          <w:lang w:val="zh-CN"/>
        </w:rPr>
        <w:t xml:space="preserve">27、 </w:t>
      </w:r>
      <w:r>
        <w:rPr>
          <w:rFonts w:hint="eastAsia" w:asciiTheme="minorEastAsia" w:hAnsiTheme="minorEastAsia" w:eastAsiaTheme="minorEastAsia" w:cstheme="minorEastAsia"/>
          <w:color w:val="auto"/>
          <w:lang w:val="zh-CN"/>
        </w:rPr>
        <w:t>保密</w:t>
      </w:r>
      <w:r>
        <w:rPr>
          <w:color w:val="auto"/>
        </w:rPr>
        <w:tab/>
      </w:r>
      <w:r>
        <w:rPr>
          <w:color w:val="auto"/>
        </w:rPr>
        <w:fldChar w:fldCharType="begin"/>
      </w:r>
      <w:r>
        <w:rPr>
          <w:color w:val="auto"/>
        </w:rPr>
        <w:instrText xml:space="preserve"> PAGEREF _Toc21157 </w:instrText>
      </w:r>
      <w:r>
        <w:rPr>
          <w:color w:val="auto"/>
        </w:rPr>
        <w:fldChar w:fldCharType="separate"/>
      </w:r>
      <w:r>
        <w:rPr>
          <w:color w:val="auto"/>
        </w:rPr>
        <w:t>21</w:t>
      </w:r>
      <w:r>
        <w:rPr>
          <w:color w:val="auto"/>
        </w:rPr>
        <w:fldChar w:fldCharType="end"/>
      </w:r>
      <w:r>
        <w:rPr>
          <w:color w:val="auto"/>
        </w:rPr>
        <w:fldChar w:fldCharType="end"/>
      </w:r>
    </w:p>
    <w:p>
      <w:pPr>
        <w:pStyle w:val="22"/>
        <w:tabs>
          <w:tab w:val="right" w:leader="dot" w:pos="9072"/>
        </w:tabs>
        <w:spacing w:line="360" w:lineRule="auto"/>
        <w:rPr>
          <w:color w:val="auto"/>
        </w:rPr>
      </w:pPr>
      <w:r>
        <w:rPr>
          <w:color w:val="auto"/>
        </w:rPr>
        <w:fldChar w:fldCharType="begin"/>
      </w:r>
      <w:r>
        <w:rPr>
          <w:color w:val="auto"/>
        </w:rPr>
        <w:instrText xml:space="preserve"> HYPERLINK \l "_Toc21170" </w:instrText>
      </w:r>
      <w:r>
        <w:rPr>
          <w:color w:val="auto"/>
        </w:rPr>
        <w:fldChar w:fldCharType="separate"/>
      </w:r>
      <w:r>
        <w:rPr>
          <w:rFonts w:asciiTheme="minorEastAsia" w:hAnsiTheme="minorEastAsia" w:eastAsiaTheme="minorEastAsia" w:cstheme="minorEastAsia"/>
          <w:color w:val="auto"/>
          <w:szCs w:val="21"/>
        </w:rPr>
        <w:t xml:space="preserve">六、 </w:t>
      </w:r>
      <w:r>
        <w:rPr>
          <w:rFonts w:hint="eastAsia" w:asciiTheme="minorEastAsia" w:hAnsiTheme="minorEastAsia" w:eastAsiaTheme="minorEastAsia" w:cstheme="minorEastAsia"/>
          <w:color w:val="auto"/>
          <w:szCs w:val="21"/>
        </w:rPr>
        <w:t>成交与签订合同</w:t>
      </w:r>
      <w:r>
        <w:rPr>
          <w:color w:val="auto"/>
        </w:rPr>
        <w:tab/>
      </w:r>
      <w:r>
        <w:rPr>
          <w:color w:val="auto"/>
        </w:rPr>
        <w:fldChar w:fldCharType="begin"/>
      </w:r>
      <w:r>
        <w:rPr>
          <w:color w:val="auto"/>
        </w:rPr>
        <w:instrText xml:space="preserve"> PAGEREF _Toc21170 </w:instrText>
      </w:r>
      <w:r>
        <w:rPr>
          <w:color w:val="auto"/>
        </w:rPr>
        <w:fldChar w:fldCharType="separate"/>
      </w:r>
      <w:r>
        <w:rPr>
          <w:color w:val="auto"/>
        </w:rPr>
        <w:t>21</w:t>
      </w:r>
      <w:r>
        <w:rPr>
          <w:color w:val="auto"/>
        </w:rPr>
        <w:fldChar w:fldCharType="end"/>
      </w:r>
      <w:r>
        <w:rPr>
          <w:color w:val="auto"/>
        </w:rPr>
        <w:fldChar w:fldCharType="end"/>
      </w:r>
    </w:p>
    <w:p>
      <w:pPr>
        <w:pStyle w:val="22"/>
        <w:tabs>
          <w:tab w:val="right" w:leader="dot" w:pos="9072"/>
        </w:tabs>
        <w:spacing w:line="360" w:lineRule="auto"/>
        <w:rPr>
          <w:color w:val="auto"/>
        </w:rPr>
      </w:pPr>
      <w:r>
        <w:rPr>
          <w:color w:val="auto"/>
        </w:rPr>
        <w:fldChar w:fldCharType="begin"/>
      </w:r>
      <w:r>
        <w:rPr>
          <w:color w:val="auto"/>
        </w:rPr>
        <w:instrText xml:space="preserve"> HYPERLINK \l "_Toc23443" </w:instrText>
      </w:r>
      <w:r>
        <w:rPr>
          <w:color w:val="auto"/>
        </w:rPr>
        <w:fldChar w:fldCharType="separate"/>
      </w:r>
      <w:r>
        <w:rPr>
          <w:rFonts w:asciiTheme="minorEastAsia" w:hAnsiTheme="minorEastAsia" w:eastAsiaTheme="minorEastAsia" w:cstheme="minorEastAsia"/>
          <w:color w:val="auto"/>
          <w:lang w:val="zh-CN"/>
        </w:rPr>
        <w:t xml:space="preserve">28、 </w:t>
      </w:r>
      <w:r>
        <w:rPr>
          <w:rFonts w:hint="eastAsia" w:asciiTheme="minorEastAsia" w:hAnsiTheme="minorEastAsia" w:eastAsiaTheme="minorEastAsia" w:cstheme="minorEastAsia"/>
          <w:color w:val="auto"/>
          <w:lang w:val="zh-CN"/>
        </w:rPr>
        <w:t>合同授予标准</w:t>
      </w:r>
      <w:r>
        <w:rPr>
          <w:color w:val="auto"/>
        </w:rPr>
        <w:tab/>
      </w:r>
      <w:r>
        <w:rPr>
          <w:color w:val="auto"/>
        </w:rPr>
        <w:fldChar w:fldCharType="begin"/>
      </w:r>
      <w:r>
        <w:rPr>
          <w:color w:val="auto"/>
        </w:rPr>
        <w:instrText xml:space="preserve"> PAGEREF _Toc23443 </w:instrText>
      </w:r>
      <w:r>
        <w:rPr>
          <w:color w:val="auto"/>
        </w:rPr>
        <w:fldChar w:fldCharType="separate"/>
      </w:r>
      <w:r>
        <w:rPr>
          <w:color w:val="auto"/>
        </w:rPr>
        <w:t>21</w:t>
      </w:r>
      <w:r>
        <w:rPr>
          <w:color w:val="auto"/>
        </w:rPr>
        <w:fldChar w:fldCharType="end"/>
      </w:r>
      <w:r>
        <w:rPr>
          <w:color w:val="auto"/>
        </w:rPr>
        <w:fldChar w:fldCharType="end"/>
      </w:r>
    </w:p>
    <w:p>
      <w:pPr>
        <w:pStyle w:val="22"/>
        <w:tabs>
          <w:tab w:val="right" w:leader="dot" w:pos="9072"/>
        </w:tabs>
        <w:spacing w:line="360" w:lineRule="auto"/>
        <w:rPr>
          <w:color w:val="auto"/>
        </w:rPr>
      </w:pPr>
      <w:r>
        <w:rPr>
          <w:color w:val="auto"/>
        </w:rPr>
        <w:fldChar w:fldCharType="begin"/>
      </w:r>
      <w:r>
        <w:rPr>
          <w:color w:val="auto"/>
        </w:rPr>
        <w:instrText xml:space="preserve"> HYPERLINK \l "_Toc15879" </w:instrText>
      </w:r>
      <w:r>
        <w:rPr>
          <w:color w:val="auto"/>
        </w:rPr>
        <w:fldChar w:fldCharType="separate"/>
      </w:r>
      <w:r>
        <w:rPr>
          <w:rFonts w:asciiTheme="minorEastAsia" w:hAnsiTheme="minorEastAsia" w:eastAsiaTheme="minorEastAsia" w:cstheme="minorEastAsia"/>
          <w:color w:val="auto"/>
          <w:lang w:val="zh-CN"/>
        </w:rPr>
        <w:t xml:space="preserve">29、 </w:t>
      </w:r>
      <w:r>
        <w:rPr>
          <w:rFonts w:hint="eastAsia" w:asciiTheme="minorEastAsia" w:hAnsiTheme="minorEastAsia" w:eastAsiaTheme="minorEastAsia" w:cstheme="minorEastAsia"/>
          <w:color w:val="auto"/>
          <w:lang w:val="zh-CN"/>
        </w:rPr>
        <w:t>签订合同</w:t>
      </w:r>
      <w:r>
        <w:rPr>
          <w:color w:val="auto"/>
        </w:rPr>
        <w:tab/>
      </w:r>
      <w:r>
        <w:rPr>
          <w:color w:val="auto"/>
        </w:rPr>
        <w:fldChar w:fldCharType="begin"/>
      </w:r>
      <w:r>
        <w:rPr>
          <w:color w:val="auto"/>
        </w:rPr>
        <w:instrText xml:space="preserve"> PAGEREF _Toc15879 </w:instrText>
      </w:r>
      <w:r>
        <w:rPr>
          <w:color w:val="auto"/>
        </w:rPr>
        <w:fldChar w:fldCharType="separate"/>
      </w:r>
      <w:r>
        <w:rPr>
          <w:color w:val="auto"/>
        </w:rPr>
        <w:t>21</w:t>
      </w:r>
      <w:r>
        <w:rPr>
          <w:color w:val="auto"/>
        </w:rPr>
        <w:fldChar w:fldCharType="end"/>
      </w:r>
      <w:r>
        <w:rPr>
          <w:color w:val="auto"/>
        </w:rPr>
        <w:fldChar w:fldCharType="end"/>
      </w:r>
    </w:p>
    <w:p>
      <w:pPr>
        <w:pStyle w:val="22"/>
        <w:tabs>
          <w:tab w:val="right" w:leader="dot" w:pos="9072"/>
        </w:tabs>
        <w:spacing w:line="360" w:lineRule="auto"/>
        <w:rPr>
          <w:color w:val="auto"/>
        </w:rPr>
      </w:pPr>
      <w:r>
        <w:rPr>
          <w:color w:val="auto"/>
        </w:rPr>
        <w:fldChar w:fldCharType="begin"/>
      </w:r>
      <w:r>
        <w:rPr>
          <w:color w:val="auto"/>
        </w:rPr>
        <w:instrText xml:space="preserve"> HYPERLINK \l "_Toc5844" </w:instrText>
      </w:r>
      <w:r>
        <w:rPr>
          <w:color w:val="auto"/>
        </w:rPr>
        <w:fldChar w:fldCharType="separate"/>
      </w:r>
      <w:r>
        <w:rPr>
          <w:rFonts w:asciiTheme="minorEastAsia" w:hAnsiTheme="minorEastAsia" w:eastAsiaTheme="minorEastAsia" w:cstheme="minorEastAsia"/>
          <w:color w:val="auto"/>
          <w:lang w:val="zh-CN"/>
        </w:rPr>
        <w:t xml:space="preserve">31、 </w:t>
      </w:r>
      <w:r>
        <w:rPr>
          <w:rFonts w:hint="eastAsia" w:asciiTheme="minorEastAsia" w:hAnsiTheme="minorEastAsia" w:eastAsiaTheme="minorEastAsia" w:cstheme="minorEastAsia"/>
          <w:color w:val="auto"/>
          <w:lang w:val="zh-CN"/>
        </w:rPr>
        <w:t>质疑回复</w:t>
      </w:r>
      <w:r>
        <w:rPr>
          <w:color w:val="auto"/>
        </w:rPr>
        <w:tab/>
      </w:r>
      <w:r>
        <w:rPr>
          <w:color w:val="auto"/>
        </w:rPr>
        <w:fldChar w:fldCharType="begin"/>
      </w:r>
      <w:r>
        <w:rPr>
          <w:color w:val="auto"/>
        </w:rPr>
        <w:instrText xml:space="preserve"> PAGEREF _Toc5844 </w:instrText>
      </w:r>
      <w:r>
        <w:rPr>
          <w:color w:val="auto"/>
        </w:rPr>
        <w:fldChar w:fldCharType="separate"/>
      </w:r>
      <w:r>
        <w:rPr>
          <w:color w:val="auto"/>
        </w:rPr>
        <w:t>23</w:t>
      </w:r>
      <w:r>
        <w:rPr>
          <w:color w:val="auto"/>
        </w:rPr>
        <w:fldChar w:fldCharType="end"/>
      </w:r>
      <w:r>
        <w:rPr>
          <w:color w:val="auto"/>
        </w:rPr>
        <w:fldChar w:fldCharType="end"/>
      </w:r>
    </w:p>
    <w:p>
      <w:pPr>
        <w:pStyle w:val="22"/>
        <w:tabs>
          <w:tab w:val="right" w:leader="dot" w:pos="9072"/>
        </w:tabs>
        <w:spacing w:line="360" w:lineRule="auto"/>
        <w:rPr>
          <w:color w:val="auto"/>
        </w:rPr>
      </w:pPr>
      <w:r>
        <w:rPr>
          <w:color w:val="auto"/>
        </w:rPr>
        <w:fldChar w:fldCharType="begin"/>
      </w:r>
      <w:r>
        <w:rPr>
          <w:color w:val="auto"/>
        </w:rPr>
        <w:instrText xml:space="preserve"> HYPERLINK \l "_Toc26015" </w:instrText>
      </w:r>
      <w:r>
        <w:rPr>
          <w:color w:val="auto"/>
        </w:rPr>
        <w:fldChar w:fldCharType="separate"/>
      </w:r>
      <w:r>
        <w:rPr>
          <w:rFonts w:asciiTheme="minorEastAsia" w:hAnsiTheme="minorEastAsia" w:eastAsiaTheme="minorEastAsia" w:cstheme="minorEastAsia"/>
          <w:color w:val="auto"/>
          <w:lang w:val="zh-CN"/>
        </w:rPr>
        <w:t xml:space="preserve">32、 </w:t>
      </w:r>
      <w:r>
        <w:rPr>
          <w:rFonts w:hint="eastAsia" w:asciiTheme="minorEastAsia" w:hAnsiTheme="minorEastAsia" w:eastAsiaTheme="minorEastAsia" w:cstheme="minorEastAsia"/>
          <w:color w:val="auto"/>
          <w:lang w:val="zh-CN"/>
        </w:rPr>
        <w:t>投诉</w:t>
      </w:r>
      <w:r>
        <w:rPr>
          <w:color w:val="auto"/>
        </w:rPr>
        <w:tab/>
      </w:r>
      <w:r>
        <w:rPr>
          <w:color w:val="auto"/>
        </w:rPr>
        <w:fldChar w:fldCharType="begin"/>
      </w:r>
      <w:r>
        <w:rPr>
          <w:color w:val="auto"/>
        </w:rPr>
        <w:instrText xml:space="preserve"> PAGEREF _Toc26015 </w:instrText>
      </w:r>
      <w:r>
        <w:rPr>
          <w:color w:val="auto"/>
        </w:rPr>
        <w:fldChar w:fldCharType="separate"/>
      </w:r>
      <w:r>
        <w:rPr>
          <w:color w:val="auto"/>
        </w:rPr>
        <w:t>23</w:t>
      </w:r>
      <w:r>
        <w:rPr>
          <w:color w:val="auto"/>
        </w:rPr>
        <w:fldChar w:fldCharType="end"/>
      </w:r>
      <w:r>
        <w:rPr>
          <w:color w:val="auto"/>
        </w:rPr>
        <w:fldChar w:fldCharType="end"/>
      </w:r>
    </w:p>
    <w:p>
      <w:pPr>
        <w:pStyle w:val="22"/>
        <w:tabs>
          <w:tab w:val="right" w:leader="dot" w:pos="9072"/>
        </w:tabs>
        <w:spacing w:line="360" w:lineRule="auto"/>
        <w:rPr>
          <w:color w:val="auto"/>
        </w:rPr>
      </w:pPr>
      <w:r>
        <w:rPr>
          <w:color w:val="auto"/>
        </w:rPr>
        <w:fldChar w:fldCharType="begin"/>
      </w:r>
      <w:r>
        <w:rPr>
          <w:color w:val="auto"/>
        </w:rPr>
        <w:instrText xml:space="preserve"> HYPERLINK \l "_Toc8349" </w:instrText>
      </w:r>
      <w:r>
        <w:rPr>
          <w:color w:val="auto"/>
        </w:rPr>
        <w:fldChar w:fldCharType="separate"/>
      </w:r>
      <w:r>
        <w:rPr>
          <w:rFonts w:asciiTheme="minorEastAsia" w:hAnsiTheme="minorEastAsia" w:eastAsiaTheme="minorEastAsia" w:cstheme="minorEastAsia"/>
          <w:color w:val="auto"/>
          <w:szCs w:val="21"/>
          <w:lang w:val="zh-CN"/>
        </w:rPr>
        <w:t xml:space="preserve">八、 </w:t>
      </w:r>
      <w:r>
        <w:rPr>
          <w:rFonts w:hint="eastAsia" w:asciiTheme="minorEastAsia" w:hAnsiTheme="minorEastAsia" w:eastAsiaTheme="minorEastAsia" w:cstheme="minorEastAsia"/>
          <w:color w:val="auto"/>
          <w:szCs w:val="21"/>
          <w:lang w:val="zh-CN"/>
        </w:rPr>
        <w:t>政策</w:t>
      </w:r>
      <w:r>
        <w:rPr>
          <w:color w:val="auto"/>
        </w:rPr>
        <w:tab/>
      </w:r>
      <w:r>
        <w:rPr>
          <w:color w:val="auto"/>
        </w:rPr>
        <w:fldChar w:fldCharType="begin"/>
      </w:r>
      <w:r>
        <w:rPr>
          <w:color w:val="auto"/>
        </w:rPr>
        <w:instrText xml:space="preserve"> PAGEREF _Toc8349 </w:instrText>
      </w:r>
      <w:r>
        <w:rPr>
          <w:color w:val="auto"/>
        </w:rPr>
        <w:fldChar w:fldCharType="separate"/>
      </w:r>
      <w:r>
        <w:rPr>
          <w:color w:val="auto"/>
        </w:rPr>
        <w:t>23</w:t>
      </w:r>
      <w:r>
        <w:rPr>
          <w:color w:val="auto"/>
        </w:rPr>
        <w:fldChar w:fldCharType="end"/>
      </w:r>
      <w:r>
        <w:rPr>
          <w:color w:val="auto"/>
        </w:rPr>
        <w:fldChar w:fldCharType="end"/>
      </w:r>
    </w:p>
    <w:p>
      <w:pPr>
        <w:pStyle w:val="22"/>
        <w:tabs>
          <w:tab w:val="right" w:leader="dot" w:pos="9072"/>
        </w:tabs>
        <w:spacing w:line="360" w:lineRule="auto"/>
        <w:rPr>
          <w:color w:val="auto"/>
        </w:rPr>
      </w:pPr>
      <w:r>
        <w:rPr>
          <w:color w:val="auto"/>
        </w:rPr>
        <w:fldChar w:fldCharType="begin"/>
      </w:r>
      <w:r>
        <w:rPr>
          <w:color w:val="auto"/>
        </w:rPr>
        <w:instrText xml:space="preserve"> HYPERLINK \l "_Toc8371" </w:instrText>
      </w:r>
      <w:r>
        <w:rPr>
          <w:color w:val="auto"/>
        </w:rPr>
        <w:fldChar w:fldCharType="separate"/>
      </w:r>
      <w:r>
        <w:rPr>
          <w:rFonts w:asciiTheme="minorEastAsia" w:hAnsiTheme="minorEastAsia" w:eastAsiaTheme="minorEastAsia" w:cstheme="minorEastAsia"/>
          <w:color w:val="auto"/>
        </w:rPr>
        <w:t xml:space="preserve">33、 </w:t>
      </w:r>
      <w:r>
        <w:rPr>
          <w:rFonts w:hint="eastAsia" w:asciiTheme="minorEastAsia" w:hAnsiTheme="minorEastAsia" w:eastAsiaTheme="minorEastAsia" w:cstheme="minorEastAsia"/>
          <w:color w:val="auto"/>
        </w:rPr>
        <w:t>政府采购政策</w:t>
      </w:r>
      <w:r>
        <w:rPr>
          <w:color w:val="auto"/>
        </w:rPr>
        <w:tab/>
      </w:r>
      <w:r>
        <w:rPr>
          <w:color w:val="auto"/>
        </w:rPr>
        <w:fldChar w:fldCharType="begin"/>
      </w:r>
      <w:r>
        <w:rPr>
          <w:color w:val="auto"/>
        </w:rPr>
        <w:instrText xml:space="preserve"> PAGEREF _Toc8371 </w:instrText>
      </w:r>
      <w:r>
        <w:rPr>
          <w:color w:val="auto"/>
        </w:rPr>
        <w:fldChar w:fldCharType="separate"/>
      </w:r>
      <w:r>
        <w:rPr>
          <w:color w:val="auto"/>
        </w:rPr>
        <w:t>23</w:t>
      </w:r>
      <w:r>
        <w:rPr>
          <w:color w:val="auto"/>
        </w:rPr>
        <w:fldChar w:fldCharType="end"/>
      </w:r>
      <w:r>
        <w:rPr>
          <w:color w:val="auto"/>
        </w:rPr>
        <w:fldChar w:fldCharType="end"/>
      </w:r>
    </w:p>
    <w:p>
      <w:pPr>
        <w:pStyle w:val="22"/>
        <w:tabs>
          <w:tab w:val="right" w:leader="dot" w:pos="9072"/>
        </w:tabs>
        <w:spacing w:line="360" w:lineRule="auto"/>
        <w:rPr>
          <w:color w:val="auto"/>
        </w:rPr>
      </w:pPr>
      <w:r>
        <w:rPr>
          <w:color w:val="auto"/>
        </w:rPr>
        <w:fldChar w:fldCharType="begin"/>
      </w:r>
      <w:r>
        <w:rPr>
          <w:color w:val="auto"/>
        </w:rPr>
        <w:instrText xml:space="preserve"> HYPERLINK \l "_Toc22449" </w:instrText>
      </w:r>
      <w:r>
        <w:rPr>
          <w:color w:val="auto"/>
        </w:rPr>
        <w:fldChar w:fldCharType="separate"/>
      </w:r>
      <w:r>
        <w:rPr>
          <w:rFonts w:asciiTheme="minorEastAsia" w:hAnsiTheme="minorEastAsia" w:eastAsiaTheme="minorEastAsia" w:cstheme="minorEastAsia"/>
          <w:color w:val="auto"/>
          <w:szCs w:val="21"/>
          <w:lang w:val="zh-CN"/>
        </w:rPr>
        <w:t xml:space="preserve">九、 </w:t>
      </w:r>
      <w:r>
        <w:rPr>
          <w:rFonts w:hint="eastAsia" w:asciiTheme="minorEastAsia" w:hAnsiTheme="minorEastAsia" w:eastAsiaTheme="minorEastAsia" w:cstheme="minorEastAsia"/>
          <w:color w:val="auto"/>
          <w:szCs w:val="21"/>
          <w:lang w:val="zh-CN"/>
        </w:rPr>
        <w:t>其他要求</w:t>
      </w:r>
      <w:r>
        <w:rPr>
          <w:color w:val="auto"/>
        </w:rPr>
        <w:tab/>
      </w:r>
      <w:r>
        <w:rPr>
          <w:color w:val="auto"/>
        </w:rPr>
        <w:fldChar w:fldCharType="begin"/>
      </w:r>
      <w:r>
        <w:rPr>
          <w:color w:val="auto"/>
        </w:rPr>
        <w:instrText xml:space="preserve"> PAGEREF _Toc22449 </w:instrText>
      </w:r>
      <w:r>
        <w:rPr>
          <w:color w:val="auto"/>
        </w:rPr>
        <w:fldChar w:fldCharType="separate"/>
      </w:r>
      <w:r>
        <w:rPr>
          <w:color w:val="auto"/>
        </w:rPr>
        <w:t>24</w:t>
      </w:r>
      <w:r>
        <w:rPr>
          <w:color w:val="auto"/>
        </w:rPr>
        <w:fldChar w:fldCharType="end"/>
      </w:r>
      <w:r>
        <w:rPr>
          <w:color w:val="auto"/>
        </w:rPr>
        <w:fldChar w:fldCharType="end"/>
      </w:r>
    </w:p>
    <w:p>
      <w:pPr>
        <w:pStyle w:val="22"/>
        <w:tabs>
          <w:tab w:val="right" w:leader="dot" w:pos="9072"/>
        </w:tabs>
        <w:spacing w:line="360" w:lineRule="auto"/>
        <w:rPr>
          <w:color w:val="auto"/>
        </w:rPr>
      </w:pPr>
      <w:r>
        <w:rPr>
          <w:color w:val="auto"/>
        </w:rPr>
        <w:fldChar w:fldCharType="begin"/>
      </w:r>
      <w:r>
        <w:rPr>
          <w:color w:val="auto"/>
        </w:rPr>
        <w:instrText xml:space="preserve"> HYPERLINK \l "_Toc28070" </w:instrText>
      </w:r>
      <w:r>
        <w:rPr>
          <w:color w:val="auto"/>
        </w:rPr>
        <w:fldChar w:fldCharType="separate"/>
      </w:r>
      <w:r>
        <w:rPr>
          <w:rFonts w:asciiTheme="minorEastAsia" w:hAnsiTheme="minorEastAsia" w:eastAsiaTheme="minorEastAsia" w:cstheme="minorEastAsia"/>
          <w:color w:val="auto"/>
          <w:szCs w:val="21"/>
          <w:lang w:val="zh-CN"/>
        </w:rPr>
        <w:t xml:space="preserve">十、 </w:t>
      </w:r>
      <w:r>
        <w:rPr>
          <w:rFonts w:hint="eastAsia" w:asciiTheme="minorEastAsia" w:hAnsiTheme="minorEastAsia" w:eastAsiaTheme="minorEastAsia" w:cstheme="minorEastAsia"/>
          <w:color w:val="auto"/>
          <w:szCs w:val="21"/>
          <w:lang w:val="zh-CN"/>
        </w:rPr>
        <w:t>适用法律</w:t>
      </w:r>
      <w:r>
        <w:rPr>
          <w:color w:val="auto"/>
        </w:rPr>
        <w:tab/>
      </w:r>
      <w:r>
        <w:rPr>
          <w:color w:val="auto"/>
        </w:rPr>
        <w:fldChar w:fldCharType="begin"/>
      </w:r>
      <w:r>
        <w:rPr>
          <w:color w:val="auto"/>
        </w:rPr>
        <w:instrText xml:space="preserve"> PAGEREF _Toc28070 </w:instrText>
      </w:r>
      <w:r>
        <w:rPr>
          <w:color w:val="auto"/>
        </w:rPr>
        <w:fldChar w:fldCharType="separate"/>
      </w:r>
      <w:r>
        <w:rPr>
          <w:color w:val="auto"/>
        </w:rPr>
        <w:t>25</w:t>
      </w:r>
      <w:r>
        <w:rPr>
          <w:color w:val="auto"/>
        </w:rPr>
        <w:fldChar w:fldCharType="end"/>
      </w:r>
      <w:r>
        <w:rPr>
          <w:color w:val="auto"/>
        </w:rPr>
        <w:fldChar w:fldCharType="end"/>
      </w:r>
    </w:p>
    <w:p>
      <w:pPr>
        <w:pStyle w:val="20"/>
        <w:tabs>
          <w:tab w:val="right" w:leader="dot" w:pos="9072"/>
        </w:tabs>
        <w:spacing w:line="360" w:lineRule="auto"/>
        <w:rPr>
          <w:color w:val="auto"/>
        </w:rPr>
      </w:pPr>
      <w:r>
        <w:rPr>
          <w:color w:val="auto"/>
        </w:rPr>
        <w:fldChar w:fldCharType="begin"/>
      </w:r>
      <w:r>
        <w:rPr>
          <w:color w:val="auto"/>
        </w:rPr>
        <w:instrText xml:space="preserve"> HYPERLINK \l "_Toc6380" </w:instrText>
      </w:r>
      <w:r>
        <w:rPr>
          <w:color w:val="auto"/>
        </w:rPr>
        <w:fldChar w:fldCharType="separate"/>
      </w:r>
      <w:r>
        <w:rPr>
          <w:rFonts w:asciiTheme="minorEastAsia" w:hAnsiTheme="minorEastAsia" w:eastAsiaTheme="minorEastAsia" w:cstheme="minorEastAsia"/>
          <w:color w:val="auto"/>
          <w:szCs w:val="36"/>
        </w:rPr>
        <w:t xml:space="preserve">第三章 </w:t>
      </w:r>
      <w:r>
        <w:rPr>
          <w:rFonts w:hint="eastAsia" w:asciiTheme="minorEastAsia" w:hAnsiTheme="minorEastAsia" w:eastAsiaTheme="minorEastAsia" w:cstheme="minorEastAsia"/>
          <w:bCs/>
          <w:color w:val="auto"/>
          <w:szCs w:val="36"/>
        </w:rPr>
        <w:t>采购需求</w:t>
      </w:r>
      <w:r>
        <w:rPr>
          <w:color w:val="auto"/>
        </w:rPr>
        <w:tab/>
      </w:r>
      <w:r>
        <w:rPr>
          <w:color w:val="auto"/>
        </w:rPr>
        <w:fldChar w:fldCharType="begin"/>
      </w:r>
      <w:r>
        <w:rPr>
          <w:color w:val="auto"/>
        </w:rPr>
        <w:instrText xml:space="preserve"> PAGEREF _Toc6380 </w:instrText>
      </w:r>
      <w:r>
        <w:rPr>
          <w:color w:val="auto"/>
        </w:rPr>
        <w:fldChar w:fldCharType="separate"/>
      </w:r>
      <w:r>
        <w:rPr>
          <w:color w:val="auto"/>
        </w:rPr>
        <w:t>26</w:t>
      </w:r>
      <w:r>
        <w:rPr>
          <w:color w:val="auto"/>
        </w:rPr>
        <w:fldChar w:fldCharType="end"/>
      </w:r>
      <w:r>
        <w:rPr>
          <w:color w:val="auto"/>
        </w:rPr>
        <w:fldChar w:fldCharType="end"/>
      </w:r>
    </w:p>
    <w:p>
      <w:pPr>
        <w:pStyle w:val="22"/>
        <w:tabs>
          <w:tab w:val="right" w:leader="dot" w:pos="9072"/>
        </w:tabs>
        <w:spacing w:line="360" w:lineRule="auto"/>
        <w:rPr>
          <w:color w:val="auto"/>
        </w:rPr>
      </w:pPr>
      <w:r>
        <w:rPr>
          <w:color w:val="auto"/>
        </w:rPr>
        <w:fldChar w:fldCharType="begin"/>
      </w:r>
      <w:r>
        <w:rPr>
          <w:color w:val="auto"/>
        </w:rPr>
        <w:instrText xml:space="preserve"> HYPERLINK \l "_Toc13790" </w:instrText>
      </w:r>
      <w:r>
        <w:rPr>
          <w:color w:val="auto"/>
        </w:rPr>
        <w:fldChar w:fldCharType="separate"/>
      </w:r>
      <w:r>
        <w:rPr>
          <w:rFonts w:hint="eastAsia" w:asciiTheme="minorEastAsia" w:hAnsiTheme="minorEastAsia" w:eastAsiaTheme="minorEastAsia" w:cstheme="minorEastAsia"/>
          <w:bCs/>
          <w:color w:val="auto"/>
        </w:rPr>
        <w:t>一、技术需求</w:t>
      </w:r>
      <w:r>
        <w:rPr>
          <w:color w:val="auto"/>
        </w:rPr>
        <w:tab/>
      </w:r>
      <w:r>
        <w:rPr>
          <w:color w:val="auto"/>
        </w:rPr>
        <w:fldChar w:fldCharType="begin"/>
      </w:r>
      <w:r>
        <w:rPr>
          <w:color w:val="auto"/>
        </w:rPr>
        <w:instrText xml:space="preserve"> PAGEREF _Toc13790 </w:instrText>
      </w:r>
      <w:r>
        <w:rPr>
          <w:color w:val="auto"/>
        </w:rPr>
        <w:fldChar w:fldCharType="separate"/>
      </w:r>
      <w:r>
        <w:rPr>
          <w:color w:val="auto"/>
        </w:rPr>
        <w:t>26</w:t>
      </w:r>
      <w:r>
        <w:rPr>
          <w:color w:val="auto"/>
        </w:rPr>
        <w:fldChar w:fldCharType="end"/>
      </w:r>
      <w:r>
        <w:rPr>
          <w:color w:val="auto"/>
        </w:rPr>
        <w:fldChar w:fldCharType="end"/>
      </w:r>
    </w:p>
    <w:p>
      <w:pPr>
        <w:pStyle w:val="22"/>
        <w:tabs>
          <w:tab w:val="right" w:leader="dot" w:pos="9072"/>
        </w:tabs>
        <w:spacing w:line="360" w:lineRule="auto"/>
        <w:rPr>
          <w:color w:val="auto"/>
        </w:rPr>
      </w:pPr>
      <w:r>
        <w:rPr>
          <w:color w:val="auto"/>
        </w:rPr>
        <w:fldChar w:fldCharType="begin"/>
      </w:r>
      <w:r>
        <w:rPr>
          <w:color w:val="auto"/>
        </w:rPr>
        <w:instrText xml:space="preserve"> HYPERLINK \l "_Toc4139" </w:instrText>
      </w:r>
      <w:r>
        <w:rPr>
          <w:color w:val="auto"/>
        </w:rPr>
        <w:fldChar w:fldCharType="separate"/>
      </w:r>
      <w:r>
        <w:rPr>
          <w:rFonts w:hint="eastAsia" w:asciiTheme="minorEastAsia" w:hAnsiTheme="minorEastAsia" w:eastAsiaTheme="minorEastAsia" w:cstheme="minorEastAsia"/>
          <w:bCs/>
          <w:color w:val="auto"/>
        </w:rPr>
        <w:t>二、商务需求</w:t>
      </w:r>
      <w:r>
        <w:rPr>
          <w:color w:val="auto"/>
        </w:rPr>
        <w:tab/>
      </w:r>
      <w:r>
        <w:rPr>
          <w:color w:val="auto"/>
        </w:rPr>
        <w:fldChar w:fldCharType="begin"/>
      </w:r>
      <w:r>
        <w:rPr>
          <w:color w:val="auto"/>
        </w:rPr>
        <w:instrText xml:space="preserve"> PAGEREF _Toc4139 </w:instrText>
      </w:r>
      <w:r>
        <w:rPr>
          <w:color w:val="auto"/>
        </w:rPr>
        <w:fldChar w:fldCharType="separate"/>
      </w:r>
      <w:r>
        <w:rPr>
          <w:color w:val="auto"/>
        </w:rPr>
        <w:t>27</w:t>
      </w:r>
      <w:r>
        <w:rPr>
          <w:color w:val="auto"/>
        </w:rPr>
        <w:fldChar w:fldCharType="end"/>
      </w:r>
      <w:r>
        <w:rPr>
          <w:color w:val="auto"/>
        </w:rPr>
        <w:fldChar w:fldCharType="end"/>
      </w:r>
    </w:p>
    <w:p>
      <w:pPr>
        <w:pStyle w:val="20"/>
        <w:tabs>
          <w:tab w:val="right" w:leader="dot" w:pos="9072"/>
        </w:tabs>
        <w:spacing w:line="360" w:lineRule="auto"/>
        <w:rPr>
          <w:color w:val="auto"/>
        </w:rPr>
      </w:pPr>
      <w:r>
        <w:rPr>
          <w:color w:val="auto"/>
        </w:rPr>
        <w:fldChar w:fldCharType="begin"/>
      </w:r>
      <w:r>
        <w:rPr>
          <w:color w:val="auto"/>
        </w:rPr>
        <w:instrText xml:space="preserve"> HYPERLINK \l "_Toc1421" </w:instrText>
      </w:r>
      <w:r>
        <w:rPr>
          <w:color w:val="auto"/>
        </w:rPr>
        <w:fldChar w:fldCharType="separate"/>
      </w:r>
      <w:r>
        <w:rPr>
          <w:rFonts w:asciiTheme="minorEastAsia" w:hAnsiTheme="minorEastAsia" w:eastAsiaTheme="minorEastAsia" w:cstheme="minorEastAsia"/>
          <w:color w:val="auto"/>
          <w:szCs w:val="36"/>
        </w:rPr>
        <w:t xml:space="preserve">第四章 </w:t>
      </w:r>
      <w:r>
        <w:rPr>
          <w:rFonts w:hint="eastAsia" w:asciiTheme="minorEastAsia" w:hAnsiTheme="minorEastAsia" w:eastAsiaTheme="minorEastAsia" w:cstheme="minorEastAsia"/>
          <w:color w:val="auto"/>
          <w:szCs w:val="36"/>
        </w:rPr>
        <w:t>竞争性磋商采购评定办法</w:t>
      </w:r>
      <w:r>
        <w:rPr>
          <w:color w:val="auto"/>
        </w:rPr>
        <w:tab/>
      </w:r>
      <w:r>
        <w:rPr>
          <w:color w:val="auto"/>
        </w:rPr>
        <w:fldChar w:fldCharType="begin"/>
      </w:r>
      <w:r>
        <w:rPr>
          <w:color w:val="auto"/>
        </w:rPr>
        <w:instrText xml:space="preserve"> PAGEREF _Toc1421 </w:instrText>
      </w:r>
      <w:r>
        <w:rPr>
          <w:color w:val="auto"/>
        </w:rPr>
        <w:fldChar w:fldCharType="separate"/>
      </w:r>
      <w:r>
        <w:rPr>
          <w:color w:val="auto"/>
        </w:rPr>
        <w:t>28</w:t>
      </w:r>
      <w:r>
        <w:rPr>
          <w:color w:val="auto"/>
        </w:rPr>
        <w:fldChar w:fldCharType="end"/>
      </w:r>
      <w:r>
        <w:rPr>
          <w:color w:val="auto"/>
        </w:rPr>
        <w:fldChar w:fldCharType="end"/>
      </w:r>
    </w:p>
    <w:p>
      <w:pPr>
        <w:pStyle w:val="22"/>
        <w:tabs>
          <w:tab w:val="right" w:leader="dot" w:pos="9072"/>
        </w:tabs>
        <w:spacing w:line="360" w:lineRule="auto"/>
        <w:rPr>
          <w:color w:val="auto"/>
        </w:rPr>
      </w:pPr>
      <w:r>
        <w:rPr>
          <w:color w:val="auto"/>
        </w:rPr>
        <w:fldChar w:fldCharType="begin"/>
      </w:r>
      <w:r>
        <w:rPr>
          <w:color w:val="auto"/>
        </w:rPr>
        <w:instrText xml:space="preserve"> HYPERLINK \l "_Toc4474" </w:instrText>
      </w:r>
      <w:r>
        <w:rPr>
          <w:color w:val="auto"/>
        </w:rPr>
        <w:fldChar w:fldCharType="separate"/>
      </w:r>
      <w:r>
        <w:rPr>
          <w:rFonts w:hint="eastAsia" w:asciiTheme="minorEastAsia" w:hAnsiTheme="minorEastAsia" w:eastAsiaTheme="minorEastAsia" w:cstheme="minorEastAsia"/>
          <w:color w:val="auto"/>
          <w:szCs w:val="21"/>
        </w:rPr>
        <w:t>一、评定办法前附表</w:t>
      </w:r>
      <w:r>
        <w:rPr>
          <w:color w:val="auto"/>
        </w:rPr>
        <w:tab/>
      </w:r>
      <w:r>
        <w:rPr>
          <w:color w:val="auto"/>
        </w:rPr>
        <w:fldChar w:fldCharType="begin"/>
      </w:r>
      <w:r>
        <w:rPr>
          <w:color w:val="auto"/>
        </w:rPr>
        <w:instrText xml:space="preserve"> PAGEREF _Toc4474 </w:instrText>
      </w:r>
      <w:r>
        <w:rPr>
          <w:color w:val="auto"/>
        </w:rPr>
        <w:fldChar w:fldCharType="separate"/>
      </w:r>
      <w:r>
        <w:rPr>
          <w:color w:val="auto"/>
        </w:rPr>
        <w:t>28</w:t>
      </w:r>
      <w:r>
        <w:rPr>
          <w:color w:val="auto"/>
        </w:rPr>
        <w:fldChar w:fldCharType="end"/>
      </w:r>
      <w:r>
        <w:rPr>
          <w:color w:val="auto"/>
        </w:rPr>
        <w:fldChar w:fldCharType="end"/>
      </w:r>
    </w:p>
    <w:p>
      <w:pPr>
        <w:pStyle w:val="22"/>
        <w:tabs>
          <w:tab w:val="right" w:leader="dot" w:pos="9072"/>
        </w:tabs>
        <w:spacing w:line="360" w:lineRule="auto"/>
        <w:rPr>
          <w:color w:val="auto"/>
        </w:rPr>
      </w:pPr>
      <w:r>
        <w:rPr>
          <w:color w:val="auto"/>
        </w:rPr>
        <w:fldChar w:fldCharType="begin"/>
      </w:r>
      <w:r>
        <w:rPr>
          <w:color w:val="auto"/>
        </w:rPr>
        <w:instrText xml:space="preserve"> HYPERLINK \l "_Toc32423" </w:instrText>
      </w:r>
      <w:r>
        <w:rPr>
          <w:color w:val="auto"/>
        </w:rPr>
        <w:fldChar w:fldCharType="separate"/>
      </w:r>
      <w:r>
        <w:rPr>
          <w:rFonts w:hint="eastAsia" w:asciiTheme="minorEastAsia" w:hAnsiTheme="minorEastAsia" w:eastAsiaTheme="minorEastAsia" w:cstheme="minorEastAsia"/>
          <w:color w:val="auto"/>
          <w:szCs w:val="21"/>
        </w:rPr>
        <w:t>二、计算办法</w:t>
      </w:r>
      <w:r>
        <w:rPr>
          <w:color w:val="auto"/>
        </w:rPr>
        <w:tab/>
      </w:r>
      <w:r>
        <w:rPr>
          <w:color w:val="auto"/>
        </w:rPr>
        <w:fldChar w:fldCharType="begin"/>
      </w:r>
      <w:r>
        <w:rPr>
          <w:color w:val="auto"/>
        </w:rPr>
        <w:instrText xml:space="preserve"> PAGEREF _Toc32423 </w:instrText>
      </w:r>
      <w:r>
        <w:rPr>
          <w:color w:val="auto"/>
        </w:rPr>
        <w:fldChar w:fldCharType="separate"/>
      </w:r>
      <w:r>
        <w:rPr>
          <w:color w:val="auto"/>
        </w:rPr>
        <w:t>31</w:t>
      </w:r>
      <w:r>
        <w:rPr>
          <w:color w:val="auto"/>
        </w:rPr>
        <w:fldChar w:fldCharType="end"/>
      </w:r>
      <w:r>
        <w:rPr>
          <w:color w:val="auto"/>
        </w:rPr>
        <w:fldChar w:fldCharType="end"/>
      </w:r>
    </w:p>
    <w:p>
      <w:pPr>
        <w:pStyle w:val="22"/>
        <w:tabs>
          <w:tab w:val="right" w:leader="dot" w:pos="9072"/>
        </w:tabs>
        <w:spacing w:line="360" w:lineRule="auto"/>
        <w:rPr>
          <w:color w:val="auto"/>
        </w:rPr>
      </w:pPr>
      <w:r>
        <w:rPr>
          <w:color w:val="auto"/>
        </w:rPr>
        <w:fldChar w:fldCharType="begin"/>
      </w:r>
      <w:r>
        <w:rPr>
          <w:color w:val="auto"/>
        </w:rPr>
        <w:instrText xml:space="preserve"> HYPERLINK \l "_Toc18578" </w:instrText>
      </w:r>
      <w:r>
        <w:rPr>
          <w:color w:val="auto"/>
        </w:rPr>
        <w:fldChar w:fldCharType="separate"/>
      </w:r>
      <w:r>
        <w:rPr>
          <w:rFonts w:hint="eastAsia" w:asciiTheme="minorEastAsia" w:hAnsiTheme="minorEastAsia" w:eastAsiaTheme="minorEastAsia" w:cstheme="minorEastAsia"/>
          <w:color w:val="auto"/>
          <w:szCs w:val="21"/>
        </w:rPr>
        <w:t>三、评分细则</w:t>
      </w:r>
      <w:r>
        <w:rPr>
          <w:color w:val="auto"/>
        </w:rPr>
        <w:tab/>
      </w:r>
      <w:r>
        <w:rPr>
          <w:color w:val="auto"/>
        </w:rPr>
        <w:fldChar w:fldCharType="begin"/>
      </w:r>
      <w:r>
        <w:rPr>
          <w:color w:val="auto"/>
        </w:rPr>
        <w:instrText xml:space="preserve"> PAGEREF _Toc18578 </w:instrText>
      </w:r>
      <w:r>
        <w:rPr>
          <w:color w:val="auto"/>
        </w:rPr>
        <w:fldChar w:fldCharType="separate"/>
      </w:r>
      <w:r>
        <w:rPr>
          <w:color w:val="auto"/>
        </w:rPr>
        <w:t>32</w:t>
      </w:r>
      <w:r>
        <w:rPr>
          <w:color w:val="auto"/>
        </w:rPr>
        <w:fldChar w:fldCharType="end"/>
      </w:r>
      <w:r>
        <w:rPr>
          <w:color w:val="auto"/>
        </w:rPr>
        <w:fldChar w:fldCharType="end"/>
      </w:r>
    </w:p>
    <w:p>
      <w:pPr>
        <w:pStyle w:val="22"/>
        <w:tabs>
          <w:tab w:val="right" w:leader="dot" w:pos="9072"/>
        </w:tabs>
        <w:spacing w:line="360" w:lineRule="auto"/>
        <w:rPr>
          <w:color w:val="auto"/>
        </w:rPr>
      </w:pPr>
      <w:r>
        <w:rPr>
          <w:color w:val="auto"/>
        </w:rPr>
        <w:fldChar w:fldCharType="begin"/>
      </w:r>
      <w:r>
        <w:rPr>
          <w:color w:val="auto"/>
        </w:rPr>
        <w:instrText xml:space="preserve"> HYPERLINK \l "_Toc32480" </w:instrText>
      </w:r>
      <w:r>
        <w:rPr>
          <w:color w:val="auto"/>
        </w:rPr>
        <w:fldChar w:fldCharType="separate"/>
      </w:r>
      <w:r>
        <w:rPr>
          <w:rFonts w:hint="eastAsia" w:asciiTheme="minorEastAsia" w:hAnsiTheme="minorEastAsia" w:eastAsiaTheme="minorEastAsia" w:cstheme="minorEastAsia"/>
          <w:color w:val="auto"/>
          <w:szCs w:val="21"/>
        </w:rPr>
        <w:t>四、评定办法</w:t>
      </w:r>
      <w:r>
        <w:rPr>
          <w:color w:val="auto"/>
        </w:rPr>
        <w:tab/>
      </w:r>
      <w:r>
        <w:rPr>
          <w:color w:val="auto"/>
        </w:rPr>
        <w:fldChar w:fldCharType="begin"/>
      </w:r>
      <w:r>
        <w:rPr>
          <w:color w:val="auto"/>
        </w:rPr>
        <w:instrText xml:space="preserve"> PAGEREF _Toc32480 </w:instrText>
      </w:r>
      <w:r>
        <w:rPr>
          <w:color w:val="auto"/>
        </w:rPr>
        <w:fldChar w:fldCharType="separate"/>
      </w:r>
      <w:r>
        <w:rPr>
          <w:color w:val="auto"/>
        </w:rPr>
        <w:t>34</w:t>
      </w:r>
      <w:r>
        <w:rPr>
          <w:color w:val="auto"/>
        </w:rPr>
        <w:fldChar w:fldCharType="end"/>
      </w:r>
      <w:r>
        <w:rPr>
          <w:color w:val="auto"/>
        </w:rPr>
        <w:fldChar w:fldCharType="end"/>
      </w:r>
    </w:p>
    <w:p>
      <w:pPr>
        <w:pStyle w:val="22"/>
        <w:tabs>
          <w:tab w:val="right" w:leader="dot" w:pos="9072"/>
        </w:tabs>
        <w:spacing w:line="360" w:lineRule="auto"/>
        <w:rPr>
          <w:color w:val="auto"/>
        </w:rPr>
      </w:pPr>
      <w:r>
        <w:rPr>
          <w:color w:val="auto"/>
        </w:rPr>
        <w:fldChar w:fldCharType="begin"/>
      </w:r>
      <w:r>
        <w:rPr>
          <w:color w:val="auto"/>
        </w:rPr>
        <w:instrText xml:space="preserve"> HYPERLINK \l "_Toc2647" </w:instrText>
      </w:r>
      <w:r>
        <w:rPr>
          <w:color w:val="auto"/>
        </w:rPr>
        <w:fldChar w:fldCharType="separate"/>
      </w:r>
      <w:r>
        <w:rPr>
          <w:rFonts w:hint="eastAsia" w:asciiTheme="minorEastAsia" w:hAnsiTheme="minorEastAsia" w:eastAsiaTheme="minorEastAsia" w:cstheme="minorEastAsia"/>
          <w:color w:val="auto"/>
          <w:szCs w:val="21"/>
        </w:rPr>
        <w:t>五、磋商及评审步骤</w:t>
      </w:r>
      <w:r>
        <w:rPr>
          <w:color w:val="auto"/>
        </w:rPr>
        <w:tab/>
      </w:r>
      <w:r>
        <w:rPr>
          <w:color w:val="auto"/>
        </w:rPr>
        <w:fldChar w:fldCharType="begin"/>
      </w:r>
      <w:r>
        <w:rPr>
          <w:color w:val="auto"/>
        </w:rPr>
        <w:instrText xml:space="preserve"> PAGEREF _Toc2647 </w:instrText>
      </w:r>
      <w:r>
        <w:rPr>
          <w:color w:val="auto"/>
        </w:rPr>
        <w:fldChar w:fldCharType="separate"/>
      </w:r>
      <w:r>
        <w:rPr>
          <w:color w:val="auto"/>
        </w:rPr>
        <w:t>35</w:t>
      </w:r>
      <w:r>
        <w:rPr>
          <w:color w:val="auto"/>
        </w:rPr>
        <w:fldChar w:fldCharType="end"/>
      </w:r>
      <w:r>
        <w:rPr>
          <w:color w:val="auto"/>
        </w:rPr>
        <w:fldChar w:fldCharType="end"/>
      </w:r>
    </w:p>
    <w:p>
      <w:pPr>
        <w:pStyle w:val="20"/>
        <w:tabs>
          <w:tab w:val="right" w:leader="dot" w:pos="9072"/>
        </w:tabs>
        <w:spacing w:line="360" w:lineRule="auto"/>
        <w:rPr>
          <w:color w:val="auto"/>
        </w:rPr>
      </w:pPr>
      <w:r>
        <w:rPr>
          <w:color w:val="auto"/>
        </w:rPr>
        <w:fldChar w:fldCharType="begin"/>
      </w:r>
      <w:r>
        <w:rPr>
          <w:color w:val="auto"/>
        </w:rPr>
        <w:instrText xml:space="preserve"> HYPERLINK \l "_Toc11100" </w:instrText>
      </w:r>
      <w:r>
        <w:rPr>
          <w:color w:val="auto"/>
        </w:rPr>
        <w:fldChar w:fldCharType="separate"/>
      </w:r>
      <w:r>
        <w:rPr>
          <w:rFonts w:asciiTheme="minorEastAsia" w:hAnsiTheme="minorEastAsia" w:eastAsiaTheme="minorEastAsia" w:cstheme="minorEastAsia"/>
          <w:color w:val="auto"/>
          <w:kern w:val="0"/>
          <w:szCs w:val="36"/>
        </w:rPr>
        <w:t xml:space="preserve">第五章 </w:t>
      </w:r>
      <w:r>
        <w:rPr>
          <w:rFonts w:hint="eastAsia" w:asciiTheme="minorEastAsia" w:hAnsiTheme="minorEastAsia" w:eastAsiaTheme="minorEastAsia" w:cstheme="minorEastAsia"/>
          <w:color w:val="auto"/>
          <w:szCs w:val="36"/>
        </w:rPr>
        <w:t>合同书格式</w:t>
      </w:r>
      <w:r>
        <w:rPr>
          <w:color w:val="auto"/>
        </w:rPr>
        <w:tab/>
      </w:r>
      <w:r>
        <w:rPr>
          <w:color w:val="auto"/>
        </w:rPr>
        <w:fldChar w:fldCharType="begin"/>
      </w:r>
      <w:r>
        <w:rPr>
          <w:color w:val="auto"/>
        </w:rPr>
        <w:instrText xml:space="preserve"> PAGEREF _Toc11100 </w:instrText>
      </w:r>
      <w:r>
        <w:rPr>
          <w:color w:val="auto"/>
        </w:rPr>
        <w:fldChar w:fldCharType="separate"/>
      </w:r>
      <w:r>
        <w:rPr>
          <w:color w:val="auto"/>
        </w:rPr>
        <w:t>37</w:t>
      </w:r>
      <w:r>
        <w:rPr>
          <w:color w:val="auto"/>
        </w:rPr>
        <w:fldChar w:fldCharType="end"/>
      </w:r>
      <w:r>
        <w:rPr>
          <w:color w:val="auto"/>
        </w:rPr>
        <w:fldChar w:fldCharType="end"/>
      </w:r>
    </w:p>
    <w:p>
      <w:pPr>
        <w:pStyle w:val="20"/>
        <w:tabs>
          <w:tab w:val="right" w:leader="dot" w:pos="9072"/>
        </w:tabs>
        <w:spacing w:line="360" w:lineRule="auto"/>
        <w:rPr>
          <w:color w:val="auto"/>
        </w:rPr>
      </w:pPr>
      <w:r>
        <w:rPr>
          <w:color w:val="auto"/>
        </w:rPr>
        <w:fldChar w:fldCharType="begin"/>
      </w:r>
      <w:r>
        <w:rPr>
          <w:color w:val="auto"/>
        </w:rPr>
        <w:instrText xml:space="preserve"> HYPERLINK \l "_Toc17015" </w:instrText>
      </w:r>
      <w:r>
        <w:rPr>
          <w:color w:val="auto"/>
        </w:rPr>
        <w:fldChar w:fldCharType="separate"/>
      </w:r>
      <w:r>
        <w:rPr>
          <w:rFonts w:asciiTheme="minorEastAsia" w:hAnsiTheme="minorEastAsia" w:eastAsiaTheme="minorEastAsia" w:cstheme="minorEastAsia"/>
          <w:color w:val="auto"/>
          <w:szCs w:val="36"/>
        </w:rPr>
        <w:t xml:space="preserve">第六章 </w:t>
      </w:r>
      <w:r>
        <w:rPr>
          <w:rFonts w:hint="eastAsia" w:asciiTheme="minorEastAsia" w:hAnsiTheme="minorEastAsia" w:eastAsiaTheme="minorEastAsia" w:cstheme="minorEastAsia"/>
          <w:color w:val="auto"/>
          <w:szCs w:val="36"/>
        </w:rPr>
        <w:t>竞争性磋商响应文件格式</w:t>
      </w:r>
      <w:r>
        <w:rPr>
          <w:color w:val="auto"/>
        </w:rPr>
        <w:tab/>
      </w:r>
      <w:r>
        <w:rPr>
          <w:color w:val="auto"/>
        </w:rPr>
        <w:fldChar w:fldCharType="begin"/>
      </w:r>
      <w:r>
        <w:rPr>
          <w:color w:val="auto"/>
        </w:rPr>
        <w:instrText xml:space="preserve"> PAGEREF _Toc17015 </w:instrText>
      </w:r>
      <w:r>
        <w:rPr>
          <w:color w:val="auto"/>
        </w:rPr>
        <w:fldChar w:fldCharType="separate"/>
      </w:r>
      <w:r>
        <w:rPr>
          <w:color w:val="auto"/>
        </w:rPr>
        <w:t>39</w:t>
      </w:r>
      <w:r>
        <w:rPr>
          <w:color w:val="auto"/>
        </w:rPr>
        <w:fldChar w:fldCharType="end"/>
      </w:r>
      <w:r>
        <w:rPr>
          <w:color w:val="auto"/>
        </w:rPr>
        <w:fldChar w:fldCharType="end"/>
      </w:r>
    </w:p>
    <w:p>
      <w:pPr>
        <w:pStyle w:val="22"/>
        <w:tabs>
          <w:tab w:val="right" w:leader="dot" w:pos="9072"/>
        </w:tabs>
        <w:spacing w:line="360" w:lineRule="auto"/>
        <w:rPr>
          <w:color w:val="auto"/>
        </w:rPr>
      </w:pPr>
      <w:r>
        <w:rPr>
          <w:color w:val="auto"/>
        </w:rPr>
        <w:fldChar w:fldCharType="begin"/>
      </w:r>
      <w:r>
        <w:rPr>
          <w:color w:val="auto"/>
        </w:rPr>
        <w:instrText xml:space="preserve"> HYPERLINK \l "_Toc14065" </w:instrText>
      </w:r>
      <w:r>
        <w:rPr>
          <w:color w:val="auto"/>
        </w:rPr>
        <w:fldChar w:fldCharType="separate"/>
      </w:r>
      <w:r>
        <w:rPr>
          <w:rFonts w:hint="eastAsia" w:ascii="宋体" w:hAnsi="宋体" w:cs="宋体"/>
          <w:color w:val="auto"/>
          <w:szCs w:val="21"/>
        </w:rPr>
        <w:t>一、评分标准索引表</w:t>
      </w:r>
      <w:r>
        <w:rPr>
          <w:color w:val="auto"/>
        </w:rPr>
        <w:tab/>
      </w:r>
      <w:r>
        <w:rPr>
          <w:color w:val="auto"/>
        </w:rPr>
        <w:fldChar w:fldCharType="begin"/>
      </w:r>
      <w:r>
        <w:rPr>
          <w:color w:val="auto"/>
        </w:rPr>
        <w:instrText xml:space="preserve"> PAGEREF _Toc14065 </w:instrText>
      </w:r>
      <w:r>
        <w:rPr>
          <w:color w:val="auto"/>
        </w:rPr>
        <w:fldChar w:fldCharType="separate"/>
      </w:r>
      <w:r>
        <w:rPr>
          <w:color w:val="auto"/>
        </w:rPr>
        <w:t>40</w:t>
      </w:r>
      <w:r>
        <w:rPr>
          <w:color w:val="auto"/>
        </w:rPr>
        <w:fldChar w:fldCharType="end"/>
      </w:r>
      <w:r>
        <w:rPr>
          <w:color w:val="auto"/>
        </w:rPr>
        <w:fldChar w:fldCharType="end"/>
      </w:r>
    </w:p>
    <w:p>
      <w:pPr>
        <w:pStyle w:val="22"/>
        <w:tabs>
          <w:tab w:val="right" w:leader="dot" w:pos="9072"/>
        </w:tabs>
        <w:spacing w:line="360" w:lineRule="auto"/>
        <w:rPr>
          <w:color w:val="auto"/>
        </w:rPr>
      </w:pPr>
      <w:r>
        <w:rPr>
          <w:color w:val="auto"/>
        </w:rPr>
        <w:fldChar w:fldCharType="begin"/>
      </w:r>
      <w:r>
        <w:rPr>
          <w:color w:val="auto"/>
        </w:rPr>
        <w:instrText xml:space="preserve"> HYPERLINK \l "_Toc8850" </w:instrText>
      </w:r>
      <w:r>
        <w:rPr>
          <w:color w:val="auto"/>
        </w:rPr>
        <w:fldChar w:fldCharType="separate"/>
      </w:r>
      <w:r>
        <w:rPr>
          <w:rFonts w:hint="eastAsia" w:asciiTheme="minorEastAsia" w:hAnsiTheme="minorEastAsia" w:eastAsiaTheme="minorEastAsia" w:cstheme="minorEastAsia"/>
          <w:color w:val="auto"/>
        </w:rPr>
        <w:t>二、磋商书</w:t>
      </w:r>
      <w:r>
        <w:rPr>
          <w:color w:val="auto"/>
        </w:rPr>
        <w:tab/>
      </w:r>
      <w:r>
        <w:rPr>
          <w:color w:val="auto"/>
        </w:rPr>
        <w:fldChar w:fldCharType="begin"/>
      </w:r>
      <w:r>
        <w:rPr>
          <w:color w:val="auto"/>
        </w:rPr>
        <w:instrText xml:space="preserve"> PAGEREF _Toc8850 </w:instrText>
      </w:r>
      <w:r>
        <w:rPr>
          <w:color w:val="auto"/>
        </w:rPr>
        <w:fldChar w:fldCharType="separate"/>
      </w:r>
      <w:r>
        <w:rPr>
          <w:color w:val="auto"/>
        </w:rPr>
        <w:t>41</w:t>
      </w:r>
      <w:r>
        <w:rPr>
          <w:color w:val="auto"/>
        </w:rPr>
        <w:fldChar w:fldCharType="end"/>
      </w:r>
      <w:r>
        <w:rPr>
          <w:color w:val="auto"/>
        </w:rPr>
        <w:fldChar w:fldCharType="end"/>
      </w:r>
    </w:p>
    <w:p>
      <w:pPr>
        <w:pStyle w:val="22"/>
        <w:tabs>
          <w:tab w:val="right" w:leader="dot" w:pos="9072"/>
        </w:tabs>
        <w:spacing w:line="360" w:lineRule="auto"/>
        <w:rPr>
          <w:color w:val="auto"/>
        </w:rPr>
      </w:pPr>
      <w:r>
        <w:rPr>
          <w:color w:val="auto"/>
        </w:rPr>
        <w:fldChar w:fldCharType="begin"/>
      </w:r>
      <w:r>
        <w:rPr>
          <w:color w:val="auto"/>
        </w:rPr>
        <w:instrText xml:space="preserve"> HYPERLINK \l "_Toc24882" </w:instrText>
      </w:r>
      <w:r>
        <w:rPr>
          <w:color w:val="auto"/>
        </w:rPr>
        <w:fldChar w:fldCharType="separate"/>
      </w:r>
      <w:r>
        <w:rPr>
          <w:rFonts w:hint="eastAsia" w:asciiTheme="minorEastAsia" w:hAnsiTheme="minorEastAsia" w:eastAsiaTheme="minorEastAsia" w:cstheme="minorEastAsia"/>
          <w:color w:val="auto"/>
        </w:rPr>
        <w:t>三、法定代表人授权书</w:t>
      </w:r>
      <w:r>
        <w:rPr>
          <w:color w:val="auto"/>
        </w:rPr>
        <w:tab/>
      </w:r>
      <w:r>
        <w:rPr>
          <w:color w:val="auto"/>
        </w:rPr>
        <w:fldChar w:fldCharType="begin"/>
      </w:r>
      <w:r>
        <w:rPr>
          <w:color w:val="auto"/>
        </w:rPr>
        <w:instrText xml:space="preserve"> PAGEREF _Toc24882 </w:instrText>
      </w:r>
      <w:r>
        <w:rPr>
          <w:color w:val="auto"/>
        </w:rPr>
        <w:fldChar w:fldCharType="separate"/>
      </w:r>
      <w:r>
        <w:rPr>
          <w:color w:val="auto"/>
        </w:rPr>
        <w:t>42</w:t>
      </w:r>
      <w:r>
        <w:rPr>
          <w:color w:val="auto"/>
        </w:rPr>
        <w:fldChar w:fldCharType="end"/>
      </w:r>
      <w:r>
        <w:rPr>
          <w:color w:val="auto"/>
        </w:rPr>
        <w:fldChar w:fldCharType="end"/>
      </w:r>
    </w:p>
    <w:p>
      <w:pPr>
        <w:pStyle w:val="22"/>
        <w:tabs>
          <w:tab w:val="right" w:leader="dot" w:pos="9072"/>
        </w:tabs>
        <w:spacing w:line="360" w:lineRule="auto"/>
        <w:rPr>
          <w:color w:val="auto"/>
        </w:rPr>
      </w:pPr>
      <w:r>
        <w:rPr>
          <w:color w:val="auto"/>
        </w:rPr>
        <w:fldChar w:fldCharType="begin"/>
      </w:r>
      <w:r>
        <w:rPr>
          <w:color w:val="auto"/>
        </w:rPr>
        <w:instrText xml:space="preserve"> HYPERLINK \l "_Toc19133" </w:instrText>
      </w:r>
      <w:r>
        <w:rPr>
          <w:color w:val="auto"/>
        </w:rPr>
        <w:fldChar w:fldCharType="separate"/>
      </w:r>
      <w:r>
        <w:rPr>
          <w:rFonts w:hint="eastAsia" w:asciiTheme="minorEastAsia" w:hAnsiTheme="minorEastAsia" w:eastAsiaTheme="minorEastAsia" w:cstheme="minorEastAsia"/>
          <w:bCs/>
          <w:color w:val="auto"/>
          <w:kern w:val="0"/>
          <w:szCs w:val="21"/>
        </w:rPr>
        <w:t>四、</w:t>
      </w:r>
      <w:r>
        <w:rPr>
          <w:rFonts w:hint="eastAsia" w:asciiTheme="minorEastAsia" w:hAnsiTheme="minorEastAsia" w:eastAsiaTheme="minorEastAsia" w:cstheme="minorEastAsia"/>
          <w:bCs/>
          <w:color w:val="auto"/>
          <w:szCs w:val="21"/>
        </w:rPr>
        <w:t>法定代表人身份证明书</w:t>
      </w:r>
      <w:r>
        <w:rPr>
          <w:color w:val="auto"/>
        </w:rPr>
        <w:tab/>
      </w:r>
      <w:r>
        <w:rPr>
          <w:color w:val="auto"/>
        </w:rPr>
        <w:fldChar w:fldCharType="begin"/>
      </w:r>
      <w:r>
        <w:rPr>
          <w:color w:val="auto"/>
        </w:rPr>
        <w:instrText xml:space="preserve"> PAGEREF _Toc19133 </w:instrText>
      </w:r>
      <w:r>
        <w:rPr>
          <w:color w:val="auto"/>
        </w:rPr>
        <w:fldChar w:fldCharType="separate"/>
      </w:r>
      <w:r>
        <w:rPr>
          <w:color w:val="auto"/>
        </w:rPr>
        <w:t>43</w:t>
      </w:r>
      <w:r>
        <w:rPr>
          <w:color w:val="auto"/>
        </w:rPr>
        <w:fldChar w:fldCharType="end"/>
      </w:r>
      <w:r>
        <w:rPr>
          <w:color w:val="auto"/>
        </w:rPr>
        <w:fldChar w:fldCharType="end"/>
      </w:r>
    </w:p>
    <w:p>
      <w:pPr>
        <w:pStyle w:val="22"/>
        <w:tabs>
          <w:tab w:val="right" w:leader="dot" w:pos="9072"/>
        </w:tabs>
        <w:spacing w:line="360" w:lineRule="auto"/>
        <w:rPr>
          <w:color w:val="auto"/>
        </w:rPr>
      </w:pPr>
      <w:r>
        <w:rPr>
          <w:color w:val="auto"/>
        </w:rPr>
        <w:fldChar w:fldCharType="begin"/>
      </w:r>
      <w:r>
        <w:rPr>
          <w:color w:val="auto"/>
        </w:rPr>
        <w:instrText xml:space="preserve"> HYPERLINK \l "_Toc24587" </w:instrText>
      </w:r>
      <w:r>
        <w:rPr>
          <w:color w:val="auto"/>
        </w:rPr>
        <w:fldChar w:fldCharType="separate"/>
      </w:r>
      <w:r>
        <w:rPr>
          <w:rFonts w:hint="eastAsia" w:asciiTheme="minorEastAsia" w:hAnsiTheme="minorEastAsia" w:eastAsiaTheme="minorEastAsia" w:cstheme="minorEastAsia"/>
          <w:bCs/>
          <w:color w:val="auto"/>
          <w:szCs w:val="21"/>
        </w:rPr>
        <w:t>五、报价一览表</w:t>
      </w:r>
      <w:r>
        <w:rPr>
          <w:color w:val="auto"/>
        </w:rPr>
        <w:tab/>
      </w:r>
      <w:r>
        <w:rPr>
          <w:color w:val="auto"/>
        </w:rPr>
        <w:fldChar w:fldCharType="begin"/>
      </w:r>
      <w:r>
        <w:rPr>
          <w:color w:val="auto"/>
        </w:rPr>
        <w:instrText xml:space="preserve"> PAGEREF _Toc24587 </w:instrText>
      </w:r>
      <w:r>
        <w:rPr>
          <w:color w:val="auto"/>
        </w:rPr>
        <w:fldChar w:fldCharType="separate"/>
      </w:r>
      <w:r>
        <w:rPr>
          <w:color w:val="auto"/>
        </w:rPr>
        <w:t>44</w:t>
      </w:r>
      <w:r>
        <w:rPr>
          <w:color w:val="auto"/>
        </w:rPr>
        <w:fldChar w:fldCharType="end"/>
      </w:r>
      <w:r>
        <w:rPr>
          <w:color w:val="auto"/>
        </w:rPr>
        <w:fldChar w:fldCharType="end"/>
      </w:r>
    </w:p>
    <w:p>
      <w:pPr>
        <w:pStyle w:val="22"/>
        <w:tabs>
          <w:tab w:val="right" w:leader="dot" w:pos="9072"/>
        </w:tabs>
        <w:spacing w:line="360" w:lineRule="auto"/>
        <w:rPr>
          <w:color w:val="auto"/>
        </w:rPr>
      </w:pPr>
      <w:r>
        <w:rPr>
          <w:color w:val="auto"/>
        </w:rPr>
        <w:fldChar w:fldCharType="begin"/>
      </w:r>
      <w:r>
        <w:rPr>
          <w:color w:val="auto"/>
        </w:rPr>
        <w:instrText xml:space="preserve"> HYPERLINK \l "_Toc9154" </w:instrText>
      </w:r>
      <w:r>
        <w:rPr>
          <w:color w:val="auto"/>
        </w:rPr>
        <w:fldChar w:fldCharType="separate"/>
      </w:r>
      <w:r>
        <w:rPr>
          <w:rFonts w:hint="eastAsia" w:asciiTheme="minorEastAsia" w:hAnsiTheme="minorEastAsia" w:eastAsiaTheme="minorEastAsia" w:cstheme="minorEastAsia"/>
          <w:bCs/>
          <w:color w:val="auto"/>
          <w:szCs w:val="21"/>
        </w:rPr>
        <w:t>六、报价费用构成表</w:t>
      </w:r>
      <w:r>
        <w:rPr>
          <w:color w:val="auto"/>
        </w:rPr>
        <w:tab/>
      </w:r>
      <w:r>
        <w:rPr>
          <w:color w:val="auto"/>
        </w:rPr>
        <w:fldChar w:fldCharType="begin"/>
      </w:r>
      <w:r>
        <w:rPr>
          <w:color w:val="auto"/>
        </w:rPr>
        <w:instrText xml:space="preserve"> PAGEREF _Toc9154 </w:instrText>
      </w:r>
      <w:r>
        <w:rPr>
          <w:color w:val="auto"/>
        </w:rPr>
        <w:fldChar w:fldCharType="separate"/>
      </w:r>
      <w:r>
        <w:rPr>
          <w:color w:val="auto"/>
        </w:rPr>
        <w:t>45</w:t>
      </w:r>
      <w:r>
        <w:rPr>
          <w:color w:val="auto"/>
        </w:rPr>
        <w:fldChar w:fldCharType="end"/>
      </w:r>
      <w:r>
        <w:rPr>
          <w:color w:val="auto"/>
        </w:rPr>
        <w:fldChar w:fldCharType="end"/>
      </w:r>
    </w:p>
    <w:p>
      <w:pPr>
        <w:pStyle w:val="22"/>
        <w:tabs>
          <w:tab w:val="right" w:leader="dot" w:pos="9072"/>
        </w:tabs>
        <w:spacing w:line="360" w:lineRule="auto"/>
        <w:rPr>
          <w:color w:val="auto"/>
        </w:rPr>
      </w:pPr>
      <w:r>
        <w:rPr>
          <w:color w:val="auto"/>
        </w:rPr>
        <w:fldChar w:fldCharType="begin"/>
      </w:r>
      <w:r>
        <w:rPr>
          <w:color w:val="auto"/>
        </w:rPr>
        <w:instrText xml:space="preserve"> HYPERLINK \l "_Toc8555" </w:instrText>
      </w:r>
      <w:r>
        <w:rPr>
          <w:color w:val="auto"/>
        </w:rPr>
        <w:fldChar w:fldCharType="separate"/>
      </w:r>
      <w:r>
        <w:rPr>
          <w:rFonts w:hint="eastAsia" w:asciiTheme="minorEastAsia" w:hAnsiTheme="minorEastAsia" w:eastAsiaTheme="minorEastAsia" w:cstheme="minorEastAsia"/>
          <w:bCs/>
          <w:color w:val="auto"/>
          <w:szCs w:val="21"/>
        </w:rPr>
        <w:t>七、耗材清单</w:t>
      </w:r>
      <w:r>
        <w:rPr>
          <w:color w:val="auto"/>
        </w:rPr>
        <w:tab/>
      </w:r>
      <w:r>
        <w:rPr>
          <w:color w:val="auto"/>
        </w:rPr>
        <w:fldChar w:fldCharType="begin"/>
      </w:r>
      <w:r>
        <w:rPr>
          <w:color w:val="auto"/>
        </w:rPr>
        <w:instrText xml:space="preserve"> PAGEREF _Toc8555 </w:instrText>
      </w:r>
      <w:r>
        <w:rPr>
          <w:color w:val="auto"/>
        </w:rPr>
        <w:fldChar w:fldCharType="separate"/>
      </w:r>
      <w:r>
        <w:rPr>
          <w:color w:val="auto"/>
        </w:rPr>
        <w:t>46</w:t>
      </w:r>
      <w:r>
        <w:rPr>
          <w:color w:val="auto"/>
        </w:rPr>
        <w:fldChar w:fldCharType="end"/>
      </w:r>
      <w:r>
        <w:rPr>
          <w:color w:val="auto"/>
        </w:rPr>
        <w:fldChar w:fldCharType="end"/>
      </w:r>
    </w:p>
    <w:p>
      <w:pPr>
        <w:pStyle w:val="22"/>
        <w:tabs>
          <w:tab w:val="right" w:leader="dot" w:pos="9072"/>
        </w:tabs>
        <w:spacing w:line="360" w:lineRule="auto"/>
        <w:rPr>
          <w:color w:val="auto"/>
        </w:rPr>
      </w:pPr>
      <w:r>
        <w:rPr>
          <w:color w:val="auto"/>
        </w:rPr>
        <w:fldChar w:fldCharType="begin"/>
      </w:r>
      <w:r>
        <w:rPr>
          <w:color w:val="auto"/>
        </w:rPr>
        <w:instrText xml:space="preserve"> HYPERLINK \l "_Toc4858" </w:instrText>
      </w:r>
      <w:r>
        <w:rPr>
          <w:color w:val="auto"/>
        </w:rPr>
        <w:fldChar w:fldCharType="separate"/>
      </w:r>
      <w:r>
        <w:rPr>
          <w:rFonts w:hint="eastAsia" w:asciiTheme="minorEastAsia" w:hAnsiTheme="minorEastAsia" w:eastAsiaTheme="minorEastAsia" w:cstheme="minorEastAsia"/>
          <w:bCs/>
          <w:color w:val="auto"/>
          <w:szCs w:val="21"/>
        </w:rPr>
        <w:t>八、拟投入设备/备件、工具情况</w:t>
      </w:r>
      <w:r>
        <w:rPr>
          <w:color w:val="auto"/>
        </w:rPr>
        <w:tab/>
      </w:r>
      <w:r>
        <w:rPr>
          <w:color w:val="auto"/>
        </w:rPr>
        <w:fldChar w:fldCharType="begin"/>
      </w:r>
      <w:r>
        <w:rPr>
          <w:color w:val="auto"/>
        </w:rPr>
        <w:instrText xml:space="preserve"> PAGEREF _Toc4858 </w:instrText>
      </w:r>
      <w:r>
        <w:rPr>
          <w:color w:val="auto"/>
        </w:rPr>
        <w:fldChar w:fldCharType="separate"/>
      </w:r>
      <w:r>
        <w:rPr>
          <w:color w:val="auto"/>
        </w:rPr>
        <w:t>47</w:t>
      </w:r>
      <w:r>
        <w:rPr>
          <w:color w:val="auto"/>
        </w:rPr>
        <w:fldChar w:fldCharType="end"/>
      </w:r>
      <w:r>
        <w:rPr>
          <w:color w:val="auto"/>
        </w:rPr>
        <w:fldChar w:fldCharType="end"/>
      </w:r>
    </w:p>
    <w:p>
      <w:pPr>
        <w:pStyle w:val="22"/>
        <w:tabs>
          <w:tab w:val="right" w:leader="dot" w:pos="9072"/>
        </w:tabs>
        <w:spacing w:line="360" w:lineRule="auto"/>
        <w:rPr>
          <w:color w:val="auto"/>
        </w:rPr>
      </w:pPr>
      <w:r>
        <w:rPr>
          <w:color w:val="auto"/>
        </w:rPr>
        <w:fldChar w:fldCharType="begin"/>
      </w:r>
      <w:r>
        <w:rPr>
          <w:color w:val="auto"/>
        </w:rPr>
        <w:instrText xml:space="preserve"> HYPERLINK \l "_Toc28637" </w:instrText>
      </w:r>
      <w:r>
        <w:rPr>
          <w:color w:val="auto"/>
        </w:rPr>
        <w:fldChar w:fldCharType="separate"/>
      </w:r>
      <w:r>
        <w:rPr>
          <w:rFonts w:hint="eastAsia" w:asciiTheme="minorEastAsia" w:hAnsiTheme="minorEastAsia" w:eastAsiaTheme="minorEastAsia" w:cstheme="minorEastAsia"/>
          <w:bCs/>
          <w:color w:val="auto"/>
          <w:szCs w:val="21"/>
        </w:rPr>
        <w:t>九、缴纳保证金的银行凭证（如有）</w:t>
      </w:r>
      <w:r>
        <w:rPr>
          <w:color w:val="auto"/>
        </w:rPr>
        <w:tab/>
      </w:r>
      <w:r>
        <w:rPr>
          <w:color w:val="auto"/>
        </w:rPr>
        <w:fldChar w:fldCharType="begin"/>
      </w:r>
      <w:r>
        <w:rPr>
          <w:color w:val="auto"/>
        </w:rPr>
        <w:instrText xml:space="preserve"> PAGEREF _Toc28637 </w:instrText>
      </w:r>
      <w:r>
        <w:rPr>
          <w:color w:val="auto"/>
        </w:rPr>
        <w:fldChar w:fldCharType="separate"/>
      </w:r>
      <w:r>
        <w:rPr>
          <w:color w:val="auto"/>
        </w:rPr>
        <w:t>48</w:t>
      </w:r>
      <w:r>
        <w:rPr>
          <w:color w:val="auto"/>
        </w:rPr>
        <w:fldChar w:fldCharType="end"/>
      </w:r>
      <w:r>
        <w:rPr>
          <w:color w:val="auto"/>
        </w:rPr>
        <w:fldChar w:fldCharType="end"/>
      </w:r>
    </w:p>
    <w:p>
      <w:pPr>
        <w:pStyle w:val="22"/>
        <w:tabs>
          <w:tab w:val="right" w:leader="dot" w:pos="9072"/>
        </w:tabs>
        <w:spacing w:line="360" w:lineRule="auto"/>
        <w:rPr>
          <w:color w:val="auto"/>
        </w:rPr>
      </w:pPr>
      <w:r>
        <w:rPr>
          <w:color w:val="auto"/>
        </w:rPr>
        <w:fldChar w:fldCharType="begin"/>
      </w:r>
      <w:r>
        <w:rPr>
          <w:color w:val="auto"/>
        </w:rPr>
        <w:instrText xml:space="preserve"> HYPERLINK \l "_Toc12530" </w:instrText>
      </w:r>
      <w:r>
        <w:rPr>
          <w:color w:val="auto"/>
        </w:rPr>
        <w:fldChar w:fldCharType="separate"/>
      </w:r>
      <w:r>
        <w:rPr>
          <w:rFonts w:hint="eastAsia" w:asciiTheme="minorEastAsia" w:hAnsiTheme="minorEastAsia" w:eastAsiaTheme="minorEastAsia" w:cstheme="minorEastAsia"/>
          <w:bCs/>
          <w:color w:val="auto"/>
          <w:szCs w:val="21"/>
        </w:rPr>
        <w:t>十、偏离说明表</w:t>
      </w:r>
      <w:r>
        <w:rPr>
          <w:color w:val="auto"/>
        </w:rPr>
        <w:tab/>
      </w:r>
      <w:r>
        <w:rPr>
          <w:color w:val="auto"/>
        </w:rPr>
        <w:fldChar w:fldCharType="begin"/>
      </w:r>
      <w:r>
        <w:rPr>
          <w:color w:val="auto"/>
        </w:rPr>
        <w:instrText xml:space="preserve"> PAGEREF _Toc12530 </w:instrText>
      </w:r>
      <w:r>
        <w:rPr>
          <w:color w:val="auto"/>
        </w:rPr>
        <w:fldChar w:fldCharType="separate"/>
      </w:r>
      <w:r>
        <w:rPr>
          <w:color w:val="auto"/>
        </w:rPr>
        <w:t>49</w:t>
      </w:r>
      <w:r>
        <w:rPr>
          <w:color w:val="auto"/>
        </w:rPr>
        <w:fldChar w:fldCharType="end"/>
      </w:r>
      <w:r>
        <w:rPr>
          <w:color w:val="auto"/>
        </w:rPr>
        <w:fldChar w:fldCharType="end"/>
      </w:r>
    </w:p>
    <w:p>
      <w:pPr>
        <w:pStyle w:val="22"/>
        <w:tabs>
          <w:tab w:val="right" w:leader="dot" w:pos="9072"/>
        </w:tabs>
        <w:spacing w:line="360" w:lineRule="auto"/>
        <w:rPr>
          <w:color w:val="auto"/>
        </w:rPr>
      </w:pPr>
      <w:r>
        <w:rPr>
          <w:color w:val="auto"/>
        </w:rPr>
        <w:fldChar w:fldCharType="begin"/>
      </w:r>
      <w:r>
        <w:rPr>
          <w:color w:val="auto"/>
        </w:rPr>
        <w:instrText xml:space="preserve"> HYPERLINK \l "_Toc24869" </w:instrText>
      </w:r>
      <w:r>
        <w:rPr>
          <w:color w:val="auto"/>
        </w:rPr>
        <w:fldChar w:fldCharType="separate"/>
      </w:r>
      <w:r>
        <w:rPr>
          <w:rFonts w:hint="eastAsia" w:asciiTheme="minorEastAsia" w:hAnsiTheme="minorEastAsia" w:eastAsiaTheme="minorEastAsia" w:cstheme="minorEastAsia"/>
          <w:color w:val="auto"/>
          <w:kern w:val="0"/>
          <w:szCs w:val="21"/>
        </w:rPr>
        <w:t>十一、</w:t>
      </w:r>
      <w:r>
        <w:rPr>
          <w:rFonts w:hint="eastAsia" w:asciiTheme="minorEastAsia" w:hAnsiTheme="minorEastAsia" w:eastAsiaTheme="minorEastAsia" w:cstheme="minorEastAsia"/>
          <w:bCs/>
          <w:color w:val="auto"/>
          <w:szCs w:val="21"/>
        </w:rPr>
        <w:t xml:space="preserve">类似业绩一览表 </w:t>
      </w:r>
      <w:r>
        <w:rPr>
          <w:color w:val="auto"/>
        </w:rPr>
        <w:tab/>
      </w:r>
      <w:r>
        <w:rPr>
          <w:color w:val="auto"/>
        </w:rPr>
        <w:fldChar w:fldCharType="begin"/>
      </w:r>
      <w:r>
        <w:rPr>
          <w:color w:val="auto"/>
        </w:rPr>
        <w:instrText xml:space="preserve"> PAGEREF _Toc24869 </w:instrText>
      </w:r>
      <w:r>
        <w:rPr>
          <w:color w:val="auto"/>
        </w:rPr>
        <w:fldChar w:fldCharType="separate"/>
      </w:r>
      <w:r>
        <w:rPr>
          <w:color w:val="auto"/>
        </w:rPr>
        <w:t>50</w:t>
      </w:r>
      <w:r>
        <w:rPr>
          <w:color w:val="auto"/>
        </w:rPr>
        <w:fldChar w:fldCharType="end"/>
      </w:r>
      <w:r>
        <w:rPr>
          <w:color w:val="auto"/>
        </w:rPr>
        <w:fldChar w:fldCharType="end"/>
      </w:r>
    </w:p>
    <w:p>
      <w:pPr>
        <w:pStyle w:val="22"/>
        <w:tabs>
          <w:tab w:val="right" w:leader="dot" w:pos="9072"/>
        </w:tabs>
        <w:spacing w:line="360" w:lineRule="auto"/>
        <w:rPr>
          <w:color w:val="auto"/>
        </w:rPr>
      </w:pPr>
      <w:r>
        <w:rPr>
          <w:color w:val="auto"/>
        </w:rPr>
        <w:fldChar w:fldCharType="begin"/>
      </w:r>
      <w:r>
        <w:rPr>
          <w:color w:val="auto"/>
        </w:rPr>
        <w:instrText xml:space="preserve"> HYPERLINK \l "_Toc17955" </w:instrText>
      </w:r>
      <w:r>
        <w:rPr>
          <w:color w:val="auto"/>
        </w:rPr>
        <w:fldChar w:fldCharType="separate"/>
      </w:r>
      <w:r>
        <w:rPr>
          <w:rFonts w:hint="eastAsia" w:asciiTheme="minorEastAsia" w:hAnsiTheme="minorEastAsia" w:eastAsiaTheme="minorEastAsia" w:cstheme="minorEastAsia"/>
          <w:bCs/>
          <w:color w:val="auto"/>
          <w:szCs w:val="21"/>
        </w:rPr>
        <w:t>十二、拟投入项目组人员一览表</w:t>
      </w:r>
      <w:r>
        <w:rPr>
          <w:color w:val="auto"/>
        </w:rPr>
        <w:tab/>
      </w:r>
      <w:r>
        <w:rPr>
          <w:color w:val="auto"/>
        </w:rPr>
        <w:fldChar w:fldCharType="begin"/>
      </w:r>
      <w:r>
        <w:rPr>
          <w:color w:val="auto"/>
        </w:rPr>
        <w:instrText xml:space="preserve"> PAGEREF _Toc17955 </w:instrText>
      </w:r>
      <w:r>
        <w:rPr>
          <w:color w:val="auto"/>
        </w:rPr>
        <w:fldChar w:fldCharType="separate"/>
      </w:r>
      <w:r>
        <w:rPr>
          <w:color w:val="auto"/>
        </w:rPr>
        <w:t>51</w:t>
      </w:r>
      <w:r>
        <w:rPr>
          <w:color w:val="auto"/>
        </w:rPr>
        <w:fldChar w:fldCharType="end"/>
      </w:r>
      <w:r>
        <w:rPr>
          <w:color w:val="auto"/>
        </w:rPr>
        <w:fldChar w:fldCharType="end"/>
      </w:r>
    </w:p>
    <w:p>
      <w:pPr>
        <w:pStyle w:val="22"/>
        <w:tabs>
          <w:tab w:val="right" w:leader="dot" w:pos="9072"/>
        </w:tabs>
        <w:spacing w:line="360" w:lineRule="auto"/>
        <w:rPr>
          <w:color w:val="auto"/>
        </w:rPr>
      </w:pPr>
      <w:r>
        <w:rPr>
          <w:color w:val="auto"/>
        </w:rPr>
        <w:fldChar w:fldCharType="begin"/>
      </w:r>
      <w:r>
        <w:rPr>
          <w:color w:val="auto"/>
        </w:rPr>
        <w:instrText xml:space="preserve"> HYPERLINK \l "_Toc1688" </w:instrText>
      </w:r>
      <w:r>
        <w:rPr>
          <w:color w:val="auto"/>
        </w:rPr>
        <w:fldChar w:fldCharType="separate"/>
      </w:r>
      <w:r>
        <w:rPr>
          <w:rFonts w:hint="eastAsia" w:asciiTheme="minorEastAsia" w:hAnsiTheme="minorEastAsia" w:eastAsiaTheme="minorEastAsia" w:cstheme="minorEastAsia"/>
          <w:bCs/>
          <w:color w:val="auto"/>
          <w:kern w:val="0"/>
          <w:szCs w:val="21"/>
        </w:rPr>
        <w:t>十三、</w:t>
      </w:r>
      <w:r>
        <w:rPr>
          <w:rFonts w:hint="eastAsia" w:asciiTheme="minorEastAsia" w:hAnsiTheme="minorEastAsia" w:eastAsiaTheme="minorEastAsia" w:cstheme="minorEastAsia"/>
          <w:bCs/>
          <w:color w:val="auto"/>
          <w:szCs w:val="21"/>
        </w:rPr>
        <w:t>供应商的资格声明</w:t>
      </w:r>
      <w:r>
        <w:rPr>
          <w:color w:val="auto"/>
        </w:rPr>
        <w:tab/>
      </w:r>
      <w:r>
        <w:rPr>
          <w:color w:val="auto"/>
        </w:rPr>
        <w:fldChar w:fldCharType="begin"/>
      </w:r>
      <w:r>
        <w:rPr>
          <w:color w:val="auto"/>
        </w:rPr>
        <w:instrText xml:space="preserve"> PAGEREF _Toc1688 </w:instrText>
      </w:r>
      <w:r>
        <w:rPr>
          <w:color w:val="auto"/>
        </w:rPr>
        <w:fldChar w:fldCharType="separate"/>
      </w:r>
      <w:r>
        <w:rPr>
          <w:color w:val="auto"/>
        </w:rPr>
        <w:t>52</w:t>
      </w:r>
      <w:r>
        <w:rPr>
          <w:color w:val="auto"/>
        </w:rPr>
        <w:fldChar w:fldCharType="end"/>
      </w:r>
      <w:r>
        <w:rPr>
          <w:color w:val="auto"/>
        </w:rPr>
        <w:fldChar w:fldCharType="end"/>
      </w:r>
    </w:p>
    <w:p>
      <w:pPr>
        <w:pStyle w:val="22"/>
        <w:tabs>
          <w:tab w:val="right" w:leader="dot" w:pos="9072"/>
        </w:tabs>
        <w:spacing w:line="360" w:lineRule="auto"/>
        <w:rPr>
          <w:color w:val="auto"/>
        </w:rPr>
      </w:pPr>
      <w:r>
        <w:rPr>
          <w:color w:val="auto"/>
        </w:rPr>
        <w:fldChar w:fldCharType="begin"/>
      </w:r>
      <w:r>
        <w:rPr>
          <w:color w:val="auto"/>
        </w:rPr>
        <w:instrText xml:space="preserve"> HYPERLINK \l "_Toc18017" </w:instrText>
      </w:r>
      <w:r>
        <w:rPr>
          <w:color w:val="auto"/>
        </w:rPr>
        <w:fldChar w:fldCharType="separate"/>
      </w:r>
      <w:r>
        <w:rPr>
          <w:rFonts w:hint="eastAsia" w:asciiTheme="minorEastAsia" w:hAnsiTheme="minorEastAsia" w:eastAsiaTheme="minorEastAsia" w:cstheme="minorEastAsia"/>
          <w:bCs/>
          <w:color w:val="auto"/>
          <w:kern w:val="0"/>
          <w:szCs w:val="21"/>
        </w:rPr>
        <w:t>十四、</w:t>
      </w:r>
      <w:r>
        <w:rPr>
          <w:rFonts w:hint="eastAsia" w:asciiTheme="minorEastAsia" w:hAnsiTheme="minorEastAsia" w:eastAsiaTheme="minorEastAsia" w:cstheme="minorEastAsia"/>
          <w:bCs/>
          <w:color w:val="auto"/>
          <w:szCs w:val="21"/>
        </w:rPr>
        <w:t>资格证明文件</w:t>
      </w:r>
      <w:r>
        <w:rPr>
          <w:color w:val="auto"/>
        </w:rPr>
        <w:tab/>
      </w:r>
      <w:r>
        <w:rPr>
          <w:color w:val="auto"/>
        </w:rPr>
        <w:fldChar w:fldCharType="begin"/>
      </w:r>
      <w:r>
        <w:rPr>
          <w:color w:val="auto"/>
        </w:rPr>
        <w:instrText xml:space="preserve"> PAGEREF _Toc18017 </w:instrText>
      </w:r>
      <w:r>
        <w:rPr>
          <w:color w:val="auto"/>
        </w:rPr>
        <w:fldChar w:fldCharType="separate"/>
      </w:r>
      <w:r>
        <w:rPr>
          <w:color w:val="auto"/>
        </w:rPr>
        <w:t>53</w:t>
      </w:r>
      <w:r>
        <w:rPr>
          <w:color w:val="auto"/>
        </w:rPr>
        <w:fldChar w:fldCharType="end"/>
      </w:r>
      <w:r>
        <w:rPr>
          <w:color w:val="auto"/>
        </w:rPr>
        <w:fldChar w:fldCharType="end"/>
      </w:r>
    </w:p>
    <w:p>
      <w:pPr>
        <w:pStyle w:val="22"/>
        <w:tabs>
          <w:tab w:val="right" w:leader="dot" w:pos="9072"/>
        </w:tabs>
        <w:spacing w:line="360" w:lineRule="auto"/>
        <w:rPr>
          <w:color w:val="auto"/>
        </w:rPr>
      </w:pPr>
      <w:r>
        <w:rPr>
          <w:color w:val="auto"/>
        </w:rPr>
        <w:fldChar w:fldCharType="begin"/>
      </w:r>
      <w:r>
        <w:rPr>
          <w:color w:val="auto"/>
        </w:rPr>
        <w:instrText xml:space="preserve"> HYPERLINK \l "_Toc21818" </w:instrText>
      </w:r>
      <w:r>
        <w:rPr>
          <w:color w:val="auto"/>
        </w:rPr>
        <w:fldChar w:fldCharType="separate"/>
      </w:r>
      <w:r>
        <w:rPr>
          <w:rFonts w:hint="eastAsia" w:asciiTheme="minorEastAsia" w:hAnsiTheme="minorEastAsia" w:eastAsiaTheme="minorEastAsia" w:cstheme="minorEastAsia"/>
          <w:bCs/>
          <w:color w:val="auto"/>
          <w:kern w:val="0"/>
          <w:szCs w:val="21"/>
        </w:rPr>
        <w:t>十五、报价技术文件</w:t>
      </w:r>
      <w:r>
        <w:rPr>
          <w:color w:val="auto"/>
        </w:rPr>
        <w:tab/>
      </w:r>
      <w:r>
        <w:rPr>
          <w:color w:val="auto"/>
        </w:rPr>
        <w:fldChar w:fldCharType="begin"/>
      </w:r>
      <w:r>
        <w:rPr>
          <w:color w:val="auto"/>
        </w:rPr>
        <w:instrText xml:space="preserve"> PAGEREF _Toc21818 </w:instrText>
      </w:r>
      <w:r>
        <w:rPr>
          <w:color w:val="auto"/>
        </w:rPr>
        <w:fldChar w:fldCharType="separate"/>
      </w:r>
      <w:r>
        <w:rPr>
          <w:color w:val="auto"/>
        </w:rPr>
        <w:t>54</w:t>
      </w:r>
      <w:r>
        <w:rPr>
          <w:color w:val="auto"/>
        </w:rPr>
        <w:fldChar w:fldCharType="end"/>
      </w:r>
      <w:r>
        <w:rPr>
          <w:color w:val="auto"/>
        </w:rPr>
        <w:fldChar w:fldCharType="end"/>
      </w:r>
    </w:p>
    <w:p>
      <w:pPr>
        <w:pStyle w:val="22"/>
        <w:tabs>
          <w:tab w:val="right" w:leader="dot" w:pos="9072"/>
        </w:tabs>
        <w:spacing w:line="360" w:lineRule="auto"/>
        <w:rPr>
          <w:color w:val="auto"/>
        </w:rPr>
      </w:pPr>
      <w:r>
        <w:rPr>
          <w:color w:val="auto"/>
        </w:rPr>
        <w:fldChar w:fldCharType="begin"/>
      </w:r>
      <w:r>
        <w:rPr>
          <w:color w:val="auto"/>
        </w:rPr>
        <w:instrText xml:space="preserve"> HYPERLINK \l "_Toc2302" </w:instrText>
      </w:r>
      <w:r>
        <w:rPr>
          <w:color w:val="auto"/>
        </w:rPr>
        <w:fldChar w:fldCharType="separate"/>
      </w:r>
      <w:r>
        <w:rPr>
          <w:rFonts w:hint="eastAsia" w:asciiTheme="minorEastAsia" w:hAnsiTheme="minorEastAsia" w:eastAsiaTheme="minorEastAsia" w:cstheme="minorEastAsia"/>
          <w:color w:val="auto"/>
        </w:rPr>
        <w:t>十六、</w:t>
      </w:r>
      <w:r>
        <w:rPr>
          <w:rFonts w:hint="eastAsia" w:asciiTheme="minorEastAsia" w:hAnsiTheme="minorEastAsia" w:eastAsiaTheme="minorEastAsia" w:cstheme="minorEastAsia"/>
          <w:color w:val="auto"/>
          <w:lang w:val="zh-CN"/>
        </w:rPr>
        <w:t>中小企业声明函（</w:t>
      </w:r>
      <w:r>
        <w:rPr>
          <w:rFonts w:hint="eastAsia" w:asciiTheme="minorEastAsia" w:hAnsiTheme="minorEastAsia" w:eastAsiaTheme="minorEastAsia" w:cstheme="minorEastAsia"/>
          <w:color w:val="auto"/>
        </w:rPr>
        <w:t>货物</w:t>
      </w:r>
      <w:r>
        <w:rPr>
          <w:rFonts w:hint="eastAsia" w:asciiTheme="minorEastAsia" w:hAnsiTheme="minorEastAsia" w:eastAsiaTheme="minorEastAsia" w:cstheme="minorEastAsia"/>
          <w:color w:val="auto"/>
          <w:lang w:val="zh-CN"/>
        </w:rPr>
        <w:t>）（若</w:t>
      </w:r>
      <w:r>
        <w:rPr>
          <w:rFonts w:hint="eastAsia" w:asciiTheme="minorEastAsia" w:hAnsiTheme="minorEastAsia" w:eastAsiaTheme="minorEastAsia" w:cstheme="minorEastAsia"/>
          <w:color w:val="auto"/>
        </w:rPr>
        <w:t>符合</w:t>
      </w:r>
      <w:r>
        <w:rPr>
          <w:rFonts w:hint="eastAsia" w:asciiTheme="minorEastAsia" w:hAnsiTheme="minorEastAsia" w:eastAsiaTheme="minorEastAsia" w:cstheme="minorEastAsia"/>
          <w:color w:val="auto"/>
          <w:lang w:val="zh-CN"/>
        </w:rPr>
        <w:t>）</w:t>
      </w:r>
      <w:r>
        <w:rPr>
          <w:color w:val="auto"/>
        </w:rPr>
        <w:tab/>
      </w:r>
      <w:r>
        <w:rPr>
          <w:color w:val="auto"/>
        </w:rPr>
        <w:fldChar w:fldCharType="begin"/>
      </w:r>
      <w:r>
        <w:rPr>
          <w:color w:val="auto"/>
        </w:rPr>
        <w:instrText xml:space="preserve"> PAGEREF _Toc2302 </w:instrText>
      </w:r>
      <w:r>
        <w:rPr>
          <w:color w:val="auto"/>
        </w:rPr>
        <w:fldChar w:fldCharType="separate"/>
      </w:r>
      <w:r>
        <w:rPr>
          <w:color w:val="auto"/>
        </w:rPr>
        <w:t>55</w:t>
      </w:r>
      <w:r>
        <w:rPr>
          <w:color w:val="auto"/>
        </w:rPr>
        <w:fldChar w:fldCharType="end"/>
      </w:r>
      <w:r>
        <w:rPr>
          <w:color w:val="auto"/>
        </w:rPr>
        <w:fldChar w:fldCharType="end"/>
      </w:r>
    </w:p>
    <w:p>
      <w:pPr>
        <w:pStyle w:val="22"/>
        <w:tabs>
          <w:tab w:val="right" w:leader="dot" w:pos="9072"/>
        </w:tabs>
        <w:spacing w:line="360" w:lineRule="auto"/>
        <w:rPr>
          <w:color w:val="auto"/>
        </w:rPr>
      </w:pPr>
      <w:r>
        <w:rPr>
          <w:color w:val="auto"/>
        </w:rPr>
        <w:fldChar w:fldCharType="begin"/>
      </w:r>
      <w:r>
        <w:rPr>
          <w:color w:val="auto"/>
        </w:rPr>
        <w:instrText xml:space="preserve"> HYPERLINK \l "_Toc11257" </w:instrText>
      </w:r>
      <w:r>
        <w:rPr>
          <w:color w:val="auto"/>
        </w:rPr>
        <w:fldChar w:fldCharType="separate"/>
      </w:r>
      <w:r>
        <w:rPr>
          <w:rFonts w:hint="eastAsia" w:asciiTheme="minorEastAsia" w:hAnsiTheme="minorEastAsia" w:eastAsiaTheme="minorEastAsia" w:cstheme="minorEastAsia"/>
          <w:bCs/>
          <w:color w:val="auto"/>
          <w:spacing w:val="6"/>
          <w:szCs w:val="21"/>
        </w:rPr>
        <w:t>十七、</w:t>
      </w:r>
      <w:r>
        <w:rPr>
          <w:rFonts w:hint="eastAsia" w:asciiTheme="minorEastAsia" w:hAnsiTheme="minorEastAsia" w:eastAsiaTheme="minorEastAsia" w:cstheme="minorEastAsia"/>
          <w:bCs/>
          <w:color w:val="auto"/>
          <w:lang w:val="zh-CN"/>
        </w:rPr>
        <w:t>监狱企业证</w:t>
      </w:r>
      <w:r>
        <w:rPr>
          <w:rFonts w:hint="eastAsia" w:asciiTheme="minorEastAsia" w:hAnsiTheme="minorEastAsia" w:eastAsiaTheme="minorEastAsia" w:cstheme="minorEastAsia"/>
          <w:color w:val="auto"/>
          <w:lang w:val="zh-CN"/>
        </w:rPr>
        <w:t>明文</w:t>
      </w:r>
      <w:r>
        <w:rPr>
          <w:rFonts w:hint="eastAsia" w:asciiTheme="minorEastAsia" w:hAnsiTheme="minorEastAsia" w:eastAsiaTheme="minorEastAsia" w:cstheme="minorEastAsia"/>
          <w:color w:val="auto"/>
        </w:rPr>
        <w:t>件</w:t>
      </w:r>
      <w:r>
        <w:rPr>
          <w:rFonts w:hint="eastAsia" w:asciiTheme="minorEastAsia" w:hAnsiTheme="minorEastAsia" w:eastAsiaTheme="minorEastAsia" w:cstheme="minorEastAsia"/>
          <w:color w:val="auto"/>
          <w:lang w:val="zh-CN"/>
        </w:rPr>
        <w:t>（若</w:t>
      </w:r>
      <w:r>
        <w:rPr>
          <w:rFonts w:hint="eastAsia" w:asciiTheme="minorEastAsia" w:hAnsiTheme="minorEastAsia" w:eastAsiaTheme="minorEastAsia" w:cstheme="minorEastAsia"/>
          <w:color w:val="auto"/>
        </w:rPr>
        <w:t>符合</w:t>
      </w:r>
      <w:r>
        <w:rPr>
          <w:rFonts w:hint="eastAsia" w:asciiTheme="minorEastAsia" w:hAnsiTheme="minorEastAsia" w:eastAsiaTheme="minorEastAsia" w:cstheme="minorEastAsia"/>
          <w:color w:val="auto"/>
          <w:lang w:val="zh-CN"/>
        </w:rPr>
        <w:t>）</w:t>
      </w:r>
      <w:r>
        <w:rPr>
          <w:color w:val="auto"/>
        </w:rPr>
        <w:tab/>
      </w:r>
      <w:r>
        <w:rPr>
          <w:color w:val="auto"/>
        </w:rPr>
        <w:fldChar w:fldCharType="begin"/>
      </w:r>
      <w:r>
        <w:rPr>
          <w:color w:val="auto"/>
        </w:rPr>
        <w:instrText xml:space="preserve"> PAGEREF _Toc11257 </w:instrText>
      </w:r>
      <w:r>
        <w:rPr>
          <w:color w:val="auto"/>
        </w:rPr>
        <w:fldChar w:fldCharType="separate"/>
      </w:r>
      <w:r>
        <w:rPr>
          <w:color w:val="auto"/>
        </w:rPr>
        <w:t>56</w:t>
      </w:r>
      <w:r>
        <w:rPr>
          <w:color w:val="auto"/>
        </w:rPr>
        <w:fldChar w:fldCharType="end"/>
      </w:r>
      <w:r>
        <w:rPr>
          <w:color w:val="auto"/>
        </w:rPr>
        <w:fldChar w:fldCharType="end"/>
      </w:r>
    </w:p>
    <w:p>
      <w:pPr>
        <w:pStyle w:val="22"/>
        <w:tabs>
          <w:tab w:val="right" w:leader="dot" w:pos="9072"/>
        </w:tabs>
        <w:spacing w:line="360" w:lineRule="auto"/>
        <w:rPr>
          <w:color w:val="auto"/>
        </w:rPr>
      </w:pPr>
      <w:r>
        <w:rPr>
          <w:color w:val="auto"/>
        </w:rPr>
        <w:fldChar w:fldCharType="begin"/>
      </w:r>
      <w:r>
        <w:rPr>
          <w:color w:val="auto"/>
        </w:rPr>
        <w:instrText xml:space="preserve"> HYPERLINK \l "_Toc10919" </w:instrText>
      </w:r>
      <w:r>
        <w:rPr>
          <w:color w:val="auto"/>
        </w:rPr>
        <w:fldChar w:fldCharType="separate"/>
      </w:r>
      <w:r>
        <w:rPr>
          <w:rFonts w:hint="eastAsia" w:asciiTheme="minorEastAsia" w:hAnsiTheme="minorEastAsia" w:eastAsiaTheme="minorEastAsia" w:cstheme="minorEastAsia"/>
          <w:color w:val="auto"/>
        </w:rPr>
        <w:t>十八、</w:t>
      </w:r>
      <w:r>
        <w:rPr>
          <w:rFonts w:hint="eastAsia" w:asciiTheme="minorEastAsia" w:hAnsiTheme="minorEastAsia" w:eastAsiaTheme="minorEastAsia" w:cstheme="minorEastAsia"/>
          <w:color w:val="auto"/>
          <w:lang w:val="zh-CN"/>
        </w:rPr>
        <w:t>残疾人福利性单位声明函（若</w:t>
      </w:r>
      <w:r>
        <w:rPr>
          <w:rFonts w:hint="eastAsia" w:asciiTheme="minorEastAsia" w:hAnsiTheme="minorEastAsia" w:eastAsiaTheme="minorEastAsia" w:cstheme="minorEastAsia"/>
          <w:color w:val="auto"/>
        </w:rPr>
        <w:t>符合</w:t>
      </w:r>
      <w:r>
        <w:rPr>
          <w:rFonts w:hint="eastAsia" w:asciiTheme="minorEastAsia" w:hAnsiTheme="minorEastAsia" w:eastAsiaTheme="minorEastAsia" w:cstheme="minorEastAsia"/>
          <w:color w:val="auto"/>
          <w:lang w:val="zh-CN"/>
        </w:rPr>
        <w:t>）</w:t>
      </w:r>
      <w:r>
        <w:rPr>
          <w:color w:val="auto"/>
        </w:rPr>
        <w:tab/>
      </w:r>
      <w:r>
        <w:rPr>
          <w:color w:val="auto"/>
        </w:rPr>
        <w:fldChar w:fldCharType="begin"/>
      </w:r>
      <w:r>
        <w:rPr>
          <w:color w:val="auto"/>
        </w:rPr>
        <w:instrText xml:space="preserve"> PAGEREF _Toc10919 </w:instrText>
      </w:r>
      <w:r>
        <w:rPr>
          <w:color w:val="auto"/>
        </w:rPr>
        <w:fldChar w:fldCharType="separate"/>
      </w:r>
      <w:r>
        <w:rPr>
          <w:color w:val="auto"/>
        </w:rPr>
        <w:t>57</w:t>
      </w:r>
      <w:r>
        <w:rPr>
          <w:color w:val="auto"/>
        </w:rPr>
        <w:fldChar w:fldCharType="end"/>
      </w:r>
      <w:r>
        <w:rPr>
          <w:color w:val="auto"/>
        </w:rPr>
        <w:fldChar w:fldCharType="end"/>
      </w:r>
    </w:p>
    <w:p>
      <w:pPr>
        <w:pStyle w:val="22"/>
        <w:tabs>
          <w:tab w:val="right" w:leader="dot" w:pos="9072"/>
        </w:tabs>
        <w:spacing w:line="360" w:lineRule="auto"/>
        <w:rPr>
          <w:color w:val="auto"/>
        </w:rPr>
      </w:pPr>
      <w:r>
        <w:rPr>
          <w:color w:val="auto"/>
        </w:rPr>
        <w:fldChar w:fldCharType="begin"/>
      </w:r>
      <w:r>
        <w:rPr>
          <w:color w:val="auto"/>
        </w:rPr>
        <w:instrText xml:space="preserve"> HYPERLINK \l "_Toc20592" </w:instrText>
      </w:r>
      <w:r>
        <w:rPr>
          <w:color w:val="auto"/>
        </w:rPr>
        <w:fldChar w:fldCharType="separate"/>
      </w:r>
      <w:r>
        <w:rPr>
          <w:rFonts w:hint="eastAsia" w:asciiTheme="minorEastAsia" w:hAnsiTheme="minorEastAsia" w:eastAsiaTheme="minorEastAsia" w:cstheme="minorEastAsia"/>
          <w:color w:val="auto"/>
        </w:rPr>
        <w:t>十九、节能环保产品证明材料（若符合）</w:t>
      </w:r>
      <w:r>
        <w:rPr>
          <w:color w:val="auto"/>
        </w:rPr>
        <w:tab/>
      </w:r>
      <w:r>
        <w:rPr>
          <w:color w:val="auto"/>
        </w:rPr>
        <w:fldChar w:fldCharType="begin"/>
      </w:r>
      <w:r>
        <w:rPr>
          <w:color w:val="auto"/>
        </w:rPr>
        <w:instrText xml:space="preserve"> PAGEREF _Toc20592 </w:instrText>
      </w:r>
      <w:r>
        <w:rPr>
          <w:color w:val="auto"/>
        </w:rPr>
        <w:fldChar w:fldCharType="separate"/>
      </w:r>
      <w:r>
        <w:rPr>
          <w:color w:val="auto"/>
        </w:rPr>
        <w:t>58</w:t>
      </w:r>
      <w:r>
        <w:rPr>
          <w:color w:val="auto"/>
        </w:rPr>
        <w:fldChar w:fldCharType="end"/>
      </w:r>
      <w:r>
        <w:rPr>
          <w:color w:val="auto"/>
        </w:rPr>
        <w:fldChar w:fldCharType="end"/>
      </w:r>
    </w:p>
    <w:p>
      <w:pPr>
        <w:pStyle w:val="22"/>
        <w:tabs>
          <w:tab w:val="right" w:leader="dot" w:pos="9072"/>
        </w:tabs>
        <w:spacing w:line="360" w:lineRule="auto"/>
        <w:rPr>
          <w:color w:val="auto"/>
        </w:rPr>
      </w:pPr>
      <w:r>
        <w:rPr>
          <w:color w:val="auto"/>
        </w:rPr>
        <w:fldChar w:fldCharType="begin"/>
      </w:r>
      <w:r>
        <w:rPr>
          <w:color w:val="auto"/>
        </w:rPr>
        <w:instrText xml:space="preserve"> HYPERLINK \l "_Toc12167" </w:instrText>
      </w:r>
      <w:r>
        <w:rPr>
          <w:color w:val="auto"/>
        </w:rPr>
        <w:fldChar w:fldCharType="separate"/>
      </w:r>
      <w:r>
        <w:rPr>
          <w:rFonts w:hint="eastAsia" w:asciiTheme="minorEastAsia" w:hAnsiTheme="minorEastAsia" w:eastAsiaTheme="minorEastAsia" w:cstheme="minorEastAsia"/>
          <w:bCs/>
          <w:color w:val="auto"/>
          <w:spacing w:val="6"/>
          <w:szCs w:val="21"/>
        </w:rPr>
        <w:t>二十、</w:t>
      </w:r>
      <w:r>
        <w:rPr>
          <w:rFonts w:hint="eastAsia" w:asciiTheme="minorEastAsia" w:hAnsiTheme="minorEastAsia" w:eastAsiaTheme="minorEastAsia" w:cstheme="minorEastAsia"/>
          <w:color w:val="auto"/>
        </w:rPr>
        <w:t>无重大违法记录声明</w:t>
      </w:r>
      <w:r>
        <w:rPr>
          <w:color w:val="auto"/>
        </w:rPr>
        <w:tab/>
      </w:r>
      <w:r>
        <w:rPr>
          <w:color w:val="auto"/>
        </w:rPr>
        <w:fldChar w:fldCharType="begin"/>
      </w:r>
      <w:r>
        <w:rPr>
          <w:color w:val="auto"/>
        </w:rPr>
        <w:instrText xml:space="preserve"> PAGEREF _Toc12167 </w:instrText>
      </w:r>
      <w:r>
        <w:rPr>
          <w:color w:val="auto"/>
        </w:rPr>
        <w:fldChar w:fldCharType="separate"/>
      </w:r>
      <w:r>
        <w:rPr>
          <w:color w:val="auto"/>
        </w:rPr>
        <w:t>59</w:t>
      </w:r>
      <w:r>
        <w:rPr>
          <w:color w:val="auto"/>
        </w:rPr>
        <w:fldChar w:fldCharType="end"/>
      </w:r>
      <w:r>
        <w:rPr>
          <w:color w:val="auto"/>
        </w:rPr>
        <w:fldChar w:fldCharType="end"/>
      </w:r>
    </w:p>
    <w:p>
      <w:pPr>
        <w:pStyle w:val="22"/>
        <w:tabs>
          <w:tab w:val="right" w:leader="dot" w:pos="9072"/>
        </w:tabs>
        <w:spacing w:line="360" w:lineRule="auto"/>
        <w:rPr>
          <w:color w:val="auto"/>
        </w:rPr>
      </w:pPr>
      <w:r>
        <w:rPr>
          <w:color w:val="auto"/>
        </w:rPr>
        <w:fldChar w:fldCharType="begin"/>
      </w:r>
      <w:r>
        <w:rPr>
          <w:color w:val="auto"/>
        </w:rPr>
        <w:instrText xml:space="preserve"> HYPERLINK \l "_Toc16157" </w:instrText>
      </w:r>
      <w:r>
        <w:rPr>
          <w:color w:val="auto"/>
        </w:rPr>
        <w:fldChar w:fldCharType="separate"/>
      </w:r>
      <w:r>
        <w:rPr>
          <w:rFonts w:hint="eastAsia" w:asciiTheme="minorEastAsia" w:hAnsiTheme="minorEastAsia" w:eastAsiaTheme="minorEastAsia" w:cstheme="minorEastAsia"/>
          <w:bCs/>
          <w:color w:val="auto"/>
          <w:kern w:val="0"/>
          <w:szCs w:val="21"/>
          <w:shd w:val="clear" w:color="auto" w:fill="FFFFFF"/>
        </w:rPr>
        <w:t xml:space="preserve">二十一、磋商供应商认为应该提交的其它文件（格式自拟）    </w:t>
      </w:r>
      <w:r>
        <w:rPr>
          <w:color w:val="auto"/>
        </w:rPr>
        <w:tab/>
      </w:r>
      <w:r>
        <w:rPr>
          <w:color w:val="auto"/>
        </w:rPr>
        <w:fldChar w:fldCharType="begin"/>
      </w:r>
      <w:r>
        <w:rPr>
          <w:color w:val="auto"/>
        </w:rPr>
        <w:instrText xml:space="preserve"> PAGEREF _Toc16157 </w:instrText>
      </w:r>
      <w:r>
        <w:rPr>
          <w:color w:val="auto"/>
        </w:rPr>
        <w:fldChar w:fldCharType="separate"/>
      </w:r>
      <w:r>
        <w:rPr>
          <w:color w:val="auto"/>
        </w:rPr>
        <w:t>59</w:t>
      </w:r>
      <w:r>
        <w:rPr>
          <w:color w:val="auto"/>
        </w:rPr>
        <w:fldChar w:fldCharType="end"/>
      </w:r>
      <w:r>
        <w:rPr>
          <w:color w:val="auto"/>
        </w:rPr>
        <w:fldChar w:fldCharType="end"/>
      </w:r>
    </w:p>
    <w:p>
      <w:pPr>
        <w:spacing w:line="360" w:lineRule="auto"/>
        <w:jc w:val="left"/>
        <w:rPr>
          <w:rFonts w:asciiTheme="minorEastAsia" w:hAnsiTheme="minorEastAsia" w:eastAsiaTheme="minorEastAsia" w:cstheme="minorEastAsia"/>
          <w:color w:val="auto"/>
          <w:szCs w:val="21"/>
        </w:rPr>
        <w:sectPr>
          <w:headerReference r:id="rId3" w:type="default"/>
          <w:footerReference r:id="rId5" w:type="default"/>
          <w:headerReference r:id="rId4" w:type="even"/>
          <w:footerReference r:id="rId6" w:type="even"/>
          <w:type w:val="continuous"/>
          <w:pgSz w:w="11906" w:h="16838"/>
          <w:pgMar w:top="1417" w:right="1417" w:bottom="1417" w:left="1417" w:header="851" w:footer="992" w:gutter="0"/>
          <w:pgNumType w:fmt="numberInDash"/>
          <w:cols w:space="720" w:num="1"/>
          <w:docGrid w:type="lines" w:linePitch="312" w:charSpace="0"/>
        </w:sectPr>
      </w:pPr>
      <w:r>
        <w:rPr>
          <w:rFonts w:hint="eastAsia" w:asciiTheme="minorEastAsia" w:hAnsiTheme="minorEastAsia" w:eastAsiaTheme="minorEastAsia" w:cstheme="minorEastAsia"/>
          <w:color w:val="auto"/>
          <w:szCs w:val="21"/>
        </w:rPr>
        <w:fldChar w:fldCharType="end"/>
      </w:r>
    </w:p>
    <w:p>
      <w:pPr>
        <w:pStyle w:val="22"/>
        <w:tabs>
          <w:tab w:val="right" w:leader="dot" w:pos="9072"/>
        </w:tabs>
        <w:spacing w:line="360" w:lineRule="auto"/>
        <w:rPr>
          <w:color w:val="auto"/>
        </w:rPr>
      </w:pPr>
    </w:p>
    <w:p>
      <w:pPr>
        <w:spacing w:line="360" w:lineRule="auto"/>
        <w:jc w:val="left"/>
        <w:rPr>
          <w:rFonts w:asciiTheme="minorEastAsia" w:hAnsiTheme="minorEastAsia" w:eastAsiaTheme="minorEastAsia" w:cstheme="minorEastAsia"/>
          <w:color w:val="auto"/>
          <w:szCs w:val="21"/>
        </w:rPr>
        <w:sectPr>
          <w:headerReference r:id="rId7" w:type="default"/>
          <w:footerReference r:id="rId9" w:type="default"/>
          <w:headerReference r:id="rId8" w:type="even"/>
          <w:footerReference r:id="rId10" w:type="even"/>
          <w:type w:val="continuous"/>
          <w:pgSz w:w="11906" w:h="16838"/>
          <w:pgMar w:top="1417" w:right="1417" w:bottom="1417" w:left="1417" w:header="851" w:footer="992" w:gutter="0"/>
          <w:pgNumType w:fmt="numberInDash"/>
          <w:cols w:space="720" w:num="1"/>
          <w:docGrid w:type="lines" w:linePitch="312" w:charSpace="0"/>
        </w:sectPr>
      </w:pPr>
      <w:r>
        <w:rPr>
          <w:rFonts w:hint="eastAsia" w:asciiTheme="minorEastAsia" w:hAnsiTheme="minorEastAsia" w:eastAsiaTheme="minorEastAsia" w:cstheme="minorEastAsia"/>
          <w:color w:val="auto"/>
          <w:szCs w:val="21"/>
        </w:rPr>
        <w:fldChar w:fldCharType="end"/>
      </w:r>
    </w:p>
    <w:p>
      <w:pPr>
        <w:spacing w:line="360" w:lineRule="auto"/>
        <w:jc w:val="right"/>
        <w:rPr>
          <w:rFonts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 w:val="36"/>
          <w:szCs w:val="36"/>
        </w:rPr>
        <w:br w:type="page"/>
      </w:r>
    </w:p>
    <w:p>
      <w:pPr>
        <w:numPr>
          <w:ilvl w:val="0"/>
          <w:numId w:val="5"/>
        </w:numPr>
        <w:spacing w:line="360" w:lineRule="auto"/>
        <w:jc w:val="center"/>
        <w:outlineLvl w:val="0"/>
        <w:rPr>
          <w:b/>
          <w:bCs/>
          <w:color w:val="auto"/>
          <w:sz w:val="24"/>
        </w:rPr>
      </w:pPr>
      <w:bookmarkStart w:id="0" w:name="_Toc6866"/>
      <w:bookmarkStart w:id="1" w:name="_Toc25194"/>
      <w:r>
        <w:rPr>
          <w:rFonts w:hint="eastAsia" w:ascii="宋体" w:hAnsi="宋体" w:cs="宋体"/>
          <w:b/>
          <w:color w:val="auto"/>
          <w:sz w:val="36"/>
          <w:szCs w:val="36"/>
        </w:rPr>
        <w:t>竞争性磋商公告</w:t>
      </w:r>
      <w:bookmarkEnd w:id="0"/>
      <w:bookmarkEnd w:id="1"/>
      <w:bookmarkStart w:id="2" w:name="_Toc152045512"/>
      <w:bookmarkStart w:id="3" w:name="_Toc144974480"/>
      <w:bookmarkStart w:id="4" w:name="_Toc152042288"/>
      <w:bookmarkStart w:id="5" w:name="_Toc9976"/>
      <w:bookmarkStart w:id="6" w:name="_Toc524908844"/>
      <w:bookmarkStart w:id="7" w:name="_Toc179632528"/>
    </w:p>
    <w:bookmarkEnd w:id="2"/>
    <w:bookmarkEnd w:id="3"/>
    <w:bookmarkEnd w:id="4"/>
    <w:bookmarkEnd w:id="5"/>
    <w:bookmarkEnd w:id="6"/>
    <w:bookmarkEnd w:id="7"/>
    <w:p>
      <w:pPr>
        <w:pBdr>
          <w:top w:val="single" w:color="auto" w:sz="4" w:space="1"/>
          <w:left w:val="single" w:color="auto" w:sz="4" w:space="4"/>
          <w:bottom w:val="single" w:color="auto" w:sz="4" w:space="1"/>
          <w:right w:val="single" w:color="auto" w:sz="4" w:space="4"/>
        </w:pBdr>
        <w:spacing w:line="360" w:lineRule="auto"/>
        <w:jc w:val="left"/>
        <w:rPr>
          <w:rFonts w:ascii="宋体" w:hAnsi="宋体" w:cs="宋体"/>
          <w:color w:val="auto"/>
          <w:szCs w:val="21"/>
        </w:rPr>
      </w:pPr>
      <w:r>
        <w:rPr>
          <w:rFonts w:hint="eastAsia" w:ascii="宋体" w:hAnsi="宋体" w:cs="宋体"/>
          <w:b/>
          <w:bCs/>
          <w:color w:val="auto"/>
          <w:szCs w:val="21"/>
        </w:rPr>
        <w:t>项目概况</w:t>
      </w:r>
    </w:p>
    <w:p>
      <w:pPr>
        <w:pBdr>
          <w:top w:val="single" w:color="auto" w:sz="4" w:space="1"/>
          <w:left w:val="single" w:color="auto" w:sz="4" w:space="4"/>
          <w:bottom w:val="single" w:color="auto" w:sz="4" w:space="1"/>
          <w:right w:val="single" w:color="auto" w:sz="4" w:space="4"/>
        </w:pBdr>
        <w:spacing w:line="360" w:lineRule="auto"/>
        <w:ind w:firstLine="420" w:firstLineChars="200"/>
        <w:jc w:val="left"/>
        <w:rPr>
          <w:rFonts w:ascii="宋体" w:hAnsi="宋体" w:cs="宋体"/>
          <w:color w:val="auto"/>
          <w:szCs w:val="21"/>
        </w:rPr>
      </w:pPr>
      <w:r>
        <w:rPr>
          <w:rFonts w:hint="eastAsia" w:ascii="宋体" w:hAnsi="宋体" w:cs="宋体"/>
          <w:color w:val="auto"/>
          <w:szCs w:val="21"/>
        </w:rPr>
        <w:t xml:space="preserve"> </w:t>
      </w:r>
      <w:r>
        <w:rPr>
          <w:rFonts w:hint="eastAsia" w:ascii="宋体" w:hAnsi="宋体" w:cs="宋体"/>
          <w:color w:val="auto"/>
          <w:szCs w:val="21"/>
          <w:u w:val="single"/>
        </w:rPr>
        <w:t xml:space="preserve"> 湖北工业大学电气工程申博学科建设项目2 </w:t>
      </w:r>
      <w:r>
        <w:rPr>
          <w:rFonts w:hint="eastAsia" w:ascii="宋体" w:hAnsi="宋体" w:cs="宋体"/>
          <w:color w:val="auto"/>
          <w:szCs w:val="21"/>
        </w:rPr>
        <w:t>采购项目的潜在供应商应在</w:t>
      </w:r>
      <w:r>
        <w:rPr>
          <w:rFonts w:hint="eastAsia" w:ascii="宋体" w:hAnsi="宋体" w:cs="宋体"/>
          <w:color w:val="auto"/>
          <w:szCs w:val="21"/>
          <w:u w:val="single"/>
        </w:rPr>
        <w:t>中经国际招标集团有限公司（武昌区中北路岳家嘴立交山河企业大厦48楼4805室）</w:t>
      </w:r>
      <w:r>
        <w:rPr>
          <w:rFonts w:hint="eastAsia" w:ascii="宋体" w:hAnsi="宋体" w:cs="宋体"/>
          <w:color w:val="auto"/>
          <w:szCs w:val="21"/>
        </w:rPr>
        <w:t>获取采购文件，并于</w:t>
      </w:r>
      <w:r>
        <w:rPr>
          <w:rFonts w:hint="eastAsia" w:ascii="宋体" w:hAnsi="宋体" w:cs="宋体"/>
          <w:color w:val="auto"/>
          <w:szCs w:val="21"/>
          <w:u w:val="single"/>
        </w:rPr>
        <w:t>2021年</w:t>
      </w:r>
      <w:r>
        <w:rPr>
          <w:rFonts w:hint="eastAsia" w:ascii="宋体" w:hAnsi="宋体" w:cs="宋体"/>
          <w:color w:val="auto"/>
          <w:szCs w:val="21"/>
          <w:u w:val="single"/>
          <w:lang w:val="en-US" w:eastAsia="zh-CN"/>
        </w:rPr>
        <w:t>10</w:t>
      </w:r>
      <w:r>
        <w:rPr>
          <w:rFonts w:hint="eastAsia" w:ascii="宋体" w:hAnsi="宋体" w:cs="宋体"/>
          <w:color w:val="auto"/>
          <w:szCs w:val="21"/>
          <w:u w:val="single"/>
        </w:rPr>
        <w:t>月</w:t>
      </w:r>
      <w:r>
        <w:rPr>
          <w:rFonts w:hint="eastAsia" w:ascii="宋体" w:hAnsi="宋体" w:cs="宋体"/>
          <w:color w:val="auto"/>
          <w:szCs w:val="21"/>
          <w:u w:val="single"/>
          <w:lang w:val="en-US" w:eastAsia="zh-CN"/>
        </w:rPr>
        <w:t>20</w:t>
      </w:r>
      <w:r>
        <w:rPr>
          <w:rFonts w:hint="eastAsia" w:ascii="宋体" w:hAnsi="宋体" w:cs="宋体"/>
          <w:color w:val="auto"/>
          <w:szCs w:val="21"/>
          <w:u w:val="single"/>
        </w:rPr>
        <w:t>日</w:t>
      </w:r>
      <w:r>
        <w:rPr>
          <w:rFonts w:hint="eastAsia" w:ascii="宋体" w:hAnsi="宋体" w:cs="宋体"/>
          <w:color w:val="auto"/>
          <w:szCs w:val="21"/>
          <w:u w:val="single"/>
          <w:lang w:val="en-US" w:eastAsia="zh-CN"/>
        </w:rPr>
        <w:t>09</w:t>
      </w:r>
      <w:r>
        <w:rPr>
          <w:rFonts w:hint="eastAsia" w:ascii="宋体" w:hAnsi="宋体" w:cs="宋体"/>
          <w:color w:val="auto"/>
          <w:szCs w:val="21"/>
          <w:u w:val="single"/>
        </w:rPr>
        <w:t>点</w:t>
      </w:r>
      <w:r>
        <w:rPr>
          <w:rFonts w:hint="eastAsia" w:ascii="宋体" w:hAnsi="宋体" w:cs="宋体"/>
          <w:color w:val="auto"/>
          <w:szCs w:val="21"/>
          <w:u w:val="single"/>
          <w:lang w:val="en-US" w:eastAsia="zh-CN"/>
        </w:rPr>
        <w:t>30</w:t>
      </w:r>
      <w:r>
        <w:rPr>
          <w:rFonts w:hint="eastAsia" w:ascii="宋体" w:hAnsi="宋体" w:cs="宋体"/>
          <w:color w:val="auto"/>
          <w:szCs w:val="21"/>
          <w:u w:val="single"/>
        </w:rPr>
        <w:t>分</w:t>
      </w:r>
      <w:r>
        <w:rPr>
          <w:rFonts w:hint="eastAsia" w:ascii="宋体" w:hAnsi="宋体" w:cs="宋体"/>
          <w:color w:val="auto"/>
          <w:szCs w:val="21"/>
        </w:rPr>
        <w:t>（北京时间）前递交响应文件。</w:t>
      </w:r>
    </w:p>
    <w:p>
      <w:pPr>
        <w:pStyle w:val="5"/>
        <w:numPr>
          <w:ilvl w:val="0"/>
          <w:numId w:val="6"/>
        </w:numPr>
        <w:spacing w:line="360" w:lineRule="auto"/>
        <w:jc w:val="left"/>
        <w:rPr>
          <w:rFonts w:ascii="宋体" w:hAnsi="宋体" w:eastAsia="宋体" w:cs="宋体"/>
          <w:color w:val="auto"/>
          <w:sz w:val="21"/>
          <w:szCs w:val="21"/>
        </w:rPr>
      </w:pPr>
      <w:bookmarkStart w:id="8" w:name="_Toc29388"/>
      <w:r>
        <w:rPr>
          <w:rFonts w:hint="eastAsia" w:ascii="宋体" w:hAnsi="宋体" w:eastAsia="宋体" w:cs="宋体"/>
          <w:color w:val="auto"/>
          <w:sz w:val="21"/>
          <w:szCs w:val="21"/>
        </w:rPr>
        <w:t>项目基本情况</w:t>
      </w:r>
      <w:bookmarkEnd w:id="8"/>
    </w:p>
    <w:p>
      <w:pPr>
        <w:spacing w:line="360" w:lineRule="auto"/>
        <w:jc w:val="left"/>
        <w:rPr>
          <w:rFonts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1.项目编号：HGDXW21-077/ZJZB-ZC-202109-263</w:t>
      </w:r>
    </w:p>
    <w:p>
      <w:pPr>
        <w:spacing w:line="360" w:lineRule="auto"/>
        <w:jc w:val="left"/>
        <w:rPr>
          <w:rFonts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2.采购计划备案号：鄂采计[2021]-13056号</w:t>
      </w:r>
      <w:r>
        <w:rPr>
          <w:rFonts w:hint="eastAsia" w:asciiTheme="minorEastAsia" w:hAnsiTheme="minorEastAsia" w:eastAsiaTheme="minorEastAsia" w:cstheme="minorEastAsia"/>
          <w:color w:val="auto"/>
          <w:szCs w:val="21"/>
        </w:rPr>
        <w:br w:type="textWrapping"/>
      </w:r>
      <w:r>
        <w:rPr>
          <w:rFonts w:hint="eastAsia" w:asciiTheme="minorEastAsia" w:hAnsiTheme="minorEastAsia" w:eastAsiaTheme="minorEastAsia" w:cstheme="minorEastAsia"/>
          <w:color w:val="auto"/>
          <w:szCs w:val="21"/>
        </w:rPr>
        <w:t>3.项目名称：湖北工业大学电气工程申博学科建设项目2</w:t>
      </w:r>
      <w:r>
        <w:rPr>
          <w:rFonts w:hint="eastAsia" w:asciiTheme="minorEastAsia" w:hAnsiTheme="minorEastAsia" w:eastAsiaTheme="minorEastAsia" w:cstheme="minorEastAsia"/>
          <w:color w:val="auto"/>
          <w:szCs w:val="21"/>
        </w:rPr>
        <w:br w:type="textWrapping"/>
      </w:r>
      <w:r>
        <w:rPr>
          <w:rFonts w:hint="eastAsia" w:asciiTheme="minorEastAsia" w:hAnsiTheme="minorEastAsia" w:eastAsiaTheme="minorEastAsia" w:cstheme="minorEastAsia"/>
          <w:color w:val="auto"/>
          <w:szCs w:val="21"/>
        </w:rPr>
        <w:t>4.采购方式：竞争性磋商</w:t>
      </w:r>
    </w:p>
    <w:p>
      <w:pPr>
        <w:spacing w:line="360" w:lineRule="auto"/>
        <w:jc w:val="left"/>
        <w:rPr>
          <w:rFonts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5.预算金额：人民币</w:t>
      </w:r>
      <w:r>
        <w:rPr>
          <w:rFonts w:hint="eastAsia" w:asciiTheme="minorEastAsia" w:hAnsiTheme="minorEastAsia" w:eastAsiaTheme="minorEastAsia" w:cstheme="minorEastAsia"/>
          <w:color w:val="auto"/>
          <w:szCs w:val="21"/>
          <w:u w:val="single"/>
        </w:rPr>
        <w:t xml:space="preserve"> 100 </w:t>
      </w:r>
      <w:r>
        <w:rPr>
          <w:rFonts w:hint="eastAsia" w:asciiTheme="minorEastAsia" w:hAnsiTheme="minorEastAsia" w:eastAsiaTheme="minorEastAsia" w:cstheme="minorEastAsia"/>
          <w:color w:val="auto"/>
          <w:szCs w:val="21"/>
        </w:rPr>
        <w:t>万元</w:t>
      </w:r>
      <w:r>
        <w:rPr>
          <w:rFonts w:hint="eastAsia" w:asciiTheme="minorEastAsia" w:hAnsiTheme="minorEastAsia" w:eastAsiaTheme="minorEastAsia" w:cstheme="minorEastAsia"/>
          <w:color w:val="auto"/>
          <w:szCs w:val="21"/>
        </w:rPr>
        <w:br w:type="textWrapping"/>
      </w:r>
      <w:r>
        <w:rPr>
          <w:rFonts w:hint="eastAsia" w:asciiTheme="minorEastAsia" w:hAnsiTheme="minorEastAsia" w:eastAsiaTheme="minorEastAsia" w:cstheme="minorEastAsia"/>
          <w:color w:val="auto"/>
          <w:szCs w:val="21"/>
        </w:rPr>
        <w:t>6.最高限价：人民币</w:t>
      </w:r>
      <w:r>
        <w:rPr>
          <w:rFonts w:hint="eastAsia" w:asciiTheme="minorEastAsia" w:hAnsiTheme="minorEastAsia" w:eastAsiaTheme="minorEastAsia" w:cstheme="minorEastAsia"/>
          <w:color w:val="auto"/>
          <w:szCs w:val="21"/>
          <w:u w:val="single"/>
        </w:rPr>
        <w:t xml:space="preserve"> 100 </w:t>
      </w:r>
      <w:r>
        <w:rPr>
          <w:rFonts w:hint="eastAsia" w:asciiTheme="minorEastAsia" w:hAnsiTheme="minorEastAsia" w:eastAsiaTheme="minorEastAsia" w:cstheme="minorEastAsia"/>
          <w:color w:val="auto"/>
          <w:szCs w:val="21"/>
        </w:rPr>
        <w:t>万元</w:t>
      </w:r>
    </w:p>
    <w:p>
      <w:pPr>
        <w:spacing w:line="360" w:lineRule="auto"/>
        <w:jc w:val="left"/>
        <w:rPr>
          <w:rFonts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7.采购需求： (详见采购文件第三章“项目采购需求”）</w:t>
      </w:r>
    </w:p>
    <w:tbl>
      <w:tblPr>
        <w:tblStyle w:val="26"/>
        <w:tblW w:w="4603"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006"/>
        <w:gridCol w:w="4633"/>
        <w:gridCol w:w="1287"/>
        <w:gridCol w:w="162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7" w:hRule="atLeast"/>
        </w:trPr>
        <w:tc>
          <w:tcPr>
            <w:tcW w:w="588" w:type="pct"/>
            <w:vAlign w:val="center"/>
          </w:tcPr>
          <w:p>
            <w:pPr>
              <w:jc w:val="center"/>
              <w:rPr>
                <w:rFonts w:ascii="宋体" w:hAnsi="宋体" w:cs="宋体"/>
                <w:color w:val="auto"/>
                <w:szCs w:val="21"/>
              </w:rPr>
            </w:pPr>
            <w:r>
              <w:rPr>
                <w:rFonts w:hint="eastAsia" w:ascii="宋体" w:hAnsi="宋体" w:cs="宋体"/>
                <w:color w:val="auto"/>
                <w:szCs w:val="21"/>
              </w:rPr>
              <w:t>序号</w:t>
            </w:r>
          </w:p>
        </w:tc>
        <w:tc>
          <w:tcPr>
            <w:tcW w:w="2708" w:type="pct"/>
            <w:vAlign w:val="center"/>
          </w:tcPr>
          <w:p>
            <w:pPr>
              <w:jc w:val="center"/>
              <w:rPr>
                <w:rFonts w:ascii="宋体" w:hAnsi="宋体" w:cs="宋体"/>
                <w:color w:val="auto"/>
                <w:szCs w:val="21"/>
              </w:rPr>
            </w:pPr>
            <w:r>
              <w:rPr>
                <w:rFonts w:hint="eastAsia" w:ascii="宋体" w:hAnsi="宋体" w:cs="宋体"/>
                <w:color w:val="auto"/>
                <w:szCs w:val="21"/>
              </w:rPr>
              <w:t>设备名称</w:t>
            </w:r>
          </w:p>
        </w:tc>
        <w:tc>
          <w:tcPr>
            <w:tcW w:w="752" w:type="pct"/>
            <w:vAlign w:val="center"/>
          </w:tcPr>
          <w:p>
            <w:pPr>
              <w:jc w:val="center"/>
              <w:rPr>
                <w:rFonts w:ascii="宋体" w:hAnsi="宋体" w:cs="宋体"/>
                <w:color w:val="auto"/>
                <w:szCs w:val="21"/>
              </w:rPr>
            </w:pPr>
            <w:r>
              <w:rPr>
                <w:rFonts w:hint="eastAsia" w:ascii="宋体" w:hAnsi="宋体" w:cs="宋体"/>
                <w:color w:val="auto"/>
                <w:szCs w:val="21"/>
              </w:rPr>
              <w:t>数量</w:t>
            </w:r>
          </w:p>
        </w:tc>
        <w:tc>
          <w:tcPr>
            <w:tcW w:w="950" w:type="pct"/>
            <w:vAlign w:val="center"/>
          </w:tcPr>
          <w:p>
            <w:pPr>
              <w:jc w:val="center"/>
              <w:rPr>
                <w:rFonts w:ascii="宋体" w:hAnsi="宋体" w:cs="宋体"/>
                <w:color w:val="auto"/>
                <w:szCs w:val="21"/>
              </w:rPr>
            </w:pPr>
            <w:r>
              <w:rPr>
                <w:rFonts w:hint="eastAsia" w:ascii="宋体" w:hAnsi="宋体" w:cs="宋体"/>
                <w:color w:val="auto"/>
                <w:szCs w:val="21"/>
              </w:rPr>
              <w:t>是否进口</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7" w:hRule="atLeast"/>
        </w:trPr>
        <w:tc>
          <w:tcPr>
            <w:tcW w:w="588" w:type="pct"/>
            <w:vAlign w:val="center"/>
          </w:tcPr>
          <w:p>
            <w:pPr>
              <w:jc w:val="center"/>
              <w:rPr>
                <w:rFonts w:ascii="宋体" w:hAnsi="宋体" w:cs="宋体"/>
                <w:color w:val="auto"/>
                <w:szCs w:val="21"/>
              </w:rPr>
            </w:pPr>
            <w:r>
              <w:rPr>
                <w:rFonts w:hint="eastAsia" w:ascii="宋体" w:hAnsi="宋体" w:cs="宋体"/>
                <w:color w:val="auto"/>
                <w:szCs w:val="21"/>
              </w:rPr>
              <w:t>1</w:t>
            </w:r>
          </w:p>
        </w:tc>
        <w:tc>
          <w:tcPr>
            <w:tcW w:w="2708" w:type="pct"/>
            <w:vAlign w:val="center"/>
          </w:tcPr>
          <w:p>
            <w:pPr>
              <w:jc w:val="center"/>
              <w:rPr>
                <w:rFonts w:ascii="宋体" w:hAnsi="宋体" w:cs="宋体"/>
                <w:color w:val="auto"/>
                <w:szCs w:val="21"/>
              </w:rPr>
            </w:pPr>
            <w:r>
              <w:rPr>
                <w:rFonts w:hint="eastAsia" w:ascii="宋体" w:hAnsi="宋体" w:cs="宋体"/>
                <w:color w:val="auto"/>
                <w:szCs w:val="21"/>
              </w:rPr>
              <w:t>电机控制硬件在环仿真系统（</w:t>
            </w:r>
            <w:r>
              <w:rPr>
                <w:rFonts w:hint="eastAsia" w:asciiTheme="minorEastAsia" w:hAnsiTheme="minorEastAsia" w:eastAsiaTheme="minorEastAsia" w:cstheme="minorEastAsia"/>
                <w:color w:val="auto"/>
                <w:szCs w:val="21"/>
              </w:rPr>
              <w:t>核心产品</w:t>
            </w:r>
            <w:r>
              <w:rPr>
                <w:rFonts w:hint="eastAsia" w:ascii="宋体" w:hAnsi="宋体" w:cs="宋体"/>
                <w:color w:val="auto"/>
                <w:szCs w:val="21"/>
              </w:rPr>
              <w:t>）</w:t>
            </w:r>
          </w:p>
        </w:tc>
        <w:tc>
          <w:tcPr>
            <w:tcW w:w="752" w:type="pct"/>
            <w:vAlign w:val="center"/>
          </w:tcPr>
          <w:p>
            <w:pPr>
              <w:jc w:val="center"/>
              <w:rPr>
                <w:rFonts w:ascii="宋体" w:hAnsi="宋体" w:cs="宋体"/>
                <w:color w:val="auto"/>
                <w:szCs w:val="21"/>
              </w:rPr>
            </w:pPr>
            <w:r>
              <w:rPr>
                <w:rFonts w:hint="eastAsia" w:ascii="宋体" w:hAnsi="宋体" w:cs="宋体"/>
                <w:color w:val="auto"/>
                <w:szCs w:val="21"/>
              </w:rPr>
              <w:t>1套</w:t>
            </w:r>
          </w:p>
        </w:tc>
        <w:tc>
          <w:tcPr>
            <w:tcW w:w="950" w:type="pct"/>
            <w:vAlign w:val="center"/>
          </w:tcPr>
          <w:p>
            <w:pPr>
              <w:jc w:val="center"/>
              <w:rPr>
                <w:rFonts w:ascii="宋体" w:hAnsi="宋体" w:cs="宋体"/>
                <w:color w:val="auto"/>
                <w:szCs w:val="21"/>
              </w:rPr>
            </w:pPr>
            <w:r>
              <w:rPr>
                <w:rFonts w:hint="eastAsia" w:ascii="宋体" w:hAnsi="宋体" w:cs="宋体"/>
                <w:color w:val="auto"/>
                <w:szCs w:val="21"/>
              </w:rPr>
              <w:t>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7" w:hRule="atLeast"/>
        </w:trPr>
        <w:tc>
          <w:tcPr>
            <w:tcW w:w="588" w:type="pct"/>
            <w:vAlign w:val="center"/>
          </w:tcPr>
          <w:p>
            <w:pPr>
              <w:jc w:val="center"/>
              <w:rPr>
                <w:rFonts w:ascii="宋体" w:hAnsi="宋体" w:cs="宋体"/>
                <w:color w:val="auto"/>
                <w:szCs w:val="21"/>
              </w:rPr>
            </w:pPr>
            <w:r>
              <w:rPr>
                <w:rFonts w:hint="eastAsia" w:ascii="宋体" w:hAnsi="宋体" w:cs="宋体"/>
                <w:color w:val="auto"/>
                <w:szCs w:val="21"/>
              </w:rPr>
              <w:t>2</w:t>
            </w:r>
          </w:p>
        </w:tc>
        <w:tc>
          <w:tcPr>
            <w:tcW w:w="2708" w:type="pct"/>
            <w:vAlign w:val="center"/>
          </w:tcPr>
          <w:p>
            <w:pPr>
              <w:jc w:val="center"/>
              <w:rPr>
                <w:rFonts w:ascii="宋体" w:hAnsi="宋体" w:cs="宋体"/>
                <w:color w:val="auto"/>
                <w:szCs w:val="21"/>
              </w:rPr>
            </w:pPr>
            <w:r>
              <w:rPr>
                <w:rFonts w:hint="eastAsia" w:ascii="宋体" w:hAnsi="宋体" w:cs="宋体"/>
                <w:color w:val="auto"/>
                <w:szCs w:val="21"/>
              </w:rPr>
              <w:t>SIC逆变器集成开发环境（</w:t>
            </w:r>
            <w:r>
              <w:rPr>
                <w:rFonts w:hint="eastAsia" w:asciiTheme="minorEastAsia" w:hAnsiTheme="minorEastAsia" w:eastAsiaTheme="minorEastAsia" w:cstheme="minorEastAsia"/>
                <w:color w:val="auto"/>
                <w:szCs w:val="21"/>
              </w:rPr>
              <w:t>核心产品</w:t>
            </w:r>
            <w:r>
              <w:rPr>
                <w:rFonts w:hint="eastAsia" w:ascii="宋体" w:hAnsi="宋体" w:cs="宋体"/>
                <w:color w:val="auto"/>
                <w:szCs w:val="21"/>
              </w:rPr>
              <w:t>）</w:t>
            </w:r>
          </w:p>
        </w:tc>
        <w:tc>
          <w:tcPr>
            <w:tcW w:w="752" w:type="pct"/>
            <w:vAlign w:val="center"/>
          </w:tcPr>
          <w:p>
            <w:pPr>
              <w:jc w:val="center"/>
              <w:rPr>
                <w:rFonts w:ascii="宋体" w:hAnsi="宋体" w:cs="宋体"/>
                <w:color w:val="auto"/>
                <w:szCs w:val="21"/>
              </w:rPr>
            </w:pPr>
            <w:r>
              <w:rPr>
                <w:rFonts w:hint="eastAsia" w:ascii="宋体" w:hAnsi="宋体" w:cs="宋体"/>
                <w:color w:val="auto"/>
                <w:szCs w:val="21"/>
              </w:rPr>
              <w:t>1套</w:t>
            </w:r>
          </w:p>
        </w:tc>
        <w:tc>
          <w:tcPr>
            <w:tcW w:w="950" w:type="pct"/>
            <w:vAlign w:val="center"/>
          </w:tcPr>
          <w:p>
            <w:pPr>
              <w:jc w:val="center"/>
              <w:rPr>
                <w:rFonts w:ascii="宋体" w:hAnsi="宋体" w:cs="宋体"/>
                <w:color w:val="auto"/>
                <w:szCs w:val="21"/>
              </w:rPr>
            </w:pPr>
            <w:r>
              <w:rPr>
                <w:rFonts w:hint="eastAsia" w:ascii="宋体" w:hAnsi="宋体" w:cs="宋体"/>
                <w:color w:val="auto"/>
                <w:szCs w:val="21"/>
              </w:rPr>
              <w:t>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7" w:hRule="atLeast"/>
        </w:trPr>
        <w:tc>
          <w:tcPr>
            <w:tcW w:w="588" w:type="pct"/>
            <w:vAlign w:val="center"/>
          </w:tcPr>
          <w:p>
            <w:pPr>
              <w:jc w:val="center"/>
              <w:rPr>
                <w:rFonts w:ascii="宋体" w:hAnsi="宋体" w:cs="宋体"/>
                <w:color w:val="auto"/>
                <w:szCs w:val="21"/>
              </w:rPr>
            </w:pPr>
            <w:r>
              <w:rPr>
                <w:rFonts w:hint="eastAsia" w:ascii="宋体" w:hAnsi="宋体" w:cs="宋体"/>
                <w:color w:val="auto"/>
                <w:szCs w:val="21"/>
              </w:rPr>
              <w:t>3</w:t>
            </w:r>
          </w:p>
        </w:tc>
        <w:tc>
          <w:tcPr>
            <w:tcW w:w="2708" w:type="pct"/>
            <w:vAlign w:val="center"/>
          </w:tcPr>
          <w:p>
            <w:pPr>
              <w:jc w:val="center"/>
              <w:rPr>
                <w:rFonts w:ascii="宋体" w:hAnsi="宋体" w:cs="宋体"/>
                <w:color w:val="auto"/>
                <w:szCs w:val="21"/>
              </w:rPr>
            </w:pPr>
            <w:r>
              <w:rPr>
                <w:rFonts w:hint="eastAsia" w:ascii="宋体" w:hAnsi="宋体" w:cs="宋体"/>
                <w:color w:val="auto"/>
                <w:szCs w:val="21"/>
              </w:rPr>
              <w:t>可调负载箱</w:t>
            </w:r>
          </w:p>
        </w:tc>
        <w:tc>
          <w:tcPr>
            <w:tcW w:w="752" w:type="pct"/>
            <w:vAlign w:val="center"/>
          </w:tcPr>
          <w:p>
            <w:pPr>
              <w:jc w:val="center"/>
              <w:rPr>
                <w:rFonts w:ascii="宋体" w:hAnsi="宋体" w:cs="宋体"/>
                <w:color w:val="auto"/>
                <w:szCs w:val="21"/>
              </w:rPr>
            </w:pPr>
            <w:r>
              <w:rPr>
                <w:rFonts w:hint="eastAsia" w:ascii="宋体" w:hAnsi="宋体" w:cs="宋体"/>
                <w:color w:val="auto"/>
                <w:szCs w:val="21"/>
              </w:rPr>
              <w:t>1套</w:t>
            </w:r>
          </w:p>
        </w:tc>
        <w:tc>
          <w:tcPr>
            <w:tcW w:w="950" w:type="pct"/>
            <w:vAlign w:val="center"/>
          </w:tcPr>
          <w:p>
            <w:pPr>
              <w:jc w:val="center"/>
              <w:rPr>
                <w:rFonts w:ascii="宋体" w:hAnsi="宋体" w:cs="宋体"/>
                <w:color w:val="auto"/>
                <w:szCs w:val="21"/>
              </w:rPr>
            </w:pPr>
            <w:r>
              <w:rPr>
                <w:rFonts w:hint="eastAsia" w:ascii="宋体" w:hAnsi="宋体" w:cs="宋体"/>
                <w:color w:val="auto"/>
                <w:szCs w:val="21"/>
              </w:rPr>
              <w:t>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7" w:hRule="atLeast"/>
        </w:trPr>
        <w:tc>
          <w:tcPr>
            <w:tcW w:w="588" w:type="pct"/>
            <w:vAlign w:val="center"/>
          </w:tcPr>
          <w:p>
            <w:pPr>
              <w:jc w:val="center"/>
              <w:rPr>
                <w:rFonts w:ascii="宋体" w:hAnsi="宋体" w:cs="宋体"/>
                <w:color w:val="auto"/>
                <w:szCs w:val="21"/>
              </w:rPr>
            </w:pPr>
            <w:r>
              <w:rPr>
                <w:rFonts w:hint="eastAsia" w:ascii="宋体" w:hAnsi="宋体" w:cs="宋体"/>
                <w:color w:val="auto"/>
                <w:szCs w:val="21"/>
              </w:rPr>
              <w:t>4</w:t>
            </w:r>
          </w:p>
        </w:tc>
        <w:tc>
          <w:tcPr>
            <w:tcW w:w="2708" w:type="pct"/>
            <w:vAlign w:val="center"/>
          </w:tcPr>
          <w:p>
            <w:pPr>
              <w:jc w:val="center"/>
              <w:rPr>
                <w:rFonts w:ascii="宋体" w:hAnsi="宋体" w:cs="宋体"/>
                <w:color w:val="auto"/>
                <w:szCs w:val="21"/>
              </w:rPr>
            </w:pPr>
            <w:r>
              <w:rPr>
                <w:rFonts w:hint="eastAsia" w:ascii="宋体" w:hAnsi="宋体" w:cs="宋体"/>
                <w:color w:val="auto"/>
                <w:szCs w:val="21"/>
              </w:rPr>
              <w:t>电流钳</w:t>
            </w:r>
          </w:p>
        </w:tc>
        <w:tc>
          <w:tcPr>
            <w:tcW w:w="752" w:type="pct"/>
            <w:vAlign w:val="center"/>
          </w:tcPr>
          <w:p>
            <w:pPr>
              <w:jc w:val="center"/>
              <w:rPr>
                <w:rFonts w:ascii="宋体" w:hAnsi="宋体" w:cs="宋体"/>
                <w:color w:val="auto"/>
                <w:szCs w:val="21"/>
              </w:rPr>
            </w:pPr>
            <w:r>
              <w:rPr>
                <w:rFonts w:hint="eastAsia" w:ascii="宋体" w:hAnsi="宋体" w:cs="宋体"/>
                <w:color w:val="auto"/>
                <w:szCs w:val="21"/>
              </w:rPr>
              <w:t>1套</w:t>
            </w:r>
          </w:p>
        </w:tc>
        <w:tc>
          <w:tcPr>
            <w:tcW w:w="950" w:type="pct"/>
            <w:vAlign w:val="center"/>
          </w:tcPr>
          <w:p>
            <w:pPr>
              <w:jc w:val="center"/>
              <w:rPr>
                <w:rFonts w:ascii="宋体" w:hAnsi="宋体" w:cs="宋体"/>
                <w:color w:val="auto"/>
                <w:szCs w:val="21"/>
              </w:rPr>
            </w:pPr>
            <w:r>
              <w:rPr>
                <w:rFonts w:hint="eastAsia" w:ascii="宋体" w:hAnsi="宋体" w:cs="宋体"/>
                <w:color w:val="auto"/>
                <w:szCs w:val="21"/>
              </w:rPr>
              <w:t>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7" w:hRule="atLeast"/>
        </w:trPr>
        <w:tc>
          <w:tcPr>
            <w:tcW w:w="588" w:type="pct"/>
            <w:vAlign w:val="center"/>
          </w:tcPr>
          <w:p>
            <w:pPr>
              <w:jc w:val="center"/>
              <w:rPr>
                <w:rFonts w:ascii="宋体" w:hAnsi="宋体" w:cs="宋体"/>
                <w:color w:val="auto"/>
                <w:szCs w:val="21"/>
              </w:rPr>
            </w:pPr>
            <w:r>
              <w:rPr>
                <w:rFonts w:hint="eastAsia" w:ascii="宋体" w:hAnsi="宋体" w:cs="宋体"/>
                <w:color w:val="auto"/>
                <w:szCs w:val="21"/>
              </w:rPr>
              <w:t>5</w:t>
            </w:r>
          </w:p>
        </w:tc>
        <w:tc>
          <w:tcPr>
            <w:tcW w:w="2708" w:type="pct"/>
            <w:vAlign w:val="center"/>
          </w:tcPr>
          <w:p>
            <w:pPr>
              <w:jc w:val="center"/>
              <w:rPr>
                <w:rFonts w:ascii="宋体" w:hAnsi="宋体" w:cs="宋体"/>
                <w:color w:val="auto"/>
                <w:szCs w:val="21"/>
              </w:rPr>
            </w:pPr>
            <w:r>
              <w:rPr>
                <w:rFonts w:hint="eastAsia" w:ascii="宋体" w:hAnsi="宋体" w:cs="宋体"/>
                <w:color w:val="auto"/>
                <w:szCs w:val="21"/>
              </w:rPr>
              <w:t>示波器</w:t>
            </w:r>
          </w:p>
        </w:tc>
        <w:tc>
          <w:tcPr>
            <w:tcW w:w="752" w:type="pct"/>
            <w:vAlign w:val="center"/>
          </w:tcPr>
          <w:p>
            <w:pPr>
              <w:jc w:val="center"/>
              <w:rPr>
                <w:rFonts w:ascii="宋体" w:hAnsi="宋体" w:cs="宋体"/>
                <w:color w:val="auto"/>
                <w:szCs w:val="21"/>
              </w:rPr>
            </w:pPr>
            <w:r>
              <w:rPr>
                <w:rFonts w:hint="eastAsia" w:ascii="宋体" w:hAnsi="宋体" w:cs="宋体"/>
                <w:color w:val="auto"/>
                <w:szCs w:val="21"/>
              </w:rPr>
              <w:t>1套</w:t>
            </w:r>
          </w:p>
        </w:tc>
        <w:tc>
          <w:tcPr>
            <w:tcW w:w="950" w:type="pct"/>
            <w:vAlign w:val="center"/>
          </w:tcPr>
          <w:p>
            <w:pPr>
              <w:jc w:val="center"/>
              <w:rPr>
                <w:rFonts w:ascii="宋体" w:hAnsi="宋体" w:cs="宋体"/>
                <w:color w:val="auto"/>
                <w:szCs w:val="21"/>
              </w:rPr>
            </w:pPr>
            <w:r>
              <w:rPr>
                <w:rFonts w:hint="eastAsia" w:ascii="宋体" w:hAnsi="宋体" w:cs="宋体"/>
                <w:color w:val="auto"/>
                <w:szCs w:val="21"/>
              </w:rPr>
              <w:t>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7" w:hRule="atLeast"/>
        </w:trPr>
        <w:tc>
          <w:tcPr>
            <w:tcW w:w="588" w:type="pct"/>
            <w:vAlign w:val="center"/>
          </w:tcPr>
          <w:p>
            <w:pPr>
              <w:jc w:val="center"/>
              <w:rPr>
                <w:rFonts w:ascii="宋体" w:hAnsi="宋体" w:cs="宋体"/>
                <w:color w:val="auto"/>
                <w:szCs w:val="21"/>
              </w:rPr>
            </w:pPr>
            <w:r>
              <w:rPr>
                <w:rFonts w:hint="eastAsia" w:ascii="宋体" w:hAnsi="宋体" w:cs="宋体"/>
                <w:color w:val="auto"/>
                <w:szCs w:val="21"/>
              </w:rPr>
              <w:t>6</w:t>
            </w:r>
          </w:p>
        </w:tc>
        <w:tc>
          <w:tcPr>
            <w:tcW w:w="2708" w:type="pct"/>
            <w:vAlign w:val="center"/>
          </w:tcPr>
          <w:p>
            <w:pPr>
              <w:jc w:val="center"/>
              <w:rPr>
                <w:rFonts w:ascii="宋体" w:hAnsi="宋体" w:cs="宋体"/>
                <w:color w:val="auto"/>
                <w:szCs w:val="21"/>
              </w:rPr>
            </w:pPr>
            <w:r>
              <w:rPr>
                <w:rFonts w:hint="eastAsia" w:ascii="宋体" w:hAnsi="宋体" w:cs="宋体"/>
                <w:color w:val="auto"/>
                <w:szCs w:val="21"/>
              </w:rPr>
              <w:t>电源柜</w:t>
            </w:r>
          </w:p>
        </w:tc>
        <w:tc>
          <w:tcPr>
            <w:tcW w:w="752" w:type="pct"/>
            <w:vAlign w:val="center"/>
          </w:tcPr>
          <w:p>
            <w:pPr>
              <w:jc w:val="center"/>
              <w:rPr>
                <w:rFonts w:ascii="宋体" w:hAnsi="宋体" w:cs="宋体"/>
                <w:color w:val="auto"/>
                <w:szCs w:val="21"/>
              </w:rPr>
            </w:pPr>
            <w:r>
              <w:rPr>
                <w:rFonts w:hint="eastAsia" w:ascii="宋体" w:hAnsi="宋体" w:cs="宋体"/>
                <w:color w:val="auto"/>
                <w:szCs w:val="21"/>
              </w:rPr>
              <w:t>1套</w:t>
            </w:r>
          </w:p>
        </w:tc>
        <w:tc>
          <w:tcPr>
            <w:tcW w:w="950" w:type="pct"/>
            <w:vAlign w:val="center"/>
          </w:tcPr>
          <w:p>
            <w:pPr>
              <w:jc w:val="center"/>
              <w:rPr>
                <w:rFonts w:ascii="宋体" w:hAnsi="宋体" w:cs="宋体"/>
                <w:color w:val="auto"/>
                <w:szCs w:val="21"/>
              </w:rPr>
            </w:pPr>
            <w:r>
              <w:rPr>
                <w:rFonts w:hint="eastAsia" w:ascii="宋体" w:hAnsi="宋体" w:cs="宋体"/>
                <w:color w:val="auto"/>
                <w:szCs w:val="21"/>
              </w:rPr>
              <w:t>否</w:t>
            </w:r>
          </w:p>
        </w:tc>
      </w:tr>
    </w:tbl>
    <w:p>
      <w:pPr>
        <w:spacing w:line="360" w:lineRule="auto"/>
        <w:ind w:firstLine="420" w:firstLineChars="200"/>
        <w:jc w:val="left"/>
        <w:rPr>
          <w:rFonts w:cs="宋体" w:asciiTheme="minorEastAsia" w:hAnsiTheme="minorEastAsia" w:eastAsiaTheme="minorEastAsia"/>
          <w:color w:val="auto"/>
          <w:szCs w:val="21"/>
        </w:rPr>
      </w:pPr>
      <w:r>
        <w:rPr>
          <w:rFonts w:hint="eastAsia" w:cs="宋体" w:asciiTheme="minorEastAsia" w:hAnsiTheme="minorEastAsia" w:eastAsiaTheme="minorEastAsia"/>
          <w:color w:val="auto"/>
          <w:szCs w:val="21"/>
        </w:rPr>
        <w:t>（1）类别：货物</w:t>
      </w:r>
    </w:p>
    <w:p>
      <w:pPr>
        <w:spacing w:line="360" w:lineRule="auto"/>
        <w:ind w:firstLine="420" w:firstLineChars="200"/>
        <w:jc w:val="left"/>
        <w:rPr>
          <w:rFonts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（2）交货期：国产设备在签订合同30日历天内供货；进口设备在签订供货代理协议，且信用证开具后90日历天内供货。</w:t>
      </w:r>
    </w:p>
    <w:p>
      <w:pPr>
        <w:spacing w:line="360" w:lineRule="auto"/>
        <w:ind w:firstLine="420" w:firstLineChars="200"/>
        <w:jc w:val="left"/>
        <w:rPr>
          <w:rFonts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（3）质保期/保修期：自产品最终验收合格双方签字并交付使用之日起算质保期一年（另可调负载箱质保期10年）。</w:t>
      </w:r>
    </w:p>
    <w:p>
      <w:pPr>
        <w:spacing w:line="360" w:lineRule="auto"/>
        <w:ind w:firstLine="420" w:firstLineChars="200"/>
        <w:jc w:val="left"/>
        <w:rPr>
          <w:rFonts w:cs="宋体" w:asciiTheme="minorEastAsia" w:hAnsiTheme="minorEastAsia" w:eastAsiaTheme="minorEastAsia"/>
          <w:color w:val="auto"/>
          <w:szCs w:val="21"/>
        </w:rPr>
      </w:pPr>
      <w:r>
        <w:rPr>
          <w:rFonts w:hint="eastAsia" w:cs="宋体" w:asciiTheme="minorEastAsia" w:hAnsiTheme="minorEastAsia" w:eastAsiaTheme="minorEastAsia"/>
          <w:color w:val="auto"/>
          <w:szCs w:val="21"/>
        </w:rPr>
        <w:t>（4）质量标准：达到国家或行业颁布的其他现行各项技术标准和验收规范规定。</w:t>
      </w:r>
    </w:p>
    <w:p>
      <w:pPr>
        <w:spacing w:line="360" w:lineRule="auto"/>
        <w:ind w:firstLine="420" w:firstLineChars="200"/>
        <w:jc w:val="left"/>
        <w:rPr>
          <w:rFonts w:cs="宋体" w:asciiTheme="minorEastAsia" w:hAnsiTheme="minorEastAsia" w:eastAsiaTheme="minorEastAsia"/>
          <w:color w:val="auto"/>
          <w:szCs w:val="21"/>
        </w:rPr>
      </w:pPr>
      <w:r>
        <w:rPr>
          <w:rFonts w:hint="eastAsia" w:cs="宋体" w:asciiTheme="minorEastAsia" w:hAnsiTheme="minorEastAsia" w:eastAsiaTheme="minorEastAsia"/>
          <w:color w:val="auto"/>
          <w:szCs w:val="21"/>
        </w:rPr>
        <w:t>（5）其他：供应商参加竞标的报价超过该包采购最高限价的，该包竞标无效；供应商报价须包含该采购需求的全部内容。本项目部分设备已办理进口产品论证，拟采购进口设备；</w:t>
      </w:r>
    </w:p>
    <w:p>
      <w:pPr>
        <w:spacing w:line="360" w:lineRule="auto"/>
        <w:jc w:val="left"/>
        <w:rPr>
          <w:rFonts w:ascii="宋体" w:hAnsi="宋体" w:cs="宋体"/>
          <w:strike/>
          <w:color w:val="auto"/>
          <w:szCs w:val="21"/>
        </w:rPr>
      </w:pPr>
      <w:r>
        <w:rPr>
          <w:rFonts w:hint="eastAsia" w:ascii="宋体" w:hAnsi="宋体" w:cs="宋体"/>
          <w:color w:val="auto"/>
          <w:szCs w:val="21"/>
        </w:rPr>
        <w:t>8.合同履行期限：</w:t>
      </w:r>
      <w:r>
        <w:rPr>
          <w:rFonts w:hint="eastAsia" w:ascii="宋体" w:hAnsi="宋体" w:cs="宋体"/>
          <w:color w:val="auto"/>
          <w:szCs w:val="21"/>
          <w:u w:val="single"/>
        </w:rPr>
        <w:t xml:space="preserve"> 见交货期；</w:t>
      </w:r>
    </w:p>
    <w:p>
      <w:pPr>
        <w:spacing w:line="360" w:lineRule="auto"/>
        <w:jc w:val="left"/>
        <w:rPr>
          <w:rFonts w:ascii="宋体" w:hAnsi="宋体" w:cs="宋体"/>
          <w:color w:val="auto"/>
          <w:szCs w:val="21"/>
          <w:highlight w:val="yellow"/>
        </w:rPr>
      </w:pPr>
      <w:r>
        <w:rPr>
          <w:rFonts w:hint="eastAsia" w:ascii="宋体" w:hAnsi="宋体" w:cs="宋体"/>
          <w:color w:val="auto"/>
          <w:szCs w:val="21"/>
        </w:rPr>
        <w:t>9.本项目（是/否）接受联合体投标：否</w:t>
      </w:r>
    </w:p>
    <w:p>
      <w:pPr>
        <w:spacing w:line="360" w:lineRule="auto"/>
        <w:jc w:val="left"/>
        <w:rPr>
          <w:rFonts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10.是否可采购进口产品：是</w:t>
      </w:r>
    </w:p>
    <w:p>
      <w:pPr>
        <w:spacing w:line="360" w:lineRule="auto"/>
        <w:jc w:val="left"/>
        <w:rPr>
          <w:rFonts w:ascii="宋体" w:hAnsi="宋体" w:cs="宋体"/>
          <w:color w:val="auto"/>
          <w:szCs w:val="21"/>
        </w:rPr>
      </w:pPr>
      <w:r>
        <w:rPr>
          <w:rFonts w:hint="eastAsia" w:asciiTheme="minorEastAsia" w:hAnsiTheme="minorEastAsia" w:eastAsiaTheme="minorEastAsia" w:cstheme="minorEastAsia"/>
          <w:color w:val="auto"/>
          <w:szCs w:val="21"/>
        </w:rPr>
        <w:t>11.本项目（是/否）专门面向中小微企业：否</w:t>
      </w:r>
    </w:p>
    <w:p>
      <w:pPr>
        <w:pStyle w:val="5"/>
        <w:numPr>
          <w:ilvl w:val="0"/>
          <w:numId w:val="6"/>
        </w:numPr>
        <w:spacing w:line="360" w:lineRule="auto"/>
        <w:jc w:val="left"/>
        <w:rPr>
          <w:rFonts w:ascii="宋体" w:hAnsi="宋体" w:eastAsia="宋体" w:cs="宋体"/>
          <w:color w:val="auto"/>
          <w:sz w:val="21"/>
          <w:szCs w:val="21"/>
        </w:rPr>
      </w:pPr>
      <w:bookmarkStart w:id="9" w:name="_Toc32323"/>
      <w:r>
        <w:rPr>
          <w:rFonts w:hint="eastAsia" w:ascii="宋体" w:hAnsi="宋体" w:eastAsia="宋体" w:cs="宋体"/>
          <w:color w:val="auto"/>
          <w:sz w:val="21"/>
          <w:szCs w:val="21"/>
        </w:rPr>
        <w:t>申请人的资格要求</w:t>
      </w:r>
      <w:bookmarkEnd w:id="9"/>
    </w:p>
    <w:p>
      <w:pPr>
        <w:numPr>
          <w:ilvl w:val="0"/>
          <w:numId w:val="7"/>
        </w:numPr>
        <w:spacing w:line="360" w:lineRule="auto"/>
        <w:ind w:firstLine="420" w:firstLineChars="200"/>
        <w:jc w:val="left"/>
        <w:rPr>
          <w:rFonts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满足《中华人民共和国政府采购法》第二十二条规定；</w:t>
      </w:r>
    </w:p>
    <w:p>
      <w:pPr>
        <w:spacing w:line="360" w:lineRule="auto"/>
        <w:ind w:firstLine="420" w:firstLineChars="200"/>
        <w:jc w:val="left"/>
        <w:rPr>
          <w:rFonts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（1）具有独立承担民事责任的能力；</w:t>
      </w:r>
    </w:p>
    <w:p>
      <w:pPr>
        <w:spacing w:line="360" w:lineRule="auto"/>
        <w:ind w:firstLine="420" w:firstLineChars="200"/>
        <w:jc w:val="left"/>
        <w:rPr>
          <w:rFonts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（2）具有良好的商业信誉和健全的财务会计制度；</w:t>
      </w:r>
    </w:p>
    <w:p>
      <w:pPr>
        <w:spacing w:line="360" w:lineRule="auto"/>
        <w:ind w:firstLine="420" w:firstLineChars="200"/>
        <w:jc w:val="left"/>
        <w:rPr>
          <w:rFonts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（3）具有履行合同所必需的设备和专业技术能力；</w:t>
      </w:r>
    </w:p>
    <w:p>
      <w:pPr>
        <w:spacing w:line="360" w:lineRule="auto"/>
        <w:ind w:firstLine="420" w:firstLineChars="200"/>
        <w:jc w:val="left"/>
        <w:rPr>
          <w:rFonts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（4）有依法缴纳税收和社会保障资金的良好记录；</w:t>
      </w:r>
    </w:p>
    <w:p>
      <w:pPr>
        <w:spacing w:line="360" w:lineRule="auto"/>
        <w:ind w:firstLine="420" w:firstLineChars="200"/>
        <w:jc w:val="left"/>
        <w:rPr>
          <w:rFonts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（5）参加政府采购活动前三年内，在经营活动中没有重大违法记录；</w:t>
      </w:r>
    </w:p>
    <w:p>
      <w:pPr>
        <w:spacing w:line="360" w:lineRule="auto"/>
        <w:ind w:firstLine="420" w:firstLineChars="200"/>
        <w:jc w:val="left"/>
        <w:rPr>
          <w:rFonts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（6）法律、行政法规规定的其他条件；</w:t>
      </w:r>
    </w:p>
    <w:p>
      <w:pPr>
        <w:numPr>
          <w:ilvl w:val="0"/>
          <w:numId w:val="7"/>
        </w:numPr>
        <w:spacing w:line="360" w:lineRule="auto"/>
        <w:ind w:firstLine="420" w:firstLineChars="200"/>
        <w:jc w:val="left"/>
        <w:rPr>
          <w:rFonts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单位负责人为同一人或者存在直接控股、管理关系的不同供应商，不得参加本项目同一合同项下的政府采购活动。</w:t>
      </w:r>
    </w:p>
    <w:p>
      <w:pPr>
        <w:numPr>
          <w:ilvl w:val="0"/>
          <w:numId w:val="7"/>
        </w:numPr>
        <w:spacing w:line="360" w:lineRule="auto"/>
        <w:ind w:firstLine="420" w:firstLineChars="200"/>
        <w:jc w:val="left"/>
        <w:rPr>
          <w:rFonts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为本采购项目提供整体设计、规范编制或者项目管理、监理、检测等服务的，不得再参加本项目的其他招标采购活动。</w:t>
      </w:r>
    </w:p>
    <w:p>
      <w:pPr>
        <w:numPr>
          <w:ilvl w:val="0"/>
          <w:numId w:val="7"/>
        </w:numPr>
        <w:spacing w:line="360" w:lineRule="auto"/>
        <w:ind w:firstLine="420" w:firstLineChars="200"/>
        <w:jc w:val="left"/>
        <w:rPr>
          <w:rFonts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未被列入失信被执行人、重大税收违法案件当事人名单，未被列入政府采购严重违法失信行为记录名单。</w:t>
      </w:r>
      <w:r>
        <w:rPr>
          <w:rFonts w:hint="eastAsia" w:asciiTheme="minorEastAsia" w:hAnsiTheme="minorEastAsia" w:eastAsiaTheme="minorEastAsia" w:cstheme="minorEastAsia"/>
          <w:color w:val="auto"/>
          <w:szCs w:val="21"/>
        </w:rPr>
        <w:br w:type="textWrapping"/>
      </w:r>
      <w:r>
        <w:rPr>
          <w:rFonts w:hint="eastAsia" w:asciiTheme="minorEastAsia" w:hAnsiTheme="minorEastAsia" w:eastAsiaTheme="minorEastAsia" w:cstheme="minorEastAsia"/>
          <w:color w:val="auto"/>
          <w:szCs w:val="21"/>
        </w:rPr>
        <w:t xml:space="preserve">    5.落实政府采购政策需满足的资格要求：本项目整体非专门面向中小企业，即小微企业参与本项目可享受政府采购中小企业扶持政策，本项目企业划分标准所属行业为“</w:t>
      </w:r>
      <w:r>
        <w:rPr>
          <w:rFonts w:hint="eastAsia" w:ascii="宋体" w:hAnsi="宋体" w:cs="宋体"/>
          <w:color w:val="auto"/>
          <w:kern w:val="0"/>
          <w:szCs w:val="21"/>
          <w:lang w:bidi="ar"/>
        </w:rPr>
        <w:t>其他未列明行业</w:t>
      </w:r>
      <w:r>
        <w:rPr>
          <w:rFonts w:hint="eastAsia" w:asciiTheme="minorEastAsia" w:hAnsiTheme="minorEastAsia" w:eastAsiaTheme="minorEastAsia" w:cstheme="minorEastAsia"/>
          <w:color w:val="auto"/>
          <w:szCs w:val="21"/>
        </w:rPr>
        <w:t>”。</w:t>
      </w:r>
    </w:p>
    <w:p>
      <w:pPr>
        <w:spacing w:line="360" w:lineRule="auto"/>
        <w:ind w:left="420" w:leftChars="200"/>
        <w:jc w:val="left"/>
        <w:rPr>
          <w:rFonts w:ascii="宋体" w:hAnsi="宋体" w:cs="宋体"/>
          <w:color w:val="auto"/>
          <w:szCs w:val="21"/>
        </w:rPr>
      </w:pPr>
      <w:r>
        <w:rPr>
          <w:rFonts w:hint="eastAsia" w:asciiTheme="minorEastAsia" w:hAnsiTheme="minorEastAsia" w:eastAsiaTheme="minorEastAsia" w:cstheme="minorEastAsia"/>
          <w:b/>
          <w:bCs/>
          <w:color w:val="auto"/>
          <w:szCs w:val="21"/>
        </w:rPr>
        <w:t>6.本项目的特定资格要求：无</w:t>
      </w:r>
    </w:p>
    <w:p>
      <w:pPr>
        <w:pStyle w:val="5"/>
        <w:numPr>
          <w:ilvl w:val="0"/>
          <w:numId w:val="6"/>
        </w:numPr>
        <w:spacing w:line="360" w:lineRule="auto"/>
        <w:jc w:val="left"/>
        <w:rPr>
          <w:rFonts w:ascii="宋体" w:hAnsi="宋体" w:eastAsia="宋体" w:cs="宋体"/>
          <w:color w:val="auto"/>
          <w:sz w:val="21"/>
          <w:szCs w:val="21"/>
        </w:rPr>
      </w:pPr>
      <w:bookmarkStart w:id="10" w:name="_Toc31037"/>
      <w:bookmarkStart w:id="11" w:name="_Toc334539185"/>
      <w:r>
        <w:rPr>
          <w:rFonts w:hint="eastAsia" w:ascii="宋体" w:hAnsi="宋体" w:eastAsia="宋体" w:cs="宋体"/>
          <w:color w:val="auto"/>
          <w:sz w:val="21"/>
          <w:szCs w:val="21"/>
        </w:rPr>
        <w:t>获取采购文件</w:t>
      </w:r>
      <w:bookmarkEnd w:id="10"/>
    </w:p>
    <w:p>
      <w:pPr>
        <w:spacing w:line="360" w:lineRule="auto"/>
        <w:ind w:firstLine="420" w:firstLineChars="200"/>
        <w:jc w:val="left"/>
        <w:rPr>
          <w:rFonts w:ascii="宋体" w:hAnsi="宋体" w:cs="宋体"/>
          <w:color w:val="auto"/>
          <w:szCs w:val="21"/>
        </w:rPr>
      </w:pPr>
      <w:r>
        <w:rPr>
          <w:rFonts w:hint="eastAsia" w:ascii="宋体" w:hAnsi="宋体" w:cs="宋体"/>
          <w:color w:val="auto"/>
          <w:szCs w:val="21"/>
        </w:rPr>
        <w:t>时间：</w:t>
      </w:r>
      <w:r>
        <w:rPr>
          <w:rFonts w:hint="eastAsia" w:ascii="宋体" w:hAnsi="宋体" w:cs="宋体"/>
          <w:color w:val="auto"/>
          <w:szCs w:val="21"/>
          <w:u w:val="single"/>
        </w:rPr>
        <w:t>2021年</w:t>
      </w:r>
      <w:r>
        <w:rPr>
          <w:rFonts w:hint="eastAsia" w:ascii="宋体" w:hAnsi="宋体" w:cs="宋体"/>
          <w:color w:val="auto"/>
          <w:szCs w:val="21"/>
          <w:u w:val="single"/>
          <w:lang w:val="en-US" w:eastAsia="zh-CN"/>
        </w:rPr>
        <w:t>10</w:t>
      </w:r>
      <w:r>
        <w:rPr>
          <w:rFonts w:hint="eastAsia" w:ascii="宋体" w:hAnsi="宋体" w:cs="宋体"/>
          <w:color w:val="auto"/>
          <w:szCs w:val="21"/>
          <w:u w:val="single"/>
        </w:rPr>
        <w:t>月</w:t>
      </w:r>
      <w:r>
        <w:rPr>
          <w:rFonts w:hint="eastAsia" w:ascii="宋体" w:hAnsi="宋体" w:cs="宋体"/>
          <w:color w:val="auto"/>
          <w:szCs w:val="21"/>
          <w:u w:val="single"/>
          <w:lang w:val="en-US" w:eastAsia="zh-CN"/>
        </w:rPr>
        <w:t>08</w:t>
      </w:r>
      <w:r>
        <w:rPr>
          <w:rFonts w:hint="eastAsia" w:ascii="宋体" w:hAnsi="宋体" w:cs="宋体"/>
          <w:color w:val="auto"/>
          <w:szCs w:val="21"/>
          <w:u w:val="single"/>
        </w:rPr>
        <w:t>日至2021年</w:t>
      </w:r>
      <w:r>
        <w:rPr>
          <w:rFonts w:hint="eastAsia" w:ascii="宋体" w:hAnsi="宋体" w:cs="宋体"/>
          <w:color w:val="auto"/>
          <w:szCs w:val="21"/>
          <w:u w:val="single"/>
          <w:lang w:val="en-US" w:eastAsia="zh-CN"/>
        </w:rPr>
        <w:t>10</w:t>
      </w:r>
      <w:r>
        <w:rPr>
          <w:rFonts w:hint="eastAsia" w:ascii="宋体" w:hAnsi="宋体" w:cs="宋体"/>
          <w:color w:val="auto"/>
          <w:szCs w:val="21"/>
          <w:u w:val="single"/>
        </w:rPr>
        <w:t>月</w:t>
      </w:r>
      <w:r>
        <w:rPr>
          <w:rFonts w:hint="eastAsia" w:ascii="宋体" w:hAnsi="宋体" w:cs="宋体"/>
          <w:color w:val="auto"/>
          <w:szCs w:val="21"/>
          <w:u w:val="single"/>
          <w:lang w:val="en-US" w:eastAsia="zh-CN"/>
        </w:rPr>
        <w:t>13</w:t>
      </w:r>
      <w:r>
        <w:rPr>
          <w:rFonts w:hint="eastAsia" w:ascii="宋体" w:hAnsi="宋体" w:cs="宋体"/>
          <w:color w:val="auto"/>
          <w:szCs w:val="21"/>
          <w:u w:val="single"/>
        </w:rPr>
        <w:t>日</w:t>
      </w:r>
      <w:r>
        <w:rPr>
          <w:rFonts w:hint="eastAsia" w:ascii="宋体" w:hAnsi="宋体" w:cs="宋体"/>
          <w:color w:val="auto"/>
          <w:szCs w:val="21"/>
        </w:rPr>
        <w:t>，每天上午09:00至12:00，下午14:30至17:00（北京时间，法定节假日除外）</w:t>
      </w:r>
    </w:p>
    <w:p>
      <w:pPr>
        <w:spacing w:line="360" w:lineRule="auto"/>
        <w:ind w:firstLine="420" w:firstLineChars="200"/>
        <w:jc w:val="left"/>
        <w:rPr>
          <w:rFonts w:ascii="宋体" w:hAnsi="宋体" w:cs="宋体"/>
          <w:color w:val="auto"/>
          <w:szCs w:val="21"/>
        </w:rPr>
      </w:pPr>
      <w:r>
        <w:rPr>
          <w:rFonts w:hint="eastAsia" w:ascii="宋体" w:hAnsi="宋体" w:cs="宋体"/>
          <w:color w:val="auto"/>
          <w:szCs w:val="21"/>
        </w:rPr>
        <w:t>地点：武昌区中北路岳家嘴立交山河企业大厦48楼4805室；</w:t>
      </w:r>
    </w:p>
    <w:bookmarkEnd w:id="11"/>
    <w:p>
      <w:pPr>
        <w:spacing w:line="360" w:lineRule="auto"/>
        <w:ind w:firstLine="420" w:firstLineChars="200"/>
        <w:jc w:val="left"/>
        <w:rPr>
          <w:rFonts w:ascii="宋体" w:hAnsi="宋体" w:cs="宋体"/>
          <w:color w:val="auto"/>
          <w:szCs w:val="21"/>
        </w:rPr>
      </w:pPr>
      <w:r>
        <w:rPr>
          <w:rFonts w:hint="eastAsia" w:ascii="宋体" w:hAnsi="宋体" w:cs="宋体"/>
          <w:color w:val="auto"/>
          <w:szCs w:val="21"/>
        </w:rPr>
        <w:t>线上获取：因疫情原因，采取网上获取文件的方式，请各供应商将以下附件资料加盖公章扫描后传至2102252595@qq.com（邮件主题名称必须备注所投项目名称及公司姓名，否则不予受理），以邮箱显示收到的时间为准，递交资料后请联系代理机构工作人员支付磋商文件费用并确认后获取磋商文件。采购文件售后不退，不办理邮寄；</w:t>
      </w:r>
      <w:r>
        <w:rPr>
          <w:rFonts w:hint="eastAsia" w:ascii="宋体" w:hAnsi="宋体" w:cs="宋体"/>
          <w:color w:val="auto"/>
          <w:szCs w:val="21"/>
        </w:rPr>
        <w:br w:type="textWrapping"/>
      </w:r>
      <w:r>
        <w:rPr>
          <w:rFonts w:hint="eastAsia" w:ascii="宋体" w:hAnsi="宋体" w:cs="宋体"/>
          <w:b/>
          <w:bCs/>
          <w:color w:val="auto"/>
          <w:szCs w:val="21"/>
        </w:rPr>
        <w:t xml:space="preserve">    </w:t>
      </w:r>
      <w:r>
        <w:rPr>
          <w:rFonts w:hint="eastAsia" w:ascii="宋体" w:hAnsi="宋体" w:cs="宋体"/>
          <w:color w:val="auto"/>
          <w:szCs w:val="21"/>
        </w:rPr>
        <w:t>售价：400（元）；</w:t>
      </w:r>
    </w:p>
    <w:p>
      <w:pPr>
        <w:pStyle w:val="5"/>
        <w:numPr>
          <w:ilvl w:val="0"/>
          <w:numId w:val="6"/>
        </w:numPr>
        <w:spacing w:line="360" w:lineRule="auto"/>
        <w:jc w:val="left"/>
        <w:rPr>
          <w:rFonts w:ascii="宋体" w:hAnsi="宋体" w:eastAsia="宋体" w:cs="宋体"/>
          <w:color w:val="auto"/>
          <w:sz w:val="21"/>
          <w:szCs w:val="21"/>
        </w:rPr>
      </w:pPr>
      <w:bookmarkStart w:id="12" w:name="_Toc30368"/>
      <w:r>
        <w:rPr>
          <w:rFonts w:hint="eastAsia" w:ascii="宋体" w:hAnsi="宋体" w:eastAsia="宋体" w:cs="宋体"/>
          <w:color w:val="auto"/>
          <w:sz w:val="21"/>
          <w:szCs w:val="21"/>
        </w:rPr>
        <w:t>响应文件提交</w:t>
      </w:r>
      <w:bookmarkEnd w:id="12"/>
    </w:p>
    <w:p>
      <w:pPr>
        <w:spacing w:line="360" w:lineRule="auto"/>
        <w:ind w:firstLine="420" w:firstLineChars="200"/>
        <w:jc w:val="left"/>
        <w:rPr>
          <w:rFonts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开始时间：2021年</w:t>
      </w:r>
      <w:r>
        <w:rPr>
          <w:rFonts w:hint="eastAsia" w:asciiTheme="minorEastAsia" w:hAnsiTheme="minorEastAsia" w:eastAsiaTheme="minorEastAsia" w:cstheme="minorEastAsia"/>
          <w:color w:val="auto"/>
          <w:szCs w:val="21"/>
          <w:lang w:val="en-US" w:eastAsia="zh-CN"/>
        </w:rPr>
        <w:t>10</w:t>
      </w:r>
      <w:r>
        <w:rPr>
          <w:rFonts w:hint="eastAsia" w:asciiTheme="minorEastAsia" w:hAnsiTheme="minorEastAsia" w:eastAsiaTheme="minorEastAsia" w:cstheme="minorEastAsia"/>
          <w:color w:val="auto"/>
          <w:szCs w:val="21"/>
        </w:rPr>
        <w:t>月</w:t>
      </w:r>
      <w:r>
        <w:rPr>
          <w:rFonts w:hint="eastAsia" w:asciiTheme="minorEastAsia" w:hAnsiTheme="minorEastAsia" w:eastAsiaTheme="minorEastAsia" w:cstheme="minorEastAsia"/>
          <w:color w:val="auto"/>
          <w:szCs w:val="21"/>
          <w:lang w:val="en-US" w:eastAsia="zh-CN"/>
        </w:rPr>
        <w:t>20</w:t>
      </w:r>
      <w:r>
        <w:rPr>
          <w:rFonts w:hint="eastAsia" w:asciiTheme="minorEastAsia" w:hAnsiTheme="minorEastAsia" w:eastAsiaTheme="minorEastAsia" w:cstheme="minorEastAsia"/>
          <w:color w:val="auto"/>
          <w:szCs w:val="21"/>
        </w:rPr>
        <w:t>日</w:t>
      </w:r>
      <w:r>
        <w:rPr>
          <w:rFonts w:hint="eastAsia" w:asciiTheme="minorEastAsia" w:hAnsiTheme="minorEastAsia" w:eastAsiaTheme="minorEastAsia" w:cstheme="minorEastAsia"/>
          <w:color w:val="auto"/>
          <w:szCs w:val="21"/>
          <w:lang w:val="en-US" w:eastAsia="zh-CN"/>
        </w:rPr>
        <w:t>08</w:t>
      </w:r>
      <w:r>
        <w:rPr>
          <w:rFonts w:hint="eastAsia" w:asciiTheme="minorEastAsia" w:hAnsiTheme="minorEastAsia" w:eastAsiaTheme="minorEastAsia" w:cstheme="minorEastAsia"/>
          <w:color w:val="auto"/>
          <w:szCs w:val="21"/>
        </w:rPr>
        <w:t>点</w:t>
      </w:r>
      <w:r>
        <w:rPr>
          <w:rFonts w:hint="eastAsia" w:asciiTheme="minorEastAsia" w:hAnsiTheme="minorEastAsia" w:eastAsiaTheme="minorEastAsia" w:cstheme="minorEastAsia"/>
          <w:color w:val="auto"/>
          <w:szCs w:val="21"/>
          <w:lang w:val="en-US" w:eastAsia="zh-CN"/>
        </w:rPr>
        <w:t>30</w:t>
      </w:r>
      <w:r>
        <w:rPr>
          <w:rFonts w:hint="eastAsia" w:asciiTheme="minorEastAsia" w:hAnsiTheme="minorEastAsia" w:eastAsiaTheme="minorEastAsia" w:cstheme="minorEastAsia"/>
          <w:color w:val="auto"/>
          <w:szCs w:val="21"/>
        </w:rPr>
        <w:t>分（北京时间）</w:t>
      </w:r>
    </w:p>
    <w:p>
      <w:pPr>
        <w:spacing w:line="360" w:lineRule="auto"/>
        <w:ind w:firstLine="420" w:firstLineChars="200"/>
        <w:jc w:val="left"/>
        <w:rPr>
          <w:rFonts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截止时间：2021年</w:t>
      </w:r>
      <w:r>
        <w:rPr>
          <w:rFonts w:hint="eastAsia" w:asciiTheme="minorEastAsia" w:hAnsiTheme="minorEastAsia" w:eastAsiaTheme="minorEastAsia" w:cstheme="minorEastAsia"/>
          <w:color w:val="auto"/>
          <w:szCs w:val="21"/>
          <w:lang w:val="en-US" w:eastAsia="zh-CN"/>
        </w:rPr>
        <w:t>10</w:t>
      </w:r>
      <w:r>
        <w:rPr>
          <w:rFonts w:hint="eastAsia" w:asciiTheme="minorEastAsia" w:hAnsiTheme="minorEastAsia" w:eastAsiaTheme="minorEastAsia" w:cstheme="minorEastAsia"/>
          <w:color w:val="auto"/>
          <w:szCs w:val="21"/>
        </w:rPr>
        <w:t>月</w:t>
      </w:r>
      <w:r>
        <w:rPr>
          <w:rFonts w:hint="eastAsia" w:asciiTheme="minorEastAsia" w:hAnsiTheme="minorEastAsia" w:eastAsiaTheme="minorEastAsia" w:cstheme="minorEastAsia"/>
          <w:color w:val="auto"/>
          <w:szCs w:val="21"/>
          <w:lang w:val="en-US" w:eastAsia="zh-CN"/>
        </w:rPr>
        <w:t>20</w:t>
      </w:r>
      <w:r>
        <w:rPr>
          <w:rFonts w:hint="eastAsia" w:asciiTheme="minorEastAsia" w:hAnsiTheme="minorEastAsia" w:eastAsiaTheme="minorEastAsia" w:cstheme="minorEastAsia"/>
          <w:color w:val="auto"/>
          <w:szCs w:val="21"/>
        </w:rPr>
        <w:t>日</w:t>
      </w:r>
      <w:r>
        <w:rPr>
          <w:rFonts w:hint="eastAsia" w:asciiTheme="minorEastAsia" w:hAnsiTheme="minorEastAsia" w:eastAsiaTheme="minorEastAsia" w:cstheme="minorEastAsia"/>
          <w:color w:val="auto"/>
          <w:szCs w:val="21"/>
          <w:lang w:val="en-US" w:eastAsia="zh-CN"/>
        </w:rPr>
        <w:t>09</w:t>
      </w:r>
      <w:r>
        <w:rPr>
          <w:rFonts w:hint="eastAsia" w:asciiTheme="minorEastAsia" w:hAnsiTheme="minorEastAsia" w:eastAsiaTheme="minorEastAsia" w:cstheme="minorEastAsia"/>
          <w:color w:val="auto"/>
          <w:szCs w:val="21"/>
        </w:rPr>
        <w:t>点</w:t>
      </w:r>
      <w:r>
        <w:rPr>
          <w:rFonts w:hint="eastAsia" w:asciiTheme="minorEastAsia" w:hAnsiTheme="minorEastAsia" w:eastAsiaTheme="minorEastAsia" w:cstheme="minorEastAsia"/>
          <w:color w:val="auto"/>
          <w:szCs w:val="21"/>
          <w:lang w:val="en-US" w:eastAsia="zh-CN"/>
        </w:rPr>
        <w:t>30</w:t>
      </w:r>
      <w:r>
        <w:rPr>
          <w:rFonts w:hint="eastAsia" w:asciiTheme="minorEastAsia" w:hAnsiTheme="minorEastAsia" w:eastAsiaTheme="minorEastAsia" w:cstheme="minorEastAsia"/>
          <w:color w:val="auto"/>
          <w:szCs w:val="21"/>
        </w:rPr>
        <w:t>分（北京时间）</w:t>
      </w:r>
    </w:p>
    <w:p>
      <w:pPr>
        <w:spacing w:line="360" w:lineRule="auto"/>
        <w:ind w:firstLine="420" w:firstLineChars="200"/>
        <w:jc w:val="left"/>
        <w:rPr>
          <w:rFonts w:ascii="宋体" w:hAnsi="宋体" w:cs="宋体"/>
          <w:color w:val="auto"/>
          <w:szCs w:val="21"/>
        </w:rPr>
      </w:pPr>
      <w:r>
        <w:rPr>
          <w:rFonts w:hint="eastAsia" w:asciiTheme="minorEastAsia" w:hAnsiTheme="minorEastAsia" w:eastAsiaTheme="minorEastAsia" w:cstheme="minorEastAsia"/>
          <w:color w:val="auto"/>
          <w:szCs w:val="21"/>
        </w:rPr>
        <w:t>地点：武昌区中北路岳家嘴立交山河企业大厦4806室，凡是购买了磋商文件且已回复确定参加竞标的潜在供应商，于竞标当日临时放弃竞标的，应及时以电话告知形式通知采购代理机构。</w:t>
      </w:r>
    </w:p>
    <w:p>
      <w:pPr>
        <w:pStyle w:val="5"/>
        <w:numPr>
          <w:ilvl w:val="0"/>
          <w:numId w:val="6"/>
        </w:numPr>
        <w:spacing w:line="360" w:lineRule="auto"/>
        <w:jc w:val="left"/>
        <w:rPr>
          <w:rFonts w:eastAsia="宋体"/>
          <w:color w:val="auto"/>
          <w:sz w:val="21"/>
          <w:szCs w:val="21"/>
        </w:rPr>
      </w:pPr>
      <w:bookmarkStart w:id="13" w:name="_Toc8237"/>
      <w:r>
        <w:rPr>
          <w:rFonts w:hint="eastAsia" w:ascii="宋体" w:hAnsi="宋体" w:eastAsia="宋体" w:cs="宋体"/>
          <w:color w:val="auto"/>
          <w:sz w:val="21"/>
          <w:szCs w:val="21"/>
        </w:rPr>
        <w:t>开启</w:t>
      </w:r>
      <w:bookmarkEnd w:id="13"/>
    </w:p>
    <w:p>
      <w:pPr>
        <w:spacing w:line="360" w:lineRule="auto"/>
        <w:ind w:firstLine="420" w:firstLineChars="200"/>
        <w:jc w:val="left"/>
        <w:rPr>
          <w:color w:val="auto"/>
          <w:szCs w:val="21"/>
        </w:rPr>
      </w:pPr>
      <w:r>
        <w:rPr>
          <w:rFonts w:hint="eastAsia" w:ascii="宋体" w:hAnsi="宋体" w:cs="宋体"/>
          <w:color w:val="auto"/>
          <w:szCs w:val="21"/>
        </w:rPr>
        <w:t>时间：2021年</w:t>
      </w:r>
      <w:r>
        <w:rPr>
          <w:rFonts w:hint="eastAsia" w:ascii="宋体" w:hAnsi="宋体" w:cs="宋体"/>
          <w:color w:val="auto"/>
          <w:szCs w:val="21"/>
          <w:lang w:val="en-US" w:eastAsia="zh-CN"/>
        </w:rPr>
        <w:t>10</w:t>
      </w:r>
      <w:r>
        <w:rPr>
          <w:rFonts w:hint="eastAsia" w:ascii="宋体" w:hAnsi="宋体" w:cs="宋体"/>
          <w:color w:val="auto"/>
          <w:szCs w:val="21"/>
        </w:rPr>
        <w:t>月</w:t>
      </w:r>
      <w:r>
        <w:rPr>
          <w:rFonts w:hint="eastAsia" w:ascii="宋体" w:hAnsi="宋体" w:cs="宋体"/>
          <w:color w:val="auto"/>
          <w:szCs w:val="21"/>
          <w:lang w:val="en-US" w:eastAsia="zh-CN"/>
        </w:rPr>
        <w:t>20</w:t>
      </w:r>
      <w:r>
        <w:rPr>
          <w:rFonts w:hint="eastAsia" w:ascii="宋体" w:hAnsi="宋体" w:cs="宋体"/>
          <w:color w:val="auto"/>
          <w:szCs w:val="21"/>
        </w:rPr>
        <w:t>日</w:t>
      </w:r>
      <w:r>
        <w:rPr>
          <w:rFonts w:hint="eastAsia" w:ascii="宋体" w:hAnsi="宋体" w:cs="宋体"/>
          <w:color w:val="auto"/>
          <w:szCs w:val="21"/>
          <w:lang w:val="en-US" w:eastAsia="zh-CN"/>
        </w:rPr>
        <w:t>09</w:t>
      </w:r>
      <w:r>
        <w:rPr>
          <w:rFonts w:hint="eastAsia" w:ascii="宋体" w:hAnsi="宋体" w:cs="宋体"/>
          <w:color w:val="auto"/>
          <w:szCs w:val="21"/>
        </w:rPr>
        <w:t>点</w:t>
      </w:r>
      <w:r>
        <w:rPr>
          <w:rFonts w:hint="eastAsia" w:ascii="宋体" w:hAnsi="宋体" w:cs="宋体"/>
          <w:color w:val="auto"/>
          <w:szCs w:val="21"/>
          <w:lang w:val="en-US" w:eastAsia="zh-CN"/>
        </w:rPr>
        <w:t>30</w:t>
      </w:r>
      <w:r>
        <w:rPr>
          <w:rFonts w:hint="eastAsia" w:ascii="宋体" w:hAnsi="宋体" w:cs="宋体"/>
          <w:color w:val="auto"/>
          <w:szCs w:val="21"/>
        </w:rPr>
        <w:t>分（北京时间）</w:t>
      </w:r>
    </w:p>
    <w:p>
      <w:pPr>
        <w:pStyle w:val="5"/>
        <w:numPr>
          <w:ilvl w:val="0"/>
          <w:numId w:val="6"/>
        </w:numPr>
        <w:spacing w:line="360" w:lineRule="auto"/>
        <w:jc w:val="left"/>
        <w:rPr>
          <w:rFonts w:ascii="宋体" w:hAnsi="宋体" w:eastAsia="宋体" w:cs="宋体"/>
          <w:color w:val="auto"/>
          <w:sz w:val="21"/>
          <w:szCs w:val="21"/>
        </w:rPr>
      </w:pPr>
      <w:bookmarkStart w:id="14" w:name="_Toc14422"/>
      <w:r>
        <w:rPr>
          <w:rFonts w:hint="eastAsia" w:ascii="宋体" w:hAnsi="宋体" w:eastAsia="宋体" w:cs="宋体"/>
          <w:color w:val="auto"/>
          <w:sz w:val="21"/>
          <w:szCs w:val="21"/>
        </w:rPr>
        <w:t>公告期限</w:t>
      </w:r>
      <w:bookmarkEnd w:id="14"/>
    </w:p>
    <w:p>
      <w:pPr>
        <w:spacing w:line="360" w:lineRule="auto"/>
        <w:ind w:firstLine="420" w:firstLineChars="200"/>
        <w:jc w:val="left"/>
        <w:rPr>
          <w:rFonts w:ascii="宋体" w:hAnsi="宋体" w:cs="宋体"/>
          <w:color w:val="auto"/>
          <w:szCs w:val="21"/>
        </w:rPr>
      </w:pPr>
      <w:bookmarkStart w:id="15" w:name="_Toc259607751"/>
      <w:bookmarkStart w:id="16" w:name="_Toc317262251"/>
      <w:bookmarkStart w:id="17" w:name="_Toc334539188"/>
      <w:bookmarkStart w:id="18" w:name="_Toc6021"/>
      <w:bookmarkStart w:id="19" w:name="_Toc276368888"/>
      <w:bookmarkStart w:id="20" w:name="_Toc320898024"/>
      <w:r>
        <w:rPr>
          <w:rFonts w:hint="eastAsia" w:ascii="宋体" w:hAnsi="宋体" w:cs="宋体"/>
          <w:color w:val="auto"/>
          <w:szCs w:val="21"/>
        </w:rPr>
        <w:t>自本公告发布之日起3个工作日</w:t>
      </w:r>
    </w:p>
    <w:bookmarkEnd w:id="15"/>
    <w:bookmarkEnd w:id="16"/>
    <w:bookmarkEnd w:id="17"/>
    <w:bookmarkEnd w:id="18"/>
    <w:bookmarkEnd w:id="19"/>
    <w:bookmarkEnd w:id="20"/>
    <w:p>
      <w:pPr>
        <w:pStyle w:val="5"/>
        <w:numPr>
          <w:ilvl w:val="0"/>
          <w:numId w:val="6"/>
        </w:numPr>
        <w:spacing w:line="360" w:lineRule="auto"/>
        <w:jc w:val="left"/>
        <w:rPr>
          <w:rFonts w:ascii="宋体" w:hAnsi="宋体" w:eastAsia="宋体" w:cs="宋体"/>
          <w:color w:val="auto"/>
          <w:sz w:val="21"/>
          <w:szCs w:val="21"/>
        </w:rPr>
      </w:pPr>
      <w:bookmarkStart w:id="21" w:name="_Toc925"/>
      <w:r>
        <w:rPr>
          <w:rFonts w:hint="eastAsia" w:ascii="宋体" w:hAnsi="宋体" w:eastAsia="宋体" w:cs="宋体"/>
          <w:color w:val="auto"/>
          <w:sz w:val="21"/>
          <w:szCs w:val="21"/>
        </w:rPr>
        <w:t>其他补充事宜</w:t>
      </w:r>
      <w:bookmarkEnd w:id="21"/>
    </w:p>
    <w:p>
      <w:pPr>
        <w:spacing w:line="360" w:lineRule="auto"/>
        <w:ind w:firstLine="420" w:firstLineChars="200"/>
        <w:jc w:val="left"/>
        <w:rPr>
          <w:rFonts w:ascii="宋体" w:hAnsi="宋体" w:cs="宋体"/>
          <w:color w:val="auto"/>
          <w:szCs w:val="21"/>
        </w:rPr>
      </w:pPr>
      <w:bookmarkStart w:id="22" w:name="_Toc259028279"/>
      <w:r>
        <w:rPr>
          <w:rFonts w:hint="eastAsia" w:ascii="宋体" w:hAnsi="宋体" w:cs="宋体"/>
          <w:color w:val="auto"/>
          <w:szCs w:val="21"/>
        </w:rPr>
        <w:t>1.本项目资金性质为：财政资金</w:t>
      </w:r>
    </w:p>
    <w:p>
      <w:pPr>
        <w:spacing w:line="360" w:lineRule="auto"/>
        <w:ind w:firstLine="420" w:firstLineChars="200"/>
        <w:jc w:val="left"/>
        <w:rPr>
          <w:rFonts w:ascii="宋体" w:hAnsi="宋体" w:cs="宋体"/>
          <w:color w:val="auto"/>
          <w:szCs w:val="21"/>
        </w:rPr>
      </w:pPr>
      <w:r>
        <w:rPr>
          <w:rFonts w:hint="eastAsia" w:ascii="宋体" w:hAnsi="宋体" w:cs="宋体"/>
          <w:color w:val="auto"/>
          <w:szCs w:val="21"/>
        </w:rPr>
        <w:t>2.供应商如需查询技术要求可到我处查阅采购文件第三章相关内容。</w:t>
      </w:r>
      <w:r>
        <w:rPr>
          <w:rFonts w:hint="eastAsia" w:ascii="宋体" w:hAnsi="宋体" w:cs="宋体"/>
          <w:color w:val="auto"/>
          <w:szCs w:val="21"/>
        </w:rPr>
        <w:br w:type="textWrapping"/>
      </w:r>
      <w:r>
        <w:rPr>
          <w:rFonts w:hint="eastAsia" w:ascii="宋体" w:hAnsi="宋体" w:cs="宋体"/>
          <w:color w:val="auto"/>
          <w:szCs w:val="21"/>
        </w:rPr>
        <w:t xml:space="preserve">    3.本项目将在以下网站发布所有信息，请参加本项目竞标的供应商密切关注。</w:t>
      </w:r>
      <w:r>
        <w:rPr>
          <w:rFonts w:hint="eastAsia" w:ascii="宋体" w:hAnsi="宋体" w:cs="宋体"/>
          <w:color w:val="auto"/>
          <w:szCs w:val="21"/>
        </w:rPr>
        <w:br w:type="textWrapping"/>
      </w:r>
      <w:r>
        <w:rPr>
          <w:rFonts w:hint="eastAsia" w:ascii="宋体" w:hAnsi="宋体" w:cs="宋体"/>
          <w:color w:val="auto"/>
          <w:szCs w:val="21"/>
        </w:rPr>
        <w:t xml:space="preserve">    （1）《湖北省政府采购网》（网址：http://www.ccgp-hubei.gov.cn/）</w:t>
      </w:r>
    </w:p>
    <w:p>
      <w:pPr>
        <w:spacing w:line="360" w:lineRule="auto"/>
        <w:ind w:firstLine="420" w:firstLineChars="200"/>
        <w:jc w:val="left"/>
        <w:rPr>
          <w:rFonts w:ascii="宋体" w:hAnsi="宋体" w:cs="宋体"/>
          <w:color w:val="auto"/>
          <w:szCs w:val="21"/>
        </w:rPr>
      </w:pPr>
      <w:r>
        <w:rPr>
          <w:rFonts w:hint="eastAsia" w:ascii="宋体" w:hAnsi="宋体" w:cs="宋体"/>
          <w:color w:val="auto"/>
          <w:szCs w:val="21"/>
        </w:rPr>
        <w:t xml:space="preserve">（2）《湖北工业大学采招网》（网址： </w:t>
      </w:r>
      <w:r>
        <w:rPr>
          <w:color w:val="auto"/>
        </w:rPr>
        <w:fldChar w:fldCharType="begin"/>
      </w:r>
      <w:r>
        <w:rPr>
          <w:color w:val="auto"/>
        </w:rPr>
        <w:instrText xml:space="preserve"> HYPERLINK "http://tend.hbut.edu.cn/index.chtml" </w:instrText>
      </w:r>
      <w:r>
        <w:rPr>
          <w:color w:val="auto"/>
        </w:rPr>
        <w:fldChar w:fldCharType="separate"/>
      </w:r>
      <w:r>
        <w:rPr>
          <w:rFonts w:hint="eastAsia" w:ascii="宋体" w:hAnsi="宋体" w:cs="宋体"/>
          <w:color w:val="auto"/>
          <w:szCs w:val="21"/>
        </w:rPr>
        <w:t>http://tend.hbut.edu.cn/index.chtml</w:t>
      </w:r>
      <w:r>
        <w:rPr>
          <w:rFonts w:hint="eastAsia" w:ascii="宋体" w:hAnsi="宋体" w:cs="宋体"/>
          <w:color w:val="auto"/>
          <w:szCs w:val="21"/>
        </w:rPr>
        <w:fldChar w:fldCharType="end"/>
      </w:r>
      <w:r>
        <w:rPr>
          <w:rFonts w:hint="eastAsia" w:ascii="宋体" w:hAnsi="宋体" w:cs="宋体"/>
          <w:color w:val="auto"/>
          <w:szCs w:val="21"/>
        </w:rPr>
        <w:t>）</w:t>
      </w:r>
    </w:p>
    <w:p>
      <w:pPr>
        <w:spacing w:line="336" w:lineRule="auto"/>
        <w:ind w:firstLine="420" w:firstLineChars="200"/>
        <w:jc w:val="left"/>
        <w:rPr>
          <w:rFonts w:ascii="宋体" w:hAnsi="宋体" w:cs="宋体"/>
          <w:color w:val="auto"/>
          <w:szCs w:val="21"/>
        </w:rPr>
      </w:pPr>
      <w:r>
        <w:rPr>
          <w:rFonts w:hint="eastAsia" w:ascii="宋体" w:hAnsi="宋体" w:cs="宋体"/>
          <w:color w:val="auto"/>
          <w:szCs w:val="21"/>
        </w:rPr>
        <w:t>4.防疫要求：</w:t>
      </w:r>
      <w:r>
        <w:rPr>
          <w:rFonts w:hint="eastAsia" w:ascii="宋体" w:hAnsi="宋体" w:cs="宋体"/>
          <w:color w:val="auto"/>
          <w:szCs w:val="21"/>
        </w:rPr>
        <w:br w:type="textWrapping"/>
      </w:r>
      <w:r>
        <w:rPr>
          <w:rFonts w:hint="eastAsia" w:ascii="宋体" w:hAnsi="宋体" w:cs="宋体"/>
          <w:color w:val="auto"/>
          <w:szCs w:val="21"/>
        </w:rPr>
        <w:t xml:space="preserve">    (1)投标人（中高风险区）可将投标文件邮寄至我司，投标文件的接受时效以代理公司签收时间为准，截止时间同现场递交时间，过时或快递有破损不予签收。因快递延误导致的未在截止时间前签收的风险因素，投标人自行承担。</w:t>
      </w:r>
      <w:r>
        <w:rPr>
          <w:rFonts w:hint="eastAsia" w:ascii="宋体" w:hAnsi="宋体" w:cs="宋体"/>
          <w:color w:val="auto"/>
          <w:szCs w:val="21"/>
        </w:rPr>
        <w:br w:type="textWrapping"/>
      </w:r>
      <w:r>
        <w:rPr>
          <w:rFonts w:hint="eastAsia" w:ascii="宋体" w:hAnsi="宋体" w:cs="宋体"/>
          <w:color w:val="auto"/>
          <w:szCs w:val="21"/>
        </w:rPr>
        <w:t xml:space="preserve">    (2)现场递交投标文件的，递交投标文件的代表须出示健康码且为绿码方可进入我司。代表须戴好口罩、间隔1米排队递交投标文件，请投标人预留足够的排队时间。</w:t>
      </w:r>
      <w:r>
        <w:rPr>
          <w:rFonts w:hint="eastAsia" w:ascii="宋体" w:hAnsi="宋体" w:cs="宋体"/>
          <w:color w:val="auto"/>
          <w:szCs w:val="21"/>
        </w:rPr>
        <w:br w:type="textWrapping"/>
      </w:r>
      <w:r>
        <w:rPr>
          <w:rFonts w:hint="eastAsia" w:ascii="宋体" w:hAnsi="宋体" w:cs="宋体"/>
          <w:color w:val="auto"/>
          <w:szCs w:val="21"/>
        </w:rPr>
        <w:t xml:space="preserve">    (3)有疫情接触史、按湖北省健康码“红码”、“黄码”管理的人员、个人行程码提示14天内到过疫情中高风险地区的、近期有发热、咳嗽等新型冠状病毒感染疑似症状的人员均不能进行报名及投标等事宜，如有隐瞒行为，将依法依规追责；</w:t>
      </w:r>
      <w:r>
        <w:rPr>
          <w:rFonts w:hint="eastAsia" w:ascii="宋体" w:hAnsi="宋体" w:cs="宋体"/>
          <w:color w:val="auto"/>
          <w:szCs w:val="21"/>
        </w:rPr>
        <w:br w:type="textWrapping"/>
      </w:r>
      <w:r>
        <w:rPr>
          <w:rFonts w:hint="eastAsia" w:ascii="宋体" w:hAnsi="宋体" w:cs="宋体"/>
          <w:color w:val="auto"/>
          <w:szCs w:val="21"/>
        </w:rPr>
        <w:t xml:space="preserve">    (4)参与政府采购活动要严格落实“四必”防控措施（口罩必戴、体温必测、健康码必扫、大数据行程卡必出示）并做好个人防护措施，服从现场工作人员的管理和安排。</w:t>
      </w:r>
    </w:p>
    <w:bookmarkEnd w:id="22"/>
    <w:p>
      <w:pPr>
        <w:pStyle w:val="5"/>
        <w:numPr>
          <w:ilvl w:val="0"/>
          <w:numId w:val="6"/>
        </w:numPr>
        <w:spacing w:line="360" w:lineRule="auto"/>
        <w:jc w:val="left"/>
        <w:rPr>
          <w:rFonts w:ascii="宋体" w:hAnsi="宋体" w:eastAsia="宋体" w:cs="宋体"/>
          <w:color w:val="auto"/>
          <w:sz w:val="21"/>
          <w:szCs w:val="21"/>
        </w:rPr>
      </w:pPr>
      <w:bookmarkStart w:id="23" w:name="_Toc12269"/>
      <w:r>
        <w:rPr>
          <w:rFonts w:hint="eastAsia" w:ascii="宋体" w:hAnsi="宋体" w:eastAsia="宋体" w:cs="宋体"/>
          <w:color w:val="auto"/>
          <w:sz w:val="21"/>
          <w:szCs w:val="21"/>
        </w:rPr>
        <w:t>凡对本次采购提出询问，请按以下方式联系</w:t>
      </w:r>
      <w:bookmarkEnd w:id="23"/>
    </w:p>
    <w:p>
      <w:pPr>
        <w:spacing w:line="360" w:lineRule="auto"/>
        <w:ind w:firstLine="420" w:firstLineChars="200"/>
        <w:jc w:val="left"/>
        <w:rPr>
          <w:rFonts w:ascii="宋体" w:hAnsi="宋体" w:cs="宋体"/>
          <w:color w:val="auto"/>
          <w:szCs w:val="21"/>
        </w:rPr>
      </w:pPr>
      <w:r>
        <w:rPr>
          <w:rFonts w:hint="eastAsia" w:ascii="宋体" w:hAnsi="宋体" w:cs="宋体"/>
          <w:color w:val="auto"/>
          <w:szCs w:val="21"/>
        </w:rPr>
        <w:t>1.采购人信息</w:t>
      </w:r>
    </w:p>
    <w:p>
      <w:pPr>
        <w:spacing w:line="360" w:lineRule="auto"/>
        <w:ind w:firstLine="420" w:firstLineChars="200"/>
        <w:jc w:val="left"/>
        <w:rPr>
          <w:rFonts w:ascii="宋体" w:hAnsi="宋体" w:cs="宋体"/>
          <w:color w:val="auto"/>
          <w:szCs w:val="21"/>
        </w:rPr>
      </w:pPr>
      <w:r>
        <w:rPr>
          <w:rFonts w:hint="eastAsia" w:ascii="宋体" w:hAnsi="宋体" w:cs="宋体"/>
          <w:color w:val="auto"/>
          <w:szCs w:val="21"/>
        </w:rPr>
        <w:t>名 称：湖北工业大学　　　　　　　　　　　　</w:t>
      </w:r>
    </w:p>
    <w:p>
      <w:pPr>
        <w:spacing w:line="360" w:lineRule="auto"/>
        <w:ind w:firstLine="420" w:firstLineChars="200"/>
        <w:jc w:val="left"/>
        <w:rPr>
          <w:rFonts w:ascii="宋体" w:hAnsi="宋体" w:cs="宋体"/>
          <w:color w:val="auto"/>
          <w:szCs w:val="21"/>
        </w:rPr>
      </w:pPr>
      <w:r>
        <w:rPr>
          <w:rFonts w:hint="eastAsia" w:ascii="宋体" w:hAnsi="宋体" w:cs="宋体"/>
          <w:color w:val="auto"/>
          <w:szCs w:val="21"/>
        </w:rPr>
        <w:t>地址：湖北省武汉市洪山区南李路28号　　　　　　　　　　　　</w:t>
      </w:r>
    </w:p>
    <w:p>
      <w:pPr>
        <w:spacing w:line="360" w:lineRule="auto"/>
        <w:ind w:firstLine="420" w:firstLineChars="200"/>
        <w:jc w:val="left"/>
        <w:rPr>
          <w:rFonts w:ascii="宋体" w:hAnsi="宋体" w:cs="宋体"/>
          <w:color w:val="auto"/>
          <w:szCs w:val="21"/>
        </w:rPr>
      </w:pPr>
      <w:r>
        <w:rPr>
          <w:rFonts w:hint="eastAsia" w:ascii="宋体" w:hAnsi="宋体" w:cs="宋体"/>
          <w:color w:val="auto"/>
          <w:szCs w:val="21"/>
        </w:rPr>
        <w:t>联系方式：</w:t>
      </w:r>
      <w:r>
        <w:rPr>
          <w:rFonts w:hint="eastAsia" w:asciiTheme="minorEastAsia" w:hAnsiTheme="minorEastAsia" w:eastAsiaTheme="minorEastAsia" w:cstheme="minorEastAsia"/>
          <w:color w:val="auto"/>
          <w:szCs w:val="21"/>
        </w:rPr>
        <w:t>王老师、027-59750213</w:t>
      </w:r>
      <w:r>
        <w:rPr>
          <w:rFonts w:hint="eastAsia" w:ascii="宋体" w:hAnsi="宋体" w:cs="宋体"/>
          <w:color w:val="auto"/>
          <w:szCs w:val="21"/>
        </w:rPr>
        <w:t xml:space="preserve">　　　　　　　　　　　 </w:t>
      </w:r>
    </w:p>
    <w:p>
      <w:pPr>
        <w:spacing w:line="360" w:lineRule="auto"/>
        <w:ind w:firstLine="420" w:firstLineChars="200"/>
        <w:jc w:val="left"/>
        <w:rPr>
          <w:rFonts w:ascii="宋体" w:hAnsi="宋体" w:cs="宋体"/>
          <w:color w:val="auto"/>
          <w:szCs w:val="21"/>
        </w:rPr>
      </w:pPr>
      <w:r>
        <w:rPr>
          <w:rFonts w:hint="eastAsia" w:ascii="宋体" w:hAnsi="宋体" w:cs="宋体"/>
          <w:color w:val="auto"/>
          <w:szCs w:val="21"/>
        </w:rPr>
        <w:t>2.采购代理机构信息</w:t>
      </w:r>
    </w:p>
    <w:p>
      <w:pPr>
        <w:spacing w:line="360" w:lineRule="auto"/>
        <w:ind w:firstLine="420" w:firstLineChars="200"/>
        <w:jc w:val="left"/>
        <w:rPr>
          <w:rFonts w:ascii="宋体" w:hAnsi="宋体" w:cs="宋体"/>
          <w:color w:val="auto"/>
          <w:szCs w:val="21"/>
        </w:rPr>
      </w:pPr>
      <w:r>
        <w:rPr>
          <w:rFonts w:hint="eastAsia" w:ascii="宋体" w:hAnsi="宋体" w:cs="宋体"/>
          <w:color w:val="auto"/>
          <w:szCs w:val="21"/>
        </w:rPr>
        <w:t>名  称：中经国际招标集团有限公司　　　　　　　　　　　　</w:t>
      </w:r>
    </w:p>
    <w:p>
      <w:pPr>
        <w:spacing w:line="360" w:lineRule="auto"/>
        <w:ind w:firstLine="420" w:firstLineChars="200"/>
        <w:jc w:val="left"/>
        <w:rPr>
          <w:rFonts w:ascii="宋体" w:hAnsi="宋体" w:cs="宋体"/>
          <w:color w:val="auto"/>
          <w:szCs w:val="21"/>
        </w:rPr>
      </w:pPr>
      <w:r>
        <w:rPr>
          <w:rFonts w:hint="eastAsia" w:ascii="宋体" w:hAnsi="宋体" w:cs="宋体"/>
          <w:color w:val="auto"/>
          <w:szCs w:val="21"/>
        </w:rPr>
        <w:t>地　址：武昌区中北路岳家嘴立交山河企业大厦48楼4805、4806室　　　　　　　　　　　　</w:t>
      </w:r>
    </w:p>
    <w:p>
      <w:pPr>
        <w:spacing w:line="360" w:lineRule="auto"/>
        <w:ind w:firstLine="420" w:firstLineChars="200"/>
        <w:jc w:val="left"/>
        <w:rPr>
          <w:rFonts w:ascii="宋体" w:hAnsi="宋体" w:cs="宋体"/>
          <w:color w:val="auto"/>
          <w:szCs w:val="21"/>
        </w:rPr>
      </w:pPr>
      <w:r>
        <w:rPr>
          <w:rFonts w:hint="eastAsia" w:ascii="宋体" w:hAnsi="宋体" w:cs="宋体"/>
          <w:color w:val="auto"/>
          <w:szCs w:val="21"/>
        </w:rPr>
        <w:t>联系方式：027-87820788　　　　　　　　　　　　</w:t>
      </w:r>
    </w:p>
    <w:p>
      <w:pPr>
        <w:spacing w:line="360" w:lineRule="auto"/>
        <w:ind w:firstLine="420" w:firstLineChars="200"/>
        <w:jc w:val="left"/>
        <w:rPr>
          <w:rFonts w:ascii="宋体" w:hAnsi="宋体" w:cs="宋体"/>
          <w:color w:val="auto"/>
          <w:szCs w:val="21"/>
        </w:rPr>
      </w:pPr>
      <w:r>
        <w:rPr>
          <w:rFonts w:hint="eastAsia" w:ascii="宋体" w:hAnsi="宋体" w:cs="宋体"/>
          <w:color w:val="auto"/>
          <w:szCs w:val="21"/>
        </w:rPr>
        <w:t>3.项目联系方式</w:t>
      </w:r>
    </w:p>
    <w:p>
      <w:pPr>
        <w:spacing w:line="360" w:lineRule="auto"/>
        <w:ind w:firstLine="420" w:firstLineChars="200"/>
        <w:jc w:val="left"/>
        <w:rPr>
          <w:rFonts w:ascii="宋体" w:hAnsi="宋体" w:cs="宋体"/>
          <w:color w:val="auto"/>
          <w:szCs w:val="21"/>
        </w:rPr>
      </w:pPr>
      <w:r>
        <w:rPr>
          <w:rFonts w:hint="eastAsia" w:ascii="宋体" w:hAnsi="宋体" w:cs="宋体"/>
          <w:color w:val="auto"/>
          <w:szCs w:val="21"/>
        </w:rPr>
        <w:t>项目联系人：张梦、应翠翠</w:t>
      </w:r>
    </w:p>
    <w:p>
      <w:pPr>
        <w:spacing w:line="360" w:lineRule="auto"/>
        <w:ind w:firstLine="420" w:firstLineChars="200"/>
        <w:jc w:val="left"/>
        <w:rPr>
          <w:rFonts w:asciiTheme="minorEastAsia" w:hAnsiTheme="minorEastAsia" w:eastAsiaTheme="minorEastAsia" w:cstheme="minorEastAsia"/>
          <w:color w:val="auto"/>
          <w:szCs w:val="21"/>
        </w:rPr>
      </w:pPr>
      <w:r>
        <w:rPr>
          <w:rFonts w:hint="eastAsia" w:ascii="宋体" w:hAnsi="宋体" w:cs="宋体"/>
          <w:color w:val="auto"/>
          <w:szCs w:val="21"/>
        </w:rPr>
        <w:t>电    　话：027-87820788　　</w:t>
      </w:r>
    </w:p>
    <w:p>
      <w:pPr>
        <w:pStyle w:val="5"/>
        <w:numPr>
          <w:ilvl w:val="0"/>
          <w:numId w:val="6"/>
        </w:numPr>
        <w:spacing w:line="440" w:lineRule="exact"/>
        <w:jc w:val="left"/>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w:t xml:space="preserve"> </w:t>
      </w:r>
      <w:bookmarkStart w:id="24" w:name="_Toc25662"/>
      <w:r>
        <w:rPr>
          <w:rFonts w:hint="eastAsia" w:asciiTheme="minorEastAsia" w:hAnsiTheme="minorEastAsia" w:eastAsiaTheme="minorEastAsia" w:cstheme="minorEastAsia"/>
          <w:color w:val="auto"/>
          <w:sz w:val="21"/>
          <w:szCs w:val="21"/>
        </w:rPr>
        <w:t>注意事项</w:t>
      </w:r>
      <w:bookmarkEnd w:id="24"/>
    </w:p>
    <w:p>
      <w:pPr>
        <w:spacing w:line="440" w:lineRule="exact"/>
        <w:ind w:firstLine="420" w:firstLineChars="200"/>
        <w:jc w:val="left"/>
        <w:rPr>
          <w:rFonts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1.供应商在获取本项目竞争性磋商文件前须仔细阅读资格要求内容，并按磋商文件规定要求在响应文件中递交合格有效的资格证明文件，资格审查资料不合格将导致竞标失败。</w:t>
      </w:r>
    </w:p>
    <w:p>
      <w:pPr>
        <w:spacing w:line="440" w:lineRule="exact"/>
        <w:ind w:firstLine="420" w:firstLineChars="200"/>
        <w:jc w:val="left"/>
        <w:rPr>
          <w:rFonts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2.供应商对自己所提供的资格证明材料的真实性负责，无论何时，如发现供应商提供虚假的材料，将按照《中华人民共和国政府采购法》及本项目竞争性磋商文件的有关规定进行严肃处理，并在相关网站上进行通报。</w:t>
      </w:r>
    </w:p>
    <w:p>
      <w:pPr>
        <w:spacing w:line="440" w:lineRule="exact"/>
        <w:ind w:firstLine="420" w:firstLineChars="200"/>
        <w:jc w:val="left"/>
        <w:rPr>
          <w:rFonts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3.请供应商仔细阅读本磋商文件的全部条文，对于文件中存在的任何含糊、遗漏、相互矛盾之处，或是对于采购范围的界定和采购内容的要求不清楚，认为存在歧义的，供应商应按本文件规定的时限向采购代理机构寻求书面澄清；未提出澄清要求的，则认同为完全理解本文件要求并接受采购人或采购代理机构可能作出的任何最终解释。</w:t>
      </w:r>
    </w:p>
    <w:p>
      <w:pPr>
        <w:spacing w:line="440" w:lineRule="exact"/>
        <w:ind w:firstLine="420" w:firstLineChars="200"/>
        <w:jc w:val="left"/>
        <w:rPr>
          <w:rFonts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4.关于本项目磋商文件有关内容的澄清、修改及变更等通知将通过书面形式经邮箱通知各供应商同时电话或短信告知，若采购人或采购代理机构未收到回复，视为收悉，并默认通知内容。若因供应商自身原因接收消息不及时，导致竞标受影响，其后果自行承担。</w:t>
      </w:r>
    </w:p>
    <w:p>
      <w:pPr>
        <w:spacing w:line="440" w:lineRule="exact"/>
        <w:jc w:val="right"/>
        <w:rPr>
          <w:rFonts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中经国际招标集团有限公司</w:t>
      </w:r>
    </w:p>
    <w:p>
      <w:pPr>
        <w:spacing w:line="440" w:lineRule="exact"/>
        <w:jc w:val="center"/>
        <w:rPr>
          <w:rFonts w:asciiTheme="minorEastAsia" w:hAnsiTheme="minorEastAsia" w:eastAsiaTheme="minorEastAsia" w:cstheme="minorEastAsia"/>
          <w:color w:val="auto"/>
        </w:rPr>
      </w:pPr>
      <w:r>
        <w:rPr>
          <w:rFonts w:hint="eastAsia" w:asciiTheme="minorEastAsia" w:hAnsiTheme="minorEastAsia" w:eastAsiaTheme="minorEastAsia" w:cstheme="minorEastAsia"/>
          <w:color w:val="auto"/>
          <w:szCs w:val="21"/>
        </w:rPr>
        <w:t xml:space="preserve">                                                                     2021年</w:t>
      </w:r>
      <w:r>
        <w:rPr>
          <w:rFonts w:hint="eastAsia" w:asciiTheme="minorEastAsia" w:hAnsiTheme="minorEastAsia" w:eastAsiaTheme="minorEastAsia" w:cstheme="minorEastAsia"/>
          <w:color w:val="auto"/>
          <w:szCs w:val="21"/>
          <w:lang w:val="en-US" w:eastAsia="zh-CN"/>
        </w:rPr>
        <w:t>09</w:t>
      </w:r>
      <w:r>
        <w:rPr>
          <w:rFonts w:hint="eastAsia" w:asciiTheme="minorEastAsia" w:hAnsiTheme="minorEastAsia" w:eastAsiaTheme="minorEastAsia" w:cstheme="minorEastAsia"/>
          <w:color w:val="auto"/>
          <w:szCs w:val="21"/>
        </w:rPr>
        <w:t>月</w:t>
      </w:r>
      <w:r>
        <w:rPr>
          <w:rFonts w:hint="eastAsia" w:asciiTheme="minorEastAsia" w:hAnsiTheme="minorEastAsia" w:eastAsiaTheme="minorEastAsia" w:cstheme="minorEastAsia"/>
          <w:color w:val="auto"/>
          <w:szCs w:val="21"/>
          <w:lang w:val="en-US" w:eastAsia="zh-CN"/>
        </w:rPr>
        <w:t>27</w:t>
      </w:r>
      <w:bookmarkStart w:id="240" w:name="_GoBack"/>
      <w:bookmarkEnd w:id="240"/>
      <w:r>
        <w:rPr>
          <w:rFonts w:hint="eastAsia" w:asciiTheme="minorEastAsia" w:hAnsiTheme="minorEastAsia" w:eastAsiaTheme="minorEastAsia" w:cstheme="minorEastAsia"/>
          <w:color w:val="auto"/>
          <w:szCs w:val="21"/>
        </w:rPr>
        <w:t>日</w:t>
      </w:r>
    </w:p>
    <w:p>
      <w:pPr>
        <w:numPr>
          <w:ilvl w:val="0"/>
          <w:numId w:val="4"/>
        </w:numPr>
        <w:jc w:val="center"/>
        <w:rPr>
          <w:rFonts w:asciiTheme="minorEastAsia" w:hAnsiTheme="minorEastAsia" w:eastAsiaTheme="minorEastAsia" w:cstheme="minorEastAsia"/>
          <w:color w:val="auto"/>
          <w:sz w:val="32"/>
          <w:szCs w:val="32"/>
        </w:rPr>
      </w:pPr>
      <w:r>
        <w:rPr>
          <w:rFonts w:hint="eastAsia" w:asciiTheme="minorEastAsia" w:hAnsiTheme="minorEastAsia" w:eastAsiaTheme="minorEastAsia" w:cstheme="minorEastAsia"/>
          <w:color w:val="auto"/>
          <w:sz w:val="36"/>
          <w:szCs w:val="36"/>
        </w:rPr>
        <w:br w:type="page"/>
      </w:r>
    </w:p>
    <w:p>
      <w:pPr>
        <w:pStyle w:val="4"/>
        <w:numPr>
          <w:ilvl w:val="0"/>
          <w:numId w:val="4"/>
        </w:numPr>
        <w:jc w:val="center"/>
        <w:rPr>
          <w:rFonts w:asciiTheme="minorEastAsia" w:hAnsiTheme="minorEastAsia" w:eastAsiaTheme="minorEastAsia" w:cstheme="minorEastAsia"/>
          <w:color w:val="auto"/>
          <w:sz w:val="32"/>
          <w:szCs w:val="32"/>
        </w:rPr>
      </w:pPr>
      <w:bookmarkStart w:id="25" w:name="_Toc12411"/>
      <w:r>
        <w:rPr>
          <w:rFonts w:hint="eastAsia" w:asciiTheme="minorEastAsia" w:hAnsiTheme="minorEastAsia" w:eastAsiaTheme="minorEastAsia" w:cstheme="minorEastAsia"/>
          <w:color w:val="auto"/>
          <w:sz w:val="36"/>
          <w:szCs w:val="36"/>
        </w:rPr>
        <w:t>供应商须知</w:t>
      </w:r>
      <w:bookmarkEnd w:id="25"/>
    </w:p>
    <w:p>
      <w:pPr>
        <w:autoSpaceDE w:val="0"/>
        <w:autoSpaceDN w:val="0"/>
        <w:adjustRightInd w:val="0"/>
        <w:spacing w:line="360" w:lineRule="auto"/>
        <w:jc w:val="center"/>
        <w:outlineLvl w:val="1"/>
        <w:rPr>
          <w:rFonts w:asciiTheme="minorEastAsia" w:hAnsiTheme="minorEastAsia" w:eastAsiaTheme="minorEastAsia" w:cstheme="minorEastAsia"/>
          <w:b/>
          <w:color w:val="auto"/>
          <w:szCs w:val="21"/>
          <w:lang w:val="zh-CN"/>
        </w:rPr>
      </w:pPr>
      <w:bookmarkStart w:id="26" w:name="_Toc4456"/>
      <w:r>
        <w:rPr>
          <w:rFonts w:hint="eastAsia" w:asciiTheme="minorEastAsia" w:hAnsiTheme="minorEastAsia" w:eastAsiaTheme="minorEastAsia" w:cstheme="minorEastAsia"/>
          <w:b/>
          <w:color w:val="auto"/>
          <w:szCs w:val="21"/>
        </w:rPr>
        <w:t>《供应商须知前附表》</w:t>
      </w:r>
      <w:bookmarkEnd w:id="26"/>
    </w:p>
    <w:p>
      <w:pPr>
        <w:autoSpaceDE w:val="0"/>
        <w:autoSpaceDN w:val="0"/>
        <w:adjustRightInd w:val="0"/>
        <w:spacing w:line="360" w:lineRule="auto"/>
        <w:ind w:firstLine="420" w:firstLineChars="200"/>
        <w:jc w:val="left"/>
        <w:rPr>
          <w:rFonts w:asciiTheme="minorEastAsia" w:hAnsiTheme="minorEastAsia" w:eastAsiaTheme="minorEastAsia" w:cstheme="minorEastAsia"/>
          <w:color w:val="auto"/>
          <w:szCs w:val="21"/>
          <w:lang w:val="zh-CN"/>
        </w:rPr>
      </w:pPr>
      <w:r>
        <w:rPr>
          <w:rFonts w:hint="eastAsia" w:asciiTheme="minorEastAsia" w:hAnsiTheme="minorEastAsia" w:eastAsiaTheme="minorEastAsia" w:cstheme="minorEastAsia"/>
          <w:color w:val="auto"/>
          <w:szCs w:val="21"/>
        </w:rPr>
        <w:t>磋商供应商应仔细阅读竞争性磋商采购文件的第二章“供应商须知”，下面所列资料是对“供应商须知”的具体补充和说明。</w:t>
      </w:r>
      <w:r>
        <w:rPr>
          <w:rFonts w:hint="eastAsia" w:asciiTheme="minorEastAsia" w:hAnsiTheme="minorEastAsia" w:eastAsiaTheme="minorEastAsia" w:cstheme="minorEastAsia"/>
          <w:color w:val="auto"/>
          <w:szCs w:val="21"/>
          <w:lang w:val="zh-CN"/>
        </w:rPr>
        <w:t>如有矛盾，应以本表为准。</w:t>
      </w:r>
    </w:p>
    <w:tbl>
      <w:tblPr>
        <w:tblStyle w:val="26"/>
        <w:tblW w:w="907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57" w:type="dxa"/>
          <w:left w:w="57" w:type="dxa"/>
          <w:bottom w:w="57" w:type="dxa"/>
          <w:right w:w="57" w:type="dxa"/>
        </w:tblCellMar>
      </w:tblPr>
      <w:tblGrid>
        <w:gridCol w:w="814"/>
        <w:gridCol w:w="2127"/>
        <w:gridCol w:w="613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90" w:hRule="atLeast"/>
          <w:tblHeader/>
          <w:jc w:val="center"/>
        </w:trPr>
        <w:tc>
          <w:tcPr>
            <w:tcW w:w="814" w:type="dxa"/>
            <w:shd w:val="clear" w:color="auto" w:fill="F1F1F1"/>
            <w:vAlign w:val="center"/>
          </w:tcPr>
          <w:p>
            <w:pPr>
              <w:autoSpaceDE w:val="0"/>
              <w:autoSpaceDN w:val="0"/>
              <w:adjustRightInd w:val="0"/>
              <w:spacing w:before="31" w:beforeLines="10" w:after="31" w:afterLines="10"/>
              <w:ind w:left="21" w:leftChars="10" w:right="21" w:rightChars="10"/>
              <w:jc w:val="center"/>
              <w:rPr>
                <w:rFonts w:asciiTheme="minorEastAsia" w:hAnsiTheme="minorEastAsia" w:eastAsiaTheme="minorEastAsia" w:cstheme="minorEastAsia"/>
                <w:b/>
                <w:color w:val="auto"/>
                <w:szCs w:val="21"/>
              </w:rPr>
            </w:pPr>
            <w:r>
              <w:rPr>
                <w:rFonts w:hint="eastAsia" w:asciiTheme="minorEastAsia" w:hAnsiTheme="minorEastAsia" w:eastAsiaTheme="minorEastAsia" w:cstheme="minorEastAsia"/>
                <w:b/>
                <w:color w:val="auto"/>
                <w:szCs w:val="21"/>
                <w:lang w:val="zh-CN"/>
              </w:rPr>
              <w:t>条款号</w:t>
            </w:r>
          </w:p>
        </w:tc>
        <w:tc>
          <w:tcPr>
            <w:tcW w:w="2127" w:type="dxa"/>
            <w:shd w:val="clear" w:color="auto" w:fill="F1F1F1"/>
            <w:vAlign w:val="center"/>
          </w:tcPr>
          <w:p>
            <w:pPr>
              <w:autoSpaceDE w:val="0"/>
              <w:autoSpaceDN w:val="0"/>
              <w:adjustRightInd w:val="0"/>
              <w:spacing w:before="31" w:beforeLines="10" w:after="31" w:afterLines="10"/>
              <w:ind w:left="21" w:leftChars="10" w:right="21" w:rightChars="10"/>
              <w:jc w:val="center"/>
              <w:rPr>
                <w:rFonts w:asciiTheme="minorEastAsia" w:hAnsiTheme="minorEastAsia" w:eastAsiaTheme="minorEastAsia" w:cstheme="minorEastAsia"/>
                <w:b/>
                <w:color w:val="auto"/>
                <w:szCs w:val="21"/>
                <w:lang w:val="zh-CN"/>
              </w:rPr>
            </w:pPr>
            <w:r>
              <w:rPr>
                <w:rFonts w:hint="eastAsia" w:asciiTheme="minorEastAsia" w:hAnsiTheme="minorEastAsia" w:eastAsiaTheme="minorEastAsia" w:cstheme="minorEastAsia"/>
                <w:b/>
                <w:color w:val="auto"/>
                <w:szCs w:val="21"/>
                <w:lang w:val="zh-CN"/>
              </w:rPr>
              <w:t>条款名称</w:t>
            </w:r>
          </w:p>
        </w:tc>
        <w:tc>
          <w:tcPr>
            <w:tcW w:w="6130" w:type="dxa"/>
            <w:shd w:val="clear" w:color="auto" w:fill="F1F1F1"/>
            <w:vAlign w:val="center"/>
          </w:tcPr>
          <w:p>
            <w:pPr>
              <w:autoSpaceDE w:val="0"/>
              <w:autoSpaceDN w:val="0"/>
              <w:adjustRightInd w:val="0"/>
              <w:spacing w:before="31" w:beforeLines="10" w:after="31" w:afterLines="10"/>
              <w:ind w:left="21" w:leftChars="10" w:right="21" w:rightChars="10"/>
              <w:jc w:val="center"/>
              <w:rPr>
                <w:rFonts w:asciiTheme="minorEastAsia" w:hAnsiTheme="minorEastAsia" w:eastAsiaTheme="minorEastAsia" w:cstheme="minorEastAsia"/>
                <w:b/>
                <w:color w:val="auto"/>
                <w:szCs w:val="21"/>
              </w:rPr>
            </w:pPr>
            <w:r>
              <w:rPr>
                <w:rFonts w:hint="eastAsia" w:asciiTheme="minorEastAsia" w:hAnsiTheme="minorEastAsia" w:eastAsiaTheme="minorEastAsia" w:cstheme="minorEastAsia"/>
                <w:b/>
                <w:color w:val="auto"/>
                <w:szCs w:val="21"/>
                <w:lang w:val="zh-CN"/>
              </w:rPr>
              <w:t>编列内容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476" w:hRule="atLeast"/>
          <w:jc w:val="center"/>
        </w:trPr>
        <w:tc>
          <w:tcPr>
            <w:tcW w:w="814" w:type="dxa"/>
            <w:vAlign w:val="center"/>
          </w:tcPr>
          <w:p>
            <w:pPr>
              <w:pStyle w:val="24"/>
              <w:widowControl w:val="0"/>
              <w:autoSpaceDE w:val="0"/>
              <w:autoSpaceDN w:val="0"/>
              <w:adjustRightInd w:val="0"/>
              <w:spacing w:before="31" w:beforeLines="10" w:beforeAutospacing="0" w:after="31" w:afterLines="10" w:afterAutospacing="0"/>
              <w:ind w:left="21" w:leftChars="10" w:right="21" w:rightChars="10"/>
              <w:jc w:val="center"/>
              <w:rPr>
                <w:rFonts w:hint="default" w:asciiTheme="minorEastAsia" w:hAnsiTheme="minorEastAsia" w:eastAsiaTheme="minorEastAsia" w:cstheme="minorEastAsia"/>
                <w:color w:val="auto"/>
                <w:kern w:val="2"/>
                <w:sz w:val="21"/>
                <w:szCs w:val="21"/>
                <w:lang w:val="zh-CN"/>
              </w:rPr>
            </w:pPr>
            <w:r>
              <w:rPr>
                <w:rFonts w:asciiTheme="minorEastAsia" w:hAnsiTheme="minorEastAsia" w:eastAsiaTheme="minorEastAsia" w:cstheme="minorEastAsia"/>
                <w:color w:val="auto"/>
                <w:kern w:val="2"/>
                <w:sz w:val="21"/>
                <w:szCs w:val="21"/>
                <w:lang w:val="zh-CN"/>
              </w:rPr>
              <w:t>2.1</w:t>
            </w:r>
          </w:p>
        </w:tc>
        <w:tc>
          <w:tcPr>
            <w:tcW w:w="2127" w:type="dxa"/>
            <w:vAlign w:val="center"/>
          </w:tcPr>
          <w:p>
            <w:pPr>
              <w:pStyle w:val="24"/>
              <w:widowControl w:val="0"/>
              <w:autoSpaceDE w:val="0"/>
              <w:autoSpaceDN w:val="0"/>
              <w:adjustRightInd w:val="0"/>
              <w:spacing w:before="31" w:beforeLines="10" w:beforeAutospacing="0" w:after="31" w:afterLines="10" w:afterAutospacing="0"/>
              <w:ind w:left="21" w:leftChars="10" w:right="21" w:rightChars="10"/>
              <w:jc w:val="center"/>
              <w:rPr>
                <w:rFonts w:hint="default" w:asciiTheme="minorEastAsia" w:hAnsiTheme="minorEastAsia" w:eastAsiaTheme="minorEastAsia" w:cstheme="minorEastAsia"/>
                <w:color w:val="auto"/>
                <w:kern w:val="2"/>
                <w:sz w:val="21"/>
                <w:szCs w:val="21"/>
                <w:lang w:val="zh-CN"/>
              </w:rPr>
            </w:pPr>
            <w:r>
              <w:rPr>
                <w:rFonts w:asciiTheme="minorEastAsia" w:hAnsiTheme="minorEastAsia" w:eastAsiaTheme="minorEastAsia" w:cstheme="minorEastAsia"/>
                <w:color w:val="auto"/>
                <w:kern w:val="2"/>
                <w:sz w:val="21"/>
                <w:szCs w:val="21"/>
                <w:lang w:val="zh-CN"/>
              </w:rPr>
              <w:t>采购人</w:t>
            </w:r>
          </w:p>
        </w:tc>
        <w:tc>
          <w:tcPr>
            <w:tcW w:w="6130" w:type="dxa"/>
            <w:vAlign w:val="center"/>
          </w:tcPr>
          <w:p>
            <w:pPr>
              <w:jc w:val="left"/>
              <w:rPr>
                <w:rFonts w:asciiTheme="minorEastAsia" w:hAnsiTheme="minorEastAsia" w:eastAsiaTheme="minorEastAsia" w:cstheme="minorEastAsia"/>
                <w:color w:val="auto"/>
                <w:szCs w:val="21"/>
                <w:lang w:val="zh-CN"/>
              </w:rPr>
            </w:pPr>
            <w:r>
              <w:rPr>
                <w:rFonts w:hint="eastAsia" w:asciiTheme="minorEastAsia" w:hAnsiTheme="minorEastAsia" w:eastAsiaTheme="minorEastAsia" w:cstheme="minorEastAsia"/>
                <w:color w:val="auto"/>
                <w:szCs w:val="21"/>
                <w:lang w:val="zh-CN"/>
              </w:rPr>
              <w:t>湖北工业大学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20" w:hRule="atLeast"/>
          <w:jc w:val="center"/>
        </w:trPr>
        <w:tc>
          <w:tcPr>
            <w:tcW w:w="814" w:type="dxa"/>
            <w:vAlign w:val="center"/>
          </w:tcPr>
          <w:p>
            <w:pPr>
              <w:autoSpaceDE w:val="0"/>
              <w:autoSpaceDN w:val="0"/>
              <w:adjustRightInd w:val="0"/>
              <w:spacing w:before="31" w:beforeLines="10" w:after="31" w:afterLines="10"/>
              <w:ind w:left="21" w:leftChars="10" w:right="21" w:rightChars="10"/>
              <w:jc w:val="center"/>
              <w:rPr>
                <w:rFonts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2.2</w:t>
            </w:r>
          </w:p>
        </w:tc>
        <w:tc>
          <w:tcPr>
            <w:tcW w:w="2127" w:type="dxa"/>
            <w:vAlign w:val="center"/>
          </w:tcPr>
          <w:p>
            <w:pPr>
              <w:pStyle w:val="24"/>
              <w:widowControl w:val="0"/>
              <w:autoSpaceDE w:val="0"/>
              <w:autoSpaceDN w:val="0"/>
              <w:adjustRightInd w:val="0"/>
              <w:spacing w:before="0" w:beforeAutospacing="0" w:after="0" w:afterAutospacing="0"/>
              <w:jc w:val="center"/>
              <w:rPr>
                <w:rFonts w:hint="default" w:asciiTheme="minorEastAsia" w:hAnsiTheme="minorEastAsia" w:eastAsiaTheme="minorEastAsia" w:cstheme="minorEastAsia"/>
                <w:color w:val="auto"/>
                <w:kern w:val="2"/>
                <w:sz w:val="21"/>
                <w:szCs w:val="21"/>
                <w:lang w:val="zh-CN"/>
              </w:rPr>
            </w:pPr>
            <w:r>
              <w:rPr>
                <w:rFonts w:asciiTheme="minorEastAsia" w:hAnsiTheme="minorEastAsia" w:eastAsiaTheme="minorEastAsia" w:cstheme="minorEastAsia"/>
                <w:color w:val="auto"/>
                <w:kern w:val="2"/>
                <w:sz w:val="21"/>
                <w:szCs w:val="21"/>
                <w:lang w:val="zh-CN"/>
              </w:rPr>
              <w:t>监管部门</w:t>
            </w:r>
          </w:p>
        </w:tc>
        <w:tc>
          <w:tcPr>
            <w:tcW w:w="6130" w:type="dxa"/>
            <w:vAlign w:val="center"/>
          </w:tcPr>
          <w:p>
            <w:pPr>
              <w:autoSpaceDE w:val="0"/>
              <w:autoSpaceDN w:val="0"/>
              <w:adjustRightInd w:val="0"/>
              <w:jc w:val="left"/>
              <w:rPr>
                <w:rFonts w:asciiTheme="minorEastAsia" w:hAnsiTheme="minorEastAsia" w:eastAsiaTheme="minorEastAsia" w:cstheme="minorEastAsia"/>
                <w:color w:val="auto"/>
                <w:szCs w:val="21"/>
                <w:lang w:val="zh-CN"/>
              </w:rPr>
            </w:pPr>
            <w:r>
              <w:rPr>
                <w:rFonts w:hint="eastAsia" w:asciiTheme="minorEastAsia" w:hAnsiTheme="minorEastAsia" w:eastAsiaTheme="minorEastAsia" w:cstheme="minorEastAsia"/>
                <w:color w:val="auto"/>
                <w:szCs w:val="21"/>
                <w:lang w:val="zh-CN"/>
              </w:rPr>
              <w:t>湖北省财政厅政府采购管理处</w:t>
            </w:r>
          </w:p>
          <w:p>
            <w:pPr>
              <w:autoSpaceDE w:val="0"/>
              <w:autoSpaceDN w:val="0"/>
              <w:adjustRightInd w:val="0"/>
              <w:jc w:val="left"/>
              <w:rPr>
                <w:rFonts w:asciiTheme="minorEastAsia" w:hAnsiTheme="minorEastAsia" w:eastAsiaTheme="minorEastAsia" w:cstheme="minorEastAsia"/>
                <w:color w:val="auto"/>
                <w:szCs w:val="21"/>
                <w:lang w:val="zh-CN"/>
              </w:rPr>
            </w:pPr>
            <w:r>
              <w:rPr>
                <w:rFonts w:hint="eastAsia" w:asciiTheme="minorEastAsia" w:hAnsiTheme="minorEastAsia" w:eastAsiaTheme="minorEastAsia" w:cstheme="minorEastAsia"/>
                <w:color w:val="auto"/>
                <w:szCs w:val="21"/>
                <w:lang w:val="zh-CN"/>
              </w:rPr>
              <w:t>地  址：武汉市武昌区中北路8号</w:t>
            </w:r>
          </w:p>
          <w:p>
            <w:pPr>
              <w:autoSpaceDE w:val="0"/>
              <w:autoSpaceDN w:val="0"/>
              <w:adjustRightInd w:val="0"/>
              <w:jc w:val="left"/>
              <w:rPr>
                <w:rFonts w:asciiTheme="minorEastAsia" w:hAnsiTheme="minorEastAsia" w:eastAsiaTheme="minorEastAsia" w:cstheme="minorEastAsia"/>
                <w:color w:val="auto"/>
                <w:szCs w:val="21"/>
                <w:lang w:val="zh-CN"/>
              </w:rPr>
            </w:pPr>
            <w:r>
              <w:rPr>
                <w:rFonts w:hint="eastAsia" w:asciiTheme="minorEastAsia" w:hAnsiTheme="minorEastAsia" w:eastAsiaTheme="minorEastAsia" w:cstheme="minorEastAsia"/>
                <w:color w:val="auto"/>
                <w:szCs w:val="21"/>
                <w:lang w:val="zh-CN"/>
              </w:rPr>
              <w:t>电</w:t>
            </w:r>
            <w:r>
              <w:rPr>
                <w:rFonts w:hint="eastAsia" w:asciiTheme="minorEastAsia" w:hAnsiTheme="minorEastAsia" w:eastAsiaTheme="minorEastAsia" w:cstheme="minorEastAsia"/>
                <w:color w:val="auto"/>
                <w:szCs w:val="21"/>
              </w:rPr>
              <w:t xml:space="preserve">  </w:t>
            </w:r>
            <w:r>
              <w:rPr>
                <w:rFonts w:hint="eastAsia" w:asciiTheme="minorEastAsia" w:hAnsiTheme="minorEastAsia" w:eastAsiaTheme="minorEastAsia" w:cstheme="minorEastAsia"/>
                <w:color w:val="auto"/>
                <w:szCs w:val="21"/>
                <w:lang w:val="zh-CN"/>
              </w:rPr>
              <w:t>话：</w:t>
            </w:r>
            <w:r>
              <w:rPr>
                <w:rFonts w:hint="eastAsia" w:asciiTheme="minorEastAsia" w:hAnsiTheme="minorEastAsia" w:eastAsiaTheme="minorEastAsia" w:cstheme="minorEastAsia"/>
                <w:color w:val="auto"/>
                <w:szCs w:val="21"/>
              </w:rPr>
              <w:t>027-</w:t>
            </w:r>
            <w:r>
              <w:rPr>
                <w:rFonts w:hint="eastAsia" w:asciiTheme="minorEastAsia" w:hAnsiTheme="minorEastAsia" w:eastAsiaTheme="minorEastAsia" w:cstheme="minorEastAsia"/>
                <w:color w:val="auto"/>
                <w:szCs w:val="21"/>
                <w:lang w:val="zh-CN"/>
              </w:rPr>
              <w:t>67818721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90" w:hRule="atLeast"/>
          <w:jc w:val="center"/>
        </w:trPr>
        <w:tc>
          <w:tcPr>
            <w:tcW w:w="814" w:type="dxa"/>
            <w:vAlign w:val="center"/>
          </w:tcPr>
          <w:p>
            <w:pPr>
              <w:autoSpaceDE w:val="0"/>
              <w:autoSpaceDN w:val="0"/>
              <w:adjustRightInd w:val="0"/>
              <w:spacing w:before="31" w:beforeLines="10" w:after="31" w:afterLines="10"/>
              <w:ind w:left="21" w:leftChars="10" w:right="21" w:rightChars="10"/>
              <w:jc w:val="center"/>
              <w:rPr>
                <w:rFonts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2.3</w:t>
            </w:r>
          </w:p>
        </w:tc>
        <w:tc>
          <w:tcPr>
            <w:tcW w:w="2127" w:type="dxa"/>
            <w:vAlign w:val="center"/>
          </w:tcPr>
          <w:p>
            <w:pPr>
              <w:pStyle w:val="24"/>
              <w:widowControl w:val="0"/>
              <w:autoSpaceDE w:val="0"/>
              <w:autoSpaceDN w:val="0"/>
              <w:adjustRightInd w:val="0"/>
              <w:spacing w:before="31" w:beforeLines="10" w:beforeAutospacing="0" w:after="31" w:afterLines="10" w:afterAutospacing="0"/>
              <w:ind w:left="21" w:leftChars="10" w:right="21" w:rightChars="10"/>
              <w:jc w:val="center"/>
              <w:rPr>
                <w:rFonts w:hint="default" w:asciiTheme="minorEastAsia" w:hAnsiTheme="minorEastAsia" w:eastAsiaTheme="minorEastAsia" w:cstheme="minorEastAsia"/>
                <w:color w:val="auto"/>
                <w:kern w:val="2"/>
                <w:sz w:val="21"/>
                <w:szCs w:val="21"/>
                <w:lang w:val="zh-CN"/>
              </w:rPr>
            </w:pPr>
            <w:r>
              <w:rPr>
                <w:rFonts w:asciiTheme="minorEastAsia" w:hAnsiTheme="minorEastAsia" w:eastAsiaTheme="minorEastAsia" w:cstheme="minorEastAsia"/>
                <w:color w:val="auto"/>
                <w:kern w:val="2"/>
                <w:sz w:val="21"/>
                <w:szCs w:val="21"/>
                <w:lang w:val="zh-CN"/>
              </w:rPr>
              <w:t>采购代理机构</w:t>
            </w:r>
          </w:p>
        </w:tc>
        <w:tc>
          <w:tcPr>
            <w:tcW w:w="6130" w:type="dxa"/>
            <w:vAlign w:val="center"/>
          </w:tcPr>
          <w:p>
            <w:pPr>
              <w:pStyle w:val="24"/>
              <w:widowControl w:val="0"/>
              <w:autoSpaceDE w:val="0"/>
              <w:autoSpaceDN w:val="0"/>
              <w:adjustRightInd w:val="0"/>
              <w:spacing w:before="31" w:beforeLines="10" w:beforeAutospacing="0" w:after="31" w:afterLines="10" w:afterAutospacing="0"/>
              <w:ind w:left="21" w:leftChars="10" w:right="21" w:rightChars="10"/>
              <w:rPr>
                <w:rFonts w:hint="default" w:asciiTheme="minorEastAsia" w:hAnsiTheme="minorEastAsia" w:eastAsiaTheme="minorEastAsia" w:cstheme="minorEastAsia"/>
                <w:color w:val="auto"/>
                <w:kern w:val="2"/>
                <w:sz w:val="21"/>
                <w:szCs w:val="21"/>
                <w:lang w:val="zh-CN"/>
              </w:rPr>
            </w:pPr>
            <w:r>
              <w:rPr>
                <w:rFonts w:asciiTheme="minorEastAsia" w:hAnsiTheme="minorEastAsia" w:eastAsiaTheme="minorEastAsia" w:cstheme="minorEastAsia"/>
                <w:color w:val="auto"/>
                <w:kern w:val="2"/>
                <w:sz w:val="21"/>
                <w:szCs w:val="21"/>
                <w:lang w:val="zh-CN"/>
              </w:rPr>
              <w:t>中经国际招标集团有限公司</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72" w:hRule="atLeast"/>
          <w:jc w:val="center"/>
        </w:trPr>
        <w:tc>
          <w:tcPr>
            <w:tcW w:w="814" w:type="dxa"/>
            <w:vAlign w:val="center"/>
          </w:tcPr>
          <w:p>
            <w:pPr>
              <w:pStyle w:val="24"/>
              <w:widowControl w:val="0"/>
              <w:autoSpaceDE w:val="0"/>
              <w:autoSpaceDN w:val="0"/>
              <w:adjustRightInd w:val="0"/>
              <w:spacing w:before="31" w:beforeLines="10" w:beforeAutospacing="0" w:after="31" w:afterLines="10" w:afterAutospacing="0"/>
              <w:ind w:left="21" w:leftChars="10" w:right="21" w:rightChars="10"/>
              <w:jc w:val="center"/>
              <w:rPr>
                <w:rFonts w:hint="default" w:asciiTheme="minorEastAsia" w:hAnsiTheme="minorEastAsia" w:eastAsiaTheme="minorEastAsia" w:cstheme="minorEastAsia"/>
                <w:color w:val="auto"/>
                <w:kern w:val="2"/>
                <w:sz w:val="21"/>
                <w:szCs w:val="21"/>
                <w:lang w:val="zh-CN"/>
              </w:rPr>
            </w:pPr>
            <w:r>
              <w:rPr>
                <w:rFonts w:asciiTheme="minorEastAsia" w:hAnsiTheme="minorEastAsia" w:eastAsiaTheme="minorEastAsia" w:cstheme="minorEastAsia"/>
                <w:color w:val="auto"/>
                <w:kern w:val="2"/>
                <w:sz w:val="21"/>
                <w:szCs w:val="21"/>
                <w:lang w:val="zh-CN"/>
              </w:rPr>
              <w:t>2.5</w:t>
            </w:r>
          </w:p>
        </w:tc>
        <w:tc>
          <w:tcPr>
            <w:tcW w:w="2127" w:type="dxa"/>
            <w:vAlign w:val="center"/>
          </w:tcPr>
          <w:p>
            <w:pPr>
              <w:pStyle w:val="24"/>
              <w:widowControl w:val="0"/>
              <w:autoSpaceDE w:val="0"/>
              <w:autoSpaceDN w:val="0"/>
              <w:adjustRightInd w:val="0"/>
              <w:spacing w:before="31" w:beforeLines="10" w:beforeAutospacing="0" w:after="31" w:afterLines="10" w:afterAutospacing="0"/>
              <w:ind w:left="21" w:leftChars="10" w:right="21" w:rightChars="10"/>
              <w:jc w:val="center"/>
              <w:rPr>
                <w:rFonts w:hint="default" w:asciiTheme="minorEastAsia" w:hAnsiTheme="minorEastAsia" w:eastAsiaTheme="minorEastAsia" w:cstheme="minorEastAsia"/>
                <w:color w:val="auto"/>
                <w:kern w:val="2"/>
                <w:sz w:val="21"/>
                <w:szCs w:val="21"/>
                <w:lang w:val="zh-CN"/>
              </w:rPr>
            </w:pPr>
            <w:r>
              <w:rPr>
                <w:rFonts w:asciiTheme="minorEastAsia" w:hAnsiTheme="minorEastAsia" w:eastAsiaTheme="minorEastAsia" w:cstheme="minorEastAsia"/>
                <w:color w:val="auto"/>
                <w:kern w:val="2"/>
                <w:sz w:val="21"/>
                <w:szCs w:val="21"/>
                <w:lang w:val="zh-CN"/>
              </w:rPr>
              <w:t>磋商供应商</w:t>
            </w:r>
          </w:p>
        </w:tc>
        <w:tc>
          <w:tcPr>
            <w:tcW w:w="6130" w:type="dxa"/>
            <w:vAlign w:val="center"/>
          </w:tcPr>
          <w:p>
            <w:pPr>
              <w:pStyle w:val="24"/>
              <w:widowControl w:val="0"/>
              <w:autoSpaceDE w:val="0"/>
              <w:autoSpaceDN w:val="0"/>
              <w:adjustRightInd w:val="0"/>
              <w:spacing w:before="31" w:beforeLines="10" w:beforeAutospacing="0" w:after="31" w:afterLines="10" w:afterAutospacing="0"/>
              <w:ind w:right="21" w:rightChars="10"/>
              <w:rPr>
                <w:rFonts w:hint="default" w:asciiTheme="minorEastAsia" w:hAnsiTheme="minorEastAsia" w:eastAsiaTheme="minorEastAsia" w:cstheme="minorEastAsia"/>
                <w:color w:val="auto"/>
                <w:kern w:val="2"/>
                <w:sz w:val="21"/>
                <w:szCs w:val="21"/>
                <w:lang w:val="zh-CN"/>
              </w:rPr>
            </w:pPr>
            <w:r>
              <w:rPr>
                <w:rFonts w:asciiTheme="minorEastAsia" w:hAnsiTheme="minorEastAsia" w:eastAsiaTheme="minorEastAsia" w:cstheme="minorEastAsia"/>
                <w:color w:val="auto"/>
                <w:sz w:val="21"/>
                <w:szCs w:val="21"/>
                <w:lang w:val="zh-CN"/>
              </w:rPr>
              <w:t>详见</w:t>
            </w:r>
            <w:r>
              <w:rPr>
                <w:rFonts w:asciiTheme="minorEastAsia" w:hAnsiTheme="minorEastAsia" w:eastAsiaTheme="minorEastAsia" w:cstheme="minorEastAsia"/>
                <w:color w:val="auto"/>
                <w:sz w:val="21"/>
                <w:szCs w:val="21"/>
              </w:rPr>
              <w:t>第一章第二款相关要求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72" w:hRule="atLeast"/>
          <w:jc w:val="center"/>
        </w:trPr>
        <w:tc>
          <w:tcPr>
            <w:tcW w:w="814" w:type="dxa"/>
            <w:vAlign w:val="center"/>
          </w:tcPr>
          <w:p>
            <w:pPr>
              <w:pStyle w:val="24"/>
              <w:widowControl w:val="0"/>
              <w:autoSpaceDE w:val="0"/>
              <w:autoSpaceDN w:val="0"/>
              <w:adjustRightInd w:val="0"/>
              <w:spacing w:before="31" w:beforeLines="10" w:beforeAutospacing="0" w:after="31" w:afterLines="10" w:afterAutospacing="0"/>
              <w:ind w:left="21" w:leftChars="10" w:right="21" w:rightChars="10"/>
              <w:jc w:val="center"/>
              <w:rPr>
                <w:rFonts w:hint="default" w:asciiTheme="minorEastAsia" w:hAnsiTheme="minorEastAsia" w:eastAsiaTheme="minorEastAsia" w:cstheme="minorEastAsia"/>
                <w:color w:val="auto"/>
                <w:kern w:val="2"/>
                <w:sz w:val="21"/>
                <w:szCs w:val="21"/>
                <w:lang w:val="zh-CN"/>
              </w:rPr>
            </w:pPr>
            <w:r>
              <w:rPr>
                <w:rFonts w:asciiTheme="minorEastAsia" w:hAnsiTheme="minorEastAsia" w:eastAsiaTheme="minorEastAsia" w:cstheme="minorEastAsia"/>
                <w:color w:val="auto"/>
                <w:kern w:val="2"/>
                <w:sz w:val="21"/>
                <w:szCs w:val="21"/>
                <w:lang w:val="zh-CN"/>
              </w:rPr>
              <w:t>4.2</w:t>
            </w:r>
          </w:p>
        </w:tc>
        <w:tc>
          <w:tcPr>
            <w:tcW w:w="2127" w:type="dxa"/>
            <w:vAlign w:val="center"/>
          </w:tcPr>
          <w:p>
            <w:pPr>
              <w:autoSpaceDE w:val="0"/>
              <w:autoSpaceDN w:val="0"/>
              <w:adjustRightInd w:val="0"/>
              <w:jc w:val="center"/>
              <w:rPr>
                <w:rFonts w:asciiTheme="minorEastAsia" w:hAnsiTheme="minorEastAsia" w:eastAsiaTheme="minorEastAsia" w:cstheme="minorEastAsia"/>
                <w:color w:val="auto"/>
                <w:szCs w:val="21"/>
                <w:lang w:val="zh-CN"/>
              </w:rPr>
            </w:pPr>
            <w:r>
              <w:rPr>
                <w:rFonts w:hint="eastAsia" w:asciiTheme="minorEastAsia" w:hAnsiTheme="minorEastAsia" w:eastAsiaTheme="minorEastAsia" w:cstheme="minorEastAsia"/>
                <w:color w:val="auto"/>
                <w:szCs w:val="21"/>
              </w:rPr>
              <w:t>招标代理服务费</w:t>
            </w:r>
          </w:p>
        </w:tc>
        <w:tc>
          <w:tcPr>
            <w:tcW w:w="6130" w:type="dxa"/>
            <w:vAlign w:val="center"/>
          </w:tcPr>
          <w:p>
            <w:pPr>
              <w:autoSpaceDE w:val="0"/>
              <w:autoSpaceDN w:val="0"/>
              <w:adjustRightInd w:val="0"/>
              <w:jc w:val="left"/>
              <w:rPr>
                <w:rFonts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根据国家发展与改革委员会办公厅发改办价格【2003】857号文的规定，经与采购人协商，由中标人按国家发展计划委员会计价格【2002】1980号文规定的取费标准向采购代理机构支付招标代理服务费。招标代理服务费由中标人在领取成交通知书的同时，向采购代理机构支付。详见成交公告。</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324" w:hRule="atLeast"/>
          <w:jc w:val="center"/>
        </w:trPr>
        <w:tc>
          <w:tcPr>
            <w:tcW w:w="814" w:type="dxa"/>
            <w:vAlign w:val="center"/>
          </w:tcPr>
          <w:p>
            <w:pPr>
              <w:pStyle w:val="24"/>
              <w:widowControl w:val="0"/>
              <w:autoSpaceDE w:val="0"/>
              <w:autoSpaceDN w:val="0"/>
              <w:adjustRightInd w:val="0"/>
              <w:spacing w:before="31" w:beforeLines="10" w:beforeAutospacing="0" w:after="31" w:afterLines="10" w:afterAutospacing="0"/>
              <w:ind w:left="21" w:leftChars="10" w:right="21" w:rightChars="10"/>
              <w:jc w:val="center"/>
              <w:rPr>
                <w:rFonts w:hint="default" w:asciiTheme="minorEastAsia" w:hAnsiTheme="minorEastAsia" w:eastAsiaTheme="minorEastAsia" w:cstheme="minorEastAsia"/>
                <w:color w:val="auto"/>
                <w:kern w:val="2"/>
                <w:sz w:val="21"/>
                <w:szCs w:val="21"/>
                <w:lang w:val="zh-CN"/>
              </w:rPr>
            </w:pPr>
            <w:r>
              <w:rPr>
                <w:rFonts w:asciiTheme="minorEastAsia" w:hAnsiTheme="minorEastAsia" w:eastAsiaTheme="minorEastAsia" w:cstheme="minorEastAsia"/>
                <w:color w:val="auto"/>
                <w:kern w:val="2"/>
                <w:sz w:val="21"/>
                <w:szCs w:val="21"/>
                <w:lang w:val="zh-CN"/>
              </w:rPr>
              <w:t>6.2</w:t>
            </w:r>
          </w:p>
        </w:tc>
        <w:tc>
          <w:tcPr>
            <w:tcW w:w="2127" w:type="dxa"/>
            <w:vAlign w:val="center"/>
          </w:tcPr>
          <w:p>
            <w:pPr>
              <w:autoSpaceDE w:val="0"/>
              <w:autoSpaceDN w:val="0"/>
              <w:adjustRightInd w:val="0"/>
              <w:spacing w:before="31" w:beforeLines="10" w:after="31" w:afterLines="10"/>
              <w:ind w:left="21" w:leftChars="10" w:right="21" w:rightChars="10"/>
              <w:jc w:val="center"/>
              <w:rPr>
                <w:rFonts w:asciiTheme="minorEastAsia" w:hAnsiTheme="minorEastAsia" w:eastAsiaTheme="minorEastAsia" w:cstheme="minorEastAsia"/>
                <w:color w:val="auto"/>
                <w:szCs w:val="21"/>
              </w:rPr>
            </w:pPr>
            <w:r>
              <w:rPr>
                <w:rFonts w:hint="eastAsia" w:asciiTheme="minorEastAsia" w:hAnsiTheme="minorEastAsia" w:eastAsiaTheme="minorEastAsia" w:cstheme="minorEastAsia"/>
                <w:snapToGrid w:val="0"/>
                <w:color w:val="auto"/>
                <w:kern w:val="0"/>
                <w:szCs w:val="21"/>
                <w:lang w:val="zh-CN"/>
              </w:rPr>
              <w:t>提疑、</w:t>
            </w:r>
            <w:r>
              <w:rPr>
                <w:rFonts w:hint="eastAsia" w:asciiTheme="minorEastAsia" w:hAnsiTheme="minorEastAsia" w:eastAsiaTheme="minorEastAsia" w:cstheme="minorEastAsia"/>
                <w:snapToGrid w:val="0"/>
                <w:color w:val="auto"/>
                <w:kern w:val="0"/>
                <w:szCs w:val="21"/>
              </w:rPr>
              <w:t>质疑</w:t>
            </w:r>
            <w:r>
              <w:rPr>
                <w:rFonts w:hint="eastAsia" w:asciiTheme="minorEastAsia" w:hAnsiTheme="minorEastAsia" w:eastAsiaTheme="minorEastAsia" w:cstheme="minorEastAsia"/>
                <w:snapToGrid w:val="0"/>
                <w:color w:val="auto"/>
                <w:kern w:val="0"/>
                <w:szCs w:val="21"/>
                <w:lang w:val="zh-CN"/>
              </w:rPr>
              <w:t>截止时间</w:t>
            </w:r>
          </w:p>
        </w:tc>
        <w:tc>
          <w:tcPr>
            <w:tcW w:w="6130" w:type="dxa"/>
            <w:vAlign w:val="center"/>
          </w:tcPr>
          <w:p>
            <w:pPr>
              <w:pStyle w:val="24"/>
              <w:widowControl w:val="0"/>
              <w:autoSpaceDE w:val="0"/>
              <w:autoSpaceDN w:val="0"/>
              <w:adjustRightInd w:val="0"/>
              <w:spacing w:before="31" w:beforeLines="10" w:beforeAutospacing="0" w:after="31" w:afterLines="10" w:afterAutospacing="0"/>
              <w:ind w:right="21" w:rightChars="10"/>
              <w:rPr>
                <w:rFonts w:hint="default" w:asciiTheme="minorEastAsia" w:hAnsiTheme="minorEastAsia" w:eastAsiaTheme="minorEastAsia" w:cstheme="minorEastAsia"/>
                <w:color w:val="auto"/>
                <w:sz w:val="21"/>
                <w:szCs w:val="21"/>
                <w:lang w:val="zh-CN"/>
              </w:rPr>
            </w:pPr>
            <w:r>
              <w:rPr>
                <w:rFonts w:asciiTheme="minorEastAsia" w:hAnsiTheme="minorEastAsia" w:eastAsiaTheme="minorEastAsia" w:cstheme="minorEastAsia"/>
                <w:color w:val="auto"/>
                <w:sz w:val="21"/>
                <w:szCs w:val="21"/>
                <w:lang w:val="zh-CN"/>
              </w:rPr>
              <w:t>供应商认为磋商文件、磋商过程和成交结果使自己的权益受到损害</w:t>
            </w:r>
          </w:p>
          <w:p>
            <w:pPr>
              <w:pStyle w:val="24"/>
              <w:widowControl w:val="0"/>
              <w:autoSpaceDE w:val="0"/>
              <w:autoSpaceDN w:val="0"/>
              <w:adjustRightInd w:val="0"/>
              <w:spacing w:before="31" w:beforeLines="10" w:beforeAutospacing="0" w:after="31" w:afterLines="10" w:afterAutospacing="0"/>
              <w:ind w:right="21" w:rightChars="10"/>
              <w:rPr>
                <w:rFonts w:hint="default" w:asciiTheme="minorEastAsia" w:hAnsiTheme="minorEastAsia" w:eastAsiaTheme="minorEastAsia" w:cstheme="minorEastAsia"/>
                <w:color w:val="auto"/>
                <w:sz w:val="21"/>
                <w:szCs w:val="21"/>
                <w:lang w:val="zh-CN"/>
              </w:rPr>
            </w:pPr>
            <w:r>
              <w:rPr>
                <w:rFonts w:asciiTheme="minorEastAsia" w:hAnsiTheme="minorEastAsia" w:eastAsiaTheme="minorEastAsia" w:cstheme="minorEastAsia"/>
                <w:color w:val="auto"/>
                <w:sz w:val="21"/>
                <w:szCs w:val="21"/>
                <w:lang w:val="zh-CN"/>
              </w:rPr>
              <w:t>的，可以在知道或者应知其权益受到损害之日起7个工作日内，以</w:t>
            </w:r>
          </w:p>
          <w:p>
            <w:pPr>
              <w:pStyle w:val="24"/>
              <w:widowControl w:val="0"/>
              <w:autoSpaceDE w:val="0"/>
              <w:autoSpaceDN w:val="0"/>
              <w:adjustRightInd w:val="0"/>
              <w:spacing w:before="31" w:beforeLines="10" w:beforeAutospacing="0" w:after="31" w:afterLines="10" w:afterAutospacing="0"/>
              <w:ind w:right="21" w:rightChars="10"/>
              <w:rPr>
                <w:rFonts w:hint="default" w:asciiTheme="minorEastAsia" w:hAnsiTheme="minorEastAsia" w:eastAsiaTheme="minorEastAsia" w:cstheme="minorEastAsia"/>
                <w:color w:val="auto"/>
                <w:sz w:val="21"/>
                <w:szCs w:val="21"/>
                <w:lang w:val="zh-CN"/>
              </w:rPr>
            </w:pPr>
            <w:r>
              <w:rPr>
                <w:rFonts w:asciiTheme="minorEastAsia" w:hAnsiTheme="minorEastAsia" w:eastAsiaTheme="minorEastAsia" w:cstheme="minorEastAsia"/>
                <w:color w:val="auto"/>
                <w:sz w:val="21"/>
                <w:szCs w:val="21"/>
                <w:lang w:val="zh-CN"/>
              </w:rPr>
              <w:t>书面形式向采购人或采购代理机构提出。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324" w:hRule="atLeast"/>
          <w:jc w:val="center"/>
        </w:trPr>
        <w:tc>
          <w:tcPr>
            <w:tcW w:w="814" w:type="dxa"/>
            <w:vAlign w:val="center"/>
          </w:tcPr>
          <w:p>
            <w:pPr>
              <w:pStyle w:val="24"/>
              <w:widowControl w:val="0"/>
              <w:autoSpaceDE w:val="0"/>
              <w:autoSpaceDN w:val="0"/>
              <w:adjustRightInd w:val="0"/>
              <w:spacing w:before="31" w:beforeLines="10" w:beforeAutospacing="0" w:after="31" w:afterLines="10" w:afterAutospacing="0"/>
              <w:ind w:left="21" w:leftChars="10" w:right="21" w:rightChars="10"/>
              <w:jc w:val="center"/>
              <w:rPr>
                <w:rFonts w:hint="default" w:asciiTheme="minorEastAsia" w:hAnsiTheme="minorEastAsia" w:eastAsiaTheme="minorEastAsia" w:cstheme="minorEastAsia"/>
                <w:color w:val="auto"/>
                <w:kern w:val="2"/>
                <w:sz w:val="21"/>
                <w:szCs w:val="21"/>
              </w:rPr>
            </w:pPr>
            <w:r>
              <w:rPr>
                <w:rFonts w:asciiTheme="minorEastAsia" w:hAnsiTheme="minorEastAsia" w:eastAsiaTheme="minorEastAsia" w:cstheme="minorEastAsia"/>
                <w:color w:val="auto"/>
                <w:kern w:val="2"/>
                <w:sz w:val="21"/>
                <w:szCs w:val="21"/>
              </w:rPr>
              <w:t>7.1</w:t>
            </w:r>
          </w:p>
        </w:tc>
        <w:tc>
          <w:tcPr>
            <w:tcW w:w="2127" w:type="dxa"/>
            <w:vAlign w:val="center"/>
          </w:tcPr>
          <w:p>
            <w:pPr>
              <w:autoSpaceDE w:val="0"/>
              <w:autoSpaceDN w:val="0"/>
              <w:adjustRightInd w:val="0"/>
              <w:jc w:val="center"/>
              <w:rPr>
                <w:rFonts w:asciiTheme="minorEastAsia" w:hAnsiTheme="minorEastAsia" w:eastAsiaTheme="minorEastAsia" w:cstheme="minorEastAsia"/>
                <w:snapToGrid w:val="0"/>
                <w:color w:val="auto"/>
                <w:kern w:val="0"/>
                <w:szCs w:val="21"/>
                <w:lang w:val="zh-CN"/>
              </w:rPr>
            </w:pPr>
            <w:r>
              <w:rPr>
                <w:rFonts w:hint="eastAsia" w:asciiTheme="minorEastAsia" w:hAnsiTheme="minorEastAsia" w:eastAsiaTheme="minorEastAsia" w:cstheme="minorEastAsia"/>
                <w:snapToGrid w:val="0"/>
                <w:color w:val="auto"/>
                <w:kern w:val="0"/>
                <w:szCs w:val="21"/>
                <w:lang w:val="zh-CN"/>
              </w:rPr>
              <w:t>供应商确认收到磋商</w:t>
            </w:r>
          </w:p>
          <w:p>
            <w:pPr>
              <w:autoSpaceDE w:val="0"/>
              <w:autoSpaceDN w:val="0"/>
              <w:adjustRightInd w:val="0"/>
              <w:jc w:val="center"/>
              <w:rPr>
                <w:rFonts w:asciiTheme="minorEastAsia" w:hAnsiTheme="minorEastAsia" w:eastAsiaTheme="minorEastAsia" w:cstheme="minorEastAsia"/>
                <w:snapToGrid w:val="0"/>
                <w:color w:val="auto"/>
                <w:kern w:val="0"/>
                <w:szCs w:val="21"/>
                <w:lang w:val="zh-CN"/>
              </w:rPr>
            </w:pPr>
            <w:r>
              <w:rPr>
                <w:rFonts w:hint="eastAsia" w:asciiTheme="minorEastAsia" w:hAnsiTheme="minorEastAsia" w:eastAsiaTheme="minorEastAsia" w:cstheme="minorEastAsia"/>
                <w:snapToGrid w:val="0"/>
                <w:color w:val="auto"/>
                <w:kern w:val="0"/>
                <w:szCs w:val="21"/>
                <w:lang w:val="zh-CN"/>
              </w:rPr>
              <w:t>文件澄清或者修改的</w:t>
            </w:r>
          </w:p>
          <w:p>
            <w:pPr>
              <w:autoSpaceDE w:val="0"/>
              <w:autoSpaceDN w:val="0"/>
              <w:adjustRightInd w:val="0"/>
              <w:jc w:val="center"/>
              <w:rPr>
                <w:rFonts w:asciiTheme="minorEastAsia" w:hAnsiTheme="minorEastAsia" w:eastAsiaTheme="minorEastAsia" w:cstheme="minorEastAsia"/>
                <w:snapToGrid w:val="0"/>
                <w:color w:val="auto"/>
                <w:kern w:val="0"/>
                <w:szCs w:val="21"/>
                <w:lang w:val="zh-CN"/>
              </w:rPr>
            </w:pPr>
            <w:r>
              <w:rPr>
                <w:rFonts w:hint="eastAsia" w:asciiTheme="minorEastAsia" w:hAnsiTheme="minorEastAsia" w:eastAsiaTheme="minorEastAsia" w:cstheme="minorEastAsia"/>
                <w:snapToGrid w:val="0"/>
                <w:color w:val="auto"/>
                <w:kern w:val="0"/>
                <w:szCs w:val="21"/>
                <w:lang w:val="zh-CN"/>
              </w:rPr>
              <w:t>时间</w:t>
            </w:r>
          </w:p>
        </w:tc>
        <w:tc>
          <w:tcPr>
            <w:tcW w:w="6130" w:type="dxa"/>
            <w:vAlign w:val="center"/>
          </w:tcPr>
          <w:p>
            <w:pPr>
              <w:pStyle w:val="24"/>
              <w:widowControl w:val="0"/>
              <w:autoSpaceDE w:val="0"/>
              <w:autoSpaceDN w:val="0"/>
              <w:adjustRightInd w:val="0"/>
              <w:spacing w:before="31" w:beforeLines="10" w:beforeAutospacing="0" w:after="31" w:afterLines="10" w:afterAutospacing="0"/>
              <w:ind w:right="21" w:rightChars="10"/>
              <w:rPr>
                <w:rFonts w:hint="default" w:asciiTheme="minorEastAsia" w:hAnsiTheme="minorEastAsia" w:eastAsiaTheme="minorEastAsia" w:cstheme="minorEastAsia"/>
                <w:color w:val="auto"/>
                <w:kern w:val="2"/>
                <w:sz w:val="21"/>
                <w:szCs w:val="21"/>
                <w:lang w:val="zh-CN"/>
              </w:rPr>
            </w:pPr>
            <w:r>
              <w:rPr>
                <w:rFonts w:asciiTheme="minorEastAsia" w:hAnsiTheme="minorEastAsia" w:eastAsiaTheme="minorEastAsia" w:cstheme="minorEastAsia"/>
                <w:color w:val="auto"/>
                <w:kern w:val="2"/>
                <w:sz w:val="21"/>
                <w:szCs w:val="21"/>
                <w:lang w:val="zh-CN"/>
              </w:rPr>
              <w:t>在收到相应修改文件后24小时内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72" w:hRule="atLeast"/>
          <w:jc w:val="center"/>
        </w:trPr>
        <w:tc>
          <w:tcPr>
            <w:tcW w:w="814" w:type="dxa"/>
            <w:vAlign w:val="center"/>
          </w:tcPr>
          <w:p>
            <w:pPr>
              <w:autoSpaceDE w:val="0"/>
              <w:autoSpaceDN w:val="0"/>
              <w:adjustRightInd w:val="0"/>
              <w:jc w:val="center"/>
              <w:rPr>
                <w:rFonts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10.4</w:t>
            </w:r>
          </w:p>
        </w:tc>
        <w:tc>
          <w:tcPr>
            <w:tcW w:w="2127" w:type="dxa"/>
            <w:vAlign w:val="center"/>
          </w:tcPr>
          <w:p>
            <w:pPr>
              <w:autoSpaceDE w:val="0"/>
              <w:autoSpaceDN w:val="0"/>
              <w:adjustRightInd w:val="0"/>
              <w:jc w:val="center"/>
              <w:rPr>
                <w:rFonts w:asciiTheme="minorEastAsia" w:hAnsiTheme="minorEastAsia" w:eastAsiaTheme="minorEastAsia" w:cstheme="minorEastAsia"/>
                <w:snapToGrid w:val="0"/>
                <w:color w:val="auto"/>
                <w:kern w:val="0"/>
                <w:szCs w:val="21"/>
                <w:lang w:val="zh-CN"/>
              </w:rPr>
            </w:pPr>
            <w:r>
              <w:rPr>
                <w:rFonts w:hint="eastAsia" w:asciiTheme="minorEastAsia" w:hAnsiTheme="minorEastAsia" w:eastAsiaTheme="minorEastAsia" w:cstheme="minorEastAsia"/>
                <w:snapToGrid w:val="0"/>
                <w:color w:val="auto"/>
                <w:kern w:val="0"/>
                <w:szCs w:val="21"/>
                <w:lang w:val="zh-CN"/>
              </w:rPr>
              <w:t>对多</w:t>
            </w:r>
            <w:r>
              <w:rPr>
                <w:rFonts w:hint="eastAsia" w:asciiTheme="minorEastAsia" w:hAnsiTheme="minorEastAsia" w:eastAsiaTheme="minorEastAsia" w:cstheme="minorEastAsia"/>
                <w:snapToGrid w:val="0"/>
                <w:color w:val="auto"/>
                <w:kern w:val="0"/>
                <w:szCs w:val="21"/>
              </w:rPr>
              <w:t>包</w:t>
            </w:r>
            <w:r>
              <w:rPr>
                <w:rFonts w:hint="eastAsia" w:asciiTheme="minorEastAsia" w:hAnsiTheme="minorEastAsia" w:eastAsiaTheme="minorEastAsia" w:cstheme="minorEastAsia"/>
                <w:snapToGrid w:val="0"/>
                <w:color w:val="auto"/>
                <w:kern w:val="0"/>
                <w:szCs w:val="21"/>
                <w:lang w:val="zh-CN"/>
              </w:rPr>
              <w:t>采购的规定</w:t>
            </w:r>
          </w:p>
        </w:tc>
        <w:tc>
          <w:tcPr>
            <w:tcW w:w="6130" w:type="dxa"/>
            <w:vAlign w:val="center"/>
          </w:tcPr>
          <w:p>
            <w:pPr>
              <w:autoSpaceDE w:val="0"/>
              <w:autoSpaceDN w:val="0"/>
              <w:adjustRightInd w:val="0"/>
              <w:jc w:val="left"/>
              <w:rPr>
                <w:rFonts w:asciiTheme="minorEastAsia" w:hAnsiTheme="minorEastAsia" w:eastAsiaTheme="minorEastAsia" w:cstheme="minorEastAsia"/>
                <w:color w:val="auto"/>
                <w:szCs w:val="21"/>
                <w:lang w:val="zh-CN"/>
              </w:rPr>
            </w:pPr>
            <w:r>
              <w:rPr>
                <w:rFonts w:hint="eastAsia" w:asciiTheme="minorEastAsia" w:hAnsiTheme="minorEastAsia" w:eastAsiaTheme="minorEastAsia" w:cstheme="minorEastAsia"/>
                <w:color w:val="auto"/>
                <w:szCs w:val="21"/>
                <w:lang w:val="zh-CN"/>
              </w:rPr>
              <w:t>详见</w:t>
            </w:r>
            <w:r>
              <w:rPr>
                <w:rFonts w:hint="eastAsia" w:asciiTheme="minorEastAsia" w:hAnsiTheme="minorEastAsia" w:eastAsiaTheme="minorEastAsia" w:cstheme="minorEastAsia"/>
                <w:color w:val="auto"/>
                <w:szCs w:val="21"/>
              </w:rPr>
              <w:t>第一章第一款相关要求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72" w:hRule="atLeast"/>
          <w:jc w:val="center"/>
        </w:trPr>
        <w:tc>
          <w:tcPr>
            <w:tcW w:w="814" w:type="dxa"/>
            <w:vAlign w:val="center"/>
          </w:tcPr>
          <w:p>
            <w:pPr>
              <w:pStyle w:val="24"/>
              <w:widowControl w:val="0"/>
              <w:autoSpaceDE w:val="0"/>
              <w:autoSpaceDN w:val="0"/>
              <w:adjustRightInd w:val="0"/>
              <w:spacing w:before="31" w:beforeLines="10" w:beforeAutospacing="0" w:after="31" w:afterLines="10" w:afterAutospacing="0"/>
              <w:ind w:left="21" w:leftChars="10" w:right="21" w:rightChars="10"/>
              <w:jc w:val="center"/>
              <w:rPr>
                <w:rFonts w:hint="default" w:asciiTheme="minorEastAsia" w:hAnsiTheme="minorEastAsia" w:eastAsiaTheme="minorEastAsia" w:cstheme="minorEastAsia"/>
                <w:color w:val="auto"/>
                <w:kern w:val="2"/>
                <w:sz w:val="21"/>
                <w:szCs w:val="21"/>
                <w:lang w:val="zh-CN"/>
              </w:rPr>
            </w:pPr>
            <w:r>
              <w:rPr>
                <w:rFonts w:asciiTheme="minorEastAsia" w:hAnsiTheme="minorEastAsia" w:eastAsiaTheme="minorEastAsia" w:cstheme="minorEastAsia"/>
                <w:color w:val="auto"/>
                <w:kern w:val="2"/>
                <w:sz w:val="21"/>
                <w:szCs w:val="21"/>
                <w:lang w:val="zh-CN"/>
              </w:rPr>
              <w:t>12.1</w:t>
            </w:r>
          </w:p>
        </w:tc>
        <w:tc>
          <w:tcPr>
            <w:tcW w:w="2127" w:type="dxa"/>
            <w:vAlign w:val="center"/>
          </w:tcPr>
          <w:p>
            <w:pPr>
              <w:autoSpaceDE w:val="0"/>
              <w:autoSpaceDN w:val="0"/>
              <w:adjustRightInd w:val="0"/>
              <w:jc w:val="center"/>
              <w:rPr>
                <w:rFonts w:asciiTheme="minorEastAsia" w:hAnsiTheme="minorEastAsia" w:eastAsiaTheme="minorEastAsia" w:cstheme="minorEastAsia"/>
                <w:snapToGrid w:val="0"/>
                <w:color w:val="auto"/>
                <w:kern w:val="0"/>
                <w:szCs w:val="21"/>
                <w:lang w:val="zh-CN"/>
              </w:rPr>
            </w:pPr>
            <w:r>
              <w:rPr>
                <w:rFonts w:hint="eastAsia" w:asciiTheme="minorEastAsia" w:hAnsiTheme="minorEastAsia" w:eastAsiaTheme="minorEastAsia" w:cstheme="minorEastAsia"/>
                <w:snapToGrid w:val="0"/>
                <w:color w:val="auto"/>
                <w:kern w:val="0"/>
                <w:szCs w:val="21"/>
                <w:lang w:val="zh-CN"/>
              </w:rPr>
              <w:t>备选方案</w:t>
            </w:r>
          </w:p>
        </w:tc>
        <w:tc>
          <w:tcPr>
            <w:tcW w:w="6130" w:type="dxa"/>
            <w:vAlign w:val="center"/>
          </w:tcPr>
          <w:p>
            <w:pPr>
              <w:autoSpaceDE w:val="0"/>
              <w:autoSpaceDN w:val="0"/>
              <w:adjustRightInd w:val="0"/>
              <w:jc w:val="left"/>
              <w:rPr>
                <w:rFonts w:asciiTheme="minorEastAsia" w:hAnsiTheme="minorEastAsia" w:eastAsiaTheme="minorEastAsia" w:cstheme="minorEastAsia"/>
                <w:color w:val="auto"/>
                <w:szCs w:val="21"/>
                <w:lang w:val="zh-CN"/>
              </w:rPr>
            </w:pPr>
            <w:r>
              <w:rPr>
                <w:rFonts w:hint="eastAsia" w:asciiTheme="minorEastAsia" w:hAnsiTheme="minorEastAsia" w:eastAsiaTheme="minorEastAsia" w:cstheme="minorEastAsia"/>
                <w:color w:val="auto"/>
                <w:szCs w:val="21"/>
                <w:lang w:val="zh-CN"/>
              </w:rPr>
              <w:t xml:space="preserve">本次采购  </w:t>
            </w:r>
            <w:r>
              <w:rPr>
                <w:rFonts w:hint="eastAsia" w:asciiTheme="minorEastAsia" w:hAnsiTheme="minorEastAsia" w:eastAsiaTheme="minorEastAsia" w:cstheme="minorEastAsia"/>
                <w:color w:val="auto"/>
                <w:szCs w:val="21"/>
                <w:u w:val="single"/>
                <w:lang w:val="zh-CN"/>
              </w:rPr>
              <w:t>不接受</w:t>
            </w:r>
            <w:r>
              <w:rPr>
                <w:rFonts w:hint="eastAsia" w:asciiTheme="minorEastAsia" w:hAnsiTheme="minorEastAsia" w:eastAsiaTheme="minorEastAsia" w:cstheme="minorEastAsia"/>
                <w:color w:val="auto"/>
                <w:szCs w:val="21"/>
                <w:lang w:val="zh-CN"/>
              </w:rPr>
              <w:t xml:space="preserve"> 备选方案。</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72" w:hRule="atLeast"/>
          <w:jc w:val="center"/>
        </w:trPr>
        <w:tc>
          <w:tcPr>
            <w:tcW w:w="814" w:type="dxa"/>
            <w:vAlign w:val="center"/>
          </w:tcPr>
          <w:p>
            <w:pPr>
              <w:pStyle w:val="24"/>
              <w:widowControl w:val="0"/>
              <w:autoSpaceDE w:val="0"/>
              <w:autoSpaceDN w:val="0"/>
              <w:adjustRightInd w:val="0"/>
              <w:spacing w:before="31" w:beforeLines="10" w:beforeAutospacing="0" w:after="31" w:afterLines="10" w:afterAutospacing="0"/>
              <w:ind w:left="21" w:leftChars="10" w:right="21" w:rightChars="10"/>
              <w:jc w:val="center"/>
              <w:rPr>
                <w:rFonts w:hint="default" w:asciiTheme="minorEastAsia" w:hAnsiTheme="minorEastAsia" w:eastAsiaTheme="minorEastAsia" w:cstheme="minorEastAsia"/>
                <w:color w:val="auto"/>
                <w:kern w:val="2"/>
                <w:sz w:val="21"/>
                <w:szCs w:val="21"/>
                <w:lang w:val="zh-CN"/>
              </w:rPr>
            </w:pPr>
            <w:r>
              <w:rPr>
                <w:rFonts w:asciiTheme="minorEastAsia" w:hAnsiTheme="minorEastAsia" w:eastAsiaTheme="minorEastAsia" w:cstheme="minorEastAsia"/>
                <w:color w:val="auto"/>
                <w:kern w:val="2"/>
                <w:sz w:val="21"/>
                <w:szCs w:val="21"/>
                <w:lang w:val="zh-CN"/>
              </w:rPr>
              <w:t>13.1</w:t>
            </w:r>
          </w:p>
        </w:tc>
        <w:tc>
          <w:tcPr>
            <w:tcW w:w="2127" w:type="dxa"/>
            <w:vAlign w:val="center"/>
          </w:tcPr>
          <w:p>
            <w:pPr>
              <w:autoSpaceDE w:val="0"/>
              <w:autoSpaceDN w:val="0"/>
              <w:adjustRightInd w:val="0"/>
              <w:spacing w:before="31" w:beforeLines="10" w:after="31" w:afterLines="10"/>
              <w:ind w:left="21" w:leftChars="10" w:right="21" w:rightChars="10"/>
              <w:jc w:val="center"/>
              <w:rPr>
                <w:rFonts w:asciiTheme="minorEastAsia" w:hAnsiTheme="minorEastAsia" w:eastAsiaTheme="minorEastAsia" w:cstheme="minorEastAsia"/>
                <w:snapToGrid w:val="0"/>
                <w:color w:val="auto"/>
                <w:kern w:val="0"/>
                <w:szCs w:val="21"/>
                <w:lang w:val="zh-CN"/>
              </w:rPr>
            </w:pPr>
            <w:r>
              <w:rPr>
                <w:rFonts w:hint="eastAsia" w:asciiTheme="minorEastAsia" w:hAnsiTheme="minorEastAsia" w:eastAsiaTheme="minorEastAsia" w:cstheme="minorEastAsia"/>
                <w:snapToGrid w:val="0"/>
                <w:color w:val="auto"/>
                <w:kern w:val="0"/>
                <w:szCs w:val="21"/>
                <w:lang w:val="zh-CN"/>
              </w:rPr>
              <w:t>联合体磋商</w:t>
            </w:r>
          </w:p>
        </w:tc>
        <w:tc>
          <w:tcPr>
            <w:tcW w:w="6130" w:type="dxa"/>
            <w:vAlign w:val="center"/>
          </w:tcPr>
          <w:p>
            <w:pPr>
              <w:autoSpaceDE w:val="0"/>
              <w:autoSpaceDN w:val="0"/>
              <w:adjustRightInd w:val="0"/>
              <w:jc w:val="left"/>
              <w:rPr>
                <w:rFonts w:asciiTheme="minorEastAsia" w:hAnsiTheme="minorEastAsia" w:eastAsiaTheme="minorEastAsia" w:cstheme="minorEastAsia"/>
                <w:color w:val="auto"/>
                <w:szCs w:val="21"/>
                <w:lang w:val="zh-CN"/>
              </w:rPr>
            </w:pPr>
            <w:r>
              <w:rPr>
                <w:rFonts w:hint="eastAsia" w:asciiTheme="minorEastAsia" w:hAnsiTheme="minorEastAsia" w:eastAsiaTheme="minorEastAsia" w:cstheme="minorEastAsia"/>
                <w:color w:val="auto"/>
                <w:szCs w:val="21"/>
                <w:lang w:val="zh-CN"/>
              </w:rPr>
              <w:t xml:space="preserve">本次采购  </w:t>
            </w:r>
            <w:r>
              <w:rPr>
                <w:rFonts w:hint="eastAsia" w:asciiTheme="minorEastAsia" w:hAnsiTheme="minorEastAsia" w:eastAsiaTheme="minorEastAsia" w:cstheme="minorEastAsia"/>
                <w:color w:val="auto"/>
                <w:szCs w:val="21"/>
                <w:u w:val="single"/>
                <w:lang w:val="zh-CN"/>
              </w:rPr>
              <w:t>不接受</w:t>
            </w:r>
            <w:r>
              <w:rPr>
                <w:rFonts w:hint="eastAsia" w:asciiTheme="minorEastAsia" w:hAnsiTheme="minorEastAsia" w:eastAsiaTheme="minorEastAsia" w:cstheme="minorEastAsia"/>
                <w:color w:val="auto"/>
                <w:szCs w:val="21"/>
                <w:lang w:val="zh-CN"/>
              </w:rPr>
              <w:t xml:space="preserve"> 联合体报价。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72" w:hRule="atLeast"/>
          <w:jc w:val="center"/>
        </w:trPr>
        <w:tc>
          <w:tcPr>
            <w:tcW w:w="814" w:type="dxa"/>
            <w:vAlign w:val="center"/>
          </w:tcPr>
          <w:p>
            <w:pPr>
              <w:autoSpaceDE w:val="0"/>
              <w:autoSpaceDN w:val="0"/>
              <w:adjustRightInd w:val="0"/>
              <w:jc w:val="center"/>
              <w:rPr>
                <w:rFonts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14.1</w:t>
            </w:r>
          </w:p>
        </w:tc>
        <w:tc>
          <w:tcPr>
            <w:tcW w:w="2127" w:type="dxa"/>
            <w:vAlign w:val="center"/>
          </w:tcPr>
          <w:p>
            <w:pPr>
              <w:autoSpaceDE w:val="0"/>
              <w:autoSpaceDN w:val="0"/>
              <w:adjustRightInd w:val="0"/>
              <w:jc w:val="center"/>
              <w:rPr>
                <w:rFonts w:asciiTheme="minorEastAsia" w:hAnsiTheme="minorEastAsia" w:eastAsiaTheme="minorEastAsia" w:cstheme="minorEastAsia"/>
                <w:color w:val="auto"/>
                <w:szCs w:val="21"/>
              </w:rPr>
            </w:pPr>
            <w:r>
              <w:rPr>
                <w:rFonts w:hint="eastAsia" w:asciiTheme="minorEastAsia" w:hAnsiTheme="minorEastAsia" w:eastAsiaTheme="minorEastAsia" w:cstheme="minorEastAsia"/>
                <w:b/>
                <w:bCs/>
                <w:color w:val="auto"/>
                <w:szCs w:val="21"/>
                <w:lang w:val="zh-CN"/>
              </w:rPr>
              <w:t>应提交的其它资格证明文件（实质性</w:t>
            </w:r>
            <w:r>
              <w:rPr>
                <w:rFonts w:hint="eastAsia" w:asciiTheme="minorEastAsia" w:hAnsiTheme="minorEastAsia" w:eastAsiaTheme="minorEastAsia" w:cstheme="minorEastAsia"/>
                <w:b/>
                <w:bCs/>
                <w:color w:val="auto"/>
                <w:szCs w:val="21"/>
              </w:rPr>
              <w:t>内容</w:t>
            </w:r>
            <w:r>
              <w:rPr>
                <w:rFonts w:hint="eastAsia" w:asciiTheme="minorEastAsia" w:hAnsiTheme="minorEastAsia" w:eastAsiaTheme="minorEastAsia" w:cstheme="minorEastAsia"/>
                <w:b/>
                <w:bCs/>
                <w:color w:val="auto"/>
                <w:szCs w:val="21"/>
                <w:lang w:val="zh-CN"/>
              </w:rPr>
              <w:t>要求）</w:t>
            </w:r>
          </w:p>
        </w:tc>
        <w:tc>
          <w:tcPr>
            <w:tcW w:w="6130" w:type="dxa"/>
            <w:vAlign w:val="center"/>
          </w:tcPr>
          <w:p>
            <w:pPr>
              <w:autoSpaceDE w:val="0"/>
              <w:autoSpaceDN w:val="0"/>
              <w:adjustRightInd w:val="0"/>
              <w:jc w:val="left"/>
              <w:rPr>
                <w:rFonts w:asciiTheme="minorEastAsia" w:hAnsiTheme="minorEastAsia" w:eastAsiaTheme="minorEastAsia" w:cstheme="minorEastAsia"/>
                <w:color w:val="auto"/>
                <w:szCs w:val="21"/>
                <w:lang w:val="zh-CN"/>
              </w:rPr>
            </w:pPr>
            <w:r>
              <w:rPr>
                <w:rFonts w:hint="eastAsia" w:asciiTheme="minorEastAsia" w:hAnsiTheme="minorEastAsia" w:eastAsiaTheme="minorEastAsia" w:cstheme="minorEastAsia"/>
                <w:color w:val="auto"/>
                <w:szCs w:val="21"/>
                <w:lang w:val="zh-CN"/>
              </w:rPr>
              <w:t>详见第一章《</w:t>
            </w:r>
            <w:r>
              <w:rPr>
                <w:rFonts w:hint="eastAsia" w:asciiTheme="minorEastAsia" w:hAnsiTheme="minorEastAsia" w:eastAsiaTheme="minorEastAsia" w:cstheme="minorEastAsia"/>
                <w:color w:val="auto"/>
                <w:szCs w:val="21"/>
              </w:rPr>
              <w:t>竞争性磋商</w:t>
            </w:r>
            <w:r>
              <w:rPr>
                <w:rFonts w:hint="eastAsia" w:asciiTheme="minorEastAsia" w:hAnsiTheme="minorEastAsia" w:eastAsiaTheme="minorEastAsia" w:cstheme="minorEastAsia"/>
                <w:color w:val="auto"/>
                <w:szCs w:val="21"/>
                <w:lang w:val="zh-CN"/>
              </w:rPr>
              <w:t>公告》第二款“资格要求”，须提供的证明文件包括但不限于：</w:t>
            </w:r>
          </w:p>
          <w:p>
            <w:pPr>
              <w:autoSpaceDE w:val="0"/>
              <w:autoSpaceDN w:val="0"/>
              <w:adjustRightInd w:val="0"/>
              <w:jc w:val="left"/>
              <w:rPr>
                <w:rFonts w:asciiTheme="minorEastAsia" w:hAnsiTheme="minorEastAsia" w:eastAsiaTheme="minorEastAsia" w:cstheme="minorEastAsia"/>
                <w:color w:val="auto"/>
                <w:szCs w:val="21"/>
                <w:lang w:val="zh-CN"/>
              </w:rPr>
            </w:pPr>
            <w:r>
              <w:rPr>
                <w:rFonts w:hint="eastAsia" w:asciiTheme="minorEastAsia" w:hAnsiTheme="minorEastAsia" w:eastAsiaTheme="minorEastAsia" w:cstheme="minorEastAsia"/>
                <w:color w:val="auto"/>
                <w:szCs w:val="21"/>
                <w:lang w:val="zh-CN"/>
              </w:rPr>
              <w:t>（</w:t>
            </w:r>
            <w:r>
              <w:rPr>
                <w:rFonts w:hint="eastAsia" w:asciiTheme="minorEastAsia" w:hAnsiTheme="minorEastAsia" w:eastAsiaTheme="minorEastAsia" w:cstheme="minorEastAsia"/>
                <w:color w:val="auto"/>
                <w:szCs w:val="21"/>
              </w:rPr>
              <w:t>1</w:t>
            </w:r>
            <w:r>
              <w:rPr>
                <w:rFonts w:hint="eastAsia" w:asciiTheme="minorEastAsia" w:hAnsiTheme="minorEastAsia" w:eastAsiaTheme="minorEastAsia" w:cstheme="minorEastAsia"/>
                <w:color w:val="auto"/>
                <w:szCs w:val="21"/>
                <w:lang w:val="zh-CN"/>
              </w:rPr>
              <w:t>）具有独立承担民事责任的能力；</w:t>
            </w:r>
          </w:p>
          <w:p>
            <w:pPr>
              <w:autoSpaceDE w:val="0"/>
              <w:autoSpaceDN w:val="0"/>
              <w:adjustRightInd w:val="0"/>
              <w:jc w:val="left"/>
              <w:rPr>
                <w:rFonts w:asciiTheme="minorEastAsia" w:hAnsiTheme="minorEastAsia" w:eastAsiaTheme="minorEastAsia" w:cstheme="minorEastAsia"/>
                <w:color w:val="auto"/>
                <w:szCs w:val="21"/>
                <w:lang w:val="zh-CN"/>
              </w:rPr>
            </w:pPr>
            <w:r>
              <w:rPr>
                <w:rFonts w:hint="eastAsia" w:asciiTheme="minorEastAsia" w:hAnsiTheme="minorEastAsia" w:eastAsiaTheme="minorEastAsia" w:cstheme="minorEastAsia"/>
                <w:color w:val="auto"/>
                <w:szCs w:val="21"/>
                <w:lang w:val="zh-CN"/>
              </w:rPr>
              <w:t>营业执照等证明文件或自然人的身份证明（如供应商是企业 （包括合伙企业），应提供在工商部门注册的有效“企业法人营业执照”或“营业执照”；如供应商是事业单位，应提供有效的“事业单位法人证书”；供应商是非企业专业服务机构的，应提供执业许可证等证明文件；如供应商是个体工商户，应提供有效的“个体工商户营业执照”；如供应商是自然人，应提供有效的自然人身份证明）。</w:t>
            </w:r>
          </w:p>
          <w:p>
            <w:pPr>
              <w:autoSpaceDE w:val="0"/>
              <w:autoSpaceDN w:val="0"/>
              <w:adjustRightInd w:val="0"/>
              <w:jc w:val="left"/>
              <w:rPr>
                <w:rFonts w:asciiTheme="minorEastAsia" w:hAnsiTheme="minorEastAsia" w:eastAsiaTheme="minorEastAsia" w:cstheme="minorEastAsia"/>
                <w:color w:val="auto"/>
                <w:szCs w:val="21"/>
                <w:lang w:val="zh-CN"/>
              </w:rPr>
            </w:pPr>
            <w:r>
              <w:rPr>
                <w:rFonts w:hint="eastAsia" w:asciiTheme="minorEastAsia" w:hAnsiTheme="minorEastAsia" w:eastAsiaTheme="minorEastAsia" w:cstheme="minorEastAsia"/>
                <w:color w:val="auto"/>
                <w:szCs w:val="21"/>
                <w:lang w:val="zh-CN"/>
              </w:rPr>
              <w:t>（</w:t>
            </w:r>
            <w:r>
              <w:rPr>
                <w:rFonts w:hint="eastAsia" w:asciiTheme="minorEastAsia" w:hAnsiTheme="minorEastAsia" w:eastAsiaTheme="minorEastAsia" w:cstheme="minorEastAsia"/>
                <w:color w:val="auto"/>
                <w:szCs w:val="21"/>
              </w:rPr>
              <w:t>2</w:t>
            </w:r>
            <w:r>
              <w:rPr>
                <w:rFonts w:hint="eastAsia" w:asciiTheme="minorEastAsia" w:hAnsiTheme="minorEastAsia" w:eastAsiaTheme="minorEastAsia" w:cstheme="minorEastAsia"/>
                <w:color w:val="auto"/>
                <w:szCs w:val="21"/>
                <w:lang w:val="zh-CN"/>
              </w:rPr>
              <w:t>）具有良好的商业信誉和健全的财务会计制度；</w:t>
            </w:r>
          </w:p>
          <w:p>
            <w:pPr>
              <w:autoSpaceDE w:val="0"/>
              <w:autoSpaceDN w:val="0"/>
              <w:adjustRightInd w:val="0"/>
              <w:jc w:val="left"/>
              <w:rPr>
                <w:rFonts w:asciiTheme="minorEastAsia" w:hAnsiTheme="minorEastAsia" w:eastAsiaTheme="minorEastAsia" w:cstheme="minorEastAsia"/>
                <w:color w:val="auto"/>
                <w:szCs w:val="21"/>
                <w:lang w:val="zh-CN"/>
              </w:rPr>
            </w:pPr>
            <w:r>
              <w:rPr>
                <w:rFonts w:hint="eastAsia" w:asciiTheme="minorEastAsia" w:hAnsiTheme="minorEastAsia" w:eastAsiaTheme="minorEastAsia" w:cstheme="minorEastAsia"/>
                <w:color w:val="auto"/>
                <w:szCs w:val="21"/>
                <w:lang w:val="zh-CN"/>
              </w:rPr>
              <w:t>良好的商业信誉证明材料（自拟），财务会计制度指上一年度经第三方审计的财务报告，部分其他组织和自然人，没有财务报告，</w:t>
            </w:r>
            <w:r>
              <w:rPr>
                <w:rFonts w:hint="eastAsia" w:asciiTheme="minorEastAsia" w:hAnsiTheme="minorEastAsia" w:eastAsiaTheme="minorEastAsia" w:cstheme="minorEastAsia"/>
                <w:color w:val="auto"/>
                <w:szCs w:val="21"/>
              </w:rPr>
              <w:t>可以</w:t>
            </w:r>
            <w:r>
              <w:rPr>
                <w:rFonts w:hint="eastAsia" w:asciiTheme="minorEastAsia" w:hAnsiTheme="minorEastAsia" w:eastAsiaTheme="minorEastAsia" w:cstheme="minorEastAsia"/>
                <w:color w:val="auto"/>
                <w:szCs w:val="21"/>
                <w:lang w:val="zh-CN"/>
              </w:rPr>
              <w:t>提供银行出具的资信证明（银行资信证明应能说明该供应商与银行之间业务往来正常，企业信誉良好等。银行出具的单纯的存款证明不能视作银行资信证明。下同）。由财政部门认可的政府采购专业担保机构对供应商进行资信审查后出具投标担保函的，可以不用提供</w:t>
            </w:r>
            <w:r>
              <w:rPr>
                <w:rFonts w:hint="eastAsia" w:asciiTheme="minorEastAsia" w:hAnsiTheme="minorEastAsia" w:eastAsiaTheme="minorEastAsia" w:cstheme="minorEastAsia"/>
                <w:color w:val="auto"/>
                <w:szCs w:val="21"/>
              </w:rPr>
              <w:t>财务会计制度对应的相关内容</w:t>
            </w:r>
            <w:r>
              <w:rPr>
                <w:rFonts w:hint="eastAsia" w:asciiTheme="minorEastAsia" w:hAnsiTheme="minorEastAsia" w:eastAsiaTheme="minorEastAsia" w:cstheme="minorEastAsia"/>
                <w:color w:val="auto"/>
                <w:szCs w:val="21"/>
                <w:lang w:val="zh-CN"/>
              </w:rPr>
              <w:t>。</w:t>
            </w:r>
          </w:p>
          <w:p>
            <w:pPr>
              <w:autoSpaceDE w:val="0"/>
              <w:autoSpaceDN w:val="0"/>
              <w:adjustRightInd w:val="0"/>
              <w:jc w:val="left"/>
              <w:rPr>
                <w:rFonts w:asciiTheme="minorEastAsia" w:hAnsiTheme="minorEastAsia" w:eastAsiaTheme="minorEastAsia" w:cstheme="minorEastAsia"/>
                <w:color w:val="auto"/>
                <w:szCs w:val="21"/>
                <w:lang w:val="zh-CN"/>
              </w:rPr>
            </w:pPr>
            <w:r>
              <w:rPr>
                <w:rFonts w:hint="eastAsia" w:asciiTheme="minorEastAsia" w:hAnsiTheme="minorEastAsia" w:eastAsiaTheme="minorEastAsia" w:cstheme="minorEastAsia"/>
                <w:color w:val="auto"/>
                <w:szCs w:val="21"/>
                <w:lang w:val="zh-CN"/>
              </w:rPr>
              <w:t>（</w:t>
            </w:r>
            <w:r>
              <w:rPr>
                <w:rFonts w:hint="eastAsia" w:asciiTheme="minorEastAsia" w:hAnsiTheme="minorEastAsia" w:eastAsiaTheme="minorEastAsia" w:cstheme="minorEastAsia"/>
                <w:color w:val="auto"/>
                <w:szCs w:val="21"/>
              </w:rPr>
              <w:t>3</w:t>
            </w:r>
            <w:r>
              <w:rPr>
                <w:rFonts w:hint="eastAsia" w:asciiTheme="minorEastAsia" w:hAnsiTheme="minorEastAsia" w:eastAsiaTheme="minorEastAsia" w:cstheme="minorEastAsia"/>
                <w:color w:val="auto"/>
                <w:szCs w:val="21"/>
                <w:lang w:val="zh-CN"/>
              </w:rPr>
              <w:t>）具有履行合同所必需的设备和专业技术能力的证明材料；（自拟）</w:t>
            </w:r>
          </w:p>
          <w:p>
            <w:pPr>
              <w:autoSpaceDE w:val="0"/>
              <w:autoSpaceDN w:val="0"/>
              <w:adjustRightInd w:val="0"/>
              <w:jc w:val="left"/>
              <w:rPr>
                <w:rFonts w:asciiTheme="minorEastAsia" w:hAnsiTheme="minorEastAsia" w:eastAsiaTheme="minorEastAsia" w:cstheme="minorEastAsia"/>
                <w:color w:val="auto"/>
                <w:szCs w:val="21"/>
                <w:lang w:val="zh-CN"/>
              </w:rPr>
            </w:pPr>
            <w:r>
              <w:rPr>
                <w:rFonts w:hint="eastAsia" w:asciiTheme="minorEastAsia" w:hAnsiTheme="minorEastAsia" w:eastAsiaTheme="minorEastAsia" w:cstheme="minorEastAsia"/>
                <w:color w:val="auto"/>
                <w:szCs w:val="21"/>
                <w:lang w:val="zh-CN"/>
              </w:rPr>
              <w:t>（</w:t>
            </w:r>
            <w:r>
              <w:rPr>
                <w:rFonts w:hint="eastAsia" w:asciiTheme="minorEastAsia" w:hAnsiTheme="minorEastAsia" w:eastAsiaTheme="minorEastAsia" w:cstheme="minorEastAsia"/>
                <w:color w:val="auto"/>
                <w:szCs w:val="21"/>
              </w:rPr>
              <w:t>4</w:t>
            </w:r>
            <w:r>
              <w:rPr>
                <w:rFonts w:hint="eastAsia" w:asciiTheme="minorEastAsia" w:hAnsiTheme="minorEastAsia" w:eastAsiaTheme="minorEastAsia" w:cstheme="minorEastAsia"/>
                <w:color w:val="auto"/>
                <w:szCs w:val="21"/>
                <w:lang w:val="zh-CN"/>
              </w:rPr>
              <w:t>）具有依法缴纳税收和社会保障资金的良好记录：1）供应商依法缴纳税收的证明材料：递交响应文件截止时间往前推算</w:t>
            </w:r>
            <w:r>
              <w:rPr>
                <w:rFonts w:hint="eastAsia" w:asciiTheme="minorEastAsia" w:hAnsiTheme="minorEastAsia" w:eastAsiaTheme="minorEastAsia" w:cstheme="minorEastAsia"/>
                <w:color w:val="auto"/>
                <w:szCs w:val="21"/>
              </w:rPr>
              <w:t>六个月</w:t>
            </w:r>
            <w:r>
              <w:rPr>
                <w:rFonts w:hint="eastAsia" w:asciiTheme="minorEastAsia" w:hAnsiTheme="minorEastAsia" w:eastAsiaTheme="minorEastAsia" w:cstheme="minorEastAsia"/>
                <w:color w:val="auto"/>
                <w:szCs w:val="21"/>
                <w:lang w:val="zh-CN"/>
              </w:rPr>
              <w:t>以来</w:t>
            </w:r>
            <w:r>
              <w:rPr>
                <w:rFonts w:hint="eastAsia" w:asciiTheme="minorEastAsia" w:hAnsiTheme="minorEastAsia" w:eastAsiaTheme="minorEastAsia" w:cstheme="minorEastAsia"/>
                <w:color w:val="auto"/>
                <w:szCs w:val="21"/>
              </w:rPr>
              <w:t>至少</w:t>
            </w:r>
            <w:r>
              <w:rPr>
                <w:rFonts w:hint="eastAsia" w:asciiTheme="minorEastAsia" w:hAnsiTheme="minorEastAsia" w:eastAsiaTheme="minorEastAsia" w:cstheme="minorEastAsia"/>
                <w:color w:val="auto"/>
                <w:szCs w:val="21"/>
                <w:lang w:val="zh-CN"/>
              </w:rPr>
              <w:t>任意连续三个月缴纳税收的凭据（完税证明、缴款书、银行代扣（代缴）转账凭证等均可）；2）供应商依法缴纳社会保障资金的证明材料：递交响应文件截止时间往前推算</w:t>
            </w:r>
            <w:r>
              <w:rPr>
                <w:rFonts w:hint="eastAsia" w:asciiTheme="minorEastAsia" w:hAnsiTheme="minorEastAsia" w:eastAsiaTheme="minorEastAsia" w:cstheme="minorEastAsia"/>
                <w:color w:val="auto"/>
                <w:szCs w:val="21"/>
              </w:rPr>
              <w:t>六个月</w:t>
            </w:r>
            <w:r>
              <w:rPr>
                <w:rFonts w:hint="eastAsia" w:asciiTheme="minorEastAsia" w:hAnsiTheme="minorEastAsia" w:eastAsiaTheme="minorEastAsia" w:cstheme="minorEastAsia"/>
                <w:color w:val="auto"/>
                <w:szCs w:val="21"/>
                <w:lang w:val="zh-CN"/>
              </w:rPr>
              <w:t>以来</w:t>
            </w:r>
            <w:r>
              <w:rPr>
                <w:rFonts w:hint="eastAsia" w:asciiTheme="minorEastAsia" w:hAnsiTheme="minorEastAsia" w:eastAsiaTheme="minorEastAsia" w:cstheme="minorEastAsia"/>
                <w:color w:val="auto"/>
                <w:szCs w:val="21"/>
              </w:rPr>
              <w:t>至少</w:t>
            </w:r>
            <w:r>
              <w:rPr>
                <w:rFonts w:hint="eastAsia" w:asciiTheme="minorEastAsia" w:hAnsiTheme="minorEastAsia" w:eastAsiaTheme="minorEastAsia" w:cstheme="minorEastAsia"/>
                <w:color w:val="auto"/>
                <w:szCs w:val="21"/>
                <w:lang w:val="zh-CN"/>
              </w:rPr>
              <w:t>任意连续三个月缴纳社会保险的凭据（专用发票或社会保险缴纳清单）；3）供应商为其他组织或自然人的，也需要按此项规定提供缴纳税收的凭据和缴纳社会保险的凭据；4）递交响应文件截止时间当月成立但因税务机关原因导致其尚未依法缴纳税收的供应商，提供依法缴纳税收承诺书原件（格式自拟），该承诺书视同税收缴纳凭据。5）递交响应文件截止时间当月成立但因社会保障资金管理机关原因导致其尚未依法缴纳社会保障资金的供应商，提供依法缴纳社会保障资金承诺书原件（格式自拟），该承诺书视同社会保险凭据。6）依法免税或不需要缴纳社会保障资金的供应商，应提供相应文件证明其依法免税或不需要缴纳社会保障资金。</w:t>
            </w:r>
          </w:p>
          <w:p>
            <w:pPr>
              <w:autoSpaceDE w:val="0"/>
              <w:autoSpaceDN w:val="0"/>
              <w:adjustRightInd w:val="0"/>
              <w:jc w:val="left"/>
              <w:rPr>
                <w:rFonts w:asciiTheme="minorEastAsia" w:hAnsiTheme="minorEastAsia" w:eastAsiaTheme="minorEastAsia" w:cstheme="minorEastAsia"/>
                <w:color w:val="auto"/>
                <w:szCs w:val="21"/>
                <w:lang w:val="zh-CN"/>
              </w:rPr>
            </w:pPr>
            <w:r>
              <w:rPr>
                <w:rFonts w:hint="eastAsia" w:asciiTheme="minorEastAsia" w:hAnsiTheme="minorEastAsia" w:eastAsiaTheme="minorEastAsia" w:cstheme="minorEastAsia"/>
                <w:color w:val="auto"/>
                <w:szCs w:val="21"/>
                <w:lang w:val="zh-CN"/>
              </w:rPr>
              <w:t>（</w:t>
            </w:r>
            <w:r>
              <w:rPr>
                <w:rFonts w:hint="eastAsia" w:asciiTheme="minorEastAsia" w:hAnsiTheme="minorEastAsia" w:eastAsiaTheme="minorEastAsia" w:cstheme="minorEastAsia"/>
                <w:color w:val="auto"/>
                <w:szCs w:val="21"/>
              </w:rPr>
              <w:t>5</w:t>
            </w:r>
            <w:r>
              <w:rPr>
                <w:rFonts w:hint="eastAsia" w:asciiTheme="minorEastAsia" w:hAnsiTheme="minorEastAsia" w:eastAsiaTheme="minorEastAsia" w:cstheme="minorEastAsia"/>
                <w:color w:val="auto"/>
                <w:szCs w:val="21"/>
                <w:lang w:val="zh-CN"/>
              </w:rPr>
              <w:t>）参加政府采购活动前三年内，在经营活动中没有重大违法记录；（提供书面声明）（重大违法记录是指供应商因违法经营受到刑事处罚或者责令停产停业、吊销许可证或者执照、较大数额罚款等行政处罚）</w:t>
            </w:r>
          </w:p>
          <w:p>
            <w:pPr>
              <w:autoSpaceDE w:val="0"/>
              <w:autoSpaceDN w:val="0"/>
              <w:adjustRightInd w:val="0"/>
              <w:jc w:val="left"/>
              <w:rPr>
                <w:rFonts w:asciiTheme="minorEastAsia" w:hAnsiTheme="minorEastAsia" w:eastAsiaTheme="minorEastAsia" w:cstheme="minorEastAsia"/>
                <w:b/>
                <w:bCs/>
                <w:color w:val="auto"/>
                <w:szCs w:val="21"/>
                <w:lang w:val="zh-CN"/>
              </w:rPr>
            </w:pPr>
            <w:r>
              <w:rPr>
                <w:rFonts w:hint="eastAsia" w:asciiTheme="minorEastAsia" w:hAnsiTheme="minorEastAsia" w:eastAsiaTheme="minorEastAsia" w:cstheme="minorEastAsia"/>
                <w:b/>
                <w:bCs/>
                <w:color w:val="auto"/>
                <w:szCs w:val="21"/>
                <w:lang w:val="zh-CN"/>
              </w:rPr>
              <w:t>（</w:t>
            </w:r>
            <w:r>
              <w:rPr>
                <w:rFonts w:hint="eastAsia" w:asciiTheme="minorEastAsia" w:hAnsiTheme="minorEastAsia" w:eastAsiaTheme="minorEastAsia" w:cstheme="minorEastAsia"/>
                <w:b/>
                <w:bCs/>
                <w:color w:val="auto"/>
                <w:szCs w:val="21"/>
              </w:rPr>
              <w:t>6</w:t>
            </w:r>
            <w:r>
              <w:rPr>
                <w:rFonts w:hint="eastAsia" w:asciiTheme="minorEastAsia" w:hAnsiTheme="minorEastAsia" w:eastAsiaTheme="minorEastAsia" w:cstheme="minorEastAsia"/>
                <w:b/>
                <w:bCs/>
                <w:color w:val="auto"/>
                <w:szCs w:val="21"/>
                <w:lang w:val="zh-CN"/>
              </w:rPr>
              <w:t>）符合本文件第一章第二款资格要求的所有证明资料。</w:t>
            </w:r>
          </w:p>
          <w:p>
            <w:pPr>
              <w:autoSpaceDE w:val="0"/>
              <w:autoSpaceDN w:val="0"/>
              <w:adjustRightInd w:val="0"/>
              <w:jc w:val="left"/>
              <w:rPr>
                <w:rFonts w:asciiTheme="minorEastAsia" w:hAnsiTheme="minorEastAsia" w:eastAsiaTheme="minorEastAsia" w:cstheme="minorEastAsia"/>
                <w:color w:val="auto"/>
                <w:szCs w:val="21"/>
                <w:lang w:val="zh-CN"/>
              </w:rPr>
            </w:pPr>
            <w:r>
              <w:rPr>
                <w:rFonts w:hint="eastAsia" w:asciiTheme="minorEastAsia" w:hAnsiTheme="minorEastAsia" w:eastAsiaTheme="minorEastAsia" w:cstheme="minorEastAsia"/>
                <w:b/>
                <w:bCs/>
                <w:color w:val="auto"/>
                <w:szCs w:val="21"/>
                <w:lang w:val="zh-CN"/>
              </w:rPr>
              <w:t>注：除上述要求的资格证明文件外，如国家法律法规对市场准入有要求的还应提交相关资格证明文件。所有证书、证明文件包括按要求提供的官网截图必须是真实可查证的，须注明资料来源。资格证明文件应为原件清晰的扫描件），副本可用正本的复印件。所有证明材料须清晰可辨认，如因证明材料模糊无法辨认，缺页、漏页导致无法进行评审认定的，责任由供应商自负。如发现弄虚作假将按照有关规定严肃处理。证明材料仅限于投标单位本身，参股或控股单位及独立法人子公司的材料不能作为证明材料，但投标单位兼并的企业的材料可作为证明材料。</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72" w:hRule="atLeast"/>
          <w:jc w:val="center"/>
        </w:trPr>
        <w:tc>
          <w:tcPr>
            <w:tcW w:w="814" w:type="dxa"/>
            <w:vAlign w:val="center"/>
          </w:tcPr>
          <w:p>
            <w:pPr>
              <w:pStyle w:val="24"/>
              <w:widowControl w:val="0"/>
              <w:autoSpaceDE w:val="0"/>
              <w:autoSpaceDN w:val="0"/>
              <w:adjustRightInd w:val="0"/>
              <w:spacing w:before="31" w:beforeLines="10" w:beforeAutospacing="0" w:after="31" w:afterLines="10" w:afterAutospacing="0"/>
              <w:ind w:left="21" w:leftChars="10" w:right="21" w:rightChars="10"/>
              <w:jc w:val="center"/>
              <w:rPr>
                <w:rFonts w:hint="default" w:asciiTheme="minorEastAsia" w:hAnsiTheme="minorEastAsia" w:eastAsiaTheme="minorEastAsia" w:cstheme="minorEastAsia"/>
                <w:color w:val="auto"/>
                <w:kern w:val="2"/>
                <w:sz w:val="21"/>
                <w:szCs w:val="21"/>
                <w:lang w:val="zh-CN"/>
              </w:rPr>
            </w:pPr>
            <w:r>
              <w:rPr>
                <w:rFonts w:asciiTheme="minorEastAsia" w:hAnsiTheme="minorEastAsia" w:eastAsiaTheme="minorEastAsia" w:cstheme="minorEastAsia"/>
                <w:color w:val="auto"/>
                <w:kern w:val="2"/>
                <w:sz w:val="21"/>
                <w:szCs w:val="21"/>
                <w:lang w:val="zh-CN"/>
              </w:rPr>
              <w:t>15.1</w:t>
            </w:r>
          </w:p>
        </w:tc>
        <w:tc>
          <w:tcPr>
            <w:tcW w:w="2127" w:type="dxa"/>
            <w:vAlign w:val="center"/>
          </w:tcPr>
          <w:p>
            <w:pPr>
              <w:autoSpaceDE w:val="0"/>
              <w:autoSpaceDN w:val="0"/>
              <w:adjustRightInd w:val="0"/>
              <w:jc w:val="center"/>
              <w:rPr>
                <w:rFonts w:asciiTheme="minorEastAsia" w:hAnsiTheme="minorEastAsia" w:eastAsiaTheme="minorEastAsia" w:cstheme="minorEastAsia"/>
                <w:color w:val="auto"/>
                <w:szCs w:val="21"/>
              </w:rPr>
            </w:pPr>
            <w:r>
              <w:rPr>
                <w:rFonts w:hint="eastAsia" w:asciiTheme="minorEastAsia" w:hAnsiTheme="minorEastAsia" w:eastAsiaTheme="minorEastAsia" w:cstheme="minorEastAsia"/>
                <w:snapToGrid w:val="0"/>
                <w:color w:val="auto"/>
                <w:kern w:val="0"/>
                <w:szCs w:val="21"/>
                <w:lang w:val="zh-CN"/>
              </w:rPr>
              <w:t>证明响应内容符合竞争性磋商采购文件要求的文件和竞争性磋商采购文件规定的其他资料</w:t>
            </w:r>
          </w:p>
        </w:tc>
        <w:tc>
          <w:tcPr>
            <w:tcW w:w="6130" w:type="dxa"/>
            <w:vAlign w:val="center"/>
          </w:tcPr>
          <w:p>
            <w:pPr>
              <w:jc w:val="left"/>
              <w:rPr>
                <w:rFonts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证明满足磋商文件第三章中技术要求及商务要求的所有相关规定的相关内容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227" w:hRule="atLeast"/>
          <w:jc w:val="center"/>
        </w:trPr>
        <w:tc>
          <w:tcPr>
            <w:tcW w:w="814" w:type="dxa"/>
            <w:vAlign w:val="center"/>
          </w:tcPr>
          <w:p>
            <w:pPr>
              <w:pStyle w:val="24"/>
              <w:widowControl w:val="0"/>
              <w:autoSpaceDE w:val="0"/>
              <w:autoSpaceDN w:val="0"/>
              <w:adjustRightInd w:val="0"/>
              <w:spacing w:before="31" w:beforeLines="10" w:beforeAutospacing="0" w:after="31" w:afterLines="10" w:afterAutospacing="0"/>
              <w:ind w:left="21" w:leftChars="10" w:right="21" w:rightChars="10"/>
              <w:jc w:val="center"/>
              <w:rPr>
                <w:rFonts w:hint="default" w:asciiTheme="minorEastAsia" w:hAnsiTheme="minorEastAsia" w:eastAsiaTheme="minorEastAsia" w:cstheme="minorEastAsia"/>
                <w:color w:val="auto"/>
                <w:kern w:val="2"/>
                <w:sz w:val="21"/>
                <w:szCs w:val="21"/>
                <w:lang w:val="zh-CN"/>
              </w:rPr>
            </w:pPr>
            <w:r>
              <w:rPr>
                <w:rFonts w:asciiTheme="minorEastAsia" w:hAnsiTheme="minorEastAsia" w:eastAsiaTheme="minorEastAsia" w:cstheme="minorEastAsia"/>
                <w:color w:val="auto"/>
                <w:kern w:val="2"/>
                <w:sz w:val="21"/>
                <w:szCs w:val="21"/>
                <w:lang w:val="zh-CN"/>
              </w:rPr>
              <w:t>16.1</w:t>
            </w:r>
          </w:p>
        </w:tc>
        <w:tc>
          <w:tcPr>
            <w:tcW w:w="2127" w:type="dxa"/>
            <w:vAlign w:val="center"/>
          </w:tcPr>
          <w:p>
            <w:pPr>
              <w:autoSpaceDE w:val="0"/>
              <w:autoSpaceDN w:val="0"/>
              <w:adjustRightInd w:val="0"/>
              <w:spacing w:before="31" w:beforeLines="10" w:after="31" w:afterLines="10"/>
              <w:ind w:left="21" w:leftChars="10" w:right="21" w:rightChars="10"/>
              <w:jc w:val="center"/>
              <w:rPr>
                <w:rFonts w:asciiTheme="minorEastAsia" w:hAnsiTheme="minorEastAsia" w:eastAsiaTheme="minorEastAsia" w:cstheme="minorEastAsia"/>
                <w:snapToGrid w:val="0"/>
                <w:color w:val="auto"/>
                <w:kern w:val="0"/>
                <w:szCs w:val="21"/>
                <w:lang w:val="zh-CN"/>
              </w:rPr>
            </w:pPr>
            <w:r>
              <w:rPr>
                <w:rFonts w:hint="eastAsia" w:asciiTheme="minorEastAsia" w:hAnsiTheme="minorEastAsia" w:eastAsiaTheme="minorEastAsia" w:cstheme="minorEastAsia"/>
                <w:snapToGrid w:val="0"/>
                <w:color w:val="auto"/>
                <w:kern w:val="0"/>
                <w:szCs w:val="21"/>
                <w:lang w:val="zh-CN"/>
              </w:rPr>
              <w:t>磋商保证金金额、递交方式、时间及接受磋商保证金的帐户信息</w:t>
            </w:r>
            <w:r>
              <w:rPr>
                <w:rFonts w:hint="eastAsia" w:asciiTheme="minorEastAsia" w:hAnsiTheme="minorEastAsia" w:eastAsiaTheme="minorEastAsia" w:cstheme="minorEastAsia"/>
                <w:b/>
                <w:bCs/>
                <w:snapToGrid w:val="0"/>
                <w:color w:val="auto"/>
                <w:kern w:val="0"/>
                <w:szCs w:val="21"/>
                <w:lang w:val="zh-CN"/>
              </w:rPr>
              <w:t>（</w:t>
            </w:r>
            <w:r>
              <w:rPr>
                <w:rFonts w:hint="eastAsia" w:asciiTheme="minorEastAsia" w:hAnsiTheme="minorEastAsia" w:eastAsiaTheme="minorEastAsia" w:cstheme="minorEastAsia"/>
                <w:b/>
                <w:bCs/>
                <w:snapToGrid w:val="0"/>
                <w:color w:val="auto"/>
                <w:kern w:val="0"/>
                <w:szCs w:val="21"/>
              </w:rPr>
              <w:t>本项目不适用</w:t>
            </w:r>
            <w:r>
              <w:rPr>
                <w:rFonts w:hint="eastAsia" w:asciiTheme="minorEastAsia" w:hAnsiTheme="minorEastAsia" w:eastAsiaTheme="minorEastAsia" w:cstheme="minorEastAsia"/>
                <w:b/>
                <w:bCs/>
                <w:snapToGrid w:val="0"/>
                <w:color w:val="auto"/>
                <w:kern w:val="0"/>
                <w:szCs w:val="21"/>
                <w:lang w:val="zh-CN"/>
              </w:rPr>
              <w:t>）</w:t>
            </w:r>
          </w:p>
        </w:tc>
        <w:tc>
          <w:tcPr>
            <w:tcW w:w="6130" w:type="dxa"/>
            <w:vAlign w:val="center"/>
          </w:tcPr>
          <w:p>
            <w:pPr>
              <w:ind w:right="256" w:rightChars="122"/>
              <w:jc w:val="left"/>
              <w:rPr>
                <w:rFonts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金    额：/</w:t>
            </w:r>
          </w:p>
          <w:p>
            <w:pPr>
              <w:ind w:right="256" w:rightChars="122"/>
              <w:jc w:val="left"/>
              <w:rPr>
                <w:rFonts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户    名：中经国际招标集团有限公司湖北分公司</w:t>
            </w:r>
          </w:p>
          <w:p>
            <w:pPr>
              <w:ind w:right="256" w:rightChars="122"/>
              <w:jc w:val="left"/>
              <w:rPr>
                <w:rFonts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开户银行：中国农业银行股份有限公司武汉岳家嘴支行</w:t>
            </w:r>
          </w:p>
          <w:p>
            <w:pPr>
              <w:ind w:right="256" w:rightChars="122"/>
              <w:jc w:val="left"/>
              <w:rPr>
                <w:rFonts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帐    号：17053001040009288</w:t>
            </w:r>
          </w:p>
          <w:p>
            <w:pPr>
              <w:ind w:right="256" w:rightChars="122"/>
              <w:jc w:val="left"/>
              <w:rPr>
                <w:rFonts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注：</w:t>
            </w:r>
            <w:r>
              <w:rPr>
                <w:color w:val="auto"/>
              </w:rPr>
              <w:fldChar w:fldCharType="begin"/>
            </w:r>
            <w:r>
              <w:rPr>
                <w:color w:val="auto"/>
              </w:rPr>
              <w:instrText xml:space="preserve"> HYPERLINK "mailto:投标人交纳投标保证金必须从投标人的基本帐户以支票、汇票、本票、电汇或者金融机构、担保机构出具的保函等非现金形式一次性汇至中经国际招标集团有限公司湖北分公司专用账户,截止时间为递交响应文件截止时间。成交供应商签订合同后须将合同扫描件（PDF版）发送至2102252595@qq.com邮箱备案后方可退还保证金。" </w:instrText>
            </w:r>
            <w:r>
              <w:rPr>
                <w:color w:val="auto"/>
              </w:rPr>
              <w:fldChar w:fldCharType="separate"/>
            </w:r>
            <w:r>
              <w:rPr>
                <w:rFonts w:hint="eastAsia" w:asciiTheme="minorEastAsia" w:hAnsiTheme="minorEastAsia" w:eastAsiaTheme="minorEastAsia" w:cstheme="minorEastAsia"/>
                <w:color w:val="auto"/>
                <w:szCs w:val="21"/>
              </w:rPr>
              <w:t>供应商缴纳投标保证金必须从供应商的基本帐户以支票、汇票、本票、电汇或者金融机构、担保机构出具的保函等非现金形式一次性汇至中经国际招标集团有限公司湖北分公司专用账户,截止时间为递交响应文件截止时间，以采购代理公司银行到账信息为准。成交供应商签订合同后须将合同扫描件（PDF版）发送至2102252595@qq.com邮箱备案后方可退还保证金。</w:t>
            </w:r>
            <w:r>
              <w:rPr>
                <w:rFonts w:asciiTheme="minorEastAsia" w:hAnsiTheme="minorEastAsia" w:eastAsiaTheme="minorEastAsia" w:cstheme="minorEastAsia"/>
                <w:color w:val="auto"/>
                <w:szCs w:val="21"/>
              </w:rPr>
              <w:fldChar w:fldCharType="end"/>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72" w:hRule="atLeast"/>
          <w:jc w:val="center"/>
        </w:trPr>
        <w:tc>
          <w:tcPr>
            <w:tcW w:w="814" w:type="dxa"/>
            <w:vAlign w:val="center"/>
          </w:tcPr>
          <w:p>
            <w:pPr>
              <w:pStyle w:val="24"/>
              <w:widowControl w:val="0"/>
              <w:autoSpaceDE w:val="0"/>
              <w:autoSpaceDN w:val="0"/>
              <w:adjustRightInd w:val="0"/>
              <w:spacing w:before="31" w:beforeLines="10" w:beforeAutospacing="0" w:after="31" w:afterLines="10" w:afterAutospacing="0"/>
              <w:ind w:left="21" w:leftChars="10" w:right="21" w:rightChars="10"/>
              <w:jc w:val="center"/>
              <w:rPr>
                <w:rFonts w:hint="default" w:asciiTheme="minorEastAsia" w:hAnsiTheme="minorEastAsia" w:eastAsiaTheme="minorEastAsia" w:cstheme="minorEastAsia"/>
                <w:color w:val="auto"/>
                <w:kern w:val="2"/>
                <w:sz w:val="21"/>
                <w:szCs w:val="21"/>
                <w:lang w:val="zh-CN"/>
              </w:rPr>
            </w:pPr>
            <w:r>
              <w:rPr>
                <w:rFonts w:asciiTheme="minorEastAsia" w:hAnsiTheme="minorEastAsia" w:eastAsiaTheme="minorEastAsia" w:cstheme="minorEastAsia"/>
                <w:color w:val="auto"/>
                <w:kern w:val="2"/>
                <w:sz w:val="21"/>
                <w:szCs w:val="21"/>
                <w:lang w:val="zh-CN"/>
              </w:rPr>
              <w:t>17.1</w:t>
            </w:r>
          </w:p>
        </w:tc>
        <w:tc>
          <w:tcPr>
            <w:tcW w:w="2127" w:type="dxa"/>
            <w:vAlign w:val="center"/>
          </w:tcPr>
          <w:p>
            <w:pPr>
              <w:autoSpaceDE w:val="0"/>
              <w:autoSpaceDN w:val="0"/>
              <w:adjustRightInd w:val="0"/>
              <w:spacing w:before="31" w:beforeLines="10" w:after="31" w:afterLines="10"/>
              <w:ind w:left="21" w:leftChars="10" w:right="21" w:rightChars="10"/>
              <w:jc w:val="center"/>
              <w:rPr>
                <w:rFonts w:asciiTheme="minorEastAsia" w:hAnsiTheme="minorEastAsia" w:eastAsiaTheme="minorEastAsia" w:cstheme="minorEastAsia"/>
                <w:snapToGrid w:val="0"/>
                <w:color w:val="auto"/>
                <w:kern w:val="0"/>
                <w:szCs w:val="21"/>
                <w:lang w:val="zh-CN"/>
              </w:rPr>
            </w:pPr>
            <w:r>
              <w:rPr>
                <w:rFonts w:hint="eastAsia" w:asciiTheme="minorEastAsia" w:hAnsiTheme="minorEastAsia" w:eastAsiaTheme="minorEastAsia" w:cstheme="minorEastAsia"/>
                <w:snapToGrid w:val="0"/>
                <w:color w:val="auto"/>
                <w:kern w:val="0"/>
                <w:szCs w:val="21"/>
                <w:lang w:val="zh-CN"/>
              </w:rPr>
              <w:t>磋商有效期</w:t>
            </w:r>
          </w:p>
        </w:tc>
        <w:tc>
          <w:tcPr>
            <w:tcW w:w="6130" w:type="dxa"/>
            <w:vAlign w:val="center"/>
          </w:tcPr>
          <w:p>
            <w:pPr>
              <w:autoSpaceDE w:val="0"/>
              <w:autoSpaceDN w:val="0"/>
              <w:adjustRightInd w:val="0"/>
              <w:jc w:val="left"/>
              <w:rPr>
                <w:rFonts w:asciiTheme="minorEastAsia" w:hAnsiTheme="minorEastAsia" w:eastAsiaTheme="minorEastAsia" w:cstheme="minorEastAsia"/>
                <w:color w:val="auto"/>
                <w:szCs w:val="21"/>
                <w:lang w:val="zh-CN"/>
              </w:rPr>
            </w:pPr>
            <w:r>
              <w:rPr>
                <w:rFonts w:hint="eastAsia" w:asciiTheme="minorEastAsia" w:hAnsiTheme="minorEastAsia" w:eastAsiaTheme="minorEastAsia" w:cstheme="minorEastAsia"/>
                <w:color w:val="auto"/>
                <w:kern w:val="0"/>
                <w:szCs w:val="21"/>
              </w:rPr>
              <w:t>自磋商截止时间起共</w:t>
            </w:r>
            <w:r>
              <w:rPr>
                <w:rFonts w:hint="eastAsia" w:asciiTheme="minorEastAsia" w:hAnsiTheme="minorEastAsia" w:eastAsiaTheme="minorEastAsia" w:cstheme="minorEastAsia"/>
                <w:color w:val="auto"/>
                <w:kern w:val="0"/>
                <w:szCs w:val="21"/>
                <w:u w:val="single"/>
              </w:rPr>
              <w:t xml:space="preserve"> 90 </w:t>
            </w:r>
            <w:r>
              <w:rPr>
                <w:rFonts w:hint="eastAsia" w:asciiTheme="minorEastAsia" w:hAnsiTheme="minorEastAsia" w:eastAsiaTheme="minorEastAsia" w:cstheme="minorEastAsia"/>
                <w:color w:val="auto"/>
                <w:kern w:val="0"/>
                <w:szCs w:val="21"/>
              </w:rPr>
              <w:t>日历天。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72" w:hRule="atLeast"/>
          <w:jc w:val="center"/>
        </w:trPr>
        <w:tc>
          <w:tcPr>
            <w:tcW w:w="814" w:type="dxa"/>
            <w:vAlign w:val="center"/>
          </w:tcPr>
          <w:p>
            <w:pPr>
              <w:pStyle w:val="24"/>
              <w:widowControl w:val="0"/>
              <w:autoSpaceDE w:val="0"/>
              <w:autoSpaceDN w:val="0"/>
              <w:adjustRightInd w:val="0"/>
              <w:spacing w:before="31" w:beforeLines="10" w:beforeAutospacing="0" w:after="31" w:afterLines="10" w:afterAutospacing="0"/>
              <w:ind w:left="21" w:leftChars="10" w:right="21" w:rightChars="10"/>
              <w:jc w:val="center"/>
              <w:rPr>
                <w:rFonts w:hint="default" w:asciiTheme="minorEastAsia" w:hAnsiTheme="minorEastAsia" w:eastAsiaTheme="minorEastAsia" w:cstheme="minorEastAsia"/>
                <w:color w:val="auto"/>
                <w:kern w:val="2"/>
                <w:sz w:val="21"/>
                <w:szCs w:val="21"/>
                <w:lang w:val="zh-CN"/>
              </w:rPr>
            </w:pPr>
            <w:r>
              <w:rPr>
                <w:rFonts w:asciiTheme="minorEastAsia" w:hAnsiTheme="minorEastAsia" w:eastAsiaTheme="minorEastAsia" w:cstheme="minorEastAsia"/>
                <w:color w:val="auto"/>
                <w:kern w:val="2"/>
                <w:sz w:val="21"/>
                <w:szCs w:val="21"/>
                <w:lang w:val="zh-CN"/>
              </w:rPr>
              <w:t>18.1</w:t>
            </w:r>
          </w:p>
        </w:tc>
        <w:tc>
          <w:tcPr>
            <w:tcW w:w="2127" w:type="dxa"/>
            <w:vAlign w:val="center"/>
          </w:tcPr>
          <w:p>
            <w:pPr>
              <w:autoSpaceDE w:val="0"/>
              <w:autoSpaceDN w:val="0"/>
              <w:adjustRightInd w:val="0"/>
              <w:spacing w:before="31" w:beforeLines="10" w:after="31" w:afterLines="10"/>
              <w:ind w:left="21" w:leftChars="10" w:right="21" w:rightChars="10"/>
              <w:jc w:val="center"/>
              <w:rPr>
                <w:rFonts w:asciiTheme="minorEastAsia" w:hAnsiTheme="minorEastAsia" w:eastAsiaTheme="minorEastAsia" w:cstheme="minorEastAsia"/>
                <w:snapToGrid w:val="0"/>
                <w:color w:val="auto"/>
                <w:kern w:val="0"/>
                <w:szCs w:val="21"/>
                <w:lang w:val="zh-CN"/>
              </w:rPr>
            </w:pPr>
            <w:r>
              <w:rPr>
                <w:rFonts w:hint="eastAsia" w:asciiTheme="minorEastAsia" w:hAnsiTheme="minorEastAsia" w:eastAsiaTheme="minorEastAsia" w:cstheme="minorEastAsia"/>
                <w:snapToGrid w:val="0"/>
                <w:color w:val="auto"/>
                <w:kern w:val="0"/>
                <w:szCs w:val="21"/>
                <w:lang w:val="zh-CN"/>
              </w:rPr>
              <w:t>竞争性磋商响应文件正、副本数量</w:t>
            </w:r>
          </w:p>
        </w:tc>
        <w:tc>
          <w:tcPr>
            <w:tcW w:w="6130" w:type="dxa"/>
            <w:vAlign w:val="center"/>
          </w:tcPr>
          <w:p>
            <w:pPr>
              <w:autoSpaceDE w:val="0"/>
              <w:autoSpaceDN w:val="0"/>
              <w:snapToGrid w:val="0"/>
              <w:jc w:val="left"/>
              <w:rPr>
                <w:rFonts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（1）响应文件纸质版：正本</w:t>
            </w:r>
            <w:r>
              <w:rPr>
                <w:rFonts w:hint="eastAsia" w:asciiTheme="minorEastAsia" w:hAnsiTheme="minorEastAsia" w:eastAsiaTheme="minorEastAsia" w:cstheme="minorEastAsia"/>
                <w:color w:val="auto"/>
                <w:szCs w:val="21"/>
                <w:u w:val="single"/>
              </w:rPr>
              <w:t xml:space="preserve"> 壹 </w:t>
            </w:r>
            <w:r>
              <w:rPr>
                <w:rFonts w:hint="eastAsia" w:asciiTheme="minorEastAsia" w:hAnsiTheme="minorEastAsia" w:eastAsiaTheme="minorEastAsia" w:cstheme="minorEastAsia"/>
                <w:color w:val="auto"/>
                <w:szCs w:val="21"/>
              </w:rPr>
              <w:t>份（需为彩色打印件），副本</w:t>
            </w:r>
            <w:r>
              <w:rPr>
                <w:rFonts w:hint="eastAsia" w:asciiTheme="minorEastAsia" w:hAnsiTheme="minorEastAsia" w:eastAsiaTheme="minorEastAsia" w:cstheme="minorEastAsia"/>
                <w:color w:val="auto"/>
                <w:szCs w:val="21"/>
                <w:u w:val="single"/>
              </w:rPr>
              <w:t xml:space="preserve"> 贰 </w:t>
            </w:r>
            <w:r>
              <w:rPr>
                <w:rFonts w:hint="eastAsia" w:asciiTheme="minorEastAsia" w:hAnsiTheme="minorEastAsia" w:eastAsiaTheme="minorEastAsia" w:cstheme="minorEastAsia"/>
                <w:color w:val="auto"/>
                <w:szCs w:val="21"/>
              </w:rPr>
              <w:t>份；</w:t>
            </w:r>
          </w:p>
          <w:p>
            <w:pPr>
              <w:autoSpaceDE w:val="0"/>
              <w:autoSpaceDN w:val="0"/>
              <w:snapToGrid w:val="0"/>
              <w:jc w:val="left"/>
              <w:rPr>
                <w:rFonts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（2）响应文件电子版：</w:t>
            </w:r>
          </w:p>
          <w:p>
            <w:pPr>
              <w:autoSpaceDE w:val="0"/>
              <w:autoSpaceDN w:val="0"/>
              <w:snapToGrid w:val="0"/>
              <w:jc w:val="left"/>
              <w:rPr>
                <w:rFonts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□不要求</w:t>
            </w:r>
          </w:p>
          <w:p>
            <w:pPr>
              <w:autoSpaceDE w:val="0"/>
              <w:autoSpaceDN w:val="0"/>
              <w:snapToGrid w:val="0"/>
              <w:jc w:val="left"/>
              <w:rPr>
                <w:rFonts w:asciiTheme="minorEastAsia" w:hAnsiTheme="minorEastAsia" w:eastAsiaTheme="minorEastAsia" w:cstheme="minorEastAsia"/>
                <w:color w:val="auto"/>
                <w:szCs w:val="21"/>
                <w:u w:val="single"/>
              </w:rPr>
            </w:pPr>
            <w:r>
              <w:rPr>
                <w:rFonts w:hint="eastAsia" w:asciiTheme="minorEastAsia" w:hAnsiTheme="minorEastAsia" w:eastAsiaTheme="minorEastAsia" w:cstheme="minorEastAsia"/>
                <w:color w:val="auto"/>
                <w:szCs w:val="21"/>
              </w:rPr>
              <w:sym w:font="Wingdings 2" w:char="0052"/>
            </w:r>
            <w:r>
              <w:rPr>
                <w:rFonts w:hint="eastAsia" w:asciiTheme="minorEastAsia" w:hAnsiTheme="minorEastAsia" w:eastAsiaTheme="minorEastAsia" w:cstheme="minorEastAsia"/>
                <w:color w:val="auto"/>
                <w:szCs w:val="21"/>
              </w:rPr>
              <w:t>要求，响应文件电子版内容：</w:t>
            </w:r>
            <w:r>
              <w:rPr>
                <w:rFonts w:hint="eastAsia" w:asciiTheme="minorEastAsia" w:hAnsiTheme="minorEastAsia" w:eastAsiaTheme="minorEastAsia" w:cstheme="minorEastAsia"/>
                <w:color w:val="auto"/>
                <w:szCs w:val="21"/>
                <w:u w:val="single"/>
              </w:rPr>
              <w:t>与正本保持一致</w:t>
            </w:r>
          </w:p>
          <w:p>
            <w:pPr>
              <w:autoSpaceDE w:val="0"/>
              <w:autoSpaceDN w:val="0"/>
              <w:snapToGrid w:val="0"/>
              <w:ind w:firstLine="840" w:firstLineChars="400"/>
              <w:jc w:val="left"/>
              <w:rPr>
                <w:rFonts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shd w:val="clear" w:color="auto" w:fill="FFFFFF"/>
              </w:rPr>
              <w:t>响应文件电子版格式：</w:t>
            </w:r>
            <w:r>
              <w:rPr>
                <w:rFonts w:hint="eastAsia" w:asciiTheme="minorEastAsia" w:hAnsiTheme="minorEastAsia" w:eastAsiaTheme="minorEastAsia" w:cstheme="minorEastAsia"/>
                <w:color w:val="auto"/>
                <w:szCs w:val="21"/>
              </w:rPr>
              <w:t>WORD格式和加</w:t>
            </w:r>
            <w:r>
              <w:rPr>
                <w:rFonts w:hint="eastAsia" w:asciiTheme="minorEastAsia" w:hAnsiTheme="minorEastAsia" w:eastAsiaTheme="minorEastAsia" w:cstheme="minorEastAsia"/>
                <w:color w:val="auto"/>
                <w:szCs w:val="21"/>
                <w:u w:val="single"/>
              </w:rPr>
              <w:t>盖公章后的PDF扫描件格式；</w:t>
            </w:r>
          </w:p>
          <w:p>
            <w:pPr>
              <w:autoSpaceDE w:val="0"/>
              <w:autoSpaceDN w:val="0"/>
              <w:adjustRightInd w:val="0"/>
              <w:jc w:val="left"/>
              <w:rPr>
                <w:rFonts w:asciiTheme="minorEastAsia" w:hAnsiTheme="minorEastAsia" w:eastAsiaTheme="minorEastAsia" w:cstheme="minorEastAsia"/>
                <w:color w:val="auto"/>
                <w:szCs w:val="21"/>
                <w:u w:val="single"/>
              </w:rPr>
            </w:pPr>
            <w:r>
              <w:rPr>
                <w:rFonts w:hint="eastAsia" w:asciiTheme="minorEastAsia" w:hAnsiTheme="minorEastAsia" w:eastAsiaTheme="minorEastAsia" w:cstheme="minorEastAsia"/>
                <w:color w:val="auto"/>
                <w:szCs w:val="21"/>
              </w:rPr>
              <w:t>响应文件电子版形式：</w:t>
            </w:r>
            <w:r>
              <w:rPr>
                <w:rFonts w:hint="eastAsia" w:asciiTheme="minorEastAsia" w:hAnsiTheme="minorEastAsia" w:eastAsiaTheme="minorEastAsia" w:cstheme="minorEastAsia"/>
                <w:color w:val="auto"/>
                <w:szCs w:val="21"/>
                <w:u w:val="single"/>
              </w:rPr>
              <w:t xml:space="preserve"> U盘1份，需贴标签并注明公司名称；</w:t>
            </w:r>
          </w:p>
          <w:p>
            <w:pPr>
              <w:autoSpaceDE w:val="0"/>
              <w:autoSpaceDN w:val="0"/>
              <w:adjustRightInd w:val="0"/>
              <w:jc w:val="left"/>
              <w:rPr>
                <w:rFonts w:asciiTheme="minorEastAsia" w:hAnsiTheme="minorEastAsia" w:eastAsiaTheme="minorEastAsia" w:cstheme="minorEastAsia"/>
                <w:color w:val="auto"/>
                <w:szCs w:val="21"/>
                <w:u w:val="single"/>
              </w:rPr>
            </w:pPr>
            <w:r>
              <w:rPr>
                <w:rFonts w:hint="eastAsia" w:asciiTheme="minorEastAsia" w:hAnsiTheme="minorEastAsia" w:eastAsiaTheme="minorEastAsia" w:cstheme="minorEastAsia"/>
                <w:color w:val="auto"/>
                <w:szCs w:val="21"/>
              </w:rPr>
              <w:t>（3）手持法定代表人授权委托书（或法定代表人身份证明书）；</w:t>
            </w:r>
          </w:p>
          <w:p>
            <w:pPr>
              <w:autoSpaceDE w:val="0"/>
              <w:autoSpaceDN w:val="0"/>
              <w:adjustRightInd w:val="0"/>
              <w:jc w:val="left"/>
              <w:rPr>
                <w:rFonts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所有响应文件概不退还，响应文件按包分开制作，分开密封。</w:t>
            </w:r>
          </w:p>
          <w:p>
            <w:pPr>
              <w:autoSpaceDE w:val="0"/>
              <w:autoSpaceDN w:val="0"/>
              <w:adjustRightInd w:val="0"/>
              <w:jc w:val="left"/>
              <w:rPr>
                <w:rFonts w:asciiTheme="minorEastAsia" w:hAnsiTheme="minorEastAsia" w:eastAsiaTheme="minorEastAsia" w:cstheme="minorEastAsia"/>
                <w:color w:val="auto"/>
                <w:szCs w:val="21"/>
                <w:lang w:val="zh-CN"/>
              </w:rPr>
            </w:pPr>
            <w:r>
              <w:rPr>
                <w:rFonts w:hint="eastAsia" w:asciiTheme="minorEastAsia" w:hAnsiTheme="minorEastAsia" w:eastAsiaTheme="minorEastAsia" w:cstheme="minorEastAsia"/>
                <w:color w:val="auto"/>
                <w:szCs w:val="21"/>
              </w:rPr>
              <w:t>纸质响应文件应采用胶粘方</w:t>
            </w:r>
            <w:r>
              <w:rPr>
                <w:rFonts w:hint="eastAsia" w:asciiTheme="minorEastAsia" w:hAnsiTheme="minorEastAsia" w:eastAsiaTheme="minorEastAsia" w:cstheme="minorEastAsia"/>
                <w:color w:val="auto"/>
                <w:szCs w:val="21"/>
                <w:lang w:val="zh-CN"/>
              </w:rPr>
              <w:t>式装订,装订应牢固、不易拆散和换页。</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72" w:hRule="atLeast"/>
          <w:jc w:val="center"/>
        </w:trPr>
        <w:tc>
          <w:tcPr>
            <w:tcW w:w="814" w:type="dxa"/>
            <w:vAlign w:val="center"/>
          </w:tcPr>
          <w:p>
            <w:pPr>
              <w:pStyle w:val="24"/>
              <w:widowControl w:val="0"/>
              <w:autoSpaceDE w:val="0"/>
              <w:autoSpaceDN w:val="0"/>
              <w:adjustRightInd w:val="0"/>
              <w:spacing w:before="31" w:beforeLines="10" w:beforeAutospacing="0" w:after="31" w:afterLines="10" w:afterAutospacing="0"/>
              <w:ind w:left="21" w:leftChars="10" w:right="21" w:rightChars="10"/>
              <w:jc w:val="center"/>
              <w:rPr>
                <w:rFonts w:hint="default" w:asciiTheme="minorEastAsia" w:hAnsiTheme="minorEastAsia" w:eastAsiaTheme="minorEastAsia" w:cstheme="minorEastAsia"/>
                <w:color w:val="auto"/>
                <w:kern w:val="2"/>
                <w:sz w:val="21"/>
                <w:szCs w:val="21"/>
                <w:lang w:val="zh-CN"/>
              </w:rPr>
            </w:pPr>
            <w:r>
              <w:rPr>
                <w:rFonts w:asciiTheme="minorEastAsia" w:hAnsiTheme="minorEastAsia" w:eastAsiaTheme="minorEastAsia" w:cstheme="minorEastAsia"/>
                <w:color w:val="auto"/>
                <w:kern w:val="2"/>
                <w:sz w:val="21"/>
                <w:szCs w:val="21"/>
              </w:rPr>
              <w:t>19.1</w:t>
            </w:r>
          </w:p>
        </w:tc>
        <w:tc>
          <w:tcPr>
            <w:tcW w:w="2127" w:type="dxa"/>
            <w:vAlign w:val="center"/>
          </w:tcPr>
          <w:p>
            <w:pPr>
              <w:autoSpaceDE w:val="0"/>
              <w:autoSpaceDN w:val="0"/>
              <w:adjustRightInd w:val="0"/>
              <w:spacing w:before="31" w:beforeLines="10" w:after="31" w:afterLines="10"/>
              <w:ind w:left="21" w:leftChars="10" w:right="21" w:rightChars="10"/>
              <w:jc w:val="center"/>
              <w:rPr>
                <w:rFonts w:asciiTheme="minorEastAsia" w:hAnsiTheme="minorEastAsia" w:eastAsiaTheme="minorEastAsia" w:cstheme="minorEastAsia"/>
                <w:snapToGrid w:val="0"/>
                <w:color w:val="auto"/>
                <w:kern w:val="0"/>
                <w:szCs w:val="21"/>
                <w:lang w:val="zh-CN"/>
              </w:rPr>
            </w:pPr>
            <w:r>
              <w:rPr>
                <w:rFonts w:hint="eastAsia" w:asciiTheme="minorEastAsia" w:hAnsiTheme="minorEastAsia" w:eastAsiaTheme="minorEastAsia" w:cstheme="minorEastAsia"/>
                <w:snapToGrid w:val="0"/>
                <w:color w:val="auto"/>
                <w:kern w:val="0"/>
                <w:szCs w:val="21"/>
                <w:lang w:val="zh-CN"/>
              </w:rPr>
              <w:t>竞争性磋商响应文件的密封和标记</w:t>
            </w:r>
          </w:p>
        </w:tc>
        <w:tc>
          <w:tcPr>
            <w:tcW w:w="6130" w:type="dxa"/>
            <w:vAlign w:val="center"/>
          </w:tcPr>
          <w:p>
            <w:pPr>
              <w:autoSpaceDE w:val="0"/>
              <w:autoSpaceDN w:val="0"/>
              <w:adjustRightInd w:val="0"/>
              <w:jc w:val="left"/>
              <w:rPr>
                <w:rFonts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kern w:val="0"/>
                <w:szCs w:val="21"/>
              </w:rPr>
              <w:t>本条款细化为：响应文件正本需逐页加盖供应商单位公章，不得使用单位其他专用章代替。因签字盖章问题导致的响应材料被否决或竞标受影响的情况，其后果供应商自行承担。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77" w:hRule="atLeast"/>
          <w:jc w:val="center"/>
        </w:trPr>
        <w:tc>
          <w:tcPr>
            <w:tcW w:w="814" w:type="dxa"/>
            <w:vAlign w:val="center"/>
          </w:tcPr>
          <w:p>
            <w:pPr>
              <w:autoSpaceDE w:val="0"/>
              <w:autoSpaceDN w:val="0"/>
              <w:adjustRightInd w:val="0"/>
              <w:spacing w:before="31" w:beforeLines="10" w:after="31" w:afterLines="10"/>
              <w:ind w:left="21" w:leftChars="10" w:right="21" w:rightChars="10"/>
              <w:jc w:val="center"/>
              <w:rPr>
                <w:rFonts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19.3</w:t>
            </w:r>
          </w:p>
        </w:tc>
        <w:tc>
          <w:tcPr>
            <w:tcW w:w="2127" w:type="dxa"/>
            <w:vAlign w:val="center"/>
          </w:tcPr>
          <w:p>
            <w:pPr>
              <w:autoSpaceDE w:val="0"/>
              <w:autoSpaceDN w:val="0"/>
              <w:adjustRightInd w:val="0"/>
              <w:jc w:val="center"/>
              <w:rPr>
                <w:rFonts w:asciiTheme="minorEastAsia" w:hAnsiTheme="minorEastAsia" w:eastAsiaTheme="minorEastAsia" w:cstheme="minorEastAsia"/>
                <w:color w:val="auto"/>
                <w:kern w:val="0"/>
                <w:szCs w:val="21"/>
                <w:lang w:val="zh-CN"/>
              </w:rPr>
            </w:pPr>
            <w:r>
              <w:rPr>
                <w:rFonts w:hint="eastAsia" w:asciiTheme="minorEastAsia" w:hAnsiTheme="minorEastAsia" w:eastAsiaTheme="minorEastAsia" w:cstheme="minorEastAsia"/>
                <w:color w:val="auto"/>
                <w:kern w:val="0"/>
                <w:szCs w:val="21"/>
                <w:lang w:val="zh-CN"/>
              </w:rPr>
              <w:t>样品</w:t>
            </w:r>
          </w:p>
          <w:p>
            <w:pPr>
              <w:autoSpaceDE w:val="0"/>
              <w:autoSpaceDN w:val="0"/>
              <w:adjustRightInd w:val="0"/>
              <w:jc w:val="center"/>
              <w:rPr>
                <w:rFonts w:asciiTheme="minorEastAsia" w:hAnsiTheme="minorEastAsia" w:eastAsiaTheme="minorEastAsia" w:cstheme="minorEastAsia"/>
                <w:color w:val="auto"/>
                <w:kern w:val="0"/>
                <w:szCs w:val="21"/>
              </w:rPr>
            </w:pPr>
            <w:r>
              <w:rPr>
                <w:rFonts w:hint="eastAsia" w:asciiTheme="minorEastAsia" w:hAnsiTheme="minorEastAsia" w:eastAsiaTheme="minorEastAsia" w:cstheme="minorEastAsia"/>
                <w:b/>
                <w:bCs/>
                <w:snapToGrid w:val="0"/>
                <w:color w:val="auto"/>
                <w:kern w:val="0"/>
                <w:szCs w:val="21"/>
                <w:lang w:val="zh-CN"/>
              </w:rPr>
              <w:t>（</w:t>
            </w:r>
            <w:r>
              <w:rPr>
                <w:rFonts w:hint="eastAsia" w:asciiTheme="minorEastAsia" w:hAnsiTheme="minorEastAsia" w:eastAsiaTheme="minorEastAsia" w:cstheme="minorEastAsia"/>
                <w:b/>
                <w:bCs/>
                <w:snapToGrid w:val="0"/>
                <w:color w:val="auto"/>
                <w:kern w:val="0"/>
                <w:szCs w:val="21"/>
              </w:rPr>
              <w:t>本项目不适用</w:t>
            </w:r>
            <w:r>
              <w:rPr>
                <w:rFonts w:hint="eastAsia" w:asciiTheme="minorEastAsia" w:hAnsiTheme="minorEastAsia" w:eastAsiaTheme="minorEastAsia" w:cstheme="minorEastAsia"/>
                <w:b/>
                <w:bCs/>
                <w:snapToGrid w:val="0"/>
                <w:color w:val="auto"/>
                <w:kern w:val="0"/>
                <w:szCs w:val="21"/>
                <w:lang w:val="zh-CN"/>
              </w:rPr>
              <w:t>）</w:t>
            </w:r>
          </w:p>
        </w:tc>
        <w:tc>
          <w:tcPr>
            <w:tcW w:w="6130" w:type="dxa"/>
            <w:vAlign w:val="center"/>
          </w:tcPr>
          <w:p>
            <w:pPr>
              <w:autoSpaceDE w:val="0"/>
              <w:autoSpaceDN w:val="0"/>
              <w:adjustRightInd w:val="0"/>
              <w:jc w:val="left"/>
              <w:rPr>
                <w:rFonts w:asciiTheme="minorEastAsia" w:hAnsiTheme="minorEastAsia" w:eastAsiaTheme="minorEastAsia" w:cstheme="minorEastAsia"/>
                <w:color w:val="auto"/>
                <w:kern w:val="0"/>
                <w:szCs w:val="21"/>
                <w:lang w:val="zh-CN"/>
              </w:rPr>
            </w:pPr>
            <w:r>
              <w:rPr>
                <w:rFonts w:hint="eastAsia" w:asciiTheme="minorEastAsia" w:hAnsiTheme="minorEastAsia" w:eastAsiaTheme="minorEastAsia" w:cstheme="minorEastAsia"/>
                <w:color w:val="auto"/>
                <w:kern w:val="0"/>
                <w:szCs w:val="21"/>
                <w:lang w:val="zh-CN"/>
              </w:rPr>
              <w:t>提交样品的相关规定：要求在磋商时提交样品的，应在样品上标明磋商供应商名称。</w:t>
            </w:r>
            <w:r>
              <w:rPr>
                <w:rFonts w:hint="eastAsia" w:asciiTheme="minorEastAsia" w:hAnsiTheme="minorEastAsia" w:eastAsiaTheme="minorEastAsia" w:cstheme="minorEastAsia"/>
                <w:color w:val="auto"/>
                <w:kern w:val="0"/>
                <w:szCs w:val="21"/>
                <w:lang w:val="zh-CN"/>
              </w:rPr>
              <w:br w:type="textWrapping"/>
            </w:r>
            <w:r>
              <w:rPr>
                <w:rFonts w:hint="eastAsia" w:asciiTheme="minorEastAsia" w:hAnsiTheme="minorEastAsia" w:eastAsiaTheme="minorEastAsia" w:cstheme="minorEastAsia"/>
                <w:color w:val="auto"/>
                <w:kern w:val="0"/>
                <w:szCs w:val="21"/>
                <w:lang w:val="zh-CN"/>
              </w:rPr>
              <w:t>退还样品的相关规定：</w:t>
            </w:r>
            <w:r>
              <w:rPr>
                <w:rFonts w:hint="eastAsia" w:asciiTheme="minorEastAsia" w:hAnsiTheme="minorEastAsia" w:eastAsiaTheme="minorEastAsia" w:cstheme="minorEastAsia"/>
                <w:color w:val="auto"/>
                <w:kern w:val="0"/>
                <w:szCs w:val="21"/>
              </w:rPr>
              <w:t>未成交供应商在成交公告发布之日起5个工作日内退还，具体电话通知。成交供应商样品移交采购人作为验收依据，不予退还。</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77" w:hRule="atLeast"/>
          <w:jc w:val="center"/>
        </w:trPr>
        <w:tc>
          <w:tcPr>
            <w:tcW w:w="814" w:type="dxa"/>
            <w:vAlign w:val="center"/>
          </w:tcPr>
          <w:p>
            <w:pPr>
              <w:autoSpaceDE w:val="0"/>
              <w:autoSpaceDN w:val="0"/>
              <w:adjustRightInd w:val="0"/>
              <w:spacing w:before="31" w:beforeLines="10" w:after="31" w:afterLines="10"/>
              <w:ind w:left="21" w:leftChars="10" w:right="21" w:rightChars="10"/>
              <w:jc w:val="center"/>
              <w:rPr>
                <w:rFonts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20.1</w:t>
            </w:r>
          </w:p>
        </w:tc>
        <w:tc>
          <w:tcPr>
            <w:tcW w:w="2127" w:type="dxa"/>
            <w:vAlign w:val="center"/>
          </w:tcPr>
          <w:p>
            <w:pPr>
              <w:autoSpaceDE w:val="0"/>
              <w:autoSpaceDN w:val="0"/>
              <w:adjustRightInd w:val="0"/>
              <w:spacing w:before="31" w:beforeLines="10" w:after="31" w:afterLines="10"/>
              <w:ind w:left="21" w:leftChars="10" w:right="21" w:rightChars="10"/>
              <w:jc w:val="center"/>
              <w:rPr>
                <w:rFonts w:asciiTheme="minorEastAsia" w:hAnsiTheme="minorEastAsia" w:eastAsiaTheme="minorEastAsia" w:cstheme="minorEastAsia"/>
                <w:color w:val="auto"/>
                <w:szCs w:val="21"/>
              </w:rPr>
            </w:pPr>
            <w:r>
              <w:rPr>
                <w:rFonts w:hint="eastAsia" w:asciiTheme="minorEastAsia" w:hAnsiTheme="minorEastAsia" w:eastAsiaTheme="minorEastAsia" w:cstheme="minorEastAsia"/>
                <w:snapToGrid w:val="0"/>
                <w:color w:val="auto"/>
                <w:kern w:val="0"/>
                <w:szCs w:val="21"/>
                <w:lang w:val="zh-CN"/>
              </w:rPr>
              <w:t>响应文件送达地点及递交截止时间</w:t>
            </w:r>
          </w:p>
        </w:tc>
        <w:tc>
          <w:tcPr>
            <w:tcW w:w="6130" w:type="dxa"/>
            <w:vAlign w:val="center"/>
          </w:tcPr>
          <w:p>
            <w:pPr>
              <w:autoSpaceDE w:val="0"/>
              <w:autoSpaceDN w:val="0"/>
              <w:adjustRightInd w:val="0"/>
              <w:jc w:val="left"/>
              <w:rPr>
                <w:rFonts w:asciiTheme="minorEastAsia" w:hAnsiTheme="minorEastAsia" w:eastAsiaTheme="minorEastAsia" w:cstheme="minorEastAsia"/>
                <w:color w:val="auto"/>
                <w:szCs w:val="21"/>
                <w:lang w:val="zh-CN"/>
              </w:rPr>
            </w:pPr>
            <w:r>
              <w:rPr>
                <w:rFonts w:hint="eastAsia" w:asciiTheme="minorEastAsia" w:hAnsiTheme="minorEastAsia" w:eastAsiaTheme="minorEastAsia" w:cstheme="minorEastAsia"/>
                <w:color w:val="auto"/>
                <w:szCs w:val="21"/>
                <w:lang w:val="zh-CN"/>
              </w:rPr>
              <w:t>详见第一章第四款相关要求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90" w:hRule="atLeast"/>
          <w:jc w:val="center"/>
        </w:trPr>
        <w:tc>
          <w:tcPr>
            <w:tcW w:w="814" w:type="dxa"/>
            <w:vAlign w:val="center"/>
          </w:tcPr>
          <w:p>
            <w:pPr>
              <w:autoSpaceDE w:val="0"/>
              <w:autoSpaceDN w:val="0"/>
              <w:adjustRightInd w:val="0"/>
              <w:spacing w:before="31" w:beforeLines="10" w:after="31" w:afterLines="10"/>
              <w:ind w:left="21" w:leftChars="10" w:right="21" w:rightChars="10"/>
              <w:jc w:val="center"/>
              <w:rPr>
                <w:rFonts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23.1</w:t>
            </w:r>
          </w:p>
        </w:tc>
        <w:tc>
          <w:tcPr>
            <w:tcW w:w="2127" w:type="dxa"/>
            <w:vAlign w:val="center"/>
          </w:tcPr>
          <w:p>
            <w:pPr>
              <w:autoSpaceDE w:val="0"/>
              <w:autoSpaceDN w:val="0"/>
              <w:adjustRightInd w:val="0"/>
              <w:spacing w:before="31" w:beforeLines="10" w:after="31" w:afterLines="10"/>
              <w:ind w:left="21" w:leftChars="10" w:right="21" w:rightChars="10"/>
              <w:jc w:val="center"/>
              <w:rPr>
                <w:rFonts w:asciiTheme="minorEastAsia" w:hAnsiTheme="minorEastAsia" w:eastAsiaTheme="minorEastAsia" w:cstheme="minorEastAsia"/>
                <w:snapToGrid w:val="0"/>
                <w:color w:val="auto"/>
                <w:kern w:val="0"/>
                <w:szCs w:val="21"/>
                <w:lang w:val="zh-CN"/>
              </w:rPr>
            </w:pPr>
            <w:r>
              <w:rPr>
                <w:rFonts w:hint="eastAsia" w:asciiTheme="minorEastAsia" w:hAnsiTheme="minorEastAsia" w:eastAsiaTheme="minorEastAsia" w:cstheme="minorEastAsia"/>
                <w:snapToGrid w:val="0"/>
                <w:color w:val="auto"/>
                <w:kern w:val="0"/>
                <w:szCs w:val="21"/>
                <w:lang w:val="zh-CN"/>
              </w:rPr>
              <w:t>磋商小组人数</w:t>
            </w:r>
          </w:p>
        </w:tc>
        <w:tc>
          <w:tcPr>
            <w:tcW w:w="6130" w:type="dxa"/>
            <w:vAlign w:val="center"/>
          </w:tcPr>
          <w:p>
            <w:pPr>
              <w:autoSpaceDE w:val="0"/>
              <w:autoSpaceDN w:val="0"/>
              <w:adjustRightInd w:val="0"/>
              <w:jc w:val="left"/>
              <w:rPr>
                <w:rFonts w:asciiTheme="minorEastAsia" w:hAnsiTheme="minorEastAsia" w:eastAsiaTheme="minorEastAsia" w:cstheme="minorEastAsia"/>
                <w:snapToGrid w:val="0"/>
                <w:color w:val="auto"/>
                <w:kern w:val="0"/>
                <w:szCs w:val="21"/>
                <w:lang w:val="zh-CN"/>
              </w:rPr>
            </w:pPr>
            <w:r>
              <w:rPr>
                <w:rFonts w:hint="eastAsia" w:asciiTheme="minorEastAsia" w:hAnsiTheme="minorEastAsia" w:eastAsiaTheme="minorEastAsia" w:cstheme="minorEastAsia"/>
                <w:snapToGrid w:val="0"/>
                <w:color w:val="auto"/>
                <w:kern w:val="0"/>
                <w:szCs w:val="21"/>
                <w:lang w:val="zh-CN"/>
              </w:rPr>
              <w:t>3人或3人以上单数组成，其中采购人代表不超过成员总数的三分之一，外聘专家在省政府采购专家库中随机抽取。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90" w:hRule="atLeast"/>
          <w:jc w:val="center"/>
        </w:trPr>
        <w:tc>
          <w:tcPr>
            <w:tcW w:w="814" w:type="dxa"/>
            <w:vAlign w:val="center"/>
          </w:tcPr>
          <w:p>
            <w:pPr>
              <w:autoSpaceDE w:val="0"/>
              <w:autoSpaceDN w:val="0"/>
              <w:adjustRightInd w:val="0"/>
              <w:spacing w:before="31" w:beforeLines="10" w:after="31" w:afterLines="10"/>
              <w:ind w:left="21" w:leftChars="10" w:right="21" w:rightChars="10"/>
              <w:jc w:val="center"/>
              <w:rPr>
                <w:rFonts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24.1</w:t>
            </w:r>
          </w:p>
        </w:tc>
        <w:tc>
          <w:tcPr>
            <w:tcW w:w="2127" w:type="dxa"/>
            <w:vAlign w:val="center"/>
          </w:tcPr>
          <w:p>
            <w:pPr>
              <w:autoSpaceDE w:val="0"/>
              <w:autoSpaceDN w:val="0"/>
              <w:adjustRightInd w:val="0"/>
              <w:spacing w:before="31" w:beforeLines="10" w:after="31" w:afterLines="10"/>
              <w:ind w:left="21" w:leftChars="10" w:right="21" w:rightChars="10"/>
              <w:jc w:val="center"/>
              <w:rPr>
                <w:rFonts w:asciiTheme="minorEastAsia" w:hAnsiTheme="minorEastAsia" w:eastAsiaTheme="minorEastAsia" w:cstheme="minorEastAsia"/>
                <w:b/>
                <w:bCs/>
                <w:snapToGrid w:val="0"/>
                <w:color w:val="auto"/>
                <w:kern w:val="0"/>
                <w:szCs w:val="21"/>
              </w:rPr>
            </w:pPr>
            <w:r>
              <w:rPr>
                <w:rFonts w:hint="eastAsia" w:asciiTheme="minorEastAsia" w:hAnsiTheme="minorEastAsia" w:eastAsiaTheme="minorEastAsia" w:cstheme="minorEastAsia"/>
                <w:b/>
                <w:bCs/>
                <w:snapToGrid w:val="0"/>
                <w:color w:val="auto"/>
                <w:kern w:val="0"/>
                <w:szCs w:val="21"/>
              </w:rPr>
              <w:t>磋商代表</w:t>
            </w:r>
          </w:p>
        </w:tc>
        <w:tc>
          <w:tcPr>
            <w:tcW w:w="6130" w:type="dxa"/>
            <w:vAlign w:val="center"/>
          </w:tcPr>
          <w:p>
            <w:pPr>
              <w:autoSpaceDE w:val="0"/>
              <w:autoSpaceDN w:val="0"/>
              <w:adjustRightInd w:val="0"/>
              <w:jc w:val="left"/>
              <w:rPr>
                <w:rFonts w:asciiTheme="minorEastAsia" w:hAnsiTheme="minorEastAsia" w:eastAsiaTheme="minorEastAsia" w:cstheme="minorEastAsia"/>
                <w:b/>
                <w:bCs/>
                <w:color w:val="auto"/>
                <w:szCs w:val="21"/>
                <w:lang w:val="zh-CN"/>
              </w:rPr>
            </w:pPr>
            <w:r>
              <w:rPr>
                <w:rFonts w:hint="eastAsia" w:asciiTheme="minorEastAsia" w:hAnsiTheme="minorEastAsia" w:eastAsiaTheme="minorEastAsia" w:cstheme="minorEastAsia"/>
                <w:b/>
                <w:bCs/>
                <w:color w:val="auto"/>
                <w:szCs w:val="21"/>
                <w:lang w:val="zh-CN"/>
              </w:rPr>
              <w:t>建议供应商拟派出席磋商会议的磋商代表为熟知本项目的技术人员或商务负责人等能</w:t>
            </w:r>
            <w:r>
              <w:rPr>
                <w:rFonts w:hint="eastAsia" w:asciiTheme="minorEastAsia" w:hAnsiTheme="minorEastAsia" w:eastAsiaTheme="minorEastAsia" w:cstheme="minorEastAsia"/>
                <w:b/>
                <w:bCs/>
                <w:color w:val="auto"/>
                <w:szCs w:val="21"/>
              </w:rPr>
              <w:t>为磋商小组详细介绍供应商公司情况及项目了解情况的人员，</w:t>
            </w:r>
            <w:r>
              <w:rPr>
                <w:rFonts w:hint="eastAsia" w:asciiTheme="minorEastAsia" w:hAnsiTheme="minorEastAsia" w:eastAsiaTheme="minorEastAsia" w:cstheme="minorEastAsia"/>
                <w:b/>
                <w:bCs/>
                <w:color w:val="auto"/>
                <w:szCs w:val="21"/>
                <w:lang w:val="zh-CN"/>
              </w:rPr>
              <w:t>以便在评审过程中进行可能出现的答疑或澄清。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77" w:hRule="atLeast"/>
          <w:jc w:val="center"/>
        </w:trPr>
        <w:tc>
          <w:tcPr>
            <w:tcW w:w="814" w:type="dxa"/>
            <w:vAlign w:val="center"/>
          </w:tcPr>
          <w:p>
            <w:pPr>
              <w:autoSpaceDE w:val="0"/>
              <w:autoSpaceDN w:val="0"/>
              <w:adjustRightInd w:val="0"/>
              <w:spacing w:before="31" w:beforeLines="10" w:after="31" w:afterLines="10"/>
              <w:ind w:left="21" w:leftChars="10" w:right="21" w:rightChars="10"/>
              <w:jc w:val="center"/>
              <w:rPr>
                <w:rFonts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26.4</w:t>
            </w:r>
          </w:p>
        </w:tc>
        <w:tc>
          <w:tcPr>
            <w:tcW w:w="2127" w:type="dxa"/>
            <w:vAlign w:val="center"/>
          </w:tcPr>
          <w:p>
            <w:pPr>
              <w:autoSpaceDE w:val="0"/>
              <w:autoSpaceDN w:val="0"/>
              <w:adjustRightInd w:val="0"/>
              <w:spacing w:before="31" w:beforeLines="10" w:after="31" w:afterLines="10"/>
              <w:ind w:left="21" w:leftChars="10" w:right="21" w:rightChars="10"/>
              <w:jc w:val="center"/>
              <w:rPr>
                <w:rFonts w:asciiTheme="minorEastAsia" w:hAnsiTheme="minorEastAsia" w:eastAsiaTheme="minorEastAsia" w:cstheme="minorEastAsia"/>
                <w:snapToGrid w:val="0"/>
                <w:color w:val="auto"/>
                <w:kern w:val="0"/>
                <w:szCs w:val="21"/>
                <w:lang w:val="zh-CN"/>
              </w:rPr>
            </w:pPr>
            <w:r>
              <w:rPr>
                <w:rFonts w:hint="eastAsia" w:asciiTheme="minorEastAsia" w:hAnsiTheme="minorEastAsia" w:eastAsiaTheme="minorEastAsia" w:cstheme="minorEastAsia"/>
                <w:snapToGrid w:val="0"/>
                <w:color w:val="auto"/>
                <w:kern w:val="0"/>
                <w:szCs w:val="21"/>
                <w:lang w:val="zh-CN"/>
              </w:rPr>
              <w:t>提交最后报价供应商的确定方式</w:t>
            </w:r>
          </w:p>
        </w:tc>
        <w:tc>
          <w:tcPr>
            <w:tcW w:w="6130" w:type="dxa"/>
            <w:vAlign w:val="center"/>
          </w:tcPr>
          <w:p>
            <w:pPr>
              <w:autoSpaceDE w:val="0"/>
              <w:autoSpaceDN w:val="0"/>
              <w:adjustRightInd w:val="0"/>
              <w:jc w:val="left"/>
              <w:rPr>
                <w:rFonts w:asciiTheme="minorEastAsia" w:hAnsiTheme="minorEastAsia" w:eastAsiaTheme="minorEastAsia" w:cstheme="minorEastAsia"/>
                <w:snapToGrid w:val="0"/>
                <w:color w:val="auto"/>
                <w:kern w:val="0"/>
                <w:szCs w:val="21"/>
                <w:lang w:val="zh-CN"/>
              </w:rPr>
            </w:pPr>
            <w:r>
              <w:rPr>
                <w:rFonts w:hint="eastAsia" w:asciiTheme="minorEastAsia" w:hAnsiTheme="minorEastAsia" w:eastAsiaTheme="minorEastAsia" w:cstheme="minorEastAsia"/>
                <w:snapToGrid w:val="0"/>
                <w:color w:val="auto"/>
                <w:kern w:val="0"/>
                <w:szCs w:val="21"/>
                <w:lang w:val="zh-CN"/>
              </w:rPr>
              <w:t>采购代理机构将竞争性磋商第二轮报价表（磋商承诺书）发放至所有通过了资格审查及符合性审查的磋商供应商，磋商供应商应在指定的时间内提交满足要求的最后报价，</w:t>
            </w:r>
            <w:r>
              <w:rPr>
                <w:rFonts w:hint="eastAsia" w:asciiTheme="minorEastAsia" w:hAnsiTheme="minorEastAsia" w:eastAsiaTheme="minorEastAsia" w:cstheme="minorEastAsia"/>
                <w:snapToGrid w:val="0"/>
                <w:color w:val="auto"/>
                <w:kern w:val="0"/>
                <w:szCs w:val="21"/>
              </w:rPr>
              <w:t>在指定地点以</w:t>
            </w:r>
            <w:r>
              <w:rPr>
                <w:rFonts w:hint="eastAsia" w:asciiTheme="minorEastAsia" w:hAnsiTheme="minorEastAsia" w:eastAsiaTheme="minorEastAsia" w:cstheme="minorEastAsia"/>
                <w:snapToGrid w:val="0"/>
                <w:color w:val="auto"/>
                <w:kern w:val="0"/>
                <w:szCs w:val="21"/>
                <w:lang w:val="zh-CN"/>
              </w:rPr>
              <w:t>密封</w:t>
            </w:r>
            <w:r>
              <w:rPr>
                <w:rFonts w:hint="eastAsia" w:asciiTheme="minorEastAsia" w:hAnsiTheme="minorEastAsia" w:eastAsiaTheme="minorEastAsia" w:cstheme="minorEastAsia"/>
                <w:snapToGrid w:val="0"/>
                <w:color w:val="auto"/>
                <w:kern w:val="0"/>
                <w:szCs w:val="21"/>
              </w:rPr>
              <w:t>等形式</w:t>
            </w:r>
            <w:r>
              <w:rPr>
                <w:rFonts w:hint="eastAsia" w:asciiTheme="minorEastAsia" w:hAnsiTheme="minorEastAsia" w:eastAsiaTheme="minorEastAsia" w:cstheme="minorEastAsia"/>
                <w:snapToGrid w:val="0"/>
                <w:color w:val="auto"/>
                <w:kern w:val="0"/>
                <w:szCs w:val="21"/>
                <w:lang w:val="zh-CN"/>
              </w:rPr>
              <w:t>递交</w:t>
            </w:r>
            <w:r>
              <w:rPr>
                <w:rFonts w:hint="eastAsia" w:asciiTheme="minorEastAsia" w:hAnsiTheme="minorEastAsia" w:eastAsiaTheme="minorEastAsia" w:cstheme="minorEastAsia"/>
                <w:snapToGrid w:val="0"/>
                <w:color w:val="auto"/>
                <w:kern w:val="0"/>
                <w:szCs w:val="21"/>
              </w:rPr>
              <w:t>给采购代理机构指定现场工作人员或</w:t>
            </w:r>
            <w:r>
              <w:rPr>
                <w:rFonts w:hint="eastAsia" w:asciiTheme="minorEastAsia" w:hAnsiTheme="minorEastAsia" w:eastAsiaTheme="minorEastAsia" w:cstheme="minorEastAsia"/>
                <w:snapToGrid w:val="0"/>
                <w:color w:val="auto"/>
                <w:kern w:val="0"/>
                <w:szCs w:val="21"/>
                <w:lang w:val="zh-CN"/>
              </w:rPr>
              <w:t>磋商小组。</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77" w:hRule="atLeast"/>
          <w:jc w:val="center"/>
        </w:trPr>
        <w:tc>
          <w:tcPr>
            <w:tcW w:w="814" w:type="dxa"/>
            <w:vAlign w:val="center"/>
          </w:tcPr>
          <w:p>
            <w:pPr>
              <w:autoSpaceDE w:val="0"/>
              <w:autoSpaceDN w:val="0"/>
              <w:adjustRightInd w:val="0"/>
              <w:spacing w:before="31" w:beforeLines="10" w:after="31" w:afterLines="10"/>
              <w:ind w:left="21" w:leftChars="10" w:right="21" w:rightChars="10"/>
              <w:jc w:val="center"/>
              <w:rPr>
                <w:rFonts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27.3</w:t>
            </w:r>
          </w:p>
        </w:tc>
        <w:tc>
          <w:tcPr>
            <w:tcW w:w="2127" w:type="dxa"/>
            <w:vAlign w:val="center"/>
          </w:tcPr>
          <w:p>
            <w:pPr>
              <w:autoSpaceDE w:val="0"/>
              <w:autoSpaceDN w:val="0"/>
              <w:adjustRightInd w:val="0"/>
              <w:spacing w:before="31" w:beforeLines="10" w:after="31" w:afterLines="10"/>
              <w:ind w:left="21" w:leftChars="10" w:right="21" w:rightChars="10"/>
              <w:jc w:val="center"/>
              <w:rPr>
                <w:rFonts w:asciiTheme="minorEastAsia" w:hAnsiTheme="minorEastAsia" w:eastAsiaTheme="minorEastAsia" w:cstheme="minorEastAsia"/>
                <w:snapToGrid w:val="0"/>
                <w:color w:val="auto"/>
                <w:kern w:val="0"/>
                <w:szCs w:val="21"/>
                <w:lang w:val="zh-CN"/>
              </w:rPr>
            </w:pPr>
            <w:r>
              <w:rPr>
                <w:rFonts w:hint="eastAsia" w:asciiTheme="minorEastAsia" w:hAnsiTheme="minorEastAsia" w:eastAsiaTheme="minorEastAsia" w:cstheme="minorEastAsia"/>
                <w:snapToGrid w:val="0"/>
                <w:color w:val="auto"/>
                <w:kern w:val="0"/>
                <w:szCs w:val="21"/>
                <w:lang w:val="zh-CN"/>
              </w:rPr>
              <w:t>推荐成交候选</w:t>
            </w:r>
            <w:r>
              <w:rPr>
                <w:rFonts w:hint="eastAsia" w:asciiTheme="minorEastAsia" w:hAnsiTheme="minorEastAsia" w:eastAsiaTheme="minorEastAsia" w:cstheme="minorEastAsia"/>
                <w:snapToGrid w:val="0"/>
                <w:color w:val="auto"/>
                <w:kern w:val="0"/>
                <w:szCs w:val="21"/>
              </w:rPr>
              <w:t>供应商</w:t>
            </w:r>
            <w:r>
              <w:rPr>
                <w:rFonts w:hint="eastAsia" w:asciiTheme="minorEastAsia" w:hAnsiTheme="minorEastAsia" w:eastAsiaTheme="minorEastAsia" w:cstheme="minorEastAsia"/>
                <w:snapToGrid w:val="0"/>
                <w:color w:val="auto"/>
                <w:kern w:val="0"/>
                <w:szCs w:val="21"/>
                <w:lang w:val="zh-CN"/>
              </w:rPr>
              <w:t>数量</w:t>
            </w:r>
          </w:p>
        </w:tc>
        <w:tc>
          <w:tcPr>
            <w:tcW w:w="6130" w:type="dxa"/>
            <w:vAlign w:val="center"/>
          </w:tcPr>
          <w:p>
            <w:pPr>
              <w:autoSpaceDE w:val="0"/>
              <w:autoSpaceDN w:val="0"/>
              <w:adjustRightInd w:val="0"/>
              <w:jc w:val="left"/>
              <w:rPr>
                <w:rFonts w:asciiTheme="minorEastAsia" w:hAnsiTheme="minorEastAsia" w:eastAsiaTheme="minorEastAsia" w:cstheme="minorEastAsia"/>
                <w:bCs/>
                <w:color w:val="auto"/>
                <w:kern w:val="44"/>
                <w:szCs w:val="21"/>
              </w:rPr>
            </w:pPr>
            <w:r>
              <w:rPr>
                <w:rFonts w:hint="eastAsia" w:asciiTheme="minorEastAsia" w:hAnsiTheme="minorEastAsia" w:eastAsiaTheme="minorEastAsia" w:cstheme="minorEastAsia"/>
                <w:bCs/>
                <w:color w:val="auto"/>
                <w:kern w:val="44"/>
                <w:szCs w:val="21"/>
              </w:rPr>
              <w:t>本项目推荐</w:t>
            </w:r>
            <w:r>
              <w:rPr>
                <w:rFonts w:hint="eastAsia" w:asciiTheme="minorEastAsia" w:hAnsiTheme="minorEastAsia" w:eastAsiaTheme="minorEastAsia" w:cstheme="minorEastAsia"/>
                <w:bCs/>
                <w:color w:val="auto"/>
                <w:kern w:val="44"/>
                <w:szCs w:val="21"/>
                <w:u w:val="single"/>
              </w:rPr>
              <w:t>3</w:t>
            </w:r>
            <w:r>
              <w:rPr>
                <w:rFonts w:hint="eastAsia" w:asciiTheme="minorEastAsia" w:hAnsiTheme="minorEastAsia" w:eastAsiaTheme="minorEastAsia" w:cstheme="minorEastAsia"/>
                <w:bCs/>
                <w:color w:val="auto"/>
                <w:kern w:val="44"/>
                <w:szCs w:val="21"/>
              </w:rPr>
              <w:t>名成交候选供应商。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77" w:hRule="atLeast"/>
          <w:jc w:val="center"/>
        </w:trPr>
        <w:tc>
          <w:tcPr>
            <w:tcW w:w="814" w:type="dxa"/>
            <w:vAlign w:val="center"/>
          </w:tcPr>
          <w:p>
            <w:pPr>
              <w:autoSpaceDE w:val="0"/>
              <w:autoSpaceDN w:val="0"/>
              <w:adjustRightInd w:val="0"/>
              <w:spacing w:before="31" w:beforeLines="10" w:after="31" w:afterLines="10"/>
              <w:ind w:left="21" w:leftChars="10" w:right="21" w:rightChars="10"/>
              <w:jc w:val="center"/>
              <w:rPr>
                <w:rFonts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28.5</w:t>
            </w:r>
          </w:p>
        </w:tc>
        <w:tc>
          <w:tcPr>
            <w:tcW w:w="2127" w:type="dxa"/>
            <w:vAlign w:val="center"/>
          </w:tcPr>
          <w:p>
            <w:pPr>
              <w:autoSpaceDE w:val="0"/>
              <w:autoSpaceDN w:val="0"/>
              <w:adjustRightInd w:val="0"/>
              <w:spacing w:before="31" w:beforeLines="10" w:after="31" w:afterLines="10"/>
              <w:ind w:left="21" w:leftChars="10" w:right="21" w:rightChars="10"/>
              <w:jc w:val="center"/>
              <w:rPr>
                <w:rFonts w:asciiTheme="minorEastAsia" w:hAnsiTheme="minorEastAsia" w:eastAsiaTheme="minorEastAsia" w:cstheme="minorEastAsia"/>
                <w:snapToGrid w:val="0"/>
                <w:color w:val="auto"/>
                <w:kern w:val="0"/>
                <w:szCs w:val="21"/>
                <w:lang w:val="zh-CN"/>
              </w:rPr>
            </w:pPr>
            <w:r>
              <w:rPr>
                <w:rFonts w:hint="eastAsia" w:asciiTheme="minorEastAsia" w:hAnsiTheme="minorEastAsia" w:eastAsiaTheme="minorEastAsia" w:cstheme="minorEastAsia"/>
                <w:snapToGrid w:val="0"/>
                <w:color w:val="auto"/>
                <w:kern w:val="0"/>
                <w:szCs w:val="21"/>
                <w:lang w:val="zh-CN"/>
              </w:rPr>
              <w:t>成交通知书的领取</w:t>
            </w:r>
            <w:r>
              <w:rPr>
                <w:rFonts w:hint="eastAsia" w:asciiTheme="minorEastAsia" w:hAnsiTheme="minorEastAsia" w:eastAsiaTheme="minorEastAsia" w:cstheme="minorEastAsia"/>
                <w:snapToGrid w:val="0"/>
                <w:color w:val="auto"/>
                <w:kern w:val="0"/>
                <w:szCs w:val="21"/>
              </w:rPr>
              <w:t>时</w:t>
            </w:r>
            <w:r>
              <w:rPr>
                <w:rFonts w:hint="eastAsia" w:asciiTheme="minorEastAsia" w:hAnsiTheme="minorEastAsia" w:eastAsiaTheme="minorEastAsia" w:cstheme="minorEastAsia"/>
                <w:snapToGrid w:val="0"/>
                <w:color w:val="auto"/>
                <w:kern w:val="0"/>
                <w:szCs w:val="21"/>
                <w:lang w:val="zh-CN"/>
              </w:rPr>
              <w:t>间</w:t>
            </w:r>
          </w:p>
        </w:tc>
        <w:tc>
          <w:tcPr>
            <w:tcW w:w="6130" w:type="dxa"/>
            <w:vAlign w:val="center"/>
          </w:tcPr>
          <w:p>
            <w:pPr>
              <w:autoSpaceDE w:val="0"/>
              <w:autoSpaceDN w:val="0"/>
              <w:adjustRightInd w:val="0"/>
              <w:jc w:val="left"/>
              <w:rPr>
                <w:rFonts w:asciiTheme="minorEastAsia" w:hAnsiTheme="minorEastAsia" w:eastAsiaTheme="minorEastAsia" w:cstheme="minorEastAsia"/>
                <w:bCs/>
                <w:color w:val="auto"/>
                <w:kern w:val="44"/>
                <w:szCs w:val="21"/>
              </w:rPr>
            </w:pPr>
            <w:r>
              <w:rPr>
                <w:rFonts w:hint="eastAsia" w:asciiTheme="minorEastAsia" w:hAnsiTheme="minorEastAsia" w:eastAsiaTheme="minorEastAsia" w:cstheme="minorEastAsia"/>
                <w:bCs/>
                <w:color w:val="auto"/>
                <w:kern w:val="44"/>
                <w:szCs w:val="21"/>
              </w:rPr>
              <w:t>成交通知书与成交结果公告同时发出，成交供应商在成交结果公告</w:t>
            </w:r>
          </w:p>
          <w:p>
            <w:pPr>
              <w:autoSpaceDE w:val="0"/>
              <w:autoSpaceDN w:val="0"/>
              <w:adjustRightInd w:val="0"/>
              <w:jc w:val="left"/>
              <w:rPr>
                <w:rFonts w:asciiTheme="minorEastAsia" w:hAnsiTheme="minorEastAsia" w:eastAsiaTheme="minorEastAsia" w:cstheme="minorEastAsia"/>
                <w:bCs/>
                <w:color w:val="auto"/>
                <w:kern w:val="44"/>
                <w:szCs w:val="21"/>
              </w:rPr>
            </w:pPr>
            <w:r>
              <w:rPr>
                <w:rFonts w:hint="eastAsia" w:asciiTheme="minorEastAsia" w:hAnsiTheme="minorEastAsia" w:eastAsiaTheme="minorEastAsia" w:cstheme="minorEastAsia"/>
                <w:bCs/>
                <w:color w:val="auto"/>
                <w:kern w:val="44"/>
                <w:szCs w:val="21"/>
              </w:rPr>
              <w:t>发布以后即可联系采购代理机构领取。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77" w:hRule="atLeast"/>
          <w:jc w:val="center"/>
        </w:trPr>
        <w:tc>
          <w:tcPr>
            <w:tcW w:w="9071" w:type="dxa"/>
            <w:gridSpan w:val="3"/>
            <w:vAlign w:val="center"/>
          </w:tcPr>
          <w:p>
            <w:pPr>
              <w:autoSpaceDE w:val="0"/>
              <w:autoSpaceDN w:val="0"/>
              <w:adjustRightInd w:val="0"/>
              <w:snapToGrid w:val="0"/>
              <w:spacing w:before="31" w:beforeLines="10" w:after="31" w:afterLines="10"/>
              <w:ind w:right="21" w:rightChars="10"/>
              <w:jc w:val="center"/>
              <w:rPr>
                <w:rFonts w:asciiTheme="minorEastAsia" w:hAnsiTheme="minorEastAsia" w:eastAsiaTheme="minorEastAsia" w:cstheme="minorEastAsia"/>
                <w:color w:val="auto"/>
                <w:szCs w:val="21"/>
                <w:lang w:val="zh-CN"/>
              </w:rPr>
            </w:pPr>
            <w:r>
              <w:rPr>
                <w:rFonts w:hint="eastAsia" w:asciiTheme="minorEastAsia" w:hAnsiTheme="minorEastAsia" w:eastAsiaTheme="minorEastAsia" w:cstheme="minorEastAsia"/>
                <w:b/>
                <w:bCs/>
                <w:color w:val="auto"/>
                <w:szCs w:val="21"/>
              </w:rPr>
              <w:t>其他要求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77" w:hRule="atLeast"/>
          <w:jc w:val="center"/>
        </w:trPr>
        <w:tc>
          <w:tcPr>
            <w:tcW w:w="814" w:type="dxa"/>
            <w:vAlign w:val="center"/>
          </w:tcPr>
          <w:p>
            <w:pPr>
              <w:autoSpaceDE w:val="0"/>
              <w:autoSpaceDN w:val="0"/>
              <w:adjustRightInd w:val="0"/>
              <w:spacing w:before="31" w:beforeLines="10" w:after="31" w:afterLines="10"/>
              <w:ind w:left="21" w:leftChars="10" w:right="21" w:rightChars="10"/>
              <w:jc w:val="center"/>
              <w:rPr>
                <w:rFonts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1</w:t>
            </w:r>
          </w:p>
        </w:tc>
        <w:tc>
          <w:tcPr>
            <w:tcW w:w="2127" w:type="dxa"/>
            <w:vAlign w:val="center"/>
          </w:tcPr>
          <w:p>
            <w:pPr>
              <w:autoSpaceDE w:val="0"/>
              <w:autoSpaceDN w:val="0"/>
              <w:adjustRightInd w:val="0"/>
              <w:spacing w:before="31" w:beforeLines="10" w:after="31" w:afterLines="10"/>
              <w:ind w:left="21" w:leftChars="10" w:right="21" w:rightChars="10"/>
              <w:jc w:val="center"/>
              <w:rPr>
                <w:rFonts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报价方式</w:t>
            </w:r>
          </w:p>
        </w:tc>
        <w:tc>
          <w:tcPr>
            <w:tcW w:w="6130" w:type="dxa"/>
            <w:vAlign w:val="center"/>
          </w:tcPr>
          <w:p>
            <w:pPr>
              <w:autoSpaceDE w:val="0"/>
              <w:autoSpaceDN w:val="0"/>
              <w:adjustRightInd w:val="0"/>
              <w:snapToGrid w:val="0"/>
              <w:spacing w:before="31" w:beforeLines="10" w:after="31" w:afterLines="10"/>
              <w:ind w:right="21" w:rightChars="10"/>
              <w:jc w:val="left"/>
              <w:rPr>
                <w:rFonts w:asciiTheme="minorEastAsia" w:hAnsiTheme="minorEastAsia" w:eastAsiaTheme="minorEastAsia" w:cstheme="minorEastAsia"/>
                <w:color w:val="auto"/>
                <w:szCs w:val="21"/>
                <w:lang w:val="zh-CN"/>
              </w:rPr>
            </w:pPr>
            <w:r>
              <w:rPr>
                <w:rFonts w:hint="eastAsia" w:asciiTheme="minorEastAsia" w:hAnsiTheme="minorEastAsia" w:eastAsiaTheme="minorEastAsia" w:cstheme="minorEastAsia"/>
                <w:color w:val="auto"/>
                <w:szCs w:val="21"/>
                <w:lang w:val="zh-CN"/>
              </w:rPr>
              <w:t>本项目竞标报价为“交钥匙”价。竞标报价应包括完成该项目的货物</w:t>
            </w:r>
            <w:r>
              <w:rPr>
                <w:rFonts w:hint="eastAsia" w:asciiTheme="minorEastAsia" w:hAnsiTheme="minorEastAsia" w:eastAsiaTheme="minorEastAsia" w:cstheme="minorEastAsia"/>
                <w:color w:val="auto"/>
                <w:szCs w:val="21"/>
              </w:rPr>
              <w:t>本身</w:t>
            </w:r>
            <w:r>
              <w:rPr>
                <w:rFonts w:hint="eastAsia" w:asciiTheme="minorEastAsia" w:hAnsiTheme="minorEastAsia" w:eastAsiaTheme="minorEastAsia" w:cstheme="minorEastAsia"/>
                <w:color w:val="auto"/>
                <w:szCs w:val="21"/>
                <w:lang w:val="zh-CN"/>
              </w:rPr>
              <w:t>、包装、人工、运输、仓储、保险、各种税费、专利技术及质保期间等一切服务费用及其他售后服务等全部相关工作。合同签订后采购人未提出增加工作内容的情况下，合同价不得调整。</w:t>
            </w:r>
          </w:p>
          <w:p>
            <w:pPr>
              <w:autoSpaceDE w:val="0"/>
              <w:autoSpaceDN w:val="0"/>
              <w:adjustRightInd w:val="0"/>
              <w:snapToGrid w:val="0"/>
              <w:spacing w:before="31" w:beforeLines="10" w:after="31" w:afterLines="10"/>
              <w:ind w:right="21" w:rightChars="10"/>
              <w:jc w:val="left"/>
              <w:rPr>
                <w:rFonts w:asciiTheme="minorEastAsia" w:hAnsiTheme="minorEastAsia" w:eastAsiaTheme="minorEastAsia" w:cstheme="minorEastAsia"/>
                <w:color w:val="auto"/>
                <w:szCs w:val="21"/>
                <w:lang w:val="zh-CN"/>
              </w:rPr>
            </w:pPr>
            <w:r>
              <w:rPr>
                <w:rFonts w:hint="eastAsia" w:asciiTheme="minorEastAsia" w:hAnsiTheme="minorEastAsia" w:eastAsiaTheme="minorEastAsia" w:cstheme="minorEastAsia"/>
                <w:color w:val="auto"/>
                <w:szCs w:val="21"/>
                <w:lang w:val="zh-CN"/>
              </w:rPr>
              <w:t>各供应商按此要求进行报价，同时在合同实施过程中还将发生的其它费用</w:t>
            </w:r>
            <w:r>
              <w:rPr>
                <w:rFonts w:hint="eastAsia" w:asciiTheme="minorEastAsia" w:hAnsiTheme="minorEastAsia" w:eastAsiaTheme="minorEastAsia" w:cstheme="minorEastAsia"/>
                <w:color w:val="auto"/>
                <w:szCs w:val="21"/>
              </w:rPr>
              <w:t>也</w:t>
            </w:r>
            <w:r>
              <w:rPr>
                <w:rFonts w:hint="eastAsia" w:asciiTheme="minorEastAsia" w:hAnsiTheme="minorEastAsia" w:eastAsiaTheme="minorEastAsia" w:cstheme="minorEastAsia"/>
                <w:color w:val="auto"/>
                <w:szCs w:val="21"/>
                <w:lang w:val="zh-CN"/>
              </w:rPr>
              <w:t>应包含在总价中，对在合同实施过程中可能发生的其它费用（如：增加耗材、材料涨价、人工、运输成本增加等因素），</w:t>
            </w:r>
            <w:r>
              <w:rPr>
                <w:rFonts w:hint="eastAsia" w:asciiTheme="minorEastAsia" w:hAnsiTheme="minorEastAsia" w:eastAsiaTheme="minorEastAsia" w:cstheme="minorEastAsia"/>
                <w:color w:val="auto"/>
                <w:szCs w:val="21"/>
              </w:rPr>
              <w:t>采购人</w:t>
            </w:r>
            <w:r>
              <w:rPr>
                <w:rFonts w:hint="eastAsia" w:asciiTheme="minorEastAsia" w:hAnsiTheme="minorEastAsia" w:eastAsiaTheme="minorEastAsia" w:cstheme="minorEastAsia"/>
                <w:color w:val="auto"/>
                <w:szCs w:val="21"/>
                <w:lang w:val="zh-CN"/>
              </w:rPr>
              <w:t>概不负责。</w:t>
            </w:r>
          </w:p>
          <w:p>
            <w:pPr>
              <w:autoSpaceDE w:val="0"/>
              <w:autoSpaceDN w:val="0"/>
              <w:adjustRightInd w:val="0"/>
              <w:snapToGrid w:val="0"/>
              <w:spacing w:before="31" w:beforeLines="10" w:after="31" w:afterLines="10"/>
              <w:ind w:right="21" w:rightChars="10"/>
              <w:jc w:val="left"/>
              <w:rPr>
                <w:rFonts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lang w:val="zh-CN"/>
              </w:rPr>
              <w:t>对于</w:t>
            </w:r>
            <w:r>
              <w:rPr>
                <w:rFonts w:hint="eastAsia" w:asciiTheme="minorEastAsia" w:hAnsiTheme="minorEastAsia" w:eastAsiaTheme="minorEastAsia" w:cstheme="minorEastAsia"/>
                <w:color w:val="auto"/>
                <w:szCs w:val="21"/>
              </w:rPr>
              <w:t>磋商</w:t>
            </w:r>
            <w:r>
              <w:rPr>
                <w:rFonts w:hint="eastAsia" w:asciiTheme="minorEastAsia" w:hAnsiTheme="minorEastAsia" w:eastAsiaTheme="minorEastAsia" w:cstheme="minorEastAsia"/>
                <w:color w:val="auto"/>
                <w:szCs w:val="21"/>
                <w:lang w:val="zh-CN"/>
              </w:rPr>
              <w:t>文件未列明，而</w:t>
            </w:r>
            <w:r>
              <w:rPr>
                <w:rFonts w:hint="eastAsia" w:asciiTheme="minorEastAsia" w:hAnsiTheme="minorEastAsia" w:eastAsiaTheme="minorEastAsia" w:cstheme="minorEastAsia"/>
                <w:color w:val="auto"/>
                <w:szCs w:val="21"/>
              </w:rPr>
              <w:t>磋商</w:t>
            </w:r>
            <w:r>
              <w:rPr>
                <w:rFonts w:hint="eastAsia" w:asciiTheme="minorEastAsia" w:hAnsiTheme="minorEastAsia" w:eastAsiaTheme="minorEastAsia" w:cstheme="minorEastAsia"/>
                <w:color w:val="auto"/>
                <w:szCs w:val="21"/>
                <w:lang w:val="zh-CN"/>
              </w:rPr>
              <w:t>供应商认为</w:t>
            </w:r>
            <w:r>
              <w:rPr>
                <w:rFonts w:hint="eastAsia" w:asciiTheme="minorEastAsia" w:hAnsiTheme="minorEastAsia" w:eastAsiaTheme="minorEastAsia" w:cstheme="minorEastAsia"/>
                <w:color w:val="auto"/>
                <w:szCs w:val="21"/>
              </w:rPr>
              <w:t>必须</w:t>
            </w:r>
            <w:r>
              <w:rPr>
                <w:rFonts w:hint="eastAsia" w:asciiTheme="minorEastAsia" w:hAnsiTheme="minorEastAsia" w:eastAsiaTheme="minorEastAsia" w:cstheme="minorEastAsia"/>
                <w:color w:val="auto"/>
                <w:szCs w:val="21"/>
                <w:lang w:val="zh-CN"/>
              </w:rPr>
              <w:t>的费用也需列入总报价。在合同实施时，采购人将不予支付</w:t>
            </w:r>
            <w:r>
              <w:rPr>
                <w:rFonts w:hint="eastAsia" w:asciiTheme="minorEastAsia" w:hAnsiTheme="minorEastAsia" w:eastAsiaTheme="minorEastAsia" w:cstheme="minorEastAsia"/>
                <w:color w:val="auto"/>
                <w:szCs w:val="21"/>
              </w:rPr>
              <w:t>成交</w:t>
            </w:r>
            <w:r>
              <w:rPr>
                <w:rFonts w:hint="eastAsia" w:asciiTheme="minorEastAsia" w:hAnsiTheme="minorEastAsia" w:eastAsiaTheme="minorEastAsia" w:cstheme="minorEastAsia"/>
                <w:color w:val="auto"/>
                <w:szCs w:val="21"/>
                <w:lang w:val="zh-CN"/>
              </w:rPr>
              <w:t>供应商没有列入的项目费用，并认为此项目的费用已包括在投标总报价中。</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77" w:hRule="atLeast"/>
          <w:jc w:val="center"/>
        </w:trPr>
        <w:tc>
          <w:tcPr>
            <w:tcW w:w="814" w:type="dxa"/>
            <w:vAlign w:val="center"/>
          </w:tcPr>
          <w:p>
            <w:pPr>
              <w:autoSpaceDE w:val="0"/>
              <w:autoSpaceDN w:val="0"/>
              <w:adjustRightInd w:val="0"/>
              <w:spacing w:before="31" w:beforeLines="10" w:after="31" w:afterLines="10"/>
              <w:ind w:left="21" w:leftChars="10" w:right="21" w:rightChars="10"/>
              <w:jc w:val="center"/>
              <w:rPr>
                <w:rFonts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2</w:t>
            </w:r>
          </w:p>
        </w:tc>
        <w:tc>
          <w:tcPr>
            <w:tcW w:w="2127" w:type="dxa"/>
            <w:vAlign w:val="center"/>
          </w:tcPr>
          <w:p>
            <w:pPr>
              <w:autoSpaceDE w:val="0"/>
              <w:autoSpaceDN w:val="0"/>
              <w:adjustRightInd w:val="0"/>
              <w:spacing w:before="31" w:beforeLines="10" w:after="31" w:afterLines="10"/>
              <w:ind w:left="21" w:leftChars="10" w:right="21" w:rightChars="10"/>
              <w:jc w:val="center"/>
              <w:rPr>
                <w:rFonts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踏勘现场</w:t>
            </w:r>
          </w:p>
        </w:tc>
        <w:tc>
          <w:tcPr>
            <w:tcW w:w="6130" w:type="dxa"/>
            <w:vAlign w:val="center"/>
          </w:tcPr>
          <w:p>
            <w:pPr>
              <w:autoSpaceDE w:val="0"/>
              <w:autoSpaceDN w:val="0"/>
              <w:adjustRightInd w:val="0"/>
              <w:snapToGrid w:val="0"/>
              <w:spacing w:before="31" w:beforeLines="10" w:after="31" w:afterLines="10"/>
              <w:ind w:right="21" w:rightChars="10"/>
              <w:jc w:val="left"/>
              <w:rPr>
                <w:rFonts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☑采购人不组织统一踏勘，请各供应商自行踏勘现场；</w:t>
            </w:r>
          </w:p>
          <w:p>
            <w:pPr>
              <w:autoSpaceDE w:val="0"/>
              <w:autoSpaceDN w:val="0"/>
              <w:adjustRightInd w:val="0"/>
              <w:snapToGrid w:val="0"/>
              <w:spacing w:before="31" w:beforeLines="10" w:after="31" w:afterLines="10"/>
              <w:ind w:right="21" w:rightChars="10"/>
              <w:jc w:val="left"/>
              <w:rPr>
                <w:rFonts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□组织，踏勘时间：</w:t>
            </w:r>
          </w:p>
          <w:p>
            <w:pPr>
              <w:autoSpaceDE w:val="0"/>
              <w:autoSpaceDN w:val="0"/>
              <w:adjustRightInd w:val="0"/>
              <w:snapToGrid w:val="0"/>
              <w:spacing w:before="31" w:beforeLines="10" w:after="31" w:afterLines="10"/>
              <w:ind w:right="21" w:rightChars="10"/>
              <w:jc w:val="left"/>
              <w:rPr>
                <w:rFonts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踏勘集中地点：</w:t>
            </w:r>
          </w:p>
          <w:p>
            <w:pPr>
              <w:autoSpaceDE w:val="0"/>
              <w:autoSpaceDN w:val="0"/>
              <w:adjustRightInd w:val="0"/>
              <w:snapToGrid w:val="0"/>
              <w:spacing w:before="31" w:beforeLines="10" w:after="31" w:afterLines="10"/>
              <w:ind w:right="21" w:rightChars="10"/>
              <w:jc w:val="left"/>
              <w:rPr>
                <w:rFonts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踏勘联系人：</w:t>
            </w:r>
          </w:p>
          <w:p>
            <w:pPr>
              <w:autoSpaceDE w:val="0"/>
              <w:autoSpaceDN w:val="0"/>
              <w:adjustRightInd w:val="0"/>
              <w:snapToGrid w:val="0"/>
              <w:spacing w:before="31" w:beforeLines="10" w:after="31" w:afterLines="10"/>
              <w:ind w:right="21" w:rightChars="10"/>
              <w:jc w:val="left"/>
              <w:rPr>
                <w:rFonts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注：</w:t>
            </w:r>
          </w:p>
          <w:p>
            <w:pPr>
              <w:autoSpaceDE w:val="0"/>
              <w:autoSpaceDN w:val="0"/>
              <w:adjustRightInd w:val="0"/>
              <w:snapToGrid w:val="0"/>
              <w:spacing w:before="31" w:beforeLines="10" w:after="31" w:afterLines="10"/>
              <w:ind w:right="21" w:rightChars="10"/>
              <w:jc w:val="left"/>
              <w:rPr>
                <w:rFonts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（1）供应商承担踏勘现场所发生的自身费用；</w:t>
            </w:r>
          </w:p>
          <w:p>
            <w:pPr>
              <w:autoSpaceDE w:val="0"/>
              <w:autoSpaceDN w:val="0"/>
              <w:adjustRightInd w:val="0"/>
              <w:snapToGrid w:val="0"/>
              <w:spacing w:before="31" w:beforeLines="10" w:after="31" w:afterLines="10"/>
              <w:ind w:right="21" w:rightChars="10"/>
              <w:jc w:val="left"/>
              <w:rPr>
                <w:rFonts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（2）供应商应承担踏勘现场的责任和风险。</w:t>
            </w:r>
          </w:p>
          <w:p>
            <w:pPr>
              <w:autoSpaceDE w:val="0"/>
              <w:autoSpaceDN w:val="0"/>
              <w:adjustRightInd w:val="0"/>
              <w:snapToGrid w:val="0"/>
              <w:spacing w:before="31" w:beforeLines="10" w:after="31" w:afterLines="10"/>
              <w:ind w:right="21" w:rightChars="10"/>
              <w:jc w:val="left"/>
              <w:rPr>
                <w:rFonts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（3）采购人在踏勘现场中介绍的项目背景及项目现场和相关的周边环境情况，供应商在编制响应文件时参考，采购人和采购代理机构不对供应商据此作出的判断和决策负责。</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77" w:hRule="atLeast"/>
          <w:jc w:val="center"/>
        </w:trPr>
        <w:tc>
          <w:tcPr>
            <w:tcW w:w="814" w:type="dxa"/>
            <w:vAlign w:val="center"/>
          </w:tcPr>
          <w:p>
            <w:pPr>
              <w:autoSpaceDE w:val="0"/>
              <w:autoSpaceDN w:val="0"/>
              <w:adjustRightInd w:val="0"/>
              <w:spacing w:before="31" w:beforeLines="10" w:after="31" w:afterLines="10"/>
              <w:ind w:left="21" w:leftChars="10" w:right="21" w:rightChars="10"/>
              <w:jc w:val="center"/>
              <w:rPr>
                <w:rFonts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3</w:t>
            </w:r>
          </w:p>
        </w:tc>
        <w:tc>
          <w:tcPr>
            <w:tcW w:w="2127" w:type="dxa"/>
            <w:vAlign w:val="center"/>
          </w:tcPr>
          <w:p>
            <w:pPr>
              <w:autoSpaceDE w:val="0"/>
              <w:autoSpaceDN w:val="0"/>
              <w:adjustRightInd w:val="0"/>
              <w:spacing w:before="31" w:beforeLines="10" w:after="31" w:afterLines="10"/>
              <w:ind w:left="21" w:leftChars="10" w:right="21" w:rightChars="10"/>
              <w:jc w:val="center"/>
              <w:rPr>
                <w:rFonts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核心产品</w:t>
            </w:r>
          </w:p>
        </w:tc>
        <w:tc>
          <w:tcPr>
            <w:tcW w:w="6130" w:type="dxa"/>
            <w:vAlign w:val="center"/>
          </w:tcPr>
          <w:p>
            <w:pPr>
              <w:autoSpaceDE w:val="0"/>
              <w:autoSpaceDN w:val="0"/>
              <w:adjustRightInd w:val="0"/>
              <w:snapToGrid w:val="0"/>
              <w:spacing w:before="31" w:beforeLines="10" w:after="31" w:afterLines="10"/>
              <w:ind w:right="21" w:rightChars="10"/>
              <w:jc w:val="left"/>
              <w:rPr>
                <w:rFonts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本项目核心产品：</w:t>
            </w:r>
            <w:r>
              <w:rPr>
                <w:rFonts w:hint="eastAsia" w:asciiTheme="minorEastAsia" w:hAnsiTheme="minorEastAsia" w:eastAsiaTheme="minorEastAsia" w:cstheme="minorEastAsia"/>
                <w:color w:val="auto"/>
                <w:szCs w:val="21"/>
                <w:u w:val="single"/>
              </w:rPr>
              <w:t xml:space="preserve"> </w:t>
            </w:r>
            <w:r>
              <w:rPr>
                <w:rFonts w:hint="eastAsia" w:asciiTheme="minorEastAsia" w:hAnsiTheme="minorEastAsia" w:eastAsiaTheme="minorEastAsia" w:cstheme="minorEastAsia"/>
                <w:b/>
                <w:bCs/>
                <w:color w:val="auto"/>
                <w:szCs w:val="21"/>
                <w:u w:val="single"/>
              </w:rPr>
              <w:t>电机控制硬件在环仿真系统、SIC逆变器集成开发环境</w:t>
            </w:r>
            <w:r>
              <w:rPr>
                <w:rFonts w:hint="eastAsia" w:asciiTheme="minorEastAsia" w:hAnsiTheme="minorEastAsia" w:eastAsiaTheme="minorEastAsia" w:cstheme="minorEastAsia"/>
                <w:color w:val="auto"/>
                <w:szCs w:val="21"/>
                <w:u w:val="single"/>
              </w:rPr>
              <w:t xml:space="preserve">   </w:t>
            </w:r>
          </w:p>
          <w:p>
            <w:pPr>
              <w:autoSpaceDE w:val="0"/>
              <w:autoSpaceDN w:val="0"/>
              <w:adjustRightInd w:val="0"/>
              <w:snapToGrid w:val="0"/>
              <w:spacing w:before="31" w:beforeLines="10" w:after="31" w:afterLines="10"/>
              <w:ind w:right="21" w:rightChars="10"/>
              <w:jc w:val="left"/>
              <w:rPr>
                <w:rFonts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1）提供相同品牌核心产品且通过资格审查、符合性审查的不同供应商参加同一合同项下竞标的，按一家供应商计算，评审后得分最高的同品牌供应商获得成交供应商推荐资格；评审得分相同的，采取随机抽取方式确定，其他同品牌供应商不作为中标候选人。</w:t>
            </w:r>
          </w:p>
          <w:p>
            <w:pPr>
              <w:autoSpaceDE w:val="0"/>
              <w:autoSpaceDN w:val="0"/>
              <w:adjustRightInd w:val="0"/>
              <w:snapToGrid w:val="0"/>
              <w:spacing w:before="31" w:beforeLines="10" w:after="31" w:afterLines="10"/>
              <w:ind w:right="21" w:rightChars="10"/>
              <w:jc w:val="left"/>
              <w:rPr>
                <w:rFonts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（2）若核心产品不止 1 个，各供应商所投任一核心产品的品牌相同，则按一家供应商计算。</w:t>
            </w:r>
          </w:p>
        </w:tc>
      </w:tr>
    </w:tbl>
    <w:p>
      <w:pPr>
        <w:spacing w:line="360" w:lineRule="auto"/>
        <w:outlineLvl w:val="1"/>
        <w:rPr>
          <w:rFonts w:asciiTheme="minorEastAsia" w:hAnsiTheme="minorEastAsia" w:eastAsiaTheme="minorEastAsia" w:cstheme="minorEastAsia"/>
          <w:b/>
          <w:color w:val="auto"/>
          <w:szCs w:val="21"/>
        </w:rPr>
      </w:pPr>
      <w:bookmarkStart w:id="27" w:name="_Toc23075"/>
      <w:r>
        <w:rPr>
          <w:rFonts w:hint="eastAsia" w:asciiTheme="minorEastAsia" w:hAnsiTheme="minorEastAsia" w:eastAsiaTheme="minorEastAsia" w:cstheme="minorEastAsia"/>
          <w:b/>
          <w:color w:val="auto"/>
          <w:szCs w:val="21"/>
        </w:rPr>
        <w:t>供应商须知</w:t>
      </w:r>
      <w:bookmarkEnd w:id="27"/>
    </w:p>
    <w:p>
      <w:pPr>
        <w:numPr>
          <w:ilvl w:val="1"/>
          <w:numId w:val="8"/>
        </w:numPr>
        <w:tabs>
          <w:tab w:val="left" w:pos="540"/>
          <w:tab w:val="clear" w:pos="840"/>
        </w:tabs>
        <w:spacing w:line="360" w:lineRule="auto"/>
        <w:ind w:left="540" w:hanging="540"/>
        <w:outlineLvl w:val="1"/>
        <w:rPr>
          <w:rFonts w:asciiTheme="minorEastAsia" w:hAnsiTheme="minorEastAsia" w:eastAsiaTheme="minorEastAsia" w:cstheme="minorEastAsia"/>
          <w:b/>
          <w:color w:val="auto"/>
          <w:szCs w:val="21"/>
        </w:rPr>
      </w:pPr>
      <w:bookmarkStart w:id="28" w:name="_Toc18457"/>
      <w:r>
        <w:rPr>
          <w:rFonts w:hint="eastAsia" w:asciiTheme="minorEastAsia" w:hAnsiTheme="minorEastAsia" w:eastAsiaTheme="minorEastAsia" w:cstheme="minorEastAsia"/>
          <w:b/>
          <w:color w:val="auto"/>
          <w:szCs w:val="21"/>
        </w:rPr>
        <w:t>总则</w:t>
      </w:r>
      <w:bookmarkEnd w:id="28"/>
    </w:p>
    <w:p>
      <w:pPr>
        <w:numPr>
          <w:ilvl w:val="0"/>
          <w:numId w:val="9"/>
        </w:numPr>
        <w:spacing w:line="360" w:lineRule="auto"/>
        <w:ind w:hanging="540"/>
        <w:outlineLvl w:val="1"/>
        <w:rPr>
          <w:rFonts w:asciiTheme="minorEastAsia" w:hAnsiTheme="minorEastAsia" w:eastAsiaTheme="minorEastAsia" w:cstheme="minorEastAsia"/>
          <w:b/>
          <w:color w:val="auto"/>
          <w:szCs w:val="21"/>
        </w:rPr>
      </w:pPr>
      <w:bookmarkStart w:id="29" w:name="_Toc17841"/>
      <w:bookmarkStart w:id="30" w:name="_Toc27243"/>
      <w:r>
        <w:rPr>
          <w:rFonts w:hint="eastAsia" w:asciiTheme="minorEastAsia" w:hAnsiTheme="minorEastAsia" w:eastAsiaTheme="minorEastAsia" w:cstheme="minorEastAsia"/>
          <w:b/>
          <w:color w:val="auto"/>
          <w:szCs w:val="21"/>
        </w:rPr>
        <w:t>适用法律及范围</w:t>
      </w:r>
      <w:bookmarkEnd w:id="29"/>
      <w:bookmarkEnd w:id="30"/>
    </w:p>
    <w:p>
      <w:pPr>
        <w:numPr>
          <w:ilvl w:val="1"/>
          <w:numId w:val="10"/>
        </w:numPr>
        <w:tabs>
          <w:tab w:val="left" w:pos="540"/>
          <w:tab w:val="clear" w:pos="360"/>
        </w:tabs>
        <w:spacing w:line="360" w:lineRule="auto"/>
        <w:ind w:left="540" w:hanging="540"/>
        <w:rPr>
          <w:rFonts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本竞争性磋商采购文件仅适用于本次竞争性磋商中所述的项目的采购。</w:t>
      </w:r>
    </w:p>
    <w:p>
      <w:pPr>
        <w:numPr>
          <w:ilvl w:val="0"/>
          <w:numId w:val="9"/>
        </w:numPr>
        <w:spacing w:line="360" w:lineRule="auto"/>
        <w:ind w:hanging="540"/>
        <w:outlineLvl w:val="1"/>
        <w:rPr>
          <w:rFonts w:asciiTheme="minorEastAsia" w:hAnsiTheme="minorEastAsia" w:eastAsiaTheme="minorEastAsia" w:cstheme="minorEastAsia"/>
          <w:b/>
          <w:color w:val="auto"/>
          <w:szCs w:val="21"/>
        </w:rPr>
      </w:pPr>
      <w:bookmarkStart w:id="31" w:name="_Toc30547"/>
      <w:bookmarkStart w:id="32" w:name="_Toc22187"/>
      <w:r>
        <w:rPr>
          <w:rFonts w:hint="eastAsia" w:asciiTheme="minorEastAsia" w:hAnsiTheme="minorEastAsia" w:eastAsiaTheme="minorEastAsia" w:cstheme="minorEastAsia"/>
          <w:b/>
          <w:color w:val="auto"/>
          <w:szCs w:val="21"/>
        </w:rPr>
        <w:t>定义</w:t>
      </w:r>
      <w:bookmarkEnd w:id="31"/>
      <w:bookmarkEnd w:id="32"/>
    </w:p>
    <w:p>
      <w:pPr>
        <w:numPr>
          <w:ilvl w:val="1"/>
          <w:numId w:val="11"/>
        </w:numPr>
        <w:tabs>
          <w:tab w:val="left" w:pos="540"/>
          <w:tab w:val="clear" w:pos="360"/>
        </w:tabs>
        <w:spacing w:line="360" w:lineRule="auto"/>
        <w:ind w:left="540" w:hanging="540"/>
        <w:rPr>
          <w:rFonts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“采购人”：本次磋商的采购人见《供应商须知前附表》。</w:t>
      </w:r>
    </w:p>
    <w:p>
      <w:pPr>
        <w:numPr>
          <w:ilvl w:val="1"/>
          <w:numId w:val="11"/>
        </w:numPr>
        <w:tabs>
          <w:tab w:val="left" w:pos="540"/>
          <w:tab w:val="clear" w:pos="360"/>
        </w:tabs>
        <w:spacing w:line="360" w:lineRule="auto"/>
        <w:ind w:left="540" w:hanging="540"/>
        <w:rPr>
          <w:rFonts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“监管部门”：本次磋商的监管部门见《供应商须知前附表》。</w:t>
      </w:r>
    </w:p>
    <w:p>
      <w:pPr>
        <w:numPr>
          <w:ilvl w:val="1"/>
          <w:numId w:val="11"/>
        </w:numPr>
        <w:tabs>
          <w:tab w:val="left" w:pos="540"/>
          <w:tab w:val="clear" w:pos="360"/>
        </w:tabs>
        <w:spacing w:line="360" w:lineRule="auto"/>
        <w:ind w:left="540" w:hanging="540"/>
        <w:rPr>
          <w:rFonts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“采购代理机构”：本次磋商的采购代理机构见《供应商须知前附表》。</w:t>
      </w:r>
    </w:p>
    <w:p>
      <w:pPr>
        <w:numPr>
          <w:ilvl w:val="1"/>
          <w:numId w:val="11"/>
        </w:numPr>
        <w:tabs>
          <w:tab w:val="left" w:pos="540"/>
          <w:tab w:val="clear" w:pos="360"/>
        </w:tabs>
        <w:spacing w:line="360" w:lineRule="auto"/>
        <w:ind w:left="540" w:hanging="540"/>
        <w:rPr>
          <w:rFonts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“供应商”是指获取本竞争性磋商采购文件的法人、其他组织或者自然人。</w:t>
      </w:r>
    </w:p>
    <w:p>
      <w:pPr>
        <w:numPr>
          <w:ilvl w:val="1"/>
          <w:numId w:val="11"/>
        </w:numPr>
        <w:tabs>
          <w:tab w:val="left" w:pos="540"/>
          <w:tab w:val="clear" w:pos="360"/>
        </w:tabs>
        <w:spacing w:line="360" w:lineRule="auto"/>
        <w:ind w:left="540" w:hanging="540"/>
        <w:rPr>
          <w:rFonts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“磋商供应商”是指</w:t>
      </w:r>
    </w:p>
    <w:p>
      <w:pPr>
        <w:numPr>
          <w:ilvl w:val="3"/>
          <w:numId w:val="9"/>
        </w:numPr>
        <w:tabs>
          <w:tab w:val="left" w:pos="0"/>
          <w:tab w:val="clear" w:pos="2040"/>
        </w:tabs>
        <w:spacing w:line="360" w:lineRule="auto"/>
        <w:ind w:left="0" w:firstLine="0"/>
        <w:rPr>
          <w:rFonts w:asciiTheme="minorEastAsia" w:hAnsiTheme="minorEastAsia" w:eastAsiaTheme="minorEastAsia" w:cstheme="minorEastAsia"/>
          <w:color w:val="auto"/>
          <w:szCs w:val="21"/>
        </w:rPr>
      </w:pPr>
      <w:r>
        <w:rPr>
          <w:rFonts w:hint="eastAsia" w:asciiTheme="minorEastAsia" w:hAnsiTheme="minorEastAsia" w:eastAsiaTheme="minorEastAsia" w:cstheme="minorEastAsia"/>
          <w:snapToGrid w:val="0"/>
          <w:color w:val="auto"/>
          <w:kern w:val="0"/>
          <w:szCs w:val="21"/>
          <w:lang w:val="zh-CN"/>
        </w:rPr>
        <w:t>符合</w:t>
      </w:r>
      <w:r>
        <w:rPr>
          <w:rFonts w:hint="eastAsia" w:asciiTheme="minorEastAsia" w:hAnsiTheme="minorEastAsia" w:eastAsiaTheme="minorEastAsia" w:cstheme="minorEastAsia"/>
          <w:color w:val="auto"/>
          <w:szCs w:val="21"/>
        </w:rPr>
        <w:t>具备《中华人民共和国政府采购法》第二十二条规定的条件；</w:t>
      </w:r>
    </w:p>
    <w:p>
      <w:pPr>
        <w:numPr>
          <w:ilvl w:val="3"/>
          <w:numId w:val="9"/>
        </w:numPr>
        <w:tabs>
          <w:tab w:val="left" w:pos="0"/>
          <w:tab w:val="clear" w:pos="2040"/>
        </w:tabs>
        <w:spacing w:line="360" w:lineRule="auto"/>
        <w:ind w:left="0" w:firstLine="0"/>
        <w:rPr>
          <w:rFonts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符合《供应商须知前附表》的相应条件；</w:t>
      </w:r>
    </w:p>
    <w:p>
      <w:pPr>
        <w:numPr>
          <w:ilvl w:val="3"/>
          <w:numId w:val="9"/>
        </w:numPr>
        <w:tabs>
          <w:tab w:val="left" w:pos="0"/>
          <w:tab w:val="clear" w:pos="2040"/>
        </w:tabs>
        <w:spacing w:line="360" w:lineRule="auto"/>
        <w:ind w:left="0" w:firstLine="0"/>
        <w:rPr>
          <w:rFonts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通过竞争性磋商采购评定办法中初步审核的供应商。</w:t>
      </w:r>
    </w:p>
    <w:p>
      <w:pPr>
        <w:numPr>
          <w:ilvl w:val="1"/>
          <w:numId w:val="11"/>
        </w:numPr>
        <w:tabs>
          <w:tab w:val="left" w:pos="540"/>
          <w:tab w:val="clear" w:pos="360"/>
        </w:tabs>
        <w:spacing w:line="360" w:lineRule="auto"/>
        <w:ind w:left="540" w:hanging="540"/>
        <w:rPr>
          <w:rFonts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 xml:space="preserve"> “成交供应商”</w:t>
      </w:r>
      <w:r>
        <w:rPr>
          <w:rFonts w:hint="eastAsia" w:asciiTheme="minorEastAsia" w:hAnsiTheme="minorEastAsia" w:eastAsiaTheme="minorEastAsia" w:cstheme="minorEastAsia"/>
          <w:snapToGrid w:val="0"/>
          <w:color w:val="auto"/>
          <w:kern w:val="0"/>
          <w:szCs w:val="21"/>
          <w:lang w:val="zh-CN"/>
        </w:rPr>
        <w:t xml:space="preserve"> 是指经磋商小组评审推荐，采购人授予合同的供应商。</w:t>
      </w:r>
    </w:p>
    <w:p>
      <w:pPr>
        <w:numPr>
          <w:ilvl w:val="0"/>
          <w:numId w:val="9"/>
        </w:numPr>
        <w:spacing w:line="360" w:lineRule="auto"/>
        <w:ind w:hanging="540"/>
        <w:outlineLvl w:val="1"/>
        <w:rPr>
          <w:rFonts w:asciiTheme="minorEastAsia" w:hAnsiTheme="minorEastAsia" w:eastAsiaTheme="minorEastAsia" w:cstheme="minorEastAsia"/>
          <w:b/>
          <w:color w:val="auto"/>
          <w:szCs w:val="21"/>
        </w:rPr>
      </w:pPr>
      <w:bookmarkStart w:id="33" w:name="_Toc9707"/>
      <w:bookmarkStart w:id="34" w:name="_Toc30503"/>
      <w:r>
        <w:rPr>
          <w:rFonts w:hint="eastAsia" w:asciiTheme="minorEastAsia" w:hAnsiTheme="minorEastAsia" w:eastAsiaTheme="minorEastAsia" w:cstheme="minorEastAsia"/>
          <w:b/>
          <w:snapToGrid w:val="0"/>
          <w:color w:val="auto"/>
          <w:kern w:val="0"/>
          <w:szCs w:val="21"/>
          <w:lang w:val="zh-CN"/>
        </w:rPr>
        <w:t>工程、货物及服务</w:t>
      </w:r>
      <w:bookmarkEnd w:id="33"/>
      <w:bookmarkEnd w:id="34"/>
    </w:p>
    <w:p>
      <w:pPr>
        <w:numPr>
          <w:ilvl w:val="1"/>
          <w:numId w:val="12"/>
        </w:numPr>
        <w:tabs>
          <w:tab w:val="left" w:pos="525"/>
          <w:tab w:val="clear" w:pos="360"/>
        </w:tabs>
        <w:spacing w:line="360" w:lineRule="auto"/>
        <w:ind w:left="540" w:hanging="540"/>
        <w:rPr>
          <w:rFonts w:asciiTheme="minorEastAsia" w:hAnsiTheme="minorEastAsia" w:eastAsiaTheme="minorEastAsia" w:cstheme="minorEastAsia"/>
          <w:snapToGrid w:val="0"/>
          <w:color w:val="auto"/>
          <w:kern w:val="0"/>
          <w:szCs w:val="21"/>
          <w:lang w:val="zh-CN"/>
        </w:rPr>
      </w:pPr>
      <w:r>
        <w:rPr>
          <w:rFonts w:hint="eastAsia" w:asciiTheme="minorEastAsia" w:hAnsiTheme="minorEastAsia" w:eastAsiaTheme="minorEastAsia" w:cstheme="minorEastAsia"/>
          <w:snapToGrid w:val="0"/>
          <w:color w:val="auto"/>
          <w:kern w:val="0"/>
          <w:szCs w:val="21"/>
          <w:lang w:val="zh-CN"/>
        </w:rPr>
        <w:t>“工程”是指建设工程，包括建筑物和构筑物的新建、改建、扩建及其相关的装修、拆除、修缮等。</w:t>
      </w:r>
    </w:p>
    <w:p>
      <w:pPr>
        <w:numPr>
          <w:ilvl w:val="1"/>
          <w:numId w:val="12"/>
        </w:numPr>
        <w:tabs>
          <w:tab w:val="left" w:pos="525"/>
          <w:tab w:val="clear" w:pos="360"/>
        </w:tabs>
        <w:spacing w:line="360" w:lineRule="auto"/>
        <w:ind w:left="540" w:hanging="540"/>
        <w:rPr>
          <w:rFonts w:asciiTheme="minorEastAsia" w:hAnsiTheme="minorEastAsia" w:eastAsiaTheme="minorEastAsia" w:cstheme="minorEastAsia"/>
          <w:snapToGrid w:val="0"/>
          <w:color w:val="auto"/>
          <w:kern w:val="0"/>
          <w:szCs w:val="21"/>
          <w:lang w:val="zh-CN"/>
        </w:rPr>
      </w:pPr>
      <w:r>
        <w:rPr>
          <w:rFonts w:hint="eastAsia" w:asciiTheme="minorEastAsia" w:hAnsiTheme="minorEastAsia" w:eastAsiaTheme="minorEastAsia" w:cstheme="minorEastAsia"/>
          <w:snapToGrid w:val="0"/>
          <w:color w:val="auto"/>
          <w:kern w:val="0"/>
          <w:szCs w:val="21"/>
          <w:lang w:val="zh-CN"/>
        </w:rPr>
        <w:t>“货物”是指各种形态和种类的物品，包括原材料、燃料、设备、产品等。</w:t>
      </w:r>
    </w:p>
    <w:p>
      <w:pPr>
        <w:numPr>
          <w:ilvl w:val="1"/>
          <w:numId w:val="12"/>
        </w:numPr>
        <w:tabs>
          <w:tab w:val="left" w:pos="540"/>
          <w:tab w:val="clear" w:pos="360"/>
        </w:tabs>
        <w:spacing w:line="360" w:lineRule="auto"/>
        <w:ind w:left="540" w:hanging="540"/>
        <w:rPr>
          <w:rFonts w:asciiTheme="minorEastAsia" w:hAnsiTheme="minorEastAsia" w:eastAsiaTheme="minorEastAsia" w:cstheme="minorEastAsia"/>
          <w:snapToGrid w:val="0"/>
          <w:color w:val="auto"/>
          <w:kern w:val="0"/>
          <w:szCs w:val="21"/>
          <w:lang w:val="zh-CN"/>
        </w:rPr>
      </w:pPr>
      <w:r>
        <w:rPr>
          <w:rFonts w:hint="eastAsia" w:asciiTheme="minorEastAsia" w:hAnsiTheme="minorEastAsia" w:eastAsiaTheme="minorEastAsia" w:cstheme="minorEastAsia"/>
          <w:snapToGrid w:val="0"/>
          <w:color w:val="auto"/>
          <w:kern w:val="0"/>
          <w:szCs w:val="21"/>
          <w:lang w:val="zh-CN"/>
        </w:rPr>
        <w:t>“服务”是指除货物（指各种形态和种类的物品，包括原材料、燃料、设备、产品等）和工程（指建设工程，包括建筑物和构筑物的新建、改建、扩建及其相关的装修、拆除、修缮等）以外的其他政府采购对象。</w:t>
      </w:r>
    </w:p>
    <w:p>
      <w:pPr>
        <w:numPr>
          <w:ilvl w:val="0"/>
          <w:numId w:val="9"/>
        </w:numPr>
        <w:spacing w:line="360" w:lineRule="auto"/>
        <w:ind w:hanging="540"/>
        <w:outlineLvl w:val="1"/>
        <w:rPr>
          <w:rFonts w:asciiTheme="minorEastAsia" w:hAnsiTheme="minorEastAsia" w:eastAsiaTheme="minorEastAsia" w:cstheme="minorEastAsia"/>
          <w:b/>
          <w:color w:val="auto"/>
          <w:szCs w:val="21"/>
        </w:rPr>
      </w:pPr>
      <w:bookmarkStart w:id="35" w:name="_Toc4948"/>
      <w:bookmarkStart w:id="36" w:name="_Toc9974"/>
      <w:r>
        <w:rPr>
          <w:rFonts w:hint="eastAsia" w:asciiTheme="minorEastAsia" w:hAnsiTheme="minorEastAsia" w:eastAsiaTheme="minorEastAsia" w:cstheme="minorEastAsia"/>
          <w:b/>
          <w:color w:val="auto"/>
          <w:szCs w:val="21"/>
        </w:rPr>
        <w:t>费用</w:t>
      </w:r>
      <w:bookmarkEnd w:id="35"/>
      <w:bookmarkEnd w:id="36"/>
      <w:r>
        <w:rPr>
          <w:rFonts w:hint="eastAsia" w:asciiTheme="minorEastAsia" w:hAnsiTheme="minorEastAsia" w:eastAsiaTheme="minorEastAsia" w:cstheme="minorEastAsia"/>
          <w:b/>
          <w:color w:val="auto"/>
          <w:szCs w:val="21"/>
        </w:rPr>
        <w:t xml:space="preserve">  </w:t>
      </w:r>
    </w:p>
    <w:p>
      <w:pPr>
        <w:numPr>
          <w:ilvl w:val="1"/>
          <w:numId w:val="13"/>
        </w:numPr>
        <w:tabs>
          <w:tab w:val="left" w:pos="540"/>
          <w:tab w:val="clear" w:pos="360"/>
        </w:tabs>
        <w:spacing w:line="360" w:lineRule="auto"/>
        <w:ind w:left="540" w:hanging="540"/>
        <w:rPr>
          <w:rFonts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供应商应承担所有与准备和参加磋商有关的费用，不论磋商的结果如何，采购人和采购代理机构均无义务和责任承担这些费用。</w:t>
      </w:r>
    </w:p>
    <w:p>
      <w:pPr>
        <w:numPr>
          <w:ilvl w:val="1"/>
          <w:numId w:val="13"/>
        </w:numPr>
        <w:tabs>
          <w:tab w:val="left" w:pos="540"/>
          <w:tab w:val="clear" w:pos="360"/>
        </w:tabs>
        <w:spacing w:line="360" w:lineRule="auto"/>
        <w:ind w:left="540" w:hanging="540"/>
        <w:rPr>
          <w:rFonts w:asciiTheme="minorEastAsia" w:hAnsiTheme="minorEastAsia" w:eastAsiaTheme="minorEastAsia" w:cstheme="minorEastAsia"/>
          <w:snapToGrid w:val="0"/>
          <w:color w:val="auto"/>
          <w:kern w:val="0"/>
          <w:szCs w:val="21"/>
          <w:lang w:val="zh-CN"/>
        </w:rPr>
      </w:pPr>
      <w:r>
        <w:rPr>
          <w:rFonts w:hint="eastAsia" w:asciiTheme="minorEastAsia" w:hAnsiTheme="minorEastAsia" w:eastAsiaTheme="minorEastAsia" w:cstheme="minorEastAsia"/>
          <w:snapToGrid w:val="0"/>
          <w:color w:val="auto"/>
          <w:kern w:val="0"/>
          <w:szCs w:val="21"/>
          <w:lang w:val="zh-CN"/>
        </w:rPr>
        <w:t>招标代理服务费：成交供应商须在收到成交通知书时向采购代理机构支付招标代理服务费。服务费支付标准和方法详见《供应商须知前附表》。</w:t>
      </w:r>
    </w:p>
    <w:p>
      <w:pPr>
        <w:numPr>
          <w:ilvl w:val="1"/>
          <w:numId w:val="13"/>
        </w:numPr>
        <w:tabs>
          <w:tab w:val="left" w:pos="540"/>
          <w:tab w:val="clear" w:pos="360"/>
        </w:tabs>
        <w:spacing w:line="360" w:lineRule="auto"/>
        <w:ind w:left="540" w:hanging="540"/>
        <w:rPr>
          <w:rFonts w:asciiTheme="minorEastAsia" w:hAnsiTheme="minorEastAsia" w:eastAsiaTheme="minorEastAsia" w:cstheme="minorEastAsia"/>
          <w:snapToGrid w:val="0"/>
          <w:color w:val="auto"/>
          <w:kern w:val="0"/>
          <w:szCs w:val="21"/>
        </w:rPr>
      </w:pPr>
      <w:r>
        <w:rPr>
          <w:rFonts w:hint="eastAsia" w:asciiTheme="minorEastAsia" w:hAnsiTheme="minorEastAsia" w:eastAsiaTheme="minorEastAsia" w:cstheme="minorEastAsia"/>
          <w:snapToGrid w:val="0"/>
          <w:color w:val="auto"/>
          <w:kern w:val="0"/>
          <w:szCs w:val="21"/>
        </w:rPr>
        <w:t>国家计委计价格[2002]1980 号规定标准收费：</w:t>
      </w:r>
    </w:p>
    <w:tbl>
      <w:tblPr>
        <w:tblStyle w:val="26"/>
        <w:tblW w:w="928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523"/>
        <w:gridCol w:w="2255"/>
        <w:gridCol w:w="2255"/>
        <w:gridCol w:w="225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4" w:hRule="atLeast"/>
          <w:jc w:val="center"/>
        </w:trPr>
        <w:tc>
          <w:tcPr>
            <w:tcW w:w="2523" w:type="dxa"/>
          </w:tcPr>
          <w:p>
            <w:pPr>
              <w:autoSpaceDE w:val="0"/>
              <w:autoSpaceDN w:val="0"/>
              <w:snapToGrid w:val="0"/>
              <w:spacing w:line="480" w:lineRule="exact"/>
              <w:jc w:val="center"/>
              <w:rPr>
                <w:rFonts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中标金额（万元）</w:t>
            </w:r>
          </w:p>
        </w:tc>
        <w:tc>
          <w:tcPr>
            <w:tcW w:w="2255" w:type="dxa"/>
          </w:tcPr>
          <w:p>
            <w:pPr>
              <w:autoSpaceDE w:val="0"/>
              <w:autoSpaceDN w:val="0"/>
              <w:snapToGrid w:val="0"/>
              <w:spacing w:line="480" w:lineRule="exact"/>
              <w:jc w:val="center"/>
              <w:rPr>
                <w:rFonts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货物</w:t>
            </w:r>
          </w:p>
        </w:tc>
        <w:tc>
          <w:tcPr>
            <w:tcW w:w="2255" w:type="dxa"/>
          </w:tcPr>
          <w:p>
            <w:pPr>
              <w:autoSpaceDE w:val="0"/>
              <w:autoSpaceDN w:val="0"/>
              <w:snapToGrid w:val="0"/>
              <w:spacing w:line="480" w:lineRule="exact"/>
              <w:jc w:val="center"/>
              <w:rPr>
                <w:rFonts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服务</w:t>
            </w:r>
          </w:p>
        </w:tc>
        <w:tc>
          <w:tcPr>
            <w:tcW w:w="2255" w:type="dxa"/>
          </w:tcPr>
          <w:p>
            <w:pPr>
              <w:autoSpaceDE w:val="0"/>
              <w:autoSpaceDN w:val="0"/>
              <w:snapToGrid w:val="0"/>
              <w:spacing w:line="480" w:lineRule="exact"/>
              <w:jc w:val="center"/>
              <w:rPr>
                <w:rFonts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工程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8" w:hRule="atLeast"/>
          <w:jc w:val="center"/>
        </w:trPr>
        <w:tc>
          <w:tcPr>
            <w:tcW w:w="2523" w:type="dxa"/>
          </w:tcPr>
          <w:p>
            <w:pPr>
              <w:autoSpaceDE w:val="0"/>
              <w:autoSpaceDN w:val="0"/>
              <w:snapToGrid w:val="0"/>
              <w:spacing w:line="480" w:lineRule="exact"/>
              <w:jc w:val="center"/>
              <w:rPr>
                <w:rFonts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100以下</w:t>
            </w:r>
          </w:p>
        </w:tc>
        <w:tc>
          <w:tcPr>
            <w:tcW w:w="2255" w:type="dxa"/>
          </w:tcPr>
          <w:p>
            <w:pPr>
              <w:autoSpaceDE w:val="0"/>
              <w:autoSpaceDN w:val="0"/>
              <w:snapToGrid w:val="0"/>
              <w:spacing w:line="480" w:lineRule="exact"/>
              <w:jc w:val="center"/>
              <w:rPr>
                <w:rFonts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1.5%</w:t>
            </w:r>
          </w:p>
        </w:tc>
        <w:tc>
          <w:tcPr>
            <w:tcW w:w="2255" w:type="dxa"/>
          </w:tcPr>
          <w:p>
            <w:pPr>
              <w:autoSpaceDE w:val="0"/>
              <w:autoSpaceDN w:val="0"/>
              <w:snapToGrid w:val="0"/>
              <w:spacing w:line="480" w:lineRule="exact"/>
              <w:jc w:val="center"/>
              <w:rPr>
                <w:rFonts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1.5%</w:t>
            </w:r>
          </w:p>
        </w:tc>
        <w:tc>
          <w:tcPr>
            <w:tcW w:w="2255" w:type="dxa"/>
          </w:tcPr>
          <w:p>
            <w:pPr>
              <w:autoSpaceDE w:val="0"/>
              <w:autoSpaceDN w:val="0"/>
              <w:snapToGrid w:val="0"/>
              <w:spacing w:line="480" w:lineRule="exact"/>
              <w:jc w:val="center"/>
              <w:rPr>
                <w:rFonts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1.0%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9" w:hRule="atLeast"/>
          <w:jc w:val="center"/>
        </w:trPr>
        <w:tc>
          <w:tcPr>
            <w:tcW w:w="2523" w:type="dxa"/>
          </w:tcPr>
          <w:p>
            <w:pPr>
              <w:autoSpaceDE w:val="0"/>
              <w:autoSpaceDN w:val="0"/>
              <w:snapToGrid w:val="0"/>
              <w:spacing w:line="480" w:lineRule="exact"/>
              <w:jc w:val="center"/>
              <w:rPr>
                <w:rFonts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100-500</w:t>
            </w:r>
          </w:p>
        </w:tc>
        <w:tc>
          <w:tcPr>
            <w:tcW w:w="2255" w:type="dxa"/>
          </w:tcPr>
          <w:p>
            <w:pPr>
              <w:autoSpaceDE w:val="0"/>
              <w:autoSpaceDN w:val="0"/>
              <w:snapToGrid w:val="0"/>
              <w:spacing w:line="480" w:lineRule="exact"/>
              <w:jc w:val="center"/>
              <w:rPr>
                <w:rFonts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1.1%</w:t>
            </w:r>
          </w:p>
        </w:tc>
        <w:tc>
          <w:tcPr>
            <w:tcW w:w="2255" w:type="dxa"/>
          </w:tcPr>
          <w:p>
            <w:pPr>
              <w:autoSpaceDE w:val="0"/>
              <w:autoSpaceDN w:val="0"/>
              <w:snapToGrid w:val="0"/>
              <w:spacing w:line="480" w:lineRule="exact"/>
              <w:jc w:val="center"/>
              <w:rPr>
                <w:rFonts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0.8%</w:t>
            </w:r>
          </w:p>
        </w:tc>
        <w:tc>
          <w:tcPr>
            <w:tcW w:w="2255" w:type="dxa"/>
          </w:tcPr>
          <w:p>
            <w:pPr>
              <w:autoSpaceDE w:val="0"/>
              <w:autoSpaceDN w:val="0"/>
              <w:snapToGrid w:val="0"/>
              <w:spacing w:line="480" w:lineRule="exact"/>
              <w:jc w:val="center"/>
              <w:rPr>
                <w:rFonts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0.7%</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5" w:hRule="atLeast"/>
          <w:jc w:val="center"/>
        </w:trPr>
        <w:tc>
          <w:tcPr>
            <w:tcW w:w="2523" w:type="dxa"/>
          </w:tcPr>
          <w:p>
            <w:pPr>
              <w:autoSpaceDE w:val="0"/>
              <w:autoSpaceDN w:val="0"/>
              <w:snapToGrid w:val="0"/>
              <w:spacing w:line="480" w:lineRule="exact"/>
              <w:jc w:val="center"/>
              <w:rPr>
                <w:rFonts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500-1000</w:t>
            </w:r>
          </w:p>
        </w:tc>
        <w:tc>
          <w:tcPr>
            <w:tcW w:w="2255" w:type="dxa"/>
          </w:tcPr>
          <w:p>
            <w:pPr>
              <w:autoSpaceDE w:val="0"/>
              <w:autoSpaceDN w:val="0"/>
              <w:snapToGrid w:val="0"/>
              <w:spacing w:line="480" w:lineRule="exact"/>
              <w:jc w:val="center"/>
              <w:rPr>
                <w:rFonts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0.8%</w:t>
            </w:r>
          </w:p>
        </w:tc>
        <w:tc>
          <w:tcPr>
            <w:tcW w:w="2255" w:type="dxa"/>
          </w:tcPr>
          <w:p>
            <w:pPr>
              <w:autoSpaceDE w:val="0"/>
              <w:autoSpaceDN w:val="0"/>
              <w:snapToGrid w:val="0"/>
              <w:spacing w:line="480" w:lineRule="exact"/>
              <w:jc w:val="center"/>
              <w:rPr>
                <w:rFonts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0.45%</w:t>
            </w:r>
          </w:p>
        </w:tc>
        <w:tc>
          <w:tcPr>
            <w:tcW w:w="2255" w:type="dxa"/>
          </w:tcPr>
          <w:p>
            <w:pPr>
              <w:autoSpaceDE w:val="0"/>
              <w:autoSpaceDN w:val="0"/>
              <w:snapToGrid w:val="0"/>
              <w:spacing w:line="480" w:lineRule="exact"/>
              <w:jc w:val="center"/>
              <w:rPr>
                <w:rFonts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0.55%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5" w:hRule="atLeast"/>
          <w:jc w:val="center"/>
        </w:trPr>
        <w:tc>
          <w:tcPr>
            <w:tcW w:w="2523" w:type="dxa"/>
          </w:tcPr>
          <w:p>
            <w:pPr>
              <w:autoSpaceDE w:val="0"/>
              <w:autoSpaceDN w:val="0"/>
              <w:snapToGrid w:val="0"/>
              <w:spacing w:line="480" w:lineRule="exact"/>
              <w:jc w:val="center"/>
              <w:rPr>
                <w:rFonts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1000-5000</w:t>
            </w:r>
          </w:p>
        </w:tc>
        <w:tc>
          <w:tcPr>
            <w:tcW w:w="2255" w:type="dxa"/>
          </w:tcPr>
          <w:p>
            <w:pPr>
              <w:autoSpaceDE w:val="0"/>
              <w:autoSpaceDN w:val="0"/>
              <w:snapToGrid w:val="0"/>
              <w:spacing w:line="480" w:lineRule="exact"/>
              <w:jc w:val="center"/>
              <w:rPr>
                <w:rFonts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0.5%</w:t>
            </w:r>
          </w:p>
        </w:tc>
        <w:tc>
          <w:tcPr>
            <w:tcW w:w="2255" w:type="dxa"/>
          </w:tcPr>
          <w:p>
            <w:pPr>
              <w:autoSpaceDE w:val="0"/>
              <w:autoSpaceDN w:val="0"/>
              <w:snapToGrid w:val="0"/>
              <w:spacing w:line="480" w:lineRule="exact"/>
              <w:jc w:val="center"/>
              <w:rPr>
                <w:rFonts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0.25%</w:t>
            </w:r>
          </w:p>
        </w:tc>
        <w:tc>
          <w:tcPr>
            <w:tcW w:w="2255" w:type="dxa"/>
          </w:tcPr>
          <w:p>
            <w:pPr>
              <w:autoSpaceDE w:val="0"/>
              <w:autoSpaceDN w:val="0"/>
              <w:snapToGrid w:val="0"/>
              <w:spacing w:line="480" w:lineRule="exact"/>
              <w:jc w:val="center"/>
              <w:rPr>
                <w:rFonts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0.35%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5" w:hRule="atLeast"/>
          <w:jc w:val="center"/>
        </w:trPr>
        <w:tc>
          <w:tcPr>
            <w:tcW w:w="2523" w:type="dxa"/>
          </w:tcPr>
          <w:p>
            <w:pPr>
              <w:autoSpaceDE w:val="0"/>
              <w:autoSpaceDN w:val="0"/>
              <w:snapToGrid w:val="0"/>
              <w:spacing w:line="480" w:lineRule="exact"/>
              <w:jc w:val="center"/>
              <w:rPr>
                <w:rFonts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5000-10000</w:t>
            </w:r>
          </w:p>
        </w:tc>
        <w:tc>
          <w:tcPr>
            <w:tcW w:w="2255" w:type="dxa"/>
          </w:tcPr>
          <w:p>
            <w:pPr>
              <w:autoSpaceDE w:val="0"/>
              <w:autoSpaceDN w:val="0"/>
              <w:snapToGrid w:val="0"/>
              <w:spacing w:line="480" w:lineRule="exact"/>
              <w:jc w:val="center"/>
              <w:rPr>
                <w:rFonts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0.25%</w:t>
            </w:r>
          </w:p>
        </w:tc>
        <w:tc>
          <w:tcPr>
            <w:tcW w:w="2255" w:type="dxa"/>
          </w:tcPr>
          <w:p>
            <w:pPr>
              <w:autoSpaceDE w:val="0"/>
              <w:autoSpaceDN w:val="0"/>
              <w:snapToGrid w:val="0"/>
              <w:spacing w:line="480" w:lineRule="exact"/>
              <w:jc w:val="center"/>
              <w:rPr>
                <w:rFonts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0.1%</w:t>
            </w:r>
          </w:p>
        </w:tc>
        <w:tc>
          <w:tcPr>
            <w:tcW w:w="2255" w:type="dxa"/>
          </w:tcPr>
          <w:p>
            <w:pPr>
              <w:autoSpaceDE w:val="0"/>
              <w:autoSpaceDN w:val="0"/>
              <w:snapToGrid w:val="0"/>
              <w:spacing w:line="480" w:lineRule="exact"/>
              <w:jc w:val="center"/>
              <w:rPr>
                <w:rFonts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0.2%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5" w:hRule="atLeast"/>
          <w:jc w:val="center"/>
        </w:trPr>
        <w:tc>
          <w:tcPr>
            <w:tcW w:w="2523" w:type="dxa"/>
          </w:tcPr>
          <w:p>
            <w:pPr>
              <w:autoSpaceDE w:val="0"/>
              <w:autoSpaceDN w:val="0"/>
              <w:snapToGrid w:val="0"/>
              <w:spacing w:line="480" w:lineRule="exact"/>
              <w:jc w:val="center"/>
              <w:rPr>
                <w:rFonts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10000-100000</w:t>
            </w:r>
          </w:p>
        </w:tc>
        <w:tc>
          <w:tcPr>
            <w:tcW w:w="2255" w:type="dxa"/>
          </w:tcPr>
          <w:p>
            <w:pPr>
              <w:autoSpaceDE w:val="0"/>
              <w:autoSpaceDN w:val="0"/>
              <w:snapToGrid w:val="0"/>
              <w:spacing w:line="480" w:lineRule="exact"/>
              <w:jc w:val="center"/>
              <w:rPr>
                <w:rFonts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0.05%</w:t>
            </w:r>
          </w:p>
        </w:tc>
        <w:tc>
          <w:tcPr>
            <w:tcW w:w="2255" w:type="dxa"/>
          </w:tcPr>
          <w:p>
            <w:pPr>
              <w:autoSpaceDE w:val="0"/>
              <w:autoSpaceDN w:val="0"/>
              <w:snapToGrid w:val="0"/>
              <w:spacing w:line="480" w:lineRule="exact"/>
              <w:jc w:val="center"/>
              <w:rPr>
                <w:rFonts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0.05%</w:t>
            </w:r>
          </w:p>
        </w:tc>
        <w:tc>
          <w:tcPr>
            <w:tcW w:w="2255" w:type="dxa"/>
          </w:tcPr>
          <w:p>
            <w:pPr>
              <w:autoSpaceDE w:val="0"/>
              <w:autoSpaceDN w:val="0"/>
              <w:snapToGrid w:val="0"/>
              <w:spacing w:line="480" w:lineRule="exact"/>
              <w:jc w:val="center"/>
              <w:rPr>
                <w:rFonts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0.05%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5" w:hRule="atLeast"/>
          <w:jc w:val="center"/>
        </w:trPr>
        <w:tc>
          <w:tcPr>
            <w:tcW w:w="2523" w:type="dxa"/>
          </w:tcPr>
          <w:p>
            <w:pPr>
              <w:autoSpaceDE w:val="0"/>
              <w:autoSpaceDN w:val="0"/>
              <w:snapToGrid w:val="0"/>
              <w:spacing w:line="480" w:lineRule="exact"/>
              <w:jc w:val="center"/>
              <w:rPr>
                <w:rFonts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100000以上</w:t>
            </w:r>
          </w:p>
        </w:tc>
        <w:tc>
          <w:tcPr>
            <w:tcW w:w="2255" w:type="dxa"/>
          </w:tcPr>
          <w:p>
            <w:pPr>
              <w:autoSpaceDE w:val="0"/>
              <w:autoSpaceDN w:val="0"/>
              <w:snapToGrid w:val="0"/>
              <w:spacing w:line="480" w:lineRule="exact"/>
              <w:jc w:val="center"/>
              <w:rPr>
                <w:rFonts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0.01%</w:t>
            </w:r>
          </w:p>
        </w:tc>
        <w:tc>
          <w:tcPr>
            <w:tcW w:w="2255" w:type="dxa"/>
          </w:tcPr>
          <w:p>
            <w:pPr>
              <w:autoSpaceDE w:val="0"/>
              <w:autoSpaceDN w:val="0"/>
              <w:snapToGrid w:val="0"/>
              <w:spacing w:line="480" w:lineRule="exact"/>
              <w:jc w:val="center"/>
              <w:rPr>
                <w:rFonts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0.01%</w:t>
            </w:r>
          </w:p>
        </w:tc>
        <w:tc>
          <w:tcPr>
            <w:tcW w:w="2255" w:type="dxa"/>
          </w:tcPr>
          <w:p>
            <w:pPr>
              <w:autoSpaceDE w:val="0"/>
              <w:autoSpaceDN w:val="0"/>
              <w:snapToGrid w:val="0"/>
              <w:spacing w:line="480" w:lineRule="exact"/>
              <w:jc w:val="center"/>
              <w:rPr>
                <w:rFonts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0.01%</w:t>
            </w:r>
          </w:p>
        </w:tc>
      </w:tr>
    </w:tbl>
    <w:p>
      <w:pPr>
        <w:tabs>
          <w:tab w:val="left" w:pos="540"/>
        </w:tabs>
        <w:spacing w:line="360" w:lineRule="auto"/>
        <w:rPr>
          <w:rFonts w:asciiTheme="minorEastAsia" w:hAnsiTheme="minorEastAsia" w:eastAsiaTheme="minorEastAsia" w:cstheme="minorEastAsia"/>
          <w:snapToGrid w:val="0"/>
          <w:color w:val="auto"/>
          <w:kern w:val="0"/>
          <w:szCs w:val="21"/>
        </w:rPr>
      </w:pPr>
      <w:r>
        <w:rPr>
          <w:rFonts w:hint="eastAsia" w:asciiTheme="minorEastAsia" w:hAnsiTheme="minorEastAsia" w:eastAsiaTheme="minorEastAsia" w:cstheme="minorEastAsia"/>
          <w:snapToGrid w:val="0"/>
          <w:color w:val="auto"/>
          <w:kern w:val="0"/>
          <w:szCs w:val="21"/>
        </w:rPr>
        <w:t>注：招标代理服务收费按差额定率累进法计算。例如：某货物招标代理业务中标金额为6000万元，计算招标代理服务收费额如下：</w:t>
      </w:r>
    </w:p>
    <w:p>
      <w:pPr>
        <w:tabs>
          <w:tab w:val="left" w:pos="540"/>
        </w:tabs>
        <w:spacing w:line="360" w:lineRule="auto"/>
        <w:rPr>
          <w:rFonts w:asciiTheme="minorEastAsia" w:hAnsiTheme="minorEastAsia" w:eastAsiaTheme="minorEastAsia" w:cstheme="minorEastAsia"/>
          <w:snapToGrid w:val="0"/>
          <w:color w:val="auto"/>
          <w:kern w:val="0"/>
          <w:szCs w:val="21"/>
        </w:rPr>
      </w:pPr>
      <w:r>
        <w:rPr>
          <w:rFonts w:hint="eastAsia" w:asciiTheme="minorEastAsia" w:hAnsiTheme="minorEastAsia" w:eastAsiaTheme="minorEastAsia" w:cstheme="minorEastAsia"/>
          <w:snapToGrid w:val="0"/>
          <w:color w:val="auto"/>
          <w:kern w:val="0"/>
          <w:szCs w:val="21"/>
        </w:rPr>
        <w:t>0---100：100×1.500％=15000.000元</w:t>
      </w:r>
    </w:p>
    <w:p>
      <w:pPr>
        <w:tabs>
          <w:tab w:val="left" w:pos="540"/>
        </w:tabs>
        <w:spacing w:line="360" w:lineRule="auto"/>
        <w:rPr>
          <w:rFonts w:asciiTheme="minorEastAsia" w:hAnsiTheme="minorEastAsia" w:eastAsiaTheme="minorEastAsia" w:cstheme="minorEastAsia"/>
          <w:snapToGrid w:val="0"/>
          <w:color w:val="auto"/>
          <w:kern w:val="0"/>
          <w:szCs w:val="21"/>
        </w:rPr>
      </w:pPr>
      <w:r>
        <w:rPr>
          <w:rFonts w:hint="eastAsia" w:asciiTheme="minorEastAsia" w:hAnsiTheme="minorEastAsia" w:eastAsiaTheme="minorEastAsia" w:cstheme="minorEastAsia"/>
          <w:snapToGrid w:val="0"/>
          <w:color w:val="auto"/>
          <w:kern w:val="0"/>
          <w:szCs w:val="21"/>
        </w:rPr>
        <w:t>100---500：400×1.100％=44000.000元</w:t>
      </w:r>
    </w:p>
    <w:p>
      <w:pPr>
        <w:tabs>
          <w:tab w:val="left" w:pos="540"/>
        </w:tabs>
        <w:spacing w:line="360" w:lineRule="auto"/>
        <w:rPr>
          <w:rFonts w:asciiTheme="minorEastAsia" w:hAnsiTheme="minorEastAsia" w:eastAsiaTheme="minorEastAsia" w:cstheme="minorEastAsia"/>
          <w:snapToGrid w:val="0"/>
          <w:color w:val="auto"/>
          <w:kern w:val="0"/>
          <w:szCs w:val="21"/>
        </w:rPr>
      </w:pPr>
      <w:r>
        <w:rPr>
          <w:rFonts w:hint="eastAsia" w:asciiTheme="minorEastAsia" w:hAnsiTheme="minorEastAsia" w:eastAsiaTheme="minorEastAsia" w:cstheme="minorEastAsia"/>
          <w:snapToGrid w:val="0"/>
          <w:color w:val="auto"/>
          <w:kern w:val="0"/>
          <w:szCs w:val="21"/>
        </w:rPr>
        <w:t>500---1000：500×0.800％=40000.000元</w:t>
      </w:r>
    </w:p>
    <w:p>
      <w:pPr>
        <w:tabs>
          <w:tab w:val="left" w:pos="540"/>
        </w:tabs>
        <w:spacing w:line="360" w:lineRule="auto"/>
        <w:rPr>
          <w:rFonts w:asciiTheme="minorEastAsia" w:hAnsiTheme="minorEastAsia" w:eastAsiaTheme="minorEastAsia" w:cstheme="minorEastAsia"/>
          <w:snapToGrid w:val="0"/>
          <w:color w:val="auto"/>
          <w:kern w:val="0"/>
          <w:szCs w:val="21"/>
        </w:rPr>
      </w:pPr>
      <w:r>
        <w:rPr>
          <w:rFonts w:hint="eastAsia" w:asciiTheme="minorEastAsia" w:hAnsiTheme="minorEastAsia" w:eastAsiaTheme="minorEastAsia" w:cstheme="minorEastAsia"/>
          <w:snapToGrid w:val="0"/>
          <w:color w:val="auto"/>
          <w:kern w:val="0"/>
          <w:szCs w:val="21"/>
        </w:rPr>
        <w:t>1000---5000：4000×0.500％=200000.000元</w:t>
      </w:r>
    </w:p>
    <w:p>
      <w:pPr>
        <w:tabs>
          <w:tab w:val="left" w:pos="540"/>
        </w:tabs>
        <w:spacing w:line="360" w:lineRule="auto"/>
        <w:rPr>
          <w:rFonts w:asciiTheme="minorEastAsia" w:hAnsiTheme="minorEastAsia" w:eastAsiaTheme="minorEastAsia" w:cstheme="minorEastAsia"/>
          <w:snapToGrid w:val="0"/>
          <w:color w:val="auto"/>
          <w:kern w:val="0"/>
          <w:szCs w:val="21"/>
        </w:rPr>
      </w:pPr>
      <w:r>
        <w:rPr>
          <w:rFonts w:hint="eastAsia" w:asciiTheme="minorEastAsia" w:hAnsiTheme="minorEastAsia" w:eastAsiaTheme="minorEastAsia" w:cstheme="minorEastAsia"/>
          <w:snapToGrid w:val="0"/>
          <w:color w:val="auto"/>
          <w:kern w:val="0"/>
          <w:szCs w:val="21"/>
        </w:rPr>
        <w:t>5000---6000：1000×0.250％=25000.000元</w:t>
      </w:r>
    </w:p>
    <w:p>
      <w:pPr>
        <w:tabs>
          <w:tab w:val="left" w:pos="540"/>
        </w:tabs>
        <w:spacing w:line="360" w:lineRule="auto"/>
        <w:rPr>
          <w:rFonts w:asciiTheme="minorEastAsia" w:hAnsiTheme="minorEastAsia" w:eastAsiaTheme="minorEastAsia" w:cstheme="minorEastAsia"/>
          <w:snapToGrid w:val="0"/>
          <w:color w:val="auto"/>
          <w:kern w:val="0"/>
          <w:szCs w:val="21"/>
        </w:rPr>
      </w:pPr>
      <w:r>
        <w:rPr>
          <w:rFonts w:hint="eastAsia" w:asciiTheme="minorEastAsia" w:hAnsiTheme="minorEastAsia" w:eastAsiaTheme="minorEastAsia" w:cstheme="minorEastAsia"/>
          <w:snapToGrid w:val="0"/>
          <w:color w:val="auto"/>
          <w:kern w:val="0"/>
          <w:szCs w:val="21"/>
        </w:rPr>
        <w:t>合计收费=324000.000元</w:t>
      </w:r>
    </w:p>
    <w:p>
      <w:pPr>
        <w:numPr>
          <w:ilvl w:val="1"/>
          <w:numId w:val="8"/>
        </w:numPr>
        <w:tabs>
          <w:tab w:val="left" w:pos="540"/>
          <w:tab w:val="clear" w:pos="840"/>
        </w:tabs>
        <w:spacing w:line="360" w:lineRule="auto"/>
        <w:ind w:left="540" w:hanging="540"/>
        <w:outlineLvl w:val="1"/>
        <w:rPr>
          <w:rFonts w:asciiTheme="minorEastAsia" w:hAnsiTheme="minorEastAsia" w:eastAsiaTheme="minorEastAsia" w:cstheme="minorEastAsia"/>
          <w:b/>
          <w:color w:val="auto"/>
          <w:szCs w:val="21"/>
        </w:rPr>
      </w:pPr>
      <w:bookmarkStart w:id="37" w:name="_Toc21644"/>
      <w:r>
        <w:rPr>
          <w:rFonts w:hint="eastAsia" w:asciiTheme="minorEastAsia" w:hAnsiTheme="minorEastAsia" w:eastAsiaTheme="minorEastAsia" w:cstheme="minorEastAsia"/>
          <w:b/>
          <w:color w:val="auto"/>
          <w:szCs w:val="21"/>
        </w:rPr>
        <w:t>竞争性磋商采购文件</w:t>
      </w:r>
      <w:bookmarkEnd w:id="37"/>
    </w:p>
    <w:p>
      <w:pPr>
        <w:numPr>
          <w:ilvl w:val="0"/>
          <w:numId w:val="9"/>
        </w:numPr>
        <w:spacing w:line="360" w:lineRule="auto"/>
        <w:ind w:hanging="540"/>
        <w:outlineLvl w:val="1"/>
        <w:rPr>
          <w:rFonts w:asciiTheme="minorEastAsia" w:hAnsiTheme="minorEastAsia" w:eastAsiaTheme="minorEastAsia" w:cstheme="minorEastAsia"/>
          <w:b/>
          <w:color w:val="auto"/>
          <w:szCs w:val="21"/>
        </w:rPr>
      </w:pPr>
      <w:bookmarkStart w:id="38" w:name="_Toc4547"/>
      <w:bookmarkStart w:id="39" w:name="_Toc25534"/>
      <w:r>
        <w:rPr>
          <w:rFonts w:hint="eastAsia" w:asciiTheme="minorEastAsia" w:hAnsiTheme="minorEastAsia" w:eastAsiaTheme="minorEastAsia" w:cstheme="minorEastAsia"/>
          <w:b/>
          <w:color w:val="auto"/>
          <w:szCs w:val="21"/>
        </w:rPr>
        <w:t>竞争性磋商采购文件的构成</w:t>
      </w:r>
      <w:bookmarkEnd w:id="38"/>
      <w:bookmarkEnd w:id="39"/>
    </w:p>
    <w:p>
      <w:pPr>
        <w:numPr>
          <w:ilvl w:val="1"/>
          <w:numId w:val="14"/>
        </w:numPr>
        <w:tabs>
          <w:tab w:val="left" w:pos="540"/>
          <w:tab w:val="clear" w:pos="360"/>
        </w:tabs>
        <w:spacing w:line="360" w:lineRule="auto"/>
        <w:ind w:left="540" w:hanging="540"/>
        <w:rPr>
          <w:rFonts w:asciiTheme="minorEastAsia" w:hAnsiTheme="minorEastAsia" w:eastAsiaTheme="minorEastAsia" w:cstheme="minorEastAsia"/>
          <w:color w:val="auto"/>
          <w:szCs w:val="21"/>
        </w:rPr>
      </w:pPr>
      <w:r>
        <w:rPr>
          <w:rFonts w:hint="eastAsia" w:asciiTheme="minorEastAsia" w:hAnsiTheme="minorEastAsia" w:eastAsiaTheme="minorEastAsia" w:cstheme="minorEastAsia"/>
          <w:snapToGrid w:val="0"/>
          <w:color w:val="auto"/>
          <w:kern w:val="0"/>
          <w:szCs w:val="21"/>
          <w:lang w:val="zh-CN"/>
        </w:rPr>
        <w:t>本竞争性磋商采购文件包括：</w:t>
      </w:r>
    </w:p>
    <w:p>
      <w:pPr>
        <w:numPr>
          <w:ilvl w:val="3"/>
          <w:numId w:val="9"/>
        </w:numPr>
        <w:tabs>
          <w:tab w:val="left" w:pos="540"/>
          <w:tab w:val="clear" w:pos="2040"/>
        </w:tabs>
        <w:spacing w:line="360" w:lineRule="auto"/>
        <w:ind w:left="540" w:hanging="540"/>
        <w:rPr>
          <w:rFonts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磋商公告</w:t>
      </w:r>
    </w:p>
    <w:p>
      <w:pPr>
        <w:numPr>
          <w:ilvl w:val="3"/>
          <w:numId w:val="9"/>
        </w:numPr>
        <w:tabs>
          <w:tab w:val="left" w:pos="540"/>
          <w:tab w:val="clear" w:pos="2040"/>
        </w:tabs>
        <w:spacing w:line="360" w:lineRule="auto"/>
        <w:ind w:left="540" w:hanging="540"/>
        <w:rPr>
          <w:rFonts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供应商须知</w:t>
      </w:r>
    </w:p>
    <w:p>
      <w:pPr>
        <w:numPr>
          <w:ilvl w:val="3"/>
          <w:numId w:val="9"/>
        </w:numPr>
        <w:tabs>
          <w:tab w:val="left" w:pos="540"/>
          <w:tab w:val="clear" w:pos="2040"/>
        </w:tabs>
        <w:spacing w:line="360" w:lineRule="auto"/>
        <w:ind w:left="540" w:hanging="540"/>
        <w:rPr>
          <w:rFonts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采购需求</w:t>
      </w:r>
    </w:p>
    <w:p>
      <w:pPr>
        <w:numPr>
          <w:ilvl w:val="3"/>
          <w:numId w:val="9"/>
        </w:numPr>
        <w:tabs>
          <w:tab w:val="left" w:pos="540"/>
          <w:tab w:val="clear" w:pos="2040"/>
        </w:tabs>
        <w:spacing w:line="360" w:lineRule="auto"/>
        <w:ind w:left="540" w:hanging="540"/>
        <w:rPr>
          <w:rFonts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竞争性磋商采购评定办法</w:t>
      </w:r>
    </w:p>
    <w:p>
      <w:pPr>
        <w:numPr>
          <w:ilvl w:val="3"/>
          <w:numId w:val="9"/>
        </w:numPr>
        <w:tabs>
          <w:tab w:val="left" w:pos="540"/>
          <w:tab w:val="clear" w:pos="2040"/>
        </w:tabs>
        <w:spacing w:line="360" w:lineRule="auto"/>
        <w:ind w:left="540" w:hanging="540"/>
        <w:rPr>
          <w:rFonts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合同书格式</w:t>
      </w:r>
    </w:p>
    <w:p>
      <w:pPr>
        <w:numPr>
          <w:ilvl w:val="3"/>
          <w:numId w:val="9"/>
        </w:numPr>
        <w:tabs>
          <w:tab w:val="left" w:pos="540"/>
          <w:tab w:val="clear" w:pos="2040"/>
        </w:tabs>
        <w:spacing w:line="360" w:lineRule="auto"/>
        <w:ind w:left="540" w:hanging="540"/>
        <w:rPr>
          <w:rFonts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竞争性磋商响应文件格式</w:t>
      </w:r>
    </w:p>
    <w:p>
      <w:pPr>
        <w:numPr>
          <w:ilvl w:val="3"/>
          <w:numId w:val="9"/>
        </w:numPr>
        <w:tabs>
          <w:tab w:val="left" w:pos="540"/>
          <w:tab w:val="clear" w:pos="2040"/>
        </w:tabs>
        <w:spacing w:line="360" w:lineRule="auto"/>
        <w:ind w:left="540" w:hanging="540"/>
        <w:rPr>
          <w:rFonts w:asciiTheme="minorEastAsia" w:hAnsiTheme="minorEastAsia" w:eastAsiaTheme="minorEastAsia" w:cstheme="minorEastAsia"/>
          <w:color w:val="auto"/>
          <w:szCs w:val="21"/>
        </w:rPr>
      </w:pPr>
      <w:r>
        <w:rPr>
          <w:rFonts w:hint="eastAsia" w:asciiTheme="minorEastAsia" w:hAnsiTheme="minorEastAsia" w:eastAsiaTheme="minorEastAsia" w:cstheme="minorEastAsia"/>
          <w:snapToGrid w:val="0"/>
          <w:color w:val="auto"/>
          <w:kern w:val="0"/>
          <w:szCs w:val="21"/>
          <w:lang w:val="zh-CN"/>
        </w:rPr>
        <w:t>采购过程中由采购代理机构发出的澄清和修正文件</w:t>
      </w:r>
    </w:p>
    <w:p>
      <w:pPr>
        <w:numPr>
          <w:ilvl w:val="3"/>
          <w:numId w:val="9"/>
        </w:numPr>
        <w:tabs>
          <w:tab w:val="left" w:pos="540"/>
          <w:tab w:val="clear" w:pos="2040"/>
        </w:tabs>
        <w:spacing w:line="360" w:lineRule="auto"/>
        <w:ind w:left="540" w:hanging="540"/>
        <w:rPr>
          <w:rFonts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磋商小组在磋商过程中发出的对本磋商文件的实质性变动</w:t>
      </w:r>
    </w:p>
    <w:p>
      <w:pPr>
        <w:numPr>
          <w:ilvl w:val="0"/>
          <w:numId w:val="9"/>
        </w:numPr>
        <w:spacing w:line="360" w:lineRule="auto"/>
        <w:ind w:hanging="540"/>
        <w:outlineLvl w:val="1"/>
        <w:rPr>
          <w:rFonts w:asciiTheme="minorEastAsia" w:hAnsiTheme="minorEastAsia" w:eastAsiaTheme="minorEastAsia" w:cstheme="minorEastAsia"/>
          <w:b/>
          <w:snapToGrid w:val="0"/>
          <w:color w:val="auto"/>
          <w:kern w:val="0"/>
          <w:szCs w:val="21"/>
          <w:lang w:val="zh-CN"/>
        </w:rPr>
      </w:pPr>
      <w:bookmarkStart w:id="40" w:name="_Toc29700"/>
      <w:bookmarkStart w:id="41" w:name="_Toc12297"/>
      <w:r>
        <w:rPr>
          <w:rFonts w:hint="eastAsia" w:asciiTheme="minorEastAsia" w:hAnsiTheme="minorEastAsia" w:eastAsiaTheme="minorEastAsia" w:cstheme="minorEastAsia"/>
          <w:b/>
          <w:snapToGrid w:val="0"/>
          <w:color w:val="auto"/>
          <w:kern w:val="0"/>
          <w:szCs w:val="21"/>
          <w:lang w:val="zh-CN"/>
        </w:rPr>
        <w:t>竞争性磋商采购文件的澄清</w:t>
      </w:r>
      <w:bookmarkEnd w:id="40"/>
      <w:bookmarkEnd w:id="41"/>
    </w:p>
    <w:p>
      <w:pPr>
        <w:numPr>
          <w:ilvl w:val="1"/>
          <w:numId w:val="15"/>
        </w:numPr>
        <w:tabs>
          <w:tab w:val="left" w:pos="540"/>
          <w:tab w:val="clear" w:pos="360"/>
        </w:tabs>
        <w:autoSpaceDE w:val="0"/>
        <w:autoSpaceDN w:val="0"/>
        <w:adjustRightInd w:val="0"/>
        <w:spacing w:line="360" w:lineRule="auto"/>
        <w:ind w:left="540" w:hanging="540"/>
        <w:jc w:val="left"/>
        <w:rPr>
          <w:rFonts w:asciiTheme="minorEastAsia" w:hAnsiTheme="minorEastAsia" w:eastAsiaTheme="minorEastAsia" w:cstheme="minorEastAsia"/>
          <w:snapToGrid w:val="0"/>
          <w:color w:val="auto"/>
          <w:kern w:val="0"/>
          <w:szCs w:val="21"/>
          <w:lang w:val="zh-CN"/>
        </w:rPr>
      </w:pPr>
      <w:r>
        <w:rPr>
          <w:rFonts w:hint="eastAsia" w:asciiTheme="minorEastAsia" w:hAnsiTheme="minorEastAsia" w:eastAsiaTheme="minorEastAsia" w:cstheme="minorEastAsia"/>
          <w:snapToGrid w:val="0"/>
          <w:color w:val="auto"/>
          <w:kern w:val="0"/>
          <w:szCs w:val="21"/>
          <w:lang w:val="zh-CN"/>
        </w:rPr>
        <w:t>供应商获取竞争性磋商采购文件后，应认真检查，如发现页数不全、附件缺失、印刷模糊等，应通知采购代理机构补全或更换，否则风险自负。</w:t>
      </w:r>
    </w:p>
    <w:p>
      <w:pPr>
        <w:numPr>
          <w:ilvl w:val="1"/>
          <w:numId w:val="15"/>
        </w:numPr>
        <w:tabs>
          <w:tab w:val="left" w:pos="540"/>
          <w:tab w:val="clear" w:pos="360"/>
        </w:tabs>
        <w:autoSpaceDE w:val="0"/>
        <w:autoSpaceDN w:val="0"/>
        <w:adjustRightInd w:val="0"/>
        <w:spacing w:line="360" w:lineRule="auto"/>
        <w:ind w:left="540" w:hanging="540"/>
        <w:jc w:val="left"/>
        <w:rPr>
          <w:rFonts w:asciiTheme="minorEastAsia" w:hAnsiTheme="minorEastAsia" w:eastAsiaTheme="minorEastAsia" w:cstheme="minorEastAsia"/>
          <w:snapToGrid w:val="0"/>
          <w:color w:val="auto"/>
          <w:kern w:val="0"/>
          <w:szCs w:val="21"/>
          <w:lang w:val="zh-CN"/>
        </w:rPr>
      </w:pPr>
      <w:r>
        <w:rPr>
          <w:rFonts w:hint="eastAsia" w:asciiTheme="minorEastAsia" w:hAnsiTheme="minorEastAsia" w:eastAsiaTheme="minorEastAsia" w:cstheme="minorEastAsia"/>
          <w:snapToGrid w:val="0"/>
          <w:color w:val="auto"/>
          <w:kern w:val="0"/>
          <w:szCs w:val="21"/>
          <w:lang w:val="zh-CN"/>
        </w:rPr>
        <w:t>供应商要求对本竞争性磋商采购文件进行澄清的，应以书面形式（包括信函、电报、传真等可以有形地表现所载内容的形式，下同）在提疑截止时间以前向采购代理机构或采购人提出，提疑截止时间见《供应商须知前附表》。</w:t>
      </w:r>
    </w:p>
    <w:p>
      <w:pPr>
        <w:autoSpaceDE w:val="0"/>
        <w:autoSpaceDN w:val="0"/>
        <w:adjustRightInd w:val="0"/>
        <w:spacing w:line="360" w:lineRule="auto"/>
        <w:ind w:left="540" w:leftChars="257" w:firstLine="420" w:firstLineChars="200"/>
        <w:jc w:val="left"/>
        <w:rPr>
          <w:rFonts w:asciiTheme="minorEastAsia" w:hAnsiTheme="minorEastAsia" w:eastAsiaTheme="minorEastAsia" w:cstheme="minorEastAsia"/>
          <w:snapToGrid w:val="0"/>
          <w:color w:val="auto"/>
          <w:kern w:val="0"/>
          <w:szCs w:val="21"/>
          <w:lang w:val="zh-CN"/>
        </w:rPr>
      </w:pPr>
      <w:r>
        <w:rPr>
          <w:rFonts w:hint="eastAsia" w:asciiTheme="minorEastAsia" w:hAnsiTheme="minorEastAsia" w:eastAsiaTheme="minorEastAsia" w:cstheme="minorEastAsia"/>
          <w:snapToGrid w:val="0"/>
          <w:color w:val="auto"/>
          <w:kern w:val="0"/>
          <w:szCs w:val="21"/>
          <w:lang w:val="zh-CN"/>
        </w:rPr>
        <w:t>采购代理机构对于符合澄清要求的，将以书面形式给所有接收磋商文件的供应商予以答复(答复中不包括问题的来源)，供应商收到答复后应在24小时内以书面形式向采购代理机构予以确认。</w:t>
      </w:r>
    </w:p>
    <w:p>
      <w:pPr>
        <w:numPr>
          <w:ilvl w:val="1"/>
          <w:numId w:val="15"/>
        </w:numPr>
        <w:tabs>
          <w:tab w:val="left" w:pos="540"/>
          <w:tab w:val="clear" w:pos="360"/>
        </w:tabs>
        <w:autoSpaceDE w:val="0"/>
        <w:autoSpaceDN w:val="0"/>
        <w:adjustRightInd w:val="0"/>
        <w:spacing w:line="360" w:lineRule="auto"/>
        <w:ind w:left="540" w:hanging="540"/>
        <w:jc w:val="left"/>
        <w:rPr>
          <w:rFonts w:asciiTheme="minorEastAsia" w:hAnsiTheme="minorEastAsia" w:eastAsiaTheme="minorEastAsia" w:cstheme="minorEastAsia"/>
          <w:snapToGrid w:val="0"/>
          <w:color w:val="auto"/>
          <w:kern w:val="0"/>
          <w:szCs w:val="21"/>
          <w:lang w:val="zh-CN"/>
        </w:rPr>
      </w:pPr>
      <w:r>
        <w:rPr>
          <w:rFonts w:hint="eastAsia" w:asciiTheme="minorEastAsia" w:hAnsiTheme="minorEastAsia" w:eastAsiaTheme="minorEastAsia" w:cstheme="minorEastAsia"/>
          <w:snapToGrid w:val="0"/>
          <w:color w:val="auto"/>
          <w:kern w:val="0"/>
          <w:szCs w:val="21"/>
          <w:lang w:val="zh-CN"/>
        </w:rPr>
        <w:t>供应商在规定的时间内未对竞争性磋商采购文件澄清或提出疑问的，采购代理机构将视其为同意。</w:t>
      </w:r>
    </w:p>
    <w:p>
      <w:pPr>
        <w:numPr>
          <w:ilvl w:val="1"/>
          <w:numId w:val="15"/>
        </w:numPr>
        <w:tabs>
          <w:tab w:val="left" w:pos="540"/>
          <w:tab w:val="clear" w:pos="360"/>
        </w:tabs>
        <w:autoSpaceDE w:val="0"/>
        <w:autoSpaceDN w:val="0"/>
        <w:adjustRightInd w:val="0"/>
        <w:spacing w:line="360" w:lineRule="auto"/>
        <w:ind w:left="540" w:hanging="540"/>
        <w:jc w:val="left"/>
        <w:rPr>
          <w:rFonts w:asciiTheme="minorEastAsia" w:hAnsiTheme="minorEastAsia" w:eastAsiaTheme="minorEastAsia" w:cstheme="minorEastAsia"/>
          <w:snapToGrid w:val="0"/>
          <w:color w:val="auto"/>
          <w:kern w:val="0"/>
          <w:szCs w:val="21"/>
          <w:lang w:val="zh-CN"/>
        </w:rPr>
      </w:pPr>
      <w:r>
        <w:rPr>
          <w:rFonts w:hint="eastAsia" w:asciiTheme="minorEastAsia" w:hAnsiTheme="minorEastAsia" w:eastAsiaTheme="minorEastAsia" w:cstheme="minorEastAsia"/>
          <w:snapToGrid w:val="0"/>
          <w:color w:val="auto"/>
          <w:kern w:val="0"/>
          <w:szCs w:val="21"/>
          <w:lang w:val="zh-CN"/>
        </w:rPr>
        <w:t>澄清的内容是本竞争性磋商采购文件的组成部分，当竞争性磋商采购文件</w:t>
      </w:r>
      <w:r>
        <w:rPr>
          <w:rFonts w:hint="eastAsia" w:asciiTheme="minorEastAsia" w:hAnsiTheme="minorEastAsia" w:eastAsiaTheme="minorEastAsia" w:cstheme="minorEastAsia"/>
          <w:color w:val="auto"/>
          <w:szCs w:val="21"/>
        </w:rPr>
        <w:t>、澄清文件对同一内容的表述不一致时，以最后发出的书面文件为准。</w:t>
      </w:r>
    </w:p>
    <w:p>
      <w:pPr>
        <w:numPr>
          <w:ilvl w:val="0"/>
          <w:numId w:val="9"/>
        </w:numPr>
        <w:spacing w:line="360" w:lineRule="auto"/>
        <w:ind w:hanging="540"/>
        <w:outlineLvl w:val="1"/>
        <w:rPr>
          <w:rFonts w:asciiTheme="minorEastAsia" w:hAnsiTheme="minorEastAsia" w:eastAsiaTheme="minorEastAsia" w:cstheme="minorEastAsia"/>
          <w:b/>
          <w:snapToGrid w:val="0"/>
          <w:color w:val="auto"/>
          <w:kern w:val="0"/>
          <w:szCs w:val="21"/>
          <w:lang w:val="zh-CN"/>
        </w:rPr>
      </w:pPr>
      <w:bookmarkStart w:id="42" w:name="_Toc17968"/>
      <w:bookmarkStart w:id="43" w:name="_Toc31761"/>
      <w:r>
        <w:rPr>
          <w:rFonts w:hint="eastAsia" w:asciiTheme="minorEastAsia" w:hAnsiTheme="minorEastAsia" w:eastAsiaTheme="minorEastAsia" w:cstheme="minorEastAsia"/>
          <w:b/>
          <w:snapToGrid w:val="0"/>
          <w:color w:val="auto"/>
          <w:kern w:val="0"/>
          <w:szCs w:val="21"/>
          <w:lang w:val="zh-CN"/>
        </w:rPr>
        <w:t>竞争性磋商采购文件的修改</w:t>
      </w:r>
      <w:bookmarkEnd w:id="42"/>
      <w:bookmarkEnd w:id="43"/>
    </w:p>
    <w:p>
      <w:pPr>
        <w:numPr>
          <w:ilvl w:val="1"/>
          <w:numId w:val="16"/>
        </w:numPr>
        <w:tabs>
          <w:tab w:val="left" w:pos="540"/>
          <w:tab w:val="clear" w:pos="360"/>
        </w:tabs>
        <w:autoSpaceDE w:val="0"/>
        <w:autoSpaceDN w:val="0"/>
        <w:adjustRightInd w:val="0"/>
        <w:spacing w:line="360" w:lineRule="auto"/>
        <w:ind w:left="540" w:hanging="540"/>
        <w:jc w:val="left"/>
        <w:rPr>
          <w:rFonts w:asciiTheme="minorEastAsia" w:hAnsiTheme="minorEastAsia" w:eastAsiaTheme="minorEastAsia" w:cstheme="minorEastAsia"/>
          <w:snapToGrid w:val="0"/>
          <w:color w:val="auto"/>
          <w:kern w:val="0"/>
          <w:szCs w:val="21"/>
          <w:lang w:val="zh-CN"/>
        </w:rPr>
      </w:pPr>
      <w:r>
        <w:rPr>
          <w:rFonts w:hint="eastAsia" w:asciiTheme="minorEastAsia" w:hAnsiTheme="minorEastAsia" w:eastAsiaTheme="minorEastAsia" w:cstheme="minorEastAsia"/>
          <w:snapToGrid w:val="0"/>
          <w:color w:val="auto"/>
          <w:kern w:val="0"/>
          <w:szCs w:val="21"/>
          <w:lang w:val="zh-CN"/>
        </w:rPr>
        <w:t>提交首次响应文件截止之日前，采购人、采购代理机构可以对本竞争性磋商采购文件进行必要的修改，修改的内容是磋商文件的组成部分，采购代理机构将以书面形式通知所有接受磋商文件的供应商，供应商在收到上述通知后，应在24小时内以书面形式向采购代理机构予以确认。</w:t>
      </w:r>
    </w:p>
    <w:p>
      <w:pPr>
        <w:numPr>
          <w:ilvl w:val="1"/>
          <w:numId w:val="16"/>
        </w:numPr>
        <w:tabs>
          <w:tab w:val="left" w:pos="540"/>
          <w:tab w:val="clear" w:pos="360"/>
        </w:tabs>
        <w:autoSpaceDE w:val="0"/>
        <w:autoSpaceDN w:val="0"/>
        <w:adjustRightInd w:val="0"/>
        <w:spacing w:line="360" w:lineRule="auto"/>
        <w:ind w:left="540" w:hanging="540"/>
        <w:jc w:val="left"/>
        <w:rPr>
          <w:rFonts w:asciiTheme="minorEastAsia" w:hAnsiTheme="minorEastAsia" w:eastAsiaTheme="minorEastAsia" w:cstheme="minorEastAsia"/>
          <w:snapToGrid w:val="0"/>
          <w:color w:val="auto"/>
          <w:kern w:val="0"/>
          <w:szCs w:val="21"/>
          <w:lang w:val="zh-CN"/>
        </w:rPr>
      </w:pPr>
      <w:r>
        <w:rPr>
          <w:rFonts w:hint="eastAsia" w:asciiTheme="minorEastAsia" w:hAnsiTheme="minorEastAsia" w:eastAsiaTheme="minorEastAsia" w:cstheme="minorEastAsia"/>
          <w:snapToGrid w:val="0"/>
          <w:color w:val="auto"/>
          <w:kern w:val="0"/>
          <w:szCs w:val="21"/>
          <w:lang w:val="zh-CN"/>
        </w:rPr>
        <w:t>当磋商文件、修改文件对同一内容的表述不一致时，以最后发出的书面文件为准。</w:t>
      </w:r>
    </w:p>
    <w:p>
      <w:pPr>
        <w:numPr>
          <w:ilvl w:val="1"/>
          <w:numId w:val="16"/>
        </w:numPr>
        <w:tabs>
          <w:tab w:val="left" w:pos="525"/>
          <w:tab w:val="clear" w:pos="360"/>
        </w:tabs>
        <w:autoSpaceDE w:val="0"/>
        <w:autoSpaceDN w:val="0"/>
        <w:adjustRightInd w:val="0"/>
        <w:spacing w:line="360" w:lineRule="auto"/>
        <w:ind w:left="540" w:hanging="540"/>
        <w:jc w:val="left"/>
        <w:rPr>
          <w:rFonts w:asciiTheme="minorEastAsia" w:hAnsiTheme="minorEastAsia" w:eastAsiaTheme="minorEastAsia" w:cstheme="minorEastAsia"/>
          <w:color w:val="auto"/>
          <w:szCs w:val="21"/>
        </w:rPr>
      </w:pPr>
      <w:r>
        <w:rPr>
          <w:rFonts w:hint="eastAsia" w:asciiTheme="minorEastAsia" w:hAnsiTheme="minorEastAsia" w:eastAsiaTheme="minorEastAsia" w:cstheme="minorEastAsia"/>
          <w:snapToGrid w:val="0"/>
          <w:color w:val="auto"/>
          <w:kern w:val="0"/>
          <w:szCs w:val="21"/>
          <w:lang w:val="zh-CN"/>
        </w:rPr>
        <w:t>修改的内容可能影响响应文件编制的，修改文件应当在提交首次响应文件截止之日</w:t>
      </w:r>
      <w:r>
        <w:rPr>
          <w:rFonts w:hint="eastAsia" w:asciiTheme="minorEastAsia" w:hAnsiTheme="minorEastAsia" w:eastAsiaTheme="minorEastAsia" w:cstheme="minorEastAsia"/>
          <w:snapToGrid w:val="0"/>
          <w:color w:val="auto"/>
          <w:kern w:val="0"/>
          <w:szCs w:val="21"/>
        </w:rPr>
        <w:t>5</w:t>
      </w:r>
      <w:r>
        <w:rPr>
          <w:rFonts w:hint="eastAsia" w:asciiTheme="minorEastAsia" w:hAnsiTheme="minorEastAsia" w:eastAsiaTheme="minorEastAsia" w:cstheme="minorEastAsia"/>
          <w:snapToGrid w:val="0"/>
          <w:color w:val="auto"/>
          <w:kern w:val="0"/>
          <w:szCs w:val="21"/>
          <w:lang w:val="zh-CN"/>
        </w:rPr>
        <w:t>个工作日前发出，不足</w:t>
      </w:r>
      <w:r>
        <w:rPr>
          <w:rFonts w:hint="eastAsia" w:asciiTheme="minorEastAsia" w:hAnsiTheme="minorEastAsia" w:eastAsiaTheme="minorEastAsia" w:cstheme="minorEastAsia"/>
          <w:snapToGrid w:val="0"/>
          <w:color w:val="auto"/>
          <w:kern w:val="0"/>
          <w:szCs w:val="21"/>
        </w:rPr>
        <w:t>5</w:t>
      </w:r>
      <w:r>
        <w:rPr>
          <w:rFonts w:hint="eastAsia" w:asciiTheme="minorEastAsia" w:hAnsiTheme="minorEastAsia" w:eastAsiaTheme="minorEastAsia" w:cstheme="minorEastAsia"/>
          <w:snapToGrid w:val="0"/>
          <w:color w:val="auto"/>
          <w:kern w:val="0"/>
          <w:szCs w:val="21"/>
          <w:lang w:val="zh-CN"/>
        </w:rPr>
        <w:t>个工作日的，采购人、采购代理机构将顺延提交首次响应文件截止之日。</w:t>
      </w:r>
    </w:p>
    <w:p>
      <w:pPr>
        <w:numPr>
          <w:ilvl w:val="1"/>
          <w:numId w:val="8"/>
        </w:numPr>
        <w:tabs>
          <w:tab w:val="left" w:pos="540"/>
          <w:tab w:val="clear" w:pos="840"/>
        </w:tabs>
        <w:spacing w:line="360" w:lineRule="auto"/>
        <w:ind w:left="540" w:hanging="540"/>
        <w:outlineLvl w:val="1"/>
        <w:rPr>
          <w:rFonts w:asciiTheme="minorEastAsia" w:hAnsiTheme="minorEastAsia" w:eastAsiaTheme="minorEastAsia" w:cstheme="minorEastAsia"/>
          <w:b/>
          <w:color w:val="auto"/>
          <w:szCs w:val="21"/>
        </w:rPr>
      </w:pPr>
      <w:bookmarkStart w:id="44" w:name="_Toc6290"/>
      <w:r>
        <w:rPr>
          <w:rFonts w:hint="eastAsia" w:asciiTheme="minorEastAsia" w:hAnsiTheme="minorEastAsia" w:eastAsiaTheme="minorEastAsia" w:cstheme="minorEastAsia"/>
          <w:b/>
          <w:color w:val="auto"/>
          <w:szCs w:val="21"/>
        </w:rPr>
        <w:t>竞争性磋商响应文件</w:t>
      </w:r>
      <w:bookmarkEnd w:id="44"/>
    </w:p>
    <w:p>
      <w:pPr>
        <w:numPr>
          <w:ilvl w:val="0"/>
          <w:numId w:val="9"/>
        </w:numPr>
        <w:spacing w:line="360" w:lineRule="auto"/>
        <w:ind w:hanging="540"/>
        <w:outlineLvl w:val="1"/>
        <w:rPr>
          <w:rFonts w:asciiTheme="minorEastAsia" w:hAnsiTheme="minorEastAsia" w:eastAsiaTheme="minorEastAsia" w:cstheme="minorEastAsia"/>
          <w:snapToGrid w:val="0"/>
          <w:color w:val="auto"/>
          <w:kern w:val="0"/>
          <w:szCs w:val="21"/>
          <w:lang w:val="zh-CN"/>
        </w:rPr>
      </w:pPr>
      <w:bookmarkStart w:id="45" w:name="_Toc4380"/>
      <w:bookmarkStart w:id="46" w:name="_Toc30987"/>
      <w:r>
        <w:rPr>
          <w:rFonts w:hint="eastAsia" w:asciiTheme="minorEastAsia" w:hAnsiTheme="minorEastAsia" w:eastAsiaTheme="minorEastAsia" w:cstheme="minorEastAsia"/>
          <w:b/>
          <w:snapToGrid w:val="0"/>
          <w:color w:val="auto"/>
          <w:kern w:val="0"/>
          <w:szCs w:val="21"/>
          <w:lang w:val="zh-CN"/>
        </w:rPr>
        <w:t>语言和计量单位</w:t>
      </w:r>
      <w:bookmarkEnd w:id="45"/>
      <w:bookmarkEnd w:id="46"/>
    </w:p>
    <w:p>
      <w:pPr>
        <w:numPr>
          <w:ilvl w:val="1"/>
          <w:numId w:val="17"/>
        </w:numPr>
        <w:tabs>
          <w:tab w:val="left" w:pos="540"/>
          <w:tab w:val="clear" w:pos="360"/>
        </w:tabs>
        <w:spacing w:line="360" w:lineRule="auto"/>
        <w:ind w:left="540" w:hanging="540"/>
        <w:rPr>
          <w:rFonts w:asciiTheme="minorEastAsia" w:hAnsiTheme="minorEastAsia" w:eastAsiaTheme="minorEastAsia" w:cstheme="minorEastAsia"/>
          <w:snapToGrid w:val="0"/>
          <w:color w:val="auto"/>
          <w:kern w:val="0"/>
          <w:szCs w:val="21"/>
          <w:lang w:val="zh-CN"/>
        </w:rPr>
      </w:pPr>
      <w:r>
        <w:rPr>
          <w:rFonts w:hint="eastAsia" w:asciiTheme="minorEastAsia" w:hAnsiTheme="minorEastAsia" w:eastAsiaTheme="minorEastAsia" w:cstheme="minorEastAsia"/>
          <w:snapToGrid w:val="0"/>
          <w:color w:val="auto"/>
          <w:kern w:val="0"/>
          <w:szCs w:val="21"/>
          <w:lang w:val="zh-CN"/>
        </w:rPr>
        <w:t>供应商提交的竞争性磋商响应文件以及供应商与采购代理机构或采购人就有关磋商的所有来往信函、电报、传真等均应使用中文。供应商提交的支持文件或印刷的文献可以用另一种语言，但相应内容应附有中文翻译本，在解释竞争性磋商响应文件时以中文翻译本为准。</w:t>
      </w:r>
    </w:p>
    <w:p>
      <w:pPr>
        <w:numPr>
          <w:ilvl w:val="1"/>
          <w:numId w:val="17"/>
        </w:numPr>
        <w:tabs>
          <w:tab w:val="left" w:pos="540"/>
          <w:tab w:val="clear" w:pos="360"/>
        </w:tabs>
        <w:spacing w:line="360" w:lineRule="auto"/>
        <w:ind w:left="540" w:hanging="540"/>
        <w:rPr>
          <w:rFonts w:asciiTheme="minorEastAsia" w:hAnsiTheme="minorEastAsia" w:eastAsiaTheme="minorEastAsia" w:cstheme="minorEastAsia"/>
          <w:b/>
          <w:snapToGrid w:val="0"/>
          <w:color w:val="auto"/>
          <w:kern w:val="0"/>
          <w:szCs w:val="21"/>
          <w:lang w:val="zh-CN"/>
        </w:rPr>
      </w:pPr>
      <w:r>
        <w:rPr>
          <w:rFonts w:hint="eastAsia" w:asciiTheme="minorEastAsia" w:hAnsiTheme="minorEastAsia" w:eastAsiaTheme="minorEastAsia" w:cstheme="minorEastAsia"/>
          <w:snapToGrid w:val="0"/>
          <w:color w:val="auto"/>
          <w:kern w:val="0"/>
          <w:szCs w:val="21"/>
          <w:lang w:val="zh-CN"/>
        </w:rPr>
        <w:t>除非竞争性磋商采购文件中另有规定，计量单位均采用中华人民共和国法定的计量单位。</w:t>
      </w:r>
    </w:p>
    <w:p>
      <w:pPr>
        <w:numPr>
          <w:ilvl w:val="0"/>
          <w:numId w:val="9"/>
        </w:numPr>
        <w:spacing w:line="360" w:lineRule="auto"/>
        <w:ind w:hanging="540"/>
        <w:outlineLvl w:val="1"/>
        <w:rPr>
          <w:rFonts w:asciiTheme="minorEastAsia" w:hAnsiTheme="minorEastAsia" w:eastAsiaTheme="minorEastAsia" w:cstheme="minorEastAsia"/>
          <w:b/>
          <w:snapToGrid w:val="0"/>
          <w:color w:val="auto"/>
          <w:kern w:val="0"/>
          <w:szCs w:val="21"/>
          <w:lang w:val="zh-CN"/>
        </w:rPr>
      </w:pPr>
      <w:bookmarkStart w:id="47" w:name="_Toc3554"/>
      <w:bookmarkStart w:id="48" w:name="_Toc32272"/>
      <w:r>
        <w:rPr>
          <w:rFonts w:hint="eastAsia" w:asciiTheme="minorEastAsia" w:hAnsiTheme="minorEastAsia" w:eastAsiaTheme="minorEastAsia" w:cstheme="minorEastAsia"/>
          <w:b/>
          <w:snapToGrid w:val="0"/>
          <w:color w:val="auto"/>
          <w:kern w:val="0"/>
          <w:szCs w:val="21"/>
          <w:lang w:val="zh-CN"/>
        </w:rPr>
        <w:t>竞争性磋商响应文件的构成</w:t>
      </w:r>
      <w:bookmarkEnd w:id="47"/>
      <w:bookmarkEnd w:id="48"/>
    </w:p>
    <w:p>
      <w:pPr>
        <w:numPr>
          <w:ilvl w:val="1"/>
          <w:numId w:val="18"/>
        </w:numPr>
        <w:tabs>
          <w:tab w:val="left" w:pos="525"/>
          <w:tab w:val="clear" w:pos="360"/>
        </w:tabs>
        <w:autoSpaceDE w:val="0"/>
        <w:autoSpaceDN w:val="0"/>
        <w:adjustRightInd w:val="0"/>
        <w:spacing w:line="360" w:lineRule="auto"/>
        <w:ind w:left="0" w:firstLine="0"/>
        <w:jc w:val="left"/>
        <w:rPr>
          <w:rFonts w:asciiTheme="minorEastAsia" w:hAnsiTheme="minorEastAsia" w:eastAsiaTheme="minorEastAsia" w:cstheme="minorEastAsia"/>
          <w:snapToGrid w:val="0"/>
          <w:color w:val="auto"/>
          <w:kern w:val="0"/>
          <w:szCs w:val="21"/>
          <w:lang w:val="zh-CN"/>
        </w:rPr>
      </w:pPr>
      <w:r>
        <w:rPr>
          <w:rFonts w:hint="eastAsia" w:asciiTheme="minorEastAsia" w:hAnsiTheme="minorEastAsia" w:eastAsiaTheme="minorEastAsia" w:cstheme="minorEastAsia"/>
          <w:snapToGrid w:val="0"/>
          <w:color w:val="auto"/>
          <w:kern w:val="0"/>
          <w:szCs w:val="21"/>
          <w:lang w:val="zh-CN"/>
        </w:rPr>
        <w:t>供应商编制的竞争性磋商响应</w:t>
      </w:r>
      <w:r>
        <w:rPr>
          <w:rFonts w:hint="eastAsia" w:asciiTheme="minorEastAsia" w:hAnsiTheme="minorEastAsia" w:eastAsiaTheme="minorEastAsia" w:cstheme="minorEastAsia"/>
          <w:snapToGrid w:val="0"/>
          <w:color w:val="auto"/>
          <w:kern w:val="0"/>
          <w:szCs w:val="21"/>
        </w:rPr>
        <w:t>文</w:t>
      </w:r>
      <w:r>
        <w:rPr>
          <w:rFonts w:hint="eastAsia" w:asciiTheme="minorEastAsia" w:hAnsiTheme="minorEastAsia" w:eastAsiaTheme="minorEastAsia" w:cstheme="minorEastAsia"/>
          <w:snapToGrid w:val="0"/>
          <w:color w:val="auto"/>
          <w:kern w:val="0"/>
          <w:szCs w:val="21"/>
          <w:lang w:val="zh-CN"/>
        </w:rPr>
        <w:t>件应包括的内容详见本文件第六章要求。</w:t>
      </w:r>
    </w:p>
    <w:p>
      <w:pPr>
        <w:autoSpaceDE w:val="0"/>
        <w:autoSpaceDN w:val="0"/>
        <w:adjustRightInd w:val="0"/>
        <w:spacing w:line="360" w:lineRule="auto"/>
        <w:jc w:val="left"/>
        <w:rPr>
          <w:rFonts w:asciiTheme="minorEastAsia" w:hAnsiTheme="minorEastAsia" w:eastAsiaTheme="minorEastAsia" w:cstheme="minorEastAsia"/>
          <w:snapToGrid w:val="0"/>
          <w:color w:val="auto"/>
          <w:kern w:val="0"/>
          <w:szCs w:val="21"/>
          <w:lang w:val="zh-CN"/>
        </w:rPr>
      </w:pPr>
      <w:r>
        <w:rPr>
          <w:rFonts w:hint="eastAsia" w:asciiTheme="minorEastAsia" w:hAnsiTheme="minorEastAsia" w:eastAsiaTheme="minorEastAsia" w:cstheme="minorEastAsia"/>
          <w:bCs/>
          <w:color w:val="auto"/>
          <w:szCs w:val="21"/>
        </w:rPr>
        <w:t>注：响应文件目录及内容每页须顺序编写页码。</w:t>
      </w:r>
    </w:p>
    <w:p>
      <w:pPr>
        <w:numPr>
          <w:ilvl w:val="0"/>
          <w:numId w:val="9"/>
        </w:numPr>
        <w:spacing w:line="360" w:lineRule="auto"/>
        <w:ind w:hanging="540"/>
        <w:outlineLvl w:val="1"/>
        <w:rPr>
          <w:rFonts w:asciiTheme="minorEastAsia" w:hAnsiTheme="minorEastAsia" w:eastAsiaTheme="minorEastAsia" w:cstheme="minorEastAsia"/>
          <w:b/>
          <w:snapToGrid w:val="0"/>
          <w:color w:val="auto"/>
          <w:kern w:val="0"/>
          <w:szCs w:val="21"/>
          <w:lang w:val="zh-CN"/>
        </w:rPr>
      </w:pPr>
      <w:bookmarkStart w:id="49" w:name="_Toc25217"/>
      <w:bookmarkStart w:id="50" w:name="_Toc1043"/>
      <w:r>
        <w:rPr>
          <w:rFonts w:hint="eastAsia" w:asciiTheme="minorEastAsia" w:hAnsiTheme="minorEastAsia" w:eastAsiaTheme="minorEastAsia" w:cstheme="minorEastAsia"/>
          <w:b/>
          <w:snapToGrid w:val="0"/>
          <w:color w:val="auto"/>
          <w:kern w:val="0"/>
          <w:szCs w:val="21"/>
          <w:lang w:val="zh-CN"/>
        </w:rPr>
        <w:t>竞争性磋商响应文件的编制</w:t>
      </w:r>
      <w:bookmarkEnd w:id="49"/>
      <w:bookmarkEnd w:id="50"/>
    </w:p>
    <w:p>
      <w:pPr>
        <w:numPr>
          <w:ilvl w:val="1"/>
          <w:numId w:val="19"/>
        </w:numPr>
        <w:tabs>
          <w:tab w:val="left" w:pos="540"/>
          <w:tab w:val="clear" w:pos="360"/>
        </w:tabs>
        <w:autoSpaceDE w:val="0"/>
        <w:autoSpaceDN w:val="0"/>
        <w:adjustRightInd w:val="0"/>
        <w:spacing w:line="360" w:lineRule="auto"/>
        <w:ind w:left="540" w:hanging="540"/>
        <w:jc w:val="left"/>
        <w:rPr>
          <w:rFonts w:asciiTheme="minorEastAsia" w:hAnsiTheme="minorEastAsia" w:eastAsiaTheme="minorEastAsia" w:cstheme="minorEastAsia"/>
          <w:snapToGrid w:val="0"/>
          <w:color w:val="auto"/>
          <w:kern w:val="0"/>
          <w:szCs w:val="21"/>
          <w:lang w:val="zh-CN"/>
        </w:rPr>
      </w:pPr>
      <w:r>
        <w:rPr>
          <w:rFonts w:hint="eastAsia" w:asciiTheme="minorEastAsia" w:hAnsiTheme="minorEastAsia" w:eastAsiaTheme="minorEastAsia" w:cstheme="minorEastAsia"/>
          <w:snapToGrid w:val="0"/>
          <w:color w:val="auto"/>
          <w:kern w:val="0"/>
          <w:szCs w:val="21"/>
          <w:lang w:val="zh-CN"/>
        </w:rPr>
        <w:t>供应商应当按照本采购文件的要求编制响应文件，并对其提交的响应文件及全部资料的真实性、合法性承担法律责任，并接受采购代理机构对其中任何资料进一步核实的要求。</w:t>
      </w:r>
    </w:p>
    <w:p>
      <w:pPr>
        <w:numPr>
          <w:ilvl w:val="1"/>
          <w:numId w:val="19"/>
        </w:numPr>
        <w:tabs>
          <w:tab w:val="left" w:pos="540"/>
          <w:tab w:val="clear" w:pos="360"/>
        </w:tabs>
        <w:autoSpaceDE w:val="0"/>
        <w:autoSpaceDN w:val="0"/>
        <w:adjustRightInd w:val="0"/>
        <w:spacing w:line="360" w:lineRule="auto"/>
        <w:ind w:left="540" w:hanging="540"/>
        <w:jc w:val="left"/>
        <w:rPr>
          <w:rFonts w:asciiTheme="minorEastAsia" w:hAnsiTheme="minorEastAsia" w:eastAsiaTheme="minorEastAsia" w:cstheme="minorEastAsia"/>
          <w:snapToGrid w:val="0"/>
          <w:color w:val="auto"/>
          <w:kern w:val="0"/>
          <w:szCs w:val="21"/>
          <w:lang w:val="zh-CN"/>
        </w:rPr>
      </w:pPr>
      <w:r>
        <w:rPr>
          <w:rFonts w:hint="eastAsia" w:asciiTheme="minorEastAsia" w:hAnsiTheme="minorEastAsia" w:eastAsiaTheme="minorEastAsia" w:cstheme="minorEastAsia"/>
          <w:snapToGrid w:val="0"/>
          <w:color w:val="auto"/>
          <w:kern w:val="0"/>
          <w:szCs w:val="21"/>
          <w:lang w:val="zh-CN"/>
        </w:rPr>
        <w:t xml:space="preserve">供应商应认真阅读本采购文件中的所有内容，并对本采购文件提出的要求和条件作出实质性响应。如供应商没有按照本采购文件的要求提交全部资料，或者没有对本采购文件在各方面都做出实质性响应的，其响应文件将被视为无效文件。 </w:t>
      </w:r>
    </w:p>
    <w:p>
      <w:pPr>
        <w:numPr>
          <w:ilvl w:val="1"/>
          <w:numId w:val="19"/>
        </w:numPr>
        <w:tabs>
          <w:tab w:val="left" w:pos="540"/>
          <w:tab w:val="clear" w:pos="360"/>
        </w:tabs>
        <w:autoSpaceDE w:val="0"/>
        <w:autoSpaceDN w:val="0"/>
        <w:adjustRightInd w:val="0"/>
        <w:spacing w:line="360" w:lineRule="auto"/>
        <w:ind w:left="540" w:hanging="540"/>
        <w:jc w:val="left"/>
        <w:rPr>
          <w:rFonts w:asciiTheme="minorEastAsia" w:hAnsiTheme="minorEastAsia" w:eastAsiaTheme="minorEastAsia" w:cstheme="minorEastAsia"/>
          <w:snapToGrid w:val="0"/>
          <w:color w:val="auto"/>
          <w:kern w:val="0"/>
          <w:szCs w:val="21"/>
          <w:lang w:val="zh-CN"/>
        </w:rPr>
      </w:pPr>
      <w:r>
        <w:rPr>
          <w:rFonts w:hint="eastAsia" w:asciiTheme="minorEastAsia" w:hAnsiTheme="minorEastAsia" w:eastAsiaTheme="minorEastAsia" w:cstheme="minorEastAsia"/>
          <w:snapToGrid w:val="0"/>
          <w:color w:val="auto"/>
          <w:kern w:val="0"/>
          <w:szCs w:val="21"/>
          <w:lang w:val="zh-CN"/>
        </w:rPr>
        <w:t>供应商应完整地按本采购文件的要求提交所有资料并按要求的格式填写规定的所有内容，无相应内容可填项的，应填写“无”、“未测试”、“没有相应指标”等明确的回答文字。如未规定格式的，相关格式由供应商自定。</w:t>
      </w:r>
    </w:p>
    <w:p>
      <w:pPr>
        <w:numPr>
          <w:ilvl w:val="1"/>
          <w:numId w:val="19"/>
        </w:numPr>
        <w:tabs>
          <w:tab w:val="left" w:pos="540"/>
          <w:tab w:val="clear" w:pos="360"/>
        </w:tabs>
        <w:autoSpaceDE w:val="0"/>
        <w:autoSpaceDN w:val="0"/>
        <w:adjustRightInd w:val="0"/>
        <w:spacing w:line="360" w:lineRule="auto"/>
        <w:ind w:left="540" w:hanging="540"/>
        <w:jc w:val="left"/>
        <w:rPr>
          <w:rFonts w:asciiTheme="minorEastAsia" w:hAnsiTheme="minorEastAsia" w:eastAsiaTheme="minorEastAsia" w:cstheme="minorEastAsia"/>
          <w:snapToGrid w:val="0"/>
          <w:color w:val="auto"/>
          <w:kern w:val="0"/>
          <w:szCs w:val="21"/>
          <w:lang w:val="zh-CN"/>
        </w:rPr>
      </w:pPr>
      <w:r>
        <w:rPr>
          <w:rFonts w:hint="eastAsia" w:asciiTheme="minorEastAsia" w:hAnsiTheme="minorEastAsia" w:eastAsiaTheme="minorEastAsia" w:cstheme="minorEastAsia"/>
          <w:snapToGrid w:val="0"/>
          <w:color w:val="auto"/>
          <w:kern w:val="0"/>
          <w:szCs w:val="21"/>
          <w:lang w:val="zh-CN"/>
        </w:rPr>
        <w:t>供应商在编制响应文件时应注意本次采购对多包采购的规定，多包采购的规定见《供应商须知前附表》。</w:t>
      </w:r>
    </w:p>
    <w:p>
      <w:pPr>
        <w:numPr>
          <w:ilvl w:val="0"/>
          <w:numId w:val="9"/>
        </w:numPr>
        <w:spacing w:line="360" w:lineRule="auto"/>
        <w:ind w:hanging="540"/>
        <w:outlineLvl w:val="1"/>
        <w:rPr>
          <w:rFonts w:asciiTheme="minorEastAsia" w:hAnsiTheme="minorEastAsia" w:eastAsiaTheme="minorEastAsia" w:cstheme="minorEastAsia"/>
          <w:b/>
          <w:snapToGrid w:val="0"/>
          <w:color w:val="auto"/>
          <w:kern w:val="0"/>
          <w:szCs w:val="21"/>
          <w:lang w:val="zh-CN"/>
        </w:rPr>
      </w:pPr>
      <w:bookmarkStart w:id="51" w:name="_Toc24544"/>
      <w:bookmarkStart w:id="52" w:name="_Toc15588"/>
      <w:r>
        <w:rPr>
          <w:rFonts w:hint="eastAsia" w:asciiTheme="minorEastAsia" w:hAnsiTheme="minorEastAsia" w:eastAsiaTheme="minorEastAsia" w:cstheme="minorEastAsia"/>
          <w:b/>
          <w:snapToGrid w:val="0"/>
          <w:color w:val="auto"/>
          <w:kern w:val="0"/>
          <w:szCs w:val="21"/>
          <w:lang w:val="zh-CN"/>
        </w:rPr>
        <w:t>磋商报价</w:t>
      </w:r>
      <w:bookmarkEnd w:id="51"/>
      <w:bookmarkEnd w:id="52"/>
    </w:p>
    <w:p>
      <w:pPr>
        <w:numPr>
          <w:ilvl w:val="1"/>
          <w:numId w:val="20"/>
        </w:numPr>
        <w:tabs>
          <w:tab w:val="left" w:pos="540"/>
          <w:tab w:val="clear" w:pos="465"/>
        </w:tabs>
        <w:autoSpaceDE w:val="0"/>
        <w:autoSpaceDN w:val="0"/>
        <w:adjustRightInd w:val="0"/>
        <w:spacing w:line="360" w:lineRule="auto"/>
        <w:ind w:left="540" w:hanging="540"/>
        <w:jc w:val="left"/>
        <w:rPr>
          <w:rFonts w:asciiTheme="minorEastAsia" w:hAnsiTheme="minorEastAsia" w:eastAsiaTheme="minorEastAsia" w:cstheme="minorEastAsia"/>
          <w:snapToGrid w:val="0"/>
          <w:color w:val="auto"/>
          <w:kern w:val="0"/>
          <w:szCs w:val="21"/>
          <w:lang w:val="zh-CN"/>
        </w:rPr>
      </w:pPr>
      <w:r>
        <w:rPr>
          <w:rFonts w:hint="eastAsia" w:asciiTheme="minorEastAsia" w:hAnsiTheme="minorEastAsia" w:eastAsiaTheme="minorEastAsia" w:cstheme="minorEastAsia"/>
          <w:snapToGrid w:val="0"/>
          <w:color w:val="auto"/>
          <w:kern w:val="0"/>
          <w:szCs w:val="21"/>
          <w:lang w:val="zh-CN"/>
        </w:rPr>
        <w:t>磋商报价包括磋商供应商在首次提交的响应文件中的报价、磋商过程中的报价和最后报价。磋商供应商的报价均应以人民币报价。</w:t>
      </w:r>
    </w:p>
    <w:p>
      <w:pPr>
        <w:numPr>
          <w:ilvl w:val="1"/>
          <w:numId w:val="20"/>
        </w:numPr>
        <w:tabs>
          <w:tab w:val="left" w:pos="540"/>
          <w:tab w:val="clear" w:pos="465"/>
        </w:tabs>
        <w:autoSpaceDE w:val="0"/>
        <w:autoSpaceDN w:val="0"/>
        <w:adjustRightInd w:val="0"/>
        <w:spacing w:line="360" w:lineRule="auto"/>
        <w:ind w:left="540" w:hanging="540"/>
        <w:jc w:val="left"/>
        <w:rPr>
          <w:rFonts w:asciiTheme="minorEastAsia" w:hAnsiTheme="minorEastAsia" w:eastAsiaTheme="minorEastAsia" w:cstheme="minorEastAsia"/>
          <w:snapToGrid w:val="0"/>
          <w:color w:val="auto"/>
          <w:kern w:val="0"/>
          <w:szCs w:val="21"/>
          <w:lang w:val="zh-CN"/>
        </w:rPr>
      </w:pPr>
      <w:r>
        <w:rPr>
          <w:rFonts w:hint="eastAsia" w:asciiTheme="minorEastAsia" w:hAnsiTheme="minorEastAsia" w:eastAsiaTheme="minorEastAsia" w:cstheme="minorEastAsia"/>
          <w:snapToGrid w:val="0"/>
          <w:color w:val="auto"/>
          <w:kern w:val="0"/>
          <w:szCs w:val="21"/>
          <w:lang w:val="zh-CN"/>
        </w:rPr>
        <w:t>供应商应按照本采购文件规定的采购需求及合同条款进行报价，并按竞争性磋商采购文件确定的格式报出。报价中不得包含竞争性磋商采购文件要求以外的内容，否则，在评审时不予核减。报价中也不得缺漏竞争性磋商采购文件所要求的内容，否则，其响应文件将被视为无效文件。</w:t>
      </w:r>
    </w:p>
    <w:p>
      <w:pPr>
        <w:numPr>
          <w:ilvl w:val="1"/>
          <w:numId w:val="20"/>
        </w:numPr>
        <w:tabs>
          <w:tab w:val="left" w:pos="540"/>
          <w:tab w:val="clear" w:pos="465"/>
        </w:tabs>
        <w:autoSpaceDE w:val="0"/>
        <w:autoSpaceDN w:val="0"/>
        <w:adjustRightInd w:val="0"/>
        <w:spacing w:line="360" w:lineRule="auto"/>
        <w:ind w:left="540" w:hanging="540"/>
        <w:jc w:val="left"/>
        <w:rPr>
          <w:rFonts w:asciiTheme="minorEastAsia" w:hAnsiTheme="minorEastAsia" w:eastAsiaTheme="minorEastAsia" w:cstheme="minorEastAsia"/>
          <w:snapToGrid w:val="0"/>
          <w:color w:val="auto"/>
          <w:kern w:val="0"/>
          <w:szCs w:val="21"/>
          <w:lang w:val="zh-CN"/>
        </w:rPr>
      </w:pPr>
      <w:r>
        <w:rPr>
          <w:rFonts w:hint="eastAsia" w:asciiTheme="minorEastAsia" w:hAnsiTheme="minorEastAsia" w:eastAsiaTheme="minorEastAsia" w:cstheme="minorEastAsia"/>
          <w:color w:val="auto"/>
          <w:szCs w:val="21"/>
        </w:rPr>
        <w:t>供应商应根据本磋商文件的规定和要求、市场价格水平及其走势、</w:t>
      </w:r>
      <w:r>
        <w:rPr>
          <w:rFonts w:hint="eastAsia" w:asciiTheme="minorEastAsia" w:hAnsiTheme="minorEastAsia" w:eastAsiaTheme="minorEastAsia" w:cstheme="minorEastAsia"/>
          <w:snapToGrid w:val="0"/>
          <w:color w:val="auto"/>
          <w:kern w:val="0"/>
          <w:szCs w:val="21"/>
          <w:lang w:val="zh-CN"/>
        </w:rPr>
        <w:t>磋商</w:t>
      </w:r>
      <w:r>
        <w:rPr>
          <w:rFonts w:hint="eastAsia" w:asciiTheme="minorEastAsia" w:hAnsiTheme="minorEastAsia" w:eastAsiaTheme="minorEastAsia" w:cstheme="minorEastAsia"/>
          <w:color w:val="auto"/>
          <w:szCs w:val="21"/>
        </w:rPr>
        <w:t>供应商的管理水平、</w:t>
      </w:r>
      <w:r>
        <w:rPr>
          <w:rFonts w:hint="eastAsia" w:asciiTheme="minorEastAsia" w:hAnsiTheme="minorEastAsia" w:eastAsiaTheme="minorEastAsia" w:cstheme="minorEastAsia"/>
          <w:snapToGrid w:val="0"/>
          <w:color w:val="auto"/>
          <w:kern w:val="0"/>
          <w:szCs w:val="21"/>
          <w:lang w:val="zh-CN"/>
        </w:rPr>
        <w:t>磋商</w:t>
      </w:r>
      <w:r>
        <w:rPr>
          <w:rFonts w:hint="eastAsia" w:asciiTheme="minorEastAsia" w:hAnsiTheme="minorEastAsia" w:eastAsiaTheme="minorEastAsia" w:cstheme="minorEastAsia"/>
          <w:color w:val="auto"/>
          <w:szCs w:val="21"/>
        </w:rPr>
        <w:t>供应商的</w:t>
      </w:r>
      <w:r>
        <w:rPr>
          <w:rFonts w:hint="eastAsia" w:asciiTheme="minorEastAsia" w:hAnsiTheme="minorEastAsia" w:eastAsiaTheme="minorEastAsia" w:cstheme="minorEastAsia"/>
          <w:snapToGrid w:val="0"/>
          <w:color w:val="auto"/>
          <w:kern w:val="0"/>
          <w:szCs w:val="21"/>
          <w:lang w:val="zh-CN"/>
        </w:rPr>
        <w:t>方案</w:t>
      </w:r>
      <w:r>
        <w:rPr>
          <w:rFonts w:hint="eastAsia" w:asciiTheme="minorEastAsia" w:hAnsiTheme="minorEastAsia" w:eastAsiaTheme="minorEastAsia" w:cstheme="minorEastAsia"/>
          <w:color w:val="auto"/>
          <w:szCs w:val="21"/>
        </w:rPr>
        <w:t>和由这些因素决定的磋商供应商之于本项目的成本水平等提出自己的报价。</w:t>
      </w:r>
      <w:r>
        <w:rPr>
          <w:rFonts w:hint="eastAsia" w:asciiTheme="minorEastAsia" w:hAnsiTheme="minorEastAsia" w:eastAsiaTheme="minorEastAsia" w:cstheme="minorEastAsia"/>
          <w:snapToGrid w:val="0"/>
          <w:color w:val="auto"/>
          <w:kern w:val="0"/>
          <w:szCs w:val="21"/>
          <w:lang w:val="zh-CN"/>
        </w:rPr>
        <w:t>报价应包含完成本采购文件采购需求全部内容的所有费用，所有根据本采购文件或其它原因应由磋商供应商支付的税款和其他应缴纳的费用都应包括在报价中。</w:t>
      </w:r>
      <w:r>
        <w:rPr>
          <w:rFonts w:hint="eastAsia" w:asciiTheme="minorEastAsia" w:hAnsiTheme="minorEastAsia" w:eastAsiaTheme="minorEastAsia" w:cstheme="minorEastAsia"/>
          <w:color w:val="auto"/>
          <w:szCs w:val="21"/>
        </w:rPr>
        <w:t>但磋商供应商不得以低于其成本的价格进行报价。</w:t>
      </w:r>
    </w:p>
    <w:p>
      <w:pPr>
        <w:numPr>
          <w:ilvl w:val="1"/>
          <w:numId w:val="20"/>
        </w:numPr>
        <w:tabs>
          <w:tab w:val="left" w:pos="540"/>
          <w:tab w:val="clear" w:pos="465"/>
        </w:tabs>
        <w:autoSpaceDE w:val="0"/>
        <w:autoSpaceDN w:val="0"/>
        <w:adjustRightInd w:val="0"/>
        <w:spacing w:line="360" w:lineRule="auto"/>
        <w:ind w:left="540" w:hanging="540"/>
        <w:jc w:val="left"/>
        <w:rPr>
          <w:rFonts w:asciiTheme="minorEastAsia" w:hAnsiTheme="minorEastAsia" w:eastAsiaTheme="minorEastAsia" w:cstheme="minorEastAsia"/>
          <w:snapToGrid w:val="0"/>
          <w:color w:val="auto"/>
          <w:kern w:val="0"/>
          <w:szCs w:val="21"/>
          <w:lang w:val="zh-CN"/>
        </w:rPr>
      </w:pPr>
      <w:r>
        <w:rPr>
          <w:rFonts w:hint="eastAsia" w:asciiTheme="minorEastAsia" w:hAnsiTheme="minorEastAsia" w:eastAsiaTheme="minorEastAsia" w:cstheme="minorEastAsia"/>
          <w:color w:val="auto"/>
          <w:szCs w:val="21"/>
        </w:rPr>
        <w:t>供应商在响应文件中</w:t>
      </w:r>
      <w:r>
        <w:rPr>
          <w:rFonts w:hint="eastAsia" w:asciiTheme="minorEastAsia" w:hAnsiTheme="minorEastAsia" w:eastAsiaTheme="minorEastAsia" w:cstheme="minorEastAsia"/>
          <w:snapToGrid w:val="0"/>
          <w:color w:val="auto"/>
          <w:kern w:val="0"/>
          <w:szCs w:val="21"/>
          <w:lang w:val="zh-CN"/>
        </w:rPr>
        <w:t>注明免费的项目将视为包含在报价中。</w:t>
      </w:r>
    </w:p>
    <w:p>
      <w:pPr>
        <w:numPr>
          <w:ilvl w:val="1"/>
          <w:numId w:val="20"/>
        </w:numPr>
        <w:tabs>
          <w:tab w:val="left" w:pos="540"/>
          <w:tab w:val="clear" w:pos="465"/>
        </w:tabs>
        <w:autoSpaceDE w:val="0"/>
        <w:autoSpaceDN w:val="0"/>
        <w:adjustRightInd w:val="0"/>
        <w:spacing w:line="360" w:lineRule="auto"/>
        <w:ind w:left="540" w:hanging="540"/>
        <w:jc w:val="left"/>
        <w:rPr>
          <w:rFonts w:asciiTheme="minorEastAsia" w:hAnsiTheme="minorEastAsia" w:eastAsiaTheme="minorEastAsia" w:cstheme="minorEastAsia"/>
          <w:snapToGrid w:val="0"/>
          <w:color w:val="auto"/>
          <w:kern w:val="0"/>
          <w:szCs w:val="21"/>
          <w:lang w:val="zh-CN"/>
        </w:rPr>
      </w:pPr>
      <w:r>
        <w:rPr>
          <w:rFonts w:hint="eastAsia" w:asciiTheme="minorEastAsia" w:hAnsiTheme="minorEastAsia" w:eastAsiaTheme="minorEastAsia" w:cstheme="minorEastAsia"/>
          <w:snapToGrid w:val="0"/>
          <w:color w:val="auto"/>
          <w:kern w:val="0"/>
          <w:szCs w:val="21"/>
          <w:lang w:val="zh-CN"/>
        </w:rPr>
        <w:t>每一种采购内容只允许有一个报价，否则其响应文件将被视为无效文件。</w:t>
      </w:r>
    </w:p>
    <w:p>
      <w:pPr>
        <w:numPr>
          <w:ilvl w:val="1"/>
          <w:numId w:val="20"/>
        </w:numPr>
        <w:tabs>
          <w:tab w:val="left" w:pos="540"/>
          <w:tab w:val="clear" w:pos="465"/>
        </w:tabs>
        <w:autoSpaceDE w:val="0"/>
        <w:autoSpaceDN w:val="0"/>
        <w:adjustRightInd w:val="0"/>
        <w:spacing w:line="360" w:lineRule="auto"/>
        <w:ind w:left="540" w:hanging="540"/>
        <w:jc w:val="left"/>
        <w:rPr>
          <w:rFonts w:asciiTheme="minorEastAsia" w:hAnsiTheme="minorEastAsia" w:eastAsiaTheme="minorEastAsia" w:cstheme="minorEastAsia"/>
          <w:snapToGrid w:val="0"/>
          <w:color w:val="auto"/>
          <w:kern w:val="0"/>
          <w:szCs w:val="21"/>
          <w:lang w:val="zh-CN"/>
        </w:rPr>
      </w:pPr>
      <w:r>
        <w:rPr>
          <w:rFonts w:hint="eastAsia" w:asciiTheme="minorEastAsia" w:hAnsiTheme="minorEastAsia" w:eastAsiaTheme="minorEastAsia" w:cstheme="minorEastAsia"/>
          <w:snapToGrid w:val="0"/>
          <w:color w:val="auto"/>
          <w:kern w:val="0"/>
          <w:szCs w:val="21"/>
          <w:lang w:val="zh-CN"/>
        </w:rPr>
        <w:t>成交供应商的报价在合同执行过程中是固定不变的，不得以任何理由予以变更。</w:t>
      </w:r>
    </w:p>
    <w:p>
      <w:pPr>
        <w:numPr>
          <w:ilvl w:val="0"/>
          <w:numId w:val="9"/>
        </w:numPr>
        <w:tabs>
          <w:tab w:val="left" w:pos="864"/>
        </w:tabs>
        <w:spacing w:line="360" w:lineRule="auto"/>
        <w:ind w:hanging="540"/>
        <w:outlineLvl w:val="1"/>
        <w:rPr>
          <w:rFonts w:asciiTheme="minorEastAsia" w:hAnsiTheme="minorEastAsia" w:eastAsiaTheme="minorEastAsia" w:cstheme="minorEastAsia"/>
          <w:b/>
          <w:snapToGrid w:val="0"/>
          <w:color w:val="auto"/>
          <w:kern w:val="0"/>
          <w:szCs w:val="21"/>
          <w:lang w:val="zh-CN"/>
        </w:rPr>
      </w:pPr>
      <w:bookmarkStart w:id="53" w:name="_Toc6176"/>
      <w:bookmarkStart w:id="54" w:name="_Toc23921"/>
      <w:r>
        <w:rPr>
          <w:rFonts w:hint="eastAsia" w:asciiTheme="minorEastAsia" w:hAnsiTheme="minorEastAsia" w:eastAsiaTheme="minorEastAsia" w:cstheme="minorEastAsia"/>
          <w:b/>
          <w:snapToGrid w:val="0"/>
          <w:color w:val="auto"/>
          <w:kern w:val="0"/>
          <w:szCs w:val="21"/>
          <w:lang w:val="zh-CN"/>
        </w:rPr>
        <w:t>备选方案</w:t>
      </w:r>
      <w:bookmarkEnd w:id="53"/>
      <w:bookmarkEnd w:id="54"/>
    </w:p>
    <w:p>
      <w:pPr>
        <w:numPr>
          <w:ilvl w:val="1"/>
          <w:numId w:val="21"/>
        </w:numPr>
        <w:tabs>
          <w:tab w:val="left" w:pos="540"/>
          <w:tab w:val="clear" w:pos="465"/>
        </w:tabs>
        <w:autoSpaceDE w:val="0"/>
        <w:autoSpaceDN w:val="0"/>
        <w:adjustRightInd w:val="0"/>
        <w:spacing w:line="360" w:lineRule="auto"/>
        <w:ind w:left="540" w:hanging="540"/>
        <w:jc w:val="left"/>
        <w:rPr>
          <w:rFonts w:asciiTheme="minorEastAsia" w:hAnsiTheme="minorEastAsia" w:eastAsiaTheme="minorEastAsia" w:cstheme="minorEastAsia"/>
          <w:snapToGrid w:val="0"/>
          <w:color w:val="auto"/>
          <w:kern w:val="0"/>
          <w:szCs w:val="21"/>
          <w:lang w:val="zh-CN"/>
        </w:rPr>
      </w:pPr>
      <w:r>
        <w:rPr>
          <w:rFonts w:hint="eastAsia" w:asciiTheme="minorEastAsia" w:hAnsiTheme="minorEastAsia" w:eastAsiaTheme="minorEastAsia" w:cstheme="minorEastAsia"/>
          <w:snapToGrid w:val="0"/>
          <w:color w:val="auto"/>
          <w:kern w:val="0"/>
          <w:szCs w:val="21"/>
          <w:lang w:val="zh-CN"/>
        </w:rPr>
        <w:t xml:space="preserve">是否允许备选方案见《供应商须知前附表》。不允许有备选方案的，若在响应文件中提交了备选方案，其响应文件将被视为无效文件。 </w:t>
      </w:r>
    </w:p>
    <w:p>
      <w:pPr>
        <w:numPr>
          <w:ilvl w:val="0"/>
          <w:numId w:val="9"/>
        </w:numPr>
        <w:tabs>
          <w:tab w:val="left" w:pos="864"/>
        </w:tabs>
        <w:spacing w:line="360" w:lineRule="auto"/>
        <w:ind w:hanging="540"/>
        <w:outlineLvl w:val="1"/>
        <w:rPr>
          <w:rFonts w:asciiTheme="minorEastAsia" w:hAnsiTheme="minorEastAsia" w:eastAsiaTheme="minorEastAsia" w:cstheme="minorEastAsia"/>
          <w:b/>
          <w:snapToGrid w:val="0"/>
          <w:color w:val="auto"/>
          <w:kern w:val="0"/>
          <w:szCs w:val="21"/>
          <w:lang w:val="zh-CN"/>
        </w:rPr>
      </w:pPr>
      <w:bookmarkStart w:id="55" w:name="_Toc3324"/>
      <w:bookmarkStart w:id="56" w:name="_Toc827"/>
      <w:r>
        <w:rPr>
          <w:rFonts w:hint="eastAsia" w:asciiTheme="minorEastAsia" w:hAnsiTheme="minorEastAsia" w:eastAsiaTheme="minorEastAsia" w:cstheme="minorEastAsia"/>
          <w:b/>
          <w:snapToGrid w:val="0"/>
          <w:color w:val="auto"/>
          <w:kern w:val="0"/>
          <w:szCs w:val="21"/>
          <w:lang w:val="zh-CN"/>
        </w:rPr>
        <w:t>联合体</w:t>
      </w:r>
      <w:bookmarkEnd w:id="55"/>
      <w:bookmarkEnd w:id="56"/>
    </w:p>
    <w:p>
      <w:pPr>
        <w:numPr>
          <w:ilvl w:val="1"/>
          <w:numId w:val="22"/>
        </w:numPr>
        <w:tabs>
          <w:tab w:val="left" w:pos="540"/>
          <w:tab w:val="clear" w:pos="465"/>
        </w:tabs>
        <w:autoSpaceDE w:val="0"/>
        <w:autoSpaceDN w:val="0"/>
        <w:adjustRightInd w:val="0"/>
        <w:spacing w:line="360" w:lineRule="auto"/>
        <w:ind w:left="540" w:hanging="540"/>
        <w:jc w:val="left"/>
        <w:rPr>
          <w:rFonts w:asciiTheme="minorEastAsia" w:hAnsiTheme="minorEastAsia" w:eastAsiaTheme="minorEastAsia" w:cstheme="minorEastAsia"/>
          <w:snapToGrid w:val="0"/>
          <w:color w:val="auto"/>
          <w:kern w:val="0"/>
          <w:szCs w:val="21"/>
          <w:lang w:val="zh-CN"/>
        </w:rPr>
      </w:pPr>
      <w:r>
        <w:rPr>
          <w:rFonts w:hint="eastAsia" w:asciiTheme="minorEastAsia" w:hAnsiTheme="minorEastAsia" w:eastAsiaTheme="minorEastAsia" w:cstheme="minorEastAsia"/>
          <w:snapToGrid w:val="0"/>
          <w:color w:val="auto"/>
          <w:kern w:val="0"/>
          <w:szCs w:val="21"/>
          <w:lang w:val="zh-CN"/>
        </w:rPr>
        <w:t xml:space="preserve">本次采购是否允许联合体参加详见《供应商须知前附表》。 </w:t>
      </w:r>
    </w:p>
    <w:p>
      <w:pPr>
        <w:numPr>
          <w:ilvl w:val="1"/>
          <w:numId w:val="22"/>
        </w:numPr>
        <w:tabs>
          <w:tab w:val="left" w:pos="540"/>
          <w:tab w:val="clear" w:pos="465"/>
        </w:tabs>
        <w:autoSpaceDE w:val="0"/>
        <w:autoSpaceDN w:val="0"/>
        <w:adjustRightInd w:val="0"/>
        <w:spacing w:line="360" w:lineRule="auto"/>
        <w:ind w:left="540" w:hanging="540"/>
        <w:jc w:val="left"/>
        <w:rPr>
          <w:rFonts w:asciiTheme="minorEastAsia" w:hAnsiTheme="minorEastAsia" w:eastAsiaTheme="minorEastAsia" w:cstheme="minorEastAsia"/>
          <w:snapToGrid w:val="0"/>
          <w:color w:val="auto"/>
          <w:kern w:val="0"/>
          <w:szCs w:val="21"/>
          <w:lang w:val="zh-CN"/>
        </w:rPr>
      </w:pPr>
      <w:r>
        <w:rPr>
          <w:rFonts w:hint="eastAsia" w:asciiTheme="minorEastAsia" w:hAnsiTheme="minorEastAsia" w:eastAsiaTheme="minorEastAsia" w:cstheme="minorEastAsia"/>
          <w:snapToGrid w:val="0"/>
          <w:color w:val="auto"/>
          <w:kern w:val="0"/>
          <w:szCs w:val="21"/>
          <w:lang w:val="zh-CN"/>
        </w:rPr>
        <w:t>本次采购允许联合体报价的，联合体各方不得再单独或者与其他供应商另外组成联合体参加本项目的报价。</w:t>
      </w:r>
    </w:p>
    <w:p>
      <w:pPr>
        <w:numPr>
          <w:ilvl w:val="0"/>
          <w:numId w:val="9"/>
        </w:numPr>
        <w:tabs>
          <w:tab w:val="left" w:pos="864"/>
          <w:tab w:val="left" w:pos="1080"/>
        </w:tabs>
        <w:spacing w:line="360" w:lineRule="auto"/>
        <w:ind w:hanging="540"/>
        <w:outlineLvl w:val="1"/>
        <w:rPr>
          <w:rFonts w:asciiTheme="minorEastAsia" w:hAnsiTheme="minorEastAsia" w:eastAsiaTheme="minorEastAsia" w:cstheme="minorEastAsia"/>
          <w:b/>
          <w:snapToGrid w:val="0"/>
          <w:color w:val="auto"/>
          <w:kern w:val="0"/>
          <w:szCs w:val="21"/>
          <w:lang w:val="zh-CN"/>
        </w:rPr>
      </w:pPr>
      <w:bookmarkStart w:id="57" w:name="_Toc2434"/>
      <w:bookmarkStart w:id="58" w:name="_Toc569"/>
      <w:r>
        <w:rPr>
          <w:rFonts w:hint="eastAsia" w:asciiTheme="minorEastAsia" w:hAnsiTheme="minorEastAsia" w:eastAsiaTheme="minorEastAsia" w:cstheme="minorEastAsia"/>
          <w:b/>
          <w:snapToGrid w:val="0"/>
          <w:color w:val="auto"/>
          <w:kern w:val="0"/>
          <w:szCs w:val="21"/>
          <w:lang w:val="zh-CN"/>
        </w:rPr>
        <w:t>供应商资格证明文件</w:t>
      </w:r>
      <w:bookmarkEnd w:id="57"/>
      <w:bookmarkEnd w:id="58"/>
    </w:p>
    <w:p>
      <w:pPr>
        <w:numPr>
          <w:ilvl w:val="1"/>
          <w:numId w:val="23"/>
        </w:numPr>
        <w:tabs>
          <w:tab w:val="left" w:pos="540"/>
          <w:tab w:val="clear" w:pos="465"/>
        </w:tabs>
        <w:autoSpaceDE w:val="0"/>
        <w:autoSpaceDN w:val="0"/>
        <w:adjustRightInd w:val="0"/>
        <w:spacing w:line="360" w:lineRule="auto"/>
        <w:ind w:left="540" w:hanging="540"/>
        <w:jc w:val="left"/>
        <w:rPr>
          <w:rFonts w:asciiTheme="minorEastAsia" w:hAnsiTheme="minorEastAsia" w:eastAsiaTheme="minorEastAsia" w:cstheme="minorEastAsia"/>
          <w:snapToGrid w:val="0"/>
          <w:color w:val="auto"/>
          <w:kern w:val="0"/>
          <w:szCs w:val="21"/>
          <w:lang w:val="zh-CN"/>
        </w:rPr>
      </w:pPr>
      <w:r>
        <w:rPr>
          <w:rFonts w:hint="eastAsia" w:asciiTheme="minorEastAsia" w:hAnsiTheme="minorEastAsia" w:eastAsiaTheme="minorEastAsia" w:cstheme="minorEastAsia"/>
          <w:snapToGrid w:val="0"/>
          <w:color w:val="auto"/>
          <w:kern w:val="0"/>
          <w:szCs w:val="21"/>
          <w:lang w:val="zh-CN"/>
        </w:rPr>
        <w:t>供应商应在响应文件提交证明其有资格参加磋商的证明文件，证明文件应包括下列文件：</w:t>
      </w:r>
    </w:p>
    <w:p>
      <w:pPr>
        <w:numPr>
          <w:ilvl w:val="3"/>
          <w:numId w:val="24"/>
        </w:numPr>
        <w:tabs>
          <w:tab w:val="left" w:pos="540"/>
          <w:tab w:val="clear" w:pos="2040"/>
        </w:tabs>
        <w:autoSpaceDE w:val="0"/>
        <w:autoSpaceDN w:val="0"/>
        <w:adjustRightInd w:val="0"/>
        <w:spacing w:line="360" w:lineRule="auto"/>
        <w:ind w:left="540" w:hanging="540"/>
        <w:jc w:val="left"/>
        <w:rPr>
          <w:rFonts w:asciiTheme="minorEastAsia" w:hAnsiTheme="minorEastAsia" w:eastAsiaTheme="minorEastAsia" w:cstheme="minorEastAsia"/>
          <w:snapToGrid w:val="0"/>
          <w:color w:val="auto"/>
          <w:kern w:val="0"/>
          <w:szCs w:val="21"/>
          <w:lang w:val="zh-CN"/>
        </w:rPr>
      </w:pPr>
      <w:r>
        <w:rPr>
          <w:rFonts w:hint="eastAsia" w:asciiTheme="minorEastAsia" w:hAnsiTheme="minorEastAsia" w:eastAsiaTheme="minorEastAsia" w:cstheme="minorEastAsia"/>
          <w:snapToGrid w:val="0"/>
          <w:color w:val="auto"/>
          <w:kern w:val="0"/>
          <w:szCs w:val="21"/>
          <w:lang w:val="zh-CN"/>
        </w:rPr>
        <w:t>采购文件要求供应商应提交的其它资格证明文件，应提交的资格证明文件（</w:t>
      </w:r>
      <w:r>
        <w:rPr>
          <w:rFonts w:hint="eastAsia" w:asciiTheme="minorEastAsia" w:hAnsiTheme="minorEastAsia" w:eastAsiaTheme="minorEastAsia" w:cstheme="minorEastAsia"/>
          <w:snapToGrid w:val="0"/>
          <w:color w:val="auto"/>
          <w:kern w:val="0"/>
          <w:szCs w:val="21"/>
        </w:rPr>
        <w:t>实质性要求</w:t>
      </w:r>
      <w:r>
        <w:rPr>
          <w:rFonts w:hint="eastAsia" w:asciiTheme="minorEastAsia" w:hAnsiTheme="minorEastAsia" w:eastAsiaTheme="minorEastAsia" w:cstheme="minorEastAsia"/>
          <w:snapToGrid w:val="0"/>
          <w:color w:val="auto"/>
          <w:kern w:val="0"/>
          <w:szCs w:val="21"/>
          <w:lang w:val="zh-CN"/>
        </w:rPr>
        <w:t>）见《供应商须知前附表》。</w:t>
      </w:r>
    </w:p>
    <w:p>
      <w:pPr>
        <w:numPr>
          <w:ilvl w:val="1"/>
          <w:numId w:val="23"/>
        </w:numPr>
        <w:tabs>
          <w:tab w:val="left" w:pos="540"/>
          <w:tab w:val="clear" w:pos="465"/>
        </w:tabs>
        <w:autoSpaceDE w:val="0"/>
        <w:autoSpaceDN w:val="0"/>
        <w:adjustRightInd w:val="0"/>
        <w:spacing w:line="360" w:lineRule="auto"/>
        <w:ind w:left="540" w:hanging="540"/>
        <w:jc w:val="left"/>
        <w:rPr>
          <w:rFonts w:asciiTheme="minorEastAsia" w:hAnsiTheme="minorEastAsia" w:eastAsiaTheme="minorEastAsia" w:cstheme="minorEastAsia"/>
          <w:snapToGrid w:val="0"/>
          <w:color w:val="auto"/>
          <w:kern w:val="0"/>
          <w:szCs w:val="21"/>
          <w:lang w:val="zh-CN"/>
        </w:rPr>
      </w:pPr>
      <w:r>
        <w:rPr>
          <w:rFonts w:hint="eastAsia" w:asciiTheme="minorEastAsia" w:hAnsiTheme="minorEastAsia" w:eastAsiaTheme="minorEastAsia" w:cstheme="minorEastAsia"/>
          <w:snapToGrid w:val="0"/>
          <w:color w:val="auto"/>
          <w:kern w:val="0"/>
          <w:szCs w:val="21"/>
          <w:lang w:val="zh-CN"/>
        </w:rPr>
        <w:t>除本须知14.1要求的资格证明文件外，如国家法律法规对市场准入有要求的还应提交相关资格证明文件。</w:t>
      </w:r>
    </w:p>
    <w:p>
      <w:pPr>
        <w:numPr>
          <w:ilvl w:val="1"/>
          <w:numId w:val="23"/>
        </w:numPr>
        <w:tabs>
          <w:tab w:val="left" w:pos="540"/>
          <w:tab w:val="clear" w:pos="465"/>
        </w:tabs>
        <w:autoSpaceDE w:val="0"/>
        <w:autoSpaceDN w:val="0"/>
        <w:adjustRightInd w:val="0"/>
        <w:spacing w:line="360" w:lineRule="auto"/>
        <w:ind w:left="540" w:hanging="540"/>
        <w:jc w:val="left"/>
        <w:rPr>
          <w:rFonts w:asciiTheme="minorEastAsia" w:hAnsiTheme="minorEastAsia" w:eastAsiaTheme="minorEastAsia" w:cstheme="minorEastAsia"/>
          <w:snapToGrid w:val="0"/>
          <w:color w:val="auto"/>
          <w:kern w:val="0"/>
          <w:szCs w:val="21"/>
          <w:lang w:val="zh-CN"/>
        </w:rPr>
      </w:pPr>
      <w:r>
        <w:rPr>
          <w:rFonts w:hint="eastAsia" w:asciiTheme="minorEastAsia" w:hAnsiTheme="minorEastAsia" w:eastAsiaTheme="minorEastAsia" w:cstheme="minorEastAsia"/>
          <w:snapToGrid w:val="0"/>
          <w:color w:val="auto"/>
          <w:kern w:val="0"/>
          <w:szCs w:val="21"/>
          <w:lang w:val="zh-CN"/>
        </w:rPr>
        <w:t>证明材料仅限于磋商供应商单位本身，母公司、股东单位和子公司的材料不能作为证明材料，但磋商供应商单位兼并的企业的材料可作为证明材料。必须</w:t>
      </w:r>
      <w:r>
        <w:rPr>
          <w:rFonts w:hint="eastAsia" w:asciiTheme="minorEastAsia" w:hAnsiTheme="minorEastAsia" w:eastAsiaTheme="minorEastAsia" w:cstheme="minorEastAsia"/>
          <w:snapToGrid w:val="0"/>
          <w:color w:val="auto"/>
          <w:kern w:val="0"/>
          <w:szCs w:val="21"/>
        </w:rPr>
        <w:t>每页</w:t>
      </w:r>
      <w:r>
        <w:rPr>
          <w:rFonts w:hint="eastAsia" w:asciiTheme="minorEastAsia" w:hAnsiTheme="minorEastAsia" w:eastAsiaTheme="minorEastAsia" w:cstheme="minorEastAsia"/>
          <w:snapToGrid w:val="0"/>
          <w:color w:val="auto"/>
          <w:kern w:val="0"/>
          <w:szCs w:val="21"/>
          <w:lang w:val="zh-CN"/>
        </w:rPr>
        <w:t>加盖单位印章，</w:t>
      </w:r>
      <w:r>
        <w:rPr>
          <w:rFonts w:hint="eastAsia" w:asciiTheme="minorEastAsia" w:hAnsiTheme="minorEastAsia" w:eastAsiaTheme="minorEastAsia" w:cstheme="minorEastAsia"/>
          <w:snapToGrid w:val="0"/>
          <w:color w:val="auto"/>
          <w:kern w:val="0"/>
          <w:szCs w:val="21"/>
        </w:rPr>
        <w:t>否则做废标处理</w:t>
      </w:r>
      <w:r>
        <w:rPr>
          <w:rFonts w:hint="eastAsia" w:asciiTheme="minorEastAsia" w:hAnsiTheme="minorEastAsia" w:eastAsiaTheme="minorEastAsia" w:cstheme="minorEastAsia"/>
          <w:snapToGrid w:val="0"/>
          <w:color w:val="auto"/>
          <w:kern w:val="0"/>
          <w:szCs w:val="21"/>
          <w:lang w:val="zh-CN"/>
        </w:rPr>
        <w:t>。</w:t>
      </w:r>
    </w:p>
    <w:p>
      <w:pPr>
        <w:numPr>
          <w:ilvl w:val="0"/>
          <w:numId w:val="9"/>
        </w:numPr>
        <w:tabs>
          <w:tab w:val="left" w:pos="864"/>
          <w:tab w:val="left" w:pos="1080"/>
        </w:tabs>
        <w:spacing w:line="360" w:lineRule="auto"/>
        <w:ind w:hanging="540"/>
        <w:outlineLvl w:val="1"/>
        <w:rPr>
          <w:rFonts w:asciiTheme="minorEastAsia" w:hAnsiTheme="minorEastAsia" w:eastAsiaTheme="minorEastAsia" w:cstheme="minorEastAsia"/>
          <w:b/>
          <w:snapToGrid w:val="0"/>
          <w:color w:val="auto"/>
          <w:kern w:val="0"/>
          <w:szCs w:val="21"/>
          <w:lang w:val="zh-CN"/>
        </w:rPr>
      </w:pPr>
      <w:bookmarkStart w:id="59" w:name="_Toc24609"/>
      <w:bookmarkStart w:id="60" w:name="_Toc9935"/>
      <w:r>
        <w:rPr>
          <w:rFonts w:hint="eastAsia" w:asciiTheme="minorEastAsia" w:hAnsiTheme="minorEastAsia" w:eastAsiaTheme="minorEastAsia" w:cstheme="minorEastAsia"/>
          <w:b/>
          <w:snapToGrid w:val="0"/>
          <w:color w:val="auto"/>
          <w:kern w:val="0"/>
          <w:szCs w:val="21"/>
          <w:lang w:val="zh-CN"/>
        </w:rPr>
        <w:t>证明报价内容、服务合格性和符合竞争性磋商采购文件规定的文件</w:t>
      </w:r>
      <w:bookmarkEnd w:id="59"/>
      <w:bookmarkEnd w:id="60"/>
    </w:p>
    <w:p>
      <w:pPr>
        <w:numPr>
          <w:ilvl w:val="1"/>
          <w:numId w:val="25"/>
        </w:numPr>
        <w:tabs>
          <w:tab w:val="left" w:pos="525"/>
          <w:tab w:val="clear" w:pos="465"/>
        </w:tabs>
        <w:autoSpaceDE w:val="0"/>
        <w:autoSpaceDN w:val="0"/>
        <w:adjustRightInd w:val="0"/>
        <w:spacing w:line="360" w:lineRule="auto"/>
        <w:ind w:left="540" w:hanging="540"/>
        <w:jc w:val="left"/>
        <w:rPr>
          <w:rFonts w:asciiTheme="minorEastAsia" w:hAnsiTheme="minorEastAsia" w:eastAsiaTheme="minorEastAsia" w:cstheme="minorEastAsia"/>
          <w:snapToGrid w:val="0"/>
          <w:color w:val="auto"/>
          <w:kern w:val="0"/>
          <w:szCs w:val="21"/>
          <w:lang w:val="zh-CN"/>
        </w:rPr>
      </w:pPr>
      <w:r>
        <w:rPr>
          <w:rFonts w:hint="eastAsia" w:asciiTheme="minorEastAsia" w:hAnsiTheme="minorEastAsia" w:eastAsiaTheme="minorEastAsia" w:cstheme="minorEastAsia"/>
          <w:snapToGrid w:val="0"/>
          <w:color w:val="auto"/>
          <w:kern w:val="0"/>
          <w:szCs w:val="21"/>
          <w:lang w:val="zh-CN"/>
        </w:rPr>
        <w:t>证明报价内容符合竞争性磋商采购文件要求的文件和竞争性磋商采购文件规定的其他资料，具体要求见《供应商须知前附表》。</w:t>
      </w:r>
    </w:p>
    <w:p>
      <w:pPr>
        <w:numPr>
          <w:ilvl w:val="0"/>
          <w:numId w:val="9"/>
        </w:numPr>
        <w:tabs>
          <w:tab w:val="left" w:pos="864"/>
          <w:tab w:val="left" w:pos="1080"/>
        </w:tabs>
        <w:spacing w:line="360" w:lineRule="auto"/>
        <w:ind w:hanging="540"/>
        <w:outlineLvl w:val="1"/>
        <w:rPr>
          <w:rFonts w:asciiTheme="minorEastAsia" w:hAnsiTheme="minorEastAsia" w:eastAsiaTheme="minorEastAsia" w:cstheme="minorEastAsia"/>
          <w:b/>
          <w:snapToGrid w:val="0"/>
          <w:color w:val="auto"/>
          <w:kern w:val="0"/>
          <w:szCs w:val="21"/>
          <w:lang w:val="zh-CN"/>
        </w:rPr>
      </w:pPr>
      <w:bookmarkStart w:id="61" w:name="_Toc27068"/>
      <w:bookmarkStart w:id="62" w:name="_Toc29173"/>
      <w:r>
        <w:rPr>
          <w:rFonts w:hint="eastAsia" w:asciiTheme="minorEastAsia" w:hAnsiTheme="minorEastAsia" w:eastAsiaTheme="minorEastAsia" w:cstheme="minorEastAsia"/>
          <w:b/>
          <w:snapToGrid w:val="0"/>
          <w:color w:val="auto"/>
          <w:kern w:val="0"/>
          <w:szCs w:val="21"/>
          <w:lang w:val="zh-CN"/>
        </w:rPr>
        <w:t>磋商保证金</w:t>
      </w:r>
      <w:bookmarkEnd w:id="61"/>
      <w:bookmarkEnd w:id="62"/>
    </w:p>
    <w:p>
      <w:pPr>
        <w:numPr>
          <w:ilvl w:val="1"/>
          <w:numId w:val="26"/>
        </w:numPr>
        <w:tabs>
          <w:tab w:val="left" w:pos="540"/>
        </w:tabs>
        <w:autoSpaceDE w:val="0"/>
        <w:autoSpaceDN w:val="0"/>
        <w:adjustRightInd w:val="0"/>
        <w:spacing w:line="360" w:lineRule="auto"/>
        <w:ind w:left="540" w:hanging="540"/>
        <w:jc w:val="left"/>
        <w:rPr>
          <w:rFonts w:asciiTheme="minorEastAsia" w:hAnsiTheme="minorEastAsia" w:eastAsiaTheme="minorEastAsia" w:cstheme="minorEastAsia"/>
          <w:snapToGrid w:val="0"/>
          <w:color w:val="auto"/>
          <w:kern w:val="0"/>
          <w:szCs w:val="21"/>
          <w:lang w:val="zh-CN"/>
        </w:rPr>
      </w:pPr>
      <w:r>
        <w:rPr>
          <w:rFonts w:hint="eastAsia" w:asciiTheme="minorEastAsia" w:hAnsiTheme="minorEastAsia" w:eastAsiaTheme="minorEastAsia" w:cstheme="minorEastAsia"/>
          <w:snapToGrid w:val="0"/>
          <w:color w:val="auto"/>
          <w:kern w:val="0"/>
          <w:szCs w:val="21"/>
          <w:lang w:val="zh-CN"/>
        </w:rPr>
        <w:t>本采购文件是否要求递交磋商保证金及保证金金额、递交方式、递交时间、接受保证金的帐户信息等详见《供应商须知前附表》。</w:t>
      </w:r>
    </w:p>
    <w:p>
      <w:pPr>
        <w:numPr>
          <w:ilvl w:val="1"/>
          <w:numId w:val="26"/>
        </w:numPr>
        <w:tabs>
          <w:tab w:val="left" w:pos="540"/>
          <w:tab w:val="clear" w:pos="600"/>
        </w:tabs>
        <w:autoSpaceDE w:val="0"/>
        <w:autoSpaceDN w:val="0"/>
        <w:adjustRightInd w:val="0"/>
        <w:spacing w:line="360" w:lineRule="auto"/>
        <w:ind w:left="540" w:hanging="540"/>
        <w:jc w:val="left"/>
        <w:rPr>
          <w:rFonts w:asciiTheme="minorEastAsia" w:hAnsiTheme="minorEastAsia" w:eastAsiaTheme="minorEastAsia" w:cstheme="minorEastAsia"/>
          <w:snapToGrid w:val="0"/>
          <w:color w:val="auto"/>
          <w:kern w:val="0"/>
          <w:szCs w:val="21"/>
          <w:lang w:val="zh-CN"/>
        </w:rPr>
      </w:pPr>
      <w:r>
        <w:rPr>
          <w:rFonts w:hint="eastAsia" w:asciiTheme="minorEastAsia" w:hAnsiTheme="minorEastAsia" w:eastAsiaTheme="minorEastAsia" w:cstheme="minorEastAsia"/>
          <w:snapToGrid w:val="0"/>
          <w:color w:val="auto"/>
          <w:kern w:val="0"/>
          <w:szCs w:val="21"/>
          <w:lang w:val="zh-CN"/>
        </w:rPr>
        <w:t>本采购文件要求递交磋商保证金的，磋商保证金作为竞争性磋商响应文件的组成部分，</w:t>
      </w:r>
      <w:r>
        <w:rPr>
          <w:rFonts w:hint="eastAsia" w:asciiTheme="minorEastAsia" w:hAnsiTheme="minorEastAsia" w:eastAsiaTheme="minorEastAsia" w:cstheme="minorEastAsia"/>
          <w:color w:val="auto"/>
          <w:szCs w:val="21"/>
          <w:lang w:val="zh-CN"/>
        </w:rPr>
        <w:t>以到账为准。</w:t>
      </w:r>
      <w:r>
        <w:rPr>
          <w:rFonts w:hint="eastAsia" w:asciiTheme="minorEastAsia" w:hAnsiTheme="minorEastAsia" w:eastAsiaTheme="minorEastAsia" w:cstheme="minorEastAsia"/>
          <w:snapToGrid w:val="0"/>
          <w:color w:val="auto"/>
          <w:kern w:val="0"/>
          <w:szCs w:val="21"/>
          <w:lang w:val="zh-CN"/>
        </w:rPr>
        <w:t>凡未按规定递交磋商保证金的报价，其响应文件将被视为无效文件。</w:t>
      </w:r>
    </w:p>
    <w:p>
      <w:pPr>
        <w:numPr>
          <w:ilvl w:val="1"/>
          <w:numId w:val="26"/>
        </w:numPr>
        <w:tabs>
          <w:tab w:val="left" w:pos="540"/>
          <w:tab w:val="clear" w:pos="600"/>
        </w:tabs>
        <w:autoSpaceDE w:val="0"/>
        <w:autoSpaceDN w:val="0"/>
        <w:adjustRightInd w:val="0"/>
        <w:spacing w:line="360" w:lineRule="auto"/>
        <w:ind w:left="540" w:hanging="540"/>
        <w:jc w:val="left"/>
        <w:rPr>
          <w:rFonts w:asciiTheme="minorEastAsia" w:hAnsiTheme="minorEastAsia" w:eastAsiaTheme="minorEastAsia" w:cstheme="minorEastAsia"/>
          <w:snapToGrid w:val="0"/>
          <w:color w:val="auto"/>
          <w:kern w:val="0"/>
          <w:szCs w:val="21"/>
          <w:lang w:val="zh-CN"/>
        </w:rPr>
      </w:pPr>
      <w:r>
        <w:rPr>
          <w:rFonts w:hint="eastAsia" w:asciiTheme="minorEastAsia" w:hAnsiTheme="minorEastAsia" w:eastAsiaTheme="minorEastAsia" w:cstheme="minorEastAsia"/>
          <w:snapToGrid w:val="0"/>
          <w:color w:val="auto"/>
          <w:kern w:val="0"/>
          <w:szCs w:val="21"/>
          <w:lang w:val="zh-CN"/>
        </w:rPr>
        <w:t>磋商保证金有效时间：磋商保证金的有效期与本次磋商有效期一致。</w:t>
      </w:r>
    </w:p>
    <w:p>
      <w:pPr>
        <w:numPr>
          <w:ilvl w:val="1"/>
          <w:numId w:val="26"/>
        </w:numPr>
        <w:tabs>
          <w:tab w:val="left" w:pos="540"/>
          <w:tab w:val="clear" w:pos="600"/>
        </w:tabs>
        <w:autoSpaceDE w:val="0"/>
        <w:autoSpaceDN w:val="0"/>
        <w:adjustRightInd w:val="0"/>
        <w:spacing w:line="360" w:lineRule="auto"/>
        <w:ind w:left="540" w:hanging="540"/>
        <w:jc w:val="left"/>
        <w:rPr>
          <w:rFonts w:asciiTheme="minorEastAsia" w:hAnsiTheme="minorEastAsia" w:eastAsiaTheme="minorEastAsia" w:cstheme="minorEastAsia"/>
          <w:color w:val="auto"/>
          <w:szCs w:val="21"/>
          <w:lang w:val="zh-CN"/>
        </w:rPr>
      </w:pPr>
      <w:r>
        <w:rPr>
          <w:rFonts w:hint="eastAsia" w:asciiTheme="minorEastAsia" w:hAnsiTheme="minorEastAsia" w:eastAsiaTheme="minorEastAsia" w:cstheme="minorEastAsia"/>
          <w:color w:val="auto"/>
          <w:szCs w:val="21"/>
          <w:lang w:val="zh-CN"/>
        </w:rPr>
        <w:t>供应商为联合体的，应由联合体中牵头人缴纳保证金，其缴纳的保证金对联合体各方均具有约束力。</w:t>
      </w:r>
    </w:p>
    <w:p>
      <w:pPr>
        <w:numPr>
          <w:ilvl w:val="1"/>
          <w:numId w:val="26"/>
        </w:numPr>
        <w:tabs>
          <w:tab w:val="left" w:pos="540"/>
          <w:tab w:val="clear" w:pos="600"/>
        </w:tabs>
        <w:autoSpaceDE w:val="0"/>
        <w:autoSpaceDN w:val="0"/>
        <w:adjustRightInd w:val="0"/>
        <w:spacing w:line="360" w:lineRule="auto"/>
        <w:ind w:left="540" w:hanging="540"/>
        <w:jc w:val="left"/>
        <w:rPr>
          <w:rFonts w:asciiTheme="minorEastAsia" w:hAnsiTheme="minorEastAsia" w:eastAsiaTheme="minorEastAsia" w:cstheme="minorEastAsia"/>
          <w:snapToGrid w:val="0"/>
          <w:color w:val="auto"/>
          <w:kern w:val="0"/>
          <w:szCs w:val="21"/>
          <w:lang w:val="zh-CN"/>
        </w:rPr>
      </w:pPr>
      <w:r>
        <w:rPr>
          <w:rFonts w:hint="eastAsia" w:asciiTheme="minorEastAsia" w:hAnsiTheme="minorEastAsia" w:eastAsiaTheme="minorEastAsia" w:cstheme="minorEastAsia"/>
          <w:snapToGrid w:val="0"/>
          <w:color w:val="auto"/>
          <w:kern w:val="0"/>
          <w:szCs w:val="21"/>
          <w:lang w:val="zh-CN"/>
        </w:rPr>
        <w:t>保证金的退还：未成交的磋商供应商，其磋商保证金在成交通知书发出后5个工作日内不计利息原额退还，成交供应商的磋商保证金，在成交供应商与采购人签订合同后5个工作日内不计利息原额退还。</w:t>
      </w:r>
    </w:p>
    <w:p>
      <w:pPr>
        <w:numPr>
          <w:ilvl w:val="1"/>
          <w:numId w:val="26"/>
        </w:numPr>
        <w:tabs>
          <w:tab w:val="left" w:pos="540"/>
          <w:tab w:val="clear" w:pos="600"/>
        </w:tabs>
        <w:autoSpaceDE w:val="0"/>
        <w:autoSpaceDN w:val="0"/>
        <w:adjustRightInd w:val="0"/>
        <w:spacing w:line="360" w:lineRule="auto"/>
        <w:ind w:left="540" w:hanging="540"/>
        <w:jc w:val="left"/>
        <w:rPr>
          <w:rFonts w:asciiTheme="minorEastAsia" w:hAnsiTheme="minorEastAsia" w:eastAsiaTheme="minorEastAsia" w:cstheme="minorEastAsia"/>
          <w:snapToGrid w:val="0"/>
          <w:color w:val="auto"/>
          <w:kern w:val="0"/>
          <w:szCs w:val="21"/>
          <w:lang w:val="zh-CN"/>
        </w:rPr>
      </w:pPr>
      <w:r>
        <w:rPr>
          <w:rFonts w:hint="eastAsia" w:asciiTheme="minorEastAsia" w:hAnsiTheme="minorEastAsia" w:eastAsiaTheme="minorEastAsia" w:cstheme="minorEastAsia"/>
          <w:snapToGrid w:val="0"/>
          <w:color w:val="auto"/>
          <w:kern w:val="0"/>
          <w:szCs w:val="21"/>
          <w:lang w:val="zh-CN"/>
        </w:rPr>
        <w:t>有下列情形之一的，磋商保证金将不予退还:</w:t>
      </w:r>
    </w:p>
    <w:p>
      <w:pPr>
        <w:numPr>
          <w:ilvl w:val="0"/>
          <w:numId w:val="27"/>
        </w:numPr>
        <w:tabs>
          <w:tab w:val="left" w:pos="525"/>
          <w:tab w:val="clear" w:pos="2040"/>
        </w:tabs>
        <w:autoSpaceDE w:val="0"/>
        <w:autoSpaceDN w:val="0"/>
        <w:adjustRightInd w:val="0"/>
        <w:spacing w:line="360" w:lineRule="auto"/>
        <w:ind w:left="540" w:hanging="539" w:hangingChars="257"/>
        <w:jc w:val="left"/>
        <w:rPr>
          <w:rFonts w:asciiTheme="minorEastAsia" w:hAnsiTheme="minorEastAsia" w:eastAsiaTheme="minorEastAsia" w:cstheme="minorEastAsia"/>
          <w:snapToGrid w:val="0"/>
          <w:color w:val="auto"/>
          <w:kern w:val="0"/>
          <w:szCs w:val="21"/>
          <w:lang w:val="zh-CN"/>
        </w:rPr>
      </w:pPr>
      <w:r>
        <w:rPr>
          <w:rFonts w:hint="eastAsia" w:asciiTheme="minorEastAsia" w:hAnsiTheme="minorEastAsia" w:eastAsiaTheme="minorEastAsia" w:cstheme="minorEastAsia"/>
          <w:snapToGrid w:val="0"/>
          <w:color w:val="auto"/>
          <w:kern w:val="0"/>
          <w:szCs w:val="21"/>
          <w:lang w:val="zh-CN"/>
        </w:rPr>
        <w:t>供应商在提交响应文件截止时间后撤回响应文件的；</w:t>
      </w:r>
    </w:p>
    <w:p>
      <w:pPr>
        <w:numPr>
          <w:ilvl w:val="0"/>
          <w:numId w:val="27"/>
        </w:numPr>
        <w:tabs>
          <w:tab w:val="left" w:pos="525"/>
          <w:tab w:val="clear" w:pos="2040"/>
        </w:tabs>
        <w:autoSpaceDE w:val="0"/>
        <w:autoSpaceDN w:val="0"/>
        <w:adjustRightInd w:val="0"/>
        <w:spacing w:line="360" w:lineRule="auto"/>
        <w:ind w:left="540" w:hanging="539" w:hangingChars="257"/>
        <w:jc w:val="left"/>
        <w:rPr>
          <w:rFonts w:asciiTheme="minorEastAsia" w:hAnsiTheme="minorEastAsia" w:eastAsiaTheme="minorEastAsia" w:cstheme="minorEastAsia"/>
          <w:snapToGrid w:val="0"/>
          <w:color w:val="auto"/>
          <w:kern w:val="0"/>
          <w:szCs w:val="21"/>
          <w:lang w:val="zh-CN"/>
        </w:rPr>
      </w:pPr>
      <w:r>
        <w:rPr>
          <w:rFonts w:hint="eastAsia" w:asciiTheme="minorEastAsia" w:hAnsiTheme="minorEastAsia" w:eastAsiaTheme="minorEastAsia" w:cstheme="minorEastAsia"/>
          <w:snapToGrid w:val="0"/>
          <w:color w:val="auto"/>
          <w:kern w:val="0"/>
          <w:szCs w:val="21"/>
          <w:lang w:val="zh-CN"/>
        </w:rPr>
        <w:t>供应商在响应文件中提供虚假材料的；</w:t>
      </w:r>
    </w:p>
    <w:p>
      <w:pPr>
        <w:numPr>
          <w:ilvl w:val="0"/>
          <w:numId w:val="27"/>
        </w:numPr>
        <w:tabs>
          <w:tab w:val="left" w:pos="525"/>
          <w:tab w:val="clear" w:pos="2040"/>
        </w:tabs>
        <w:autoSpaceDE w:val="0"/>
        <w:autoSpaceDN w:val="0"/>
        <w:adjustRightInd w:val="0"/>
        <w:spacing w:line="360" w:lineRule="auto"/>
        <w:ind w:left="540" w:hanging="539" w:hangingChars="257"/>
        <w:jc w:val="left"/>
        <w:rPr>
          <w:rFonts w:asciiTheme="minorEastAsia" w:hAnsiTheme="minorEastAsia" w:eastAsiaTheme="minorEastAsia" w:cstheme="minorEastAsia"/>
          <w:snapToGrid w:val="0"/>
          <w:color w:val="auto"/>
          <w:kern w:val="0"/>
          <w:szCs w:val="21"/>
          <w:lang w:val="zh-CN"/>
        </w:rPr>
      </w:pPr>
      <w:r>
        <w:rPr>
          <w:rFonts w:hint="eastAsia" w:asciiTheme="minorEastAsia" w:hAnsiTheme="minorEastAsia" w:eastAsiaTheme="minorEastAsia" w:cstheme="minorEastAsia"/>
          <w:snapToGrid w:val="0"/>
          <w:color w:val="auto"/>
          <w:kern w:val="0"/>
          <w:szCs w:val="21"/>
          <w:lang w:val="zh-CN"/>
        </w:rPr>
        <w:t>除因不可抗力或磋商文件认可的情形以外，成交供应商不与采购人签订合同的；</w:t>
      </w:r>
    </w:p>
    <w:p>
      <w:pPr>
        <w:numPr>
          <w:ilvl w:val="0"/>
          <w:numId w:val="27"/>
        </w:numPr>
        <w:tabs>
          <w:tab w:val="left" w:pos="525"/>
          <w:tab w:val="clear" w:pos="2040"/>
        </w:tabs>
        <w:autoSpaceDE w:val="0"/>
        <w:autoSpaceDN w:val="0"/>
        <w:adjustRightInd w:val="0"/>
        <w:spacing w:line="360" w:lineRule="auto"/>
        <w:ind w:left="540" w:hanging="539" w:hangingChars="257"/>
        <w:jc w:val="left"/>
        <w:rPr>
          <w:rFonts w:asciiTheme="minorEastAsia" w:hAnsiTheme="minorEastAsia" w:eastAsiaTheme="minorEastAsia" w:cstheme="minorEastAsia"/>
          <w:snapToGrid w:val="0"/>
          <w:color w:val="auto"/>
          <w:kern w:val="0"/>
          <w:szCs w:val="21"/>
          <w:lang w:val="zh-CN"/>
        </w:rPr>
      </w:pPr>
      <w:r>
        <w:rPr>
          <w:rFonts w:hint="eastAsia" w:asciiTheme="minorEastAsia" w:hAnsiTheme="minorEastAsia" w:eastAsiaTheme="minorEastAsia" w:cstheme="minorEastAsia"/>
          <w:snapToGrid w:val="0"/>
          <w:color w:val="auto"/>
          <w:kern w:val="0"/>
          <w:szCs w:val="21"/>
          <w:lang w:val="zh-CN"/>
        </w:rPr>
        <w:t>供应商与采购人、其他供应商或者采购代理机构恶意串通的；</w:t>
      </w:r>
    </w:p>
    <w:p>
      <w:pPr>
        <w:numPr>
          <w:ilvl w:val="0"/>
          <w:numId w:val="27"/>
        </w:numPr>
        <w:tabs>
          <w:tab w:val="left" w:pos="525"/>
          <w:tab w:val="clear" w:pos="2040"/>
        </w:tabs>
        <w:autoSpaceDE w:val="0"/>
        <w:autoSpaceDN w:val="0"/>
        <w:adjustRightInd w:val="0"/>
        <w:spacing w:line="360" w:lineRule="auto"/>
        <w:ind w:left="540" w:hanging="539" w:hangingChars="257"/>
        <w:jc w:val="left"/>
        <w:rPr>
          <w:rFonts w:asciiTheme="minorEastAsia" w:hAnsiTheme="minorEastAsia" w:eastAsiaTheme="minorEastAsia" w:cstheme="minorEastAsia"/>
          <w:snapToGrid w:val="0"/>
          <w:color w:val="auto"/>
          <w:kern w:val="0"/>
          <w:szCs w:val="21"/>
          <w:lang w:val="zh-CN"/>
        </w:rPr>
      </w:pPr>
      <w:r>
        <w:rPr>
          <w:rFonts w:hint="eastAsia" w:asciiTheme="minorEastAsia" w:hAnsiTheme="minorEastAsia" w:eastAsiaTheme="minorEastAsia" w:cstheme="minorEastAsia"/>
          <w:snapToGrid w:val="0"/>
          <w:color w:val="auto"/>
          <w:kern w:val="0"/>
          <w:szCs w:val="21"/>
          <w:lang w:val="zh-CN"/>
        </w:rPr>
        <w:t>本采购文件规定的其他情形。</w:t>
      </w:r>
    </w:p>
    <w:p>
      <w:pPr>
        <w:numPr>
          <w:ilvl w:val="0"/>
          <w:numId w:val="9"/>
        </w:numPr>
        <w:tabs>
          <w:tab w:val="left" w:pos="864"/>
          <w:tab w:val="left" w:pos="1080"/>
        </w:tabs>
        <w:spacing w:line="360" w:lineRule="auto"/>
        <w:ind w:hanging="540"/>
        <w:outlineLvl w:val="1"/>
        <w:rPr>
          <w:rFonts w:asciiTheme="minorEastAsia" w:hAnsiTheme="minorEastAsia" w:eastAsiaTheme="minorEastAsia" w:cstheme="minorEastAsia"/>
          <w:b/>
          <w:snapToGrid w:val="0"/>
          <w:color w:val="auto"/>
          <w:kern w:val="0"/>
          <w:szCs w:val="21"/>
          <w:lang w:val="zh-CN"/>
        </w:rPr>
      </w:pPr>
      <w:bookmarkStart w:id="63" w:name="_Toc17731"/>
      <w:bookmarkStart w:id="64" w:name="_Toc5668"/>
      <w:r>
        <w:rPr>
          <w:rFonts w:hint="eastAsia" w:asciiTheme="minorEastAsia" w:hAnsiTheme="minorEastAsia" w:eastAsiaTheme="minorEastAsia" w:cstheme="minorEastAsia"/>
          <w:b/>
          <w:snapToGrid w:val="0"/>
          <w:color w:val="auto"/>
          <w:kern w:val="0"/>
          <w:szCs w:val="21"/>
          <w:lang w:val="zh-CN"/>
        </w:rPr>
        <w:t>磋商有效期</w:t>
      </w:r>
      <w:bookmarkEnd w:id="63"/>
      <w:bookmarkEnd w:id="64"/>
    </w:p>
    <w:p>
      <w:pPr>
        <w:numPr>
          <w:ilvl w:val="1"/>
          <w:numId w:val="28"/>
        </w:numPr>
        <w:tabs>
          <w:tab w:val="left" w:pos="525"/>
          <w:tab w:val="clear" w:pos="465"/>
        </w:tabs>
        <w:autoSpaceDE w:val="0"/>
        <w:autoSpaceDN w:val="0"/>
        <w:adjustRightInd w:val="0"/>
        <w:spacing w:line="360" w:lineRule="auto"/>
        <w:ind w:left="540" w:hanging="540"/>
        <w:jc w:val="left"/>
        <w:rPr>
          <w:rFonts w:asciiTheme="minorEastAsia" w:hAnsiTheme="minorEastAsia" w:eastAsiaTheme="minorEastAsia" w:cstheme="minorEastAsia"/>
          <w:snapToGrid w:val="0"/>
          <w:color w:val="auto"/>
          <w:kern w:val="0"/>
          <w:szCs w:val="21"/>
          <w:lang w:val="zh-CN"/>
        </w:rPr>
      </w:pPr>
      <w:r>
        <w:rPr>
          <w:rFonts w:hint="eastAsia" w:asciiTheme="minorEastAsia" w:hAnsiTheme="minorEastAsia" w:eastAsiaTheme="minorEastAsia" w:cstheme="minorEastAsia"/>
          <w:snapToGrid w:val="0"/>
          <w:color w:val="auto"/>
          <w:kern w:val="0"/>
          <w:szCs w:val="21"/>
          <w:lang w:val="zh-CN"/>
        </w:rPr>
        <w:t>磋商有效期从磋商结束之日起计算，本次采购磋商有效期见《供应商须知前附表》，磋商供应商承诺的磋商有效期不足的，其响应文件将被视为无效文件。</w:t>
      </w:r>
    </w:p>
    <w:p>
      <w:pPr>
        <w:numPr>
          <w:ilvl w:val="1"/>
          <w:numId w:val="28"/>
        </w:numPr>
        <w:tabs>
          <w:tab w:val="left" w:pos="525"/>
          <w:tab w:val="clear" w:pos="465"/>
        </w:tabs>
        <w:autoSpaceDE w:val="0"/>
        <w:autoSpaceDN w:val="0"/>
        <w:adjustRightInd w:val="0"/>
        <w:spacing w:line="360" w:lineRule="auto"/>
        <w:ind w:left="540" w:hanging="540"/>
        <w:jc w:val="left"/>
        <w:rPr>
          <w:rFonts w:asciiTheme="minorEastAsia" w:hAnsiTheme="minorEastAsia" w:eastAsiaTheme="minorEastAsia" w:cstheme="minorEastAsia"/>
          <w:snapToGrid w:val="0"/>
          <w:color w:val="auto"/>
          <w:kern w:val="0"/>
          <w:szCs w:val="21"/>
          <w:lang w:val="zh-CN"/>
        </w:rPr>
      </w:pPr>
      <w:r>
        <w:rPr>
          <w:rFonts w:hint="eastAsia" w:asciiTheme="minorEastAsia" w:hAnsiTheme="minorEastAsia" w:eastAsiaTheme="minorEastAsia" w:cstheme="minorEastAsia"/>
          <w:snapToGrid w:val="0"/>
          <w:color w:val="auto"/>
          <w:kern w:val="0"/>
          <w:szCs w:val="21"/>
          <w:lang w:val="zh-CN"/>
        </w:rPr>
        <w:t>特殊情况下，在原磋商有效期截止之前，采购代理机构或采购人可要求供应商延长磋商有效期。需要延长磋商有效期时，采购代理机构或采购人将以书面形式通知所有磋商供应商，供应商应以书面形式答复是否同意延长磋商有效期。供应商同意延长的，其磋商保证金有效期相应延长，但不得要求或被允许修改或撤销其响应文件；供应商拒绝延长的，其响应文件在原磋商有效期满后将不再有效，供应商有权收回其投标保证金。</w:t>
      </w:r>
    </w:p>
    <w:p>
      <w:pPr>
        <w:numPr>
          <w:ilvl w:val="1"/>
          <w:numId w:val="28"/>
        </w:numPr>
        <w:tabs>
          <w:tab w:val="left" w:pos="525"/>
          <w:tab w:val="clear" w:pos="465"/>
        </w:tabs>
        <w:autoSpaceDE w:val="0"/>
        <w:autoSpaceDN w:val="0"/>
        <w:adjustRightInd w:val="0"/>
        <w:spacing w:line="360" w:lineRule="auto"/>
        <w:ind w:left="540" w:hanging="540"/>
        <w:jc w:val="left"/>
        <w:rPr>
          <w:rFonts w:asciiTheme="minorEastAsia" w:hAnsiTheme="minorEastAsia" w:eastAsiaTheme="minorEastAsia" w:cstheme="minorEastAsia"/>
          <w:snapToGrid w:val="0"/>
          <w:color w:val="auto"/>
          <w:kern w:val="0"/>
          <w:szCs w:val="21"/>
          <w:lang w:val="zh-CN"/>
        </w:rPr>
      </w:pPr>
      <w:r>
        <w:rPr>
          <w:rFonts w:hint="eastAsia" w:asciiTheme="minorEastAsia" w:hAnsiTheme="minorEastAsia" w:eastAsiaTheme="minorEastAsia" w:cstheme="minorEastAsia"/>
          <w:snapToGrid w:val="0"/>
          <w:color w:val="auto"/>
          <w:kern w:val="0"/>
          <w:szCs w:val="21"/>
          <w:lang w:val="zh-CN"/>
        </w:rPr>
        <w:t>供应商同意延长磋商有效期的，不得要求或被允许修改或撤销其竞争性磋商响应文件；供应商拒绝延长的，其响应文件失效，但供应商有权收回其磋商保证金。</w:t>
      </w:r>
    </w:p>
    <w:p>
      <w:pPr>
        <w:numPr>
          <w:ilvl w:val="0"/>
          <w:numId w:val="9"/>
        </w:numPr>
        <w:tabs>
          <w:tab w:val="left" w:pos="864"/>
          <w:tab w:val="left" w:pos="1080"/>
        </w:tabs>
        <w:spacing w:line="360" w:lineRule="auto"/>
        <w:ind w:hanging="540"/>
        <w:outlineLvl w:val="1"/>
        <w:rPr>
          <w:rFonts w:asciiTheme="minorEastAsia" w:hAnsiTheme="minorEastAsia" w:eastAsiaTheme="minorEastAsia" w:cstheme="minorEastAsia"/>
          <w:b/>
          <w:snapToGrid w:val="0"/>
          <w:color w:val="auto"/>
          <w:kern w:val="0"/>
          <w:szCs w:val="21"/>
          <w:lang w:val="zh-CN"/>
        </w:rPr>
      </w:pPr>
      <w:bookmarkStart w:id="65" w:name="_Toc20134"/>
      <w:bookmarkStart w:id="66" w:name="_Toc8272"/>
      <w:r>
        <w:rPr>
          <w:rFonts w:hint="eastAsia" w:asciiTheme="minorEastAsia" w:hAnsiTheme="minorEastAsia" w:eastAsiaTheme="minorEastAsia" w:cstheme="minorEastAsia"/>
          <w:b/>
          <w:snapToGrid w:val="0"/>
          <w:color w:val="auto"/>
          <w:kern w:val="0"/>
          <w:szCs w:val="21"/>
          <w:lang w:val="zh-CN"/>
        </w:rPr>
        <w:t>竞争性磋商响应文件的装订、签署和数量</w:t>
      </w:r>
      <w:bookmarkEnd w:id="65"/>
      <w:bookmarkEnd w:id="66"/>
    </w:p>
    <w:p>
      <w:pPr>
        <w:numPr>
          <w:ilvl w:val="1"/>
          <w:numId w:val="29"/>
        </w:numPr>
        <w:tabs>
          <w:tab w:val="left" w:pos="525"/>
          <w:tab w:val="clear" w:pos="465"/>
        </w:tabs>
        <w:autoSpaceDE w:val="0"/>
        <w:autoSpaceDN w:val="0"/>
        <w:adjustRightInd w:val="0"/>
        <w:spacing w:line="360" w:lineRule="auto"/>
        <w:ind w:left="540" w:hanging="540"/>
        <w:jc w:val="left"/>
        <w:rPr>
          <w:rFonts w:asciiTheme="minorEastAsia" w:hAnsiTheme="minorEastAsia" w:eastAsiaTheme="minorEastAsia" w:cstheme="minorEastAsia"/>
          <w:snapToGrid w:val="0"/>
          <w:color w:val="auto"/>
          <w:kern w:val="0"/>
          <w:szCs w:val="21"/>
          <w:lang w:val="zh-CN"/>
        </w:rPr>
      </w:pPr>
      <w:r>
        <w:rPr>
          <w:rFonts w:hint="eastAsia" w:asciiTheme="minorEastAsia" w:hAnsiTheme="minorEastAsia" w:eastAsiaTheme="minorEastAsia" w:cstheme="minorEastAsia"/>
          <w:snapToGrid w:val="0"/>
          <w:color w:val="auto"/>
          <w:kern w:val="0"/>
          <w:szCs w:val="21"/>
          <w:lang w:val="zh-CN"/>
        </w:rPr>
        <w:t>供应商提交的响应文件应包括正本、副本、完整的电子文档及单独提供的法定代表人授权委托书（或</w:t>
      </w:r>
      <w:r>
        <w:rPr>
          <w:rFonts w:hint="eastAsia" w:asciiTheme="minorEastAsia" w:hAnsiTheme="minorEastAsia" w:eastAsiaTheme="minorEastAsia" w:cstheme="minorEastAsia"/>
          <w:color w:val="auto"/>
          <w:szCs w:val="21"/>
        </w:rPr>
        <w:t>法定代表人身份证明书）</w:t>
      </w:r>
      <w:r>
        <w:rPr>
          <w:rFonts w:hint="eastAsia" w:asciiTheme="minorEastAsia" w:hAnsiTheme="minorEastAsia" w:eastAsiaTheme="minorEastAsia" w:cstheme="minorEastAsia"/>
          <w:snapToGrid w:val="0"/>
          <w:color w:val="auto"/>
          <w:kern w:val="0"/>
          <w:szCs w:val="21"/>
          <w:lang w:val="zh-CN"/>
        </w:rPr>
        <w:t>。本次磋商供应商提交响应文件正、副本和电子文档的数量见《供应商须知前附表》。</w:t>
      </w:r>
    </w:p>
    <w:p>
      <w:pPr>
        <w:autoSpaceDE w:val="0"/>
        <w:autoSpaceDN w:val="0"/>
        <w:adjustRightInd w:val="0"/>
        <w:spacing w:line="360" w:lineRule="auto"/>
        <w:ind w:left="630" w:leftChars="300" w:firstLine="92" w:firstLineChars="44"/>
        <w:jc w:val="left"/>
        <w:rPr>
          <w:rFonts w:asciiTheme="minorEastAsia" w:hAnsiTheme="minorEastAsia" w:eastAsiaTheme="minorEastAsia" w:cstheme="minorEastAsia"/>
          <w:snapToGrid w:val="0"/>
          <w:color w:val="auto"/>
          <w:kern w:val="0"/>
          <w:szCs w:val="21"/>
          <w:lang w:val="zh-CN"/>
        </w:rPr>
      </w:pPr>
      <w:r>
        <w:rPr>
          <w:rFonts w:hint="eastAsia" w:asciiTheme="minorEastAsia" w:hAnsiTheme="minorEastAsia" w:eastAsiaTheme="minorEastAsia" w:cstheme="minorEastAsia"/>
          <w:snapToGrid w:val="0"/>
          <w:color w:val="auto"/>
          <w:kern w:val="0"/>
          <w:szCs w:val="21"/>
          <w:lang w:val="zh-CN"/>
        </w:rPr>
        <w:t>每套响应文件须清楚地标明“正本”、“副本”，响应文件的副本可采用正本的复印件，若副本与正本不符，以正本为准；如单独提供的法定代表人授权委托书（或</w:t>
      </w:r>
      <w:r>
        <w:rPr>
          <w:rFonts w:hint="eastAsia" w:asciiTheme="minorEastAsia" w:hAnsiTheme="minorEastAsia" w:eastAsiaTheme="minorEastAsia" w:cstheme="minorEastAsia"/>
          <w:color w:val="auto"/>
          <w:szCs w:val="21"/>
        </w:rPr>
        <w:t>法定代表人身份证明书）</w:t>
      </w:r>
      <w:r>
        <w:rPr>
          <w:rFonts w:hint="eastAsia" w:asciiTheme="minorEastAsia" w:hAnsiTheme="minorEastAsia" w:eastAsiaTheme="minorEastAsia" w:cstheme="minorEastAsia"/>
          <w:snapToGrid w:val="0"/>
          <w:color w:val="auto"/>
          <w:kern w:val="0"/>
          <w:szCs w:val="21"/>
          <w:lang w:val="zh-CN"/>
        </w:rPr>
        <w:t>与响应文件正本不符，以正本为准。电子文档与纸质文件不符，以纸质文件为准。</w:t>
      </w:r>
    </w:p>
    <w:p>
      <w:pPr>
        <w:numPr>
          <w:ilvl w:val="1"/>
          <w:numId w:val="29"/>
        </w:numPr>
        <w:tabs>
          <w:tab w:val="left" w:pos="525"/>
          <w:tab w:val="clear" w:pos="465"/>
        </w:tabs>
        <w:autoSpaceDE w:val="0"/>
        <w:autoSpaceDN w:val="0"/>
        <w:adjustRightInd w:val="0"/>
        <w:spacing w:line="360" w:lineRule="auto"/>
        <w:ind w:left="540" w:hanging="540"/>
        <w:jc w:val="left"/>
        <w:rPr>
          <w:rFonts w:asciiTheme="minorEastAsia" w:hAnsiTheme="minorEastAsia" w:eastAsiaTheme="minorEastAsia" w:cstheme="minorEastAsia"/>
          <w:snapToGrid w:val="0"/>
          <w:color w:val="auto"/>
          <w:kern w:val="0"/>
          <w:szCs w:val="21"/>
          <w:lang w:val="zh-CN"/>
        </w:rPr>
      </w:pPr>
      <w:r>
        <w:rPr>
          <w:rFonts w:hint="eastAsia" w:asciiTheme="minorEastAsia" w:hAnsiTheme="minorEastAsia" w:eastAsiaTheme="minorEastAsia" w:cstheme="minorEastAsia"/>
          <w:snapToGrid w:val="0"/>
          <w:color w:val="auto"/>
          <w:kern w:val="0"/>
          <w:szCs w:val="21"/>
          <w:lang w:val="zh-CN"/>
        </w:rPr>
        <w:t>正本需打印或用不褪色墨水书写，并由法定代表人或授权代表签字并加盖公章。由授权代表签字的，响应文件中应提交《法定代表人授权书》。供应商为自然人的，由供应商本人签字并附身份证明。</w:t>
      </w:r>
    </w:p>
    <w:p>
      <w:pPr>
        <w:numPr>
          <w:ilvl w:val="1"/>
          <w:numId w:val="29"/>
        </w:numPr>
        <w:tabs>
          <w:tab w:val="left" w:pos="525"/>
          <w:tab w:val="clear" w:pos="465"/>
        </w:tabs>
        <w:autoSpaceDE w:val="0"/>
        <w:autoSpaceDN w:val="0"/>
        <w:adjustRightInd w:val="0"/>
        <w:spacing w:line="360" w:lineRule="auto"/>
        <w:ind w:left="540" w:hanging="540"/>
        <w:jc w:val="left"/>
        <w:rPr>
          <w:rFonts w:asciiTheme="minorEastAsia" w:hAnsiTheme="minorEastAsia" w:eastAsiaTheme="minorEastAsia" w:cstheme="minorEastAsia"/>
          <w:snapToGrid w:val="0"/>
          <w:color w:val="auto"/>
          <w:kern w:val="0"/>
          <w:szCs w:val="21"/>
          <w:lang w:val="zh-CN"/>
        </w:rPr>
      </w:pPr>
      <w:r>
        <w:rPr>
          <w:rFonts w:hint="eastAsia" w:asciiTheme="minorEastAsia" w:hAnsiTheme="minorEastAsia" w:eastAsiaTheme="minorEastAsia" w:cstheme="minorEastAsia"/>
          <w:snapToGrid w:val="0"/>
          <w:color w:val="auto"/>
          <w:kern w:val="0"/>
          <w:szCs w:val="21"/>
          <w:lang w:val="zh-CN"/>
        </w:rPr>
        <w:t>竞争性磋商响应文件中的任何行间插字、涂改和增删，必须由法定代表人或授权代表在旁边签字才有效。</w:t>
      </w:r>
    </w:p>
    <w:p>
      <w:pPr>
        <w:numPr>
          <w:ilvl w:val="1"/>
          <w:numId w:val="29"/>
        </w:numPr>
        <w:tabs>
          <w:tab w:val="left" w:pos="525"/>
          <w:tab w:val="clear" w:pos="465"/>
        </w:tabs>
        <w:autoSpaceDE w:val="0"/>
        <w:autoSpaceDN w:val="0"/>
        <w:adjustRightInd w:val="0"/>
        <w:spacing w:line="360" w:lineRule="auto"/>
        <w:ind w:left="540" w:hanging="540"/>
        <w:jc w:val="left"/>
        <w:rPr>
          <w:rFonts w:asciiTheme="minorEastAsia" w:hAnsiTheme="minorEastAsia" w:eastAsiaTheme="minorEastAsia" w:cstheme="minorEastAsia"/>
          <w:snapToGrid w:val="0"/>
          <w:color w:val="auto"/>
          <w:kern w:val="0"/>
          <w:szCs w:val="21"/>
          <w:lang w:val="zh-CN"/>
        </w:rPr>
      </w:pPr>
      <w:r>
        <w:rPr>
          <w:rFonts w:hint="eastAsia" w:asciiTheme="minorEastAsia" w:hAnsiTheme="minorEastAsia" w:eastAsiaTheme="minorEastAsia" w:cstheme="minorEastAsia"/>
          <w:snapToGrid w:val="0"/>
          <w:color w:val="auto"/>
          <w:kern w:val="0"/>
          <w:szCs w:val="21"/>
          <w:lang w:val="zh-CN"/>
        </w:rPr>
        <w:t>响应文件应当采用不可拆卸的方法的装订，对未经装订的竞争性磋商响应文件可能发生的文件散落或缺损及由此产生的后果由磋商供应商承担。</w:t>
      </w:r>
    </w:p>
    <w:p>
      <w:pPr>
        <w:numPr>
          <w:ilvl w:val="1"/>
          <w:numId w:val="8"/>
        </w:numPr>
        <w:tabs>
          <w:tab w:val="left" w:pos="540"/>
          <w:tab w:val="clear" w:pos="840"/>
        </w:tabs>
        <w:spacing w:line="360" w:lineRule="auto"/>
        <w:ind w:left="540" w:hanging="540"/>
        <w:outlineLvl w:val="1"/>
        <w:rPr>
          <w:rFonts w:asciiTheme="minorEastAsia" w:hAnsiTheme="minorEastAsia" w:eastAsiaTheme="minorEastAsia" w:cstheme="minorEastAsia"/>
          <w:b/>
          <w:color w:val="auto"/>
          <w:szCs w:val="21"/>
        </w:rPr>
      </w:pPr>
      <w:bookmarkStart w:id="67" w:name="_Toc3975"/>
      <w:r>
        <w:rPr>
          <w:rFonts w:hint="eastAsia" w:asciiTheme="minorEastAsia" w:hAnsiTheme="minorEastAsia" w:eastAsiaTheme="minorEastAsia" w:cstheme="minorEastAsia"/>
          <w:b/>
          <w:color w:val="auto"/>
          <w:szCs w:val="21"/>
        </w:rPr>
        <w:t>竞争性磋商响应文件的递交</w:t>
      </w:r>
      <w:bookmarkEnd w:id="67"/>
    </w:p>
    <w:p>
      <w:pPr>
        <w:numPr>
          <w:ilvl w:val="0"/>
          <w:numId w:val="9"/>
        </w:numPr>
        <w:tabs>
          <w:tab w:val="left" w:pos="864"/>
          <w:tab w:val="left" w:pos="1080"/>
        </w:tabs>
        <w:spacing w:line="360" w:lineRule="auto"/>
        <w:ind w:hanging="540"/>
        <w:outlineLvl w:val="1"/>
        <w:rPr>
          <w:rFonts w:asciiTheme="minorEastAsia" w:hAnsiTheme="minorEastAsia" w:eastAsiaTheme="minorEastAsia" w:cstheme="minorEastAsia"/>
          <w:b/>
          <w:snapToGrid w:val="0"/>
          <w:color w:val="auto"/>
          <w:kern w:val="0"/>
          <w:szCs w:val="21"/>
          <w:lang w:val="zh-CN"/>
        </w:rPr>
      </w:pPr>
      <w:bookmarkStart w:id="68" w:name="_Toc16633"/>
      <w:bookmarkStart w:id="69" w:name="_Toc27305"/>
      <w:r>
        <w:rPr>
          <w:rFonts w:hint="eastAsia" w:asciiTheme="minorEastAsia" w:hAnsiTheme="minorEastAsia" w:eastAsiaTheme="minorEastAsia" w:cstheme="minorEastAsia"/>
          <w:b/>
          <w:color w:val="auto"/>
          <w:szCs w:val="21"/>
        </w:rPr>
        <w:t>竞争性磋商响应文件</w:t>
      </w:r>
      <w:r>
        <w:rPr>
          <w:rFonts w:hint="eastAsia" w:asciiTheme="minorEastAsia" w:hAnsiTheme="minorEastAsia" w:eastAsiaTheme="minorEastAsia" w:cstheme="minorEastAsia"/>
          <w:b/>
          <w:snapToGrid w:val="0"/>
          <w:color w:val="auto"/>
          <w:kern w:val="0"/>
          <w:szCs w:val="21"/>
          <w:lang w:val="zh-CN"/>
        </w:rPr>
        <w:t>的密封和标记</w:t>
      </w:r>
      <w:bookmarkEnd w:id="68"/>
      <w:bookmarkEnd w:id="69"/>
    </w:p>
    <w:p>
      <w:pPr>
        <w:numPr>
          <w:ilvl w:val="1"/>
          <w:numId w:val="30"/>
        </w:numPr>
        <w:tabs>
          <w:tab w:val="left" w:pos="540"/>
          <w:tab w:val="clear" w:pos="465"/>
        </w:tabs>
        <w:autoSpaceDE w:val="0"/>
        <w:autoSpaceDN w:val="0"/>
        <w:adjustRightInd w:val="0"/>
        <w:spacing w:line="360" w:lineRule="auto"/>
        <w:ind w:left="540" w:hanging="540"/>
        <w:jc w:val="left"/>
        <w:rPr>
          <w:rFonts w:asciiTheme="minorEastAsia" w:hAnsiTheme="minorEastAsia" w:eastAsiaTheme="minorEastAsia" w:cstheme="minorEastAsia"/>
          <w:snapToGrid w:val="0"/>
          <w:color w:val="auto"/>
          <w:kern w:val="0"/>
          <w:szCs w:val="21"/>
          <w:lang w:val="zh-CN"/>
        </w:rPr>
      </w:pPr>
      <w:r>
        <w:rPr>
          <w:rFonts w:hint="eastAsia" w:asciiTheme="minorEastAsia" w:hAnsiTheme="minorEastAsia" w:eastAsiaTheme="minorEastAsia" w:cstheme="minorEastAsia"/>
          <w:snapToGrid w:val="0"/>
          <w:color w:val="auto"/>
          <w:kern w:val="0"/>
          <w:szCs w:val="21"/>
          <w:lang w:val="zh-CN"/>
        </w:rPr>
        <w:t>响应文件的正本、所有副本和电子文档必须密封，</w:t>
      </w:r>
      <w:r>
        <w:rPr>
          <w:rFonts w:hint="eastAsia" w:asciiTheme="minorEastAsia" w:hAnsiTheme="minorEastAsia" w:eastAsiaTheme="minorEastAsia" w:cstheme="minorEastAsia"/>
          <w:snapToGrid w:val="0"/>
          <w:color w:val="auto"/>
          <w:kern w:val="0"/>
          <w:szCs w:val="21"/>
        </w:rPr>
        <w:t>并在每一页以及骑缝处</w:t>
      </w:r>
      <w:r>
        <w:rPr>
          <w:rFonts w:hint="eastAsia" w:asciiTheme="minorEastAsia" w:hAnsiTheme="minorEastAsia" w:eastAsiaTheme="minorEastAsia" w:cstheme="minorEastAsia"/>
          <w:snapToGrid w:val="0"/>
          <w:color w:val="auto"/>
          <w:kern w:val="0"/>
          <w:szCs w:val="21"/>
          <w:lang w:val="zh-CN"/>
        </w:rPr>
        <w:t>加盖供应商公章</w:t>
      </w:r>
      <w:r>
        <w:rPr>
          <w:rFonts w:hint="eastAsia" w:asciiTheme="minorEastAsia" w:hAnsiTheme="minorEastAsia" w:eastAsiaTheme="minorEastAsia" w:cstheme="minorEastAsia"/>
          <w:snapToGrid w:val="0"/>
          <w:color w:val="auto"/>
          <w:kern w:val="0"/>
          <w:szCs w:val="21"/>
        </w:rPr>
        <w:t>后</w:t>
      </w:r>
      <w:r>
        <w:rPr>
          <w:rFonts w:hint="eastAsia" w:asciiTheme="minorEastAsia" w:hAnsiTheme="minorEastAsia" w:eastAsiaTheme="minorEastAsia" w:cstheme="minorEastAsia"/>
          <w:snapToGrid w:val="0"/>
          <w:color w:val="auto"/>
          <w:kern w:val="0"/>
          <w:szCs w:val="21"/>
          <w:lang w:val="zh-CN"/>
        </w:rPr>
        <w:t>递交，包装上应注明</w:t>
      </w:r>
      <w:r>
        <w:rPr>
          <w:rFonts w:hint="eastAsia" w:asciiTheme="minorEastAsia" w:hAnsiTheme="minorEastAsia" w:eastAsiaTheme="minorEastAsia" w:cstheme="minorEastAsia"/>
          <w:snapToGrid w:val="0"/>
          <w:color w:val="auto"/>
          <w:kern w:val="0"/>
          <w:szCs w:val="21"/>
        </w:rPr>
        <w:t>项目</w:t>
      </w:r>
      <w:r>
        <w:rPr>
          <w:rFonts w:hint="eastAsia" w:asciiTheme="minorEastAsia" w:hAnsiTheme="minorEastAsia" w:eastAsiaTheme="minorEastAsia" w:cstheme="minorEastAsia"/>
          <w:snapToGrid w:val="0"/>
          <w:color w:val="auto"/>
          <w:kern w:val="0"/>
          <w:szCs w:val="21"/>
          <w:lang w:val="zh-CN"/>
        </w:rPr>
        <w:t>编号、项目名称、包号、供应商名称及“</w:t>
      </w:r>
      <w:r>
        <w:rPr>
          <w:rFonts w:hint="eastAsia" w:asciiTheme="minorEastAsia" w:hAnsiTheme="minorEastAsia" w:eastAsiaTheme="minorEastAsia" w:cstheme="minorEastAsia"/>
          <w:snapToGrid w:val="0"/>
          <w:color w:val="auto"/>
          <w:kern w:val="0"/>
          <w:szCs w:val="21"/>
          <w:u w:val="single"/>
          <w:lang w:val="zh-CN"/>
        </w:rPr>
        <w:t xml:space="preserve">  （磋商</w:t>
      </w:r>
      <w:r>
        <w:rPr>
          <w:rFonts w:hint="eastAsia" w:asciiTheme="minorEastAsia" w:hAnsiTheme="minorEastAsia" w:eastAsiaTheme="minorEastAsia" w:cstheme="minorEastAsia"/>
          <w:snapToGrid w:val="0"/>
          <w:color w:val="auto"/>
          <w:kern w:val="0"/>
          <w:szCs w:val="21"/>
          <w:u w:val="single"/>
        </w:rPr>
        <w:t>截止</w:t>
      </w:r>
      <w:r>
        <w:rPr>
          <w:rFonts w:hint="eastAsia" w:asciiTheme="minorEastAsia" w:hAnsiTheme="minorEastAsia" w:eastAsiaTheme="minorEastAsia" w:cstheme="minorEastAsia"/>
          <w:snapToGrid w:val="0"/>
          <w:color w:val="auto"/>
          <w:kern w:val="0"/>
          <w:szCs w:val="21"/>
          <w:u w:val="single"/>
          <w:lang w:val="zh-CN"/>
        </w:rPr>
        <w:t>时间）  前</w:t>
      </w:r>
      <w:r>
        <w:rPr>
          <w:rFonts w:hint="eastAsia" w:asciiTheme="minorEastAsia" w:hAnsiTheme="minorEastAsia" w:eastAsiaTheme="minorEastAsia" w:cstheme="minorEastAsia"/>
          <w:snapToGrid w:val="0"/>
          <w:color w:val="auto"/>
          <w:kern w:val="0"/>
          <w:szCs w:val="21"/>
          <w:lang w:val="zh-CN"/>
        </w:rPr>
        <w:t>不得启封”的字样。</w:t>
      </w:r>
    </w:p>
    <w:p>
      <w:pPr>
        <w:numPr>
          <w:ilvl w:val="1"/>
          <w:numId w:val="30"/>
        </w:numPr>
        <w:tabs>
          <w:tab w:val="left" w:pos="540"/>
          <w:tab w:val="clear" w:pos="465"/>
        </w:tabs>
        <w:autoSpaceDE w:val="0"/>
        <w:autoSpaceDN w:val="0"/>
        <w:adjustRightInd w:val="0"/>
        <w:spacing w:line="360" w:lineRule="auto"/>
        <w:ind w:left="540" w:hanging="540"/>
        <w:jc w:val="left"/>
        <w:rPr>
          <w:rFonts w:asciiTheme="minorEastAsia" w:hAnsiTheme="minorEastAsia" w:eastAsiaTheme="minorEastAsia" w:cstheme="minorEastAsia"/>
          <w:snapToGrid w:val="0"/>
          <w:color w:val="auto"/>
          <w:kern w:val="0"/>
          <w:szCs w:val="21"/>
          <w:lang w:val="zh-CN"/>
        </w:rPr>
      </w:pPr>
      <w:r>
        <w:rPr>
          <w:rFonts w:hint="eastAsia" w:asciiTheme="minorEastAsia" w:hAnsiTheme="minorEastAsia" w:eastAsiaTheme="minorEastAsia" w:cstheme="minorEastAsia"/>
          <w:snapToGrid w:val="0"/>
          <w:color w:val="auto"/>
          <w:kern w:val="0"/>
          <w:szCs w:val="21"/>
          <w:lang w:val="zh-CN"/>
        </w:rPr>
        <w:t>未按要求密封和加写标记的响应文件为无效文件，采购人、采购代理机构将拒收。</w:t>
      </w:r>
    </w:p>
    <w:p>
      <w:pPr>
        <w:numPr>
          <w:ilvl w:val="1"/>
          <w:numId w:val="30"/>
        </w:numPr>
        <w:tabs>
          <w:tab w:val="left" w:pos="540"/>
          <w:tab w:val="clear" w:pos="465"/>
        </w:tabs>
        <w:autoSpaceDE w:val="0"/>
        <w:autoSpaceDN w:val="0"/>
        <w:adjustRightInd w:val="0"/>
        <w:spacing w:line="360" w:lineRule="auto"/>
        <w:ind w:left="540" w:hanging="540"/>
        <w:jc w:val="left"/>
        <w:rPr>
          <w:rFonts w:asciiTheme="minorEastAsia" w:hAnsiTheme="minorEastAsia" w:eastAsiaTheme="minorEastAsia" w:cstheme="minorEastAsia"/>
          <w:snapToGrid w:val="0"/>
          <w:color w:val="auto"/>
          <w:kern w:val="0"/>
          <w:szCs w:val="21"/>
          <w:lang w:val="zh-CN"/>
        </w:rPr>
      </w:pPr>
      <w:r>
        <w:rPr>
          <w:rFonts w:hint="eastAsia" w:asciiTheme="minorEastAsia" w:hAnsiTheme="minorEastAsia" w:eastAsiaTheme="minorEastAsia" w:cstheme="minorEastAsia"/>
          <w:snapToGrid w:val="0"/>
          <w:color w:val="auto"/>
          <w:kern w:val="0"/>
          <w:szCs w:val="21"/>
          <w:lang w:val="zh-CN"/>
        </w:rPr>
        <w:t>要求在磋商时提交样品的，是否在样品上标明磋商供应商名称，有关提交及退还样品的相关规定。见《供应商须知前附表》。</w:t>
      </w:r>
    </w:p>
    <w:p>
      <w:pPr>
        <w:numPr>
          <w:ilvl w:val="0"/>
          <w:numId w:val="9"/>
        </w:numPr>
        <w:tabs>
          <w:tab w:val="left" w:pos="864"/>
          <w:tab w:val="left" w:pos="1080"/>
        </w:tabs>
        <w:spacing w:line="360" w:lineRule="auto"/>
        <w:ind w:hanging="540"/>
        <w:outlineLvl w:val="1"/>
        <w:rPr>
          <w:rFonts w:asciiTheme="minorEastAsia" w:hAnsiTheme="minorEastAsia" w:eastAsiaTheme="minorEastAsia" w:cstheme="minorEastAsia"/>
          <w:b/>
          <w:snapToGrid w:val="0"/>
          <w:color w:val="auto"/>
          <w:kern w:val="0"/>
          <w:szCs w:val="21"/>
          <w:lang w:val="zh-CN"/>
        </w:rPr>
      </w:pPr>
      <w:bookmarkStart w:id="70" w:name="_Toc17857"/>
      <w:bookmarkStart w:id="71" w:name="_Toc28372"/>
      <w:r>
        <w:rPr>
          <w:rFonts w:hint="eastAsia" w:asciiTheme="minorEastAsia" w:hAnsiTheme="minorEastAsia" w:eastAsiaTheme="minorEastAsia" w:cstheme="minorEastAsia"/>
          <w:b/>
          <w:snapToGrid w:val="0"/>
          <w:color w:val="auto"/>
          <w:kern w:val="0"/>
          <w:szCs w:val="21"/>
          <w:lang w:val="zh-CN"/>
        </w:rPr>
        <w:t>竞争性磋商响应文件的送达地点及截止时间</w:t>
      </w:r>
      <w:bookmarkEnd w:id="70"/>
      <w:bookmarkEnd w:id="71"/>
    </w:p>
    <w:p>
      <w:pPr>
        <w:autoSpaceDE w:val="0"/>
        <w:autoSpaceDN w:val="0"/>
        <w:adjustRightInd w:val="0"/>
        <w:spacing w:line="360" w:lineRule="auto"/>
        <w:ind w:left="539" w:hanging="539"/>
        <w:jc w:val="left"/>
        <w:rPr>
          <w:rFonts w:asciiTheme="minorEastAsia" w:hAnsiTheme="minorEastAsia" w:eastAsiaTheme="minorEastAsia" w:cstheme="minorEastAsia"/>
          <w:b/>
          <w:snapToGrid w:val="0"/>
          <w:color w:val="auto"/>
          <w:kern w:val="0"/>
          <w:szCs w:val="21"/>
          <w:lang w:val="zh-CN"/>
        </w:rPr>
      </w:pPr>
      <w:r>
        <w:rPr>
          <w:rFonts w:hint="eastAsia" w:asciiTheme="minorEastAsia" w:hAnsiTheme="minorEastAsia" w:eastAsiaTheme="minorEastAsia" w:cstheme="minorEastAsia"/>
          <w:b/>
          <w:snapToGrid w:val="0"/>
          <w:color w:val="auto"/>
          <w:kern w:val="0"/>
          <w:szCs w:val="21"/>
          <w:lang w:val="zh-CN"/>
        </w:rPr>
        <w:t>20.1</w:t>
      </w:r>
      <w:r>
        <w:rPr>
          <w:rFonts w:hint="eastAsia" w:asciiTheme="minorEastAsia" w:hAnsiTheme="minorEastAsia" w:eastAsiaTheme="minorEastAsia" w:cstheme="minorEastAsia"/>
          <w:b/>
          <w:snapToGrid w:val="0"/>
          <w:color w:val="auto"/>
          <w:kern w:val="0"/>
          <w:szCs w:val="21"/>
        </w:rPr>
        <w:t xml:space="preserve"> </w:t>
      </w:r>
      <w:r>
        <w:rPr>
          <w:rFonts w:hint="eastAsia" w:asciiTheme="minorEastAsia" w:hAnsiTheme="minorEastAsia" w:eastAsiaTheme="minorEastAsia" w:cstheme="minorEastAsia"/>
          <w:snapToGrid w:val="0"/>
          <w:color w:val="auto"/>
          <w:kern w:val="0"/>
          <w:szCs w:val="21"/>
          <w:lang w:val="zh-CN"/>
        </w:rPr>
        <w:t>截止时间是</w:t>
      </w:r>
      <w:r>
        <w:rPr>
          <w:rFonts w:hint="eastAsia" w:asciiTheme="minorEastAsia" w:hAnsiTheme="minorEastAsia" w:eastAsiaTheme="minorEastAsia" w:cstheme="minorEastAsia"/>
          <w:b/>
          <w:snapToGrid w:val="0"/>
          <w:color w:val="auto"/>
          <w:kern w:val="0"/>
          <w:szCs w:val="21"/>
          <w:lang w:val="zh-CN"/>
        </w:rPr>
        <w:t>竞争性磋商文件</w:t>
      </w:r>
      <w:r>
        <w:rPr>
          <w:rFonts w:hint="eastAsia" w:asciiTheme="minorEastAsia" w:hAnsiTheme="minorEastAsia" w:eastAsiaTheme="minorEastAsia" w:cstheme="minorEastAsia"/>
          <w:snapToGrid w:val="0"/>
          <w:color w:val="auto"/>
          <w:kern w:val="0"/>
          <w:szCs w:val="21"/>
          <w:lang w:val="zh-CN"/>
        </w:rPr>
        <w:t>中规定的首次送达、提交响应文件的最后时间。本次磋商响应文件的送达地点及截止时间见《供应商须知前附表》。</w:t>
      </w:r>
    </w:p>
    <w:p>
      <w:pPr>
        <w:numPr>
          <w:ilvl w:val="0"/>
          <w:numId w:val="9"/>
        </w:numPr>
        <w:tabs>
          <w:tab w:val="left" w:pos="864"/>
          <w:tab w:val="left" w:pos="1080"/>
        </w:tabs>
        <w:spacing w:line="360" w:lineRule="auto"/>
        <w:ind w:hanging="540"/>
        <w:outlineLvl w:val="1"/>
        <w:rPr>
          <w:rFonts w:asciiTheme="minorEastAsia" w:hAnsiTheme="minorEastAsia" w:eastAsiaTheme="minorEastAsia" w:cstheme="minorEastAsia"/>
          <w:b/>
          <w:snapToGrid w:val="0"/>
          <w:color w:val="auto"/>
          <w:kern w:val="0"/>
          <w:szCs w:val="21"/>
          <w:lang w:val="zh-CN"/>
        </w:rPr>
      </w:pPr>
      <w:bookmarkStart w:id="72" w:name="_Toc863"/>
      <w:bookmarkStart w:id="73" w:name="_Toc31376"/>
      <w:r>
        <w:rPr>
          <w:rFonts w:hint="eastAsia" w:asciiTheme="minorEastAsia" w:hAnsiTheme="minorEastAsia" w:eastAsiaTheme="minorEastAsia" w:cstheme="minorEastAsia"/>
          <w:b/>
          <w:snapToGrid w:val="0"/>
          <w:color w:val="auto"/>
          <w:kern w:val="0"/>
          <w:szCs w:val="21"/>
          <w:lang w:val="zh-CN"/>
        </w:rPr>
        <w:t>迟交的竞争性磋商响应文件</w:t>
      </w:r>
      <w:bookmarkEnd w:id="72"/>
      <w:bookmarkEnd w:id="73"/>
    </w:p>
    <w:p>
      <w:pPr>
        <w:numPr>
          <w:ilvl w:val="1"/>
          <w:numId w:val="31"/>
        </w:numPr>
        <w:tabs>
          <w:tab w:val="left" w:pos="540"/>
          <w:tab w:val="clear" w:pos="480"/>
        </w:tabs>
        <w:autoSpaceDE w:val="0"/>
        <w:autoSpaceDN w:val="0"/>
        <w:adjustRightInd w:val="0"/>
        <w:spacing w:line="360" w:lineRule="auto"/>
        <w:ind w:left="540" w:hanging="540"/>
        <w:jc w:val="left"/>
        <w:rPr>
          <w:rFonts w:asciiTheme="minorEastAsia" w:hAnsiTheme="minorEastAsia" w:eastAsiaTheme="minorEastAsia" w:cstheme="minorEastAsia"/>
          <w:snapToGrid w:val="0"/>
          <w:color w:val="auto"/>
          <w:kern w:val="0"/>
          <w:szCs w:val="21"/>
          <w:lang w:val="zh-CN"/>
        </w:rPr>
      </w:pPr>
      <w:r>
        <w:rPr>
          <w:rFonts w:hint="eastAsia" w:asciiTheme="minorEastAsia" w:hAnsiTheme="minorEastAsia" w:eastAsiaTheme="minorEastAsia" w:cstheme="minorEastAsia"/>
          <w:snapToGrid w:val="0"/>
          <w:color w:val="auto"/>
          <w:kern w:val="0"/>
          <w:szCs w:val="21"/>
          <w:lang w:val="zh-CN"/>
        </w:rPr>
        <w:t>在本次磋商递交响应文件的截止时间以后送达的响应文件，不论何种原因，采购代理机构将拒收。</w:t>
      </w:r>
    </w:p>
    <w:p>
      <w:pPr>
        <w:numPr>
          <w:ilvl w:val="0"/>
          <w:numId w:val="9"/>
        </w:numPr>
        <w:tabs>
          <w:tab w:val="left" w:pos="864"/>
          <w:tab w:val="left" w:pos="1080"/>
        </w:tabs>
        <w:spacing w:line="360" w:lineRule="auto"/>
        <w:ind w:hanging="540"/>
        <w:outlineLvl w:val="1"/>
        <w:rPr>
          <w:rFonts w:asciiTheme="minorEastAsia" w:hAnsiTheme="minorEastAsia" w:eastAsiaTheme="minorEastAsia" w:cstheme="minorEastAsia"/>
          <w:b/>
          <w:snapToGrid w:val="0"/>
          <w:color w:val="auto"/>
          <w:kern w:val="0"/>
          <w:szCs w:val="21"/>
          <w:lang w:val="zh-CN"/>
        </w:rPr>
      </w:pPr>
      <w:bookmarkStart w:id="74" w:name="_Toc31760"/>
      <w:bookmarkStart w:id="75" w:name="_Toc32091"/>
      <w:r>
        <w:rPr>
          <w:rFonts w:hint="eastAsia" w:asciiTheme="minorEastAsia" w:hAnsiTheme="minorEastAsia" w:eastAsiaTheme="minorEastAsia" w:cstheme="minorEastAsia"/>
          <w:b/>
          <w:snapToGrid w:val="0"/>
          <w:color w:val="auto"/>
          <w:kern w:val="0"/>
          <w:szCs w:val="21"/>
          <w:lang w:val="zh-CN"/>
        </w:rPr>
        <w:t>竞争性磋商响应文件的补充、修改或者撤回</w:t>
      </w:r>
      <w:bookmarkEnd w:id="74"/>
      <w:bookmarkEnd w:id="75"/>
    </w:p>
    <w:p>
      <w:pPr>
        <w:numPr>
          <w:ilvl w:val="1"/>
          <w:numId w:val="32"/>
        </w:numPr>
        <w:tabs>
          <w:tab w:val="left" w:pos="540"/>
        </w:tabs>
        <w:autoSpaceDE w:val="0"/>
        <w:autoSpaceDN w:val="0"/>
        <w:adjustRightInd w:val="0"/>
        <w:spacing w:line="360" w:lineRule="auto"/>
        <w:ind w:left="540" w:hanging="540"/>
        <w:jc w:val="left"/>
        <w:rPr>
          <w:rFonts w:asciiTheme="minorEastAsia" w:hAnsiTheme="minorEastAsia" w:eastAsiaTheme="minorEastAsia" w:cstheme="minorEastAsia"/>
          <w:snapToGrid w:val="0"/>
          <w:color w:val="auto"/>
          <w:kern w:val="0"/>
          <w:szCs w:val="21"/>
          <w:lang w:val="zh-CN"/>
        </w:rPr>
      </w:pPr>
      <w:r>
        <w:rPr>
          <w:rFonts w:hint="eastAsia" w:asciiTheme="minorEastAsia" w:hAnsiTheme="minorEastAsia" w:eastAsiaTheme="minorEastAsia" w:cstheme="minorEastAsia"/>
          <w:snapToGrid w:val="0"/>
          <w:color w:val="auto"/>
          <w:kern w:val="0"/>
          <w:szCs w:val="21"/>
          <w:lang w:val="zh-CN"/>
        </w:rPr>
        <w:t>在</w:t>
      </w:r>
      <w:r>
        <w:rPr>
          <w:rFonts w:hint="eastAsia" w:asciiTheme="minorEastAsia" w:hAnsiTheme="minorEastAsia" w:eastAsiaTheme="minorEastAsia" w:cstheme="minorEastAsia"/>
          <w:snapToGrid w:val="0"/>
          <w:color w:val="auto"/>
          <w:kern w:val="0"/>
          <w:szCs w:val="21"/>
        </w:rPr>
        <w:t>提交</w:t>
      </w:r>
      <w:r>
        <w:rPr>
          <w:rFonts w:hint="eastAsia" w:asciiTheme="minorEastAsia" w:hAnsiTheme="minorEastAsia" w:eastAsiaTheme="minorEastAsia" w:cstheme="minorEastAsia"/>
          <w:snapToGrid w:val="0"/>
          <w:color w:val="auto"/>
          <w:kern w:val="0"/>
          <w:szCs w:val="21"/>
          <w:lang w:val="zh-CN"/>
        </w:rPr>
        <w:t>响应文件截止时间前，供应商可以对</w:t>
      </w:r>
      <w:r>
        <w:rPr>
          <w:rFonts w:hint="eastAsia" w:asciiTheme="minorEastAsia" w:hAnsiTheme="minorEastAsia" w:eastAsiaTheme="minorEastAsia" w:cstheme="minorEastAsia"/>
          <w:snapToGrid w:val="0"/>
          <w:color w:val="auto"/>
          <w:kern w:val="0"/>
          <w:szCs w:val="21"/>
        </w:rPr>
        <w:t>已</w:t>
      </w:r>
      <w:r>
        <w:rPr>
          <w:rFonts w:hint="eastAsia" w:asciiTheme="minorEastAsia" w:hAnsiTheme="minorEastAsia" w:eastAsiaTheme="minorEastAsia" w:cstheme="minorEastAsia"/>
          <w:snapToGrid w:val="0"/>
          <w:color w:val="auto"/>
          <w:kern w:val="0"/>
          <w:szCs w:val="21"/>
          <w:lang w:val="zh-CN"/>
        </w:rPr>
        <w:t>提交的响应文件进行补充、修改或者撤回。供应商需要补充、修改或者撤回响应文件时，应以书面形式通知采购人、采购代理机构。补充、修改的内容是响应文件的组成部分，补充、修改的内容与响应文件不一致的，以补充、修改的内容为准。</w:t>
      </w:r>
    </w:p>
    <w:p>
      <w:pPr>
        <w:numPr>
          <w:ilvl w:val="1"/>
          <w:numId w:val="32"/>
        </w:numPr>
        <w:tabs>
          <w:tab w:val="left" w:pos="540"/>
        </w:tabs>
        <w:autoSpaceDE w:val="0"/>
        <w:autoSpaceDN w:val="0"/>
        <w:adjustRightInd w:val="0"/>
        <w:spacing w:line="360" w:lineRule="auto"/>
        <w:ind w:left="540" w:hanging="540"/>
        <w:jc w:val="left"/>
        <w:rPr>
          <w:rFonts w:asciiTheme="minorEastAsia" w:hAnsiTheme="minorEastAsia" w:eastAsiaTheme="minorEastAsia" w:cstheme="minorEastAsia"/>
          <w:snapToGrid w:val="0"/>
          <w:color w:val="auto"/>
          <w:kern w:val="0"/>
          <w:szCs w:val="21"/>
          <w:lang w:val="zh-CN"/>
        </w:rPr>
      </w:pPr>
      <w:r>
        <w:rPr>
          <w:rFonts w:hint="eastAsia" w:asciiTheme="minorEastAsia" w:hAnsiTheme="minorEastAsia" w:eastAsiaTheme="minorEastAsia" w:cstheme="minorEastAsia"/>
          <w:snapToGrid w:val="0"/>
          <w:color w:val="auto"/>
          <w:kern w:val="0"/>
          <w:szCs w:val="21"/>
          <w:lang w:val="zh-CN"/>
        </w:rPr>
        <w:t>从</w:t>
      </w:r>
      <w:r>
        <w:rPr>
          <w:rFonts w:hint="eastAsia" w:asciiTheme="minorEastAsia" w:hAnsiTheme="minorEastAsia" w:eastAsiaTheme="minorEastAsia" w:cstheme="minorEastAsia"/>
          <w:snapToGrid w:val="0"/>
          <w:color w:val="auto"/>
          <w:kern w:val="0"/>
          <w:szCs w:val="21"/>
        </w:rPr>
        <w:t>提交</w:t>
      </w:r>
      <w:r>
        <w:rPr>
          <w:rFonts w:hint="eastAsia" w:asciiTheme="minorEastAsia" w:hAnsiTheme="minorEastAsia" w:eastAsiaTheme="minorEastAsia" w:cstheme="minorEastAsia"/>
          <w:snapToGrid w:val="0"/>
          <w:color w:val="auto"/>
          <w:kern w:val="0"/>
          <w:szCs w:val="21"/>
          <w:lang w:val="zh-CN"/>
        </w:rPr>
        <w:t>响应文件截止时间至磋商有效期期满这段时间，供应商不得修改或</w:t>
      </w:r>
      <w:r>
        <w:rPr>
          <w:rFonts w:hint="eastAsia" w:asciiTheme="minorEastAsia" w:hAnsiTheme="minorEastAsia" w:eastAsiaTheme="minorEastAsia" w:cstheme="minorEastAsia"/>
          <w:snapToGrid w:val="0"/>
          <w:color w:val="auto"/>
          <w:kern w:val="0"/>
          <w:szCs w:val="21"/>
        </w:rPr>
        <w:t>撤销</w:t>
      </w:r>
      <w:r>
        <w:rPr>
          <w:rFonts w:hint="eastAsia" w:asciiTheme="minorEastAsia" w:hAnsiTheme="minorEastAsia" w:eastAsiaTheme="minorEastAsia" w:cstheme="minorEastAsia"/>
          <w:snapToGrid w:val="0"/>
          <w:color w:val="auto"/>
          <w:kern w:val="0"/>
          <w:szCs w:val="21"/>
          <w:lang w:val="zh-CN"/>
        </w:rPr>
        <w:t>其响应文件，否则其磋商保证金将不予以退还。</w:t>
      </w:r>
    </w:p>
    <w:p>
      <w:pPr>
        <w:numPr>
          <w:ilvl w:val="1"/>
          <w:numId w:val="32"/>
        </w:numPr>
        <w:tabs>
          <w:tab w:val="left" w:pos="540"/>
        </w:tabs>
        <w:autoSpaceDE w:val="0"/>
        <w:autoSpaceDN w:val="0"/>
        <w:adjustRightInd w:val="0"/>
        <w:spacing w:line="360" w:lineRule="auto"/>
        <w:ind w:left="540" w:hanging="540"/>
        <w:jc w:val="left"/>
        <w:rPr>
          <w:rFonts w:asciiTheme="minorEastAsia" w:hAnsiTheme="minorEastAsia" w:eastAsiaTheme="minorEastAsia" w:cstheme="minorEastAsia"/>
          <w:snapToGrid w:val="0"/>
          <w:color w:val="auto"/>
          <w:kern w:val="0"/>
          <w:szCs w:val="21"/>
          <w:lang w:val="zh-CN"/>
        </w:rPr>
      </w:pPr>
      <w:r>
        <w:rPr>
          <w:rFonts w:hint="eastAsia" w:asciiTheme="minorEastAsia" w:hAnsiTheme="minorEastAsia" w:eastAsiaTheme="minorEastAsia" w:cstheme="minorEastAsia"/>
          <w:snapToGrid w:val="0"/>
          <w:color w:val="auto"/>
          <w:kern w:val="0"/>
          <w:szCs w:val="21"/>
          <w:lang w:val="zh-CN"/>
        </w:rPr>
        <w:t>供应商所提交的响应文件在磋商结束后，无论成交与否都不退还。</w:t>
      </w:r>
    </w:p>
    <w:p>
      <w:pPr>
        <w:numPr>
          <w:ilvl w:val="1"/>
          <w:numId w:val="8"/>
        </w:numPr>
        <w:tabs>
          <w:tab w:val="left" w:pos="540"/>
          <w:tab w:val="clear" w:pos="840"/>
        </w:tabs>
        <w:spacing w:line="360" w:lineRule="auto"/>
        <w:ind w:left="540" w:hanging="540"/>
        <w:outlineLvl w:val="1"/>
        <w:rPr>
          <w:rFonts w:asciiTheme="minorEastAsia" w:hAnsiTheme="minorEastAsia" w:eastAsiaTheme="minorEastAsia" w:cstheme="minorEastAsia"/>
          <w:b/>
          <w:color w:val="auto"/>
          <w:szCs w:val="21"/>
        </w:rPr>
      </w:pPr>
      <w:bookmarkStart w:id="76" w:name="_Toc29375"/>
      <w:r>
        <w:rPr>
          <w:rFonts w:hint="eastAsia" w:asciiTheme="minorEastAsia" w:hAnsiTheme="minorEastAsia" w:eastAsiaTheme="minorEastAsia" w:cstheme="minorEastAsia"/>
          <w:b/>
          <w:color w:val="auto"/>
          <w:szCs w:val="21"/>
        </w:rPr>
        <w:t>磋商程序及步骤</w:t>
      </w:r>
      <w:bookmarkEnd w:id="76"/>
    </w:p>
    <w:p>
      <w:pPr>
        <w:numPr>
          <w:ilvl w:val="0"/>
          <w:numId w:val="9"/>
        </w:numPr>
        <w:tabs>
          <w:tab w:val="left" w:pos="864"/>
          <w:tab w:val="left" w:pos="1080"/>
        </w:tabs>
        <w:spacing w:line="360" w:lineRule="auto"/>
        <w:ind w:hanging="540"/>
        <w:outlineLvl w:val="1"/>
        <w:rPr>
          <w:rFonts w:asciiTheme="minorEastAsia" w:hAnsiTheme="minorEastAsia" w:eastAsiaTheme="minorEastAsia" w:cstheme="minorEastAsia"/>
          <w:b/>
          <w:snapToGrid w:val="0"/>
          <w:color w:val="auto"/>
          <w:kern w:val="0"/>
          <w:szCs w:val="21"/>
          <w:lang w:val="zh-CN"/>
        </w:rPr>
      </w:pPr>
      <w:bookmarkStart w:id="77" w:name="_Toc22624"/>
      <w:bookmarkStart w:id="78" w:name="_Toc2550"/>
      <w:r>
        <w:rPr>
          <w:rFonts w:hint="eastAsia" w:asciiTheme="minorEastAsia" w:hAnsiTheme="minorEastAsia" w:eastAsiaTheme="minorEastAsia" w:cstheme="minorEastAsia"/>
          <w:b/>
          <w:color w:val="auto"/>
        </w:rPr>
        <w:t>竞争性磋商小组</w:t>
      </w:r>
      <w:bookmarkEnd w:id="77"/>
      <w:bookmarkEnd w:id="78"/>
    </w:p>
    <w:p>
      <w:pPr>
        <w:tabs>
          <w:tab w:val="left" w:pos="540"/>
        </w:tabs>
        <w:spacing w:line="360" w:lineRule="auto"/>
        <w:ind w:left="539" w:hanging="539"/>
        <w:jc w:val="left"/>
        <w:rPr>
          <w:rFonts w:asciiTheme="minorEastAsia" w:hAnsiTheme="minorEastAsia" w:eastAsiaTheme="minorEastAsia" w:cstheme="minorEastAsia"/>
          <w:color w:val="auto"/>
        </w:rPr>
      </w:pPr>
      <w:r>
        <w:rPr>
          <w:rFonts w:hint="eastAsia" w:asciiTheme="minorEastAsia" w:hAnsiTheme="minorEastAsia" w:eastAsiaTheme="minorEastAsia" w:cstheme="minorEastAsia"/>
          <w:bCs/>
          <w:color w:val="auto"/>
          <w:szCs w:val="21"/>
        </w:rPr>
        <w:t>23.1 采购人</w:t>
      </w:r>
      <w:r>
        <w:rPr>
          <w:rFonts w:hint="eastAsia" w:asciiTheme="minorEastAsia" w:hAnsiTheme="minorEastAsia" w:eastAsiaTheme="minorEastAsia" w:cstheme="minorEastAsia"/>
          <w:color w:val="auto"/>
        </w:rPr>
        <w:t>依照《中华人民共和国政府采购法》、《中华人民共和国政府采购法实施条例》、《政府采购竞争性磋商采购方式管理暂行办法》及现行法律规定组建磋商小组</w:t>
      </w:r>
      <w:r>
        <w:rPr>
          <w:rFonts w:hint="eastAsia" w:asciiTheme="minorEastAsia" w:hAnsiTheme="minorEastAsia" w:eastAsiaTheme="minorEastAsia" w:cstheme="minorEastAsia"/>
          <w:color w:val="auto"/>
          <w:szCs w:val="21"/>
        </w:rPr>
        <w:t>，</w:t>
      </w:r>
      <w:r>
        <w:rPr>
          <w:rFonts w:hint="eastAsia" w:asciiTheme="minorEastAsia" w:hAnsiTheme="minorEastAsia" w:eastAsiaTheme="minorEastAsia" w:cstheme="minorEastAsia"/>
          <w:color w:val="auto"/>
        </w:rPr>
        <w:t>磋商小组由采购人代表和评审专家共3人或3人以上单数组成</w:t>
      </w:r>
      <w:r>
        <w:rPr>
          <w:rFonts w:hint="eastAsia" w:asciiTheme="minorEastAsia" w:hAnsiTheme="minorEastAsia" w:eastAsiaTheme="minorEastAsia" w:cstheme="minorEastAsia"/>
          <w:color w:val="auto"/>
          <w:szCs w:val="21"/>
        </w:rPr>
        <w:t>。</w:t>
      </w:r>
      <w:r>
        <w:rPr>
          <w:rFonts w:hint="eastAsia" w:asciiTheme="minorEastAsia" w:hAnsiTheme="minorEastAsia" w:eastAsiaTheme="minorEastAsia" w:cstheme="minorEastAsia"/>
          <w:color w:val="auto"/>
        </w:rPr>
        <w:t>磋商小组人数详见《供应商须知前附表》。</w:t>
      </w:r>
    </w:p>
    <w:p>
      <w:pPr>
        <w:spacing w:line="360" w:lineRule="auto"/>
        <w:ind w:left="539" w:hanging="539"/>
        <w:jc w:val="left"/>
        <w:rPr>
          <w:rFonts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 xml:space="preserve">23.2 磋商小组中的评审专家人数不少于磋商小组成员总数的2/3。除本采购文件另有规定，评审专家将从政府采购评审专家库中随机抽取。 </w:t>
      </w:r>
    </w:p>
    <w:p>
      <w:pPr>
        <w:spacing w:line="360" w:lineRule="auto"/>
        <w:ind w:left="539" w:hanging="539"/>
        <w:jc w:val="left"/>
        <w:rPr>
          <w:rFonts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23.3 磋商小组所有成员按事先抽取的磋商顺序，集中与单一供应商分别进行磋商，并给予所有参加磋商的供应商平等的磋商机会。</w:t>
      </w:r>
    </w:p>
    <w:p>
      <w:pPr>
        <w:numPr>
          <w:ilvl w:val="0"/>
          <w:numId w:val="9"/>
        </w:numPr>
        <w:tabs>
          <w:tab w:val="left" w:pos="864"/>
          <w:tab w:val="left" w:pos="1080"/>
        </w:tabs>
        <w:spacing w:line="360" w:lineRule="auto"/>
        <w:ind w:hanging="540"/>
        <w:outlineLvl w:val="1"/>
        <w:rPr>
          <w:rFonts w:asciiTheme="minorEastAsia" w:hAnsiTheme="minorEastAsia" w:eastAsiaTheme="minorEastAsia" w:cstheme="minorEastAsia"/>
          <w:b/>
          <w:snapToGrid w:val="0"/>
          <w:color w:val="auto"/>
          <w:kern w:val="0"/>
          <w:szCs w:val="21"/>
          <w:lang w:val="zh-CN"/>
        </w:rPr>
      </w:pPr>
      <w:bookmarkStart w:id="79" w:name="_Toc21483"/>
      <w:bookmarkStart w:id="80" w:name="_Toc14809"/>
      <w:r>
        <w:rPr>
          <w:rFonts w:hint="eastAsia" w:asciiTheme="minorEastAsia" w:hAnsiTheme="minorEastAsia" w:eastAsiaTheme="minorEastAsia" w:cstheme="minorEastAsia"/>
          <w:b/>
          <w:color w:val="auto"/>
        </w:rPr>
        <w:t>磋商代表</w:t>
      </w:r>
      <w:bookmarkEnd w:id="79"/>
      <w:bookmarkEnd w:id="80"/>
    </w:p>
    <w:p>
      <w:pPr>
        <w:tabs>
          <w:tab w:val="left" w:pos="864"/>
          <w:tab w:val="left" w:pos="1080"/>
        </w:tabs>
        <w:spacing w:line="360" w:lineRule="auto"/>
        <w:ind w:left="539" w:hanging="539"/>
        <w:jc w:val="left"/>
        <w:rPr>
          <w:rFonts w:asciiTheme="minorEastAsia" w:hAnsiTheme="minorEastAsia" w:eastAsiaTheme="minorEastAsia" w:cstheme="minorEastAsia"/>
          <w:color w:val="auto"/>
          <w:szCs w:val="21"/>
        </w:rPr>
      </w:pPr>
      <w:bookmarkStart w:id="81" w:name="_Toc32662"/>
      <w:bookmarkStart w:id="82" w:name="_Toc9967"/>
      <w:r>
        <w:rPr>
          <w:rFonts w:hint="eastAsia" w:asciiTheme="minorEastAsia" w:hAnsiTheme="minorEastAsia" w:eastAsiaTheme="minorEastAsia" w:cstheme="minorEastAsia"/>
          <w:b/>
          <w:color w:val="auto"/>
        </w:rPr>
        <w:t xml:space="preserve">24.1 </w:t>
      </w:r>
      <w:r>
        <w:rPr>
          <w:rFonts w:hint="eastAsia" w:asciiTheme="minorEastAsia" w:hAnsiTheme="minorEastAsia" w:eastAsiaTheme="minorEastAsia" w:cstheme="minorEastAsia"/>
          <w:color w:val="auto"/>
          <w:szCs w:val="21"/>
        </w:rPr>
        <w:t>磋商供应商法定代表人或授权代表应携带本人身份证明参加磋商，授权代表参加磋商的，还应携带法定代表人授权书原件。磋商代表经磋商小组核对身份后，方可参加磋商。</w:t>
      </w:r>
      <w:bookmarkEnd w:id="81"/>
      <w:bookmarkEnd w:id="82"/>
      <w:r>
        <w:rPr>
          <w:rFonts w:hint="eastAsia" w:asciiTheme="minorEastAsia" w:hAnsiTheme="minorEastAsia" w:eastAsiaTheme="minorEastAsia" w:cstheme="minorEastAsia"/>
          <w:color w:val="auto"/>
          <w:szCs w:val="21"/>
        </w:rPr>
        <w:t>磋商代表的其他要求见《供应商须知前附表》。</w:t>
      </w:r>
    </w:p>
    <w:p>
      <w:pPr>
        <w:numPr>
          <w:ilvl w:val="0"/>
          <w:numId w:val="9"/>
        </w:numPr>
        <w:tabs>
          <w:tab w:val="left" w:pos="864"/>
          <w:tab w:val="left" w:pos="1080"/>
        </w:tabs>
        <w:spacing w:line="360" w:lineRule="auto"/>
        <w:ind w:hanging="540"/>
        <w:outlineLvl w:val="1"/>
        <w:rPr>
          <w:rFonts w:asciiTheme="minorEastAsia" w:hAnsiTheme="minorEastAsia" w:eastAsiaTheme="minorEastAsia" w:cstheme="minorEastAsia"/>
          <w:b/>
          <w:color w:val="auto"/>
        </w:rPr>
      </w:pPr>
      <w:bookmarkStart w:id="83" w:name="_Toc30347"/>
      <w:r>
        <w:rPr>
          <w:rFonts w:hint="eastAsia" w:asciiTheme="minorEastAsia" w:hAnsiTheme="minorEastAsia" w:eastAsiaTheme="minorEastAsia" w:cstheme="minorEastAsia"/>
          <w:b/>
          <w:color w:val="auto"/>
        </w:rPr>
        <w:t>资格审查和符合性审查</w:t>
      </w:r>
      <w:bookmarkEnd w:id="83"/>
    </w:p>
    <w:p>
      <w:pPr>
        <w:spacing w:line="360" w:lineRule="auto"/>
        <w:ind w:left="539" w:hanging="539"/>
        <w:jc w:val="left"/>
        <w:rPr>
          <w:rFonts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25.1在正式磋商前，本磋商文件第四章规定的程序和方法，对供应商进行资格性审查和符合性审查，通过资格性审查和符合性审查，实质性响应磋商文件的供应商方可进入磋商程序。</w:t>
      </w:r>
    </w:p>
    <w:p>
      <w:pPr>
        <w:numPr>
          <w:ilvl w:val="0"/>
          <w:numId w:val="9"/>
        </w:numPr>
        <w:tabs>
          <w:tab w:val="left" w:pos="864"/>
          <w:tab w:val="left" w:pos="1080"/>
        </w:tabs>
        <w:spacing w:line="360" w:lineRule="auto"/>
        <w:ind w:hanging="540"/>
        <w:outlineLvl w:val="1"/>
        <w:rPr>
          <w:rFonts w:asciiTheme="minorEastAsia" w:hAnsiTheme="minorEastAsia" w:eastAsiaTheme="minorEastAsia" w:cstheme="minorEastAsia"/>
          <w:b/>
          <w:color w:val="auto"/>
        </w:rPr>
      </w:pPr>
      <w:bookmarkStart w:id="84" w:name="_Toc5263"/>
      <w:r>
        <w:rPr>
          <w:rFonts w:hint="eastAsia" w:asciiTheme="minorEastAsia" w:hAnsiTheme="minorEastAsia" w:eastAsiaTheme="minorEastAsia" w:cstheme="minorEastAsia"/>
          <w:b/>
          <w:color w:val="auto"/>
        </w:rPr>
        <w:t>磋商</w:t>
      </w:r>
      <w:bookmarkEnd w:id="84"/>
    </w:p>
    <w:p>
      <w:pPr>
        <w:spacing w:line="360" w:lineRule="auto"/>
        <w:ind w:left="539" w:hanging="539"/>
        <w:jc w:val="left"/>
        <w:rPr>
          <w:rFonts w:asciiTheme="minorEastAsia" w:hAnsiTheme="minorEastAsia" w:eastAsiaTheme="minorEastAsia" w:cstheme="minorEastAsia"/>
          <w:color w:val="auto"/>
        </w:rPr>
      </w:pPr>
      <w:r>
        <w:rPr>
          <w:rFonts w:hint="eastAsia" w:asciiTheme="minorEastAsia" w:hAnsiTheme="minorEastAsia" w:eastAsiaTheme="minorEastAsia" w:cstheme="minorEastAsia"/>
          <w:color w:val="auto"/>
          <w:szCs w:val="21"/>
        </w:rPr>
        <w:t>26.1磋商小组将根据本磋商文件第四章规定的程序和方法与供应商进行磋商。在磋商中，磋商的任何一方不得透露与磋商有关的其他磋商供应商的技</w:t>
      </w:r>
      <w:r>
        <w:rPr>
          <w:rFonts w:hint="eastAsia" w:asciiTheme="minorEastAsia" w:hAnsiTheme="minorEastAsia" w:eastAsiaTheme="minorEastAsia" w:cstheme="minorEastAsia"/>
          <w:color w:val="auto"/>
        </w:rPr>
        <w:t>术资料、价格和其他信息。</w:t>
      </w:r>
    </w:p>
    <w:p>
      <w:pPr>
        <w:spacing w:line="360" w:lineRule="auto"/>
        <w:ind w:left="539" w:hanging="539"/>
        <w:jc w:val="left"/>
        <w:rPr>
          <w:rFonts w:asciiTheme="minorEastAsia" w:hAnsiTheme="minorEastAsia" w:eastAsiaTheme="minorEastAsia" w:cstheme="minorEastAsia"/>
          <w:color w:val="auto"/>
        </w:rPr>
      </w:pPr>
      <w:r>
        <w:rPr>
          <w:rFonts w:hint="eastAsia" w:asciiTheme="minorEastAsia" w:hAnsiTheme="minorEastAsia" w:eastAsiaTheme="minorEastAsia" w:cstheme="minorEastAsia"/>
          <w:color w:val="auto"/>
        </w:rPr>
        <w:t>26.2在磋商过程中，磋商小组可以根据磋商文件和磋商情况实质性变动采购需求中的技术、服务要求以及合同草案条款，但不得变动磋商文件中的其他内容。实质性变动的内容，须经采购人代表确认。对磋商文件作出的实质性变动是磋商文件的有效组成部分，磋商小组将以书面形式同时通知所有磋商供应商，</w:t>
      </w:r>
      <w:r>
        <w:rPr>
          <w:rFonts w:hint="eastAsia" w:asciiTheme="minorEastAsia" w:hAnsiTheme="minorEastAsia" w:eastAsiaTheme="minorEastAsia" w:cstheme="minorEastAsia"/>
          <w:color w:val="auto"/>
          <w:szCs w:val="21"/>
        </w:rPr>
        <w:t>并提供必要的修正时间。</w:t>
      </w:r>
    </w:p>
    <w:p>
      <w:pPr>
        <w:spacing w:line="360" w:lineRule="auto"/>
        <w:ind w:left="539" w:hanging="539"/>
        <w:jc w:val="left"/>
        <w:rPr>
          <w:rFonts w:asciiTheme="minorEastAsia" w:hAnsiTheme="minorEastAsia" w:eastAsiaTheme="minorEastAsia" w:cstheme="minorEastAsia"/>
          <w:color w:val="auto"/>
        </w:rPr>
      </w:pPr>
      <w:r>
        <w:rPr>
          <w:rFonts w:hint="eastAsia" w:asciiTheme="minorEastAsia" w:hAnsiTheme="minorEastAsia" w:eastAsiaTheme="minorEastAsia" w:cstheme="minorEastAsia"/>
          <w:color w:val="auto"/>
        </w:rPr>
        <w:t>26.3供应商应当按照磋商文件的变动情况和磋商小组的要求重新提交响应文件，</w:t>
      </w:r>
      <w:r>
        <w:rPr>
          <w:rFonts w:hint="eastAsia" w:asciiTheme="minorEastAsia" w:hAnsiTheme="minorEastAsia" w:eastAsiaTheme="minorEastAsia" w:cstheme="minorEastAsia"/>
          <w:color w:val="auto"/>
          <w:szCs w:val="21"/>
        </w:rPr>
        <w:t>对原响应文件进行技术、商务、价格修正，重新提交的响应文件应实质性响应本磋商文件及</w:t>
      </w:r>
      <w:r>
        <w:rPr>
          <w:rFonts w:hint="eastAsia" w:asciiTheme="minorEastAsia" w:hAnsiTheme="minorEastAsia" w:eastAsiaTheme="minorEastAsia" w:cstheme="minorEastAsia"/>
          <w:color w:val="auto"/>
        </w:rPr>
        <w:t>对磋商文件作出的实质性变动，</w:t>
      </w:r>
      <w:r>
        <w:rPr>
          <w:rFonts w:hint="eastAsia" w:asciiTheme="minorEastAsia" w:hAnsiTheme="minorEastAsia" w:eastAsiaTheme="minorEastAsia" w:cstheme="minorEastAsia"/>
          <w:color w:val="auto"/>
          <w:szCs w:val="21"/>
        </w:rPr>
        <w:t>并按本采购文件的规定进行签署。重新提交的响应文件与原响应文件不一致的，以重新提交的响应文件为准。不按要求签署或逾时不提交响应文件的，视同放弃磋商，放弃磋商的</w:t>
      </w:r>
      <w:r>
        <w:rPr>
          <w:rFonts w:hint="eastAsia" w:asciiTheme="minorEastAsia" w:hAnsiTheme="minorEastAsia" w:eastAsiaTheme="minorEastAsia" w:cstheme="minorEastAsia"/>
          <w:color w:val="auto"/>
        </w:rPr>
        <w:t>供应商的磋商保证金将在成交通知书发放后的五个工作日内退还。</w:t>
      </w:r>
    </w:p>
    <w:p>
      <w:pPr>
        <w:spacing w:line="360" w:lineRule="auto"/>
        <w:ind w:left="539" w:hanging="539"/>
        <w:jc w:val="left"/>
        <w:rPr>
          <w:rFonts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26.4  竞标报价有算术错误的，磋商小组按照以下原则对磋商报价进行修正，修正的价格经供应商书面确认后具有约束力。供应商不接受修正价格的，磋商小组应当否决其竞标。</w:t>
      </w:r>
    </w:p>
    <w:p>
      <w:pPr>
        <w:spacing w:line="360" w:lineRule="auto"/>
        <w:ind w:left="539" w:hanging="539"/>
        <w:jc w:val="left"/>
        <w:rPr>
          <w:rFonts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 xml:space="preserve">     （1）响应文件中的大写金额与小写金额不一致的，以大写金额为准；</w:t>
      </w:r>
    </w:p>
    <w:p>
      <w:pPr>
        <w:spacing w:line="360" w:lineRule="auto"/>
        <w:ind w:left="539" w:hanging="539"/>
        <w:jc w:val="left"/>
        <w:rPr>
          <w:rFonts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 xml:space="preserve">     （2）总价金额与根据单价计算出的结果不一致的，以单价金额为准修正总价，但单价金额小数点有明显错误的除外。</w:t>
      </w:r>
    </w:p>
    <w:p>
      <w:pPr>
        <w:tabs>
          <w:tab w:val="left" w:pos="540"/>
        </w:tabs>
        <w:spacing w:line="360" w:lineRule="auto"/>
        <w:rPr>
          <w:rFonts w:asciiTheme="minorEastAsia" w:hAnsiTheme="minorEastAsia" w:eastAsiaTheme="minorEastAsia" w:cstheme="minorEastAsia"/>
          <w:color w:val="auto"/>
        </w:rPr>
      </w:pPr>
      <w:r>
        <w:rPr>
          <w:rFonts w:hint="eastAsia" w:asciiTheme="minorEastAsia" w:hAnsiTheme="minorEastAsia" w:eastAsiaTheme="minorEastAsia" w:cstheme="minorEastAsia"/>
          <w:color w:val="auto"/>
        </w:rPr>
        <w:t>26.5最后报价</w:t>
      </w:r>
    </w:p>
    <w:p>
      <w:pPr>
        <w:spacing w:line="360" w:lineRule="auto"/>
        <w:ind w:left="420" w:leftChars="200" w:firstLine="115" w:firstLineChars="55"/>
        <w:jc w:val="left"/>
        <w:rPr>
          <w:rFonts w:asciiTheme="minorEastAsia" w:hAnsiTheme="minorEastAsia" w:eastAsiaTheme="minorEastAsia" w:cstheme="minorEastAsia"/>
          <w:color w:val="auto"/>
        </w:rPr>
      </w:pPr>
      <w:r>
        <w:rPr>
          <w:rFonts w:hint="eastAsia" w:asciiTheme="minorEastAsia" w:hAnsiTheme="minorEastAsia" w:eastAsiaTheme="minorEastAsia" w:cstheme="minorEastAsia"/>
          <w:bCs/>
          <w:color w:val="auto"/>
          <w:kern w:val="44"/>
          <w:szCs w:val="21"/>
        </w:rPr>
        <w:t>采购代理机构将已确定条件的最后报价书发放至所有磋商供应商，要求磋商供应商在指定的时间内提交满足要求的最后报价，密封递交磋商小组。所有磋商供应商递交最后报价后，磋商小组将记录所有磋商供应商的最终价格。</w:t>
      </w:r>
      <w:r>
        <w:rPr>
          <w:rFonts w:hint="eastAsia" w:asciiTheme="minorEastAsia" w:hAnsiTheme="minorEastAsia" w:eastAsiaTheme="minorEastAsia" w:cstheme="minorEastAsia"/>
          <w:color w:val="auto"/>
        </w:rPr>
        <w:t>最后报价为本次竞争性磋商不可变动的最终价格。</w:t>
      </w:r>
    </w:p>
    <w:p>
      <w:pPr>
        <w:spacing w:line="360" w:lineRule="auto"/>
        <w:ind w:left="535" w:leftChars="200" w:hanging="115" w:hangingChars="55"/>
        <w:jc w:val="left"/>
        <w:rPr>
          <w:rFonts w:asciiTheme="minorEastAsia" w:hAnsiTheme="minorEastAsia" w:eastAsiaTheme="minorEastAsia" w:cstheme="minorEastAsia"/>
          <w:color w:val="auto"/>
        </w:rPr>
      </w:pPr>
      <w:r>
        <w:rPr>
          <w:rFonts w:hint="eastAsia" w:asciiTheme="minorEastAsia" w:hAnsiTheme="minorEastAsia" w:eastAsiaTheme="minorEastAsia" w:cstheme="minorEastAsia"/>
          <w:color w:val="auto"/>
        </w:rPr>
        <w:t>磋商文件能够详细列明采购标的的技术、服务要求的，磋商结束后，磋商小组应当要求所有继续参加磋商的供应商在规定时间内提交最后报价，提交最后报价的供应商不得少于3家。</w:t>
      </w:r>
    </w:p>
    <w:p>
      <w:pPr>
        <w:spacing w:line="360" w:lineRule="auto"/>
        <w:ind w:left="535" w:leftChars="200" w:hanging="115" w:hangingChars="55"/>
        <w:jc w:val="left"/>
        <w:rPr>
          <w:rFonts w:asciiTheme="minorEastAsia" w:hAnsiTheme="minorEastAsia" w:eastAsiaTheme="minorEastAsia" w:cstheme="minorEastAsia"/>
          <w:color w:val="auto"/>
        </w:rPr>
      </w:pPr>
      <w:r>
        <w:rPr>
          <w:rFonts w:hint="eastAsia" w:asciiTheme="minorEastAsia" w:hAnsiTheme="minorEastAsia" w:eastAsiaTheme="minorEastAsia" w:cstheme="minorEastAsia"/>
          <w:color w:val="auto"/>
        </w:rPr>
        <w:t xml:space="preserve">磋商文件不能详细列明采购标的的技术、服务要求，需经磋商由供应商提供最终设计方案或解决方案的，磋商结束后，磋商小组应当按照少数服从多数的原则投票推荐3家以上供应商的设计方案或者解决方案，并要求其在规定时间内提交最后报价。 </w:t>
      </w:r>
    </w:p>
    <w:p>
      <w:pPr>
        <w:spacing w:line="360" w:lineRule="auto"/>
        <w:ind w:left="535" w:leftChars="200" w:hanging="115" w:hangingChars="55"/>
        <w:jc w:val="left"/>
        <w:rPr>
          <w:rFonts w:asciiTheme="minorEastAsia" w:hAnsiTheme="minorEastAsia" w:eastAsiaTheme="minorEastAsia" w:cstheme="minorEastAsia"/>
          <w:color w:val="auto"/>
        </w:rPr>
      </w:pPr>
      <w:r>
        <w:rPr>
          <w:rFonts w:hint="eastAsia" w:asciiTheme="minorEastAsia" w:hAnsiTheme="minorEastAsia" w:eastAsiaTheme="minorEastAsia" w:cstheme="minorEastAsia"/>
          <w:color w:val="auto"/>
        </w:rPr>
        <w:t>本采购项目提交最后报价供应商的确定方式详见《供应商须知前附表》。</w:t>
      </w:r>
    </w:p>
    <w:p>
      <w:pPr>
        <w:spacing w:line="360" w:lineRule="auto"/>
        <w:ind w:left="539" w:hanging="539"/>
        <w:jc w:val="left"/>
        <w:rPr>
          <w:rFonts w:asciiTheme="minorEastAsia" w:hAnsiTheme="minorEastAsia" w:eastAsiaTheme="minorEastAsia" w:cstheme="minorEastAsia"/>
          <w:color w:val="auto"/>
        </w:rPr>
      </w:pPr>
      <w:r>
        <w:rPr>
          <w:rFonts w:hint="eastAsia" w:asciiTheme="minorEastAsia" w:hAnsiTheme="minorEastAsia" w:eastAsiaTheme="minorEastAsia" w:cstheme="minorEastAsia"/>
          <w:color w:val="auto"/>
        </w:rPr>
        <w:t>26.6</w:t>
      </w:r>
      <w:r>
        <w:rPr>
          <w:rFonts w:hint="eastAsia" w:asciiTheme="minorEastAsia" w:hAnsiTheme="minorEastAsia" w:eastAsiaTheme="minorEastAsia" w:cstheme="minorEastAsia"/>
          <w:bCs/>
          <w:color w:val="auto"/>
          <w:kern w:val="44"/>
          <w:szCs w:val="21"/>
        </w:rPr>
        <w:t>如有需要，磋商小组可进行多轮磋商，直至最终确定竞争性磋商采购文件采购需求中的技术、服务要求以及合同草案条款。如竞争性磋商采购文件无需修改，可直接要求磋商供应商</w:t>
      </w:r>
      <w:r>
        <w:rPr>
          <w:rFonts w:hint="eastAsia" w:asciiTheme="minorEastAsia" w:hAnsiTheme="minorEastAsia" w:eastAsiaTheme="minorEastAsia" w:cstheme="minorEastAsia"/>
          <w:color w:val="auto"/>
        </w:rPr>
        <w:t>提交最后报价</w:t>
      </w:r>
      <w:r>
        <w:rPr>
          <w:rFonts w:hint="eastAsia" w:asciiTheme="minorEastAsia" w:hAnsiTheme="minorEastAsia" w:eastAsiaTheme="minorEastAsia" w:cstheme="minorEastAsia"/>
          <w:bCs/>
          <w:color w:val="auto"/>
          <w:kern w:val="44"/>
          <w:szCs w:val="21"/>
        </w:rPr>
        <w:t>。</w:t>
      </w:r>
    </w:p>
    <w:p>
      <w:pPr>
        <w:spacing w:line="360" w:lineRule="auto"/>
        <w:ind w:left="539" w:hanging="539"/>
        <w:jc w:val="left"/>
        <w:rPr>
          <w:rFonts w:asciiTheme="minorEastAsia" w:hAnsiTheme="minorEastAsia" w:eastAsiaTheme="minorEastAsia" w:cstheme="minorEastAsia"/>
          <w:bCs/>
          <w:color w:val="auto"/>
          <w:kern w:val="44"/>
          <w:szCs w:val="21"/>
        </w:rPr>
      </w:pPr>
      <w:r>
        <w:rPr>
          <w:rFonts w:hint="eastAsia" w:asciiTheme="minorEastAsia" w:hAnsiTheme="minorEastAsia" w:eastAsiaTheme="minorEastAsia" w:cstheme="minorEastAsia"/>
          <w:color w:val="auto"/>
        </w:rPr>
        <w:t>26.7</w:t>
      </w:r>
      <w:r>
        <w:rPr>
          <w:rFonts w:hint="eastAsia" w:asciiTheme="minorEastAsia" w:hAnsiTheme="minorEastAsia" w:eastAsiaTheme="minorEastAsia" w:cstheme="minorEastAsia"/>
          <w:bCs/>
          <w:color w:val="auto"/>
          <w:kern w:val="44"/>
          <w:szCs w:val="21"/>
        </w:rPr>
        <w:t xml:space="preserve"> 磋商小组审核完最终报价后，根据竞争性磋商采购文件规定的评定办法推荐成交候选人或根据采购人的书面授权直接确定成交供应商。</w:t>
      </w:r>
    </w:p>
    <w:p>
      <w:pPr>
        <w:spacing w:line="360" w:lineRule="auto"/>
        <w:rPr>
          <w:rFonts w:asciiTheme="minorEastAsia" w:hAnsiTheme="minorEastAsia" w:eastAsiaTheme="minorEastAsia" w:cstheme="minorEastAsia"/>
          <w:bCs/>
          <w:color w:val="auto"/>
          <w:kern w:val="44"/>
          <w:szCs w:val="21"/>
        </w:rPr>
      </w:pPr>
      <w:r>
        <w:rPr>
          <w:rFonts w:hint="eastAsia" w:asciiTheme="minorEastAsia" w:hAnsiTheme="minorEastAsia" w:eastAsiaTheme="minorEastAsia" w:cstheme="minorEastAsia"/>
          <w:bCs/>
          <w:color w:val="auto"/>
          <w:kern w:val="44"/>
          <w:szCs w:val="21"/>
        </w:rPr>
        <w:t>26.8采购代理机构对磋商过程和重要磋商内容进行记录，磋商双方在记录上签字确认。</w:t>
      </w:r>
    </w:p>
    <w:p>
      <w:pPr>
        <w:numPr>
          <w:ilvl w:val="0"/>
          <w:numId w:val="9"/>
        </w:numPr>
        <w:tabs>
          <w:tab w:val="left" w:pos="864"/>
          <w:tab w:val="left" w:pos="1080"/>
        </w:tabs>
        <w:spacing w:line="360" w:lineRule="auto"/>
        <w:ind w:hanging="540"/>
        <w:outlineLvl w:val="1"/>
        <w:rPr>
          <w:rFonts w:asciiTheme="minorEastAsia" w:hAnsiTheme="minorEastAsia" w:eastAsiaTheme="minorEastAsia" w:cstheme="minorEastAsia"/>
          <w:b/>
          <w:color w:val="auto"/>
          <w:lang w:val="zh-CN"/>
        </w:rPr>
      </w:pPr>
      <w:bookmarkStart w:id="85" w:name="_Toc21157"/>
      <w:r>
        <w:rPr>
          <w:rFonts w:hint="eastAsia" w:asciiTheme="minorEastAsia" w:hAnsiTheme="minorEastAsia" w:eastAsiaTheme="minorEastAsia" w:cstheme="minorEastAsia"/>
          <w:b/>
          <w:color w:val="auto"/>
          <w:lang w:val="zh-CN"/>
        </w:rPr>
        <w:t>保密</w:t>
      </w:r>
      <w:bookmarkEnd w:id="85"/>
    </w:p>
    <w:p>
      <w:pPr>
        <w:numPr>
          <w:ilvl w:val="1"/>
          <w:numId w:val="33"/>
        </w:numPr>
        <w:autoSpaceDE w:val="0"/>
        <w:autoSpaceDN w:val="0"/>
        <w:adjustRightInd w:val="0"/>
        <w:spacing w:line="360" w:lineRule="auto"/>
        <w:jc w:val="left"/>
        <w:rPr>
          <w:rFonts w:asciiTheme="minorEastAsia" w:hAnsiTheme="minorEastAsia" w:eastAsiaTheme="minorEastAsia" w:cstheme="minorEastAsia"/>
          <w:snapToGrid w:val="0"/>
          <w:color w:val="auto"/>
          <w:kern w:val="0"/>
          <w:szCs w:val="21"/>
          <w:lang w:val="zh-CN"/>
        </w:rPr>
      </w:pPr>
      <w:r>
        <w:rPr>
          <w:rFonts w:hint="eastAsia" w:asciiTheme="minorEastAsia" w:hAnsiTheme="minorEastAsia" w:eastAsiaTheme="minorEastAsia" w:cstheme="minorEastAsia"/>
          <w:snapToGrid w:val="0"/>
          <w:color w:val="auto"/>
          <w:kern w:val="0"/>
          <w:szCs w:val="21"/>
          <w:lang w:val="zh-CN"/>
        </w:rPr>
        <w:t>凡是属于审查、澄清、评价和比较的有关资料以及授标意向等，采购人、采购代理机构、监管人员、</w:t>
      </w:r>
      <w:r>
        <w:rPr>
          <w:rFonts w:hint="eastAsia" w:asciiTheme="minorEastAsia" w:hAnsiTheme="minorEastAsia" w:eastAsiaTheme="minorEastAsia" w:cstheme="minorEastAsia"/>
          <w:bCs/>
          <w:color w:val="auto"/>
          <w:kern w:val="44"/>
          <w:szCs w:val="21"/>
        </w:rPr>
        <w:t>磋商小组</w:t>
      </w:r>
      <w:r>
        <w:rPr>
          <w:rFonts w:hint="eastAsia" w:asciiTheme="minorEastAsia" w:hAnsiTheme="minorEastAsia" w:eastAsiaTheme="minorEastAsia" w:cstheme="minorEastAsia"/>
          <w:snapToGrid w:val="0"/>
          <w:color w:val="auto"/>
          <w:kern w:val="0"/>
          <w:szCs w:val="21"/>
          <w:lang w:val="zh-CN"/>
        </w:rPr>
        <w:t>及有关工作人员均不得向供应商或其它无关的人员透露。</w:t>
      </w:r>
    </w:p>
    <w:p>
      <w:pPr>
        <w:numPr>
          <w:ilvl w:val="1"/>
          <w:numId w:val="33"/>
        </w:numPr>
        <w:autoSpaceDE w:val="0"/>
        <w:autoSpaceDN w:val="0"/>
        <w:adjustRightInd w:val="0"/>
        <w:spacing w:line="360" w:lineRule="auto"/>
        <w:jc w:val="left"/>
        <w:rPr>
          <w:rFonts w:asciiTheme="minorEastAsia" w:hAnsiTheme="minorEastAsia" w:eastAsiaTheme="minorEastAsia" w:cstheme="minorEastAsia"/>
          <w:snapToGrid w:val="0"/>
          <w:color w:val="auto"/>
          <w:kern w:val="0"/>
          <w:szCs w:val="21"/>
          <w:lang w:val="zh-CN"/>
        </w:rPr>
      </w:pPr>
      <w:r>
        <w:rPr>
          <w:rFonts w:hint="eastAsia" w:asciiTheme="minorEastAsia" w:hAnsiTheme="minorEastAsia" w:eastAsiaTheme="minorEastAsia" w:cstheme="minorEastAsia"/>
          <w:snapToGrid w:val="0"/>
          <w:color w:val="auto"/>
          <w:kern w:val="0"/>
          <w:szCs w:val="21"/>
          <w:lang w:val="zh-CN"/>
        </w:rPr>
        <w:t>本项目由磋商小组采用综合评分法对提交最后报价的供应商的响应文件和最后报价进行综合评分。综合评分法是指响应文件满足磋商文件全部实质性要求且按评审因素的量化指标评审得分最高的供应商为成交候选供应商的评审方法。本项目具体评审因素的量化指标详见第</w:t>
      </w:r>
      <w:r>
        <w:rPr>
          <w:rFonts w:hint="eastAsia" w:asciiTheme="minorEastAsia" w:hAnsiTheme="minorEastAsia" w:eastAsiaTheme="minorEastAsia" w:cstheme="minorEastAsia"/>
          <w:snapToGrid w:val="0"/>
          <w:color w:val="auto"/>
          <w:kern w:val="0"/>
          <w:szCs w:val="21"/>
        </w:rPr>
        <w:t>四</w:t>
      </w:r>
      <w:r>
        <w:rPr>
          <w:rFonts w:hint="eastAsia" w:asciiTheme="minorEastAsia" w:hAnsiTheme="minorEastAsia" w:eastAsiaTheme="minorEastAsia" w:cstheme="minorEastAsia"/>
          <w:snapToGrid w:val="0"/>
          <w:color w:val="auto"/>
          <w:kern w:val="0"/>
          <w:szCs w:val="21"/>
          <w:lang w:val="zh-CN"/>
        </w:rPr>
        <w:t>章“</w:t>
      </w:r>
      <w:r>
        <w:rPr>
          <w:rFonts w:hint="eastAsia" w:asciiTheme="minorEastAsia" w:hAnsiTheme="minorEastAsia" w:eastAsiaTheme="minorEastAsia" w:cstheme="minorEastAsia"/>
          <w:snapToGrid w:val="0"/>
          <w:color w:val="auto"/>
          <w:kern w:val="0"/>
          <w:szCs w:val="21"/>
        </w:rPr>
        <w:t>评定办法</w:t>
      </w:r>
      <w:r>
        <w:rPr>
          <w:rFonts w:hint="eastAsia" w:asciiTheme="minorEastAsia" w:hAnsiTheme="minorEastAsia" w:eastAsiaTheme="minorEastAsia" w:cstheme="minorEastAsia"/>
          <w:snapToGrid w:val="0"/>
          <w:color w:val="auto"/>
          <w:kern w:val="0"/>
          <w:szCs w:val="21"/>
          <w:lang w:val="zh-CN"/>
        </w:rPr>
        <w:t>”。</w:t>
      </w:r>
    </w:p>
    <w:p>
      <w:pPr>
        <w:numPr>
          <w:ilvl w:val="1"/>
          <w:numId w:val="33"/>
        </w:numPr>
        <w:autoSpaceDE w:val="0"/>
        <w:autoSpaceDN w:val="0"/>
        <w:adjustRightInd w:val="0"/>
        <w:spacing w:line="360" w:lineRule="auto"/>
        <w:jc w:val="left"/>
        <w:rPr>
          <w:color w:val="auto"/>
          <w:lang w:val="zh-CN"/>
        </w:rPr>
      </w:pPr>
      <w:r>
        <w:rPr>
          <w:rFonts w:hint="eastAsia" w:asciiTheme="minorEastAsia" w:hAnsiTheme="minorEastAsia" w:eastAsiaTheme="minorEastAsia" w:cstheme="minorEastAsia"/>
          <w:snapToGrid w:val="0"/>
          <w:color w:val="auto"/>
          <w:kern w:val="0"/>
          <w:szCs w:val="21"/>
          <w:lang w:val="zh-CN"/>
        </w:rPr>
        <w:t>磋商小组根据综合评分情况，按照评审得分由高到低的顺序及《供应商须知前附表》规定的数量推荐成交候选供应商，并编写评审报告。评审报告应当有磋商小组全体成员签字认可。</w:t>
      </w:r>
    </w:p>
    <w:p>
      <w:pPr>
        <w:numPr>
          <w:ilvl w:val="1"/>
          <w:numId w:val="8"/>
        </w:numPr>
        <w:tabs>
          <w:tab w:val="left" w:pos="540"/>
          <w:tab w:val="clear" w:pos="840"/>
        </w:tabs>
        <w:spacing w:line="360" w:lineRule="auto"/>
        <w:ind w:left="540" w:hanging="540"/>
        <w:outlineLvl w:val="1"/>
        <w:rPr>
          <w:rFonts w:asciiTheme="minorEastAsia" w:hAnsiTheme="minorEastAsia" w:eastAsiaTheme="minorEastAsia" w:cstheme="minorEastAsia"/>
          <w:b/>
          <w:color w:val="auto"/>
          <w:szCs w:val="21"/>
        </w:rPr>
      </w:pPr>
      <w:bookmarkStart w:id="86" w:name="_Toc21170"/>
      <w:bookmarkStart w:id="87" w:name="_Toc15936"/>
      <w:r>
        <w:rPr>
          <w:rFonts w:hint="eastAsia" w:asciiTheme="minorEastAsia" w:hAnsiTheme="minorEastAsia" w:eastAsiaTheme="minorEastAsia" w:cstheme="minorEastAsia"/>
          <w:b/>
          <w:color w:val="auto"/>
          <w:szCs w:val="21"/>
        </w:rPr>
        <w:t>成交与签订合同</w:t>
      </w:r>
      <w:bookmarkEnd w:id="86"/>
      <w:bookmarkEnd w:id="87"/>
    </w:p>
    <w:p>
      <w:pPr>
        <w:numPr>
          <w:ilvl w:val="0"/>
          <w:numId w:val="9"/>
        </w:numPr>
        <w:tabs>
          <w:tab w:val="left" w:pos="864"/>
          <w:tab w:val="left" w:pos="1080"/>
        </w:tabs>
        <w:spacing w:line="360" w:lineRule="auto"/>
        <w:ind w:hanging="540"/>
        <w:outlineLvl w:val="1"/>
        <w:rPr>
          <w:rFonts w:asciiTheme="minorEastAsia" w:hAnsiTheme="minorEastAsia" w:eastAsiaTheme="minorEastAsia" w:cstheme="minorEastAsia"/>
          <w:b/>
          <w:color w:val="auto"/>
          <w:lang w:val="zh-CN"/>
        </w:rPr>
      </w:pPr>
      <w:bookmarkStart w:id="88" w:name="_Toc23443"/>
      <w:bookmarkStart w:id="89" w:name="_Toc21514"/>
      <w:r>
        <w:rPr>
          <w:rFonts w:hint="eastAsia" w:asciiTheme="minorEastAsia" w:hAnsiTheme="minorEastAsia" w:eastAsiaTheme="minorEastAsia" w:cstheme="minorEastAsia"/>
          <w:b/>
          <w:color w:val="auto"/>
          <w:lang w:val="zh-CN"/>
        </w:rPr>
        <w:t>合同授予标准</w:t>
      </w:r>
      <w:bookmarkEnd w:id="88"/>
      <w:bookmarkEnd w:id="89"/>
    </w:p>
    <w:p>
      <w:pPr>
        <w:autoSpaceDE w:val="0"/>
        <w:autoSpaceDN w:val="0"/>
        <w:adjustRightInd w:val="0"/>
        <w:spacing w:line="360" w:lineRule="auto"/>
        <w:ind w:left="630" w:hanging="630" w:hangingChars="300"/>
        <w:jc w:val="left"/>
        <w:rPr>
          <w:rFonts w:asciiTheme="minorEastAsia" w:hAnsiTheme="minorEastAsia" w:eastAsiaTheme="minorEastAsia" w:cstheme="minorEastAsia"/>
          <w:iCs/>
          <w:snapToGrid w:val="0"/>
          <w:color w:val="auto"/>
          <w:kern w:val="0"/>
          <w:szCs w:val="21"/>
          <w:lang w:val="zh-CN"/>
        </w:rPr>
      </w:pPr>
      <w:r>
        <w:rPr>
          <w:rFonts w:hint="eastAsia" w:asciiTheme="minorEastAsia" w:hAnsiTheme="minorEastAsia" w:eastAsiaTheme="minorEastAsia" w:cstheme="minorEastAsia"/>
          <w:iCs/>
          <w:snapToGrid w:val="0"/>
          <w:color w:val="auto"/>
          <w:kern w:val="0"/>
          <w:szCs w:val="21"/>
          <w:lang w:val="zh-CN"/>
        </w:rPr>
        <w:t>28.1</w:t>
      </w:r>
      <w:r>
        <w:rPr>
          <w:rFonts w:hint="eastAsia" w:asciiTheme="minorEastAsia" w:hAnsiTheme="minorEastAsia" w:eastAsiaTheme="minorEastAsia" w:cstheme="minorEastAsia"/>
          <w:iCs/>
          <w:snapToGrid w:val="0"/>
          <w:color w:val="auto"/>
          <w:kern w:val="0"/>
          <w:szCs w:val="21"/>
        </w:rPr>
        <w:t xml:space="preserve">  </w:t>
      </w:r>
      <w:r>
        <w:rPr>
          <w:rFonts w:hint="eastAsia" w:asciiTheme="minorEastAsia" w:hAnsiTheme="minorEastAsia" w:eastAsiaTheme="minorEastAsia" w:cstheme="minorEastAsia"/>
          <w:iCs/>
          <w:snapToGrid w:val="0"/>
          <w:color w:val="auto"/>
          <w:kern w:val="0"/>
          <w:szCs w:val="21"/>
          <w:lang w:val="zh-CN"/>
        </w:rPr>
        <w:t>采购人将把合同授予排名</w:t>
      </w:r>
      <w:r>
        <w:rPr>
          <w:rFonts w:hint="eastAsia" w:asciiTheme="minorEastAsia" w:hAnsiTheme="minorEastAsia" w:eastAsiaTheme="minorEastAsia" w:cstheme="minorEastAsia"/>
          <w:iCs/>
          <w:snapToGrid w:val="0"/>
          <w:color w:val="auto"/>
          <w:kern w:val="0"/>
          <w:szCs w:val="21"/>
        </w:rPr>
        <w:t>推荐数量</w:t>
      </w:r>
      <w:r>
        <w:rPr>
          <w:rFonts w:hint="eastAsia" w:asciiTheme="minorEastAsia" w:hAnsiTheme="minorEastAsia" w:eastAsiaTheme="minorEastAsia" w:cstheme="minorEastAsia"/>
          <w:iCs/>
          <w:snapToGrid w:val="0"/>
          <w:color w:val="auto"/>
          <w:kern w:val="0"/>
          <w:szCs w:val="21"/>
          <w:lang w:val="zh-CN"/>
        </w:rPr>
        <w:t>的供应商，特殊情况按本须知29.3的规定执行。</w:t>
      </w:r>
    </w:p>
    <w:p>
      <w:pPr>
        <w:spacing w:line="360" w:lineRule="auto"/>
        <w:ind w:left="630" w:hanging="630" w:hangingChars="300"/>
        <w:jc w:val="left"/>
        <w:rPr>
          <w:rFonts w:ascii="宋体" w:hAnsi="宋体" w:cs="宋体"/>
          <w:color w:val="auto"/>
          <w:szCs w:val="21"/>
        </w:rPr>
      </w:pPr>
      <w:r>
        <w:rPr>
          <w:rFonts w:hint="eastAsia" w:asciiTheme="minorEastAsia" w:hAnsiTheme="minorEastAsia" w:eastAsiaTheme="minorEastAsia" w:cstheme="minorEastAsia"/>
          <w:iCs/>
          <w:snapToGrid w:val="0"/>
          <w:color w:val="auto"/>
          <w:kern w:val="0"/>
          <w:szCs w:val="21"/>
          <w:lang w:val="zh-CN"/>
        </w:rPr>
        <w:t>28.</w:t>
      </w:r>
      <w:r>
        <w:rPr>
          <w:rFonts w:hint="eastAsia" w:asciiTheme="minorEastAsia" w:hAnsiTheme="minorEastAsia" w:eastAsiaTheme="minorEastAsia" w:cstheme="minorEastAsia"/>
          <w:iCs/>
          <w:snapToGrid w:val="0"/>
          <w:color w:val="auto"/>
          <w:kern w:val="0"/>
          <w:szCs w:val="21"/>
        </w:rPr>
        <w:t xml:space="preserve">2  </w:t>
      </w:r>
      <w:r>
        <w:rPr>
          <w:rFonts w:hint="eastAsia" w:asciiTheme="minorEastAsia" w:hAnsiTheme="minorEastAsia" w:eastAsiaTheme="minorEastAsia" w:cstheme="minorEastAsia"/>
          <w:iCs/>
          <w:snapToGrid w:val="0"/>
          <w:color w:val="auto"/>
          <w:kern w:val="0"/>
          <w:szCs w:val="21"/>
          <w:lang w:val="zh-CN"/>
        </w:rPr>
        <w:t>采购代理机构应当在评审结束后2个工作日内将评审报告送采购人确认。</w:t>
      </w:r>
      <w:r>
        <w:rPr>
          <w:rFonts w:ascii="宋体" w:hAnsi="宋体" w:cs="宋体"/>
          <w:color w:val="auto"/>
          <w:szCs w:val="21"/>
        </w:rPr>
        <w:t xml:space="preserve"> </w:t>
      </w:r>
    </w:p>
    <w:p>
      <w:pPr>
        <w:autoSpaceDE w:val="0"/>
        <w:autoSpaceDN w:val="0"/>
        <w:adjustRightInd w:val="0"/>
        <w:spacing w:line="360" w:lineRule="auto"/>
        <w:ind w:left="630" w:hanging="630" w:hangingChars="300"/>
        <w:jc w:val="left"/>
        <w:rPr>
          <w:rFonts w:asciiTheme="minorEastAsia" w:hAnsiTheme="minorEastAsia" w:eastAsiaTheme="minorEastAsia" w:cstheme="minorEastAsia"/>
          <w:iCs/>
          <w:snapToGrid w:val="0"/>
          <w:color w:val="auto"/>
          <w:kern w:val="0"/>
          <w:szCs w:val="21"/>
          <w:lang w:val="zh-CN"/>
        </w:rPr>
      </w:pPr>
      <w:r>
        <w:rPr>
          <w:rFonts w:hint="eastAsia" w:asciiTheme="minorEastAsia" w:hAnsiTheme="minorEastAsia" w:eastAsiaTheme="minorEastAsia" w:cstheme="minorEastAsia"/>
          <w:iCs/>
          <w:snapToGrid w:val="0"/>
          <w:color w:val="auto"/>
          <w:kern w:val="0"/>
          <w:szCs w:val="21"/>
          <w:lang w:val="zh-CN"/>
        </w:rPr>
        <w:t>28.</w:t>
      </w:r>
      <w:r>
        <w:rPr>
          <w:rFonts w:hint="eastAsia" w:asciiTheme="minorEastAsia" w:hAnsiTheme="minorEastAsia" w:eastAsiaTheme="minorEastAsia" w:cstheme="minorEastAsia"/>
          <w:iCs/>
          <w:snapToGrid w:val="0"/>
          <w:color w:val="auto"/>
          <w:kern w:val="0"/>
          <w:szCs w:val="21"/>
        </w:rPr>
        <w:t xml:space="preserve">3  </w:t>
      </w:r>
      <w:r>
        <w:rPr>
          <w:rFonts w:hint="eastAsia" w:asciiTheme="minorEastAsia" w:hAnsiTheme="minorEastAsia" w:eastAsiaTheme="minorEastAsia" w:cstheme="minorEastAsia"/>
          <w:snapToGrid w:val="0"/>
          <w:color w:val="auto"/>
          <w:kern w:val="0"/>
          <w:szCs w:val="21"/>
          <w:lang w:val="zh-CN"/>
        </w:rPr>
        <w:t xml:space="preserve">采购人应当在收到评审报告后5个工作日内，从评审报告提出的成交候选供应商中，按照推荐排序确定成交供应商，也可以书面授权磋商小组直接确定成交供应商。采购人逾期未确定成交供应商且不提出异议的，视为确定评审报告提出的排序第一的供应商为成交供应商。 </w:t>
      </w:r>
    </w:p>
    <w:p>
      <w:pPr>
        <w:autoSpaceDE w:val="0"/>
        <w:autoSpaceDN w:val="0"/>
        <w:adjustRightInd w:val="0"/>
        <w:spacing w:line="360" w:lineRule="auto"/>
        <w:ind w:left="630" w:hanging="630" w:hangingChars="300"/>
        <w:jc w:val="left"/>
        <w:rPr>
          <w:rFonts w:asciiTheme="minorEastAsia" w:hAnsiTheme="minorEastAsia" w:eastAsiaTheme="minorEastAsia" w:cstheme="minorEastAsia"/>
          <w:iCs/>
          <w:snapToGrid w:val="0"/>
          <w:color w:val="auto"/>
          <w:kern w:val="0"/>
          <w:szCs w:val="21"/>
          <w:lang w:val="zh-CN"/>
        </w:rPr>
      </w:pPr>
      <w:r>
        <w:rPr>
          <w:rFonts w:hint="eastAsia" w:asciiTheme="minorEastAsia" w:hAnsiTheme="minorEastAsia" w:eastAsiaTheme="minorEastAsia" w:cstheme="minorEastAsia"/>
          <w:iCs/>
          <w:snapToGrid w:val="0"/>
          <w:color w:val="auto"/>
          <w:kern w:val="0"/>
          <w:szCs w:val="21"/>
          <w:lang w:val="zh-CN"/>
        </w:rPr>
        <w:t>28.</w:t>
      </w:r>
      <w:r>
        <w:rPr>
          <w:rFonts w:hint="eastAsia" w:asciiTheme="minorEastAsia" w:hAnsiTheme="minorEastAsia" w:eastAsiaTheme="minorEastAsia" w:cstheme="minorEastAsia"/>
          <w:iCs/>
          <w:snapToGrid w:val="0"/>
          <w:color w:val="auto"/>
          <w:kern w:val="0"/>
          <w:szCs w:val="21"/>
        </w:rPr>
        <w:t xml:space="preserve">4  </w:t>
      </w:r>
      <w:r>
        <w:rPr>
          <w:rFonts w:hint="eastAsia" w:asciiTheme="minorEastAsia" w:hAnsiTheme="minorEastAsia" w:eastAsiaTheme="minorEastAsia" w:cstheme="minorEastAsia"/>
          <w:iCs/>
          <w:snapToGrid w:val="0"/>
          <w:color w:val="auto"/>
          <w:kern w:val="0"/>
          <w:szCs w:val="21"/>
          <w:lang w:val="zh-CN"/>
        </w:rPr>
        <w:t xml:space="preserve">采购人或者采购代理机构应当在成交供应商确定后2个工作日内，在省级以上财政部门指定的政府采购信息发布媒体上公告成交结果，同时向成交供应商发出成交通知书，并将磋商文件随成交结果同时公告。 </w:t>
      </w:r>
    </w:p>
    <w:p>
      <w:pPr>
        <w:autoSpaceDE w:val="0"/>
        <w:autoSpaceDN w:val="0"/>
        <w:adjustRightInd w:val="0"/>
        <w:spacing w:line="360" w:lineRule="auto"/>
        <w:ind w:left="630" w:hanging="630" w:hangingChars="300"/>
        <w:jc w:val="left"/>
        <w:rPr>
          <w:rFonts w:asciiTheme="minorEastAsia" w:hAnsiTheme="minorEastAsia" w:eastAsiaTheme="minorEastAsia" w:cstheme="minorEastAsia"/>
          <w:iCs/>
          <w:snapToGrid w:val="0"/>
          <w:color w:val="auto"/>
          <w:kern w:val="0"/>
          <w:szCs w:val="21"/>
          <w:lang w:val="zh-CN"/>
        </w:rPr>
      </w:pPr>
      <w:r>
        <w:rPr>
          <w:rFonts w:hint="eastAsia" w:asciiTheme="minorEastAsia" w:hAnsiTheme="minorEastAsia" w:eastAsiaTheme="minorEastAsia" w:cstheme="minorEastAsia"/>
          <w:iCs/>
          <w:snapToGrid w:val="0"/>
          <w:color w:val="auto"/>
          <w:kern w:val="0"/>
          <w:szCs w:val="21"/>
          <w:lang w:val="zh-CN"/>
        </w:rPr>
        <w:t>28.</w:t>
      </w:r>
      <w:r>
        <w:rPr>
          <w:rFonts w:hint="eastAsia" w:asciiTheme="minorEastAsia" w:hAnsiTheme="minorEastAsia" w:eastAsiaTheme="minorEastAsia" w:cstheme="minorEastAsia"/>
          <w:iCs/>
          <w:snapToGrid w:val="0"/>
          <w:color w:val="auto"/>
          <w:kern w:val="0"/>
          <w:szCs w:val="21"/>
        </w:rPr>
        <w:t xml:space="preserve">5  </w:t>
      </w:r>
      <w:r>
        <w:rPr>
          <w:rFonts w:hint="eastAsia" w:asciiTheme="minorEastAsia" w:hAnsiTheme="minorEastAsia" w:eastAsiaTheme="minorEastAsia" w:cstheme="minorEastAsia"/>
          <w:iCs/>
          <w:snapToGrid w:val="0"/>
          <w:color w:val="auto"/>
          <w:kern w:val="0"/>
          <w:szCs w:val="21"/>
          <w:lang w:val="zh-CN"/>
        </w:rPr>
        <w:t>成交通知书的领取时间详见《供应商须知前附表》。</w:t>
      </w:r>
    </w:p>
    <w:p>
      <w:pPr>
        <w:numPr>
          <w:ilvl w:val="0"/>
          <w:numId w:val="9"/>
        </w:numPr>
        <w:tabs>
          <w:tab w:val="left" w:pos="864"/>
          <w:tab w:val="left" w:pos="1080"/>
        </w:tabs>
        <w:spacing w:line="360" w:lineRule="auto"/>
        <w:ind w:hanging="540"/>
        <w:outlineLvl w:val="1"/>
        <w:rPr>
          <w:rFonts w:asciiTheme="minorEastAsia" w:hAnsiTheme="minorEastAsia" w:eastAsiaTheme="minorEastAsia" w:cstheme="minorEastAsia"/>
          <w:b/>
          <w:color w:val="auto"/>
          <w:lang w:val="zh-CN"/>
        </w:rPr>
      </w:pPr>
      <w:bookmarkStart w:id="90" w:name="_Toc15727"/>
      <w:bookmarkStart w:id="91" w:name="_Toc15879"/>
      <w:r>
        <w:rPr>
          <w:rFonts w:hint="eastAsia" w:asciiTheme="minorEastAsia" w:hAnsiTheme="minorEastAsia" w:eastAsiaTheme="minorEastAsia" w:cstheme="minorEastAsia"/>
          <w:b/>
          <w:color w:val="auto"/>
          <w:lang w:val="zh-CN"/>
        </w:rPr>
        <w:t>签订合同</w:t>
      </w:r>
      <w:bookmarkEnd w:id="90"/>
      <w:bookmarkEnd w:id="91"/>
    </w:p>
    <w:p>
      <w:pPr>
        <w:tabs>
          <w:tab w:val="left" w:pos="426"/>
        </w:tabs>
        <w:autoSpaceDE w:val="0"/>
        <w:autoSpaceDN w:val="0"/>
        <w:adjustRightInd w:val="0"/>
        <w:spacing w:line="360" w:lineRule="auto"/>
        <w:ind w:left="630" w:hanging="630" w:hangingChars="300"/>
        <w:jc w:val="left"/>
        <w:rPr>
          <w:rFonts w:asciiTheme="minorEastAsia" w:hAnsiTheme="minorEastAsia" w:eastAsiaTheme="minorEastAsia" w:cstheme="minorEastAsia"/>
          <w:snapToGrid w:val="0"/>
          <w:color w:val="auto"/>
          <w:kern w:val="0"/>
          <w:szCs w:val="21"/>
          <w:lang w:val="zh-CN"/>
        </w:rPr>
      </w:pPr>
      <w:r>
        <w:rPr>
          <w:rFonts w:hint="eastAsia" w:asciiTheme="minorEastAsia" w:hAnsiTheme="minorEastAsia" w:eastAsiaTheme="minorEastAsia" w:cstheme="minorEastAsia"/>
          <w:snapToGrid w:val="0"/>
          <w:color w:val="auto"/>
          <w:kern w:val="0"/>
          <w:szCs w:val="21"/>
          <w:lang w:val="zh-CN"/>
        </w:rPr>
        <w:t xml:space="preserve">29.1 </w:t>
      </w:r>
      <w:r>
        <w:rPr>
          <w:rFonts w:hint="eastAsia" w:asciiTheme="minorEastAsia" w:hAnsiTheme="minorEastAsia" w:eastAsiaTheme="minorEastAsia" w:cstheme="minorEastAsia"/>
          <w:snapToGrid w:val="0"/>
          <w:color w:val="auto"/>
          <w:kern w:val="0"/>
          <w:szCs w:val="21"/>
        </w:rPr>
        <w:t xml:space="preserve"> </w:t>
      </w:r>
      <w:r>
        <w:rPr>
          <w:rFonts w:hint="eastAsia" w:asciiTheme="minorEastAsia" w:hAnsiTheme="minorEastAsia" w:eastAsiaTheme="minorEastAsia" w:cstheme="minorEastAsia"/>
          <w:snapToGrid w:val="0"/>
          <w:color w:val="auto"/>
          <w:kern w:val="0"/>
          <w:szCs w:val="21"/>
          <w:lang w:val="zh-CN"/>
        </w:rPr>
        <w:t>竞争性磋商采购文件对履约保证金有规定的，成交供应商应按规定在签订合同前缴纳履约保证金。</w:t>
      </w:r>
    </w:p>
    <w:p>
      <w:pPr>
        <w:tabs>
          <w:tab w:val="left" w:pos="426"/>
        </w:tabs>
        <w:autoSpaceDE w:val="0"/>
        <w:autoSpaceDN w:val="0"/>
        <w:adjustRightInd w:val="0"/>
        <w:spacing w:line="360" w:lineRule="auto"/>
        <w:ind w:left="630" w:hanging="630" w:hangingChars="300"/>
        <w:jc w:val="left"/>
        <w:rPr>
          <w:rFonts w:asciiTheme="minorEastAsia" w:hAnsiTheme="minorEastAsia" w:eastAsiaTheme="minorEastAsia" w:cstheme="minorEastAsia"/>
          <w:color w:val="auto"/>
        </w:rPr>
      </w:pPr>
      <w:r>
        <w:rPr>
          <w:rFonts w:hint="eastAsia" w:asciiTheme="minorEastAsia" w:hAnsiTheme="minorEastAsia" w:eastAsiaTheme="minorEastAsia" w:cstheme="minorEastAsia"/>
          <w:snapToGrid w:val="0"/>
          <w:color w:val="auto"/>
          <w:szCs w:val="21"/>
          <w:lang w:val="zh-CN"/>
        </w:rPr>
        <w:t xml:space="preserve">29.2 </w:t>
      </w:r>
      <w:r>
        <w:rPr>
          <w:rFonts w:hint="eastAsia" w:asciiTheme="minorEastAsia" w:hAnsiTheme="minorEastAsia" w:eastAsiaTheme="minorEastAsia" w:cstheme="minorEastAsia"/>
          <w:snapToGrid w:val="0"/>
          <w:color w:val="auto"/>
          <w:szCs w:val="21"/>
        </w:rPr>
        <w:t xml:space="preserve"> </w:t>
      </w:r>
      <w:r>
        <w:rPr>
          <w:rFonts w:hint="eastAsia" w:asciiTheme="minorEastAsia" w:hAnsiTheme="minorEastAsia" w:eastAsiaTheme="minorEastAsia" w:cstheme="minorEastAsia"/>
          <w:snapToGrid w:val="0"/>
          <w:color w:val="auto"/>
          <w:szCs w:val="21"/>
          <w:lang w:val="zh-CN"/>
        </w:rPr>
        <w:t>采购人与成交供应商应当在成交通知书发出之日起30日内，按照采购文件确定的合同文本以及采购标的、规格型号、采购金额、采购数量、技术和服务要求等事项签订政府采购合同。</w:t>
      </w:r>
    </w:p>
    <w:p>
      <w:pPr>
        <w:autoSpaceDE w:val="0"/>
        <w:autoSpaceDN w:val="0"/>
        <w:adjustRightInd w:val="0"/>
        <w:spacing w:line="360" w:lineRule="auto"/>
        <w:ind w:left="630" w:leftChars="300"/>
        <w:jc w:val="left"/>
        <w:rPr>
          <w:rFonts w:asciiTheme="minorEastAsia" w:hAnsiTheme="minorEastAsia" w:eastAsiaTheme="minorEastAsia" w:cstheme="minorEastAsia"/>
          <w:color w:val="auto"/>
        </w:rPr>
      </w:pPr>
      <w:r>
        <w:rPr>
          <w:rFonts w:hint="eastAsia" w:asciiTheme="minorEastAsia" w:hAnsiTheme="minorEastAsia" w:eastAsiaTheme="minorEastAsia" w:cstheme="minorEastAsia"/>
          <w:color w:val="auto"/>
        </w:rPr>
        <w:t>采购人不得向成交供应商提出超出采购文件以外的任何要求作为签订合同的条件，不得与成交供应商订立背离采购文件确定的合同文本以及采购标的、规格型号、采购金额、采购数量、技术和服务要求等实质性内容的协议。</w:t>
      </w:r>
    </w:p>
    <w:p>
      <w:pPr>
        <w:autoSpaceDE w:val="0"/>
        <w:autoSpaceDN w:val="0"/>
        <w:adjustRightInd w:val="0"/>
        <w:spacing w:line="360" w:lineRule="auto"/>
        <w:ind w:left="630" w:leftChars="300"/>
        <w:jc w:val="left"/>
        <w:rPr>
          <w:rFonts w:asciiTheme="minorEastAsia" w:hAnsiTheme="minorEastAsia" w:eastAsiaTheme="minorEastAsia" w:cstheme="minorEastAsia"/>
          <w:color w:val="auto"/>
        </w:rPr>
      </w:pPr>
      <w:r>
        <w:rPr>
          <w:rFonts w:hint="eastAsia" w:asciiTheme="minorEastAsia" w:hAnsiTheme="minorEastAsia" w:eastAsiaTheme="minorEastAsia" w:cstheme="minorEastAsia"/>
          <w:color w:val="auto"/>
        </w:rPr>
        <w:t>采购人应当自政府采购合同签订之日起2个工作日内，将政府采购合同在省级以上人民政府指定的媒体上公告，但政府采购合同中涉及国家秘密、商业秘密的内容除外。</w:t>
      </w:r>
    </w:p>
    <w:p>
      <w:pPr>
        <w:autoSpaceDE w:val="0"/>
        <w:autoSpaceDN w:val="0"/>
        <w:adjustRightInd w:val="0"/>
        <w:spacing w:line="360" w:lineRule="auto"/>
        <w:ind w:left="630" w:hanging="630" w:hangingChars="300"/>
        <w:jc w:val="left"/>
        <w:rPr>
          <w:rFonts w:asciiTheme="minorEastAsia" w:hAnsiTheme="minorEastAsia" w:eastAsiaTheme="minorEastAsia" w:cstheme="minorEastAsia"/>
          <w:color w:val="auto"/>
        </w:rPr>
      </w:pPr>
      <w:r>
        <w:rPr>
          <w:rFonts w:hint="eastAsia" w:asciiTheme="minorEastAsia" w:hAnsiTheme="minorEastAsia" w:eastAsiaTheme="minorEastAsia" w:cstheme="minorEastAsia"/>
          <w:color w:val="auto"/>
        </w:rPr>
        <w:t xml:space="preserve">29.3  </w:t>
      </w:r>
      <w:r>
        <w:rPr>
          <w:rFonts w:hint="eastAsia" w:asciiTheme="minorEastAsia" w:hAnsiTheme="minorEastAsia" w:eastAsiaTheme="minorEastAsia" w:cstheme="minorEastAsia"/>
          <w:color w:val="auto"/>
          <w:lang w:val="zh-CN"/>
        </w:rPr>
        <w:t>成交供应商拒绝与采购人签订合同的，采购人可以按照评审报告推荐的中标候选人名单排序，确定下一候选人为成交供应商，也可以重新开展政府采购活动。</w:t>
      </w:r>
    </w:p>
    <w:p>
      <w:pPr>
        <w:autoSpaceDE w:val="0"/>
        <w:autoSpaceDN w:val="0"/>
        <w:adjustRightInd w:val="0"/>
        <w:spacing w:line="360" w:lineRule="auto"/>
        <w:ind w:left="630" w:hanging="630" w:hangingChars="300"/>
        <w:jc w:val="left"/>
        <w:rPr>
          <w:rFonts w:asciiTheme="minorEastAsia" w:hAnsiTheme="minorEastAsia" w:eastAsiaTheme="minorEastAsia" w:cstheme="minorEastAsia"/>
          <w:color w:val="auto"/>
        </w:rPr>
      </w:pPr>
      <w:r>
        <w:rPr>
          <w:rFonts w:hint="eastAsia" w:asciiTheme="minorEastAsia" w:hAnsiTheme="minorEastAsia" w:eastAsiaTheme="minorEastAsia" w:cstheme="minorEastAsia"/>
          <w:color w:val="auto"/>
        </w:rPr>
        <w:t xml:space="preserve">29.4  </w:t>
      </w:r>
      <w:r>
        <w:rPr>
          <w:rFonts w:hint="eastAsia" w:asciiTheme="minorEastAsia" w:hAnsiTheme="minorEastAsia" w:eastAsiaTheme="minorEastAsia" w:cstheme="minorEastAsia"/>
          <w:snapToGrid w:val="0"/>
          <w:color w:val="auto"/>
          <w:kern w:val="0"/>
          <w:szCs w:val="21"/>
          <w:lang w:val="zh-CN"/>
        </w:rPr>
        <w:t>签订政府采购合同后7个工作日内，采购人应将政府采购合同副本报同级政府采购监管部门备案。</w:t>
      </w:r>
    </w:p>
    <w:p>
      <w:pPr>
        <w:tabs>
          <w:tab w:val="left" w:pos="540"/>
        </w:tabs>
        <w:autoSpaceDE w:val="0"/>
        <w:autoSpaceDN w:val="0"/>
        <w:adjustRightInd w:val="0"/>
        <w:spacing w:line="360" w:lineRule="auto"/>
        <w:ind w:left="630" w:hanging="630" w:hangingChars="300"/>
        <w:jc w:val="left"/>
        <w:rPr>
          <w:rFonts w:asciiTheme="minorEastAsia" w:hAnsiTheme="minorEastAsia" w:eastAsiaTheme="minorEastAsia" w:cstheme="minorEastAsia"/>
          <w:snapToGrid w:val="0"/>
          <w:color w:val="auto"/>
          <w:kern w:val="0"/>
          <w:szCs w:val="21"/>
          <w:lang w:val="zh-CN"/>
        </w:rPr>
      </w:pPr>
      <w:r>
        <w:rPr>
          <w:rFonts w:hint="eastAsia" w:asciiTheme="minorEastAsia" w:hAnsiTheme="minorEastAsia" w:eastAsiaTheme="minorEastAsia" w:cstheme="minorEastAsia"/>
          <w:snapToGrid w:val="0"/>
          <w:color w:val="auto"/>
          <w:kern w:val="0"/>
          <w:szCs w:val="21"/>
          <w:lang w:val="zh-CN"/>
        </w:rPr>
        <w:t xml:space="preserve">29.5 </w:t>
      </w:r>
      <w:r>
        <w:rPr>
          <w:rFonts w:hint="eastAsia" w:asciiTheme="minorEastAsia" w:hAnsiTheme="minorEastAsia" w:eastAsiaTheme="minorEastAsia" w:cstheme="minorEastAsia"/>
          <w:snapToGrid w:val="0"/>
          <w:color w:val="auto"/>
          <w:kern w:val="0"/>
          <w:szCs w:val="21"/>
        </w:rPr>
        <w:t xml:space="preserve"> </w:t>
      </w:r>
      <w:r>
        <w:rPr>
          <w:rFonts w:hint="eastAsia" w:asciiTheme="minorEastAsia" w:hAnsiTheme="minorEastAsia" w:eastAsiaTheme="minorEastAsia" w:cstheme="minorEastAsia"/>
          <w:snapToGrid w:val="0"/>
          <w:color w:val="auto"/>
          <w:kern w:val="0"/>
          <w:szCs w:val="21"/>
          <w:lang w:val="zh-CN"/>
        </w:rPr>
        <w:t>采购代理机构将配合采购人与成交供应商签订政府采购合同。采购人与成交供应商应按竞争性磋商采购文件要求和成交供应商的竞争性磋商响应文件承诺订立书面合同，不得超出竞争性磋商采购文件和成交供应商竞争性磋商响应文件的范围，也不得再行订立背离合同实质性内容的其他协议。</w:t>
      </w:r>
    </w:p>
    <w:p>
      <w:pPr>
        <w:tabs>
          <w:tab w:val="left" w:pos="540"/>
        </w:tabs>
        <w:autoSpaceDE w:val="0"/>
        <w:autoSpaceDN w:val="0"/>
        <w:adjustRightInd w:val="0"/>
        <w:spacing w:line="360" w:lineRule="auto"/>
        <w:ind w:left="630" w:hanging="630" w:hangingChars="300"/>
        <w:jc w:val="left"/>
        <w:rPr>
          <w:rFonts w:asciiTheme="minorEastAsia" w:hAnsiTheme="minorEastAsia" w:eastAsiaTheme="minorEastAsia" w:cstheme="minorEastAsia"/>
          <w:snapToGrid w:val="0"/>
          <w:color w:val="auto"/>
          <w:kern w:val="0"/>
          <w:szCs w:val="21"/>
          <w:lang w:val="zh-CN"/>
        </w:rPr>
      </w:pPr>
      <w:r>
        <w:rPr>
          <w:rFonts w:hint="eastAsia" w:asciiTheme="minorEastAsia" w:hAnsiTheme="minorEastAsia" w:eastAsiaTheme="minorEastAsia" w:cstheme="minorEastAsia"/>
          <w:snapToGrid w:val="0"/>
          <w:color w:val="auto"/>
          <w:szCs w:val="21"/>
          <w:lang w:val="zh-CN"/>
        </w:rPr>
        <w:t xml:space="preserve">29.6 </w:t>
      </w:r>
      <w:r>
        <w:rPr>
          <w:rFonts w:hint="eastAsia" w:asciiTheme="minorEastAsia" w:hAnsiTheme="minorEastAsia" w:eastAsiaTheme="minorEastAsia" w:cstheme="minorEastAsia"/>
          <w:snapToGrid w:val="0"/>
          <w:color w:val="auto"/>
          <w:szCs w:val="21"/>
        </w:rPr>
        <w:t xml:space="preserve"> </w:t>
      </w:r>
      <w:r>
        <w:rPr>
          <w:rFonts w:hint="eastAsia" w:asciiTheme="minorEastAsia" w:hAnsiTheme="minorEastAsia" w:eastAsiaTheme="minorEastAsia" w:cstheme="minorEastAsia"/>
          <w:snapToGrid w:val="0"/>
          <w:color w:val="auto"/>
          <w:szCs w:val="21"/>
          <w:lang w:val="zh-CN"/>
        </w:rPr>
        <w:t>除不可抗力等因素外，成交通知书发出后，采购人改变成交结果，或者成交供应商拒绝签订政府采购合同的，应当承担相应的法律责任。</w:t>
      </w:r>
    </w:p>
    <w:p>
      <w:pPr>
        <w:autoSpaceDE w:val="0"/>
        <w:autoSpaceDN w:val="0"/>
        <w:adjustRightInd w:val="0"/>
        <w:spacing w:line="360" w:lineRule="auto"/>
        <w:ind w:left="630" w:leftChars="300"/>
        <w:jc w:val="left"/>
        <w:rPr>
          <w:rFonts w:asciiTheme="minorEastAsia" w:hAnsiTheme="minorEastAsia" w:eastAsiaTheme="minorEastAsia" w:cstheme="minorEastAsia"/>
          <w:color w:val="auto"/>
        </w:rPr>
      </w:pPr>
      <w:r>
        <w:rPr>
          <w:rFonts w:hint="eastAsia" w:asciiTheme="minorEastAsia" w:hAnsiTheme="minorEastAsia" w:eastAsiaTheme="minorEastAsia" w:cstheme="minorEastAsia"/>
          <w:color w:val="auto"/>
        </w:rPr>
        <w:t>成交供应商拒绝签订政府采购合同的，采购人可以按照《政府采购竞争性磋商采购方式管理暂行办法》第三十三条规定的原则确定其他供应商作为成交供应商并签订政府采购合同，也可以重新开展采购活动。拒绝签订政府采购合同的成交供应商不得参加对该项目重新开展的采购活动。</w:t>
      </w:r>
    </w:p>
    <w:p>
      <w:pPr>
        <w:numPr>
          <w:ilvl w:val="1"/>
          <w:numId w:val="8"/>
        </w:numPr>
        <w:tabs>
          <w:tab w:val="left" w:pos="540"/>
          <w:tab w:val="clear" w:pos="840"/>
        </w:tabs>
        <w:spacing w:line="360" w:lineRule="auto"/>
        <w:ind w:left="632" w:hanging="632" w:hangingChars="300"/>
        <w:jc w:val="left"/>
        <w:rPr>
          <w:rFonts w:asciiTheme="minorEastAsia" w:hAnsiTheme="minorEastAsia" w:eastAsiaTheme="minorEastAsia" w:cstheme="minorEastAsia"/>
          <w:b/>
          <w:color w:val="auto"/>
          <w:szCs w:val="21"/>
          <w:lang w:val="zh-CN"/>
        </w:rPr>
      </w:pPr>
      <w:bookmarkStart w:id="92" w:name="_Toc13988"/>
      <w:bookmarkStart w:id="93" w:name="_Toc14510"/>
      <w:bookmarkStart w:id="94" w:name="_Toc4883"/>
      <w:r>
        <w:rPr>
          <w:rFonts w:hint="eastAsia" w:asciiTheme="minorEastAsia" w:hAnsiTheme="minorEastAsia" w:eastAsiaTheme="minorEastAsia" w:cstheme="minorEastAsia"/>
          <w:b/>
          <w:color w:val="auto"/>
          <w:szCs w:val="21"/>
          <w:lang w:val="zh-CN"/>
        </w:rPr>
        <w:t>质疑和投诉</w:t>
      </w:r>
      <w:bookmarkEnd w:id="92"/>
      <w:bookmarkEnd w:id="93"/>
      <w:bookmarkEnd w:id="94"/>
    </w:p>
    <w:p>
      <w:pPr>
        <w:numPr>
          <w:ilvl w:val="0"/>
          <w:numId w:val="9"/>
        </w:numPr>
        <w:tabs>
          <w:tab w:val="left" w:pos="864"/>
          <w:tab w:val="left" w:pos="1080"/>
        </w:tabs>
        <w:spacing w:line="360" w:lineRule="auto"/>
        <w:ind w:left="632" w:hanging="632" w:hangingChars="300"/>
        <w:jc w:val="left"/>
        <w:rPr>
          <w:rFonts w:asciiTheme="minorEastAsia" w:hAnsiTheme="minorEastAsia" w:eastAsiaTheme="minorEastAsia" w:cstheme="minorEastAsia"/>
          <w:b/>
          <w:color w:val="auto"/>
          <w:lang w:val="zh-CN"/>
        </w:rPr>
      </w:pPr>
      <w:r>
        <w:rPr>
          <w:rFonts w:hint="eastAsia" w:asciiTheme="minorEastAsia" w:hAnsiTheme="minorEastAsia" w:eastAsiaTheme="minorEastAsia" w:cstheme="minorEastAsia"/>
          <w:b/>
          <w:color w:val="auto"/>
          <w:lang w:val="zh-CN"/>
        </w:rPr>
        <w:t>质疑</w:t>
      </w:r>
    </w:p>
    <w:p>
      <w:pPr>
        <w:autoSpaceDE w:val="0"/>
        <w:autoSpaceDN w:val="0"/>
        <w:adjustRightInd w:val="0"/>
        <w:spacing w:line="360" w:lineRule="auto"/>
        <w:ind w:left="630" w:hanging="630" w:hangingChars="300"/>
        <w:jc w:val="left"/>
        <w:rPr>
          <w:rFonts w:ascii="宋体" w:hAnsi="宋体" w:cs="宋体"/>
          <w:snapToGrid w:val="0"/>
          <w:color w:val="auto"/>
          <w:kern w:val="0"/>
          <w:szCs w:val="21"/>
          <w:lang w:val="zh-CN"/>
        </w:rPr>
      </w:pPr>
      <w:r>
        <w:rPr>
          <w:rFonts w:hint="eastAsia" w:ascii="宋体" w:hAnsi="宋体" w:cs="宋体"/>
          <w:snapToGrid w:val="0"/>
          <w:color w:val="auto"/>
          <w:kern w:val="0"/>
          <w:szCs w:val="21"/>
          <w:lang w:val="zh-CN"/>
        </w:rPr>
        <w:t>3</w:t>
      </w:r>
      <w:r>
        <w:rPr>
          <w:rFonts w:hint="eastAsia" w:ascii="宋体" w:hAnsi="宋体" w:cs="宋体"/>
          <w:snapToGrid w:val="0"/>
          <w:color w:val="auto"/>
          <w:kern w:val="0"/>
          <w:szCs w:val="21"/>
        </w:rPr>
        <w:t>0</w:t>
      </w:r>
      <w:r>
        <w:rPr>
          <w:rFonts w:hint="eastAsia" w:ascii="宋体" w:hAnsi="宋体" w:cs="宋体"/>
          <w:snapToGrid w:val="0"/>
          <w:color w:val="auto"/>
          <w:kern w:val="0"/>
          <w:szCs w:val="21"/>
          <w:lang w:val="zh-CN"/>
        </w:rPr>
        <w:t>.1</w:t>
      </w:r>
      <w:r>
        <w:rPr>
          <w:rFonts w:hint="eastAsia" w:ascii="宋体" w:hAnsi="宋体" w:cs="宋体"/>
          <w:snapToGrid w:val="0"/>
          <w:color w:val="auto"/>
          <w:kern w:val="0"/>
          <w:szCs w:val="21"/>
        </w:rPr>
        <w:t xml:space="preserve">  </w:t>
      </w:r>
      <w:r>
        <w:rPr>
          <w:rFonts w:hint="eastAsia" w:ascii="宋体" w:hAnsi="宋体" w:cs="宋体"/>
          <w:snapToGrid w:val="0"/>
          <w:color w:val="auto"/>
          <w:kern w:val="0"/>
          <w:szCs w:val="21"/>
          <w:lang w:val="zh-CN"/>
        </w:rPr>
        <w:t>供应商认为磋商文件、磋商过程和成交结果使自己的权益受到损害的，可以在知道或者应知其权益受到损害之日起7个工作日内，以书面形式向采购人或采购代理机构提出质疑。我公司受理项目质疑部门为技术部,联系人：张梦；联系电话：027-87820788。</w:t>
      </w:r>
    </w:p>
    <w:p>
      <w:pPr>
        <w:autoSpaceDE w:val="0"/>
        <w:autoSpaceDN w:val="0"/>
        <w:adjustRightInd w:val="0"/>
        <w:spacing w:line="360" w:lineRule="auto"/>
        <w:ind w:left="630" w:hanging="630" w:hangingChars="300"/>
        <w:jc w:val="left"/>
        <w:rPr>
          <w:rFonts w:ascii="宋体" w:hAnsi="宋体" w:cs="宋体"/>
          <w:snapToGrid w:val="0"/>
          <w:color w:val="auto"/>
          <w:kern w:val="0"/>
          <w:szCs w:val="21"/>
          <w:lang w:val="zh-CN"/>
        </w:rPr>
      </w:pPr>
      <w:r>
        <w:rPr>
          <w:rFonts w:hint="eastAsia" w:ascii="宋体" w:hAnsi="宋体" w:cs="宋体"/>
          <w:snapToGrid w:val="0"/>
          <w:color w:val="auto"/>
          <w:kern w:val="0"/>
          <w:szCs w:val="21"/>
          <w:lang w:val="zh-CN"/>
        </w:rPr>
        <w:t>3</w:t>
      </w:r>
      <w:r>
        <w:rPr>
          <w:rFonts w:hint="eastAsia" w:ascii="宋体" w:hAnsi="宋体" w:cs="宋体"/>
          <w:snapToGrid w:val="0"/>
          <w:color w:val="auto"/>
          <w:kern w:val="0"/>
          <w:szCs w:val="21"/>
        </w:rPr>
        <w:t>0</w:t>
      </w:r>
      <w:r>
        <w:rPr>
          <w:rFonts w:hint="eastAsia" w:ascii="宋体" w:hAnsi="宋体" w:cs="宋体"/>
          <w:snapToGrid w:val="0"/>
          <w:color w:val="auto"/>
          <w:kern w:val="0"/>
          <w:szCs w:val="21"/>
          <w:lang w:val="zh-CN"/>
        </w:rPr>
        <w:t>.2</w:t>
      </w:r>
      <w:r>
        <w:rPr>
          <w:rFonts w:hint="eastAsia" w:ascii="宋体" w:hAnsi="宋体" w:cs="宋体"/>
          <w:snapToGrid w:val="0"/>
          <w:color w:val="auto"/>
          <w:kern w:val="0"/>
          <w:szCs w:val="21"/>
        </w:rPr>
        <w:t xml:space="preserve">  </w:t>
      </w:r>
      <w:r>
        <w:rPr>
          <w:rFonts w:hint="eastAsia" w:ascii="宋体" w:hAnsi="宋体" w:cs="宋体"/>
          <w:snapToGrid w:val="0"/>
          <w:color w:val="auto"/>
          <w:kern w:val="0"/>
          <w:szCs w:val="21"/>
          <w:lang w:val="zh-CN"/>
        </w:rPr>
        <w:t>质疑书应当包括下列主要内容：</w:t>
      </w:r>
    </w:p>
    <w:p>
      <w:pPr>
        <w:autoSpaceDE w:val="0"/>
        <w:autoSpaceDN w:val="0"/>
        <w:adjustRightInd w:val="0"/>
        <w:spacing w:line="360" w:lineRule="auto"/>
        <w:ind w:left="630" w:hanging="630" w:hangingChars="300"/>
        <w:jc w:val="left"/>
        <w:rPr>
          <w:rFonts w:ascii="宋体" w:hAnsi="宋体" w:cs="宋体"/>
          <w:snapToGrid w:val="0"/>
          <w:color w:val="auto"/>
          <w:kern w:val="0"/>
          <w:szCs w:val="21"/>
          <w:lang w:val="zh-CN"/>
        </w:rPr>
      </w:pPr>
      <w:r>
        <w:rPr>
          <w:rFonts w:hint="eastAsia" w:ascii="宋体" w:hAnsi="宋体" w:cs="宋体"/>
          <w:snapToGrid w:val="0"/>
          <w:color w:val="auto"/>
          <w:kern w:val="0"/>
          <w:szCs w:val="21"/>
          <w:lang w:val="zh-CN"/>
        </w:rPr>
        <w:t>（1）</w:t>
      </w:r>
      <w:r>
        <w:rPr>
          <w:rFonts w:hint="eastAsia" w:ascii="宋体" w:hAnsi="宋体" w:cs="宋体"/>
          <w:snapToGrid w:val="0"/>
          <w:color w:val="auto"/>
          <w:kern w:val="0"/>
          <w:szCs w:val="21"/>
        </w:rPr>
        <w:t xml:space="preserve"> </w:t>
      </w:r>
      <w:r>
        <w:rPr>
          <w:rFonts w:hint="eastAsia" w:ascii="宋体" w:hAnsi="宋体" w:cs="宋体"/>
          <w:snapToGrid w:val="0"/>
          <w:color w:val="auto"/>
          <w:kern w:val="0"/>
          <w:szCs w:val="21"/>
          <w:lang w:val="zh-CN"/>
        </w:rPr>
        <w:t>质疑人的名称、地址、联系人及联系电话等；</w:t>
      </w:r>
    </w:p>
    <w:p>
      <w:pPr>
        <w:autoSpaceDE w:val="0"/>
        <w:autoSpaceDN w:val="0"/>
        <w:adjustRightInd w:val="0"/>
        <w:spacing w:line="360" w:lineRule="auto"/>
        <w:ind w:left="630" w:hanging="630" w:hangingChars="300"/>
        <w:jc w:val="left"/>
        <w:rPr>
          <w:rFonts w:ascii="宋体" w:hAnsi="宋体" w:cs="宋体"/>
          <w:snapToGrid w:val="0"/>
          <w:color w:val="auto"/>
          <w:kern w:val="0"/>
          <w:szCs w:val="21"/>
          <w:lang w:val="zh-CN"/>
        </w:rPr>
      </w:pPr>
      <w:r>
        <w:rPr>
          <w:rFonts w:hint="eastAsia" w:ascii="宋体" w:hAnsi="宋体" w:cs="宋体"/>
          <w:snapToGrid w:val="0"/>
          <w:color w:val="auto"/>
          <w:kern w:val="0"/>
          <w:szCs w:val="21"/>
          <w:lang w:val="zh-CN"/>
        </w:rPr>
        <w:t>（2）</w:t>
      </w:r>
      <w:r>
        <w:rPr>
          <w:rFonts w:hint="eastAsia" w:ascii="宋体" w:hAnsi="宋体" w:cs="宋体"/>
          <w:snapToGrid w:val="0"/>
          <w:color w:val="auto"/>
          <w:kern w:val="0"/>
          <w:szCs w:val="21"/>
        </w:rPr>
        <w:t xml:space="preserve"> </w:t>
      </w:r>
      <w:r>
        <w:rPr>
          <w:rFonts w:hint="eastAsia" w:ascii="宋体" w:hAnsi="宋体" w:cs="宋体"/>
          <w:snapToGrid w:val="0"/>
          <w:color w:val="auto"/>
          <w:kern w:val="0"/>
          <w:szCs w:val="21"/>
          <w:lang w:val="zh-CN"/>
        </w:rPr>
        <w:t>被质疑人的名称、地址、联系人及联系电话等；</w:t>
      </w:r>
    </w:p>
    <w:p>
      <w:pPr>
        <w:autoSpaceDE w:val="0"/>
        <w:autoSpaceDN w:val="0"/>
        <w:adjustRightInd w:val="0"/>
        <w:spacing w:line="360" w:lineRule="auto"/>
        <w:ind w:left="630" w:hanging="630" w:hangingChars="300"/>
        <w:jc w:val="left"/>
        <w:rPr>
          <w:rFonts w:ascii="宋体" w:hAnsi="宋体" w:cs="宋体"/>
          <w:snapToGrid w:val="0"/>
          <w:color w:val="auto"/>
          <w:kern w:val="0"/>
          <w:szCs w:val="21"/>
          <w:lang w:val="zh-CN"/>
        </w:rPr>
      </w:pPr>
      <w:r>
        <w:rPr>
          <w:rFonts w:hint="eastAsia" w:ascii="宋体" w:hAnsi="宋体" w:cs="宋体"/>
          <w:snapToGrid w:val="0"/>
          <w:color w:val="auto"/>
          <w:kern w:val="0"/>
          <w:szCs w:val="21"/>
          <w:lang w:val="zh-CN"/>
        </w:rPr>
        <w:t>（3）</w:t>
      </w:r>
      <w:r>
        <w:rPr>
          <w:rFonts w:hint="eastAsia" w:ascii="宋体" w:hAnsi="宋体" w:cs="宋体"/>
          <w:snapToGrid w:val="0"/>
          <w:color w:val="auto"/>
          <w:kern w:val="0"/>
          <w:szCs w:val="21"/>
        </w:rPr>
        <w:t xml:space="preserve"> </w:t>
      </w:r>
      <w:r>
        <w:rPr>
          <w:rFonts w:hint="eastAsia" w:ascii="宋体" w:hAnsi="宋体" w:cs="宋体"/>
          <w:snapToGrid w:val="0"/>
          <w:color w:val="auto"/>
          <w:kern w:val="0"/>
          <w:szCs w:val="21"/>
          <w:lang w:val="zh-CN"/>
        </w:rPr>
        <w:t>质疑项目名称及编号、质疑事项和明确的请求；</w:t>
      </w:r>
    </w:p>
    <w:p>
      <w:pPr>
        <w:autoSpaceDE w:val="0"/>
        <w:autoSpaceDN w:val="0"/>
        <w:adjustRightInd w:val="0"/>
        <w:spacing w:line="360" w:lineRule="auto"/>
        <w:ind w:left="630" w:hanging="630" w:hangingChars="300"/>
        <w:jc w:val="left"/>
        <w:rPr>
          <w:rFonts w:ascii="宋体" w:hAnsi="宋体" w:cs="宋体"/>
          <w:snapToGrid w:val="0"/>
          <w:color w:val="auto"/>
          <w:kern w:val="0"/>
          <w:szCs w:val="21"/>
          <w:lang w:val="zh-CN"/>
        </w:rPr>
      </w:pPr>
      <w:r>
        <w:rPr>
          <w:rFonts w:hint="eastAsia" w:ascii="宋体" w:hAnsi="宋体" w:cs="宋体"/>
          <w:snapToGrid w:val="0"/>
          <w:color w:val="auto"/>
          <w:kern w:val="0"/>
          <w:szCs w:val="21"/>
          <w:lang w:val="zh-CN"/>
        </w:rPr>
        <w:t>（4）</w:t>
      </w:r>
      <w:r>
        <w:rPr>
          <w:rFonts w:hint="eastAsia" w:ascii="宋体" w:hAnsi="宋体" w:cs="宋体"/>
          <w:snapToGrid w:val="0"/>
          <w:color w:val="auto"/>
          <w:kern w:val="0"/>
          <w:szCs w:val="21"/>
        </w:rPr>
        <w:t xml:space="preserve"> </w:t>
      </w:r>
      <w:r>
        <w:rPr>
          <w:rFonts w:hint="eastAsia" w:ascii="宋体" w:hAnsi="宋体" w:cs="宋体"/>
          <w:snapToGrid w:val="0"/>
          <w:color w:val="auto"/>
          <w:kern w:val="0"/>
          <w:szCs w:val="21"/>
          <w:lang w:val="zh-CN"/>
        </w:rPr>
        <w:t>质疑事项的事实根据、法律依据及其他必要的证明材料；质疑人提供的证明材料属于其他供应商投标（响应）文件未公开内容的，应当提供书面材料证明其合法来源；</w:t>
      </w:r>
    </w:p>
    <w:p>
      <w:pPr>
        <w:autoSpaceDE w:val="0"/>
        <w:autoSpaceDN w:val="0"/>
        <w:adjustRightInd w:val="0"/>
        <w:spacing w:line="360" w:lineRule="auto"/>
        <w:ind w:left="630" w:hanging="630" w:hangingChars="300"/>
        <w:jc w:val="left"/>
        <w:rPr>
          <w:rFonts w:ascii="宋体" w:hAnsi="宋体" w:cs="宋体"/>
          <w:snapToGrid w:val="0"/>
          <w:color w:val="auto"/>
          <w:kern w:val="0"/>
          <w:szCs w:val="21"/>
          <w:lang w:val="zh-CN"/>
        </w:rPr>
      </w:pPr>
      <w:r>
        <w:rPr>
          <w:rFonts w:hint="eastAsia" w:ascii="宋体" w:hAnsi="宋体" w:cs="宋体"/>
          <w:snapToGrid w:val="0"/>
          <w:color w:val="auto"/>
          <w:kern w:val="0"/>
          <w:szCs w:val="21"/>
          <w:lang w:val="zh-CN"/>
        </w:rPr>
        <w:t>（5）</w:t>
      </w:r>
      <w:r>
        <w:rPr>
          <w:rFonts w:hint="eastAsia" w:ascii="宋体" w:hAnsi="宋体" w:cs="宋体"/>
          <w:snapToGrid w:val="0"/>
          <w:color w:val="auto"/>
          <w:kern w:val="0"/>
          <w:szCs w:val="21"/>
        </w:rPr>
        <w:t xml:space="preserve"> </w:t>
      </w:r>
      <w:r>
        <w:rPr>
          <w:rFonts w:hint="eastAsia" w:ascii="宋体" w:hAnsi="宋体" w:cs="宋体"/>
          <w:snapToGrid w:val="0"/>
          <w:color w:val="auto"/>
          <w:kern w:val="0"/>
          <w:szCs w:val="21"/>
          <w:lang w:val="zh-CN"/>
        </w:rPr>
        <w:t>提出质疑的日期；</w:t>
      </w:r>
    </w:p>
    <w:p>
      <w:pPr>
        <w:autoSpaceDE w:val="0"/>
        <w:autoSpaceDN w:val="0"/>
        <w:adjustRightInd w:val="0"/>
        <w:spacing w:line="360" w:lineRule="auto"/>
        <w:ind w:left="630" w:hanging="630" w:hangingChars="300"/>
        <w:jc w:val="left"/>
        <w:rPr>
          <w:rFonts w:ascii="宋体" w:hAnsi="宋体" w:cs="宋体"/>
          <w:snapToGrid w:val="0"/>
          <w:color w:val="auto"/>
          <w:kern w:val="0"/>
          <w:szCs w:val="21"/>
          <w:lang w:val="zh-CN"/>
        </w:rPr>
      </w:pPr>
      <w:r>
        <w:rPr>
          <w:rFonts w:hint="eastAsia" w:ascii="宋体" w:hAnsi="宋体" w:cs="宋体"/>
          <w:snapToGrid w:val="0"/>
          <w:color w:val="auto"/>
          <w:kern w:val="0"/>
          <w:szCs w:val="21"/>
          <w:lang w:val="zh-CN"/>
        </w:rPr>
        <w:t>（6）</w:t>
      </w:r>
      <w:r>
        <w:rPr>
          <w:rFonts w:hint="eastAsia" w:ascii="宋体" w:hAnsi="宋体" w:cs="宋体"/>
          <w:snapToGrid w:val="0"/>
          <w:color w:val="auto"/>
          <w:kern w:val="0"/>
          <w:szCs w:val="21"/>
        </w:rPr>
        <w:t xml:space="preserve"> </w:t>
      </w:r>
      <w:r>
        <w:rPr>
          <w:rFonts w:hint="eastAsia" w:ascii="宋体" w:hAnsi="宋体" w:cs="宋体"/>
          <w:snapToGrid w:val="0"/>
          <w:color w:val="auto"/>
          <w:kern w:val="0"/>
          <w:szCs w:val="21"/>
          <w:lang w:val="zh-CN"/>
        </w:rPr>
        <w:t>质疑人的署名及签章（质疑人为自然人的，应当由本人签字；质疑人为法人或者其他组织的，应当由法定代表人或者主要负责人签字盖章并加盖公章）；</w:t>
      </w:r>
    </w:p>
    <w:p>
      <w:pPr>
        <w:autoSpaceDE w:val="0"/>
        <w:autoSpaceDN w:val="0"/>
        <w:adjustRightInd w:val="0"/>
        <w:spacing w:line="360" w:lineRule="auto"/>
        <w:ind w:left="630" w:hanging="630" w:hangingChars="300"/>
        <w:jc w:val="left"/>
        <w:rPr>
          <w:rFonts w:ascii="宋体" w:hAnsi="宋体" w:cs="宋体"/>
          <w:snapToGrid w:val="0"/>
          <w:color w:val="auto"/>
          <w:kern w:val="0"/>
          <w:szCs w:val="21"/>
          <w:lang w:val="zh-CN"/>
        </w:rPr>
      </w:pPr>
      <w:r>
        <w:rPr>
          <w:rFonts w:hint="eastAsia" w:ascii="宋体" w:hAnsi="宋体" w:cs="宋体"/>
          <w:snapToGrid w:val="0"/>
          <w:color w:val="auto"/>
          <w:kern w:val="0"/>
          <w:szCs w:val="21"/>
          <w:lang w:val="zh-CN"/>
        </w:rPr>
        <w:t>（7）</w:t>
      </w:r>
      <w:r>
        <w:rPr>
          <w:rFonts w:hint="eastAsia" w:ascii="宋体" w:hAnsi="宋体" w:cs="宋体"/>
          <w:snapToGrid w:val="0"/>
          <w:color w:val="auto"/>
          <w:kern w:val="0"/>
          <w:szCs w:val="21"/>
        </w:rPr>
        <w:t xml:space="preserve"> </w:t>
      </w:r>
      <w:r>
        <w:rPr>
          <w:rFonts w:hint="eastAsia" w:ascii="宋体" w:hAnsi="宋体" w:cs="宋体"/>
          <w:snapToGrid w:val="0"/>
          <w:color w:val="auto"/>
          <w:kern w:val="0"/>
          <w:szCs w:val="21"/>
          <w:lang w:val="zh-CN"/>
        </w:rPr>
        <w:t>法人授权委托书（质疑人或法人委托代理人办理质疑事务的，应当提供授权委托书，授权委托书应当载明委托代理的具体权限和事项）。</w:t>
      </w:r>
    </w:p>
    <w:p>
      <w:pPr>
        <w:autoSpaceDE w:val="0"/>
        <w:autoSpaceDN w:val="0"/>
        <w:adjustRightInd w:val="0"/>
        <w:spacing w:line="360" w:lineRule="auto"/>
        <w:ind w:left="630" w:leftChars="300"/>
        <w:jc w:val="left"/>
        <w:rPr>
          <w:rFonts w:ascii="宋体" w:hAnsi="宋体" w:cs="宋体"/>
          <w:snapToGrid w:val="0"/>
          <w:color w:val="auto"/>
          <w:kern w:val="0"/>
          <w:szCs w:val="21"/>
          <w:lang w:val="zh-CN"/>
        </w:rPr>
      </w:pPr>
      <w:r>
        <w:rPr>
          <w:rFonts w:hint="eastAsia" w:ascii="宋体" w:hAnsi="宋体" w:cs="宋体"/>
          <w:snapToGrid w:val="0"/>
          <w:color w:val="auto"/>
          <w:kern w:val="0"/>
          <w:szCs w:val="21"/>
          <w:lang w:val="zh-CN"/>
        </w:rPr>
        <w:t>质疑书不符合上述要求的，采购人或代理机构应书面告知具体事项，质疑人应当按要求进行修改或补充，并在质疑有效期限内提交。</w:t>
      </w:r>
    </w:p>
    <w:p>
      <w:pPr>
        <w:numPr>
          <w:ilvl w:val="0"/>
          <w:numId w:val="9"/>
        </w:numPr>
        <w:tabs>
          <w:tab w:val="left" w:pos="864"/>
          <w:tab w:val="left" w:pos="1080"/>
        </w:tabs>
        <w:spacing w:line="360" w:lineRule="auto"/>
        <w:ind w:hanging="540"/>
        <w:outlineLvl w:val="1"/>
        <w:rPr>
          <w:rFonts w:asciiTheme="minorEastAsia" w:hAnsiTheme="minorEastAsia" w:eastAsiaTheme="minorEastAsia" w:cstheme="minorEastAsia"/>
          <w:b/>
          <w:color w:val="auto"/>
          <w:lang w:val="zh-CN"/>
        </w:rPr>
      </w:pPr>
      <w:bookmarkStart w:id="95" w:name="_Toc20387"/>
      <w:bookmarkStart w:id="96" w:name="_Toc5844"/>
      <w:r>
        <w:rPr>
          <w:rFonts w:hint="eastAsia" w:asciiTheme="minorEastAsia" w:hAnsiTheme="minorEastAsia" w:eastAsiaTheme="minorEastAsia" w:cstheme="minorEastAsia"/>
          <w:b/>
          <w:color w:val="auto"/>
          <w:lang w:val="zh-CN"/>
        </w:rPr>
        <w:t>质疑回复</w:t>
      </w:r>
      <w:bookmarkEnd w:id="95"/>
      <w:bookmarkEnd w:id="96"/>
    </w:p>
    <w:p>
      <w:pPr>
        <w:autoSpaceDE w:val="0"/>
        <w:autoSpaceDN w:val="0"/>
        <w:adjustRightInd w:val="0"/>
        <w:spacing w:line="360" w:lineRule="auto"/>
        <w:ind w:left="630" w:hanging="630" w:hangingChars="300"/>
        <w:jc w:val="left"/>
        <w:rPr>
          <w:rFonts w:ascii="宋体" w:hAnsi="宋体" w:cs="宋体"/>
          <w:snapToGrid w:val="0"/>
          <w:color w:val="auto"/>
          <w:kern w:val="0"/>
          <w:szCs w:val="21"/>
          <w:lang w:val="zh-CN"/>
        </w:rPr>
      </w:pPr>
      <w:r>
        <w:rPr>
          <w:rFonts w:hint="eastAsia" w:ascii="宋体" w:hAnsi="宋体" w:cs="宋体"/>
          <w:snapToGrid w:val="0"/>
          <w:color w:val="auto"/>
          <w:kern w:val="0"/>
          <w:szCs w:val="21"/>
          <w:lang w:val="zh-CN"/>
        </w:rPr>
        <w:t>3</w:t>
      </w:r>
      <w:r>
        <w:rPr>
          <w:rFonts w:hint="eastAsia" w:ascii="宋体" w:hAnsi="宋体" w:cs="宋体"/>
          <w:snapToGrid w:val="0"/>
          <w:color w:val="auto"/>
          <w:kern w:val="0"/>
          <w:szCs w:val="21"/>
        </w:rPr>
        <w:t>1</w:t>
      </w:r>
      <w:r>
        <w:rPr>
          <w:rFonts w:hint="eastAsia" w:ascii="宋体" w:hAnsi="宋体" w:cs="宋体"/>
          <w:snapToGrid w:val="0"/>
          <w:color w:val="auto"/>
          <w:kern w:val="0"/>
          <w:szCs w:val="21"/>
          <w:lang w:val="zh-CN"/>
        </w:rPr>
        <w:t>.1</w:t>
      </w:r>
      <w:r>
        <w:rPr>
          <w:rFonts w:hint="eastAsia" w:ascii="宋体" w:hAnsi="宋体" w:cs="宋体"/>
          <w:snapToGrid w:val="0"/>
          <w:color w:val="auto"/>
          <w:kern w:val="0"/>
          <w:szCs w:val="21"/>
        </w:rPr>
        <w:t xml:space="preserve">  </w:t>
      </w:r>
      <w:r>
        <w:rPr>
          <w:rFonts w:hint="eastAsia" w:ascii="宋体" w:hAnsi="宋体" w:cs="宋体"/>
          <w:snapToGrid w:val="0"/>
          <w:color w:val="auto"/>
          <w:kern w:val="0"/>
          <w:szCs w:val="21"/>
          <w:lang w:val="zh-CN"/>
        </w:rPr>
        <w:t>采购人或采购代理机构应当在收到供应商的书面质疑后7个工作日内作出答复，并以书面形式通知质疑供应商和其他有关供应商，但答复的内容不得涉及商业秘密。</w:t>
      </w:r>
    </w:p>
    <w:p>
      <w:pPr>
        <w:autoSpaceDE w:val="0"/>
        <w:autoSpaceDN w:val="0"/>
        <w:adjustRightInd w:val="0"/>
        <w:spacing w:line="360" w:lineRule="auto"/>
        <w:jc w:val="left"/>
        <w:rPr>
          <w:rFonts w:ascii="宋体" w:hAnsi="宋体" w:cs="宋体"/>
          <w:snapToGrid w:val="0"/>
          <w:color w:val="auto"/>
          <w:kern w:val="0"/>
          <w:szCs w:val="21"/>
          <w:lang w:val="zh-CN"/>
        </w:rPr>
      </w:pPr>
      <w:r>
        <w:rPr>
          <w:rFonts w:hint="eastAsia" w:ascii="宋体" w:hAnsi="宋体" w:cs="宋体"/>
          <w:snapToGrid w:val="0"/>
          <w:color w:val="auto"/>
          <w:kern w:val="0"/>
          <w:szCs w:val="21"/>
          <w:lang w:val="zh-CN"/>
        </w:rPr>
        <w:t>3</w:t>
      </w:r>
      <w:r>
        <w:rPr>
          <w:rFonts w:hint="eastAsia" w:ascii="宋体" w:hAnsi="宋体" w:cs="宋体"/>
          <w:snapToGrid w:val="0"/>
          <w:color w:val="auto"/>
          <w:kern w:val="0"/>
          <w:szCs w:val="21"/>
        </w:rPr>
        <w:t>1</w:t>
      </w:r>
      <w:r>
        <w:rPr>
          <w:rFonts w:hint="eastAsia" w:ascii="宋体" w:hAnsi="宋体" w:cs="宋体"/>
          <w:snapToGrid w:val="0"/>
          <w:color w:val="auto"/>
          <w:kern w:val="0"/>
          <w:szCs w:val="21"/>
          <w:lang w:val="zh-CN"/>
        </w:rPr>
        <w:t>.2</w:t>
      </w:r>
      <w:r>
        <w:rPr>
          <w:rFonts w:hint="eastAsia" w:ascii="宋体" w:hAnsi="宋体" w:cs="宋体"/>
          <w:snapToGrid w:val="0"/>
          <w:color w:val="auto"/>
          <w:kern w:val="0"/>
          <w:szCs w:val="21"/>
        </w:rPr>
        <w:t xml:space="preserve">  </w:t>
      </w:r>
      <w:r>
        <w:rPr>
          <w:rFonts w:hint="eastAsia" w:ascii="宋体" w:hAnsi="宋体" w:cs="宋体"/>
          <w:snapToGrid w:val="0"/>
          <w:color w:val="auto"/>
          <w:kern w:val="0"/>
          <w:szCs w:val="21"/>
          <w:lang w:val="zh-CN"/>
        </w:rPr>
        <w:t>质疑答复应当包括下列内容：</w:t>
      </w:r>
    </w:p>
    <w:p>
      <w:pPr>
        <w:autoSpaceDE w:val="0"/>
        <w:autoSpaceDN w:val="0"/>
        <w:adjustRightInd w:val="0"/>
        <w:spacing w:line="360" w:lineRule="auto"/>
        <w:jc w:val="left"/>
        <w:rPr>
          <w:rFonts w:ascii="宋体" w:hAnsi="宋体" w:cs="宋体"/>
          <w:snapToGrid w:val="0"/>
          <w:color w:val="auto"/>
          <w:kern w:val="0"/>
          <w:szCs w:val="21"/>
          <w:lang w:val="zh-CN"/>
        </w:rPr>
      </w:pPr>
      <w:r>
        <w:rPr>
          <w:rFonts w:hint="eastAsia" w:ascii="宋体" w:hAnsi="宋体" w:cs="宋体"/>
          <w:snapToGrid w:val="0"/>
          <w:color w:val="auto"/>
          <w:kern w:val="0"/>
          <w:szCs w:val="21"/>
          <w:lang w:val="zh-CN"/>
        </w:rPr>
        <w:t>（1）质疑人的名称、地址、联系人及联系电话；</w:t>
      </w:r>
    </w:p>
    <w:p>
      <w:pPr>
        <w:autoSpaceDE w:val="0"/>
        <w:autoSpaceDN w:val="0"/>
        <w:adjustRightInd w:val="0"/>
        <w:spacing w:line="360" w:lineRule="auto"/>
        <w:jc w:val="left"/>
        <w:rPr>
          <w:rFonts w:ascii="宋体" w:hAnsi="宋体" w:cs="宋体"/>
          <w:snapToGrid w:val="0"/>
          <w:color w:val="auto"/>
          <w:kern w:val="0"/>
          <w:szCs w:val="21"/>
          <w:lang w:val="zh-CN"/>
        </w:rPr>
      </w:pPr>
      <w:r>
        <w:rPr>
          <w:rFonts w:hint="eastAsia" w:ascii="宋体" w:hAnsi="宋体" w:cs="宋体"/>
          <w:snapToGrid w:val="0"/>
          <w:color w:val="auto"/>
          <w:kern w:val="0"/>
          <w:szCs w:val="21"/>
          <w:lang w:val="zh-CN"/>
        </w:rPr>
        <w:t>（2）采购人或采购代理机构（委托项目一并列出）的名称、地址、联系人及联系电话；</w:t>
      </w:r>
    </w:p>
    <w:p>
      <w:pPr>
        <w:autoSpaceDE w:val="0"/>
        <w:autoSpaceDN w:val="0"/>
        <w:adjustRightInd w:val="0"/>
        <w:spacing w:line="360" w:lineRule="auto"/>
        <w:jc w:val="left"/>
        <w:rPr>
          <w:rFonts w:ascii="宋体" w:hAnsi="宋体" w:cs="宋体"/>
          <w:snapToGrid w:val="0"/>
          <w:color w:val="auto"/>
          <w:kern w:val="0"/>
          <w:szCs w:val="21"/>
          <w:lang w:val="zh-CN"/>
        </w:rPr>
      </w:pPr>
      <w:r>
        <w:rPr>
          <w:rFonts w:hint="eastAsia" w:ascii="宋体" w:hAnsi="宋体" w:cs="宋体"/>
          <w:snapToGrid w:val="0"/>
          <w:color w:val="auto"/>
          <w:kern w:val="0"/>
          <w:szCs w:val="21"/>
          <w:lang w:val="zh-CN"/>
        </w:rPr>
        <w:t>（3）受理质疑的日期、质疑项目名称及编号、质疑事项；</w:t>
      </w:r>
    </w:p>
    <w:p>
      <w:pPr>
        <w:autoSpaceDE w:val="0"/>
        <w:autoSpaceDN w:val="0"/>
        <w:adjustRightInd w:val="0"/>
        <w:spacing w:line="360" w:lineRule="auto"/>
        <w:jc w:val="left"/>
        <w:rPr>
          <w:rFonts w:ascii="宋体" w:hAnsi="宋体" w:cs="宋体"/>
          <w:snapToGrid w:val="0"/>
          <w:color w:val="auto"/>
          <w:kern w:val="0"/>
          <w:szCs w:val="21"/>
          <w:lang w:val="zh-CN"/>
        </w:rPr>
      </w:pPr>
      <w:r>
        <w:rPr>
          <w:rFonts w:hint="eastAsia" w:ascii="宋体" w:hAnsi="宋体" w:cs="宋体"/>
          <w:snapToGrid w:val="0"/>
          <w:color w:val="auto"/>
          <w:kern w:val="0"/>
          <w:szCs w:val="21"/>
          <w:lang w:val="zh-CN"/>
        </w:rPr>
        <w:t>（4）质疑事项答复的具体情况及事实根据、法律依据；</w:t>
      </w:r>
    </w:p>
    <w:p>
      <w:pPr>
        <w:autoSpaceDE w:val="0"/>
        <w:autoSpaceDN w:val="0"/>
        <w:adjustRightInd w:val="0"/>
        <w:spacing w:line="360" w:lineRule="auto"/>
        <w:jc w:val="left"/>
        <w:rPr>
          <w:rFonts w:ascii="宋体" w:hAnsi="宋体" w:cs="宋体"/>
          <w:snapToGrid w:val="0"/>
          <w:color w:val="auto"/>
          <w:kern w:val="0"/>
          <w:szCs w:val="21"/>
          <w:lang w:val="zh-CN"/>
        </w:rPr>
      </w:pPr>
      <w:r>
        <w:rPr>
          <w:rFonts w:hint="eastAsia" w:ascii="宋体" w:hAnsi="宋体" w:cs="宋体"/>
          <w:snapToGrid w:val="0"/>
          <w:color w:val="auto"/>
          <w:kern w:val="0"/>
          <w:szCs w:val="21"/>
          <w:lang w:val="zh-CN"/>
        </w:rPr>
        <w:t>（5）告知质疑人依法投诉的权利和投诉方式；</w:t>
      </w:r>
    </w:p>
    <w:p>
      <w:pPr>
        <w:autoSpaceDE w:val="0"/>
        <w:autoSpaceDN w:val="0"/>
        <w:adjustRightInd w:val="0"/>
        <w:spacing w:line="360" w:lineRule="auto"/>
        <w:jc w:val="left"/>
        <w:rPr>
          <w:rFonts w:ascii="宋体" w:hAnsi="宋体" w:cs="宋体"/>
          <w:snapToGrid w:val="0"/>
          <w:color w:val="auto"/>
          <w:kern w:val="0"/>
          <w:szCs w:val="21"/>
          <w:lang w:val="zh-CN"/>
        </w:rPr>
      </w:pPr>
      <w:r>
        <w:rPr>
          <w:rFonts w:hint="eastAsia" w:ascii="宋体" w:hAnsi="宋体" w:cs="宋体"/>
          <w:snapToGrid w:val="0"/>
          <w:color w:val="auto"/>
          <w:kern w:val="0"/>
          <w:szCs w:val="21"/>
          <w:lang w:val="zh-CN"/>
        </w:rPr>
        <w:t>（6）质疑答复日期。</w:t>
      </w:r>
    </w:p>
    <w:p>
      <w:pPr>
        <w:numPr>
          <w:ilvl w:val="0"/>
          <w:numId w:val="9"/>
        </w:numPr>
        <w:tabs>
          <w:tab w:val="left" w:pos="864"/>
          <w:tab w:val="left" w:pos="1080"/>
        </w:tabs>
        <w:spacing w:line="360" w:lineRule="auto"/>
        <w:ind w:hanging="540"/>
        <w:outlineLvl w:val="1"/>
        <w:rPr>
          <w:rFonts w:asciiTheme="minorEastAsia" w:hAnsiTheme="minorEastAsia" w:eastAsiaTheme="minorEastAsia" w:cstheme="minorEastAsia"/>
          <w:b/>
          <w:color w:val="auto"/>
          <w:lang w:val="zh-CN"/>
        </w:rPr>
      </w:pPr>
      <w:bookmarkStart w:id="97" w:name="_Toc459"/>
      <w:bookmarkStart w:id="98" w:name="_Toc26015"/>
      <w:r>
        <w:rPr>
          <w:rFonts w:hint="eastAsia" w:asciiTheme="minorEastAsia" w:hAnsiTheme="minorEastAsia" w:eastAsiaTheme="minorEastAsia" w:cstheme="minorEastAsia"/>
          <w:b/>
          <w:color w:val="auto"/>
          <w:lang w:val="zh-CN"/>
        </w:rPr>
        <w:t>投诉</w:t>
      </w:r>
      <w:bookmarkEnd w:id="97"/>
      <w:bookmarkEnd w:id="98"/>
    </w:p>
    <w:p>
      <w:pPr>
        <w:autoSpaceDE w:val="0"/>
        <w:autoSpaceDN w:val="0"/>
        <w:adjustRightInd w:val="0"/>
        <w:spacing w:line="360" w:lineRule="auto"/>
        <w:ind w:left="630" w:hanging="630" w:hangingChars="300"/>
        <w:jc w:val="left"/>
        <w:rPr>
          <w:rFonts w:ascii="宋体" w:hAnsi="宋体" w:cs="宋体"/>
          <w:snapToGrid w:val="0"/>
          <w:color w:val="auto"/>
          <w:kern w:val="0"/>
          <w:szCs w:val="21"/>
          <w:lang w:val="zh-CN"/>
        </w:rPr>
      </w:pPr>
      <w:r>
        <w:rPr>
          <w:rFonts w:hint="eastAsia" w:ascii="宋体" w:hAnsi="宋体" w:cs="宋体"/>
          <w:snapToGrid w:val="0"/>
          <w:color w:val="auto"/>
          <w:kern w:val="0"/>
          <w:szCs w:val="21"/>
          <w:lang w:val="zh-CN"/>
        </w:rPr>
        <w:t>3</w:t>
      </w:r>
      <w:r>
        <w:rPr>
          <w:rFonts w:hint="eastAsia" w:ascii="宋体" w:hAnsi="宋体" w:cs="宋体"/>
          <w:snapToGrid w:val="0"/>
          <w:color w:val="auto"/>
          <w:kern w:val="0"/>
          <w:szCs w:val="21"/>
        </w:rPr>
        <w:t>2</w:t>
      </w:r>
      <w:r>
        <w:rPr>
          <w:rFonts w:hint="eastAsia" w:ascii="宋体" w:hAnsi="宋体" w:cs="宋体"/>
          <w:snapToGrid w:val="0"/>
          <w:color w:val="auto"/>
          <w:kern w:val="0"/>
          <w:szCs w:val="21"/>
          <w:lang w:val="zh-CN"/>
        </w:rPr>
        <w:t>.1</w:t>
      </w:r>
      <w:r>
        <w:rPr>
          <w:rFonts w:hint="eastAsia" w:ascii="宋体" w:hAnsi="宋体" w:cs="宋体"/>
          <w:snapToGrid w:val="0"/>
          <w:color w:val="auto"/>
          <w:kern w:val="0"/>
          <w:szCs w:val="21"/>
        </w:rPr>
        <w:t xml:space="preserve">  </w:t>
      </w:r>
      <w:r>
        <w:rPr>
          <w:rFonts w:hint="eastAsia" w:ascii="宋体" w:hAnsi="宋体" w:cs="宋体"/>
          <w:snapToGrid w:val="0"/>
          <w:color w:val="auto"/>
          <w:kern w:val="0"/>
          <w:szCs w:val="21"/>
          <w:lang w:val="zh-CN"/>
        </w:rPr>
        <w:t>质疑供应商对采购人、采购代理机构的答复不满意或者采购人、采购代理机构未在规定的时间内作出答复的，可以在答复期满后15个工作日内向同级政府采购监督管理部门投诉。供应商投诉应当有明确的请求和必要的证明材料，且投诉的事项不得超出已质疑事项的范围。</w:t>
      </w:r>
    </w:p>
    <w:p>
      <w:pPr>
        <w:autoSpaceDE w:val="0"/>
        <w:autoSpaceDN w:val="0"/>
        <w:adjustRightInd w:val="0"/>
        <w:spacing w:line="360" w:lineRule="auto"/>
        <w:ind w:left="630" w:hanging="630" w:hangingChars="300"/>
        <w:jc w:val="left"/>
        <w:rPr>
          <w:rFonts w:ascii="宋体" w:hAnsi="宋体" w:cs="宋体"/>
          <w:snapToGrid w:val="0"/>
          <w:color w:val="auto"/>
          <w:kern w:val="0"/>
          <w:szCs w:val="21"/>
          <w:lang w:val="zh-CN"/>
        </w:rPr>
      </w:pPr>
      <w:r>
        <w:rPr>
          <w:rFonts w:hint="eastAsia" w:ascii="宋体" w:hAnsi="宋体" w:cs="宋体"/>
          <w:snapToGrid w:val="0"/>
          <w:color w:val="auto"/>
          <w:kern w:val="0"/>
          <w:szCs w:val="21"/>
          <w:lang w:val="zh-CN"/>
        </w:rPr>
        <w:t>3</w:t>
      </w:r>
      <w:r>
        <w:rPr>
          <w:rFonts w:hint="eastAsia" w:ascii="宋体" w:hAnsi="宋体" w:cs="宋体"/>
          <w:snapToGrid w:val="0"/>
          <w:color w:val="auto"/>
          <w:kern w:val="0"/>
          <w:szCs w:val="21"/>
        </w:rPr>
        <w:t>2</w:t>
      </w:r>
      <w:r>
        <w:rPr>
          <w:rFonts w:hint="eastAsia" w:ascii="宋体" w:hAnsi="宋体" w:cs="宋体"/>
          <w:snapToGrid w:val="0"/>
          <w:color w:val="auto"/>
          <w:kern w:val="0"/>
          <w:szCs w:val="21"/>
          <w:lang w:val="zh-CN"/>
        </w:rPr>
        <w:t>.2</w:t>
      </w:r>
      <w:r>
        <w:rPr>
          <w:rFonts w:hint="eastAsia" w:ascii="宋体" w:hAnsi="宋体" w:cs="宋体"/>
          <w:snapToGrid w:val="0"/>
          <w:color w:val="auto"/>
          <w:kern w:val="0"/>
          <w:szCs w:val="21"/>
        </w:rPr>
        <w:t xml:space="preserve">  </w:t>
      </w:r>
      <w:r>
        <w:rPr>
          <w:rFonts w:hint="eastAsia" w:ascii="宋体" w:hAnsi="宋体" w:cs="宋体"/>
          <w:snapToGrid w:val="0"/>
          <w:color w:val="auto"/>
          <w:kern w:val="0"/>
          <w:szCs w:val="21"/>
          <w:lang w:val="zh-CN"/>
        </w:rPr>
        <w:t>政府采购监督管理部门应当在收到投诉后30个工作日内，对投诉事项作出处理决定，并以书面形式通知投诉人和与投诉事项有关的当事人。财政部门处理投诉事项，需要检验、检测、鉴定、专家评审以及需要投诉人补正材料的，所需时间不计算在投诉处理期限内。</w:t>
      </w:r>
    </w:p>
    <w:p>
      <w:pPr>
        <w:numPr>
          <w:ilvl w:val="1"/>
          <w:numId w:val="8"/>
        </w:numPr>
        <w:tabs>
          <w:tab w:val="left" w:pos="540"/>
          <w:tab w:val="clear" w:pos="840"/>
        </w:tabs>
        <w:spacing w:line="360" w:lineRule="auto"/>
        <w:ind w:left="540" w:hanging="540"/>
        <w:outlineLvl w:val="1"/>
        <w:rPr>
          <w:rFonts w:asciiTheme="minorEastAsia" w:hAnsiTheme="minorEastAsia" w:eastAsiaTheme="minorEastAsia" w:cstheme="minorEastAsia"/>
          <w:b/>
          <w:color w:val="auto"/>
          <w:szCs w:val="21"/>
          <w:lang w:val="zh-CN"/>
        </w:rPr>
      </w:pPr>
      <w:bookmarkStart w:id="99" w:name="_Toc5571"/>
      <w:bookmarkStart w:id="100" w:name="_Toc28705"/>
      <w:bookmarkStart w:id="101" w:name="_Toc14767"/>
      <w:bookmarkStart w:id="102" w:name="_Toc8349"/>
      <w:bookmarkStart w:id="103" w:name="_Toc30010"/>
      <w:r>
        <w:rPr>
          <w:rFonts w:hint="eastAsia" w:asciiTheme="minorEastAsia" w:hAnsiTheme="minorEastAsia" w:eastAsiaTheme="minorEastAsia" w:cstheme="minorEastAsia"/>
          <w:b/>
          <w:color w:val="auto"/>
          <w:szCs w:val="21"/>
          <w:lang w:val="zh-CN"/>
        </w:rPr>
        <w:t>政策</w:t>
      </w:r>
      <w:bookmarkEnd w:id="99"/>
      <w:bookmarkEnd w:id="100"/>
      <w:bookmarkEnd w:id="101"/>
      <w:bookmarkEnd w:id="102"/>
      <w:bookmarkEnd w:id="103"/>
    </w:p>
    <w:p>
      <w:pPr>
        <w:numPr>
          <w:ilvl w:val="0"/>
          <w:numId w:val="9"/>
        </w:numPr>
        <w:tabs>
          <w:tab w:val="left" w:pos="864"/>
          <w:tab w:val="left" w:pos="1080"/>
        </w:tabs>
        <w:spacing w:line="360" w:lineRule="auto"/>
        <w:ind w:hanging="540"/>
        <w:outlineLvl w:val="1"/>
        <w:rPr>
          <w:rFonts w:asciiTheme="minorEastAsia" w:hAnsiTheme="minorEastAsia" w:eastAsiaTheme="minorEastAsia" w:cstheme="minorEastAsia"/>
          <w:b/>
          <w:color w:val="auto"/>
        </w:rPr>
      </w:pPr>
      <w:bookmarkStart w:id="104" w:name="_Toc8371"/>
      <w:bookmarkStart w:id="105" w:name="_Toc28842"/>
      <w:r>
        <w:rPr>
          <w:rFonts w:hint="eastAsia" w:asciiTheme="minorEastAsia" w:hAnsiTheme="minorEastAsia" w:eastAsiaTheme="minorEastAsia" w:cstheme="minorEastAsia"/>
          <w:b/>
          <w:color w:val="auto"/>
        </w:rPr>
        <w:t>政府采购政策</w:t>
      </w:r>
      <w:bookmarkEnd w:id="104"/>
      <w:bookmarkEnd w:id="105"/>
    </w:p>
    <w:p>
      <w:pPr>
        <w:autoSpaceDE w:val="0"/>
        <w:autoSpaceDN w:val="0"/>
        <w:adjustRightInd w:val="0"/>
        <w:spacing w:line="360" w:lineRule="auto"/>
        <w:ind w:left="630" w:hanging="630" w:hangingChars="300"/>
        <w:jc w:val="left"/>
        <w:rPr>
          <w:rFonts w:ascii="宋体" w:hAnsi="宋体" w:cs="宋体"/>
          <w:snapToGrid w:val="0"/>
          <w:color w:val="auto"/>
          <w:kern w:val="0"/>
          <w:szCs w:val="21"/>
          <w:lang w:val="zh-CN"/>
        </w:rPr>
      </w:pPr>
      <w:r>
        <w:rPr>
          <w:rFonts w:hint="eastAsia" w:ascii="宋体" w:hAnsi="宋体" w:cs="宋体"/>
          <w:snapToGrid w:val="0"/>
          <w:color w:val="auto"/>
          <w:kern w:val="0"/>
          <w:szCs w:val="21"/>
          <w:lang w:val="zh-CN"/>
        </w:rPr>
        <w:t>3</w:t>
      </w:r>
      <w:r>
        <w:rPr>
          <w:rFonts w:hint="eastAsia" w:ascii="宋体" w:hAnsi="宋体" w:cs="宋体"/>
          <w:snapToGrid w:val="0"/>
          <w:color w:val="auto"/>
          <w:kern w:val="0"/>
          <w:szCs w:val="21"/>
        </w:rPr>
        <w:t>3</w:t>
      </w:r>
      <w:r>
        <w:rPr>
          <w:rFonts w:hint="eastAsia" w:ascii="宋体" w:hAnsi="宋体" w:cs="宋体"/>
          <w:snapToGrid w:val="0"/>
          <w:color w:val="auto"/>
          <w:kern w:val="0"/>
          <w:szCs w:val="21"/>
          <w:lang w:val="zh-CN"/>
        </w:rPr>
        <w:t>.1</w:t>
      </w:r>
      <w:r>
        <w:rPr>
          <w:rFonts w:hint="eastAsia" w:ascii="宋体" w:hAnsi="宋体" w:cs="宋体"/>
          <w:snapToGrid w:val="0"/>
          <w:color w:val="auto"/>
          <w:kern w:val="0"/>
          <w:szCs w:val="21"/>
        </w:rPr>
        <w:t xml:space="preserve"> </w:t>
      </w:r>
      <w:r>
        <w:rPr>
          <w:rFonts w:hint="eastAsia" w:ascii="宋体" w:hAnsi="宋体" w:cs="宋体"/>
          <w:snapToGrid w:val="0"/>
          <w:color w:val="auto"/>
          <w:spacing w:val="-2"/>
          <w:kern w:val="0"/>
          <w:szCs w:val="21"/>
          <w:lang w:val="zh-CN"/>
        </w:rPr>
        <w:t>除非“供应商须知前附表”中有特殊规定，本项目所采购的货物</w:t>
      </w:r>
      <w:r>
        <w:rPr>
          <w:rFonts w:hint="eastAsia" w:ascii="宋体" w:hAnsi="宋体" w:cs="宋体"/>
          <w:snapToGrid w:val="0"/>
          <w:color w:val="auto"/>
          <w:spacing w:val="-2"/>
          <w:kern w:val="0"/>
          <w:szCs w:val="21"/>
        </w:rPr>
        <w:t>或服务或工程</w:t>
      </w:r>
      <w:r>
        <w:rPr>
          <w:rFonts w:hint="eastAsia" w:ascii="宋体" w:hAnsi="宋体" w:cs="宋体"/>
          <w:snapToGrid w:val="0"/>
          <w:color w:val="auto"/>
          <w:spacing w:val="-2"/>
          <w:kern w:val="0"/>
          <w:szCs w:val="21"/>
          <w:lang w:val="zh-CN"/>
        </w:rPr>
        <w:t>应当为中华人民共和国境内提供。</w:t>
      </w:r>
    </w:p>
    <w:p>
      <w:pPr>
        <w:autoSpaceDE w:val="0"/>
        <w:autoSpaceDN w:val="0"/>
        <w:adjustRightInd w:val="0"/>
        <w:spacing w:line="360" w:lineRule="auto"/>
        <w:ind w:left="630" w:hanging="630" w:hangingChars="300"/>
        <w:jc w:val="left"/>
        <w:rPr>
          <w:rFonts w:ascii="宋体" w:hAnsi="宋体" w:cs="宋体"/>
          <w:snapToGrid w:val="0"/>
          <w:color w:val="auto"/>
          <w:kern w:val="0"/>
          <w:szCs w:val="21"/>
          <w:lang w:val="zh-CN"/>
        </w:rPr>
      </w:pPr>
      <w:r>
        <w:rPr>
          <w:rFonts w:hint="eastAsia" w:ascii="宋体" w:hAnsi="宋体" w:cs="宋体"/>
          <w:snapToGrid w:val="0"/>
          <w:color w:val="auto"/>
          <w:kern w:val="0"/>
          <w:szCs w:val="21"/>
          <w:lang w:val="zh-CN"/>
        </w:rPr>
        <w:t>3</w:t>
      </w:r>
      <w:r>
        <w:rPr>
          <w:rFonts w:hint="eastAsia" w:ascii="宋体" w:hAnsi="宋体" w:cs="宋体"/>
          <w:snapToGrid w:val="0"/>
          <w:color w:val="auto"/>
          <w:kern w:val="0"/>
          <w:szCs w:val="21"/>
        </w:rPr>
        <w:t>3</w:t>
      </w:r>
      <w:r>
        <w:rPr>
          <w:rFonts w:hint="eastAsia" w:ascii="宋体" w:hAnsi="宋体" w:cs="宋体"/>
          <w:snapToGrid w:val="0"/>
          <w:color w:val="auto"/>
          <w:kern w:val="0"/>
          <w:szCs w:val="21"/>
          <w:lang w:val="zh-CN"/>
        </w:rPr>
        <w:t>.2</w:t>
      </w:r>
      <w:r>
        <w:rPr>
          <w:rFonts w:hint="eastAsia" w:ascii="宋体" w:hAnsi="宋体" w:cs="宋体"/>
          <w:snapToGrid w:val="0"/>
          <w:color w:val="auto"/>
          <w:kern w:val="0"/>
          <w:szCs w:val="21"/>
        </w:rPr>
        <w:t xml:space="preserve">  </w:t>
      </w:r>
      <w:r>
        <w:rPr>
          <w:rFonts w:hint="eastAsia" w:ascii="宋体" w:hAnsi="宋体" w:cs="宋体"/>
          <w:snapToGrid w:val="0"/>
          <w:color w:val="auto"/>
          <w:kern w:val="0"/>
          <w:szCs w:val="21"/>
          <w:lang w:val="zh-CN"/>
        </w:rPr>
        <w:t>为促进中小企业发展，本项目供应商如符合工信部联企业【</w:t>
      </w:r>
      <w:r>
        <w:rPr>
          <w:rFonts w:hint="eastAsia" w:ascii="宋体" w:hAnsi="宋体" w:cs="宋体"/>
          <w:snapToGrid w:val="0"/>
          <w:color w:val="auto"/>
          <w:kern w:val="0"/>
          <w:szCs w:val="21"/>
        </w:rPr>
        <w:t>2011</w:t>
      </w:r>
      <w:r>
        <w:rPr>
          <w:rFonts w:hint="eastAsia" w:ascii="宋体" w:hAnsi="宋体" w:cs="宋体"/>
          <w:snapToGrid w:val="0"/>
          <w:color w:val="auto"/>
          <w:kern w:val="0"/>
          <w:szCs w:val="21"/>
          <w:lang w:val="zh-CN"/>
        </w:rPr>
        <w:t>】300号文中对中小企业划型标准的，可按照“评定办法前附表”中相关规定，对产品的价格给予一定比例的扣除，用扣除后的价格参与评审。具体扣除比例详见“评定办法前附表”。</w:t>
      </w:r>
    </w:p>
    <w:p>
      <w:pPr>
        <w:autoSpaceDE w:val="0"/>
        <w:autoSpaceDN w:val="0"/>
        <w:adjustRightInd w:val="0"/>
        <w:spacing w:line="360" w:lineRule="auto"/>
        <w:ind w:left="630" w:hanging="630" w:hangingChars="300"/>
        <w:jc w:val="left"/>
        <w:rPr>
          <w:rFonts w:ascii="宋体" w:hAnsi="宋体" w:cs="宋体"/>
          <w:snapToGrid w:val="0"/>
          <w:color w:val="auto"/>
          <w:kern w:val="0"/>
          <w:szCs w:val="21"/>
        </w:rPr>
      </w:pPr>
      <w:r>
        <w:rPr>
          <w:rFonts w:hint="eastAsia" w:ascii="宋体" w:hAnsi="宋体" w:cs="宋体"/>
          <w:snapToGrid w:val="0"/>
          <w:color w:val="auto"/>
          <w:kern w:val="0"/>
          <w:szCs w:val="21"/>
        </w:rPr>
        <w:t>33.3  按照财政部《关于政府采购支持监狱企业发展有关问题的通知》（财库【2014】68号）的规定，在政府采购活动中，监狱企业视同小型、微型企业，享受预留份额、评审中价格扣除等政府采购促进中小企业发展的政府采购政策。监狱企业参加政府采购活动时，应当提供由省级以上监狱管理局、戒毒管理局（含新疆生产建设兵团）出具的属于监狱企业的证明文件，材料不全的不予折扣。经磋商小组审核确认供应商属于监狱企业的，在评定时视同中小企业，价格给予6%的扣除后的价格参与评审。</w:t>
      </w:r>
    </w:p>
    <w:p>
      <w:pPr>
        <w:autoSpaceDE w:val="0"/>
        <w:autoSpaceDN w:val="0"/>
        <w:adjustRightInd w:val="0"/>
        <w:spacing w:line="360" w:lineRule="auto"/>
        <w:ind w:left="630" w:hanging="630" w:hangingChars="300"/>
        <w:jc w:val="left"/>
        <w:rPr>
          <w:rFonts w:ascii="宋体" w:hAnsi="宋体" w:cs="宋体"/>
          <w:snapToGrid w:val="0"/>
          <w:color w:val="auto"/>
          <w:kern w:val="0"/>
          <w:szCs w:val="21"/>
        </w:rPr>
      </w:pPr>
      <w:r>
        <w:rPr>
          <w:rFonts w:hint="eastAsia" w:ascii="宋体" w:hAnsi="宋体" w:cs="宋体"/>
          <w:snapToGrid w:val="0"/>
          <w:color w:val="auto"/>
          <w:kern w:val="0"/>
          <w:szCs w:val="21"/>
        </w:rPr>
        <w:t>33.4  按照《三部门联合发布关于促进残疾人就业政府采购政策的通知》（财库【2017】141 号）的规定，在政府采购活动中，残疾人福利性单位视同小型、微型企业，享受预留份额、评审中价格扣除等促进中小企业发展的政府采购政策。符合条件的残疾人福利性单位在参加政府采购活动时，应当提供财库【2017】141号文规定的《残疾人福利性单位声明函》（格式见第六章），并对声明的真实性负责，未提供声明函的不予折扣。经磋商小组审核确认供应商符合残疾人福利性单位条件的，在评定时视同中小企业。残疾人福利性单位属于小型、微型企业的，不重复享受政策。</w:t>
      </w:r>
    </w:p>
    <w:p>
      <w:pPr>
        <w:autoSpaceDE w:val="0"/>
        <w:autoSpaceDN w:val="0"/>
        <w:adjustRightInd w:val="0"/>
        <w:spacing w:line="360" w:lineRule="auto"/>
        <w:ind w:left="630" w:hanging="630" w:hangingChars="300"/>
        <w:jc w:val="left"/>
        <w:rPr>
          <w:rFonts w:ascii="宋体" w:hAnsi="宋体" w:cs="宋体"/>
          <w:snapToGrid w:val="0"/>
          <w:color w:val="auto"/>
          <w:kern w:val="0"/>
          <w:szCs w:val="21"/>
        </w:rPr>
      </w:pPr>
      <w:r>
        <w:rPr>
          <w:rFonts w:hint="eastAsia" w:ascii="宋体" w:hAnsi="宋体" w:cs="宋体"/>
          <w:snapToGrid w:val="0"/>
          <w:color w:val="auto"/>
          <w:kern w:val="0"/>
          <w:szCs w:val="21"/>
          <w:lang w:val="zh-CN"/>
        </w:rPr>
        <w:t>3</w:t>
      </w:r>
      <w:r>
        <w:rPr>
          <w:rFonts w:hint="eastAsia" w:ascii="宋体" w:hAnsi="宋体" w:cs="宋体"/>
          <w:snapToGrid w:val="0"/>
          <w:color w:val="auto"/>
          <w:kern w:val="0"/>
          <w:szCs w:val="21"/>
        </w:rPr>
        <w:t>3</w:t>
      </w:r>
      <w:r>
        <w:rPr>
          <w:rFonts w:hint="eastAsia" w:ascii="宋体" w:hAnsi="宋体" w:cs="宋体"/>
          <w:snapToGrid w:val="0"/>
          <w:color w:val="auto"/>
          <w:kern w:val="0"/>
          <w:szCs w:val="21"/>
          <w:lang w:val="zh-CN"/>
        </w:rPr>
        <w:t>.</w:t>
      </w:r>
      <w:r>
        <w:rPr>
          <w:rFonts w:hint="eastAsia" w:ascii="宋体" w:hAnsi="宋体" w:cs="宋体"/>
          <w:snapToGrid w:val="0"/>
          <w:color w:val="auto"/>
          <w:kern w:val="0"/>
          <w:szCs w:val="21"/>
        </w:rPr>
        <w:t>5  按照《财政部 发展改革委 生态环境部 市场监管总局 关于调整优化节能产品、环境标志产品政府采购执行机制的通知》（财库〔2019〕9 号）/《关于印发环境标志产品政府采购品目清单的通知》（财库〔2019〕18 号）/《关于印发节能产品政府采购品目清单的通知》（财库〔2019〕19 号）/《市场监管总局关于发布参与实施政府采购节能产品、环境标志产品认证机构名录的公告》（2019 年第 16 号）文件执行。</w:t>
      </w:r>
    </w:p>
    <w:p>
      <w:pPr>
        <w:autoSpaceDE w:val="0"/>
        <w:autoSpaceDN w:val="0"/>
        <w:adjustRightInd w:val="0"/>
        <w:spacing w:line="360" w:lineRule="auto"/>
        <w:ind w:left="630" w:hanging="630" w:hangingChars="300"/>
        <w:jc w:val="left"/>
        <w:rPr>
          <w:rFonts w:ascii="宋体" w:hAnsi="宋体" w:cs="宋体"/>
          <w:snapToGrid w:val="0"/>
          <w:color w:val="auto"/>
          <w:kern w:val="0"/>
          <w:szCs w:val="21"/>
          <w:lang w:val="zh-CN"/>
        </w:rPr>
      </w:pPr>
      <w:r>
        <w:rPr>
          <w:rFonts w:hint="eastAsia" w:ascii="宋体" w:hAnsi="宋体" w:cs="宋体"/>
          <w:snapToGrid w:val="0"/>
          <w:color w:val="auto"/>
          <w:kern w:val="0"/>
          <w:szCs w:val="21"/>
          <w:lang w:val="zh-CN"/>
        </w:rPr>
        <w:t>33.</w:t>
      </w:r>
      <w:r>
        <w:rPr>
          <w:rFonts w:hint="eastAsia" w:ascii="宋体" w:hAnsi="宋体" w:cs="宋体"/>
          <w:snapToGrid w:val="0"/>
          <w:color w:val="auto"/>
          <w:kern w:val="0"/>
          <w:szCs w:val="21"/>
        </w:rPr>
        <w:t xml:space="preserve">6  </w:t>
      </w:r>
      <w:r>
        <w:rPr>
          <w:rFonts w:hint="eastAsia" w:ascii="宋体" w:hAnsi="宋体" w:cs="宋体"/>
          <w:snapToGrid w:val="0"/>
          <w:color w:val="auto"/>
          <w:kern w:val="0"/>
          <w:szCs w:val="21"/>
          <w:lang w:val="zh-CN"/>
        </w:rPr>
        <w:t>上述政府采购政策优惠须经磋商小组评审后执行，未提供单独分项报价或证明资料不全的不给予价格扣除。</w:t>
      </w:r>
    </w:p>
    <w:p>
      <w:pPr>
        <w:autoSpaceDE w:val="0"/>
        <w:autoSpaceDN w:val="0"/>
        <w:adjustRightInd w:val="0"/>
        <w:spacing w:line="360" w:lineRule="auto"/>
        <w:ind w:left="630" w:leftChars="300"/>
        <w:jc w:val="left"/>
        <w:rPr>
          <w:b/>
          <w:bCs/>
          <w:color w:val="auto"/>
          <w:lang w:val="zh-CN"/>
        </w:rPr>
      </w:pPr>
      <w:r>
        <w:rPr>
          <w:rFonts w:hint="eastAsia" w:ascii="宋体" w:hAnsi="宋体" w:cs="宋体"/>
          <w:b/>
          <w:bCs/>
          <w:snapToGrid w:val="0"/>
          <w:color w:val="auto"/>
          <w:kern w:val="0"/>
          <w:szCs w:val="21"/>
          <w:lang w:val="zh-CN"/>
        </w:rPr>
        <w:t>供应商应当对《中小企业声明函》、监狱企业证明文件、《残疾人福利性单位声明函》的真实性负责，上述材料与事实不符的，依照《政府采购法》第七十七条第一款的规定，处以采购金额千分之五以上千分之十以下的罚款，列入不良行为记录名单，在一至三年内禁止参加政府采购活动，有违法所得的，并处没收违法所得，情节严重的，由工商行政管理机关吊销营业执照；构成犯罪的，依法追究刑事责任。</w:t>
      </w:r>
    </w:p>
    <w:p>
      <w:pPr>
        <w:numPr>
          <w:ilvl w:val="1"/>
          <w:numId w:val="8"/>
        </w:numPr>
        <w:tabs>
          <w:tab w:val="left" w:pos="540"/>
          <w:tab w:val="clear" w:pos="840"/>
        </w:tabs>
        <w:spacing w:line="360" w:lineRule="auto"/>
        <w:ind w:left="540" w:hanging="540"/>
        <w:outlineLvl w:val="1"/>
        <w:rPr>
          <w:rFonts w:asciiTheme="minorEastAsia" w:hAnsiTheme="minorEastAsia" w:eastAsiaTheme="minorEastAsia" w:cstheme="minorEastAsia"/>
          <w:b/>
          <w:color w:val="auto"/>
          <w:szCs w:val="21"/>
          <w:lang w:val="zh-CN"/>
        </w:rPr>
      </w:pPr>
      <w:bookmarkStart w:id="106" w:name="_Toc25296"/>
      <w:bookmarkStart w:id="107" w:name="_Toc22449"/>
      <w:r>
        <w:rPr>
          <w:rFonts w:hint="eastAsia" w:asciiTheme="minorEastAsia" w:hAnsiTheme="minorEastAsia" w:eastAsiaTheme="minorEastAsia" w:cstheme="minorEastAsia"/>
          <w:b/>
          <w:color w:val="auto"/>
          <w:szCs w:val="21"/>
          <w:lang w:val="zh-CN"/>
        </w:rPr>
        <w:t>其他要求</w:t>
      </w:r>
      <w:bookmarkEnd w:id="106"/>
      <w:bookmarkEnd w:id="107"/>
    </w:p>
    <w:p>
      <w:pPr>
        <w:autoSpaceDE w:val="0"/>
        <w:autoSpaceDN w:val="0"/>
        <w:adjustRightInd w:val="0"/>
        <w:spacing w:line="360" w:lineRule="auto"/>
        <w:ind w:firstLine="420" w:firstLineChars="200"/>
        <w:jc w:val="left"/>
        <w:rPr>
          <w:rFonts w:asciiTheme="minorEastAsia" w:hAnsiTheme="minorEastAsia" w:eastAsiaTheme="minorEastAsia" w:cstheme="minorEastAsia"/>
          <w:snapToGrid w:val="0"/>
          <w:color w:val="auto"/>
          <w:kern w:val="0"/>
          <w:szCs w:val="21"/>
          <w:lang w:val="zh-CN"/>
        </w:rPr>
      </w:pPr>
      <w:r>
        <w:rPr>
          <w:rFonts w:hint="eastAsia" w:asciiTheme="minorEastAsia" w:hAnsiTheme="minorEastAsia" w:eastAsiaTheme="minorEastAsia" w:cstheme="minorEastAsia"/>
          <w:snapToGrid w:val="0"/>
          <w:color w:val="auto"/>
          <w:kern w:val="0"/>
          <w:szCs w:val="21"/>
          <w:lang w:val="zh-CN"/>
        </w:rPr>
        <w:t>见《供应商须知前附表》。</w:t>
      </w:r>
    </w:p>
    <w:p>
      <w:pPr>
        <w:numPr>
          <w:ilvl w:val="1"/>
          <w:numId w:val="8"/>
        </w:numPr>
        <w:tabs>
          <w:tab w:val="left" w:pos="540"/>
          <w:tab w:val="clear" w:pos="840"/>
        </w:tabs>
        <w:spacing w:line="360" w:lineRule="auto"/>
        <w:ind w:left="540" w:hanging="540"/>
        <w:outlineLvl w:val="1"/>
        <w:rPr>
          <w:rFonts w:asciiTheme="minorEastAsia" w:hAnsiTheme="minorEastAsia" w:eastAsiaTheme="minorEastAsia" w:cstheme="minorEastAsia"/>
          <w:b/>
          <w:color w:val="auto"/>
          <w:szCs w:val="21"/>
          <w:lang w:val="zh-CN"/>
        </w:rPr>
      </w:pPr>
      <w:bookmarkStart w:id="108" w:name="_Toc28070"/>
      <w:bookmarkStart w:id="109" w:name="_Toc28137"/>
      <w:r>
        <w:rPr>
          <w:rFonts w:hint="eastAsia" w:asciiTheme="minorEastAsia" w:hAnsiTheme="minorEastAsia" w:eastAsiaTheme="minorEastAsia" w:cstheme="minorEastAsia"/>
          <w:b/>
          <w:color w:val="auto"/>
          <w:szCs w:val="21"/>
          <w:lang w:val="zh-CN"/>
        </w:rPr>
        <w:t>适用法律</w:t>
      </w:r>
      <w:bookmarkEnd w:id="108"/>
      <w:bookmarkEnd w:id="109"/>
    </w:p>
    <w:p>
      <w:pPr>
        <w:autoSpaceDE w:val="0"/>
        <w:autoSpaceDN w:val="0"/>
        <w:adjustRightInd w:val="0"/>
        <w:spacing w:line="360" w:lineRule="auto"/>
        <w:ind w:left="630" w:leftChars="300"/>
        <w:jc w:val="left"/>
        <w:rPr>
          <w:rFonts w:asciiTheme="minorEastAsia" w:hAnsiTheme="minorEastAsia" w:eastAsiaTheme="minorEastAsia" w:cstheme="minorEastAsia"/>
          <w:snapToGrid w:val="0"/>
          <w:color w:val="auto"/>
          <w:kern w:val="0"/>
          <w:szCs w:val="21"/>
          <w:lang w:val="zh-CN"/>
        </w:rPr>
      </w:pPr>
      <w:r>
        <w:rPr>
          <w:rFonts w:hint="eastAsia" w:asciiTheme="minorEastAsia" w:hAnsiTheme="minorEastAsia" w:eastAsiaTheme="minorEastAsia" w:cstheme="minorEastAsia"/>
          <w:snapToGrid w:val="0"/>
          <w:color w:val="auto"/>
          <w:kern w:val="0"/>
          <w:szCs w:val="21"/>
          <w:lang w:val="zh-CN"/>
        </w:rPr>
        <w:t>采购人或者采购代理机构和供应商的一切采购活动均适用于《中华人民共和国政府采购法》、《中华人民共和国政府采购实施条例》、《政府采购竞争性磋商采购方式管理办法》等相关规定。</w:t>
      </w:r>
      <w:r>
        <w:rPr>
          <w:rFonts w:hint="eastAsia" w:asciiTheme="minorEastAsia" w:hAnsiTheme="minorEastAsia" w:eastAsiaTheme="minorEastAsia" w:cstheme="minorEastAsia"/>
          <w:snapToGrid w:val="0"/>
          <w:color w:val="auto"/>
          <w:kern w:val="0"/>
          <w:szCs w:val="21"/>
          <w:lang w:val="zh-CN"/>
        </w:rPr>
        <w:br w:type="textWrapping"/>
      </w:r>
      <w:r>
        <w:rPr>
          <w:rFonts w:hint="eastAsia" w:asciiTheme="minorEastAsia" w:hAnsiTheme="minorEastAsia" w:eastAsiaTheme="minorEastAsia" w:cstheme="minorEastAsia"/>
          <w:b/>
          <w:bCs/>
          <w:snapToGrid w:val="0"/>
          <w:color w:val="auto"/>
          <w:kern w:val="0"/>
          <w:szCs w:val="21"/>
          <w:lang w:val="zh-CN"/>
        </w:rPr>
        <w:t>补充说明：</w:t>
      </w:r>
    </w:p>
    <w:p>
      <w:pPr>
        <w:numPr>
          <w:ilvl w:val="0"/>
          <w:numId w:val="34"/>
        </w:numPr>
        <w:autoSpaceDE w:val="0"/>
        <w:autoSpaceDN w:val="0"/>
        <w:adjustRightInd w:val="0"/>
        <w:spacing w:line="360" w:lineRule="auto"/>
        <w:ind w:left="630" w:hanging="630" w:hangingChars="300"/>
        <w:jc w:val="left"/>
        <w:rPr>
          <w:rFonts w:asciiTheme="minorEastAsia" w:hAnsiTheme="minorEastAsia" w:eastAsiaTheme="minorEastAsia" w:cstheme="minorEastAsia"/>
          <w:snapToGrid w:val="0"/>
          <w:color w:val="auto"/>
          <w:kern w:val="0"/>
          <w:szCs w:val="21"/>
          <w:lang w:val="zh-CN"/>
        </w:rPr>
      </w:pPr>
      <w:r>
        <w:rPr>
          <w:rFonts w:hint="eastAsia" w:asciiTheme="minorEastAsia" w:hAnsiTheme="minorEastAsia" w:eastAsiaTheme="minorEastAsia" w:cstheme="minorEastAsia"/>
          <w:snapToGrid w:val="0"/>
          <w:color w:val="auto"/>
          <w:kern w:val="0"/>
          <w:szCs w:val="21"/>
        </w:rPr>
        <w:t xml:space="preserve">  </w:t>
      </w:r>
      <w:r>
        <w:rPr>
          <w:rFonts w:hint="eastAsia" w:asciiTheme="minorEastAsia" w:hAnsiTheme="minorEastAsia" w:eastAsiaTheme="minorEastAsia" w:cstheme="minorEastAsia"/>
          <w:snapToGrid w:val="0"/>
          <w:color w:val="auto"/>
          <w:kern w:val="0"/>
          <w:szCs w:val="21"/>
          <w:lang w:val="zh-CN"/>
        </w:rPr>
        <w:t>除本采购文件另有规定外，采购文件中出现的类似于“近三年”或“前三年”、“近五年”或“前五年”均指递交响应文件时间以前 3 年或前 5 年，以此类推。如：递交响应文件时间为 201</w:t>
      </w:r>
      <w:r>
        <w:rPr>
          <w:rFonts w:hint="eastAsia" w:asciiTheme="minorEastAsia" w:hAnsiTheme="minorEastAsia" w:eastAsiaTheme="minorEastAsia" w:cstheme="minorEastAsia"/>
          <w:snapToGrid w:val="0"/>
          <w:color w:val="auto"/>
          <w:kern w:val="0"/>
          <w:szCs w:val="21"/>
        </w:rPr>
        <w:t>9</w:t>
      </w:r>
      <w:r>
        <w:rPr>
          <w:rFonts w:hint="eastAsia" w:asciiTheme="minorEastAsia" w:hAnsiTheme="minorEastAsia" w:eastAsiaTheme="minorEastAsia" w:cstheme="minorEastAsia"/>
          <w:snapToGrid w:val="0"/>
          <w:color w:val="auto"/>
          <w:kern w:val="0"/>
          <w:szCs w:val="21"/>
          <w:lang w:val="zh-CN"/>
        </w:rPr>
        <w:t>年 12 月 1 日，则“近三年”是指 201</w:t>
      </w:r>
      <w:r>
        <w:rPr>
          <w:rFonts w:hint="eastAsia" w:asciiTheme="minorEastAsia" w:hAnsiTheme="minorEastAsia" w:eastAsiaTheme="minorEastAsia" w:cstheme="minorEastAsia"/>
          <w:snapToGrid w:val="0"/>
          <w:color w:val="auto"/>
          <w:kern w:val="0"/>
          <w:szCs w:val="21"/>
        </w:rPr>
        <w:t>6</w:t>
      </w:r>
      <w:r>
        <w:rPr>
          <w:rFonts w:hint="eastAsia" w:asciiTheme="minorEastAsia" w:hAnsiTheme="minorEastAsia" w:eastAsiaTheme="minorEastAsia" w:cstheme="minorEastAsia"/>
          <w:snapToGrid w:val="0"/>
          <w:color w:val="auto"/>
          <w:kern w:val="0"/>
          <w:szCs w:val="21"/>
          <w:lang w:val="zh-CN"/>
        </w:rPr>
        <w:t>年 12 月 1 日至 201</w:t>
      </w:r>
      <w:r>
        <w:rPr>
          <w:rFonts w:hint="eastAsia" w:asciiTheme="minorEastAsia" w:hAnsiTheme="minorEastAsia" w:eastAsiaTheme="minorEastAsia" w:cstheme="minorEastAsia"/>
          <w:snapToGrid w:val="0"/>
          <w:color w:val="auto"/>
          <w:kern w:val="0"/>
          <w:szCs w:val="21"/>
        </w:rPr>
        <w:t>9</w:t>
      </w:r>
      <w:r>
        <w:rPr>
          <w:rFonts w:hint="eastAsia" w:asciiTheme="minorEastAsia" w:hAnsiTheme="minorEastAsia" w:eastAsiaTheme="minorEastAsia" w:cstheme="minorEastAsia"/>
          <w:snapToGrid w:val="0"/>
          <w:color w:val="auto"/>
          <w:kern w:val="0"/>
          <w:szCs w:val="21"/>
          <w:lang w:val="zh-CN"/>
        </w:rPr>
        <w:t>年 11 月 30 日。</w:t>
      </w:r>
    </w:p>
    <w:p>
      <w:pPr>
        <w:numPr>
          <w:ilvl w:val="0"/>
          <w:numId w:val="34"/>
        </w:numPr>
        <w:autoSpaceDE w:val="0"/>
        <w:autoSpaceDN w:val="0"/>
        <w:adjustRightInd w:val="0"/>
        <w:spacing w:line="360" w:lineRule="auto"/>
        <w:ind w:left="630" w:hanging="630" w:hangingChars="300"/>
        <w:jc w:val="left"/>
        <w:rPr>
          <w:rFonts w:asciiTheme="minorEastAsia" w:hAnsiTheme="minorEastAsia" w:eastAsiaTheme="minorEastAsia" w:cstheme="minorEastAsia"/>
          <w:snapToGrid w:val="0"/>
          <w:color w:val="auto"/>
          <w:kern w:val="0"/>
          <w:szCs w:val="21"/>
          <w:lang w:val="zh-CN"/>
        </w:rPr>
      </w:pPr>
      <w:r>
        <w:rPr>
          <w:rFonts w:hint="eastAsia" w:asciiTheme="minorEastAsia" w:hAnsiTheme="minorEastAsia" w:eastAsiaTheme="minorEastAsia" w:cstheme="minorEastAsia"/>
          <w:snapToGrid w:val="0"/>
          <w:color w:val="auto"/>
          <w:kern w:val="0"/>
          <w:szCs w:val="21"/>
        </w:rPr>
        <w:t xml:space="preserve">  </w:t>
      </w:r>
      <w:r>
        <w:rPr>
          <w:rFonts w:hint="eastAsia" w:asciiTheme="minorEastAsia" w:hAnsiTheme="minorEastAsia" w:eastAsiaTheme="minorEastAsia" w:cstheme="minorEastAsia"/>
          <w:snapToGrid w:val="0"/>
          <w:color w:val="auto"/>
          <w:kern w:val="0"/>
          <w:szCs w:val="21"/>
          <w:lang w:val="zh-CN"/>
        </w:rPr>
        <w:t>关于提交经审计的财务报告的年份要求：递交响应文件时间如在当年 6 月 30 日以前，</w:t>
      </w:r>
      <w:r>
        <w:rPr>
          <w:rFonts w:hint="eastAsia" w:asciiTheme="minorEastAsia" w:hAnsiTheme="minorEastAsia" w:eastAsiaTheme="minorEastAsia" w:cstheme="minorEastAsia"/>
          <w:snapToGrid w:val="0"/>
          <w:color w:val="auto"/>
          <w:kern w:val="0"/>
          <w:szCs w:val="21"/>
        </w:rPr>
        <w:t>则</w:t>
      </w:r>
      <w:r>
        <w:rPr>
          <w:rFonts w:hint="eastAsia" w:asciiTheme="minorEastAsia" w:hAnsiTheme="minorEastAsia" w:eastAsiaTheme="minorEastAsia" w:cstheme="minorEastAsia"/>
          <w:snapToGrid w:val="0"/>
          <w:color w:val="auto"/>
          <w:kern w:val="0"/>
          <w:szCs w:val="21"/>
          <w:lang w:val="zh-CN"/>
        </w:rPr>
        <w:t>近三年指上上个年度往前推算的三年，如递交响应文件时间为 201</w:t>
      </w:r>
      <w:r>
        <w:rPr>
          <w:rFonts w:hint="eastAsia" w:asciiTheme="minorEastAsia" w:hAnsiTheme="minorEastAsia" w:eastAsiaTheme="minorEastAsia" w:cstheme="minorEastAsia"/>
          <w:snapToGrid w:val="0"/>
          <w:color w:val="auto"/>
          <w:kern w:val="0"/>
          <w:szCs w:val="21"/>
        </w:rPr>
        <w:t>9</w:t>
      </w:r>
      <w:r>
        <w:rPr>
          <w:rFonts w:hint="eastAsia" w:asciiTheme="minorEastAsia" w:hAnsiTheme="minorEastAsia" w:eastAsiaTheme="minorEastAsia" w:cstheme="minorEastAsia"/>
          <w:snapToGrid w:val="0"/>
          <w:color w:val="auto"/>
          <w:kern w:val="0"/>
          <w:szCs w:val="21"/>
          <w:lang w:val="zh-CN"/>
        </w:rPr>
        <w:t>年 6 月 9 日，则“近三年”</w:t>
      </w:r>
      <w:r>
        <w:rPr>
          <w:rFonts w:hint="eastAsia" w:asciiTheme="minorEastAsia" w:hAnsiTheme="minorEastAsia" w:eastAsiaTheme="minorEastAsia" w:cstheme="minorEastAsia"/>
          <w:snapToGrid w:val="0"/>
          <w:color w:val="auto"/>
          <w:kern w:val="0"/>
          <w:szCs w:val="21"/>
        </w:rPr>
        <w:t>是</w:t>
      </w:r>
      <w:r>
        <w:rPr>
          <w:rFonts w:hint="eastAsia" w:asciiTheme="minorEastAsia" w:hAnsiTheme="minorEastAsia" w:eastAsiaTheme="minorEastAsia" w:cstheme="minorEastAsia"/>
          <w:snapToGrid w:val="0"/>
          <w:color w:val="auto"/>
          <w:kern w:val="0"/>
          <w:szCs w:val="21"/>
          <w:lang w:val="zh-CN"/>
        </w:rPr>
        <w:t>指 201</w:t>
      </w:r>
      <w:r>
        <w:rPr>
          <w:rFonts w:hint="eastAsia" w:asciiTheme="minorEastAsia" w:hAnsiTheme="minorEastAsia" w:eastAsiaTheme="minorEastAsia" w:cstheme="minorEastAsia"/>
          <w:snapToGrid w:val="0"/>
          <w:color w:val="auto"/>
          <w:kern w:val="0"/>
          <w:szCs w:val="21"/>
        </w:rPr>
        <w:t>5</w:t>
      </w:r>
      <w:r>
        <w:rPr>
          <w:rFonts w:hint="eastAsia" w:asciiTheme="minorEastAsia" w:hAnsiTheme="minorEastAsia" w:eastAsiaTheme="minorEastAsia" w:cstheme="minorEastAsia"/>
          <w:snapToGrid w:val="0"/>
          <w:color w:val="auto"/>
          <w:kern w:val="0"/>
          <w:szCs w:val="21"/>
          <w:lang w:val="zh-CN"/>
        </w:rPr>
        <w:t>年度、201</w:t>
      </w:r>
      <w:r>
        <w:rPr>
          <w:rFonts w:hint="eastAsia" w:asciiTheme="minorEastAsia" w:hAnsiTheme="minorEastAsia" w:eastAsiaTheme="minorEastAsia" w:cstheme="minorEastAsia"/>
          <w:snapToGrid w:val="0"/>
          <w:color w:val="auto"/>
          <w:kern w:val="0"/>
          <w:szCs w:val="21"/>
        </w:rPr>
        <w:t>6</w:t>
      </w:r>
      <w:r>
        <w:rPr>
          <w:rFonts w:hint="eastAsia" w:asciiTheme="minorEastAsia" w:hAnsiTheme="minorEastAsia" w:eastAsiaTheme="minorEastAsia" w:cstheme="minorEastAsia"/>
          <w:snapToGrid w:val="0"/>
          <w:color w:val="auto"/>
          <w:kern w:val="0"/>
          <w:szCs w:val="21"/>
          <w:lang w:val="zh-CN"/>
        </w:rPr>
        <w:t>年度、201</w:t>
      </w:r>
      <w:r>
        <w:rPr>
          <w:rFonts w:hint="eastAsia" w:asciiTheme="minorEastAsia" w:hAnsiTheme="minorEastAsia" w:eastAsiaTheme="minorEastAsia" w:cstheme="minorEastAsia"/>
          <w:snapToGrid w:val="0"/>
          <w:color w:val="auto"/>
          <w:kern w:val="0"/>
          <w:szCs w:val="21"/>
        </w:rPr>
        <w:t>7</w:t>
      </w:r>
      <w:r>
        <w:rPr>
          <w:rFonts w:hint="eastAsia" w:asciiTheme="minorEastAsia" w:hAnsiTheme="minorEastAsia" w:eastAsiaTheme="minorEastAsia" w:cstheme="minorEastAsia"/>
          <w:snapToGrid w:val="0"/>
          <w:color w:val="auto"/>
          <w:kern w:val="0"/>
          <w:szCs w:val="21"/>
          <w:lang w:val="zh-CN"/>
        </w:rPr>
        <w:t>年度。递交响应文件时间如在当年 6 月 30 日以后，则近三年是指上个年度往前推算的 3 年，如递交响应文件时间为 201</w:t>
      </w:r>
      <w:r>
        <w:rPr>
          <w:rFonts w:hint="eastAsia" w:asciiTheme="minorEastAsia" w:hAnsiTheme="minorEastAsia" w:eastAsiaTheme="minorEastAsia" w:cstheme="minorEastAsia"/>
          <w:snapToGrid w:val="0"/>
          <w:color w:val="auto"/>
          <w:kern w:val="0"/>
          <w:szCs w:val="21"/>
        </w:rPr>
        <w:t>9</w:t>
      </w:r>
      <w:r>
        <w:rPr>
          <w:rFonts w:hint="eastAsia" w:asciiTheme="minorEastAsia" w:hAnsiTheme="minorEastAsia" w:eastAsiaTheme="minorEastAsia" w:cstheme="minorEastAsia"/>
          <w:snapToGrid w:val="0"/>
          <w:color w:val="auto"/>
          <w:kern w:val="0"/>
          <w:szCs w:val="21"/>
          <w:lang w:val="zh-CN"/>
        </w:rPr>
        <w:t>年 12 月 1 日，则“近三年”是指 201</w:t>
      </w:r>
      <w:r>
        <w:rPr>
          <w:rFonts w:hint="eastAsia" w:asciiTheme="minorEastAsia" w:hAnsiTheme="minorEastAsia" w:eastAsiaTheme="minorEastAsia" w:cstheme="minorEastAsia"/>
          <w:snapToGrid w:val="0"/>
          <w:color w:val="auto"/>
          <w:kern w:val="0"/>
          <w:szCs w:val="21"/>
        </w:rPr>
        <w:t>6</w:t>
      </w:r>
      <w:r>
        <w:rPr>
          <w:rFonts w:hint="eastAsia" w:asciiTheme="minorEastAsia" w:hAnsiTheme="minorEastAsia" w:eastAsiaTheme="minorEastAsia" w:cstheme="minorEastAsia"/>
          <w:snapToGrid w:val="0"/>
          <w:color w:val="auto"/>
          <w:kern w:val="0"/>
          <w:szCs w:val="21"/>
          <w:lang w:val="zh-CN"/>
        </w:rPr>
        <w:t>年度、201</w:t>
      </w:r>
      <w:r>
        <w:rPr>
          <w:rFonts w:hint="eastAsia" w:asciiTheme="minorEastAsia" w:hAnsiTheme="minorEastAsia" w:eastAsiaTheme="minorEastAsia" w:cstheme="minorEastAsia"/>
          <w:snapToGrid w:val="0"/>
          <w:color w:val="auto"/>
          <w:kern w:val="0"/>
          <w:szCs w:val="21"/>
        </w:rPr>
        <w:t>7</w:t>
      </w:r>
      <w:r>
        <w:rPr>
          <w:rFonts w:hint="eastAsia" w:asciiTheme="minorEastAsia" w:hAnsiTheme="minorEastAsia" w:eastAsiaTheme="minorEastAsia" w:cstheme="minorEastAsia"/>
          <w:snapToGrid w:val="0"/>
          <w:color w:val="auto"/>
          <w:kern w:val="0"/>
          <w:szCs w:val="21"/>
          <w:lang w:val="zh-CN"/>
        </w:rPr>
        <w:t>年度、201</w:t>
      </w:r>
      <w:r>
        <w:rPr>
          <w:rFonts w:hint="eastAsia" w:asciiTheme="minorEastAsia" w:hAnsiTheme="minorEastAsia" w:eastAsiaTheme="minorEastAsia" w:cstheme="minorEastAsia"/>
          <w:snapToGrid w:val="0"/>
          <w:color w:val="auto"/>
          <w:kern w:val="0"/>
          <w:szCs w:val="21"/>
        </w:rPr>
        <w:t>8</w:t>
      </w:r>
      <w:r>
        <w:rPr>
          <w:rFonts w:hint="eastAsia" w:asciiTheme="minorEastAsia" w:hAnsiTheme="minorEastAsia" w:eastAsiaTheme="minorEastAsia" w:cstheme="minorEastAsia"/>
          <w:snapToGrid w:val="0"/>
          <w:color w:val="auto"/>
          <w:kern w:val="0"/>
          <w:szCs w:val="21"/>
          <w:lang w:val="zh-CN"/>
        </w:rPr>
        <w:t>年度。</w:t>
      </w:r>
    </w:p>
    <w:p>
      <w:pPr>
        <w:numPr>
          <w:ilvl w:val="0"/>
          <w:numId w:val="35"/>
        </w:numPr>
        <w:autoSpaceDE w:val="0"/>
        <w:autoSpaceDN w:val="0"/>
        <w:adjustRightInd w:val="0"/>
        <w:spacing w:line="360" w:lineRule="auto"/>
        <w:ind w:left="539" w:hanging="539"/>
        <w:jc w:val="left"/>
        <w:rPr>
          <w:rFonts w:asciiTheme="minorEastAsia" w:hAnsiTheme="minorEastAsia" w:eastAsiaTheme="minorEastAsia" w:cstheme="minorEastAsia"/>
          <w:snapToGrid w:val="0"/>
          <w:color w:val="auto"/>
          <w:kern w:val="0"/>
          <w:szCs w:val="21"/>
          <w:lang w:val="zh-CN"/>
        </w:rPr>
      </w:pPr>
      <w:r>
        <w:rPr>
          <w:rFonts w:hint="eastAsia" w:asciiTheme="minorEastAsia" w:hAnsiTheme="minorEastAsia" w:eastAsiaTheme="minorEastAsia" w:cstheme="minorEastAsia"/>
          <w:snapToGrid w:val="0"/>
          <w:color w:val="auto"/>
          <w:kern w:val="0"/>
          <w:szCs w:val="21"/>
        </w:rPr>
        <w:t xml:space="preserve">  </w:t>
      </w:r>
      <w:r>
        <w:rPr>
          <w:rFonts w:hint="eastAsia" w:asciiTheme="minorEastAsia" w:hAnsiTheme="minorEastAsia" w:eastAsiaTheme="minorEastAsia" w:cstheme="minorEastAsia"/>
          <w:snapToGrid w:val="0"/>
          <w:color w:val="auto"/>
          <w:kern w:val="0"/>
          <w:szCs w:val="21"/>
          <w:lang w:val="zh-CN"/>
        </w:rPr>
        <w:t>本采购文件所称的“以上”、“以下”、“内”、“以内”，均包括本数；所称的“不足”，不包括本数。</w:t>
      </w:r>
      <w:r>
        <w:rPr>
          <w:rFonts w:hint="eastAsia" w:asciiTheme="minorEastAsia" w:hAnsiTheme="minorEastAsia" w:eastAsiaTheme="minorEastAsia" w:cstheme="minorEastAsia"/>
          <w:snapToGrid w:val="0"/>
          <w:color w:val="auto"/>
          <w:kern w:val="0"/>
          <w:szCs w:val="21"/>
          <w:lang w:val="zh-CN"/>
        </w:rPr>
        <w:br w:type="textWrapping"/>
      </w:r>
      <w:r>
        <w:rPr>
          <w:rFonts w:hint="eastAsia" w:asciiTheme="minorEastAsia" w:hAnsiTheme="minorEastAsia" w:eastAsiaTheme="minorEastAsia" w:cstheme="minorEastAsia"/>
          <w:snapToGrid w:val="0"/>
          <w:color w:val="auto"/>
          <w:kern w:val="0"/>
          <w:szCs w:val="21"/>
          <w:lang w:val="zh-CN"/>
        </w:rPr>
        <w:br w:type="textWrapping"/>
      </w:r>
      <w:r>
        <w:rPr>
          <w:rFonts w:hint="eastAsia" w:asciiTheme="minorEastAsia" w:hAnsiTheme="minorEastAsia" w:eastAsiaTheme="minorEastAsia" w:cstheme="minorEastAsia"/>
          <w:snapToGrid w:val="0"/>
          <w:color w:val="auto"/>
          <w:kern w:val="0"/>
          <w:szCs w:val="21"/>
          <w:lang w:val="zh-CN"/>
        </w:rPr>
        <w:br w:type="textWrapping"/>
      </w:r>
    </w:p>
    <w:p>
      <w:pPr>
        <w:numPr>
          <w:ilvl w:val="0"/>
          <w:numId w:val="4"/>
        </w:numPr>
        <w:jc w:val="center"/>
        <w:outlineLvl w:val="0"/>
        <w:rPr>
          <w:rFonts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br w:type="page"/>
      </w:r>
      <w:bookmarkStart w:id="110" w:name="_Toc6380"/>
      <w:r>
        <w:rPr>
          <w:rFonts w:hint="eastAsia" w:asciiTheme="minorEastAsia" w:hAnsiTheme="minorEastAsia" w:eastAsiaTheme="minorEastAsia" w:cstheme="minorEastAsia"/>
          <w:b/>
          <w:bCs/>
          <w:color w:val="auto"/>
          <w:sz w:val="36"/>
          <w:szCs w:val="36"/>
        </w:rPr>
        <w:t>采购需求</w:t>
      </w:r>
      <w:bookmarkEnd w:id="110"/>
    </w:p>
    <w:p>
      <w:pPr>
        <w:autoSpaceDE w:val="0"/>
        <w:autoSpaceDN w:val="0"/>
        <w:adjustRightInd w:val="0"/>
        <w:spacing w:line="360" w:lineRule="auto"/>
        <w:outlineLvl w:val="1"/>
        <w:rPr>
          <w:rFonts w:asciiTheme="minorEastAsia" w:hAnsiTheme="minorEastAsia" w:eastAsiaTheme="minorEastAsia" w:cstheme="minorEastAsia"/>
          <w:b/>
          <w:bCs/>
          <w:color w:val="auto"/>
          <w:sz w:val="24"/>
        </w:rPr>
      </w:pPr>
      <w:bookmarkStart w:id="111" w:name="_Toc13790"/>
      <w:r>
        <w:rPr>
          <w:rFonts w:hint="eastAsia" w:asciiTheme="minorEastAsia" w:hAnsiTheme="minorEastAsia" w:eastAsiaTheme="minorEastAsia" w:cstheme="minorEastAsia"/>
          <w:b/>
          <w:bCs/>
          <w:color w:val="auto"/>
          <w:sz w:val="24"/>
        </w:rPr>
        <w:t>一、技术需求</w:t>
      </w:r>
      <w:bookmarkEnd w:id="111"/>
    </w:p>
    <w:p>
      <w:pPr>
        <w:autoSpaceDE w:val="0"/>
        <w:autoSpaceDN w:val="0"/>
        <w:adjustRightInd w:val="0"/>
        <w:spacing w:line="360" w:lineRule="auto"/>
        <w:rPr>
          <w:rFonts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1.项目概况：</w:t>
      </w:r>
    </w:p>
    <w:p>
      <w:pPr>
        <w:autoSpaceDE w:val="0"/>
        <w:autoSpaceDN w:val="0"/>
        <w:adjustRightInd w:val="0"/>
        <w:spacing w:line="360" w:lineRule="auto"/>
        <w:rPr>
          <w:rFonts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为加快电气工程学科建设的进度，积极响应学校对申博学科的大力支持，</w:t>
      </w:r>
      <w:r>
        <w:rPr>
          <w:rFonts w:asciiTheme="minorEastAsia" w:hAnsiTheme="minorEastAsia" w:eastAsiaTheme="minorEastAsia" w:cstheme="minorEastAsia"/>
          <w:color w:val="auto"/>
          <w:szCs w:val="21"/>
        </w:rPr>
        <w:t>对照学科建设以及博士学位授权点申报对电气工程学科建设的指标要求</w:t>
      </w:r>
      <w:r>
        <w:rPr>
          <w:rFonts w:hint="eastAsia" w:asciiTheme="minorEastAsia" w:hAnsiTheme="minorEastAsia" w:eastAsiaTheme="minorEastAsia" w:cstheme="minorEastAsia"/>
          <w:color w:val="auto"/>
          <w:szCs w:val="21"/>
        </w:rPr>
        <w:t>,</w:t>
      </w:r>
      <w:r>
        <w:rPr>
          <w:rFonts w:asciiTheme="minorEastAsia" w:hAnsiTheme="minorEastAsia" w:eastAsiaTheme="minorEastAsia" w:cstheme="minorEastAsia"/>
          <w:color w:val="auto"/>
          <w:szCs w:val="21"/>
        </w:rPr>
        <w:t>现采购一批设备以支持本学科建设。</w:t>
      </w:r>
    </w:p>
    <w:p>
      <w:pPr>
        <w:numPr>
          <w:ilvl w:val="0"/>
          <w:numId w:val="36"/>
        </w:numPr>
        <w:autoSpaceDE w:val="0"/>
        <w:autoSpaceDN w:val="0"/>
        <w:adjustRightInd w:val="0"/>
        <w:spacing w:line="360" w:lineRule="auto"/>
        <w:rPr>
          <w:rFonts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设备/货物清单</w:t>
      </w:r>
    </w:p>
    <w:tbl>
      <w:tblPr>
        <w:tblStyle w:val="26"/>
        <w:tblW w:w="5405" w:type="pct"/>
        <w:tblInd w:w="-29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86"/>
        <w:gridCol w:w="1120"/>
        <w:gridCol w:w="5472"/>
        <w:gridCol w:w="584"/>
        <w:gridCol w:w="1135"/>
        <w:gridCol w:w="114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8" w:hRule="atLeast"/>
        </w:trPr>
        <w:tc>
          <w:tcPr>
            <w:tcW w:w="292" w:type="pct"/>
            <w:vAlign w:val="center"/>
          </w:tcPr>
          <w:p>
            <w:pPr>
              <w:jc w:val="center"/>
              <w:rPr>
                <w:rFonts w:ascii="宋体" w:hAnsi="宋体" w:cs="宋体"/>
                <w:color w:val="auto"/>
                <w:szCs w:val="21"/>
              </w:rPr>
            </w:pPr>
            <w:r>
              <w:rPr>
                <w:rFonts w:hint="eastAsia" w:ascii="宋体" w:hAnsi="宋体" w:cs="宋体"/>
                <w:color w:val="auto"/>
                <w:szCs w:val="21"/>
              </w:rPr>
              <w:t>序号</w:t>
            </w:r>
          </w:p>
        </w:tc>
        <w:tc>
          <w:tcPr>
            <w:tcW w:w="558" w:type="pct"/>
            <w:vAlign w:val="center"/>
          </w:tcPr>
          <w:p>
            <w:pPr>
              <w:jc w:val="center"/>
              <w:rPr>
                <w:rFonts w:ascii="宋体" w:hAnsi="宋体" w:cs="宋体"/>
                <w:color w:val="auto"/>
                <w:szCs w:val="21"/>
              </w:rPr>
            </w:pPr>
            <w:r>
              <w:rPr>
                <w:rFonts w:hint="eastAsia" w:ascii="宋体" w:hAnsi="宋体" w:cs="宋体"/>
                <w:color w:val="auto"/>
                <w:szCs w:val="21"/>
              </w:rPr>
              <w:t>设备名称</w:t>
            </w:r>
          </w:p>
        </w:tc>
        <w:tc>
          <w:tcPr>
            <w:tcW w:w="2725" w:type="pct"/>
            <w:vAlign w:val="center"/>
          </w:tcPr>
          <w:p>
            <w:pPr>
              <w:jc w:val="center"/>
              <w:rPr>
                <w:rFonts w:ascii="宋体" w:hAnsi="宋体" w:cs="宋体"/>
                <w:color w:val="auto"/>
                <w:szCs w:val="21"/>
              </w:rPr>
            </w:pPr>
            <w:r>
              <w:rPr>
                <w:rFonts w:hint="eastAsia" w:ascii="宋体" w:hAnsi="宋体" w:cs="宋体"/>
                <w:color w:val="auto"/>
                <w:szCs w:val="21"/>
              </w:rPr>
              <w:t>技术性能参数</w:t>
            </w:r>
          </w:p>
        </w:tc>
        <w:tc>
          <w:tcPr>
            <w:tcW w:w="291" w:type="pct"/>
            <w:vAlign w:val="center"/>
          </w:tcPr>
          <w:p>
            <w:pPr>
              <w:jc w:val="center"/>
              <w:rPr>
                <w:rFonts w:ascii="宋体" w:hAnsi="宋体" w:cs="宋体"/>
                <w:color w:val="auto"/>
                <w:szCs w:val="21"/>
              </w:rPr>
            </w:pPr>
            <w:r>
              <w:rPr>
                <w:rFonts w:hint="eastAsia" w:ascii="宋体" w:hAnsi="宋体" w:cs="宋体"/>
                <w:color w:val="auto"/>
                <w:szCs w:val="21"/>
              </w:rPr>
              <w:t>数量</w:t>
            </w:r>
          </w:p>
        </w:tc>
        <w:tc>
          <w:tcPr>
            <w:tcW w:w="565" w:type="pct"/>
            <w:vAlign w:val="center"/>
          </w:tcPr>
          <w:p>
            <w:pPr>
              <w:jc w:val="center"/>
              <w:rPr>
                <w:rFonts w:ascii="宋体" w:hAnsi="宋体" w:eastAsia="微软雅黑" w:cs="宋体"/>
                <w:color w:val="auto"/>
                <w:szCs w:val="21"/>
              </w:rPr>
            </w:pPr>
            <w:r>
              <w:rPr>
                <w:rFonts w:hint="eastAsia" w:ascii="宋体" w:hAnsi="宋体" w:cs="宋体"/>
                <w:color w:val="auto"/>
                <w:szCs w:val="21"/>
              </w:rPr>
              <w:t>单价最高限价（元）</w:t>
            </w:r>
          </w:p>
        </w:tc>
        <w:tc>
          <w:tcPr>
            <w:tcW w:w="1138" w:type="dxa"/>
            <w:vAlign w:val="center"/>
          </w:tcPr>
          <w:p>
            <w:pPr>
              <w:jc w:val="center"/>
              <w:rPr>
                <w:rFonts w:ascii="宋体" w:hAnsi="宋体" w:cs="宋体"/>
                <w:color w:val="auto"/>
                <w:szCs w:val="21"/>
              </w:rPr>
            </w:pPr>
            <w:r>
              <w:rPr>
                <w:rFonts w:hint="eastAsia" w:ascii="宋体" w:hAnsi="宋体" w:cs="宋体"/>
                <w:color w:val="auto"/>
                <w:szCs w:val="21"/>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92" w:type="pct"/>
            <w:vAlign w:val="center"/>
          </w:tcPr>
          <w:p>
            <w:pPr>
              <w:jc w:val="center"/>
              <w:rPr>
                <w:rFonts w:ascii="宋体" w:hAnsi="宋体" w:cs="宋体"/>
                <w:color w:val="auto"/>
                <w:szCs w:val="21"/>
              </w:rPr>
            </w:pPr>
            <w:r>
              <w:rPr>
                <w:rFonts w:hint="eastAsia" w:ascii="宋体" w:hAnsi="宋体" w:cs="宋体"/>
                <w:color w:val="auto"/>
                <w:szCs w:val="21"/>
              </w:rPr>
              <w:t>1</w:t>
            </w:r>
          </w:p>
        </w:tc>
        <w:tc>
          <w:tcPr>
            <w:tcW w:w="558" w:type="pct"/>
            <w:vAlign w:val="center"/>
          </w:tcPr>
          <w:p>
            <w:pPr>
              <w:jc w:val="center"/>
              <w:rPr>
                <w:rFonts w:ascii="宋体" w:hAnsi="宋体" w:cs="宋体"/>
                <w:color w:val="auto"/>
                <w:szCs w:val="21"/>
              </w:rPr>
            </w:pPr>
            <w:r>
              <w:rPr>
                <w:rFonts w:hint="eastAsia" w:ascii="宋体" w:hAnsi="宋体" w:cs="宋体"/>
                <w:color w:val="auto"/>
                <w:szCs w:val="21"/>
              </w:rPr>
              <w:t>电机控制硬件在环仿真系统（</w:t>
            </w:r>
            <w:r>
              <w:rPr>
                <w:rFonts w:hint="eastAsia" w:asciiTheme="minorEastAsia" w:hAnsiTheme="minorEastAsia" w:eastAsiaTheme="minorEastAsia" w:cstheme="minorEastAsia"/>
                <w:color w:val="auto"/>
                <w:szCs w:val="21"/>
              </w:rPr>
              <w:t>核心产品</w:t>
            </w:r>
            <w:r>
              <w:rPr>
                <w:rFonts w:hint="eastAsia" w:ascii="宋体" w:hAnsi="宋体" w:cs="宋体"/>
                <w:color w:val="auto"/>
                <w:szCs w:val="21"/>
              </w:rPr>
              <w:t>）</w:t>
            </w:r>
          </w:p>
        </w:tc>
        <w:tc>
          <w:tcPr>
            <w:tcW w:w="2725" w:type="pct"/>
            <w:vAlign w:val="center"/>
          </w:tcPr>
          <w:p>
            <w:pPr>
              <w:rPr>
                <w:color w:val="auto"/>
              </w:rPr>
            </w:pPr>
            <w:r>
              <w:rPr>
                <w:rFonts w:hint="eastAsia"/>
                <w:color w:val="auto"/>
              </w:rPr>
              <w:t>一、主要功能/用途</w:t>
            </w:r>
          </w:p>
          <w:p>
            <w:pPr>
              <w:rPr>
                <w:color w:val="auto"/>
              </w:rPr>
            </w:pPr>
            <w:r>
              <w:rPr>
                <w:rFonts w:hint="eastAsia"/>
                <w:color w:val="auto"/>
              </w:rPr>
              <w:t xml:space="preserve">1、用途：主要用于电力电子与电力传动测试研究项目中，可以研究主要包括电机控制及智能化技术的应用，并可以在整个实验系统测试阶段进行实时仿真及半实物模型建模等计算，从而提供给测试必要的参数反馈。 </w:t>
            </w:r>
          </w:p>
          <w:p>
            <w:pPr>
              <w:rPr>
                <w:color w:val="auto"/>
              </w:rPr>
            </w:pPr>
            <w:r>
              <w:rPr>
                <w:rFonts w:hint="eastAsia"/>
                <w:color w:val="auto"/>
              </w:rPr>
              <w:t>2、功能要求：</w:t>
            </w:r>
          </w:p>
          <w:p>
            <w:pPr>
              <w:rPr>
                <w:color w:val="auto"/>
              </w:rPr>
            </w:pPr>
            <w:r>
              <w:rPr>
                <w:rFonts w:hint="eastAsia"/>
                <w:color w:val="auto"/>
              </w:rPr>
              <w:t>2.1 实现矢量控制演算的高速度化、系统数据运算、存储等功能，实现96通道同期门信号输出等功能，可对应多级逆变器对多组门信号间的同期要求。12通道的模拟信号同期输出功能。输入输出通道简单扩展及同步功能。</w:t>
            </w:r>
          </w:p>
          <w:p>
            <w:pPr>
              <w:rPr>
                <w:color w:val="auto"/>
              </w:rPr>
            </w:pPr>
            <w:r>
              <w:rPr>
                <w:rFonts w:hint="eastAsia"/>
                <w:color w:val="auto"/>
              </w:rPr>
              <w:t xml:space="preserve">2.2 实时高速采集电子参数，对信号波形进行矢量控制。可以通过软件专用数据库对信号进行多种函数演算。实现对电力变换器持续的闭环反馈控制从而更高效地进行电力变换系统的演算。 </w:t>
            </w:r>
          </w:p>
          <w:p>
            <w:pPr>
              <w:rPr>
                <w:color w:val="auto"/>
              </w:rPr>
            </w:pPr>
            <w:r>
              <w:rPr>
                <w:rFonts w:hint="eastAsia"/>
                <w:color w:val="auto"/>
              </w:rPr>
              <w:t xml:space="preserve">※2.3提供多种功率可选的逆变器，逆变器硬件和快速控制原型有机结合，保护功能完备。 </w:t>
            </w:r>
          </w:p>
          <w:p>
            <w:pPr>
              <w:rPr>
                <w:color w:val="auto"/>
              </w:rPr>
            </w:pPr>
            <w:r>
              <w:rPr>
                <w:rFonts w:hint="eastAsia"/>
                <w:color w:val="auto"/>
              </w:rPr>
              <w:t>※2.4具有示波器（最低16通道，采样周期最低可达5us）、数据记录和功率分析仪功能。支持C语言调试，可修改底层驱动代码。</w:t>
            </w:r>
          </w:p>
          <w:p>
            <w:pPr>
              <w:rPr>
                <w:color w:val="auto"/>
              </w:rPr>
            </w:pPr>
            <w:r>
              <w:rPr>
                <w:rFonts w:hint="eastAsia"/>
                <w:color w:val="auto"/>
              </w:rPr>
              <w:t>※2.</w:t>
            </w:r>
            <w:r>
              <w:rPr>
                <w:color w:val="auto"/>
              </w:rPr>
              <w:t>5</w:t>
            </w:r>
            <w:r>
              <w:rPr>
                <w:rFonts w:hint="eastAsia"/>
                <w:color w:val="auto"/>
              </w:rPr>
              <w:t>拥有电力电子专用开发环境、实时波形显示、数据记录、功率检析等机能。</w:t>
            </w:r>
          </w:p>
          <w:p>
            <w:pPr>
              <w:rPr>
                <w:color w:val="auto"/>
              </w:rPr>
            </w:pPr>
            <w:r>
              <w:rPr>
                <w:rFonts w:hint="eastAsia"/>
                <w:color w:val="auto"/>
              </w:rPr>
              <w:t>※2.</w:t>
            </w:r>
            <w:r>
              <w:rPr>
                <w:color w:val="auto"/>
              </w:rPr>
              <w:t>6</w:t>
            </w:r>
            <w:r>
              <w:rPr>
                <w:rFonts w:hint="eastAsia"/>
                <w:color w:val="auto"/>
              </w:rPr>
              <w:t>提供多种电机控制仿真案例。</w:t>
            </w:r>
          </w:p>
          <w:p>
            <w:pPr>
              <w:rPr>
                <w:color w:val="auto"/>
              </w:rPr>
            </w:pPr>
            <w:r>
              <w:rPr>
                <w:rFonts w:hint="eastAsia"/>
                <w:color w:val="auto"/>
              </w:rPr>
              <w:t>二、技术参数/指标</w:t>
            </w:r>
          </w:p>
          <w:p>
            <w:pPr>
              <w:rPr>
                <w:color w:val="auto"/>
              </w:rPr>
            </w:pPr>
            <w:r>
              <w:rPr>
                <w:rFonts w:hint="eastAsia"/>
                <w:color w:val="auto"/>
              </w:rPr>
              <w:t>※1、硬件：实现5μs以内的矢量控制；M-G对拖机：提供电机与负载电机。逆变器容量&gt;</w:t>
            </w:r>
            <w:r>
              <w:rPr>
                <w:color w:val="auto"/>
              </w:rPr>
              <w:t>9</w:t>
            </w:r>
            <w:r>
              <w:rPr>
                <w:rFonts w:hint="eastAsia"/>
                <w:color w:val="auto"/>
              </w:rPr>
              <w:t>KVA，交流输出：额定电压: 400Vrms，频率：15KHz；额定电流&gt;13. Arms</w:t>
            </w:r>
          </w:p>
          <w:p>
            <w:pPr>
              <w:rPr>
                <w:color w:val="auto"/>
              </w:rPr>
            </w:pPr>
            <w:r>
              <w:rPr>
                <w:rFonts w:hint="eastAsia"/>
                <w:color w:val="auto"/>
              </w:rPr>
              <w:t>※2、软件：实现多种控制以及多通道PWM输出，具有电力电子专用的函数库。可控开关频率在20kHz-1.25Mhz。控制软件参数可以进行实时监控及控制；带有示波器功能。</w:t>
            </w:r>
          </w:p>
          <w:p>
            <w:pPr>
              <w:pStyle w:val="3"/>
              <w:spacing w:line="240" w:lineRule="auto"/>
              <w:ind w:left="0" w:right="0"/>
              <w:rPr>
                <w:rFonts w:ascii="Times New Roman" w:eastAsia="宋体"/>
                <w:color w:val="auto"/>
                <w:kern w:val="2"/>
                <w:sz w:val="21"/>
              </w:rPr>
            </w:pPr>
            <w:r>
              <w:rPr>
                <w:rFonts w:hint="eastAsia" w:ascii="Times New Roman" w:eastAsia="宋体"/>
                <w:color w:val="auto"/>
                <w:kern w:val="2"/>
                <w:sz w:val="21"/>
              </w:rPr>
              <w:t>3、集成开发环境</w:t>
            </w:r>
          </w:p>
          <w:p>
            <w:pPr>
              <w:pStyle w:val="3"/>
              <w:spacing w:line="240" w:lineRule="auto"/>
              <w:ind w:left="0" w:right="0"/>
              <w:rPr>
                <w:rFonts w:ascii="Times New Roman" w:eastAsia="宋体"/>
                <w:color w:val="auto"/>
                <w:kern w:val="2"/>
                <w:sz w:val="21"/>
              </w:rPr>
            </w:pPr>
            <w:r>
              <w:rPr>
                <w:rFonts w:hint="eastAsia"/>
                <w:color w:val="auto"/>
              </w:rPr>
              <w:t>※</w:t>
            </w:r>
            <w:r>
              <w:rPr>
                <w:rFonts w:hint="eastAsia" w:ascii="Times New Roman" w:eastAsia="宋体"/>
                <w:color w:val="auto"/>
                <w:kern w:val="2"/>
                <w:sz w:val="21"/>
              </w:rPr>
              <w:t>3.1 实时调试功能，像示波器一样可以进行内部变数的波形显示及调试。</w:t>
            </w:r>
          </w:p>
          <w:p>
            <w:pPr>
              <w:pStyle w:val="3"/>
              <w:spacing w:line="240" w:lineRule="auto"/>
              <w:ind w:left="0" w:right="0"/>
              <w:rPr>
                <w:rFonts w:ascii="Times New Roman" w:eastAsia="宋体"/>
                <w:color w:val="auto"/>
                <w:kern w:val="2"/>
                <w:sz w:val="21"/>
              </w:rPr>
            </w:pPr>
            <w:r>
              <w:rPr>
                <w:rFonts w:hint="eastAsia" w:ascii="Times New Roman" w:eastAsia="宋体"/>
                <w:color w:val="auto"/>
                <w:kern w:val="2"/>
                <w:sz w:val="21"/>
              </w:rPr>
              <w:t>3.2 控制与调试完全分离，这样不会受到调试带来影响。</w:t>
            </w:r>
          </w:p>
          <w:p>
            <w:pPr>
              <w:pStyle w:val="3"/>
              <w:spacing w:line="240" w:lineRule="auto"/>
              <w:ind w:left="0" w:right="0"/>
              <w:rPr>
                <w:rFonts w:ascii="Times New Roman" w:eastAsia="宋体"/>
                <w:color w:val="auto"/>
                <w:kern w:val="2"/>
                <w:sz w:val="21"/>
              </w:rPr>
            </w:pPr>
            <w:r>
              <w:rPr>
                <w:rFonts w:hint="eastAsia" w:ascii="Times New Roman" w:eastAsia="宋体"/>
                <w:color w:val="auto"/>
                <w:kern w:val="2"/>
                <w:sz w:val="21"/>
              </w:rPr>
              <w:t>3.3 实现多种控制以及多通道PWM输出，具有电力电子专用的函数库。</w:t>
            </w:r>
          </w:p>
          <w:p>
            <w:pPr>
              <w:pStyle w:val="3"/>
              <w:spacing w:line="240" w:lineRule="auto"/>
              <w:ind w:left="0" w:right="0"/>
              <w:rPr>
                <w:rFonts w:ascii="Times New Roman" w:eastAsia="宋体"/>
                <w:color w:val="auto"/>
                <w:kern w:val="2"/>
                <w:sz w:val="21"/>
              </w:rPr>
            </w:pPr>
            <w:r>
              <w:rPr>
                <w:rFonts w:hint="eastAsia"/>
                <w:color w:val="auto"/>
              </w:rPr>
              <w:t>※</w:t>
            </w:r>
            <w:r>
              <w:rPr>
                <w:rFonts w:hint="eastAsia" w:ascii="Times New Roman" w:eastAsia="宋体"/>
                <w:color w:val="auto"/>
                <w:kern w:val="2"/>
                <w:sz w:val="21"/>
              </w:rPr>
              <w:t>3.4 显示通道：16ch；采样：10μs时16ch；5μs时8ch。具有和计算机连接的编程接口，具有相应的开发环境和常用程序函数库及多种编程实例。</w:t>
            </w:r>
          </w:p>
          <w:p>
            <w:pPr>
              <w:pStyle w:val="3"/>
              <w:spacing w:line="240" w:lineRule="auto"/>
              <w:ind w:left="0" w:right="0"/>
              <w:rPr>
                <w:rFonts w:ascii="Times New Roman" w:eastAsia="宋体"/>
                <w:color w:val="auto"/>
                <w:kern w:val="2"/>
                <w:sz w:val="21"/>
              </w:rPr>
            </w:pPr>
            <w:r>
              <w:rPr>
                <w:rFonts w:hint="eastAsia"/>
                <w:color w:val="auto"/>
              </w:rPr>
              <w:t>※</w:t>
            </w:r>
            <w:r>
              <w:rPr>
                <w:rFonts w:hint="eastAsia" w:ascii="Times New Roman" w:eastAsia="宋体"/>
                <w:color w:val="auto"/>
                <w:kern w:val="2"/>
                <w:sz w:val="21"/>
              </w:rPr>
              <w:t>3.5 搭载电力电子专用数据库、相对于电力电子初学者比较理想的C语言开发。</w:t>
            </w:r>
          </w:p>
          <w:p>
            <w:pPr>
              <w:pStyle w:val="3"/>
              <w:spacing w:line="240" w:lineRule="auto"/>
              <w:ind w:left="0" w:right="0"/>
              <w:rPr>
                <w:rFonts w:ascii="Times New Roman" w:eastAsia="宋体"/>
                <w:color w:val="auto"/>
                <w:kern w:val="2"/>
                <w:sz w:val="21"/>
              </w:rPr>
            </w:pPr>
            <w:r>
              <w:rPr>
                <w:rFonts w:hint="eastAsia"/>
                <w:color w:val="auto"/>
              </w:rPr>
              <w:t>※</w:t>
            </w:r>
            <w:r>
              <w:rPr>
                <w:rFonts w:hint="eastAsia" w:ascii="Times New Roman" w:eastAsia="宋体"/>
                <w:color w:val="auto"/>
                <w:kern w:val="2"/>
                <w:sz w:val="21"/>
              </w:rPr>
              <w:t>3.6 具有C语言编程开发环境，以及详细的例程源代码及底层程序源代码，用户可以自行编写设计底层全部程序功能；具有支持PSIM和MATLAB等仿真软件编程功能。</w:t>
            </w:r>
          </w:p>
          <w:p>
            <w:pPr>
              <w:pStyle w:val="3"/>
              <w:spacing w:line="240" w:lineRule="auto"/>
              <w:ind w:left="0" w:right="0"/>
              <w:rPr>
                <w:rFonts w:ascii="Times New Roman" w:eastAsia="宋体"/>
                <w:color w:val="auto"/>
                <w:kern w:val="2"/>
                <w:sz w:val="21"/>
              </w:rPr>
            </w:pPr>
            <w:r>
              <w:rPr>
                <w:rFonts w:hint="eastAsia"/>
                <w:color w:val="auto"/>
              </w:rPr>
              <w:t>※</w:t>
            </w:r>
            <w:r>
              <w:rPr>
                <w:rFonts w:hint="eastAsia" w:ascii="Times New Roman" w:eastAsia="宋体"/>
                <w:color w:val="auto"/>
                <w:kern w:val="2"/>
                <w:sz w:val="21"/>
              </w:rPr>
              <w:t>3.7 简易实现源代码文件的编译、编写、程序下载及调试等的连续操作。</w:t>
            </w:r>
          </w:p>
          <w:p>
            <w:pPr>
              <w:pStyle w:val="3"/>
              <w:spacing w:line="240" w:lineRule="auto"/>
              <w:ind w:left="0" w:right="0"/>
              <w:rPr>
                <w:rFonts w:ascii="Times New Roman" w:eastAsia="宋体"/>
                <w:color w:val="auto"/>
                <w:kern w:val="2"/>
                <w:sz w:val="21"/>
              </w:rPr>
            </w:pPr>
            <w:r>
              <w:rPr>
                <w:rFonts w:hint="eastAsia" w:ascii="Times New Roman" w:eastAsia="宋体"/>
                <w:color w:val="auto"/>
                <w:kern w:val="2"/>
                <w:sz w:val="21"/>
              </w:rPr>
              <w:t>4、电力电子专用数据库</w:t>
            </w:r>
          </w:p>
          <w:p>
            <w:pPr>
              <w:pStyle w:val="3"/>
              <w:spacing w:line="240" w:lineRule="auto"/>
              <w:ind w:left="0" w:right="0"/>
              <w:rPr>
                <w:rFonts w:ascii="Times New Roman" w:eastAsia="宋体"/>
                <w:color w:val="auto"/>
                <w:kern w:val="2"/>
                <w:sz w:val="21"/>
              </w:rPr>
            </w:pPr>
            <w:r>
              <w:rPr>
                <w:rFonts w:hint="eastAsia" w:ascii="Times New Roman" w:eastAsia="宋体"/>
                <w:color w:val="auto"/>
                <w:kern w:val="2"/>
                <w:sz w:val="21"/>
              </w:rPr>
              <w:t>4.1 坐标变换函数、控制演算函数等</w:t>
            </w:r>
          </w:p>
          <w:p>
            <w:pPr>
              <w:pStyle w:val="3"/>
              <w:spacing w:line="240" w:lineRule="auto"/>
              <w:ind w:left="0" w:right="0"/>
              <w:rPr>
                <w:rFonts w:ascii="Times New Roman" w:eastAsia="宋体"/>
                <w:color w:val="auto"/>
                <w:kern w:val="2"/>
                <w:sz w:val="21"/>
              </w:rPr>
            </w:pPr>
            <w:r>
              <w:rPr>
                <w:rFonts w:hint="eastAsia" w:ascii="Times New Roman" w:eastAsia="宋体"/>
                <w:color w:val="auto"/>
                <w:kern w:val="2"/>
                <w:sz w:val="21"/>
              </w:rPr>
              <w:t>4.2 高速演算数据：sin函数、cos函数、tan函数</w:t>
            </w:r>
          </w:p>
          <w:p>
            <w:pPr>
              <w:pStyle w:val="3"/>
              <w:spacing w:line="240" w:lineRule="auto"/>
              <w:ind w:left="0" w:right="0"/>
              <w:rPr>
                <w:rFonts w:ascii="Times New Roman" w:eastAsia="宋体"/>
                <w:color w:val="auto"/>
                <w:kern w:val="2"/>
                <w:sz w:val="21"/>
              </w:rPr>
            </w:pPr>
            <w:r>
              <w:rPr>
                <w:rFonts w:hint="eastAsia" w:ascii="Times New Roman" w:eastAsia="宋体"/>
                <w:color w:val="auto"/>
                <w:kern w:val="2"/>
                <w:sz w:val="21"/>
              </w:rPr>
              <w:t>4.3 IO数据库：中断、计时、逆变其控制、计数器控制、A/D控制、I/O控制、基板间同步函数等</w:t>
            </w:r>
          </w:p>
          <w:p>
            <w:pPr>
              <w:pStyle w:val="3"/>
              <w:spacing w:line="240" w:lineRule="auto"/>
              <w:ind w:left="0" w:right="0"/>
              <w:rPr>
                <w:rFonts w:ascii="Times New Roman" w:eastAsia="宋体"/>
                <w:color w:val="auto"/>
                <w:kern w:val="2"/>
                <w:sz w:val="21"/>
              </w:rPr>
            </w:pPr>
            <w:r>
              <w:rPr>
                <w:rFonts w:hint="eastAsia" w:ascii="Times New Roman" w:eastAsia="宋体"/>
                <w:color w:val="auto"/>
                <w:kern w:val="2"/>
                <w:sz w:val="21"/>
              </w:rPr>
              <w:t>5、功率分析仪</w:t>
            </w:r>
          </w:p>
          <w:p>
            <w:pPr>
              <w:pStyle w:val="3"/>
              <w:spacing w:line="240" w:lineRule="auto"/>
              <w:ind w:left="0" w:right="0"/>
              <w:rPr>
                <w:rFonts w:ascii="Times New Roman" w:eastAsia="宋体"/>
                <w:color w:val="auto"/>
                <w:kern w:val="2"/>
                <w:sz w:val="21"/>
              </w:rPr>
            </w:pPr>
            <w:r>
              <w:rPr>
                <w:rFonts w:hint="eastAsia" w:ascii="Times New Roman" w:eastAsia="宋体"/>
                <w:color w:val="auto"/>
                <w:kern w:val="2"/>
                <w:sz w:val="21"/>
              </w:rPr>
              <w:t xml:space="preserve">   输入通道数： 最大6ch，电压/电流同时单位是1ch。电压（U）、电流（I）、有功功率（P）、视在功率（S）、无功功率（Q）、功率因数（λ）、相位角（φ）、频率（f）、效率（η）、损失（loss）、电压纹波率（Urf）、电流纹波率（Irf）、电流累积（Ih）、功率累积（WP）、电压峰值（Upk）、电流峰值（Ipk）、谐波测量、波形记录、功率分析≥6组、数据保存间隔：间隔10ms。</w:t>
            </w:r>
          </w:p>
          <w:p>
            <w:pPr>
              <w:pStyle w:val="3"/>
              <w:spacing w:line="240" w:lineRule="auto"/>
              <w:ind w:left="0" w:right="0"/>
              <w:rPr>
                <w:rFonts w:ascii="Times New Roman" w:eastAsia="宋体"/>
                <w:color w:val="auto"/>
                <w:kern w:val="2"/>
                <w:sz w:val="21"/>
              </w:rPr>
            </w:pPr>
            <w:r>
              <w:rPr>
                <w:rFonts w:hint="eastAsia" w:ascii="Times New Roman" w:eastAsia="宋体"/>
                <w:color w:val="auto"/>
                <w:kern w:val="2"/>
                <w:sz w:val="21"/>
              </w:rPr>
              <w:t>※6、ABZ计数输入：通道数：2ch、计算精度：32bit</w:t>
            </w:r>
          </w:p>
          <w:p>
            <w:pPr>
              <w:pStyle w:val="3"/>
              <w:spacing w:line="240" w:lineRule="auto"/>
              <w:ind w:left="0" w:right="0"/>
              <w:rPr>
                <w:rFonts w:ascii="宋体" w:hAnsi="宋体" w:cs="宋体"/>
                <w:color w:val="auto"/>
                <w:szCs w:val="21"/>
              </w:rPr>
            </w:pPr>
            <w:r>
              <w:rPr>
                <w:rFonts w:hint="eastAsia" w:ascii="Times New Roman" w:eastAsia="宋体"/>
                <w:color w:val="auto"/>
                <w:kern w:val="2"/>
                <w:sz w:val="21"/>
              </w:rPr>
              <w:t>※7、旋转变压器输入：差动序号</w:t>
            </w:r>
          </w:p>
        </w:tc>
        <w:tc>
          <w:tcPr>
            <w:tcW w:w="291" w:type="pct"/>
            <w:vAlign w:val="center"/>
          </w:tcPr>
          <w:p>
            <w:pPr>
              <w:jc w:val="center"/>
              <w:rPr>
                <w:rFonts w:ascii="宋体" w:hAnsi="宋体" w:cs="宋体"/>
                <w:color w:val="auto"/>
                <w:szCs w:val="21"/>
              </w:rPr>
            </w:pPr>
            <w:r>
              <w:rPr>
                <w:rFonts w:hint="eastAsia" w:ascii="宋体" w:hAnsi="宋体" w:cs="宋体"/>
                <w:color w:val="auto"/>
                <w:szCs w:val="21"/>
              </w:rPr>
              <w:t>1套</w:t>
            </w:r>
          </w:p>
        </w:tc>
        <w:tc>
          <w:tcPr>
            <w:tcW w:w="565" w:type="pct"/>
            <w:vAlign w:val="center"/>
          </w:tcPr>
          <w:p>
            <w:pPr>
              <w:jc w:val="center"/>
              <w:rPr>
                <w:rFonts w:ascii="宋体" w:hAnsi="宋体" w:cs="宋体"/>
                <w:color w:val="auto"/>
                <w:szCs w:val="21"/>
              </w:rPr>
            </w:pPr>
            <w:r>
              <w:rPr>
                <w:rFonts w:hint="eastAsia" w:ascii="微软雅黑" w:hAnsi="微软雅黑" w:eastAsia="微软雅黑" w:cs="微软雅黑"/>
                <w:color w:val="auto"/>
                <w:sz w:val="18"/>
                <w:szCs w:val="18"/>
              </w:rPr>
              <w:t>436600</w:t>
            </w:r>
            <w:r>
              <w:rPr>
                <w:rFonts w:ascii="微软雅黑" w:hAnsi="微软雅黑" w:eastAsia="微软雅黑" w:cs="微软雅黑"/>
                <w:vanish/>
                <w:color w:val="auto"/>
                <w:sz w:val="24"/>
              </w:rPr>
              <w:pict>
                <v:shape id="_x0000_i1025" o:spt="75" type="#_x0000_t75" style="height:17.9pt;width:72pt;" filled="f" o:preferrelative="t" stroked="f" coordsize="21600,21600">
                  <v:path/>
                  <v:fill on="f" focussize="0,0"/>
                  <v:stroke on="f" joinstyle="miter"/>
                  <v:imagedata r:id="rId14" o:title=""/>
                  <o:lock v:ext="edit" aspectratio="t"/>
                  <w10:wrap type="none"/>
                  <w10:anchorlock/>
                </v:shape>
              </w:pict>
            </w:r>
          </w:p>
        </w:tc>
        <w:tc>
          <w:tcPr>
            <w:tcW w:w="1138" w:type="dxa"/>
            <w:vAlign w:val="center"/>
          </w:tcPr>
          <w:p>
            <w:pPr>
              <w:jc w:val="center"/>
              <w:rPr>
                <w:rFonts w:ascii="宋体" w:hAnsi="宋体" w:cs="宋体"/>
                <w:color w:val="auto"/>
                <w:szCs w:val="21"/>
              </w:rPr>
            </w:pPr>
            <w:r>
              <w:rPr>
                <w:rFonts w:hint="eastAsia" w:ascii="宋体" w:hAnsi="宋体" w:cs="宋体"/>
                <w:color w:val="auto"/>
                <w:szCs w:val="21"/>
              </w:rPr>
              <w:t>本设备拟采购进口设备，投标报价包括除报价要求相关内容外，还应包括进口设备代理费等费用；报价时，请按教育科研机构进口免税价进行报价。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5" w:hRule="atLeast"/>
        </w:trPr>
        <w:tc>
          <w:tcPr>
            <w:tcW w:w="292" w:type="pct"/>
            <w:vAlign w:val="center"/>
          </w:tcPr>
          <w:p>
            <w:pPr>
              <w:jc w:val="center"/>
              <w:rPr>
                <w:rFonts w:ascii="宋体" w:hAnsi="宋体" w:cs="宋体"/>
                <w:color w:val="auto"/>
                <w:szCs w:val="21"/>
              </w:rPr>
            </w:pPr>
            <w:r>
              <w:rPr>
                <w:rFonts w:hint="eastAsia" w:ascii="宋体" w:hAnsi="宋体" w:cs="宋体"/>
                <w:color w:val="auto"/>
                <w:szCs w:val="21"/>
              </w:rPr>
              <w:t>2</w:t>
            </w:r>
          </w:p>
        </w:tc>
        <w:tc>
          <w:tcPr>
            <w:tcW w:w="558" w:type="pct"/>
            <w:vAlign w:val="center"/>
          </w:tcPr>
          <w:p>
            <w:pPr>
              <w:jc w:val="center"/>
              <w:rPr>
                <w:rFonts w:ascii="宋体" w:hAnsi="宋体" w:cs="宋体"/>
                <w:color w:val="auto"/>
                <w:szCs w:val="21"/>
              </w:rPr>
            </w:pPr>
            <w:r>
              <w:rPr>
                <w:rFonts w:hint="eastAsia" w:ascii="宋体" w:hAnsi="宋体" w:cs="宋体"/>
                <w:color w:val="auto"/>
                <w:szCs w:val="21"/>
              </w:rPr>
              <w:t>SIC逆变器集成开发环境（</w:t>
            </w:r>
            <w:r>
              <w:rPr>
                <w:rFonts w:hint="eastAsia" w:asciiTheme="minorEastAsia" w:hAnsiTheme="minorEastAsia" w:eastAsiaTheme="minorEastAsia" w:cstheme="minorEastAsia"/>
                <w:color w:val="auto"/>
                <w:szCs w:val="21"/>
              </w:rPr>
              <w:t>核心产品</w:t>
            </w:r>
            <w:r>
              <w:rPr>
                <w:rFonts w:hint="eastAsia" w:ascii="宋体" w:hAnsi="宋体" w:cs="宋体"/>
                <w:color w:val="auto"/>
                <w:szCs w:val="21"/>
              </w:rPr>
              <w:t>）</w:t>
            </w:r>
          </w:p>
        </w:tc>
        <w:tc>
          <w:tcPr>
            <w:tcW w:w="2725" w:type="pct"/>
            <w:vAlign w:val="center"/>
          </w:tcPr>
          <w:p>
            <w:pPr>
              <w:rPr>
                <w:rFonts w:ascii="宋体" w:hAnsi="宋体" w:cs="宋体"/>
                <w:color w:val="auto"/>
                <w:szCs w:val="21"/>
              </w:rPr>
            </w:pPr>
            <w:r>
              <w:rPr>
                <w:rFonts w:hint="eastAsia" w:ascii="宋体" w:hAnsi="宋体" w:cs="宋体"/>
                <w:color w:val="auto"/>
                <w:szCs w:val="21"/>
              </w:rPr>
              <w:t>一、主要功能/用途</w:t>
            </w:r>
          </w:p>
          <w:p>
            <w:pPr>
              <w:rPr>
                <w:color w:val="auto"/>
              </w:rPr>
            </w:pPr>
            <w:r>
              <w:rPr>
                <w:rFonts w:hint="eastAsia"/>
                <w:color w:val="auto"/>
              </w:rPr>
              <w:t>1、</w:t>
            </w:r>
            <w:r>
              <w:rPr>
                <w:color w:val="auto"/>
              </w:rPr>
              <w:t>用途</w:t>
            </w:r>
            <w:r>
              <w:rPr>
                <w:rFonts w:hint="eastAsia"/>
                <w:color w:val="auto"/>
              </w:rPr>
              <w:t>：</w:t>
            </w:r>
            <w:r>
              <w:rPr>
                <w:color w:val="auto"/>
              </w:rPr>
              <w:t xml:space="preserve">主要用于宽禁带电力电子测试研究项目中，可以研究主要包括电机控制及智能化技术的应用，并可以在整个实验系统测试阶段进行实时仿真及半实物模型建模等计算，从而提供给测试必要的参数反馈。 </w:t>
            </w:r>
          </w:p>
          <w:p>
            <w:pPr>
              <w:rPr>
                <w:color w:val="auto"/>
              </w:rPr>
            </w:pPr>
            <w:r>
              <w:rPr>
                <w:color w:val="auto"/>
              </w:rPr>
              <w:t>2</w:t>
            </w:r>
            <w:r>
              <w:rPr>
                <w:rFonts w:hint="eastAsia"/>
                <w:color w:val="auto"/>
              </w:rPr>
              <w:t>、</w:t>
            </w:r>
            <w:r>
              <w:rPr>
                <w:color w:val="auto"/>
              </w:rPr>
              <w:t>功能要求</w:t>
            </w:r>
            <w:r>
              <w:rPr>
                <w:rFonts w:hint="eastAsia"/>
                <w:color w:val="auto"/>
              </w:rPr>
              <w:t>：</w:t>
            </w:r>
          </w:p>
          <w:p>
            <w:pPr>
              <w:rPr>
                <w:color w:val="auto"/>
              </w:rPr>
            </w:pPr>
            <w:r>
              <w:rPr>
                <w:rFonts w:hint="eastAsia" w:ascii="宋体" w:hAnsi="宋体" w:cs="宋体"/>
                <w:color w:val="auto"/>
                <w:szCs w:val="21"/>
              </w:rPr>
              <w:t>※</w:t>
            </w:r>
            <w:r>
              <w:rPr>
                <w:rFonts w:hint="eastAsia"/>
                <w:color w:val="auto"/>
              </w:rPr>
              <w:t xml:space="preserve">2.1 </w:t>
            </w:r>
            <w:r>
              <w:rPr>
                <w:color w:val="auto"/>
              </w:rPr>
              <w:t xml:space="preserve">采用高速开关频率的宽禁带电力电子逆变器。提供碳化硅逆变器，实现高频开关频率的电机控制。 仿真平台可实现对宽禁带器件的开发和仿真，具有电力电子器件或电机模型仿真功能，实现电机硬件在环仿真。可控开关频率不低于1.2Mhz。 </w:t>
            </w:r>
          </w:p>
          <w:p>
            <w:pPr>
              <w:rPr>
                <w:color w:val="auto"/>
              </w:rPr>
            </w:pPr>
            <w:r>
              <w:rPr>
                <w:rFonts w:hint="eastAsia" w:ascii="宋体" w:hAnsi="宋体" w:cs="宋体"/>
                <w:color w:val="auto"/>
                <w:szCs w:val="21"/>
              </w:rPr>
              <w:t>※</w:t>
            </w:r>
            <w:r>
              <w:rPr>
                <w:rFonts w:hint="eastAsia"/>
                <w:color w:val="auto"/>
              </w:rPr>
              <w:t xml:space="preserve">2.2 </w:t>
            </w:r>
            <w:r>
              <w:rPr>
                <w:color w:val="auto"/>
              </w:rPr>
              <w:t xml:space="preserve">提供多种功率可选的碳化硅逆变器，可以实现对电机模型的硬件在环仿真，保护功能完备。 </w:t>
            </w:r>
          </w:p>
          <w:p>
            <w:pPr>
              <w:rPr>
                <w:color w:val="auto"/>
              </w:rPr>
            </w:pPr>
            <w:r>
              <w:rPr>
                <w:rFonts w:hint="eastAsia" w:ascii="宋体" w:hAnsi="宋体" w:cs="宋体"/>
                <w:color w:val="auto"/>
                <w:szCs w:val="21"/>
              </w:rPr>
              <w:t>※</w:t>
            </w:r>
            <w:r>
              <w:rPr>
                <w:rFonts w:hint="eastAsia"/>
                <w:color w:val="auto"/>
              </w:rPr>
              <w:t xml:space="preserve">2.3 </w:t>
            </w:r>
            <w:r>
              <w:rPr>
                <w:color w:val="auto"/>
              </w:rPr>
              <w:t>具有示波器（最低16通道，采样周期最低可达5us）、数据记录和功率分析仪功能。支持C语言调试可修改底层驱动代码</w:t>
            </w:r>
          </w:p>
          <w:p>
            <w:pPr>
              <w:rPr>
                <w:color w:val="auto"/>
              </w:rPr>
            </w:pPr>
            <w:r>
              <w:rPr>
                <w:rFonts w:hint="eastAsia"/>
                <w:color w:val="auto"/>
              </w:rPr>
              <w:t>二、技术参数/指标</w:t>
            </w:r>
          </w:p>
          <w:p>
            <w:pPr>
              <w:rPr>
                <w:color w:val="auto"/>
              </w:rPr>
            </w:pPr>
            <w:r>
              <w:rPr>
                <w:rFonts w:hint="eastAsia"/>
                <w:color w:val="auto"/>
              </w:rPr>
              <w:t>※1、硬件：实现5μs以内的矢量控制；SIC 10KVA逆变器  1台、交流输出：额定容量:  ≧10KVA（输出AC400Vrms时）、额定电压： ≧AC400Vrms、额定电流： ≧AC14.5Arms。开关频率：～200KHz，内带电流、电压传感器；传感器检测部：直流电压（Vdc1）：±1016V/±5V、直流电流（Idc）：±31.25A/±5V、B) U/V/W相电流（Iu/Iw）：±31.25A/±5V、C) U相电压（Vu）：±1016V/±5V、D）W相电压（Vw）：±1016V/±5V。</w:t>
            </w:r>
          </w:p>
          <w:p>
            <w:pPr>
              <w:rPr>
                <w:color w:val="auto"/>
              </w:rPr>
            </w:pPr>
            <w:r>
              <w:rPr>
                <w:rFonts w:hint="eastAsia"/>
                <w:color w:val="auto"/>
              </w:rPr>
              <w:t>※2、软件：实现多种控制以及多通道PWM输出，具有电力电子专用的函数库。可控开关频率在20kHz-1.25Mhz。控制软件参数可以进行实时监控及控制；带有示波器功能。</w:t>
            </w:r>
          </w:p>
          <w:p>
            <w:pPr>
              <w:pStyle w:val="3"/>
              <w:spacing w:line="240" w:lineRule="auto"/>
              <w:ind w:left="0" w:right="0"/>
              <w:rPr>
                <w:rFonts w:ascii="Times New Roman" w:eastAsia="宋体"/>
                <w:color w:val="auto"/>
                <w:kern w:val="2"/>
                <w:sz w:val="21"/>
              </w:rPr>
            </w:pPr>
            <w:r>
              <w:rPr>
                <w:rFonts w:hint="eastAsia" w:ascii="Times New Roman" w:eastAsia="宋体"/>
                <w:color w:val="auto"/>
                <w:kern w:val="2"/>
                <w:sz w:val="21"/>
              </w:rPr>
              <w:t>3、集成开发环境</w:t>
            </w:r>
          </w:p>
          <w:p>
            <w:pPr>
              <w:pStyle w:val="3"/>
              <w:spacing w:line="240" w:lineRule="auto"/>
              <w:ind w:left="0" w:right="0"/>
              <w:rPr>
                <w:rFonts w:ascii="Times New Roman" w:eastAsia="宋体"/>
                <w:color w:val="auto"/>
                <w:kern w:val="2"/>
                <w:sz w:val="21"/>
              </w:rPr>
            </w:pPr>
            <w:r>
              <w:rPr>
                <w:rFonts w:hint="eastAsia"/>
                <w:color w:val="auto"/>
              </w:rPr>
              <w:t>※</w:t>
            </w:r>
            <w:r>
              <w:rPr>
                <w:rFonts w:hint="eastAsia" w:ascii="Times New Roman" w:eastAsia="宋体"/>
                <w:color w:val="auto"/>
                <w:kern w:val="2"/>
                <w:sz w:val="21"/>
              </w:rPr>
              <w:t>3.1 实时调试功能，像示波器一样可以进行内部变数的波形显示及调试。</w:t>
            </w:r>
          </w:p>
          <w:p>
            <w:pPr>
              <w:pStyle w:val="3"/>
              <w:spacing w:line="240" w:lineRule="auto"/>
              <w:ind w:left="0" w:right="0"/>
              <w:rPr>
                <w:rFonts w:ascii="Times New Roman" w:eastAsia="宋体"/>
                <w:color w:val="auto"/>
                <w:kern w:val="2"/>
                <w:sz w:val="21"/>
              </w:rPr>
            </w:pPr>
            <w:r>
              <w:rPr>
                <w:rFonts w:hint="eastAsia" w:ascii="Times New Roman" w:eastAsia="宋体"/>
                <w:color w:val="auto"/>
                <w:kern w:val="2"/>
                <w:sz w:val="21"/>
              </w:rPr>
              <w:t>3.2 控制与调试完全分离，这样不会受到调试带来影响。</w:t>
            </w:r>
          </w:p>
          <w:p>
            <w:pPr>
              <w:pStyle w:val="3"/>
              <w:spacing w:line="240" w:lineRule="auto"/>
              <w:ind w:left="0" w:right="0"/>
              <w:rPr>
                <w:rFonts w:ascii="Times New Roman" w:eastAsia="宋体"/>
                <w:color w:val="auto"/>
                <w:kern w:val="2"/>
                <w:sz w:val="21"/>
              </w:rPr>
            </w:pPr>
            <w:r>
              <w:rPr>
                <w:rFonts w:hint="eastAsia" w:ascii="Times New Roman" w:eastAsia="宋体"/>
                <w:color w:val="auto"/>
                <w:kern w:val="2"/>
                <w:sz w:val="21"/>
              </w:rPr>
              <w:t>3.3 实现多种控制以及多通道PWM输出，具有电力电子专用的函数库。</w:t>
            </w:r>
          </w:p>
          <w:p>
            <w:pPr>
              <w:pStyle w:val="3"/>
              <w:spacing w:line="240" w:lineRule="auto"/>
              <w:ind w:left="0" w:right="0"/>
              <w:rPr>
                <w:rFonts w:ascii="Times New Roman" w:eastAsia="宋体"/>
                <w:color w:val="auto"/>
                <w:kern w:val="2"/>
                <w:sz w:val="21"/>
              </w:rPr>
            </w:pPr>
            <w:r>
              <w:rPr>
                <w:rFonts w:hint="eastAsia"/>
                <w:color w:val="auto"/>
              </w:rPr>
              <w:t>※</w:t>
            </w:r>
            <w:r>
              <w:rPr>
                <w:rFonts w:hint="eastAsia" w:ascii="Times New Roman" w:eastAsia="宋体"/>
                <w:color w:val="auto"/>
                <w:kern w:val="2"/>
                <w:sz w:val="21"/>
              </w:rPr>
              <w:t>3.4 显示通道：16ch；采样：10μs时16ch；5μs时8ch。具有和计算机连接的编程接口，具有相应的开发环境和常用程序函数库及多种编程实例。</w:t>
            </w:r>
          </w:p>
          <w:p>
            <w:pPr>
              <w:pStyle w:val="3"/>
              <w:spacing w:line="240" w:lineRule="auto"/>
              <w:ind w:left="0" w:right="0"/>
              <w:rPr>
                <w:rFonts w:ascii="Times New Roman" w:eastAsia="宋体"/>
                <w:color w:val="auto"/>
                <w:kern w:val="2"/>
                <w:sz w:val="21"/>
              </w:rPr>
            </w:pPr>
            <w:r>
              <w:rPr>
                <w:rFonts w:hint="eastAsia"/>
                <w:color w:val="auto"/>
              </w:rPr>
              <w:t>※</w:t>
            </w:r>
            <w:r>
              <w:rPr>
                <w:rFonts w:hint="eastAsia" w:ascii="Times New Roman" w:eastAsia="宋体"/>
                <w:color w:val="auto"/>
                <w:kern w:val="2"/>
                <w:sz w:val="21"/>
              </w:rPr>
              <w:t>3.5 搭载电力电子专用数据库、相对于电力电子初学者比较理想的C语言开发。</w:t>
            </w:r>
          </w:p>
          <w:p>
            <w:pPr>
              <w:pStyle w:val="3"/>
              <w:spacing w:line="240" w:lineRule="auto"/>
              <w:ind w:left="0" w:right="0"/>
              <w:rPr>
                <w:rFonts w:ascii="Times New Roman" w:eastAsia="宋体"/>
                <w:color w:val="auto"/>
                <w:kern w:val="2"/>
                <w:sz w:val="21"/>
              </w:rPr>
            </w:pPr>
            <w:r>
              <w:rPr>
                <w:rFonts w:hint="eastAsia"/>
                <w:color w:val="auto"/>
              </w:rPr>
              <w:t>※</w:t>
            </w:r>
            <w:r>
              <w:rPr>
                <w:rFonts w:hint="eastAsia" w:ascii="Times New Roman" w:eastAsia="宋体"/>
                <w:color w:val="auto"/>
                <w:kern w:val="2"/>
                <w:sz w:val="21"/>
              </w:rPr>
              <w:t>3.6 具有C语言编程开发环境，以及详细的例程源代码及底层程序源代码，用户可以自行编写设计底层全部程序功能；具有支持PSIM和MATLAB等仿真软件编程功能。</w:t>
            </w:r>
          </w:p>
          <w:p>
            <w:pPr>
              <w:pStyle w:val="3"/>
              <w:spacing w:line="240" w:lineRule="auto"/>
              <w:ind w:left="0" w:right="0"/>
              <w:rPr>
                <w:rFonts w:ascii="Times New Roman" w:eastAsia="宋体"/>
                <w:color w:val="auto"/>
                <w:kern w:val="2"/>
                <w:sz w:val="21"/>
              </w:rPr>
            </w:pPr>
            <w:r>
              <w:rPr>
                <w:rFonts w:hint="eastAsia"/>
                <w:color w:val="auto"/>
              </w:rPr>
              <w:t>※</w:t>
            </w:r>
            <w:r>
              <w:rPr>
                <w:rFonts w:hint="eastAsia" w:ascii="Times New Roman" w:eastAsia="宋体"/>
                <w:color w:val="auto"/>
                <w:kern w:val="2"/>
                <w:sz w:val="21"/>
              </w:rPr>
              <w:t>3.7 简易实现源代码文件的编译、编写、程序下载及调试等的连续操作。</w:t>
            </w:r>
          </w:p>
          <w:p>
            <w:pPr>
              <w:pStyle w:val="3"/>
              <w:spacing w:line="240" w:lineRule="auto"/>
              <w:ind w:left="0" w:right="0"/>
              <w:rPr>
                <w:rFonts w:ascii="Times New Roman" w:eastAsia="宋体"/>
                <w:color w:val="auto"/>
                <w:kern w:val="2"/>
                <w:sz w:val="21"/>
              </w:rPr>
            </w:pPr>
            <w:r>
              <w:rPr>
                <w:rFonts w:hint="eastAsia" w:ascii="Times New Roman" w:eastAsia="宋体"/>
                <w:color w:val="auto"/>
                <w:kern w:val="2"/>
                <w:sz w:val="21"/>
              </w:rPr>
              <w:t>4、电力电子专用数据库</w:t>
            </w:r>
          </w:p>
          <w:p>
            <w:pPr>
              <w:pStyle w:val="3"/>
              <w:spacing w:line="240" w:lineRule="auto"/>
              <w:ind w:left="0" w:right="0"/>
              <w:rPr>
                <w:rFonts w:ascii="Times New Roman" w:eastAsia="宋体"/>
                <w:color w:val="auto"/>
                <w:kern w:val="2"/>
                <w:sz w:val="21"/>
              </w:rPr>
            </w:pPr>
            <w:r>
              <w:rPr>
                <w:rFonts w:hint="eastAsia" w:ascii="Times New Roman" w:eastAsia="宋体"/>
                <w:color w:val="auto"/>
                <w:kern w:val="2"/>
                <w:sz w:val="21"/>
              </w:rPr>
              <w:t>4.1 坐标变换函数、控制演算函数等</w:t>
            </w:r>
          </w:p>
          <w:p>
            <w:pPr>
              <w:pStyle w:val="3"/>
              <w:spacing w:line="240" w:lineRule="auto"/>
              <w:ind w:left="0" w:right="0"/>
              <w:rPr>
                <w:rFonts w:ascii="Times New Roman" w:eastAsia="宋体"/>
                <w:color w:val="auto"/>
                <w:kern w:val="2"/>
                <w:sz w:val="21"/>
              </w:rPr>
            </w:pPr>
            <w:r>
              <w:rPr>
                <w:rFonts w:hint="eastAsia" w:ascii="Times New Roman" w:eastAsia="宋体"/>
                <w:color w:val="auto"/>
                <w:kern w:val="2"/>
                <w:sz w:val="21"/>
              </w:rPr>
              <w:t>4.2 高速演算数据：sin函数、cos函数、tan函数</w:t>
            </w:r>
          </w:p>
          <w:p>
            <w:pPr>
              <w:pStyle w:val="3"/>
              <w:spacing w:line="240" w:lineRule="auto"/>
              <w:ind w:left="0" w:right="0"/>
              <w:rPr>
                <w:rFonts w:ascii="Times New Roman" w:eastAsia="宋体"/>
                <w:color w:val="auto"/>
                <w:kern w:val="2"/>
                <w:sz w:val="21"/>
              </w:rPr>
            </w:pPr>
            <w:r>
              <w:rPr>
                <w:rFonts w:hint="eastAsia" w:ascii="Times New Roman" w:eastAsia="宋体"/>
                <w:color w:val="auto"/>
                <w:kern w:val="2"/>
                <w:sz w:val="21"/>
              </w:rPr>
              <w:t>4.3 IO数据库：中断、计时、逆变其控制、计数器控制、A/D控制、I/O控制、基板间同步函数等</w:t>
            </w:r>
          </w:p>
          <w:p>
            <w:pPr>
              <w:pStyle w:val="3"/>
              <w:spacing w:line="240" w:lineRule="auto"/>
              <w:ind w:left="0" w:right="0"/>
              <w:rPr>
                <w:rFonts w:ascii="Times New Roman" w:eastAsia="宋体"/>
                <w:color w:val="auto"/>
                <w:kern w:val="2"/>
                <w:sz w:val="21"/>
              </w:rPr>
            </w:pPr>
            <w:r>
              <w:rPr>
                <w:rFonts w:hint="eastAsia" w:ascii="Times New Roman" w:eastAsia="宋体"/>
                <w:color w:val="auto"/>
                <w:kern w:val="2"/>
                <w:sz w:val="21"/>
              </w:rPr>
              <w:t>5、功率分析仪</w:t>
            </w:r>
          </w:p>
          <w:p>
            <w:pPr>
              <w:pStyle w:val="3"/>
              <w:spacing w:line="240" w:lineRule="auto"/>
              <w:ind w:left="0" w:right="0"/>
              <w:rPr>
                <w:rFonts w:ascii="Times New Roman" w:eastAsia="宋体"/>
                <w:color w:val="auto"/>
                <w:kern w:val="2"/>
                <w:sz w:val="21"/>
              </w:rPr>
            </w:pPr>
            <w:r>
              <w:rPr>
                <w:rFonts w:hint="eastAsia" w:ascii="Times New Roman" w:eastAsia="宋体"/>
                <w:color w:val="auto"/>
                <w:kern w:val="2"/>
                <w:sz w:val="21"/>
              </w:rPr>
              <w:t xml:space="preserve">   输入通道数： 最大6ch，电压/电流同时单位是1ch。电压（U）、电流（I）、有功功率（P）、视在功率（S）、无功功率（Q）、功率因数（λ）、相位角（φ）、频率（f）、效率（η）、损失（loss）、电压纹波率（Urf）、电流纹波率（Irf）、电流累积（Ih）、功率累积（WP）、电压峰值（Upk）、电流峰值（Ipk）、谐波测量、波形记录、功率分析≥6组、数据保存间隔：间隔10ms。</w:t>
            </w:r>
          </w:p>
          <w:p>
            <w:pPr>
              <w:pStyle w:val="3"/>
              <w:spacing w:line="240" w:lineRule="auto"/>
              <w:ind w:left="0" w:right="0"/>
              <w:rPr>
                <w:rFonts w:ascii="Times New Roman" w:eastAsia="宋体"/>
                <w:color w:val="auto"/>
                <w:kern w:val="2"/>
                <w:sz w:val="21"/>
              </w:rPr>
            </w:pPr>
            <w:r>
              <w:rPr>
                <w:rFonts w:hint="eastAsia" w:ascii="Times New Roman" w:eastAsia="宋体"/>
                <w:color w:val="auto"/>
                <w:kern w:val="2"/>
                <w:sz w:val="21"/>
              </w:rPr>
              <w:t>※6、ABZ计数输入：通道数：2ch、计算精度：32bit</w:t>
            </w:r>
          </w:p>
          <w:p>
            <w:pPr>
              <w:rPr>
                <w:color w:val="auto"/>
              </w:rPr>
            </w:pPr>
            <w:r>
              <w:rPr>
                <w:rFonts w:hint="eastAsia"/>
                <w:color w:val="auto"/>
              </w:rPr>
              <w:t>※7、旋转变压器输入：差动序号</w:t>
            </w:r>
          </w:p>
        </w:tc>
        <w:tc>
          <w:tcPr>
            <w:tcW w:w="291" w:type="pct"/>
            <w:vAlign w:val="center"/>
          </w:tcPr>
          <w:p>
            <w:pPr>
              <w:jc w:val="center"/>
              <w:rPr>
                <w:rFonts w:ascii="宋体" w:hAnsi="宋体" w:cs="宋体"/>
                <w:color w:val="auto"/>
                <w:szCs w:val="21"/>
              </w:rPr>
            </w:pPr>
            <w:r>
              <w:rPr>
                <w:rFonts w:hint="eastAsia" w:ascii="宋体" w:hAnsi="宋体" w:cs="宋体"/>
                <w:color w:val="auto"/>
                <w:szCs w:val="21"/>
              </w:rPr>
              <w:t>1套</w:t>
            </w:r>
          </w:p>
        </w:tc>
        <w:tc>
          <w:tcPr>
            <w:tcW w:w="565" w:type="pct"/>
            <w:vAlign w:val="center"/>
          </w:tcPr>
          <w:p>
            <w:pPr>
              <w:jc w:val="center"/>
              <w:rPr>
                <w:rFonts w:ascii="宋体" w:hAnsi="宋体" w:cs="宋体"/>
                <w:color w:val="auto"/>
                <w:szCs w:val="21"/>
              </w:rPr>
            </w:pPr>
            <w:r>
              <w:rPr>
                <w:rFonts w:hint="eastAsia" w:ascii="微软雅黑" w:hAnsi="微软雅黑" w:eastAsia="微软雅黑" w:cs="微软雅黑"/>
                <w:color w:val="auto"/>
                <w:sz w:val="18"/>
                <w:szCs w:val="18"/>
              </w:rPr>
              <w:t>451400</w:t>
            </w:r>
            <w:r>
              <w:rPr>
                <w:rFonts w:ascii="微软雅黑" w:hAnsi="微软雅黑" w:eastAsia="微软雅黑" w:cs="微软雅黑"/>
                <w:vanish/>
                <w:color w:val="auto"/>
                <w:sz w:val="24"/>
              </w:rPr>
              <w:pict>
                <v:shape id="_x0000_i1026" o:spt="75" type="#_x0000_t75" style="height:17.9pt;width:72pt;" filled="f" o:preferrelative="t" stroked="f" coordsize="21600,21600">
                  <v:path/>
                  <v:fill on="f" focussize="0,0"/>
                  <v:stroke on="f" joinstyle="miter"/>
                  <v:imagedata r:id="rId14" o:title=""/>
                  <o:lock v:ext="edit" aspectratio="t"/>
                  <w10:wrap type="none"/>
                  <w10:anchorlock/>
                </v:shape>
              </w:pict>
            </w:r>
          </w:p>
        </w:tc>
        <w:tc>
          <w:tcPr>
            <w:tcW w:w="1138" w:type="dxa"/>
            <w:vAlign w:val="center"/>
          </w:tcPr>
          <w:p>
            <w:pPr>
              <w:jc w:val="center"/>
              <w:rPr>
                <w:rFonts w:ascii="宋体" w:hAnsi="宋体" w:cs="宋体"/>
                <w:color w:val="auto"/>
                <w:szCs w:val="21"/>
              </w:rPr>
            </w:pPr>
            <w:r>
              <w:rPr>
                <w:rFonts w:hint="eastAsia" w:ascii="宋体" w:hAnsi="宋体" w:cs="宋体"/>
                <w:color w:val="auto"/>
                <w:szCs w:val="21"/>
              </w:rPr>
              <w:t>本设备拟采购进口设备，投标报价包括除报价要求相关内容外，还应包括进口设备代理费等费用；报价时，请按教育科研机构进口免税价进行报价。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92" w:type="pct"/>
            <w:vAlign w:val="center"/>
          </w:tcPr>
          <w:p>
            <w:pPr>
              <w:jc w:val="center"/>
              <w:rPr>
                <w:rFonts w:ascii="宋体" w:hAnsi="宋体" w:cs="宋体"/>
                <w:color w:val="auto"/>
                <w:szCs w:val="21"/>
              </w:rPr>
            </w:pPr>
            <w:r>
              <w:rPr>
                <w:rFonts w:hint="eastAsia" w:ascii="宋体" w:hAnsi="宋体" w:cs="宋体"/>
                <w:color w:val="auto"/>
                <w:szCs w:val="21"/>
              </w:rPr>
              <w:t>3</w:t>
            </w:r>
          </w:p>
        </w:tc>
        <w:tc>
          <w:tcPr>
            <w:tcW w:w="558" w:type="pct"/>
            <w:vAlign w:val="center"/>
          </w:tcPr>
          <w:p>
            <w:pPr>
              <w:jc w:val="center"/>
              <w:rPr>
                <w:rFonts w:ascii="宋体" w:hAnsi="宋体" w:cs="宋体"/>
                <w:color w:val="auto"/>
                <w:szCs w:val="21"/>
              </w:rPr>
            </w:pPr>
            <w:r>
              <w:rPr>
                <w:rFonts w:hint="eastAsia" w:ascii="宋体" w:hAnsi="宋体" w:cs="宋体"/>
                <w:color w:val="auto"/>
                <w:szCs w:val="21"/>
              </w:rPr>
              <w:t>可调</w:t>
            </w:r>
            <w:r>
              <w:rPr>
                <w:rFonts w:ascii="宋体" w:hAnsi="宋体" w:cs="宋体"/>
                <w:color w:val="auto"/>
                <w:szCs w:val="21"/>
              </w:rPr>
              <w:t>负载箱</w:t>
            </w:r>
          </w:p>
          <w:p>
            <w:pPr>
              <w:jc w:val="center"/>
              <w:rPr>
                <w:rFonts w:ascii="宋体" w:hAnsi="宋体" w:cs="宋体"/>
                <w:color w:val="auto"/>
                <w:szCs w:val="21"/>
              </w:rPr>
            </w:pPr>
          </w:p>
        </w:tc>
        <w:tc>
          <w:tcPr>
            <w:tcW w:w="2725" w:type="pct"/>
            <w:vAlign w:val="center"/>
          </w:tcPr>
          <w:p>
            <w:pPr>
              <w:numPr>
                <w:ilvl w:val="0"/>
                <w:numId w:val="37"/>
              </w:numPr>
              <w:rPr>
                <w:rFonts w:ascii="宋体" w:hAnsi="宋体" w:cs="宋体"/>
                <w:color w:val="auto"/>
                <w:szCs w:val="21"/>
              </w:rPr>
            </w:pPr>
            <w:r>
              <w:rPr>
                <w:rFonts w:ascii="宋体" w:hAnsi="宋体" w:cs="宋体"/>
                <w:color w:val="auto"/>
                <w:szCs w:val="21"/>
              </w:rPr>
              <w:t>主要功能/用途</w:t>
            </w:r>
          </w:p>
          <w:p>
            <w:pPr>
              <w:rPr>
                <w:rFonts w:ascii="宋体" w:hAnsi="宋体" w:cs="宋体"/>
                <w:color w:val="auto"/>
                <w:szCs w:val="21"/>
              </w:rPr>
            </w:pPr>
            <w:r>
              <w:rPr>
                <w:rFonts w:ascii="宋体" w:hAnsi="宋体" w:cs="宋体"/>
                <w:color w:val="auto"/>
                <w:szCs w:val="21"/>
              </w:rPr>
              <w:t>实现电机负载性能测试</w:t>
            </w:r>
          </w:p>
          <w:p>
            <w:pPr>
              <w:rPr>
                <w:rFonts w:ascii="宋体" w:hAnsi="宋体" w:cs="宋体"/>
                <w:color w:val="auto"/>
                <w:szCs w:val="21"/>
              </w:rPr>
            </w:pPr>
            <w:r>
              <w:rPr>
                <w:rFonts w:ascii="宋体" w:hAnsi="宋体" w:cs="宋体"/>
                <w:color w:val="auto"/>
                <w:szCs w:val="21"/>
              </w:rPr>
              <w:t>二、技术参数/指标</w:t>
            </w:r>
          </w:p>
          <w:p>
            <w:pPr>
              <w:rPr>
                <w:rFonts w:ascii="宋体" w:hAnsi="宋体" w:cs="宋体"/>
                <w:color w:val="auto"/>
                <w:szCs w:val="21"/>
              </w:rPr>
            </w:pPr>
            <w:r>
              <w:rPr>
                <w:rFonts w:ascii="宋体" w:hAnsi="宋体" w:cs="宋体"/>
                <w:color w:val="auto"/>
                <w:szCs w:val="21"/>
              </w:rPr>
              <w:t xml:space="preserve">1、 测量精度显示精度0. 5级、工作电源AC220V + 5% </w:t>
            </w:r>
          </w:p>
          <w:p>
            <w:pPr>
              <w:rPr>
                <w:rFonts w:ascii="宋体" w:hAnsi="宋体" w:cs="宋体"/>
                <w:color w:val="auto"/>
                <w:szCs w:val="21"/>
              </w:rPr>
            </w:pPr>
            <w:r>
              <w:rPr>
                <w:rFonts w:hint="eastAsia" w:ascii="宋体" w:hAnsi="宋体" w:cs="宋体"/>
                <w:color w:val="auto"/>
                <w:szCs w:val="21"/>
              </w:rPr>
              <w:t>※</w:t>
            </w:r>
            <w:r>
              <w:rPr>
                <w:rFonts w:ascii="宋体" w:hAnsi="宋体" w:cs="宋体"/>
                <w:color w:val="auto"/>
                <w:szCs w:val="21"/>
              </w:rPr>
              <w:t xml:space="preserve">2、负载功率可调，最大15kW，10档可调，可选R、RL负载类型。 </w:t>
            </w:r>
          </w:p>
          <w:p>
            <w:pPr>
              <w:rPr>
                <w:rFonts w:ascii="宋体" w:hAnsi="宋体" w:cs="宋体"/>
                <w:color w:val="auto"/>
                <w:szCs w:val="21"/>
              </w:rPr>
            </w:pPr>
            <w:r>
              <w:rPr>
                <w:rFonts w:hint="eastAsia" w:ascii="宋体" w:hAnsi="宋体" w:cs="宋体"/>
                <w:color w:val="auto"/>
                <w:szCs w:val="21"/>
              </w:rPr>
              <w:t>※</w:t>
            </w:r>
            <w:r>
              <w:rPr>
                <w:rFonts w:ascii="宋体" w:hAnsi="宋体" w:cs="宋体"/>
                <w:color w:val="auto"/>
                <w:szCs w:val="21"/>
              </w:rPr>
              <w:t xml:space="preserve">3、可显示负载功率、电压、电流等基本电性能参数 </w:t>
            </w:r>
          </w:p>
          <w:p>
            <w:pPr>
              <w:numPr>
                <w:ilvl w:val="0"/>
                <w:numId w:val="38"/>
              </w:numPr>
              <w:rPr>
                <w:rFonts w:ascii="宋体" w:hAnsi="宋体" w:cs="宋体"/>
                <w:color w:val="auto"/>
                <w:szCs w:val="21"/>
              </w:rPr>
            </w:pPr>
            <w:r>
              <w:rPr>
                <w:rFonts w:ascii="宋体" w:hAnsi="宋体" w:cs="宋体"/>
                <w:color w:val="auto"/>
                <w:szCs w:val="21"/>
              </w:rPr>
              <w:t xml:space="preserve">具有散热、保护等功能。 </w:t>
            </w:r>
          </w:p>
          <w:p>
            <w:pPr>
              <w:numPr>
                <w:ilvl w:val="0"/>
                <w:numId w:val="38"/>
              </w:numPr>
              <w:rPr>
                <w:rFonts w:ascii="宋体" w:hAnsi="宋体" w:cs="宋体"/>
                <w:color w:val="auto"/>
                <w:szCs w:val="21"/>
              </w:rPr>
            </w:pPr>
            <w:r>
              <w:rPr>
                <w:rFonts w:ascii="宋体" w:hAnsi="宋体" w:cs="宋体"/>
                <w:color w:val="auto"/>
                <w:szCs w:val="21"/>
              </w:rPr>
              <w:t xml:space="preserve">控制方式本地手动接触器控制、绝缘耐压负载输入端对机壳耐压AC3000V lmin无击穿及闪络现象 </w:t>
            </w:r>
          </w:p>
          <w:p>
            <w:pPr>
              <w:numPr>
                <w:ilvl w:val="0"/>
                <w:numId w:val="38"/>
              </w:numPr>
              <w:rPr>
                <w:rFonts w:ascii="宋体" w:hAnsi="宋体" w:cs="宋体"/>
                <w:color w:val="auto"/>
                <w:szCs w:val="21"/>
              </w:rPr>
            </w:pPr>
            <w:r>
              <w:rPr>
                <w:rFonts w:ascii="宋体" w:hAnsi="宋体" w:cs="宋体"/>
                <w:color w:val="auto"/>
                <w:szCs w:val="21"/>
              </w:rPr>
              <w:t xml:space="preserve">移动方式底部装有制动式脚轮，方便移动和制动 </w:t>
            </w:r>
          </w:p>
          <w:p>
            <w:pPr>
              <w:rPr>
                <w:rFonts w:ascii="宋体" w:hAnsi="宋体" w:cs="宋体"/>
                <w:color w:val="auto"/>
                <w:szCs w:val="21"/>
              </w:rPr>
            </w:pPr>
            <w:r>
              <w:rPr>
                <w:rFonts w:hint="eastAsia" w:ascii="宋体" w:hAnsi="宋体" w:cs="宋体"/>
                <w:color w:val="auto"/>
                <w:szCs w:val="21"/>
              </w:rPr>
              <w:t>※</w:t>
            </w:r>
            <w:r>
              <w:rPr>
                <w:rFonts w:ascii="宋体" w:hAnsi="宋体" w:cs="宋体"/>
                <w:color w:val="auto"/>
                <w:szCs w:val="21"/>
              </w:rPr>
              <w:t>7、质保10年，5年48小时内到现场服务。</w:t>
            </w:r>
          </w:p>
        </w:tc>
        <w:tc>
          <w:tcPr>
            <w:tcW w:w="291" w:type="pct"/>
            <w:vAlign w:val="center"/>
          </w:tcPr>
          <w:p>
            <w:pPr>
              <w:jc w:val="center"/>
              <w:rPr>
                <w:rFonts w:ascii="宋体" w:hAnsi="宋体" w:cs="宋体"/>
                <w:color w:val="auto"/>
                <w:szCs w:val="21"/>
              </w:rPr>
            </w:pPr>
            <w:r>
              <w:rPr>
                <w:rFonts w:hint="eastAsia" w:ascii="宋体" w:hAnsi="宋体" w:cs="宋体"/>
                <w:color w:val="auto"/>
                <w:szCs w:val="21"/>
              </w:rPr>
              <w:t>1套</w:t>
            </w:r>
          </w:p>
        </w:tc>
        <w:tc>
          <w:tcPr>
            <w:tcW w:w="565" w:type="pct"/>
            <w:vAlign w:val="center"/>
          </w:tcPr>
          <w:p>
            <w:pPr>
              <w:jc w:val="center"/>
              <w:rPr>
                <w:rFonts w:ascii="宋体" w:hAnsi="宋体" w:cs="宋体"/>
                <w:color w:val="auto"/>
                <w:szCs w:val="21"/>
              </w:rPr>
            </w:pPr>
            <w:r>
              <w:rPr>
                <w:rFonts w:hint="eastAsia" w:ascii="微软雅黑" w:hAnsi="微软雅黑" w:eastAsia="微软雅黑" w:cs="微软雅黑"/>
                <w:color w:val="auto"/>
                <w:sz w:val="18"/>
                <w:szCs w:val="18"/>
              </w:rPr>
              <w:t>12000</w:t>
            </w:r>
            <w:r>
              <w:rPr>
                <w:rFonts w:ascii="微软雅黑" w:hAnsi="微软雅黑" w:eastAsia="微软雅黑" w:cs="微软雅黑"/>
                <w:vanish/>
                <w:color w:val="auto"/>
                <w:sz w:val="24"/>
              </w:rPr>
              <w:pict>
                <v:shape id="_x0000_i1027" o:spt="75" type="#_x0000_t75" style="height:17.9pt;width:72pt;" filled="f" o:preferrelative="t" stroked="f" coordsize="21600,21600">
                  <v:path/>
                  <v:fill on="f" focussize="0,0"/>
                  <v:stroke on="f" joinstyle="miter"/>
                  <v:imagedata r:id="rId14" o:title=""/>
                  <o:lock v:ext="edit" aspectratio="t"/>
                  <w10:wrap type="none"/>
                  <w10:anchorlock/>
                </v:shape>
              </w:pict>
            </w:r>
          </w:p>
        </w:tc>
        <w:tc>
          <w:tcPr>
            <w:tcW w:w="1138" w:type="dxa"/>
            <w:vAlign w:val="center"/>
          </w:tcPr>
          <w:p>
            <w:pPr>
              <w:rPr>
                <w:rFonts w:ascii="宋体" w:hAnsi="宋体" w:cs="宋体"/>
                <w:color w:val="auto"/>
                <w:szCs w:val="21"/>
              </w:rPr>
            </w:pPr>
            <w:r>
              <w:rPr>
                <w:rFonts w:hint="eastAsia" w:ascii="宋体" w:hAnsi="宋体" w:cs="宋体"/>
                <w:color w:val="auto"/>
                <w:szCs w:val="21"/>
              </w:rPr>
              <w:t xml:space="preserve">按照功能要求定制。 </w:t>
            </w:r>
          </w:p>
          <w:p>
            <w:pPr>
              <w:rPr>
                <w:rFonts w:ascii="宋体" w:hAnsi="宋体" w:cs="宋体"/>
                <w:color w:val="auto"/>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92" w:type="pct"/>
            <w:vAlign w:val="center"/>
          </w:tcPr>
          <w:p>
            <w:pPr>
              <w:jc w:val="center"/>
              <w:rPr>
                <w:rFonts w:ascii="宋体" w:hAnsi="宋体" w:cs="宋体"/>
                <w:color w:val="auto"/>
                <w:szCs w:val="21"/>
              </w:rPr>
            </w:pPr>
            <w:r>
              <w:rPr>
                <w:rFonts w:hint="eastAsia" w:ascii="宋体" w:hAnsi="宋体" w:cs="宋体"/>
                <w:color w:val="auto"/>
                <w:szCs w:val="21"/>
              </w:rPr>
              <w:t>4</w:t>
            </w:r>
          </w:p>
        </w:tc>
        <w:tc>
          <w:tcPr>
            <w:tcW w:w="558" w:type="pct"/>
            <w:vAlign w:val="center"/>
          </w:tcPr>
          <w:p>
            <w:pPr>
              <w:jc w:val="center"/>
              <w:rPr>
                <w:rFonts w:ascii="宋体" w:hAnsi="宋体" w:cs="宋体"/>
                <w:color w:val="auto"/>
                <w:szCs w:val="21"/>
              </w:rPr>
            </w:pPr>
            <w:r>
              <w:rPr>
                <w:rFonts w:hint="eastAsia" w:ascii="宋体" w:hAnsi="宋体" w:cs="宋体"/>
                <w:color w:val="auto"/>
                <w:szCs w:val="21"/>
              </w:rPr>
              <w:t>电流钳</w:t>
            </w:r>
          </w:p>
        </w:tc>
        <w:tc>
          <w:tcPr>
            <w:tcW w:w="2725" w:type="pct"/>
            <w:vAlign w:val="center"/>
          </w:tcPr>
          <w:p>
            <w:pPr>
              <w:rPr>
                <w:rFonts w:ascii="宋体" w:hAnsi="宋体" w:cs="宋体"/>
                <w:color w:val="auto"/>
                <w:szCs w:val="21"/>
              </w:rPr>
            </w:pPr>
            <w:r>
              <w:rPr>
                <w:rFonts w:hint="eastAsia" w:ascii="宋体" w:hAnsi="宋体" w:cs="宋体"/>
                <w:color w:val="auto"/>
                <w:szCs w:val="21"/>
              </w:rPr>
              <w:t>一、</w:t>
            </w:r>
            <w:r>
              <w:rPr>
                <w:rFonts w:ascii="宋体" w:hAnsi="宋体" w:cs="宋体"/>
                <w:color w:val="auto"/>
                <w:szCs w:val="21"/>
              </w:rPr>
              <w:t>主要功能/用途</w:t>
            </w:r>
          </w:p>
          <w:p>
            <w:pPr>
              <w:rPr>
                <w:rFonts w:ascii="宋体" w:hAnsi="宋体" w:cs="宋体"/>
                <w:color w:val="auto"/>
                <w:szCs w:val="21"/>
              </w:rPr>
            </w:pPr>
            <w:r>
              <w:rPr>
                <w:rFonts w:ascii="宋体" w:hAnsi="宋体" w:cs="宋体"/>
                <w:color w:val="auto"/>
                <w:szCs w:val="21"/>
              </w:rPr>
              <w:t>通过连接示波器测量电流值</w:t>
            </w:r>
          </w:p>
          <w:p>
            <w:pPr>
              <w:rPr>
                <w:rFonts w:ascii="宋体" w:hAnsi="宋体" w:cs="宋体"/>
                <w:color w:val="auto"/>
                <w:szCs w:val="21"/>
              </w:rPr>
            </w:pPr>
            <w:r>
              <w:rPr>
                <w:rFonts w:ascii="宋体" w:hAnsi="宋体" w:cs="宋体"/>
                <w:color w:val="auto"/>
                <w:szCs w:val="21"/>
              </w:rPr>
              <w:t>二、技术参数/指标</w:t>
            </w:r>
          </w:p>
          <w:p>
            <w:pPr>
              <w:rPr>
                <w:rFonts w:ascii="宋体" w:hAnsi="宋体" w:cs="宋体"/>
                <w:color w:val="auto"/>
                <w:szCs w:val="21"/>
              </w:rPr>
            </w:pPr>
            <w:r>
              <w:rPr>
                <w:rFonts w:ascii="宋体" w:hAnsi="宋体" w:cs="宋体"/>
                <w:color w:val="auto"/>
                <w:szCs w:val="21"/>
              </w:rPr>
              <w:t>1</w:t>
            </w:r>
            <w:r>
              <w:rPr>
                <w:rFonts w:hint="eastAsia" w:ascii="宋体" w:hAnsi="宋体" w:cs="宋体"/>
                <w:color w:val="auto"/>
                <w:szCs w:val="21"/>
              </w:rPr>
              <w:t>、</w:t>
            </w:r>
            <w:r>
              <w:rPr>
                <w:rFonts w:ascii="宋体" w:hAnsi="宋体" w:cs="宋体"/>
                <w:color w:val="auto"/>
                <w:szCs w:val="21"/>
              </w:rPr>
              <w:t xml:space="preserve">带宽：DC至50MHz(-3dB) </w:t>
            </w:r>
          </w:p>
          <w:p>
            <w:pPr>
              <w:rPr>
                <w:rFonts w:ascii="宋体" w:hAnsi="宋体" w:cs="宋体"/>
                <w:color w:val="auto"/>
                <w:szCs w:val="21"/>
              </w:rPr>
            </w:pPr>
            <w:r>
              <w:rPr>
                <w:rFonts w:hint="eastAsia" w:ascii="宋体" w:hAnsi="宋体" w:cs="宋体"/>
                <w:color w:val="auto"/>
                <w:szCs w:val="21"/>
              </w:rPr>
              <w:t>※</w:t>
            </w:r>
            <w:r>
              <w:rPr>
                <w:rFonts w:ascii="宋体" w:hAnsi="宋体" w:cs="宋体"/>
                <w:color w:val="auto"/>
                <w:szCs w:val="21"/>
              </w:rPr>
              <w:t>2</w:t>
            </w:r>
            <w:r>
              <w:rPr>
                <w:rFonts w:hint="eastAsia" w:ascii="宋体" w:hAnsi="宋体" w:cs="宋体"/>
                <w:color w:val="auto"/>
                <w:szCs w:val="21"/>
              </w:rPr>
              <w:t>、</w:t>
            </w:r>
            <w:r>
              <w:rPr>
                <w:rFonts w:ascii="宋体" w:hAnsi="宋体" w:cs="宋体"/>
                <w:color w:val="auto"/>
                <w:szCs w:val="21"/>
              </w:rPr>
              <w:t xml:space="preserve">最大连续输入范围：30 Arms, </w:t>
            </w:r>
          </w:p>
          <w:p>
            <w:pPr>
              <w:rPr>
                <w:rFonts w:ascii="宋体" w:hAnsi="宋体" w:cs="宋体"/>
                <w:color w:val="auto"/>
                <w:szCs w:val="21"/>
              </w:rPr>
            </w:pPr>
            <w:r>
              <w:rPr>
                <w:rFonts w:hint="eastAsia" w:ascii="宋体" w:hAnsi="宋体" w:cs="宋体"/>
                <w:color w:val="auto"/>
                <w:szCs w:val="21"/>
              </w:rPr>
              <w:t>※</w:t>
            </w:r>
            <w:r>
              <w:rPr>
                <w:rFonts w:ascii="宋体" w:hAnsi="宋体" w:cs="宋体"/>
                <w:color w:val="auto"/>
                <w:szCs w:val="21"/>
              </w:rPr>
              <w:t>3</w:t>
            </w:r>
            <w:r>
              <w:rPr>
                <w:rFonts w:hint="eastAsia" w:ascii="宋体" w:hAnsi="宋体" w:cs="宋体"/>
                <w:color w:val="auto"/>
                <w:szCs w:val="21"/>
              </w:rPr>
              <w:t>、</w:t>
            </w:r>
            <w:r>
              <w:rPr>
                <w:rFonts w:ascii="宋体" w:hAnsi="宋体" w:cs="宋体"/>
                <w:color w:val="auto"/>
                <w:szCs w:val="21"/>
              </w:rPr>
              <w:t xml:space="preserve">最大峰值电流值：50A峰值，非连续 </w:t>
            </w:r>
          </w:p>
          <w:p>
            <w:pPr>
              <w:rPr>
                <w:rFonts w:ascii="宋体" w:hAnsi="宋体" w:cs="宋体"/>
                <w:color w:val="auto"/>
                <w:szCs w:val="21"/>
              </w:rPr>
            </w:pPr>
            <w:r>
              <w:rPr>
                <w:rFonts w:hint="eastAsia" w:ascii="宋体" w:hAnsi="宋体" w:cs="宋体"/>
                <w:color w:val="auto"/>
                <w:szCs w:val="21"/>
              </w:rPr>
              <w:t>※</w:t>
            </w:r>
            <w:r>
              <w:rPr>
                <w:rFonts w:ascii="宋体" w:hAnsi="宋体" w:cs="宋体"/>
                <w:color w:val="auto"/>
                <w:szCs w:val="21"/>
              </w:rPr>
              <w:t>4</w:t>
            </w:r>
            <w:r>
              <w:rPr>
                <w:rFonts w:hint="eastAsia" w:ascii="宋体" w:hAnsi="宋体" w:cs="宋体"/>
                <w:color w:val="auto"/>
                <w:szCs w:val="21"/>
              </w:rPr>
              <w:t>、</w:t>
            </w:r>
            <w:r>
              <w:rPr>
                <w:rFonts w:ascii="宋体" w:hAnsi="宋体" w:cs="宋体"/>
                <w:color w:val="auto"/>
                <w:szCs w:val="21"/>
              </w:rPr>
              <w:t xml:space="preserve">增益：0.1V/A </w:t>
            </w:r>
          </w:p>
          <w:p>
            <w:pPr>
              <w:rPr>
                <w:rFonts w:ascii="宋体" w:hAnsi="宋体" w:cs="宋体"/>
                <w:color w:val="auto"/>
                <w:szCs w:val="21"/>
              </w:rPr>
            </w:pPr>
            <w:r>
              <w:rPr>
                <w:rFonts w:hint="eastAsia" w:ascii="宋体" w:hAnsi="宋体" w:cs="宋体"/>
                <w:color w:val="auto"/>
                <w:szCs w:val="21"/>
              </w:rPr>
              <w:t>※5、</w:t>
            </w:r>
            <w:r>
              <w:rPr>
                <w:rFonts w:ascii="宋体" w:hAnsi="宋体" w:cs="宋体"/>
                <w:color w:val="auto"/>
                <w:szCs w:val="21"/>
              </w:rPr>
              <w:t xml:space="preserve">幅度精度：±1.0%rdg ±1mV，≤30Arms ±2.0%rdg, s50A峰值 </w:t>
            </w:r>
          </w:p>
          <w:p>
            <w:pPr>
              <w:rPr>
                <w:rFonts w:ascii="宋体" w:hAnsi="宋体" w:cs="宋体"/>
                <w:color w:val="auto"/>
                <w:szCs w:val="21"/>
              </w:rPr>
            </w:pPr>
            <w:r>
              <w:rPr>
                <w:rFonts w:hint="eastAsia" w:ascii="宋体" w:hAnsi="宋体" w:cs="宋体"/>
                <w:color w:val="auto"/>
                <w:szCs w:val="21"/>
              </w:rPr>
              <w:t>6、</w:t>
            </w:r>
            <w:r>
              <w:rPr>
                <w:rFonts w:ascii="宋体" w:hAnsi="宋体" w:cs="宋体"/>
                <w:color w:val="auto"/>
                <w:szCs w:val="21"/>
              </w:rPr>
              <w:t xml:space="preserve">噪声：±2.5mArms(带宽为50MHz的波形测量仪器) </w:t>
            </w:r>
          </w:p>
          <w:p>
            <w:pPr>
              <w:rPr>
                <w:rFonts w:ascii="宋体" w:hAnsi="宋体" w:cs="宋体"/>
                <w:color w:val="auto"/>
                <w:szCs w:val="21"/>
              </w:rPr>
            </w:pPr>
            <w:r>
              <w:rPr>
                <w:rFonts w:hint="eastAsia" w:ascii="宋体" w:hAnsi="宋体" w:cs="宋体"/>
                <w:color w:val="auto"/>
                <w:szCs w:val="21"/>
              </w:rPr>
              <w:t>※7、</w:t>
            </w:r>
            <w:r>
              <w:rPr>
                <w:rFonts w:ascii="宋体" w:hAnsi="宋体" w:cs="宋体"/>
                <w:color w:val="auto"/>
                <w:szCs w:val="21"/>
              </w:rPr>
              <w:t xml:space="preserve">可测量导体的直径：5mm </w:t>
            </w:r>
          </w:p>
          <w:p>
            <w:pPr>
              <w:rPr>
                <w:rFonts w:ascii="宋体" w:hAnsi="宋体" w:cs="宋体"/>
                <w:color w:val="auto"/>
                <w:szCs w:val="21"/>
              </w:rPr>
            </w:pPr>
            <w:r>
              <w:rPr>
                <w:rFonts w:hint="eastAsia" w:ascii="宋体" w:hAnsi="宋体" w:cs="宋体"/>
                <w:color w:val="auto"/>
                <w:szCs w:val="21"/>
              </w:rPr>
              <w:t>8、</w:t>
            </w:r>
            <w:r>
              <w:rPr>
                <w:rFonts w:ascii="宋体" w:hAnsi="宋体" w:cs="宋体"/>
                <w:color w:val="auto"/>
                <w:szCs w:val="21"/>
              </w:rPr>
              <w:t>精度保证期：1年 (开/关次数最多可达1万次)</w:t>
            </w:r>
          </w:p>
        </w:tc>
        <w:tc>
          <w:tcPr>
            <w:tcW w:w="291" w:type="pct"/>
            <w:vAlign w:val="center"/>
          </w:tcPr>
          <w:p>
            <w:pPr>
              <w:jc w:val="center"/>
              <w:rPr>
                <w:rFonts w:ascii="宋体" w:hAnsi="宋体" w:cs="宋体"/>
                <w:color w:val="auto"/>
                <w:szCs w:val="21"/>
              </w:rPr>
            </w:pPr>
            <w:r>
              <w:rPr>
                <w:rFonts w:hint="eastAsia" w:ascii="宋体" w:hAnsi="宋体" w:cs="宋体"/>
                <w:color w:val="auto"/>
                <w:szCs w:val="21"/>
              </w:rPr>
              <w:t>1套</w:t>
            </w:r>
          </w:p>
        </w:tc>
        <w:tc>
          <w:tcPr>
            <w:tcW w:w="565" w:type="pct"/>
            <w:vAlign w:val="center"/>
          </w:tcPr>
          <w:p>
            <w:pPr>
              <w:jc w:val="center"/>
              <w:rPr>
                <w:rFonts w:ascii="宋体" w:hAnsi="宋体" w:cs="宋体"/>
                <w:color w:val="auto"/>
                <w:szCs w:val="21"/>
              </w:rPr>
            </w:pPr>
            <w:r>
              <w:rPr>
                <w:rFonts w:hint="eastAsia" w:ascii="微软雅黑" w:hAnsi="微软雅黑" w:eastAsia="微软雅黑" w:cs="微软雅黑"/>
                <w:color w:val="auto"/>
                <w:sz w:val="18"/>
                <w:szCs w:val="18"/>
              </w:rPr>
              <w:t>23000</w:t>
            </w:r>
            <w:r>
              <w:rPr>
                <w:rFonts w:ascii="微软雅黑" w:hAnsi="微软雅黑" w:eastAsia="微软雅黑" w:cs="微软雅黑"/>
                <w:vanish/>
                <w:color w:val="auto"/>
                <w:sz w:val="24"/>
              </w:rPr>
              <w:pict>
                <v:shape id="_x0000_i1028" o:spt="75" type="#_x0000_t75" style="height:17.9pt;width:72pt;" filled="f" o:preferrelative="t" stroked="f" coordsize="21600,21600">
                  <v:path/>
                  <v:fill on="f" focussize="0,0"/>
                  <v:stroke on="f" joinstyle="miter"/>
                  <v:imagedata r:id="rId14" o:title=""/>
                  <o:lock v:ext="edit" aspectratio="t"/>
                  <w10:wrap type="none"/>
                  <w10:anchorlock/>
                </v:shape>
              </w:pict>
            </w:r>
          </w:p>
        </w:tc>
        <w:tc>
          <w:tcPr>
            <w:tcW w:w="1138" w:type="dxa"/>
            <w:vAlign w:val="center"/>
          </w:tcPr>
          <w:p>
            <w:pPr>
              <w:jc w:val="center"/>
              <w:rPr>
                <w:rFonts w:ascii="宋体" w:hAnsi="宋体" w:cs="宋体"/>
                <w:color w:val="auto"/>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92" w:type="pct"/>
            <w:vAlign w:val="center"/>
          </w:tcPr>
          <w:p>
            <w:pPr>
              <w:jc w:val="center"/>
              <w:rPr>
                <w:rFonts w:ascii="宋体" w:hAnsi="宋体" w:cs="宋体"/>
                <w:color w:val="auto"/>
                <w:szCs w:val="21"/>
              </w:rPr>
            </w:pPr>
            <w:r>
              <w:rPr>
                <w:rFonts w:hint="eastAsia" w:ascii="宋体" w:hAnsi="宋体" w:cs="宋体"/>
                <w:color w:val="auto"/>
                <w:szCs w:val="21"/>
              </w:rPr>
              <w:t>5</w:t>
            </w:r>
          </w:p>
        </w:tc>
        <w:tc>
          <w:tcPr>
            <w:tcW w:w="558" w:type="pct"/>
            <w:vAlign w:val="center"/>
          </w:tcPr>
          <w:p>
            <w:pPr>
              <w:jc w:val="center"/>
              <w:rPr>
                <w:rFonts w:ascii="宋体" w:hAnsi="宋体" w:cs="宋体"/>
                <w:color w:val="auto"/>
                <w:szCs w:val="21"/>
              </w:rPr>
            </w:pPr>
            <w:r>
              <w:rPr>
                <w:rFonts w:hint="eastAsia" w:ascii="宋体" w:hAnsi="宋体" w:cs="宋体"/>
                <w:color w:val="auto"/>
                <w:szCs w:val="21"/>
              </w:rPr>
              <w:t>示波器</w:t>
            </w:r>
          </w:p>
        </w:tc>
        <w:tc>
          <w:tcPr>
            <w:tcW w:w="2725" w:type="pct"/>
            <w:vAlign w:val="center"/>
          </w:tcPr>
          <w:p>
            <w:pPr>
              <w:rPr>
                <w:rFonts w:ascii="宋体" w:hAnsi="宋体" w:cs="宋体"/>
                <w:color w:val="auto"/>
                <w:szCs w:val="21"/>
              </w:rPr>
            </w:pPr>
            <w:r>
              <w:rPr>
                <w:rFonts w:hint="eastAsia" w:ascii="宋体" w:hAnsi="宋体" w:cs="宋体"/>
                <w:color w:val="auto"/>
                <w:szCs w:val="21"/>
              </w:rPr>
              <w:t>一、</w:t>
            </w:r>
            <w:r>
              <w:rPr>
                <w:rFonts w:ascii="宋体" w:hAnsi="宋体" w:cs="宋体"/>
                <w:color w:val="auto"/>
                <w:szCs w:val="21"/>
              </w:rPr>
              <w:t>主要功能/用途</w:t>
            </w:r>
          </w:p>
          <w:p>
            <w:pPr>
              <w:rPr>
                <w:rFonts w:ascii="宋体" w:hAnsi="宋体" w:cs="宋体"/>
                <w:color w:val="auto"/>
                <w:szCs w:val="21"/>
              </w:rPr>
            </w:pPr>
            <w:r>
              <w:rPr>
                <w:rFonts w:ascii="宋体" w:hAnsi="宋体" w:cs="宋体"/>
                <w:color w:val="auto"/>
                <w:szCs w:val="21"/>
              </w:rPr>
              <w:t>观测电流的波形，测定频率、电压强度等。凡可以变为电效应的周期性物理过程都可以用示波器进行观测。</w:t>
            </w:r>
          </w:p>
          <w:p>
            <w:pPr>
              <w:rPr>
                <w:rFonts w:ascii="宋体" w:hAnsi="宋体" w:cs="宋体"/>
                <w:color w:val="auto"/>
                <w:szCs w:val="21"/>
              </w:rPr>
            </w:pPr>
            <w:r>
              <w:rPr>
                <w:rFonts w:ascii="宋体" w:hAnsi="宋体" w:cs="宋体"/>
                <w:color w:val="auto"/>
                <w:szCs w:val="21"/>
              </w:rPr>
              <w:t>二、技术参数/指标</w:t>
            </w:r>
          </w:p>
          <w:p>
            <w:pPr>
              <w:rPr>
                <w:rFonts w:ascii="宋体" w:hAnsi="宋体" w:cs="宋体"/>
                <w:color w:val="auto"/>
                <w:szCs w:val="21"/>
              </w:rPr>
            </w:pPr>
            <w:r>
              <w:rPr>
                <w:rFonts w:ascii="宋体" w:hAnsi="宋体" w:cs="宋体"/>
                <w:color w:val="auto"/>
                <w:szCs w:val="21"/>
              </w:rPr>
              <w:t>1</w:t>
            </w:r>
            <w:r>
              <w:rPr>
                <w:rFonts w:hint="eastAsia" w:ascii="宋体" w:hAnsi="宋体" w:cs="宋体"/>
                <w:color w:val="auto"/>
                <w:szCs w:val="21"/>
              </w:rPr>
              <w:t>、</w:t>
            </w:r>
            <w:r>
              <w:rPr>
                <w:rFonts w:ascii="宋体" w:hAnsi="宋体" w:cs="宋体"/>
                <w:color w:val="auto"/>
                <w:szCs w:val="21"/>
              </w:rPr>
              <w:t xml:space="preserve">4个模拟通道；支持16个数字通道输入。带宽:200MHz （带宽最大支持升级为350MHz） </w:t>
            </w:r>
          </w:p>
          <w:p>
            <w:pPr>
              <w:rPr>
                <w:rFonts w:ascii="宋体" w:hAnsi="宋体" w:cs="宋体"/>
                <w:color w:val="auto"/>
                <w:szCs w:val="21"/>
              </w:rPr>
            </w:pPr>
            <w:r>
              <w:rPr>
                <w:rFonts w:hint="eastAsia" w:ascii="宋体" w:hAnsi="宋体" w:cs="宋体"/>
                <w:color w:val="auto"/>
                <w:szCs w:val="21"/>
              </w:rPr>
              <w:t>2、</w:t>
            </w:r>
            <w:r>
              <w:rPr>
                <w:rFonts w:ascii="宋体" w:hAnsi="宋体" w:cs="宋体"/>
                <w:color w:val="auto"/>
                <w:szCs w:val="21"/>
              </w:rPr>
              <w:t xml:space="preserve">垂直灵敏度范围：500uV/div~10 V/div </w:t>
            </w:r>
          </w:p>
          <w:p>
            <w:pPr>
              <w:rPr>
                <w:rFonts w:ascii="宋体" w:hAnsi="宋体" w:cs="宋体"/>
                <w:color w:val="auto"/>
                <w:szCs w:val="21"/>
              </w:rPr>
            </w:pPr>
            <w:r>
              <w:rPr>
                <w:rFonts w:hint="eastAsia" w:ascii="宋体" w:hAnsi="宋体" w:cs="宋体"/>
                <w:color w:val="auto"/>
                <w:szCs w:val="21"/>
              </w:rPr>
              <w:t>※</w:t>
            </w:r>
            <w:r>
              <w:rPr>
                <w:rFonts w:ascii="宋体" w:hAnsi="宋体" w:cs="宋体"/>
                <w:color w:val="auto"/>
                <w:szCs w:val="21"/>
              </w:rPr>
              <w:t>3</w:t>
            </w:r>
            <w:r>
              <w:rPr>
                <w:rFonts w:hint="eastAsia" w:ascii="宋体" w:hAnsi="宋体" w:cs="宋体"/>
                <w:color w:val="auto"/>
                <w:szCs w:val="21"/>
              </w:rPr>
              <w:t>、</w:t>
            </w:r>
            <w:r>
              <w:rPr>
                <w:rFonts w:ascii="宋体" w:hAnsi="宋体" w:cs="宋体"/>
                <w:color w:val="auto"/>
                <w:szCs w:val="21"/>
              </w:rPr>
              <w:t>实时采样率：模拟通道≥ 4GSa/s，</w:t>
            </w:r>
            <w:r>
              <w:rPr>
                <w:rFonts w:hint="eastAsia" w:ascii="宋体" w:hAnsi="宋体" w:cs="宋体"/>
                <w:color w:val="auto"/>
                <w:szCs w:val="21"/>
              </w:rPr>
              <w:t>4通道隔离，或提供隔离探头</w:t>
            </w:r>
            <w:r>
              <w:rPr>
                <w:rFonts w:ascii="宋体" w:hAnsi="宋体" w:cs="宋体"/>
                <w:color w:val="auto"/>
                <w:szCs w:val="21"/>
              </w:rPr>
              <w:t xml:space="preserve"> </w:t>
            </w:r>
          </w:p>
          <w:p>
            <w:pPr>
              <w:rPr>
                <w:rFonts w:ascii="宋体" w:hAnsi="宋体" w:cs="宋体"/>
                <w:color w:val="auto"/>
                <w:szCs w:val="21"/>
              </w:rPr>
            </w:pPr>
            <w:r>
              <w:rPr>
                <w:rFonts w:hint="eastAsia" w:ascii="宋体" w:hAnsi="宋体" w:cs="宋体"/>
                <w:color w:val="auto"/>
                <w:szCs w:val="21"/>
              </w:rPr>
              <w:t>※4、</w:t>
            </w:r>
            <w:r>
              <w:rPr>
                <w:rFonts w:ascii="宋体" w:hAnsi="宋体" w:cs="宋体"/>
                <w:color w:val="auto"/>
                <w:szCs w:val="21"/>
              </w:rPr>
              <w:t>存储深度：标配达100 Mpts，数字通道25Mpts</w:t>
            </w:r>
          </w:p>
        </w:tc>
        <w:tc>
          <w:tcPr>
            <w:tcW w:w="291" w:type="pct"/>
            <w:vAlign w:val="center"/>
          </w:tcPr>
          <w:p>
            <w:pPr>
              <w:jc w:val="center"/>
              <w:rPr>
                <w:rFonts w:ascii="宋体" w:hAnsi="宋体" w:cs="宋体"/>
                <w:color w:val="auto"/>
                <w:szCs w:val="21"/>
              </w:rPr>
            </w:pPr>
            <w:r>
              <w:rPr>
                <w:rFonts w:hint="eastAsia" w:ascii="宋体" w:hAnsi="宋体" w:cs="宋体"/>
                <w:color w:val="auto"/>
                <w:szCs w:val="21"/>
              </w:rPr>
              <w:t>1套</w:t>
            </w:r>
          </w:p>
        </w:tc>
        <w:tc>
          <w:tcPr>
            <w:tcW w:w="565" w:type="pct"/>
            <w:vAlign w:val="center"/>
          </w:tcPr>
          <w:p>
            <w:pPr>
              <w:jc w:val="center"/>
              <w:rPr>
                <w:rFonts w:ascii="宋体" w:hAnsi="宋体" w:cs="宋体"/>
                <w:color w:val="auto"/>
                <w:szCs w:val="21"/>
              </w:rPr>
            </w:pPr>
            <w:r>
              <w:rPr>
                <w:rFonts w:hint="eastAsia" w:ascii="微软雅黑" w:hAnsi="微软雅黑" w:eastAsia="微软雅黑" w:cs="微软雅黑"/>
                <w:color w:val="auto"/>
                <w:sz w:val="18"/>
                <w:szCs w:val="18"/>
              </w:rPr>
              <w:t>27000</w:t>
            </w:r>
            <w:r>
              <w:rPr>
                <w:rFonts w:ascii="微软雅黑" w:hAnsi="微软雅黑" w:eastAsia="微软雅黑" w:cs="微软雅黑"/>
                <w:vanish/>
                <w:color w:val="auto"/>
                <w:sz w:val="24"/>
              </w:rPr>
              <w:pict>
                <v:shape id="_x0000_i1029" o:spt="75" type="#_x0000_t75" style="height:17.9pt;width:72pt;" filled="f" o:preferrelative="t" stroked="f" coordsize="21600,21600">
                  <v:path/>
                  <v:fill on="f" focussize="0,0"/>
                  <v:stroke on="f" joinstyle="miter"/>
                  <v:imagedata r:id="rId14" o:title=""/>
                  <o:lock v:ext="edit" aspectratio="t"/>
                  <w10:wrap type="none"/>
                  <w10:anchorlock/>
                </v:shape>
              </w:pict>
            </w:r>
          </w:p>
        </w:tc>
        <w:tc>
          <w:tcPr>
            <w:tcW w:w="1138" w:type="dxa"/>
            <w:vAlign w:val="center"/>
          </w:tcPr>
          <w:p>
            <w:pPr>
              <w:jc w:val="center"/>
              <w:rPr>
                <w:rFonts w:ascii="宋体" w:hAnsi="宋体" w:cs="宋体"/>
                <w:color w:val="auto"/>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92" w:type="pct"/>
            <w:vAlign w:val="center"/>
          </w:tcPr>
          <w:p>
            <w:pPr>
              <w:jc w:val="center"/>
              <w:rPr>
                <w:rFonts w:ascii="宋体" w:hAnsi="宋体" w:cs="宋体"/>
                <w:color w:val="auto"/>
                <w:szCs w:val="21"/>
              </w:rPr>
            </w:pPr>
            <w:r>
              <w:rPr>
                <w:rFonts w:hint="eastAsia" w:ascii="宋体" w:hAnsi="宋体" w:cs="宋体"/>
                <w:color w:val="auto"/>
                <w:szCs w:val="21"/>
              </w:rPr>
              <w:t>6</w:t>
            </w:r>
          </w:p>
        </w:tc>
        <w:tc>
          <w:tcPr>
            <w:tcW w:w="558" w:type="pct"/>
            <w:vAlign w:val="center"/>
          </w:tcPr>
          <w:p>
            <w:pPr>
              <w:jc w:val="center"/>
              <w:rPr>
                <w:rFonts w:ascii="宋体" w:hAnsi="宋体" w:cs="宋体"/>
                <w:color w:val="auto"/>
                <w:szCs w:val="21"/>
              </w:rPr>
            </w:pPr>
            <w:r>
              <w:rPr>
                <w:rFonts w:hint="eastAsia" w:ascii="宋体" w:hAnsi="宋体" w:cs="宋体"/>
                <w:color w:val="auto"/>
                <w:szCs w:val="21"/>
              </w:rPr>
              <w:t>电源柜</w:t>
            </w:r>
          </w:p>
        </w:tc>
        <w:tc>
          <w:tcPr>
            <w:tcW w:w="2725" w:type="pct"/>
            <w:vAlign w:val="center"/>
          </w:tcPr>
          <w:p>
            <w:pPr>
              <w:rPr>
                <w:rFonts w:ascii="宋体" w:hAnsi="宋体" w:cs="宋体"/>
                <w:color w:val="auto"/>
                <w:szCs w:val="21"/>
              </w:rPr>
            </w:pPr>
            <w:r>
              <w:rPr>
                <w:rFonts w:hint="eastAsia" w:ascii="宋体" w:hAnsi="宋体" w:cs="宋体"/>
                <w:color w:val="auto"/>
                <w:szCs w:val="21"/>
              </w:rPr>
              <w:t>一、</w:t>
            </w:r>
            <w:r>
              <w:rPr>
                <w:rFonts w:ascii="宋体" w:hAnsi="宋体" w:cs="宋体"/>
                <w:color w:val="auto"/>
                <w:szCs w:val="21"/>
              </w:rPr>
              <w:t>主要功能/用途</w:t>
            </w:r>
          </w:p>
          <w:p>
            <w:pPr>
              <w:rPr>
                <w:rFonts w:ascii="宋体" w:hAnsi="宋体" w:cs="宋体"/>
                <w:color w:val="auto"/>
                <w:szCs w:val="21"/>
              </w:rPr>
            </w:pPr>
            <w:r>
              <w:rPr>
                <w:rFonts w:ascii="宋体" w:hAnsi="宋体" w:cs="宋体"/>
                <w:color w:val="auto"/>
                <w:szCs w:val="21"/>
              </w:rPr>
              <w:t>用来提供电机测试电源</w:t>
            </w:r>
          </w:p>
          <w:p>
            <w:pPr>
              <w:rPr>
                <w:rFonts w:ascii="宋体" w:hAnsi="宋体" w:cs="宋体"/>
                <w:color w:val="auto"/>
                <w:szCs w:val="21"/>
              </w:rPr>
            </w:pPr>
            <w:r>
              <w:rPr>
                <w:rFonts w:ascii="宋体" w:hAnsi="宋体" w:cs="宋体"/>
                <w:color w:val="auto"/>
                <w:szCs w:val="21"/>
              </w:rPr>
              <w:t>二、技术参数/指标</w:t>
            </w:r>
          </w:p>
          <w:p>
            <w:pPr>
              <w:rPr>
                <w:rFonts w:ascii="宋体" w:hAnsi="宋体" w:cs="宋体"/>
                <w:color w:val="auto"/>
                <w:szCs w:val="21"/>
              </w:rPr>
            </w:pPr>
            <w:r>
              <w:rPr>
                <w:rFonts w:ascii="宋体" w:hAnsi="宋体" w:cs="宋体"/>
                <w:color w:val="auto"/>
                <w:szCs w:val="21"/>
              </w:rPr>
              <w:t>1</w:t>
            </w:r>
            <w:r>
              <w:rPr>
                <w:rFonts w:hint="eastAsia" w:ascii="宋体" w:hAnsi="宋体" w:cs="宋体"/>
                <w:color w:val="auto"/>
                <w:szCs w:val="21"/>
              </w:rPr>
              <w:t>、</w:t>
            </w:r>
            <w:r>
              <w:rPr>
                <w:rFonts w:ascii="宋体" w:hAnsi="宋体" w:cs="宋体"/>
                <w:color w:val="auto"/>
                <w:szCs w:val="21"/>
              </w:rPr>
              <w:t xml:space="preserve">支持各种模式（源CV、CC、CP，载CC、CP），边沿独立设定，上升和下降时间可调 </w:t>
            </w:r>
          </w:p>
          <w:p>
            <w:pPr>
              <w:rPr>
                <w:rFonts w:ascii="宋体" w:hAnsi="宋体" w:cs="宋体"/>
                <w:color w:val="auto"/>
                <w:szCs w:val="21"/>
              </w:rPr>
            </w:pPr>
            <w:r>
              <w:rPr>
                <w:rFonts w:ascii="宋体" w:hAnsi="宋体" w:cs="宋体"/>
                <w:color w:val="auto"/>
                <w:szCs w:val="21"/>
              </w:rPr>
              <w:t>2</w:t>
            </w:r>
            <w:r>
              <w:rPr>
                <w:rFonts w:hint="eastAsia" w:ascii="宋体" w:hAnsi="宋体" w:cs="宋体"/>
                <w:color w:val="auto"/>
                <w:szCs w:val="21"/>
              </w:rPr>
              <w:t>、</w:t>
            </w:r>
            <w:r>
              <w:rPr>
                <w:rFonts w:ascii="宋体" w:hAnsi="宋体" w:cs="宋体"/>
                <w:color w:val="auto"/>
                <w:szCs w:val="21"/>
              </w:rPr>
              <w:t xml:space="preserve">双向限电流输出能力， </w:t>
            </w:r>
          </w:p>
          <w:p>
            <w:pPr>
              <w:rPr>
                <w:rFonts w:ascii="宋体" w:hAnsi="宋体" w:cs="宋体"/>
                <w:color w:val="auto"/>
                <w:szCs w:val="21"/>
              </w:rPr>
            </w:pPr>
            <w:r>
              <w:rPr>
                <w:rFonts w:ascii="宋体" w:hAnsi="宋体" w:cs="宋体"/>
                <w:color w:val="auto"/>
                <w:szCs w:val="21"/>
              </w:rPr>
              <w:t>3</w:t>
            </w:r>
            <w:r>
              <w:rPr>
                <w:rFonts w:hint="eastAsia" w:ascii="宋体" w:hAnsi="宋体" w:cs="宋体"/>
                <w:color w:val="auto"/>
                <w:szCs w:val="21"/>
              </w:rPr>
              <w:t>、</w:t>
            </w:r>
            <w:r>
              <w:rPr>
                <w:rFonts w:ascii="宋体" w:hAnsi="宋体" w:cs="宋体"/>
                <w:color w:val="auto"/>
                <w:szCs w:val="21"/>
              </w:rPr>
              <w:t xml:space="preserve">低涟波和低噪音 </w:t>
            </w:r>
          </w:p>
          <w:p>
            <w:pPr>
              <w:rPr>
                <w:rFonts w:ascii="宋体" w:hAnsi="宋体" w:cs="宋体"/>
                <w:color w:val="auto"/>
                <w:szCs w:val="21"/>
              </w:rPr>
            </w:pPr>
            <w:r>
              <w:rPr>
                <w:rFonts w:hint="eastAsia" w:ascii="宋体" w:hAnsi="宋体" w:cs="宋体"/>
                <w:color w:val="auto"/>
                <w:szCs w:val="21"/>
              </w:rPr>
              <w:t>※</w:t>
            </w:r>
            <w:r>
              <w:rPr>
                <w:rFonts w:ascii="宋体" w:hAnsi="宋体" w:cs="宋体"/>
                <w:color w:val="auto"/>
                <w:szCs w:val="21"/>
              </w:rPr>
              <w:t>4</w:t>
            </w:r>
            <w:r>
              <w:rPr>
                <w:rFonts w:hint="eastAsia" w:ascii="宋体" w:hAnsi="宋体" w:cs="宋体"/>
                <w:color w:val="auto"/>
                <w:szCs w:val="21"/>
              </w:rPr>
              <w:t>、</w:t>
            </w:r>
            <w:r>
              <w:rPr>
                <w:rFonts w:ascii="宋体" w:hAnsi="宋体" w:cs="宋体"/>
                <w:color w:val="auto"/>
                <w:szCs w:val="21"/>
              </w:rPr>
              <w:t xml:space="preserve">高分辨率及精度，稳压精度≤0.05%，纹波≤0.1% </w:t>
            </w:r>
          </w:p>
          <w:p>
            <w:pPr>
              <w:rPr>
                <w:rFonts w:ascii="宋体" w:hAnsi="宋体" w:cs="宋体"/>
                <w:color w:val="auto"/>
                <w:szCs w:val="21"/>
              </w:rPr>
            </w:pPr>
            <w:r>
              <w:rPr>
                <w:rFonts w:ascii="宋体" w:hAnsi="宋体" w:cs="宋体"/>
                <w:color w:val="auto"/>
                <w:szCs w:val="21"/>
              </w:rPr>
              <w:t>5</w:t>
            </w:r>
            <w:r>
              <w:rPr>
                <w:rFonts w:hint="eastAsia" w:ascii="宋体" w:hAnsi="宋体" w:cs="宋体"/>
                <w:color w:val="auto"/>
                <w:szCs w:val="21"/>
              </w:rPr>
              <w:t>、</w:t>
            </w:r>
            <w:r>
              <w:rPr>
                <w:rFonts w:ascii="宋体" w:hAnsi="宋体" w:cs="宋体"/>
                <w:color w:val="auto"/>
                <w:szCs w:val="21"/>
              </w:rPr>
              <w:t xml:space="preserve">支持源OVP、OCP、OPP，载 OCP、OPP，OTP，Vsense反接保护，掉电及输入欠压保护 </w:t>
            </w:r>
          </w:p>
          <w:p>
            <w:pPr>
              <w:rPr>
                <w:rFonts w:ascii="宋体" w:hAnsi="宋体" w:cs="宋体"/>
                <w:color w:val="auto"/>
                <w:szCs w:val="21"/>
              </w:rPr>
            </w:pPr>
            <w:r>
              <w:rPr>
                <w:rFonts w:hint="eastAsia" w:ascii="宋体" w:hAnsi="宋体" w:cs="宋体"/>
                <w:color w:val="auto"/>
                <w:szCs w:val="21"/>
              </w:rPr>
              <w:t>※6、</w:t>
            </w:r>
            <w:r>
              <w:rPr>
                <w:rFonts w:ascii="宋体" w:hAnsi="宋体" w:cs="宋体"/>
                <w:color w:val="auto"/>
                <w:szCs w:val="21"/>
              </w:rPr>
              <w:t>输出反接保护模块，实现防反接功能</w:t>
            </w:r>
            <w:r>
              <w:rPr>
                <w:rFonts w:hint="eastAsia" w:ascii="宋体" w:hAnsi="宋体" w:cs="宋体"/>
                <w:color w:val="auto"/>
                <w:szCs w:val="21"/>
              </w:rPr>
              <w:t>,</w:t>
            </w:r>
            <w:r>
              <w:rPr>
                <w:rFonts w:ascii="宋体" w:hAnsi="宋体" w:cs="宋体"/>
                <w:color w:val="auto"/>
                <w:szCs w:val="21"/>
              </w:rPr>
              <w:t>直流电压1000V，电流30A以上</w:t>
            </w:r>
          </w:p>
        </w:tc>
        <w:tc>
          <w:tcPr>
            <w:tcW w:w="291" w:type="pct"/>
            <w:vAlign w:val="center"/>
          </w:tcPr>
          <w:p>
            <w:pPr>
              <w:jc w:val="center"/>
              <w:rPr>
                <w:rFonts w:ascii="宋体" w:hAnsi="宋体" w:cs="宋体"/>
                <w:color w:val="auto"/>
                <w:szCs w:val="21"/>
              </w:rPr>
            </w:pPr>
            <w:r>
              <w:rPr>
                <w:rFonts w:hint="eastAsia" w:ascii="宋体" w:hAnsi="宋体" w:cs="宋体"/>
                <w:color w:val="auto"/>
                <w:szCs w:val="21"/>
              </w:rPr>
              <w:t>1套</w:t>
            </w:r>
          </w:p>
        </w:tc>
        <w:tc>
          <w:tcPr>
            <w:tcW w:w="565" w:type="pct"/>
            <w:vAlign w:val="center"/>
          </w:tcPr>
          <w:p>
            <w:pPr>
              <w:jc w:val="center"/>
              <w:rPr>
                <w:rFonts w:ascii="宋体" w:hAnsi="宋体" w:cs="宋体"/>
                <w:color w:val="auto"/>
                <w:szCs w:val="21"/>
              </w:rPr>
            </w:pPr>
            <w:r>
              <w:rPr>
                <w:rFonts w:hint="eastAsia" w:ascii="微软雅黑" w:hAnsi="微软雅黑" w:eastAsia="微软雅黑" w:cs="微软雅黑"/>
                <w:color w:val="auto"/>
                <w:sz w:val="18"/>
                <w:szCs w:val="18"/>
              </w:rPr>
              <w:t>50000</w:t>
            </w:r>
            <w:r>
              <w:rPr>
                <w:rFonts w:ascii="微软雅黑" w:hAnsi="微软雅黑" w:eastAsia="微软雅黑" w:cs="微软雅黑"/>
                <w:vanish/>
                <w:color w:val="auto"/>
                <w:sz w:val="24"/>
              </w:rPr>
              <w:pict>
                <v:shape id="_x0000_i1030" o:spt="75" type="#_x0000_t75" style="height:17.9pt;width:72pt;" filled="f" o:preferrelative="t" stroked="f" coordsize="21600,21600">
                  <v:path/>
                  <v:fill on="f" focussize="0,0"/>
                  <v:stroke on="f" joinstyle="miter"/>
                  <v:imagedata r:id="rId14" o:title=""/>
                  <o:lock v:ext="edit" aspectratio="t"/>
                  <w10:wrap type="none"/>
                  <w10:anchorlock/>
                </v:shape>
              </w:pict>
            </w:r>
          </w:p>
        </w:tc>
        <w:tc>
          <w:tcPr>
            <w:tcW w:w="1138" w:type="dxa"/>
            <w:vAlign w:val="center"/>
          </w:tcPr>
          <w:p>
            <w:pPr>
              <w:jc w:val="center"/>
              <w:rPr>
                <w:rFonts w:ascii="宋体" w:hAnsi="宋体" w:cs="宋体"/>
                <w:color w:val="auto"/>
                <w:szCs w:val="21"/>
              </w:rPr>
            </w:pPr>
          </w:p>
        </w:tc>
      </w:tr>
    </w:tbl>
    <w:p>
      <w:pPr>
        <w:autoSpaceDE w:val="0"/>
        <w:autoSpaceDN w:val="0"/>
        <w:adjustRightInd w:val="0"/>
        <w:spacing w:line="360" w:lineRule="auto"/>
        <w:rPr>
          <w:rFonts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br w:type="textWrapping"/>
      </w:r>
      <w:r>
        <w:rPr>
          <w:rFonts w:hint="eastAsia" w:asciiTheme="minorEastAsia" w:hAnsiTheme="minorEastAsia" w:eastAsiaTheme="minorEastAsia" w:cstheme="minorEastAsia"/>
          <w:color w:val="auto"/>
          <w:szCs w:val="21"/>
        </w:rPr>
        <w:t>注：</w:t>
      </w:r>
    </w:p>
    <w:p>
      <w:pPr>
        <w:autoSpaceDE w:val="0"/>
        <w:autoSpaceDN w:val="0"/>
        <w:adjustRightInd w:val="0"/>
        <w:spacing w:line="360" w:lineRule="auto"/>
        <w:rPr>
          <w:rFonts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1、以上清单需求表中如出现固定尺寸及重量等量化数值的均可认为参考，允许略有误差，但供应商竞标报价的产品必须符合采购人实际使用功能及质量要求，并提供相应技术参数证明其符合采购需求或优于采购需求，否则可视其为不满足采购需求。</w:t>
      </w:r>
    </w:p>
    <w:p>
      <w:pPr>
        <w:autoSpaceDE w:val="0"/>
        <w:autoSpaceDN w:val="0"/>
        <w:adjustRightInd w:val="0"/>
        <w:spacing w:line="360" w:lineRule="auto"/>
        <w:rPr>
          <w:rFonts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2、如涉及固定厂家品牌或规格型号的均可认为推荐，并不要求其唯一性，供应商可提供同等质量标准或更高标准产品，并提供相应技术参数证明其符合采购需求或优于采购需求，否则可视其为不满足采购需求。</w:t>
      </w:r>
    </w:p>
    <w:p>
      <w:pPr>
        <w:autoSpaceDE w:val="0"/>
        <w:autoSpaceDN w:val="0"/>
        <w:adjustRightInd w:val="0"/>
        <w:spacing w:line="360" w:lineRule="auto"/>
        <w:rPr>
          <w:color w:val="auto"/>
        </w:rPr>
      </w:pPr>
      <w:r>
        <w:rPr>
          <w:rFonts w:ascii="宋体" w:hAnsi="宋体" w:cs="宋体"/>
          <w:color w:val="auto"/>
          <w:sz w:val="24"/>
        </w:rPr>
        <w:t xml:space="preserve"> </w:t>
      </w:r>
      <w:r>
        <w:rPr>
          <w:rFonts w:hint="eastAsia" w:ascii="宋体" w:hAnsi="宋体" w:cs="宋体"/>
          <w:color w:val="auto"/>
          <w:kern w:val="0"/>
          <w:szCs w:val="21"/>
        </w:rPr>
        <w:t>★</w:t>
      </w:r>
      <w:r>
        <w:rPr>
          <w:rFonts w:hint="eastAsia" w:ascii="宋体" w:hAnsi="宋体" w:cs="宋体"/>
          <w:color w:val="auto"/>
          <w:szCs w:val="21"/>
        </w:rPr>
        <w:t>进口设备：提供原生产厂商国内总代理商（须提供国内总代理商与国外制造商的关系证明文件）出具针对本项目的授权书（加盖生产厂商或总代理商公章的真彩扫描件）和售后服务承诺函（加盖生产厂商或总代理商公章的真彩扫描件），否则视为无效投标。</w:t>
      </w:r>
      <w:r>
        <w:rPr>
          <w:rFonts w:hint="eastAsia" w:asciiTheme="minorEastAsia" w:hAnsiTheme="minorEastAsia" w:eastAsiaTheme="minorEastAsia" w:cstheme="minorEastAsia"/>
          <w:color w:val="auto"/>
          <w:szCs w:val="21"/>
          <w:highlight w:val="yellow"/>
        </w:rPr>
        <w:br w:type="textWrapping"/>
      </w:r>
      <w:r>
        <w:rPr>
          <w:rFonts w:hint="eastAsia" w:asciiTheme="minorEastAsia" w:hAnsiTheme="minorEastAsia" w:eastAsiaTheme="minorEastAsia" w:cstheme="minorEastAsia"/>
          <w:color w:val="auto"/>
          <w:szCs w:val="21"/>
        </w:rPr>
        <w:br w:type="textWrapping"/>
      </w:r>
      <w:r>
        <w:rPr>
          <w:rFonts w:hint="eastAsia" w:asciiTheme="minorEastAsia" w:hAnsiTheme="minorEastAsia" w:eastAsiaTheme="minorEastAsia" w:cstheme="minorEastAsia"/>
          <w:color w:val="auto"/>
          <w:szCs w:val="21"/>
        </w:rPr>
        <w:br w:type="textWrapping"/>
      </w:r>
    </w:p>
    <w:p>
      <w:pPr>
        <w:autoSpaceDE w:val="0"/>
        <w:autoSpaceDN w:val="0"/>
        <w:adjustRightInd w:val="0"/>
        <w:spacing w:line="360" w:lineRule="auto"/>
        <w:outlineLvl w:val="1"/>
        <w:rPr>
          <w:rFonts w:asciiTheme="minorEastAsia" w:hAnsiTheme="minorEastAsia" w:eastAsiaTheme="minorEastAsia" w:cstheme="minorEastAsia"/>
          <w:b/>
          <w:bCs/>
          <w:color w:val="auto"/>
          <w:sz w:val="24"/>
        </w:rPr>
      </w:pPr>
      <w:bookmarkStart w:id="112" w:name="_Toc4139"/>
      <w:r>
        <w:rPr>
          <w:rFonts w:hint="eastAsia" w:asciiTheme="minorEastAsia" w:hAnsiTheme="minorEastAsia" w:eastAsiaTheme="minorEastAsia" w:cstheme="minorEastAsia"/>
          <w:b/>
          <w:bCs/>
          <w:color w:val="auto"/>
          <w:sz w:val="24"/>
        </w:rPr>
        <w:t>二、商务需求</w:t>
      </w:r>
      <w:bookmarkEnd w:id="112"/>
    </w:p>
    <w:p>
      <w:pPr>
        <w:autoSpaceDE w:val="0"/>
        <w:autoSpaceDN w:val="0"/>
        <w:adjustRightInd w:val="0"/>
        <w:spacing w:line="360" w:lineRule="auto"/>
        <w:rPr>
          <w:rFonts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1.违约责任：</w:t>
      </w:r>
    </w:p>
    <w:p>
      <w:pPr>
        <w:autoSpaceDE w:val="0"/>
        <w:autoSpaceDN w:val="0"/>
        <w:adjustRightInd w:val="0"/>
        <w:spacing w:line="360" w:lineRule="auto"/>
        <w:ind w:left="418" w:hanging="417" w:hangingChars="199"/>
        <w:rPr>
          <w:rFonts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1.1 若乙方未能按合同所规定的交货时间前完成本合同全部货物（含配套系统，配件备件）安装调试并达到验收标准，每延迟一天，按合同总额的千分之一向甲方交纳违约金,违约金缴纳总额不超过合同总金额的百分之五。</w:t>
      </w:r>
    </w:p>
    <w:p>
      <w:pPr>
        <w:autoSpaceDE w:val="0"/>
        <w:autoSpaceDN w:val="0"/>
        <w:adjustRightInd w:val="0"/>
        <w:spacing w:line="360" w:lineRule="auto"/>
        <w:ind w:left="420" w:hanging="420" w:hangingChars="200"/>
        <w:rPr>
          <w:rFonts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1.2 进口货物：若乙方未能在信用证开具90日内完成本协议所有设备安装调试并达到验收标准，甲方可中止本协议，并由乙方承担由此给甲方造成的一切损失。</w:t>
      </w:r>
    </w:p>
    <w:p>
      <w:pPr>
        <w:autoSpaceDE w:val="0"/>
        <w:autoSpaceDN w:val="0"/>
        <w:adjustRightInd w:val="0"/>
        <w:spacing w:line="360" w:lineRule="auto"/>
        <w:ind w:left="420" w:leftChars="200"/>
        <w:rPr>
          <w:rFonts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国产货物：若乙方未能在规定时间前完成本合同全部货物（含配套系统，配件备件）安装调试并达到验收标准，甲方可中止本合同，并由乙方承担由此给甲方造成的一切损失。</w:t>
      </w:r>
    </w:p>
    <w:p>
      <w:pPr>
        <w:autoSpaceDE w:val="0"/>
        <w:autoSpaceDN w:val="0"/>
        <w:adjustRightInd w:val="0"/>
        <w:spacing w:line="360" w:lineRule="auto"/>
        <w:ind w:left="420" w:hanging="420" w:hangingChars="200"/>
        <w:rPr>
          <w:rFonts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1.3 乙方交付甲方的全部货物（含配套系统，配件备件）及工程中使用的材料必须有合法的进货渠道，且符合协议和投标书中的质量约定，否则由乙方承担一切责任。</w:t>
      </w:r>
    </w:p>
    <w:p>
      <w:pPr>
        <w:autoSpaceDE w:val="0"/>
        <w:autoSpaceDN w:val="0"/>
        <w:adjustRightInd w:val="0"/>
        <w:spacing w:line="360" w:lineRule="auto"/>
        <w:ind w:left="420" w:hanging="420" w:hangingChars="200"/>
        <w:rPr>
          <w:rFonts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1.4乙方保证本合同协议项下产品的权利无瑕疵，包括产品所有权及知识产权等权利无瑕疵。如任何第三方经法院（或仲裁机构）裁决有权对上述货物主张权利或国家机关依法对货物进行没收查处的，乙方除应在接到甲方全额返还已收货款通知五日内返还甲方全额返还已收货款外，还应按合同总价的5%向甲方支付违约金。</w:t>
      </w:r>
    </w:p>
    <w:p>
      <w:pPr>
        <w:autoSpaceDE w:val="0"/>
        <w:autoSpaceDN w:val="0"/>
        <w:adjustRightInd w:val="0"/>
        <w:spacing w:line="360" w:lineRule="auto"/>
        <w:rPr>
          <w:rFonts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2.产品质量要求：</w:t>
      </w:r>
    </w:p>
    <w:p>
      <w:pPr>
        <w:autoSpaceDE w:val="0"/>
        <w:autoSpaceDN w:val="0"/>
        <w:adjustRightInd w:val="0"/>
        <w:spacing w:line="360" w:lineRule="auto"/>
        <w:ind w:left="420" w:hanging="420" w:hangingChars="200"/>
        <w:rPr>
          <w:rFonts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2.1 满足执行的国家相关标准、行业标准、地方标准或其他标准，规范；</w:t>
      </w:r>
    </w:p>
    <w:p>
      <w:pPr>
        <w:autoSpaceDE w:val="0"/>
        <w:autoSpaceDN w:val="0"/>
        <w:adjustRightInd w:val="0"/>
        <w:spacing w:line="360" w:lineRule="auto"/>
        <w:ind w:left="420" w:hanging="420" w:hangingChars="200"/>
        <w:rPr>
          <w:rFonts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2.2 供应商须提供设备的相应参数和技术支持材料，不得完全照搬采购文件技术参数要求内容或标示无偏离或者符合等。</w:t>
      </w:r>
    </w:p>
    <w:p>
      <w:pPr>
        <w:autoSpaceDE w:val="0"/>
        <w:autoSpaceDN w:val="0"/>
        <w:adjustRightInd w:val="0"/>
        <w:spacing w:line="360" w:lineRule="auto"/>
        <w:ind w:left="420" w:hanging="420" w:hangingChars="200"/>
        <w:rPr>
          <w:rFonts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2.3 本次采购项目的质量必须完全满足中华人民共和国国家质量标准及现行规范要求，供应商应根据企业实际能力在响应文件中对项目质量予以承诺，成交后在合同中加以确认。</w:t>
      </w:r>
    </w:p>
    <w:p>
      <w:pPr>
        <w:autoSpaceDE w:val="0"/>
        <w:autoSpaceDN w:val="0"/>
        <w:adjustRightInd w:val="0"/>
        <w:spacing w:line="360" w:lineRule="auto"/>
        <w:ind w:left="420" w:hanging="420" w:hangingChars="200"/>
        <w:rPr>
          <w:rFonts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2.4 如有在本采购文件中未说明的设备运行所必须的其他辅助设备及软件系统，请在响应文件中提供详细说明及相关报价。</w:t>
      </w:r>
    </w:p>
    <w:p>
      <w:pPr>
        <w:autoSpaceDE w:val="0"/>
        <w:autoSpaceDN w:val="0"/>
        <w:adjustRightInd w:val="0"/>
        <w:spacing w:line="360" w:lineRule="auto"/>
        <w:ind w:left="420" w:hanging="420" w:hangingChars="200"/>
        <w:rPr>
          <w:rFonts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2.5 供应商在招标及成交后，发生侵犯专利权的行为时，其侵权责任与采购人无关，应由成交人承担相应的责任，并不得影响采购人的利益。</w:t>
      </w:r>
    </w:p>
    <w:p>
      <w:pPr>
        <w:autoSpaceDE w:val="0"/>
        <w:autoSpaceDN w:val="0"/>
        <w:adjustRightInd w:val="0"/>
        <w:spacing w:line="360" w:lineRule="auto"/>
        <w:ind w:left="420" w:hanging="420" w:hangingChars="200"/>
        <w:rPr>
          <w:rFonts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3.产品进场安装、调试及验收：</w:t>
      </w:r>
    </w:p>
    <w:p>
      <w:pPr>
        <w:autoSpaceDE w:val="0"/>
        <w:autoSpaceDN w:val="0"/>
        <w:adjustRightInd w:val="0"/>
        <w:spacing w:line="360" w:lineRule="auto"/>
        <w:ind w:left="420" w:hanging="420" w:hangingChars="200"/>
        <w:rPr>
          <w:rFonts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3.1 乙方负责安排运输到甲方指定地点。乙方承担货物（含配套系统、配件备件）交付甲方前的一切费用及风险（本条款所指交付是乙方将货物（含配套系统、配件备件）运送至甲方指定地点，并经甲方验收合格并出具验收合格证明后视为交付）。</w:t>
      </w:r>
    </w:p>
    <w:p>
      <w:pPr>
        <w:autoSpaceDE w:val="0"/>
        <w:autoSpaceDN w:val="0"/>
        <w:adjustRightInd w:val="0"/>
        <w:spacing w:line="360" w:lineRule="auto"/>
        <w:ind w:left="420" w:hanging="420" w:hangingChars="200"/>
        <w:rPr>
          <w:rFonts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3.2 乙方所提供货物（含配套系统、配件备件）必须为全新无瑕疵。</w:t>
      </w:r>
    </w:p>
    <w:p>
      <w:pPr>
        <w:autoSpaceDE w:val="0"/>
        <w:autoSpaceDN w:val="0"/>
        <w:adjustRightInd w:val="0"/>
        <w:spacing w:line="360" w:lineRule="auto"/>
        <w:ind w:left="420" w:hanging="420" w:hangingChars="200"/>
        <w:rPr>
          <w:rFonts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3.3 交货时，乙方应将货物（含配套系统、配件备件）的产品说明书、使用说明书，出厂合格证、用户手册、保修手册等单证交付给甲方，前述单证未交付完整的，视为未完全交货。进口产品必须提供国家进出口商品检验部门的检验证明及详尽的中文版说明书，前述单证未交付完整的，视为未完全交货。</w:t>
      </w:r>
    </w:p>
    <w:p>
      <w:pPr>
        <w:autoSpaceDE w:val="0"/>
        <w:autoSpaceDN w:val="0"/>
        <w:adjustRightInd w:val="0"/>
        <w:spacing w:line="360" w:lineRule="auto"/>
        <w:ind w:left="420" w:hanging="420" w:hangingChars="200"/>
        <w:rPr>
          <w:rFonts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3.4 如果乙方提供货物（含配套系统、配件备件）属于国家或上级部门相关法律法规管制或特种设备的，则乙方应当提供相关证明并协助甲方办理相关手续。</w:t>
      </w:r>
    </w:p>
    <w:p>
      <w:pPr>
        <w:autoSpaceDE w:val="0"/>
        <w:autoSpaceDN w:val="0"/>
        <w:adjustRightInd w:val="0"/>
        <w:spacing w:line="360" w:lineRule="auto"/>
        <w:ind w:left="420" w:hanging="420" w:hangingChars="200"/>
        <w:rPr>
          <w:rFonts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3.5 乙方须严格按照相关安全规范负责合同中全部货物（含配套系统、配件备件）安装调试、搬运和施工现场管理工作，并严守安装调试、搬运和施工现场各项安全规定。</w:t>
      </w:r>
    </w:p>
    <w:p>
      <w:pPr>
        <w:autoSpaceDE w:val="0"/>
        <w:autoSpaceDN w:val="0"/>
        <w:adjustRightInd w:val="0"/>
        <w:spacing w:line="360" w:lineRule="auto"/>
        <w:ind w:left="420" w:hanging="420" w:hangingChars="200"/>
        <w:rPr>
          <w:rFonts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3.6 乙方须安排具备相应资质的人员负责合同中全部货物（含配套系统、配件备件）安装调试、搬运和施工现场管安全管理工作，负责监督安装调试和搬运人员按照安全规范进行安装调试、搬运和施工现场管理，保证安装调试、搬运和施工现场安全。若发生人员伤亡事故，乙方必须承担所有法律和经济责任，甲方概不负责；若发生房屋损坏、设备损坏丢失、线路及设备毁损等财产损失安全事故，乙方必须承担经济赔偿。</w:t>
      </w:r>
    </w:p>
    <w:p>
      <w:pPr>
        <w:autoSpaceDE w:val="0"/>
        <w:autoSpaceDN w:val="0"/>
        <w:adjustRightInd w:val="0"/>
        <w:spacing w:line="360" w:lineRule="auto"/>
        <w:ind w:left="420" w:hanging="420" w:hangingChars="200"/>
        <w:rPr>
          <w:rFonts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 xml:space="preserve">3.7 甲方组织技术人员验收。（含配套系统、配件备件合同内全部货物整体验收）质量验收合格的，甲方签署验收报告，验收不合格的，甲方向乙方出具书面质量异议意见。 </w:t>
      </w:r>
    </w:p>
    <w:p>
      <w:pPr>
        <w:autoSpaceDE w:val="0"/>
        <w:autoSpaceDN w:val="0"/>
        <w:adjustRightInd w:val="0"/>
        <w:spacing w:line="360" w:lineRule="auto"/>
        <w:ind w:left="420" w:hanging="420" w:hangingChars="200"/>
        <w:rPr>
          <w:rFonts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3.8 甲方完成验收并不免除乙方对（含配套系统、配件备件）产品质量应当承担的责任。</w:t>
      </w:r>
    </w:p>
    <w:p>
      <w:pPr>
        <w:autoSpaceDE w:val="0"/>
        <w:autoSpaceDN w:val="0"/>
        <w:adjustRightInd w:val="0"/>
        <w:spacing w:line="360" w:lineRule="auto"/>
        <w:ind w:left="420" w:hanging="420" w:hangingChars="200"/>
        <w:rPr>
          <w:rFonts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4.售后服务要求：</w:t>
      </w:r>
    </w:p>
    <w:p>
      <w:pPr>
        <w:autoSpaceDE w:val="0"/>
        <w:autoSpaceDN w:val="0"/>
        <w:adjustRightInd w:val="0"/>
        <w:spacing w:line="360" w:lineRule="auto"/>
        <w:ind w:left="420" w:hanging="420" w:hangingChars="200"/>
        <w:rPr>
          <w:rFonts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4.1 质保期、保修期内因国产货物（含配套系统、配件备件）质量或安装调试原因引起的全部维修费用（包括更换零配件的费用）均由乙方承担。</w:t>
      </w:r>
    </w:p>
    <w:p>
      <w:pPr>
        <w:autoSpaceDE w:val="0"/>
        <w:autoSpaceDN w:val="0"/>
        <w:adjustRightInd w:val="0"/>
        <w:spacing w:line="360" w:lineRule="auto"/>
        <w:ind w:left="420" w:hanging="420" w:hangingChars="200"/>
        <w:rPr>
          <w:rFonts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4.2 质保期、保修期外，乙方应定期回访，发现问题及时通知甲方，国产货物（含配套系统、配件备件）维修零配件以优惠价给甲方（免收人工及差旅费）。</w:t>
      </w:r>
    </w:p>
    <w:p>
      <w:pPr>
        <w:autoSpaceDE w:val="0"/>
        <w:autoSpaceDN w:val="0"/>
        <w:adjustRightInd w:val="0"/>
        <w:spacing w:line="360" w:lineRule="auto"/>
        <w:ind w:left="420" w:hanging="420" w:hangingChars="200"/>
        <w:rPr>
          <w:rFonts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4.3 维修时，乙方接到甲方故障通知后在24小时之内上门服务，小型故障在3天内解决，大故障在15天内解决，若乙方怠于履行维修义务，则甲方有权委托第三人维修，所产生的所有费用由乙方承担。</w:t>
      </w:r>
    </w:p>
    <w:p>
      <w:pPr>
        <w:autoSpaceDE w:val="0"/>
        <w:autoSpaceDN w:val="0"/>
        <w:adjustRightInd w:val="0"/>
        <w:spacing w:line="360" w:lineRule="auto"/>
        <w:ind w:left="420" w:hanging="420" w:hangingChars="200"/>
        <w:rPr>
          <w:rFonts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5.实施人员要求：按本项目情况配置齐全的实施人员，且分工明确。</w:t>
      </w:r>
    </w:p>
    <w:p>
      <w:pPr>
        <w:autoSpaceDE w:val="0"/>
        <w:autoSpaceDN w:val="0"/>
        <w:adjustRightInd w:val="0"/>
        <w:spacing w:line="360" w:lineRule="auto"/>
        <w:rPr>
          <w:rFonts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6.培训要求：对设备使用者进行设备操作和维护进行培训，使被培训人员达到能够熟练使用。培训费用由卖方承担。</w:t>
      </w:r>
    </w:p>
    <w:p>
      <w:pPr>
        <w:autoSpaceDE w:val="0"/>
        <w:autoSpaceDN w:val="0"/>
        <w:adjustRightInd w:val="0"/>
        <w:spacing w:line="360" w:lineRule="auto"/>
        <w:rPr>
          <w:rFonts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7.交货地点：采购人指定的项目现场。</w:t>
      </w:r>
    </w:p>
    <w:p>
      <w:pPr>
        <w:autoSpaceDE w:val="0"/>
        <w:autoSpaceDN w:val="0"/>
        <w:adjustRightInd w:val="0"/>
        <w:spacing w:line="360" w:lineRule="auto"/>
        <w:rPr>
          <w:rFonts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8.履约保证金：合同总金额的5%；签订合同前5个工作日递交，以支票、汇票、本票或者金融机构、担保机构出具的保函等非现金形式提交。</w:t>
      </w:r>
    </w:p>
    <w:p>
      <w:pPr>
        <w:autoSpaceDE w:val="0"/>
        <w:autoSpaceDN w:val="0"/>
        <w:adjustRightInd w:val="0"/>
        <w:spacing w:line="360" w:lineRule="auto"/>
        <w:rPr>
          <w:rFonts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9.付款方式：</w:t>
      </w:r>
    </w:p>
    <w:p>
      <w:pPr>
        <w:autoSpaceDE w:val="0"/>
        <w:autoSpaceDN w:val="0"/>
        <w:adjustRightInd w:val="0"/>
        <w:spacing w:line="360" w:lineRule="auto"/>
        <w:ind w:left="420" w:hanging="420" w:hangingChars="200"/>
        <w:rPr>
          <w:rFonts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9.1 合同签订前，乙方需向甲方支付协议总金额的5%作为履约保证金。全部货物设备（系统）经甲方验收合格后，履约保证金转为质保金，产品验收合格满1年后，若无质量问题甲方将质保金全额无息退还给乙方。</w:t>
      </w:r>
    </w:p>
    <w:p>
      <w:pPr>
        <w:autoSpaceDE w:val="0"/>
        <w:autoSpaceDN w:val="0"/>
        <w:adjustRightInd w:val="0"/>
        <w:spacing w:line="360" w:lineRule="auto"/>
        <w:ind w:left="420" w:hanging="420" w:hangingChars="200"/>
        <w:rPr>
          <w:rFonts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9.2 国产货物（含配套系统、配件备件）须提供增值税专用发票。</w:t>
      </w:r>
    </w:p>
    <w:p>
      <w:pPr>
        <w:autoSpaceDE w:val="0"/>
        <w:autoSpaceDN w:val="0"/>
        <w:adjustRightInd w:val="0"/>
        <w:spacing w:line="360" w:lineRule="auto"/>
        <w:rPr>
          <w:rFonts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10.其它：其他事宜由成交供应商和采购人以最终签订合同为准。</w:t>
      </w:r>
    </w:p>
    <w:p>
      <w:pPr>
        <w:autoSpaceDE w:val="0"/>
        <w:autoSpaceDN w:val="0"/>
        <w:adjustRightInd w:val="0"/>
        <w:spacing w:line="360" w:lineRule="auto"/>
        <w:rPr>
          <w:rFonts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br w:type="textWrapping"/>
      </w:r>
      <w:r>
        <w:rPr>
          <w:rFonts w:hint="eastAsia" w:asciiTheme="minorEastAsia" w:hAnsiTheme="minorEastAsia" w:eastAsiaTheme="minorEastAsia" w:cstheme="minorEastAsia"/>
          <w:color w:val="auto"/>
          <w:szCs w:val="21"/>
        </w:rPr>
        <w:t>注：</w:t>
      </w:r>
    </w:p>
    <w:p>
      <w:pPr>
        <w:autoSpaceDE w:val="0"/>
        <w:autoSpaceDN w:val="0"/>
        <w:adjustRightInd w:val="0"/>
        <w:spacing w:line="360" w:lineRule="auto"/>
        <w:rPr>
          <w:rFonts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（1）资格审查因素等证明材料须提供网上图片或查询方式以供磋商小组核查，响应文件内附相关证书真彩扫描件。</w:t>
      </w:r>
    </w:p>
    <w:p>
      <w:pPr>
        <w:autoSpaceDE w:val="0"/>
        <w:autoSpaceDN w:val="0"/>
        <w:adjustRightInd w:val="0"/>
        <w:spacing w:line="360" w:lineRule="auto"/>
        <w:rPr>
          <w:rFonts w:asciiTheme="minorEastAsia" w:hAnsiTheme="minorEastAsia" w:eastAsiaTheme="minorEastAsia" w:cstheme="minorEastAsia"/>
          <w:b/>
          <w:bCs/>
          <w:color w:val="auto"/>
          <w:szCs w:val="21"/>
        </w:rPr>
      </w:pPr>
      <w:r>
        <w:rPr>
          <w:rFonts w:hint="eastAsia" w:asciiTheme="minorEastAsia" w:hAnsiTheme="minorEastAsia" w:eastAsiaTheme="minorEastAsia" w:cstheme="minorEastAsia"/>
          <w:color w:val="auto"/>
          <w:szCs w:val="21"/>
        </w:rPr>
        <w:t>（2）如发现供应商的最后报价明显低于其他通过资格审查及符合性审查的供应商的最后报价，磋商小组认为有可能影响项目实施及服务质量或者不能诚信履约的，可启用澄清程序，有权要求供应商在合理的时间内出具最后报价的合理分析，供应商不能合理说明或者不能提供相关证明材料的，磋商小组可认定该供应商以低于成本报价竞标，有权将其报价作无效处理。</w:t>
      </w:r>
    </w:p>
    <w:p>
      <w:pPr>
        <w:rPr>
          <w:rFonts w:asciiTheme="minorEastAsia" w:hAnsiTheme="minorEastAsia" w:eastAsiaTheme="minorEastAsia" w:cstheme="minorEastAsia"/>
          <w:color w:val="auto"/>
          <w:szCs w:val="21"/>
        </w:rPr>
      </w:pPr>
      <w:bookmarkStart w:id="113" w:name="_Toc1421"/>
      <w:r>
        <w:rPr>
          <w:rFonts w:hint="eastAsia" w:asciiTheme="minorEastAsia" w:hAnsiTheme="minorEastAsia" w:eastAsiaTheme="minorEastAsia" w:cstheme="minorEastAsia"/>
          <w:color w:val="auto"/>
          <w:sz w:val="36"/>
          <w:szCs w:val="36"/>
        </w:rPr>
        <w:br w:type="page"/>
      </w:r>
    </w:p>
    <w:p>
      <w:pPr>
        <w:pStyle w:val="4"/>
        <w:numPr>
          <w:ilvl w:val="0"/>
          <w:numId w:val="4"/>
        </w:numPr>
        <w:jc w:val="center"/>
        <w:rPr>
          <w:rFonts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 w:val="36"/>
          <w:szCs w:val="36"/>
        </w:rPr>
        <w:t>竞争性磋商采购评定办法</w:t>
      </w:r>
      <w:bookmarkEnd w:id="113"/>
    </w:p>
    <w:p>
      <w:pPr>
        <w:spacing w:line="360" w:lineRule="auto"/>
        <w:outlineLvl w:val="1"/>
        <w:rPr>
          <w:rFonts w:asciiTheme="minorEastAsia" w:hAnsiTheme="minorEastAsia" w:eastAsiaTheme="minorEastAsia" w:cstheme="minorEastAsia"/>
          <w:b/>
          <w:color w:val="auto"/>
          <w:szCs w:val="21"/>
        </w:rPr>
      </w:pPr>
      <w:bookmarkStart w:id="114" w:name="_Toc4474"/>
      <w:r>
        <w:rPr>
          <w:rFonts w:hint="eastAsia" w:asciiTheme="minorEastAsia" w:hAnsiTheme="minorEastAsia" w:eastAsiaTheme="minorEastAsia" w:cstheme="minorEastAsia"/>
          <w:b/>
          <w:color w:val="auto"/>
          <w:szCs w:val="21"/>
        </w:rPr>
        <w:t>一、评定办法前附表</w:t>
      </w:r>
      <w:bookmarkEnd w:id="114"/>
    </w:p>
    <w:tbl>
      <w:tblPr>
        <w:tblStyle w:val="26"/>
        <w:tblW w:w="936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57" w:type="dxa"/>
          <w:left w:w="57" w:type="dxa"/>
          <w:bottom w:w="57" w:type="dxa"/>
          <w:right w:w="57" w:type="dxa"/>
        </w:tblCellMar>
      </w:tblPr>
      <w:tblGrid>
        <w:gridCol w:w="680"/>
        <w:gridCol w:w="851"/>
        <w:gridCol w:w="2268"/>
        <w:gridCol w:w="556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285" w:hRule="atLeast"/>
          <w:tblHeader/>
          <w:jc w:val="center"/>
        </w:trPr>
        <w:tc>
          <w:tcPr>
            <w:tcW w:w="1531" w:type="dxa"/>
            <w:gridSpan w:val="2"/>
            <w:vAlign w:val="center"/>
          </w:tcPr>
          <w:p>
            <w:pPr>
              <w:widowControl/>
              <w:jc w:val="center"/>
              <w:rPr>
                <w:rFonts w:asciiTheme="minorEastAsia" w:hAnsiTheme="minorEastAsia" w:eastAsiaTheme="minorEastAsia" w:cstheme="minorEastAsia"/>
                <w:b/>
                <w:bCs/>
                <w:color w:val="auto"/>
                <w:kern w:val="0"/>
                <w:szCs w:val="21"/>
              </w:rPr>
            </w:pPr>
            <w:r>
              <w:rPr>
                <w:rFonts w:hint="eastAsia" w:asciiTheme="minorEastAsia" w:hAnsiTheme="minorEastAsia" w:eastAsiaTheme="minorEastAsia" w:cstheme="minorEastAsia"/>
                <w:b/>
                <w:bCs/>
                <w:color w:val="auto"/>
                <w:kern w:val="0"/>
                <w:szCs w:val="21"/>
              </w:rPr>
              <w:t>条款号</w:t>
            </w:r>
          </w:p>
        </w:tc>
        <w:tc>
          <w:tcPr>
            <w:tcW w:w="2268" w:type="dxa"/>
            <w:vAlign w:val="center"/>
          </w:tcPr>
          <w:p>
            <w:pPr>
              <w:widowControl/>
              <w:jc w:val="center"/>
              <w:rPr>
                <w:rFonts w:asciiTheme="minorEastAsia" w:hAnsiTheme="minorEastAsia" w:eastAsiaTheme="minorEastAsia" w:cstheme="minorEastAsia"/>
                <w:b/>
                <w:bCs/>
                <w:color w:val="auto"/>
                <w:kern w:val="0"/>
                <w:szCs w:val="21"/>
              </w:rPr>
            </w:pPr>
            <w:r>
              <w:rPr>
                <w:rFonts w:hint="eastAsia" w:asciiTheme="minorEastAsia" w:hAnsiTheme="minorEastAsia" w:eastAsiaTheme="minorEastAsia" w:cstheme="minorEastAsia"/>
                <w:b/>
                <w:bCs/>
                <w:color w:val="auto"/>
                <w:kern w:val="0"/>
                <w:szCs w:val="21"/>
              </w:rPr>
              <w:t>评审因素</w:t>
            </w:r>
          </w:p>
        </w:tc>
        <w:tc>
          <w:tcPr>
            <w:tcW w:w="5563" w:type="dxa"/>
            <w:vAlign w:val="center"/>
          </w:tcPr>
          <w:p>
            <w:pPr>
              <w:widowControl/>
              <w:jc w:val="center"/>
              <w:rPr>
                <w:rFonts w:asciiTheme="minorEastAsia" w:hAnsiTheme="minorEastAsia" w:eastAsiaTheme="minorEastAsia" w:cstheme="minorEastAsia"/>
                <w:b/>
                <w:bCs/>
                <w:color w:val="auto"/>
                <w:kern w:val="0"/>
                <w:szCs w:val="21"/>
              </w:rPr>
            </w:pPr>
            <w:r>
              <w:rPr>
                <w:rFonts w:hint="eastAsia" w:asciiTheme="minorEastAsia" w:hAnsiTheme="minorEastAsia" w:eastAsiaTheme="minorEastAsia" w:cstheme="minorEastAsia"/>
                <w:b/>
                <w:bCs/>
                <w:color w:val="auto"/>
                <w:kern w:val="0"/>
                <w:szCs w:val="21"/>
              </w:rPr>
              <w:t>评审标准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528" w:hRule="atLeast"/>
          <w:jc w:val="center"/>
        </w:trPr>
        <w:tc>
          <w:tcPr>
            <w:tcW w:w="680" w:type="dxa"/>
            <w:vMerge w:val="restart"/>
            <w:vAlign w:val="center"/>
          </w:tcPr>
          <w:p>
            <w:pPr>
              <w:jc w:val="center"/>
              <w:rPr>
                <w:rFonts w:asciiTheme="minorEastAsia" w:hAnsiTheme="minorEastAsia" w:eastAsiaTheme="minorEastAsia" w:cstheme="minorEastAsia"/>
                <w:bCs/>
                <w:color w:val="auto"/>
                <w:kern w:val="0"/>
                <w:szCs w:val="21"/>
              </w:rPr>
            </w:pPr>
            <w:r>
              <w:rPr>
                <w:rFonts w:hint="eastAsia" w:asciiTheme="minorEastAsia" w:hAnsiTheme="minorEastAsia" w:eastAsiaTheme="minorEastAsia" w:cstheme="minorEastAsia"/>
                <w:bCs/>
                <w:color w:val="auto"/>
                <w:kern w:val="0"/>
                <w:szCs w:val="21"/>
              </w:rPr>
              <w:t>1.1</w:t>
            </w:r>
          </w:p>
        </w:tc>
        <w:tc>
          <w:tcPr>
            <w:tcW w:w="851" w:type="dxa"/>
            <w:vMerge w:val="restart"/>
            <w:vAlign w:val="center"/>
          </w:tcPr>
          <w:p>
            <w:pPr>
              <w:jc w:val="center"/>
              <w:rPr>
                <w:rFonts w:asciiTheme="minorEastAsia" w:hAnsiTheme="minorEastAsia" w:eastAsiaTheme="minorEastAsia" w:cstheme="minorEastAsia"/>
                <w:bCs/>
                <w:color w:val="auto"/>
                <w:kern w:val="0"/>
                <w:szCs w:val="21"/>
              </w:rPr>
            </w:pPr>
            <w:r>
              <w:rPr>
                <w:rFonts w:hint="eastAsia" w:asciiTheme="minorEastAsia" w:hAnsiTheme="minorEastAsia" w:eastAsiaTheme="minorEastAsia" w:cstheme="minorEastAsia"/>
                <w:color w:val="auto"/>
                <w:szCs w:val="21"/>
              </w:rPr>
              <w:t>资格性审查标准</w:t>
            </w:r>
          </w:p>
        </w:tc>
        <w:tc>
          <w:tcPr>
            <w:tcW w:w="2268" w:type="dxa"/>
            <w:vAlign w:val="center"/>
          </w:tcPr>
          <w:p>
            <w:pPr>
              <w:widowControl/>
              <w:jc w:val="center"/>
              <w:rPr>
                <w:rFonts w:asciiTheme="minorEastAsia" w:hAnsiTheme="minorEastAsia" w:eastAsiaTheme="minorEastAsia" w:cstheme="minorEastAsia"/>
                <w:color w:val="auto"/>
                <w:kern w:val="0"/>
                <w:szCs w:val="21"/>
              </w:rPr>
            </w:pPr>
            <w:r>
              <w:rPr>
                <w:rFonts w:hint="eastAsia" w:asciiTheme="minorEastAsia" w:hAnsiTheme="minorEastAsia" w:eastAsiaTheme="minorEastAsia" w:cstheme="minorEastAsia"/>
                <w:color w:val="auto"/>
                <w:szCs w:val="21"/>
              </w:rPr>
              <w:t>满足《中华人民共和国政府采购法》第二十二条规定</w:t>
            </w:r>
          </w:p>
        </w:tc>
        <w:tc>
          <w:tcPr>
            <w:tcW w:w="5563" w:type="dxa"/>
            <w:vAlign w:val="center"/>
          </w:tcPr>
          <w:p>
            <w:pPr>
              <w:autoSpaceDE w:val="0"/>
              <w:autoSpaceDN w:val="0"/>
              <w:adjustRightInd w:val="0"/>
              <w:spacing w:line="360" w:lineRule="auto"/>
              <w:rPr>
                <w:rFonts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（1）具有独立承担民事责任的能力；</w:t>
            </w:r>
          </w:p>
          <w:p>
            <w:pPr>
              <w:autoSpaceDE w:val="0"/>
              <w:autoSpaceDN w:val="0"/>
              <w:adjustRightInd w:val="0"/>
              <w:spacing w:line="360" w:lineRule="auto"/>
              <w:rPr>
                <w:rFonts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（2）具有良好的商业信誉和健全的财务会计制度；</w:t>
            </w:r>
          </w:p>
          <w:p>
            <w:pPr>
              <w:autoSpaceDE w:val="0"/>
              <w:autoSpaceDN w:val="0"/>
              <w:adjustRightInd w:val="0"/>
              <w:spacing w:line="360" w:lineRule="auto"/>
              <w:rPr>
                <w:rFonts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（3）具有履行合同所必需的设备和专业技术能力；</w:t>
            </w:r>
          </w:p>
          <w:p>
            <w:pPr>
              <w:autoSpaceDE w:val="0"/>
              <w:autoSpaceDN w:val="0"/>
              <w:adjustRightInd w:val="0"/>
              <w:spacing w:line="360" w:lineRule="auto"/>
              <w:rPr>
                <w:rFonts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（4）有依法缴纳税收和社会保障资金的良好记录；</w:t>
            </w:r>
          </w:p>
          <w:p>
            <w:pPr>
              <w:autoSpaceDE w:val="0"/>
              <w:autoSpaceDN w:val="0"/>
              <w:adjustRightInd w:val="0"/>
              <w:spacing w:line="360" w:lineRule="auto"/>
              <w:rPr>
                <w:rFonts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（5）参加政府采购活动前三年内，在经营活动中没有重大违法记录；</w:t>
            </w:r>
          </w:p>
          <w:p>
            <w:pPr>
              <w:autoSpaceDE w:val="0"/>
              <w:autoSpaceDN w:val="0"/>
              <w:adjustRightInd w:val="0"/>
              <w:spacing w:line="360" w:lineRule="auto"/>
              <w:rPr>
                <w:rFonts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（6）法律、行政法规规定的其他条件；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246" w:hRule="atLeast"/>
          <w:jc w:val="center"/>
        </w:trPr>
        <w:tc>
          <w:tcPr>
            <w:tcW w:w="680" w:type="dxa"/>
            <w:vMerge w:val="continue"/>
            <w:vAlign w:val="center"/>
          </w:tcPr>
          <w:p>
            <w:pPr>
              <w:widowControl/>
              <w:jc w:val="center"/>
              <w:rPr>
                <w:rFonts w:asciiTheme="minorEastAsia" w:hAnsiTheme="minorEastAsia" w:eastAsiaTheme="minorEastAsia" w:cstheme="minorEastAsia"/>
                <w:bCs/>
                <w:color w:val="auto"/>
                <w:kern w:val="0"/>
                <w:szCs w:val="21"/>
              </w:rPr>
            </w:pPr>
          </w:p>
        </w:tc>
        <w:tc>
          <w:tcPr>
            <w:tcW w:w="851" w:type="dxa"/>
            <w:vMerge w:val="continue"/>
            <w:vAlign w:val="center"/>
          </w:tcPr>
          <w:p>
            <w:pPr>
              <w:widowControl/>
              <w:jc w:val="center"/>
              <w:rPr>
                <w:rFonts w:asciiTheme="minorEastAsia" w:hAnsiTheme="minorEastAsia" w:eastAsiaTheme="minorEastAsia" w:cstheme="minorEastAsia"/>
                <w:color w:val="auto"/>
                <w:szCs w:val="21"/>
              </w:rPr>
            </w:pPr>
          </w:p>
        </w:tc>
        <w:tc>
          <w:tcPr>
            <w:tcW w:w="2268" w:type="dxa"/>
            <w:vMerge w:val="restart"/>
            <w:vAlign w:val="center"/>
          </w:tcPr>
          <w:p>
            <w:pPr>
              <w:widowControl/>
              <w:spacing w:line="280" w:lineRule="exact"/>
              <w:jc w:val="center"/>
              <w:rPr>
                <w:rFonts w:asciiTheme="minorEastAsia" w:hAnsiTheme="minorEastAsia" w:eastAsiaTheme="minorEastAsia" w:cstheme="minorEastAsia"/>
                <w:color w:val="auto"/>
                <w:kern w:val="0"/>
                <w:szCs w:val="21"/>
              </w:rPr>
            </w:pPr>
            <w:r>
              <w:rPr>
                <w:rFonts w:hint="eastAsia" w:asciiTheme="minorEastAsia" w:hAnsiTheme="minorEastAsia" w:eastAsiaTheme="minorEastAsia" w:cstheme="minorEastAsia"/>
                <w:color w:val="auto"/>
                <w:kern w:val="0"/>
                <w:szCs w:val="21"/>
              </w:rPr>
              <w:t>不得存在的情形</w:t>
            </w:r>
          </w:p>
        </w:tc>
        <w:tc>
          <w:tcPr>
            <w:tcW w:w="5563" w:type="dxa"/>
            <w:vAlign w:val="center"/>
          </w:tcPr>
          <w:p>
            <w:pPr>
              <w:autoSpaceDE w:val="0"/>
              <w:autoSpaceDN w:val="0"/>
              <w:adjustRightInd w:val="0"/>
              <w:spacing w:line="360" w:lineRule="auto"/>
              <w:rPr>
                <w:rFonts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单位负责人为同一人或者存在直接控股、管理关系的不同供应商，不得参加本项目同一合同项下的政府采购活动。（按在采购代理机构获取文件的顺次序选择供应商参加本项目）</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261" w:hRule="atLeast"/>
          <w:jc w:val="center"/>
        </w:trPr>
        <w:tc>
          <w:tcPr>
            <w:tcW w:w="680" w:type="dxa"/>
            <w:vMerge w:val="continue"/>
            <w:vAlign w:val="center"/>
          </w:tcPr>
          <w:p>
            <w:pPr>
              <w:widowControl/>
              <w:jc w:val="center"/>
              <w:rPr>
                <w:rFonts w:asciiTheme="minorEastAsia" w:hAnsiTheme="minorEastAsia" w:eastAsiaTheme="minorEastAsia" w:cstheme="minorEastAsia"/>
                <w:bCs/>
                <w:color w:val="auto"/>
                <w:kern w:val="0"/>
                <w:szCs w:val="21"/>
              </w:rPr>
            </w:pPr>
          </w:p>
        </w:tc>
        <w:tc>
          <w:tcPr>
            <w:tcW w:w="851" w:type="dxa"/>
            <w:vMerge w:val="continue"/>
            <w:vAlign w:val="center"/>
          </w:tcPr>
          <w:p>
            <w:pPr>
              <w:widowControl/>
              <w:jc w:val="center"/>
              <w:rPr>
                <w:rFonts w:asciiTheme="minorEastAsia" w:hAnsiTheme="minorEastAsia" w:eastAsiaTheme="minorEastAsia" w:cstheme="minorEastAsia"/>
                <w:color w:val="auto"/>
                <w:szCs w:val="21"/>
              </w:rPr>
            </w:pPr>
          </w:p>
        </w:tc>
        <w:tc>
          <w:tcPr>
            <w:tcW w:w="2268" w:type="dxa"/>
            <w:vMerge w:val="continue"/>
            <w:vAlign w:val="center"/>
          </w:tcPr>
          <w:p>
            <w:pPr>
              <w:widowControl/>
              <w:spacing w:line="280" w:lineRule="exact"/>
              <w:jc w:val="center"/>
              <w:rPr>
                <w:rFonts w:asciiTheme="minorEastAsia" w:hAnsiTheme="minorEastAsia" w:eastAsiaTheme="minorEastAsia" w:cstheme="minorEastAsia"/>
                <w:color w:val="auto"/>
                <w:szCs w:val="21"/>
                <w:lang w:val="zh-CN"/>
              </w:rPr>
            </w:pPr>
          </w:p>
        </w:tc>
        <w:tc>
          <w:tcPr>
            <w:tcW w:w="5563" w:type="dxa"/>
            <w:vAlign w:val="center"/>
          </w:tcPr>
          <w:p>
            <w:pPr>
              <w:autoSpaceDE w:val="0"/>
              <w:autoSpaceDN w:val="0"/>
              <w:adjustRightInd w:val="0"/>
              <w:spacing w:line="360" w:lineRule="auto"/>
              <w:rPr>
                <w:rFonts w:asciiTheme="minorEastAsia" w:hAnsiTheme="minorEastAsia" w:eastAsiaTheme="minorEastAsia" w:cstheme="minorEastAsia"/>
                <w:color w:val="auto"/>
                <w:szCs w:val="21"/>
                <w:lang w:val="zh-CN"/>
              </w:rPr>
            </w:pPr>
            <w:r>
              <w:rPr>
                <w:rFonts w:hint="eastAsia" w:asciiTheme="minorEastAsia" w:hAnsiTheme="minorEastAsia" w:eastAsiaTheme="minorEastAsia" w:cstheme="minorEastAsia"/>
                <w:color w:val="auto"/>
                <w:szCs w:val="21"/>
              </w:rPr>
              <w:t xml:space="preserve">为本采购项目提供整体设计、规范编制或者项目管理、监理、检测等服务的，不得再参加本项目的其他招标采购活动。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285" w:hRule="atLeast"/>
          <w:jc w:val="center"/>
        </w:trPr>
        <w:tc>
          <w:tcPr>
            <w:tcW w:w="680" w:type="dxa"/>
            <w:vMerge w:val="continue"/>
            <w:vAlign w:val="center"/>
          </w:tcPr>
          <w:p>
            <w:pPr>
              <w:widowControl/>
              <w:jc w:val="center"/>
              <w:rPr>
                <w:rFonts w:asciiTheme="minorEastAsia" w:hAnsiTheme="minorEastAsia" w:eastAsiaTheme="minorEastAsia" w:cstheme="minorEastAsia"/>
                <w:bCs/>
                <w:color w:val="auto"/>
                <w:kern w:val="0"/>
                <w:szCs w:val="21"/>
              </w:rPr>
            </w:pPr>
          </w:p>
        </w:tc>
        <w:tc>
          <w:tcPr>
            <w:tcW w:w="851" w:type="dxa"/>
            <w:vMerge w:val="continue"/>
            <w:vAlign w:val="center"/>
          </w:tcPr>
          <w:p>
            <w:pPr>
              <w:widowControl/>
              <w:jc w:val="center"/>
              <w:rPr>
                <w:rFonts w:asciiTheme="minorEastAsia" w:hAnsiTheme="minorEastAsia" w:eastAsiaTheme="minorEastAsia" w:cstheme="minorEastAsia"/>
                <w:color w:val="auto"/>
                <w:szCs w:val="21"/>
              </w:rPr>
            </w:pPr>
          </w:p>
        </w:tc>
        <w:tc>
          <w:tcPr>
            <w:tcW w:w="2268" w:type="dxa"/>
            <w:vMerge w:val="continue"/>
            <w:vAlign w:val="center"/>
          </w:tcPr>
          <w:p>
            <w:pPr>
              <w:widowControl/>
              <w:spacing w:line="280" w:lineRule="exact"/>
              <w:jc w:val="center"/>
              <w:rPr>
                <w:rFonts w:asciiTheme="minorEastAsia" w:hAnsiTheme="minorEastAsia" w:eastAsiaTheme="minorEastAsia" w:cstheme="minorEastAsia"/>
                <w:color w:val="auto"/>
                <w:szCs w:val="21"/>
                <w:lang w:val="zh-CN"/>
              </w:rPr>
            </w:pPr>
          </w:p>
        </w:tc>
        <w:tc>
          <w:tcPr>
            <w:tcW w:w="5563" w:type="dxa"/>
            <w:vAlign w:val="center"/>
          </w:tcPr>
          <w:p>
            <w:pPr>
              <w:autoSpaceDE w:val="0"/>
              <w:autoSpaceDN w:val="0"/>
              <w:adjustRightInd w:val="0"/>
              <w:spacing w:line="360" w:lineRule="auto"/>
              <w:rPr>
                <w:rFonts w:asciiTheme="minorEastAsia" w:hAnsiTheme="minorEastAsia" w:eastAsiaTheme="minorEastAsia" w:cstheme="minorEastAsia"/>
                <w:color w:val="auto"/>
                <w:szCs w:val="21"/>
                <w:lang w:val="zh-CN"/>
              </w:rPr>
            </w:pPr>
            <w:r>
              <w:rPr>
                <w:rFonts w:hint="eastAsia" w:asciiTheme="minorEastAsia" w:hAnsiTheme="minorEastAsia" w:eastAsiaTheme="minorEastAsia" w:cstheme="minorEastAsia"/>
                <w:color w:val="auto"/>
                <w:szCs w:val="21"/>
              </w:rPr>
              <w:t>未被列入失信被执行人、重大税收违法案件当事人名单（链接：https://www.creditchina.gov.cn/），未被列入政府采购严重违法失信行为记录名单（链接：http://www.ccgp.gov.cn/search/cr/）。</w:t>
            </w:r>
            <w:r>
              <w:rPr>
                <w:rFonts w:hint="eastAsia" w:asciiTheme="minorEastAsia" w:hAnsiTheme="minorEastAsia" w:eastAsiaTheme="minorEastAsia" w:cstheme="minorEastAsia"/>
                <w:color w:val="auto"/>
                <w:szCs w:val="21"/>
              </w:rPr>
              <w:br w:type="textWrapping"/>
            </w:r>
            <w:r>
              <w:rPr>
                <w:rFonts w:hint="eastAsia" w:asciiTheme="minorEastAsia" w:hAnsiTheme="minorEastAsia" w:eastAsiaTheme="minorEastAsia" w:cstheme="minorEastAsia"/>
                <w:color w:val="auto"/>
                <w:szCs w:val="21"/>
              </w:rPr>
              <w:t xml:space="preserve">以递交响应文件截止之日，采购代理机构现场网络查询并打印存档。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285" w:hRule="atLeast"/>
          <w:jc w:val="center"/>
        </w:trPr>
        <w:tc>
          <w:tcPr>
            <w:tcW w:w="680" w:type="dxa"/>
            <w:vMerge w:val="continue"/>
            <w:vAlign w:val="center"/>
          </w:tcPr>
          <w:p>
            <w:pPr>
              <w:widowControl/>
              <w:jc w:val="center"/>
              <w:rPr>
                <w:rFonts w:asciiTheme="minorEastAsia" w:hAnsiTheme="minorEastAsia" w:eastAsiaTheme="minorEastAsia" w:cstheme="minorEastAsia"/>
                <w:bCs/>
                <w:color w:val="auto"/>
                <w:kern w:val="0"/>
                <w:szCs w:val="21"/>
              </w:rPr>
            </w:pPr>
          </w:p>
        </w:tc>
        <w:tc>
          <w:tcPr>
            <w:tcW w:w="851" w:type="dxa"/>
            <w:vMerge w:val="continue"/>
            <w:vAlign w:val="center"/>
          </w:tcPr>
          <w:p>
            <w:pPr>
              <w:widowControl/>
              <w:jc w:val="center"/>
              <w:rPr>
                <w:rFonts w:asciiTheme="minorEastAsia" w:hAnsiTheme="minorEastAsia" w:eastAsiaTheme="minorEastAsia" w:cstheme="minorEastAsia"/>
                <w:color w:val="auto"/>
                <w:szCs w:val="21"/>
              </w:rPr>
            </w:pPr>
          </w:p>
        </w:tc>
        <w:tc>
          <w:tcPr>
            <w:tcW w:w="2268" w:type="dxa"/>
            <w:vAlign w:val="center"/>
          </w:tcPr>
          <w:p>
            <w:pPr>
              <w:widowControl/>
              <w:spacing w:line="280" w:lineRule="exact"/>
              <w:jc w:val="center"/>
              <w:rPr>
                <w:rFonts w:asciiTheme="minorEastAsia" w:hAnsiTheme="minorEastAsia" w:eastAsiaTheme="minorEastAsia" w:cstheme="minorEastAsia"/>
                <w:color w:val="auto"/>
                <w:szCs w:val="21"/>
                <w:lang w:val="zh-CN"/>
              </w:rPr>
            </w:pPr>
            <w:r>
              <w:rPr>
                <w:rFonts w:hint="eastAsia" w:asciiTheme="minorEastAsia" w:hAnsiTheme="minorEastAsia" w:eastAsiaTheme="minorEastAsia" w:cstheme="minorEastAsia"/>
                <w:color w:val="auto"/>
                <w:szCs w:val="21"/>
              </w:rPr>
              <w:t>落实政府采购政策需满足的资格要求</w:t>
            </w:r>
          </w:p>
        </w:tc>
        <w:tc>
          <w:tcPr>
            <w:tcW w:w="5563" w:type="dxa"/>
            <w:vAlign w:val="center"/>
          </w:tcPr>
          <w:p>
            <w:pPr>
              <w:autoSpaceDE w:val="0"/>
              <w:autoSpaceDN w:val="0"/>
              <w:adjustRightInd w:val="0"/>
              <w:spacing w:line="360" w:lineRule="auto"/>
              <w:rPr>
                <w:rFonts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90" w:hRule="atLeast"/>
          <w:jc w:val="center"/>
        </w:trPr>
        <w:tc>
          <w:tcPr>
            <w:tcW w:w="680" w:type="dxa"/>
            <w:vMerge w:val="continue"/>
            <w:vAlign w:val="center"/>
          </w:tcPr>
          <w:p>
            <w:pPr>
              <w:widowControl/>
              <w:jc w:val="center"/>
              <w:rPr>
                <w:rFonts w:asciiTheme="minorEastAsia" w:hAnsiTheme="minorEastAsia" w:eastAsiaTheme="minorEastAsia" w:cstheme="minorEastAsia"/>
                <w:bCs/>
                <w:color w:val="auto"/>
                <w:kern w:val="0"/>
                <w:szCs w:val="21"/>
              </w:rPr>
            </w:pPr>
          </w:p>
        </w:tc>
        <w:tc>
          <w:tcPr>
            <w:tcW w:w="851" w:type="dxa"/>
            <w:vMerge w:val="continue"/>
            <w:vAlign w:val="center"/>
          </w:tcPr>
          <w:p>
            <w:pPr>
              <w:widowControl/>
              <w:jc w:val="center"/>
              <w:rPr>
                <w:rFonts w:asciiTheme="minorEastAsia" w:hAnsiTheme="minorEastAsia" w:eastAsiaTheme="minorEastAsia" w:cstheme="minorEastAsia"/>
                <w:color w:val="auto"/>
                <w:szCs w:val="21"/>
              </w:rPr>
            </w:pPr>
          </w:p>
        </w:tc>
        <w:tc>
          <w:tcPr>
            <w:tcW w:w="2268" w:type="dxa"/>
            <w:vAlign w:val="center"/>
          </w:tcPr>
          <w:p>
            <w:pPr>
              <w:widowControl/>
              <w:jc w:val="center"/>
              <w:rPr>
                <w:rFonts w:asciiTheme="minorEastAsia" w:hAnsiTheme="minorEastAsia" w:eastAsiaTheme="minorEastAsia" w:cstheme="minorEastAsia"/>
                <w:color w:val="auto"/>
                <w:szCs w:val="21"/>
                <w:lang w:val="zh-CN"/>
              </w:rPr>
            </w:pPr>
            <w:r>
              <w:rPr>
                <w:rFonts w:hint="eastAsia" w:asciiTheme="minorEastAsia" w:hAnsiTheme="minorEastAsia" w:eastAsiaTheme="minorEastAsia" w:cstheme="minorEastAsia"/>
                <w:color w:val="auto"/>
                <w:szCs w:val="21"/>
              </w:rPr>
              <w:t>特定资格要求</w:t>
            </w:r>
          </w:p>
        </w:tc>
        <w:tc>
          <w:tcPr>
            <w:tcW w:w="5563" w:type="dxa"/>
            <w:vAlign w:val="center"/>
          </w:tcPr>
          <w:p>
            <w:pPr>
              <w:autoSpaceDE w:val="0"/>
              <w:autoSpaceDN w:val="0"/>
              <w:adjustRightInd w:val="0"/>
              <w:spacing w:line="360" w:lineRule="auto"/>
              <w:rPr>
                <w:rFonts w:asciiTheme="minorEastAsia" w:hAnsiTheme="minorEastAsia" w:eastAsiaTheme="minorEastAsia" w:cstheme="minorEastAsia"/>
                <w:color w:val="auto"/>
                <w:szCs w:val="21"/>
                <w:lang w:val="zh-CN"/>
              </w:rPr>
            </w:pPr>
            <w:r>
              <w:rPr>
                <w:rFonts w:hint="eastAsia" w:asciiTheme="minorEastAsia" w:hAnsiTheme="minorEastAsia" w:eastAsiaTheme="minorEastAsia" w:cstheme="minorEastAsia"/>
                <w:color w:val="auto"/>
                <w:szCs w:val="21"/>
              </w:rPr>
              <w:t xml:space="preserve">符合本采购文件第一章第二款第六条要求，并提供合格有效的证明材料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285" w:hRule="atLeast"/>
          <w:jc w:val="center"/>
        </w:trPr>
        <w:tc>
          <w:tcPr>
            <w:tcW w:w="680" w:type="dxa"/>
            <w:vMerge w:val="restart"/>
            <w:vAlign w:val="center"/>
          </w:tcPr>
          <w:p>
            <w:pPr>
              <w:jc w:val="center"/>
              <w:rPr>
                <w:rFonts w:asciiTheme="minorEastAsia" w:hAnsiTheme="minorEastAsia" w:eastAsiaTheme="minorEastAsia" w:cstheme="minorEastAsia"/>
                <w:bCs/>
                <w:color w:val="auto"/>
                <w:kern w:val="0"/>
                <w:szCs w:val="21"/>
              </w:rPr>
            </w:pPr>
            <w:r>
              <w:rPr>
                <w:rFonts w:hint="eastAsia" w:asciiTheme="minorEastAsia" w:hAnsiTheme="minorEastAsia" w:eastAsiaTheme="minorEastAsia" w:cstheme="minorEastAsia"/>
                <w:bCs/>
                <w:color w:val="auto"/>
                <w:kern w:val="0"/>
                <w:szCs w:val="21"/>
              </w:rPr>
              <w:t>1.2</w:t>
            </w:r>
          </w:p>
        </w:tc>
        <w:tc>
          <w:tcPr>
            <w:tcW w:w="851" w:type="dxa"/>
            <w:vMerge w:val="restart"/>
            <w:vAlign w:val="center"/>
          </w:tcPr>
          <w:p>
            <w:pPr>
              <w:jc w:val="center"/>
              <w:rPr>
                <w:rFonts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符合性审查标准</w:t>
            </w:r>
          </w:p>
          <w:p>
            <w:pPr>
              <w:jc w:val="center"/>
              <w:rPr>
                <w:rFonts w:asciiTheme="minorEastAsia" w:hAnsiTheme="minorEastAsia" w:eastAsiaTheme="minorEastAsia" w:cstheme="minorEastAsia"/>
                <w:color w:val="auto"/>
                <w:szCs w:val="21"/>
              </w:rPr>
            </w:pPr>
          </w:p>
        </w:tc>
        <w:tc>
          <w:tcPr>
            <w:tcW w:w="2268" w:type="dxa"/>
            <w:vAlign w:val="center"/>
          </w:tcPr>
          <w:p>
            <w:pPr>
              <w:widowControl/>
              <w:jc w:val="center"/>
              <w:rPr>
                <w:rFonts w:asciiTheme="minorEastAsia" w:hAnsiTheme="minorEastAsia" w:eastAsiaTheme="minorEastAsia" w:cstheme="minorEastAsia"/>
                <w:bCs/>
                <w:color w:val="auto"/>
                <w:kern w:val="0"/>
                <w:szCs w:val="21"/>
              </w:rPr>
            </w:pPr>
            <w:r>
              <w:rPr>
                <w:rFonts w:hint="eastAsia" w:asciiTheme="minorEastAsia" w:hAnsiTheme="minorEastAsia" w:eastAsiaTheme="minorEastAsia" w:cstheme="minorEastAsia"/>
                <w:color w:val="auto"/>
                <w:kern w:val="0"/>
                <w:szCs w:val="21"/>
              </w:rPr>
              <w:t>磋商保证金（如有）</w:t>
            </w:r>
          </w:p>
        </w:tc>
        <w:tc>
          <w:tcPr>
            <w:tcW w:w="5563" w:type="dxa"/>
            <w:vAlign w:val="center"/>
          </w:tcPr>
          <w:p>
            <w:pPr>
              <w:widowControl/>
              <w:rPr>
                <w:rFonts w:asciiTheme="minorEastAsia" w:hAnsiTheme="minorEastAsia" w:eastAsiaTheme="minorEastAsia" w:cstheme="minorEastAsia"/>
                <w:bCs/>
                <w:color w:val="auto"/>
                <w:kern w:val="0"/>
                <w:szCs w:val="21"/>
              </w:rPr>
            </w:pPr>
            <w:r>
              <w:rPr>
                <w:rFonts w:hint="eastAsia" w:asciiTheme="minorEastAsia" w:hAnsiTheme="minorEastAsia" w:eastAsiaTheme="minorEastAsia" w:cstheme="minorEastAsia"/>
                <w:bCs/>
                <w:color w:val="auto"/>
                <w:kern w:val="0"/>
                <w:szCs w:val="21"/>
              </w:rPr>
              <w:t>供应商是否按照磋商文件提交投标保证金</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425" w:hRule="atLeast"/>
          <w:jc w:val="center"/>
        </w:trPr>
        <w:tc>
          <w:tcPr>
            <w:tcW w:w="680" w:type="dxa"/>
            <w:vMerge w:val="continue"/>
            <w:vAlign w:val="center"/>
          </w:tcPr>
          <w:p>
            <w:pPr>
              <w:widowControl/>
              <w:jc w:val="center"/>
              <w:rPr>
                <w:rFonts w:asciiTheme="minorEastAsia" w:hAnsiTheme="minorEastAsia" w:eastAsiaTheme="minorEastAsia" w:cstheme="minorEastAsia"/>
                <w:bCs/>
                <w:color w:val="auto"/>
                <w:kern w:val="0"/>
                <w:szCs w:val="21"/>
              </w:rPr>
            </w:pPr>
          </w:p>
        </w:tc>
        <w:tc>
          <w:tcPr>
            <w:tcW w:w="851" w:type="dxa"/>
            <w:vMerge w:val="continue"/>
            <w:vAlign w:val="center"/>
          </w:tcPr>
          <w:p>
            <w:pPr>
              <w:widowControl/>
              <w:jc w:val="center"/>
              <w:rPr>
                <w:rFonts w:asciiTheme="minorEastAsia" w:hAnsiTheme="minorEastAsia" w:eastAsiaTheme="minorEastAsia" w:cstheme="minorEastAsia"/>
                <w:bCs/>
                <w:color w:val="auto"/>
                <w:kern w:val="0"/>
                <w:szCs w:val="21"/>
              </w:rPr>
            </w:pPr>
          </w:p>
        </w:tc>
        <w:tc>
          <w:tcPr>
            <w:tcW w:w="2268" w:type="dxa"/>
            <w:vAlign w:val="center"/>
          </w:tcPr>
          <w:p>
            <w:pPr>
              <w:widowControl/>
              <w:jc w:val="center"/>
              <w:rPr>
                <w:rFonts w:asciiTheme="minorEastAsia" w:hAnsiTheme="minorEastAsia" w:eastAsiaTheme="minorEastAsia" w:cstheme="minorEastAsia"/>
                <w:color w:val="auto"/>
                <w:kern w:val="0"/>
                <w:szCs w:val="21"/>
              </w:rPr>
            </w:pPr>
            <w:r>
              <w:rPr>
                <w:rFonts w:hint="eastAsia" w:asciiTheme="minorEastAsia" w:hAnsiTheme="minorEastAsia" w:eastAsiaTheme="minorEastAsia" w:cstheme="minorEastAsia"/>
                <w:color w:val="auto"/>
                <w:kern w:val="0"/>
                <w:szCs w:val="21"/>
              </w:rPr>
              <w:t>磋商报价</w:t>
            </w:r>
          </w:p>
        </w:tc>
        <w:tc>
          <w:tcPr>
            <w:tcW w:w="5563" w:type="dxa"/>
            <w:vAlign w:val="center"/>
          </w:tcPr>
          <w:p>
            <w:pPr>
              <w:widowControl/>
              <w:rPr>
                <w:rFonts w:asciiTheme="minorEastAsia" w:hAnsiTheme="minorEastAsia" w:eastAsiaTheme="minorEastAsia" w:cstheme="minorEastAsia"/>
                <w:color w:val="auto"/>
                <w:kern w:val="0"/>
                <w:szCs w:val="21"/>
              </w:rPr>
            </w:pPr>
            <w:r>
              <w:rPr>
                <w:rFonts w:hint="eastAsia" w:asciiTheme="minorEastAsia" w:hAnsiTheme="minorEastAsia" w:eastAsiaTheme="minorEastAsia" w:cstheme="minorEastAsia"/>
                <w:color w:val="auto"/>
                <w:kern w:val="0"/>
                <w:szCs w:val="21"/>
              </w:rPr>
              <w:t>磋商报价是否符合磋商文件要求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285" w:hRule="atLeast"/>
          <w:jc w:val="center"/>
        </w:trPr>
        <w:tc>
          <w:tcPr>
            <w:tcW w:w="680" w:type="dxa"/>
            <w:vMerge w:val="continue"/>
            <w:vAlign w:val="center"/>
          </w:tcPr>
          <w:p>
            <w:pPr>
              <w:widowControl/>
              <w:jc w:val="center"/>
              <w:rPr>
                <w:rFonts w:asciiTheme="minorEastAsia" w:hAnsiTheme="minorEastAsia" w:eastAsiaTheme="minorEastAsia" w:cstheme="minorEastAsia"/>
                <w:bCs/>
                <w:color w:val="auto"/>
                <w:kern w:val="0"/>
                <w:szCs w:val="21"/>
              </w:rPr>
            </w:pPr>
          </w:p>
        </w:tc>
        <w:tc>
          <w:tcPr>
            <w:tcW w:w="851" w:type="dxa"/>
            <w:vMerge w:val="continue"/>
            <w:vAlign w:val="center"/>
          </w:tcPr>
          <w:p>
            <w:pPr>
              <w:widowControl/>
              <w:jc w:val="center"/>
              <w:rPr>
                <w:rFonts w:asciiTheme="minorEastAsia" w:hAnsiTheme="minorEastAsia" w:eastAsiaTheme="minorEastAsia" w:cstheme="minorEastAsia"/>
                <w:bCs/>
                <w:color w:val="auto"/>
                <w:kern w:val="0"/>
                <w:szCs w:val="21"/>
              </w:rPr>
            </w:pPr>
          </w:p>
        </w:tc>
        <w:tc>
          <w:tcPr>
            <w:tcW w:w="2268" w:type="dxa"/>
            <w:vAlign w:val="center"/>
          </w:tcPr>
          <w:p>
            <w:pPr>
              <w:widowControl/>
              <w:jc w:val="center"/>
              <w:rPr>
                <w:rFonts w:asciiTheme="minorEastAsia" w:hAnsiTheme="minorEastAsia" w:eastAsiaTheme="minorEastAsia" w:cstheme="minorEastAsia"/>
                <w:bCs/>
                <w:color w:val="auto"/>
                <w:kern w:val="0"/>
                <w:szCs w:val="21"/>
              </w:rPr>
            </w:pPr>
            <w:r>
              <w:rPr>
                <w:rFonts w:hint="eastAsia" w:asciiTheme="minorEastAsia" w:hAnsiTheme="minorEastAsia" w:eastAsiaTheme="minorEastAsia" w:cstheme="minorEastAsia"/>
                <w:color w:val="auto"/>
                <w:kern w:val="0"/>
                <w:szCs w:val="21"/>
              </w:rPr>
              <w:t>磋商书签字盖章</w:t>
            </w:r>
          </w:p>
        </w:tc>
        <w:tc>
          <w:tcPr>
            <w:tcW w:w="5563" w:type="dxa"/>
            <w:vAlign w:val="center"/>
          </w:tcPr>
          <w:p>
            <w:pPr>
              <w:widowControl/>
              <w:rPr>
                <w:rFonts w:asciiTheme="minorEastAsia" w:hAnsiTheme="minorEastAsia" w:eastAsiaTheme="minorEastAsia" w:cstheme="minorEastAsia"/>
                <w:color w:val="auto"/>
                <w:kern w:val="0"/>
                <w:szCs w:val="21"/>
              </w:rPr>
            </w:pPr>
            <w:r>
              <w:rPr>
                <w:rFonts w:hint="eastAsia" w:asciiTheme="minorEastAsia" w:hAnsiTheme="minorEastAsia" w:eastAsiaTheme="minorEastAsia" w:cstheme="minorEastAsia"/>
                <w:color w:val="auto"/>
                <w:kern w:val="0"/>
                <w:szCs w:val="21"/>
              </w:rPr>
              <w:t>是否有法定代表人或其委托代理人签字并加盖单位公章</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285" w:hRule="atLeast"/>
          <w:jc w:val="center"/>
        </w:trPr>
        <w:tc>
          <w:tcPr>
            <w:tcW w:w="680" w:type="dxa"/>
            <w:vMerge w:val="continue"/>
            <w:vAlign w:val="center"/>
          </w:tcPr>
          <w:p>
            <w:pPr>
              <w:widowControl/>
              <w:jc w:val="center"/>
              <w:rPr>
                <w:rFonts w:asciiTheme="minorEastAsia" w:hAnsiTheme="minorEastAsia" w:eastAsiaTheme="minorEastAsia" w:cstheme="minorEastAsia"/>
                <w:bCs/>
                <w:color w:val="auto"/>
                <w:kern w:val="0"/>
                <w:szCs w:val="21"/>
              </w:rPr>
            </w:pPr>
          </w:p>
        </w:tc>
        <w:tc>
          <w:tcPr>
            <w:tcW w:w="851" w:type="dxa"/>
            <w:vMerge w:val="continue"/>
            <w:vAlign w:val="center"/>
          </w:tcPr>
          <w:p>
            <w:pPr>
              <w:widowControl/>
              <w:jc w:val="center"/>
              <w:rPr>
                <w:rFonts w:asciiTheme="minorEastAsia" w:hAnsiTheme="minorEastAsia" w:eastAsiaTheme="minorEastAsia" w:cstheme="minorEastAsia"/>
                <w:bCs/>
                <w:color w:val="auto"/>
                <w:kern w:val="0"/>
                <w:szCs w:val="21"/>
              </w:rPr>
            </w:pPr>
          </w:p>
        </w:tc>
        <w:tc>
          <w:tcPr>
            <w:tcW w:w="2268" w:type="dxa"/>
            <w:vAlign w:val="center"/>
          </w:tcPr>
          <w:p>
            <w:pPr>
              <w:widowControl/>
              <w:jc w:val="center"/>
              <w:rPr>
                <w:rFonts w:asciiTheme="minorEastAsia" w:hAnsiTheme="minorEastAsia" w:eastAsiaTheme="minorEastAsia" w:cstheme="minorEastAsia"/>
                <w:color w:val="auto"/>
                <w:kern w:val="0"/>
                <w:szCs w:val="21"/>
              </w:rPr>
            </w:pPr>
            <w:r>
              <w:rPr>
                <w:rFonts w:hint="eastAsia" w:asciiTheme="minorEastAsia" w:hAnsiTheme="minorEastAsia" w:eastAsiaTheme="minorEastAsia" w:cstheme="minorEastAsia"/>
                <w:color w:val="auto"/>
                <w:kern w:val="0"/>
                <w:szCs w:val="21"/>
              </w:rPr>
              <w:t>磋商有效期</w:t>
            </w:r>
          </w:p>
        </w:tc>
        <w:tc>
          <w:tcPr>
            <w:tcW w:w="5563" w:type="dxa"/>
            <w:vAlign w:val="center"/>
          </w:tcPr>
          <w:p>
            <w:pPr>
              <w:widowControl/>
              <w:rPr>
                <w:rFonts w:asciiTheme="minorEastAsia" w:hAnsiTheme="minorEastAsia" w:eastAsiaTheme="minorEastAsia" w:cstheme="minorEastAsia"/>
                <w:color w:val="auto"/>
                <w:kern w:val="0"/>
                <w:szCs w:val="21"/>
              </w:rPr>
            </w:pPr>
            <w:r>
              <w:rPr>
                <w:rFonts w:hint="eastAsia" w:asciiTheme="minorEastAsia" w:hAnsiTheme="minorEastAsia" w:eastAsiaTheme="minorEastAsia" w:cstheme="minorEastAsia"/>
                <w:color w:val="auto"/>
                <w:kern w:val="0"/>
                <w:szCs w:val="21"/>
              </w:rPr>
              <w:t>磋商有效期是否满足竞争性磋商采购文件要求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285" w:hRule="atLeast"/>
          <w:jc w:val="center"/>
        </w:trPr>
        <w:tc>
          <w:tcPr>
            <w:tcW w:w="680" w:type="dxa"/>
            <w:vMerge w:val="continue"/>
            <w:vAlign w:val="center"/>
          </w:tcPr>
          <w:p>
            <w:pPr>
              <w:widowControl/>
              <w:jc w:val="center"/>
              <w:rPr>
                <w:rFonts w:asciiTheme="minorEastAsia" w:hAnsiTheme="minorEastAsia" w:eastAsiaTheme="minorEastAsia" w:cstheme="minorEastAsia"/>
                <w:bCs/>
                <w:color w:val="auto"/>
                <w:kern w:val="0"/>
                <w:szCs w:val="21"/>
              </w:rPr>
            </w:pPr>
          </w:p>
        </w:tc>
        <w:tc>
          <w:tcPr>
            <w:tcW w:w="851" w:type="dxa"/>
            <w:vMerge w:val="continue"/>
            <w:vAlign w:val="center"/>
          </w:tcPr>
          <w:p>
            <w:pPr>
              <w:widowControl/>
              <w:jc w:val="center"/>
              <w:rPr>
                <w:rFonts w:asciiTheme="minorEastAsia" w:hAnsiTheme="minorEastAsia" w:eastAsiaTheme="minorEastAsia" w:cstheme="minorEastAsia"/>
                <w:bCs/>
                <w:color w:val="auto"/>
                <w:kern w:val="0"/>
                <w:szCs w:val="21"/>
              </w:rPr>
            </w:pPr>
          </w:p>
        </w:tc>
        <w:tc>
          <w:tcPr>
            <w:tcW w:w="2268" w:type="dxa"/>
            <w:vAlign w:val="center"/>
          </w:tcPr>
          <w:p>
            <w:pPr>
              <w:widowControl/>
              <w:jc w:val="center"/>
              <w:rPr>
                <w:rFonts w:asciiTheme="minorEastAsia" w:hAnsiTheme="minorEastAsia" w:eastAsiaTheme="minorEastAsia" w:cstheme="minorEastAsia"/>
                <w:color w:val="auto"/>
                <w:kern w:val="0"/>
                <w:szCs w:val="21"/>
              </w:rPr>
            </w:pPr>
            <w:r>
              <w:rPr>
                <w:rFonts w:hint="eastAsia" w:asciiTheme="minorEastAsia" w:hAnsiTheme="minorEastAsia" w:eastAsiaTheme="minorEastAsia" w:cstheme="minorEastAsia"/>
                <w:color w:val="auto"/>
                <w:kern w:val="0"/>
                <w:szCs w:val="21"/>
              </w:rPr>
              <w:t>信誉情况</w:t>
            </w:r>
          </w:p>
        </w:tc>
        <w:tc>
          <w:tcPr>
            <w:tcW w:w="5563" w:type="dxa"/>
            <w:vAlign w:val="center"/>
          </w:tcPr>
          <w:p>
            <w:pPr>
              <w:widowControl/>
              <w:rPr>
                <w:rFonts w:asciiTheme="minorEastAsia" w:hAnsiTheme="minorEastAsia" w:eastAsiaTheme="minorEastAsia" w:cstheme="minorEastAsia"/>
                <w:color w:val="auto"/>
                <w:kern w:val="0"/>
                <w:szCs w:val="21"/>
              </w:rPr>
            </w:pPr>
            <w:r>
              <w:rPr>
                <w:rFonts w:hint="eastAsia" w:ascii="宋体" w:hAnsi="宋体" w:cs="宋体"/>
                <w:color w:val="auto"/>
                <w:kern w:val="0"/>
                <w:szCs w:val="21"/>
              </w:rPr>
              <w:t>参加本</w:t>
            </w:r>
            <w:r>
              <w:rPr>
                <w:rFonts w:hint="eastAsia" w:ascii="宋体" w:hAnsi="宋体" w:cs="宋体"/>
                <w:color w:val="auto"/>
                <w:kern w:val="0"/>
                <w:szCs w:val="21"/>
                <w:shd w:val="clear" w:color="auto" w:fill="FFFFFF"/>
              </w:rPr>
              <w:t>次政府采购活动前三年内，是否有不良经济纠纷记录和违法行为（供应商提供声明或承诺书，格式自拟）；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285" w:hRule="atLeast"/>
          <w:jc w:val="center"/>
        </w:trPr>
        <w:tc>
          <w:tcPr>
            <w:tcW w:w="680" w:type="dxa"/>
            <w:vMerge w:val="continue"/>
            <w:vAlign w:val="center"/>
          </w:tcPr>
          <w:p>
            <w:pPr>
              <w:widowControl/>
              <w:jc w:val="center"/>
              <w:rPr>
                <w:rFonts w:asciiTheme="minorEastAsia" w:hAnsiTheme="minorEastAsia" w:eastAsiaTheme="minorEastAsia" w:cstheme="minorEastAsia"/>
                <w:bCs/>
                <w:color w:val="auto"/>
                <w:kern w:val="0"/>
                <w:szCs w:val="21"/>
              </w:rPr>
            </w:pPr>
          </w:p>
        </w:tc>
        <w:tc>
          <w:tcPr>
            <w:tcW w:w="851" w:type="dxa"/>
            <w:vMerge w:val="continue"/>
            <w:vAlign w:val="center"/>
          </w:tcPr>
          <w:p>
            <w:pPr>
              <w:widowControl/>
              <w:jc w:val="center"/>
              <w:rPr>
                <w:rFonts w:asciiTheme="minorEastAsia" w:hAnsiTheme="minorEastAsia" w:eastAsiaTheme="minorEastAsia" w:cstheme="minorEastAsia"/>
                <w:bCs/>
                <w:color w:val="auto"/>
                <w:kern w:val="0"/>
                <w:szCs w:val="21"/>
              </w:rPr>
            </w:pPr>
          </w:p>
        </w:tc>
        <w:tc>
          <w:tcPr>
            <w:tcW w:w="2268" w:type="dxa"/>
            <w:vMerge w:val="restart"/>
            <w:vAlign w:val="center"/>
          </w:tcPr>
          <w:p>
            <w:pPr>
              <w:widowControl/>
              <w:jc w:val="center"/>
              <w:rPr>
                <w:rFonts w:asciiTheme="minorEastAsia" w:hAnsiTheme="minorEastAsia" w:eastAsiaTheme="minorEastAsia" w:cstheme="minorEastAsia"/>
                <w:color w:val="auto"/>
                <w:kern w:val="0"/>
                <w:szCs w:val="21"/>
              </w:rPr>
            </w:pPr>
            <w:r>
              <w:rPr>
                <w:rFonts w:hint="eastAsia" w:asciiTheme="minorEastAsia" w:hAnsiTheme="minorEastAsia" w:eastAsiaTheme="minorEastAsia" w:cstheme="minorEastAsia"/>
                <w:color w:val="auto"/>
                <w:kern w:val="0"/>
                <w:szCs w:val="21"/>
              </w:rPr>
              <w:t>采购需求响应</w:t>
            </w:r>
          </w:p>
        </w:tc>
        <w:tc>
          <w:tcPr>
            <w:tcW w:w="5563" w:type="dxa"/>
            <w:vAlign w:val="center"/>
          </w:tcPr>
          <w:p>
            <w:pPr>
              <w:widowControl/>
              <w:rPr>
                <w:rFonts w:asciiTheme="minorEastAsia" w:hAnsiTheme="minorEastAsia" w:eastAsiaTheme="minorEastAsia" w:cstheme="minorEastAsia"/>
                <w:color w:val="auto"/>
                <w:kern w:val="0"/>
                <w:szCs w:val="21"/>
              </w:rPr>
            </w:pPr>
            <w:r>
              <w:rPr>
                <w:rFonts w:hint="eastAsia" w:ascii="宋体" w:hAnsi="宋体" w:cs="宋体"/>
                <w:color w:val="auto"/>
                <w:kern w:val="0"/>
                <w:szCs w:val="21"/>
                <w:shd w:val="clear" w:color="auto" w:fill="FFFFFF"/>
              </w:rPr>
              <w:t>带“★”号条款（如有）是否实质性响应磋商文件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285" w:hRule="atLeast"/>
          <w:jc w:val="center"/>
        </w:trPr>
        <w:tc>
          <w:tcPr>
            <w:tcW w:w="680" w:type="dxa"/>
            <w:vMerge w:val="continue"/>
            <w:vAlign w:val="center"/>
          </w:tcPr>
          <w:p>
            <w:pPr>
              <w:widowControl/>
              <w:jc w:val="center"/>
              <w:rPr>
                <w:rFonts w:asciiTheme="minorEastAsia" w:hAnsiTheme="minorEastAsia" w:eastAsiaTheme="minorEastAsia" w:cstheme="minorEastAsia"/>
                <w:bCs/>
                <w:color w:val="auto"/>
                <w:kern w:val="0"/>
                <w:szCs w:val="21"/>
              </w:rPr>
            </w:pPr>
          </w:p>
        </w:tc>
        <w:tc>
          <w:tcPr>
            <w:tcW w:w="851" w:type="dxa"/>
            <w:vMerge w:val="continue"/>
            <w:vAlign w:val="center"/>
          </w:tcPr>
          <w:p>
            <w:pPr>
              <w:widowControl/>
              <w:jc w:val="center"/>
              <w:rPr>
                <w:rFonts w:asciiTheme="minorEastAsia" w:hAnsiTheme="minorEastAsia" w:eastAsiaTheme="minorEastAsia" w:cstheme="minorEastAsia"/>
                <w:bCs/>
                <w:color w:val="auto"/>
                <w:kern w:val="0"/>
                <w:szCs w:val="21"/>
              </w:rPr>
            </w:pPr>
          </w:p>
        </w:tc>
        <w:tc>
          <w:tcPr>
            <w:tcW w:w="2268" w:type="dxa"/>
            <w:vMerge w:val="continue"/>
            <w:vAlign w:val="center"/>
          </w:tcPr>
          <w:p>
            <w:pPr>
              <w:widowControl/>
              <w:jc w:val="center"/>
              <w:rPr>
                <w:rFonts w:asciiTheme="minorEastAsia" w:hAnsiTheme="minorEastAsia" w:eastAsiaTheme="minorEastAsia" w:cstheme="minorEastAsia"/>
                <w:color w:val="auto"/>
                <w:kern w:val="0"/>
                <w:szCs w:val="21"/>
              </w:rPr>
            </w:pPr>
          </w:p>
        </w:tc>
        <w:tc>
          <w:tcPr>
            <w:tcW w:w="5563" w:type="dxa"/>
            <w:vAlign w:val="center"/>
          </w:tcPr>
          <w:p>
            <w:pPr>
              <w:widowControl/>
              <w:rPr>
                <w:rFonts w:asciiTheme="minorEastAsia" w:hAnsiTheme="minorEastAsia" w:eastAsiaTheme="minorEastAsia" w:cstheme="minorEastAsia"/>
                <w:color w:val="auto"/>
                <w:kern w:val="0"/>
                <w:szCs w:val="21"/>
              </w:rPr>
            </w:pPr>
            <w:r>
              <w:rPr>
                <w:rFonts w:hint="eastAsia" w:asciiTheme="minorEastAsia" w:hAnsiTheme="minorEastAsia" w:eastAsiaTheme="minorEastAsia" w:cstheme="minorEastAsia"/>
                <w:color w:val="auto"/>
                <w:kern w:val="0"/>
                <w:szCs w:val="21"/>
              </w:rPr>
              <w:t>是否有提出采购人不能接受的合同条件的</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1282" w:hRule="atLeast"/>
          <w:jc w:val="center"/>
        </w:trPr>
        <w:tc>
          <w:tcPr>
            <w:tcW w:w="680" w:type="dxa"/>
            <w:vMerge w:val="continue"/>
            <w:vAlign w:val="center"/>
          </w:tcPr>
          <w:p>
            <w:pPr>
              <w:widowControl/>
              <w:jc w:val="center"/>
              <w:rPr>
                <w:rFonts w:asciiTheme="minorEastAsia" w:hAnsiTheme="minorEastAsia" w:eastAsiaTheme="minorEastAsia" w:cstheme="minorEastAsia"/>
                <w:bCs/>
                <w:color w:val="auto"/>
                <w:kern w:val="0"/>
                <w:szCs w:val="21"/>
              </w:rPr>
            </w:pPr>
          </w:p>
        </w:tc>
        <w:tc>
          <w:tcPr>
            <w:tcW w:w="851" w:type="dxa"/>
            <w:vMerge w:val="continue"/>
            <w:vAlign w:val="center"/>
          </w:tcPr>
          <w:p>
            <w:pPr>
              <w:widowControl/>
              <w:jc w:val="center"/>
              <w:rPr>
                <w:rFonts w:asciiTheme="minorEastAsia" w:hAnsiTheme="minorEastAsia" w:eastAsiaTheme="minorEastAsia" w:cstheme="minorEastAsia"/>
                <w:bCs/>
                <w:color w:val="auto"/>
                <w:kern w:val="0"/>
                <w:szCs w:val="21"/>
              </w:rPr>
            </w:pPr>
          </w:p>
        </w:tc>
        <w:tc>
          <w:tcPr>
            <w:tcW w:w="2268" w:type="dxa"/>
            <w:vAlign w:val="center"/>
          </w:tcPr>
          <w:p>
            <w:pPr>
              <w:autoSpaceDE w:val="0"/>
              <w:autoSpaceDN w:val="0"/>
              <w:adjustRightInd w:val="0"/>
              <w:snapToGrid w:val="0"/>
              <w:jc w:val="center"/>
              <w:rPr>
                <w:rFonts w:ascii="宋体" w:hAnsi="宋体"/>
                <w:color w:val="auto"/>
                <w:szCs w:val="21"/>
              </w:rPr>
            </w:pPr>
            <w:r>
              <w:rPr>
                <w:rFonts w:hint="eastAsia" w:ascii="宋体" w:hAnsi="宋体"/>
                <w:color w:val="auto"/>
                <w:szCs w:val="21"/>
              </w:rPr>
              <w:t>其他要求（一）</w:t>
            </w:r>
          </w:p>
        </w:tc>
        <w:tc>
          <w:tcPr>
            <w:tcW w:w="5563" w:type="dxa"/>
            <w:vAlign w:val="center"/>
          </w:tcPr>
          <w:p>
            <w:pPr>
              <w:autoSpaceDE w:val="0"/>
              <w:autoSpaceDN w:val="0"/>
              <w:adjustRightInd w:val="0"/>
              <w:snapToGrid w:val="0"/>
              <w:rPr>
                <w:rFonts w:ascii="宋体" w:hAnsi="宋体"/>
                <w:color w:val="auto"/>
                <w:szCs w:val="21"/>
              </w:rPr>
            </w:pPr>
            <w:r>
              <w:rPr>
                <w:rFonts w:hint="eastAsia" w:ascii="宋体" w:hAnsi="宋体"/>
                <w:color w:val="auto"/>
                <w:szCs w:val="21"/>
              </w:rPr>
              <w:t>供应商未有下列任一情形：</w:t>
            </w:r>
          </w:p>
          <w:p>
            <w:pPr>
              <w:autoSpaceDE w:val="0"/>
              <w:autoSpaceDN w:val="0"/>
              <w:adjustRightInd w:val="0"/>
              <w:snapToGrid w:val="0"/>
              <w:rPr>
                <w:rFonts w:ascii="宋体" w:hAnsi="宋体"/>
                <w:color w:val="auto"/>
                <w:szCs w:val="21"/>
              </w:rPr>
            </w:pPr>
            <w:r>
              <w:rPr>
                <w:rFonts w:hint="eastAsia" w:ascii="宋体" w:hAnsi="宋体"/>
                <w:color w:val="auto"/>
                <w:szCs w:val="21"/>
              </w:rPr>
              <w:t>（1）不同供应商的响应文件由同一单位或者个人编制；</w:t>
            </w:r>
          </w:p>
          <w:p>
            <w:pPr>
              <w:autoSpaceDE w:val="0"/>
              <w:autoSpaceDN w:val="0"/>
              <w:adjustRightInd w:val="0"/>
              <w:snapToGrid w:val="0"/>
              <w:rPr>
                <w:rFonts w:ascii="宋体" w:hAnsi="宋体"/>
                <w:color w:val="auto"/>
                <w:szCs w:val="21"/>
              </w:rPr>
            </w:pPr>
            <w:r>
              <w:rPr>
                <w:rFonts w:hint="eastAsia" w:ascii="宋体" w:hAnsi="宋体"/>
                <w:color w:val="auto"/>
                <w:szCs w:val="21"/>
              </w:rPr>
              <w:t>（2）不同供应商委托同一单位或者个人办理投标事宜；</w:t>
            </w:r>
          </w:p>
          <w:p>
            <w:pPr>
              <w:autoSpaceDE w:val="0"/>
              <w:autoSpaceDN w:val="0"/>
              <w:adjustRightInd w:val="0"/>
              <w:snapToGrid w:val="0"/>
              <w:rPr>
                <w:rFonts w:ascii="宋体" w:hAnsi="宋体"/>
                <w:color w:val="auto"/>
                <w:szCs w:val="21"/>
              </w:rPr>
            </w:pPr>
            <w:r>
              <w:rPr>
                <w:rFonts w:hint="eastAsia" w:ascii="宋体" w:hAnsi="宋体"/>
                <w:color w:val="auto"/>
                <w:szCs w:val="21"/>
              </w:rPr>
              <w:t>（3）不同供应商的响应文件载明的项目管理成员或者联系人员为同一人；</w:t>
            </w:r>
          </w:p>
          <w:p>
            <w:pPr>
              <w:autoSpaceDE w:val="0"/>
              <w:autoSpaceDN w:val="0"/>
              <w:adjustRightInd w:val="0"/>
              <w:snapToGrid w:val="0"/>
              <w:rPr>
                <w:rFonts w:ascii="宋体" w:hAnsi="宋体"/>
                <w:color w:val="auto"/>
                <w:szCs w:val="21"/>
              </w:rPr>
            </w:pPr>
            <w:r>
              <w:rPr>
                <w:rFonts w:hint="eastAsia" w:ascii="宋体" w:hAnsi="宋体"/>
                <w:color w:val="auto"/>
                <w:szCs w:val="21"/>
              </w:rPr>
              <w:t>（4）不同供应商的响应文件异常一致或者投标报价呈规律性差异；</w:t>
            </w:r>
          </w:p>
          <w:p>
            <w:pPr>
              <w:autoSpaceDE w:val="0"/>
              <w:autoSpaceDN w:val="0"/>
              <w:adjustRightInd w:val="0"/>
              <w:snapToGrid w:val="0"/>
              <w:rPr>
                <w:rFonts w:ascii="宋体" w:hAnsi="宋体"/>
                <w:color w:val="auto"/>
                <w:szCs w:val="21"/>
              </w:rPr>
            </w:pPr>
            <w:r>
              <w:rPr>
                <w:rFonts w:hint="eastAsia" w:ascii="宋体" w:hAnsi="宋体"/>
                <w:color w:val="auto"/>
                <w:szCs w:val="21"/>
              </w:rPr>
              <w:t>（5）不同供应商的响应文件相互混装。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333" w:hRule="atLeast"/>
          <w:jc w:val="center"/>
        </w:trPr>
        <w:tc>
          <w:tcPr>
            <w:tcW w:w="680" w:type="dxa"/>
            <w:vMerge w:val="continue"/>
            <w:vAlign w:val="center"/>
          </w:tcPr>
          <w:p>
            <w:pPr>
              <w:widowControl/>
              <w:jc w:val="center"/>
              <w:rPr>
                <w:rFonts w:asciiTheme="minorEastAsia" w:hAnsiTheme="minorEastAsia" w:eastAsiaTheme="minorEastAsia" w:cstheme="minorEastAsia"/>
                <w:bCs/>
                <w:color w:val="auto"/>
                <w:kern w:val="0"/>
                <w:szCs w:val="21"/>
              </w:rPr>
            </w:pPr>
          </w:p>
        </w:tc>
        <w:tc>
          <w:tcPr>
            <w:tcW w:w="851" w:type="dxa"/>
            <w:vMerge w:val="continue"/>
            <w:vAlign w:val="center"/>
          </w:tcPr>
          <w:p>
            <w:pPr>
              <w:widowControl/>
              <w:jc w:val="center"/>
              <w:rPr>
                <w:rFonts w:asciiTheme="minorEastAsia" w:hAnsiTheme="minorEastAsia" w:eastAsiaTheme="minorEastAsia" w:cstheme="minorEastAsia"/>
                <w:bCs/>
                <w:color w:val="auto"/>
                <w:kern w:val="0"/>
                <w:szCs w:val="21"/>
              </w:rPr>
            </w:pPr>
          </w:p>
        </w:tc>
        <w:tc>
          <w:tcPr>
            <w:tcW w:w="2268" w:type="dxa"/>
            <w:vAlign w:val="center"/>
          </w:tcPr>
          <w:p>
            <w:pPr>
              <w:widowControl/>
              <w:jc w:val="center"/>
              <w:rPr>
                <w:rFonts w:asciiTheme="minorEastAsia" w:hAnsiTheme="minorEastAsia" w:eastAsiaTheme="minorEastAsia" w:cstheme="minorEastAsia"/>
                <w:color w:val="auto"/>
                <w:kern w:val="0"/>
                <w:szCs w:val="21"/>
              </w:rPr>
            </w:pPr>
            <w:r>
              <w:rPr>
                <w:rFonts w:hint="eastAsia" w:asciiTheme="minorEastAsia" w:hAnsiTheme="minorEastAsia" w:eastAsiaTheme="minorEastAsia" w:cstheme="minorEastAsia"/>
                <w:color w:val="auto"/>
                <w:kern w:val="0"/>
                <w:szCs w:val="21"/>
              </w:rPr>
              <w:t>其他要求（二）</w:t>
            </w:r>
          </w:p>
        </w:tc>
        <w:tc>
          <w:tcPr>
            <w:tcW w:w="5563" w:type="dxa"/>
            <w:vAlign w:val="center"/>
          </w:tcPr>
          <w:p>
            <w:pPr>
              <w:widowControl/>
              <w:rPr>
                <w:rFonts w:asciiTheme="minorEastAsia" w:hAnsiTheme="minorEastAsia" w:eastAsiaTheme="minorEastAsia" w:cstheme="minorEastAsia"/>
                <w:color w:val="auto"/>
                <w:kern w:val="0"/>
                <w:szCs w:val="21"/>
              </w:rPr>
            </w:pPr>
            <w:r>
              <w:rPr>
                <w:rFonts w:hint="eastAsia" w:ascii="宋体" w:hAnsi="宋体" w:cs="宋体"/>
                <w:color w:val="auto"/>
                <w:kern w:val="0"/>
                <w:szCs w:val="21"/>
              </w:rPr>
              <w:t>磋商文件中规定被视为无效投标其它条款的</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333" w:hRule="atLeast"/>
          <w:jc w:val="center"/>
        </w:trPr>
        <w:tc>
          <w:tcPr>
            <w:tcW w:w="680" w:type="dxa"/>
            <w:vMerge w:val="continue"/>
            <w:vAlign w:val="center"/>
          </w:tcPr>
          <w:p>
            <w:pPr>
              <w:widowControl/>
              <w:jc w:val="center"/>
              <w:rPr>
                <w:rFonts w:asciiTheme="minorEastAsia" w:hAnsiTheme="minorEastAsia" w:eastAsiaTheme="minorEastAsia" w:cstheme="minorEastAsia"/>
                <w:bCs/>
                <w:color w:val="auto"/>
                <w:kern w:val="0"/>
                <w:szCs w:val="21"/>
              </w:rPr>
            </w:pPr>
          </w:p>
        </w:tc>
        <w:tc>
          <w:tcPr>
            <w:tcW w:w="851" w:type="dxa"/>
            <w:vMerge w:val="continue"/>
            <w:vAlign w:val="center"/>
          </w:tcPr>
          <w:p>
            <w:pPr>
              <w:widowControl/>
              <w:jc w:val="center"/>
              <w:rPr>
                <w:rFonts w:asciiTheme="minorEastAsia" w:hAnsiTheme="minorEastAsia" w:eastAsiaTheme="minorEastAsia" w:cstheme="minorEastAsia"/>
                <w:bCs/>
                <w:color w:val="auto"/>
                <w:kern w:val="0"/>
                <w:szCs w:val="21"/>
              </w:rPr>
            </w:pPr>
          </w:p>
        </w:tc>
        <w:tc>
          <w:tcPr>
            <w:tcW w:w="2268" w:type="dxa"/>
            <w:vAlign w:val="center"/>
          </w:tcPr>
          <w:p>
            <w:pPr>
              <w:widowControl/>
              <w:spacing w:line="360" w:lineRule="auto"/>
              <w:jc w:val="center"/>
              <w:rPr>
                <w:rFonts w:asciiTheme="minorEastAsia" w:hAnsiTheme="minorEastAsia" w:eastAsiaTheme="minorEastAsia" w:cstheme="minorEastAsia"/>
                <w:color w:val="auto"/>
                <w:kern w:val="0"/>
                <w:szCs w:val="21"/>
              </w:rPr>
            </w:pPr>
            <w:r>
              <w:rPr>
                <w:rFonts w:hint="eastAsia" w:asciiTheme="minorEastAsia" w:hAnsiTheme="minorEastAsia" w:eastAsiaTheme="minorEastAsia" w:cstheme="minorEastAsia"/>
                <w:color w:val="auto"/>
                <w:kern w:val="0"/>
                <w:szCs w:val="21"/>
              </w:rPr>
              <w:t>其他要求（三）（如有）</w:t>
            </w:r>
          </w:p>
        </w:tc>
        <w:tc>
          <w:tcPr>
            <w:tcW w:w="5563" w:type="dxa"/>
            <w:vAlign w:val="center"/>
          </w:tcPr>
          <w:p>
            <w:pPr>
              <w:widowControl/>
              <w:spacing w:line="360" w:lineRule="auto"/>
              <w:rPr>
                <w:rFonts w:ascii="宋体" w:hAnsi="宋体" w:cs="宋体"/>
                <w:color w:val="auto"/>
                <w:kern w:val="0"/>
                <w:szCs w:val="21"/>
              </w:rPr>
            </w:pPr>
            <w:r>
              <w:rPr>
                <w:rFonts w:hint="eastAsia" w:ascii="宋体" w:hAnsi="宋体" w:cs="宋体"/>
                <w:color w:val="auto"/>
                <w:kern w:val="0"/>
                <w:szCs w:val="21"/>
              </w:rPr>
              <w:t>澄清、说明或者补正等材料</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425" w:hRule="atLeast"/>
          <w:jc w:val="center"/>
        </w:trPr>
        <w:tc>
          <w:tcPr>
            <w:tcW w:w="680" w:type="dxa"/>
            <w:vMerge w:val="restart"/>
            <w:vAlign w:val="center"/>
          </w:tcPr>
          <w:p>
            <w:pPr>
              <w:widowControl/>
              <w:jc w:val="center"/>
              <w:rPr>
                <w:rFonts w:asciiTheme="minorEastAsia" w:hAnsiTheme="minorEastAsia" w:eastAsiaTheme="minorEastAsia" w:cstheme="minorEastAsia"/>
                <w:color w:val="auto"/>
                <w:kern w:val="0"/>
                <w:szCs w:val="21"/>
              </w:rPr>
            </w:pPr>
            <w:r>
              <w:rPr>
                <w:rFonts w:hint="eastAsia" w:asciiTheme="minorEastAsia" w:hAnsiTheme="minorEastAsia" w:eastAsiaTheme="minorEastAsia" w:cstheme="minorEastAsia"/>
                <w:color w:val="auto"/>
                <w:kern w:val="0"/>
                <w:szCs w:val="21"/>
              </w:rPr>
              <w:t>2</w:t>
            </w:r>
          </w:p>
        </w:tc>
        <w:tc>
          <w:tcPr>
            <w:tcW w:w="851" w:type="dxa"/>
            <w:vMerge w:val="restart"/>
            <w:vAlign w:val="center"/>
          </w:tcPr>
          <w:p>
            <w:pPr>
              <w:widowControl/>
              <w:jc w:val="center"/>
              <w:rPr>
                <w:rFonts w:asciiTheme="minorEastAsia" w:hAnsiTheme="minorEastAsia" w:eastAsiaTheme="minorEastAsia" w:cstheme="minorEastAsia"/>
                <w:color w:val="auto"/>
                <w:kern w:val="0"/>
                <w:szCs w:val="21"/>
              </w:rPr>
            </w:pPr>
            <w:r>
              <w:rPr>
                <w:rFonts w:hint="eastAsia" w:asciiTheme="minorEastAsia" w:hAnsiTheme="minorEastAsia" w:eastAsiaTheme="minorEastAsia" w:cstheme="minorEastAsia"/>
                <w:color w:val="auto"/>
                <w:kern w:val="0"/>
                <w:szCs w:val="21"/>
              </w:rPr>
              <w:t>确定磋商供应商进行最后报价</w:t>
            </w:r>
          </w:p>
        </w:tc>
        <w:tc>
          <w:tcPr>
            <w:tcW w:w="2268" w:type="dxa"/>
            <w:vAlign w:val="center"/>
          </w:tcPr>
          <w:p>
            <w:pPr>
              <w:widowControl/>
              <w:rPr>
                <w:rFonts w:asciiTheme="minorEastAsia" w:hAnsiTheme="minorEastAsia" w:eastAsiaTheme="minorEastAsia" w:cstheme="minorEastAsia"/>
                <w:color w:val="auto"/>
                <w:kern w:val="0"/>
                <w:szCs w:val="21"/>
              </w:rPr>
            </w:pPr>
            <w:r>
              <w:rPr>
                <w:rFonts w:hint="eastAsia" w:asciiTheme="minorEastAsia" w:hAnsiTheme="minorEastAsia" w:eastAsiaTheme="minorEastAsia" w:cstheme="minorEastAsia"/>
                <w:color w:val="auto"/>
                <w:kern w:val="0"/>
                <w:szCs w:val="21"/>
              </w:rPr>
              <w:t>磋商文件能完整、明确列明采购需求，无需要供应商提供最终设计方案或者解决方案的</w:t>
            </w:r>
          </w:p>
        </w:tc>
        <w:tc>
          <w:tcPr>
            <w:tcW w:w="5563" w:type="dxa"/>
            <w:vAlign w:val="center"/>
          </w:tcPr>
          <w:p>
            <w:pPr>
              <w:widowControl/>
              <w:jc w:val="left"/>
              <w:rPr>
                <w:rFonts w:asciiTheme="minorEastAsia" w:hAnsiTheme="minorEastAsia" w:eastAsiaTheme="minorEastAsia" w:cstheme="minorEastAsia"/>
                <w:color w:val="auto"/>
                <w:kern w:val="0"/>
                <w:szCs w:val="21"/>
              </w:rPr>
            </w:pPr>
            <w:r>
              <w:rPr>
                <w:rFonts w:hint="eastAsia" w:asciiTheme="minorEastAsia" w:hAnsiTheme="minorEastAsia" w:eastAsiaTheme="minorEastAsia" w:cstheme="minorEastAsia"/>
                <w:color w:val="auto"/>
                <w:kern w:val="0"/>
                <w:szCs w:val="21"/>
              </w:rPr>
              <w:t>在磋商结束后，磋商小组向所有通过资格性和符合性审查的磋商供应商发出报价书，并要求其在规定时间内提交最后报价。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1185" w:hRule="atLeast"/>
          <w:jc w:val="center"/>
        </w:trPr>
        <w:tc>
          <w:tcPr>
            <w:tcW w:w="680" w:type="dxa"/>
            <w:vMerge w:val="continue"/>
            <w:vAlign w:val="center"/>
          </w:tcPr>
          <w:p>
            <w:pPr>
              <w:widowControl/>
              <w:jc w:val="center"/>
              <w:rPr>
                <w:rFonts w:asciiTheme="minorEastAsia" w:hAnsiTheme="minorEastAsia" w:eastAsiaTheme="minorEastAsia" w:cstheme="minorEastAsia"/>
                <w:color w:val="auto"/>
                <w:kern w:val="0"/>
                <w:szCs w:val="21"/>
              </w:rPr>
            </w:pPr>
          </w:p>
        </w:tc>
        <w:tc>
          <w:tcPr>
            <w:tcW w:w="851" w:type="dxa"/>
            <w:vMerge w:val="continue"/>
            <w:vAlign w:val="center"/>
          </w:tcPr>
          <w:p>
            <w:pPr>
              <w:widowControl/>
              <w:jc w:val="center"/>
              <w:rPr>
                <w:rFonts w:asciiTheme="minorEastAsia" w:hAnsiTheme="minorEastAsia" w:eastAsiaTheme="minorEastAsia" w:cstheme="minorEastAsia"/>
                <w:color w:val="auto"/>
                <w:kern w:val="0"/>
                <w:szCs w:val="21"/>
              </w:rPr>
            </w:pPr>
          </w:p>
        </w:tc>
        <w:tc>
          <w:tcPr>
            <w:tcW w:w="2268" w:type="dxa"/>
            <w:vAlign w:val="center"/>
          </w:tcPr>
          <w:p>
            <w:pPr>
              <w:widowControl/>
              <w:rPr>
                <w:rFonts w:asciiTheme="minorEastAsia" w:hAnsiTheme="minorEastAsia" w:eastAsiaTheme="minorEastAsia" w:cstheme="minorEastAsia"/>
                <w:color w:val="auto"/>
                <w:kern w:val="0"/>
                <w:szCs w:val="21"/>
              </w:rPr>
            </w:pPr>
            <w:r>
              <w:rPr>
                <w:rFonts w:hint="eastAsia" w:asciiTheme="minorEastAsia" w:hAnsiTheme="minorEastAsia" w:eastAsiaTheme="minorEastAsia" w:cstheme="minorEastAsia"/>
                <w:color w:val="auto"/>
                <w:kern w:val="0"/>
                <w:szCs w:val="21"/>
              </w:rPr>
              <w:t>磋商文件不能完整、明确列明采购需求，需要由供应商提供最终设计方案或者解决方案的</w:t>
            </w:r>
          </w:p>
        </w:tc>
        <w:tc>
          <w:tcPr>
            <w:tcW w:w="5563" w:type="dxa"/>
            <w:vAlign w:val="center"/>
          </w:tcPr>
          <w:p>
            <w:pPr>
              <w:widowControl/>
              <w:rPr>
                <w:rFonts w:asciiTheme="minorEastAsia" w:hAnsiTheme="minorEastAsia" w:eastAsiaTheme="minorEastAsia" w:cstheme="minorEastAsia"/>
                <w:color w:val="auto"/>
                <w:kern w:val="0"/>
                <w:szCs w:val="21"/>
              </w:rPr>
            </w:pPr>
            <w:r>
              <w:rPr>
                <w:rFonts w:hint="eastAsia" w:asciiTheme="minorEastAsia" w:hAnsiTheme="minorEastAsia" w:eastAsiaTheme="minorEastAsia" w:cstheme="minorEastAsia"/>
                <w:color w:val="auto"/>
                <w:kern w:val="0"/>
                <w:szCs w:val="21"/>
              </w:rPr>
              <w:t>在磋商结束后，磋商小组应当按照少数服从多数的原则投票推荐供应商的设计方案或者解决方案，并要求其在规定时间内提交最后报价。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674" w:hRule="atLeast"/>
          <w:jc w:val="center"/>
        </w:trPr>
        <w:tc>
          <w:tcPr>
            <w:tcW w:w="680" w:type="dxa"/>
            <w:vAlign w:val="center"/>
          </w:tcPr>
          <w:p>
            <w:pPr>
              <w:widowControl/>
              <w:jc w:val="center"/>
              <w:rPr>
                <w:rFonts w:asciiTheme="minorEastAsia" w:hAnsiTheme="minorEastAsia" w:eastAsiaTheme="minorEastAsia" w:cstheme="minorEastAsia"/>
                <w:bCs/>
                <w:color w:val="auto"/>
                <w:kern w:val="0"/>
                <w:szCs w:val="21"/>
              </w:rPr>
            </w:pPr>
            <w:r>
              <w:rPr>
                <w:rFonts w:hint="eastAsia" w:asciiTheme="minorEastAsia" w:hAnsiTheme="minorEastAsia" w:eastAsiaTheme="minorEastAsia" w:cstheme="minorEastAsia"/>
                <w:bCs/>
                <w:color w:val="auto"/>
                <w:kern w:val="0"/>
                <w:szCs w:val="21"/>
              </w:rPr>
              <w:t>3</w:t>
            </w:r>
          </w:p>
        </w:tc>
        <w:tc>
          <w:tcPr>
            <w:tcW w:w="851" w:type="dxa"/>
            <w:vAlign w:val="center"/>
          </w:tcPr>
          <w:p>
            <w:pPr>
              <w:widowControl/>
              <w:jc w:val="center"/>
              <w:rPr>
                <w:rFonts w:asciiTheme="minorEastAsia" w:hAnsiTheme="minorEastAsia" w:eastAsiaTheme="minorEastAsia" w:cstheme="minorEastAsia"/>
                <w:bCs/>
                <w:color w:val="auto"/>
                <w:kern w:val="0"/>
                <w:szCs w:val="21"/>
              </w:rPr>
            </w:pPr>
            <w:r>
              <w:rPr>
                <w:rFonts w:hint="eastAsia" w:asciiTheme="minorEastAsia" w:hAnsiTheme="minorEastAsia" w:eastAsiaTheme="minorEastAsia" w:cstheme="minorEastAsia"/>
                <w:bCs/>
                <w:color w:val="auto"/>
                <w:kern w:val="0"/>
                <w:szCs w:val="21"/>
              </w:rPr>
              <w:t>评定</w:t>
            </w:r>
          </w:p>
          <w:p>
            <w:pPr>
              <w:widowControl/>
              <w:jc w:val="center"/>
              <w:rPr>
                <w:rFonts w:asciiTheme="minorEastAsia" w:hAnsiTheme="minorEastAsia" w:eastAsiaTheme="minorEastAsia" w:cstheme="minorEastAsia"/>
                <w:bCs/>
                <w:color w:val="auto"/>
                <w:kern w:val="0"/>
                <w:szCs w:val="21"/>
              </w:rPr>
            </w:pPr>
            <w:r>
              <w:rPr>
                <w:rFonts w:hint="eastAsia" w:asciiTheme="minorEastAsia" w:hAnsiTheme="minorEastAsia" w:eastAsiaTheme="minorEastAsia" w:cstheme="minorEastAsia"/>
                <w:bCs/>
                <w:color w:val="auto"/>
                <w:kern w:val="0"/>
                <w:szCs w:val="21"/>
              </w:rPr>
              <w:t>办法</w:t>
            </w:r>
          </w:p>
        </w:tc>
        <w:tc>
          <w:tcPr>
            <w:tcW w:w="2268" w:type="dxa"/>
            <w:vAlign w:val="center"/>
          </w:tcPr>
          <w:p>
            <w:pPr>
              <w:jc w:val="center"/>
              <w:rPr>
                <w:rFonts w:asciiTheme="minorEastAsia" w:hAnsiTheme="minorEastAsia" w:eastAsiaTheme="minorEastAsia" w:cstheme="minorEastAsia"/>
                <w:color w:val="auto"/>
                <w:kern w:val="0"/>
                <w:szCs w:val="21"/>
              </w:rPr>
            </w:pPr>
            <w:r>
              <w:rPr>
                <w:rFonts w:hint="eastAsia" w:asciiTheme="minorEastAsia" w:hAnsiTheme="minorEastAsia" w:eastAsiaTheme="minorEastAsia" w:cstheme="minorEastAsia"/>
                <w:bCs/>
                <w:color w:val="auto"/>
                <w:kern w:val="0"/>
                <w:szCs w:val="21"/>
              </w:rPr>
              <w:t>综合评分法</w:t>
            </w:r>
          </w:p>
        </w:tc>
        <w:tc>
          <w:tcPr>
            <w:tcW w:w="5563" w:type="dxa"/>
            <w:vAlign w:val="center"/>
          </w:tcPr>
          <w:p>
            <w:pPr>
              <w:rPr>
                <w:rFonts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各供应商的最终得分为各评委所评定分数的算术平均值。磋商小组将根据供应商最终得分由高到低的照顺序推荐3名成交候选人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674" w:hRule="atLeast"/>
          <w:jc w:val="center"/>
        </w:trPr>
        <w:tc>
          <w:tcPr>
            <w:tcW w:w="680" w:type="dxa"/>
            <w:vAlign w:val="center"/>
          </w:tcPr>
          <w:p>
            <w:pPr>
              <w:widowControl/>
              <w:jc w:val="center"/>
              <w:rPr>
                <w:rFonts w:asciiTheme="minorEastAsia" w:hAnsiTheme="minorEastAsia" w:eastAsiaTheme="minorEastAsia" w:cstheme="minorEastAsia"/>
                <w:bCs/>
                <w:color w:val="auto"/>
                <w:kern w:val="0"/>
                <w:szCs w:val="21"/>
              </w:rPr>
            </w:pPr>
            <w:r>
              <w:rPr>
                <w:rFonts w:hint="eastAsia" w:asciiTheme="minorEastAsia" w:hAnsiTheme="minorEastAsia" w:eastAsiaTheme="minorEastAsia" w:cstheme="minorEastAsia"/>
                <w:bCs/>
                <w:color w:val="auto"/>
                <w:kern w:val="0"/>
                <w:szCs w:val="21"/>
              </w:rPr>
              <w:t>4</w:t>
            </w:r>
          </w:p>
        </w:tc>
        <w:tc>
          <w:tcPr>
            <w:tcW w:w="851" w:type="dxa"/>
            <w:vAlign w:val="center"/>
          </w:tcPr>
          <w:p>
            <w:pPr>
              <w:widowControl/>
              <w:jc w:val="center"/>
              <w:rPr>
                <w:rFonts w:asciiTheme="minorEastAsia" w:hAnsiTheme="minorEastAsia" w:eastAsiaTheme="minorEastAsia" w:cstheme="minorEastAsia"/>
                <w:bCs/>
                <w:color w:val="auto"/>
                <w:kern w:val="0"/>
                <w:szCs w:val="21"/>
              </w:rPr>
            </w:pPr>
            <w:r>
              <w:rPr>
                <w:rFonts w:hint="eastAsia" w:asciiTheme="minorEastAsia" w:hAnsiTheme="minorEastAsia" w:eastAsiaTheme="minorEastAsia" w:cstheme="minorEastAsia"/>
                <w:bCs/>
                <w:color w:val="auto"/>
                <w:kern w:val="0"/>
                <w:szCs w:val="21"/>
              </w:rPr>
              <w:t>核心产品相同品牌</w:t>
            </w:r>
          </w:p>
        </w:tc>
        <w:tc>
          <w:tcPr>
            <w:tcW w:w="2268" w:type="dxa"/>
            <w:vAlign w:val="center"/>
          </w:tcPr>
          <w:p>
            <w:pPr>
              <w:jc w:val="center"/>
              <w:rPr>
                <w:rFonts w:asciiTheme="minorEastAsia" w:hAnsiTheme="minorEastAsia" w:eastAsiaTheme="minorEastAsia" w:cstheme="minorEastAsia"/>
                <w:bCs/>
                <w:color w:val="auto"/>
                <w:kern w:val="0"/>
                <w:szCs w:val="21"/>
              </w:rPr>
            </w:pPr>
            <w:r>
              <w:rPr>
                <w:rFonts w:hint="eastAsia" w:asciiTheme="minorEastAsia" w:hAnsiTheme="minorEastAsia" w:eastAsiaTheme="minorEastAsia" w:cstheme="minorEastAsia"/>
                <w:bCs/>
                <w:color w:val="auto"/>
                <w:kern w:val="0"/>
                <w:szCs w:val="21"/>
              </w:rPr>
              <w:t>核心产品相同品牌处理原则</w:t>
            </w:r>
          </w:p>
        </w:tc>
        <w:tc>
          <w:tcPr>
            <w:tcW w:w="5563" w:type="dxa"/>
            <w:vAlign w:val="center"/>
          </w:tcPr>
          <w:p>
            <w:pPr>
              <w:rPr>
                <w:rFonts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 xml:space="preserve">提供相同品牌核心产品且通过资格审查、符合性审查的不同供应商参加同一合同项下竞标的，按一家供应商计算，评审后得分最高的同品牌供应商获得成交候选供应商推荐资格；评审得分相同的，由采购人确定或者采购人委托磋商小组以投票方式确定一个供应商获得成交候选供应商推荐资格，其他同品牌供应商不作为成交候选供应商。 </w:t>
            </w:r>
          </w:p>
          <w:p>
            <w:pPr>
              <w:autoSpaceDE w:val="0"/>
              <w:autoSpaceDN w:val="0"/>
              <w:adjustRightInd w:val="0"/>
              <w:snapToGrid w:val="0"/>
              <w:spacing w:before="31" w:beforeLines="10" w:after="31" w:afterLines="10"/>
              <w:ind w:right="21" w:rightChars="10"/>
              <w:jc w:val="left"/>
              <w:rPr>
                <w:rFonts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非单一产品采购项目，采购人可以不明确核心产品，也可以根据采购项目技术构成、产品价格比重等合理确定一个核心产品，并以“核心产品”在磋商文件中标注。若核心产品不止1个，各供应商所投任一核心产品的品牌相同，则按一家供应商计算。</w:t>
            </w:r>
          </w:p>
          <w:p>
            <w:pPr>
              <w:rPr>
                <w:rFonts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多家供应商提供的核心产品品牌相同的，按上述规定处理。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216" w:hRule="atLeast"/>
          <w:jc w:val="center"/>
        </w:trPr>
        <w:tc>
          <w:tcPr>
            <w:tcW w:w="9362" w:type="dxa"/>
            <w:gridSpan w:val="4"/>
            <w:vAlign w:val="center"/>
          </w:tcPr>
          <w:p>
            <w:pPr>
              <w:widowControl/>
              <w:pBdr>
                <w:between w:val="single" w:color="auto" w:sz="4" w:space="0"/>
              </w:pBdr>
              <w:jc w:val="center"/>
              <w:rPr>
                <w:rFonts w:asciiTheme="minorEastAsia" w:hAnsiTheme="minorEastAsia" w:eastAsiaTheme="minorEastAsia" w:cstheme="minorEastAsia"/>
                <w:color w:val="auto"/>
                <w:kern w:val="0"/>
                <w:szCs w:val="21"/>
              </w:rPr>
            </w:pPr>
            <w:r>
              <w:rPr>
                <w:rFonts w:hint="eastAsia" w:asciiTheme="minorEastAsia" w:hAnsiTheme="minorEastAsia" w:eastAsiaTheme="minorEastAsia" w:cstheme="minorEastAsia"/>
                <w:b/>
                <w:color w:val="auto"/>
                <w:kern w:val="0"/>
                <w:szCs w:val="21"/>
              </w:rPr>
              <w:t>政策支持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1020" w:hRule="atLeast"/>
          <w:jc w:val="center"/>
        </w:trPr>
        <w:tc>
          <w:tcPr>
            <w:tcW w:w="1531" w:type="dxa"/>
            <w:gridSpan w:val="2"/>
            <w:vAlign w:val="center"/>
          </w:tcPr>
          <w:p>
            <w:pPr>
              <w:widowControl/>
              <w:jc w:val="center"/>
              <w:rPr>
                <w:rFonts w:asciiTheme="minorEastAsia" w:hAnsiTheme="minorEastAsia" w:eastAsiaTheme="minorEastAsia" w:cstheme="minorEastAsia"/>
                <w:color w:val="auto"/>
                <w:kern w:val="0"/>
                <w:szCs w:val="21"/>
              </w:rPr>
            </w:pPr>
            <w:r>
              <w:rPr>
                <w:rFonts w:hint="eastAsia" w:asciiTheme="minorEastAsia" w:hAnsiTheme="minorEastAsia" w:eastAsiaTheme="minorEastAsia" w:cstheme="minorEastAsia"/>
                <w:color w:val="auto"/>
                <w:kern w:val="0"/>
                <w:szCs w:val="21"/>
              </w:rPr>
              <w:t>所属行业及</w:t>
            </w:r>
          </w:p>
          <w:p>
            <w:pPr>
              <w:widowControl/>
              <w:jc w:val="center"/>
              <w:rPr>
                <w:rFonts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kern w:val="0"/>
                <w:szCs w:val="21"/>
              </w:rPr>
              <w:t>划型标准</w:t>
            </w:r>
          </w:p>
        </w:tc>
        <w:tc>
          <w:tcPr>
            <w:tcW w:w="7831" w:type="dxa"/>
            <w:gridSpan w:val="2"/>
            <w:vAlign w:val="center"/>
          </w:tcPr>
          <w:p>
            <w:pPr>
              <w:widowControl/>
              <w:rPr>
                <w:rFonts w:asciiTheme="minorEastAsia" w:hAnsiTheme="minorEastAsia" w:eastAsiaTheme="minorEastAsia" w:cstheme="minorEastAsia"/>
                <w:color w:val="auto"/>
                <w:kern w:val="0"/>
                <w:szCs w:val="21"/>
              </w:rPr>
            </w:pPr>
            <w:r>
              <w:rPr>
                <w:rFonts w:hint="eastAsia" w:asciiTheme="minorEastAsia" w:hAnsiTheme="minorEastAsia" w:eastAsiaTheme="minorEastAsia" w:cstheme="minorEastAsia"/>
                <w:color w:val="auto"/>
                <w:kern w:val="0"/>
                <w:szCs w:val="21"/>
              </w:rPr>
              <w:t>类型：</w:t>
            </w:r>
            <w:r>
              <w:rPr>
                <w:rFonts w:hint="eastAsia" w:ascii="宋体" w:hAnsi="宋体" w:cs="宋体"/>
                <w:color w:val="auto"/>
                <w:kern w:val="0"/>
                <w:szCs w:val="21"/>
                <w:lang w:bidi="ar"/>
              </w:rPr>
              <w:t>其他未列明行业</w:t>
            </w:r>
          </w:p>
          <w:p>
            <w:pPr>
              <w:widowControl/>
              <w:rPr>
                <w:rFonts w:asciiTheme="minorEastAsia" w:hAnsiTheme="minorEastAsia" w:eastAsiaTheme="minorEastAsia" w:cstheme="minorEastAsia"/>
                <w:color w:val="auto"/>
                <w:kern w:val="0"/>
                <w:szCs w:val="21"/>
                <w:u w:val="single"/>
              </w:rPr>
            </w:pPr>
            <w:r>
              <w:rPr>
                <w:rFonts w:hint="eastAsia" w:asciiTheme="minorEastAsia" w:hAnsiTheme="minorEastAsia" w:eastAsiaTheme="minorEastAsia" w:cstheme="minorEastAsia"/>
                <w:color w:val="auto"/>
                <w:kern w:val="0"/>
                <w:szCs w:val="21"/>
              </w:rPr>
              <w:t>小型：从业人员</w:t>
            </w:r>
            <w:r>
              <w:rPr>
                <w:rFonts w:hint="eastAsia" w:asciiTheme="minorEastAsia" w:hAnsiTheme="minorEastAsia" w:eastAsiaTheme="minorEastAsia" w:cstheme="minorEastAsia"/>
                <w:color w:val="auto"/>
                <w:kern w:val="0"/>
                <w:szCs w:val="21"/>
                <w:u w:val="single"/>
              </w:rPr>
              <w:t xml:space="preserve"> </w:t>
            </w:r>
            <w:r>
              <w:rPr>
                <w:rFonts w:hint="eastAsia" w:asciiTheme="minorEastAsia" w:hAnsiTheme="minorEastAsia" w:eastAsiaTheme="minorEastAsia" w:cstheme="minorEastAsia"/>
                <w:color w:val="auto"/>
                <w:kern w:val="0"/>
                <w:szCs w:val="21"/>
                <w:u w:val="single"/>
              </w:rPr>
              <w:tab/>
            </w:r>
            <w:r>
              <w:rPr>
                <w:rFonts w:hint="eastAsia" w:asciiTheme="minorEastAsia" w:hAnsiTheme="minorEastAsia" w:eastAsiaTheme="minorEastAsia" w:cstheme="minorEastAsia"/>
                <w:color w:val="auto"/>
                <w:kern w:val="0"/>
                <w:szCs w:val="21"/>
              </w:rPr>
              <w:t>营业收入</w:t>
            </w:r>
            <w:r>
              <w:rPr>
                <w:rFonts w:hint="eastAsia" w:asciiTheme="minorEastAsia" w:hAnsiTheme="minorEastAsia" w:eastAsiaTheme="minorEastAsia" w:cstheme="minorEastAsia"/>
                <w:color w:val="auto"/>
                <w:kern w:val="0"/>
                <w:szCs w:val="21"/>
                <w:u w:val="single"/>
              </w:rPr>
              <w:t xml:space="preserve">  </w:t>
            </w:r>
            <w:r>
              <w:rPr>
                <w:rFonts w:hint="eastAsia" w:asciiTheme="minorEastAsia" w:hAnsiTheme="minorEastAsia" w:eastAsiaTheme="minorEastAsia" w:cstheme="minorEastAsia"/>
                <w:color w:val="auto"/>
                <w:kern w:val="0"/>
                <w:szCs w:val="21"/>
              </w:rPr>
              <w:t>资产总额</w:t>
            </w:r>
            <w:r>
              <w:rPr>
                <w:rFonts w:hint="eastAsia" w:asciiTheme="minorEastAsia" w:hAnsiTheme="minorEastAsia" w:eastAsiaTheme="minorEastAsia" w:cstheme="minorEastAsia"/>
                <w:color w:val="auto"/>
                <w:kern w:val="0"/>
                <w:szCs w:val="21"/>
                <w:u w:val="single"/>
              </w:rPr>
              <w:t xml:space="preserve">     </w:t>
            </w:r>
          </w:p>
          <w:p>
            <w:pPr>
              <w:widowControl/>
              <w:rPr>
                <w:rFonts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kern w:val="0"/>
                <w:szCs w:val="21"/>
              </w:rPr>
              <w:t>微型：从业人员</w:t>
            </w:r>
            <w:r>
              <w:rPr>
                <w:rFonts w:hint="eastAsia" w:asciiTheme="minorEastAsia" w:hAnsiTheme="minorEastAsia" w:eastAsiaTheme="minorEastAsia" w:cstheme="minorEastAsia"/>
                <w:color w:val="auto"/>
                <w:kern w:val="0"/>
                <w:szCs w:val="21"/>
                <w:u w:val="single"/>
              </w:rPr>
              <w:t xml:space="preserve"> </w:t>
            </w:r>
            <w:r>
              <w:rPr>
                <w:rFonts w:hint="eastAsia" w:asciiTheme="minorEastAsia" w:hAnsiTheme="minorEastAsia" w:eastAsiaTheme="minorEastAsia" w:cstheme="minorEastAsia"/>
                <w:color w:val="auto"/>
                <w:kern w:val="0"/>
                <w:szCs w:val="21"/>
                <w:u w:val="single"/>
              </w:rPr>
              <w:tab/>
            </w:r>
            <w:r>
              <w:rPr>
                <w:rFonts w:hint="eastAsia" w:asciiTheme="minorEastAsia" w:hAnsiTheme="minorEastAsia" w:eastAsiaTheme="minorEastAsia" w:cstheme="minorEastAsia"/>
                <w:color w:val="auto"/>
                <w:kern w:val="0"/>
                <w:szCs w:val="21"/>
              </w:rPr>
              <w:t>营业收入</w:t>
            </w:r>
            <w:r>
              <w:rPr>
                <w:rFonts w:hint="eastAsia" w:asciiTheme="minorEastAsia" w:hAnsiTheme="minorEastAsia" w:eastAsiaTheme="minorEastAsia" w:cstheme="minorEastAsia"/>
                <w:color w:val="auto"/>
                <w:kern w:val="0"/>
                <w:szCs w:val="21"/>
                <w:u w:val="single"/>
              </w:rPr>
              <w:t xml:space="preserve">  </w:t>
            </w:r>
            <w:r>
              <w:rPr>
                <w:rFonts w:hint="eastAsia" w:asciiTheme="minorEastAsia" w:hAnsiTheme="minorEastAsia" w:eastAsiaTheme="minorEastAsia" w:cstheme="minorEastAsia"/>
                <w:color w:val="auto"/>
                <w:kern w:val="0"/>
                <w:szCs w:val="21"/>
              </w:rPr>
              <w:t>资产总额</w:t>
            </w:r>
            <w:r>
              <w:rPr>
                <w:rFonts w:hint="eastAsia" w:asciiTheme="minorEastAsia" w:hAnsiTheme="minorEastAsia" w:eastAsiaTheme="minorEastAsia" w:cstheme="minorEastAsia"/>
                <w:color w:val="auto"/>
                <w:kern w:val="0"/>
                <w:szCs w:val="21"/>
                <w:u w:val="single"/>
              </w:rPr>
              <w:t xml:space="preserve">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1020" w:hRule="atLeast"/>
          <w:jc w:val="center"/>
        </w:trPr>
        <w:tc>
          <w:tcPr>
            <w:tcW w:w="1531" w:type="dxa"/>
            <w:gridSpan w:val="2"/>
            <w:vAlign w:val="center"/>
          </w:tcPr>
          <w:p>
            <w:pPr>
              <w:widowControl/>
              <w:jc w:val="center"/>
              <w:rPr>
                <w:rFonts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kern w:val="0"/>
                <w:szCs w:val="21"/>
              </w:rPr>
              <w:t>中小企业</w:t>
            </w:r>
          </w:p>
        </w:tc>
        <w:tc>
          <w:tcPr>
            <w:tcW w:w="7831" w:type="dxa"/>
            <w:gridSpan w:val="2"/>
            <w:vAlign w:val="center"/>
          </w:tcPr>
          <w:p>
            <w:pPr>
              <w:widowControl/>
              <w:rPr>
                <w:rFonts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kern w:val="0"/>
                <w:szCs w:val="21"/>
              </w:rPr>
              <w:t>如符合工信部联企业【2011】300号文中对中小企业划型标准的， 可提供本单位的 《中小企业声明函》（格式见第六章）。磋商小组将根据财库【2020】46号文《政府采购促进中小企业发展管理办法》的相关规定在评定时对小型和微型企业产品的价格给予6%的扣除后的价格参与评审（适用于非专门面向中小企业、监狱企业、残疾人福利性的项目）。大中型企业与小型、微型企业组成联合体共同参加非专门面向中小企业的政府采购活动，且联合体协议中约定小型、微型企业的协议合同金额占到联合体协议合同总金额30%以上的，给予联合体2%的价格扣除。</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565" w:hRule="atLeast"/>
          <w:jc w:val="center"/>
        </w:trPr>
        <w:tc>
          <w:tcPr>
            <w:tcW w:w="1531" w:type="dxa"/>
            <w:gridSpan w:val="2"/>
            <w:vAlign w:val="center"/>
          </w:tcPr>
          <w:p>
            <w:pPr>
              <w:widowControl/>
              <w:jc w:val="center"/>
              <w:rPr>
                <w:rFonts w:asciiTheme="minorEastAsia" w:hAnsiTheme="minorEastAsia" w:eastAsiaTheme="minorEastAsia" w:cstheme="minorEastAsia"/>
                <w:color w:val="auto"/>
                <w:kern w:val="0"/>
                <w:szCs w:val="21"/>
              </w:rPr>
            </w:pPr>
            <w:r>
              <w:rPr>
                <w:rFonts w:hint="eastAsia" w:asciiTheme="minorEastAsia" w:hAnsiTheme="minorEastAsia" w:eastAsiaTheme="minorEastAsia" w:cstheme="minorEastAsia"/>
                <w:color w:val="auto"/>
                <w:kern w:val="0"/>
                <w:szCs w:val="21"/>
              </w:rPr>
              <w:t>监狱企业</w:t>
            </w:r>
          </w:p>
        </w:tc>
        <w:tc>
          <w:tcPr>
            <w:tcW w:w="7831" w:type="dxa"/>
            <w:gridSpan w:val="2"/>
            <w:vAlign w:val="center"/>
          </w:tcPr>
          <w:p>
            <w:pPr>
              <w:widowControl/>
              <w:rPr>
                <w:rFonts w:asciiTheme="minorEastAsia" w:hAnsiTheme="minorEastAsia" w:eastAsiaTheme="minorEastAsia" w:cstheme="minorEastAsia"/>
                <w:color w:val="auto"/>
                <w:kern w:val="0"/>
                <w:szCs w:val="21"/>
              </w:rPr>
            </w:pPr>
            <w:r>
              <w:rPr>
                <w:rFonts w:hint="eastAsia" w:asciiTheme="minorEastAsia" w:hAnsiTheme="minorEastAsia" w:eastAsiaTheme="minorEastAsia" w:cstheme="minorEastAsia"/>
                <w:color w:val="auto"/>
                <w:kern w:val="0"/>
                <w:szCs w:val="21"/>
              </w:rPr>
              <w:t>按照财政部《关于政府采购支持监狱企业发展有关问题的通知》（财库【2014】68号）的规定，在政府采购活动中，监狱企业视同小型、微型企业，享受预留份额、评审中价格扣除等政府采购促进中小企业发展的政府采购政策。监狱企业参加政府采购活动时，应当提供由省级以上监狱管理局、戒毒管理局（含新疆生产建设兵团）出具的属于监狱企业的证明文件，材料不全的不予折扣。经磋商小组审核确认供应商属于监狱企业的，在评定时视同中小企业，价格给予6%的扣除后的价格参与评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537" w:hRule="atLeast"/>
          <w:jc w:val="center"/>
        </w:trPr>
        <w:tc>
          <w:tcPr>
            <w:tcW w:w="1531" w:type="dxa"/>
            <w:gridSpan w:val="2"/>
            <w:vAlign w:val="center"/>
          </w:tcPr>
          <w:p>
            <w:pPr>
              <w:widowControl/>
              <w:jc w:val="center"/>
              <w:rPr>
                <w:rFonts w:asciiTheme="minorEastAsia" w:hAnsiTheme="minorEastAsia" w:eastAsiaTheme="minorEastAsia" w:cstheme="minorEastAsia"/>
                <w:color w:val="auto"/>
                <w:kern w:val="0"/>
                <w:szCs w:val="21"/>
              </w:rPr>
            </w:pPr>
            <w:r>
              <w:rPr>
                <w:rFonts w:hint="eastAsia" w:asciiTheme="minorEastAsia" w:hAnsiTheme="minorEastAsia" w:eastAsiaTheme="minorEastAsia" w:cstheme="minorEastAsia"/>
                <w:color w:val="auto"/>
                <w:kern w:val="0"/>
                <w:szCs w:val="21"/>
              </w:rPr>
              <w:t>促进残疾人</w:t>
            </w:r>
          </w:p>
          <w:p>
            <w:pPr>
              <w:widowControl/>
              <w:jc w:val="center"/>
              <w:rPr>
                <w:rFonts w:asciiTheme="minorEastAsia" w:hAnsiTheme="minorEastAsia" w:eastAsiaTheme="minorEastAsia" w:cstheme="minorEastAsia"/>
                <w:color w:val="auto"/>
                <w:kern w:val="0"/>
                <w:szCs w:val="21"/>
              </w:rPr>
            </w:pPr>
            <w:r>
              <w:rPr>
                <w:rFonts w:hint="eastAsia" w:asciiTheme="minorEastAsia" w:hAnsiTheme="minorEastAsia" w:eastAsiaTheme="minorEastAsia" w:cstheme="minorEastAsia"/>
                <w:color w:val="auto"/>
                <w:kern w:val="0"/>
                <w:szCs w:val="21"/>
              </w:rPr>
              <w:t>就业</w:t>
            </w:r>
          </w:p>
        </w:tc>
        <w:tc>
          <w:tcPr>
            <w:tcW w:w="7831" w:type="dxa"/>
            <w:gridSpan w:val="2"/>
            <w:vAlign w:val="center"/>
          </w:tcPr>
          <w:p>
            <w:pPr>
              <w:widowControl/>
              <w:rPr>
                <w:rFonts w:asciiTheme="minorEastAsia" w:hAnsiTheme="minorEastAsia" w:eastAsiaTheme="minorEastAsia" w:cstheme="minorEastAsia"/>
                <w:color w:val="auto"/>
                <w:kern w:val="0"/>
                <w:szCs w:val="21"/>
              </w:rPr>
            </w:pPr>
            <w:r>
              <w:rPr>
                <w:rFonts w:hint="eastAsia" w:asciiTheme="minorEastAsia" w:hAnsiTheme="minorEastAsia" w:eastAsiaTheme="minorEastAsia" w:cstheme="minorEastAsia"/>
                <w:color w:val="auto"/>
                <w:kern w:val="0"/>
                <w:szCs w:val="21"/>
              </w:rPr>
              <w:t>按照《三部门联合发布关于促进残疾人就业政府采购政策的通知》（财库【2017】141 号）的规定，在政府采购活动中，残疾人福利性单位视同小型、微型企业，享受预留份额、评审中价格扣除等促进中小企业发展的政府采购政策。符合条件的残疾人福利性单位在参加政府采购活动时，应当提供财库【2017】141号文规定的《残疾人福利性单位声明函》（格式见第六章），并对声明的真实性负责，未提供声明函的不予折扣。经磋商小组审核确认供应商符合残疾人福利性单位条件的，在评定时视同中小企业。残疾人福利性单位属于小型、微型企业的，不重复享受政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1020" w:hRule="atLeast"/>
          <w:jc w:val="center"/>
        </w:trPr>
        <w:tc>
          <w:tcPr>
            <w:tcW w:w="1531" w:type="dxa"/>
            <w:gridSpan w:val="2"/>
            <w:vAlign w:val="center"/>
          </w:tcPr>
          <w:p>
            <w:pPr>
              <w:autoSpaceDE w:val="0"/>
              <w:autoSpaceDN w:val="0"/>
              <w:adjustRightInd w:val="0"/>
              <w:jc w:val="center"/>
              <w:rPr>
                <w:rFonts w:ascii="宋体" w:hAnsi="宋体" w:cs="宋体"/>
                <w:snapToGrid w:val="0"/>
                <w:color w:val="auto"/>
                <w:kern w:val="0"/>
                <w:szCs w:val="21"/>
                <w:lang w:val="zh-CN"/>
              </w:rPr>
            </w:pPr>
          </w:p>
          <w:p>
            <w:pPr>
              <w:autoSpaceDE w:val="0"/>
              <w:autoSpaceDN w:val="0"/>
              <w:adjustRightInd w:val="0"/>
              <w:jc w:val="center"/>
              <w:rPr>
                <w:rFonts w:asciiTheme="minorEastAsia" w:hAnsiTheme="minorEastAsia" w:cstheme="minorEastAsia"/>
                <w:color w:val="auto"/>
                <w:kern w:val="0"/>
                <w:szCs w:val="21"/>
              </w:rPr>
            </w:pPr>
            <w:r>
              <w:rPr>
                <w:rFonts w:hint="eastAsia" w:ascii="宋体" w:hAnsi="宋体" w:cs="宋体"/>
                <w:snapToGrid w:val="0"/>
                <w:color w:val="auto"/>
                <w:kern w:val="0"/>
                <w:szCs w:val="21"/>
                <w:lang w:val="zh-CN"/>
              </w:rPr>
              <w:t>节能</w:t>
            </w:r>
            <w:r>
              <w:rPr>
                <w:rFonts w:hint="eastAsia" w:ascii="宋体" w:hAnsi="宋体" w:cs="宋体"/>
                <w:snapToGrid w:val="0"/>
                <w:color w:val="auto"/>
                <w:kern w:val="0"/>
                <w:szCs w:val="21"/>
              </w:rPr>
              <w:t>环保</w:t>
            </w:r>
          </w:p>
        </w:tc>
        <w:tc>
          <w:tcPr>
            <w:tcW w:w="7831" w:type="dxa"/>
            <w:gridSpan w:val="2"/>
            <w:vAlign w:val="center"/>
          </w:tcPr>
          <w:p>
            <w:pPr>
              <w:autoSpaceDE w:val="0"/>
              <w:autoSpaceDN w:val="0"/>
              <w:adjustRightInd w:val="0"/>
              <w:rPr>
                <w:rFonts w:asciiTheme="minorEastAsia" w:hAnsiTheme="minorEastAsia" w:eastAsiaTheme="minorEastAsia" w:cstheme="minorEastAsia"/>
                <w:color w:val="auto"/>
                <w:kern w:val="0"/>
                <w:szCs w:val="21"/>
              </w:rPr>
            </w:pPr>
            <w:r>
              <w:rPr>
                <w:rFonts w:hint="eastAsia" w:asciiTheme="minorEastAsia" w:hAnsiTheme="minorEastAsia" w:eastAsiaTheme="minorEastAsia" w:cstheme="minorEastAsia"/>
                <w:color w:val="auto"/>
                <w:kern w:val="0"/>
                <w:szCs w:val="21"/>
              </w:rPr>
              <w:t>按照《财政部 发展改革委 生态环境部 市场监管总局 关于调整优化节能产品、环境标志产品政府采购执行机制的通知》（财库〔2019〕9 号）/《关于印发环境标志产品政府采购品目清单的通知》（财库〔2019〕18 号）/《关于印发节能产品政府采购品目清单的通知》（财库〔2019〕19 号）/《市场监管总局关于发布参与实施政府采购节能产品、环境标志产品认证机构名录的公告》（2019 年第 16 号）文件执行。</w:t>
            </w:r>
          </w:p>
          <w:p>
            <w:pPr>
              <w:autoSpaceDE w:val="0"/>
              <w:autoSpaceDN w:val="0"/>
              <w:adjustRightInd w:val="0"/>
              <w:rPr>
                <w:rFonts w:asciiTheme="minorEastAsia" w:hAnsiTheme="minorEastAsia" w:eastAsiaTheme="minorEastAsia" w:cstheme="minorEastAsia"/>
                <w:color w:val="auto"/>
                <w:kern w:val="0"/>
                <w:szCs w:val="21"/>
              </w:rPr>
            </w:pPr>
            <w:r>
              <w:rPr>
                <w:rFonts w:hint="eastAsia" w:asciiTheme="minorEastAsia" w:hAnsiTheme="minorEastAsia" w:eastAsiaTheme="minorEastAsia" w:cstheme="minorEastAsia"/>
                <w:color w:val="auto"/>
                <w:kern w:val="0"/>
                <w:szCs w:val="21"/>
              </w:rPr>
              <w:t>如供应商投标产品符合以上文件的政策支持，须提供产品认证证书（合格有效时间内的）或节能产品查（http://www、ccgp、gov、cn/search/jnqdchaxun、htm）/环境标志产品查询（http://www、ccgp、gov、cn/search/hbqdchaxun、htm）查询结果截图。经磋商小组审核确认供应商投标产品符合以上政府采购政策的，给予该项竞标产品所占价格的1%的价格扣除，用扣除后的价格参与评审。上述政府采购政策优惠须经磋商小组评审后执行，未提供单独分项报价或证明资料不全的不给予价格扣除。同一项目包内的节能产品价格扣除只对属于节能产品政府清单内的非强制类产品进行，强制类产品已作为竞标时强制性要求不再给予价格扣除。同时被认证为节能产品和环境标志产品的不重复享受价格扣除。</w:t>
            </w:r>
          </w:p>
        </w:tc>
      </w:tr>
    </w:tbl>
    <w:p>
      <w:pPr>
        <w:spacing w:line="360" w:lineRule="auto"/>
        <w:outlineLvl w:val="1"/>
        <w:rPr>
          <w:rFonts w:asciiTheme="minorEastAsia" w:hAnsiTheme="minorEastAsia" w:eastAsiaTheme="minorEastAsia" w:cstheme="minorEastAsia"/>
          <w:b/>
          <w:color w:val="auto"/>
          <w:szCs w:val="21"/>
        </w:rPr>
      </w:pPr>
      <w:bookmarkStart w:id="115" w:name="_Toc32423"/>
      <w:r>
        <w:rPr>
          <w:rFonts w:hint="eastAsia" w:asciiTheme="minorEastAsia" w:hAnsiTheme="minorEastAsia" w:eastAsiaTheme="minorEastAsia" w:cstheme="minorEastAsia"/>
          <w:b/>
          <w:color w:val="auto"/>
          <w:szCs w:val="21"/>
        </w:rPr>
        <w:br w:type="textWrapping"/>
      </w:r>
      <w:r>
        <w:rPr>
          <w:rFonts w:hint="eastAsia" w:asciiTheme="minorEastAsia" w:hAnsiTheme="minorEastAsia" w:eastAsiaTheme="minorEastAsia" w:cstheme="minorEastAsia"/>
          <w:b/>
          <w:color w:val="auto"/>
          <w:szCs w:val="21"/>
        </w:rPr>
        <w:br w:type="textWrapping"/>
      </w:r>
      <w:r>
        <w:rPr>
          <w:rFonts w:hint="eastAsia" w:asciiTheme="minorEastAsia" w:hAnsiTheme="minorEastAsia" w:eastAsiaTheme="minorEastAsia" w:cstheme="minorEastAsia"/>
          <w:b/>
          <w:color w:val="auto"/>
          <w:szCs w:val="21"/>
        </w:rPr>
        <w:t>二、计算办法</w:t>
      </w:r>
      <w:bookmarkEnd w:id="115"/>
    </w:p>
    <w:tbl>
      <w:tblPr>
        <w:tblStyle w:val="26"/>
        <w:tblW w:w="926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57" w:type="dxa"/>
          <w:left w:w="57" w:type="dxa"/>
          <w:bottom w:w="57" w:type="dxa"/>
          <w:right w:w="57" w:type="dxa"/>
        </w:tblCellMar>
      </w:tblPr>
      <w:tblGrid>
        <w:gridCol w:w="2940"/>
        <w:gridCol w:w="632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285" w:hRule="atLeast"/>
          <w:jc w:val="center"/>
        </w:trPr>
        <w:tc>
          <w:tcPr>
            <w:tcW w:w="2940" w:type="dxa"/>
            <w:vAlign w:val="center"/>
          </w:tcPr>
          <w:p>
            <w:pPr>
              <w:widowControl/>
              <w:jc w:val="center"/>
              <w:rPr>
                <w:rFonts w:asciiTheme="minorEastAsia" w:hAnsiTheme="minorEastAsia" w:eastAsiaTheme="minorEastAsia" w:cstheme="minorEastAsia"/>
                <w:b/>
                <w:bCs/>
                <w:color w:val="auto"/>
                <w:kern w:val="0"/>
                <w:szCs w:val="21"/>
              </w:rPr>
            </w:pPr>
            <w:r>
              <w:rPr>
                <w:rFonts w:hint="eastAsia" w:asciiTheme="minorEastAsia" w:hAnsiTheme="minorEastAsia" w:eastAsiaTheme="minorEastAsia" w:cstheme="minorEastAsia"/>
                <w:b/>
                <w:bCs/>
                <w:color w:val="auto"/>
                <w:kern w:val="0"/>
                <w:szCs w:val="21"/>
              </w:rPr>
              <w:t>条款内容</w:t>
            </w:r>
          </w:p>
        </w:tc>
        <w:tc>
          <w:tcPr>
            <w:tcW w:w="6322" w:type="dxa"/>
            <w:vAlign w:val="center"/>
          </w:tcPr>
          <w:p>
            <w:pPr>
              <w:widowControl/>
              <w:jc w:val="center"/>
              <w:rPr>
                <w:rFonts w:asciiTheme="minorEastAsia" w:hAnsiTheme="minorEastAsia" w:eastAsiaTheme="minorEastAsia" w:cstheme="minorEastAsia"/>
                <w:b/>
                <w:bCs/>
                <w:color w:val="auto"/>
                <w:kern w:val="0"/>
                <w:szCs w:val="21"/>
              </w:rPr>
            </w:pPr>
            <w:r>
              <w:rPr>
                <w:rFonts w:hint="eastAsia" w:asciiTheme="minorEastAsia" w:hAnsiTheme="minorEastAsia" w:eastAsiaTheme="minorEastAsia" w:cstheme="minorEastAsia"/>
                <w:b/>
                <w:bCs/>
                <w:color w:val="auto"/>
                <w:kern w:val="0"/>
                <w:szCs w:val="21"/>
              </w:rPr>
              <w:t>编列内容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382" w:hRule="atLeast"/>
          <w:jc w:val="center"/>
        </w:trPr>
        <w:tc>
          <w:tcPr>
            <w:tcW w:w="2940" w:type="dxa"/>
            <w:vAlign w:val="center"/>
          </w:tcPr>
          <w:p>
            <w:pPr>
              <w:widowControl/>
              <w:jc w:val="center"/>
              <w:rPr>
                <w:rFonts w:asciiTheme="minorEastAsia" w:hAnsiTheme="minorEastAsia" w:eastAsiaTheme="minorEastAsia" w:cstheme="minorEastAsia"/>
                <w:color w:val="auto"/>
                <w:kern w:val="0"/>
                <w:szCs w:val="21"/>
              </w:rPr>
            </w:pPr>
            <w:r>
              <w:rPr>
                <w:rFonts w:hint="eastAsia" w:asciiTheme="minorEastAsia" w:hAnsiTheme="minorEastAsia" w:eastAsiaTheme="minorEastAsia" w:cstheme="minorEastAsia"/>
                <w:color w:val="auto"/>
                <w:kern w:val="0"/>
                <w:szCs w:val="21"/>
              </w:rPr>
              <w:t>分值构成(总分100分)</w:t>
            </w:r>
          </w:p>
        </w:tc>
        <w:tc>
          <w:tcPr>
            <w:tcW w:w="6322" w:type="dxa"/>
            <w:vAlign w:val="center"/>
          </w:tcPr>
          <w:p>
            <w:pPr>
              <w:widowControl/>
              <w:jc w:val="center"/>
              <w:rPr>
                <w:rFonts w:asciiTheme="minorEastAsia" w:hAnsiTheme="minorEastAsia" w:eastAsiaTheme="minorEastAsia" w:cstheme="minorEastAsia"/>
                <w:color w:val="auto"/>
                <w:kern w:val="0"/>
                <w:szCs w:val="21"/>
              </w:rPr>
            </w:pPr>
            <w:r>
              <w:rPr>
                <w:rFonts w:hint="eastAsia" w:asciiTheme="minorEastAsia" w:hAnsiTheme="minorEastAsia" w:eastAsiaTheme="minorEastAsia" w:cstheme="minorEastAsia"/>
                <w:color w:val="auto"/>
                <w:kern w:val="0"/>
                <w:szCs w:val="21"/>
              </w:rPr>
              <w:t>详见评分细则</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464" w:hRule="atLeast"/>
          <w:jc w:val="center"/>
        </w:trPr>
        <w:tc>
          <w:tcPr>
            <w:tcW w:w="2940" w:type="dxa"/>
            <w:vAlign w:val="center"/>
          </w:tcPr>
          <w:p>
            <w:pPr>
              <w:widowControl/>
              <w:jc w:val="center"/>
              <w:rPr>
                <w:rFonts w:asciiTheme="minorEastAsia" w:hAnsiTheme="minorEastAsia" w:eastAsiaTheme="minorEastAsia" w:cstheme="minorEastAsia"/>
                <w:color w:val="auto"/>
                <w:kern w:val="0"/>
                <w:szCs w:val="21"/>
              </w:rPr>
            </w:pPr>
            <w:r>
              <w:rPr>
                <w:rFonts w:hint="eastAsia" w:asciiTheme="minorEastAsia" w:hAnsiTheme="minorEastAsia" w:eastAsiaTheme="minorEastAsia" w:cstheme="minorEastAsia"/>
                <w:color w:val="auto"/>
                <w:kern w:val="0"/>
                <w:szCs w:val="21"/>
              </w:rPr>
              <w:t>评标基准价计算方法</w:t>
            </w:r>
          </w:p>
        </w:tc>
        <w:tc>
          <w:tcPr>
            <w:tcW w:w="6322" w:type="dxa"/>
            <w:vAlign w:val="center"/>
          </w:tcPr>
          <w:p>
            <w:pPr>
              <w:widowControl/>
              <w:jc w:val="center"/>
              <w:rPr>
                <w:rFonts w:asciiTheme="minorEastAsia" w:hAnsiTheme="minorEastAsia" w:eastAsiaTheme="minorEastAsia" w:cstheme="minorEastAsia"/>
                <w:color w:val="auto"/>
                <w:kern w:val="0"/>
                <w:szCs w:val="21"/>
              </w:rPr>
            </w:pPr>
            <w:r>
              <w:rPr>
                <w:rFonts w:hint="eastAsia" w:asciiTheme="minorEastAsia" w:hAnsiTheme="minorEastAsia" w:eastAsiaTheme="minorEastAsia" w:cstheme="minorEastAsia"/>
                <w:color w:val="auto"/>
                <w:kern w:val="0"/>
                <w:szCs w:val="21"/>
              </w:rPr>
              <w:t>满足采购文件要求且报价最低的竞标报价为评标基准价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285" w:hRule="atLeast"/>
          <w:jc w:val="center"/>
        </w:trPr>
        <w:tc>
          <w:tcPr>
            <w:tcW w:w="2940" w:type="dxa"/>
            <w:vAlign w:val="center"/>
          </w:tcPr>
          <w:p>
            <w:pPr>
              <w:widowControl/>
              <w:jc w:val="center"/>
              <w:rPr>
                <w:rFonts w:asciiTheme="minorEastAsia" w:hAnsiTheme="minorEastAsia" w:eastAsiaTheme="minorEastAsia" w:cstheme="minorEastAsia"/>
                <w:b/>
                <w:bCs/>
                <w:color w:val="auto"/>
                <w:kern w:val="0"/>
                <w:szCs w:val="21"/>
              </w:rPr>
            </w:pPr>
            <w:r>
              <w:rPr>
                <w:rFonts w:hint="eastAsia" w:asciiTheme="minorEastAsia" w:hAnsiTheme="minorEastAsia" w:eastAsiaTheme="minorEastAsia" w:cstheme="minorEastAsia"/>
                <w:b/>
                <w:bCs/>
                <w:color w:val="auto"/>
                <w:kern w:val="0"/>
                <w:szCs w:val="21"/>
              </w:rPr>
              <w:t>评分因素</w:t>
            </w:r>
          </w:p>
        </w:tc>
        <w:tc>
          <w:tcPr>
            <w:tcW w:w="6322" w:type="dxa"/>
            <w:vAlign w:val="center"/>
          </w:tcPr>
          <w:p>
            <w:pPr>
              <w:widowControl/>
              <w:jc w:val="center"/>
              <w:rPr>
                <w:rFonts w:asciiTheme="minorEastAsia" w:hAnsiTheme="minorEastAsia" w:eastAsiaTheme="minorEastAsia" w:cstheme="minorEastAsia"/>
                <w:b/>
                <w:bCs/>
                <w:color w:val="auto"/>
                <w:kern w:val="0"/>
                <w:szCs w:val="21"/>
              </w:rPr>
            </w:pPr>
            <w:r>
              <w:rPr>
                <w:rFonts w:hint="eastAsia" w:asciiTheme="minorEastAsia" w:hAnsiTheme="minorEastAsia" w:eastAsiaTheme="minorEastAsia" w:cstheme="minorEastAsia"/>
                <w:b/>
                <w:bCs/>
                <w:color w:val="auto"/>
                <w:kern w:val="0"/>
                <w:szCs w:val="21"/>
              </w:rPr>
              <w:t>评分标准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285" w:hRule="atLeast"/>
          <w:jc w:val="center"/>
        </w:trPr>
        <w:tc>
          <w:tcPr>
            <w:tcW w:w="2940" w:type="dxa"/>
            <w:vAlign w:val="center"/>
          </w:tcPr>
          <w:p>
            <w:pPr>
              <w:widowControl/>
              <w:jc w:val="center"/>
              <w:rPr>
                <w:rFonts w:asciiTheme="minorEastAsia" w:hAnsiTheme="minorEastAsia" w:eastAsiaTheme="minorEastAsia" w:cstheme="minorEastAsia"/>
                <w:color w:val="auto"/>
                <w:kern w:val="0"/>
                <w:szCs w:val="21"/>
              </w:rPr>
            </w:pPr>
            <w:r>
              <w:rPr>
                <w:rFonts w:hint="eastAsia" w:asciiTheme="minorEastAsia" w:hAnsiTheme="minorEastAsia" w:eastAsiaTheme="minorEastAsia" w:cstheme="minorEastAsia"/>
                <w:color w:val="auto"/>
                <w:kern w:val="0"/>
                <w:szCs w:val="21"/>
              </w:rPr>
              <w:t>技术部分评分标准</w:t>
            </w:r>
          </w:p>
        </w:tc>
        <w:tc>
          <w:tcPr>
            <w:tcW w:w="6322" w:type="dxa"/>
            <w:vAlign w:val="center"/>
          </w:tcPr>
          <w:p>
            <w:pPr>
              <w:widowControl/>
              <w:jc w:val="center"/>
              <w:rPr>
                <w:rFonts w:asciiTheme="minorEastAsia" w:hAnsiTheme="minorEastAsia" w:eastAsiaTheme="minorEastAsia" w:cstheme="minorEastAsia"/>
                <w:color w:val="auto"/>
                <w:kern w:val="0"/>
                <w:szCs w:val="21"/>
              </w:rPr>
            </w:pPr>
            <w:r>
              <w:rPr>
                <w:rFonts w:hint="eastAsia" w:asciiTheme="minorEastAsia" w:hAnsiTheme="minorEastAsia" w:eastAsiaTheme="minorEastAsia" w:cstheme="minorEastAsia"/>
                <w:color w:val="auto"/>
                <w:kern w:val="0"/>
                <w:szCs w:val="21"/>
              </w:rPr>
              <w:t>详见评分细则</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285" w:hRule="atLeast"/>
          <w:jc w:val="center"/>
        </w:trPr>
        <w:tc>
          <w:tcPr>
            <w:tcW w:w="2940" w:type="dxa"/>
            <w:vAlign w:val="center"/>
          </w:tcPr>
          <w:p>
            <w:pPr>
              <w:widowControl/>
              <w:jc w:val="center"/>
              <w:rPr>
                <w:rFonts w:asciiTheme="minorEastAsia" w:hAnsiTheme="minorEastAsia" w:eastAsiaTheme="minorEastAsia" w:cstheme="minorEastAsia"/>
                <w:color w:val="auto"/>
                <w:kern w:val="0"/>
                <w:szCs w:val="21"/>
              </w:rPr>
            </w:pPr>
            <w:r>
              <w:rPr>
                <w:rFonts w:hint="eastAsia" w:asciiTheme="minorEastAsia" w:hAnsiTheme="minorEastAsia" w:eastAsiaTheme="minorEastAsia" w:cstheme="minorEastAsia"/>
                <w:color w:val="auto"/>
                <w:kern w:val="0"/>
                <w:szCs w:val="21"/>
              </w:rPr>
              <w:t>商务部分评分标准</w:t>
            </w:r>
          </w:p>
        </w:tc>
        <w:tc>
          <w:tcPr>
            <w:tcW w:w="6322" w:type="dxa"/>
            <w:vAlign w:val="center"/>
          </w:tcPr>
          <w:p>
            <w:pPr>
              <w:widowControl/>
              <w:jc w:val="center"/>
              <w:rPr>
                <w:rFonts w:asciiTheme="minorEastAsia" w:hAnsiTheme="minorEastAsia" w:eastAsiaTheme="minorEastAsia" w:cstheme="minorEastAsia"/>
                <w:color w:val="auto"/>
                <w:kern w:val="0"/>
                <w:szCs w:val="21"/>
              </w:rPr>
            </w:pPr>
            <w:r>
              <w:rPr>
                <w:rFonts w:hint="eastAsia" w:asciiTheme="minorEastAsia" w:hAnsiTheme="minorEastAsia" w:eastAsiaTheme="minorEastAsia" w:cstheme="minorEastAsia"/>
                <w:color w:val="auto"/>
                <w:kern w:val="0"/>
                <w:szCs w:val="21"/>
              </w:rPr>
              <w:t>详见评分细则</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316" w:hRule="atLeast"/>
          <w:jc w:val="center"/>
        </w:trPr>
        <w:tc>
          <w:tcPr>
            <w:tcW w:w="2940" w:type="dxa"/>
            <w:vAlign w:val="center"/>
          </w:tcPr>
          <w:p>
            <w:pPr>
              <w:widowControl/>
              <w:jc w:val="center"/>
              <w:rPr>
                <w:rFonts w:asciiTheme="minorEastAsia" w:hAnsiTheme="minorEastAsia" w:eastAsiaTheme="minorEastAsia" w:cstheme="minorEastAsia"/>
                <w:color w:val="auto"/>
                <w:kern w:val="0"/>
                <w:szCs w:val="21"/>
              </w:rPr>
            </w:pPr>
            <w:r>
              <w:rPr>
                <w:rFonts w:hint="eastAsia" w:asciiTheme="minorEastAsia" w:hAnsiTheme="minorEastAsia" w:eastAsiaTheme="minorEastAsia" w:cstheme="minorEastAsia"/>
                <w:color w:val="auto"/>
                <w:kern w:val="0"/>
                <w:szCs w:val="21"/>
              </w:rPr>
              <w:t>竞标报价评分标准</w:t>
            </w:r>
          </w:p>
        </w:tc>
        <w:tc>
          <w:tcPr>
            <w:tcW w:w="6322" w:type="dxa"/>
            <w:vAlign w:val="center"/>
          </w:tcPr>
          <w:p>
            <w:pPr>
              <w:jc w:val="center"/>
              <w:rPr>
                <w:rFonts w:asciiTheme="minorEastAsia" w:hAnsiTheme="minorEastAsia" w:eastAsiaTheme="minorEastAsia" w:cstheme="minorEastAsia"/>
                <w:color w:val="auto"/>
                <w:kern w:val="0"/>
                <w:szCs w:val="21"/>
              </w:rPr>
            </w:pPr>
            <w:r>
              <w:rPr>
                <w:rFonts w:hint="eastAsia" w:asciiTheme="minorEastAsia" w:hAnsiTheme="minorEastAsia" w:eastAsiaTheme="minorEastAsia" w:cstheme="minorEastAsia"/>
                <w:color w:val="auto"/>
                <w:kern w:val="0"/>
                <w:szCs w:val="21"/>
              </w:rPr>
              <w:t>低价优先法</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90" w:hRule="atLeast"/>
          <w:jc w:val="center"/>
        </w:trPr>
        <w:tc>
          <w:tcPr>
            <w:tcW w:w="2940" w:type="dxa"/>
            <w:vAlign w:val="center"/>
          </w:tcPr>
          <w:p>
            <w:pPr>
              <w:widowControl/>
              <w:jc w:val="center"/>
              <w:rPr>
                <w:rFonts w:asciiTheme="minorEastAsia" w:hAnsiTheme="minorEastAsia" w:eastAsiaTheme="minorEastAsia" w:cstheme="minorEastAsia"/>
                <w:b/>
                <w:bCs/>
                <w:color w:val="auto"/>
                <w:kern w:val="0"/>
                <w:szCs w:val="21"/>
              </w:rPr>
            </w:pPr>
            <w:r>
              <w:rPr>
                <w:rFonts w:hint="eastAsia" w:asciiTheme="minorEastAsia" w:hAnsiTheme="minorEastAsia" w:eastAsiaTheme="minorEastAsia" w:cstheme="minorEastAsia"/>
                <w:b/>
                <w:bCs/>
                <w:color w:val="auto"/>
                <w:kern w:val="0"/>
                <w:szCs w:val="21"/>
              </w:rPr>
              <w:t>条款内容</w:t>
            </w:r>
          </w:p>
        </w:tc>
        <w:tc>
          <w:tcPr>
            <w:tcW w:w="6322" w:type="dxa"/>
            <w:vAlign w:val="center"/>
          </w:tcPr>
          <w:p>
            <w:pPr>
              <w:widowControl/>
              <w:jc w:val="center"/>
              <w:rPr>
                <w:rFonts w:asciiTheme="minorEastAsia" w:hAnsiTheme="minorEastAsia" w:eastAsiaTheme="minorEastAsia" w:cstheme="minorEastAsia"/>
                <w:b/>
                <w:bCs/>
                <w:color w:val="auto"/>
                <w:kern w:val="0"/>
                <w:szCs w:val="21"/>
              </w:rPr>
            </w:pPr>
            <w:r>
              <w:rPr>
                <w:rFonts w:hint="eastAsia" w:asciiTheme="minorEastAsia" w:hAnsiTheme="minorEastAsia" w:eastAsiaTheme="minorEastAsia" w:cstheme="minorEastAsia"/>
                <w:b/>
                <w:bCs/>
                <w:color w:val="auto"/>
                <w:kern w:val="0"/>
                <w:szCs w:val="21"/>
              </w:rPr>
              <w:t>编列内容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90" w:hRule="atLeast"/>
          <w:jc w:val="center"/>
        </w:trPr>
        <w:tc>
          <w:tcPr>
            <w:tcW w:w="2940" w:type="dxa"/>
            <w:vAlign w:val="center"/>
          </w:tcPr>
          <w:p>
            <w:pPr>
              <w:widowControl/>
              <w:jc w:val="center"/>
              <w:rPr>
                <w:rFonts w:asciiTheme="minorEastAsia" w:hAnsiTheme="minorEastAsia" w:eastAsiaTheme="minorEastAsia" w:cstheme="minorEastAsia"/>
                <w:color w:val="auto"/>
                <w:kern w:val="0"/>
                <w:szCs w:val="21"/>
              </w:rPr>
            </w:pPr>
            <w:r>
              <w:rPr>
                <w:rFonts w:hint="eastAsia" w:asciiTheme="minorEastAsia" w:hAnsiTheme="minorEastAsia" w:eastAsiaTheme="minorEastAsia" w:cstheme="minorEastAsia"/>
                <w:color w:val="auto"/>
                <w:kern w:val="0"/>
                <w:szCs w:val="21"/>
              </w:rPr>
              <w:t>各供应商的最终得分计算办法</w:t>
            </w:r>
          </w:p>
        </w:tc>
        <w:tc>
          <w:tcPr>
            <w:tcW w:w="6322" w:type="dxa"/>
            <w:vAlign w:val="center"/>
          </w:tcPr>
          <w:p>
            <w:pPr>
              <w:widowControl/>
              <w:jc w:val="center"/>
              <w:rPr>
                <w:rFonts w:asciiTheme="minorEastAsia" w:hAnsiTheme="minorEastAsia" w:eastAsiaTheme="minorEastAsia" w:cstheme="minorEastAsia"/>
                <w:color w:val="auto"/>
                <w:kern w:val="0"/>
                <w:szCs w:val="21"/>
              </w:rPr>
            </w:pPr>
            <w:r>
              <w:rPr>
                <w:rFonts w:hint="eastAsia" w:asciiTheme="minorEastAsia" w:hAnsiTheme="minorEastAsia" w:eastAsiaTheme="minorEastAsia" w:cstheme="minorEastAsia"/>
                <w:bCs/>
                <w:color w:val="auto"/>
                <w:szCs w:val="21"/>
              </w:rPr>
              <w:t>所有评委评分的算术平均值</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90" w:hRule="atLeast"/>
          <w:jc w:val="center"/>
        </w:trPr>
        <w:tc>
          <w:tcPr>
            <w:tcW w:w="2940" w:type="dxa"/>
            <w:vAlign w:val="center"/>
          </w:tcPr>
          <w:p>
            <w:pPr>
              <w:widowControl/>
              <w:jc w:val="center"/>
              <w:rPr>
                <w:rFonts w:asciiTheme="minorEastAsia" w:hAnsiTheme="minorEastAsia" w:eastAsiaTheme="minorEastAsia" w:cstheme="minorEastAsia"/>
                <w:color w:val="auto"/>
                <w:kern w:val="0"/>
                <w:szCs w:val="21"/>
              </w:rPr>
            </w:pPr>
            <w:r>
              <w:rPr>
                <w:rFonts w:hint="eastAsia" w:asciiTheme="minorEastAsia" w:hAnsiTheme="minorEastAsia" w:eastAsiaTheme="minorEastAsia" w:cstheme="minorEastAsia"/>
                <w:color w:val="auto"/>
                <w:szCs w:val="21"/>
              </w:rPr>
              <w:t>供应商最后得分相同时对供应商进行排序的方法</w:t>
            </w:r>
          </w:p>
        </w:tc>
        <w:tc>
          <w:tcPr>
            <w:tcW w:w="6322" w:type="dxa"/>
            <w:vAlign w:val="center"/>
          </w:tcPr>
          <w:p>
            <w:pPr>
              <w:widowControl/>
              <w:jc w:val="center"/>
              <w:rPr>
                <w:rFonts w:asciiTheme="minorEastAsia" w:hAnsiTheme="minorEastAsia" w:eastAsiaTheme="minorEastAsia" w:cstheme="minorEastAsia"/>
                <w:snapToGrid w:val="0"/>
                <w:color w:val="auto"/>
                <w:kern w:val="0"/>
                <w:szCs w:val="21"/>
                <w:lang w:val="zh-CN"/>
              </w:rPr>
            </w:pPr>
            <w:r>
              <w:rPr>
                <w:rFonts w:hint="eastAsia" w:asciiTheme="minorEastAsia" w:hAnsiTheme="minorEastAsia" w:eastAsiaTheme="minorEastAsia" w:cstheme="minorEastAsia"/>
                <w:color w:val="auto"/>
                <w:szCs w:val="21"/>
              </w:rPr>
              <w:t>得分相同的供应商，按竞标报价由低到高顺序排列。得分且报价相同的，按技术指标优劣顺序排列。</w:t>
            </w:r>
          </w:p>
        </w:tc>
      </w:tr>
    </w:tbl>
    <w:p>
      <w:pPr>
        <w:pStyle w:val="20"/>
        <w:outlineLvl w:val="1"/>
        <w:rPr>
          <w:rFonts w:asciiTheme="minorEastAsia" w:hAnsiTheme="minorEastAsia" w:eastAsiaTheme="minorEastAsia" w:cstheme="minorEastAsia"/>
          <w:color w:val="auto"/>
        </w:rPr>
        <w:sectPr>
          <w:footerReference r:id="rId11" w:type="default"/>
          <w:type w:val="continuous"/>
          <w:pgSz w:w="11906" w:h="16838"/>
          <w:pgMar w:top="1417" w:right="1417" w:bottom="1417" w:left="1417" w:header="851" w:footer="992" w:gutter="0"/>
          <w:cols w:space="720" w:num="1"/>
          <w:docGrid w:type="lines" w:linePitch="312" w:charSpace="0"/>
        </w:sectPr>
      </w:pPr>
      <w:bookmarkStart w:id="116" w:name="_Toc17585"/>
      <w:bookmarkStart w:id="117" w:name="_Toc8676"/>
      <w:r>
        <w:rPr>
          <w:rFonts w:hint="eastAsia" w:asciiTheme="minorEastAsia" w:hAnsiTheme="minorEastAsia" w:eastAsiaTheme="minorEastAsia" w:cstheme="minorEastAsia"/>
          <w:color w:val="auto"/>
        </w:rPr>
        <w:br w:type="textWrapping"/>
      </w:r>
      <w:r>
        <w:rPr>
          <w:rFonts w:hint="eastAsia" w:asciiTheme="minorEastAsia" w:hAnsiTheme="minorEastAsia" w:eastAsiaTheme="minorEastAsia" w:cstheme="minorEastAsia"/>
          <w:color w:val="auto"/>
        </w:rPr>
        <w:br w:type="textWrapping"/>
      </w:r>
      <w:r>
        <w:rPr>
          <w:rFonts w:hint="eastAsia" w:asciiTheme="minorEastAsia" w:hAnsiTheme="minorEastAsia" w:eastAsiaTheme="minorEastAsia" w:cstheme="minorEastAsia"/>
          <w:color w:val="auto"/>
        </w:rPr>
        <w:br w:type="textWrapping"/>
      </w:r>
      <w:r>
        <w:rPr>
          <w:rFonts w:hint="eastAsia" w:asciiTheme="minorEastAsia" w:hAnsiTheme="minorEastAsia" w:eastAsiaTheme="minorEastAsia" w:cstheme="minorEastAsia"/>
          <w:color w:val="auto"/>
        </w:rPr>
        <w:br w:type="textWrapping"/>
      </w:r>
      <w:r>
        <w:rPr>
          <w:rFonts w:hint="eastAsia" w:asciiTheme="minorEastAsia" w:hAnsiTheme="minorEastAsia" w:eastAsiaTheme="minorEastAsia" w:cstheme="minorEastAsia"/>
          <w:color w:val="auto"/>
        </w:rPr>
        <w:br w:type="textWrapping"/>
      </w:r>
      <w:r>
        <w:rPr>
          <w:rFonts w:hint="eastAsia" w:asciiTheme="minorEastAsia" w:hAnsiTheme="minorEastAsia" w:eastAsiaTheme="minorEastAsia" w:cstheme="minorEastAsia"/>
          <w:color w:val="auto"/>
        </w:rPr>
        <w:br w:type="textWrapping"/>
      </w:r>
      <w:r>
        <w:rPr>
          <w:rFonts w:hint="eastAsia" w:asciiTheme="minorEastAsia" w:hAnsiTheme="minorEastAsia" w:eastAsiaTheme="minorEastAsia" w:cstheme="minorEastAsia"/>
          <w:color w:val="auto"/>
        </w:rPr>
        <w:br w:type="textWrapping"/>
      </w:r>
      <w:r>
        <w:rPr>
          <w:rFonts w:hint="eastAsia" w:asciiTheme="minorEastAsia" w:hAnsiTheme="minorEastAsia" w:eastAsiaTheme="minorEastAsia" w:cstheme="minorEastAsia"/>
          <w:color w:val="auto"/>
        </w:rPr>
        <w:br w:type="textWrapping"/>
      </w:r>
      <w:r>
        <w:rPr>
          <w:rFonts w:hint="eastAsia" w:asciiTheme="minorEastAsia" w:hAnsiTheme="minorEastAsia" w:eastAsiaTheme="minorEastAsia" w:cstheme="minorEastAsia"/>
          <w:color w:val="auto"/>
        </w:rPr>
        <w:br w:type="textWrapping"/>
      </w:r>
      <w:r>
        <w:rPr>
          <w:rFonts w:hint="eastAsia" w:asciiTheme="minorEastAsia" w:hAnsiTheme="minorEastAsia" w:eastAsiaTheme="minorEastAsia" w:cstheme="minorEastAsia"/>
          <w:color w:val="auto"/>
        </w:rPr>
        <w:br w:type="textWrapping"/>
      </w:r>
      <w:r>
        <w:rPr>
          <w:rFonts w:hint="eastAsia" w:asciiTheme="minorEastAsia" w:hAnsiTheme="minorEastAsia" w:eastAsiaTheme="minorEastAsia" w:cstheme="minorEastAsia"/>
          <w:color w:val="auto"/>
        </w:rPr>
        <w:br w:type="textWrapping"/>
      </w:r>
      <w:bookmarkEnd w:id="116"/>
      <w:bookmarkEnd w:id="117"/>
    </w:p>
    <w:p>
      <w:pPr>
        <w:pStyle w:val="20"/>
        <w:outlineLvl w:val="1"/>
        <w:rPr>
          <w:rStyle w:val="99"/>
          <w:color w:val="auto"/>
        </w:rPr>
      </w:pPr>
      <w:bookmarkStart w:id="118" w:name="_Toc18578"/>
      <w:r>
        <w:rPr>
          <w:rFonts w:hint="eastAsia" w:asciiTheme="minorEastAsia" w:hAnsiTheme="minorEastAsia" w:eastAsiaTheme="minorEastAsia" w:cstheme="minorEastAsia"/>
          <w:b/>
          <w:color w:val="auto"/>
          <w:szCs w:val="21"/>
        </w:rPr>
        <w:t>三、评分细则</w:t>
      </w:r>
      <w:bookmarkEnd w:id="118"/>
    </w:p>
    <w:tbl>
      <w:tblPr>
        <w:tblStyle w:val="26"/>
        <w:tblW w:w="9288" w:type="dxa"/>
        <w:tblInd w:w="0"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108" w:type="dxa"/>
          <w:bottom w:w="0" w:type="dxa"/>
          <w:right w:w="108" w:type="dxa"/>
        </w:tblCellMar>
      </w:tblPr>
      <w:tblGrid>
        <w:gridCol w:w="736"/>
        <w:gridCol w:w="1376"/>
        <w:gridCol w:w="6512"/>
        <w:gridCol w:w="664"/>
      </w:tblGrid>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787" w:hRule="atLeast"/>
          <w:tblHeader/>
        </w:trPr>
        <w:tc>
          <w:tcPr>
            <w:tcW w:w="736" w:type="dxa"/>
            <w:tcBorders>
              <w:top w:val="single" w:color="auto" w:sz="12" w:space="0"/>
            </w:tcBorders>
            <w:vAlign w:val="center"/>
          </w:tcPr>
          <w:p>
            <w:pPr>
              <w:spacing w:line="360" w:lineRule="atLeast"/>
              <w:jc w:val="center"/>
              <w:rPr>
                <w:rFonts w:asciiTheme="minorEastAsia" w:hAnsiTheme="minorEastAsia" w:eastAsiaTheme="minorEastAsia" w:cstheme="minorEastAsia"/>
                <w:b/>
                <w:bCs/>
                <w:color w:val="auto"/>
                <w:spacing w:val="-6"/>
                <w:szCs w:val="21"/>
              </w:rPr>
            </w:pPr>
            <w:r>
              <w:rPr>
                <w:rFonts w:hint="eastAsia" w:asciiTheme="minorEastAsia" w:hAnsiTheme="minorEastAsia" w:eastAsiaTheme="minorEastAsia" w:cstheme="minorEastAsia"/>
                <w:b/>
                <w:bCs/>
                <w:color w:val="auto"/>
                <w:szCs w:val="21"/>
              </w:rPr>
              <w:t>类别</w:t>
            </w:r>
          </w:p>
        </w:tc>
        <w:tc>
          <w:tcPr>
            <w:tcW w:w="1376" w:type="dxa"/>
            <w:tcBorders>
              <w:top w:val="single" w:color="auto" w:sz="12" w:space="0"/>
            </w:tcBorders>
            <w:vAlign w:val="center"/>
          </w:tcPr>
          <w:p>
            <w:pPr>
              <w:spacing w:line="360" w:lineRule="atLeast"/>
              <w:jc w:val="center"/>
              <w:rPr>
                <w:rFonts w:asciiTheme="minorEastAsia" w:hAnsiTheme="minorEastAsia" w:eastAsiaTheme="minorEastAsia" w:cstheme="minorEastAsia"/>
                <w:b/>
                <w:bCs/>
                <w:color w:val="auto"/>
                <w:spacing w:val="-6"/>
                <w:szCs w:val="21"/>
              </w:rPr>
            </w:pPr>
            <w:r>
              <w:rPr>
                <w:rFonts w:hint="eastAsia" w:asciiTheme="minorEastAsia" w:hAnsiTheme="minorEastAsia" w:eastAsiaTheme="minorEastAsia" w:cstheme="minorEastAsia"/>
                <w:b/>
                <w:bCs/>
                <w:color w:val="auto"/>
                <w:szCs w:val="21"/>
              </w:rPr>
              <w:t>评审因素</w:t>
            </w:r>
          </w:p>
        </w:tc>
        <w:tc>
          <w:tcPr>
            <w:tcW w:w="6512" w:type="dxa"/>
            <w:tcBorders>
              <w:top w:val="single" w:color="auto" w:sz="12" w:space="0"/>
            </w:tcBorders>
            <w:vAlign w:val="center"/>
          </w:tcPr>
          <w:p>
            <w:pPr>
              <w:spacing w:line="360" w:lineRule="atLeast"/>
              <w:jc w:val="center"/>
              <w:rPr>
                <w:rFonts w:asciiTheme="minorEastAsia" w:hAnsiTheme="minorEastAsia" w:eastAsiaTheme="minorEastAsia" w:cstheme="minorEastAsia"/>
                <w:b/>
                <w:bCs/>
                <w:color w:val="auto"/>
                <w:spacing w:val="-6"/>
                <w:szCs w:val="21"/>
              </w:rPr>
            </w:pPr>
            <w:r>
              <w:rPr>
                <w:rFonts w:hint="eastAsia" w:asciiTheme="minorEastAsia" w:hAnsiTheme="minorEastAsia" w:eastAsiaTheme="minorEastAsia" w:cstheme="minorEastAsia"/>
                <w:b/>
                <w:bCs/>
                <w:color w:val="auto"/>
                <w:szCs w:val="21"/>
              </w:rPr>
              <w:t>评审标准</w:t>
            </w:r>
          </w:p>
        </w:tc>
        <w:tc>
          <w:tcPr>
            <w:tcW w:w="664" w:type="dxa"/>
            <w:tcBorders>
              <w:top w:val="single" w:color="auto" w:sz="12" w:space="0"/>
            </w:tcBorders>
            <w:vAlign w:val="center"/>
          </w:tcPr>
          <w:p>
            <w:pPr>
              <w:spacing w:line="360" w:lineRule="atLeast"/>
              <w:jc w:val="center"/>
              <w:rPr>
                <w:rFonts w:asciiTheme="minorEastAsia" w:hAnsiTheme="minorEastAsia" w:eastAsiaTheme="minorEastAsia" w:cstheme="minorEastAsia"/>
                <w:b/>
                <w:bCs/>
                <w:color w:val="auto"/>
                <w:szCs w:val="21"/>
              </w:rPr>
            </w:pPr>
            <w:r>
              <w:rPr>
                <w:rFonts w:hint="eastAsia" w:asciiTheme="minorEastAsia" w:hAnsiTheme="minorEastAsia" w:eastAsiaTheme="minorEastAsia" w:cstheme="minorEastAsia"/>
                <w:b/>
                <w:bCs/>
                <w:color w:val="auto"/>
                <w:szCs w:val="21"/>
              </w:rPr>
              <w:t>分值</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1118" w:hRule="atLeast"/>
        </w:trPr>
        <w:tc>
          <w:tcPr>
            <w:tcW w:w="736" w:type="dxa"/>
            <w:vAlign w:val="center"/>
          </w:tcPr>
          <w:p>
            <w:pPr>
              <w:widowControl/>
              <w:spacing w:line="260" w:lineRule="exact"/>
              <w:jc w:val="center"/>
              <w:textAlignment w:val="center"/>
              <w:rPr>
                <w:rFonts w:asciiTheme="minorEastAsia" w:hAnsiTheme="minorEastAsia" w:eastAsiaTheme="minorEastAsia" w:cstheme="minorEastAsia"/>
                <w:color w:val="auto"/>
                <w:spacing w:val="-6"/>
                <w:szCs w:val="21"/>
              </w:rPr>
            </w:pPr>
            <w:r>
              <w:rPr>
                <w:rFonts w:hint="eastAsia" w:asciiTheme="minorEastAsia" w:hAnsiTheme="minorEastAsia" w:eastAsiaTheme="minorEastAsia" w:cstheme="minorEastAsia"/>
                <w:color w:val="auto"/>
                <w:kern w:val="0"/>
                <w:szCs w:val="21"/>
                <w:lang w:bidi="ar"/>
              </w:rPr>
              <w:t>竞标报价</w:t>
            </w:r>
            <w:r>
              <w:rPr>
                <w:rFonts w:hint="eastAsia" w:asciiTheme="minorEastAsia" w:hAnsiTheme="minorEastAsia" w:eastAsiaTheme="minorEastAsia" w:cstheme="minorEastAsia"/>
                <w:color w:val="auto"/>
                <w:kern w:val="0"/>
                <w:szCs w:val="21"/>
                <w:lang w:bidi="ar"/>
              </w:rPr>
              <w:br w:type="textWrapping"/>
            </w:r>
            <w:r>
              <w:rPr>
                <w:rFonts w:hint="eastAsia" w:asciiTheme="minorEastAsia" w:hAnsiTheme="minorEastAsia" w:eastAsiaTheme="minorEastAsia" w:cstheme="minorEastAsia"/>
                <w:color w:val="auto"/>
                <w:kern w:val="0"/>
                <w:szCs w:val="21"/>
                <w:lang w:bidi="ar"/>
              </w:rPr>
              <w:t>40分</w:t>
            </w:r>
          </w:p>
        </w:tc>
        <w:tc>
          <w:tcPr>
            <w:tcW w:w="1376" w:type="dxa"/>
            <w:vAlign w:val="center"/>
          </w:tcPr>
          <w:p>
            <w:pPr>
              <w:widowControl/>
              <w:spacing w:line="260" w:lineRule="exact"/>
              <w:jc w:val="center"/>
              <w:textAlignment w:val="center"/>
              <w:rPr>
                <w:rFonts w:asciiTheme="minorEastAsia" w:hAnsiTheme="minorEastAsia" w:eastAsiaTheme="minorEastAsia" w:cstheme="minorEastAsia"/>
                <w:color w:val="auto"/>
                <w:spacing w:val="-6"/>
                <w:szCs w:val="21"/>
              </w:rPr>
            </w:pPr>
            <w:r>
              <w:rPr>
                <w:rFonts w:hint="eastAsia" w:asciiTheme="minorEastAsia" w:hAnsiTheme="minorEastAsia" w:eastAsiaTheme="minorEastAsia" w:cstheme="minorEastAsia"/>
                <w:color w:val="auto"/>
                <w:kern w:val="0"/>
                <w:szCs w:val="21"/>
                <w:lang w:bidi="ar"/>
              </w:rPr>
              <w:t>最后报价</w:t>
            </w:r>
          </w:p>
        </w:tc>
        <w:tc>
          <w:tcPr>
            <w:tcW w:w="6512" w:type="dxa"/>
            <w:vAlign w:val="center"/>
          </w:tcPr>
          <w:p>
            <w:pPr>
              <w:widowControl/>
              <w:spacing w:line="260" w:lineRule="exact"/>
              <w:jc w:val="left"/>
              <w:textAlignment w:val="center"/>
              <w:rPr>
                <w:rFonts w:asciiTheme="minorEastAsia" w:hAnsiTheme="minorEastAsia" w:eastAsiaTheme="minorEastAsia" w:cstheme="minorEastAsia"/>
                <w:color w:val="auto"/>
              </w:rPr>
            </w:pPr>
            <w:r>
              <w:rPr>
                <w:rFonts w:hint="eastAsia" w:asciiTheme="minorEastAsia" w:hAnsiTheme="minorEastAsia" w:eastAsiaTheme="minorEastAsia" w:cstheme="minorEastAsia"/>
                <w:color w:val="auto"/>
              </w:rPr>
              <w:t>（1）报价采用低价优先法计算，即满足磋商采购文件要求且报价最低的报价为磋商基准价，其报价分为满分40分；</w:t>
            </w:r>
          </w:p>
          <w:p>
            <w:pPr>
              <w:widowControl/>
              <w:spacing w:line="260" w:lineRule="exact"/>
              <w:jc w:val="left"/>
              <w:textAlignment w:val="center"/>
              <w:rPr>
                <w:rFonts w:asciiTheme="minorEastAsia" w:hAnsiTheme="minorEastAsia" w:eastAsiaTheme="minorEastAsia" w:cstheme="minorEastAsia"/>
                <w:color w:val="auto"/>
              </w:rPr>
            </w:pPr>
            <w:r>
              <w:rPr>
                <w:rFonts w:hint="eastAsia" w:asciiTheme="minorEastAsia" w:hAnsiTheme="minorEastAsia" w:eastAsiaTheme="minorEastAsia" w:cstheme="minorEastAsia"/>
                <w:color w:val="auto"/>
              </w:rPr>
              <w:t>（2）其他供应商的报价分按照下列公式计算：</w:t>
            </w:r>
          </w:p>
          <w:p>
            <w:pPr>
              <w:widowControl/>
              <w:spacing w:line="260" w:lineRule="exact"/>
              <w:jc w:val="left"/>
              <w:textAlignment w:val="center"/>
              <w:rPr>
                <w:rFonts w:asciiTheme="minorEastAsia" w:hAnsiTheme="minorEastAsia" w:eastAsiaTheme="minorEastAsia" w:cstheme="minorEastAsia"/>
                <w:color w:val="auto"/>
              </w:rPr>
            </w:pPr>
            <w:r>
              <w:rPr>
                <w:rFonts w:hint="eastAsia" w:asciiTheme="minorEastAsia" w:hAnsiTheme="minorEastAsia" w:eastAsiaTheme="minorEastAsia" w:cstheme="minorEastAsia"/>
                <w:color w:val="auto"/>
              </w:rPr>
              <w:t>报价分=（磋商基准价/磋商报价）×40</w:t>
            </w:r>
          </w:p>
          <w:p>
            <w:pPr>
              <w:widowControl/>
              <w:spacing w:line="260" w:lineRule="exact"/>
              <w:jc w:val="left"/>
              <w:textAlignment w:val="center"/>
              <w:rPr>
                <w:rFonts w:asciiTheme="minorEastAsia" w:hAnsiTheme="minorEastAsia" w:eastAsiaTheme="minorEastAsia" w:cstheme="minorEastAsia"/>
                <w:b/>
                <w:bCs/>
                <w:color w:val="auto"/>
              </w:rPr>
            </w:pPr>
            <w:r>
              <w:rPr>
                <w:rFonts w:hint="eastAsia" w:asciiTheme="minorEastAsia" w:hAnsiTheme="minorEastAsia" w:eastAsiaTheme="minorEastAsia" w:cstheme="minorEastAsia"/>
                <w:b/>
                <w:bCs/>
                <w:color w:val="auto"/>
              </w:rPr>
              <w:t>备注：1）如发现供应商的最后报价明显低于其他通过资格审查及符合性审查的供应商的最后报价，磋商小组认为有可能影响项目实施及服务质量或者不能诚信履约的，可启用澄清程序，有权要求供应商在合理的时间内出具最后报价的合理分析，供应商不能合理说明或者不能提供相关证明材料的，磋商小组可认定该供应商以低于成本报价竞标，有权将其报价作无效处理。</w:t>
            </w:r>
          </w:p>
          <w:p>
            <w:pPr>
              <w:widowControl/>
              <w:spacing w:line="260" w:lineRule="exact"/>
              <w:jc w:val="left"/>
              <w:textAlignment w:val="center"/>
              <w:rPr>
                <w:rFonts w:asciiTheme="minorEastAsia" w:hAnsiTheme="minorEastAsia" w:eastAsiaTheme="minorEastAsia" w:cstheme="minorEastAsia"/>
                <w:color w:val="auto"/>
              </w:rPr>
            </w:pPr>
            <w:r>
              <w:rPr>
                <w:rFonts w:hint="eastAsia" w:asciiTheme="minorEastAsia" w:hAnsiTheme="minorEastAsia" w:eastAsiaTheme="minorEastAsia" w:cstheme="minorEastAsia"/>
                <w:b/>
                <w:bCs/>
                <w:color w:val="auto"/>
              </w:rPr>
              <w:t>2）符合本磋商文件第四章“政策支持”条件的，在评审时予以价格扣除，用扣除后的价格参与评审。</w:t>
            </w:r>
          </w:p>
        </w:tc>
        <w:tc>
          <w:tcPr>
            <w:tcW w:w="664" w:type="dxa"/>
            <w:vAlign w:val="center"/>
          </w:tcPr>
          <w:p>
            <w:pPr>
              <w:widowControl/>
              <w:spacing w:line="260" w:lineRule="exact"/>
              <w:jc w:val="center"/>
              <w:textAlignment w:val="center"/>
              <w:rPr>
                <w:rFonts w:asciiTheme="minorEastAsia" w:hAnsiTheme="minorEastAsia" w:eastAsiaTheme="minorEastAsia" w:cstheme="minorEastAsia"/>
                <w:color w:val="auto"/>
              </w:rPr>
            </w:pPr>
            <w:r>
              <w:rPr>
                <w:rFonts w:hint="eastAsia" w:asciiTheme="minorEastAsia" w:hAnsiTheme="minorEastAsia" w:eastAsiaTheme="minorEastAsia" w:cstheme="minorEastAsia"/>
                <w:color w:val="auto"/>
                <w:kern w:val="0"/>
                <w:szCs w:val="21"/>
                <w:lang w:bidi="ar"/>
              </w:rPr>
              <w:t>40分</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807" w:hRule="atLeast"/>
        </w:trPr>
        <w:tc>
          <w:tcPr>
            <w:tcW w:w="736" w:type="dxa"/>
            <w:vMerge w:val="restart"/>
            <w:vAlign w:val="center"/>
          </w:tcPr>
          <w:p>
            <w:pPr>
              <w:jc w:val="center"/>
              <w:rPr>
                <w:rFonts w:asciiTheme="minorEastAsia" w:hAnsiTheme="minorEastAsia" w:eastAsiaTheme="minorEastAsia" w:cstheme="minorEastAsia"/>
                <w:color w:val="auto"/>
                <w:spacing w:val="-6"/>
                <w:szCs w:val="21"/>
              </w:rPr>
            </w:pPr>
            <w:r>
              <w:rPr>
                <w:rFonts w:hint="eastAsia" w:asciiTheme="minorEastAsia" w:hAnsiTheme="minorEastAsia" w:eastAsiaTheme="minorEastAsia" w:cstheme="minorEastAsia"/>
                <w:color w:val="auto"/>
                <w:spacing w:val="-6"/>
                <w:szCs w:val="21"/>
              </w:rPr>
              <w:t>商务</w:t>
            </w:r>
          </w:p>
          <w:p>
            <w:pPr>
              <w:jc w:val="center"/>
              <w:rPr>
                <w:rFonts w:asciiTheme="minorEastAsia" w:hAnsiTheme="minorEastAsia" w:eastAsiaTheme="minorEastAsia" w:cstheme="minorEastAsia"/>
                <w:color w:val="auto"/>
                <w:spacing w:val="-6"/>
                <w:szCs w:val="21"/>
              </w:rPr>
            </w:pPr>
            <w:r>
              <w:rPr>
                <w:rFonts w:hint="eastAsia" w:asciiTheme="minorEastAsia" w:hAnsiTheme="minorEastAsia" w:eastAsiaTheme="minorEastAsia" w:cstheme="minorEastAsia"/>
                <w:color w:val="auto"/>
                <w:spacing w:val="-6"/>
                <w:szCs w:val="21"/>
              </w:rPr>
              <w:t>10分</w:t>
            </w:r>
          </w:p>
        </w:tc>
        <w:tc>
          <w:tcPr>
            <w:tcW w:w="1376" w:type="dxa"/>
            <w:vAlign w:val="center"/>
          </w:tcPr>
          <w:p>
            <w:pPr>
              <w:jc w:val="center"/>
              <w:rPr>
                <w:rFonts w:asciiTheme="minorEastAsia" w:hAnsiTheme="minorEastAsia" w:eastAsiaTheme="minorEastAsia" w:cstheme="minorEastAsia"/>
                <w:color w:val="auto"/>
                <w:spacing w:val="-6"/>
                <w:kern w:val="0"/>
                <w:szCs w:val="21"/>
              </w:rPr>
            </w:pPr>
            <w:r>
              <w:rPr>
                <w:rFonts w:hint="eastAsia" w:ascii="宋体" w:hAnsi="宋体" w:cs="宋体"/>
                <w:color w:val="auto"/>
                <w:spacing w:val="-6"/>
                <w:kern w:val="0"/>
                <w:szCs w:val="21"/>
              </w:rPr>
              <w:t>体系认证</w:t>
            </w:r>
          </w:p>
        </w:tc>
        <w:tc>
          <w:tcPr>
            <w:tcW w:w="6512" w:type="dxa"/>
            <w:vAlign w:val="center"/>
          </w:tcPr>
          <w:p>
            <w:pPr>
              <w:rPr>
                <w:rFonts w:asciiTheme="minorEastAsia" w:hAnsiTheme="minorEastAsia" w:eastAsiaTheme="minorEastAsia" w:cstheme="minorEastAsia"/>
                <w:color w:val="auto"/>
                <w:spacing w:val="-6"/>
                <w:szCs w:val="21"/>
              </w:rPr>
            </w:pPr>
            <w:r>
              <w:rPr>
                <w:rFonts w:hint="eastAsia" w:ascii="宋体" w:hAnsi="宋体" w:cs="宋体"/>
                <w:color w:val="auto"/>
                <w:szCs w:val="21"/>
              </w:rPr>
              <w:t>供应商提供职业健康安全管理体系认证证书、质量管理体系认证证书、环境管理体系认证。每提供一个证书得1分，最多得3分，不提供的不得分。</w:t>
            </w:r>
          </w:p>
        </w:tc>
        <w:tc>
          <w:tcPr>
            <w:tcW w:w="664" w:type="dxa"/>
            <w:vAlign w:val="center"/>
          </w:tcPr>
          <w:p>
            <w:pPr>
              <w:widowControl/>
              <w:spacing w:line="260" w:lineRule="exact"/>
              <w:jc w:val="center"/>
              <w:textAlignment w:val="center"/>
              <w:rPr>
                <w:rFonts w:asciiTheme="minorEastAsia" w:hAnsiTheme="minorEastAsia" w:eastAsiaTheme="minorEastAsia" w:cstheme="minorEastAsia"/>
                <w:color w:val="auto"/>
                <w:kern w:val="0"/>
                <w:szCs w:val="21"/>
                <w:lang w:bidi="ar"/>
              </w:rPr>
            </w:pPr>
            <w:r>
              <w:rPr>
                <w:rFonts w:hint="eastAsia" w:asciiTheme="minorEastAsia" w:hAnsiTheme="minorEastAsia" w:eastAsiaTheme="minorEastAsia" w:cstheme="minorEastAsia"/>
                <w:color w:val="auto"/>
                <w:kern w:val="0"/>
                <w:szCs w:val="21"/>
                <w:lang w:bidi="ar"/>
              </w:rPr>
              <w:t>3分</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807" w:hRule="atLeast"/>
        </w:trPr>
        <w:tc>
          <w:tcPr>
            <w:tcW w:w="736" w:type="dxa"/>
            <w:vMerge w:val="continue"/>
            <w:vAlign w:val="center"/>
          </w:tcPr>
          <w:p>
            <w:pPr>
              <w:rPr>
                <w:rFonts w:asciiTheme="minorEastAsia" w:hAnsiTheme="minorEastAsia" w:eastAsiaTheme="minorEastAsia" w:cstheme="minorEastAsia"/>
                <w:color w:val="auto"/>
                <w:szCs w:val="21"/>
              </w:rPr>
            </w:pPr>
          </w:p>
        </w:tc>
        <w:tc>
          <w:tcPr>
            <w:tcW w:w="1376" w:type="dxa"/>
            <w:vAlign w:val="center"/>
          </w:tcPr>
          <w:p>
            <w:pPr>
              <w:jc w:val="center"/>
              <w:rPr>
                <w:rFonts w:asciiTheme="minorEastAsia" w:hAnsiTheme="minorEastAsia" w:eastAsiaTheme="minorEastAsia" w:cstheme="minorEastAsia"/>
                <w:color w:val="auto"/>
                <w:spacing w:val="-6"/>
                <w:kern w:val="0"/>
                <w:szCs w:val="21"/>
              </w:rPr>
            </w:pPr>
            <w:r>
              <w:rPr>
                <w:rFonts w:hint="eastAsia" w:ascii="宋体" w:hAnsi="宋体" w:cs="宋体"/>
                <w:color w:val="auto"/>
                <w:spacing w:val="-6"/>
                <w:kern w:val="0"/>
                <w:szCs w:val="21"/>
              </w:rPr>
              <w:t>类似业绩</w:t>
            </w:r>
          </w:p>
        </w:tc>
        <w:tc>
          <w:tcPr>
            <w:tcW w:w="6512" w:type="dxa"/>
            <w:vAlign w:val="center"/>
          </w:tcPr>
          <w:p>
            <w:pPr>
              <w:rPr>
                <w:rFonts w:asciiTheme="minorEastAsia" w:hAnsiTheme="minorEastAsia" w:eastAsiaTheme="minorEastAsia" w:cstheme="minorEastAsia"/>
                <w:color w:val="auto"/>
                <w:spacing w:val="-6"/>
                <w:kern w:val="0"/>
                <w:szCs w:val="21"/>
              </w:rPr>
            </w:pPr>
            <w:r>
              <w:rPr>
                <w:rFonts w:hint="eastAsia" w:ascii="宋体" w:hAnsi="宋体" w:cs="宋体"/>
                <w:color w:val="auto"/>
                <w:szCs w:val="21"/>
              </w:rPr>
              <w:t>近三年（磋商截止时间往前推算36个月）具有类似采购业绩的，每个得1分，最多得4分；（需提供成交通知书或合同真彩扫描件）</w:t>
            </w:r>
          </w:p>
        </w:tc>
        <w:tc>
          <w:tcPr>
            <w:tcW w:w="664" w:type="dxa"/>
            <w:vAlign w:val="center"/>
          </w:tcPr>
          <w:p>
            <w:pPr>
              <w:widowControl/>
              <w:spacing w:line="260" w:lineRule="exact"/>
              <w:jc w:val="center"/>
              <w:textAlignment w:val="center"/>
              <w:rPr>
                <w:rFonts w:asciiTheme="minorEastAsia" w:hAnsiTheme="minorEastAsia" w:eastAsiaTheme="minorEastAsia" w:cstheme="minorEastAsia"/>
                <w:color w:val="auto"/>
                <w:kern w:val="0"/>
                <w:szCs w:val="21"/>
                <w:lang w:bidi="ar"/>
              </w:rPr>
            </w:pPr>
            <w:r>
              <w:rPr>
                <w:rFonts w:hint="eastAsia" w:asciiTheme="minorEastAsia" w:hAnsiTheme="minorEastAsia" w:eastAsiaTheme="minorEastAsia" w:cstheme="minorEastAsia"/>
                <w:color w:val="auto"/>
                <w:kern w:val="0"/>
                <w:szCs w:val="21"/>
                <w:lang w:bidi="ar"/>
              </w:rPr>
              <w:t>4分</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807" w:hRule="atLeast"/>
        </w:trPr>
        <w:tc>
          <w:tcPr>
            <w:tcW w:w="736" w:type="dxa"/>
            <w:vMerge w:val="continue"/>
            <w:vAlign w:val="center"/>
          </w:tcPr>
          <w:p>
            <w:pPr>
              <w:rPr>
                <w:rFonts w:asciiTheme="minorEastAsia" w:hAnsiTheme="minorEastAsia" w:eastAsiaTheme="minorEastAsia" w:cstheme="minorEastAsia"/>
                <w:color w:val="auto"/>
                <w:szCs w:val="21"/>
              </w:rPr>
            </w:pPr>
          </w:p>
        </w:tc>
        <w:tc>
          <w:tcPr>
            <w:tcW w:w="1376" w:type="dxa"/>
            <w:vAlign w:val="center"/>
          </w:tcPr>
          <w:p>
            <w:pPr>
              <w:jc w:val="center"/>
              <w:rPr>
                <w:rFonts w:asciiTheme="minorEastAsia" w:hAnsiTheme="minorEastAsia" w:eastAsiaTheme="minorEastAsia" w:cstheme="minorEastAsia"/>
                <w:color w:val="auto"/>
                <w:spacing w:val="-6"/>
                <w:szCs w:val="21"/>
              </w:rPr>
            </w:pPr>
            <w:r>
              <w:rPr>
                <w:rFonts w:hint="eastAsia" w:ascii="宋体" w:hAnsi="宋体" w:cs="宋体"/>
                <w:color w:val="auto"/>
                <w:szCs w:val="21"/>
                <w:lang w:val="zh-CN"/>
              </w:rPr>
              <w:t>用户反馈</w:t>
            </w:r>
          </w:p>
        </w:tc>
        <w:tc>
          <w:tcPr>
            <w:tcW w:w="6512" w:type="dxa"/>
            <w:vAlign w:val="center"/>
          </w:tcPr>
          <w:p>
            <w:pPr>
              <w:rPr>
                <w:rFonts w:asciiTheme="minorEastAsia" w:hAnsiTheme="minorEastAsia" w:eastAsiaTheme="minorEastAsia" w:cstheme="minorEastAsia"/>
                <w:color w:val="auto"/>
                <w:spacing w:val="-6"/>
                <w:szCs w:val="21"/>
              </w:rPr>
            </w:pPr>
            <w:r>
              <w:rPr>
                <w:rFonts w:hint="eastAsia" w:ascii="宋体" w:hAnsi="宋体" w:cs="宋体"/>
                <w:color w:val="auto"/>
                <w:szCs w:val="21"/>
              </w:rPr>
              <w:t>供应商</w:t>
            </w:r>
            <w:r>
              <w:rPr>
                <w:rFonts w:hint="eastAsia" w:ascii="宋体" w:hAnsi="宋体" w:cs="宋体"/>
                <w:color w:val="auto"/>
                <w:szCs w:val="21"/>
                <w:lang w:val="zh-CN"/>
              </w:rPr>
              <w:t>提供近三年（磋商截止时间往前推算36个月）用户出具的满意评价证明（盖用户单位公章），每提供一个得</w:t>
            </w:r>
            <w:r>
              <w:rPr>
                <w:rFonts w:hint="eastAsia" w:ascii="宋体" w:hAnsi="宋体" w:cs="宋体"/>
                <w:color w:val="auto"/>
                <w:szCs w:val="21"/>
              </w:rPr>
              <w:t>1</w:t>
            </w:r>
            <w:r>
              <w:rPr>
                <w:rFonts w:hint="eastAsia" w:ascii="宋体" w:hAnsi="宋体" w:cs="宋体"/>
                <w:color w:val="auto"/>
                <w:szCs w:val="21"/>
                <w:lang w:val="zh-CN"/>
              </w:rPr>
              <w:t>分，最高得</w:t>
            </w:r>
            <w:r>
              <w:rPr>
                <w:rFonts w:hint="eastAsia" w:ascii="宋体" w:hAnsi="宋体" w:cs="宋体"/>
                <w:color w:val="auto"/>
                <w:szCs w:val="21"/>
              </w:rPr>
              <w:t>3</w:t>
            </w:r>
            <w:r>
              <w:rPr>
                <w:rFonts w:hint="eastAsia" w:ascii="宋体" w:hAnsi="宋体" w:cs="宋体"/>
                <w:color w:val="auto"/>
                <w:szCs w:val="21"/>
                <w:lang w:val="zh-CN"/>
              </w:rPr>
              <w:t>分。（需提供不同单位出具加盖公章的满意评价证明）</w:t>
            </w:r>
          </w:p>
        </w:tc>
        <w:tc>
          <w:tcPr>
            <w:tcW w:w="664" w:type="dxa"/>
            <w:vAlign w:val="center"/>
          </w:tcPr>
          <w:p>
            <w:pPr>
              <w:widowControl/>
              <w:spacing w:line="260" w:lineRule="exact"/>
              <w:jc w:val="center"/>
              <w:textAlignment w:val="center"/>
              <w:rPr>
                <w:rFonts w:asciiTheme="minorEastAsia" w:hAnsiTheme="minorEastAsia" w:eastAsiaTheme="minorEastAsia" w:cstheme="minorEastAsia"/>
                <w:color w:val="auto"/>
                <w:kern w:val="0"/>
                <w:szCs w:val="21"/>
                <w:lang w:bidi="ar"/>
              </w:rPr>
            </w:pPr>
            <w:r>
              <w:rPr>
                <w:rFonts w:hint="eastAsia" w:asciiTheme="minorEastAsia" w:hAnsiTheme="minorEastAsia" w:eastAsiaTheme="minorEastAsia" w:cstheme="minorEastAsia"/>
                <w:color w:val="auto"/>
                <w:kern w:val="0"/>
                <w:szCs w:val="21"/>
                <w:lang w:bidi="ar"/>
              </w:rPr>
              <w:t>3分</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807" w:hRule="atLeast"/>
        </w:trPr>
        <w:tc>
          <w:tcPr>
            <w:tcW w:w="736" w:type="dxa"/>
            <w:vMerge w:val="restart"/>
            <w:vAlign w:val="center"/>
          </w:tcPr>
          <w:p>
            <w:pPr>
              <w:jc w:val="center"/>
              <w:rPr>
                <w:rFonts w:asciiTheme="minorEastAsia" w:hAnsiTheme="minorEastAsia" w:eastAsiaTheme="minorEastAsia" w:cstheme="minorEastAsia"/>
                <w:color w:val="auto"/>
                <w:spacing w:val="-6"/>
                <w:szCs w:val="21"/>
              </w:rPr>
            </w:pPr>
            <w:r>
              <w:rPr>
                <w:rFonts w:hint="eastAsia" w:asciiTheme="minorEastAsia" w:hAnsiTheme="minorEastAsia" w:eastAsiaTheme="minorEastAsia" w:cstheme="minorEastAsia"/>
                <w:color w:val="auto"/>
                <w:spacing w:val="-6"/>
                <w:szCs w:val="21"/>
              </w:rPr>
              <w:t>技术服务</w:t>
            </w:r>
          </w:p>
          <w:p>
            <w:pPr>
              <w:jc w:val="center"/>
              <w:rPr>
                <w:rFonts w:asciiTheme="minorEastAsia" w:hAnsiTheme="minorEastAsia" w:eastAsiaTheme="minorEastAsia" w:cstheme="minorEastAsia"/>
                <w:color w:val="auto"/>
                <w:spacing w:val="-6"/>
                <w:szCs w:val="21"/>
              </w:rPr>
            </w:pPr>
            <w:r>
              <w:rPr>
                <w:rFonts w:hint="eastAsia" w:asciiTheme="minorEastAsia" w:hAnsiTheme="minorEastAsia" w:eastAsiaTheme="minorEastAsia" w:cstheme="minorEastAsia"/>
                <w:color w:val="auto"/>
                <w:spacing w:val="-6"/>
                <w:szCs w:val="21"/>
              </w:rPr>
              <w:t>50分</w:t>
            </w:r>
          </w:p>
        </w:tc>
        <w:tc>
          <w:tcPr>
            <w:tcW w:w="1376" w:type="dxa"/>
            <w:vAlign w:val="center"/>
          </w:tcPr>
          <w:p>
            <w:pPr>
              <w:jc w:val="center"/>
              <w:rPr>
                <w:rFonts w:asciiTheme="minorEastAsia" w:hAnsiTheme="minorEastAsia" w:eastAsiaTheme="minorEastAsia" w:cstheme="minorEastAsia"/>
                <w:color w:val="auto"/>
                <w:spacing w:val="-6"/>
                <w:szCs w:val="21"/>
              </w:rPr>
            </w:pPr>
            <w:r>
              <w:rPr>
                <w:rFonts w:hint="eastAsia" w:ascii="宋体" w:hAnsi="宋体" w:cs="宋体"/>
                <w:color w:val="auto"/>
                <w:szCs w:val="21"/>
              </w:rPr>
              <w:t>设备技术响应</w:t>
            </w:r>
          </w:p>
        </w:tc>
        <w:tc>
          <w:tcPr>
            <w:tcW w:w="6512" w:type="dxa"/>
            <w:vAlign w:val="center"/>
          </w:tcPr>
          <w:p>
            <w:pPr>
              <w:rPr>
                <w:rFonts w:asciiTheme="minorEastAsia" w:hAnsiTheme="minorEastAsia" w:cstheme="minorEastAsia"/>
                <w:color w:val="auto"/>
                <w:spacing w:val="-6"/>
                <w:szCs w:val="21"/>
              </w:rPr>
            </w:pPr>
            <w:r>
              <w:rPr>
                <w:rFonts w:hint="eastAsia" w:ascii="宋体" w:hAnsi="宋体" w:cs="宋体"/>
                <w:color w:val="auto"/>
                <w:szCs w:val="21"/>
              </w:rPr>
              <w:t>设备技术性能及参数完全满足招标要求的得</w:t>
            </w:r>
            <w:r>
              <w:rPr>
                <w:rFonts w:hint="eastAsia" w:ascii="宋体" w:hAnsi="宋体" w:cs="宋体"/>
                <w:color w:val="auto"/>
                <w:szCs w:val="21"/>
                <w:lang w:val="en-US" w:eastAsia="zh-CN"/>
              </w:rPr>
              <w:t>30</w:t>
            </w:r>
            <w:r>
              <w:rPr>
                <w:rFonts w:hint="eastAsia" w:ascii="宋体" w:hAnsi="宋体" w:cs="宋体"/>
                <w:color w:val="auto"/>
                <w:szCs w:val="21"/>
              </w:rPr>
              <w:t>分，具体由磋商小组根据供应商的响应文，件中产品情况、《技术响应、偏离说明表》等有关资料打分。其中：完全满足招标技术参数要求的得30分；在此基础上，标注 “※”的内容为重要条款，一项不满足扣2分；未标注“※”的内容有一项不符合的则每项扣1分；扣完为止。</w:t>
            </w:r>
            <w:r>
              <w:rPr>
                <w:rFonts w:hint="eastAsia" w:ascii="宋体" w:hAnsi="宋体" w:cs="宋体"/>
                <w:b/>
                <w:bCs/>
                <w:color w:val="auto"/>
                <w:szCs w:val="21"/>
              </w:rPr>
              <w:br w:type="textWrapping"/>
            </w:r>
            <w:r>
              <w:rPr>
                <w:rFonts w:hint="eastAsia" w:ascii="宋体" w:hAnsi="宋体" w:cs="宋体"/>
                <w:b/>
                <w:bCs/>
                <w:color w:val="auto"/>
                <w:szCs w:val="21"/>
              </w:rPr>
              <w:t>备注：标注“</w:t>
            </w:r>
            <w:r>
              <w:rPr>
                <w:rFonts w:hint="eastAsia" w:ascii="宋体" w:hAnsi="宋体" w:cs="宋体"/>
                <w:bCs/>
                <w:color w:val="auto"/>
                <w:szCs w:val="21"/>
              </w:rPr>
              <w:t>※</w:t>
            </w:r>
            <w:r>
              <w:rPr>
                <w:rFonts w:hint="eastAsia" w:ascii="宋体" w:hAnsi="宋体" w:cs="宋体"/>
                <w:b/>
                <w:bCs/>
                <w:color w:val="auto"/>
                <w:szCs w:val="21"/>
              </w:rPr>
              <w:t>”的重要条款需要供应商根据实际应标情况逐条响应，完全复制粘贴磋商文件技术要求的将可能按负偏离处理。</w:t>
            </w:r>
          </w:p>
        </w:tc>
        <w:tc>
          <w:tcPr>
            <w:tcW w:w="664" w:type="dxa"/>
            <w:vAlign w:val="center"/>
          </w:tcPr>
          <w:p>
            <w:pPr>
              <w:ind w:left="-4" w:leftChars="-2" w:firstLine="1" w:firstLineChars="1"/>
              <w:rPr>
                <w:rFonts w:asciiTheme="minorEastAsia" w:hAnsiTheme="minorEastAsia" w:eastAsiaTheme="minorEastAsia" w:cstheme="minorEastAsia"/>
                <w:color w:val="auto"/>
                <w:spacing w:val="-6"/>
                <w:szCs w:val="21"/>
              </w:rPr>
            </w:pPr>
            <w:r>
              <w:rPr>
                <w:rFonts w:hint="eastAsia" w:asciiTheme="minorEastAsia" w:hAnsiTheme="minorEastAsia" w:eastAsiaTheme="minorEastAsia" w:cstheme="minorEastAsia"/>
                <w:color w:val="auto"/>
                <w:spacing w:val="-6"/>
                <w:szCs w:val="21"/>
              </w:rPr>
              <w:t>30分</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805" w:hRule="atLeast"/>
        </w:trPr>
        <w:tc>
          <w:tcPr>
            <w:tcW w:w="736" w:type="dxa"/>
            <w:vMerge w:val="continue"/>
            <w:vAlign w:val="center"/>
          </w:tcPr>
          <w:p>
            <w:pPr>
              <w:jc w:val="center"/>
              <w:rPr>
                <w:rFonts w:asciiTheme="minorEastAsia" w:hAnsiTheme="minorEastAsia" w:eastAsiaTheme="minorEastAsia" w:cstheme="minorEastAsia"/>
                <w:color w:val="auto"/>
                <w:spacing w:val="-6"/>
                <w:szCs w:val="21"/>
              </w:rPr>
            </w:pPr>
          </w:p>
        </w:tc>
        <w:tc>
          <w:tcPr>
            <w:tcW w:w="1376" w:type="dxa"/>
            <w:vAlign w:val="center"/>
          </w:tcPr>
          <w:p>
            <w:pPr>
              <w:jc w:val="center"/>
              <w:rPr>
                <w:rFonts w:ascii="宋体" w:hAnsi="宋体" w:cs="宋体"/>
                <w:color w:val="auto"/>
                <w:szCs w:val="21"/>
              </w:rPr>
            </w:pPr>
            <w:r>
              <w:rPr>
                <w:rFonts w:hint="eastAsia" w:ascii="宋体" w:hAnsi="宋体" w:cs="宋体"/>
                <w:color w:val="auto"/>
                <w:szCs w:val="21"/>
              </w:rPr>
              <w:t>售后服务方案</w:t>
            </w:r>
          </w:p>
        </w:tc>
        <w:tc>
          <w:tcPr>
            <w:tcW w:w="6512" w:type="dxa"/>
            <w:vAlign w:val="center"/>
          </w:tcPr>
          <w:p>
            <w:pPr>
              <w:rPr>
                <w:rFonts w:ascii="宋体" w:hAnsi="宋体" w:cs="宋体"/>
                <w:color w:val="auto"/>
                <w:szCs w:val="21"/>
              </w:rPr>
            </w:pPr>
            <w:r>
              <w:rPr>
                <w:rFonts w:hint="eastAsia" w:ascii="宋体" w:hAnsi="宋体" w:cs="宋体"/>
                <w:color w:val="auto"/>
                <w:szCs w:val="21"/>
              </w:rPr>
              <w:t>根据供应商提供的售后服务方案（包含：</w:t>
            </w:r>
            <w:r>
              <w:rPr>
                <w:rFonts w:hint="eastAsia" w:asciiTheme="minorEastAsia" w:hAnsiTheme="minorEastAsia" w:eastAsiaTheme="minorEastAsia" w:cstheme="minorEastAsia"/>
                <w:color w:val="auto"/>
                <w:szCs w:val="21"/>
              </w:rPr>
              <w:t>人员配置、</w:t>
            </w:r>
            <w:r>
              <w:rPr>
                <w:rFonts w:hint="eastAsia" w:ascii="宋体" w:hAnsi="宋体" w:cs="宋体"/>
                <w:color w:val="auto"/>
                <w:szCs w:val="21"/>
              </w:rPr>
              <w:t>售后服务计划、服务内容、售后程序、及时响应、三包服务及其他合理的售后服务承诺及处罚和质保期满后的服务等）：</w:t>
            </w:r>
          </w:p>
          <w:p>
            <w:pPr>
              <w:rPr>
                <w:rFonts w:ascii="宋体" w:hAnsi="宋体" w:cs="宋体"/>
                <w:color w:val="auto"/>
                <w:szCs w:val="21"/>
              </w:rPr>
            </w:pPr>
            <w:r>
              <w:rPr>
                <w:rFonts w:hint="eastAsia" w:ascii="宋体" w:hAnsi="宋体" w:cs="宋体"/>
                <w:color w:val="auto"/>
                <w:szCs w:val="21"/>
              </w:rPr>
              <w:t>方案详细完整、合理，服务能力强，得5分；</w:t>
            </w:r>
          </w:p>
          <w:p>
            <w:pPr>
              <w:rPr>
                <w:rFonts w:ascii="宋体" w:hAnsi="宋体" w:cs="宋体"/>
                <w:color w:val="auto"/>
                <w:szCs w:val="21"/>
              </w:rPr>
            </w:pPr>
            <w:r>
              <w:rPr>
                <w:rFonts w:hint="eastAsia" w:ascii="宋体" w:hAnsi="宋体" w:cs="宋体"/>
                <w:color w:val="auto"/>
                <w:szCs w:val="21"/>
              </w:rPr>
              <w:t>方案完整、合理，有服务能力，得3分；</w:t>
            </w:r>
          </w:p>
          <w:p>
            <w:pPr>
              <w:rPr>
                <w:rFonts w:ascii="宋体" w:hAnsi="宋体" w:cs="宋体"/>
                <w:color w:val="auto"/>
                <w:szCs w:val="21"/>
              </w:rPr>
            </w:pPr>
            <w:r>
              <w:rPr>
                <w:rFonts w:hint="eastAsia" w:ascii="宋体" w:hAnsi="宋体" w:cs="宋体"/>
                <w:color w:val="auto"/>
                <w:szCs w:val="21"/>
              </w:rPr>
              <w:t>方案基本可行的，得1分；</w:t>
            </w:r>
          </w:p>
          <w:p>
            <w:pPr>
              <w:rPr>
                <w:rFonts w:ascii="宋体" w:hAnsi="宋体" w:cs="宋体"/>
                <w:color w:val="auto"/>
                <w:szCs w:val="21"/>
              </w:rPr>
            </w:pPr>
            <w:r>
              <w:rPr>
                <w:rFonts w:hint="eastAsia" w:ascii="宋体" w:hAnsi="宋体" w:cs="宋体"/>
                <w:color w:val="auto"/>
                <w:szCs w:val="21"/>
              </w:rPr>
              <w:t>不提供或不可行的，得0分。</w:t>
            </w:r>
          </w:p>
        </w:tc>
        <w:tc>
          <w:tcPr>
            <w:tcW w:w="664" w:type="dxa"/>
            <w:vAlign w:val="center"/>
          </w:tcPr>
          <w:p>
            <w:pPr>
              <w:ind w:left="-4" w:leftChars="-2" w:firstLine="2" w:firstLineChars="1"/>
              <w:jc w:val="center"/>
              <w:rPr>
                <w:rFonts w:asciiTheme="minorEastAsia" w:hAnsiTheme="minorEastAsia" w:eastAsiaTheme="minorEastAsia" w:cstheme="minorEastAsia"/>
                <w:color w:val="auto"/>
                <w:spacing w:val="-6"/>
                <w:kern w:val="0"/>
                <w:szCs w:val="21"/>
              </w:rPr>
            </w:pPr>
            <w:r>
              <w:rPr>
                <w:rFonts w:hint="eastAsia" w:asciiTheme="minorEastAsia" w:hAnsiTheme="minorEastAsia" w:eastAsiaTheme="minorEastAsia" w:cstheme="minorEastAsia"/>
                <w:color w:val="auto"/>
                <w:szCs w:val="21"/>
              </w:rPr>
              <w:t>5分</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315" w:hRule="atLeast"/>
        </w:trPr>
        <w:tc>
          <w:tcPr>
            <w:tcW w:w="736" w:type="dxa"/>
            <w:vMerge w:val="continue"/>
            <w:vAlign w:val="center"/>
          </w:tcPr>
          <w:p>
            <w:pPr>
              <w:jc w:val="center"/>
              <w:rPr>
                <w:rFonts w:asciiTheme="minorEastAsia" w:hAnsiTheme="minorEastAsia" w:eastAsiaTheme="minorEastAsia" w:cstheme="minorEastAsia"/>
                <w:color w:val="auto"/>
                <w:spacing w:val="-6"/>
                <w:szCs w:val="21"/>
              </w:rPr>
            </w:pPr>
          </w:p>
        </w:tc>
        <w:tc>
          <w:tcPr>
            <w:tcW w:w="1376" w:type="dxa"/>
            <w:vAlign w:val="center"/>
          </w:tcPr>
          <w:p>
            <w:pPr>
              <w:ind w:left="-4" w:leftChars="-2" w:firstLine="2" w:firstLineChars="1"/>
              <w:jc w:val="center"/>
              <w:rPr>
                <w:rFonts w:ascii="宋体" w:hAnsi="宋体" w:cs="宋体"/>
                <w:color w:val="auto"/>
                <w:szCs w:val="21"/>
              </w:rPr>
            </w:pPr>
            <w:r>
              <w:rPr>
                <w:rFonts w:hint="eastAsia" w:ascii="宋体" w:hAnsi="宋体" w:cs="宋体"/>
                <w:color w:val="auto"/>
                <w:szCs w:val="21"/>
              </w:rPr>
              <w:t>安装调试及验收</w:t>
            </w:r>
          </w:p>
        </w:tc>
        <w:tc>
          <w:tcPr>
            <w:tcW w:w="6512" w:type="dxa"/>
            <w:vAlign w:val="center"/>
          </w:tcPr>
          <w:p>
            <w:pPr>
              <w:ind w:left="-4" w:leftChars="-2" w:firstLine="2" w:firstLineChars="1"/>
              <w:rPr>
                <w:rFonts w:ascii="宋体" w:hAnsi="宋体" w:cs="宋体"/>
                <w:color w:val="auto"/>
                <w:szCs w:val="21"/>
              </w:rPr>
            </w:pPr>
            <w:r>
              <w:rPr>
                <w:rFonts w:hint="eastAsia" w:ascii="宋体" w:hAnsi="宋体" w:cs="宋体"/>
                <w:color w:val="auto"/>
                <w:szCs w:val="21"/>
              </w:rPr>
              <w:t>根据供应商提供的安装</w:t>
            </w:r>
            <w:r>
              <w:rPr>
                <w:rFonts w:hint="eastAsia" w:ascii="宋体" w:hAnsi="宋体" w:cs="宋体"/>
                <w:color w:val="auto"/>
                <w:szCs w:val="21"/>
                <w:highlight w:val="none"/>
              </w:rPr>
              <w:t>及验收方案</w:t>
            </w:r>
            <w:r>
              <w:rPr>
                <w:rFonts w:hint="eastAsia" w:ascii="宋体" w:hAnsi="宋体" w:cs="宋体"/>
                <w:color w:val="auto"/>
                <w:szCs w:val="21"/>
                <w:highlight w:val="none"/>
                <w:lang w:eastAsia="zh-CN"/>
              </w:rPr>
              <w:t>（包含但不限于以下内容：安装进度、验收计划等）</w:t>
            </w:r>
            <w:r>
              <w:rPr>
                <w:rFonts w:hint="eastAsia" w:ascii="宋体" w:hAnsi="宋体" w:cs="宋体"/>
                <w:color w:val="auto"/>
                <w:szCs w:val="21"/>
                <w:highlight w:val="none"/>
              </w:rPr>
              <w:t>的合理性及完整</w:t>
            </w:r>
            <w:r>
              <w:rPr>
                <w:rFonts w:hint="eastAsia" w:ascii="宋体" w:hAnsi="宋体" w:cs="宋体"/>
                <w:color w:val="auto"/>
                <w:szCs w:val="21"/>
              </w:rPr>
              <w:t>性进行评分：</w:t>
            </w:r>
          </w:p>
          <w:p>
            <w:pPr>
              <w:rPr>
                <w:rFonts w:ascii="宋体" w:hAnsi="宋体" w:cs="宋体"/>
                <w:color w:val="auto"/>
                <w:szCs w:val="21"/>
              </w:rPr>
            </w:pPr>
            <w:r>
              <w:rPr>
                <w:rFonts w:hint="eastAsia" w:ascii="宋体" w:hAnsi="宋体" w:cs="宋体"/>
                <w:color w:val="auto"/>
                <w:szCs w:val="21"/>
              </w:rPr>
              <w:t>方案全面详细、科学合理、可行，针对过程中关键点、难点描述详细且有保障的，得5分；</w:t>
            </w:r>
          </w:p>
          <w:p>
            <w:pPr>
              <w:rPr>
                <w:rFonts w:ascii="宋体" w:hAnsi="宋体" w:cs="宋体"/>
                <w:color w:val="auto"/>
                <w:szCs w:val="21"/>
              </w:rPr>
            </w:pPr>
            <w:r>
              <w:rPr>
                <w:rFonts w:hint="eastAsia" w:ascii="宋体" w:hAnsi="宋体" w:cs="宋体"/>
                <w:color w:val="auto"/>
                <w:szCs w:val="21"/>
              </w:rPr>
              <w:t>方案全面详细、合理、可行，针对过程中关键点、难点描述详细且有保障的，得3分；</w:t>
            </w:r>
          </w:p>
          <w:p>
            <w:pPr>
              <w:rPr>
                <w:rFonts w:ascii="宋体" w:hAnsi="宋体" w:cs="宋体"/>
                <w:color w:val="auto"/>
                <w:szCs w:val="21"/>
              </w:rPr>
            </w:pPr>
            <w:r>
              <w:rPr>
                <w:rFonts w:hint="eastAsia" w:ascii="宋体" w:hAnsi="宋体" w:cs="宋体"/>
                <w:color w:val="auto"/>
                <w:szCs w:val="21"/>
              </w:rPr>
              <w:t>方案基本详细、可行，针对过程中关键点、难点描述基本详细且有保障的，得1分；</w:t>
            </w:r>
          </w:p>
          <w:p>
            <w:pPr>
              <w:ind w:left="-4" w:leftChars="-2" w:firstLine="2" w:firstLineChars="1"/>
              <w:rPr>
                <w:rFonts w:ascii="宋体" w:hAnsi="宋体" w:cs="宋体"/>
                <w:color w:val="auto"/>
                <w:szCs w:val="21"/>
              </w:rPr>
            </w:pPr>
            <w:r>
              <w:rPr>
                <w:rFonts w:hint="eastAsia" w:ascii="宋体" w:hAnsi="宋体" w:cs="宋体"/>
                <w:color w:val="auto"/>
                <w:szCs w:val="21"/>
              </w:rPr>
              <w:t>未提供、不可行的，的0分。</w:t>
            </w:r>
          </w:p>
        </w:tc>
        <w:tc>
          <w:tcPr>
            <w:tcW w:w="664" w:type="dxa"/>
            <w:vAlign w:val="center"/>
          </w:tcPr>
          <w:p>
            <w:pPr>
              <w:ind w:left="-4" w:leftChars="-2" w:firstLine="2" w:firstLineChars="1"/>
              <w:jc w:val="center"/>
              <w:rPr>
                <w:rFonts w:asciiTheme="minorEastAsia" w:hAnsiTheme="minorEastAsia" w:eastAsiaTheme="minorEastAsia" w:cstheme="minorEastAsia"/>
                <w:color w:val="auto"/>
                <w:spacing w:val="-6"/>
                <w:kern w:val="0"/>
                <w:szCs w:val="21"/>
              </w:rPr>
            </w:pPr>
            <w:r>
              <w:rPr>
                <w:rFonts w:hint="eastAsia" w:asciiTheme="minorEastAsia" w:hAnsiTheme="minorEastAsia" w:eastAsiaTheme="minorEastAsia" w:cstheme="minorEastAsia"/>
                <w:color w:val="auto"/>
                <w:szCs w:val="21"/>
              </w:rPr>
              <w:t>5分</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805" w:hRule="atLeast"/>
        </w:trPr>
        <w:tc>
          <w:tcPr>
            <w:tcW w:w="736" w:type="dxa"/>
            <w:vMerge w:val="continue"/>
            <w:vAlign w:val="center"/>
          </w:tcPr>
          <w:p>
            <w:pPr>
              <w:jc w:val="center"/>
              <w:rPr>
                <w:rFonts w:asciiTheme="minorEastAsia" w:hAnsiTheme="minorEastAsia" w:eastAsiaTheme="minorEastAsia" w:cstheme="minorEastAsia"/>
                <w:color w:val="auto"/>
                <w:spacing w:val="-6"/>
                <w:szCs w:val="21"/>
              </w:rPr>
            </w:pPr>
          </w:p>
        </w:tc>
        <w:tc>
          <w:tcPr>
            <w:tcW w:w="1376" w:type="dxa"/>
            <w:vAlign w:val="center"/>
          </w:tcPr>
          <w:p>
            <w:pPr>
              <w:ind w:left="-4" w:leftChars="-2" w:firstLine="2" w:firstLineChars="1"/>
              <w:jc w:val="center"/>
              <w:rPr>
                <w:rFonts w:ascii="宋体" w:hAnsi="宋体" w:cs="宋体"/>
                <w:color w:val="auto"/>
                <w:szCs w:val="21"/>
              </w:rPr>
            </w:pPr>
            <w:r>
              <w:rPr>
                <w:rFonts w:hint="eastAsia" w:ascii="宋体" w:hAnsi="宋体" w:cs="宋体"/>
                <w:color w:val="auto"/>
                <w:szCs w:val="21"/>
              </w:rPr>
              <w:t>技术培训</w:t>
            </w:r>
          </w:p>
        </w:tc>
        <w:tc>
          <w:tcPr>
            <w:tcW w:w="6512" w:type="dxa"/>
            <w:vAlign w:val="center"/>
          </w:tcPr>
          <w:p>
            <w:pPr>
              <w:ind w:left="-4" w:leftChars="-2" w:firstLine="2" w:firstLineChars="1"/>
              <w:rPr>
                <w:rFonts w:ascii="宋体" w:hAnsi="宋体" w:cs="宋体"/>
                <w:color w:val="auto"/>
                <w:szCs w:val="21"/>
              </w:rPr>
            </w:pPr>
            <w:r>
              <w:rPr>
                <w:rFonts w:hint="eastAsia" w:ascii="宋体" w:hAnsi="宋体" w:cs="宋体"/>
                <w:color w:val="auto"/>
                <w:szCs w:val="21"/>
              </w:rPr>
              <w:t>根据供应商提供的技术培训方案</w:t>
            </w:r>
            <w:r>
              <w:rPr>
                <w:rFonts w:hint="eastAsia" w:ascii="宋体" w:hAnsi="宋体" w:cs="宋体"/>
                <w:color w:val="auto"/>
                <w:szCs w:val="21"/>
                <w:highlight w:val="none"/>
                <w:lang w:eastAsia="zh-CN"/>
              </w:rPr>
              <w:t>（包含但不限于以下内容：培训内容、培训进度、培训人员安排等）</w:t>
            </w:r>
            <w:r>
              <w:rPr>
                <w:rFonts w:hint="eastAsia" w:ascii="宋体" w:hAnsi="宋体" w:cs="宋体"/>
                <w:color w:val="auto"/>
                <w:szCs w:val="21"/>
              </w:rPr>
              <w:t>进行综合评分：</w:t>
            </w:r>
          </w:p>
          <w:p>
            <w:pPr>
              <w:rPr>
                <w:rFonts w:ascii="宋体" w:hAnsi="宋体" w:cs="宋体"/>
                <w:color w:val="auto"/>
                <w:szCs w:val="21"/>
              </w:rPr>
            </w:pPr>
            <w:r>
              <w:rPr>
                <w:rFonts w:hint="eastAsia" w:ascii="宋体" w:hAnsi="宋体" w:cs="宋体"/>
                <w:color w:val="auto"/>
                <w:szCs w:val="21"/>
              </w:rPr>
              <w:t>方案全面详细、科学合理、有针对性，且有保障的，得5分；</w:t>
            </w:r>
          </w:p>
          <w:p>
            <w:pPr>
              <w:rPr>
                <w:rFonts w:ascii="宋体" w:hAnsi="宋体" w:cs="宋体"/>
                <w:color w:val="auto"/>
                <w:szCs w:val="21"/>
              </w:rPr>
            </w:pPr>
            <w:r>
              <w:rPr>
                <w:rFonts w:hint="eastAsia" w:ascii="宋体" w:hAnsi="宋体" w:cs="宋体"/>
                <w:color w:val="auto"/>
                <w:szCs w:val="21"/>
              </w:rPr>
              <w:t>方案全面详细、合理、可行，且有保障的，得3分；</w:t>
            </w:r>
          </w:p>
          <w:p>
            <w:pPr>
              <w:rPr>
                <w:rFonts w:ascii="宋体" w:hAnsi="宋体" w:cs="宋体"/>
                <w:color w:val="auto"/>
                <w:szCs w:val="21"/>
              </w:rPr>
            </w:pPr>
            <w:r>
              <w:rPr>
                <w:rFonts w:hint="eastAsia" w:ascii="宋体" w:hAnsi="宋体" w:cs="宋体"/>
                <w:color w:val="auto"/>
                <w:szCs w:val="21"/>
              </w:rPr>
              <w:t>方案基本详细、可行，且有保障的，得1分；</w:t>
            </w:r>
          </w:p>
          <w:p>
            <w:pPr>
              <w:ind w:left="-4" w:leftChars="-2" w:firstLine="2" w:firstLineChars="1"/>
              <w:rPr>
                <w:rFonts w:ascii="宋体" w:hAnsi="宋体" w:cs="宋体"/>
                <w:color w:val="auto"/>
                <w:szCs w:val="21"/>
              </w:rPr>
            </w:pPr>
            <w:r>
              <w:rPr>
                <w:rFonts w:hint="eastAsia" w:ascii="宋体" w:hAnsi="宋体" w:cs="宋体"/>
                <w:color w:val="auto"/>
                <w:szCs w:val="21"/>
              </w:rPr>
              <w:t>未提供、不可行的，的0分。</w:t>
            </w:r>
          </w:p>
        </w:tc>
        <w:tc>
          <w:tcPr>
            <w:tcW w:w="664" w:type="dxa"/>
            <w:vAlign w:val="center"/>
          </w:tcPr>
          <w:p>
            <w:pPr>
              <w:ind w:left="-4" w:leftChars="-2" w:firstLine="1" w:firstLineChars="1"/>
              <w:rPr>
                <w:rFonts w:asciiTheme="minorEastAsia" w:hAnsiTheme="minorEastAsia" w:eastAsiaTheme="minorEastAsia" w:cstheme="minorEastAsia"/>
                <w:color w:val="auto"/>
                <w:spacing w:val="-6"/>
                <w:szCs w:val="21"/>
              </w:rPr>
            </w:pPr>
            <w:r>
              <w:rPr>
                <w:rFonts w:hint="eastAsia" w:asciiTheme="minorEastAsia" w:hAnsiTheme="minorEastAsia" w:eastAsiaTheme="minorEastAsia" w:cstheme="minorEastAsia"/>
                <w:color w:val="auto"/>
                <w:spacing w:val="-6"/>
                <w:szCs w:val="21"/>
              </w:rPr>
              <w:t>5分</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807" w:hRule="atLeast"/>
        </w:trPr>
        <w:tc>
          <w:tcPr>
            <w:tcW w:w="736" w:type="dxa"/>
            <w:vMerge w:val="continue"/>
            <w:vAlign w:val="center"/>
          </w:tcPr>
          <w:p>
            <w:pPr>
              <w:jc w:val="center"/>
              <w:rPr>
                <w:rFonts w:asciiTheme="minorEastAsia" w:hAnsiTheme="minorEastAsia" w:eastAsiaTheme="minorEastAsia" w:cstheme="minorEastAsia"/>
                <w:color w:val="auto"/>
                <w:spacing w:val="-6"/>
                <w:szCs w:val="21"/>
              </w:rPr>
            </w:pPr>
          </w:p>
        </w:tc>
        <w:tc>
          <w:tcPr>
            <w:tcW w:w="1376" w:type="dxa"/>
            <w:vAlign w:val="center"/>
          </w:tcPr>
          <w:p>
            <w:pPr>
              <w:widowControl/>
              <w:jc w:val="center"/>
              <w:rPr>
                <w:rFonts w:ascii="宋体" w:hAnsi="宋体" w:cs="宋体"/>
                <w:color w:val="auto"/>
                <w:szCs w:val="21"/>
              </w:rPr>
            </w:pPr>
            <w:r>
              <w:rPr>
                <w:rFonts w:hint="eastAsia" w:ascii="宋体" w:hAnsi="宋体" w:cs="宋体"/>
                <w:color w:val="auto"/>
                <w:szCs w:val="21"/>
              </w:rPr>
              <w:t>应急方案</w:t>
            </w:r>
          </w:p>
        </w:tc>
        <w:tc>
          <w:tcPr>
            <w:tcW w:w="6512" w:type="dxa"/>
            <w:vAlign w:val="center"/>
          </w:tcPr>
          <w:p>
            <w:pPr>
              <w:widowControl/>
              <w:rPr>
                <w:rFonts w:ascii="宋体" w:hAnsi="宋体" w:cs="宋体"/>
                <w:color w:val="auto"/>
                <w:szCs w:val="21"/>
              </w:rPr>
            </w:pPr>
            <w:r>
              <w:rPr>
                <w:rFonts w:hint="eastAsia" w:ascii="宋体" w:hAnsi="宋体" w:cs="宋体"/>
                <w:color w:val="auto"/>
                <w:szCs w:val="21"/>
              </w:rPr>
              <w:t>根据供应商提供的项目应急方案</w:t>
            </w:r>
            <w:r>
              <w:rPr>
                <w:rFonts w:hint="eastAsia" w:ascii="宋体" w:hAnsi="宋体" w:cs="宋体"/>
                <w:color w:val="auto"/>
                <w:szCs w:val="21"/>
                <w:lang w:eastAsia="zh-CN"/>
              </w:rPr>
              <w:t>（包含但不限于应急响应时间、</w:t>
            </w:r>
            <w:r>
              <w:rPr>
                <w:rFonts w:hint="eastAsia" w:ascii="宋体" w:hAnsi="宋体" w:cs="宋体"/>
                <w:color w:val="auto"/>
                <w:szCs w:val="21"/>
              </w:rPr>
              <w:t>对设备故障时处理方案等</w:t>
            </w:r>
            <w:r>
              <w:rPr>
                <w:rFonts w:hint="eastAsia" w:ascii="宋体" w:hAnsi="宋体" w:cs="宋体"/>
                <w:color w:val="auto"/>
                <w:szCs w:val="21"/>
                <w:lang w:eastAsia="zh-CN"/>
              </w:rPr>
              <w:t>）</w:t>
            </w:r>
            <w:r>
              <w:rPr>
                <w:rFonts w:hint="eastAsia" w:ascii="宋体" w:hAnsi="宋体" w:cs="宋体"/>
                <w:color w:val="auto"/>
                <w:szCs w:val="21"/>
              </w:rPr>
              <w:t>进行综合评分：</w:t>
            </w:r>
          </w:p>
          <w:p>
            <w:pPr>
              <w:rPr>
                <w:rFonts w:ascii="宋体" w:hAnsi="宋体" w:cs="宋体"/>
                <w:color w:val="auto"/>
                <w:szCs w:val="21"/>
              </w:rPr>
            </w:pPr>
            <w:r>
              <w:rPr>
                <w:rFonts w:hint="eastAsia" w:ascii="宋体" w:hAnsi="宋体" w:cs="宋体"/>
                <w:color w:val="auto"/>
                <w:szCs w:val="21"/>
              </w:rPr>
              <w:t>方案全面详细、科学合理、可行，且有保障的，得5分；</w:t>
            </w:r>
          </w:p>
          <w:p>
            <w:pPr>
              <w:rPr>
                <w:rFonts w:ascii="宋体" w:hAnsi="宋体" w:cs="宋体"/>
                <w:color w:val="auto"/>
                <w:szCs w:val="21"/>
              </w:rPr>
            </w:pPr>
            <w:r>
              <w:rPr>
                <w:rFonts w:hint="eastAsia" w:ascii="宋体" w:hAnsi="宋体" w:cs="宋体"/>
                <w:color w:val="auto"/>
                <w:szCs w:val="21"/>
              </w:rPr>
              <w:t>方案全面详细、合理、可行，且有保障的，得3分；</w:t>
            </w:r>
          </w:p>
          <w:p>
            <w:pPr>
              <w:rPr>
                <w:rFonts w:ascii="宋体" w:hAnsi="宋体" w:cs="宋体"/>
                <w:color w:val="auto"/>
                <w:szCs w:val="21"/>
              </w:rPr>
            </w:pPr>
            <w:r>
              <w:rPr>
                <w:rFonts w:hint="eastAsia" w:ascii="宋体" w:hAnsi="宋体" w:cs="宋体"/>
                <w:color w:val="auto"/>
                <w:szCs w:val="21"/>
              </w:rPr>
              <w:t>方案基本详细、可行，且有保障的，得1分；</w:t>
            </w:r>
          </w:p>
          <w:p>
            <w:pPr>
              <w:widowControl/>
              <w:rPr>
                <w:rFonts w:ascii="宋体" w:hAnsi="宋体" w:cs="宋体"/>
                <w:color w:val="auto"/>
                <w:szCs w:val="21"/>
              </w:rPr>
            </w:pPr>
            <w:r>
              <w:rPr>
                <w:rFonts w:hint="eastAsia" w:ascii="宋体" w:hAnsi="宋体" w:cs="宋体"/>
                <w:color w:val="auto"/>
                <w:szCs w:val="21"/>
              </w:rPr>
              <w:t>未提供、不可行的，的0分。</w:t>
            </w:r>
          </w:p>
        </w:tc>
        <w:tc>
          <w:tcPr>
            <w:tcW w:w="664" w:type="dxa"/>
            <w:vAlign w:val="center"/>
          </w:tcPr>
          <w:p>
            <w:pPr>
              <w:ind w:left="-4" w:leftChars="-2" w:firstLine="1" w:firstLineChars="1"/>
              <w:rPr>
                <w:rFonts w:asciiTheme="minorEastAsia" w:hAnsiTheme="minorEastAsia" w:eastAsiaTheme="minorEastAsia" w:cstheme="minorEastAsia"/>
                <w:color w:val="auto"/>
                <w:spacing w:val="-6"/>
                <w:szCs w:val="21"/>
              </w:rPr>
            </w:pPr>
            <w:r>
              <w:rPr>
                <w:rFonts w:hint="eastAsia" w:asciiTheme="minorEastAsia" w:hAnsiTheme="minorEastAsia" w:eastAsiaTheme="minorEastAsia" w:cstheme="minorEastAsia"/>
                <w:color w:val="auto"/>
                <w:spacing w:val="-6"/>
                <w:szCs w:val="21"/>
              </w:rPr>
              <w:t>5分</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807" w:hRule="atLeast"/>
        </w:trPr>
        <w:tc>
          <w:tcPr>
            <w:tcW w:w="736" w:type="dxa"/>
            <w:vAlign w:val="center"/>
          </w:tcPr>
          <w:p>
            <w:pPr>
              <w:jc w:val="center"/>
              <w:rPr>
                <w:rFonts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总分</w:t>
            </w:r>
          </w:p>
        </w:tc>
        <w:tc>
          <w:tcPr>
            <w:tcW w:w="8552" w:type="dxa"/>
            <w:gridSpan w:val="3"/>
            <w:vAlign w:val="center"/>
          </w:tcPr>
          <w:p>
            <w:pPr>
              <w:jc w:val="center"/>
              <w:rPr>
                <w:rFonts w:asciiTheme="minorEastAsia" w:hAnsiTheme="minorEastAsia" w:eastAsiaTheme="minorEastAsia" w:cstheme="minorEastAsia"/>
                <w:color w:val="auto"/>
                <w:spacing w:val="-6"/>
                <w:szCs w:val="21"/>
              </w:rPr>
            </w:pPr>
            <w:r>
              <w:rPr>
                <w:rFonts w:hint="eastAsia" w:asciiTheme="minorEastAsia" w:hAnsiTheme="minorEastAsia" w:eastAsiaTheme="minorEastAsia" w:cstheme="minorEastAsia"/>
                <w:color w:val="auto"/>
                <w:spacing w:val="-6"/>
                <w:szCs w:val="21"/>
              </w:rPr>
              <w:t>100</w:t>
            </w:r>
          </w:p>
        </w:tc>
      </w:tr>
    </w:tbl>
    <w:p>
      <w:pPr>
        <w:spacing w:line="360" w:lineRule="auto"/>
        <w:rPr>
          <w:rFonts w:asciiTheme="minorEastAsia" w:hAnsiTheme="minorEastAsia" w:eastAsiaTheme="minorEastAsia" w:cstheme="minorEastAsia"/>
          <w:b/>
          <w:color w:val="auto"/>
          <w:szCs w:val="21"/>
        </w:rPr>
        <w:sectPr>
          <w:pgSz w:w="11906" w:h="16838"/>
          <w:pgMar w:top="1417" w:right="1417" w:bottom="1417" w:left="1417" w:header="851" w:footer="992" w:gutter="0"/>
          <w:cols w:space="720" w:num="1"/>
          <w:docGrid w:type="lines" w:linePitch="312" w:charSpace="0"/>
        </w:sectPr>
      </w:pPr>
      <w:r>
        <w:rPr>
          <w:rFonts w:hint="eastAsia" w:asciiTheme="minorEastAsia" w:hAnsiTheme="minorEastAsia" w:eastAsiaTheme="minorEastAsia" w:cstheme="minorEastAsia"/>
          <w:b/>
          <w:color w:val="auto"/>
          <w:szCs w:val="21"/>
        </w:rPr>
        <w:br w:type="textWrapping"/>
      </w:r>
      <w:r>
        <w:rPr>
          <w:rFonts w:hint="eastAsia" w:asciiTheme="minorEastAsia" w:hAnsiTheme="minorEastAsia" w:eastAsiaTheme="minorEastAsia" w:cstheme="minorEastAsia"/>
          <w:b/>
          <w:color w:val="auto"/>
          <w:szCs w:val="21"/>
        </w:rPr>
        <w:t>注：上述类似业绩证明材料是否具有类似性以及其符合性均由磋商小组判定，如果资料不全或经磋商小组认定不具有类似性的，该项业绩不计分，并由磋商小组在评审报告中记录详细原因。</w:t>
      </w:r>
    </w:p>
    <w:p>
      <w:pPr>
        <w:spacing w:line="360" w:lineRule="auto"/>
        <w:outlineLvl w:val="1"/>
        <w:rPr>
          <w:rFonts w:asciiTheme="minorEastAsia" w:hAnsiTheme="minorEastAsia" w:eastAsiaTheme="minorEastAsia" w:cstheme="minorEastAsia"/>
          <w:b/>
          <w:color w:val="auto"/>
          <w:szCs w:val="21"/>
        </w:rPr>
      </w:pPr>
      <w:bookmarkStart w:id="119" w:name="_Toc32480"/>
      <w:r>
        <w:rPr>
          <w:rFonts w:hint="eastAsia" w:asciiTheme="minorEastAsia" w:hAnsiTheme="minorEastAsia" w:eastAsiaTheme="minorEastAsia" w:cstheme="minorEastAsia"/>
          <w:b/>
          <w:color w:val="auto"/>
          <w:szCs w:val="21"/>
        </w:rPr>
        <w:t>四、评定办法</w:t>
      </w:r>
      <w:bookmarkEnd w:id="119"/>
    </w:p>
    <w:p>
      <w:pPr>
        <w:numPr>
          <w:ilvl w:val="3"/>
          <w:numId w:val="39"/>
        </w:numPr>
        <w:tabs>
          <w:tab w:val="left" w:pos="540"/>
        </w:tabs>
        <w:spacing w:line="360" w:lineRule="auto"/>
        <w:ind w:left="540" w:hanging="540"/>
        <w:jc w:val="left"/>
        <w:rPr>
          <w:rFonts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初步审查标准</w:t>
      </w:r>
    </w:p>
    <w:p>
      <w:pPr>
        <w:numPr>
          <w:ilvl w:val="1"/>
          <w:numId w:val="40"/>
        </w:numPr>
        <w:tabs>
          <w:tab w:val="left" w:pos="540"/>
          <w:tab w:val="clear" w:pos="360"/>
        </w:tabs>
        <w:spacing w:line="360" w:lineRule="auto"/>
        <w:ind w:left="540" w:hanging="540"/>
        <w:jc w:val="left"/>
        <w:rPr>
          <w:rFonts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资格性审查标准：见评定办法前附表。</w:t>
      </w:r>
    </w:p>
    <w:p>
      <w:pPr>
        <w:numPr>
          <w:ilvl w:val="1"/>
          <w:numId w:val="40"/>
        </w:numPr>
        <w:tabs>
          <w:tab w:val="left" w:pos="540"/>
          <w:tab w:val="clear" w:pos="360"/>
        </w:tabs>
        <w:spacing w:line="360" w:lineRule="auto"/>
        <w:ind w:left="540" w:hanging="540"/>
        <w:jc w:val="left"/>
        <w:rPr>
          <w:rFonts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符合性审查标准：见评定办法前附表。</w:t>
      </w:r>
    </w:p>
    <w:p>
      <w:pPr>
        <w:numPr>
          <w:ilvl w:val="1"/>
          <w:numId w:val="40"/>
        </w:numPr>
        <w:tabs>
          <w:tab w:val="left" w:pos="540"/>
          <w:tab w:val="clear" w:pos="360"/>
        </w:tabs>
        <w:spacing w:line="360" w:lineRule="auto"/>
        <w:ind w:left="540" w:hanging="540"/>
        <w:jc w:val="left"/>
        <w:rPr>
          <w:rFonts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确定磋商供应商进行最后报价：见评定方法前附表。</w:t>
      </w:r>
    </w:p>
    <w:p>
      <w:pPr>
        <w:numPr>
          <w:ilvl w:val="3"/>
          <w:numId w:val="39"/>
        </w:numPr>
        <w:tabs>
          <w:tab w:val="left" w:pos="540"/>
        </w:tabs>
        <w:spacing w:line="360" w:lineRule="auto"/>
        <w:ind w:left="540" w:hanging="540"/>
        <w:jc w:val="left"/>
        <w:rPr>
          <w:rFonts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评定方法：见评定办法前附表。</w:t>
      </w:r>
    </w:p>
    <w:p>
      <w:pPr>
        <w:spacing w:line="360" w:lineRule="auto"/>
        <w:jc w:val="left"/>
        <w:rPr>
          <w:rFonts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2.1 分值构成</w:t>
      </w:r>
    </w:p>
    <w:p>
      <w:pPr>
        <w:spacing w:line="360" w:lineRule="auto"/>
        <w:ind w:firstLine="718" w:firstLineChars="342"/>
        <w:jc w:val="left"/>
        <w:rPr>
          <w:rFonts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（1）技术部分：见评标办法前附表；</w:t>
      </w:r>
    </w:p>
    <w:p>
      <w:pPr>
        <w:spacing w:line="360" w:lineRule="auto"/>
        <w:ind w:firstLine="718" w:firstLineChars="342"/>
        <w:jc w:val="left"/>
        <w:rPr>
          <w:rFonts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（2）商务部分：见评标办法前附表；</w:t>
      </w:r>
    </w:p>
    <w:p>
      <w:pPr>
        <w:spacing w:line="360" w:lineRule="auto"/>
        <w:ind w:firstLine="718" w:firstLineChars="342"/>
        <w:jc w:val="left"/>
        <w:rPr>
          <w:rFonts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（3）竞标报价：见评标办法前附表。</w:t>
      </w:r>
    </w:p>
    <w:p>
      <w:pPr>
        <w:spacing w:line="360" w:lineRule="auto"/>
        <w:jc w:val="left"/>
        <w:rPr>
          <w:rFonts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2.2 评标基准价计算</w:t>
      </w:r>
    </w:p>
    <w:p>
      <w:pPr>
        <w:spacing w:line="360" w:lineRule="auto"/>
        <w:ind w:firstLine="840" w:firstLineChars="400"/>
        <w:jc w:val="left"/>
        <w:rPr>
          <w:rFonts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评标基准价计算方法：见评标办法前附表。</w:t>
      </w:r>
    </w:p>
    <w:p>
      <w:pPr>
        <w:spacing w:line="360" w:lineRule="auto"/>
        <w:jc w:val="left"/>
        <w:rPr>
          <w:rFonts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2.3 评分标准</w:t>
      </w:r>
    </w:p>
    <w:p>
      <w:pPr>
        <w:spacing w:line="360" w:lineRule="auto"/>
        <w:ind w:firstLine="718" w:firstLineChars="342"/>
        <w:jc w:val="left"/>
        <w:rPr>
          <w:rFonts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（1）技术部分评分标准：见评标办法前附表；</w:t>
      </w:r>
    </w:p>
    <w:p>
      <w:pPr>
        <w:spacing w:line="360" w:lineRule="auto"/>
        <w:ind w:firstLine="718" w:firstLineChars="342"/>
        <w:jc w:val="left"/>
        <w:rPr>
          <w:rFonts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（2）商务部分评分标准：见评标办法前附表；</w:t>
      </w:r>
    </w:p>
    <w:p>
      <w:pPr>
        <w:spacing w:line="360" w:lineRule="auto"/>
        <w:ind w:firstLine="718" w:firstLineChars="342"/>
        <w:jc w:val="left"/>
        <w:rPr>
          <w:rFonts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（3）竞标报价评分标准：见评标办法前附表。</w:t>
      </w:r>
    </w:p>
    <w:p>
      <w:pPr>
        <w:numPr>
          <w:ilvl w:val="3"/>
          <w:numId w:val="39"/>
        </w:numPr>
        <w:tabs>
          <w:tab w:val="left" w:pos="540"/>
        </w:tabs>
        <w:spacing w:line="360" w:lineRule="auto"/>
        <w:ind w:left="540" w:hanging="540"/>
        <w:jc w:val="left"/>
        <w:rPr>
          <w:rFonts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评定结果</w:t>
      </w:r>
    </w:p>
    <w:p>
      <w:pPr>
        <w:tabs>
          <w:tab w:val="left" w:pos="540"/>
        </w:tabs>
        <w:spacing w:line="360" w:lineRule="auto"/>
        <w:jc w:val="left"/>
        <w:rPr>
          <w:rFonts w:asciiTheme="minorEastAsia" w:hAnsiTheme="minorEastAsia" w:eastAsiaTheme="minorEastAsia" w:cstheme="minorEastAsia"/>
          <w:color w:val="auto"/>
          <w:szCs w:val="21"/>
        </w:rPr>
      </w:pPr>
      <w:r>
        <w:rPr>
          <w:rFonts w:hint="eastAsia" w:asciiTheme="minorEastAsia" w:hAnsiTheme="minorEastAsia" w:eastAsiaTheme="minorEastAsia" w:cstheme="minorEastAsia"/>
          <w:snapToGrid w:val="0"/>
          <w:color w:val="auto"/>
          <w:kern w:val="0"/>
          <w:szCs w:val="21"/>
          <w:lang w:val="zh-CN"/>
        </w:rPr>
        <w:t>3.1磋商小组严格按照本章要求对最终报价进行评定。</w:t>
      </w:r>
    </w:p>
    <w:p>
      <w:pPr>
        <w:tabs>
          <w:tab w:val="left" w:pos="540"/>
        </w:tabs>
        <w:spacing w:line="360" w:lineRule="auto"/>
        <w:jc w:val="left"/>
        <w:rPr>
          <w:rFonts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3.2完成评定后，</w:t>
      </w:r>
      <w:r>
        <w:rPr>
          <w:rFonts w:hint="eastAsia" w:asciiTheme="minorEastAsia" w:hAnsiTheme="minorEastAsia" w:eastAsiaTheme="minorEastAsia" w:cstheme="minorEastAsia"/>
          <w:snapToGrid w:val="0"/>
          <w:color w:val="auto"/>
          <w:kern w:val="0"/>
          <w:szCs w:val="21"/>
          <w:lang w:val="zh-CN"/>
        </w:rPr>
        <w:t>磋商小组</w:t>
      </w:r>
      <w:r>
        <w:rPr>
          <w:rFonts w:hint="eastAsia" w:asciiTheme="minorEastAsia" w:hAnsiTheme="minorEastAsia" w:eastAsiaTheme="minorEastAsia" w:cstheme="minorEastAsia"/>
          <w:color w:val="auto"/>
          <w:szCs w:val="21"/>
        </w:rPr>
        <w:t>须在评审结果推荐意见上共同签字。</w:t>
      </w:r>
    </w:p>
    <w:p>
      <w:pPr>
        <w:spacing w:line="360" w:lineRule="auto"/>
        <w:jc w:val="left"/>
        <w:rPr>
          <w:rFonts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rPr>
        <w:t>磋商小组成员对评审报告有异议的，磋商小组按照少数服从多数的原则推荐成交候选人，采购程序继续进行。对评审报告有异议的磋商小组成员，应当在报告上签署不同意见并说明理由，由磋商小组书面记录相关情况。磋商小组成员拒绝在报告上签字又不书面说明其不同意见和理由的，视为同意评审报告。</w:t>
      </w:r>
    </w:p>
    <w:p>
      <w:pPr>
        <w:numPr>
          <w:ilvl w:val="3"/>
          <w:numId w:val="39"/>
        </w:numPr>
        <w:tabs>
          <w:tab w:val="left" w:pos="540"/>
        </w:tabs>
        <w:spacing w:line="360" w:lineRule="auto"/>
        <w:ind w:left="540" w:hanging="540"/>
        <w:jc w:val="left"/>
        <w:rPr>
          <w:rFonts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其它</w:t>
      </w:r>
    </w:p>
    <w:p>
      <w:pPr>
        <w:spacing w:line="360" w:lineRule="auto"/>
        <w:ind w:firstLine="420"/>
        <w:jc w:val="left"/>
        <w:rPr>
          <w:rFonts w:asciiTheme="minorEastAsia" w:hAnsiTheme="minorEastAsia" w:eastAsiaTheme="minorEastAsia" w:cstheme="minorEastAsia"/>
          <w:color w:val="auto"/>
        </w:rPr>
      </w:pPr>
      <w:r>
        <w:rPr>
          <w:rFonts w:hint="eastAsia" w:asciiTheme="minorEastAsia" w:hAnsiTheme="minorEastAsia" w:eastAsiaTheme="minorEastAsia" w:cstheme="minorEastAsia"/>
          <w:color w:val="auto"/>
        </w:rPr>
        <w:t>磋商供应商的最终报价均超过了政府采购预算，采购人不能支付的，磋商活动终止；终止后，采购人需要采取调整采购预算或项目配置标准等，或采取其他采购方式的，应当在采购活动开始前获得政府采购监督管理部门批准。</w:t>
      </w:r>
    </w:p>
    <w:p>
      <w:pPr>
        <w:rPr>
          <w:color w:val="auto"/>
        </w:rPr>
      </w:pPr>
    </w:p>
    <w:p>
      <w:pPr>
        <w:rPr>
          <w:color w:val="auto"/>
        </w:rPr>
      </w:pPr>
    </w:p>
    <w:p>
      <w:pPr>
        <w:rPr>
          <w:color w:val="auto"/>
        </w:rPr>
      </w:pPr>
    </w:p>
    <w:p>
      <w:pPr>
        <w:rPr>
          <w:color w:val="auto"/>
        </w:rPr>
      </w:pPr>
    </w:p>
    <w:p>
      <w:pPr>
        <w:spacing w:line="360" w:lineRule="auto"/>
        <w:outlineLvl w:val="1"/>
        <w:rPr>
          <w:rFonts w:asciiTheme="minorEastAsia" w:hAnsiTheme="minorEastAsia" w:eastAsiaTheme="minorEastAsia" w:cstheme="minorEastAsia"/>
          <w:b/>
          <w:color w:val="auto"/>
          <w:szCs w:val="21"/>
        </w:rPr>
      </w:pPr>
      <w:bookmarkStart w:id="120" w:name="_Toc2647"/>
      <w:r>
        <w:rPr>
          <w:rFonts w:hint="eastAsia" w:asciiTheme="minorEastAsia" w:hAnsiTheme="minorEastAsia" w:eastAsiaTheme="minorEastAsia" w:cstheme="minorEastAsia"/>
          <w:b/>
          <w:color w:val="auto"/>
          <w:szCs w:val="21"/>
        </w:rPr>
        <w:t>五、磋商及评审步骤</w:t>
      </w:r>
      <w:bookmarkEnd w:id="120"/>
    </w:p>
    <w:p>
      <w:pPr>
        <w:spacing w:line="360" w:lineRule="auto"/>
        <w:ind w:left="420" w:leftChars="200"/>
        <w:jc w:val="left"/>
        <w:rPr>
          <w:rFonts w:asciiTheme="minorEastAsia" w:hAnsiTheme="minorEastAsia" w:eastAsiaTheme="minorEastAsia" w:cstheme="minorEastAsia"/>
          <w:color w:val="auto"/>
          <w:szCs w:val="28"/>
        </w:rPr>
      </w:pPr>
      <w:r>
        <w:rPr>
          <w:rFonts w:hint="eastAsia" w:asciiTheme="minorEastAsia" w:hAnsiTheme="minorEastAsia" w:eastAsiaTheme="minorEastAsia" w:cstheme="minorEastAsia"/>
          <w:color w:val="auto"/>
          <w:szCs w:val="28"/>
        </w:rPr>
        <w:t>磋商及评审步骤分别依次为磋商小组对供应商及其响应文件的资格和符合性检查、磋商小组同供应商的磋商及供应商的最后报价、详细评审。</w:t>
      </w:r>
    </w:p>
    <w:p>
      <w:pPr>
        <w:spacing w:line="360" w:lineRule="auto"/>
        <w:ind w:firstLine="420" w:firstLineChars="200"/>
        <w:rPr>
          <w:rFonts w:asciiTheme="minorEastAsia" w:hAnsiTheme="minorEastAsia" w:eastAsiaTheme="minorEastAsia" w:cstheme="minorEastAsia"/>
          <w:color w:val="auto"/>
          <w:szCs w:val="28"/>
        </w:rPr>
      </w:pPr>
      <w:r>
        <w:rPr>
          <w:rFonts w:hint="eastAsia" w:asciiTheme="minorEastAsia" w:hAnsiTheme="minorEastAsia" w:eastAsiaTheme="minorEastAsia" w:cstheme="minorEastAsia"/>
          <w:color w:val="auto"/>
          <w:szCs w:val="28"/>
        </w:rPr>
        <w:t>1.验证委托代理人身份、响应文件密封检查</w:t>
      </w:r>
    </w:p>
    <w:p>
      <w:pPr>
        <w:spacing w:line="360" w:lineRule="auto"/>
        <w:ind w:firstLine="420" w:firstLineChars="200"/>
        <w:rPr>
          <w:rFonts w:asciiTheme="minorEastAsia" w:hAnsiTheme="minorEastAsia" w:eastAsiaTheme="minorEastAsia" w:cstheme="minorEastAsia"/>
          <w:color w:val="auto"/>
          <w:szCs w:val="28"/>
        </w:rPr>
      </w:pPr>
      <w:r>
        <w:rPr>
          <w:rFonts w:hint="eastAsia" w:asciiTheme="minorEastAsia" w:hAnsiTheme="minorEastAsia" w:eastAsiaTheme="minorEastAsia" w:cstheme="minorEastAsia"/>
          <w:color w:val="auto"/>
          <w:szCs w:val="28"/>
        </w:rPr>
        <w:t>主持人按以下程序进行：</w:t>
      </w:r>
    </w:p>
    <w:p>
      <w:pPr>
        <w:spacing w:line="360" w:lineRule="auto"/>
        <w:ind w:firstLine="420" w:firstLineChars="200"/>
        <w:rPr>
          <w:rFonts w:asciiTheme="minorEastAsia" w:hAnsiTheme="minorEastAsia" w:eastAsiaTheme="minorEastAsia" w:cstheme="minorEastAsia"/>
          <w:color w:val="auto"/>
          <w:szCs w:val="28"/>
        </w:rPr>
      </w:pPr>
      <w:r>
        <w:rPr>
          <w:rFonts w:hint="eastAsia" w:asciiTheme="minorEastAsia" w:hAnsiTheme="minorEastAsia" w:eastAsiaTheme="minorEastAsia" w:cstheme="minorEastAsia"/>
          <w:color w:val="auto"/>
          <w:szCs w:val="28"/>
        </w:rPr>
        <w:t>① 宣布会场纪律。</w:t>
      </w:r>
    </w:p>
    <w:p>
      <w:pPr>
        <w:spacing w:line="360" w:lineRule="auto"/>
        <w:ind w:left="420" w:leftChars="200"/>
        <w:jc w:val="left"/>
        <w:rPr>
          <w:rFonts w:asciiTheme="minorEastAsia" w:hAnsiTheme="minorEastAsia" w:eastAsiaTheme="minorEastAsia" w:cstheme="minorEastAsia"/>
          <w:color w:val="auto"/>
          <w:szCs w:val="28"/>
        </w:rPr>
      </w:pPr>
      <w:r>
        <w:rPr>
          <w:rFonts w:hint="eastAsia" w:asciiTheme="minorEastAsia" w:hAnsiTheme="minorEastAsia" w:eastAsiaTheme="minorEastAsia" w:cstheme="minorEastAsia"/>
          <w:color w:val="auto"/>
          <w:szCs w:val="28"/>
        </w:rPr>
        <w:t>② 公布在响应文件递交截止时间前递交响应文件的供应商名称，并点名确认供应商的委托代理人是否到场（验证委托代理人身份证原件）。</w:t>
      </w:r>
    </w:p>
    <w:p>
      <w:pPr>
        <w:spacing w:line="360" w:lineRule="auto"/>
        <w:ind w:firstLine="420" w:firstLineChars="200"/>
        <w:rPr>
          <w:rFonts w:asciiTheme="minorEastAsia" w:hAnsiTheme="minorEastAsia" w:eastAsiaTheme="minorEastAsia" w:cstheme="minorEastAsia"/>
          <w:b/>
          <w:color w:val="auto"/>
          <w:szCs w:val="28"/>
        </w:rPr>
      </w:pPr>
      <w:r>
        <w:rPr>
          <w:rFonts w:hint="eastAsia" w:asciiTheme="minorEastAsia" w:hAnsiTheme="minorEastAsia" w:eastAsiaTheme="minorEastAsia" w:cstheme="minorEastAsia"/>
          <w:color w:val="auto"/>
          <w:szCs w:val="28"/>
        </w:rPr>
        <w:t>③ 检查响应文件密封情况。</w:t>
      </w:r>
    </w:p>
    <w:p>
      <w:pPr>
        <w:spacing w:line="360" w:lineRule="auto"/>
        <w:ind w:firstLine="420" w:firstLineChars="200"/>
        <w:rPr>
          <w:rFonts w:asciiTheme="minorEastAsia" w:hAnsiTheme="minorEastAsia" w:eastAsiaTheme="minorEastAsia" w:cstheme="minorEastAsia"/>
          <w:color w:val="auto"/>
          <w:szCs w:val="28"/>
        </w:rPr>
      </w:pPr>
      <w:r>
        <w:rPr>
          <w:rFonts w:hint="eastAsia" w:asciiTheme="minorEastAsia" w:hAnsiTheme="minorEastAsia" w:eastAsiaTheme="minorEastAsia" w:cstheme="minorEastAsia"/>
          <w:color w:val="auto"/>
          <w:szCs w:val="28"/>
        </w:rPr>
        <w:t>2.资格和符合性审查</w:t>
      </w:r>
    </w:p>
    <w:p>
      <w:pPr>
        <w:spacing w:line="360" w:lineRule="auto"/>
        <w:ind w:left="420" w:leftChars="200"/>
        <w:jc w:val="left"/>
        <w:rPr>
          <w:rFonts w:asciiTheme="minorEastAsia" w:hAnsiTheme="minorEastAsia" w:eastAsiaTheme="minorEastAsia" w:cstheme="minorEastAsia"/>
          <w:color w:val="auto"/>
          <w:szCs w:val="28"/>
        </w:rPr>
      </w:pPr>
      <w:r>
        <w:rPr>
          <w:rFonts w:hint="eastAsia" w:asciiTheme="minorEastAsia" w:hAnsiTheme="minorEastAsia" w:eastAsiaTheme="minorEastAsia" w:cstheme="minorEastAsia"/>
          <w:color w:val="auto"/>
          <w:szCs w:val="28"/>
        </w:rPr>
        <w:t>2.1磋商小组审查每份响应文件是否实质上响应了采购文件的要求。磋商小组决定其是否响应只根据响应文件本身的内容，而不依据外部的证据，但响应文件有不真实不正确的内容时除外。</w:t>
      </w:r>
    </w:p>
    <w:p>
      <w:pPr>
        <w:spacing w:line="360" w:lineRule="auto"/>
        <w:ind w:left="420" w:leftChars="200"/>
        <w:jc w:val="left"/>
        <w:rPr>
          <w:rFonts w:asciiTheme="minorEastAsia" w:hAnsiTheme="minorEastAsia" w:eastAsiaTheme="minorEastAsia" w:cstheme="minorEastAsia"/>
          <w:color w:val="auto"/>
          <w:szCs w:val="28"/>
        </w:rPr>
      </w:pPr>
      <w:r>
        <w:rPr>
          <w:rFonts w:hint="eastAsia" w:asciiTheme="minorEastAsia" w:hAnsiTheme="minorEastAsia" w:eastAsiaTheme="minorEastAsia" w:cstheme="minorEastAsia"/>
          <w:color w:val="auto"/>
          <w:szCs w:val="28"/>
        </w:rPr>
        <w:t>2.2磋商小组在对响应文件的有效性、完整性和响应程度进行审查时，可以要求供应商对响应文件中含义不明确、同类问题表述不一致或者有明显文字和计算错误的内容等作出必要的澄清、说明或者更正。供应商的澄清、说明或者更正不得超出响应文件的范围或者改变响应文件的实质性内容。为贯彻落实财政部关于促进政府采购公平竞争优化营商环境的通知（财库[2019]38号）及其他优化营商环境等政策要求，响应文件中出现的对履约服务质量不造成实质性影响的其他形式性等内容，磋商小组也可以以书面形式要求供应商作出必要的澄清、说明或者补正。</w:t>
      </w:r>
    </w:p>
    <w:p>
      <w:pPr>
        <w:spacing w:line="360" w:lineRule="auto"/>
        <w:ind w:firstLine="420" w:firstLineChars="200"/>
        <w:rPr>
          <w:rFonts w:asciiTheme="minorEastAsia" w:hAnsiTheme="minorEastAsia" w:eastAsiaTheme="minorEastAsia" w:cstheme="minorEastAsia"/>
          <w:color w:val="auto"/>
          <w:szCs w:val="28"/>
        </w:rPr>
      </w:pPr>
      <w:r>
        <w:rPr>
          <w:rFonts w:hint="eastAsia" w:asciiTheme="minorEastAsia" w:hAnsiTheme="minorEastAsia" w:eastAsiaTheme="minorEastAsia" w:cstheme="minorEastAsia"/>
          <w:color w:val="auto"/>
          <w:szCs w:val="28"/>
        </w:rPr>
        <w:t>2.3只有通过了资格和符合性审查的供应商才能进入详细评审阶段。</w:t>
      </w:r>
    </w:p>
    <w:p>
      <w:pPr>
        <w:spacing w:line="360" w:lineRule="auto"/>
        <w:ind w:firstLine="420" w:firstLineChars="200"/>
        <w:rPr>
          <w:rFonts w:asciiTheme="minorEastAsia" w:hAnsiTheme="minorEastAsia" w:eastAsiaTheme="minorEastAsia" w:cstheme="minorEastAsia"/>
          <w:color w:val="auto"/>
          <w:szCs w:val="28"/>
        </w:rPr>
      </w:pPr>
      <w:r>
        <w:rPr>
          <w:rFonts w:hint="eastAsia" w:asciiTheme="minorEastAsia" w:hAnsiTheme="minorEastAsia" w:eastAsiaTheme="minorEastAsia" w:cstheme="minorEastAsia"/>
          <w:color w:val="auto"/>
          <w:szCs w:val="28"/>
        </w:rPr>
        <w:t>3.供应商的澄清</w:t>
      </w:r>
    </w:p>
    <w:p>
      <w:pPr>
        <w:spacing w:line="360" w:lineRule="auto"/>
        <w:ind w:left="420" w:leftChars="200"/>
        <w:jc w:val="left"/>
        <w:rPr>
          <w:rFonts w:asciiTheme="minorEastAsia" w:hAnsiTheme="minorEastAsia" w:eastAsiaTheme="minorEastAsia" w:cstheme="minorEastAsia"/>
          <w:color w:val="auto"/>
          <w:szCs w:val="28"/>
        </w:rPr>
      </w:pPr>
      <w:r>
        <w:rPr>
          <w:rFonts w:hint="eastAsia" w:asciiTheme="minorEastAsia" w:hAnsiTheme="minorEastAsia" w:eastAsiaTheme="minorEastAsia" w:cstheme="minorEastAsia"/>
          <w:color w:val="auto"/>
          <w:szCs w:val="28"/>
        </w:rPr>
        <w:t>3.1磋商小组要求供应商澄清、说明或者更正响应文件将以书面形式作出。供应商的澄清、说明或者更正应当由法定代表人或其授权代表签字或者加盖公章。</w:t>
      </w:r>
    </w:p>
    <w:p>
      <w:pPr>
        <w:spacing w:line="360" w:lineRule="auto"/>
        <w:ind w:firstLine="420" w:firstLineChars="200"/>
        <w:rPr>
          <w:rFonts w:asciiTheme="minorEastAsia" w:hAnsiTheme="minorEastAsia" w:eastAsiaTheme="minorEastAsia" w:cstheme="minorEastAsia"/>
          <w:color w:val="auto"/>
          <w:szCs w:val="28"/>
        </w:rPr>
      </w:pPr>
      <w:r>
        <w:rPr>
          <w:rFonts w:hint="eastAsia" w:asciiTheme="minorEastAsia" w:hAnsiTheme="minorEastAsia" w:eastAsiaTheme="minorEastAsia" w:cstheme="minorEastAsia"/>
          <w:color w:val="auto"/>
          <w:szCs w:val="28"/>
        </w:rPr>
        <w:t>4.磋商及最后报价</w:t>
      </w:r>
    </w:p>
    <w:p>
      <w:pPr>
        <w:spacing w:line="360" w:lineRule="auto"/>
        <w:ind w:left="420" w:leftChars="200"/>
        <w:jc w:val="left"/>
        <w:rPr>
          <w:rFonts w:asciiTheme="minorEastAsia" w:hAnsiTheme="minorEastAsia" w:eastAsiaTheme="minorEastAsia" w:cstheme="minorEastAsia"/>
          <w:color w:val="auto"/>
          <w:szCs w:val="28"/>
        </w:rPr>
      </w:pPr>
      <w:r>
        <w:rPr>
          <w:rFonts w:hint="eastAsia" w:asciiTheme="minorEastAsia" w:hAnsiTheme="minorEastAsia" w:eastAsiaTheme="minorEastAsia" w:cstheme="minorEastAsia"/>
          <w:color w:val="auto"/>
          <w:szCs w:val="28"/>
        </w:rPr>
        <w:t>4.1磋商小组所有成员应当集中与单一供应商分别进行磋商，并按照磋商会随机抽签的顺序给予所有参加磋商的供应商平等的磋商机会。</w:t>
      </w:r>
    </w:p>
    <w:p>
      <w:pPr>
        <w:spacing w:line="360" w:lineRule="auto"/>
        <w:ind w:left="420" w:leftChars="200"/>
        <w:jc w:val="left"/>
        <w:rPr>
          <w:rFonts w:asciiTheme="minorEastAsia" w:hAnsiTheme="minorEastAsia" w:eastAsiaTheme="minorEastAsia" w:cstheme="minorEastAsia"/>
          <w:color w:val="auto"/>
          <w:szCs w:val="28"/>
        </w:rPr>
      </w:pPr>
      <w:r>
        <w:rPr>
          <w:rFonts w:hint="eastAsia" w:asciiTheme="minorEastAsia" w:hAnsiTheme="minorEastAsia" w:eastAsiaTheme="minorEastAsia" w:cstheme="minorEastAsia"/>
          <w:color w:val="auto"/>
          <w:szCs w:val="28"/>
        </w:rPr>
        <w:t>4.2</w:t>
      </w:r>
      <w:r>
        <w:rPr>
          <w:rFonts w:hint="eastAsia" w:asciiTheme="minorEastAsia" w:hAnsiTheme="minorEastAsia" w:eastAsiaTheme="minorEastAsia" w:cstheme="minorEastAsia"/>
          <w:b/>
          <w:color w:val="auto"/>
          <w:szCs w:val="28"/>
        </w:rPr>
        <w:t>在磋商过程中，若磋商小组无法联系上供应商代表或者供应商代表在接到磋商小组通知后15分钟内不能抵达磋商会现场的，视为该供应商自动退出磋商。</w:t>
      </w:r>
    </w:p>
    <w:p>
      <w:pPr>
        <w:spacing w:line="360" w:lineRule="auto"/>
        <w:ind w:left="420" w:leftChars="200"/>
        <w:jc w:val="left"/>
        <w:rPr>
          <w:rFonts w:asciiTheme="minorEastAsia" w:hAnsiTheme="minorEastAsia" w:eastAsiaTheme="minorEastAsia" w:cstheme="minorEastAsia"/>
          <w:color w:val="auto"/>
          <w:szCs w:val="28"/>
        </w:rPr>
      </w:pPr>
      <w:r>
        <w:rPr>
          <w:rFonts w:hint="eastAsia" w:asciiTheme="minorEastAsia" w:hAnsiTheme="minorEastAsia" w:eastAsiaTheme="minorEastAsia" w:cstheme="minorEastAsia"/>
          <w:color w:val="auto"/>
          <w:szCs w:val="28"/>
        </w:rPr>
        <w:t>4.3</w:t>
      </w:r>
      <w:r>
        <w:rPr>
          <w:rFonts w:hint="eastAsia" w:asciiTheme="minorEastAsia" w:hAnsiTheme="minorEastAsia" w:eastAsiaTheme="minorEastAsia" w:cstheme="minorEastAsia"/>
          <w:b/>
          <w:color w:val="auto"/>
          <w:szCs w:val="28"/>
        </w:rPr>
        <w:t>磋商小组在与供应商磋商之前，应首先对参与磋商的供应商代表的身份进行核验，未按采购文件要求提供身份证原件或经核验的供应商代表身份与证明文件（法定代表人身份证明或法定代表人授权委托书）或身份证不符的，磋商小组有权拒绝该供应商参加磋商。</w:t>
      </w:r>
    </w:p>
    <w:p>
      <w:pPr>
        <w:spacing w:line="360" w:lineRule="auto"/>
        <w:ind w:left="420" w:leftChars="200"/>
        <w:jc w:val="left"/>
        <w:rPr>
          <w:rFonts w:asciiTheme="minorEastAsia" w:hAnsiTheme="minorEastAsia" w:eastAsiaTheme="minorEastAsia" w:cstheme="minorEastAsia"/>
          <w:color w:val="auto"/>
          <w:szCs w:val="28"/>
        </w:rPr>
      </w:pPr>
      <w:r>
        <w:rPr>
          <w:rFonts w:hint="eastAsia" w:asciiTheme="minorEastAsia" w:hAnsiTheme="minorEastAsia" w:eastAsiaTheme="minorEastAsia" w:cstheme="minorEastAsia"/>
          <w:color w:val="auto"/>
          <w:szCs w:val="28"/>
        </w:rPr>
        <w:t>4.4在磋商过程中，磋商小组可以根据采购文件和磋商情况实质性变动采购需求中的技术、服务要求以及合同草案条款，但不得变动采购文件中的其他内容。实质性变动的内容，经采购人代表确认后，将作为采购文件的有效组成部分，磋商小组应当及时以书面形式同时通知所有参加磋商的供应商。</w:t>
      </w:r>
    </w:p>
    <w:p>
      <w:pPr>
        <w:spacing w:line="360" w:lineRule="auto"/>
        <w:ind w:left="420" w:leftChars="200"/>
        <w:jc w:val="left"/>
        <w:rPr>
          <w:rFonts w:asciiTheme="minorEastAsia" w:hAnsiTheme="minorEastAsia" w:eastAsiaTheme="minorEastAsia" w:cstheme="minorEastAsia"/>
          <w:bCs/>
          <w:color w:val="auto"/>
          <w:szCs w:val="28"/>
        </w:rPr>
      </w:pPr>
      <w:r>
        <w:rPr>
          <w:rFonts w:hint="eastAsia" w:asciiTheme="minorEastAsia" w:hAnsiTheme="minorEastAsia" w:eastAsiaTheme="minorEastAsia" w:cstheme="minorEastAsia"/>
          <w:color w:val="auto"/>
          <w:szCs w:val="28"/>
        </w:rPr>
        <w:t>4.5磋商结束后，磋商小组将要求所有实质性响应的供应商在规定时间内提交最后报价，最后报价是供应商响应文件的有效组成部分。</w:t>
      </w:r>
    </w:p>
    <w:p>
      <w:pPr>
        <w:spacing w:line="360" w:lineRule="auto"/>
        <w:ind w:firstLine="420" w:firstLineChars="200"/>
        <w:rPr>
          <w:rFonts w:asciiTheme="minorEastAsia" w:hAnsiTheme="minorEastAsia" w:eastAsiaTheme="minorEastAsia" w:cstheme="minorEastAsia"/>
          <w:color w:val="auto"/>
          <w:szCs w:val="28"/>
        </w:rPr>
      </w:pPr>
      <w:r>
        <w:rPr>
          <w:rFonts w:hint="eastAsia" w:asciiTheme="minorEastAsia" w:hAnsiTheme="minorEastAsia" w:eastAsiaTheme="minorEastAsia" w:cstheme="minorEastAsia"/>
          <w:bCs/>
          <w:color w:val="auto"/>
          <w:szCs w:val="28"/>
        </w:rPr>
        <w:t>4.6</w:t>
      </w:r>
      <w:r>
        <w:rPr>
          <w:rFonts w:hint="eastAsia" w:asciiTheme="minorEastAsia" w:hAnsiTheme="minorEastAsia" w:eastAsiaTheme="minorEastAsia" w:cstheme="minorEastAsia"/>
          <w:color w:val="auto"/>
          <w:szCs w:val="28"/>
        </w:rPr>
        <w:t>已提交响应文件的供应商，在提交最后报价之前，可以根据磋商情况退出磋商。</w:t>
      </w:r>
    </w:p>
    <w:p>
      <w:pPr>
        <w:spacing w:line="360" w:lineRule="auto"/>
        <w:ind w:firstLine="420" w:firstLineChars="200"/>
        <w:rPr>
          <w:rFonts w:asciiTheme="minorEastAsia" w:hAnsiTheme="minorEastAsia" w:eastAsiaTheme="minorEastAsia" w:cstheme="minorEastAsia"/>
          <w:color w:val="auto"/>
          <w:szCs w:val="28"/>
        </w:rPr>
      </w:pPr>
      <w:r>
        <w:rPr>
          <w:rFonts w:hint="eastAsia" w:asciiTheme="minorEastAsia" w:hAnsiTheme="minorEastAsia" w:eastAsiaTheme="minorEastAsia" w:cstheme="minorEastAsia"/>
          <w:color w:val="auto"/>
          <w:szCs w:val="28"/>
        </w:rPr>
        <w:t>4.7符合下列情形，在采购过程中符合要求的供应商可以为2家：</w:t>
      </w:r>
    </w:p>
    <w:p>
      <w:pPr>
        <w:spacing w:line="360" w:lineRule="auto"/>
        <w:ind w:firstLine="420" w:firstLineChars="200"/>
        <w:rPr>
          <w:rFonts w:asciiTheme="minorEastAsia" w:hAnsiTheme="minorEastAsia" w:eastAsiaTheme="minorEastAsia" w:cstheme="minorEastAsia"/>
          <w:color w:val="auto"/>
          <w:szCs w:val="28"/>
        </w:rPr>
      </w:pPr>
      <w:r>
        <w:rPr>
          <w:rFonts w:hint="eastAsia" w:asciiTheme="minorEastAsia" w:hAnsiTheme="minorEastAsia" w:eastAsiaTheme="minorEastAsia" w:cstheme="minorEastAsia"/>
          <w:color w:val="auto"/>
          <w:szCs w:val="28"/>
        </w:rPr>
        <w:t>（1）政府购买服务项目（含政府和社会资本合作项目）；</w:t>
      </w:r>
    </w:p>
    <w:p>
      <w:pPr>
        <w:spacing w:line="360" w:lineRule="auto"/>
        <w:ind w:firstLine="420" w:firstLineChars="200"/>
        <w:rPr>
          <w:rFonts w:asciiTheme="minorEastAsia" w:hAnsiTheme="minorEastAsia" w:eastAsiaTheme="minorEastAsia" w:cstheme="minorEastAsia"/>
          <w:color w:val="auto"/>
          <w:szCs w:val="28"/>
        </w:rPr>
      </w:pPr>
      <w:r>
        <w:rPr>
          <w:rFonts w:hint="eastAsia" w:asciiTheme="minorEastAsia" w:hAnsiTheme="minorEastAsia" w:eastAsiaTheme="minorEastAsia" w:cstheme="minorEastAsia"/>
          <w:color w:val="auto"/>
          <w:szCs w:val="28"/>
        </w:rPr>
        <w:t>（2）市场竞争不充分的科研项目，以及需要扶持的科技成果转化项目。</w:t>
      </w:r>
    </w:p>
    <w:p>
      <w:pPr>
        <w:spacing w:line="360" w:lineRule="auto"/>
        <w:ind w:firstLine="420" w:firstLineChars="200"/>
        <w:rPr>
          <w:rFonts w:asciiTheme="minorEastAsia" w:hAnsiTheme="minorEastAsia" w:eastAsiaTheme="minorEastAsia" w:cstheme="minorEastAsia"/>
          <w:color w:val="auto"/>
          <w:szCs w:val="28"/>
        </w:rPr>
      </w:pPr>
      <w:r>
        <w:rPr>
          <w:rFonts w:hint="eastAsia" w:asciiTheme="minorEastAsia" w:hAnsiTheme="minorEastAsia" w:eastAsiaTheme="minorEastAsia" w:cstheme="minorEastAsia"/>
          <w:color w:val="auto"/>
          <w:szCs w:val="28"/>
        </w:rPr>
        <w:t>5.详细评审</w:t>
      </w:r>
    </w:p>
    <w:p>
      <w:pPr>
        <w:spacing w:line="360" w:lineRule="auto"/>
        <w:ind w:left="420" w:leftChars="200"/>
        <w:rPr>
          <w:rFonts w:asciiTheme="minorEastAsia" w:hAnsiTheme="minorEastAsia" w:eastAsiaTheme="minorEastAsia" w:cstheme="minorEastAsia"/>
          <w:color w:val="auto"/>
          <w:szCs w:val="28"/>
        </w:rPr>
      </w:pPr>
      <w:r>
        <w:rPr>
          <w:rFonts w:hint="eastAsia" w:asciiTheme="minorEastAsia" w:hAnsiTheme="minorEastAsia" w:eastAsiaTheme="minorEastAsia" w:cstheme="minorEastAsia"/>
          <w:color w:val="auto"/>
          <w:szCs w:val="28"/>
        </w:rPr>
        <w:t>5.1经磋商确定最终采购需求和提交最后报价的供应商后，由磋商小组采用综合评分法对提交最后报价的供应商的响应文件和最后报价进行综合评分。具体详见“评分细则”。</w:t>
      </w:r>
    </w:p>
    <w:p>
      <w:pPr>
        <w:spacing w:line="360" w:lineRule="auto"/>
        <w:ind w:left="420" w:leftChars="200"/>
        <w:rPr>
          <w:rFonts w:asciiTheme="minorEastAsia" w:hAnsiTheme="minorEastAsia" w:eastAsiaTheme="minorEastAsia" w:cstheme="minorEastAsia"/>
          <w:color w:val="auto"/>
          <w:szCs w:val="28"/>
        </w:rPr>
      </w:pPr>
      <w:r>
        <w:rPr>
          <w:rFonts w:hint="eastAsia" w:asciiTheme="minorEastAsia" w:hAnsiTheme="minorEastAsia" w:eastAsiaTheme="minorEastAsia" w:cstheme="minorEastAsia"/>
          <w:color w:val="auto"/>
          <w:szCs w:val="28"/>
        </w:rPr>
        <w:t>5.2评审时，磋商小组各成员应当独立对每个有效响应的文件进行评价、打分，然后汇总每个供应商每项评分因素的得分。</w:t>
      </w:r>
    </w:p>
    <w:p>
      <w:pPr>
        <w:spacing w:line="360" w:lineRule="auto"/>
        <w:ind w:left="420" w:leftChars="200"/>
        <w:rPr>
          <w:rFonts w:asciiTheme="minorEastAsia" w:hAnsiTheme="minorEastAsia" w:eastAsiaTheme="minorEastAsia" w:cstheme="minorEastAsia"/>
          <w:color w:val="auto"/>
          <w:szCs w:val="28"/>
        </w:rPr>
      </w:pPr>
      <w:r>
        <w:rPr>
          <w:rFonts w:hint="eastAsia" w:asciiTheme="minorEastAsia" w:hAnsiTheme="minorEastAsia" w:eastAsiaTheme="minorEastAsia" w:cstheme="minorEastAsia"/>
          <w:color w:val="auto"/>
          <w:szCs w:val="28"/>
        </w:rPr>
        <w:t xml:space="preserve">5.3采购代理机构负责对各磋商小组成员的总分进行复核和汇总。各项统计结果均精确到小数点后两位。 </w:t>
      </w:r>
    </w:p>
    <w:p>
      <w:pPr>
        <w:spacing w:line="360" w:lineRule="auto"/>
        <w:ind w:left="420" w:leftChars="200"/>
        <w:rPr>
          <w:rFonts w:asciiTheme="minorEastAsia" w:hAnsiTheme="minorEastAsia" w:eastAsiaTheme="minorEastAsia" w:cstheme="minorEastAsia"/>
          <w:color w:val="auto"/>
          <w:szCs w:val="28"/>
        </w:rPr>
      </w:pPr>
      <w:r>
        <w:rPr>
          <w:rFonts w:hint="eastAsia" w:asciiTheme="minorEastAsia" w:hAnsiTheme="minorEastAsia" w:eastAsiaTheme="minorEastAsia" w:cstheme="minorEastAsia"/>
          <w:color w:val="auto"/>
          <w:szCs w:val="28"/>
        </w:rPr>
        <w:t>5.4磋商小组应当根据综合评分情况，按照评审得分由高到低顺序（评审得分相同的，按照最后报价由低到高的顺序确定，评审得分且最后报价相同的，按照技术指标优劣顺序确定）推荐3名成交候选供应商，并编写评审报告。</w:t>
      </w:r>
    </w:p>
    <w:p>
      <w:pPr>
        <w:spacing w:line="360" w:lineRule="auto"/>
        <w:ind w:left="420" w:leftChars="200"/>
        <w:rPr>
          <w:rFonts w:asciiTheme="minorEastAsia" w:hAnsiTheme="minorEastAsia" w:eastAsiaTheme="minorEastAsia" w:cstheme="minorEastAsia"/>
          <w:color w:val="auto"/>
          <w:szCs w:val="28"/>
        </w:rPr>
      </w:pPr>
      <w:r>
        <w:rPr>
          <w:rFonts w:hint="eastAsia" w:asciiTheme="minorEastAsia" w:hAnsiTheme="minorEastAsia" w:eastAsiaTheme="minorEastAsia" w:cstheme="minorEastAsia"/>
          <w:color w:val="auto"/>
          <w:szCs w:val="28"/>
        </w:rPr>
        <w:t>5.5在评审期间，供应商不得干扰和阻碍评审工作，供应商不得向磋商小组询问评审情况，任何影响和干扰评审工作的行为都可能导致被取消本次评审的资格，并承担相应的法律责任。</w:t>
      </w:r>
    </w:p>
    <w:p>
      <w:pPr>
        <w:spacing w:line="360" w:lineRule="auto"/>
        <w:ind w:left="420" w:leftChars="200"/>
        <w:rPr>
          <w:rFonts w:asciiTheme="minorEastAsia" w:hAnsiTheme="minorEastAsia" w:eastAsiaTheme="minorEastAsia" w:cstheme="minorEastAsia"/>
          <w:color w:val="auto"/>
          <w:szCs w:val="28"/>
        </w:rPr>
      </w:pPr>
      <w:r>
        <w:rPr>
          <w:rFonts w:hint="eastAsia" w:asciiTheme="minorEastAsia" w:hAnsiTheme="minorEastAsia" w:eastAsiaTheme="minorEastAsia" w:cstheme="minorEastAsia"/>
          <w:color w:val="auto"/>
          <w:szCs w:val="28"/>
        </w:rPr>
        <w:t>5.6在评审过程中，磋商小组不得与供应商私下交换意见，从采购工作开始，直到授予供应商合同止，凡是属于审查、澄清、评价和比较响应文件的有关资料以及授标意向等，均不得向供应商或其他无关的人员透露。否则，磋商小组应承担法律、法规责任。</w:t>
      </w:r>
      <w:r>
        <w:rPr>
          <w:rFonts w:hint="eastAsia" w:asciiTheme="minorEastAsia" w:hAnsiTheme="minorEastAsia" w:eastAsiaTheme="minorEastAsia" w:cstheme="minorEastAsia"/>
          <w:color w:val="auto"/>
          <w:szCs w:val="28"/>
        </w:rPr>
        <w:br w:type="textWrapping"/>
      </w:r>
    </w:p>
    <w:p>
      <w:pPr>
        <w:spacing w:line="360" w:lineRule="auto"/>
        <w:ind w:left="420" w:leftChars="200"/>
        <w:rPr>
          <w:rFonts w:asciiTheme="minorEastAsia" w:hAnsiTheme="minorEastAsia" w:eastAsiaTheme="minorEastAsia" w:cstheme="minorEastAsia"/>
          <w:color w:val="auto"/>
          <w:szCs w:val="28"/>
        </w:rPr>
      </w:pPr>
    </w:p>
    <w:p>
      <w:pPr>
        <w:spacing w:line="360" w:lineRule="auto"/>
        <w:ind w:left="420" w:leftChars="200"/>
        <w:rPr>
          <w:rFonts w:asciiTheme="minorEastAsia" w:hAnsiTheme="minorEastAsia" w:eastAsiaTheme="minorEastAsia" w:cstheme="minorEastAsia"/>
          <w:color w:val="auto"/>
          <w:szCs w:val="28"/>
        </w:rPr>
      </w:pPr>
    </w:p>
    <w:p>
      <w:pPr>
        <w:pStyle w:val="4"/>
        <w:numPr>
          <w:ilvl w:val="0"/>
          <w:numId w:val="4"/>
        </w:numPr>
        <w:spacing w:line="240" w:lineRule="auto"/>
        <w:jc w:val="center"/>
        <w:rPr>
          <w:rFonts w:asciiTheme="minorEastAsia" w:hAnsiTheme="minorEastAsia" w:eastAsiaTheme="minorEastAsia" w:cstheme="minorEastAsia"/>
          <w:b w:val="0"/>
          <w:color w:val="auto"/>
          <w:kern w:val="0"/>
          <w:szCs w:val="21"/>
        </w:rPr>
        <w:sectPr>
          <w:pgSz w:w="11906" w:h="16838"/>
          <w:pgMar w:top="1417" w:right="1417" w:bottom="1417" w:left="1417" w:header="851" w:footer="992" w:gutter="0"/>
          <w:cols w:space="720" w:num="1"/>
          <w:docGrid w:type="lines" w:linePitch="312" w:charSpace="0"/>
        </w:sectPr>
      </w:pPr>
      <w:bookmarkStart w:id="121" w:name="_Toc318643471"/>
      <w:bookmarkStart w:id="122" w:name="_Toc211783328"/>
    </w:p>
    <w:p>
      <w:pPr>
        <w:pStyle w:val="4"/>
        <w:numPr>
          <w:ilvl w:val="0"/>
          <w:numId w:val="4"/>
        </w:numPr>
        <w:spacing w:line="240" w:lineRule="auto"/>
        <w:jc w:val="center"/>
        <w:rPr>
          <w:rFonts w:asciiTheme="minorEastAsia" w:hAnsiTheme="minorEastAsia" w:eastAsiaTheme="minorEastAsia" w:cstheme="minorEastAsia"/>
          <w:b w:val="0"/>
          <w:color w:val="auto"/>
          <w:kern w:val="0"/>
          <w:szCs w:val="21"/>
        </w:rPr>
      </w:pPr>
      <w:bookmarkStart w:id="123" w:name="_Toc11100"/>
      <w:r>
        <w:rPr>
          <w:rFonts w:hint="eastAsia" w:asciiTheme="minorEastAsia" w:hAnsiTheme="minorEastAsia" w:eastAsiaTheme="minorEastAsia" w:cstheme="minorEastAsia"/>
          <w:color w:val="auto"/>
          <w:sz w:val="36"/>
          <w:szCs w:val="36"/>
        </w:rPr>
        <w:t>合同书</w:t>
      </w:r>
      <w:bookmarkEnd w:id="121"/>
      <w:bookmarkEnd w:id="122"/>
      <w:r>
        <w:rPr>
          <w:rFonts w:hint="eastAsia" w:asciiTheme="minorEastAsia" w:hAnsiTheme="minorEastAsia" w:eastAsiaTheme="minorEastAsia" w:cstheme="minorEastAsia"/>
          <w:color w:val="auto"/>
          <w:sz w:val="36"/>
          <w:szCs w:val="36"/>
        </w:rPr>
        <w:t>格式</w:t>
      </w:r>
      <w:bookmarkEnd w:id="123"/>
    </w:p>
    <w:p>
      <w:pPr>
        <w:spacing w:line="360" w:lineRule="auto"/>
        <w:jc w:val="center"/>
        <w:rPr>
          <w:rFonts w:asciiTheme="minorEastAsia" w:hAnsiTheme="minorEastAsia" w:eastAsiaTheme="minorEastAsia"/>
          <w:b/>
          <w:color w:val="auto"/>
          <w:sz w:val="32"/>
          <w:szCs w:val="32"/>
          <w:u w:val="double"/>
        </w:rPr>
      </w:pPr>
      <w:r>
        <w:rPr>
          <w:rFonts w:hint="eastAsia" w:asciiTheme="minorEastAsia" w:hAnsiTheme="minorEastAsia" w:eastAsiaTheme="minorEastAsia"/>
          <w:b/>
          <w:color w:val="auto"/>
          <w:sz w:val="32"/>
          <w:szCs w:val="32"/>
          <w:u w:val="double"/>
        </w:rPr>
        <w:t>供 货 协 议（适用于进口产品）</w:t>
      </w:r>
    </w:p>
    <w:p>
      <w:pPr>
        <w:spacing w:line="360" w:lineRule="auto"/>
        <w:rPr>
          <w:rFonts w:asciiTheme="minorEastAsia" w:hAnsiTheme="minorEastAsia" w:eastAsiaTheme="minorEastAsia"/>
          <w:color w:val="auto"/>
          <w:sz w:val="24"/>
        </w:rPr>
      </w:pPr>
      <w:r>
        <w:rPr>
          <w:rFonts w:hint="eastAsia" w:asciiTheme="minorEastAsia" w:hAnsiTheme="minorEastAsia" w:eastAsiaTheme="minorEastAsia"/>
          <w:color w:val="auto"/>
          <w:sz w:val="24"/>
        </w:rPr>
        <w:t>协议号：</w:t>
      </w:r>
    </w:p>
    <w:p>
      <w:pPr>
        <w:spacing w:line="360" w:lineRule="auto"/>
        <w:rPr>
          <w:rFonts w:asciiTheme="minorEastAsia" w:hAnsiTheme="minorEastAsia" w:eastAsiaTheme="minorEastAsia"/>
          <w:color w:val="auto"/>
          <w:sz w:val="24"/>
          <w:u w:val="single"/>
        </w:rPr>
      </w:pPr>
      <w:r>
        <w:rPr>
          <w:rFonts w:hint="eastAsia" w:asciiTheme="minorEastAsia" w:hAnsiTheme="minorEastAsia" w:eastAsiaTheme="minorEastAsia"/>
          <w:color w:val="auto"/>
          <w:sz w:val="24"/>
        </w:rPr>
        <w:t xml:space="preserve">项目编号：                                                                                        </w:t>
      </w:r>
    </w:p>
    <w:p>
      <w:pPr>
        <w:spacing w:line="360" w:lineRule="auto"/>
        <w:ind w:firstLine="4080" w:firstLineChars="1700"/>
        <w:rPr>
          <w:rFonts w:asciiTheme="minorEastAsia" w:hAnsiTheme="minorEastAsia" w:eastAsiaTheme="minorEastAsia"/>
          <w:color w:val="auto"/>
          <w:sz w:val="24"/>
          <w:u w:val="single"/>
        </w:rPr>
      </w:pPr>
      <w:r>
        <w:rPr>
          <w:rFonts w:hint="eastAsia" w:asciiTheme="minorEastAsia" w:hAnsiTheme="minorEastAsia" w:eastAsiaTheme="minorEastAsia"/>
          <w:color w:val="auto"/>
          <w:sz w:val="24"/>
          <w:u w:val="single"/>
        </w:rPr>
        <w:t xml:space="preserve"> </w:t>
      </w:r>
    </w:p>
    <w:p>
      <w:pPr>
        <w:spacing w:line="360" w:lineRule="auto"/>
        <w:rPr>
          <w:rFonts w:asciiTheme="minorEastAsia" w:hAnsiTheme="minorEastAsia" w:eastAsiaTheme="minorEastAsia"/>
          <w:b/>
          <w:color w:val="auto"/>
          <w:sz w:val="24"/>
        </w:rPr>
      </w:pPr>
      <w:r>
        <w:rPr>
          <w:rFonts w:hint="eastAsia" w:asciiTheme="minorEastAsia" w:hAnsiTheme="minorEastAsia" w:eastAsiaTheme="minorEastAsia"/>
          <w:b/>
          <w:color w:val="auto"/>
          <w:sz w:val="24"/>
        </w:rPr>
        <w:t>购货单位：</w:t>
      </w:r>
      <w:r>
        <w:rPr>
          <w:rFonts w:hint="eastAsia" w:asciiTheme="minorEastAsia" w:hAnsiTheme="minorEastAsia" w:eastAsiaTheme="minorEastAsia"/>
          <w:b/>
          <w:color w:val="auto"/>
          <w:sz w:val="24"/>
          <w:u w:val="single"/>
        </w:rPr>
        <w:t>湖北工业大学</w:t>
      </w:r>
      <w:r>
        <w:rPr>
          <w:rFonts w:hint="eastAsia" w:asciiTheme="minorEastAsia" w:hAnsiTheme="minorEastAsia" w:eastAsiaTheme="minorEastAsia"/>
          <w:b/>
          <w:color w:val="auto"/>
          <w:sz w:val="24"/>
        </w:rPr>
        <w:t>（以下简称甲方）</w:t>
      </w:r>
    </w:p>
    <w:p>
      <w:pPr>
        <w:spacing w:line="360" w:lineRule="auto"/>
        <w:rPr>
          <w:rFonts w:asciiTheme="minorEastAsia" w:hAnsiTheme="minorEastAsia" w:eastAsiaTheme="minorEastAsia"/>
          <w:b/>
          <w:color w:val="auto"/>
          <w:sz w:val="24"/>
        </w:rPr>
      </w:pPr>
      <w:r>
        <w:rPr>
          <w:rFonts w:hint="eastAsia" w:asciiTheme="minorEastAsia" w:hAnsiTheme="minorEastAsia" w:eastAsiaTheme="minorEastAsia"/>
          <w:b/>
          <w:color w:val="auto"/>
          <w:sz w:val="24"/>
        </w:rPr>
        <w:t>住所：武汉市洪山区南李路28号</w:t>
      </w:r>
    </w:p>
    <w:p>
      <w:pPr>
        <w:spacing w:line="360" w:lineRule="auto"/>
        <w:rPr>
          <w:rFonts w:asciiTheme="minorEastAsia" w:hAnsiTheme="minorEastAsia" w:eastAsiaTheme="minorEastAsia"/>
          <w:b/>
          <w:color w:val="auto"/>
          <w:sz w:val="24"/>
        </w:rPr>
      </w:pPr>
      <w:r>
        <w:rPr>
          <w:rFonts w:hint="eastAsia" w:asciiTheme="minorEastAsia" w:hAnsiTheme="minorEastAsia" w:eastAsiaTheme="minorEastAsia"/>
          <w:b/>
          <w:color w:val="auto"/>
          <w:sz w:val="24"/>
        </w:rPr>
        <w:t>法定代表人：彭育园</w:t>
      </w:r>
    </w:p>
    <w:p>
      <w:pPr>
        <w:spacing w:line="360" w:lineRule="auto"/>
        <w:rPr>
          <w:rFonts w:asciiTheme="minorEastAsia" w:hAnsiTheme="minorEastAsia" w:eastAsiaTheme="minorEastAsia"/>
          <w:b/>
          <w:color w:val="auto"/>
          <w:sz w:val="24"/>
        </w:rPr>
      </w:pPr>
      <w:r>
        <w:rPr>
          <w:rFonts w:hint="eastAsia" w:asciiTheme="minorEastAsia" w:hAnsiTheme="minorEastAsia" w:eastAsiaTheme="minorEastAsia"/>
          <w:b/>
          <w:color w:val="auto"/>
          <w:sz w:val="24"/>
        </w:rPr>
        <w:t xml:space="preserve"> </w:t>
      </w:r>
    </w:p>
    <w:p>
      <w:pPr>
        <w:spacing w:line="360" w:lineRule="auto"/>
        <w:rPr>
          <w:rFonts w:asciiTheme="minorEastAsia" w:hAnsiTheme="minorEastAsia" w:eastAsiaTheme="minorEastAsia"/>
          <w:b/>
          <w:color w:val="auto"/>
          <w:sz w:val="24"/>
        </w:rPr>
      </w:pPr>
      <w:r>
        <w:rPr>
          <w:rFonts w:hint="eastAsia" w:asciiTheme="minorEastAsia" w:hAnsiTheme="minorEastAsia" w:eastAsiaTheme="minorEastAsia"/>
          <w:b/>
          <w:color w:val="auto"/>
          <w:sz w:val="24"/>
        </w:rPr>
        <w:t>供货单位：</w:t>
      </w:r>
      <w:r>
        <w:rPr>
          <w:rFonts w:hint="eastAsia" w:asciiTheme="minorEastAsia" w:hAnsiTheme="minorEastAsia" w:eastAsiaTheme="minorEastAsia"/>
          <w:b/>
          <w:color w:val="auto"/>
          <w:sz w:val="24"/>
          <w:u w:val="single"/>
        </w:rPr>
        <w:t xml:space="preserve">               </w:t>
      </w:r>
      <w:r>
        <w:rPr>
          <w:rFonts w:hint="eastAsia" w:asciiTheme="minorEastAsia" w:hAnsiTheme="minorEastAsia" w:eastAsiaTheme="minorEastAsia"/>
          <w:b/>
          <w:color w:val="auto"/>
          <w:sz w:val="24"/>
        </w:rPr>
        <w:t>（以下简称乙方）</w:t>
      </w:r>
    </w:p>
    <w:p>
      <w:pPr>
        <w:spacing w:line="360" w:lineRule="auto"/>
        <w:rPr>
          <w:rFonts w:asciiTheme="minorEastAsia" w:hAnsiTheme="minorEastAsia" w:eastAsiaTheme="minorEastAsia"/>
          <w:b/>
          <w:color w:val="auto"/>
          <w:sz w:val="24"/>
        </w:rPr>
      </w:pPr>
      <w:r>
        <w:rPr>
          <w:rFonts w:hint="eastAsia" w:asciiTheme="minorEastAsia" w:hAnsiTheme="minorEastAsia" w:eastAsiaTheme="minorEastAsia"/>
          <w:b/>
          <w:color w:val="auto"/>
          <w:sz w:val="24"/>
        </w:rPr>
        <w:t>住所：</w:t>
      </w:r>
    </w:p>
    <w:p>
      <w:pPr>
        <w:spacing w:line="360" w:lineRule="auto"/>
        <w:rPr>
          <w:rFonts w:asciiTheme="minorEastAsia" w:hAnsiTheme="minorEastAsia" w:eastAsiaTheme="minorEastAsia"/>
          <w:b/>
          <w:color w:val="auto"/>
          <w:sz w:val="24"/>
        </w:rPr>
      </w:pPr>
      <w:r>
        <w:rPr>
          <w:rFonts w:hint="eastAsia" w:asciiTheme="minorEastAsia" w:hAnsiTheme="minorEastAsia" w:eastAsiaTheme="minorEastAsia"/>
          <w:b/>
          <w:color w:val="auto"/>
          <w:sz w:val="24"/>
        </w:rPr>
        <w:t>法定代表人：</w:t>
      </w:r>
    </w:p>
    <w:p>
      <w:pPr>
        <w:spacing w:line="360" w:lineRule="auto"/>
        <w:rPr>
          <w:rFonts w:asciiTheme="minorEastAsia" w:hAnsiTheme="minorEastAsia" w:eastAsiaTheme="minorEastAsia"/>
          <w:b/>
          <w:color w:val="auto"/>
          <w:sz w:val="24"/>
        </w:rPr>
      </w:pPr>
      <w:r>
        <w:rPr>
          <w:rFonts w:hint="eastAsia" w:asciiTheme="minorEastAsia" w:hAnsiTheme="minorEastAsia" w:eastAsiaTheme="minorEastAsia"/>
          <w:b/>
          <w:color w:val="auto"/>
          <w:sz w:val="24"/>
        </w:rPr>
        <w:t xml:space="preserve"> </w:t>
      </w:r>
    </w:p>
    <w:p>
      <w:pPr>
        <w:pStyle w:val="13"/>
        <w:spacing w:line="360" w:lineRule="auto"/>
        <w:ind w:left="0" w:leftChars="0" w:firstLine="420" w:firstLineChars="175"/>
        <w:rPr>
          <w:rFonts w:asciiTheme="minorEastAsia" w:hAnsiTheme="minorEastAsia" w:eastAsiaTheme="minorEastAsia"/>
          <w:color w:val="auto"/>
          <w:sz w:val="24"/>
        </w:rPr>
      </w:pPr>
      <w:r>
        <w:rPr>
          <w:rFonts w:hint="eastAsia" w:asciiTheme="minorEastAsia" w:hAnsiTheme="minorEastAsia" w:eastAsiaTheme="minorEastAsia"/>
          <w:color w:val="auto"/>
          <w:sz w:val="24"/>
        </w:rPr>
        <w:t>甲乙双方根据《中华人民共和国民法典》相关规定，为增强双方的责任，经甲乙双方友好协商一致，特订立本协议，以资甲乙双方共同遵守。</w:t>
      </w:r>
    </w:p>
    <w:p>
      <w:pPr>
        <w:spacing w:line="360" w:lineRule="auto"/>
        <w:ind w:left="360"/>
        <w:rPr>
          <w:rFonts w:asciiTheme="minorEastAsia" w:hAnsiTheme="minorEastAsia" w:eastAsiaTheme="minorEastAsia"/>
          <w:b/>
          <w:bCs/>
          <w:color w:val="auto"/>
          <w:sz w:val="24"/>
        </w:rPr>
      </w:pPr>
      <w:r>
        <w:rPr>
          <w:rFonts w:hint="eastAsia" w:asciiTheme="minorEastAsia" w:hAnsiTheme="minorEastAsia" w:eastAsiaTheme="minorEastAsia"/>
          <w:b/>
          <w:color w:val="auto"/>
          <w:sz w:val="24"/>
        </w:rPr>
        <w:t>一、设备名称、规格、配置、数量及价格如下</w:t>
      </w:r>
      <w:r>
        <w:rPr>
          <w:rFonts w:hint="eastAsia" w:asciiTheme="minorEastAsia" w:hAnsiTheme="minorEastAsia" w:eastAsiaTheme="minorEastAsia"/>
          <w:b/>
          <w:bCs/>
          <w:color w:val="auto"/>
          <w:sz w:val="24"/>
        </w:rPr>
        <w:t>:</w:t>
      </w:r>
    </w:p>
    <w:tbl>
      <w:tblPr>
        <w:tblStyle w:val="26"/>
        <w:tblW w:w="934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388"/>
        <w:gridCol w:w="1288"/>
        <w:gridCol w:w="757"/>
        <w:gridCol w:w="736"/>
        <w:gridCol w:w="768"/>
        <w:gridCol w:w="2243"/>
        <w:gridCol w:w="727"/>
        <w:gridCol w:w="962"/>
        <w:gridCol w:w="1455"/>
        <w:gridCol w:w="1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16" w:type="dxa"/>
          <w:trHeight w:val="569" w:hRule="atLeast"/>
          <w:jc w:val="center"/>
        </w:trPr>
        <w:tc>
          <w:tcPr>
            <w:tcW w:w="388" w:type="dxa"/>
            <w:tcBorders>
              <w:top w:val="single" w:color="auto" w:sz="4" w:space="0"/>
              <w:left w:val="single" w:color="auto" w:sz="4" w:space="0"/>
              <w:bottom w:val="single" w:color="auto" w:sz="4" w:space="0"/>
              <w:right w:val="single" w:color="auto" w:sz="4" w:space="0"/>
            </w:tcBorders>
            <w:vAlign w:val="center"/>
          </w:tcPr>
          <w:p>
            <w:pPr>
              <w:kinsoku w:val="0"/>
              <w:overflowPunct w:val="0"/>
              <w:autoSpaceDE w:val="0"/>
              <w:autoSpaceDN w:val="0"/>
              <w:adjustRightInd w:val="0"/>
              <w:snapToGrid w:val="0"/>
              <w:rPr>
                <w:rFonts w:asciiTheme="minorEastAsia" w:hAnsiTheme="minorEastAsia" w:eastAsiaTheme="minorEastAsia"/>
                <w:b/>
                <w:bCs/>
                <w:color w:val="auto"/>
                <w:kern w:val="0"/>
                <w:sz w:val="24"/>
              </w:rPr>
            </w:pPr>
          </w:p>
        </w:tc>
        <w:tc>
          <w:tcPr>
            <w:tcW w:w="1288" w:type="dxa"/>
            <w:tcBorders>
              <w:top w:val="single" w:color="auto" w:sz="4" w:space="0"/>
              <w:left w:val="nil"/>
              <w:bottom w:val="single" w:color="auto" w:sz="4" w:space="0"/>
              <w:right w:val="single" w:color="auto" w:sz="4" w:space="0"/>
            </w:tcBorders>
            <w:vAlign w:val="center"/>
          </w:tcPr>
          <w:p>
            <w:pPr>
              <w:kinsoku w:val="0"/>
              <w:overflowPunct w:val="0"/>
              <w:autoSpaceDE w:val="0"/>
              <w:autoSpaceDN w:val="0"/>
              <w:adjustRightInd w:val="0"/>
              <w:snapToGrid w:val="0"/>
              <w:rPr>
                <w:rFonts w:asciiTheme="minorEastAsia" w:hAnsiTheme="minorEastAsia" w:eastAsiaTheme="minorEastAsia"/>
                <w:b/>
                <w:bCs/>
                <w:color w:val="auto"/>
                <w:kern w:val="0"/>
                <w:sz w:val="24"/>
              </w:rPr>
            </w:pPr>
            <w:r>
              <w:rPr>
                <w:rFonts w:hint="eastAsia" w:asciiTheme="minorEastAsia" w:hAnsiTheme="minorEastAsia" w:eastAsiaTheme="minorEastAsia"/>
                <w:b/>
                <w:bCs/>
                <w:color w:val="auto"/>
                <w:kern w:val="0"/>
                <w:sz w:val="24"/>
              </w:rPr>
              <w:t>设备名称</w:t>
            </w:r>
          </w:p>
        </w:tc>
        <w:tc>
          <w:tcPr>
            <w:tcW w:w="757" w:type="dxa"/>
            <w:tcBorders>
              <w:top w:val="single" w:color="auto" w:sz="4" w:space="0"/>
              <w:left w:val="nil"/>
              <w:bottom w:val="single" w:color="auto" w:sz="4" w:space="0"/>
              <w:right w:val="single" w:color="auto" w:sz="4" w:space="0"/>
            </w:tcBorders>
            <w:vAlign w:val="center"/>
          </w:tcPr>
          <w:p>
            <w:pPr>
              <w:kinsoku w:val="0"/>
              <w:overflowPunct w:val="0"/>
              <w:autoSpaceDE w:val="0"/>
              <w:autoSpaceDN w:val="0"/>
              <w:adjustRightInd w:val="0"/>
              <w:snapToGrid w:val="0"/>
              <w:jc w:val="center"/>
              <w:rPr>
                <w:rFonts w:asciiTheme="minorEastAsia" w:hAnsiTheme="minorEastAsia" w:eastAsiaTheme="minorEastAsia"/>
                <w:b/>
                <w:bCs/>
                <w:color w:val="auto"/>
                <w:kern w:val="0"/>
                <w:sz w:val="24"/>
              </w:rPr>
            </w:pPr>
            <w:r>
              <w:rPr>
                <w:rFonts w:hint="eastAsia" w:asciiTheme="minorEastAsia" w:hAnsiTheme="minorEastAsia" w:eastAsiaTheme="minorEastAsia"/>
                <w:b/>
                <w:bCs/>
                <w:color w:val="auto"/>
                <w:kern w:val="0"/>
                <w:sz w:val="24"/>
              </w:rPr>
              <w:t>品牌</w:t>
            </w:r>
          </w:p>
        </w:tc>
        <w:tc>
          <w:tcPr>
            <w:tcW w:w="736" w:type="dxa"/>
            <w:tcBorders>
              <w:top w:val="single" w:color="auto" w:sz="4" w:space="0"/>
              <w:left w:val="nil"/>
              <w:bottom w:val="single" w:color="auto" w:sz="4" w:space="0"/>
              <w:right w:val="single" w:color="auto" w:sz="4" w:space="0"/>
            </w:tcBorders>
            <w:vAlign w:val="center"/>
          </w:tcPr>
          <w:p>
            <w:pPr>
              <w:kinsoku w:val="0"/>
              <w:overflowPunct w:val="0"/>
              <w:autoSpaceDE w:val="0"/>
              <w:autoSpaceDN w:val="0"/>
              <w:adjustRightInd w:val="0"/>
              <w:snapToGrid w:val="0"/>
              <w:jc w:val="center"/>
              <w:rPr>
                <w:rFonts w:asciiTheme="minorEastAsia" w:hAnsiTheme="minorEastAsia" w:eastAsiaTheme="minorEastAsia"/>
                <w:b/>
                <w:bCs/>
                <w:color w:val="auto"/>
                <w:kern w:val="0"/>
                <w:sz w:val="24"/>
              </w:rPr>
            </w:pPr>
            <w:r>
              <w:rPr>
                <w:rFonts w:hint="eastAsia" w:asciiTheme="minorEastAsia" w:hAnsiTheme="minorEastAsia" w:eastAsiaTheme="minorEastAsia"/>
                <w:b/>
                <w:bCs/>
                <w:color w:val="auto"/>
                <w:kern w:val="0"/>
                <w:sz w:val="24"/>
              </w:rPr>
              <w:t>型号</w:t>
            </w:r>
          </w:p>
        </w:tc>
        <w:tc>
          <w:tcPr>
            <w:tcW w:w="768" w:type="dxa"/>
            <w:tcBorders>
              <w:top w:val="single" w:color="auto" w:sz="4" w:space="0"/>
              <w:left w:val="nil"/>
              <w:bottom w:val="single" w:color="auto" w:sz="4" w:space="0"/>
              <w:right w:val="single" w:color="auto" w:sz="4" w:space="0"/>
            </w:tcBorders>
            <w:vAlign w:val="center"/>
          </w:tcPr>
          <w:p>
            <w:pPr>
              <w:kinsoku w:val="0"/>
              <w:overflowPunct w:val="0"/>
              <w:autoSpaceDE w:val="0"/>
              <w:autoSpaceDN w:val="0"/>
              <w:adjustRightInd w:val="0"/>
              <w:snapToGrid w:val="0"/>
              <w:jc w:val="center"/>
              <w:rPr>
                <w:rFonts w:asciiTheme="minorEastAsia" w:hAnsiTheme="minorEastAsia" w:eastAsiaTheme="minorEastAsia"/>
                <w:b/>
                <w:bCs/>
                <w:color w:val="auto"/>
                <w:kern w:val="0"/>
                <w:sz w:val="24"/>
              </w:rPr>
            </w:pPr>
            <w:r>
              <w:rPr>
                <w:rFonts w:hint="eastAsia" w:asciiTheme="minorEastAsia" w:hAnsiTheme="minorEastAsia" w:eastAsiaTheme="minorEastAsia"/>
                <w:b/>
                <w:bCs/>
                <w:color w:val="auto"/>
                <w:kern w:val="0"/>
                <w:sz w:val="24"/>
              </w:rPr>
              <w:t>产地</w:t>
            </w:r>
          </w:p>
        </w:tc>
        <w:tc>
          <w:tcPr>
            <w:tcW w:w="2243" w:type="dxa"/>
            <w:tcBorders>
              <w:top w:val="single" w:color="auto" w:sz="4" w:space="0"/>
              <w:left w:val="nil"/>
              <w:bottom w:val="single" w:color="auto" w:sz="4" w:space="0"/>
              <w:right w:val="single" w:color="auto" w:sz="4" w:space="0"/>
            </w:tcBorders>
            <w:vAlign w:val="center"/>
          </w:tcPr>
          <w:p>
            <w:pPr>
              <w:kinsoku w:val="0"/>
              <w:overflowPunct w:val="0"/>
              <w:autoSpaceDE w:val="0"/>
              <w:autoSpaceDN w:val="0"/>
              <w:adjustRightInd w:val="0"/>
              <w:snapToGrid w:val="0"/>
              <w:jc w:val="center"/>
              <w:rPr>
                <w:rFonts w:asciiTheme="minorEastAsia" w:hAnsiTheme="minorEastAsia" w:eastAsiaTheme="minorEastAsia"/>
                <w:b/>
                <w:bCs/>
                <w:color w:val="auto"/>
                <w:kern w:val="0"/>
                <w:sz w:val="24"/>
              </w:rPr>
            </w:pPr>
            <w:r>
              <w:rPr>
                <w:rFonts w:hint="eastAsia" w:asciiTheme="minorEastAsia" w:hAnsiTheme="minorEastAsia" w:eastAsiaTheme="minorEastAsia"/>
                <w:b/>
                <w:bCs/>
                <w:color w:val="auto"/>
                <w:kern w:val="0"/>
                <w:sz w:val="24"/>
              </w:rPr>
              <w:t>配置/技术参数</w:t>
            </w:r>
          </w:p>
        </w:tc>
        <w:tc>
          <w:tcPr>
            <w:tcW w:w="727" w:type="dxa"/>
            <w:tcBorders>
              <w:top w:val="single" w:color="auto" w:sz="4" w:space="0"/>
              <w:left w:val="nil"/>
              <w:bottom w:val="single" w:color="auto" w:sz="4" w:space="0"/>
              <w:right w:val="single" w:color="auto" w:sz="4" w:space="0"/>
            </w:tcBorders>
            <w:vAlign w:val="center"/>
          </w:tcPr>
          <w:p>
            <w:pPr>
              <w:kinsoku w:val="0"/>
              <w:overflowPunct w:val="0"/>
              <w:autoSpaceDE w:val="0"/>
              <w:autoSpaceDN w:val="0"/>
              <w:adjustRightInd w:val="0"/>
              <w:snapToGrid w:val="0"/>
              <w:jc w:val="center"/>
              <w:rPr>
                <w:rFonts w:asciiTheme="minorEastAsia" w:hAnsiTheme="minorEastAsia" w:eastAsiaTheme="minorEastAsia"/>
                <w:b/>
                <w:bCs/>
                <w:color w:val="auto"/>
                <w:kern w:val="0"/>
                <w:sz w:val="24"/>
              </w:rPr>
            </w:pPr>
            <w:r>
              <w:rPr>
                <w:rFonts w:hint="eastAsia" w:asciiTheme="minorEastAsia" w:hAnsiTheme="minorEastAsia" w:eastAsiaTheme="minorEastAsia"/>
                <w:b/>
                <w:bCs/>
                <w:color w:val="auto"/>
                <w:kern w:val="0"/>
                <w:sz w:val="24"/>
              </w:rPr>
              <w:t>数量</w:t>
            </w:r>
          </w:p>
        </w:tc>
        <w:tc>
          <w:tcPr>
            <w:tcW w:w="962" w:type="dxa"/>
            <w:tcBorders>
              <w:top w:val="single" w:color="auto" w:sz="4" w:space="0"/>
              <w:left w:val="nil"/>
              <w:bottom w:val="single" w:color="auto" w:sz="4" w:space="0"/>
              <w:right w:val="single" w:color="auto" w:sz="4" w:space="0"/>
            </w:tcBorders>
            <w:vAlign w:val="center"/>
          </w:tcPr>
          <w:p>
            <w:pPr>
              <w:kinsoku w:val="0"/>
              <w:overflowPunct w:val="0"/>
              <w:autoSpaceDE w:val="0"/>
              <w:autoSpaceDN w:val="0"/>
              <w:adjustRightInd w:val="0"/>
              <w:snapToGrid w:val="0"/>
              <w:jc w:val="center"/>
              <w:rPr>
                <w:rFonts w:asciiTheme="minorEastAsia" w:hAnsiTheme="minorEastAsia" w:eastAsiaTheme="minorEastAsia"/>
                <w:b/>
                <w:bCs/>
                <w:color w:val="auto"/>
                <w:kern w:val="0"/>
                <w:sz w:val="24"/>
              </w:rPr>
            </w:pPr>
            <w:r>
              <w:rPr>
                <w:rFonts w:hint="eastAsia" w:asciiTheme="minorEastAsia" w:hAnsiTheme="minorEastAsia" w:eastAsiaTheme="minorEastAsia"/>
                <w:b/>
                <w:bCs/>
                <w:color w:val="auto"/>
                <w:kern w:val="0"/>
                <w:sz w:val="24"/>
              </w:rPr>
              <w:t>单价</w:t>
            </w:r>
          </w:p>
          <w:p>
            <w:pPr>
              <w:kinsoku w:val="0"/>
              <w:overflowPunct w:val="0"/>
              <w:autoSpaceDE w:val="0"/>
              <w:autoSpaceDN w:val="0"/>
              <w:adjustRightInd w:val="0"/>
              <w:snapToGrid w:val="0"/>
              <w:jc w:val="center"/>
              <w:rPr>
                <w:rFonts w:asciiTheme="minorEastAsia" w:hAnsiTheme="minorEastAsia" w:eastAsiaTheme="minorEastAsia"/>
                <w:b/>
                <w:bCs/>
                <w:color w:val="auto"/>
                <w:kern w:val="0"/>
                <w:sz w:val="24"/>
              </w:rPr>
            </w:pPr>
            <w:r>
              <w:rPr>
                <w:rFonts w:hint="eastAsia" w:asciiTheme="minorEastAsia" w:hAnsiTheme="minorEastAsia" w:eastAsiaTheme="minorEastAsia"/>
                <w:b/>
                <w:bCs/>
                <w:color w:val="auto"/>
                <w:kern w:val="0"/>
                <w:sz w:val="24"/>
              </w:rPr>
              <w:t>（元）</w:t>
            </w:r>
          </w:p>
        </w:tc>
        <w:tc>
          <w:tcPr>
            <w:tcW w:w="1455" w:type="dxa"/>
            <w:tcBorders>
              <w:top w:val="single" w:color="auto" w:sz="4" w:space="0"/>
              <w:left w:val="nil"/>
              <w:bottom w:val="single" w:color="auto" w:sz="4" w:space="0"/>
              <w:right w:val="single" w:color="auto" w:sz="4" w:space="0"/>
            </w:tcBorders>
            <w:vAlign w:val="center"/>
          </w:tcPr>
          <w:p>
            <w:pPr>
              <w:kinsoku w:val="0"/>
              <w:overflowPunct w:val="0"/>
              <w:autoSpaceDE w:val="0"/>
              <w:autoSpaceDN w:val="0"/>
              <w:adjustRightInd w:val="0"/>
              <w:snapToGrid w:val="0"/>
              <w:jc w:val="center"/>
              <w:rPr>
                <w:rFonts w:asciiTheme="minorEastAsia" w:hAnsiTheme="minorEastAsia" w:eastAsiaTheme="minorEastAsia"/>
                <w:b/>
                <w:bCs/>
                <w:color w:val="auto"/>
                <w:kern w:val="0"/>
                <w:sz w:val="24"/>
              </w:rPr>
            </w:pPr>
            <w:r>
              <w:rPr>
                <w:rFonts w:hint="eastAsia" w:asciiTheme="minorEastAsia" w:hAnsiTheme="minorEastAsia" w:eastAsiaTheme="minorEastAsia"/>
                <w:b/>
                <w:bCs/>
                <w:color w:val="auto"/>
                <w:kern w:val="0"/>
                <w:sz w:val="24"/>
              </w:rPr>
              <w:t>小计（元）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16" w:type="dxa"/>
          <w:cantSplit/>
          <w:trHeight w:val="429" w:hRule="atLeast"/>
          <w:jc w:val="center"/>
        </w:trPr>
        <w:tc>
          <w:tcPr>
            <w:tcW w:w="388" w:type="dxa"/>
            <w:tcBorders>
              <w:top w:val="single" w:color="auto" w:sz="4" w:space="0"/>
              <w:left w:val="single" w:color="auto" w:sz="4" w:space="0"/>
              <w:bottom w:val="single" w:color="auto" w:sz="4" w:space="0"/>
              <w:right w:val="single" w:color="auto" w:sz="4" w:space="0"/>
            </w:tcBorders>
            <w:vAlign w:val="center"/>
          </w:tcPr>
          <w:p>
            <w:pPr>
              <w:adjustRightInd w:val="0"/>
              <w:snapToGrid w:val="0"/>
              <w:jc w:val="center"/>
              <w:rPr>
                <w:rFonts w:asciiTheme="minorEastAsia" w:hAnsiTheme="minorEastAsia" w:eastAsiaTheme="minorEastAsia"/>
                <w:color w:val="auto"/>
                <w:kern w:val="0"/>
                <w:sz w:val="24"/>
              </w:rPr>
            </w:pPr>
          </w:p>
        </w:tc>
        <w:tc>
          <w:tcPr>
            <w:tcW w:w="1288" w:type="dxa"/>
            <w:tcBorders>
              <w:top w:val="single" w:color="auto" w:sz="4" w:space="0"/>
              <w:left w:val="nil"/>
              <w:bottom w:val="single" w:color="auto" w:sz="4" w:space="0"/>
              <w:right w:val="single" w:color="auto" w:sz="4" w:space="0"/>
            </w:tcBorders>
            <w:vAlign w:val="center"/>
          </w:tcPr>
          <w:p>
            <w:pPr>
              <w:adjustRightInd w:val="0"/>
              <w:snapToGrid w:val="0"/>
              <w:jc w:val="center"/>
              <w:rPr>
                <w:rFonts w:asciiTheme="minorEastAsia" w:hAnsiTheme="minorEastAsia" w:eastAsiaTheme="minorEastAsia"/>
                <w:color w:val="auto"/>
                <w:kern w:val="0"/>
                <w:sz w:val="24"/>
              </w:rPr>
            </w:pPr>
          </w:p>
        </w:tc>
        <w:tc>
          <w:tcPr>
            <w:tcW w:w="757" w:type="dxa"/>
            <w:tcBorders>
              <w:top w:val="single" w:color="auto" w:sz="4" w:space="0"/>
              <w:left w:val="nil"/>
              <w:bottom w:val="single" w:color="auto" w:sz="4" w:space="0"/>
              <w:right w:val="single" w:color="auto" w:sz="4" w:space="0"/>
            </w:tcBorders>
            <w:vAlign w:val="center"/>
          </w:tcPr>
          <w:p>
            <w:pPr>
              <w:adjustRightInd w:val="0"/>
              <w:snapToGrid w:val="0"/>
              <w:jc w:val="center"/>
              <w:rPr>
                <w:rFonts w:asciiTheme="minorEastAsia" w:hAnsiTheme="minorEastAsia" w:eastAsiaTheme="minorEastAsia"/>
                <w:color w:val="auto"/>
                <w:kern w:val="0"/>
                <w:sz w:val="24"/>
              </w:rPr>
            </w:pPr>
          </w:p>
        </w:tc>
        <w:tc>
          <w:tcPr>
            <w:tcW w:w="736" w:type="dxa"/>
            <w:tcBorders>
              <w:top w:val="single" w:color="auto" w:sz="4" w:space="0"/>
              <w:left w:val="nil"/>
              <w:bottom w:val="single" w:color="auto" w:sz="4" w:space="0"/>
              <w:right w:val="single" w:color="auto" w:sz="4" w:space="0"/>
            </w:tcBorders>
            <w:vAlign w:val="center"/>
          </w:tcPr>
          <w:p>
            <w:pPr>
              <w:adjustRightInd w:val="0"/>
              <w:snapToGrid w:val="0"/>
              <w:jc w:val="center"/>
              <w:rPr>
                <w:rFonts w:asciiTheme="minorEastAsia" w:hAnsiTheme="minorEastAsia" w:eastAsiaTheme="minorEastAsia"/>
                <w:color w:val="auto"/>
                <w:kern w:val="0"/>
                <w:sz w:val="24"/>
              </w:rPr>
            </w:pPr>
          </w:p>
        </w:tc>
        <w:tc>
          <w:tcPr>
            <w:tcW w:w="768" w:type="dxa"/>
            <w:tcBorders>
              <w:top w:val="single" w:color="auto" w:sz="4" w:space="0"/>
              <w:left w:val="nil"/>
              <w:bottom w:val="single" w:color="auto" w:sz="4" w:space="0"/>
              <w:right w:val="single" w:color="auto" w:sz="4" w:space="0"/>
            </w:tcBorders>
            <w:vAlign w:val="center"/>
          </w:tcPr>
          <w:p>
            <w:pPr>
              <w:adjustRightInd w:val="0"/>
              <w:snapToGrid w:val="0"/>
              <w:jc w:val="center"/>
              <w:rPr>
                <w:rFonts w:asciiTheme="minorEastAsia" w:hAnsiTheme="minorEastAsia" w:eastAsiaTheme="minorEastAsia"/>
                <w:color w:val="auto"/>
                <w:kern w:val="0"/>
                <w:sz w:val="24"/>
              </w:rPr>
            </w:pPr>
          </w:p>
        </w:tc>
        <w:tc>
          <w:tcPr>
            <w:tcW w:w="2243" w:type="dxa"/>
            <w:tcBorders>
              <w:top w:val="single" w:color="auto" w:sz="4" w:space="0"/>
              <w:left w:val="nil"/>
              <w:bottom w:val="single" w:color="auto" w:sz="4" w:space="0"/>
              <w:right w:val="single" w:color="auto" w:sz="4" w:space="0"/>
            </w:tcBorders>
            <w:vAlign w:val="center"/>
          </w:tcPr>
          <w:p>
            <w:pPr>
              <w:adjustRightInd w:val="0"/>
              <w:snapToGrid w:val="0"/>
              <w:rPr>
                <w:rFonts w:asciiTheme="minorEastAsia" w:hAnsiTheme="minorEastAsia" w:eastAsiaTheme="minorEastAsia"/>
                <w:color w:val="auto"/>
                <w:kern w:val="0"/>
                <w:sz w:val="24"/>
              </w:rPr>
            </w:pPr>
          </w:p>
        </w:tc>
        <w:tc>
          <w:tcPr>
            <w:tcW w:w="727" w:type="dxa"/>
            <w:tcBorders>
              <w:top w:val="single" w:color="auto" w:sz="4" w:space="0"/>
              <w:left w:val="nil"/>
              <w:bottom w:val="single" w:color="auto" w:sz="4" w:space="0"/>
              <w:right w:val="single" w:color="auto" w:sz="4" w:space="0"/>
            </w:tcBorders>
            <w:vAlign w:val="center"/>
          </w:tcPr>
          <w:p>
            <w:pPr>
              <w:adjustRightInd w:val="0"/>
              <w:snapToGrid w:val="0"/>
              <w:jc w:val="center"/>
              <w:rPr>
                <w:rFonts w:asciiTheme="minorEastAsia" w:hAnsiTheme="minorEastAsia" w:eastAsiaTheme="minorEastAsia"/>
                <w:color w:val="auto"/>
                <w:kern w:val="0"/>
                <w:sz w:val="24"/>
              </w:rPr>
            </w:pPr>
          </w:p>
        </w:tc>
        <w:tc>
          <w:tcPr>
            <w:tcW w:w="962" w:type="dxa"/>
            <w:tcBorders>
              <w:top w:val="single" w:color="auto" w:sz="4" w:space="0"/>
              <w:left w:val="nil"/>
              <w:bottom w:val="single" w:color="auto" w:sz="4" w:space="0"/>
              <w:right w:val="single" w:color="auto" w:sz="4" w:space="0"/>
            </w:tcBorders>
            <w:vAlign w:val="center"/>
          </w:tcPr>
          <w:p>
            <w:pPr>
              <w:adjustRightInd w:val="0"/>
              <w:snapToGrid w:val="0"/>
              <w:rPr>
                <w:rFonts w:asciiTheme="minorEastAsia" w:hAnsiTheme="minorEastAsia" w:eastAsiaTheme="minorEastAsia"/>
                <w:color w:val="auto"/>
                <w:kern w:val="0"/>
                <w:sz w:val="24"/>
              </w:rPr>
            </w:pPr>
          </w:p>
        </w:tc>
        <w:tc>
          <w:tcPr>
            <w:tcW w:w="1455" w:type="dxa"/>
            <w:tcBorders>
              <w:top w:val="single" w:color="auto" w:sz="4" w:space="0"/>
              <w:left w:val="nil"/>
              <w:bottom w:val="single" w:color="auto" w:sz="4" w:space="0"/>
              <w:right w:val="single" w:color="auto" w:sz="4" w:space="0"/>
            </w:tcBorders>
            <w:vAlign w:val="center"/>
          </w:tcPr>
          <w:p>
            <w:pPr>
              <w:adjustRightInd w:val="0"/>
              <w:snapToGrid w:val="0"/>
              <w:rPr>
                <w:rFonts w:asciiTheme="minorEastAsia" w:hAnsiTheme="minorEastAsia" w:eastAsiaTheme="minorEastAsia"/>
                <w:color w:val="auto"/>
                <w:kern w:val="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16" w:type="dxa"/>
          <w:cantSplit/>
          <w:trHeight w:val="429" w:hRule="atLeast"/>
          <w:jc w:val="center"/>
        </w:trPr>
        <w:tc>
          <w:tcPr>
            <w:tcW w:w="388" w:type="dxa"/>
            <w:tcBorders>
              <w:top w:val="single" w:color="auto" w:sz="4" w:space="0"/>
              <w:left w:val="single" w:color="auto" w:sz="4" w:space="0"/>
              <w:bottom w:val="single" w:color="auto" w:sz="4" w:space="0"/>
              <w:right w:val="single" w:color="auto" w:sz="4" w:space="0"/>
            </w:tcBorders>
            <w:vAlign w:val="center"/>
          </w:tcPr>
          <w:p>
            <w:pPr>
              <w:kinsoku w:val="0"/>
              <w:overflowPunct w:val="0"/>
              <w:autoSpaceDE w:val="0"/>
              <w:autoSpaceDN w:val="0"/>
              <w:adjustRightInd w:val="0"/>
              <w:snapToGrid w:val="0"/>
              <w:jc w:val="center"/>
              <w:rPr>
                <w:rStyle w:val="103"/>
                <w:rFonts w:asciiTheme="minorEastAsia" w:hAnsiTheme="minorEastAsia" w:eastAsiaTheme="minorEastAsia"/>
                <w:b w:val="0"/>
                <w:bCs w:val="0"/>
                <w:color w:val="auto"/>
              </w:rPr>
            </w:pPr>
          </w:p>
        </w:tc>
        <w:tc>
          <w:tcPr>
            <w:tcW w:w="1288" w:type="dxa"/>
            <w:tcBorders>
              <w:top w:val="single" w:color="auto" w:sz="4" w:space="0"/>
              <w:left w:val="nil"/>
              <w:bottom w:val="single" w:color="auto" w:sz="4" w:space="0"/>
              <w:right w:val="single" w:color="auto" w:sz="4" w:space="0"/>
            </w:tcBorders>
            <w:vAlign w:val="center"/>
          </w:tcPr>
          <w:p>
            <w:pPr>
              <w:kinsoku w:val="0"/>
              <w:overflowPunct w:val="0"/>
              <w:autoSpaceDE w:val="0"/>
              <w:autoSpaceDN w:val="0"/>
              <w:adjustRightInd w:val="0"/>
              <w:snapToGrid w:val="0"/>
              <w:jc w:val="center"/>
              <w:rPr>
                <w:rStyle w:val="103"/>
                <w:rFonts w:asciiTheme="minorEastAsia" w:hAnsiTheme="minorEastAsia" w:eastAsiaTheme="minorEastAsia"/>
                <w:b w:val="0"/>
                <w:bCs w:val="0"/>
                <w:color w:val="auto"/>
                <w:kern w:val="0"/>
                <w:sz w:val="24"/>
              </w:rPr>
            </w:pPr>
          </w:p>
        </w:tc>
        <w:tc>
          <w:tcPr>
            <w:tcW w:w="757" w:type="dxa"/>
            <w:tcBorders>
              <w:top w:val="single" w:color="auto" w:sz="4" w:space="0"/>
              <w:left w:val="nil"/>
              <w:bottom w:val="single" w:color="auto" w:sz="4" w:space="0"/>
              <w:right w:val="single" w:color="auto" w:sz="4" w:space="0"/>
            </w:tcBorders>
            <w:vAlign w:val="center"/>
          </w:tcPr>
          <w:p>
            <w:pPr>
              <w:kinsoku w:val="0"/>
              <w:overflowPunct w:val="0"/>
              <w:autoSpaceDE w:val="0"/>
              <w:autoSpaceDN w:val="0"/>
              <w:adjustRightInd w:val="0"/>
              <w:snapToGrid w:val="0"/>
              <w:jc w:val="center"/>
              <w:rPr>
                <w:rFonts w:asciiTheme="minorEastAsia" w:hAnsiTheme="minorEastAsia" w:eastAsiaTheme="minorEastAsia"/>
                <w:color w:val="auto"/>
              </w:rPr>
            </w:pPr>
          </w:p>
        </w:tc>
        <w:tc>
          <w:tcPr>
            <w:tcW w:w="736" w:type="dxa"/>
            <w:tcBorders>
              <w:top w:val="single" w:color="auto" w:sz="4" w:space="0"/>
              <w:left w:val="nil"/>
              <w:bottom w:val="single" w:color="auto" w:sz="4" w:space="0"/>
              <w:right w:val="single" w:color="auto" w:sz="4" w:space="0"/>
            </w:tcBorders>
            <w:vAlign w:val="center"/>
          </w:tcPr>
          <w:p>
            <w:pPr>
              <w:kinsoku w:val="0"/>
              <w:overflowPunct w:val="0"/>
              <w:autoSpaceDE w:val="0"/>
              <w:autoSpaceDN w:val="0"/>
              <w:adjustRightInd w:val="0"/>
              <w:snapToGrid w:val="0"/>
              <w:jc w:val="center"/>
              <w:rPr>
                <w:rFonts w:asciiTheme="minorEastAsia" w:hAnsiTheme="minorEastAsia" w:eastAsiaTheme="minorEastAsia"/>
                <w:color w:val="auto"/>
                <w:kern w:val="0"/>
                <w:sz w:val="24"/>
              </w:rPr>
            </w:pPr>
          </w:p>
        </w:tc>
        <w:tc>
          <w:tcPr>
            <w:tcW w:w="768" w:type="dxa"/>
            <w:tcBorders>
              <w:top w:val="single" w:color="auto" w:sz="4" w:space="0"/>
              <w:left w:val="nil"/>
              <w:bottom w:val="single" w:color="auto" w:sz="4" w:space="0"/>
              <w:right w:val="single" w:color="auto" w:sz="4" w:space="0"/>
            </w:tcBorders>
            <w:vAlign w:val="center"/>
          </w:tcPr>
          <w:p>
            <w:pPr>
              <w:kinsoku w:val="0"/>
              <w:overflowPunct w:val="0"/>
              <w:autoSpaceDE w:val="0"/>
              <w:autoSpaceDN w:val="0"/>
              <w:adjustRightInd w:val="0"/>
              <w:snapToGrid w:val="0"/>
              <w:jc w:val="center"/>
              <w:rPr>
                <w:rFonts w:asciiTheme="minorEastAsia" w:hAnsiTheme="minorEastAsia" w:eastAsiaTheme="minorEastAsia"/>
                <w:color w:val="auto"/>
                <w:kern w:val="0"/>
                <w:sz w:val="24"/>
              </w:rPr>
            </w:pPr>
          </w:p>
        </w:tc>
        <w:tc>
          <w:tcPr>
            <w:tcW w:w="2243" w:type="dxa"/>
            <w:tcBorders>
              <w:top w:val="single" w:color="auto" w:sz="4" w:space="0"/>
              <w:left w:val="nil"/>
              <w:bottom w:val="single" w:color="auto" w:sz="4" w:space="0"/>
              <w:right w:val="single" w:color="auto" w:sz="4" w:space="0"/>
            </w:tcBorders>
          </w:tcPr>
          <w:p>
            <w:pPr>
              <w:kinsoku w:val="0"/>
              <w:overflowPunct w:val="0"/>
              <w:autoSpaceDE w:val="0"/>
              <w:autoSpaceDN w:val="0"/>
              <w:adjustRightInd w:val="0"/>
              <w:snapToGrid w:val="0"/>
              <w:rPr>
                <w:rFonts w:asciiTheme="minorEastAsia" w:hAnsiTheme="minorEastAsia" w:eastAsiaTheme="minorEastAsia"/>
                <w:color w:val="auto"/>
                <w:kern w:val="0"/>
                <w:sz w:val="24"/>
              </w:rPr>
            </w:pPr>
          </w:p>
        </w:tc>
        <w:tc>
          <w:tcPr>
            <w:tcW w:w="727" w:type="dxa"/>
            <w:tcBorders>
              <w:top w:val="single" w:color="auto" w:sz="4" w:space="0"/>
              <w:left w:val="nil"/>
              <w:bottom w:val="single" w:color="auto" w:sz="4" w:space="0"/>
              <w:right w:val="single" w:color="auto" w:sz="4" w:space="0"/>
            </w:tcBorders>
          </w:tcPr>
          <w:p>
            <w:pPr>
              <w:kinsoku w:val="0"/>
              <w:overflowPunct w:val="0"/>
              <w:autoSpaceDE w:val="0"/>
              <w:autoSpaceDN w:val="0"/>
              <w:adjustRightInd w:val="0"/>
              <w:snapToGrid w:val="0"/>
              <w:jc w:val="center"/>
              <w:rPr>
                <w:rFonts w:asciiTheme="minorEastAsia" w:hAnsiTheme="minorEastAsia" w:eastAsiaTheme="minorEastAsia"/>
                <w:color w:val="auto"/>
                <w:kern w:val="0"/>
                <w:sz w:val="24"/>
              </w:rPr>
            </w:pPr>
          </w:p>
        </w:tc>
        <w:tc>
          <w:tcPr>
            <w:tcW w:w="962" w:type="dxa"/>
            <w:tcBorders>
              <w:top w:val="single" w:color="auto" w:sz="4" w:space="0"/>
              <w:left w:val="nil"/>
              <w:bottom w:val="single" w:color="auto" w:sz="4" w:space="0"/>
              <w:right w:val="single" w:color="auto" w:sz="4" w:space="0"/>
            </w:tcBorders>
          </w:tcPr>
          <w:p>
            <w:pPr>
              <w:kinsoku w:val="0"/>
              <w:overflowPunct w:val="0"/>
              <w:autoSpaceDE w:val="0"/>
              <w:autoSpaceDN w:val="0"/>
              <w:adjustRightInd w:val="0"/>
              <w:snapToGrid w:val="0"/>
              <w:rPr>
                <w:rFonts w:asciiTheme="minorEastAsia" w:hAnsiTheme="minorEastAsia" w:eastAsiaTheme="minorEastAsia"/>
                <w:color w:val="auto"/>
                <w:kern w:val="0"/>
                <w:sz w:val="24"/>
              </w:rPr>
            </w:pPr>
          </w:p>
        </w:tc>
        <w:tc>
          <w:tcPr>
            <w:tcW w:w="1455" w:type="dxa"/>
            <w:tcBorders>
              <w:top w:val="single" w:color="auto" w:sz="4" w:space="0"/>
              <w:left w:val="nil"/>
              <w:bottom w:val="single" w:color="auto" w:sz="4" w:space="0"/>
              <w:right w:val="single" w:color="auto" w:sz="4" w:space="0"/>
            </w:tcBorders>
          </w:tcPr>
          <w:p>
            <w:pPr>
              <w:kinsoku w:val="0"/>
              <w:overflowPunct w:val="0"/>
              <w:autoSpaceDE w:val="0"/>
              <w:autoSpaceDN w:val="0"/>
              <w:adjustRightInd w:val="0"/>
              <w:snapToGrid w:val="0"/>
              <w:rPr>
                <w:rFonts w:asciiTheme="minorEastAsia" w:hAnsiTheme="minorEastAsia" w:eastAsiaTheme="minorEastAsia"/>
                <w:color w:val="auto"/>
                <w:kern w:val="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16" w:type="dxa"/>
          <w:cantSplit/>
          <w:trHeight w:val="429" w:hRule="atLeast"/>
          <w:jc w:val="center"/>
        </w:trPr>
        <w:tc>
          <w:tcPr>
            <w:tcW w:w="388" w:type="dxa"/>
            <w:tcBorders>
              <w:top w:val="single" w:color="auto" w:sz="4" w:space="0"/>
              <w:left w:val="single" w:color="auto" w:sz="4" w:space="0"/>
              <w:bottom w:val="single" w:color="auto" w:sz="4" w:space="0"/>
              <w:right w:val="single" w:color="auto" w:sz="4" w:space="0"/>
            </w:tcBorders>
            <w:vAlign w:val="center"/>
          </w:tcPr>
          <w:p>
            <w:pPr>
              <w:kinsoku w:val="0"/>
              <w:overflowPunct w:val="0"/>
              <w:autoSpaceDE w:val="0"/>
              <w:autoSpaceDN w:val="0"/>
              <w:adjustRightInd w:val="0"/>
              <w:snapToGrid w:val="0"/>
              <w:jc w:val="center"/>
              <w:rPr>
                <w:rStyle w:val="103"/>
                <w:rFonts w:asciiTheme="minorEastAsia" w:hAnsiTheme="minorEastAsia" w:eastAsiaTheme="minorEastAsia"/>
                <w:b w:val="0"/>
                <w:bCs w:val="0"/>
                <w:color w:val="auto"/>
              </w:rPr>
            </w:pPr>
          </w:p>
        </w:tc>
        <w:tc>
          <w:tcPr>
            <w:tcW w:w="1288" w:type="dxa"/>
            <w:tcBorders>
              <w:top w:val="single" w:color="auto" w:sz="4" w:space="0"/>
              <w:left w:val="nil"/>
              <w:bottom w:val="single" w:color="auto" w:sz="4" w:space="0"/>
              <w:right w:val="single" w:color="auto" w:sz="4" w:space="0"/>
            </w:tcBorders>
            <w:vAlign w:val="center"/>
          </w:tcPr>
          <w:p>
            <w:pPr>
              <w:kinsoku w:val="0"/>
              <w:overflowPunct w:val="0"/>
              <w:autoSpaceDE w:val="0"/>
              <w:autoSpaceDN w:val="0"/>
              <w:adjustRightInd w:val="0"/>
              <w:snapToGrid w:val="0"/>
              <w:jc w:val="center"/>
              <w:rPr>
                <w:rStyle w:val="103"/>
                <w:rFonts w:asciiTheme="minorEastAsia" w:hAnsiTheme="minorEastAsia" w:eastAsiaTheme="minorEastAsia"/>
                <w:b w:val="0"/>
                <w:bCs w:val="0"/>
                <w:color w:val="auto"/>
                <w:kern w:val="0"/>
                <w:sz w:val="24"/>
              </w:rPr>
            </w:pPr>
          </w:p>
        </w:tc>
        <w:tc>
          <w:tcPr>
            <w:tcW w:w="757" w:type="dxa"/>
            <w:tcBorders>
              <w:top w:val="single" w:color="auto" w:sz="4" w:space="0"/>
              <w:left w:val="nil"/>
              <w:bottom w:val="single" w:color="auto" w:sz="4" w:space="0"/>
              <w:right w:val="single" w:color="auto" w:sz="4" w:space="0"/>
            </w:tcBorders>
            <w:vAlign w:val="center"/>
          </w:tcPr>
          <w:p>
            <w:pPr>
              <w:kinsoku w:val="0"/>
              <w:overflowPunct w:val="0"/>
              <w:autoSpaceDE w:val="0"/>
              <w:autoSpaceDN w:val="0"/>
              <w:adjustRightInd w:val="0"/>
              <w:snapToGrid w:val="0"/>
              <w:jc w:val="center"/>
              <w:rPr>
                <w:rFonts w:asciiTheme="minorEastAsia" w:hAnsiTheme="minorEastAsia" w:eastAsiaTheme="minorEastAsia"/>
                <w:color w:val="auto"/>
              </w:rPr>
            </w:pPr>
          </w:p>
        </w:tc>
        <w:tc>
          <w:tcPr>
            <w:tcW w:w="736" w:type="dxa"/>
            <w:tcBorders>
              <w:top w:val="single" w:color="auto" w:sz="4" w:space="0"/>
              <w:left w:val="nil"/>
              <w:bottom w:val="single" w:color="auto" w:sz="4" w:space="0"/>
              <w:right w:val="single" w:color="auto" w:sz="4" w:space="0"/>
            </w:tcBorders>
            <w:vAlign w:val="center"/>
          </w:tcPr>
          <w:p>
            <w:pPr>
              <w:kinsoku w:val="0"/>
              <w:overflowPunct w:val="0"/>
              <w:autoSpaceDE w:val="0"/>
              <w:autoSpaceDN w:val="0"/>
              <w:adjustRightInd w:val="0"/>
              <w:snapToGrid w:val="0"/>
              <w:jc w:val="center"/>
              <w:rPr>
                <w:rFonts w:asciiTheme="minorEastAsia" w:hAnsiTheme="minorEastAsia" w:eastAsiaTheme="minorEastAsia"/>
                <w:color w:val="auto"/>
                <w:kern w:val="0"/>
                <w:sz w:val="24"/>
              </w:rPr>
            </w:pPr>
          </w:p>
        </w:tc>
        <w:tc>
          <w:tcPr>
            <w:tcW w:w="768" w:type="dxa"/>
            <w:tcBorders>
              <w:top w:val="single" w:color="auto" w:sz="4" w:space="0"/>
              <w:left w:val="nil"/>
              <w:bottom w:val="single" w:color="auto" w:sz="4" w:space="0"/>
              <w:right w:val="single" w:color="auto" w:sz="4" w:space="0"/>
            </w:tcBorders>
            <w:vAlign w:val="center"/>
          </w:tcPr>
          <w:p>
            <w:pPr>
              <w:kinsoku w:val="0"/>
              <w:overflowPunct w:val="0"/>
              <w:autoSpaceDE w:val="0"/>
              <w:autoSpaceDN w:val="0"/>
              <w:adjustRightInd w:val="0"/>
              <w:snapToGrid w:val="0"/>
              <w:jc w:val="center"/>
              <w:rPr>
                <w:rFonts w:asciiTheme="minorEastAsia" w:hAnsiTheme="minorEastAsia" w:eastAsiaTheme="minorEastAsia"/>
                <w:color w:val="auto"/>
                <w:kern w:val="0"/>
                <w:sz w:val="24"/>
              </w:rPr>
            </w:pPr>
          </w:p>
        </w:tc>
        <w:tc>
          <w:tcPr>
            <w:tcW w:w="2243" w:type="dxa"/>
            <w:tcBorders>
              <w:top w:val="single" w:color="auto" w:sz="4" w:space="0"/>
              <w:left w:val="nil"/>
              <w:bottom w:val="single" w:color="auto" w:sz="4" w:space="0"/>
              <w:right w:val="single" w:color="auto" w:sz="4" w:space="0"/>
            </w:tcBorders>
          </w:tcPr>
          <w:p>
            <w:pPr>
              <w:kinsoku w:val="0"/>
              <w:overflowPunct w:val="0"/>
              <w:autoSpaceDE w:val="0"/>
              <w:autoSpaceDN w:val="0"/>
              <w:adjustRightInd w:val="0"/>
              <w:snapToGrid w:val="0"/>
              <w:rPr>
                <w:rFonts w:asciiTheme="minorEastAsia" w:hAnsiTheme="minorEastAsia" w:eastAsiaTheme="minorEastAsia"/>
                <w:color w:val="auto"/>
                <w:kern w:val="0"/>
                <w:sz w:val="24"/>
              </w:rPr>
            </w:pPr>
          </w:p>
        </w:tc>
        <w:tc>
          <w:tcPr>
            <w:tcW w:w="727" w:type="dxa"/>
            <w:tcBorders>
              <w:top w:val="single" w:color="auto" w:sz="4" w:space="0"/>
              <w:left w:val="nil"/>
              <w:bottom w:val="single" w:color="auto" w:sz="4" w:space="0"/>
              <w:right w:val="single" w:color="auto" w:sz="4" w:space="0"/>
            </w:tcBorders>
          </w:tcPr>
          <w:p>
            <w:pPr>
              <w:kinsoku w:val="0"/>
              <w:overflowPunct w:val="0"/>
              <w:autoSpaceDE w:val="0"/>
              <w:autoSpaceDN w:val="0"/>
              <w:adjustRightInd w:val="0"/>
              <w:snapToGrid w:val="0"/>
              <w:jc w:val="center"/>
              <w:rPr>
                <w:rFonts w:asciiTheme="minorEastAsia" w:hAnsiTheme="minorEastAsia" w:eastAsiaTheme="minorEastAsia"/>
                <w:color w:val="auto"/>
                <w:kern w:val="0"/>
                <w:sz w:val="24"/>
              </w:rPr>
            </w:pPr>
          </w:p>
        </w:tc>
        <w:tc>
          <w:tcPr>
            <w:tcW w:w="962" w:type="dxa"/>
            <w:tcBorders>
              <w:top w:val="single" w:color="auto" w:sz="4" w:space="0"/>
              <w:left w:val="nil"/>
              <w:bottom w:val="single" w:color="auto" w:sz="4" w:space="0"/>
              <w:right w:val="single" w:color="auto" w:sz="4" w:space="0"/>
            </w:tcBorders>
          </w:tcPr>
          <w:p>
            <w:pPr>
              <w:kinsoku w:val="0"/>
              <w:overflowPunct w:val="0"/>
              <w:autoSpaceDE w:val="0"/>
              <w:autoSpaceDN w:val="0"/>
              <w:adjustRightInd w:val="0"/>
              <w:snapToGrid w:val="0"/>
              <w:rPr>
                <w:rFonts w:asciiTheme="minorEastAsia" w:hAnsiTheme="minorEastAsia" w:eastAsiaTheme="minorEastAsia"/>
                <w:color w:val="auto"/>
                <w:kern w:val="0"/>
                <w:sz w:val="24"/>
              </w:rPr>
            </w:pPr>
          </w:p>
        </w:tc>
        <w:tc>
          <w:tcPr>
            <w:tcW w:w="1455" w:type="dxa"/>
            <w:tcBorders>
              <w:top w:val="single" w:color="auto" w:sz="4" w:space="0"/>
              <w:left w:val="nil"/>
              <w:bottom w:val="single" w:color="auto" w:sz="4" w:space="0"/>
              <w:right w:val="single" w:color="auto" w:sz="4" w:space="0"/>
            </w:tcBorders>
          </w:tcPr>
          <w:p>
            <w:pPr>
              <w:kinsoku w:val="0"/>
              <w:overflowPunct w:val="0"/>
              <w:autoSpaceDE w:val="0"/>
              <w:autoSpaceDN w:val="0"/>
              <w:adjustRightInd w:val="0"/>
              <w:snapToGrid w:val="0"/>
              <w:rPr>
                <w:rFonts w:asciiTheme="minorEastAsia" w:hAnsiTheme="minorEastAsia" w:eastAsiaTheme="minorEastAsia"/>
                <w:color w:val="auto"/>
                <w:kern w:val="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16" w:type="dxa"/>
          <w:cantSplit/>
          <w:trHeight w:val="429" w:hRule="atLeast"/>
          <w:jc w:val="center"/>
        </w:trPr>
        <w:tc>
          <w:tcPr>
            <w:tcW w:w="388" w:type="dxa"/>
            <w:tcBorders>
              <w:top w:val="single" w:color="auto" w:sz="4" w:space="0"/>
              <w:left w:val="single" w:color="auto" w:sz="4" w:space="0"/>
              <w:bottom w:val="single" w:color="auto" w:sz="4" w:space="0"/>
              <w:right w:val="single" w:color="auto" w:sz="4" w:space="0"/>
            </w:tcBorders>
            <w:vAlign w:val="center"/>
          </w:tcPr>
          <w:p>
            <w:pPr>
              <w:kinsoku w:val="0"/>
              <w:overflowPunct w:val="0"/>
              <w:autoSpaceDE w:val="0"/>
              <w:autoSpaceDN w:val="0"/>
              <w:adjustRightInd w:val="0"/>
              <w:snapToGrid w:val="0"/>
              <w:jc w:val="center"/>
              <w:rPr>
                <w:rStyle w:val="103"/>
                <w:rFonts w:asciiTheme="minorEastAsia" w:hAnsiTheme="minorEastAsia" w:eastAsiaTheme="minorEastAsia"/>
                <w:b w:val="0"/>
                <w:bCs w:val="0"/>
                <w:color w:val="auto"/>
              </w:rPr>
            </w:pPr>
          </w:p>
        </w:tc>
        <w:tc>
          <w:tcPr>
            <w:tcW w:w="1288" w:type="dxa"/>
            <w:tcBorders>
              <w:top w:val="single" w:color="auto" w:sz="4" w:space="0"/>
              <w:left w:val="nil"/>
              <w:bottom w:val="single" w:color="auto" w:sz="4" w:space="0"/>
              <w:right w:val="single" w:color="auto" w:sz="4" w:space="0"/>
            </w:tcBorders>
            <w:vAlign w:val="center"/>
          </w:tcPr>
          <w:p>
            <w:pPr>
              <w:kinsoku w:val="0"/>
              <w:overflowPunct w:val="0"/>
              <w:autoSpaceDE w:val="0"/>
              <w:autoSpaceDN w:val="0"/>
              <w:adjustRightInd w:val="0"/>
              <w:snapToGrid w:val="0"/>
              <w:jc w:val="center"/>
              <w:rPr>
                <w:rStyle w:val="103"/>
                <w:rFonts w:asciiTheme="minorEastAsia" w:hAnsiTheme="minorEastAsia" w:eastAsiaTheme="minorEastAsia"/>
                <w:b w:val="0"/>
                <w:bCs w:val="0"/>
                <w:color w:val="auto"/>
                <w:kern w:val="0"/>
                <w:sz w:val="24"/>
              </w:rPr>
            </w:pPr>
          </w:p>
        </w:tc>
        <w:tc>
          <w:tcPr>
            <w:tcW w:w="757" w:type="dxa"/>
            <w:tcBorders>
              <w:top w:val="single" w:color="auto" w:sz="4" w:space="0"/>
              <w:left w:val="nil"/>
              <w:bottom w:val="single" w:color="auto" w:sz="4" w:space="0"/>
              <w:right w:val="single" w:color="auto" w:sz="4" w:space="0"/>
            </w:tcBorders>
            <w:vAlign w:val="center"/>
          </w:tcPr>
          <w:p>
            <w:pPr>
              <w:kinsoku w:val="0"/>
              <w:overflowPunct w:val="0"/>
              <w:autoSpaceDE w:val="0"/>
              <w:autoSpaceDN w:val="0"/>
              <w:adjustRightInd w:val="0"/>
              <w:snapToGrid w:val="0"/>
              <w:jc w:val="center"/>
              <w:rPr>
                <w:rFonts w:asciiTheme="minorEastAsia" w:hAnsiTheme="minorEastAsia" w:eastAsiaTheme="minorEastAsia"/>
                <w:color w:val="auto"/>
              </w:rPr>
            </w:pPr>
          </w:p>
        </w:tc>
        <w:tc>
          <w:tcPr>
            <w:tcW w:w="736" w:type="dxa"/>
            <w:tcBorders>
              <w:top w:val="single" w:color="auto" w:sz="4" w:space="0"/>
              <w:left w:val="nil"/>
              <w:bottom w:val="single" w:color="auto" w:sz="4" w:space="0"/>
              <w:right w:val="single" w:color="auto" w:sz="4" w:space="0"/>
            </w:tcBorders>
            <w:vAlign w:val="center"/>
          </w:tcPr>
          <w:p>
            <w:pPr>
              <w:kinsoku w:val="0"/>
              <w:overflowPunct w:val="0"/>
              <w:autoSpaceDE w:val="0"/>
              <w:autoSpaceDN w:val="0"/>
              <w:adjustRightInd w:val="0"/>
              <w:snapToGrid w:val="0"/>
              <w:jc w:val="center"/>
              <w:rPr>
                <w:rFonts w:asciiTheme="minorEastAsia" w:hAnsiTheme="minorEastAsia" w:eastAsiaTheme="minorEastAsia"/>
                <w:color w:val="auto"/>
                <w:kern w:val="0"/>
                <w:sz w:val="24"/>
              </w:rPr>
            </w:pPr>
          </w:p>
        </w:tc>
        <w:tc>
          <w:tcPr>
            <w:tcW w:w="768" w:type="dxa"/>
            <w:tcBorders>
              <w:top w:val="single" w:color="auto" w:sz="4" w:space="0"/>
              <w:left w:val="nil"/>
              <w:bottom w:val="single" w:color="auto" w:sz="4" w:space="0"/>
              <w:right w:val="single" w:color="auto" w:sz="4" w:space="0"/>
            </w:tcBorders>
            <w:vAlign w:val="center"/>
          </w:tcPr>
          <w:p>
            <w:pPr>
              <w:kinsoku w:val="0"/>
              <w:overflowPunct w:val="0"/>
              <w:autoSpaceDE w:val="0"/>
              <w:autoSpaceDN w:val="0"/>
              <w:adjustRightInd w:val="0"/>
              <w:snapToGrid w:val="0"/>
              <w:jc w:val="center"/>
              <w:rPr>
                <w:rFonts w:asciiTheme="minorEastAsia" w:hAnsiTheme="minorEastAsia" w:eastAsiaTheme="minorEastAsia"/>
                <w:color w:val="auto"/>
                <w:kern w:val="0"/>
                <w:sz w:val="24"/>
              </w:rPr>
            </w:pPr>
          </w:p>
        </w:tc>
        <w:tc>
          <w:tcPr>
            <w:tcW w:w="2243" w:type="dxa"/>
            <w:tcBorders>
              <w:top w:val="single" w:color="auto" w:sz="4" w:space="0"/>
              <w:left w:val="nil"/>
              <w:bottom w:val="single" w:color="auto" w:sz="4" w:space="0"/>
              <w:right w:val="single" w:color="auto" w:sz="4" w:space="0"/>
            </w:tcBorders>
          </w:tcPr>
          <w:p>
            <w:pPr>
              <w:kinsoku w:val="0"/>
              <w:overflowPunct w:val="0"/>
              <w:autoSpaceDE w:val="0"/>
              <w:autoSpaceDN w:val="0"/>
              <w:adjustRightInd w:val="0"/>
              <w:snapToGrid w:val="0"/>
              <w:rPr>
                <w:rFonts w:asciiTheme="minorEastAsia" w:hAnsiTheme="minorEastAsia" w:eastAsiaTheme="minorEastAsia"/>
                <w:color w:val="auto"/>
                <w:kern w:val="0"/>
                <w:sz w:val="24"/>
              </w:rPr>
            </w:pPr>
          </w:p>
        </w:tc>
        <w:tc>
          <w:tcPr>
            <w:tcW w:w="727" w:type="dxa"/>
            <w:tcBorders>
              <w:top w:val="single" w:color="auto" w:sz="4" w:space="0"/>
              <w:left w:val="nil"/>
              <w:bottom w:val="single" w:color="auto" w:sz="4" w:space="0"/>
              <w:right w:val="single" w:color="auto" w:sz="4" w:space="0"/>
            </w:tcBorders>
          </w:tcPr>
          <w:p>
            <w:pPr>
              <w:kinsoku w:val="0"/>
              <w:overflowPunct w:val="0"/>
              <w:autoSpaceDE w:val="0"/>
              <w:autoSpaceDN w:val="0"/>
              <w:adjustRightInd w:val="0"/>
              <w:snapToGrid w:val="0"/>
              <w:jc w:val="center"/>
              <w:rPr>
                <w:rFonts w:asciiTheme="minorEastAsia" w:hAnsiTheme="minorEastAsia" w:eastAsiaTheme="minorEastAsia"/>
                <w:color w:val="auto"/>
                <w:kern w:val="0"/>
                <w:sz w:val="24"/>
              </w:rPr>
            </w:pPr>
          </w:p>
        </w:tc>
        <w:tc>
          <w:tcPr>
            <w:tcW w:w="962" w:type="dxa"/>
            <w:tcBorders>
              <w:top w:val="single" w:color="auto" w:sz="4" w:space="0"/>
              <w:left w:val="nil"/>
              <w:bottom w:val="single" w:color="auto" w:sz="4" w:space="0"/>
              <w:right w:val="single" w:color="auto" w:sz="4" w:space="0"/>
            </w:tcBorders>
          </w:tcPr>
          <w:p>
            <w:pPr>
              <w:kinsoku w:val="0"/>
              <w:overflowPunct w:val="0"/>
              <w:autoSpaceDE w:val="0"/>
              <w:autoSpaceDN w:val="0"/>
              <w:adjustRightInd w:val="0"/>
              <w:snapToGrid w:val="0"/>
              <w:rPr>
                <w:rFonts w:asciiTheme="minorEastAsia" w:hAnsiTheme="minorEastAsia" w:eastAsiaTheme="minorEastAsia"/>
                <w:color w:val="auto"/>
                <w:kern w:val="0"/>
                <w:sz w:val="24"/>
              </w:rPr>
            </w:pPr>
          </w:p>
        </w:tc>
        <w:tc>
          <w:tcPr>
            <w:tcW w:w="1455" w:type="dxa"/>
            <w:tcBorders>
              <w:top w:val="single" w:color="auto" w:sz="4" w:space="0"/>
              <w:left w:val="nil"/>
              <w:bottom w:val="single" w:color="auto" w:sz="4" w:space="0"/>
              <w:right w:val="single" w:color="auto" w:sz="4" w:space="0"/>
            </w:tcBorders>
          </w:tcPr>
          <w:p>
            <w:pPr>
              <w:kinsoku w:val="0"/>
              <w:overflowPunct w:val="0"/>
              <w:autoSpaceDE w:val="0"/>
              <w:autoSpaceDN w:val="0"/>
              <w:adjustRightInd w:val="0"/>
              <w:snapToGrid w:val="0"/>
              <w:rPr>
                <w:rFonts w:asciiTheme="minorEastAsia" w:hAnsiTheme="minorEastAsia" w:eastAsiaTheme="minorEastAsia"/>
                <w:color w:val="auto"/>
                <w:kern w:val="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16" w:type="dxa"/>
          <w:cantSplit/>
          <w:trHeight w:val="429" w:hRule="atLeast"/>
          <w:jc w:val="center"/>
        </w:trPr>
        <w:tc>
          <w:tcPr>
            <w:tcW w:w="388" w:type="dxa"/>
            <w:tcBorders>
              <w:top w:val="single" w:color="auto" w:sz="4" w:space="0"/>
              <w:left w:val="single" w:color="auto" w:sz="4" w:space="0"/>
              <w:bottom w:val="single" w:color="auto" w:sz="4" w:space="0"/>
              <w:right w:val="single" w:color="auto" w:sz="4" w:space="0"/>
            </w:tcBorders>
            <w:vAlign w:val="center"/>
          </w:tcPr>
          <w:p>
            <w:pPr>
              <w:kinsoku w:val="0"/>
              <w:overflowPunct w:val="0"/>
              <w:autoSpaceDE w:val="0"/>
              <w:autoSpaceDN w:val="0"/>
              <w:adjustRightInd w:val="0"/>
              <w:snapToGrid w:val="0"/>
              <w:jc w:val="center"/>
              <w:rPr>
                <w:rStyle w:val="103"/>
                <w:rFonts w:asciiTheme="minorEastAsia" w:hAnsiTheme="minorEastAsia" w:eastAsiaTheme="minorEastAsia"/>
                <w:b w:val="0"/>
                <w:bCs w:val="0"/>
                <w:color w:val="auto"/>
              </w:rPr>
            </w:pPr>
          </w:p>
        </w:tc>
        <w:tc>
          <w:tcPr>
            <w:tcW w:w="1288" w:type="dxa"/>
            <w:tcBorders>
              <w:top w:val="single" w:color="auto" w:sz="4" w:space="0"/>
              <w:left w:val="nil"/>
              <w:bottom w:val="single" w:color="auto" w:sz="4" w:space="0"/>
              <w:right w:val="single" w:color="auto" w:sz="4" w:space="0"/>
            </w:tcBorders>
            <w:vAlign w:val="center"/>
          </w:tcPr>
          <w:p>
            <w:pPr>
              <w:kinsoku w:val="0"/>
              <w:overflowPunct w:val="0"/>
              <w:autoSpaceDE w:val="0"/>
              <w:autoSpaceDN w:val="0"/>
              <w:adjustRightInd w:val="0"/>
              <w:snapToGrid w:val="0"/>
              <w:jc w:val="center"/>
              <w:rPr>
                <w:rStyle w:val="103"/>
                <w:rFonts w:asciiTheme="minorEastAsia" w:hAnsiTheme="minorEastAsia" w:eastAsiaTheme="minorEastAsia"/>
                <w:b w:val="0"/>
                <w:bCs w:val="0"/>
                <w:color w:val="auto"/>
                <w:kern w:val="0"/>
                <w:sz w:val="24"/>
              </w:rPr>
            </w:pPr>
          </w:p>
        </w:tc>
        <w:tc>
          <w:tcPr>
            <w:tcW w:w="757" w:type="dxa"/>
            <w:tcBorders>
              <w:top w:val="single" w:color="auto" w:sz="4" w:space="0"/>
              <w:left w:val="nil"/>
              <w:bottom w:val="single" w:color="auto" w:sz="4" w:space="0"/>
              <w:right w:val="single" w:color="auto" w:sz="4" w:space="0"/>
            </w:tcBorders>
            <w:vAlign w:val="center"/>
          </w:tcPr>
          <w:p>
            <w:pPr>
              <w:kinsoku w:val="0"/>
              <w:overflowPunct w:val="0"/>
              <w:autoSpaceDE w:val="0"/>
              <w:autoSpaceDN w:val="0"/>
              <w:adjustRightInd w:val="0"/>
              <w:snapToGrid w:val="0"/>
              <w:jc w:val="center"/>
              <w:rPr>
                <w:rFonts w:asciiTheme="minorEastAsia" w:hAnsiTheme="minorEastAsia" w:eastAsiaTheme="minorEastAsia"/>
                <w:color w:val="auto"/>
              </w:rPr>
            </w:pPr>
          </w:p>
        </w:tc>
        <w:tc>
          <w:tcPr>
            <w:tcW w:w="736" w:type="dxa"/>
            <w:tcBorders>
              <w:top w:val="single" w:color="auto" w:sz="4" w:space="0"/>
              <w:left w:val="nil"/>
              <w:bottom w:val="single" w:color="auto" w:sz="4" w:space="0"/>
              <w:right w:val="single" w:color="auto" w:sz="4" w:space="0"/>
            </w:tcBorders>
            <w:vAlign w:val="center"/>
          </w:tcPr>
          <w:p>
            <w:pPr>
              <w:kinsoku w:val="0"/>
              <w:overflowPunct w:val="0"/>
              <w:autoSpaceDE w:val="0"/>
              <w:autoSpaceDN w:val="0"/>
              <w:adjustRightInd w:val="0"/>
              <w:snapToGrid w:val="0"/>
              <w:jc w:val="center"/>
              <w:rPr>
                <w:rFonts w:asciiTheme="minorEastAsia" w:hAnsiTheme="minorEastAsia" w:eastAsiaTheme="minorEastAsia"/>
                <w:color w:val="auto"/>
                <w:kern w:val="0"/>
                <w:sz w:val="24"/>
              </w:rPr>
            </w:pPr>
          </w:p>
        </w:tc>
        <w:tc>
          <w:tcPr>
            <w:tcW w:w="768" w:type="dxa"/>
            <w:tcBorders>
              <w:top w:val="single" w:color="auto" w:sz="4" w:space="0"/>
              <w:left w:val="nil"/>
              <w:bottom w:val="single" w:color="auto" w:sz="4" w:space="0"/>
              <w:right w:val="single" w:color="auto" w:sz="4" w:space="0"/>
            </w:tcBorders>
            <w:vAlign w:val="center"/>
          </w:tcPr>
          <w:p>
            <w:pPr>
              <w:kinsoku w:val="0"/>
              <w:overflowPunct w:val="0"/>
              <w:autoSpaceDE w:val="0"/>
              <w:autoSpaceDN w:val="0"/>
              <w:adjustRightInd w:val="0"/>
              <w:snapToGrid w:val="0"/>
              <w:jc w:val="center"/>
              <w:rPr>
                <w:rFonts w:asciiTheme="minorEastAsia" w:hAnsiTheme="minorEastAsia" w:eastAsiaTheme="minorEastAsia"/>
                <w:color w:val="auto"/>
                <w:kern w:val="0"/>
                <w:sz w:val="24"/>
              </w:rPr>
            </w:pPr>
          </w:p>
        </w:tc>
        <w:tc>
          <w:tcPr>
            <w:tcW w:w="2243" w:type="dxa"/>
            <w:tcBorders>
              <w:top w:val="single" w:color="auto" w:sz="4" w:space="0"/>
              <w:left w:val="nil"/>
              <w:bottom w:val="single" w:color="auto" w:sz="4" w:space="0"/>
              <w:right w:val="single" w:color="auto" w:sz="4" w:space="0"/>
            </w:tcBorders>
          </w:tcPr>
          <w:p>
            <w:pPr>
              <w:kinsoku w:val="0"/>
              <w:overflowPunct w:val="0"/>
              <w:autoSpaceDE w:val="0"/>
              <w:autoSpaceDN w:val="0"/>
              <w:adjustRightInd w:val="0"/>
              <w:snapToGrid w:val="0"/>
              <w:rPr>
                <w:rFonts w:asciiTheme="minorEastAsia" w:hAnsiTheme="minorEastAsia" w:eastAsiaTheme="minorEastAsia"/>
                <w:color w:val="auto"/>
                <w:kern w:val="0"/>
                <w:sz w:val="24"/>
              </w:rPr>
            </w:pPr>
          </w:p>
        </w:tc>
        <w:tc>
          <w:tcPr>
            <w:tcW w:w="727" w:type="dxa"/>
            <w:tcBorders>
              <w:top w:val="single" w:color="auto" w:sz="4" w:space="0"/>
              <w:left w:val="nil"/>
              <w:bottom w:val="single" w:color="auto" w:sz="4" w:space="0"/>
              <w:right w:val="single" w:color="auto" w:sz="4" w:space="0"/>
            </w:tcBorders>
          </w:tcPr>
          <w:p>
            <w:pPr>
              <w:kinsoku w:val="0"/>
              <w:overflowPunct w:val="0"/>
              <w:autoSpaceDE w:val="0"/>
              <w:autoSpaceDN w:val="0"/>
              <w:adjustRightInd w:val="0"/>
              <w:snapToGrid w:val="0"/>
              <w:jc w:val="center"/>
              <w:rPr>
                <w:rFonts w:asciiTheme="minorEastAsia" w:hAnsiTheme="minorEastAsia" w:eastAsiaTheme="minorEastAsia"/>
                <w:color w:val="auto"/>
                <w:kern w:val="0"/>
                <w:sz w:val="24"/>
              </w:rPr>
            </w:pPr>
          </w:p>
        </w:tc>
        <w:tc>
          <w:tcPr>
            <w:tcW w:w="962" w:type="dxa"/>
            <w:tcBorders>
              <w:top w:val="single" w:color="auto" w:sz="4" w:space="0"/>
              <w:left w:val="nil"/>
              <w:bottom w:val="single" w:color="auto" w:sz="4" w:space="0"/>
              <w:right w:val="single" w:color="auto" w:sz="4" w:space="0"/>
            </w:tcBorders>
          </w:tcPr>
          <w:p>
            <w:pPr>
              <w:kinsoku w:val="0"/>
              <w:overflowPunct w:val="0"/>
              <w:autoSpaceDE w:val="0"/>
              <w:autoSpaceDN w:val="0"/>
              <w:adjustRightInd w:val="0"/>
              <w:snapToGrid w:val="0"/>
              <w:rPr>
                <w:rFonts w:asciiTheme="minorEastAsia" w:hAnsiTheme="minorEastAsia" w:eastAsiaTheme="minorEastAsia"/>
                <w:color w:val="auto"/>
                <w:kern w:val="0"/>
                <w:sz w:val="24"/>
              </w:rPr>
            </w:pPr>
          </w:p>
        </w:tc>
        <w:tc>
          <w:tcPr>
            <w:tcW w:w="1455" w:type="dxa"/>
            <w:tcBorders>
              <w:top w:val="single" w:color="auto" w:sz="4" w:space="0"/>
              <w:left w:val="nil"/>
              <w:bottom w:val="single" w:color="auto" w:sz="4" w:space="0"/>
              <w:right w:val="single" w:color="auto" w:sz="4" w:space="0"/>
            </w:tcBorders>
          </w:tcPr>
          <w:p>
            <w:pPr>
              <w:kinsoku w:val="0"/>
              <w:overflowPunct w:val="0"/>
              <w:autoSpaceDE w:val="0"/>
              <w:autoSpaceDN w:val="0"/>
              <w:adjustRightInd w:val="0"/>
              <w:snapToGrid w:val="0"/>
              <w:rPr>
                <w:rFonts w:asciiTheme="minorEastAsia" w:hAnsiTheme="minorEastAsia" w:eastAsiaTheme="minorEastAsia"/>
                <w:color w:val="auto"/>
                <w:kern w:val="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16" w:type="dxa"/>
          <w:cantSplit/>
          <w:trHeight w:val="429" w:hRule="atLeast"/>
          <w:jc w:val="center"/>
        </w:trPr>
        <w:tc>
          <w:tcPr>
            <w:tcW w:w="388" w:type="dxa"/>
            <w:tcBorders>
              <w:top w:val="single" w:color="auto" w:sz="4" w:space="0"/>
              <w:left w:val="single" w:color="auto" w:sz="4" w:space="0"/>
              <w:bottom w:val="single" w:color="auto" w:sz="4" w:space="0"/>
              <w:right w:val="single" w:color="auto" w:sz="4" w:space="0"/>
            </w:tcBorders>
            <w:vAlign w:val="center"/>
          </w:tcPr>
          <w:p>
            <w:pPr>
              <w:kinsoku w:val="0"/>
              <w:overflowPunct w:val="0"/>
              <w:autoSpaceDE w:val="0"/>
              <w:autoSpaceDN w:val="0"/>
              <w:adjustRightInd w:val="0"/>
              <w:snapToGrid w:val="0"/>
              <w:jc w:val="center"/>
              <w:rPr>
                <w:rStyle w:val="103"/>
                <w:rFonts w:asciiTheme="minorEastAsia" w:hAnsiTheme="minorEastAsia" w:eastAsiaTheme="minorEastAsia"/>
                <w:b w:val="0"/>
                <w:bCs w:val="0"/>
                <w:color w:val="auto"/>
              </w:rPr>
            </w:pPr>
          </w:p>
        </w:tc>
        <w:tc>
          <w:tcPr>
            <w:tcW w:w="1288" w:type="dxa"/>
            <w:tcBorders>
              <w:top w:val="single" w:color="auto" w:sz="4" w:space="0"/>
              <w:left w:val="nil"/>
              <w:bottom w:val="single" w:color="auto" w:sz="4" w:space="0"/>
              <w:right w:val="single" w:color="auto" w:sz="4" w:space="0"/>
            </w:tcBorders>
            <w:vAlign w:val="center"/>
          </w:tcPr>
          <w:p>
            <w:pPr>
              <w:kinsoku w:val="0"/>
              <w:overflowPunct w:val="0"/>
              <w:autoSpaceDE w:val="0"/>
              <w:autoSpaceDN w:val="0"/>
              <w:adjustRightInd w:val="0"/>
              <w:snapToGrid w:val="0"/>
              <w:jc w:val="center"/>
              <w:rPr>
                <w:rStyle w:val="103"/>
                <w:rFonts w:asciiTheme="minorEastAsia" w:hAnsiTheme="minorEastAsia" w:eastAsiaTheme="minorEastAsia"/>
                <w:b w:val="0"/>
                <w:bCs w:val="0"/>
                <w:color w:val="auto"/>
                <w:kern w:val="0"/>
                <w:sz w:val="24"/>
              </w:rPr>
            </w:pPr>
          </w:p>
        </w:tc>
        <w:tc>
          <w:tcPr>
            <w:tcW w:w="757" w:type="dxa"/>
            <w:tcBorders>
              <w:top w:val="single" w:color="auto" w:sz="4" w:space="0"/>
              <w:left w:val="nil"/>
              <w:bottom w:val="single" w:color="auto" w:sz="4" w:space="0"/>
              <w:right w:val="single" w:color="auto" w:sz="4" w:space="0"/>
            </w:tcBorders>
            <w:vAlign w:val="center"/>
          </w:tcPr>
          <w:p>
            <w:pPr>
              <w:kinsoku w:val="0"/>
              <w:overflowPunct w:val="0"/>
              <w:autoSpaceDE w:val="0"/>
              <w:autoSpaceDN w:val="0"/>
              <w:adjustRightInd w:val="0"/>
              <w:snapToGrid w:val="0"/>
              <w:jc w:val="center"/>
              <w:rPr>
                <w:rFonts w:asciiTheme="minorEastAsia" w:hAnsiTheme="minorEastAsia" w:eastAsiaTheme="minorEastAsia"/>
                <w:color w:val="auto"/>
              </w:rPr>
            </w:pPr>
          </w:p>
        </w:tc>
        <w:tc>
          <w:tcPr>
            <w:tcW w:w="736" w:type="dxa"/>
            <w:tcBorders>
              <w:top w:val="single" w:color="auto" w:sz="4" w:space="0"/>
              <w:left w:val="nil"/>
              <w:bottom w:val="single" w:color="auto" w:sz="4" w:space="0"/>
              <w:right w:val="single" w:color="auto" w:sz="4" w:space="0"/>
            </w:tcBorders>
            <w:vAlign w:val="center"/>
          </w:tcPr>
          <w:p>
            <w:pPr>
              <w:kinsoku w:val="0"/>
              <w:overflowPunct w:val="0"/>
              <w:autoSpaceDE w:val="0"/>
              <w:autoSpaceDN w:val="0"/>
              <w:adjustRightInd w:val="0"/>
              <w:snapToGrid w:val="0"/>
              <w:jc w:val="center"/>
              <w:rPr>
                <w:rFonts w:asciiTheme="minorEastAsia" w:hAnsiTheme="minorEastAsia" w:eastAsiaTheme="minorEastAsia"/>
                <w:color w:val="auto"/>
                <w:kern w:val="0"/>
                <w:sz w:val="24"/>
              </w:rPr>
            </w:pPr>
          </w:p>
        </w:tc>
        <w:tc>
          <w:tcPr>
            <w:tcW w:w="768" w:type="dxa"/>
            <w:tcBorders>
              <w:top w:val="single" w:color="auto" w:sz="4" w:space="0"/>
              <w:left w:val="nil"/>
              <w:bottom w:val="single" w:color="auto" w:sz="4" w:space="0"/>
              <w:right w:val="single" w:color="auto" w:sz="4" w:space="0"/>
            </w:tcBorders>
            <w:vAlign w:val="center"/>
          </w:tcPr>
          <w:p>
            <w:pPr>
              <w:kinsoku w:val="0"/>
              <w:overflowPunct w:val="0"/>
              <w:autoSpaceDE w:val="0"/>
              <w:autoSpaceDN w:val="0"/>
              <w:adjustRightInd w:val="0"/>
              <w:snapToGrid w:val="0"/>
              <w:jc w:val="center"/>
              <w:rPr>
                <w:rFonts w:asciiTheme="minorEastAsia" w:hAnsiTheme="minorEastAsia" w:eastAsiaTheme="minorEastAsia"/>
                <w:color w:val="auto"/>
                <w:kern w:val="0"/>
                <w:sz w:val="24"/>
              </w:rPr>
            </w:pPr>
          </w:p>
        </w:tc>
        <w:tc>
          <w:tcPr>
            <w:tcW w:w="2243" w:type="dxa"/>
            <w:tcBorders>
              <w:top w:val="single" w:color="auto" w:sz="4" w:space="0"/>
              <w:left w:val="nil"/>
              <w:bottom w:val="single" w:color="auto" w:sz="4" w:space="0"/>
              <w:right w:val="single" w:color="auto" w:sz="4" w:space="0"/>
            </w:tcBorders>
            <w:vAlign w:val="center"/>
          </w:tcPr>
          <w:p>
            <w:pPr>
              <w:kinsoku w:val="0"/>
              <w:overflowPunct w:val="0"/>
              <w:autoSpaceDE w:val="0"/>
              <w:autoSpaceDN w:val="0"/>
              <w:adjustRightInd w:val="0"/>
              <w:snapToGrid w:val="0"/>
              <w:rPr>
                <w:rFonts w:asciiTheme="minorEastAsia" w:hAnsiTheme="minorEastAsia" w:eastAsiaTheme="minorEastAsia"/>
                <w:color w:val="auto"/>
                <w:kern w:val="0"/>
                <w:sz w:val="24"/>
              </w:rPr>
            </w:pPr>
          </w:p>
        </w:tc>
        <w:tc>
          <w:tcPr>
            <w:tcW w:w="727" w:type="dxa"/>
            <w:tcBorders>
              <w:top w:val="single" w:color="auto" w:sz="4" w:space="0"/>
              <w:left w:val="nil"/>
              <w:bottom w:val="single" w:color="auto" w:sz="4" w:space="0"/>
              <w:right w:val="single" w:color="auto" w:sz="4" w:space="0"/>
            </w:tcBorders>
            <w:vAlign w:val="center"/>
          </w:tcPr>
          <w:p>
            <w:pPr>
              <w:kinsoku w:val="0"/>
              <w:overflowPunct w:val="0"/>
              <w:autoSpaceDE w:val="0"/>
              <w:autoSpaceDN w:val="0"/>
              <w:adjustRightInd w:val="0"/>
              <w:snapToGrid w:val="0"/>
              <w:jc w:val="center"/>
              <w:rPr>
                <w:rFonts w:asciiTheme="minorEastAsia" w:hAnsiTheme="minorEastAsia" w:eastAsiaTheme="minorEastAsia"/>
                <w:color w:val="auto"/>
                <w:kern w:val="0"/>
                <w:sz w:val="24"/>
              </w:rPr>
            </w:pPr>
          </w:p>
        </w:tc>
        <w:tc>
          <w:tcPr>
            <w:tcW w:w="962" w:type="dxa"/>
            <w:tcBorders>
              <w:top w:val="single" w:color="auto" w:sz="4" w:space="0"/>
              <w:left w:val="nil"/>
              <w:bottom w:val="single" w:color="auto" w:sz="4" w:space="0"/>
              <w:right w:val="single" w:color="auto" w:sz="4" w:space="0"/>
            </w:tcBorders>
            <w:vAlign w:val="center"/>
          </w:tcPr>
          <w:p>
            <w:pPr>
              <w:kinsoku w:val="0"/>
              <w:overflowPunct w:val="0"/>
              <w:autoSpaceDE w:val="0"/>
              <w:autoSpaceDN w:val="0"/>
              <w:adjustRightInd w:val="0"/>
              <w:snapToGrid w:val="0"/>
              <w:rPr>
                <w:rFonts w:asciiTheme="minorEastAsia" w:hAnsiTheme="minorEastAsia" w:eastAsiaTheme="minorEastAsia"/>
                <w:color w:val="auto"/>
                <w:kern w:val="0"/>
                <w:sz w:val="24"/>
              </w:rPr>
            </w:pPr>
          </w:p>
        </w:tc>
        <w:tc>
          <w:tcPr>
            <w:tcW w:w="1455" w:type="dxa"/>
            <w:tcBorders>
              <w:top w:val="single" w:color="auto" w:sz="4" w:space="0"/>
              <w:left w:val="nil"/>
              <w:bottom w:val="single" w:color="auto" w:sz="4" w:space="0"/>
              <w:right w:val="single" w:color="auto" w:sz="4" w:space="0"/>
            </w:tcBorders>
            <w:vAlign w:val="center"/>
          </w:tcPr>
          <w:p>
            <w:pPr>
              <w:kinsoku w:val="0"/>
              <w:overflowPunct w:val="0"/>
              <w:autoSpaceDE w:val="0"/>
              <w:autoSpaceDN w:val="0"/>
              <w:adjustRightInd w:val="0"/>
              <w:snapToGrid w:val="0"/>
              <w:rPr>
                <w:rFonts w:asciiTheme="minorEastAsia" w:hAnsiTheme="minorEastAsia" w:eastAsiaTheme="minorEastAsia"/>
                <w:color w:val="auto"/>
                <w:kern w:val="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698" w:hRule="atLeast"/>
          <w:jc w:val="center"/>
        </w:trPr>
        <w:tc>
          <w:tcPr>
            <w:tcW w:w="9340" w:type="dxa"/>
            <w:gridSpan w:val="10"/>
            <w:tcBorders>
              <w:top w:val="single" w:color="auto" w:sz="4" w:space="0"/>
              <w:left w:val="single" w:color="auto" w:sz="4" w:space="0"/>
              <w:bottom w:val="single" w:color="auto" w:sz="4" w:space="0"/>
              <w:right w:val="single" w:color="auto" w:sz="4" w:space="0"/>
            </w:tcBorders>
            <w:vAlign w:val="center"/>
          </w:tcPr>
          <w:p>
            <w:pPr>
              <w:kinsoku w:val="0"/>
              <w:overflowPunct w:val="0"/>
              <w:autoSpaceDE w:val="0"/>
              <w:autoSpaceDN w:val="0"/>
              <w:adjustRightInd w:val="0"/>
              <w:snapToGrid w:val="0"/>
              <w:ind w:firstLine="600" w:firstLineChars="250"/>
              <w:rPr>
                <w:rFonts w:asciiTheme="minorEastAsia" w:hAnsiTheme="minorEastAsia" w:eastAsiaTheme="minorEastAsia"/>
                <w:b/>
                <w:color w:val="auto"/>
              </w:rPr>
            </w:pPr>
            <w:r>
              <w:rPr>
                <w:rFonts w:hint="eastAsia" w:asciiTheme="minorEastAsia" w:hAnsiTheme="minorEastAsia" w:eastAsiaTheme="minorEastAsia"/>
                <w:color w:val="auto"/>
                <w:kern w:val="0"/>
                <w:sz w:val="24"/>
              </w:rPr>
              <w:t>合计</w:t>
            </w:r>
            <w:r>
              <w:rPr>
                <w:rFonts w:hint="eastAsia" w:asciiTheme="minorEastAsia" w:hAnsiTheme="minorEastAsia" w:eastAsiaTheme="minorEastAsia"/>
                <w:b/>
                <w:color w:val="auto"/>
                <w:sz w:val="24"/>
              </w:rPr>
              <w:t xml:space="preserve">（人民币）:          </w:t>
            </w:r>
            <w:r>
              <w:rPr>
                <w:rFonts w:hint="eastAsia" w:asciiTheme="minorEastAsia" w:hAnsiTheme="minorEastAsia" w:eastAsiaTheme="minorEastAsia"/>
                <w:b/>
                <w:color w:val="auto"/>
                <w:kern w:val="0"/>
                <w:sz w:val="24"/>
              </w:rPr>
              <w:t>元整（</w:t>
            </w:r>
            <w:r>
              <w:rPr>
                <w:rFonts w:cs="Arial" w:asciiTheme="minorEastAsia" w:hAnsiTheme="minorEastAsia" w:eastAsiaTheme="minorEastAsia"/>
                <w:b/>
                <w:color w:val="auto"/>
                <w:kern w:val="0"/>
                <w:sz w:val="24"/>
              </w:rPr>
              <w:t>￥</w:t>
            </w:r>
            <w:r>
              <w:rPr>
                <w:rFonts w:hint="eastAsia" w:asciiTheme="minorEastAsia" w:hAnsiTheme="minorEastAsia" w:eastAsiaTheme="minorEastAsia"/>
                <w:b/>
                <w:color w:val="auto"/>
                <w:kern w:val="0"/>
                <w:sz w:val="24"/>
              </w:rPr>
              <w:t>：    元）</w:t>
            </w:r>
          </w:p>
          <w:p>
            <w:pPr>
              <w:kinsoku w:val="0"/>
              <w:overflowPunct w:val="0"/>
              <w:autoSpaceDE w:val="0"/>
              <w:autoSpaceDN w:val="0"/>
              <w:adjustRightInd w:val="0"/>
              <w:snapToGrid w:val="0"/>
              <w:rPr>
                <w:rFonts w:asciiTheme="minorEastAsia" w:hAnsiTheme="minorEastAsia" w:eastAsiaTheme="minorEastAsia"/>
                <w:color w:val="auto"/>
                <w:sz w:val="24"/>
              </w:rPr>
            </w:pPr>
            <w:r>
              <w:rPr>
                <w:rFonts w:hint="eastAsia" w:asciiTheme="minorEastAsia" w:hAnsiTheme="minorEastAsia" w:eastAsiaTheme="minorEastAsia"/>
                <w:b/>
                <w:color w:val="auto"/>
                <w:sz w:val="24"/>
              </w:rPr>
              <w:t>注：</w:t>
            </w:r>
            <w:r>
              <w:rPr>
                <w:rFonts w:hint="eastAsia" w:asciiTheme="minorEastAsia" w:hAnsiTheme="minorEastAsia" w:eastAsiaTheme="minorEastAsia"/>
                <w:color w:val="auto"/>
                <w:sz w:val="24"/>
              </w:rPr>
              <w:t xml:space="preserve"> 1. 所提供设备必须为全新的，无瑕疵设备。</w:t>
            </w:r>
          </w:p>
          <w:p>
            <w:pPr>
              <w:snapToGrid w:val="0"/>
              <w:ind w:firstLine="600" w:firstLineChars="250"/>
              <w:rPr>
                <w:rFonts w:asciiTheme="minorEastAsia" w:hAnsiTheme="minorEastAsia" w:eastAsiaTheme="minorEastAsia"/>
                <w:color w:val="auto"/>
                <w:sz w:val="24"/>
              </w:rPr>
            </w:pPr>
            <w:r>
              <w:rPr>
                <w:rFonts w:hint="eastAsia" w:asciiTheme="minorEastAsia" w:hAnsiTheme="minorEastAsia" w:eastAsiaTheme="minorEastAsia"/>
                <w:color w:val="auto"/>
                <w:sz w:val="24"/>
              </w:rPr>
              <w:t>2．设备质量及包装必须符合中华人民共和国进出口货物相关法律、法规。</w:t>
            </w:r>
          </w:p>
          <w:p>
            <w:pPr>
              <w:kinsoku w:val="0"/>
              <w:overflowPunct w:val="0"/>
              <w:autoSpaceDE w:val="0"/>
              <w:autoSpaceDN w:val="0"/>
              <w:adjustRightInd w:val="0"/>
              <w:snapToGrid w:val="0"/>
              <w:ind w:firstLine="600" w:firstLineChars="250"/>
              <w:rPr>
                <w:rFonts w:asciiTheme="minorEastAsia" w:hAnsiTheme="minorEastAsia" w:eastAsiaTheme="minorEastAsia"/>
                <w:color w:val="auto"/>
                <w:sz w:val="24"/>
              </w:rPr>
            </w:pPr>
            <w:r>
              <w:rPr>
                <w:rFonts w:hint="eastAsia" w:asciiTheme="minorEastAsia" w:hAnsiTheme="minorEastAsia" w:eastAsiaTheme="minorEastAsia"/>
                <w:color w:val="auto"/>
                <w:sz w:val="24"/>
              </w:rPr>
              <w:t>3．所提供货物索赔期为      个月（从到岸时间开始计算）。</w:t>
            </w:r>
          </w:p>
        </w:tc>
      </w:tr>
    </w:tbl>
    <w:p>
      <w:pPr>
        <w:spacing w:line="360" w:lineRule="auto"/>
        <w:ind w:left="359" w:leftChars="171"/>
        <w:rPr>
          <w:rFonts w:asciiTheme="minorEastAsia" w:hAnsiTheme="minorEastAsia" w:eastAsiaTheme="minorEastAsia"/>
          <w:b/>
          <w:color w:val="auto"/>
          <w:sz w:val="24"/>
        </w:rPr>
      </w:pPr>
      <w:r>
        <w:rPr>
          <w:rFonts w:hint="eastAsia" w:asciiTheme="minorEastAsia" w:hAnsiTheme="minorEastAsia" w:eastAsiaTheme="minorEastAsia"/>
          <w:b/>
          <w:color w:val="auto"/>
          <w:sz w:val="24"/>
        </w:rPr>
        <w:t>技术负责人（签字）：</w:t>
      </w:r>
      <w:r>
        <w:rPr>
          <w:rFonts w:hint="eastAsia" w:asciiTheme="minorEastAsia" w:hAnsiTheme="minorEastAsia" w:eastAsiaTheme="minorEastAsia"/>
          <w:b/>
          <w:color w:val="auto"/>
          <w:sz w:val="24"/>
          <w:u w:val="single"/>
        </w:rPr>
        <w:t xml:space="preserve">               </w:t>
      </w:r>
      <w:r>
        <w:rPr>
          <w:rFonts w:hint="eastAsia" w:asciiTheme="minorEastAsia" w:hAnsiTheme="minorEastAsia" w:eastAsiaTheme="minorEastAsia"/>
          <w:b/>
          <w:color w:val="auto"/>
          <w:sz w:val="24"/>
        </w:rPr>
        <w:t xml:space="preserve">    部门负责人（签字）：</w:t>
      </w:r>
      <w:r>
        <w:rPr>
          <w:rFonts w:hint="eastAsia" w:asciiTheme="minorEastAsia" w:hAnsiTheme="minorEastAsia" w:eastAsiaTheme="minorEastAsia"/>
          <w:b/>
          <w:color w:val="auto"/>
          <w:sz w:val="24"/>
          <w:u w:val="single"/>
        </w:rPr>
        <w:t xml:space="preserve">                 </w:t>
      </w:r>
    </w:p>
    <w:p>
      <w:pPr>
        <w:spacing w:line="360" w:lineRule="auto"/>
        <w:ind w:firstLine="482" w:firstLineChars="200"/>
        <w:rPr>
          <w:rFonts w:asciiTheme="minorEastAsia" w:hAnsiTheme="minorEastAsia" w:eastAsiaTheme="minorEastAsia"/>
          <w:color w:val="auto"/>
          <w:sz w:val="24"/>
        </w:rPr>
      </w:pPr>
      <w:r>
        <w:rPr>
          <w:rFonts w:hint="eastAsia" w:asciiTheme="minorEastAsia" w:hAnsiTheme="minorEastAsia" w:eastAsiaTheme="minorEastAsia"/>
          <w:b/>
          <w:color w:val="auto"/>
          <w:sz w:val="24"/>
        </w:rPr>
        <w:t>二、协议总金额（人民币）:</w:t>
      </w:r>
      <w:r>
        <w:rPr>
          <w:rFonts w:hint="eastAsia" w:asciiTheme="minorEastAsia" w:hAnsiTheme="minorEastAsia" w:eastAsiaTheme="minorEastAsia"/>
          <w:b/>
          <w:color w:val="auto"/>
          <w:sz w:val="24"/>
          <w:u w:val="single"/>
        </w:rPr>
        <w:t xml:space="preserve">          </w:t>
      </w:r>
      <w:r>
        <w:rPr>
          <w:rFonts w:hint="eastAsia" w:asciiTheme="minorEastAsia" w:hAnsiTheme="minorEastAsia" w:eastAsiaTheme="minorEastAsia"/>
          <w:b/>
          <w:color w:val="auto"/>
          <w:kern w:val="0"/>
          <w:sz w:val="24"/>
        </w:rPr>
        <w:t>元整（</w:t>
      </w:r>
      <w:r>
        <w:rPr>
          <w:rFonts w:cs="Arial" w:asciiTheme="minorEastAsia" w:hAnsiTheme="minorEastAsia" w:eastAsiaTheme="minorEastAsia"/>
          <w:b/>
          <w:color w:val="auto"/>
          <w:kern w:val="0"/>
          <w:sz w:val="24"/>
        </w:rPr>
        <w:t>￥</w:t>
      </w:r>
      <w:r>
        <w:rPr>
          <w:rFonts w:hint="eastAsia" w:asciiTheme="minorEastAsia" w:hAnsiTheme="minorEastAsia" w:eastAsiaTheme="minorEastAsia"/>
          <w:b/>
          <w:color w:val="auto"/>
          <w:kern w:val="0"/>
          <w:sz w:val="24"/>
        </w:rPr>
        <w:t>：</w:t>
      </w:r>
      <w:r>
        <w:rPr>
          <w:rFonts w:hint="eastAsia" w:asciiTheme="minorEastAsia" w:hAnsiTheme="minorEastAsia" w:eastAsiaTheme="minorEastAsia"/>
          <w:b/>
          <w:color w:val="auto"/>
          <w:sz w:val="24"/>
          <w:u w:val="single"/>
        </w:rPr>
        <w:t xml:space="preserve">  </w:t>
      </w:r>
      <w:r>
        <w:rPr>
          <w:rFonts w:hint="eastAsia" w:asciiTheme="minorEastAsia" w:hAnsiTheme="minorEastAsia" w:eastAsiaTheme="minorEastAsia"/>
          <w:b/>
          <w:color w:val="auto"/>
          <w:kern w:val="0"/>
          <w:sz w:val="24"/>
        </w:rPr>
        <w:t>元）</w:t>
      </w:r>
      <w:r>
        <w:rPr>
          <w:rFonts w:hint="eastAsia" w:asciiTheme="minorEastAsia" w:hAnsiTheme="minorEastAsia" w:eastAsiaTheme="minorEastAsia"/>
          <w:b/>
          <w:color w:val="auto"/>
          <w:sz w:val="24"/>
        </w:rPr>
        <w:t>。含增值税、运费、安装调试费等，甲方无需支付其他费用。</w:t>
      </w:r>
    </w:p>
    <w:p>
      <w:pPr>
        <w:spacing w:line="360" w:lineRule="auto"/>
        <w:ind w:firstLine="482" w:firstLineChars="200"/>
        <w:rPr>
          <w:rFonts w:asciiTheme="minorEastAsia" w:hAnsiTheme="minorEastAsia" w:eastAsiaTheme="minorEastAsia"/>
          <w:b/>
          <w:color w:val="auto"/>
          <w:sz w:val="24"/>
        </w:rPr>
      </w:pPr>
      <w:r>
        <w:rPr>
          <w:rFonts w:hint="eastAsia" w:asciiTheme="minorEastAsia" w:hAnsiTheme="minorEastAsia" w:eastAsiaTheme="minorEastAsia"/>
          <w:b/>
          <w:color w:val="auto"/>
          <w:sz w:val="24"/>
        </w:rPr>
        <w:t>三、交货：</w:t>
      </w:r>
    </w:p>
    <w:p>
      <w:pPr>
        <w:spacing w:line="360" w:lineRule="auto"/>
        <w:ind w:left="360" w:firstLine="482" w:firstLineChars="200"/>
        <w:rPr>
          <w:rFonts w:asciiTheme="minorEastAsia" w:hAnsiTheme="minorEastAsia" w:eastAsiaTheme="minorEastAsia"/>
          <w:color w:val="auto"/>
          <w:sz w:val="24"/>
        </w:rPr>
      </w:pPr>
      <w:r>
        <w:rPr>
          <w:rFonts w:hint="eastAsia" w:asciiTheme="minorEastAsia" w:hAnsiTheme="minorEastAsia" w:eastAsiaTheme="minorEastAsia"/>
          <w:b/>
          <w:color w:val="auto"/>
          <w:sz w:val="24"/>
        </w:rPr>
        <w:t>1.交货时间：</w:t>
      </w:r>
      <w:r>
        <w:rPr>
          <w:rFonts w:hint="eastAsia" w:asciiTheme="minorEastAsia" w:hAnsiTheme="minorEastAsia" w:eastAsiaTheme="minorEastAsia"/>
          <w:color w:val="auto"/>
          <w:sz w:val="24"/>
        </w:rPr>
        <w:t>乙方应在信用证开具</w:t>
      </w:r>
      <w:r>
        <w:rPr>
          <w:rFonts w:hint="eastAsia" w:asciiTheme="minorEastAsia" w:hAnsiTheme="minorEastAsia" w:eastAsiaTheme="minorEastAsia"/>
          <w:color w:val="auto"/>
          <w:sz w:val="24"/>
          <w:u w:val="single"/>
        </w:rPr>
        <w:t xml:space="preserve">   </w:t>
      </w:r>
      <w:r>
        <w:rPr>
          <w:rFonts w:hint="eastAsia" w:asciiTheme="minorEastAsia" w:hAnsiTheme="minorEastAsia" w:eastAsiaTheme="minorEastAsia"/>
          <w:color w:val="auto"/>
          <w:sz w:val="24"/>
        </w:rPr>
        <w:t>日内完成所有仪器设备（系统）的安装调试工作。</w:t>
      </w:r>
    </w:p>
    <w:p>
      <w:pPr>
        <w:spacing w:line="360" w:lineRule="auto"/>
        <w:ind w:left="360" w:firstLine="482" w:firstLineChars="200"/>
        <w:rPr>
          <w:rFonts w:asciiTheme="minorEastAsia" w:hAnsiTheme="minorEastAsia" w:eastAsiaTheme="minorEastAsia"/>
          <w:color w:val="auto"/>
          <w:sz w:val="24"/>
        </w:rPr>
      </w:pPr>
      <w:r>
        <w:rPr>
          <w:rFonts w:hint="eastAsia" w:asciiTheme="minorEastAsia" w:hAnsiTheme="minorEastAsia" w:eastAsiaTheme="minorEastAsia"/>
          <w:b/>
          <w:color w:val="auto"/>
          <w:sz w:val="24"/>
        </w:rPr>
        <w:t>2.交货地点</w:t>
      </w:r>
      <w:r>
        <w:rPr>
          <w:rFonts w:hint="eastAsia" w:asciiTheme="minorEastAsia" w:hAnsiTheme="minorEastAsia" w:eastAsiaTheme="minorEastAsia"/>
          <w:color w:val="auto"/>
          <w:sz w:val="24"/>
        </w:rPr>
        <w:t>：甲方指定地点。</w:t>
      </w:r>
    </w:p>
    <w:p>
      <w:pPr>
        <w:spacing w:line="360" w:lineRule="auto"/>
        <w:ind w:left="359" w:leftChars="171" w:firstLine="480" w:firstLineChars="200"/>
        <w:rPr>
          <w:rFonts w:asciiTheme="minorEastAsia" w:hAnsiTheme="minorEastAsia" w:eastAsiaTheme="minorEastAsia"/>
          <w:color w:val="auto"/>
          <w:sz w:val="24"/>
        </w:rPr>
      </w:pPr>
      <w:r>
        <w:rPr>
          <w:rFonts w:hint="eastAsia" w:asciiTheme="minorEastAsia" w:hAnsiTheme="minorEastAsia" w:eastAsiaTheme="minorEastAsia"/>
          <w:color w:val="auto"/>
          <w:sz w:val="24"/>
        </w:rPr>
        <w:t>3.交货方式：乙方负责安排运输到甲方指定地。</w:t>
      </w:r>
      <w:r>
        <w:rPr>
          <w:rFonts w:hint="eastAsia" w:asciiTheme="minorEastAsia" w:hAnsiTheme="minorEastAsia" w:eastAsiaTheme="minorEastAsia"/>
          <w:bCs/>
          <w:color w:val="auto"/>
          <w:sz w:val="24"/>
        </w:rPr>
        <w:t>乙方承担货物交付甲方前的一切费用及风险（本条款所指交付是乙方将货物运送至甲方指定地点，并经甲方验收合格并出具验收合格证明后视为交付）。</w:t>
      </w:r>
    </w:p>
    <w:p>
      <w:pPr>
        <w:spacing w:line="360" w:lineRule="auto"/>
        <w:ind w:left="360" w:firstLine="480" w:firstLineChars="200"/>
        <w:rPr>
          <w:rFonts w:asciiTheme="minorEastAsia" w:hAnsiTheme="minorEastAsia" w:eastAsiaTheme="minorEastAsia"/>
          <w:color w:val="auto"/>
          <w:sz w:val="24"/>
        </w:rPr>
      </w:pPr>
      <w:r>
        <w:rPr>
          <w:rFonts w:hint="eastAsia" w:asciiTheme="minorEastAsia" w:hAnsiTheme="minorEastAsia" w:eastAsiaTheme="minorEastAsia"/>
          <w:color w:val="auto"/>
          <w:sz w:val="24"/>
        </w:rPr>
        <w:t>4.交货时，乙方应将产品的产品说明书、使用说明书，出厂合格证、用户手册、保修手册等单证交付给甲方，进口产品必须提供国家进出口商品检验部门的检验证明及详尽的中文版说明书，前述单证未交付完整的，视为未完全交货。</w:t>
      </w:r>
    </w:p>
    <w:p>
      <w:pPr>
        <w:spacing w:line="360" w:lineRule="auto"/>
        <w:ind w:left="360" w:firstLine="480" w:firstLineChars="200"/>
        <w:rPr>
          <w:rFonts w:asciiTheme="minorEastAsia" w:hAnsiTheme="minorEastAsia" w:eastAsiaTheme="minorEastAsia"/>
          <w:color w:val="auto"/>
          <w:sz w:val="24"/>
        </w:rPr>
      </w:pPr>
      <w:r>
        <w:rPr>
          <w:rFonts w:hint="eastAsia" w:asciiTheme="minorEastAsia" w:hAnsiTheme="minorEastAsia" w:eastAsiaTheme="minorEastAsia"/>
          <w:color w:val="auto"/>
          <w:sz w:val="24"/>
        </w:rPr>
        <w:t>5.如果产品属于特种设备，则乙方应当提供相关证明并协助甲方办理相关手续。</w:t>
      </w:r>
    </w:p>
    <w:p>
      <w:pPr>
        <w:spacing w:line="360" w:lineRule="auto"/>
        <w:ind w:firstLine="482" w:firstLineChars="200"/>
        <w:rPr>
          <w:rFonts w:asciiTheme="minorEastAsia" w:hAnsiTheme="minorEastAsia" w:eastAsiaTheme="minorEastAsia"/>
          <w:b/>
          <w:color w:val="auto"/>
          <w:sz w:val="24"/>
        </w:rPr>
      </w:pPr>
      <w:r>
        <w:rPr>
          <w:rFonts w:hint="eastAsia" w:asciiTheme="minorEastAsia" w:hAnsiTheme="minorEastAsia" w:eastAsiaTheme="minorEastAsia"/>
          <w:b/>
          <w:color w:val="auto"/>
          <w:sz w:val="24"/>
        </w:rPr>
        <w:t>四、验收方式：</w:t>
      </w:r>
    </w:p>
    <w:p>
      <w:pPr>
        <w:spacing w:line="360" w:lineRule="auto"/>
        <w:ind w:left="412" w:leftChars="196" w:firstLine="439" w:firstLineChars="183"/>
        <w:rPr>
          <w:rFonts w:asciiTheme="minorEastAsia" w:hAnsiTheme="minorEastAsia" w:eastAsiaTheme="minorEastAsia"/>
          <w:color w:val="auto"/>
          <w:sz w:val="24"/>
        </w:rPr>
      </w:pPr>
      <w:r>
        <w:rPr>
          <w:rFonts w:hint="eastAsia" w:asciiTheme="minorEastAsia" w:hAnsiTheme="minorEastAsia" w:eastAsiaTheme="minorEastAsia"/>
          <w:color w:val="auto"/>
          <w:sz w:val="24"/>
        </w:rPr>
        <w:t xml:space="preserve">1.甲方组织技术人员验收。货物质量验收合格的，甲方签署验收报告，验收不合格的，甲方向乙方出具书面质量异议意见。 </w:t>
      </w:r>
    </w:p>
    <w:p>
      <w:pPr>
        <w:spacing w:line="360" w:lineRule="auto"/>
        <w:ind w:left="132" w:leftChars="63" w:firstLine="720" w:firstLineChars="300"/>
        <w:rPr>
          <w:rFonts w:asciiTheme="minorEastAsia" w:hAnsiTheme="minorEastAsia" w:eastAsiaTheme="minorEastAsia"/>
          <w:color w:val="auto"/>
          <w:sz w:val="24"/>
        </w:rPr>
      </w:pPr>
      <w:r>
        <w:rPr>
          <w:rFonts w:hint="eastAsia" w:asciiTheme="minorEastAsia" w:hAnsiTheme="minorEastAsia" w:eastAsiaTheme="minorEastAsia"/>
          <w:color w:val="auto"/>
          <w:sz w:val="24"/>
        </w:rPr>
        <w:t xml:space="preserve">2.甲方收货验收并不免除乙方对产品质量应当承担的责任。     </w:t>
      </w:r>
    </w:p>
    <w:p>
      <w:pPr>
        <w:spacing w:line="360" w:lineRule="auto"/>
        <w:ind w:firstLine="482" w:firstLineChars="200"/>
        <w:rPr>
          <w:rFonts w:asciiTheme="minorEastAsia" w:hAnsiTheme="minorEastAsia" w:eastAsiaTheme="minorEastAsia"/>
          <w:b/>
          <w:color w:val="auto"/>
          <w:sz w:val="24"/>
        </w:rPr>
      </w:pPr>
      <w:r>
        <w:rPr>
          <w:rFonts w:hint="eastAsia" w:asciiTheme="minorEastAsia" w:hAnsiTheme="minorEastAsia" w:eastAsiaTheme="minorEastAsia"/>
          <w:b/>
          <w:color w:val="auto"/>
          <w:sz w:val="24"/>
        </w:rPr>
        <w:t>五、验收标准：</w:t>
      </w:r>
      <w:r>
        <w:rPr>
          <w:rFonts w:hint="eastAsia" w:asciiTheme="minorEastAsia" w:hAnsiTheme="minorEastAsia" w:eastAsiaTheme="minorEastAsia"/>
          <w:color w:val="auto"/>
          <w:sz w:val="24"/>
        </w:rPr>
        <w:t>本合同相关约定，本合同未明确约定事项按本项目投标文件（含《响应文件》相关承诺和说明）、招标文件相关要求、相关技术文件验收。</w:t>
      </w:r>
    </w:p>
    <w:p>
      <w:pPr>
        <w:spacing w:line="360" w:lineRule="auto"/>
        <w:ind w:firstLine="482" w:firstLineChars="200"/>
        <w:rPr>
          <w:rFonts w:asciiTheme="minorEastAsia" w:hAnsiTheme="minorEastAsia" w:eastAsiaTheme="minorEastAsia"/>
          <w:b/>
          <w:color w:val="auto"/>
          <w:sz w:val="24"/>
        </w:rPr>
      </w:pPr>
      <w:r>
        <w:rPr>
          <w:rFonts w:hint="eastAsia" w:asciiTheme="minorEastAsia" w:hAnsiTheme="minorEastAsia" w:eastAsiaTheme="minorEastAsia"/>
          <w:b/>
          <w:color w:val="auto"/>
          <w:sz w:val="24"/>
        </w:rPr>
        <w:t>六、付款方式：</w:t>
      </w:r>
    </w:p>
    <w:p>
      <w:pPr>
        <w:spacing w:line="360" w:lineRule="auto"/>
        <w:ind w:left="360" w:firstLine="480" w:firstLineChars="200"/>
        <w:rPr>
          <w:rFonts w:asciiTheme="minorEastAsia" w:hAnsiTheme="minorEastAsia" w:eastAsiaTheme="minorEastAsia"/>
          <w:color w:val="auto"/>
          <w:sz w:val="24"/>
        </w:rPr>
      </w:pPr>
      <w:r>
        <w:rPr>
          <w:rFonts w:hint="eastAsia" w:asciiTheme="minorEastAsia" w:hAnsiTheme="minorEastAsia" w:eastAsiaTheme="minorEastAsia"/>
          <w:color w:val="auto"/>
          <w:sz w:val="24"/>
        </w:rPr>
        <w:t>1.本协议正式签订前，乙方需向甲方支付协议总金额的5%即人民币</w:t>
      </w:r>
      <w:r>
        <w:rPr>
          <w:rFonts w:hint="eastAsia" w:asciiTheme="minorEastAsia" w:hAnsiTheme="minorEastAsia" w:eastAsiaTheme="minorEastAsia"/>
          <w:color w:val="auto"/>
          <w:sz w:val="24"/>
          <w:u w:val="single"/>
        </w:rPr>
        <w:t xml:space="preserve">    </w:t>
      </w:r>
      <w:r>
        <w:rPr>
          <w:rFonts w:hint="eastAsia" w:asciiTheme="minorEastAsia" w:hAnsiTheme="minorEastAsia" w:eastAsiaTheme="minorEastAsia"/>
          <w:color w:val="auto"/>
          <w:sz w:val="24"/>
        </w:rPr>
        <w:t>元整（￥</w:t>
      </w:r>
      <w:r>
        <w:rPr>
          <w:rFonts w:hint="eastAsia" w:asciiTheme="minorEastAsia" w:hAnsiTheme="minorEastAsia" w:eastAsiaTheme="minorEastAsia"/>
          <w:color w:val="auto"/>
          <w:sz w:val="24"/>
          <w:u w:val="single"/>
        </w:rPr>
        <w:t xml:space="preserve">    </w:t>
      </w:r>
      <w:r>
        <w:rPr>
          <w:rFonts w:hint="eastAsia" w:asciiTheme="minorEastAsia" w:hAnsiTheme="minorEastAsia" w:eastAsiaTheme="minorEastAsia"/>
          <w:color w:val="auto"/>
          <w:sz w:val="24"/>
        </w:rPr>
        <w:t>元整）作为履约保证金。所有进口仪器设备（系统）经甲方验收合格后，履约保证金转为质保金，产品验收合格满</w:t>
      </w:r>
      <w:r>
        <w:rPr>
          <w:rFonts w:hint="eastAsia" w:asciiTheme="minorEastAsia" w:hAnsiTheme="minorEastAsia" w:eastAsiaTheme="minorEastAsia"/>
          <w:color w:val="auto"/>
          <w:sz w:val="24"/>
          <w:u w:val="single"/>
        </w:rPr>
        <w:t xml:space="preserve">    </w:t>
      </w:r>
      <w:r>
        <w:rPr>
          <w:rFonts w:hint="eastAsia" w:asciiTheme="minorEastAsia" w:hAnsiTheme="minorEastAsia" w:eastAsiaTheme="minorEastAsia"/>
          <w:color w:val="auto"/>
          <w:sz w:val="24"/>
        </w:rPr>
        <w:t>年后，若无质量问题甲方将质保金全额无息退还给乙方。</w:t>
      </w:r>
    </w:p>
    <w:p>
      <w:pPr>
        <w:spacing w:line="360" w:lineRule="auto"/>
        <w:ind w:left="360" w:firstLine="480" w:firstLineChars="200"/>
        <w:rPr>
          <w:rFonts w:asciiTheme="minorEastAsia" w:hAnsiTheme="minorEastAsia" w:eastAsiaTheme="minorEastAsia"/>
          <w:color w:val="auto"/>
          <w:sz w:val="24"/>
        </w:rPr>
      </w:pPr>
      <w:r>
        <w:rPr>
          <w:rFonts w:hint="eastAsia" w:asciiTheme="minorEastAsia" w:hAnsiTheme="minorEastAsia" w:eastAsiaTheme="minorEastAsia"/>
          <w:color w:val="auto"/>
          <w:sz w:val="24"/>
        </w:rPr>
        <w:t>2.其它以外贸协议为准。</w:t>
      </w:r>
    </w:p>
    <w:p>
      <w:pPr>
        <w:spacing w:line="360" w:lineRule="auto"/>
        <w:ind w:left="360"/>
        <w:rPr>
          <w:rFonts w:asciiTheme="minorEastAsia" w:hAnsiTheme="minorEastAsia" w:eastAsiaTheme="minorEastAsia"/>
          <w:b/>
          <w:color w:val="auto"/>
          <w:sz w:val="24"/>
        </w:rPr>
      </w:pPr>
      <w:r>
        <w:rPr>
          <w:rFonts w:hint="eastAsia" w:asciiTheme="minorEastAsia" w:hAnsiTheme="minorEastAsia" w:eastAsiaTheme="minorEastAsia"/>
          <w:b/>
          <w:color w:val="auto"/>
          <w:sz w:val="24"/>
        </w:rPr>
        <w:t>七、售后服务（</w:t>
      </w:r>
      <w:r>
        <w:rPr>
          <w:rFonts w:hint="eastAsia" w:asciiTheme="minorEastAsia" w:hAnsiTheme="minorEastAsia" w:eastAsiaTheme="minorEastAsia"/>
          <w:bCs/>
          <w:color w:val="auto"/>
          <w:sz w:val="24"/>
        </w:rPr>
        <w:t>根据具体项目投标文件填写</w:t>
      </w:r>
      <w:r>
        <w:rPr>
          <w:rFonts w:hint="eastAsia" w:asciiTheme="minorEastAsia" w:hAnsiTheme="minorEastAsia" w:eastAsiaTheme="minorEastAsia"/>
          <w:b/>
          <w:color w:val="auto"/>
          <w:sz w:val="24"/>
        </w:rPr>
        <w:t>）</w:t>
      </w:r>
    </w:p>
    <w:p>
      <w:pPr>
        <w:spacing w:line="360" w:lineRule="auto"/>
        <w:ind w:firstLine="960" w:firstLineChars="400"/>
        <w:rPr>
          <w:rFonts w:asciiTheme="minorEastAsia" w:hAnsiTheme="minorEastAsia" w:eastAsiaTheme="minorEastAsia"/>
          <w:bCs/>
          <w:color w:val="auto"/>
          <w:sz w:val="24"/>
        </w:rPr>
      </w:pPr>
      <w:r>
        <w:rPr>
          <w:rFonts w:hint="eastAsia" w:asciiTheme="minorEastAsia" w:hAnsiTheme="minorEastAsia" w:eastAsiaTheme="minorEastAsia"/>
          <w:bCs/>
          <w:color w:val="auto"/>
          <w:sz w:val="24"/>
        </w:rPr>
        <w:t>1.产品验收合格之日起质保期</w:t>
      </w:r>
      <w:r>
        <w:rPr>
          <w:rFonts w:hint="eastAsia" w:asciiTheme="minorEastAsia" w:hAnsiTheme="minorEastAsia" w:eastAsiaTheme="minorEastAsia"/>
          <w:bCs/>
          <w:color w:val="auto"/>
          <w:sz w:val="24"/>
          <w:u w:val="single"/>
        </w:rPr>
        <w:t xml:space="preserve">   </w:t>
      </w:r>
      <w:r>
        <w:rPr>
          <w:rFonts w:hint="eastAsia" w:asciiTheme="minorEastAsia" w:hAnsiTheme="minorEastAsia" w:eastAsiaTheme="minorEastAsia"/>
          <w:bCs/>
          <w:color w:val="auto"/>
          <w:sz w:val="24"/>
        </w:rPr>
        <w:t>年，提供售后服务</w:t>
      </w:r>
      <w:r>
        <w:rPr>
          <w:rFonts w:hint="eastAsia" w:asciiTheme="minorEastAsia" w:hAnsiTheme="minorEastAsia" w:eastAsiaTheme="minorEastAsia"/>
          <w:bCs/>
          <w:color w:val="auto"/>
          <w:sz w:val="24"/>
          <w:u w:val="single"/>
        </w:rPr>
        <w:t xml:space="preserve">   </w:t>
      </w:r>
      <w:r>
        <w:rPr>
          <w:rFonts w:hint="eastAsia" w:asciiTheme="minorEastAsia" w:hAnsiTheme="minorEastAsia" w:eastAsiaTheme="minorEastAsia"/>
          <w:bCs/>
          <w:color w:val="auto"/>
          <w:sz w:val="24"/>
        </w:rPr>
        <w:t>年。</w:t>
      </w:r>
    </w:p>
    <w:p>
      <w:pPr>
        <w:spacing w:line="360" w:lineRule="auto"/>
        <w:ind w:left="479" w:leftChars="228" w:firstLine="480" w:firstLineChars="200"/>
        <w:rPr>
          <w:rFonts w:asciiTheme="minorEastAsia" w:hAnsiTheme="minorEastAsia" w:eastAsiaTheme="minorEastAsia"/>
          <w:bCs/>
          <w:color w:val="auto"/>
          <w:sz w:val="24"/>
        </w:rPr>
      </w:pPr>
      <w:r>
        <w:rPr>
          <w:rFonts w:hint="eastAsia" w:asciiTheme="minorEastAsia" w:hAnsiTheme="minorEastAsia" w:eastAsiaTheme="minorEastAsia"/>
          <w:bCs/>
          <w:color w:val="auto"/>
          <w:sz w:val="24"/>
        </w:rPr>
        <w:t>2.质保期、保修期内因产品质量或安装调试原因引起的全部维修费用（包括更换零配件的费用）均由乙方承担。</w:t>
      </w:r>
    </w:p>
    <w:p>
      <w:pPr>
        <w:spacing w:line="360" w:lineRule="auto"/>
        <w:ind w:left="479" w:leftChars="228" w:firstLine="480" w:firstLineChars="200"/>
        <w:rPr>
          <w:rFonts w:asciiTheme="minorEastAsia" w:hAnsiTheme="minorEastAsia" w:eastAsiaTheme="minorEastAsia"/>
          <w:bCs/>
          <w:color w:val="auto"/>
          <w:sz w:val="24"/>
        </w:rPr>
      </w:pPr>
      <w:r>
        <w:rPr>
          <w:rFonts w:hint="eastAsia" w:asciiTheme="minorEastAsia" w:hAnsiTheme="minorEastAsia" w:eastAsiaTheme="minorEastAsia"/>
          <w:bCs/>
          <w:color w:val="auto"/>
          <w:sz w:val="24"/>
        </w:rPr>
        <w:t>3.质保期、保修期外，乙方应定期回访，发现问题及时通知甲方，产品维修零配件以优惠价给甲方（免收人工及差旅费）。</w:t>
      </w:r>
    </w:p>
    <w:p>
      <w:pPr>
        <w:spacing w:line="360" w:lineRule="auto"/>
        <w:ind w:left="479" w:leftChars="228" w:firstLine="480" w:firstLineChars="200"/>
        <w:rPr>
          <w:rFonts w:asciiTheme="minorEastAsia" w:hAnsiTheme="minorEastAsia" w:eastAsiaTheme="minorEastAsia"/>
          <w:bCs/>
          <w:color w:val="auto"/>
          <w:sz w:val="24"/>
        </w:rPr>
      </w:pPr>
      <w:r>
        <w:rPr>
          <w:rFonts w:hint="eastAsia" w:asciiTheme="minorEastAsia" w:hAnsiTheme="minorEastAsia" w:eastAsiaTheme="minorEastAsia"/>
          <w:bCs/>
          <w:color w:val="auto"/>
          <w:sz w:val="24"/>
        </w:rPr>
        <w:t>4.维修时，乙方接到甲方故障通知后在24小时之内上门服务，小型故障在3天内解决，大故障在15天内解决，若乙方怠于履行维修义务，则甲方有权委托第三人维修，所产生的所有费用由乙方承担。</w:t>
      </w:r>
    </w:p>
    <w:p>
      <w:pPr>
        <w:spacing w:line="360" w:lineRule="auto"/>
        <w:ind w:left="479" w:leftChars="172" w:hanging="118" w:hangingChars="49"/>
        <w:rPr>
          <w:rFonts w:asciiTheme="minorEastAsia" w:hAnsiTheme="minorEastAsia" w:eastAsiaTheme="minorEastAsia"/>
          <w:b/>
          <w:bCs/>
          <w:color w:val="auto"/>
          <w:sz w:val="24"/>
        </w:rPr>
      </w:pPr>
      <w:r>
        <w:rPr>
          <w:rFonts w:hint="eastAsia" w:asciiTheme="minorEastAsia" w:hAnsiTheme="minorEastAsia" w:eastAsiaTheme="minorEastAsia"/>
          <w:b/>
          <w:bCs/>
          <w:color w:val="auto"/>
          <w:sz w:val="24"/>
        </w:rPr>
        <w:t>八、违约责任</w:t>
      </w:r>
    </w:p>
    <w:p>
      <w:pPr>
        <w:spacing w:line="360" w:lineRule="auto"/>
        <w:ind w:left="540" w:leftChars="257" w:firstLine="480" w:firstLineChars="200"/>
        <w:rPr>
          <w:rFonts w:asciiTheme="minorEastAsia" w:hAnsiTheme="minorEastAsia" w:eastAsiaTheme="minorEastAsia"/>
          <w:color w:val="auto"/>
          <w:sz w:val="24"/>
        </w:rPr>
      </w:pPr>
      <w:r>
        <w:rPr>
          <w:rFonts w:hint="eastAsia" w:asciiTheme="minorEastAsia" w:hAnsiTheme="minorEastAsia" w:eastAsiaTheme="minorEastAsia"/>
          <w:color w:val="auto"/>
          <w:sz w:val="24"/>
        </w:rPr>
        <w:t>1、若乙方未能按协议所规定的交货时间前完成本协议所有设备安装调试并达到验收标准，每延迟一天，按协议总额的千分之一向甲方交纳违约金,违约金总额不超过协议总金额的百分之五。</w:t>
      </w:r>
    </w:p>
    <w:p>
      <w:pPr>
        <w:spacing w:line="360" w:lineRule="auto"/>
        <w:ind w:left="540" w:leftChars="257" w:firstLine="480" w:firstLineChars="200"/>
        <w:rPr>
          <w:rFonts w:asciiTheme="minorEastAsia" w:hAnsiTheme="minorEastAsia" w:eastAsiaTheme="minorEastAsia"/>
          <w:color w:val="auto"/>
          <w:sz w:val="24"/>
        </w:rPr>
      </w:pPr>
      <w:r>
        <w:rPr>
          <w:rFonts w:hint="eastAsia" w:asciiTheme="minorEastAsia" w:hAnsiTheme="minorEastAsia" w:eastAsiaTheme="minorEastAsia"/>
          <w:color w:val="auto"/>
          <w:sz w:val="24"/>
        </w:rPr>
        <w:t>2．若乙方未能在信用证开具</w:t>
      </w:r>
      <w:r>
        <w:rPr>
          <w:rFonts w:hint="eastAsia" w:asciiTheme="minorEastAsia" w:hAnsiTheme="minorEastAsia" w:eastAsiaTheme="minorEastAsia"/>
          <w:color w:val="auto"/>
          <w:sz w:val="24"/>
          <w:u w:val="single"/>
        </w:rPr>
        <w:t xml:space="preserve">    </w:t>
      </w:r>
      <w:r>
        <w:rPr>
          <w:rFonts w:hint="eastAsia" w:asciiTheme="minorEastAsia" w:hAnsiTheme="minorEastAsia" w:eastAsiaTheme="minorEastAsia"/>
          <w:color w:val="auto"/>
          <w:sz w:val="24"/>
        </w:rPr>
        <w:t>日内完成本协议所有设备安装调试并达到验收标准，甲方可中止本协议，并由乙方承担由此给甲方造成的一切损失。</w:t>
      </w:r>
    </w:p>
    <w:p>
      <w:pPr>
        <w:spacing w:line="360" w:lineRule="auto"/>
        <w:ind w:left="540" w:leftChars="257" w:firstLine="480" w:firstLineChars="200"/>
        <w:rPr>
          <w:rFonts w:asciiTheme="minorEastAsia" w:hAnsiTheme="minorEastAsia" w:eastAsiaTheme="minorEastAsia"/>
          <w:bCs/>
          <w:color w:val="auto"/>
          <w:sz w:val="24"/>
        </w:rPr>
      </w:pPr>
      <w:r>
        <w:rPr>
          <w:rFonts w:hint="eastAsia" w:asciiTheme="minorEastAsia" w:hAnsiTheme="minorEastAsia" w:eastAsiaTheme="minorEastAsia"/>
          <w:color w:val="auto"/>
          <w:sz w:val="24"/>
        </w:rPr>
        <w:t>3．乙方交付甲方的设备及工程中使用的材料必须有合法的进货渠道，且符合协议和投标书中的质量约定，否则由乙方承担一切责任。</w:t>
      </w:r>
    </w:p>
    <w:p>
      <w:pPr>
        <w:spacing w:line="360" w:lineRule="auto"/>
        <w:ind w:left="540" w:leftChars="257" w:firstLine="480" w:firstLineChars="200"/>
        <w:rPr>
          <w:rFonts w:asciiTheme="minorEastAsia" w:hAnsiTheme="minorEastAsia" w:eastAsiaTheme="minorEastAsia"/>
          <w:bCs/>
          <w:color w:val="auto"/>
          <w:sz w:val="24"/>
        </w:rPr>
      </w:pPr>
      <w:r>
        <w:rPr>
          <w:rFonts w:hint="eastAsia" w:asciiTheme="minorEastAsia" w:hAnsiTheme="minorEastAsia" w:eastAsiaTheme="minorEastAsia"/>
          <w:bCs/>
          <w:color w:val="auto"/>
          <w:sz w:val="24"/>
        </w:rPr>
        <w:t>4. 乙方保证本协议项下产品的权利无瑕疵，包括产品所有权及知识产权等权利无瑕疵。如任何第三方经法院（或仲裁机构）裁决有权对上述货物主张权利或国家机关依法对货物进行没收查处的，乙方除应在接到甲方全额返还已收货款通知五日内返还甲方全额返还已收货款外，还应按合同总价的</w:t>
      </w:r>
      <w:r>
        <w:rPr>
          <w:rFonts w:hint="eastAsia" w:asciiTheme="minorEastAsia" w:hAnsiTheme="minorEastAsia" w:eastAsiaTheme="minorEastAsia"/>
          <w:color w:val="auto"/>
          <w:sz w:val="24"/>
        </w:rPr>
        <w:t>5%</w:t>
      </w:r>
      <w:r>
        <w:rPr>
          <w:rFonts w:hint="eastAsia" w:asciiTheme="minorEastAsia" w:hAnsiTheme="minorEastAsia" w:eastAsiaTheme="minorEastAsia"/>
          <w:bCs/>
          <w:color w:val="auto"/>
          <w:sz w:val="24"/>
        </w:rPr>
        <w:t>向甲方支付违约金。</w:t>
      </w:r>
    </w:p>
    <w:p>
      <w:pPr>
        <w:spacing w:line="360" w:lineRule="auto"/>
        <w:ind w:firstLine="482" w:firstLineChars="200"/>
        <w:rPr>
          <w:rFonts w:asciiTheme="minorEastAsia" w:hAnsiTheme="minorEastAsia" w:eastAsiaTheme="minorEastAsia"/>
          <w:b/>
          <w:bCs/>
          <w:color w:val="auto"/>
          <w:sz w:val="24"/>
        </w:rPr>
      </w:pPr>
      <w:r>
        <w:rPr>
          <w:rFonts w:hint="eastAsia" w:asciiTheme="minorEastAsia" w:hAnsiTheme="minorEastAsia" w:eastAsiaTheme="minorEastAsia"/>
          <w:b/>
          <w:color w:val="auto"/>
          <w:sz w:val="24"/>
        </w:rPr>
        <w:t>九、在履行本协议过程中，如发生争议，双方应友好协商解决，如协商不能解决，双方同同意由武汉市仲裁委员会仲裁或向武汉市洪山区人民法院起诉。本协议的任何变更、修改、补充须双方代表签署书面文件方为有效，补充文件为本协议不可分割的组成部分，同时具备法律效力。</w:t>
      </w:r>
    </w:p>
    <w:p>
      <w:pPr>
        <w:spacing w:line="360" w:lineRule="auto"/>
        <w:ind w:left="360" w:leftChars="171" w:hanging="1"/>
        <w:rPr>
          <w:rFonts w:asciiTheme="minorEastAsia" w:hAnsiTheme="minorEastAsia" w:eastAsiaTheme="minorEastAsia"/>
          <w:b/>
          <w:color w:val="auto"/>
          <w:sz w:val="24"/>
        </w:rPr>
      </w:pPr>
      <w:r>
        <w:rPr>
          <w:rFonts w:hint="eastAsia" w:asciiTheme="minorEastAsia" w:hAnsiTheme="minorEastAsia" w:eastAsiaTheme="minorEastAsia"/>
          <w:b/>
          <w:color w:val="auto"/>
          <w:sz w:val="24"/>
        </w:rPr>
        <w:t>十、本协议一式陆份，甲方持伍份，乙方持壹份，具有同等法律效力。</w:t>
      </w:r>
    </w:p>
    <w:p>
      <w:pPr>
        <w:spacing w:line="360" w:lineRule="auto"/>
        <w:ind w:left="360" w:leftChars="171" w:hanging="1"/>
        <w:rPr>
          <w:rFonts w:asciiTheme="minorEastAsia" w:hAnsiTheme="minorEastAsia" w:eastAsiaTheme="minorEastAsia"/>
          <w:b/>
          <w:color w:val="auto"/>
          <w:sz w:val="24"/>
        </w:rPr>
      </w:pPr>
      <w:r>
        <w:rPr>
          <w:rFonts w:hint="eastAsia" w:asciiTheme="minorEastAsia" w:hAnsiTheme="minorEastAsia" w:eastAsiaTheme="minorEastAsia"/>
          <w:b/>
          <w:color w:val="auto"/>
          <w:sz w:val="24"/>
        </w:rPr>
        <w:t>十一、本协议自双方签字并盖章之日起生效。</w:t>
      </w:r>
    </w:p>
    <w:p>
      <w:pPr>
        <w:spacing w:line="360" w:lineRule="auto"/>
        <w:ind w:left="-178" w:leftChars="-85" w:right="-359" w:rightChars="-171" w:firstLine="144" w:firstLineChars="60"/>
        <w:rPr>
          <w:rFonts w:asciiTheme="minorEastAsia" w:hAnsiTheme="minorEastAsia" w:eastAsiaTheme="minorEastAsia"/>
          <w:color w:val="auto"/>
          <w:sz w:val="24"/>
        </w:rPr>
      </w:pPr>
      <w:r>
        <w:rPr>
          <w:rFonts w:hint="eastAsia" w:asciiTheme="minorEastAsia" w:hAnsiTheme="minorEastAsia" w:eastAsiaTheme="minorEastAsia"/>
          <w:color w:val="auto"/>
          <w:sz w:val="24"/>
        </w:rPr>
        <w:t xml:space="preserve"> </w:t>
      </w:r>
    </w:p>
    <w:p>
      <w:pPr>
        <w:spacing w:line="360" w:lineRule="auto"/>
        <w:ind w:left="178" w:leftChars="85" w:right="-359" w:rightChars="-171"/>
        <w:rPr>
          <w:rFonts w:asciiTheme="minorEastAsia" w:hAnsiTheme="minorEastAsia" w:eastAsiaTheme="minorEastAsia"/>
          <w:color w:val="auto"/>
          <w:sz w:val="24"/>
        </w:rPr>
      </w:pPr>
      <w:r>
        <w:rPr>
          <w:rFonts w:hint="eastAsia" w:asciiTheme="minorEastAsia" w:hAnsiTheme="minorEastAsia" w:eastAsiaTheme="minorEastAsia"/>
          <w:color w:val="auto"/>
          <w:sz w:val="24"/>
        </w:rPr>
        <w:t>甲 方（盖章）：</w:t>
      </w:r>
      <w:r>
        <w:rPr>
          <w:rFonts w:hint="eastAsia" w:asciiTheme="minorEastAsia" w:hAnsiTheme="minorEastAsia" w:eastAsiaTheme="minorEastAsia"/>
          <w:b/>
          <w:bCs/>
          <w:color w:val="auto"/>
          <w:sz w:val="24"/>
        </w:rPr>
        <w:t xml:space="preserve">湖北工业大学             </w:t>
      </w:r>
      <w:r>
        <w:rPr>
          <w:rFonts w:asciiTheme="minorEastAsia" w:hAnsiTheme="minorEastAsia" w:eastAsiaTheme="minorEastAsia"/>
          <w:b/>
          <w:bCs/>
          <w:color w:val="auto"/>
          <w:sz w:val="24"/>
        </w:rPr>
        <w:t xml:space="preserve">  </w:t>
      </w:r>
      <w:r>
        <w:rPr>
          <w:rFonts w:hint="eastAsia" w:asciiTheme="minorEastAsia" w:hAnsiTheme="minorEastAsia" w:eastAsiaTheme="minorEastAsia"/>
          <w:color w:val="auto"/>
          <w:sz w:val="24"/>
        </w:rPr>
        <w:t xml:space="preserve">乙 方（盖章）：           </w:t>
      </w:r>
    </w:p>
    <w:p>
      <w:pPr>
        <w:spacing w:line="360" w:lineRule="auto"/>
        <w:ind w:left="178" w:leftChars="85" w:right="-178" w:rightChars="-85"/>
        <w:rPr>
          <w:rFonts w:asciiTheme="minorEastAsia" w:hAnsiTheme="minorEastAsia" w:eastAsiaTheme="minorEastAsia"/>
          <w:color w:val="auto"/>
          <w:sz w:val="24"/>
        </w:rPr>
      </w:pPr>
      <w:r>
        <w:rPr>
          <w:rFonts w:hint="eastAsia" w:asciiTheme="minorEastAsia" w:hAnsiTheme="minorEastAsia" w:eastAsiaTheme="minorEastAsia"/>
          <w:color w:val="auto"/>
          <w:sz w:val="24"/>
        </w:rPr>
        <w:t>部门（单位）主要负责人（签名）：</w:t>
      </w:r>
    </w:p>
    <w:p>
      <w:pPr>
        <w:spacing w:line="360" w:lineRule="auto"/>
        <w:ind w:left="178" w:leftChars="85" w:right="-178" w:rightChars="-85"/>
        <w:rPr>
          <w:rFonts w:asciiTheme="minorEastAsia" w:hAnsiTheme="minorEastAsia" w:eastAsiaTheme="minorEastAsia"/>
          <w:color w:val="auto"/>
          <w:sz w:val="24"/>
        </w:rPr>
      </w:pPr>
      <w:r>
        <w:rPr>
          <w:rFonts w:hint="eastAsia" w:asciiTheme="minorEastAsia" w:hAnsiTheme="minorEastAsia" w:eastAsiaTheme="minorEastAsia"/>
          <w:color w:val="auto"/>
          <w:sz w:val="24"/>
        </w:rPr>
        <w:t>法人或授权代表（签名）：                   法人或授权代表（签名）：</w:t>
      </w:r>
    </w:p>
    <w:p>
      <w:pPr>
        <w:spacing w:line="360" w:lineRule="auto"/>
        <w:ind w:left="178" w:leftChars="85" w:right="-171"/>
        <w:rPr>
          <w:rFonts w:asciiTheme="minorEastAsia" w:hAnsiTheme="minorEastAsia" w:eastAsiaTheme="minorEastAsia"/>
          <w:color w:val="auto"/>
          <w:sz w:val="24"/>
        </w:rPr>
      </w:pPr>
      <w:r>
        <w:rPr>
          <w:rFonts w:hint="eastAsia" w:asciiTheme="minorEastAsia" w:hAnsiTheme="minorEastAsia" w:eastAsiaTheme="minorEastAsia"/>
          <w:color w:val="auto"/>
          <w:sz w:val="24"/>
        </w:rPr>
        <w:t>联系方式：59750213                         联系方式：</w:t>
      </w:r>
    </w:p>
    <w:p>
      <w:pPr>
        <w:spacing w:line="360" w:lineRule="auto"/>
        <w:ind w:left="178" w:leftChars="85" w:right="-171"/>
        <w:rPr>
          <w:rFonts w:asciiTheme="minorEastAsia" w:hAnsiTheme="minorEastAsia" w:eastAsiaTheme="minorEastAsia"/>
          <w:color w:val="auto"/>
          <w:sz w:val="24"/>
        </w:rPr>
      </w:pPr>
      <w:r>
        <w:rPr>
          <w:rFonts w:hint="eastAsia" w:asciiTheme="minorEastAsia" w:hAnsiTheme="minorEastAsia" w:eastAsiaTheme="minorEastAsia"/>
          <w:color w:val="auto"/>
          <w:sz w:val="24"/>
        </w:rPr>
        <w:t xml:space="preserve">                                           开户银行：</w:t>
      </w:r>
    </w:p>
    <w:p>
      <w:pPr>
        <w:spacing w:line="360" w:lineRule="auto"/>
        <w:ind w:left="178" w:leftChars="85" w:right="-171"/>
        <w:rPr>
          <w:rFonts w:asciiTheme="minorEastAsia" w:hAnsiTheme="minorEastAsia" w:eastAsiaTheme="minorEastAsia"/>
          <w:color w:val="auto"/>
          <w:kern w:val="0"/>
          <w:sz w:val="24"/>
        </w:rPr>
      </w:pPr>
      <w:r>
        <w:rPr>
          <w:rFonts w:hint="eastAsia" w:asciiTheme="minorEastAsia" w:hAnsiTheme="minorEastAsia" w:eastAsiaTheme="minorEastAsia"/>
          <w:color w:val="auto"/>
          <w:sz w:val="24"/>
        </w:rPr>
        <w:t xml:space="preserve">                                           银行账号：</w:t>
      </w:r>
    </w:p>
    <w:p>
      <w:pPr>
        <w:pStyle w:val="16"/>
        <w:spacing w:line="360" w:lineRule="auto"/>
        <w:ind w:left="178" w:leftChars="85"/>
        <w:jc w:val="left"/>
        <w:rPr>
          <w:rFonts w:asciiTheme="minorEastAsia" w:hAnsiTheme="minorEastAsia" w:eastAsiaTheme="minorEastAsia"/>
          <w:color w:val="auto"/>
          <w:sz w:val="24"/>
          <w:szCs w:val="24"/>
        </w:rPr>
      </w:pPr>
      <w:r>
        <w:rPr>
          <w:rFonts w:hint="eastAsia" w:asciiTheme="minorEastAsia" w:hAnsiTheme="minorEastAsia" w:eastAsiaTheme="minorEastAsia"/>
          <w:color w:val="auto"/>
          <w:sz w:val="24"/>
          <w:szCs w:val="24"/>
        </w:rPr>
        <w:t>日  期： 二○  年  月    日                日   期：二○   年   月  日</w:t>
      </w:r>
    </w:p>
    <w:p>
      <w:pPr>
        <w:spacing w:line="360" w:lineRule="auto"/>
        <w:jc w:val="center"/>
        <w:rPr>
          <w:rFonts w:ascii="宋体" w:hAnsi="宋体" w:cs="宋体"/>
          <w:b/>
          <w:color w:val="auto"/>
          <w:sz w:val="44"/>
          <w:szCs w:val="44"/>
          <w:u w:val="double"/>
        </w:rPr>
      </w:pPr>
      <w:r>
        <w:rPr>
          <w:rFonts w:hint="eastAsia" w:ascii="宋体" w:hAnsi="宋体" w:cs="宋体"/>
          <w:b/>
          <w:color w:val="auto"/>
          <w:sz w:val="44"/>
          <w:szCs w:val="44"/>
          <w:u w:val="double"/>
        </w:rPr>
        <w:t>合    同（适用于国产设备）</w:t>
      </w:r>
    </w:p>
    <w:p>
      <w:pPr>
        <w:spacing w:line="360" w:lineRule="auto"/>
        <w:rPr>
          <w:rFonts w:ascii="宋体" w:hAnsi="宋体" w:cs="宋体"/>
          <w:color w:val="auto"/>
          <w:sz w:val="24"/>
        </w:rPr>
      </w:pPr>
      <w:r>
        <w:rPr>
          <w:rFonts w:hint="eastAsia" w:ascii="宋体" w:hAnsi="宋体" w:cs="宋体"/>
          <w:color w:val="auto"/>
          <w:sz w:val="24"/>
        </w:rPr>
        <w:t>合同号：</w:t>
      </w:r>
    </w:p>
    <w:p>
      <w:pPr>
        <w:spacing w:line="360" w:lineRule="auto"/>
        <w:rPr>
          <w:rFonts w:ascii="宋体" w:hAnsi="宋体" w:cs="宋体"/>
          <w:color w:val="auto"/>
          <w:sz w:val="24"/>
          <w:u w:val="single"/>
        </w:rPr>
      </w:pPr>
      <w:r>
        <w:rPr>
          <w:rFonts w:hint="eastAsia" w:ascii="宋体" w:hAnsi="宋体" w:cs="宋体"/>
          <w:color w:val="auto"/>
          <w:sz w:val="24"/>
        </w:rPr>
        <w:t xml:space="preserve">项目编号：                                                                                            </w:t>
      </w:r>
    </w:p>
    <w:p>
      <w:pPr>
        <w:spacing w:line="360" w:lineRule="auto"/>
        <w:ind w:firstLine="4080" w:firstLineChars="1700"/>
        <w:rPr>
          <w:rFonts w:ascii="宋体" w:hAnsi="宋体" w:cs="宋体"/>
          <w:color w:val="auto"/>
          <w:sz w:val="24"/>
          <w:u w:val="single"/>
        </w:rPr>
      </w:pPr>
    </w:p>
    <w:p>
      <w:pPr>
        <w:spacing w:line="360" w:lineRule="auto"/>
        <w:rPr>
          <w:rFonts w:ascii="宋体" w:hAnsi="宋体" w:cs="宋体"/>
          <w:b/>
          <w:color w:val="auto"/>
          <w:sz w:val="24"/>
        </w:rPr>
      </w:pPr>
      <w:r>
        <w:rPr>
          <w:rFonts w:hint="eastAsia" w:ascii="宋体" w:hAnsi="宋体" w:cs="宋体"/>
          <w:b/>
          <w:color w:val="auto"/>
          <w:sz w:val="24"/>
        </w:rPr>
        <w:t>购货单位：</w:t>
      </w:r>
      <w:r>
        <w:rPr>
          <w:rFonts w:hint="eastAsia" w:ascii="宋体" w:hAnsi="宋体" w:cs="宋体"/>
          <w:b/>
          <w:color w:val="auto"/>
          <w:sz w:val="24"/>
          <w:u w:val="single"/>
        </w:rPr>
        <w:t>湖北工业大学</w:t>
      </w:r>
      <w:r>
        <w:rPr>
          <w:rFonts w:hint="eastAsia" w:ascii="宋体" w:hAnsi="宋体" w:cs="宋体"/>
          <w:b/>
          <w:color w:val="auto"/>
          <w:sz w:val="24"/>
        </w:rPr>
        <w:t>（以下简称甲方）</w:t>
      </w:r>
    </w:p>
    <w:p>
      <w:pPr>
        <w:spacing w:line="360" w:lineRule="auto"/>
        <w:rPr>
          <w:rFonts w:ascii="宋体" w:hAnsi="宋体" w:cs="宋体"/>
          <w:b/>
          <w:color w:val="auto"/>
          <w:sz w:val="24"/>
        </w:rPr>
      </w:pPr>
      <w:r>
        <w:rPr>
          <w:rFonts w:hint="eastAsia" w:ascii="宋体" w:hAnsi="宋体" w:cs="宋体"/>
          <w:b/>
          <w:color w:val="auto"/>
          <w:sz w:val="24"/>
        </w:rPr>
        <w:t>住所：武汉市洪山区南李路28号</w:t>
      </w:r>
    </w:p>
    <w:p>
      <w:pPr>
        <w:spacing w:line="360" w:lineRule="auto"/>
        <w:rPr>
          <w:rFonts w:ascii="宋体" w:hAnsi="宋体" w:cs="宋体"/>
          <w:b/>
          <w:color w:val="auto"/>
          <w:sz w:val="24"/>
        </w:rPr>
      </w:pPr>
      <w:r>
        <w:rPr>
          <w:rFonts w:hint="eastAsia" w:ascii="宋体" w:hAnsi="宋体" w:cs="宋体"/>
          <w:b/>
          <w:color w:val="auto"/>
          <w:sz w:val="24"/>
        </w:rPr>
        <w:t>法定代表人：彭育园</w:t>
      </w:r>
    </w:p>
    <w:p>
      <w:pPr>
        <w:spacing w:line="360" w:lineRule="auto"/>
        <w:rPr>
          <w:rFonts w:ascii="宋体" w:hAnsi="宋体" w:cs="宋体"/>
          <w:b/>
          <w:color w:val="auto"/>
          <w:sz w:val="24"/>
        </w:rPr>
      </w:pPr>
    </w:p>
    <w:p>
      <w:pPr>
        <w:spacing w:line="360" w:lineRule="auto"/>
        <w:rPr>
          <w:rFonts w:ascii="宋体" w:hAnsi="宋体" w:cs="宋体"/>
          <w:b/>
          <w:color w:val="auto"/>
          <w:sz w:val="24"/>
        </w:rPr>
      </w:pPr>
      <w:r>
        <w:rPr>
          <w:rFonts w:hint="eastAsia" w:ascii="宋体" w:hAnsi="宋体" w:cs="宋体"/>
          <w:b/>
          <w:color w:val="auto"/>
          <w:sz w:val="24"/>
        </w:rPr>
        <w:t>供货单位：</w:t>
      </w:r>
      <w:r>
        <w:rPr>
          <w:rFonts w:hint="eastAsia" w:ascii="宋体" w:hAnsi="宋体" w:cs="宋体"/>
          <w:b/>
          <w:color w:val="auto"/>
          <w:sz w:val="24"/>
          <w:u w:val="single"/>
        </w:rPr>
        <w:t xml:space="preserve">               </w:t>
      </w:r>
      <w:r>
        <w:rPr>
          <w:rFonts w:hint="eastAsia" w:ascii="宋体" w:hAnsi="宋体" w:cs="宋体"/>
          <w:b/>
          <w:color w:val="auto"/>
          <w:sz w:val="24"/>
        </w:rPr>
        <w:t>（以下简称乙方）</w:t>
      </w:r>
    </w:p>
    <w:p>
      <w:pPr>
        <w:spacing w:line="360" w:lineRule="auto"/>
        <w:rPr>
          <w:rFonts w:ascii="宋体" w:hAnsi="宋体" w:cs="宋体"/>
          <w:b/>
          <w:color w:val="auto"/>
          <w:sz w:val="24"/>
        </w:rPr>
      </w:pPr>
      <w:r>
        <w:rPr>
          <w:rFonts w:hint="eastAsia" w:ascii="宋体" w:hAnsi="宋体" w:cs="宋体"/>
          <w:b/>
          <w:color w:val="auto"/>
          <w:sz w:val="24"/>
        </w:rPr>
        <w:t>住所：</w:t>
      </w:r>
    </w:p>
    <w:p>
      <w:pPr>
        <w:spacing w:line="360" w:lineRule="auto"/>
        <w:rPr>
          <w:rFonts w:ascii="宋体" w:hAnsi="宋体" w:cs="宋体"/>
          <w:b/>
          <w:color w:val="auto"/>
          <w:sz w:val="24"/>
        </w:rPr>
      </w:pPr>
      <w:r>
        <w:rPr>
          <w:rFonts w:hint="eastAsia" w:ascii="宋体" w:hAnsi="宋体" w:cs="宋体"/>
          <w:b/>
          <w:color w:val="auto"/>
          <w:sz w:val="24"/>
        </w:rPr>
        <w:t>法定代表人：</w:t>
      </w:r>
    </w:p>
    <w:p>
      <w:pPr>
        <w:spacing w:line="360" w:lineRule="auto"/>
        <w:rPr>
          <w:rFonts w:ascii="宋体" w:hAnsi="宋体" w:cs="宋体"/>
          <w:b/>
          <w:color w:val="auto"/>
          <w:sz w:val="24"/>
        </w:rPr>
      </w:pPr>
    </w:p>
    <w:p>
      <w:pPr>
        <w:pStyle w:val="13"/>
        <w:spacing w:line="360" w:lineRule="auto"/>
        <w:ind w:firstLine="480" w:firstLineChars="200"/>
        <w:rPr>
          <w:rFonts w:ascii="宋体" w:hAnsi="宋体" w:cs="宋体"/>
          <w:color w:val="auto"/>
          <w:sz w:val="24"/>
        </w:rPr>
      </w:pPr>
      <w:r>
        <w:rPr>
          <w:rFonts w:hint="eastAsia" w:ascii="宋体" w:hAnsi="宋体" w:cs="宋体"/>
          <w:color w:val="auto"/>
          <w:sz w:val="24"/>
        </w:rPr>
        <w:t>甲乙双方根据《中华人民共和国民</w:t>
      </w:r>
      <w:r>
        <w:rPr>
          <w:rFonts w:ascii="宋体" w:hAnsi="宋体" w:cs="宋体"/>
          <w:color w:val="auto"/>
          <w:sz w:val="24"/>
        </w:rPr>
        <w:t>法典</w:t>
      </w:r>
      <w:r>
        <w:rPr>
          <w:rFonts w:hint="eastAsia" w:ascii="宋体" w:hAnsi="宋体" w:cs="宋体"/>
          <w:color w:val="auto"/>
          <w:sz w:val="24"/>
        </w:rPr>
        <w:t>》相关规定，为增强双方的责任，经甲乙双方协商一致，特订立本合同，以资甲乙双方共同遵守。</w:t>
      </w:r>
    </w:p>
    <w:p>
      <w:pPr>
        <w:spacing w:line="360" w:lineRule="auto"/>
        <w:ind w:firstLine="482" w:firstLineChars="200"/>
        <w:rPr>
          <w:rFonts w:ascii="宋体" w:hAnsi="宋体" w:cs="宋体"/>
          <w:b/>
          <w:bCs/>
          <w:color w:val="auto"/>
          <w:sz w:val="24"/>
        </w:rPr>
      </w:pPr>
      <w:r>
        <w:rPr>
          <w:rFonts w:hint="eastAsia" w:ascii="宋体" w:hAnsi="宋体" w:cs="宋体"/>
          <w:b/>
          <w:color w:val="auto"/>
          <w:sz w:val="24"/>
        </w:rPr>
        <w:t>一、货物名称、规格、配置、数量及价格如下</w:t>
      </w:r>
      <w:r>
        <w:rPr>
          <w:rFonts w:hint="eastAsia" w:ascii="宋体" w:hAnsi="宋体" w:cs="宋体"/>
          <w:b/>
          <w:bCs/>
          <w:color w:val="auto"/>
          <w:sz w:val="24"/>
        </w:rPr>
        <w:t>:</w:t>
      </w:r>
    </w:p>
    <w:tbl>
      <w:tblPr>
        <w:tblStyle w:val="26"/>
        <w:tblW w:w="9581" w:type="dxa"/>
        <w:tblInd w:w="46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40"/>
        <w:gridCol w:w="1369"/>
        <w:gridCol w:w="806"/>
        <w:gridCol w:w="705"/>
        <w:gridCol w:w="2700"/>
        <w:gridCol w:w="720"/>
        <w:gridCol w:w="1301"/>
        <w:gridCol w:w="144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40" w:type="dxa"/>
            <w:vAlign w:val="center"/>
          </w:tcPr>
          <w:p>
            <w:pPr>
              <w:kinsoku w:val="0"/>
              <w:overflowPunct w:val="0"/>
              <w:autoSpaceDE w:val="0"/>
              <w:autoSpaceDN w:val="0"/>
              <w:adjustRightInd w:val="0"/>
              <w:snapToGrid w:val="0"/>
              <w:spacing w:line="360" w:lineRule="auto"/>
              <w:rPr>
                <w:rFonts w:ascii="宋体" w:hAnsi="宋体" w:cs="宋体"/>
                <w:b/>
                <w:bCs/>
                <w:snapToGrid w:val="0"/>
                <w:color w:val="auto"/>
                <w:kern w:val="0"/>
                <w:sz w:val="24"/>
              </w:rPr>
            </w:pPr>
          </w:p>
        </w:tc>
        <w:tc>
          <w:tcPr>
            <w:tcW w:w="1369" w:type="dxa"/>
            <w:vAlign w:val="center"/>
          </w:tcPr>
          <w:p>
            <w:pPr>
              <w:kinsoku w:val="0"/>
              <w:overflowPunct w:val="0"/>
              <w:autoSpaceDE w:val="0"/>
              <w:autoSpaceDN w:val="0"/>
              <w:adjustRightInd w:val="0"/>
              <w:snapToGrid w:val="0"/>
              <w:spacing w:line="360" w:lineRule="auto"/>
              <w:rPr>
                <w:rFonts w:ascii="宋体" w:hAnsi="宋体" w:cs="宋体"/>
                <w:b/>
                <w:bCs/>
                <w:snapToGrid w:val="0"/>
                <w:color w:val="auto"/>
                <w:kern w:val="0"/>
                <w:sz w:val="24"/>
              </w:rPr>
            </w:pPr>
            <w:r>
              <w:rPr>
                <w:rFonts w:hint="eastAsia" w:ascii="宋体" w:hAnsi="宋体" w:cs="宋体"/>
                <w:b/>
                <w:color w:val="auto"/>
                <w:sz w:val="24"/>
              </w:rPr>
              <w:t>货物</w:t>
            </w:r>
            <w:r>
              <w:rPr>
                <w:rFonts w:hint="eastAsia" w:ascii="宋体" w:hAnsi="宋体" w:cs="宋体"/>
                <w:b/>
                <w:bCs/>
                <w:snapToGrid w:val="0"/>
                <w:color w:val="auto"/>
                <w:kern w:val="0"/>
                <w:sz w:val="24"/>
              </w:rPr>
              <w:t>名称</w:t>
            </w:r>
          </w:p>
        </w:tc>
        <w:tc>
          <w:tcPr>
            <w:tcW w:w="806" w:type="dxa"/>
            <w:vAlign w:val="center"/>
          </w:tcPr>
          <w:p>
            <w:pPr>
              <w:kinsoku w:val="0"/>
              <w:overflowPunct w:val="0"/>
              <w:autoSpaceDE w:val="0"/>
              <w:autoSpaceDN w:val="0"/>
              <w:adjustRightInd w:val="0"/>
              <w:snapToGrid w:val="0"/>
              <w:spacing w:line="360" w:lineRule="auto"/>
              <w:jc w:val="center"/>
              <w:rPr>
                <w:rFonts w:ascii="宋体" w:hAnsi="宋体" w:cs="宋体"/>
                <w:b/>
                <w:bCs/>
                <w:snapToGrid w:val="0"/>
                <w:color w:val="auto"/>
                <w:kern w:val="0"/>
                <w:sz w:val="24"/>
              </w:rPr>
            </w:pPr>
            <w:r>
              <w:rPr>
                <w:rFonts w:hint="eastAsia" w:ascii="宋体" w:hAnsi="宋体" w:cs="宋体"/>
                <w:b/>
                <w:bCs/>
                <w:snapToGrid w:val="0"/>
                <w:color w:val="auto"/>
                <w:kern w:val="0"/>
                <w:sz w:val="24"/>
              </w:rPr>
              <w:t>品牌</w:t>
            </w:r>
          </w:p>
        </w:tc>
        <w:tc>
          <w:tcPr>
            <w:tcW w:w="705" w:type="dxa"/>
            <w:vAlign w:val="center"/>
          </w:tcPr>
          <w:p>
            <w:pPr>
              <w:kinsoku w:val="0"/>
              <w:overflowPunct w:val="0"/>
              <w:autoSpaceDE w:val="0"/>
              <w:autoSpaceDN w:val="0"/>
              <w:adjustRightInd w:val="0"/>
              <w:snapToGrid w:val="0"/>
              <w:spacing w:line="360" w:lineRule="auto"/>
              <w:jc w:val="center"/>
              <w:rPr>
                <w:rFonts w:ascii="宋体" w:hAnsi="宋体" w:cs="宋体"/>
                <w:b/>
                <w:bCs/>
                <w:snapToGrid w:val="0"/>
                <w:color w:val="auto"/>
                <w:kern w:val="0"/>
                <w:sz w:val="24"/>
              </w:rPr>
            </w:pPr>
            <w:r>
              <w:rPr>
                <w:rFonts w:hint="eastAsia" w:ascii="宋体" w:hAnsi="宋体" w:cs="宋体"/>
                <w:b/>
                <w:bCs/>
                <w:snapToGrid w:val="0"/>
                <w:color w:val="auto"/>
                <w:kern w:val="0"/>
                <w:sz w:val="24"/>
              </w:rPr>
              <w:t>型号</w:t>
            </w:r>
          </w:p>
        </w:tc>
        <w:tc>
          <w:tcPr>
            <w:tcW w:w="2700" w:type="dxa"/>
            <w:vAlign w:val="center"/>
          </w:tcPr>
          <w:p>
            <w:pPr>
              <w:kinsoku w:val="0"/>
              <w:overflowPunct w:val="0"/>
              <w:autoSpaceDE w:val="0"/>
              <w:autoSpaceDN w:val="0"/>
              <w:adjustRightInd w:val="0"/>
              <w:snapToGrid w:val="0"/>
              <w:spacing w:line="360" w:lineRule="auto"/>
              <w:jc w:val="center"/>
              <w:rPr>
                <w:rFonts w:ascii="宋体" w:hAnsi="宋体" w:cs="宋体"/>
                <w:b/>
                <w:bCs/>
                <w:snapToGrid w:val="0"/>
                <w:color w:val="auto"/>
                <w:kern w:val="0"/>
                <w:sz w:val="24"/>
              </w:rPr>
            </w:pPr>
            <w:r>
              <w:rPr>
                <w:rFonts w:hint="eastAsia" w:ascii="宋体" w:hAnsi="宋体" w:cs="宋体"/>
                <w:b/>
                <w:bCs/>
                <w:snapToGrid w:val="0"/>
                <w:color w:val="auto"/>
                <w:kern w:val="0"/>
                <w:sz w:val="24"/>
              </w:rPr>
              <w:t>配置/技术参数</w:t>
            </w:r>
          </w:p>
        </w:tc>
        <w:tc>
          <w:tcPr>
            <w:tcW w:w="720" w:type="dxa"/>
            <w:vAlign w:val="center"/>
          </w:tcPr>
          <w:p>
            <w:pPr>
              <w:kinsoku w:val="0"/>
              <w:overflowPunct w:val="0"/>
              <w:autoSpaceDE w:val="0"/>
              <w:autoSpaceDN w:val="0"/>
              <w:adjustRightInd w:val="0"/>
              <w:snapToGrid w:val="0"/>
              <w:spacing w:line="360" w:lineRule="auto"/>
              <w:jc w:val="center"/>
              <w:rPr>
                <w:rFonts w:ascii="宋体" w:hAnsi="宋体" w:cs="宋体"/>
                <w:b/>
                <w:bCs/>
                <w:snapToGrid w:val="0"/>
                <w:color w:val="auto"/>
                <w:kern w:val="0"/>
                <w:sz w:val="24"/>
              </w:rPr>
            </w:pPr>
            <w:r>
              <w:rPr>
                <w:rFonts w:hint="eastAsia" w:ascii="宋体" w:hAnsi="宋体" w:cs="宋体"/>
                <w:b/>
                <w:bCs/>
                <w:snapToGrid w:val="0"/>
                <w:color w:val="auto"/>
                <w:kern w:val="0"/>
                <w:sz w:val="24"/>
              </w:rPr>
              <w:t>数量</w:t>
            </w:r>
          </w:p>
        </w:tc>
        <w:tc>
          <w:tcPr>
            <w:tcW w:w="1301" w:type="dxa"/>
            <w:vAlign w:val="center"/>
          </w:tcPr>
          <w:p>
            <w:pPr>
              <w:kinsoku w:val="0"/>
              <w:overflowPunct w:val="0"/>
              <w:autoSpaceDE w:val="0"/>
              <w:autoSpaceDN w:val="0"/>
              <w:adjustRightInd w:val="0"/>
              <w:snapToGrid w:val="0"/>
              <w:spacing w:line="360" w:lineRule="auto"/>
              <w:jc w:val="center"/>
              <w:rPr>
                <w:rFonts w:ascii="宋体" w:hAnsi="宋体" w:cs="宋体"/>
                <w:b/>
                <w:bCs/>
                <w:snapToGrid w:val="0"/>
                <w:color w:val="auto"/>
                <w:kern w:val="0"/>
                <w:sz w:val="24"/>
              </w:rPr>
            </w:pPr>
            <w:r>
              <w:rPr>
                <w:rFonts w:hint="eastAsia" w:ascii="宋体" w:hAnsi="宋体" w:cs="宋体"/>
                <w:b/>
                <w:bCs/>
                <w:snapToGrid w:val="0"/>
                <w:color w:val="auto"/>
                <w:kern w:val="0"/>
                <w:sz w:val="24"/>
              </w:rPr>
              <w:t>单价（元）</w:t>
            </w:r>
          </w:p>
        </w:tc>
        <w:tc>
          <w:tcPr>
            <w:tcW w:w="1440" w:type="dxa"/>
            <w:vAlign w:val="center"/>
          </w:tcPr>
          <w:p>
            <w:pPr>
              <w:kinsoku w:val="0"/>
              <w:overflowPunct w:val="0"/>
              <w:autoSpaceDE w:val="0"/>
              <w:autoSpaceDN w:val="0"/>
              <w:adjustRightInd w:val="0"/>
              <w:snapToGrid w:val="0"/>
              <w:spacing w:line="360" w:lineRule="auto"/>
              <w:jc w:val="center"/>
              <w:rPr>
                <w:rFonts w:ascii="宋体" w:hAnsi="宋体" w:cs="宋体"/>
                <w:b/>
                <w:bCs/>
                <w:snapToGrid w:val="0"/>
                <w:color w:val="auto"/>
                <w:kern w:val="0"/>
                <w:sz w:val="24"/>
              </w:rPr>
            </w:pPr>
            <w:r>
              <w:rPr>
                <w:rFonts w:hint="eastAsia" w:ascii="宋体" w:hAnsi="宋体" w:cs="宋体"/>
                <w:b/>
                <w:bCs/>
                <w:snapToGrid w:val="0"/>
                <w:color w:val="auto"/>
                <w:kern w:val="0"/>
                <w:sz w:val="24"/>
              </w:rPr>
              <w:t>小计（元）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540" w:type="dxa"/>
            <w:vAlign w:val="center"/>
          </w:tcPr>
          <w:p>
            <w:pPr>
              <w:adjustRightInd w:val="0"/>
              <w:snapToGrid w:val="0"/>
              <w:spacing w:line="360" w:lineRule="auto"/>
              <w:jc w:val="center"/>
              <w:rPr>
                <w:rFonts w:ascii="宋体" w:hAnsi="宋体" w:cs="宋体"/>
                <w:snapToGrid w:val="0"/>
                <w:color w:val="auto"/>
                <w:kern w:val="0"/>
                <w:sz w:val="24"/>
              </w:rPr>
            </w:pPr>
          </w:p>
        </w:tc>
        <w:tc>
          <w:tcPr>
            <w:tcW w:w="1369" w:type="dxa"/>
            <w:vAlign w:val="center"/>
          </w:tcPr>
          <w:p>
            <w:pPr>
              <w:adjustRightInd w:val="0"/>
              <w:snapToGrid w:val="0"/>
              <w:spacing w:line="360" w:lineRule="auto"/>
              <w:jc w:val="center"/>
              <w:rPr>
                <w:rFonts w:ascii="宋体" w:hAnsi="宋体" w:cs="宋体"/>
                <w:snapToGrid w:val="0"/>
                <w:color w:val="auto"/>
                <w:kern w:val="0"/>
                <w:sz w:val="24"/>
              </w:rPr>
            </w:pPr>
          </w:p>
        </w:tc>
        <w:tc>
          <w:tcPr>
            <w:tcW w:w="806" w:type="dxa"/>
            <w:vAlign w:val="center"/>
          </w:tcPr>
          <w:p>
            <w:pPr>
              <w:adjustRightInd w:val="0"/>
              <w:snapToGrid w:val="0"/>
              <w:spacing w:line="360" w:lineRule="auto"/>
              <w:jc w:val="center"/>
              <w:rPr>
                <w:rFonts w:ascii="宋体" w:hAnsi="宋体" w:cs="宋体"/>
                <w:snapToGrid w:val="0"/>
                <w:color w:val="auto"/>
                <w:kern w:val="0"/>
                <w:sz w:val="24"/>
              </w:rPr>
            </w:pPr>
          </w:p>
        </w:tc>
        <w:tc>
          <w:tcPr>
            <w:tcW w:w="705" w:type="dxa"/>
            <w:vAlign w:val="center"/>
          </w:tcPr>
          <w:p>
            <w:pPr>
              <w:adjustRightInd w:val="0"/>
              <w:snapToGrid w:val="0"/>
              <w:spacing w:line="360" w:lineRule="auto"/>
              <w:jc w:val="center"/>
              <w:rPr>
                <w:rFonts w:ascii="宋体" w:hAnsi="宋体" w:cs="宋体"/>
                <w:snapToGrid w:val="0"/>
                <w:color w:val="auto"/>
                <w:kern w:val="0"/>
                <w:sz w:val="24"/>
              </w:rPr>
            </w:pPr>
          </w:p>
        </w:tc>
        <w:tc>
          <w:tcPr>
            <w:tcW w:w="2700" w:type="dxa"/>
            <w:vAlign w:val="center"/>
          </w:tcPr>
          <w:p>
            <w:pPr>
              <w:adjustRightInd w:val="0"/>
              <w:snapToGrid w:val="0"/>
              <w:spacing w:line="360" w:lineRule="auto"/>
              <w:rPr>
                <w:rFonts w:ascii="宋体" w:hAnsi="宋体" w:cs="宋体"/>
                <w:snapToGrid w:val="0"/>
                <w:color w:val="auto"/>
                <w:kern w:val="0"/>
                <w:sz w:val="24"/>
              </w:rPr>
            </w:pPr>
          </w:p>
        </w:tc>
        <w:tc>
          <w:tcPr>
            <w:tcW w:w="720" w:type="dxa"/>
            <w:vAlign w:val="center"/>
          </w:tcPr>
          <w:p>
            <w:pPr>
              <w:adjustRightInd w:val="0"/>
              <w:snapToGrid w:val="0"/>
              <w:spacing w:line="360" w:lineRule="auto"/>
              <w:jc w:val="center"/>
              <w:rPr>
                <w:rFonts w:ascii="宋体" w:hAnsi="宋体" w:cs="宋体"/>
                <w:snapToGrid w:val="0"/>
                <w:color w:val="auto"/>
                <w:kern w:val="0"/>
                <w:sz w:val="24"/>
              </w:rPr>
            </w:pPr>
          </w:p>
        </w:tc>
        <w:tc>
          <w:tcPr>
            <w:tcW w:w="1301" w:type="dxa"/>
            <w:vAlign w:val="center"/>
          </w:tcPr>
          <w:p>
            <w:pPr>
              <w:adjustRightInd w:val="0"/>
              <w:snapToGrid w:val="0"/>
              <w:spacing w:line="360" w:lineRule="auto"/>
              <w:rPr>
                <w:rFonts w:ascii="宋体" w:hAnsi="宋体" w:cs="宋体"/>
                <w:snapToGrid w:val="0"/>
                <w:color w:val="auto"/>
                <w:kern w:val="0"/>
                <w:sz w:val="24"/>
              </w:rPr>
            </w:pPr>
          </w:p>
        </w:tc>
        <w:tc>
          <w:tcPr>
            <w:tcW w:w="1440" w:type="dxa"/>
            <w:vAlign w:val="center"/>
          </w:tcPr>
          <w:p>
            <w:pPr>
              <w:adjustRightInd w:val="0"/>
              <w:snapToGrid w:val="0"/>
              <w:spacing w:line="360" w:lineRule="auto"/>
              <w:rPr>
                <w:rFonts w:ascii="宋体" w:hAnsi="宋体" w:cs="宋体"/>
                <w:snapToGrid w:val="0"/>
                <w:color w:val="auto"/>
                <w:kern w:val="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540" w:type="dxa"/>
            <w:vAlign w:val="center"/>
          </w:tcPr>
          <w:p>
            <w:pPr>
              <w:kinsoku w:val="0"/>
              <w:overflowPunct w:val="0"/>
              <w:autoSpaceDE w:val="0"/>
              <w:autoSpaceDN w:val="0"/>
              <w:adjustRightInd w:val="0"/>
              <w:snapToGrid w:val="0"/>
              <w:spacing w:line="360" w:lineRule="auto"/>
              <w:jc w:val="center"/>
              <w:rPr>
                <w:rStyle w:val="29"/>
                <w:rFonts w:ascii="宋体" w:hAnsi="宋体" w:cs="宋体"/>
                <w:b w:val="0"/>
                <w:bCs w:val="0"/>
                <w:snapToGrid w:val="0"/>
                <w:color w:val="auto"/>
                <w:kern w:val="0"/>
              </w:rPr>
            </w:pPr>
          </w:p>
        </w:tc>
        <w:tc>
          <w:tcPr>
            <w:tcW w:w="1369" w:type="dxa"/>
            <w:vAlign w:val="center"/>
          </w:tcPr>
          <w:p>
            <w:pPr>
              <w:kinsoku w:val="0"/>
              <w:overflowPunct w:val="0"/>
              <w:autoSpaceDE w:val="0"/>
              <w:autoSpaceDN w:val="0"/>
              <w:adjustRightInd w:val="0"/>
              <w:snapToGrid w:val="0"/>
              <w:spacing w:line="360" w:lineRule="auto"/>
              <w:jc w:val="center"/>
              <w:rPr>
                <w:rStyle w:val="29"/>
                <w:rFonts w:ascii="宋体" w:hAnsi="宋体" w:cs="宋体"/>
                <w:b w:val="0"/>
                <w:bCs w:val="0"/>
                <w:snapToGrid w:val="0"/>
                <w:color w:val="auto"/>
                <w:kern w:val="0"/>
              </w:rPr>
            </w:pPr>
          </w:p>
        </w:tc>
        <w:tc>
          <w:tcPr>
            <w:tcW w:w="806" w:type="dxa"/>
            <w:vAlign w:val="center"/>
          </w:tcPr>
          <w:p>
            <w:pPr>
              <w:kinsoku w:val="0"/>
              <w:overflowPunct w:val="0"/>
              <w:autoSpaceDE w:val="0"/>
              <w:autoSpaceDN w:val="0"/>
              <w:adjustRightInd w:val="0"/>
              <w:snapToGrid w:val="0"/>
              <w:spacing w:line="360" w:lineRule="auto"/>
              <w:jc w:val="center"/>
              <w:rPr>
                <w:rFonts w:ascii="宋体" w:hAnsi="宋体" w:cs="宋体"/>
                <w:snapToGrid w:val="0"/>
                <w:color w:val="auto"/>
                <w:kern w:val="0"/>
                <w:sz w:val="24"/>
              </w:rPr>
            </w:pPr>
          </w:p>
        </w:tc>
        <w:tc>
          <w:tcPr>
            <w:tcW w:w="705" w:type="dxa"/>
            <w:vAlign w:val="center"/>
          </w:tcPr>
          <w:p>
            <w:pPr>
              <w:kinsoku w:val="0"/>
              <w:overflowPunct w:val="0"/>
              <w:autoSpaceDE w:val="0"/>
              <w:autoSpaceDN w:val="0"/>
              <w:adjustRightInd w:val="0"/>
              <w:snapToGrid w:val="0"/>
              <w:spacing w:line="360" w:lineRule="auto"/>
              <w:jc w:val="center"/>
              <w:rPr>
                <w:rFonts w:ascii="宋体" w:hAnsi="宋体" w:cs="宋体"/>
                <w:snapToGrid w:val="0"/>
                <w:color w:val="auto"/>
                <w:kern w:val="0"/>
                <w:sz w:val="24"/>
              </w:rPr>
            </w:pPr>
          </w:p>
        </w:tc>
        <w:tc>
          <w:tcPr>
            <w:tcW w:w="2700" w:type="dxa"/>
          </w:tcPr>
          <w:p>
            <w:pPr>
              <w:kinsoku w:val="0"/>
              <w:overflowPunct w:val="0"/>
              <w:autoSpaceDE w:val="0"/>
              <w:autoSpaceDN w:val="0"/>
              <w:adjustRightInd w:val="0"/>
              <w:snapToGrid w:val="0"/>
              <w:spacing w:line="360" w:lineRule="auto"/>
              <w:rPr>
                <w:rFonts w:ascii="宋体" w:hAnsi="宋体" w:cs="宋体"/>
                <w:snapToGrid w:val="0"/>
                <w:color w:val="auto"/>
                <w:kern w:val="0"/>
                <w:sz w:val="24"/>
              </w:rPr>
            </w:pPr>
          </w:p>
        </w:tc>
        <w:tc>
          <w:tcPr>
            <w:tcW w:w="720" w:type="dxa"/>
          </w:tcPr>
          <w:p>
            <w:pPr>
              <w:kinsoku w:val="0"/>
              <w:overflowPunct w:val="0"/>
              <w:autoSpaceDE w:val="0"/>
              <w:autoSpaceDN w:val="0"/>
              <w:adjustRightInd w:val="0"/>
              <w:snapToGrid w:val="0"/>
              <w:spacing w:line="360" w:lineRule="auto"/>
              <w:jc w:val="center"/>
              <w:rPr>
                <w:rFonts w:ascii="宋体" w:hAnsi="宋体" w:cs="宋体"/>
                <w:snapToGrid w:val="0"/>
                <w:color w:val="auto"/>
                <w:kern w:val="0"/>
                <w:sz w:val="24"/>
              </w:rPr>
            </w:pPr>
          </w:p>
        </w:tc>
        <w:tc>
          <w:tcPr>
            <w:tcW w:w="1301" w:type="dxa"/>
          </w:tcPr>
          <w:p>
            <w:pPr>
              <w:kinsoku w:val="0"/>
              <w:overflowPunct w:val="0"/>
              <w:autoSpaceDE w:val="0"/>
              <w:autoSpaceDN w:val="0"/>
              <w:adjustRightInd w:val="0"/>
              <w:snapToGrid w:val="0"/>
              <w:spacing w:line="360" w:lineRule="auto"/>
              <w:rPr>
                <w:rFonts w:ascii="宋体" w:hAnsi="宋体" w:cs="宋体"/>
                <w:snapToGrid w:val="0"/>
                <w:color w:val="auto"/>
                <w:kern w:val="0"/>
                <w:sz w:val="24"/>
              </w:rPr>
            </w:pPr>
          </w:p>
        </w:tc>
        <w:tc>
          <w:tcPr>
            <w:tcW w:w="1440" w:type="dxa"/>
          </w:tcPr>
          <w:p>
            <w:pPr>
              <w:kinsoku w:val="0"/>
              <w:overflowPunct w:val="0"/>
              <w:autoSpaceDE w:val="0"/>
              <w:autoSpaceDN w:val="0"/>
              <w:adjustRightInd w:val="0"/>
              <w:snapToGrid w:val="0"/>
              <w:spacing w:line="360" w:lineRule="auto"/>
              <w:rPr>
                <w:rFonts w:ascii="宋体" w:hAnsi="宋体" w:cs="宋体"/>
                <w:snapToGrid w:val="0"/>
                <w:color w:val="auto"/>
                <w:kern w:val="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540" w:type="dxa"/>
            <w:vAlign w:val="center"/>
          </w:tcPr>
          <w:p>
            <w:pPr>
              <w:kinsoku w:val="0"/>
              <w:overflowPunct w:val="0"/>
              <w:autoSpaceDE w:val="0"/>
              <w:autoSpaceDN w:val="0"/>
              <w:adjustRightInd w:val="0"/>
              <w:snapToGrid w:val="0"/>
              <w:spacing w:line="360" w:lineRule="auto"/>
              <w:jc w:val="center"/>
              <w:rPr>
                <w:rStyle w:val="29"/>
                <w:rFonts w:ascii="宋体" w:hAnsi="宋体" w:cs="宋体"/>
                <w:b w:val="0"/>
                <w:bCs w:val="0"/>
                <w:snapToGrid w:val="0"/>
                <w:color w:val="auto"/>
                <w:kern w:val="0"/>
              </w:rPr>
            </w:pPr>
          </w:p>
        </w:tc>
        <w:tc>
          <w:tcPr>
            <w:tcW w:w="1369" w:type="dxa"/>
            <w:vAlign w:val="center"/>
          </w:tcPr>
          <w:p>
            <w:pPr>
              <w:kinsoku w:val="0"/>
              <w:overflowPunct w:val="0"/>
              <w:autoSpaceDE w:val="0"/>
              <w:autoSpaceDN w:val="0"/>
              <w:adjustRightInd w:val="0"/>
              <w:snapToGrid w:val="0"/>
              <w:spacing w:line="360" w:lineRule="auto"/>
              <w:jc w:val="center"/>
              <w:rPr>
                <w:rStyle w:val="29"/>
                <w:rFonts w:ascii="宋体" w:hAnsi="宋体" w:cs="宋体"/>
                <w:b w:val="0"/>
                <w:bCs w:val="0"/>
                <w:snapToGrid w:val="0"/>
                <w:color w:val="auto"/>
                <w:kern w:val="0"/>
              </w:rPr>
            </w:pPr>
          </w:p>
        </w:tc>
        <w:tc>
          <w:tcPr>
            <w:tcW w:w="806" w:type="dxa"/>
            <w:vAlign w:val="center"/>
          </w:tcPr>
          <w:p>
            <w:pPr>
              <w:kinsoku w:val="0"/>
              <w:overflowPunct w:val="0"/>
              <w:autoSpaceDE w:val="0"/>
              <w:autoSpaceDN w:val="0"/>
              <w:adjustRightInd w:val="0"/>
              <w:snapToGrid w:val="0"/>
              <w:spacing w:line="360" w:lineRule="auto"/>
              <w:jc w:val="center"/>
              <w:rPr>
                <w:rFonts w:ascii="宋体" w:hAnsi="宋体" w:cs="宋体"/>
                <w:snapToGrid w:val="0"/>
                <w:color w:val="auto"/>
                <w:kern w:val="0"/>
                <w:sz w:val="24"/>
              </w:rPr>
            </w:pPr>
          </w:p>
        </w:tc>
        <w:tc>
          <w:tcPr>
            <w:tcW w:w="705" w:type="dxa"/>
            <w:vAlign w:val="center"/>
          </w:tcPr>
          <w:p>
            <w:pPr>
              <w:kinsoku w:val="0"/>
              <w:overflowPunct w:val="0"/>
              <w:autoSpaceDE w:val="0"/>
              <w:autoSpaceDN w:val="0"/>
              <w:adjustRightInd w:val="0"/>
              <w:snapToGrid w:val="0"/>
              <w:spacing w:line="360" w:lineRule="auto"/>
              <w:jc w:val="center"/>
              <w:rPr>
                <w:rFonts w:ascii="宋体" w:hAnsi="宋体" w:cs="宋体"/>
                <w:snapToGrid w:val="0"/>
                <w:color w:val="auto"/>
                <w:kern w:val="0"/>
                <w:sz w:val="24"/>
              </w:rPr>
            </w:pPr>
          </w:p>
        </w:tc>
        <w:tc>
          <w:tcPr>
            <w:tcW w:w="2700" w:type="dxa"/>
          </w:tcPr>
          <w:p>
            <w:pPr>
              <w:kinsoku w:val="0"/>
              <w:overflowPunct w:val="0"/>
              <w:autoSpaceDE w:val="0"/>
              <w:autoSpaceDN w:val="0"/>
              <w:adjustRightInd w:val="0"/>
              <w:snapToGrid w:val="0"/>
              <w:spacing w:line="360" w:lineRule="auto"/>
              <w:rPr>
                <w:rFonts w:ascii="宋体" w:hAnsi="宋体" w:cs="宋体"/>
                <w:snapToGrid w:val="0"/>
                <w:color w:val="auto"/>
                <w:kern w:val="0"/>
                <w:sz w:val="24"/>
              </w:rPr>
            </w:pPr>
          </w:p>
        </w:tc>
        <w:tc>
          <w:tcPr>
            <w:tcW w:w="720" w:type="dxa"/>
          </w:tcPr>
          <w:p>
            <w:pPr>
              <w:kinsoku w:val="0"/>
              <w:overflowPunct w:val="0"/>
              <w:autoSpaceDE w:val="0"/>
              <w:autoSpaceDN w:val="0"/>
              <w:adjustRightInd w:val="0"/>
              <w:snapToGrid w:val="0"/>
              <w:spacing w:line="360" w:lineRule="auto"/>
              <w:jc w:val="center"/>
              <w:rPr>
                <w:rFonts w:ascii="宋体" w:hAnsi="宋体" w:cs="宋体"/>
                <w:snapToGrid w:val="0"/>
                <w:color w:val="auto"/>
                <w:kern w:val="0"/>
                <w:sz w:val="24"/>
              </w:rPr>
            </w:pPr>
          </w:p>
        </w:tc>
        <w:tc>
          <w:tcPr>
            <w:tcW w:w="1301" w:type="dxa"/>
          </w:tcPr>
          <w:p>
            <w:pPr>
              <w:kinsoku w:val="0"/>
              <w:overflowPunct w:val="0"/>
              <w:autoSpaceDE w:val="0"/>
              <w:autoSpaceDN w:val="0"/>
              <w:adjustRightInd w:val="0"/>
              <w:snapToGrid w:val="0"/>
              <w:spacing w:line="360" w:lineRule="auto"/>
              <w:rPr>
                <w:rFonts w:ascii="宋体" w:hAnsi="宋体" w:cs="宋体"/>
                <w:snapToGrid w:val="0"/>
                <w:color w:val="auto"/>
                <w:kern w:val="0"/>
                <w:sz w:val="24"/>
              </w:rPr>
            </w:pPr>
          </w:p>
        </w:tc>
        <w:tc>
          <w:tcPr>
            <w:tcW w:w="1440" w:type="dxa"/>
          </w:tcPr>
          <w:p>
            <w:pPr>
              <w:kinsoku w:val="0"/>
              <w:overflowPunct w:val="0"/>
              <w:autoSpaceDE w:val="0"/>
              <w:autoSpaceDN w:val="0"/>
              <w:adjustRightInd w:val="0"/>
              <w:snapToGrid w:val="0"/>
              <w:spacing w:line="360" w:lineRule="auto"/>
              <w:rPr>
                <w:rFonts w:ascii="宋体" w:hAnsi="宋体" w:cs="宋体"/>
                <w:snapToGrid w:val="0"/>
                <w:color w:val="auto"/>
                <w:kern w:val="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540" w:type="dxa"/>
            <w:vAlign w:val="center"/>
          </w:tcPr>
          <w:p>
            <w:pPr>
              <w:kinsoku w:val="0"/>
              <w:overflowPunct w:val="0"/>
              <w:autoSpaceDE w:val="0"/>
              <w:autoSpaceDN w:val="0"/>
              <w:adjustRightInd w:val="0"/>
              <w:snapToGrid w:val="0"/>
              <w:spacing w:line="360" w:lineRule="auto"/>
              <w:jc w:val="center"/>
              <w:rPr>
                <w:rStyle w:val="29"/>
                <w:rFonts w:ascii="宋体" w:hAnsi="宋体" w:cs="宋体"/>
                <w:b w:val="0"/>
                <w:bCs w:val="0"/>
                <w:snapToGrid w:val="0"/>
                <w:color w:val="auto"/>
                <w:kern w:val="0"/>
              </w:rPr>
            </w:pPr>
          </w:p>
        </w:tc>
        <w:tc>
          <w:tcPr>
            <w:tcW w:w="1369" w:type="dxa"/>
            <w:vAlign w:val="center"/>
          </w:tcPr>
          <w:p>
            <w:pPr>
              <w:kinsoku w:val="0"/>
              <w:overflowPunct w:val="0"/>
              <w:autoSpaceDE w:val="0"/>
              <w:autoSpaceDN w:val="0"/>
              <w:adjustRightInd w:val="0"/>
              <w:snapToGrid w:val="0"/>
              <w:spacing w:line="360" w:lineRule="auto"/>
              <w:jc w:val="center"/>
              <w:rPr>
                <w:rStyle w:val="29"/>
                <w:rFonts w:ascii="宋体" w:hAnsi="宋体" w:cs="宋体"/>
                <w:b w:val="0"/>
                <w:bCs w:val="0"/>
                <w:snapToGrid w:val="0"/>
                <w:color w:val="auto"/>
                <w:kern w:val="0"/>
              </w:rPr>
            </w:pPr>
          </w:p>
        </w:tc>
        <w:tc>
          <w:tcPr>
            <w:tcW w:w="806" w:type="dxa"/>
            <w:vAlign w:val="center"/>
          </w:tcPr>
          <w:p>
            <w:pPr>
              <w:kinsoku w:val="0"/>
              <w:overflowPunct w:val="0"/>
              <w:autoSpaceDE w:val="0"/>
              <w:autoSpaceDN w:val="0"/>
              <w:adjustRightInd w:val="0"/>
              <w:snapToGrid w:val="0"/>
              <w:spacing w:line="360" w:lineRule="auto"/>
              <w:jc w:val="center"/>
              <w:rPr>
                <w:rFonts w:ascii="宋体" w:hAnsi="宋体" w:cs="宋体"/>
                <w:snapToGrid w:val="0"/>
                <w:color w:val="auto"/>
                <w:kern w:val="0"/>
                <w:sz w:val="24"/>
              </w:rPr>
            </w:pPr>
          </w:p>
        </w:tc>
        <w:tc>
          <w:tcPr>
            <w:tcW w:w="705" w:type="dxa"/>
            <w:vAlign w:val="center"/>
          </w:tcPr>
          <w:p>
            <w:pPr>
              <w:kinsoku w:val="0"/>
              <w:overflowPunct w:val="0"/>
              <w:autoSpaceDE w:val="0"/>
              <w:autoSpaceDN w:val="0"/>
              <w:adjustRightInd w:val="0"/>
              <w:snapToGrid w:val="0"/>
              <w:spacing w:line="360" w:lineRule="auto"/>
              <w:jc w:val="center"/>
              <w:rPr>
                <w:rFonts w:ascii="宋体" w:hAnsi="宋体" w:cs="宋体"/>
                <w:snapToGrid w:val="0"/>
                <w:color w:val="auto"/>
                <w:kern w:val="0"/>
                <w:sz w:val="24"/>
              </w:rPr>
            </w:pPr>
          </w:p>
        </w:tc>
        <w:tc>
          <w:tcPr>
            <w:tcW w:w="2700" w:type="dxa"/>
          </w:tcPr>
          <w:p>
            <w:pPr>
              <w:kinsoku w:val="0"/>
              <w:overflowPunct w:val="0"/>
              <w:autoSpaceDE w:val="0"/>
              <w:autoSpaceDN w:val="0"/>
              <w:adjustRightInd w:val="0"/>
              <w:snapToGrid w:val="0"/>
              <w:spacing w:line="360" w:lineRule="auto"/>
              <w:rPr>
                <w:rFonts w:ascii="宋体" w:hAnsi="宋体" w:cs="宋体"/>
                <w:snapToGrid w:val="0"/>
                <w:color w:val="auto"/>
                <w:kern w:val="0"/>
                <w:sz w:val="24"/>
              </w:rPr>
            </w:pPr>
          </w:p>
        </w:tc>
        <w:tc>
          <w:tcPr>
            <w:tcW w:w="720" w:type="dxa"/>
          </w:tcPr>
          <w:p>
            <w:pPr>
              <w:kinsoku w:val="0"/>
              <w:overflowPunct w:val="0"/>
              <w:autoSpaceDE w:val="0"/>
              <w:autoSpaceDN w:val="0"/>
              <w:adjustRightInd w:val="0"/>
              <w:snapToGrid w:val="0"/>
              <w:spacing w:line="360" w:lineRule="auto"/>
              <w:jc w:val="center"/>
              <w:rPr>
                <w:rFonts w:ascii="宋体" w:hAnsi="宋体" w:cs="宋体"/>
                <w:snapToGrid w:val="0"/>
                <w:color w:val="auto"/>
                <w:kern w:val="0"/>
                <w:sz w:val="24"/>
              </w:rPr>
            </w:pPr>
          </w:p>
        </w:tc>
        <w:tc>
          <w:tcPr>
            <w:tcW w:w="1301" w:type="dxa"/>
          </w:tcPr>
          <w:p>
            <w:pPr>
              <w:kinsoku w:val="0"/>
              <w:overflowPunct w:val="0"/>
              <w:autoSpaceDE w:val="0"/>
              <w:autoSpaceDN w:val="0"/>
              <w:adjustRightInd w:val="0"/>
              <w:snapToGrid w:val="0"/>
              <w:spacing w:line="360" w:lineRule="auto"/>
              <w:rPr>
                <w:rFonts w:ascii="宋体" w:hAnsi="宋体" w:cs="宋体"/>
                <w:snapToGrid w:val="0"/>
                <w:color w:val="auto"/>
                <w:kern w:val="0"/>
                <w:sz w:val="24"/>
              </w:rPr>
            </w:pPr>
          </w:p>
        </w:tc>
        <w:tc>
          <w:tcPr>
            <w:tcW w:w="1440" w:type="dxa"/>
          </w:tcPr>
          <w:p>
            <w:pPr>
              <w:kinsoku w:val="0"/>
              <w:overflowPunct w:val="0"/>
              <w:autoSpaceDE w:val="0"/>
              <w:autoSpaceDN w:val="0"/>
              <w:adjustRightInd w:val="0"/>
              <w:snapToGrid w:val="0"/>
              <w:spacing w:line="360" w:lineRule="auto"/>
              <w:rPr>
                <w:rFonts w:ascii="宋体" w:hAnsi="宋体" w:cs="宋体"/>
                <w:snapToGrid w:val="0"/>
                <w:color w:val="auto"/>
                <w:kern w:val="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540" w:type="dxa"/>
            <w:vAlign w:val="center"/>
          </w:tcPr>
          <w:p>
            <w:pPr>
              <w:kinsoku w:val="0"/>
              <w:overflowPunct w:val="0"/>
              <w:autoSpaceDE w:val="0"/>
              <w:autoSpaceDN w:val="0"/>
              <w:adjustRightInd w:val="0"/>
              <w:snapToGrid w:val="0"/>
              <w:spacing w:line="360" w:lineRule="auto"/>
              <w:jc w:val="center"/>
              <w:rPr>
                <w:rStyle w:val="29"/>
                <w:rFonts w:ascii="宋体" w:hAnsi="宋体" w:cs="宋体"/>
                <w:b w:val="0"/>
                <w:bCs w:val="0"/>
                <w:snapToGrid w:val="0"/>
                <w:color w:val="auto"/>
                <w:kern w:val="0"/>
              </w:rPr>
            </w:pPr>
          </w:p>
        </w:tc>
        <w:tc>
          <w:tcPr>
            <w:tcW w:w="1369" w:type="dxa"/>
            <w:vAlign w:val="center"/>
          </w:tcPr>
          <w:p>
            <w:pPr>
              <w:kinsoku w:val="0"/>
              <w:overflowPunct w:val="0"/>
              <w:autoSpaceDE w:val="0"/>
              <w:autoSpaceDN w:val="0"/>
              <w:adjustRightInd w:val="0"/>
              <w:snapToGrid w:val="0"/>
              <w:spacing w:line="360" w:lineRule="auto"/>
              <w:jc w:val="center"/>
              <w:rPr>
                <w:rStyle w:val="29"/>
                <w:rFonts w:ascii="宋体" w:hAnsi="宋体" w:cs="宋体"/>
                <w:b w:val="0"/>
                <w:bCs w:val="0"/>
                <w:snapToGrid w:val="0"/>
                <w:color w:val="auto"/>
                <w:kern w:val="0"/>
              </w:rPr>
            </w:pPr>
          </w:p>
        </w:tc>
        <w:tc>
          <w:tcPr>
            <w:tcW w:w="806" w:type="dxa"/>
            <w:vAlign w:val="center"/>
          </w:tcPr>
          <w:p>
            <w:pPr>
              <w:kinsoku w:val="0"/>
              <w:overflowPunct w:val="0"/>
              <w:autoSpaceDE w:val="0"/>
              <w:autoSpaceDN w:val="0"/>
              <w:adjustRightInd w:val="0"/>
              <w:snapToGrid w:val="0"/>
              <w:spacing w:line="360" w:lineRule="auto"/>
              <w:jc w:val="center"/>
              <w:rPr>
                <w:rFonts w:ascii="宋体" w:hAnsi="宋体" w:cs="宋体"/>
                <w:snapToGrid w:val="0"/>
                <w:color w:val="auto"/>
                <w:kern w:val="0"/>
                <w:sz w:val="24"/>
              </w:rPr>
            </w:pPr>
          </w:p>
        </w:tc>
        <w:tc>
          <w:tcPr>
            <w:tcW w:w="705" w:type="dxa"/>
            <w:vAlign w:val="center"/>
          </w:tcPr>
          <w:p>
            <w:pPr>
              <w:kinsoku w:val="0"/>
              <w:overflowPunct w:val="0"/>
              <w:autoSpaceDE w:val="0"/>
              <w:autoSpaceDN w:val="0"/>
              <w:adjustRightInd w:val="0"/>
              <w:snapToGrid w:val="0"/>
              <w:spacing w:line="360" w:lineRule="auto"/>
              <w:jc w:val="center"/>
              <w:rPr>
                <w:rFonts w:ascii="宋体" w:hAnsi="宋体" w:cs="宋体"/>
                <w:snapToGrid w:val="0"/>
                <w:color w:val="auto"/>
                <w:kern w:val="0"/>
                <w:sz w:val="24"/>
              </w:rPr>
            </w:pPr>
          </w:p>
        </w:tc>
        <w:tc>
          <w:tcPr>
            <w:tcW w:w="2700" w:type="dxa"/>
          </w:tcPr>
          <w:p>
            <w:pPr>
              <w:kinsoku w:val="0"/>
              <w:overflowPunct w:val="0"/>
              <w:autoSpaceDE w:val="0"/>
              <w:autoSpaceDN w:val="0"/>
              <w:adjustRightInd w:val="0"/>
              <w:snapToGrid w:val="0"/>
              <w:spacing w:line="360" w:lineRule="auto"/>
              <w:rPr>
                <w:rFonts w:ascii="宋体" w:hAnsi="宋体" w:cs="宋体"/>
                <w:snapToGrid w:val="0"/>
                <w:color w:val="auto"/>
                <w:kern w:val="0"/>
                <w:sz w:val="24"/>
              </w:rPr>
            </w:pPr>
          </w:p>
        </w:tc>
        <w:tc>
          <w:tcPr>
            <w:tcW w:w="720" w:type="dxa"/>
          </w:tcPr>
          <w:p>
            <w:pPr>
              <w:kinsoku w:val="0"/>
              <w:overflowPunct w:val="0"/>
              <w:autoSpaceDE w:val="0"/>
              <w:autoSpaceDN w:val="0"/>
              <w:adjustRightInd w:val="0"/>
              <w:snapToGrid w:val="0"/>
              <w:spacing w:line="360" w:lineRule="auto"/>
              <w:jc w:val="center"/>
              <w:rPr>
                <w:rFonts w:ascii="宋体" w:hAnsi="宋体" w:cs="宋体"/>
                <w:snapToGrid w:val="0"/>
                <w:color w:val="auto"/>
                <w:kern w:val="0"/>
                <w:sz w:val="24"/>
              </w:rPr>
            </w:pPr>
          </w:p>
        </w:tc>
        <w:tc>
          <w:tcPr>
            <w:tcW w:w="1301" w:type="dxa"/>
          </w:tcPr>
          <w:p>
            <w:pPr>
              <w:kinsoku w:val="0"/>
              <w:overflowPunct w:val="0"/>
              <w:autoSpaceDE w:val="0"/>
              <w:autoSpaceDN w:val="0"/>
              <w:adjustRightInd w:val="0"/>
              <w:snapToGrid w:val="0"/>
              <w:spacing w:line="360" w:lineRule="auto"/>
              <w:rPr>
                <w:rFonts w:ascii="宋体" w:hAnsi="宋体" w:cs="宋体"/>
                <w:snapToGrid w:val="0"/>
                <w:color w:val="auto"/>
                <w:kern w:val="0"/>
                <w:sz w:val="24"/>
              </w:rPr>
            </w:pPr>
          </w:p>
        </w:tc>
        <w:tc>
          <w:tcPr>
            <w:tcW w:w="1440" w:type="dxa"/>
          </w:tcPr>
          <w:p>
            <w:pPr>
              <w:kinsoku w:val="0"/>
              <w:overflowPunct w:val="0"/>
              <w:autoSpaceDE w:val="0"/>
              <w:autoSpaceDN w:val="0"/>
              <w:adjustRightInd w:val="0"/>
              <w:snapToGrid w:val="0"/>
              <w:spacing w:line="360" w:lineRule="auto"/>
              <w:rPr>
                <w:rFonts w:ascii="宋体" w:hAnsi="宋体" w:cs="宋体"/>
                <w:snapToGrid w:val="0"/>
                <w:color w:val="auto"/>
                <w:kern w:val="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540" w:type="dxa"/>
            <w:vAlign w:val="center"/>
          </w:tcPr>
          <w:p>
            <w:pPr>
              <w:kinsoku w:val="0"/>
              <w:overflowPunct w:val="0"/>
              <w:autoSpaceDE w:val="0"/>
              <w:autoSpaceDN w:val="0"/>
              <w:adjustRightInd w:val="0"/>
              <w:snapToGrid w:val="0"/>
              <w:spacing w:line="360" w:lineRule="auto"/>
              <w:jc w:val="center"/>
              <w:rPr>
                <w:rStyle w:val="29"/>
                <w:rFonts w:ascii="宋体" w:hAnsi="宋体" w:cs="宋体"/>
                <w:b w:val="0"/>
                <w:bCs w:val="0"/>
                <w:snapToGrid w:val="0"/>
                <w:color w:val="auto"/>
                <w:kern w:val="0"/>
              </w:rPr>
            </w:pPr>
          </w:p>
        </w:tc>
        <w:tc>
          <w:tcPr>
            <w:tcW w:w="1369" w:type="dxa"/>
            <w:vAlign w:val="center"/>
          </w:tcPr>
          <w:p>
            <w:pPr>
              <w:kinsoku w:val="0"/>
              <w:overflowPunct w:val="0"/>
              <w:autoSpaceDE w:val="0"/>
              <w:autoSpaceDN w:val="0"/>
              <w:adjustRightInd w:val="0"/>
              <w:snapToGrid w:val="0"/>
              <w:spacing w:line="360" w:lineRule="auto"/>
              <w:jc w:val="center"/>
              <w:rPr>
                <w:rStyle w:val="29"/>
                <w:rFonts w:ascii="宋体" w:hAnsi="宋体" w:cs="宋体"/>
                <w:b w:val="0"/>
                <w:bCs w:val="0"/>
                <w:snapToGrid w:val="0"/>
                <w:color w:val="auto"/>
                <w:kern w:val="0"/>
              </w:rPr>
            </w:pPr>
          </w:p>
        </w:tc>
        <w:tc>
          <w:tcPr>
            <w:tcW w:w="806" w:type="dxa"/>
            <w:vAlign w:val="center"/>
          </w:tcPr>
          <w:p>
            <w:pPr>
              <w:kinsoku w:val="0"/>
              <w:overflowPunct w:val="0"/>
              <w:autoSpaceDE w:val="0"/>
              <w:autoSpaceDN w:val="0"/>
              <w:adjustRightInd w:val="0"/>
              <w:snapToGrid w:val="0"/>
              <w:spacing w:line="360" w:lineRule="auto"/>
              <w:jc w:val="center"/>
              <w:rPr>
                <w:rFonts w:ascii="宋体" w:hAnsi="宋体" w:cs="宋体"/>
                <w:snapToGrid w:val="0"/>
                <w:color w:val="auto"/>
                <w:kern w:val="0"/>
                <w:sz w:val="24"/>
              </w:rPr>
            </w:pPr>
          </w:p>
        </w:tc>
        <w:tc>
          <w:tcPr>
            <w:tcW w:w="705" w:type="dxa"/>
            <w:vAlign w:val="center"/>
          </w:tcPr>
          <w:p>
            <w:pPr>
              <w:kinsoku w:val="0"/>
              <w:overflowPunct w:val="0"/>
              <w:autoSpaceDE w:val="0"/>
              <w:autoSpaceDN w:val="0"/>
              <w:adjustRightInd w:val="0"/>
              <w:snapToGrid w:val="0"/>
              <w:spacing w:line="360" w:lineRule="auto"/>
              <w:jc w:val="center"/>
              <w:rPr>
                <w:rFonts w:ascii="宋体" w:hAnsi="宋体" w:cs="宋体"/>
                <w:snapToGrid w:val="0"/>
                <w:color w:val="auto"/>
                <w:kern w:val="0"/>
                <w:sz w:val="24"/>
              </w:rPr>
            </w:pPr>
          </w:p>
        </w:tc>
        <w:tc>
          <w:tcPr>
            <w:tcW w:w="2700" w:type="dxa"/>
            <w:vAlign w:val="center"/>
          </w:tcPr>
          <w:p>
            <w:pPr>
              <w:kinsoku w:val="0"/>
              <w:overflowPunct w:val="0"/>
              <w:autoSpaceDE w:val="0"/>
              <w:autoSpaceDN w:val="0"/>
              <w:adjustRightInd w:val="0"/>
              <w:snapToGrid w:val="0"/>
              <w:spacing w:line="360" w:lineRule="auto"/>
              <w:rPr>
                <w:rFonts w:ascii="宋体" w:hAnsi="宋体" w:cs="宋体"/>
                <w:snapToGrid w:val="0"/>
                <w:color w:val="auto"/>
                <w:kern w:val="0"/>
                <w:sz w:val="24"/>
              </w:rPr>
            </w:pPr>
          </w:p>
        </w:tc>
        <w:tc>
          <w:tcPr>
            <w:tcW w:w="720" w:type="dxa"/>
            <w:vAlign w:val="center"/>
          </w:tcPr>
          <w:p>
            <w:pPr>
              <w:kinsoku w:val="0"/>
              <w:overflowPunct w:val="0"/>
              <w:autoSpaceDE w:val="0"/>
              <w:autoSpaceDN w:val="0"/>
              <w:adjustRightInd w:val="0"/>
              <w:snapToGrid w:val="0"/>
              <w:spacing w:line="360" w:lineRule="auto"/>
              <w:jc w:val="center"/>
              <w:rPr>
                <w:rFonts w:ascii="宋体" w:hAnsi="宋体" w:cs="宋体"/>
                <w:snapToGrid w:val="0"/>
                <w:color w:val="auto"/>
                <w:kern w:val="0"/>
                <w:sz w:val="24"/>
              </w:rPr>
            </w:pPr>
          </w:p>
        </w:tc>
        <w:tc>
          <w:tcPr>
            <w:tcW w:w="1301" w:type="dxa"/>
            <w:vAlign w:val="center"/>
          </w:tcPr>
          <w:p>
            <w:pPr>
              <w:kinsoku w:val="0"/>
              <w:overflowPunct w:val="0"/>
              <w:autoSpaceDE w:val="0"/>
              <w:autoSpaceDN w:val="0"/>
              <w:adjustRightInd w:val="0"/>
              <w:snapToGrid w:val="0"/>
              <w:spacing w:line="360" w:lineRule="auto"/>
              <w:rPr>
                <w:rFonts w:ascii="宋体" w:hAnsi="宋体" w:cs="宋体"/>
                <w:snapToGrid w:val="0"/>
                <w:color w:val="auto"/>
                <w:kern w:val="0"/>
                <w:sz w:val="24"/>
              </w:rPr>
            </w:pPr>
          </w:p>
        </w:tc>
        <w:tc>
          <w:tcPr>
            <w:tcW w:w="1440" w:type="dxa"/>
            <w:vAlign w:val="center"/>
          </w:tcPr>
          <w:p>
            <w:pPr>
              <w:kinsoku w:val="0"/>
              <w:overflowPunct w:val="0"/>
              <w:autoSpaceDE w:val="0"/>
              <w:autoSpaceDN w:val="0"/>
              <w:adjustRightInd w:val="0"/>
              <w:snapToGrid w:val="0"/>
              <w:spacing w:line="360" w:lineRule="auto"/>
              <w:rPr>
                <w:rFonts w:ascii="宋体" w:hAnsi="宋体" w:cs="宋体"/>
                <w:snapToGrid w:val="0"/>
                <w:color w:val="auto"/>
                <w:kern w:val="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540" w:type="dxa"/>
            <w:vAlign w:val="center"/>
          </w:tcPr>
          <w:p>
            <w:pPr>
              <w:kinsoku w:val="0"/>
              <w:overflowPunct w:val="0"/>
              <w:autoSpaceDE w:val="0"/>
              <w:autoSpaceDN w:val="0"/>
              <w:adjustRightInd w:val="0"/>
              <w:snapToGrid w:val="0"/>
              <w:spacing w:line="360" w:lineRule="auto"/>
              <w:jc w:val="center"/>
              <w:rPr>
                <w:rStyle w:val="29"/>
                <w:rFonts w:ascii="宋体" w:hAnsi="宋体" w:cs="宋体"/>
                <w:b w:val="0"/>
                <w:bCs w:val="0"/>
                <w:snapToGrid w:val="0"/>
                <w:color w:val="auto"/>
                <w:kern w:val="0"/>
              </w:rPr>
            </w:pPr>
          </w:p>
        </w:tc>
        <w:tc>
          <w:tcPr>
            <w:tcW w:w="1369" w:type="dxa"/>
            <w:vAlign w:val="center"/>
          </w:tcPr>
          <w:p>
            <w:pPr>
              <w:kinsoku w:val="0"/>
              <w:overflowPunct w:val="0"/>
              <w:autoSpaceDE w:val="0"/>
              <w:autoSpaceDN w:val="0"/>
              <w:adjustRightInd w:val="0"/>
              <w:snapToGrid w:val="0"/>
              <w:spacing w:line="360" w:lineRule="auto"/>
              <w:jc w:val="center"/>
              <w:rPr>
                <w:rStyle w:val="29"/>
                <w:rFonts w:ascii="宋体" w:hAnsi="宋体" w:cs="宋体"/>
                <w:b w:val="0"/>
                <w:bCs w:val="0"/>
                <w:snapToGrid w:val="0"/>
                <w:color w:val="auto"/>
                <w:kern w:val="0"/>
              </w:rPr>
            </w:pPr>
          </w:p>
        </w:tc>
        <w:tc>
          <w:tcPr>
            <w:tcW w:w="806" w:type="dxa"/>
            <w:vAlign w:val="center"/>
          </w:tcPr>
          <w:p>
            <w:pPr>
              <w:kinsoku w:val="0"/>
              <w:overflowPunct w:val="0"/>
              <w:autoSpaceDE w:val="0"/>
              <w:autoSpaceDN w:val="0"/>
              <w:adjustRightInd w:val="0"/>
              <w:snapToGrid w:val="0"/>
              <w:spacing w:line="360" w:lineRule="auto"/>
              <w:jc w:val="center"/>
              <w:rPr>
                <w:rFonts w:ascii="宋体" w:hAnsi="宋体" w:cs="宋体"/>
                <w:snapToGrid w:val="0"/>
                <w:color w:val="auto"/>
                <w:kern w:val="0"/>
                <w:sz w:val="24"/>
              </w:rPr>
            </w:pPr>
          </w:p>
        </w:tc>
        <w:tc>
          <w:tcPr>
            <w:tcW w:w="705" w:type="dxa"/>
            <w:vAlign w:val="center"/>
          </w:tcPr>
          <w:p>
            <w:pPr>
              <w:kinsoku w:val="0"/>
              <w:overflowPunct w:val="0"/>
              <w:autoSpaceDE w:val="0"/>
              <w:autoSpaceDN w:val="0"/>
              <w:adjustRightInd w:val="0"/>
              <w:snapToGrid w:val="0"/>
              <w:spacing w:line="360" w:lineRule="auto"/>
              <w:jc w:val="center"/>
              <w:rPr>
                <w:rFonts w:ascii="宋体" w:hAnsi="宋体" w:cs="宋体"/>
                <w:snapToGrid w:val="0"/>
                <w:color w:val="auto"/>
                <w:kern w:val="0"/>
                <w:sz w:val="24"/>
              </w:rPr>
            </w:pPr>
          </w:p>
        </w:tc>
        <w:tc>
          <w:tcPr>
            <w:tcW w:w="2700" w:type="dxa"/>
            <w:vAlign w:val="center"/>
          </w:tcPr>
          <w:p>
            <w:pPr>
              <w:kinsoku w:val="0"/>
              <w:overflowPunct w:val="0"/>
              <w:autoSpaceDE w:val="0"/>
              <w:autoSpaceDN w:val="0"/>
              <w:adjustRightInd w:val="0"/>
              <w:snapToGrid w:val="0"/>
              <w:spacing w:line="360" w:lineRule="auto"/>
              <w:rPr>
                <w:rStyle w:val="29"/>
                <w:rFonts w:ascii="宋体" w:hAnsi="宋体" w:cs="宋体"/>
                <w:b w:val="0"/>
                <w:bCs w:val="0"/>
                <w:snapToGrid w:val="0"/>
                <w:color w:val="auto"/>
                <w:kern w:val="0"/>
              </w:rPr>
            </w:pPr>
          </w:p>
        </w:tc>
        <w:tc>
          <w:tcPr>
            <w:tcW w:w="720" w:type="dxa"/>
            <w:vAlign w:val="center"/>
          </w:tcPr>
          <w:p>
            <w:pPr>
              <w:kinsoku w:val="0"/>
              <w:overflowPunct w:val="0"/>
              <w:autoSpaceDE w:val="0"/>
              <w:autoSpaceDN w:val="0"/>
              <w:adjustRightInd w:val="0"/>
              <w:snapToGrid w:val="0"/>
              <w:spacing w:line="360" w:lineRule="auto"/>
              <w:jc w:val="center"/>
              <w:rPr>
                <w:rStyle w:val="29"/>
                <w:rFonts w:ascii="宋体" w:hAnsi="宋体" w:cs="宋体"/>
                <w:b w:val="0"/>
                <w:bCs w:val="0"/>
                <w:snapToGrid w:val="0"/>
                <w:color w:val="auto"/>
                <w:kern w:val="0"/>
              </w:rPr>
            </w:pPr>
          </w:p>
        </w:tc>
        <w:tc>
          <w:tcPr>
            <w:tcW w:w="1301" w:type="dxa"/>
            <w:vAlign w:val="center"/>
          </w:tcPr>
          <w:p>
            <w:pPr>
              <w:kinsoku w:val="0"/>
              <w:overflowPunct w:val="0"/>
              <w:autoSpaceDE w:val="0"/>
              <w:autoSpaceDN w:val="0"/>
              <w:adjustRightInd w:val="0"/>
              <w:snapToGrid w:val="0"/>
              <w:spacing w:line="360" w:lineRule="auto"/>
              <w:rPr>
                <w:rStyle w:val="29"/>
                <w:rFonts w:ascii="宋体" w:hAnsi="宋体" w:cs="宋体"/>
                <w:b w:val="0"/>
                <w:bCs w:val="0"/>
                <w:snapToGrid w:val="0"/>
                <w:color w:val="auto"/>
                <w:kern w:val="0"/>
              </w:rPr>
            </w:pPr>
          </w:p>
        </w:tc>
        <w:tc>
          <w:tcPr>
            <w:tcW w:w="1440" w:type="dxa"/>
            <w:vAlign w:val="center"/>
          </w:tcPr>
          <w:p>
            <w:pPr>
              <w:kinsoku w:val="0"/>
              <w:overflowPunct w:val="0"/>
              <w:autoSpaceDE w:val="0"/>
              <w:autoSpaceDN w:val="0"/>
              <w:adjustRightInd w:val="0"/>
              <w:snapToGrid w:val="0"/>
              <w:spacing w:line="360" w:lineRule="auto"/>
              <w:rPr>
                <w:rStyle w:val="29"/>
                <w:rFonts w:ascii="宋体" w:hAnsi="宋体" w:cs="宋体"/>
                <w:b w:val="0"/>
                <w:bCs w:val="0"/>
                <w:snapToGrid w:val="0"/>
                <w:color w:val="auto"/>
                <w:kern w:val="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9581" w:type="dxa"/>
            <w:gridSpan w:val="8"/>
            <w:vAlign w:val="center"/>
          </w:tcPr>
          <w:p>
            <w:pPr>
              <w:kinsoku w:val="0"/>
              <w:overflowPunct w:val="0"/>
              <w:autoSpaceDE w:val="0"/>
              <w:autoSpaceDN w:val="0"/>
              <w:adjustRightInd w:val="0"/>
              <w:snapToGrid w:val="0"/>
              <w:spacing w:line="360" w:lineRule="auto"/>
              <w:rPr>
                <w:rFonts w:ascii="宋体" w:hAnsi="宋体" w:cs="宋体"/>
                <w:b/>
                <w:color w:val="auto"/>
                <w:kern w:val="0"/>
                <w:sz w:val="24"/>
              </w:rPr>
            </w:pPr>
            <w:r>
              <w:rPr>
                <w:rFonts w:hint="eastAsia" w:ascii="宋体" w:hAnsi="宋体" w:cs="宋体"/>
                <w:snapToGrid w:val="0"/>
                <w:color w:val="auto"/>
                <w:kern w:val="0"/>
                <w:sz w:val="24"/>
              </w:rPr>
              <w:t>合计</w:t>
            </w:r>
            <w:r>
              <w:rPr>
                <w:rFonts w:hint="eastAsia" w:ascii="宋体" w:hAnsi="宋体" w:cs="宋体"/>
                <w:b/>
                <w:color w:val="auto"/>
                <w:sz w:val="24"/>
              </w:rPr>
              <w:t xml:space="preserve">（人民币）:          </w:t>
            </w:r>
            <w:r>
              <w:rPr>
                <w:rFonts w:hint="eastAsia" w:ascii="宋体" w:hAnsi="宋体" w:cs="宋体"/>
                <w:b/>
                <w:color w:val="auto"/>
                <w:kern w:val="0"/>
                <w:sz w:val="24"/>
              </w:rPr>
              <w:t>元整（￥：    元）</w:t>
            </w:r>
          </w:p>
        </w:tc>
      </w:tr>
    </w:tbl>
    <w:p>
      <w:pPr>
        <w:spacing w:line="360" w:lineRule="auto"/>
        <w:ind w:left="359" w:leftChars="171"/>
        <w:rPr>
          <w:rFonts w:ascii="宋体" w:hAnsi="宋体" w:cs="宋体"/>
          <w:b/>
          <w:color w:val="auto"/>
          <w:sz w:val="24"/>
        </w:rPr>
      </w:pPr>
      <w:r>
        <w:rPr>
          <w:rFonts w:hint="eastAsia" w:ascii="宋体" w:hAnsi="宋体" w:cs="宋体"/>
          <w:b/>
          <w:color w:val="auto"/>
          <w:sz w:val="24"/>
        </w:rPr>
        <w:t>技术负责人（签字）：</w:t>
      </w:r>
      <w:r>
        <w:rPr>
          <w:rFonts w:hint="eastAsia" w:ascii="宋体" w:hAnsi="宋体" w:cs="宋体"/>
          <w:b/>
          <w:color w:val="auto"/>
          <w:sz w:val="24"/>
          <w:u w:val="single"/>
        </w:rPr>
        <w:t xml:space="preserve">               </w:t>
      </w:r>
      <w:r>
        <w:rPr>
          <w:rFonts w:hint="eastAsia" w:ascii="宋体" w:hAnsi="宋体" w:cs="宋体"/>
          <w:b/>
          <w:color w:val="auto"/>
          <w:sz w:val="24"/>
        </w:rPr>
        <w:t xml:space="preserve">      部门负责人（签字）：</w:t>
      </w:r>
      <w:r>
        <w:rPr>
          <w:rFonts w:hint="eastAsia" w:ascii="宋体" w:hAnsi="宋体" w:cs="宋体"/>
          <w:b/>
          <w:color w:val="auto"/>
          <w:sz w:val="24"/>
          <w:u w:val="single"/>
        </w:rPr>
        <w:t xml:space="preserve">                 </w:t>
      </w:r>
    </w:p>
    <w:p>
      <w:pPr>
        <w:spacing w:line="360" w:lineRule="auto"/>
        <w:ind w:firstLine="482" w:firstLineChars="200"/>
        <w:rPr>
          <w:rFonts w:ascii="宋体" w:hAnsi="宋体" w:cs="宋体"/>
          <w:color w:val="auto"/>
          <w:sz w:val="24"/>
        </w:rPr>
      </w:pPr>
      <w:r>
        <w:rPr>
          <w:rFonts w:hint="eastAsia" w:ascii="宋体" w:hAnsi="宋体" w:cs="宋体"/>
          <w:b/>
          <w:color w:val="auto"/>
          <w:sz w:val="24"/>
        </w:rPr>
        <w:t xml:space="preserve">二、合同总金额（人民币）:          </w:t>
      </w:r>
      <w:r>
        <w:rPr>
          <w:rFonts w:hint="eastAsia" w:ascii="宋体" w:hAnsi="宋体" w:cs="宋体"/>
          <w:b/>
          <w:color w:val="auto"/>
          <w:kern w:val="0"/>
          <w:sz w:val="24"/>
        </w:rPr>
        <w:t>元整（￥：  元）</w:t>
      </w:r>
      <w:r>
        <w:rPr>
          <w:rFonts w:hint="eastAsia" w:ascii="宋体" w:hAnsi="宋体" w:cs="宋体"/>
          <w:b/>
          <w:color w:val="auto"/>
          <w:sz w:val="24"/>
        </w:rPr>
        <w:t>。含增值税、运费、安装调试费等，甲方无需支付其他费用。</w:t>
      </w:r>
    </w:p>
    <w:p>
      <w:pPr>
        <w:spacing w:line="360" w:lineRule="auto"/>
        <w:ind w:firstLine="482" w:firstLineChars="200"/>
        <w:rPr>
          <w:rFonts w:ascii="宋体" w:hAnsi="宋体" w:cs="宋体"/>
          <w:b/>
          <w:color w:val="auto"/>
          <w:sz w:val="24"/>
        </w:rPr>
      </w:pPr>
      <w:r>
        <w:rPr>
          <w:rFonts w:hint="eastAsia" w:ascii="宋体" w:hAnsi="宋体" w:cs="宋体"/>
          <w:b/>
          <w:color w:val="auto"/>
          <w:sz w:val="24"/>
        </w:rPr>
        <w:t>三、交货：</w:t>
      </w:r>
    </w:p>
    <w:p>
      <w:pPr>
        <w:spacing w:line="360" w:lineRule="auto"/>
        <w:ind w:left="360" w:firstLine="480" w:firstLineChars="200"/>
        <w:rPr>
          <w:rFonts w:ascii="宋体" w:hAnsi="宋体" w:cs="宋体"/>
          <w:color w:val="auto"/>
          <w:sz w:val="24"/>
        </w:rPr>
      </w:pPr>
      <w:r>
        <w:rPr>
          <w:rFonts w:hint="eastAsia" w:ascii="宋体" w:hAnsi="宋体" w:cs="宋体"/>
          <w:color w:val="auto"/>
          <w:sz w:val="24"/>
        </w:rPr>
        <w:t>1.交货时间：乙方应在20  年 月  日前完成全部货物（含</w:t>
      </w:r>
      <w:r>
        <w:rPr>
          <w:rFonts w:ascii="宋体" w:hAnsi="宋体" w:cs="宋体"/>
          <w:color w:val="auto"/>
          <w:sz w:val="24"/>
        </w:rPr>
        <w:t>配套</w:t>
      </w:r>
      <w:r>
        <w:rPr>
          <w:rFonts w:hint="eastAsia" w:ascii="宋体" w:hAnsi="宋体" w:cs="宋体"/>
          <w:color w:val="auto"/>
          <w:sz w:val="24"/>
        </w:rPr>
        <w:t>系统、配件</w:t>
      </w:r>
      <w:r>
        <w:rPr>
          <w:rFonts w:ascii="宋体" w:hAnsi="宋体" w:cs="宋体"/>
          <w:color w:val="auto"/>
          <w:sz w:val="24"/>
        </w:rPr>
        <w:t>备件</w:t>
      </w:r>
      <w:r>
        <w:rPr>
          <w:rFonts w:hint="eastAsia" w:ascii="宋体" w:hAnsi="宋体" w:cs="宋体"/>
          <w:color w:val="auto"/>
          <w:sz w:val="24"/>
        </w:rPr>
        <w:t>）的安装调试工作。</w:t>
      </w:r>
    </w:p>
    <w:p>
      <w:pPr>
        <w:spacing w:line="360" w:lineRule="auto"/>
        <w:ind w:left="360" w:firstLine="480" w:firstLineChars="200"/>
        <w:rPr>
          <w:rFonts w:ascii="宋体" w:hAnsi="宋体" w:cs="宋体"/>
          <w:color w:val="auto"/>
          <w:sz w:val="24"/>
        </w:rPr>
      </w:pPr>
      <w:r>
        <w:rPr>
          <w:rFonts w:hint="eastAsia" w:ascii="宋体" w:hAnsi="宋体" w:cs="宋体"/>
          <w:color w:val="auto"/>
          <w:sz w:val="24"/>
        </w:rPr>
        <w:t>2.交货地点：甲方指定地点。</w:t>
      </w:r>
    </w:p>
    <w:p>
      <w:pPr>
        <w:spacing w:line="360" w:lineRule="auto"/>
        <w:ind w:left="359" w:leftChars="171" w:firstLine="480" w:firstLineChars="200"/>
        <w:rPr>
          <w:rFonts w:ascii="宋体" w:hAnsi="宋体" w:cs="宋体"/>
          <w:color w:val="auto"/>
          <w:sz w:val="24"/>
        </w:rPr>
      </w:pPr>
      <w:r>
        <w:rPr>
          <w:rFonts w:hint="eastAsia" w:ascii="宋体" w:hAnsi="宋体" w:cs="宋体"/>
          <w:color w:val="auto"/>
          <w:sz w:val="24"/>
        </w:rPr>
        <w:t>3.交货方式：乙方负责安排运输到甲方指定地点。</w:t>
      </w:r>
      <w:r>
        <w:rPr>
          <w:rFonts w:hint="eastAsia" w:ascii="宋体" w:hAnsi="宋体" w:cs="宋体"/>
          <w:bCs/>
          <w:color w:val="auto"/>
          <w:sz w:val="24"/>
        </w:rPr>
        <w:t>乙方承担</w:t>
      </w:r>
      <w:r>
        <w:rPr>
          <w:rFonts w:hint="eastAsia" w:ascii="宋体" w:hAnsi="宋体" w:cs="宋体"/>
          <w:color w:val="auto"/>
          <w:sz w:val="24"/>
        </w:rPr>
        <w:t>货物（含</w:t>
      </w:r>
      <w:r>
        <w:rPr>
          <w:rFonts w:ascii="宋体" w:hAnsi="宋体" w:cs="宋体"/>
          <w:color w:val="auto"/>
          <w:sz w:val="24"/>
        </w:rPr>
        <w:t>配套</w:t>
      </w:r>
      <w:r>
        <w:rPr>
          <w:rFonts w:hint="eastAsia" w:ascii="宋体" w:hAnsi="宋体" w:cs="宋体"/>
          <w:color w:val="auto"/>
          <w:sz w:val="24"/>
        </w:rPr>
        <w:t>系统、配件</w:t>
      </w:r>
      <w:r>
        <w:rPr>
          <w:rFonts w:ascii="宋体" w:hAnsi="宋体" w:cs="宋体"/>
          <w:color w:val="auto"/>
          <w:sz w:val="24"/>
        </w:rPr>
        <w:t>备件</w:t>
      </w:r>
      <w:r>
        <w:rPr>
          <w:rFonts w:hint="eastAsia" w:ascii="宋体" w:hAnsi="宋体" w:cs="宋体"/>
          <w:color w:val="auto"/>
          <w:sz w:val="24"/>
        </w:rPr>
        <w:t>）</w:t>
      </w:r>
      <w:r>
        <w:rPr>
          <w:rFonts w:hint="eastAsia" w:ascii="宋体" w:hAnsi="宋体" w:cs="宋体"/>
          <w:bCs/>
          <w:color w:val="auto"/>
          <w:sz w:val="24"/>
        </w:rPr>
        <w:t>交付甲方前的一切费用及风险（本条款所指交付是乙方将货物</w:t>
      </w:r>
      <w:r>
        <w:rPr>
          <w:rFonts w:hint="eastAsia" w:ascii="宋体" w:hAnsi="宋体" w:cs="宋体"/>
          <w:color w:val="auto"/>
          <w:sz w:val="24"/>
        </w:rPr>
        <w:t>（含</w:t>
      </w:r>
      <w:r>
        <w:rPr>
          <w:rFonts w:ascii="宋体" w:hAnsi="宋体" w:cs="宋体"/>
          <w:color w:val="auto"/>
          <w:sz w:val="24"/>
        </w:rPr>
        <w:t>配套</w:t>
      </w:r>
      <w:r>
        <w:rPr>
          <w:rFonts w:hint="eastAsia" w:ascii="宋体" w:hAnsi="宋体" w:cs="宋体"/>
          <w:color w:val="auto"/>
          <w:sz w:val="24"/>
        </w:rPr>
        <w:t>系统、配件</w:t>
      </w:r>
      <w:r>
        <w:rPr>
          <w:rFonts w:ascii="宋体" w:hAnsi="宋体" w:cs="宋体"/>
          <w:color w:val="auto"/>
          <w:sz w:val="24"/>
        </w:rPr>
        <w:t>备件</w:t>
      </w:r>
      <w:r>
        <w:rPr>
          <w:rFonts w:hint="eastAsia" w:ascii="宋体" w:hAnsi="宋体" w:cs="宋体"/>
          <w:color w:val="auto"/>
          <w:sz w:val="24"/>
        </w:rPr>
        <w:t>）</w:t>
      </w:r>
      <w:r>
        <w:rPr>
          <w:rFonts w:hint="eastAsia" w:ascii="宋体" w:hAnsi="宋体" w:cs="宋体"/>
          <w:bCs/>
          <w:color w:val="auto"/>
          <w:sz w:val="24"/>
        </w:rPr>
        <w:t>运送至甲方指定地点，并经甲方验收合格并出具验收合格证明后视为交付）。</w:t>
      </w:r>
    </w:p>
    <w:p>
      <w:pPr>
        <w:spacing w:line="360" w:lineRule="auto"/>
        <w:ind w:firstLine="720" w:firstLineChars="300"/>
        <w:rPr>
          <w:rFonts w:ascii="宋体" w:hAnsi="宋体" w:cs="宋体"/>
          <w:color w:val="auto"/>
          <w:sz w:val="24"/>
        </w:rPr>
      </w:pPr>
      <w:r>
        <w:rPr>
          <w:rFonts w:hint="eastAsia" w:ascii="宋体" w:hAnsi="宋体" w:cs="宋体"/>
          <w:color w:val="auto"/>
          <w:sz w:val="24"/>
        </w:rPr>
        <w:t>4.乙方所提供货物（含</w:t>
      </w:r>
      <w:r>
        <w:rPr>
          <w:rFonts w:ascii="宋体" w:hAnsi="宋体" w:cs="宋体"/>
          <w:color w:val="auto"/>
          <w:sz w:val="24"/>
        </w:rPr>
        <w:t>配套</w:t>
      </w:r>
      <w:r>
        <w:rPr>
          <w:rFonts w:hint="eastAsia" w:ascii="宋体" w:hAnsi="宋体" w:cs="宋体"/>
          <w:color w:val="auto"/>
          <w:sz w:val="24"/>
        </w:rPr>
        <w:t>系统、配件</w:t>
      </w:r>
      <w:r>
        <w:rPr>
          <w:rFonts w:ascii="宋体" w:hAnsi="宋体" w:cs="宋体"/>
          <w:color w:val="auto"/>
          <w:sz w:val="24"/>
        </w:rPr>
        <w:t>备件</w:t>
      </w:r>
      <w:r>
        <w:rPr>
          <w:rFonts w:hint="eastAsia" w:ascii="宋体" w:hAnsi="宋体" w:cs="宋体"/>
          <w:color w:val="auto"/>
          <w:sz w:val="24"/>
        </w:rPr>
        <w:t>）必须为全新无瑕疵。</w:t>
      </w:r>
    </w:p>
    <w:p>
      <w:pPr>
        <w:spacing w:line="360" w:lineRule="auto"/>
        <w:ind w:firstLine="720" w:firstLineChars="300"/>
        <w:rPr>
          <w:rFonts w:ascii="宋体" w:hAnsi="宋体" w:cs="宋体"/>
          <w:color w:val="auto"/>
          <w:sz w:val="24"/>
        </w:rPr>
      </w:pPr>
      <w:r>
        <w:rPr>
          <w:rFonts w:hint="eastAsia" w:ascii="宋体" w:hAnsi="宋体" w:cs="宋体"/>
          <w:color w:val="auto"/>
          <w:sz w:val="24"/>
        </w:rPr>
        <w:t>5.交货时，乙方应将货物（含</w:t>
      </w:r>
      <w:r>
        <w:rPr>
          <w:rFonts w:ascii="宋体" w:hAnsi="宋体" w:cs="宋体"/>
          <w:color w:val="auto"/>
          <w:sz w:val="24"/>
        </w:rPr>
        <w:t>配套</w:t>
      </w:r>
      <w:r>
        <w:rPr>
          <w:rFonts w:hint="eastAsia" w:ascii="宋体" w:hAnsi="宋体" w:cs="宋体"/>
          <w:color w:val="auto"/>
          <w:sz w:val="24"/>
        </w:rPr>
        <w:t>系统、配件</w:t>
      </w:r>
      <w:r>
        <w:rPr>
          <w:rFonts w:ascii="宋体" w:hAnsi="宋体" w:cs="宋体"/>
          <w:color w:val="auto"/>
          <w:sz w:val="24"/>
        </w:rPr>
        <w:t>备件</w:t>
      </w:r>
      <w:r>
        <w:rPr>
          <w:rFonts w:hint="eastAsia" w:ascii="宋体" w:hAnsi="宋体" w:cs="宋体"/>
          <w:color w:val="auto"/>
          <w:sz w:val="24"/>
        </w:rPr>
        <w:t>）的产品说明书、使用说明书，出厂合格证、用户手册、保修手册等单证交付给甲方，前述单证未交付完整的，视为未完全交货。</w:t>
      </w:r>
    </w:p>
    <w:p>
      <w:pPr>
        <w:spacing w:line="360" w:lineRule="auto"/>
        <w:ind w:firstLine="720" w:firstLineChars="300"/>
        <w:rPr>
          <w:rFonts w:ascii="宋体" w:hAnsi="宋体" w:cs="宋体"/>
          <w:color w:val="auto"/>
          <w:sz w:val="24"/>
        </w:rPr>
      </w:pPr>
      <w:r>
        <w:rPr>
          <w:rFonts w:hint="eastAsia" w:ascii="宋体" w:hAnsi="宋体" w:cs="宋体"/>
          <w:color w:val="auto"/>
          <w:sz w:val="24"/>
        </w:rPr>
        <w:t>6.如果乙</w:t>
      </w:r>
      <w:r>
        <w:rPr>
          <w:rFonts w:ascii="宋体" w:hAnsi="宋体" w:cs="宋体"/>
          <w:color w:val="auto"/>
          <w:sz w:val="24"/>
        </w:rPr>
        <w:t>方提供</w:t>
      </w:r>
      <w:r>
        <w:rPr>
          <w:rFonts w:hint="eastAsia" w:ascii="宋体" w:hAnsi="宋体" w:cs="宋体"/>
          <w:color w:val="auto"/>
          <w:sz w:val="24"/>
        </w:rPr>
        <w:t>货物（含</w:t>
      </w:r>
      <w:r>
        <w:rPr>
          <w:rFonts w:ascii="宋体" w:hAnsi="宋体" w:cs="宋体"/>
          <w:color w:val="auto"/>
          <w:sz w:val="24"/>
        </w:rPr>
        <w:t>配套</w:t>
      </w:r>
      <w:r>
        <w:rPr>
          <w:rFonts w:hint="eastAsia" w:ascii="宋体" w:hAnsi="宋体" w:cs="宋体"/>
          <w:color w:val="auto"/>
          <w:sz w:val="24"/>
        </w:rPr>
        <w:t>系统、配件</w:t>
      </w:r>
      <w:r>
        <w:rPr>
          <w:rFonts w:ascii="宋体" w:hAnsi="宋体" w:cs="宋体"/>
          <w:color w:val="auto"/>
          <w:sz w:val="24"/>
        </w:rPr>
        <w:t>备件</w:t>
      </w:r>
      <w:r>
        <w:rPr>
          <w:rFonts w:hint="eastAsia" w:ascii="宋体" w:hAnsi="宋体" w:cs="宋体"/>
          <w:color w:val="auto"/>
          <w:sz w:val="24"/>
        </w:rPr>
        <w:t>）属于国</w:t>
      </w:r>
      <w:r>
        <w:rPr>
          <w:rFonts w:ascii="宋体" w:hAnsi="宋体" w:cs="宋体"/>
          <w:color w:val="auto"/>
          <w:sz w:val="24"/>
        </w:rPr>
        <w:t>家</w:t>
      </w:r>
      <w:r>
        <w:rPr>
          <w:rFonts w:hint="eastAsia" w:ascii="宋体" w:hAnsi="宋体" w:cs="宋体"/>
          <w:color w:val="auto"/>
          <w:sz w:val="24"/>
        </w:rPr>
        <w:t>或</w:t>
      </w:r>
      <w:r>
        <w:rPr>
          <w:rFonts w:ascii="宋体" w:hAnsi="宋体" w:cs="宋体"/>
          <w:color w:val="auto"/>
          <w:sz w:val="24"/>
        </w:rPr>
        <w:t>上级部门</w:t>
      </w:r>
      <w:r>
        <w:rPr>
          <w:rFonts w:hint="eastAsia" w:ascii="宋体" w:hAnsi="宋体" w:cs="宋体"/>
          <w:color w:val="auto"/>
          <w:sz w:val="24"/>
        </w:rPr>
        <w:t>相</w:t>
      </w:r>
      <w:r>
        <w:rPr>
          <w:rFonts w:ascii="宋体" w:hAnsi="宋体" w:cs="宋体"/>
          <w:color w:val="auto"/>
          <w:sz w:val="24"/>
        </w:rPr>
        <w:t>关法律法规管制</w:t>
      </w:r>
      <w:r>
        <w:rPr>
          <w:rFonts w:hint="eastAsia" w:ascii="宋体" w:hAnsi="宋体" w:cs="宋体"/>
          <w:color w:val="auto"/>
          <w:sz w:val="24"/>
        </w:rPr>
        <w:t>的，则乙方应当提供相关证明并协助甲方办理相关手续。</w:t>
      </w:r>
    </w:p>
    <w:p>
      <w:pPr>
        <w:spacing w:line="360" w:lineRule="auto"/>
        <w:ind w:firstLine="482" w:firstLineChars="200"/>
        <w:rPr>
          <w:rFonts w:ascii="宋体" w:hAnsi="宋体" w:cs="宋体"/>
          <w:b/>
          <w:color w:val="auto"/>
          <w:sz w:val="24"/>
        </w:rPr>
      </w:pPr>
      <w:r>
        <w:rPr>
          <w:rFonts w:hint="eastAsia" w:ascii="宋体" w:hAnsi="宋体" w:cs="宋体"/>
          <w:b/>
          <w:color w:val="auto"/>
          <w:sz w:val="24"/>
        </w:rPr>
        <w:t>四、合</w:t>
      </w:r>
      <w:r>
        <w:rPr>
          <w:rFonts w:ascii="宋体" w:hAnsi="宋体" w:cs="宋体"/>
          <w:b/>
          <w:color w:val="auto"/>
          <w:sz w:val="24"/>
        </w:rPr>
        <w:t>同</w:t>
      </w:r>
      <w:r>
        <w:rPr>
          <w:rFonts w:hint="eastAsia" w:ascii="宋体" w:hAnsi="宋体" w:cs="宋体"/>
          <w:b/>
          <w:color w:val="auto"/>
          <w:sz w:val="24"/>
        </w:rPr>
        <w:t>验收</w:t>
      </w:r>
    </w:p>
    <w:p>
      <w:pPr>
        <w:spacing w:line="360" w:lineRule="auto"/>
        <w:ind w:firstLine="723" w:firstLineChars="300"/>
        <w:rPr>
          <w:rFonts w:ascii="宋体" w:hAnsi="宋体" w:cs="宋体"/>
          <w:color w:val="auto"/>
          <w:sz w:val="24"/>
        </w:rPr>
      </w:pPr>
      <w:r>
        <w:rPr>
          <w:rFonts w:hint="eastAsia" w:ascii="宋体" w:hAnsi="宋体" w:cs="宋体"/>
          <w:b/>
          <w:color w:val="auto"/>
          <w:sz w:val="24"/>
        </w:rPr>
        <w:t>1. 验收标准：</w:t>
      </w:r>
      <w:r>
        <w:rPr>
          <w:rFonts w:hint="eastAsia" w:ascii="宋体" w:hAnsi="宋体" w:cs="宋体"/>
          <w:color w:val="auto"/>
          <w:sz w:val="24"/>
        </w:rPr>
        <w:t>本合同相关约定、国家相关规范和标准、招标文件、响应文件及磋商报告相关要求、相关技术文件验收。</w:t>
      </w:r>
    </w:p>
    <w:p>
      <w:pPr>
        <w:spacing w:line="360" w:lineRule="auto"/>
        <w:ind w:firstLine="480" w:firstLineChars="200"/>
        <w:rPr>
          <w:rFonts w:ascii="宋体" w:hAnsi="宋体" w:cs="宋体"/>
          <w:color w:val="auto"/>
          <w:sz w:val="24"/>
        </w:rPr>
      </w:pPr>
      <w:r>
        <w:rPr>
          <w:rFonts w:ascii="宋体" w:hAnsi="宋体" w:cs="宋体"/>
          <w:color w:val="auto"/>
          <w:sz w:val="24"/>
        </w:rPr>
        <w:t>2.</w:t>
      </w:r>
      <w:r>
        <w:rPr>
          <w:rFonts w:hint="eastAsia" w:ascii="宋体" w:hAnsi="宋体" w:cs="宋体"/>
          <w:color w:val="auto"/>
          <w:sz w:val="24"/>
        </w:rPr>
        <w:t>验</w:t>
      </w:r>
      <w:r>
        <w:rPr>
          <w:rFonts w:ascii="宋体" w:hAnsi="宋体" w:cs="宋体"/>
          <w:color w:val="auto"/>
          <w:sz w:val="24"/>
        </w:rPr>
        <w:t>收方式：合同内</w:t>
      </w:r>
      <w:r>
        <w:rPr>
          <w:rFonts w:hint="eastAsia" w:ascii="宋体" w:hAnsi="宋体" w:cs="宋体"/>
          <w:color w:val="auto"/>
          <w:sz w:val="24"/>
        </w:rPr>
        <w:t>全</w:t>
      </w:r>
      <w:r>
        <w:rPr>
          <w:rFonts w:ascii="宋体" w:hAnsi="宋体" w:cs="宋体"/>
          <w:color w:val="auto"/>
          <w:sz w:val="24"/>
        </w:rPr>
        <w:t>部货物</w:t>
      </w:r>
      <w:r>
        <w:rPr>
          <w:rFonts w:hint="eastAsia" w:ascii="宋体" w:hAnsi="宋体" w:cs="宋体"/>
          <w:color w:val="auto"/>
          <w:sz w:val="24"/>
        </w:rPr>
        <w:t>（含</w:t>
      </w:r>
      <w:r>
        <w:rPr>
          <w:rFonts w:ascii="宋体" w:hAnsi="宋体" w:cs="宋体"/>
          <w:color w:val="auto"/>
          <w:sz w:val="24"/>
        </w:rPr>
        <w:t>配套</w:t>
      </w:r>
      <w:r>
        <w:rPr>
          <w:rFonts w:hint="eastAsia" w:ascii="宋体" w:hAnsi="宋体" w:cs="宋体"/>
          <w:color w:val="auto"/>
          <w:sz w:val="24"/>
        </w:rPr>
        <w:t>系统、配件</w:t>
      </w:r>
      <w:r>
        <w:rPr>
          <w:rFonts w:ascii="宋体" w:hAnsi="宋体" w:cs="宋体"/>
          <w:color w:val="auto"/>
          <w:sz w:val="24"/>
        </w:rPr>
        <w:t>备件</w:t>
      </w:r>
      <w:r>
        <w:rPr>
          <w:rFonts w:hint="eastAsia" w:ascii="宋体" w:hAnsi="宋体" w:cs="宋体"/>
          <w:color w:val="auto"/>
          <w:sz w:val="24"/>
        </w:rPr>
        <w:t>）整</w:t>
      </w:r>
      <w:r>
        <w:rPr>
          <w:rFonts w:ascii="宋体" w:hAnsi="宋体" w:cs="宋体"/>
          <w:color w:val="auto"/>
          <w:sz w:val="24"/>
        </w:rPr>
        <w:t>体验收。</w:t>
      </w:r>
    </w:p>
    <w:p>
      <w:pPr>
        <w:spacing w:line="360" w:lineRule="auto"/>
        <w:ind w:firstLine="480" w:firstLineChars="200"/>
        <w:rPr>
          <w:rFonts w:ascii="宋体" w:hAnsi="宋体" w:cs="宋体"/>
          <w:color w:val="auto"/>
          <w:sz w:val="24"/>
        </w:rPr>
      </w:pPr>
      <w:r>
        <w:rPr>
          <w:rFonts w:ascii="宋体" w:hAnsi="宋体" w:cs="宋体"/>
          <w:color w:val="auto"/>
          <w:sz w:val="24"/>
        </w:rPr>
        <w:t>3</w:t>
      </w:r>
      <w:r>
        <w:rPr>
          <w:rFonts w:hint="eastAsia" w:ascii="宋体" w:hAnsi="宋体" w:cs="宋体"/>
          <w:color w:val="auto"/>
          <w:sz w:val="24"/>
        </w:rPr>
        <w:t>.</w:t>
      </w:r>
      <w:r>
        <w:rPr>
          <w:rFonts w:ascii="宋体" w:hAnsi="宋体" w:cs="宋体"/>
          <w:color w:val="auto"/>
          <w:sz w:val="24"/>
        </w:rPr>
        <w:t>验收</w:t>
      </w:r>
      <w:r>
        <w:rPr>
          <w:rFonts w:hint="eastAsia" w:ascii="宋体" w:hAnsi="宋体" w:cs="宋体"/>
          <w:color w:val="auto"/>
          <w:sz w:val="24"/>
        </w:rPr>
        <w:t>组织</w:t>
      </w:r>
      <w:r>
        <w:rPr>
          <w:rFonts w:ascii="宋体" w:hAnsi="宋体" w:cs="宋体"/>
          <w:color w:val="auto"/>
          <w:sz w:val="24"/>
        </w:rPr>
        <w:t>：</w:t>
      </w:r>
      <w:r>
        <w:rPr>
          <w:rFonts w:hint="eastAsia" w:ascii="宋体" w:hAnsi="宋体" w:cs="宋体"/>
          <w:color w:val="auto"/>
          <w:sz w:val="24"/>
        </w:rPr>
        <w:t>甲方组织技术人员验收。（含</w:t>
      </w:r>
      <w:r>
        <w:rPr>
          <w:rFonts w:ascii="宋体" w:hAnsi="宋体" w:cs="宋体"/>
          <w:color w:val="auto"/>
          <w:sz w:val="24"/>
        </w:rPr>
        <w:t>配套</w:t>
      </w:r>
      <w:r>
        <w:rPr>
          <w:rFonts w:hint="eastAsia" w:ascii="宋体" w:hAnsi="宋体" w:cs="宋体"/>
          <w:color w:val="auto"/>
          <w:sz w:val="24"/>
        </w:rPr>
        <w:t>系统、配件</w:t>
      </w:r>
      <w:r>
        <w:rPr>
          <w:rFonts w:ascii="宋体" w:hAnsi="宋体" w:cs="宋体"/>
          <w:color w:val="auto"/>
          <w:sz w:val="24"/>
        </w:rPr>
        <w:t>备件</w:t>
      </w:r>
      <w:r>
        <w:rPr>
          <w:rFonts w:hint="eastAsia" w:ascii="宋体" w:hAnsi="宋体" w:cs="宋体"/>
          <w:color w:val="auto"/>
          <w:sz w:val="24"/>
        </w:rPr>
        <w:t xml:space="preserve">）质量验收合格的，甲方签署验收报告，验收不合格的，甲方向乙方出具书面质量异议意见。 </w:t>
      </w:r>
    </w:p>
    <w:p>
      <w:pPr>
        <w:spacing w:line="360" w:lineRule="auto"/>
        <w:ind w:left="360"/>
        <w:rPr>
          <w:rFonts w:ascii="宋体" w:hAnsi="宋体" w:cs="宋体"/>
          <w:color w:val="auto"/>
          <w:sz w:val="24"/>
        </w:rPr>
      </w:pPr>
      <w:r>
        <w:rPr>
          <w:rFonts w:ascii="宋体" w:hAnsi="宋体" w:cs="宋体"/>
          <w:color w:val="auto"/>
          <w:sz w:val="24"/>
        </w:rPr>
        <w:t>4.</w:t>
      </w:r>
      <w:r>
        <w:rPr>
          <w:rFonts w:hint="eastAsia" w:ascii="宋体" w:hAnsi="宋体" w:cs="宋体"/>
          <w:color w:val="auto"/>
          <w:sz w:val="24"/>
        </w:rPr>
        <w:t>.甲方完成验收并不免除乙方对（含</w:t>
      </w:r>
      <w:r>
        <w:rPr>
          <w:rFonts w:ascii="宋体" w:hAnsi="宋体" w:cs="宋体"/>
          <w:color w:val="auto"/>
          <w:sz w:val="24"/>
        </w:rPr>
        <w:t>配套</w:t>
      </w:r>
      <w:r>
        <w:rPr>
          <w:rFonts w:hint="eastAsia" w:ascii="宋体" w:hAnsi="宋体" w:cs="宋体"/>
          <w:color w:val="auto"/>
          <w:sz w:val="24"/>
        </w:rPr>
        <w:t>系统、配件</w:t>
      </w:r>
      <w:r>
        <w:rPr>
          <w:rFonts w:ascii="宋体" w:hAnsi="宋体" w:cs="宋体"/>
          <w:color w:val="auto"/>
          <w:sz w:val="24"/>
        </w:rPr>
        <w:t>备件</w:t>
      </w:r>
      <w:r>
        <w:rPr>
          <w:rFonts w:hint="eastAsia" w:ascii="宋体" w:hAnsi="宋体" w:cs="宋体"/>
          <w:color w:val="auto"/>
          <w:sz w:val="24"/>
        </w:rPr>
        <w:t xml:space="preserve">）质量应当承担的责任。          </w:t>
      </w:r>
    </w:p>
    <w:p>
      <w:pPr>
        <w:spacing w:line="360" w:lineRule="auto"/>
        <w:ind w:firstLine="482" w:firstLineChars="200"/>
        <w:rPr>
          <w:rFonts w:ascii="宋体" w:hAnsi="宋体" w:cs="宋体"/>
          <w:b/>
          <w:color w:val="auto"/>
          <w:sz w:val="24"/>
        </w:rPr>
      </w:pPr>
      <w:r>
        <w:rPr>
          <w:rFonts w:hint="eastAsia" w:ascii="宋体" w:hAnsi="宋体" w:cs="宋体"/>
          <w:b/>
          <w:color w:val="auto"/>
          <w:sz w:val="24"/>
        </w:rPr>
        <w:t>五、付款方式：</w:t>
      </w:r>
    </w:p>
    <w:p>
      <w:pPr>
        <w:spacing w:line="360" w:lineRule="auto"/>
        <w:ind w:left="360" w:firstLine="480" w:firstLineChars="200"/>
        <w:rPr>
          <w:rFonts w:ascii="宋体" w:hAnsi="宋体" w:cs="宋体"/>
          <w:color w:val="auto"/>
          <w:sz w:val="24"/>
        </w:rPr>
      </w:pPr>
      <w:r>
        <w:rPr>
          <w:rFonts w:hint="eastAsia" w:ascii="宋体" w:hAnsi="宋体" w:cs="宋体"/>
          <w:color w:val="auto"/>
          <w:sz w:val="24"/>
        </w:rPr>
        <w:t>1.本合同正式签订前，乙方需向甲方支付合同金额的5%即人民币    元整（小写：￥    元）作为履约保证金；</w:t>
      </w:r>
    </w:p>
    <w:p>
      <w:pPr>
        <w:spacing w:line="360" w:lineRule="auto"/>
        <w:ind w:left="360" w:firstLine="480" w:firstLineChars="200"/>
        <w:rPr>
          <w:rFonts w:ascii="宋体" w:hAnsi="宋体" w:cs="宋体"/>
          <w:color w:val="auto"/>
          <w:sz w:val="24"/>
        </w:rPr>
      </w:pPr>
      <w:r>
        <w:rPr>
          <w:rFonts w:hint="eastAsia" w:ascii="宋体" w:hAnsi="宋体" w:cs="宋体"/>
          <w:color w:val="auto"/>
          <w:sz w:val="24"/>
        </w:rPr>
        <w:t>2. 全</w:t>
      </w:r>
      <w:r>
        <w:rPr>
          <w:rFonts w:ascii="宋体" w:hAnsi="宋体" w:cs="宋体"/>
          <w:color w:val="auto"/>
          <w:sz w:val="24"/>
        </w:rPr>
        <w:t>部货物</w:t>
      </w:r>
      <w:r>
        <w:rPr>
          <w:rFonts w:hint="eastAsia" w:ascii="宋体" w:hAnsi="宋体" w:cs="宋体"/>
          <w:color w:val="auto"/>
          <w:sz w:val="24"/>
        </w:rPr>
        <w:t>（含</w:t>
      </w:r>
      <w:r>
        <w:rPr>
          <w:rFonts w:ascii="宋体" w:hAnsi="宋体" w:cs="宋体"/>
          <w:color w:val="auto"/>
          <w:sz w:val="24"/>
        </w:rPr>
        <w:t>配套</w:t>
      </w:r>
      <w:r>
        <w:rPr>
          <w:rFonts w:hint="eastAsia" w:ascii="宋体" w:hAnsi="宋体" w:cs="宋体"/>
          <w:color w:val="auto"/>
          <w:sz w:val="24"/>
        </w:rPr>
        <w:t>系统、配件</w:t>
      </w:r>
      <w:r>
        <w:rPr>
          <w:rFonts w:ascii="宋体" w:hAnsi="宋体" w:cs="宋体"/>
          <w:color w:val="auto"/>
          <w:sz w:val="24"/>
        </w:rPr>
        <w:t>备件</w:t>
      </w:r>
      <w:r>
        <w:rPr>
          <w:rFonts w:hint="eastAsia" w:ascii="宋体" w:hAnsi="宋体" w:cs="宋体"/>
          <w:color w:val="auto"/>
          <w:sz w:val="24"/>
        </w:rPr>
        <w:t>）经甲方验收合格后十五个工作日内，甲方向乙方支付全额货款即人民币    元整（小写：￥    元），上述履约保证金转为质保金，</w:t>
      </w:r>
      <w:r>
        <w:rPr>
          <w:rFonts w:hint="eastAsia" w:ascii="宋体" w:hAnsi="宋体" w:cs="宋体"/>
          <w:bCs/>
          <w:color w:val="auto"/>
          <w:sz w:val="24"/>
        </w:rPr>
        <w:t>产品验收合格满</w:t>
      </w:r>
      <w:r>
        <w:rPr>
          <w:rFonts w:hint="eastAsia" w:ascii="宋体" w:hAnsi="宋体" w:cs="宋体"/>
          <w:bCs/>
          <w:color w:val="auto"/>
          <w:sz w:val="24"/>
          <w:u w:val="single"/>
        </w:rPr>
        <w:t xml:space="preserve">  </w:t>
      </w:r>
      <w:r>
        <w:rPr>
          <w:rFonts w:hint="eastAsia" w:ascii="宋体" w:hAnsi="宋体" w:cs="宋体"/>
          <w:color w:val="auto"/>
          <w:sz w:val="24"/>
        </w:rPr>
        <w:t>年后，若无质量问题甲方将质保金全额无息退还给乙方；</w:t>
      </w:r>
    </w:p>
    <w:p>
      <w:pPr>
        <w:spacing w:line="360" w:lineRule="auto"/>
        <w:ind w:left="360" w:firstLine="480" w:firstLineChars="200"/>
        <w:rPr>
          <w:rFonts w:ascii="宋体" w:hAnsi="宋体" w:cs="宋体"/>
          <w:color w:val="auto"/>
          <w:sz w:val="24"/>
        </w:rPr>
      </w:pPr>
      <w:r>
        <w:rPr>
          <w:rFonts w:hint="eastAsia" w:ascii="宋体" w:hAnsi="宋体" w:cs="宋体"/>
          <w:color w:val="auto"/>
          <w:sz w:val="24"/>
        </w:rPr>
        <w:t>３.国产</w:t>
      </w:r>
      <w:r>
        <w:rPr>
          <w:rFonts w:ascii="宋体" w:hAnsi="宋体" w:cs="宋体"/>
          <w:color w:val="auto"/>
          <w:sz w:val="24"/>
        </w:rPr>
        <w:t>货物</w:t>
      </w:r>
      <w:r>
        <w:rPr>
          <w:rFonts w:hint="eastAsia" w:ascii="宋体" w:hAnsi="宋体" w:cs="宋体"/>
          <w:color w:val="auto"/>
          <w:sz w:val="24"/>
        </w:rPr>
        <w:t>（含</w:t>
      </w:r>
      <w:r>
        <w:rPr>
          <w:rFonts w:ascii="宋体" w:hAnsi="宋体" w:cs="宋体"/>
          <w:color w:val="auto"/>
          <w:sz w:val="24"/>
        </w:rPr>
        <w:t>配套</w:t>
      </w:r>
      <w:r>
        <w:rPr>
          <w:rFonts w:hint="eastAsia" w:ascii="宋体" w:hAnsi="宋体" w:cs="宋体"/>
          <w:color w:val="auto"/>
          <w:sz w:val="24"/>
        </w:rPr>
        <w:t>系统、配件</w:t>
      </w:r>
      <w:r>
        <w:rPr>
          <w:rFonts w:ascii="宋体" w:hAnsi="宋体" w:cs="宋体"/>
          <w:color w:val="auto"/>
          <w:sz w:val="24"/>
        </w:rPr>
        <w:t>备件</w:t>
      </w:r>
      <w:r>
        <w:rPr>
          <w:rFonts w:hint="eastAsia" w:ascii="宋体" w:hAnsi="宋体" w:cs="宋体"/>
          <w:color w:val="auto"/>
          <w:sz w:val="24"/>
        </w:rPr>
        <w:t>）须提供增值税专用发票。</w:t>
      </w:r>
    </w:p>
    <w:p>
      <w:pPr>
        <w:spacing w:line="360" w:lineRule="auto"/>
        <w:ind w:firstLine="482" w:firstLineChars="200"/>
        <w:rPr>
          <w:rFonts w:ascii="宋体" w:hAnsi="宋体" w:cs="宋体"/>
          <w:bCs/>
          <w:color w:val="auto"/>
          <w:sz w:val="24"/>
        </w:rPr>
      </w:pPr>
      <w:r>
        <w:rPr>
          <w:rFonts w:hint="eastAsia" w:ascii="宋体" w:hAnsi="宋体" w:cs="宋体"/>
          <w:b/>
          <w:color w:val="auto"/>
          <w:sz w:val="24"/>
        </w:rPr>
        <w:t>七、售后服务</w:t>
      </w:r>
      <w:r>
        <w:rPr>
          <w:rFonts w:hint="eastAsia" w:ascii="宋体" w:hAnsi="宋体" w:cs="宋体"/>
          <w:b/>
          <w:bCs/>
          <w:color w:val="auto"/>
          <w:sz w:val="24"/>
        </w:rPr>
        <w:t xml:space="preserve"> （</w:t>
      </w:r>
      <w:r>
        <w:rPr>
          <w:rFonts w:hint="eastAsia" w:ascii="宋体" w:hAnsi="宋体" w:cs="宋体"/>
          <w:bCs/>
          <w:color w:val="auto"/>
          <w:sz w:val="24"/>
        </w:rPr>
        <w:t>根据具体项目的响应文件填写</w:t>
      </w:r>
      <w:r>
        <w:rPr>
          <w:rFonts w:hint="eastAsia" w:ascii="宋体" w:hAnsi="宋体" w:cs="宋体"/>
          <w:b/>
          <w:bCs/>
          <w:color w:val="auto"/>
          <w:sz w:val="24"/>
        </w:rPr>
        <w:t>）</w:t>
      </w:r>
    </w:p>
    <w:p>
      <w:pPr>
        <w:spacing w:line="360" w:lineRule="auto"/>
        <w:ind w:left="479" w:leftChars="228" w:firstLine="480" w:firstLineChars="200"/>
        <w:rPr>
          <w:rFonts w:ascii="宋体" w:hAnsi="宋体" w:cs="宋体"/>
          <w:bCs/>
          <w:color w:val="auto"/>
          <w:sz w:val="24"/>
        </w:rPr>
      </w:pPr>
      <w:r>
        <w:rPr>
          <w:rFonts w:hint="eastAsia" w:ascii="宋体" w:hAnsi="宋体" w:cs="宋体"/>
          <w:bCs/>
          <w:color w:val="auto"/>
          <w:sz w:val="24"/>
        </w:rPr>
        <w:t>1.</w:t>
      </w:r>
      <w:r>
        <w:rPr>
          <w:rFonts w:ascii="宋体" w:hAnsi="宋体" w:cs="宋体"/>
          <w:color w:val="auto"/>
          <w:sz w:val="24"/>
        </w:rPr>
        <w:t xml:space="preserve"> </w:t>
      </w:r>
      <w:r>
        <w:rPr>
          <w:rFonts w:hint="eastAsia" w:ascii="宋体" w:hAnsi="宋体" w:cs="宋体"/>
          <w:color w:val="auto"/>
          <w:sz w:val="24"/>
        </w:rPr>
        <w:t>国产</w:t>
      </w:r>
      <w:r>
        <w:rPr>
          <w:rFonts w:ascii="宋体" w:hAnsi="宋体" w:cs="宋体"/>
          <w:color w:val="auto"/>
          <w:sz w:val="24"/>
        </w:rPr>
        <w:t>货物</w:t>
      </w:r>
      <w:r>
        <w:rPr>
          <w:rFonts w:hint="eastAsia" w:ascii="宋体" w:hAnsi="宋体" w:cs="宋体"/>
          <w:color w:val="auto"/>
          <w:sz w:val="24"/>
        </w:rPr>
        <w:t>（含</w:t>
      </w:r>
      <w:r>
        <w:rPr>
          <w:rFonts w:ascii="宋体" w:hAnsi="宋体" w:cs="宋体"/>
          <w:color w:val="auto"/>
          <w:sz w:val="24"/>
        </w:rPr>
        <w:t>配套</w:t>
      </w:r>
      <w:r>
        <w:rPr>
          <w:rFonts w:hint="eastAsia" w:ascii="宋体" w:hAnsi="宋体" w:cs="宋体"/>
          <w:color w:val="auto"/>
          <w:sz w:val="24"/>
        </w:rPr>
        <w:t>系统、配件</w:t>
      </w:r>
      <w:r>
        <w:rPr>
          <w:rFonts w:ascii="宋体" w:hAnsi="宋体" w:cs="宋体"/>
          <w:color w:val="auto"/>
          <w:sz w:val="24"/>
        </w:rPr>
        <w:t>备件</w:t>
      </w:r>
      <w:r>
        <w:rPr>
          <w:rFonts w:hint="eastAsia" w:ascii="宋体" w:hAnsi="宋体" w:cs="宋体"/>
          <w:color w:val="auto"/>
          <w:sz w:val="24"/>
        </w:rPr>
        <w:t>）</w:t>
      </w:r>
      <w:r>
        <w:rPr>
          <w:rFonts w:hint="eastAsia" w:ascii="宋体" w:hAnsi="宋体" w:cs="宋体"/>
          <w:bCs/>
          <w:color w:val="auto"/>
          <w:sz w:val="24"/>
        </w:rPr>
        <w:t>验收合格之日起质保期    年，并提供售后服务    年。</w:t>
      </w:r>
    </w:p>
    <w:p>
      <w:pPr>
        <w:spacing w:line="360" w:lineRule="auto"/>
        <w:ind w:left="479" w:leftChars="228" w:firstLine="480" w:firstLineChars="200"/>
        <w:rPr>
          <w:rFonts w:ascii="宋体" w:hAnsi="宋体" w:cs="宋体"/>
          <w:bCs/>
          <w:color w:val="auto"/>
          <w:sz w:val="24"/>
        </w:rPr>
      </w:pPr>
      <w:r>
        <w:rPr>
          <w:rFonts w:hint="eastAsia" w:ascii="宋体" w:hAnsi="宋体" w:cs="宋体"/>
          <w:bCs/>
          <w:color w:val="auto"/>
          <w:sz w:val="24"/>
        </w:rPr>
        <w:t>2.质保期、保修期内因</w:t>
      </w:r>
      <w:r>
        <w:rPr>
          <w:rFonts w:hint="eastAsia" w:ascii="宋体" w:hAnsi="宋体" w:cs="宋体"/>
          <w:color w:val="auto"/>
          <w:sz w:val="24"/>
        </w:rPr>
        <w:t>国产</w:t>
      </w:r>
      <w:r>
        <w:rPr>
          <w:rFonts w:ascii="宋体" w:hAnsi="宋体" w:cs="宋体"/>
          <w:color w:val="auto"/>
          <w:sz w:val="24"/>
        </w:rPr>
        <w:t>货物</w:t>
      </w:r>
      <w:r>
        <w:rPr>
          <w:rFonts w:hint="eastAsia" w:ascii="宋体" w:hAnsi="宋体" w:cs="宋体"/>
          <w:color w:val="auto"/>
          <w:sz w:val="24"/>
        </w:rPr>
        <w:t>（含</w:t>
      </w:r>
      <w:r>
        <w:rPr>
          <w:rFonts w:ascii="宋体" w:hAnsi="宋体" w:cs="宋体"/>
          <w:color w:val="auto"/>
          <w:sz w:val="24"/>
        </w:rPr>
        <w:t>配套</w:t>
      </w:r>
      <w:r>
        <w:rPr>
          <w:rFonts w:hint="eastAsia" w:ascii="宋体" w:hAnsi="宋体" w:cs="宋体"/>
          <w:color w:val="auto"/>
          <w:sz w:val="24"/>
        </w:rPr>
        <w:t>系统、配件</w:t>
      </w:r>
      <w:r>
        <w:rPr>
          <w:rFonts w:ascii="宋体" w:hAnsi="宋体" w:cs="宋体"/>
          <w:color w:val="auto"/>
          <w:sz w:val="24"/>
        </w:rPr>
        <w:t>备件</w:t>
      </w:r>
      <w:r>
        <w:rPr>
          <w:rFonts w:hint="eastAsia" w:ascii="宋体" w:hAnsi="宋体" w:cs="宋体"/>
          <w:color w:val="auto"/>
          <w:sz w:val="24"/>
        </w:rPr>
        <w:t>）</w:t>
      </w:r>
      <w:r>
        <w:rPr>
          <w:rFonts w:hint="eastAsia" w:ascii="宋体" w:hAnsi="宋体" w:cs="宋体"/>
          <w:bCs/>
          <w:color w:val="auto"/>
          <w:sz w:val="24"/>
        </w:rPr>
        <w:t>质量或安装调试原因引起的全部维修费用（包括更换零配件的费用）均由乙方承担。</w:t>
      </w:r>
    </w:p>
    <w:p>
      <w:pPr>
        <w:spacing w:line="360" w:lineRule="auto"/>
        <w:ind w:left="479" w:leftChars="228" w:firstLine="480" w:firstLineChars="200"/>
        <w:rPr>
          <w:rFonts w:ascii="宋体" w:hAnsi="宋体" w:cs="宋体"/>
          <w:bCs/>
          <w:color w:val="auto"/>
          <w:sz w:val="24"/>
        </w:rPr>
      </w:pPr>
      <w:r>
        <w:rPr>
          <w:rFonts w:hint="eastAsia" w:ascii="宋体" w:hAnsi="宋体" w:cs="宋体"/>
          <w:bCs/>
          <w:color w:val="auto"/>
          <w:sz w:val="24"/>
        </w:rPr>
        <w:t>3.质保期、保修期外，乙方应定期回访，发现问题及时通知甲方，</w:t>
      </w:r>
      <w:r>
        <w:rPr>
          <w:rFonts w:hint="eastAsia" w:ascii="宋体" w:hAnsi="宋体" w:cs="宋体"/>
          <w:color w:val="auto"/>
          <w:sz w:val="24"/>
        </w:rPr>
        <w:t>国产</w:t>
      </w:r>
      <w:r>
        <w:rPr>
          <w:rFonts w:ascii="宋体" w:hAnsi="宋体" w:cs="宋体"/>
          <w:color w:val="auto"/>
          <w:sz w:val="24"/>
        </w:rPr>
        <w:t>货物</w:t>
      </w:r>
      <w:r>
        <w:rPr>
          <w:rFonts w:hint="eastAsia" w:ascii="宋体" w:hAnsi="宋体" w:cs="宋体"/>
          <w:color w:val="auto"/>
          <w:sz w:val="24"/>
        </w:rPr>
        <w:t>（含</w:t>
      </w:r>
      <w:r>
        <w:rPr>
          <w:rFonts w:ascii="宋体" w:hAnsi="宋体" w:cs="宋体"/>
          <w:color w:val="auto"/>
          <w:sz w:val="24"/>
        </w:rPr>
        <w:t>配套</w:t>
      </w:r>
      <w:r>
        <w:rPr>
          <w:rFonts w:hint="eastAsia" w:ascii="宋体" w:hAnsi="宋体" w:cs="宋体"/>
          <w:color w:val="auto"/>
          <w:sz w:val="24"/>
        </w:rPr>
        <w:t>系统、配件</w:t>
      </w:r>
      <w:r>
        <w:rPr>
          <w:rFonts w:ascii="宋体" w:hAnsi="宋体" w:cs="宋体"/>
          <w:color w:val="auto"/>
          <w:sz w:val="24"/>
        </w:rPr>
        <w:t>备件</w:t>
      </w:r>
      <w:r>
        <w:rPr>
          <w:rFonts w:hint="eastAsia" w:ascii="宋体" w:hAnsi="宋体" w:cs="宋体"/>
          <w:color w:val="auto"/>
          <w:sz w:val="24"/>
        </w:rPr>
        <w:t>）</w:t>
      </w:r>
      <w:r>
        <w:rPr>
          <w:rFonts w:hint="eastAsia" w:ascii="宋体" w:hAnsi="宋体" w:cs="宋体"/>
          <w:bCs/>
          <w:color w:val="auto"/>
          <w:sz w:val="24"/>
        </w:rPr>
        <w:t>维修零配件以优惠价给甲方（免收人工及差旅费）。</w:t>
      </w:r>
    </w:p>
    <w:p>
      <w:pPr>
        <w:spacing w:line="360" w:lineRule="auto"/>
        <w:ind w:left="479" w:leftChars="228" w:firstLine="480" w:firstLineChars="200"/>
        <w:rPr>
          <w:rFonts w:ascii="宋体" w:hAnsi="宋体" w:cs="宋体"/>
          <w:bCs/>
          <w:color w:val="auto"/>
          <w:sz w:val="24"/>
        </w:rPr>
      </w:pPr>
      <w:r>
        <w:rPr>
          <w:rFonts w:hint="eastAsia" w:ascii="宋体" w:hAnsi="宋体" w:cs="宋体"/>
          <w:bCs/>
          <w:color w:val="auto"/>
          <w:sz w:val="24"/>
        </w:rPr>
        <w:t>4.维修时，乙方接到甲方故障通知后在24小时之内上门服务，小型故障在3天内解决，大故障在15天内解决，若乙方怠于履行维修义务，则甲方有权委托第三人维修，所产生的所有费用由乙方承担。</w:t>
      </w:r>
    </w:p>
    <w:p>
      <w:pPr>
        <w:spacing w:line="360" w:lineRule="auto"/>
        <w:ind w:firstLine="361" w:firstLineChars="150"/>
        <w:rPr>
          <w:rFonts w:ascii="宋体" w:hAnsi="宋体" w:cs="宋体"/>
          <w:b/>
          <w:color w:val="auto"/>
          <w:sz w:val="24"/>
        </w:rPr>
      </w:pPr>
      <w:r>
        <w:rPr>
          <w:rFonts w:hint="eastAsia" w:ascii="宋体" w:hAnsi="宋体" w:cs="宋体"/>
          <w:b/>
          <w:color w:val="auto"/>
          <w:sz w:val="24"/>
        </w:rPr>
        <w:t>八、安装调试和搬运安全</w:t>
      </w:r>
    </w:p>
    <w:p>
      <w:pPr>
        <w:spacing w:line="360" w:lineRule="auto"/>
        <w:ind w:left="360" w:firstLine="480" w:firstLineChars="200"/>
        <w:rPr>
          <w:rFonts w:ascii="宋体" w:hAnsi="宋体" w:cs="宋体"/>
          <w:color w:val="auto"/>
          <w:sz w:val="24"/>
        </w:rPr>
      </w:pPr>
      <w:r>
        <w:rPr>
          <w:rFonts w:hint="eastAsia" w:ascii="宋体" w:hAnsi="宋体" w:cs="宋体"/>
          <w:color w:val="auto"/>
          <w:sz w:val="24"/>
        </w:rPr>
        <w:t>1.乙方须严格按照相关安全规范负责合同中全</w:t>
      </w:r>
      <w:r>
        <w:rPr>
          <w:rFonts w:ascii="宋体" w:hAnsi="宋体" w:cs="宋体"/>
          <w:color w:val="auto"/>
          <w:sz w:val="24"/>
        </w:rPr>
        <w:t>部货物</w:t>
      </w:r>
      <w:r>
        <w:rPr>
          <w:rFonts w:hint="eastAsia" w:ascii="宋体" w:hAnsi="宋体" w:cs="宋体"/>
          <w:color w:val="auto"/>
          <w:sz w:val="24"/>
        </w:rPr>
        <w:t>（含</w:t>
      </w:r>
      <w:r>
        <w:rPr>
          <w:rFonts w:ascii="宋体" w:hAnsi="宋体" w:cs="宋体"/>
          <w:color w:val="auto"/>
          <w:sz w:val="24"/>
        </w:rPr>
        <w:t>配套</w:t>
      </w:r>
      <w:r>
        <w:rPr>
          <w:rFonts w:hint="eastAsia" w:ascii="宋体" w:hAnsi="宋体" w:cs="宋体"/>
          <w:color w:val="auto"/>
          <w:sz w:val="24"/>
        </w:rPr>
        <w:t>系统、配件</w:t>
      </w:r>
      <w:r>
        <w:rPr>
          <w:rFonts w:ascii="宋体" w:hAnsi="宋体" w:cs="宋体"/>
          <w:color w:val="auto"/>
          <w:sz w:val="24"/>
        </w:rPr>
        <w:t>备件</w:t>
      </w:r>
      <w:r>
        <w:rPr>
          <w:rFonts w:hint="eastAsia" w:ascii="宋体" w:hAnsi="宋体" w:cs="宋体"/>
          <w:color w:val="auto"/>
          <w:sz w:val="24"/>
        </w:rPr>
        <w:t>）安装调试、搬运和</w:t>
      </w:r>
      <w:r>
        <w:rPr>
          <w:rFonts w:ascii="宋体" w:hAnsi="宋体" w:cs="宋体"/>
          <w:color w:val="auto"/>
          <w:sz w:val="24"/>
        </w:rPr>
        <w:t>施工现场管理</w:t>
      </w:r>
      <w:r>
        <w:rPr>
          <w:rFonts w:hint="eastAsia" w:ascii="宋体" w:hAnsi="宋体" w:cs="宋体"/>
          <w:color w:val="auto"/>
          <w:sz w:val="24"/>
        </w:rPr>
        <w:t>工作，并严守安装调试、搬运和</w:t>
      </w:r>
      <w:r>
        <w:rPr>
          <w:rFonts w:ascii="宋体" w:hAnsi="宋体" w:cs="宋体"/>
          <w:color w:val="auto"/>
          <w:sz w:val="24"/>
        </w:rPr>
        <w:t>施工现场</w:t>
      </w:r>
      <w:r>
        <w:rPr>
          <w:rFonts w:hint="eastAsia" w:ascii="宋体" w:hAnsi="宋体" w:cs="宋体"/>
          <w:color w:val="auto"/>
          <w:sz w:val="24"/>
        </w:rPr>
        <w:t>各项安全规定。</w:t>
      </w:r>
    </w:p>
    <w:p>
      <w:pPr>
        <w:spacing w:line="360" w:lineRule="auto"/>
        <w:ind w:left="360" w:firstLine="480" w:firstLineChars="200"/>
        <w:rPr>
          <w:rFonts w:ascii="宋体" w:hAnsi="宋体" w:cs="宋体"/>
          <w:color w:val="auto"/>
          <w:sz w:val="24"/>
        </w:rPr>
      </w:pPr>
      <w:r>
        <w:rPr>
          <w:rFonts w:hint="eastAsia" w:ascii="宋体" w:hAnsi="宋体" w:cs="宋体"/>
          <w:color w:val="auto"/>
          <w:sz w:val="24"/>
        </w:rPr>
        <w:t>2.乙方须安排具备相应资质的人员负责合同中全</w:t>
      </w:r>
      <w:r>
        <w:rPr>
          <w:rFonts w:ascii="宋体" w:hAnsi="宋体" w:cs="宋体"/>
          <w:color w:val="auto"/>
          <w:sz w:val="24"/>
        </w:rPr>
        <w:t>部货物</w:t>
      </w:r>
      <w:r>
        <w:rPr>
          <w:rFonts w:hint="eastAsia" w:ascii="宋体" w:hAnsi="宋体" w:cs="宋体"/>
          <w:color w:val="auto"/>
          <w:sz w:val="24"/>
        </w:rPr>
        <w:t>（含</w:t>
      </w:r>
      <w:r>
        <w:rPr>
          <w:rFonts w:ascii="宋体" w:hAnsi="宋体" w:cs="宋体"/>
          <w:color w:val="auto"/>
          <w:sz w:val="24"/>
        </w:rPr>
        <w:t>配套</w:t>
      </w:r>
      <w:r>
        <w:rPr>
          <w:rFonts w:hint="eastAsia" w:ascii="宋体" w:hAnsi="宋体" w:cs="宋体"/>
          <w:color w:val="auto"/>
          <w:sz w:val="24"/>
        </w:rPr>
        <w:t>系统、配件</w:t>
      </w:r>
      <w:r>
        <w:rPr>
          <w:rFonts w:ascii="宋体" w:hAnsi="宋体" w:cs="宋体"/>
          <w:color w:val="auto"/>
          <w:sz w:val="24"/>
        </w:rPr>
        <w:t>备件</w:t>
      </w:r>
      <w:r>
        <w:rPr>
          <w:rFonts w:hint="eastAsia" w:ascii="宋体" w:hAnsi="宋体" w:cs="宋体"/>
          <w:color w:val="auto"/>
          <w:sz w:val="24"/>
        </w:rPr>
        <w:t>）安装调试、搬运和</w:t>
      </w:r>
      <w:r>
        <w:rPr>
          <w:rFonts w:ascii="宋体" w:hAnsi="宋体" w:cs="宋体"/>
          <w:color w:val="auto"/>
          <w:sz w:val="24"/>
        </w:rPr>
        <w:t>施工现场</w:t>
      </w:r>
      <w:r>
        <w:rPr>
          <w:rFonts w:hint="eastAsia" w:ascii="宋体" w:hAnsi="宋体" w:cs="宋体"/>
          <w:color w:val="auto"/>
          <w:sz w:val="24"/>
        </w:rPr>
        <w:t>管安</w:t>
      </w:r>
      <w:r>
        <w:rPr>
          <w:rFonts w:ascii="宋体" w:hAnsi="宋体" w:cs="宋体"/>
          <w:color w:val="auto"/>
          <w:sz w:val="24"/>
        </w:rPr>
        <w:t>全管理</w:t>
      </w:r>
      <w:r>
        <w:rPr>
          <w:rFonts w:hint="eastAsia" w:ascii="宋体" w:hAnsi="宋体" w:cs="宋体"/>
          <w:color w:val="auto"/>
          <w:sz w:val="24"/>
        </w:rPr>
        <w:t>工作，负责监督安装调试和搬运人员按照安全规范进行安装调试、搬运和</w:t>
      </w:r>
      <w:r>
        <w:rPr>
          <w:rFonts w:ascii="宋体" w:hAnsi="宋体" w:cs="宋体"/>
          <w:color w:val="auto"/>
          <w:sz w:val="24"/>
        </w:rPr>
        <w:t>施工现场管理</w:t>
      </w:r>
      <w:r>
        <w:rPr>
          <w:rFonts w:hint="eastAsia" w:ascii="宋体" w:hAnsi="宋体" w:cs="宋体"/>
          <w:color w:val="auto"/>
          <w:sz w:val="24"/>
        </w:rPr>
        <w:t>，保证安装调试、搬运和</w:t>
      </w:r>
      <w:r>
        <w:rPr>
          <w:rFonts w:ascii="宋体" w:hAnsi="宋体" w:cs="宋体"/>
          <w:color w:val="auto"/>
          <w:sz w:val="24"/>
        </w:rPr>
        <w:t>施工现场</w:t>
      </w:r>
      <w:r>
        <w:rPr>
          <w:rFonts w:hint="eastAsia" w:ascii="宋体" w:hAnsi="宋体" w:cs="宋体"/>
          <w:color w:val="auto"/>
          <w:sz w:val="24"/>
        </w:rPr>
        <w:t>安全。若发生人员伤亡事故，乙方必须承担所有法律和经济责任，甲方概不负责；若发生房屋损坏、设备损坏丢失、线路及设备毁损等财</w:t>
      </w:r>
      <w:r>
        <w:rPr>
          <w:rFonts w:ascii="宋体" w:hAnsi="宋体" w:cs="宋体"/>
          <w:color w:val="auto"/>
          <w:sz w:val="24"/>
        </w:rPr>
        <w:t>产</w:t>
      </w:r>
      <w:r>
        <w:rPr>
          <w:rFonts w:hint="eastAsia" w:ascii="宋体" w:hAnsi="宋体" w:cs="宋体"/>
          <w:color w:val="auto"/>
          <w:sz w:val="24"/>
        </w:rPr>
        <w:t>损失安全事故，乙方必须承担经济赔偿。</w:t>
      </w:r>
    </w:p>
    <w:p>
      <w:pPr>
        <w:spacing w:line="360" w:lineRule="auto"/>
        <w:ind w:left="479" w:leftChars="172" w:hanging="118" w:hangingChars="49"/>
        <w:rPr>
          <w:rFonts w:ascii="宋体" w:hAnsi="宋体" w:cs="宋体"/>
          <w:color w:val="auto"/>
          <w:sz w:val="24"/>
        </w:rPr>
      </w:pPr>
      <w:r>
        <w:rPr>
          <w:rFonts w:hint="eastAsia" w:ascii="宋体" w:hAnsi="宋体" w:cs="宋体"/>
          <w:b/>
          <w:bCs/>
          <w:color w:val="auto"/>
          <w:sz w:val="24"/>
        </w:rPr>
        <w:t>九、违约责任</w:t>
      </w:r>
    </w:p>
    <w:p>
      <w:pPr>
        <w:spacing w:line="360" w:lineRule="auto"/>
        <w:ind w:left="540" w:leftChars="257" w:firstLine="480" w:firstLineChars="200"/>
        <w:rPr>
          <w:rFonts w:ascii="宋体" w:hAnsi="宋体" w:cs="宋体"/>
          <w:color w:val="auto"/>
          <w:sz w:val="24"/>
        </w:rPr>
      </w:pPr>
      <w:r>
        <w:rPr>
          <w:rFonts w:hint="eastAsia" w:ascii="宋体" w:hAnsi="宋体" w:cs="宋体"/>
          <w:color w:val="auto"/>
          <w:sz w:val="24"/>
        </w:rPr>
        <w:t>1.若乙方未能按合同所规定的交货时间前完成本合同全</w:t>
      </w:r>
      <w:r>
        <w:rPr>
          <w:rFonts w:ascii="宋体" w:hAnsi="宋体" w:cs="宋体"/>
          <w:color w:val="auto"/>
          <w:sz w:val="24"/>
        </w:rPr>
        <w:t>部货物</w:t>
      </w:r>
      <w:r>
        <w:rPr>
          <w:rFonts w:hint="eastAsia" w:ascii="宋体" w:hAnsi="宋体" w:cs="宋体"/>
          <w:color w:val="auto"/>
          <w:sz w:val="24"/>
        </w:rPr>
        <w:t>（含</w:t>
      </w:r>
      <w:r>
        <w:rPr>
          <w:rFonts w:ascii="宋体" w:hAnsi="宋体" w:cs="宋体"/>
          <w:color w:val="auto"/>
          <w:sz w:val="24"/>
        </w:rPr>
        <w:t>配套</w:t>
      </w:r>
      <w:r>
        <w:rPr>
          <w:rFonts w:hint="eastAsia" w:ascii="宋体" w:hAnsi="宋体" w:cs="宋体"/>
          <w:color w:val="auto"/>
          <w:sz w:val="24"/>
        </w:rPr>
        <w:t>系统、配件</w:t>
      </w:r>
      <w:r>
        <w:rPr>
          <w:rFonts w:ascii="宋体" w:hAnsi="宋体" w:cs="宋体"/>
          <w:color w:val="auto"/>
          <w:sz w:val="24"/>
        </w:rPr>
        <w:t>备件</w:t>
      </w:r>
      <w:r>
        <w:rPr>
          <w:rFonts w:hint="eastAsia" w:ascii="宋体" w:hAnsi="宋体" w:cs="宋体"/>
          <w:color w:val="auto"/>
          <w:sz w:val="24"/>
        </w:rPr>
        <w:t>）安装调试并达到验收标准，每延迟一天，按合同总额的千分之一向甲方交纳违约金，违约金缴纳总额不超过合同总金额的百分之五。</w:t>
      </w:r>
    </w:p>
    <w:p>
      <w:pPr>
        <w:spacing w:line="360" w:lineRule="auto"/>
        <w:ind w:left="540" w:leftChars="257" w:firstLine="480" w:firstLineChars="200"/>
        <w:rPr>
          <w:rFonts w:ascii="宋体" w:hAnsi="宋体" w:cs="宋体"/>
          <w:color w:val="auto"/>
          <w:sz w:val="24"/>
        </w:rPr>
      </w:pPr>
      <w:r>
        <w:rPr>
          <w:rFonts w:hint="eastAsia" w:ascii="宋体" w:hAnsi="宋体" w:cs="宋体"/>
          <w:color w:val="auto"/>
          <w:sz w:val="24"/>
        </w:rPr>
        <w:t>2．若乙方未能在20  年  月  日前完成本合同全</w:t>
      </w:r>
      <w:r>
        <w:rPr>
          <w:rFonts w:ascii="宋体" w:hAnsi="宋体" w:cs="宋体"/>
          <w:color w:val="auto"/>
          <w:sz w:val="24"/>
        </w:rPr>
        <w:t>部货物</w:t>
      </w:r>
      <w:r>
        <w:rPr>
          <w:rFonts w:hint="eastAsia" w:ascii="宋体" w:hAnsi="宋体" w:cs="宋体"/>
          <w:color w:val="auto"/>
          <w:sz w:val="24"/>
        </w:rPr>
        <w:t>（含</w:t>
      </w:r>
      <w:r>
        <w:rPr>
          <w:rFonts w:ascii="宋体" w:hAnsi="宋体" w:cs="宋体"/>
          <w:color w:val="auto"/>
          <w:sz w:val="24"/>
        </w:rPr>
        <w:t>配套</w:t>
      </w:r>
      <w:r>
        <w:rPr>
          <w:rFonts w:hint="eastAsia" w:ascii="宋体" w:hAnsi="宋体" w:cs="宋体"/>
          <w:color w:val="auto"/>
          <w:sz w:val="24"/>
        </w:rPr>
        <w:t>系统、配件</w:t>
      </w:r>
      <w:r>
        <w:rPr>
          <w:rFonts w:ascii="宋体" w:hAnsi="宋体" w:cs="宋体"/>
          <w:color w:val="auto"/>
          <w:sz w:val="24"/>
        </w:rPr>
        <w:t>备件</w:t>
      </w:r>
      <w:r>
        <w:rPr>
          <w:rFonts w:hint="eastAsia" w:ascii="宋体" w:hAnsi="宋体" w:cs="宋体"/>
          <w:color w:val="auto"/>
          <w:sz w:val="24"/>
        </w:rPr>
        <w:t>）安装调试并达到验收标准，甲方可中止本合同，并由乙方承担由此给甲方造成的一切损失。</w:t>
      </w:r>
    </w:p>
    <w:p>
      <w:pPr>
        <w:spacing w:line="360" w:lineRule="auto"/>
        <w:ind w:left="540" w:leftChars="257" w:firstLine="480" w:firstLineChars="200"/>
        <w:rPr>
          <w:rFonts w:ascii="宋体" w:hAnsi="宋体" w:cs="宋体"/>
          <w:color w:val="auto"/>
          <w:sz w:val="24"/>
        </w:rPr>
      </w:pPr>
      <w:r>
        <w:rPr>
          <w:rFonts w:hint="eastAsia" w:ascii="宋体" w:hAnsi="宋体" w:cs="宋体"/>
          <w:color w:val="auto"/>
          <w:sz w:val="24"/>
        </w:rPr>
        <w:t>3.若甲方未按本合同规定的付款方式规定逾期付款（甲方付款时间以甲方向银行提供付款凭证时间为准），每延迟一天，按合同总额的千分之一向乙方交纳违约金，违约金缴纳总额不超过合同总金额的百分之五。</w:t>
      </w:r>
    </w:p>
    <w:p>
      <w:pPr>
        <w:spacing w:line="360" w:lineRule="auto"/>
        <w:ind w:left="540" w:leftChars="257" w:firstLine="480" w:firstLineChars="200"/>
        <w:rPr>
          <w:rFonts w:ascii="宋体" w:hAnsi="宋体" w:cs="宋体"/>
          <w:bCs/>
          <w:color w:val="auto"/>
          <w:sz w:val="24"/>
        </w:rPr>
      </w:pPr>
      <w:r>
        <w:rPr>
          <w:rFonts w:hint="eastAsia" w:ascii="宋体" w:hAnsi="宋体" w:cs="宋体"/>
          <w:color w:val="auto"/>
          <w:sz w:val="24"/>
        </w:rPr>
        <w:t>4．乙方交付甲方的全</w:t>
      </w:r>
      <w:r>
        <w:rPr>
          <w:rFonts w:ascii="宋体" w:hAnsi="宋体" w:cs="宋体"/>
          <w:color w:val="auto"/>
          <w:sz w:val="24"/>
        </w:rPr>
        <w:t>部货物</w:t>
      </w:r>
      <w:r>
        <w:rPr>
          <w:rFonts w:hint="eastAsia" w:ascii="宋体" w:hAnsi="宋体" w:cs="宋体"/>
          <w:color w:val="auto"/>
          <w:sz w:val="24"/>
        </w:rPr>
        <w:t>（含</w:t>
      </w:r>
      <w:r>
        <w:rPr>
          <w:rFonts w:ascii="宋体" w:hAnsi="宋体" w:cs="宋体"/>
          <w:color w:val="auto"/>
          <w:sz w:val="24"/>
        </w:rPr>
        <w:t>配套</w:t>
      </w:r>
      <w:r>
        <w:rPr>
          <w:rFonts w:hint="eastAsia" w:ascii="宋体" w:hAnsi="宋体" w:cs="宋体"/>
          <w:color w:val="auto"/>
          <w:sz w:val="24"/>
        </w:rPr>
        <w:t>系统、配件</w:t>
      </w:r>
      <w:r>
        <w:rPr>
          <w:rFonts w:ascii="宋体" w:hAnsi="宋体" w:cs="宋体"/>
          <w:color w:val="auto"/>
          <w:sz w:val="24"/>
        </w:rPr>
        <w:t>备件</w:t>
      </w:r>
      <w:r>
        <w:rPr>
          <w:rFonts w:hint="eastAsia" w:ascii="宋体" w:hAnsi="宋体" w:cs="宋体"/>
          <w:color w:val="auto"/>
          <w:sz w:val="24"/>
        </w:rPr>
        <w:t>）及施工过</w:t>
      </w:r>
      <w:r>
        <w:rPr>
          <w:rFonts w:ascii="宋体" w:hAnsi="宋体" w:cs="宋体"/>
          <w:color w:val="auto"/>
          <w:sz w:val="24"/>
        </w:rPr>
        <w:t>程</w:t>
      </w:r>
      <w:r>
        <w:rPr>
          <w:rFonts w:hint="eastAsia" w:ascii="宋体" w:hAnsi="宋体" w:cs="宋体"/>
          <w:color w:val="auto"/>
          <w:sz w:val="24"/>
        </w:rPr>
        <w:t>中使用的材料必须有合法的进货渠道，且符合合同和投标书中的质量约定，否则由乙方承担一切责任。</w:t>
      </w:r>
    </w:p>
    <w:p>
      <w:pPr>
        <w:spacing w:line="360" w:lineRule="auto"/>
        <w:ind w:left="540" w:leftChars="257" w:firstLine="480" w:firstLineChars="200"/>
        <w:rPr>
          <w:rFonts w:ascii="宋体" w:hAnsi="宋体" w:cs="宋体"/>
          <w:bCs/>
          <w:color w:val="auto"/>
          <w:sz w:val="24"/>
        </w:rPr>
      </w:pPr>
      <w:r>
        <w:rPr>
          <w:rFonts w:hint="eastAsia" w:ascii="宋体" w:hAnsi="宋体" w:cs="宋体"/>
          <w:bCs/>
          <w:color w:val="auto"/>
          <w:sz w:val="24"/>
        </w:rPr>
        <w:t>5.</w:t>
      </w:r>
      <w:r>
        <w:rPr>
          <w:rFonts w:hint="eastAsia" w:ascii="宋体" w:hAnsi="宋体"/>
          <w:bCs/>
          <w:color w:val="auto"/>
          <w:sz w:val="24"/>
        </w:rPr>
        <w:t xml:space="preserve"> 乙方保证本合同项内</w:t>
      </w:r>
      <w:r>
        <w:rPr>
          <w:rFonts w:hint="eastAsia" w:ascii="宋体" w:hAnsi="宋体" w:cs="宋体"/>
          <w:color w:val="auto"/>
          <w:sz w:val="24"/>
        </w:rPr>
        <w:t>全</w:t>
      </w:r>
      <w:r>
        <w:rPr>
          <w:rFonts w:ascii="宋体" w:hAnsi="宋体" w:cs="宋体"/>
          <w:color w:val="auto"/>
          <w:sz w:val="24"/>
        </w:rPr>
        <w:t>部货物</w:t>
      </w:r>
      <w:r>
        <w:rPr>
          <w:rFonts w:hint="eastAsia" w:ascii="宋体" w:hAnsi="宋体" w:cs="宋体"/>
          <w:color w:val="auto"/>
          <w:sz w:val="24"/>
        </w:rPr>
        <w:t>（含</w:t>
      </w:r>
      <w:r>
        <w:rPr>
          <w:rFonts w:ascii="宋体" w:hAnsi="宋体" w:cs="宋体"/>
          <w:color w:val="auto"/>
          <w:sz w:val="24"/>
        </w:rPr>
        <w:t>配套</w:t>
      </w:r>
      <w:r>
        <w:rPr>
          <w:rFonts w:hint="eastAsia" w:ascii="宋体" w:hAnsi="宋体" w:cs="宋体"/>
          <w:color w:val="auto"/>
          <w:sz w:val="24"/>
        </w:rPr>
        <w:t>系统、配件</w:t>
      </w:r>
      <w:r>
        <w:rPr>
          <w:rFonts w:ascii="宋体" w:hAnsi="宋体" w:cs="宋体"/>
          <w:color w:val="auto"/>
          <w:sz w:val="24"/>
        </w:rPr>
        <w:t>备件</w:t>
      </w:r>
      <w:r>
        <w:rPr>
          <w:rFonts w:hint="eastAsia" w:ascii="宋体" w:hAnsi="宋体" w:cs="宋体"/>
          <w:color w:val="auto"/>
          <w:sz w:val="24"/>
        </w:rPr>
        <w:t>）</w:t>
      </w:r>
      <w:r>
        <w:rPr>
          <w:rFonts w:hint="eastAsia" w:ascii="宋体" w:hAnsi="宋体"/>
          <w:bCs/>
          <w:color w:val="auto"/>
          <w:sz w:val="24"/>
        </w:rPr>
        <w:t>的权利无瑕疵，包括</w:t>
      </w:r>
      <w:r>
        <w:rPr>
          <w:rFonts w:hint="eastAsia" w:ascii="宋体" w:hAnsi="宋体" w:cs="宋体"/>
          <w:color w:val="auto"/>
          <w:sz w:val="24"/>
        </w:rPr>
        <w:t>全</w:t>
      </w:r>
      <w:r>
        <w:rPr>
          <w:rFonts w:ascii="宋体" w:hAnsi="宋体" w:cs="宋体"/>
          <w:color w:val="auto"/>
          <w:sz w:val="24"/>
        </w:rPr>
        <w:t>部货物</w:t>
      </w:r>
      <w:r>
        <w:rPr>
          <w:rFonts w:hint="eastAsia" w:ascii="宋体" w:hAnsi="宋体" w:cs="宋体"/>
          <w:color w:val="auto"/>
          <w:sz w:val="24"/>
        </w:rPr>
        <w:t>（含</w:t>
      </w:r>
      <w:r>
        <w:rPr>
          <w:rFonts w:ascii="宋体" w:hAnsi="宋体" w:cs="宋体"/>
          <w:color w:val="auto"/>
          <w:sz w:val="24"/>
        </w:rPr>
        <w:t>配套</w:t>
      </w:r>
      <w:r>
        <w:rPr>
          <w:rFonts w:hint="eastAsia" w:ascii="宋体" w:hAnsi="宋体" w:cs="宋体"/>
          <w:color w:val="auto"/>
          <w:sz w:val="24"/>
        </w:rPr>
        <w:t>系统、配件</w:t>
      </w:r>
      <w:r>
        <w:rPr>
          <w:rFonts w:ascii="宋体" w:hAnsi="宋体" w:cs="宋体"/>
          <w:color w:val="auto"/>
          <w:sz w:val="24"/>
        </w:rPr>
        <w:t>备件</w:t>
      </w:r>
      <w:r>
        <w:rPr>
          <w:rFonts w:hint="eastAsia" w:ascii="宋体" w:hAnsi="宋体" w:cs="宋体"/>
          <w:color w:val="auto"/>
          <w:sz w:val="24"/>
        </w:rPr>
        <w:t>）</w:t>
      </w:r>
      <w:r>
        <w:rPr>
          <w:rFonts w:hint="eastAsia" w:ascii="宋体" w:hAnsi="宋体"/>
          <w:bCs/>
          <w:color w:val="auto"/>
          <w:sz w:val="24"/>
        </w:rPr>
        <w:t>所有权及知识产权等权利无瑕疵。如任何第三方经法院（或仲裁机构）裁决有权对上述货物主张权利或国家机关依法对货物进行没收查处的，乙方除应在接到甲方全额返还已收货款通知五日</w:t>
      </w:r>
      <w:r>
        <w:rPr>
          <w:rFonts w:ascii="宋体" w:hAnsi="宋体"/>
          <w:bCs/>
          <w:color w:val="auto"/>
          <w:sz w:val="24"/>
        </w:rPr>
        <w:t>内</w:t>
      </w:r>
      <w:r>
        <w:rPr>
          <w:rFonts w:hint="eastAsia" w:ascii="宋体" w:hAnsi="宋体"/>
          <w:bCs/>
          <w:color w:val="auto"/>
          <w:sz w:val="24"/>
        </w:rPr>
        <w:t>返</w:t>
      </w:r>
      <w:r>
        <w:rPr>
          <w:rFonts w:ascii="宋体" w:hAnsi="宋体"/>
          <w:bCs/>
          <w:color w:val="auto"/>
          <w:sz w:val="24"/>
        </w:rPr>
        <w:t>还甲方</w:t>
      </w:r>
      <w:r>
        <w:rPr>
          <w:rFonts w:hint="eastAsia" w:ascii="宋体" w:hAnsi="宋体"/>
          <w:bCs/>
          <w:color w:val="auto"/>
          <w:sz w:val="24"/>
        </w:rPr>
        <w:t>全额返还已收货款外，还应按合同总价的</w:t>
      </w:r>
      <w:r>
        <w:rPr>
          <w:rFonts w:hint="eastAsia" w:ascii="宋体" w:hAnsi="宋体" w:cs="宋体"/>
          <w:color w:val="auto"/>
          <w:sz w:val="24"/>
        </w:rPr>
        <w:t>5%</w:t>
      </w:r>
      <w:r>
        <w:rPr>
          <w:rFonts w:hint="eastAsia" w:ascii="宋体" w:hAnsi="宋体"/>
          <w:bCs/>
          <w:color w:val="auto"/>
          <w:sz w:val="24"/>
        </w:rPr>
        <w:t>向甲方支付违约金。</w:t>
      </w:r>
    </w:p>
    <w:p>
      <w:pPr>
        <w:spacing w:line="360" w:lineRule="auto"/>
        <w:ind w:firstLine="482" w:firstLineChars="200"/>
        <w:rPr>
          <w:rFonts w:ascii="宋体" w:hAnsi="宋体" w:cs="宋体"/>
          <w:b/>
          <w:bCs/>
          <w:color w:val="auto"/>
          <w:sz w:val="24"/>
        </w:rPr>
      </w:pPr>
      <w:r>
        <w:rPr>
          <w:rFonts w:hint="eastAsia" w:ascii="宋体" w:hAnsi="宋体" w:cs="宋体"/>
          <w:b/>
          <w:color w:val="auto"/>
          <w:sz w:val="24"/>
        </w:rPr>
        <w:t>十、在履行本合同过程中，如发生争议，双方应友好协商解决，如协商不能解决，双方同意由武汉仲裁委员会仲裁或向武汉市洪山区人民法院起诉。本合同的任何变更、修改、补充须双方代表签署书面文件方为有效，补充文件为本合同不可分割的组成部分，同时具备法律效力。</w:t>
      </w:r>
    </w:p>
    <w:p>
      <w:pPr>
        <w:spacing w:line="360" w:lineRule="auto"/>
        <w:ind w:firstLine="482" w:firstLineChars="200"/>
        <w:rPr>
          <w:rFonts w:ascii="宋体" w:hAnsi="宋体" w:cs="宋体"/>
          <w:b/>
          <w:color w:val="auto"/>
          <w:sz w:val="24"/>
        </w:rPr>
      </w:pPr>
      <w:r>
        <w:rPr>
          <w:rFonts w:hint="eastAsia" w:ascii="宋体" w:hAnsi="宋体" w:cs="宋体"/>
          <w:b/>
          <w:color w:val="auto"/>
          <w:sz w:val="24"/>
        </w:rPr>
        <w:t>十一、本合同一式柒份，甲方持陆份，</w:t>
      </w:r>
      <w:r>
        <w:rPr>
          <w:rFonts w:hint="eastAsia" w:ascii="宋体" w:hAnsi="宋体"/>
          <w:b/>
          <w:color w:val="auto"/>
          <w:sz w:val="24"/>
        </w:rPr>
        <w:t>乙方持壹份,具有同等法律效力。</w:t>
      </w:r>
    </w:p>
    <w:p>
      <w:pPr>
        <w:spacing w:line="360" w:lineRule="auto"/>
        <w:ind w:firstLine="482" w:firstLineChars="200"/>
        <w:rPr>
          <w:rFonts w:ascii="宋体" w:hAnsi="宋体" w:cs="宋体"/>
          <w:b/>
          <w:color w:val="auto"/>
          <w:sz w:val="24"/>
        </w:rPr>
      </w:pPr>
      <w:r>
        <w:rPr>
          <w:rFonts w:hint="eastAsia" w:ascii="宋体" w:hAnsi="宋体" w:cs="宋体"/>
          <w:b/>
          <w:color w:val="auto"/>
          <w:sz w:val="24"/>
        </w:rPr>
        <w:t>十二、本合同自双方签字并盖章之日起生效。</w:t>
      </w:r>
    </w:p>
    <w:p>
      <w:pPr>
        <w:spacing w:line="360" w:lineRule="auto"/>
        <w:ind w:left="-178" w:leftChars="-85" w:right="-359" w:rightChars="-171" w:firstLine="144" w:firstLineChars="60"/>
        <w:rPr>
          <w:rFonts w:ascii="宋体" w:hAnsi="宋体" w:cs="宋体"/>
          <w:color w:val="auto"/>
          <w:sz w:val="24"/>
        </w:rPr>
      </w:pPr>
    </w:p>
    <w:p>
      <w:pPr>
        <w:spacing w:line="360" w:lineRule="auto"/>
        <w:ind w:left="178" w:leftChars="85" w:right="-359" w:rightChars="-171"/>
        <w:rPr>
          <w:rFonts w:ascii="宋体" w:hAnsi="宋体" w:cs="宋体"/>
          <w:color w:val="auto"/>
          <w:sz w:val="24"/>
        </w:rPr>
      </w:pPr>
      <w:r>
        <w:rPr>
          <w:rFonts w:hint="eastAsia" w:ascii="宋体" w:hAnsi="宋体" w:cs="宋体"/>
          <w:color w:val="auto"/>
          <w:sz w:val="24"/>
        </w:rPr>
        <w:t>甲 方（盖章）：</w:t>
      </w:r>
      <w:r>
        <w:rPr>
          <w:rFonts w:hint="eastAsia" w:ascii="宋体" w:hAnsi="宋体" w:cs="宋体"/>
          <w:b/>
          <w:bCs/>
          <w:color w:val="auto"/>
          <w:sz w:val="24"/>
        </w:rPr>
        <w:t xml:space="preserve">湖北工业大学                </w:t>
      </w:r>
      <w:r>
        <w:rPr>
          <w:rFonts w:hint="eastAsia" w:ascii="宋体" w:hAnsi="宋体" w:cs="宋体"/>
          <w:color w:val="auto"/>
          <w:sz w:val="24"/>
        </w:rPr>
        <w:t>乙 方（盖章）：</w:t>
      </w:r>
      <w:r>
        <w:rPr>
          <w:rFonts w:hint="eastAsia" w:ascii="宋体" w:hAnsi="宋体" w:cs="宋体"/>
          <w:snapToGrid w:val="0"/>
          <w:color w:val="auto"/>
          <w:kern w:val="0"/>
          <w:sz w:val="24"/>
        </w:rPr>
        <w:t xml:space="preserve">                      </w:t>
      </w:r>
    </w:p>
    <w:p>
      <w:pPr>
        <w:spacing w:line="360" w:lineRule="auto"/>
        <w:ind w:left="178" w:leftChars="85" w:right="-178" w:rightChars="-85"/>
        <w:rPr>
          <w:rFonts w:ascii="宋体" w:hAnsi="宋体" w:cs="宋体"/>
          <w:color w:val="auto"/>
          <w:sz w:val="24"/>
        </w:rPr>
      </w:pPr>
    </w:p>
    <w:p>
      <w:pPr>
        <w:spacing w:line="360" w:lineRule="auto"/>
        <w:ind w:left="178" w:leftChars="85" w:right="-178" w:rightChars="-85"/>
        <w:rPr>
          <w:rFonts w:ascii="宋体" w:hAnsi="宋体" w:cs="宋体"/>
          <w:color w:val="auto"/>
          <w:sz w:val="24"/>
        </w:rPr>
      </w:pPr>
      <w:r>
        <w:rPr>
          <w:rFonts w:hint="eastAsia" w:ascii="宋体" w:hAnsi="宋体" w:cs="宋体"/>
          <w:color w:val="auto"/>
          <w:sz w:val="24"/>
        </w:rPr>
        <w:t>部门（单位）主要负责人（签名）：</w:t>
      </w:r>
    </w:p>
    <w:p>
      <w:pPr>
        <w:spacing w:line="360" w:lineRule="auto"/>
        <w:ind w:left="178" w:leftChars="85" w:right="-178" w:rightChars="-85"/>
        <w:rPr>
          <w:rFonts w:ascii="宋体" w:hAnsi="宋体" w:cs="宋体"/>
          <w:color w:val="auto"/>
          <w:sz w:val="24"/>
        </w:rPr>
      </w:pPr>
      <w:r>
        <w:rPr>
          <w:rFonts w:hint="eastAsia" w:ascii="宋体" w:hAnsi="宋体" w:cs="宋体"/>
          <w:color w:val="auto"/>
          <w:sz w:val="24"/>
        </w:rPr>
        <w:t>法人或授权代表（签名）：                   法人或授权代表（签名）：</w:t>
      </w:r>
    </w:p>
    <w:p>
      <w:pPr>
        <w:spacing w:line="360" w:lineRule="auto"/>
        <w:ind w:left="178" w:leftChars="85" w:right="-171"/>
        <w:rPr>
          <w:rFonts w:ascii="宋体" w:hAnsi="宋体" w:cs="宋体"/>
          <w:color w:val="auto"/>
          <w:sz w:val="24"/>
        </w:rPr>
      </w:pPr>
    </w:p>
    <w:p>
      <w:pPr>
        <w:spacing w:line="360" w:lineRule="auto"/>
        <w:ind w:left="178" w:leftChars="85" w:right="-171"/>
        <w:rPr>
          <w:rFonts w:ascii="宋体" w:hAnsi="宋体" w:cs="宋体"/>
          <w:color w:val="auto"/>
          <w:sz w:val="24"/>
        </w:rPr>
      </w:pPr>
      <w:r>
        <w:rPr>
          <w:rFonts w:hint="eastAsia" w:ascii="宋体" w:hAnsi="宋体" w:cs="宋体"/>
          <w:color w:val="auto"/>
          <w:sz w:val="24"/>
        </w:rPr>
        <w:t>联系方式：02759750213                    联系方式：</w:t>
      </w:r>
    </w:p>
    <w:p>
      <w:pPr>
        <w:spacing w:line="360" w:lineRule="auto"/>
        <w:ind w:left="178" w:leftChars="85" w:right="-171"/>
        <w:rPr>
          <w:rFonts w:ascii="宋体" w:hAnsi="宋体" w:cs="宋体"/>
          <w:color w:val="auto"/>
          <w:sz w:val="24"/>
        </w:rPr>
      </w:pPr>
      <w:r>
        <w:rPr>
          <w:rFonts w:hint="eastAsia" w:ascii="宋体" w:hAnsi="宋体" w:cs="宋体"/>
          <w:color w:val="auto"/>
          <w:sz w:val="24"/>
        </w:rPr>
        <w:t xml:space="preserve">                                         开户银行：</w:t>
      </w:r>
    </w:p>
    <w:p>
      <w:pPr>
        <w:spacing w:line="360" w:lineRule="auto"/>
        <w:ind w:left="178" w:leftChars="85" w:right="-171"/>
        <w:rPr>
          <w:rFonts w:ascii="宋体" w:hAnsi="宋体" w:cs="宋体"/>
          <w:snapToGrid w:val="0"/>
          <w:color w:val="auto"/>
          <w:kern w:val="0"/>
          <w:sz w:val="24"/>
        </w:rPr>
      </w:pPr>
      <w:r>
        <w:rPr>
          <w:rFonts w:hint="eastAsia" w:ascii="宋体" w:hAnsi="宋体" w:cs="宋体"/>
          <w:color w:val="auto"/>
          <w:sz w:val="24"/>
        </w:rPr>
        <w:t xml:space="preserve">                                         银行账号：</w:t>
      </w:r>
    </w:p>
    <w:p>
      <w:pPr>
        <w:spacing w:line="360" w:lineRule="auto"/>
        <w:ind w:left="178" w:leftChars="85" w:right="-171"/>
        <w:rPr>
          <w:rFonts w:ascii="宋体" w:hAnsi="宋体" w:cs="宋体"/>
          <w:color w:val="auto"/>
          <w:sz w:val="24"/>
        </w:rPr>
      </w:pPr>
      <w:r>
        <w:rPr>
          <w:rFonts w:hint="eastAsia" w:ascii="宋体" w:hAnsi="宋体" w:cs="宋体"/>
          <w:snapToGrid w:val="0"/>
          <w:color w:val="auto"/>
          <w:kern w:val="0"/>
          <w:sz w:val="24"/>
        </w:rPr>
        <w:t xml:space="preserve">                                  </w:t>
      </w:r>
    </w:p>
    <w:p>
      <w:pPr>
        <w:pStyle w:val="16"/>
        <w:spacing w:line="360" w:lineRule="auto"/>
        <w:ind w:left="178" w:leftChars="85"/>
        <w:jc w:val="left"/>
        <w:rPr>
          <w:rFonts w:asciiTheme="minorEastAsia" w:hAnsiTheme="minorEastAsia" w:eastAsiaTheme="minorEastAsia"/>
          <w:color w:val="auto"/>
          <w:sz w:val="24"/>
          <w:szCs w:val="24"/>
        </w:rPr>
      </w:pPr>
      <w:r>
        <w:rPr>
          <w:rFonts w:hint="eastAsia" w:asciiTheme="minorEastAsia" w:hAnsiTheme="minorEastAsia" w:eastAsiaTheme="minorEastAsia"/>
          <w:color w:val="auto"/>
          <w:sz w:val="24"/>
          <w:szCs w:val="24"/>
        </w:rPr>
        <w:t>日  期： 二○   年   月    日         日   期：二○   年   月   日</w:t>
      </w:r>
    </w:p>
    <w:p>
      <w:pPr>
        <w:spacing w:line="360" w:lineRule="auto"/>
        <w:rPr>
          <w:color w:val="auto"/>
        </w:rPr>
      </w:pPr>
    </w:p>
    <w:p>
      <w:pPr>
        <w:rPr>
          <w:rFonts w:asciiTheme="minorEastAsia" w:hAnsiTheme="minorEastAsia" w:eastAsiaTheme="minorEastAsia" w:cstheme="minorEastAsia"/>
          <w:color w:val="auto"/>
          <w:sz w:val="36"/>
          <w:szCs w:val="36"/>
        </w:rPr>
      </w:pPr>
      <w:bookmarkStart w:id="124" w:name="_Toc17015"/>
      <w:r>
        <w:rPr>
          <w:rFonts w:hint="eastAsia" w:asciiTheme="minorEastAsia" w:hAnsiTheme="minorEastAsia" w:eastAsiaTheme="minorEastAsia" w:cstheme="minorEastAsia"/>
          <w:color w:val="auto"/>
          <w:sz w:val="36"/>
          <w:szCs w:val="36"/>
        </w:rPr>
        <w:br w:type="page"/>
      </w:r>
    </w:p>
    <w:p>
      <w:pPr>
        <w:pStyle w:val="4"/>
        <w:numPr>
          <w:ilvl w:val="0"/>
          <w:numId w:val="4"/>
        </w:numPr>
        <w:jc w:val="center"/>
        <w:rPr>
          <w:rFonts w:asciiTheme="minorEastAsia" w:hAnsiTheme="minorEastAsia" w:eastAsiaTheme="minorEastAsia" w:cstheme="minorEastAsia"/>
          <w:color w:val="auto"/>
          <w:sz w:val="36"/>
          <w:szCs w:val="36"/>
        </w:rPr>
      </w:pPr>
      <w:r>
        <w:rPr>
          <w:rFonts w:hint="eastAsia" w:asciiTheme="minorEastAsia" w:hAnsiTheme="minorEastAsia" w:eastAsiaTheme="minorEastAsia" w:cstheme="minorEastAsia"/>
          <w:color w:val="auto"/>
          <w:sz w:val="36"/>
          <w:szCs w:val="36"/>
        </w:rPr>
        <w:t>竞争性磋商响应文件格式</w:t>
      </w:r>
      <w:bookmarkEnd w:id="124"/>
    </w:p>
    <w:p>
      <w:pPr>
        <w:autoSpaceDE w:val="0"/>
        <w:autoSpaceDN w:val="0"/>
        <w:adjustRightInd w:val="0"/>
        <w:rPr>
          <w:rFonts w:asciiTheme="minorEastAsia" w:hAnsiTheme="minorEastAsia" w:eastAsiaTheme="minorEastAsia" w:cstheme="minorEastAsia"/>
          <w:color w:val="auto"/>
        </w:rPr>
      </w:pPr>
      <w:r>
        <w:rPr>
          <w:rFonts w:hint="eastAsia" w:asciiTheme="minorEastAsia" w:hAnsiTheme="minorEastAsia" w:eastAsiaTheme="minorEastAsia" w:cstheme="minorEastAsia"/>
          <w:color w:val="auto"/>
        </w:rPr>
        <w:t>封面：</w:t>
      </w:r>
    </w:p>
    <w:p>
      <w:pPr>
        <w:autoSpaceDE w:val="0"/>
        <w:autoSpaceDN w:val="0"/>
        <w:adjustRightInd w:val="0"/>
        <w:rPr>
          <w:rFonts w:asciiTheme="minorEastAsia" w:hAnsiTheme="minorEastAsia" w:eastAsiaTheme="minorEastAsia" w:cstheme="minorEastAsia"/>
          <w:color w:val="auto"/>
        </w:rPr>
      </w:pPr>
    </w:p>
    <w:p>
      <w:pPr>
        <w:autoSpaceDE w:val="0"/>
        <w:autoSpaceDN w:val="0"/>
        <w:adjustRightInd w:val="0"/>
        <w:rPr>
          <w:rFonts w:asciiTheme="minorEastAsia" w:hAnsiTheme="minorEastAsia" w:eastAsiaTheme="minorEastAsia" w:cstheme="minorEastAsia"/>
          <w:color w:val="auto"/>
        </w:rPr>
      </w:pPr>
    </w:p>
    <w:p>
      <w:pPr>
        <w:autoSpaceDE w:val="0"/>
        <w:autoSpaceDN w:val="0"/>
        <w:adjustRightInd w:val="0"/>
        <w:jc w:val="center"/>
        <w:rPr>
          <w:rFonts w:asciiTheme="minorEastAsia" w:hAnsiTheme="minorEastAsia" w:eastAsiaTheme="minorEastAsia" w:cstheme="minorEastAsia"/>
          <w:color w:val="auto"/>
        </w:rPr>
      </w:pPr>
      <w:r>
        <w:rPr>
          <w:rFonts w:hint="eastAsia" w:asciiTheme="minorEastAsia" w:hAnsiTheme="minorEastAsia" w:eastAsiaTheme="minorEastAsia" w:cstheme="minorEastAsia"/>
          <w:color w:val="auto"/>
        </w:rPr>
        <w:t xml:space="preserve"> </w:t>
      </w:r>
      <w:r>
        <w:rPr>
          <w:rFonts w:hint="eastAsia" w:asciiTheme="minorEastAsia" w:hAnsiTheme="minorEastAsia" w:eastAsiaTheme="minorEastAsia" w:cstheme="minorEastAsia"/>
          <w:color w:val="auto"/>
          <w:u w:val="single"/>
        </w:rPr>
        <w:t xml:space="preserve">                        </w:t>
      </w:r>
      <w:r>
        <w:rPr>
          <w:rFonts w:hint="eastAsia" w:asciiTheme="minorEastAsia" w:hAnsiTheme="minorEastAsia" w:eastAsiaTheme="minorEastAsia" w:cstheme="minorEastAsia"/>
          <w:color w:val="auto"/>
        </w:rPr>
        <w:t>政府采购</w:t>
      </w:r>
    </w:p>
    <w:p>
      <w:pPr>
        <w:autoSpaceDE w:val="0"/>
        <w:autoSpaceDN w:val="0"/>
        <w:adjustRightInd w:val="0"/>
        <w:jc w:val="center"/>
        <w:rPr>
          <w:rFonts w:asciiTheme="minorEastAsia" w:hAnsiTheme="minorEastAsia" w:eastAsiaTheme="minorEastAsia" w:cstheme="minorEastAsia"/>
          <w:b/>
          <w:color w:val="auto"/>
          <w:sz w:val="84"/>
          <w:szCs w:val="84"/>
        </w:rPr>
      </w:pPr>
      <w:r>
        <w:rPr>
          <w:rFonts w:hint="eastAsia" w:asciiTheme="minorEastAsia" w:hAnsiTheme="minorEastAsia" w:eastAsiaTheme="minorEastAsia" w:cstheme="minorEastAsia"/>
          <w:b/>
          <w:color w:val="auto"/>
          <w:sz w:val="84"/>
          <w:szCs w:val="84"/>
        </w:rPr>
        <w:t>响 应 文 件</w:t>
      </w:r>
    </w:p>
    <w:p>
      <w:pPr>
        <w:autoSpaceDE w:val="0"/>
        <w:autoSpaceDN w:val="0"/>
        <w:adjustRightInd w:val="0"/>
        <w:rPr>
          <w:rFonts w:asciiTheme="minorEastAsia" w:hAnsiTheme="minorEastAsia" w:eastAsiaTheme="minorEastAsia" w:cstheme="minorEastAsia"/>
          <w:color w:val="auto"/>
          <w:szCs w:val="21"/>
        </w:rPr>
      </w:pPr>
    </w:p>
    <w:p>
      <w:pPr>
        <w:autoSpaceDE w:val="0"/>
        <w:autoSpaceDN w:val="0"/>
        <w:adjustRightInd w:val="0"/>
        <w:rPr>
          <w:rFonts w:asciiTheme="minorEastAsia" w:hAnsiTheme="minorEastAsia" w:eastAsiaTheme="minorEastAsia" w:cstheme="minorEastAsia"/>
          <w:color w:val="auto"/>
          <w:szCs w:val="21"/>
        </w:rPr>
      </w:pPr>
    </w:p>
    <w:p>
      <w:pPr>
        <w:autoSpaceDE w:val="0"/>
        <w:autoSpaceDN w:val="0"/>
        <w:adjustRightInd w:val="0"/>
        <w:jc w:val="center"/>
        <w:rPr>
          <w:rFonts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（正本/副本）</w:t>
      </w:r>
    </w:p>
    <w:p>
      <w:pPr>
        <w:autoSpaceDE w:val="0"/>
        <w:autoSpaceDN w:val="0"/>
        <w:adjustRightInd w:val="0"/>
        <w:rPr>
          <w:rFonts w:asciiTheme="minorEastAsia" w:hAnsiTheme="minorEastAsia" w:eastAsiaTheme="minorEastAsia" w:cstheme="minorEastAsia"/>
          <w:color w:val="auto"/>
          <w:szCs w:val="21"/>
        </w:rPr>
      </w:pPr>
    </w:p>
    <w:p>
      <w:pPr>
        <w:autoSpaceDE w:val="0"/>
        <w:autoSpaceDN w:val="0"/>
        <w:adjustRightInd w:val="0"/>
        <w:rPr>
          <w:rFonts w:asciiTheme="minorEastAsia" w:hAnsiTheme="minorEastAsia" w:eastAsiaTheme="minorEastAsia" w:cstheme="minorEastAsia"/>
          <w:color w:val="auto"/>
          <w:szCs w:val="21"/>
        </w:rPr>
      </w:pPr>
    </w:p>
    <w:p>
      <w:pPr>
        <w:autoSpaceDE w:val="0"/>
        <w:autoSpaceDN w:val="0"/>
        <w:adjustRightInd w:val="0"/>
        <w:rPr>
          <w:rFonts w:asciiTheme="minorEastAsia" w:hAnsiTheme="minorEastAsia" w:eastAsiaTheme="minorEastAsia" w:cstheme="minorEastAsia"/>
          <w:color w:val="auto"/>
          <w:szCs w:val="21"/>
        </w:rPr>
      </w:pPr>
    </w:p>
    <w:p>
      <w:pPr>
        <w:autoSpaceDE w:val="0"/>
        <w:autoSpaceDN w:val="0"/>
        <w:adjustRightInd w:val="0"/>
        <w:rPr>
          <w:rFonts w:asciiTheme="minorEastAsia" w:hAnsiTheme="minorEastAsia" w:eastAsiaTheme="minorEastAsia" w:cstheme="minorEastAsia"/>
          <w:color w:val="auto"/>
          <w:szCs w:val="21"/>
        </w:rPr>
      </w:pPr>
    </w:p>
    <w:p>
      <w:pPr>
        <w:autoSpaceDE w:val="0"/>
        <w:autoSpaceDN w:val="0"/>
        <w:adjustRightInd w:val="0"/>
        <w:ind w:firstLine="1190" w:firstLineChars="395"/>
        <w:rPr>
          <w:rFonts w:asciiTheme="minorEastAsia" w:hAnsiTheme="minorEastAsia" w:eastAsiaTheme="minorEastAsia" w:cstheme="minorEastAsia"/>
          <w:b/>
          <w:bCs/>
          <w:color w:val="auto"/>
          <w:sz w:val="30"/>
          <w:szCs w:val="30"/>
          <w:u w:val="single"/>
        </w:rPr>
      </w:pPr>
      <w:r>
        <w:rPr>
          <w:rFonts w:hint="eastAsia" w:asciiTheme="minorEastAsia" w:hAnsiTheme="minorEastAsia" w:eastAsiaTheme="minorEastAsia" w:cstheme="minorEastAsia"/>
          <w:b/>
          <w:bCs/>
          <w:color w:val="auto"/>
          <w:sz w:val="30"/>
          <w:szCs w:val="30"/>
        </w:rPr>
        <w:t>项目编号：</w:t>
      </w:r>
      <w:r>
        <w:rPr>
          <w:rFonts w:hint="eastAsia" w:asciiTheme="minorEastAsia" w:hAnsiTheme="minorEastAsia" w:eastAsiaTheme="minorEastAsia" w:cstheme="minorEastAsia"/>
          <w:b/>
          <w:bCs/>
          <w:color w:val="auto"/>
          <w:sz w:val="30"/>
          <w:szCs w:val="30"/>
          <w:u w:val="single"/>
        </w:rPr>
        <w:t xml:space="preserve">                            </w:t>
      </w:r>
    </w:p>
    <w:p>
      <w:pPr>
        <w:tabs>
          <w:tab w:val="left" w:pos="7230"/>
        </w:tabs>
        <w:ind w:firstLine="1190" w:firstLineChars="395"/>
        <w:rPr>
          <w:rFonts w:asciiTheme="minorEastAsia" w:hAnsiTheme="minorEastAsia" w:eastAsiaTheme="minorEastAsia" w:cstheme="minorEastAsia"/>
          <w:b/>
          <w:bCs/>
          <w:color w:val="auto"/>
          <w:sz w:val="30"/>
          <w:szCs w:val="30"/>
          <w:u w:val="single"/>
        </w:rPr>
      </w:pPr>
      <w:r>
        <w:rPr>
          <w:rFonts w:hint="eastAsia" w:asciiTheme="minorEastAsia" w:hAnsiTheme="minorEastAsia" w:eastAsiaTheme="minorEastAsia" w:cstheme="minorEastAsia"/>
          <w:b/>
          <w:bCs/>
          <w:color w:val="auto"/>
          <w:sz w:val="30"/>
          <w:szCs w:val="30"/>
        </w:rPr>
        <w:t>项目名称：</w:t>
      </w:r>
      <w:r>
        <w:rPr>
          <w:rFonts w:hint="eastAsia" w:asciiTheme="minorEastAsia" w:hAnsiTheme="minorEastAsia" w:eastAsiaTheme="minorEastAsia" w:cstheme="minorEastAsia"/>
          <w:b/>
          <w:bCs/>
          <w:color w:val="auto"/>
          <w:sz w:val="30"/>
          <w:szCs w:val="30"/>
          <w:u w:val="single"/>
        </w:rPr>
        <w:t xml:space="preserve">                            </w:t>
      </w:r>
    </w:p>
    <w:p>
      <w:pPr>
        <w:autoSpaceDE w:val="0"/>
        <w:autoSpaceDN w:val="0"/>
        <w:adjustRightInd w:val="0"/>
        <w:ind w:firstLine="1190" w:firstLineChars="395"/>
        <w:rPr>
          <w:rFonts w:asciiTheme="minorEastAsia" w:hAnsiTheme="minorEastAsia" w:eastAsiaTheme="minorEastAsia" w:cstheme="minorEastAsia"/>
          <w:b/>
          <w:bCs/>
          <w:color w:val="auto"/>
          <w:sz w:val="30"/>
          <w:szCs w:val="30"/>
        </w:rPr>
      </w:pPr>
      <w:r>
        <w:rPr>
          <w:rFonts w:hint="eastAsia" w:asciiTheme="minorEastAsia" w:hAnsiTheme="minorEastAsia" w:eastAsiaTheme="minorEastAsia" w:cstheme="minorEastAsia"/>
          <w:b/>
          <w:bCs/>
          <w:color w:val="auto"/>
          <w:sz w:val="30"/>
          <w:szCs w:val="30"/>
        </w:rPr>
        <w:t xml:space="preserve">预算执行计划： </w:t>
      </w:r>
      <w:r>
        <w:rPr>
          <w:rFonts w:hint="eastAsia" w:asciiTheme="minorEastAsia" w:hAnsiTheme="minorEastAsia" w:eastAsiaTheme="minorEastAsia" w:cstheme="minorEastAsia"/>
          <w:b/>
          <w:bCs/>
          <w:color w:val="auto"/>
          <w:sz w:val="30"/>
          <w:szCs w:val="30"/>
          <w:u w:val="single"/>
        </w:rPr>
        <w:t xml:space="preserve">                         </w:t>
      </w:r>
    </w:p>
    <w:p>
      <w:pPr>
        <w:autoSpaceDE w:val="0"/>
        <w:autoSpaceDN w:val="0"/>
        <w:adjustRightInd w:val="0"/>
        <w:rPr>
          <w:rFonts w:asciiTheme="minorEastAsia" w:hAnsiTheme="minorEastAsia" w:eastAsiaTheme="minorEastAsia" w:cstheme="minorEastAsia"/>
          <w:color w:val="auto"/>
          <w:szCs w:val="21"/>
        </w:rPr>
      </w:pPr>
    </w:p>
    <w:p>
      <w:pPr>
        <w:autoSpaceDE w:val="0"/>
        <w:autoSpaceDN w:val="0"/>
        <w:adjustRightInd w:val="0"/>
        <w:rPr>
          <w:rFonts w:asciiTheme="minorEastAsia" w:hAnsiTheme="minorEastAsia" w:eastAsiaTheme="minorEastAsia" w:cstheme="minorEastAsia"/>
          <w:color w:val="auto"/>
          <w:szCs w:val="21"/>
        </w:rPr>
      </w:pPr>
    </w:p>
    <w:p>
      <w:pPr>
        <w:autoSpaceDE w:val="0"/>
        <w:autoSpaceDN w:val="0"/>
        <w:adjustRightInd w:val="0"/>
        <w:rPr>
          <w:rFonts w:asciiTheme="minorEastAsia" w:hAnsiTheme="minorEastAsia" w:eastAsiaTheme="minorEastAsia" w:cstheme="minorEastAsia"/>
          <w:color w:val="auto"/>
          <w:szCs w:val="21"/>
        </w:rPr>
      </w:pPr>
    </w:p>
    <w:p>
      <w:pPr>
        <w:autoSpaceDE w:val="0"/>
        <w:autoSpaceDN w:val="0"/>
        <w:adjustRightInd w:val="0"/>
        <w:rPr>
          <w:rFonts w:asciiTheme="minorEastAsia" w:hAnsiTheme="minorEastAsia" w:eastAsiaTheme="minorEastAsia" w:cstheme="minorEastAsia"/>
          <w:color w:val="auto"/>
          <w:szCs w:val="21"/>
        </w:rPr>
      </w:pPr>
    </w:p>
    <w:p>
      <w:pPr>
        <w:autoSpaceDE w:val="0"/>
        <w:autoSpaceDN w:val="0"/>
        <w:adjustRightInd w:val="0"/>
        <w:rPr>
          <w:rFonts w:asciiTheme="minorEastAsia" w:hAnsiTheme="minorEastAsia" w:eastAsiaTheme="minorEastAsia" w:cstheme="minorEastAsia"/>
          <w:color w:val="auto"/>
          <w:szCs w:val="21"/>
        </w:rPr>
      </w:pPr>
    </w:p>
    <w:p>
      <w:pPr>
        <w:autoSpaceDE w:val="0"/>
        <w:autoSpaceDN w:val="0"/>
        <w:adjustRightInd w:val="0"/>
        <w:rPr>
          <w:rFonts w:asciiTheme="minorEastAsia" w:hAnsiTheme="minorEastAsia" w:eastAsiaTheme="minorEastAsia" w:cstheme="minorEastAsia"/>
          <w:color w:val="auto"/>
          <w:szCs w:val="21"/>
        </w:rPr>
      </w:pPr>
    </w:p>
    <w:p>
      <w:pPr>
        <w:autoSpaceDE w:val="0"/>
        <w:autoSpaceDN w:val="0"/>
        <w:adjustRightInd w:val="0"/>
        <w:rPr>
          <w:rFonts w:asciiTheme="minorEastAsia" w:hAnsiTheme="minorEastAsia" w:eastAsiaTheme="minorEastAsia" w:cstheme="minorEastAsia"/>
          <w:color w:val="auto"/>
          <w:szCs w:val="21"/>
        </w:rPr>
      </w:pPr>
    </w:p>
    <w:p>
      <w:pPr>
        <w:autoSpaceDE w:val="0"/>
        <w:autoSpaceDN w:val="0"/>
        <w:adjustRightInd w:val="0"/>
        <w:rPr>
          <w:rFonts w:asciiTheme="minorEastAsia" w:hAnsiTheme="minorEastAsia" w:eastAsiaTheme="minorEastAsia" w:cstheme="minorEastAsia"/>
          <w:color w:val="auto"/>
          <w:szCs w:val="21"/>
        </w:rPr>
      </w:pPr>
    </w:p>
    <w:p>
      <w:pPr>
        <w:autoSpaceDE w:val="0"/>
        <w:autoSpaceDN w:val="0"/>
        <w:adjustRightInd w:val="0"/>
        <w:rPr>
          <w:rFonts w:asciiTheme="minorEastAsia" w:hAnsiTheme="minorEastAsia" w:eastAsiaTheme="minorEastAsia" w:cstheme="minorEastAsia"/>
          <w:color w:val="auto"/>
          <w:szCs w:val="21"/>
        </w:rPr>
      </w:pPr>
    </w:p>
    <w:p>
      <w:pPr>
        <w:autoSpaceDE w:val="0"/>
        <w:autoSpaceDN w:val="0"/>
        <w:adjustRightInd w:val="0"/>
        <w:rPr>
          <w:rFonts w:asciiTheme="minorEastAsia" w:hAnsiTheme="minorEastAsia" w:eastAsiaTheme="minorEastAsia" w:cstheme="minorEastAsia"/>
          <w:color w:val="auto"/>
          <w:szCs w:val="21"/>
        </w:rPr>
      </w:pPr>
    </w:p>
    <w:p>
      <w:pPr>
        <w:autoSpaceDE w:val="0"/>
        <w:autoSpaceDN w:val="0"/>
        <w:adjustRightInd w:val="0"/>
        <w:spacing w:line="360" w:lineRule="auto"/>
        <w:ind w:firstLine="1260" w:firstLineChars="450"/>
        <w:rPr>
          <w:rFonts w:asciiTheme="minorEastAsia" w:hAnsiTheme="minorEastAsia" w:eastAsiaTheme="minorEastAsia" w:cstheme="minorEastAsia"/>
          <w:b/>
          <w:bCs/>
          <w:color w:val="auto"/>
          <w:sz w:val="32"/>
          <w:u w:val="single"/>
        </w:rPr>
      </w:pPr>
      <w:r>
        <w:rPr>
          <w:rFonts w:hint="eastAsia" w:asciiTheme="minorEastAsia" w:hAnsiTheme="minorEastAsia" w:eastAsiaTheme="minorEastAsia" w:cstheme="minorEastAsia"/>
          <w:color w:val="auto"/>
          <w:sz w:val="28"/>
          <w:szCs w:val="28"/>
        </w:rPr>
        <w:t>磋商供应商名称（盖章）：</w:t>
      </w:r>
      <w:r>
        <w:rPr>
          <w:rFonts w:hint="eastAsia" w:asciiTheme="minorEastAsia" w:hAnsiTheme="minorEastAsia" w:eastAsiaTheme="minorEastAsia" w:cstheme="minorEastAsia"/>
          <w:b/>
          <w:bCs/>
          <w:color w:val="auto"/>
          <w:sz w:val="32"/>
          <w:u w:val="single"/>
        </w:rPr>
        <w:t xml:space="preserve">                       </w:t>
      </w:r>
      <w:bookmarkStart w:id="125" w:name="_Toc5751"/>
      <w:bookmarkStart w:id="126" w:name="_Toc23858"/>
    </w:p>
    <w:p>
      <w:pPr>
        <w:autoSpaceDE w:val="0"/>
        <w:autoSpaceDN w:val="0"/>
        <w:adjustRightInd w:val="0"/>
        <w:spacing w:line="360" w:lineRule="auto"/>
        <w:ind w:firstLine="1260" w:firstLineChars="450"/>
        <w:rPr>
          <w:rFonts w:asciiTheme="minorEastAsia" w:hAnsiTheme="minorEastAsia" w:eastAsiaTheme="minorEastAsia" w:cstheme="minorEastAsia"/>
          <w:color w:val="auto"/>
          <w:sz w:val="28"/>
          <w:szCs w:val="28"/>
        </w:rPr>
      </w:pPr>
      <w:r>
        <w:rPr>
          <w:rFonts w:hint="eastAsia" w:asciiTheme="minorEastAsia" w:hAnsiTheme="minorEastAsia" w:eastAsiaTheme="minorEastAsia" w:cstheme="minorEastAsia"/>
          <w:color w:val="auto"/>
          <w:sz w:val="28"/>
          <w:szCs w:val="28"/>
        </w:rPr>
        <w:t>日          期：</w:t>
      </w:r>
      <w:r>
        <w:rPr>
          <w:rFonts w:hint="eastAsia" w:asciiTheme="minorEastAsia" w:hAnsiTheme="minorEastAsia" w:eastAsiaTheme="minorEastAsia" w:cstheme="minorEastAsia"/>
          <w:color w:val="auto"/>
          <w:sz w:val="28"/>
          <w:szCs w:val="28"/>
          <w:u w:val="single"/>
        </w:rPr>
        <w:t xml:space="preserve">       </w:t>
      </w:r>
      <w:r>
        <w:rPr>
          <w:rFonts w:hint="eastAsia" w:asciiTheme="minorEastAsia" w:hAnsiTheme="minorEastAsia" w:eastAsiaTheme="minorEastAsia" w:cstheme="minorEastAsia"/>
          <w:color w:val="auto"/>
          <w:sz w:val="28"/>
          <w:szCs w:val="28"/>
        </w:rPr>
        <w:t>年</w:t>
      </w:r>
      <w:r>
        <w:rPr>
          <w:rFonts w:hint="eastAsia" w:asciiTheme="minorEastAsia" w:hAnsiTheme="minorEastAsia" w:eastAsiaTheme="minorEastAsia" w:cstheme="minorEastAsia"/>
          <w:color w:val="auto"/>
          <w:sz w:val="28"/>
          <w:szCs w:val="28"/>
          <w:u w:val="single"/>
        </w:rPr>
        <w:t xml:space="preserve">       </w:t>
      </w:r>
      <w:r>
        <w:rPr>
          <w:rFonts w:hint="eastAsia" w:asciiTheme="minorEastAsia" w:hAnsiTheme="minorEastAsia" w:eastAsiaTheme="minorEastAsia" w:cstheme="minorEastAsia"/>
          <w:color w:val="auto"/>
          <w:sz w:val="28"/>
          <w:szCs w:val="28"/>
        </w:rPr>
        <w:t>月</w:t>
      </w:r>
      <w:r>
        <w:rPr>
          <w:rFonts w:hint="eastAsia" w:asciiTheme="minorEastAsia" w:hAnsiTheme="minorEastAsia" w:eastAsiaTheme="minorEastAsia" w:cstheme="minorEastAsia"/>
          <w:color w:val="auto"/>
          <w:sz w:val="28"/>
          <w:szCs w:val="28"/>
          <w:u w:val="single"/>
        </w:rPr>
        <w:t xml:space="preserve">       </w:t>
      </w:r>
      <w:r>
        <w:rPr>
          <w:rFonts w:hint="eastAsia" w:asciiTheme="minorEastAsia" w:hAnsiTheme="minorEastAsia" w:eastAsiaTheme="minorEastAsia" w:cstheme="minorEastAsia"/>
          <w:color w:val="auto"/>
          <w:sz w:val="28"/>
          <w:szCs w:val="28"/>
        </w:rPr>
        <w:t>日</w:t>
      </w:r>
    </w:p>
    <w:bookmarkEnd w:id="125"/>
    <w:bookmarkEnd w:id="126"/>
    <w:p>
      <w:pPr>
        <w:autoSpaceDE w:val="0"/>
        <w:autoSpaceDN w:val="0"/>
        <w:adjustRightInd w:val="0"/>
        <w:spacing w:line="360" w:lineRule="auto"/>
        <w:jc w:val="center"/>
        <w:rPr>
          <w:rFonts w:asciiTheme="minorEastAsia" w:hAnsiTheme="minorEastAsia" w:eastAsiaTheme="minorEastAsia" w:cstheme="minorEastAsia"/>
          <w:b/>
          <w:bCs/>
          <w:color w:val="auto"/>
          <w:sz w:val="24"/>
        </w:rPr>
      </w:pPr>
      <w:bookmarkStart w:id="127" w:name="_Toc264644272"/>
      <w:bookmarkStart w:id="128" w:name="_Toc360174584"/>
      <w:bookmarkStart w:id="129" w:name="_Toc11320441"/>
      <w:bookmarkStart w:id="130" w:name="_Toc533330957"/>
      <w:bookmarkStart w:id="131" w:name="_Toc533331084"/>
      <w:bookmarkStart w:id="132" w:name="_Toc211783342"/>
      <w:r>
        <w:rPr>
          <w:rFonts w:hint="eastAsia" w:asciiTheme="minorEastAsia" w:hAnsiTheme="minorEastAsia" w:eastAsiaTheme="minorEastAsia" w:cstheme="minorEastAsia"/>
          <w:b/>
          <w:bCs/>
          <w:color w:val="auto"/>
          <w:sz w:val="24"/>
        </w:rPr>
        <w:br w:type="page"/>
      </w:r>
      <w:r>
        <w:rPr>
          <w:rFonts w:hint="eastAsia" w:asciiTheme="minorEastAsia" w:hAnsiTheme="minorEastAsia" w:eastAsiaTheme="minorEastAsia" w:cstheme="minorEastAsia"/>
          <w:b/>
          <w:bCs/>
          <w:color w:val="auto"/>
          <w:sz w:val="24"/>
        </w:rPr>
        <w:t>响应文件目录</w:t>
      </w:r>
      <w:bookmarkEnd w:id="127"/>
      <w:bookmarkEnd w:id="128"/>
    </w:p>
    <w:p>
      <w:pPr>
        <w:autoSpaceDE w:val="0"/>
        <w:autoSpaceDN w:val="0"/>
        <w:adjustRightInd w:val="0"/>
        <w:rPr>
          <w:rFonts w:asciiTheme="minorEastAsia" w:hAnsiTheme="minorEastAsia" w:eastAsiaTheme="minorEastAsia" w:cstheme="minorEastAsia"/>
          <w:b/>
          <w:bCs/>
          <w:color w:val="auto"/>
          <w:szCs w:val="21"/>
        </w:rPr>
      </w:pPr>
    </w:p>
    <w:p>
      <w:pPr>
        <w:autoSpaceDE w:val="0"/>
        <w:autoSpaceDN w:val="0"/>
        <w:adjustRightInd w:val="0"/>
        <w:spacing w:line="360" w:lineRule="auto"/>
        <w:rPr>
          <w:rFonts w:ascii="宋体" w:hAnsi="宋体" w:cs="宋体"/>
          <w:b/>
          <w:color w:val="auto"/>
          <w:szCs w:val="21"/>
        </w:rPr>
      </w:pPr>
      <w:r>
        <w:rPr>
          <w:rFonts w:hint="eastAsia" w:ascii="宋体" w:hAnsi="宋体" w:cs="宋体"/>
          <w:b/>
          <w:color w:val="auto"/>
          <w:szCs w:val="21"/>
        </w:rPr>
        <w:t>注：响应文件目录及内容每页须顺序编写页码。</w:t>
      </w:r>
    </w:p>
    <w:p>
      <w:pPr>
        <w:autoSpaceDE w:val="0"/>
        <w:autoSpaceDN w:val="0"/>
        <w:adjustRightInd w:val="0"/>
        <w:spacing w:line="360" w:lineRule="auto"/>
        <w:jc w:val="center"/>
        <w:outlineLvl w:val="1"/>
        <w:rPr>
          <w:rFonts w:ascii="宋体" w:hAnsi="宋体" w:cs="宋体"/>
          <w:b/>
          <w:color w:val="auto"/>
          <w:szCs w:val="21"/>
        </w:rPr>
      </w:pPr>
      <w:bookmarkStart w:id="133" w:name="_Toc14065"/>
      <w:r>
        <w:rPr>
          <w:rFonts w:hint="eastAsia" w:ascii="宋体" w:hAnsi="宋体" w:cs="宋体"/>
          <w:b/>
          <w:color w:val="auto"/>
          <w:szCs w:val="21"/>
        </w:rPr>
        <w:br w:type="textWrapping"/>
      </w:r>
      <w:r>
        <w:rPr>
          <w:rFonts w:hint="eastAsia" w:ascii="宋体" w:hAnsi="宋体" w:cs="宋体"/>
          <w:b/>
          <w:color w:val="auto"/>
          <w:szCs w:val="21"/>
        </w:rPr>
        <w:t>一、评分标准索引表</w:t>
      </w:r>
      <w:bookmarkEnd w:id="133"/>
    </w:p>
    <w:tbl>
      <w:tblPr>
        <w:tblStyle w:val="26"/>
        <w:tblW w:w="0" w:type="auto"/>
        <w:tblInd w:w="0"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108" w:type="dxa"/>
          <w:bottom w:w="0" w:type="dxa"/>
          <w:right w:w="108" w:type="dxa"/>
        </w:tblCellMar>
      </w:tblPr>
      <w:tblGrid>
        <w:gridCol w:w="687"/>
        <w:gridCol w:w="1285"/>
        <w:gridCol w:w="5358"/>
        <w:gridCol w:w="825"/>
        <w:gridCol w:w="1133"/>
      </w:tblGrid>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787" w:hRule="atLeast"/>
        </w:trPr>
        <w:tc>
          <w:tcPr>
            <w:tcW w:w="687" w:type="dxa"/>
            <w:tcBorders>
              <w:top w:val="single" w:color="auto" w:sz="12" w:space="0"/>
            </w:tcBorders>
            <w:vAlign w:val="center"/>
          </w:tcPr>
          <w:p>
            <w:pPr>
              <w:spacing w:line="360" w:lineRule="auto"/>
              <w:jc w:val="center"/>
              <w:rPr>
                <w:rFonts w:ascii="宋体" w:hAnsi="宋体" w:cs="宋体"/>
                <w:b/>
                <w:bCs/>
                <w:color w:val="auto"/>
                <w:spacing w:val="-6"/>
                <w:szCs w:val="21"/>
              </w:rPr>
            </w:pPr>
            <w:r>
              <w:rPr>
                <w:rFonts w:hint="eastAsia" w:ascii="宋体" w:hAnsi="宋体" w:cs="宋体"/>
                <w:b/>
                <w:bCs/>
                <w:color w:val="auto"/>
                <w:szCs w:val="21"/>
              </w:rPr>
              <w:t>类别</w:t>
            </w:r>
          </w:p>
        </w:tc>
        <w:tc>
          <w:tcPr>
            <w:tcW w:w="1285" w:type="dxa"/>
            <w:tcBorders>
              <w:top w:val="single" w:color="auto" w:sz="12" w:space="0"/>
            </w:tcBorders>
            <w:vAlign w:val="center"/>
          </w:tcPr>
          <w:p>
            <w:pPr>
              <w:spacing w:line="360" w:lineRule="auto"/>
              <w:jc w:val="center"/>
              <w:rPr>
                <w:rFonts w:ascii="宋体" w:hAnsi="宋体" w:cs="宋体"/>
                <w:b/>
                <w:bCs/>
                <w:color w:val="auto"/>
                <w:spacing w:val="-6"/>
                <w:szCs w:val="21"/>
              </w:rPr>
            </w:pPr>
            <w:r>
              <w:rPr>
                <w:rFonts w:hint="eastAsia" w:ascii="宋体" w:hAnsi="宋体" w:cs="宋体"/>
                <w:b/>
                <w:bCs/>
                <w:color w:val="auto"/>
                <w:szCs w:val="21"/>
              </w:rPr>
              <w:t>评审因素</w:t>
            </w:r>
          </w:p>
        </w:tc>
        <w:tc>
          <w:tcPr>
            <w:tcW w:w="5358" w:type="dxa"/>
            <w:tcBorders>
              <w:top w:val="single" w:color="auto" w:sz="12" w:space="0"/>
            </w:tcBorders>
            <w:vAlign w:val="center"/>
          </w:tcPr>
          <w:p>
            <w:pPr>
              <w:spacing w:line="360" w:lineRule="auto"/>
              <w:jc w:val="center"/>
              <w:rPr>
                <w:rFonts w:ascii="宋体" w:hAnsi="宋体" w:cs="宋体"/>
                <w:b/>
                <w:bCs/>
                <w:color w:val="auto"/>
                <w:spacing w:val="-6"/>
                <w:szCs w:val="21"/>
              </w:rPr>
            </w:pPr>
            <w:r>
              <w:rPr>
                <w:rFonts w:hint="eastAsia" w:ascii="宋体" w:hAnsi="宋体" w:cs="宋体"/>
                <w:b/>
                <w:bCs/>
                <w:color w:val="auto"/>
                <w:szCs w:val="21"/>
              </w:rPr>
              <w:t>评审标准</w:t>
            </w:r>
          </w:p>
        </w:tc>
        <w:tc>
          <w:tcPr>
            <w:tcW w:w="825" w:type="dxa"/>
            <w:tcBorders>
              <w:top w:val="single" w:color="auto" w:sz="12" w:space="0"/>
            </w:tcBorders>
            <w:vAlign w:val="center"/>
          </w:tcPr>
          <w:p>
            <w:pPr>
              <w:spacing w:line="360" w:lineRule="auto"/>
              <w:jc w:val="center"/>
              <w:rPr>
                <w:rFonts w:ascii="宋体" w:hAnsi="宋体" w:cs="宋体"/>
                <w:b/>
                <w:bCs/>
                <w:color w:val="auto"/>
                <w:szCs w:val="21"/>
              </w:rPr>
            </w:pPr>
            <w:r>
              <w:rPr>
                <w:rFonts w:hint="eastAsia" w:ascii="宋体" w:hAnsi="宋体" w:cs="宋体"/>
                <w:b/>
                <w:bCs/>
                <w:color w:val="auto"/>
                <w:szCs w:val="21"/>
              </w:rPr>
              <w:t>分值</w:t>
            </w:r>
          </w:p>
        </w:tc>
        <w:tc>
          <w:tcPr>
            <w:tcW w:w="1133" w:type="dxa"/>
            <w:tcBorders>
              <w:top w:val="single" w:color="auto" w:sz="12" w:space="0"/>
            </w:tcBorders>
            <w:vAlign w:val="center"/>
          </w:tcPr>
          <w:p>
            <w:pPr>
              <w:spacing w:line="360" w:lineRule="auto"/>
              <w:jc w:val="center"/>
              <w:rPr>
                <w:rFonts w:ascii="宋体" w:hAnsi="宋体" w:cs="宋体"/>
                <w:b/>
                <w:bCs/>
                <w:color w:val="auto"/>
                <w:szCs w:val="21"/>
              </w:rPr>
            </w:pPr>
            <w:r>
              <w:rPr>
                <w:rFonts w:hint="eastAsia" w:ascii="宋体" w:hAnsi="宋体" w:cs="宋体"/>
                <w:b/>
                <w:bCs/>
                <w:color w:val="auto"/>
                <w:szCs w:val="21"/>
              </w:rPr>
              <w:t>对应页码</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1118" w:hRule="atLeast"/>
        </w:trPr>
        <w:tc>
          <w:tcPr>
            <w:tcW w:w="687" w:type="dxa"/>
            <w:vAlign w:val="center"/>
          </w:tcPr>
          <w:p>
            <w:pPr>
              <w:widowControl/>
              <w:spacing w:line="360" w:lineRule="auto"/>
              <w:jc w:val="center"/>
              <w:textAlignment w:val="center"/>
              <w:rPr>
                <w:rFonts w:ascii="宋体" w:hAnsi="宋体" w:cs="宋体"/>
                <w:color w:val="auto"/>
                <w:spacing w:val="-6"/>
                <w:szCs w:val="21"/>
              </w:rPr>
            </w:pPr>
          </w:p>
        </w:tc>
        <w:tc>
          <w:tcPr>
            <w:tcW w:w="1285" w:type="dxa"/>
            <w:vAlign w:val="center"/>
          </w:tcPr>
          <w:p>
            <w:pPr>
              <w:widowControl/>
              <w:spacing w:line="360" w:lineRule="auto"/>
              <w:jc w:val="center"/>
              <w:textAlignment w:val="center"/>
              <w:rPr>
                <w:rFonts w:ascii="宋体" w:hAnsi="宋体" w:cs="宋体"/>
                <w:color w:val="auto"/>
                <w:spacing w:val="-6"/>
                <w:szCs w:val="21"/>
              </w:rPr>
            </w:pPr>
          </w:p>
        </w:tc>
        <w:tc>
          <w:tcPr>
            <w:tcW w:w="5358" w:type="dxa"/>
            <w:vAlign w:val="center"/>
          </w:tcPr>
          <w:p>
            <w:pPr>
              <w:widowControl/>
              <w:spacing w:line="360" w:lineRule="auto"/>
              <w:jc w:val="left"/>
              <w:textAlignment w:val="center"/>
              <w:rPr>
                <w:rFonts w:ascii="宋体" w:hAnsi="宋体" w:cs="宋体"/>
                <w:color w:val="auto"/>
                <w:szCs w:val="21"/>
              </w:rPr>
            </w:pPr>
          </w:p>
        </w:tc>
        <w:tc>
          <w:tcPr>
            <w:tcW w:w="825" w:type="dxa"/>
            <w:vAlign w:val="center"/>
          </w:tcPr>
          <w:p>
            <w:pPr>
              <w:widowControl/>
              <w:spacing w:line="360" w:lineRule="auto"/>
              <w:jc w:val="center"/>
              <w:textAlignment w:val="center"/>
              <w:rPr>
                <w:rFonts w:ascii="宋体" w:hAnsi="宋体" w:cs="宋体"/>
                <w:color w:val="auto"/>
                <w:szCs w:val="21"/>
              </w:rPr>
            </w:pPr>
          </w:p>
        </w:tc>
        <w:tc>
          <w:tcPr>
            <w:tcW w:w="1133" w:type="dxa"/>
            <w:vAlign w:val="center"/>
          </w:tcPr>
          <w:p>
            <w:pPr>
              <w:widowControl/>
              <w:spacing w:line="360" w:lineRule="auto"/>
              <w:jc w:val="center"/>
              <w:textAlignment w:val="center"/>
              <w:rPr>
                <w:rFonts w:ascii="宋体" w:hAnsi="宋体" w:cs="宋体"/>
                <w:color w:val="auto"/>
                <w:kern w:val="0"/>
                <w:szCs w:val="21"/>
                <w:lang w:bidi="ar"/>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807" w:hRule="atLeast"/>
        </w:trPr>
        <w:tc>
          <w:tcPr>
            <w:tcW w:w="687" w:type="dxa"/>
            <w:vMerge w:val="restart"/>
            <w:vAlign w:val="center"/>
          </w:tcPr>
          <w:p>
            <w:pPr>
              <w:spacing w:line="360" w:lineRule="auto"/>
              <w:jc w:val="center"/>
              <w:rPr>
                <w:rFonts w:ascii="宋体" w:hAnsi="宋体" w:cs="宋体"/>
                <w:color w:val="auto"/>
                <w:spacing w:val="-6"/>
                <w:szCs w:val="21"/>
              </w:rPr>
            </w:pPr>
          </w:p>
        </w:tc>
        <w:tc>
          <w:tcPr>
            <w:tcW w:w="1285" w:type="dxa"/>
            <w:vAlign w:val="center"/>
          </w:tcPr>
          <w:p>
            <w:pPr>
              <w:spacing w:line="360" w:lineRule="auto"/>
              <w:rPr>
                <w:rFonts w:ascii="宋体" w:hAnsi="宋体" w:cs="宋体"/>
                <w:color w:val="auto"/>
                <w:spacing w:val="-6"/>
                <w:kern w:val="0"/>
                <w:szCs w:val="21"/>
              </w:rPr>
            </w:pPr>
          </w:p>
        </w:tc>
        <w:tc>
          <w:tcPr>
            <w:tcW w:w="5358" w:type="dxa"/>
            <w:vAlign w:val="center"/>
          </w:tcPr>
          <w:p>
            <w:pPr>
              <w:spacing w:line="360" w:lineRule="auto"/>
              <w:rPr>
                <w:rFonts w:ascii="宋体" w:hAnsi="宋体" w:cs="宋体"/>
                <w:color w:val="auto"/>
                <w:spacing w:val="-6"/>
                <w:szCs w:val="21"/>
              </w:rPr>
            </w:pPr>
          </w:p>
        </w:tc>
        <w:tc>
          <w:tcPr>
            <w:tcW w:w="825" w:type="dxa"/>
            <w:vAlign w:val="center"/>
          </w:tcPr>
          <w:p>
            <w:pPr>
              <w:spacing w:line="360" w:lineRule="auto"/>
              <w:rPr>
                <w:rFonts w:ascii="宋体" w:hAnsi="宋体" w:cs="宋体"/>
                <w:color w:val="auto"/>
                <w:spacing w:val="-6"/>
                <w:szCs w:val="21"/>
              </w:rPr>
            </w:pPr>
          </w:p>
        </w:tc>
        <w:tc>
          <w:tcPr>
            <w:tcW w:w="1133" w:type="dxa"/>
            <w:vAlign w:val="center"/>
          </w:tcPr>
          <w:p>
            <w:pPr>
              <w:spacing w:line="360" w:lineRule="auto"/>
              <w:rPr>
                <w:rFonts w:ascii="宋体" w:hAnsi="宋体" w:cs="宋体"/>
                <w:color w:val="auto"/>
                <w:spacing w:val="-6"/>
                <w:szCs w:val="21"/>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807" w:hRule="atLeast"/>
        </w:trPr>
        <w:tc>
          <w:tcPr>
            <w:tcW w:w="687" w:type="dxa"/>
            <w:vMerge w:val="continue"/>
            <w:vAlign w:val="center"/>
          </w:tcPr>
          <w:p>
            <w:pPr>
              <w:spacing w:line="360" w:lineRule="auto"/>
              <w:rPr>
                <w:rFonts w:ascii="宋体" w:hAnsi="宋体" w:cs="宋体"/>
                <w:color w:val="auto"/>
                <w:szCs w:val="21"/>
              </w:rPr>
            </w:pPr>
          </w:p>
        </w:tc>
        <w:tc>
          <w:tcPr>
            <w:tcW w:w="1285" w:type="dxa"/>
            <w:vAlign w:val="center"/>
          </w:tcPr>
          <w:p>
            <w:pPr>
              <w:spacing w:line="360" w:lineRule="auto"/>
              <w:rPr>
                <w:rFonts w:ascii="宋体" w:hAnsi="宋体" w:cs="宋体"/>
                <w:color w:val="auto"/>
                <w:spacing w:val="-6"/>
                <w:kern w:val="0"/>
                <w:szCs w:val="21"/>
              </w:rPr>
            </w:pPr>
          </w:p>
        </w:tc>
        <w:tc>
          <w:tcPr>
            <w:tcW w:w="5358" w:type="dxa"/>
            <w:vAlign w:val="center"/>
          </w:tcPr>
          <w:p>
            <w:pPr>
              <w:autoSpaceDE w:val="0"/>
              <w:autoSpaceDN w:val="0"/>
              <w:adjustRightInd w:val="0"/>
              <w:spacing w:line="360" w:lineRule="auto"/>
              <w:ind w:right="71" w:rightChars="34"/>
              <w:rPr>
                <w:rFonts w:ascii="宋体" w:hAnsi="宋体" w:cs="宋体"/>
                <w:color w:val="auto"/>
                <w:spacing w:val="-6"/>
                <w:kern w:val="0"/>
                <w:szCs w:val="21"/>
              </w:rPr>
            </w:pPr>
          </w:p>
        </w:tc>
        <w:tc>
          <w:tcPr>
            <w:tcW w:w="825" w:type="dxa"/>
            <w:vAlign w:val="center"/>
          </w:tcPr>
          <w:p>
            <w:pPr>
              <w:autoSpaceDE w:val="0"/>
              <w:autoSpaceDN w:val="0"/>
              <w:adjustRightInd w:val="0"/>
              <w:spacing w:line="360" w:lineRule="auto"/>
              <w:ind w:right="71" w:rightChars="34"/>
              <w:rPr>
                <w:rFonts w:ascii="宋体" w:hAnsi="宋体" w:cs="宋体"/>
                <w:color w:val="auto"/>
                <w:spacing w:val="-6"/>
                <w:kern w:val="0"/>
                <w:szCs w:val="21"/>
              </w:rPr>
            </w:pPr>
          </w:p>
        </w:tc>
        <w:tc>
          <w:tcPr>
            <w:tcW w:w="1133" w:type="dxa"/>
            <w:vAlign w:val="center"/>
          </w:tcPr>
          <w:p>
            <w:pPr>
              <w:autoSpaceDE w:val="0"/>
              <w:autoSpaceDN w:val="0"/>
              <w:adjustRightInd w:val="0"/>
              <w:spacing w:line="360" w:lineRule="auto"/>
              <w:ind w:right="71" w:rightChars="34"/>
              <w:rPr>
                <w:rFonts w:ascii="宋体" w:hAnsi="宋体" w:cs="宋体"/>
                <w:color w:val="auto"/>
                <w:spacing w:val="-6"/>
                <w:kern w:val="0"/>
                <w:szCs w:val="21"/>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807" w:hRule="atLeast"/>
        </w:trPr>
        <w:tc>
          <w:tcPr>
            <w:tcW w:w="687" w:type="dxa"/>
            <w:vMerge w:val="continue"/>
            <w:vAlign w:val="center"/>
          </w:tcPr>
          <w:p>
            <w:pPr>
              <w:spacing w:line="360" w:lineRule="auto"/>
              <w:rPr>
                <w:rFonts w:ascii="宋体" w:hAnsi="宋体" w:cs="宋体"/>
                <w:color w:val="auto"/>
                <w:szCs w:val="21"/>
              </w:rPr>
            </w:pPr>
          </w:p>
        </w:tc>
        <w:tc>
          <w:tcPr>
            <w:tcW w:w="1285" w:type="dxa"/>
            <w:vAlign w:val="center"/>
          </w:tcPr>
          <w:p>
            <w:pPr>
              <w:spacing w:line="360" w:lineRule="auto"/>
              <w:rPr>
                <w:rFonts w:ascii="宋体" w:hAnsi="宋体" w:cs="宋体"/>
                <w:color w:val="auto"/>
                <w:spacing w:val="-6"/>
                <w:szCs w:val="21"/>
              </w:rPr>
            </w:pPr>
          </w:p>
        </w:tc>
        <w:tc>
          <w:tcPr>
            <w:tcW w:w="5358" w:type="dxa"/>
            <w:vAlign w:val="center"/>
          </w:tcPr>
          <w:p>
            <w:pPr>
              <w:autoSpaceDE w:val="0"/>
              <w:autoSpaceDN w:val="0"/>
              <w:adjustRightInd w:val="0"/>
              <w:spacing w:line="360" w:lineRule="auto"/>
              <w:ind w:right="71" w:rightChars="34"/>
              <w:rPr>
                <w:rFonts w:ascii="宋体" w:hAnsi="宋体" w:cs="宋体"/>
                <w:color w:val="auto"/>
                <w:spacing w:val="-6"/>
                <w:szCs w:val="21"/>
              </w:rPr>
            </w:pPr>
          </w:p>
        </w:tc>
        <w:tc>
          <w:tcPr>
            <w:tcW w:w="825" w:type="dxa"/>
            <w:vAlign w:val="center"/>
          </w:tcPr>
          <w:p>
            <w:pPr>
              <w:autoSpaceDE w:val="0"/>
              <w:autoSpaceDN w:val="0"/>
              <w:adjustRightInd w:val="0"/>
              <w:spacing w:line="360" w:lineRule="auto"/>
              <w:ind w:right="71" w:rightChars="34"/>
              <w:rPr>
                <w:rFonts w:ascii="宋体" w:hAnsi="宋体" w:cs="宋体"/>
                <w:color w:val="auto"/>
                <w:spacing w:val="-6"/>
                <w:szCs w:val="21"/>
              </w:rPr>
            </w:pPr>
          </w:p>
        </w:tc>
        <w:tc>
          <w:tcPr>
            <w:tcW w:w="1133" w:type="dxa"/>
            <w:vAlign w:val="center"/>
          </w:tcPr>
          <w:p>
            <w:pPr>
              <w:autoSpaceDE w:val="0"/>
              <w:autoSpaceDN w:val="0"/>
              <w:adjustRightInd w:val="0"/>
              <w:spacing w:line="360" w:lineRule="auto"/>
              <w:ind w:right="71" w:rightChars="34"/>
              <w:rPr>
                <w:rFonts w:ascii="宋体" w:hAnsi="宋体" w:cs="宋体"/>
                <w:color w:val="auto"/>
                <w:spacing w:val="-6"/>
                <w:szCs w:val="21"/>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807" w:hRule="atLeast"/>
        </w:trPr>
        <w:tc>
          <w:tcPr>
            <w:tcW w:w="687" w:type="dxa"/>
            <w:vMerge w:val="continue"/>
            <w:vAlign w:val="center"/>
          </w:tcPr>
          <w:p>
            <w:pPr>
              <w:spacing w:line="360" w:lineRule="auto"/>
              <w:rPr>
                <w:rFonts w:ascii="宋体" w:hAnsi="宋体" w:cs="宋体"/>
                <w:color w:val="auto"/>
                <w:szCs w:val="21"/>
              </w:rPr>
            </w:pPr>
          </w:p>
        </w:tc>
        <w:tc>
          <w:tcPr>
            <w:tcW w:w="1285" w:type="dxa"/>
            <w:tcBorders>
              <w:bottom w:val="single" w:color="auto" w:sz="4" w:space="0"/>
            </w:tcBorders>
            <w:vAlign w:val="center"/>
          </w:tcPr>
          <w:p>
            <w:pPr>
              <w:spacing w:line="360" w:lineRule="auto"/>
              <w:rPr>
                <w:rFonts w:ascii="宋体" w:hAnsi="宋体" w:cs="宋体"/>
                <w:color w:val="auto"/>
                <w:spacing w:val="-6"/>
                <w:kern w:val="0"/>
                <w:szCs w:val="21"/>
              </w:rPr>
            </w:pPr>
          </w:p>
        </w:tc>
        <w:tc>
          <w:tcPr>
            <w:tcW w:w="5358" w:type="dxa"/>
            <w:tcBorders>
              <w:bottom w:val="single" w:color="auto" w:sz="4" w:space="0"/>
            </w:tcBorders>
            <w:vAlign w:val="center"/>
          </w:tcPr>
          <w:p>
            <w:pPr>
              <w:autoSpaceDE w:val="0"/>
              <w:autoSpaceDN w:val="0"/>
              <w:adjustRightInd w:val="0"/>
              <w:spacing w:line="360" w:lineRule="auto"/>
              <w:ind w:right="71" w:rightChars="34"/>
              <w:rPr>
                <w:rFonts w:ascii="宋体" w:hAnsi="宋体" w:cs="宋体"/>
                <w:color w:val="auto"/>
                <w:spacing w:val="-6"/>
                <w:kern w:val="0"/>
                <w:szCs w:val="21"/>
              </w:rPr>
            </w:pPr>
          </w:p>
        </w:tc>
        <w:tc>
          <w:tcPr>
            <w:tcW w:w="825" w:type="dxa"/>
            <w:tcBorders>
              <w:bottom w:val="single" w:color="auto" w:sz="4" w:space="0"/>
            </w:tcBorders>
            <w:vAlign w:val="center"/>
          </w:tcPr>
          <w:p>
            <w:pPr>
              <w:autoSpaceDE w:val="0"/>
              <w:autoSpaceDN w:val="0"/>
              <w:adjustRightInd w:val="0"/>
              <w:spacing w:line="360" w:lineRule="auto"/>
              <w:ind w:right="71" w:rightChars="34"/>
              <w:rPr>
                <w:rFonts w:ascii="宋体" w:hAnsi="宋体" w:cs="宋体"/>
                <w:color w:val="auto"/>
                <w:spacing w:val="-6"/>
                <w:kern w:val="0"/>
                <w:szCs w:val="21"/>
              </w:rPr>
            </w:pPr>
          </w:p>
        </w:tc>
        <w:tc>
          <w:tcPr>
            <w:tcW w:w="1133" w:type="dxa"/>
            <w:tcBorders>
              <w:bottom w:val="single" w:color="auto" w:sz="4" w:space="0"/>
            </w:tcBorders>
            <w:vAlign w:val="center"/>
          </w:tcPr>
          <w:p>
            <w:pPr>
              <w:autoSpaceDE w:val="0"/>
              <w:autoSpaceDN w:val="0"/>
              <w:adjustRightInd w:val="0"/>
              <w:spacing w:line="360" w:lineRule="auto"/>
              <w:ind w:right="71" w:rightChars="34"/>
              <w:rPr>
                <w:rFonts w:ascii="宋体" w:hAnsi="宋体" w:cs="宋体"/>
                <w:color w:val="auto"/>
                <w:spacing w:val="-6"/>
                <w:kern w:val="0"/>
                <w:szCs w:val="21"/>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807" w:hRule="atLeast"/>
        </w:trPr>
        <w:tc>
          <w:tcPr>
            <w:tcW w:w="687" w:type="dxa"/>
            <w:vMerge w:val="continue"/>
            <w:vAlign w:val="center"/>
          </w:tcPr>
          <w:p>
            <w:pPr>
              <w:spacing w:line="360" w:lineRule="auto"/>
              <w:rPr>
                <w:rFonts w:ascii="宋体" w:hAnsi="宋体" w:cs="宋体"/>
                <w:color w:val="auto"/>
                <w:szCs w:val="21"/>
              </w:rPr>
            </w:pPr>
          </w:p>
        </w:tc>
        <w:tc>
          <w:tcPr>
            <w:tcW w:w="1285" w:type="dxa"/>
            <w:tcBorders>
              <w:top w:val="single" w:color="auto" w:sz="4" w:space="0"/>
            </w:tcBorders>
            <w:vAlign w:val="center"/>
          </w:tcPr>
          <w:p>
            <w:pPr>
              <w:spacing w:line="360" w:lineRule="auto"/>
              <w:rPr>
                <w:rFonts w:ascii="宋体" w:hAnsi="宋体" w:cs="宋体"/>
                <w:color w:val="auto"/>
                <w:spacing w:val="-6"/>
                <w:kern w:val="0"/>
                <w:szCs w:val="21"/>
              </w:rPr>
            </w:pPr>
          </w:p>
        </w:tc>
        <w:tc>
          <w:tcPr>
            <w:tcW w:w="5358" w:type="dxa"/>
            <w:tcBorders>
              <w:top w:val="single" w:color="auto" w:sz="4" w:space="0"/>
            </w:tcBorders>
            <w:vAlign w:val="center"/>
          </w:tcPr>
          <w:p>
            <w:pPr>
              <w:autoSpaceDE w:val="0"/>
              <w:autoSpaceDN w:val="0"/>
              <w:adjustRightInd w:val="0"/>
              <w:spacing w:line="360" w:lineRule="auto"/>
              <w:ind w:right="71" w:rightChars="34"/>
              <w:rPr>
                <w:rFonts w:ascii="宋体" w:hAnsi="宋体" w:cs="宋体"/>
                <w:color w:val="auto"/>
                <w:spacing w:val="-6"/>
                <w:kern w:val="0"/>
                <w:szCs w:val="21"/>
              </w:rPr>
            </w:pPr>
          </w:p>
        </w:tc>
        <w:tc>
          <w:tcPr>
            <w:tcW w:w="825" w:type="dxa"/>
            <w:tcBorders>
              <w:top w:val="single" w:color="auto" w:sz="4" w:space="0"/>
            </w:tcBorders>
            <w:vAlign w:val="center"/>
          </w:tcPr>
          <w:p>
            <w:pPr>
              <w:autoSpaceDE w:val="0"/>
              <w:autoSpaceDN w:val="0"/>
              <w:adjustRightInd w:val="0"/>
              <w:spacing w:line="360" w:lineRule="auto"/>
              <w:ind w:right="71" w:rightChars="34"/>
              <w:rPr>
                <w:rFonts w:ascii="宋体" w:hAnsi="宋体" w:cs="宋体"/>
                <w:color w:val="auto"/>
                <w:spacing w:val="-6"/>
                <w:kern w:val="0"/>
                <w:szCs w:val="21"/>
              </w:rPr>
            </w:pPr>
          </w:p>
        </w:tc>
        <w:tc>
          <w:tcPr>
            <w:tcW w:w="1133" w:type="dxa"/>
            <w:tcBorders>
              <w:top w:val="single" w:color="auto" w:sz="4" w:space="0"/>
            </w:tcBorders>
            <w:vAlign w:val="center"/>
          </w:tcPr>
          <w:p>
            <w:pPr>
              <w:autoSpaceDE w:val="0"/>
              <w:autoSpaceDN w:val="0"/>
              <w:adjustRightInd w:val="0"/>
              <w:spacing w:line="360" w:lineRule="auto"/>
              <w:ind w:right="71" w:rightChars="34"/>
              <w:rPr>
                <w:rFonts w:ascii="宋体" w:hAnsi="宋体" w:cs="宋体"/>
                <w:color w:val="auto"/>
                <w:spacing w:val="-6"/>
                <w:kern w:val="0"/>
                <w:szCs w:val="21"/>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807" w:hRule="atLeast"/>
        </w:trPr>
        <w:tc>
          <w:tcPr>
            <w:tcW w:w="687" w:type="dxa"/>
            <w:vMerge w:val="restart"/>
            <w:vAlign w:val="center"/>
          </w:tcPr>
          <w:p>
            <w:pPr>
              <w:spacing w:line="360" w:lineRule="auto"/>
              <w:jc w:val="center"/>
              <w:rPr>
                <w:rFonts w:ascii="宋体" w:hAnsi="宋体" w:cs="宋体"/>
                <w:color w:val="auto"/>
                <w:spacing w:val="-6"/>
                <w:szCs w:val="21"/>
              </w:rPr>
            </w:pPr>
          </w:p>
        </w:tc>
        <w:tc>
          <w:tcPr>
            <w:tcW w:w="1285" w:type="dxa"/>
            <w:vAlign w:val="center"/>
          </w:tcPr>
          <w:p>
            <w:pPr>
              <w:spacing w:line="360" w:lineRule="auto"/>
              <w:rPr>
                <w:rFonts w:ascii="宋体" w:hAnsi="宋体" w:cs="宋体"/>
                <w:color w:val="auto"/>
                <w:spacing w:val="-6"/>
                <w:szCs w:val="21"/>
              </w:rPr>
            </w:pPr>
          </w:p>
        </w:tc>
        <w:tc>
          <w:tcPr>
            <w:tcW w:w="5358" w:type="dxa"/>
            <w:vAlign w:val="center"/>
          </w:tcPr>
          <w:p>
            <w:pPr>
              <w:spacing w:line="360" w:lineRule="auto"/>
              <w:ind w:left="-4" w:leftChars="-2" w:firstLine="1" w:firstLineChars="1"/>
              <w:rPr>
                <w:rFonts w:ascii="宋体" w:hAnsi="宋体" w:cs="宋体"/>
                <w:color w:val="auto"/>
                <w:spacing w:val="-6"/>
                <w:szCs w:val="21"/>
              </w:rPr>
            </w:pPr>
          </w:p>
        </w:tc>
        <w:tc>
          <w:tcPr>
            <w:tcW w:w="825" w:type="dxa"/>
            <w:vAlign w:val="center"/>
          </w:tcPr>
          <w:p>
            <w:pPr>
              <w:spacing w:line="360" w:lineRule="auto"/>
              <w:ind w:left="-4" w:leftChars="-2" w:firstLine="1" w:firstLineChars="1"/>
              <w:rPr>
                <w:rFonts w:ascii="宋体" w:hAnsi="宋体" w:cs="宋体"/>
                <w:color w:val="auto"/>
                <w:spacing w:val="-6"/>
                <w:szCs w:val="21"/>
              </w:rPr>
            </w:pPr>
          </w:p>
        </w:tc>
        <w:tc>
          <w:tcPr>
            <w:tcW w:w="1133" w:type="dxa"/>
            <w:vAlign w:val="center"/>
          </w:tcPr>
          <w:p>
            <w:pPr>
              <w:spacing w:line="360" w:lineRule="auto"/>
              <w:ind w:left="-4" w:leftChars="-2" w:firstLine="1" w:firstLineChars="1"/>
              <w:rPr>
                <w:rFonts w:ascii="宋体" w:hAnsi="宋体" w:cs="宋体"/>
                <w:color w:val="auto"/>
                <w:spacing w:val="-6"/>
                <w:szCs w:val="21"/>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807" w:hRule="atLeast"/>
        </w:trPr>
        <w:tc>
          <w:tcPr>
            <w:tcW w:w="687" w:type="dxa"/>
            <w:vMerge w:val="continue"/>
            <w:vAlign w:val="center"/>
          </w:tcPr>
          <w:p>
            <w:pPr>
              <w:spacing w:line="360" w:lineRule="auto"/>
              <w:ind w:left="-4" w:leftChars="-2" w:firstLine="2" w:firstLineChars="1"/>
              <w:rPr>
                <w:rFonts w:ascii="宋体" w:hAnsi="宋体" w:cs="宋体"/>
                <w:color w:val="auto"/>
                <w:szCs w:val="21"/>
              </w:rPr>
            </w:pPr>
          </w:p>
        </w:tc>
        <w:tc>
          <w:tcPr>
            <w:tcW w:w="1285" w:type="dxa"/>
            <w:vAlign w:val="center"/>
          </w:tcPr>
          <w:p>
            <w:pPr>
              <w:spacing w:line="360" w:lineRule="auto"/>
              <w:ind w:left="-4" w:leftChars="-2" w:firstLine="2" w:firstLineChars="1"/>
              <w:rPr>
                <w:rFonts w:ascii="宋体" w:hAnsi="宋体" w:cs="宋体"/>
                <w:color w:val="auto"/>
                <w:szCs w:val="21"/>
              </w:rPr>
            </w:pPr>
          </w:p>
        </w:tc>
        <w:tc>
          <w:tcPr>
            <w:tcW w:w="5358" w:type="dxa"/>
            <w:vAlign w:val="center"/>
          </w:tcPr>
          <w:p>
            <w:pPr>
              <w:spacing w:line="360" w:lineRule="auto"/>
              <w:ind w:left="-4" w:leftChars="-2" w:firstLine="2" w:firstLineChars="1"/>
              <w:rPr>
                <w:rFonts w:ascii="宋体" w:hAnsi="宋体" w:cs="宋体"/>
                <w:color w:val="auto"/>
                <w:szCs w:val="21"/>
              </w:rPr>
            </w:pPr>
          </w:p>
        </w:tc>
        <w:tc>
          <w:tcPr>
            <w:tcW w:w="825" w:type="dxa"/>
            <w:vAlign w:val="center"/>
          </w:tcPr>
          <w:p>
            <w:pPr>
              <w:spacing w:line="360" w:lineRule="auto"/>
              <w:ind w:left="-4" w:leftChars="-2" w:firstLine="2" w:firstLineChars="1"/>
              <w:rPr>
                <w:rFonts w:ascii="宋体" w:hAnsi="宋体" w:cs="宋体"/>
                <w:color w:val="auto"/>
                <w:szCs w:val="21"/>
              </w:rPr>
            </w:pPr>
          </w:p>
        </w:tc>
        <w:tc>
          <w:tcPr>
            <w:tcW w:w="1133" w:type="dxa"/>
            <w:vAlign w:val="center"/>
          </w:tcPr>
          <w:p>
            <w:pPr>
              <w:spacing w:line="360" w:lineRule="auto"/>
              <w:ind w:left="-4" w:leftChars="-2" w:firstLine="2" w:firstLineChars="1"/>
              <w:rPr>
                <w:rFonts w:ascii="宋体" w:hAnsi="宋体" w:cs="宋体"/>
                <w:color w:val="auto"/>
                <w:szCs w:val="21"/>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807" w:hRule="atLeast"/>
        </w:trPr>
        <w:tc>
          <w:tcPr>
            <w:tcW w:w="687" w:type="dxa"/>
            <w:vMerge w:val="continue"/>
            <w:vAlign w:val="center"/>
          </w:tcPr>
          <w:p>
            <w:pPr>
              <w:spacing w:line="360" w:lineRule="auto"/>
              <w:rPr>
                <w:rFonts w:ascii="宋体" w:hAnsi="宋体" w:cs="宋体"/>
                <w:color w:val="auto"/>
                <w:szCs w:val="21"/>
              </w:rPr>
            </w:pPr>
          </w:p>
        </w:tc>
        <w:tc>
          <w:tcPr>
            <w:tcW w:w="1285" w:type="dxa"/>
            <w:vAlign w:val="center"/>
          </w:tcPr>
          <w:p>
            <w:pPr>
              <w:spacing w:line="360" w:lineRule="auto"/>
              <w:rPr>
                <w:rFonts w:ascii="宋体" w:hAnsi="宋体" w:cs="宋体"/>
                <w:color w:val="auto"/>
                <w:spacing w:val="-6"/>
                <w:kern w:val="0"/>
                <w:szCs w:val="21"/>
              </w:rPr>
            </w:pPr>
          </w:p>
        </w:tc>
        <w:tc>
          <w:tcPr>
            <w:tcW w:w="5358" w:type="dxa"/>
            <w:vAlign w:val="center"/>
          </w:tcPr>
          <w:p>
            <w:pPr>
              <w:autoSpaceDE w:val="0"/>
              <w:autoSpaceDN w:val="0"/>
              <w:adjustRightInd w:val="0"/>
              <w:spacing w:line="360" w:lineRule="auto"/>
              <w:rPr>
                <w:rFonts w:ascii="宋体" w:hAnsi="宋体" w:cs="宋体"/>
                <w:color w:val="auto"/>
                <w:spacing w:val="-6"/>
                <w:kern w:val="0"/>
                <w:szCs w:val="21"/>
              </w:rPr>
            </w:pPr>
          </w:p>
        </w:tc>
        <w:tc>
          <w:tcPr>
            <w:tcW w:w="825" w:type="dxa"/>
            <w:vAlign w:val="center"/>
          </w:tcPr>
          <w:p>
            <w:pPr>
              <w:autoSpaceDE w:val="0"/>
              <w:autoSpaceDN w:val="0"/>
              <w:adjustRightInd w:val="0"/>
              <w:spacing w:line="360" w:lineRule="auto"/>
              <w:rPr>
                <w:rFonts w:ascii="宋体" w:hAnsi="宋体" w:cs="宋体"/>
                <w:color w:val="auto"/>
                <w:spacing w:val="-6"/>
                <w:kern w:val="0"/>
                <w:szCs w:val="21"/>
              </w:rPr>
            </w:pPr>
          </w:p>
        </w:tc>
        <w:tc>
          <w:tcPr>
            <w:tcW w:w="1133" w:type="dxa"/>
            <w:vAlign w:val="center"/>
          </w:tcPr>
          <w:p>
            <w:pPr>
              <w:autoSpaceDE w:val="0"/>
              <w:autoSpaceDN w:val="0"/>
              <w:adjustRightInd w:val="0"/>
              <w:spacing w:line="360" w:lineRule="auto"/>
              <w:rPr>
                <w:rFonts w:ascii="宋体" w:hAnsi="宋体" w:cs="宋体"/>
                <w:color w:val="auto"/>
                <w:spacing w:val="-6"/>
                <w:kern w:val="0"/>
                <w:szCs w:val="21"/>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807" w:hRule="atLeast"/>
        </w:trPr>
        <w:tc>
          <w:tcPr>
            <w:tcW w:w="687" w:type="dxa"/>
            <w:vMerge w:val="continue"/>
            <w:vAlign w:val="center"/>
          </w:tcPr>
          <w:p>
            <w:pPr>
              <w:spacing w:line="360" w:lineRule="auto"/>
              <w:rPr>
                <w:rFonts w:ascii="宋体" w:hAnsi="宋体" w:cs="宋体"/>
                <w:color w:val="auto"/>
                <w:szCs w:val="21"/>
              </w:rPr>
            </w:pPr>
          </w:p>
        </w:tc>
        <w:tc>
          <w:tcPr>
            <w:tcW w:w="1285" w:type="dxa"/>
            <w:vAlign w:val="center"/>
          </w:tcPr>
          <w:p>
            <w:pPr>
              <w:spacing w:line="360" w:lineRule="auto"/>
              <w:rPr>
                <w:rFonts w:ascii="宋体" w:hAnsi="宋体" w:cs="宋体"/>
                <w:color w:val="auto"/>
                <w:spacing w:val="-6"/>
                <w:szCs w:val="21"/>
              </w:rPr>
            </w:pPr>
          </w:p>
        </w:tc>
        <w:tc>
          <w:tcPr>
            <w:tcW w:w="5358" w:type="dxa"/>
            <w:vAlign w:val="center"/>
          </w:tcPr>
          <w:p>
            <w:pPr>
              <w:spacing w:line="360" w:lineRule="auto"/>
              <w:ind w:left="-4" w:leftChars="-2" w:firstLine="1" w:firstLineChars="1"/>
              <w:rPr>
                <w:rFonts w:ascii="宋体" w:hAnsi="宋体" w:cs="宋体"/>
                <w:color w:val="auto"/>
                <w:spacing w:val="-6"/>
                <w:szCs w:val="21"/>
              </w:rPr>
            </w:pPr>
          </w:p>
        </w:tc>
        <w:tc>
          <w:tcPr>
            <w:tcW w:w="825" w:type="dxa"/>
            <w:vAlign w:val="center"/>
          </w:tcPr>
          <w:p>
            <w:pPr>
              <w:spacing w:line="360" w:lineRule="auto"/>
              <w:ind w:left="-4" w:leftChars="-2" w:firstLine="1" w:firstLineChars="1"/>
              <w:rPr>
                <w:rFonts w:ascii="宋体" w:hAnsi="宋体" w:cs="宋体"/>
                <w:color w:val="auto"/>
                <w:spacing w:val="-6"/>
                <w:szCs w:val="21"/>
              </w:rPr>
            </w:pPr>
          </w:p>
        </w:tc>
        <w:tc>
          <w:tcPr>
            <w:tcW w:w="1133" w:type="dxa"/>
            <w:vAlign w:val="center"/>
          </w:tcPr>
          <w:p>
            <w:pPr>
              <w:spacing w:line="360" w:lineRule="auto"/>
              <w:ind w:left="-4" w:leftChars="-2" w:firstLine="1" w:firstLineChars="1"/>
              <w:rPr>
                <w:rFonts w:ascii="宋体" w:hAnsi="宋体" w:cs="宋体"/>
                <w:color w:val="auto"/>
                <w:spacing w:val="-6"/>
                <w:szCs w:val="21"/>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807" w:hRule="atLeast"/>
        </w:trPr>
        <w:tc>
          <w:tcPr>
            <w:tcW w:w="687" w:type="dxa"/>
            <w:vMerge w:val="continue"/>
            <w:vAlign w:val="center"/>
          </w:tcPr>
          <w:p>
            <w:pPr>
              <w:spacing w:line="360" w:lineRule="auto"/>
              <w:rPr>
                <w:rFonts w:ascii="宋体" w:hAnsi="宋体" w:cs="宋体"/>
                <w:color w:val="auto"/>
                <w:szCs w:val="21"/>
              </w:rPr>
            </w:pPr>
          </w:p>
        </w:tc>
        <w:tc>
          <w:tcPr>
            <w:tcW w:w="1285" w:type="dxa"/>
            <w:vAlign w:val="center"/>
          </w:tcPr>
          <w:p>
            <w:pPr>
              <w:spacing w:line="360" w:lineRule="auto"/>
              <w:rPr>
                <w:rFonts w:ascii="宋体" w:hAnsi="宋体" w:cs="宋体"/>
                <w:color w:val="auto"/>
                <w:spacing w:val="-6"/>
                <w:szCs w:val="21"/>
              </w:rPr>
            </w:pPr>
          </w:p>
        </w:tc>
        <w:tc>
          <w:tcPr>
            <w:tcW w:w="5358" w:type="dxa"/>
            <w:vAlign w:val="center"/>
          </w:tcPr>
          <w:p>
            <w:pPr>
              <w:spacing w:line="360" w:lineRule="auto"/>
              <w:rPr>
                <w:rFonts w:ascii="宋体" w:hAnsi="宋体" w:cs="宋体"/>
                <w:color w:val="auto"/>
                <w:spacing w:val="-6"/>
                <w:szCs w:val="21"/>
              </w:rPr>
            </w:pPr>
          </w:p>
        </w:tc>
        <w:tc>
          <w:tcPr>
            <w:tcW w:w="825" w:type="dxa"/>
            <w:vAlign w:val="center"/>
          </w:tcPr>
          <w:p>
            <w:pPr>
              <w:spacing w:line="360" w:lineRule="auto"/>
              <w:rPr>
                <w:rFonts w:ascii="宋体" w:hAnsi="宋体" w:cs="宋体"/>
                <w:color w:val="auto"/>
                <w:spacing w:val="-6"/>
                <w:szCs w:val="21"/>
              </w:rPr>
            </w:pPr>
          </w:p>
        </w:tc>
        <w:tc>
          <w:tcPr>
            <w:tcW w:w="1133" w:type="dxa"/>
            <w:vAlign w:val="center"/>
          </w:tcPr>
          <w:p>
            <w:pPr>
              <w:spacing w:line="360" w:lineRule="auto"/>
              <w:rPr>
                <w:rFonts w:ascii="宋体" w:hAnsi="宋体" w:cs="宋体"/>
                <w:color w:val="auto"/>
                <w:spacing w:val="-6"/>
                <w:szCs w:val="21"/>
              </w:rPr>
            </w:pPr>
          </w:p>
        </w:tc>
      </w:tr>
    </w:tbl>
    <w:p>
      <w:pPr>
        <w:autoSpaceDE w:val="0"/>
        <w:autoSpaceDN w:val="0"/>
        <w:adjustRightInd w:val="0"/>
        <w:spacing w:line="480" w:lineRule="auto"/>
        <w:rPr>
          <w:rFonts w:asciiTheme="minorEastAsia" w:hAnsiTheme="minorEastAsia" w:eastAsiaTheme="minorEastAsia" w:cstheme="minorEastAsia"/>
          <w:b/>
          <w:color w:val="auto"/>
        </w:rPr>
      </w:pPr>
    </w:p>
    <w:p>
      <w:pPr>
        <w:adjustRightInd w:val="0"/>
        <w:snapToGrid w:val="0"/>
        <w:spacing w:line="480" w:lineRule="auto"/>
        <w:rPr>
          <w:rFonts w:asciiTheme="minorEastAsia" w:hAnsiTheme="minorEastAsia" w:eastAsiaTheme="minorEastAsia" w:cstheme="minorEastAsia"/>
          <w:color w:val="auto"/>
          <w:szCs w:val="21"/>
        </w:rPr>
      </w:pPr>
      <w:r>
        <w:rPr>
          <w:rFonts w:hint="eastAsia" w:asciiTheme="minorEastAsia" w:hAnsiTheme="minorEastAsia" w:eastAsiaTheme="minorEastAsia" w:cstheme="minorEastAsia"/>
          <w:b/>
          <w:color w:val="auto"/>
        </w:rPr>
        <w:br w:type="textWrapping"/>
      </w:r>
    </w:p>
    <w:p>
      <w:pPr>
        <w:adjustRightInd w:val="0"/>
        <w:snapToGrid w:val="0"/>
        <w:spacing w:line="480" w:lineRule="auto"/>
        <w:jc w:val="center"/>
        <w:outlineLvl w:val="1"/>
        <w:rPr>
          <w:rFonts w:asciiTheme="minorEastAsia" w:hAnsiTheme="minorEastAsia" w:eastAsiaTheme="minorEastAsia" w:cstheme="minorEastAsia"/>
          <w:b/>
          <w:color w:val="auto"/>
        </w:rPr>
      </w:pPr>
      <w:bookmarkStart w:id="134" w:name="_Toc479184125"/>
      <w:bookmarkStart w:id="135" w:name="_Toc30144"/>
      <w:bookmarkStart w:id="136" w:name="_Toc15789"/>
      <w:bookmarkStart w:id="137" w:name="_Toc8850"/>
      <w:r>
        <w:rPr>
          <w:rFonts w:hint="eastAsia" w:asciiTheme="minorEastAsia" w:hAnsiTheme="minorEastAsia" w:eastAsiaTheme="minorEastAsia" w:cstheme="minorEastAsia"/>
          <w:b/>
          <w:color w:val="auto"/>
        </w:rPr>
        <w:t>二、磋商书</w:t>
      </w:r>
      <w:bookmarkEnd w:id="134"/>
      <w:bookmarkEnd w:id="135"/>
      <w:bookmarkEnd w:id="136"/>
      <w:bookmarkEnd w:id="137"/>
    </w:p>
    <w:p>
      <w:pPr>
        <w:pStyle w:val="20"/>
        <w:rPr>
          <w:rFonts w:asciiTheme="minorEastAsia" w:hAnsiTheme="minorEastAsia" w:eastAsiaTheme="minorEastAsia" w:cstheme="minorEastAsia"/>
          <w:b/>
          <w:color w:val="auto"/>
          <w:szCs w:val="21"/>
        </w:rPr>
      </w:pPr>
    </w:p>
    <w:p>
      <w:pPr>
        <w:autoSpaceDE w:val="0"/>
        <w:autoSpaceDN w:val="0"/>
        <w:adjustRightInd w:val="0"/>
        <w:jc w:val="left"/>
        <w:rPr>
          <w:rFonts w:asciiTheme="minorEastAsia" w:hAnsiTheme="minorEastAsia" w:eastAsiaTheme="minorEastAsia" w:cstheme="minorEastAsia"/>
          <w:color w:val="auto"/>
          <w:kern w:val="0"/>
          <w:szCs w:val="21"/>
        </w:rPr>
      </w:pPr>
      <w:r>
        <w:rPr>
          <w:rFonts w:hint="eastAsia" w:asciiTheme="minorEastAsia" w:hAnsiTheme="minorEastAsia" w:eastAsiaTheme="minorEastAsia" w:cstheme="minorEastAsia"/>
          <w:bCs/>
          <w:color w:val="auto"/>
          <w:szCs w:val="21"/>
          <w:u w:val="single"/>
        </w:rPr>
        <w:t>（政府采购代理机构）：</w:t>
      </w:r>
    </w:p>
    <w:p>
      <w:pPr>
        <w:autoSpaceDE w:val="0"/>
        <w:autoSpaceDN w:val="0"/>
        <w:adjustRightInd w:val="0"/>
        <w:ind w:left="2" w:firstLine="462" w:firstLineChars="220"/>
        <w:rPr>
          <w:rFonts w:asciiTheme="minorEastAsia" w:hAnsiTheme="minorEastAsia" w:eastAsiaTheme="minorEastAsia" w:cstheme="minorEastAsia"/>
          <w:color w:val="auto"/>
          <w:kern w:val="0"/>
          <w:szCs w:val="21"/>
        </w:rPr>
      </w:pPr>
      <w:r>
        <w:rPr>
          <w:rFonts w:hint="eastAsia" w:asciiTheme="minorEastAsia" w:hAnsiTheme="minorEastAsia" w:eastAsiaTheme="minorEastAsia" w:cstheme="minorEastAsia"/>
          <w:color w:val="auto"/>
          <w:kern w:val="0"/>
          <w:szCs w:val="21"/>
        </w:rPr>
        <w:t>依据贵方（项目名称/项目编号）项目第</w:t>
      </w:r>
      <w:r>
        <w:rPr>
          <w:rFonts w:hint="eastAsia" w:asciiTheme="minorEastAsia" w:hAnsiTheme="minorEastAsia" w:eastAsiaTheme="minorEastAsia" w:cstheme="minorEastAsia"/>
          <w:color w:val="auto"/>
          <w:kern w:val="0"/>
          <w:szCs w:val="21"/>
          <w:u w:val="single"/>
        </w:rPr>
        <w:t xml:space="preserve">  </w:t>
      </w:r>
      <w:r>
        <w:rPr>
          <w:rFonts w:hint="eastAsia" w:asciiTheme="minorEastAsia" w:hAnsiTheme="minorEastAsia" w:eastAsiaTheme="minorEastAsia" w:cstheme="minorEastAsia"/>
          <w:color w:val="auto"/>
          <w:kern w:val="0"/>
          <w:szCs w:val="21"/>
        </w:rPr>
        <w:t>包货物的磋商邀请，我方代表（姓名、职务）经正式授权并代表供应商（供应商的名称、地址）提交下述文件正本一份，副本</w:t>
      </w:r>
      <w:r>
        <w:rPr>
          <w:rFonts w:hint="eastAsia" w:asciiTheme="minorEastAsia" w:hAnsiTheme="minorEastAsia" w:eastAsiaTheme="minorEastAsia" w:cstheme="minorEastAsia"/>
          <w:color w:val="auto"/>
          <w:kern w:val="0"/>
          <w:szCs w:val="21"/>
          <w:u w:val="single"/>
        </w:rPr>
        <w:t xml:space="preserve">    </w:t>
      </w:r>
      <w:r>
        <w:rPr>
          <w:rFonts w:hint="eastAsia" w:asciiTheme="minorEastAsia" w:hAnsiTheme="minorEastAsia" w:eastAsiaTheme="minorEastAsia" w:cstheme="minorEastAsia"/>
          <w:color w:val="auto"/>
          <w:kern w:val="0"/>
          <w:szCs w:val="21"/>
        </w:rPr>
        <w:t>份。</w:t>
      </w:r>
    </w:p>
    <w:p>
      <w:pPr>
        <w:numPr>
          <w:ilvl w:val="1"/>
          <w:numId w:val="41"/>
        </w:numPr>
        <w:tabs>
          <w:tab w:val="left" w:pos="840"/>
          <w:tab w:val="clear" w:pos="360"/>
        </w:tabs>
        <w:autoSpaceDE w:val="0"/>
        <w:autoSpaceDN w:val="0"/>
        <w:adjustRightInd w:val="0"/>
        <w:ind w:left="840" w:hanging="420"/>
        <w:rPr>
          <w:rFonts w:asciiTheme="minorEastAsia" w:hAnsiTheme="minorEastAsia" w:eastAsiaTheme="minorEastAsia" w:cstheme="minorEastAsia"/>
          <w:color w:val="auto"/>
          <w:kern w:val="0"/>
          <w:szCs w:val="21"/>
        </w:rPr>
      </w:pPr>
      <w:r>
        <w:rPr>
          <w:rFonts w:hint="eastAsia" w:asciiTheme="minorEastAsia" w:hAnsiTheme="minorEastAsia" w:eastAsiaTheme="minorEastAsia" w:cstheme="minorEastAsia"/>
          <w:color w:val="auto"/>
          <w:kern w:val="0"/>
          <w:szCs w:val="21"/>
        </w:rPr>
        <w:t>竞争性磋商响应文件；</w:t>
      </w:r>
    </w:p>
    <w:p>
      <w:pPr>
        <w:numPr>
          <w:ilvl w:val="1"/>
          <w:numId w:val="41"/>
        </w:numPr>
        <w:tabs>
          <w:tab w:val="left" w:pos="840"/>
          <w:tab w:val="clear" w:pos="360"/>
        </w:tabs>
        <w:autoSpaceDE w:val="0"/>
        <w:autoSpaceDN w:val="0"/>
        <w:adjustRightInd w:val="0"/>
        <w:ind w:left="840" w:hanging="420"/>
        <w:rPr>
          <w:rFonts w:asciiTheme="minorEastAsia" w:hAnsiTheme="minorEastAsia" w:eastAsiaTheme="minorEastAsia" w:cstheme="minorEastAsia"/>
          <w:color w:val="auto"/>
          <w:kern w:val="0"/>
          <w:szCs w:val="21"/>
        </w:rPr>
      </w:pPr>
      <w:r>
        <w:rPr>
          <w:rFonts w:hint="eastAsia" w:asciiTheme="minorEastAsia" w:hAnsiTheme="minorEastAsia" w:eastAsiaTheme="minorEastAsia" w:cstheme="minorEastAsia"/>
          <w:color w:val="auto"/>
          <w:kern w:val="0"/>
          <w:szCs w:val="21"/>
        </w:rPr>
        <w:t>资格证明文件；</w:t>
      </w:r>
    </w:p>
    <w:p>
      <w:pPr>
        <w:numPr>
          <w:ilvl w:val="1"/>
          <w:numId w:val="41"/>
        </w:numPr>
        <w:tabs>
          <w:tab w:val="left" w:pos="840"/>
          <w:tab w:val="clear" w:pos="360"/>
        </w:tabs>
        <w:autoSpaceDE w:val="0"/>
        <w:autoSpaceDN w:val="0"/>
        <w:adjustRightInd w:val="0"/>
        <w:ind w:left="840" w:hanging="420"/>
        <w:rPr>
          <w:rFonts w:asciiTheme="minorEastAsia" w:hAnsiTheme="minorEastAsia" w:eastAsiaTheme="minorEastAsia" w:cstheme="minorEastAsia"/>
          <w:color w:val="auto"/>
          <w:kern w:val="0"/>
          <w:szCs w:val="21"/>
        </w:rPr>
      </w:pPr>
      <w:r>
        <w:rPr>
          <w:rFonts w:hint="eastAsia" w:asciiTheme="minorEastAsia" w:hAnsiTheme="minorEastAsia" w:eastAsiaTheme="minorEastAsia" w:cstheme="minorEastAsia"/>
          <w:color w:val="auto"/>
          <w:kern w:val="0"/>
          <w:szCs w:val="21"/>
        </w:rPr>
        <w:t>按采购的规定递交</w:t>
      </w:r>
      <w:r>
        <w:rPr>
          <w:rFonts w:hint="eastAsia" w:asciiTheme="minorEastAsia" w:hAnsiTheme="minorEastAsia" w:eastAsiaTheme="minorEastAsia" w:cstheme="minorEastAsia"/>
          <w:color w:val="auto"/>
          <w:kern w:val="0"/>
          <w:szCs w:val="21"/>
          <w:u w:val="single"/>
        </w:rPr>
        <w:t xml:space="preserve">      </w:t>
      </w:r>
      <w:r>
        <w:rPr>
          <w:rFonts w:hint="eastAsia" w:asciiTheme="minorEastAsia" w:hAnsiTheme="minorEastAsia" w:eastAsiaTheme="minorEastAsia" w:cstheme="minorEastAsia"/>
          <w:color w:val="auto"/>
          <w:kern w:val="0"/>
          <w:szCs w:val="21"/>
        </w:rPr>
        <w:t>元（人民币大写）的保证金（如有）。</w:t>
      </w:r>
    </w:p>
    <w:p>
      <w:pPr>
        <w:autoSpaceDE w:val="0"/>
        <w:autoSpaceDN w:val="0"/>
        <w:adjustRightInd w:val="0"/>
        <w:ind w:firstLine="422" w:firstLineChars="200"/>
        <w:rPr>
          <w:rFonts w:asciiTheme="minorEastAsia" w:hAnsiTheme="minorEastAsia" w:eastAsiaTheme="minorEastAsia" w:cstheme="minorEastAsia"/>
          <w:b/>
          <w:bCs/>
          <w:color w:val="auto"/>
          <w:kern w:val="0"/>
          <w:szCs w:val="21"/>
        </w:rPr>
      </w:pPr>
      <w:r>
        <w:rPr>
          <w:rFonts w:hint="eastAsia" w:asciiTheme="minorEastAsia" w:hAnsiTheme="minorEastAsia" w:eastAsiaTheme="minorEastAsia" w:cstheme="minorEastAsia"/>
          <w:b/>
          <w:bCs/>
          <w:color w:val="auto"/>
          <w:kern w:val="0"/>
          <w:szCs w:val="21"/>
        </w:rPr>
        <w:t>并进行如下承诺声明：</w:t>
      </w:r>
    </w:p>
    <w:p>
      <w:pPr>
        <w:numPr>
          <w:ilvl w:val="0"/>
          <w:numId w:val="42"/>
        </w:numPr>
        <w:tabs>
          <w:tab w:val="left" w:pos="840"/>
        </w:tabs>
        <w:autoSpaceDE w:val="0"/>
        <w:autoSpaceDN w:val="0"/>
        <w:adjustRightInd w:val="0"/>
        <w:ind w:firstLine="420" w:firstLineChars="200"/>
        <w:rPr>
          <w:rFonts w:asciiTheme="minorEastAsia" w:hAnsiTheme="minorEastAsia" w:eastAsiaTheme="minorEastAsia" w:cstheme="minorEastAsia"/>
          <w:color w:val="auto"/>
          <w:kern w:val="0"/>
          <w:szCs w:val="21"/>
        </w:rPr>
      </w:pPr>
      <w:r>
        <w:rPr>
          <w:rFonts w:hint="eastAsia" w:asciiTheme="minorEastAsia" w:hAnsiTheme="minorEastAsia" w:eastAsiaTheme="minorEastAsia" w:cstheme="minorEastAsia"/>
          <w:color w:val="auto"/>
          <w:kern w:val="0"/>
          <w:szCs w:val="21"/>
          <w:lang w:val="zh-CN"/>
        </w:rPr>
        <w:t>我公司在参加本次政府采购活动前</w:t>
      </w:r>
      <w:r>
        <w:rPr>
          <w:rFonts w:hint="eastAsia" w:asciiTheme="minorEastAsia" w:hAnsiTheme="minorEastAsia" w:eastAsiaTheme="minorEastAsia" w:cstheme="minorEastAsia"/>
          <w:color w:val="auto"/>
          <w:kern w:val="0"/>
          <w:szCs w:val="21"/>
        </w:rPr>
        <w:t>3年内在经营活动中没有重大违法记录；</w:t>
      </w:r>
    </w:p>
    <w:p>
      <w:pPr>
        <w:numPr>
          <w:ilvl w:val="0"/>
          <w:numId w:val="42"/>
        </w:numPr>
        <w:tabs>
          <w:tab w:val="left" w:pos="840"/>
        </w:tabs>
        <w:autoSpaceDE w:val="0"/>
        <w:autoSpaceDN w:val="0"/>
        <w:adjustRightInd w:val="0"/>
        <w:ind w:firstLine="420" w:firstLineChars="200"/>
        <w:rPr>
          <w:rFonts w:asciiTheme="minorEastAsia" w:hAnsiTheme="minorEastAsia" w:eastAsiaTheme="minorEastAsia" w:cstheme="minorEastAsia"/>
          <w:color w:val="auto"/>
          <w:kern w:val="0"/>
          <w:szCs w:val="21"/>
        </w:rPr>
      </w:pPr>
      <w:r>
        <w:rPr>
          <w:rFonts w:hint="eastAsia" w:asciiTheme="minorEastAsia" w:hAnsiTheme="minorEastAsia" w:eastAsiaTheme="minorEastAsia" w:cstheme="minorEastAsia"/>
          <w:color w:val="auto"/>
          <w:kern w:val="0"/>
          <w:szCs w:val="21"/>
        </w:rPr>
        <w:t>我公司在本响应文件中所提供的全部资格证明文件均真实有效，我方承诺对其真实性负责并承担相应后果；</w:t>
      </w:r>
    </w:p>
    <w:p>
      <w:pPr>
        <w:numPr>
          <w:ilvl w:val="0"/>
          <w:numId w:val="42"/>
        </w:numPr>
        <w:tabs>
          <w:tab w:val="left" w:pos="840"/>
        </w:tabs>
        <w:autoSpaceDE w:val="0"/>
        <w:autoSpaceDN w:val="0"/>
        <w:adjustRightInd w:val="0"/>
        <w:ind w:firstLine="420" w:firstLineChars="200"/>
        <w:rPr>
          <w:rFonts w:asciiTheme="minorEastAsia" w:hAnsiTheme="minorEastAsia" w:eastAsiaTheme="minorEastAsia" w:cstheme="minorEastAsia"/>
          <w:color w:val="auto"/>
          <w:kern w:val="0"/>
          <w:szCs w:val="21"/>
        </w:rPr>
      </w:pPr>
      <w:r>
        <w:rPr>
          <w:rFonts w:hint="eastAsia" w:asciiTheme="minorEastAsia" w:hAnsiTheme="minorEastAsia" w:eastAsiaTheme="minorEastAsia" w:cstheme="minorEastAsia"/>
          <w:color w:val="auto"/>
          <w:kern w:val="0"/>
          <w:szCs w:val="21"/>
        </w:rPr>
        <w:t>我公司在本响应文件中所响应的内容均将成为签订合同的依据，并承诺按响应内容提供相应服务；</w:t>
      </w:r>
    </w:p>
    <w:p>
      <w:pPr>
        <w:numPr>
          <w:ilvl w:val="0"/>
          <w:numId w:val="42"/>
        </w:numPr>
        <w:tabs>
          <w:tab w:val="left" w:pos="840"/>
        </w:tabs>
        <w:autoSpaceDE w:val="0"/>
        <w:autoSpaceDN w:val="0"/>
        <w:adjustRightInd w:val="0"/>
        <w:ind w:firstLine="420" w:firstLineChars="200"/>
        <w:rPr>
          <w:rFonts w:asciiTheme="minorEastAsia" w:hAnsiTheme="minorEastAsia" w:eastAsiaTheme="minorEastAsia" w:cstheme="minorEastAsia"/>
          <w:color w:val="auto"/>
        </w:rPr>
      </w:pPr>
      <w:r>
        <w:rPr>
          <w:rFonts w:hint="eastAsia" w:asciiTheme="minorEastAsia" w:hAnsiTheme="minorEastAsia" w:eastAsiaTheme="minorEastAsia" w:cstheme="minorEastAsia"/>
          <w:color w:val="auto"/>
          <w:kern w:val="0"/>
          <w:szCs w:val="21"/>
        </w:rPr>
        <w:t>重要声明：</w:t>
      </w:r>
    </w:p>
    <w:p>
      <w:pPr>
        <w:tabs>
          <w:tab w:val="left" w:pos="840"/>
        </w:tabs>
        <w:autoSpaceDE w:val="0"/>
        <w:autoSpaceDN w:val="0"/>
        <w:adjustRightInd w:val="0"/>
        <w:ind w:left="420" w:leftChars="200"/>
        <w:rPr>
          <w:rFonts w:asciiTheme="minorEastAsia" w:hAnsiTheme="minorEastAsia" w:eastAsiaTheme="minorEastAsia" w:cstheme="minorEastAsia"/>
          <w:color w:val="auto"/>
        </w:rPr>
      </w:pPr>
      <w:r>
        <w:rPr>
          <w:rFonts w:hint="eastAsia" w:asciiTheme="minorEastAsia" w:hAnsiTheme="minorEastAsia" w:eastAsiaTheme="minorEastAsia" w:cstheme="minorEastAsia"/>
          <w:color w:val="auto"/>
          <w:kern w:val="0"/>
          <w:szCs w:val="21"/>
        </w:rPr>
        <w:t>4.1</w:t>
      </w:r>
      <w:r>
        <w:rPr>
          <w:rFonts w:hint="eastAsia" w:asciiTheme="minorEastAsia" w:hAnsiTheme="minorEastAsia" w:eastAsiaTheme="minorEastAsia" w:cstheme="minorEastAsia"/>
          <w:color w:val="auto"/>
        </w:rPr>
        <w:t>与我方单位负责人为同一人的其他单位名称：□无；□有，具体单位名称为：</w:t>
      </w:r>
      <w:r>
        <w:rPr>
          <w:rFonts w:hint="eastAsia" w:asciiTheme="minorEastAsia" w:hAnsiTheme="minorEastAsia" w:eastAsiaTheme="minorEastAsia" w:cstheme="minorEastAsia"/>
          <w:color w:val="auto"/>
          <w:u w:val="single"/>
        </w:rPr>
        <w:t>     </w:t>
      </w:r>
      <w:r>
        <w:rPr>
          <w:rFonts w:hint="eastAsia" w:asciiTheme="minorEastAsia" w:hAnsiTheme="minorEastAsia" w:eastAsiaTheme="minorEastAsia" w:cstheme="minorEastAsia"/>
          <w:color w:val="auto"/>
        </w:rPr>
        <w:t xml:space="preserve">      </w:t>
      </w:r>
    </w:p>
    <w:p>
      <w:pPr>
        <w:tabs>
          <w:tab w:val="left" w:pos="840"/>
        </w:tabs>
        <w:autoSpaceDE w:val="0"/>
        <w:autoSpaceDN w:val="0"/>
        <w:adjustRightInd w:val="0"/>
        <w:ind w:left="420" w:leftChars="200"/>
        <w:rPr>
          <w:rFonts w:asciiTheme="minorEastAsia" w:hAnsiTheme="minorEastAsia" w:eastAsiaTheme="minorEastAsia" w:cstheme="minorEastAsia"/>
          <w:color w:val="auto"/>
        </w:rPr>
      </w:pPr>
      <w:r>
        <w:rPr>
          <w:rFonts w:hint="eastAsia" w:asciiTheme="minorEastAsia" w:hAnsiTheme="minorEastAsia" w:eastAsiaTheme="minorEastAsia" w:cstheme="minorEastAsia"/>
          <w:color w:val="auto"/>
        </w:rPr>
        <w:t>4.2与我方存在控股、管理关系的其他单位的名称：□无；□有，具体单位名称为：</w:t>
      </w:r>
      <w:r>
        <w:rPr>
          <w:rFonts w:hint="eastAsia" w:asciiTheme="minorEastAsia" w:hAnsiTheme="minorEastAsia" w:eastAsiaTheme="minorEastAsia" w:cstheme="minorEastAsia"/>
          <w:color w:val="auto"/>
          <w:u w:val="single"/>
        </w:rPr>
        <w:t>     </w:t>
      </w:r>
    </w:p>
    <w:p>
      <w:pPr>
        <w:tabs>
          <w:tab w:val="left" w:pos="840"/>
        </w:tabs>
        <w:autoSpaceDE w:val="0"/>
        <w:autoSpaceDN w:val="0"/>
        <w:adjustRightInd w:val="0"/>
        <w:ind w:left="420" w:leftChars="200"/>
        <w:rPr>
          <w:rFonts w:asciiTheme="minorEastAsia" w:hAnsiTheme="minorEastAsia" w:eastAsiaTheme="minorEastAsia" w:cstheme="minorEastAsia"/>
          <w:color w:val="auto"/>
        </w:rPr>
      </w:pPr>
      <w:r>
        <w:rPr>
          <w:rFonts w:hint="eastAsia" w:asciiTheme="minorEastAsia" w:hAnsiTheme="minorEastAsia" w:eastAsiaTheme="minorEastAsia" w:cstheme="minorEastAsia"/>
          <w:color w:val="auto"/>
        </w:rPr>
        <w:t>4.3参与本项目采购活动前，是否为本项目前期准备提供过整体设计、规范编制或者项目管理、监理、检测等服务：□否；□是，已提供的具体服务内容为：</w:t>
      </w:r>
      <w:r>
        <w:rPr>
          <w:rFonts w:hint="eastAsia" w:asciiTheme="minorEastAsia" w:hAnsiTheme="minorEastAsia" w:eastAsiaTheme="minorEastAsia" w:cstheme="minorEastAsia"/>
          <w:color w:val="auto"/>
          <w:u w:val="single"/>
        </w:rPr>
        <w:t>     </w:t>
      </w:r>
    </w:p>
    <w:p>
      <w:pPr>
        <w:rPr>
          <w:color w:val="auto"/>
        </w:rPr>
      </w:pPr>
      <w:r>
        <w:rPr>
          <w:rFonts w:hint="eastAsia" w:asciiTheme="minorEastAsia" w:hAnsiTheme="minorEastAsia" w:eastAsiaTheme="minorEastAsia" w:cstheme="minorEastAsia"/>
          <w:b/>
          <w:bCs/>
          <w:color w:val="auto"/>
        </w:rPr>
        <w:t>（备注：以上3项声明，必须如实选择，选中项用√表示，未选中项用□表示。①“单位负责人”是指单位法定代表人或者法律、行政法规规定代表单位行使职权的主要负责人。②本条所规定的控股、管理关系仅限于直接控股、直接管理关系，不包括间接的控股或管理关系。③供应商如未如实填报，视为提供虚假材料谋取中标，应承担相应法律责任。）</w:t>
      </w:r>
    </w:p>
    <w:p>
      <w:pPr>
        <w:autoSpaceDE w:val="0"/>
        <w:autoSpaceDN w:val="0"/>
        <w:adjustRightInd w:val="0"/>
        <w:ind w:firstLine="420" w:firstLineChars="200"/>
        <w:rPr>
          <w:rFonts w:asciiTheme="minorEastAsia" w:hAnsiTheme="minorEastAsia" w:eastAsiaTheme="minorEastAsia" w:cstheme="minorEastAsia"/>
          <w:color w:val="auto"/>
          <w:kern w:val="0"/>
          <w:szCs w:val="21"/>
        </w:rPr>
      </w:pPr>
      <w:r>
        <w:rPr>
          <w:rFonts w:hint="eastAsia" w:asciiTheme="minorEastAsia" w:hAnsiTheme="minorEastAsia" w:eastAsiaTheme="minorEastAsia" w:cstheme="minorEastAsia"/>
          <w:color w:val="auto"/>
          <w:kern w:val="0"/>
          <w:szCs w:val="21"/>
        </w:rPr>
        <w:t>在此，我方宣布同意如下：</w:t>
      </w:r>
    </w:p>
    <w:p>
      <w:pPr>
        <w:numPr>
          <w:ilvl w:val="6"/>
          <w:numId w:val="43"/>
        </w:numPr>
        <w:tabs>
          <w:tab w:val="left" w:pos="840"/>
        </w:tabs>
        <w:autoSpaceDE w:val="0"/>
        <w:autoSpaceDN w:val="0"/>
        <w:adjustRightInd w:val="0"/>
        <w:ind w:left="0" w:firstLine="420" w:firstLineChars="200"/>
        <w:rPr>
          <w:rFonts w:asciiTheme="minorEastAsia" w:hAnsiTheme="minorEastAsia" w:eastAsiaTheme="minorEastAsia" w:cstheme="minorEastAsia"/>
          <w:color w:val="auto"/>
          <w:kern w:val="0"/>
          <w:szCs w:val="21"/>
        </w:rPr>
      </w:pPr>
      <w:r>
        <w:rPr>
          <w:rFonts w:hint="eastAsia" w:asciiTheme="minorEastAsia" w:hAnsiTheme="minorEastAsia" w:eastAsiaTheme="minorEastAsia" w:cstheme="minorEastAsia"/>
          <w:color w:val="auto"/>
          <w:kern w:val="0"/>
          <w:szCs w:val="21"/>
        </w:rPr>
        <w:t>所附《报价一览表》中规定的应提交和交付的货物报价总价为</w:t>
      </w:r>
      <w:r>
        <w:rPr>
          <w:rFonts w:hint="eastAsia" w:asciiTheme="minorEastAsia" w:hAnsiTheme="minorEastAsia" w:eastAsiaTheme="minorEastAsia" w:cstheme="minorEastAsia"/>
          <w:color w:val="auto"/>
          <w:kern w:val="0"/>
          <w:szCs w:val="21"/>
          <w:u w:val="single"/>
        </w:rPr>
        <w:t>（注明币种，并用文字和数字表示的报价总价）</w:t>
      </w:r>
      <w:r>
        <w:rPr>
          <w:rFonts w:hint="eastAsia" w:asciiTheme="minorEastAsia" w:hAnsiTheme="minorEastAsia" w:eastAsiaTheme="minorEastAsia" w:cstheme="minorEastAsia"/>
          <w:color w:val="auto"/>
          <w:kern w:val="0"/>
          <w:szCs w:val="21"/>
        </w:rPr>
        <w:t>。</w:t>
      </w:r>
    </w:p>
    <w:p>
      <w:pPr>
        <w:numPr>
          <w:ilvl w:val="6"/>
          <w:numId w:val="43"/>
        </w:numPr>
        <w:tabs>
          <w:tab w:val="left" w:pos="840"/>
        </w:tabs>
        <w:autoSpaceDE w:val="0"/>
        <w:autoSpaceDN w:val="0"/>
        <w:adjustRightInd w:val="0"/>
        <w:ind w:left="0" w:firstLine="420" w:firstLineChars="200"/>
        <w:rPr>
          <w:rFonts w:asciiTheme="minorEastAsia" w:hAnsiTheme="minorEastAsia" w:eastAsiaTheme="minorEastAsia" w:cstheme="minorEastAsia"/>
          <w:color w:val="auto"/>
          <w:kern w:val="0"/>
          <w:szCs w:val="21"/>
        </w:rPr>
      </w:pPr>
      <w:r>
        <w:rPr>
          <w:rFonts w:hint="eastAsia" w:asciiTheme="minorEastAsia" w:hAnsiTheme="minorEastAsia" w:eastAsiaTheme="minorEastAsia" w:cstheme="minorEastAsia"/>
          <w:color w:val="auto"/>
          <w:kern w:val="0"/>
          <w:szCs w:val="21"/>
        </w:rPr>
        <w:t>将按竞争性磋商采购文件的约定履行合同责任和义务。</w:t>
      </w:r>
    </w:p>
    <w:p>
      <w:pPr>
        <w:numPr>
          <w:ilvl w:val="6"/>
          <w:numId w:val="43"/>
        </w:numPr>
        <w:tabs>
          <w:tab w:val="left" w:pos="840"/>
        </w:tabs>
        <w:autoSpaceDE w:val="0"/>
        <w:autoSpaceDN w:val="0"/>
        <w:adjustRightInd w:val="0"/>
        <w:ind w:left="0" w:firstLine="420" w:firstLineChars="200"/>
        <w:rPr>
          <w:rFonts w:asciiTheme="minorEastAsia" w:hAnsiTheme="minorEastAsia" w:eastAsiaTheme="minorEastAsia" w:cstheme="minorEastAsia"/>
          <w:color w:val="auto"/>
          <w:kern w:val="0"/>
          <w:szCs w:val="21"/>
        </w:rPr>
      </w:pPr>
      <w:r>
        <w:rPr>
          <w:rFonts w:hint="eastAsia" w:asciiTheme="minorEastAsia" w:hAnsiTheme="minorEastAsia" w:eastAsiaTheme="minorEastAsia" w:cstheme="minorEastAsia"/>
          <w:color w:val="auto"/>
          <w:kern w:val="0"/>
          <w:szCs w:val="21"/>
        </w:rPr>
        <w:t>已详细审查全部竞争性磋商采购文件，包括</w:t>
      </w:r>
      <w:r>
        <w:rPr>
          <w:rFonts w:hint="eastAsia" w:asciiTheme="minorEastAsia" w:hAnsiTheme="minorEastAsia" w:eastAsiaTheme="minorEastAsia" w:cstheme="minorEastAsia"/>
          <w:color w:val="auto"/>
          <w:kern w:val="0"/>
          <w:szCs w:val="21"/>
          <w:u w:val="single"/>
        </w:rPr>
        <w:t>（补充文件等）</w:t>
      </w:r>
      <w:r>
        <w:rPr>
          <w:rFonts w:hint="eastAsia" w:asciiTheme="minorEastAsia" w:hAnsiTheme="minorEastAsia" w:eastAsiaTheme="minorEastAsia" w:cstheme="minorEastAsia"/>
          <w:color w:val="auto"/>
          <w:kern w:val="0"/>
          <w:szCs w:val="21"/>
        </w:rPr>
        <w:t>，对此无异议。</w:t>
      </w:r>
    </w:p>
    <w:p>
      <w:pPr>
        <w:numPr>
          <w:ilvl w:val="6"/>
          <w:numId w:val="43"/>
        </w:numPr>
        <w:tabs>
          <w:tab w:val="left" w:pos="840"/>
        </w:tabs>
        <w:autoSpaceDE w:val="0"/>
        <w:autoSpaceDN w:val="0"/>
        <w:adjustRightInd w:val="0"/>
        <w:ind w:left="0" w:firstLine="420" w:firstLineChars="200"/>
        <w:rPr>
          <w:rFonts w:asciiTheme="minorEastAsia" w:hAnsiTheme="minorEastAsia" w:eastAsiaTheme="minorEastAsia" w:cstheme="minorEastAsia"/>
          <w:color w:val="auto"/>
          <w:kern w:val="0"/>
          <w:szCs w:val="21"/>
        </w:rPr>
      </w:pPr>
      <w:r>
        <w:rPr>
          <w:rFonts w:hint="eastAsia" w:asciiTheme="minorEastAsia" w:hAnsiTheme="minorEastAsia" w:eastAsiaTheme="minorEastAsia" w:cstheme="minorEastAsia"/>
          <w:color w:val="auto"/>
          <w:kern w:val="0"/>
          <w:szCs w:val="21"/>
        </w:rPr>
        <w:t>本竞争性磋商响应文件的有效期自磋商截止时间起共</w:t>
      </w:r>
      <w:r>
        <w:rPr>
          <w:rFonts w:hint="eastAsia" w:asciiTheme="minorEastAsia" w:hAnsiTheme="minorEastAsia" w:eastAsiaTheme="minorEastAsia" w:cstheme="minorEastAsia"/>
          <w:color w:val="auto"/>
          <w:kern w:val="0"/>
          <w:szCs w:val="21"/>
          <w:u w:val="single"/>
        </w:rPr>
        <w:t xml:space="preserve">      </w:t>
      </w:r>
      <w:r>
        <w:rPr>
          <w:rFonts w:hint="eastAsia" w:asciiTheme="minorEastAsia" w:hAnsiTheme="minorEastAsia" w:eastAsiaTheme="minorEastAsia" w:cstheme="minorEastAsia"/>
          <w:color w:val="auto"/>
          <w:kern w:val="0"/>
          <w:szCs w:val="21"/>
        </w:rPr>
        <w:t>日历天。</w:t>
      </w:r>
    </w:p>
    <w:p>
      <w:pPr>
        <w:numPr>
          <w:ilvl w:val="6"/>
          <w:numId w:val="43"/>
        </w:numPr>
        <w:tabs>
          <w:tab w:val="left" w:pos="840"/>
        </w:tabs>
        <w:autoSpaceDE w:val="0"/>
        <w:autoSpaceDN w:val="0"/>
        <w:adjustRightInd w:val="0"/>
        <w:ind w:left="0" w:firstLine="420" w:firstLineChars="200"/>
        <w:rPr>
          <w:rFonts w:asciiTheme="minorEastAsia" w:hAnsiTheme="minorEastAsia" w:eastAsiaTheme="minorEastAsia" w:cstheme="minorEastAsia"/>
          <w:color w:val="auto"/>
          <w:kern w:val="0"/>
          <w:szCs w:val="21"/>
        </w:rPr>
      </w:pPr>
      <w:r>
        <w:rPr>
          <w:rFonts w:hint="eastAsia" w:asciiTheme="minorEastAsia" w:hAnsiTheme="minorEastAsia" w:eastAsiaTheme="minorEastAsia" w:cstheme="minorEastAsia"/>
          <w:color w:val="auto"/>
          <w:kern w:val="0"/>
          <w:szCs w:val="21"/>
        </w:rPr>
        <w:t>接收竞争性磋商采购文件中关于没收保证金的约定。</w:t>
      </w:r>
    </w:p>
    <w:p>
      <w:pPr>
        <w:numPr>
          <w:ilvl w:val="6"/>
          <w:numId w:val="43"/>
        </w:numPr>
        <w:tabs>
          <w:tab w:val="left" w:pos="840"/>
        </w:tabs>
        <w:autoSpaceDE w:val="0"/>
        <w:autoSpaceDN w:val="0"/>
        <w:adjustRightInd w:val="0"/>
        <w:ind w:left="0" w:firstLine="420" w:firstLineChars="200"/>
        <w:rPr>
          <w:rFonts w:asciiTheme="minorEastAsia" w:hAnsiTheme="minorEastAsia" w:eastAsiaTheme="minorEastAsia" w:cstheme="minorEastAsia"/>
          <w:color w:val="auto"/>
          <w:kern w:val="0"/>
          <w:szCs w:val="21"/>
        </w:rPr>
      </w:pPr>
      <w:r>
        <w:rPr>
          <w:rFonts w:hint="eastAsia" w:asciiTheme="minorEastAsia" w:hAnsiTheme="minorEastAsia" w:eastAsiaTheme="minorEastAsia" w:cstheme="minorEastAsia"/>
          <w:color w:val="auto"/>
          <w:kern w:val="0"/>
          <w:szCs w:val="21"/>
        </w:rPr>
        <w:t>同意提供按照贵方可能要求的与其报价有关的一切数据或资料。</w:t>
      </w:r>
    </w:p>
    <w:p>
      <w:pPr>
        <w:numPr>
          <w:ilvl w:val="6"/>
          <w:numId w:val="43"/>
        </w:numPr>
        <w:tabs>
          <w:tab w:val="left" w:pos="840"/>
        </w:tabs>
        <w:autoSpaceDE w:val="0"/>
        <w:autoSpaceDN w:val="0"/>
        <w:adjustRightInd w:val="0"/>
        <w:ind w:left="0" w:firstLine="420" w:firstLineChars="200"/>
        <w:rPr>
          <w:rFonts w:asciiTheme="minorEastAsia" w:hAnsiTheme="minorEastAsia" w:eastAsiaTheme="minorEastAsia" w:cstheme="minorEastAsia"/>
          <w:color w:val="auto"/>
          <w:kern w:val="0"/>
          <w:szCs w:val="21"/>
        </w:rPr>
      </w:pPr>
      <w:r>
        <w:rPr>
          <w:rFonts w:hint="eastAsia" w:asciiTheme="minorEastAsia" w:hAnsiTheme="minorEastAsia" w:eastAsiaTheme="minorEastAsia" w:cstheme="minorEastAsia"/>
          <w:color w:val="auto"/>
          <w:kern w:val="0"/>
          <w:szCs w:val="21"/>
        </w:rPr>
        <w:t>与本报价有关的一切正式往来信函请寄：</w:t>
      </w:r>
      <w:r>
        <w:rPr>
          <w:rFonts w:hint="eastAsia" w:asciiTheme="minorEastAsia" w:hAnsiTheme="minorEastAsia" w:eastAsiaTheme="minorEastAsia" w:cstheme="minorEastAsia"/>
          <w:color w:val="auto"/>
          <w:kern w:val="0"/>
          <w:szCs w:val="21"/>
          <w:u w:val="single"/>
        </w:rPr>
        <w:t xml:space="preserve">                    </w:t>
      </w:r>
      <w:r>
        <w:rPr>
          <w:rFonts w:hint="eastAsia" w:asciiTheme="minorEastAsia" w:hAnsiTheme="minorEastAsia" w:eastAsiaTheme="minorEastAsia" w:cstheme="minorEastAsia"/>
          <w:color w:val="auto"/>
          <w:kern w:val="0"/>
          <w:szCs w:val="21"/>
        </w:rPr>
        <w:t>。</w:t>
      </w:r>
      <w:r>
        <w:rPr>
          <w:rFonts w:hint="eastAsia" w:asciiTheme="minorEastAsia" w:hAnsiTheme="minorEastAsia" w:eastAsiaTheme="minorEastAsia" w:cstheme="minorEastAsia"/>
          <w:color w:val="auto"/>
          <w:kern w:val="0"/>
          <w:szCs w:val="21"/>
        </w:rPr>
        <w:br w:type="textWrapping"/>
      </w:r>
      <w:r>
        <w:rPr>
          <w:rFonts w:hint="eastAsia" w:asciiTheme="minorEastAsia" w:hAnsiTheme="minorEastAsia" w:eastAsiaTheme="minorEastAsia" w:cstheme="minorEastAsia"/>
          <w:color w:val="auto"/>
          <w:kern w:val="0"/>
          <w:szCs w:val="21"/>
        </w:rPr>
        <w:t xml:space="preserve">    8.  我公司若有幸成为本项目的成交供应商，则我公司承诺按照采购文件及成交结果公告规定的方式、时间和金额向采购代理机构交纳成交服务费。</w:t>
      </w:r>
    </w:p>
    <w:p>
      <w:pPr>
        <w:autoSpaceDE w:val="0"/>
        <w:autoSpaceDN w:val="0"/>
        <w:adjustRightInd w:val="0"/>
        <w:ind w:firstLine="420" w:firstLineChars="200"/>
        <w:jc w:val="left"/>
        <w:rPr>
          <w:rFonts w:asciiTheme="minorEastAsia" w:hAnsiTheme="minorEastAsia" w:eastAsiaTheme="minorEastAsia" w:cstheme="minorEastAsia"/>
          <w:color w:val="auto"/>
          <w:kern w:val="0"/>
          <w:szCs w:val="21"/>
        </w:rPr>
      </w:pPr>
    </w:p>
    <w:p>
      <w:pPr>
        <w:autoSpaceDE w:val="0"/>
        <w:autoSpaceDN w:val="0"/>
        <w:adjustRightInd w:val="0"/>
        <w:ind w:firstLine="420" w:firstLineChars="200"/>
        <w:jc w:val="left"/>
        <w:rPr>
          <w:rFonts w:asciiTheme="minorEastAsia" w:hAnsiTheme="minorEastAsia" w:eastAsiaTheme="minorEastAsia" w:cstheme="minorEastAsia"/>
          <w:color w:val="auto"/>
          <w:kern w:val="0"/>
          <w:szCs w:val="21"/>
        </w:rPr>
      </w:pPr>
      <w:r>
        <w:rPr>
          <w:rFonts w:hint="eastAsia" w:asciiTheme="minorEastAsia" w:hAnsiTheme="minorEastAsia" w:eastAsiaTheme="minorEastAsia" w:cstheme="minorEastAsia"/>
          <w:color w:val="auto"/>
          <w:kern w:val="0"/>
          <w:szCs w:val="21"/>
        </w:rPr>
        <w:t>供    应    商：（盖章）</w:t>
      </w:r>
    </w:p>
    <w:p>
      <w:pPr>
        <w:autoSpaceDE w:val="0"/>
        <w:autoSpaceDN w:val="0"/>
        <w:adjustRightInd w:val="0"/>
        <w:ind w:firstLine="420" w:firstLineChars="200"/>
        <w:jc w:val="left"/>
        <w:rPr>
          <w:rFonts w:asciiTheme="minorEastAsia" w:hAnsiTheme="minorEastAsia" w:eastAsiaTheme="minorEastAsia" w:cstheme="minorEastAsia"/>
          <w:color w:val="auto"/>
          <w:kern w:val="0"/>
          <w:szCs w:val="21"/>
        </w:rPr>
      </w:pPr>
      <w:r>
        <w:rPr>
          <w:rFonts w:hint="eastAsia" w:asciiTheme="minorEastAsia" w:hAnsiTheme="minorEastAsia" w:eastAsiaTheme="minorEastAsia" w:cstheme="minorEastAsia"/>
          <w:color w:val="auto"/>
          <w:kern w:val="0"/>
          <w:szCs w:val="21"/>
        </w:rPr>
        <w:t>法定代表人（签字或盖章）：</w:t>
      </w:r>
    </w:p>
    <w:p>
      <w:pPr>
        <w:autoSpaceDE w:val="0"/>
        <w:autoSpaceDN w:val="0"/>
        <w:adjustRightInd w:val="0"/>
        <w:ind w:firstLine="420" w:firstLineChars="200"/>
        <w:jc w:val="left"/>
        <w:rPr>
          <w:rFonts w:asciiTheme="minorEastAsia" w:hAnsiTheme="minorEastAsia" w:eastAsiaTheme="minorEastAsia" w:cstheme="minorEastAsia"/>
          <w:color w:val="auto"/>
          <w:kern w:val="0"/>
          <w:szCs w:val="21"/>
        </w:rPr>
      </w:pPr>
      <w:r>
        <w:rPr>
          <w:rFonts w:hint="eastAsia" w:asciiTheme="minorEastAsia" w:hAnsiTheme="minorEastAsia" w:eastAsiaTheme="minorEastAsia" w:cstheme="minorEastAsia"/>
          <w:color w:val="auto"/>
          <w:kern w:val="0"/>
          <w:szCs w:val="21"/>
        </w:rPr>
        <w:t>通  讯  地  址：</w:t>
      </w:r>
    </w:p>
    <w:p>
      <w:pPr>
        <w:autoSpaceDE w:val="0"/>
        <w:autoSpaceDN w:val="0"/>
        <w:adjustRightInd w:val="0"/>
        <w:ind w:firstLine="420" w:firstLineChars="200"/>
        <w:jc w:val="left"/>
        <w:rPr>
          <w:rFonts w:asciiTheme="minorEastAsia" w:hAnsiTheme="minorEastAsia" w:eastAsiaTheme="minorEastAsia" w:cstheme="minorEastAsia"/>
          <w:color w:val="auto"/>
          <w:kern w:val="0"/>
          <w:szCs w:val="21"/>
        </w:rPr>
      </w:pPr>
      <w:r>
        <w:rPr>
          <w:rFonts w:hint="eastAsia" w:asciiTheme="minorEastAsia" w:hAnsiTheme="minorEastAsia" w:eastAsiaTheme="minorEastAsia" w:cstheme="minorEastAsia"/>
          <w:color w:val="auto"/>
          <w:kern w:val="0"/>
          <w:szCs w:val="21"/>
        </w:rPr>
        <w:t>传        　真：</w:t>
      </w:r>
    </w:p>
    <w:p>
      <w:pPr>
        <w:autoSpaceDE w:val="0"/>
        <w:autoSpaceDN w:val="0"/>
        <w:adjustRightInd w:val="0"/>
        <w:ind w:firstLine="420" w:firstLineChars="200"/>
        <w:jc w:val="left"/>
        <w:rPr>
          <w:rFonts w:asciiTheme="minorEastAsia" w:hAnsiTheme="minorEastAsia" w:eastAsiaTheme="minorEastAsia" w:cstheme="minorEastAsia"/>
          <w:color w:val="auto"/>
          <w:kern w:val="0"/>
          <w:szCs w:val="21"/>
        </w:rPr>
      </w:pPr>
      <w:r>
        <w:rPr>
          <w:rFonts w:hint="eastAsia" w:asciiTheme="minorEastAsia" w:hAnsiTheme="minorEastAsia" w:eastAsiaTheme="minorEastAsia" w:cstheme="minorEastAsia"/>
          <w:color w:val="auto"/>
          <w:kern w:val="0"/>
          <w:szCs w:val="21"/>
        </w:rPr>
        <w:t>电          话：</w:t>
      </w:r>
    </w:p>
    <w:p>
      <w:pPr>
        <w:autoSpaceDE w:val="0"/>
        <w:autoSpaceDN w:val="0"/>
        <w:adjustRightInd w:val="0"/>
        <w:ind w:firstLine="420" w:firstLineChars="200"/>
        <w:jc w:val="left"/>
        <w:rPr>
          <w:rFonts w:asciiTheme="minorEastAsia" w:hAnsiTheme="minorEastAsia" w:eastAsiaTheme="minorEastAsia" w:cstheme="minorEastAsia"/>
          <w:color w:val="auto"/>
          <w:kern w:val="0"/>
          <w:szCs w:val="21"/>
        </w:rPr>
      </w:pPr>
      <w:r>
        <w:rPr>
          <w:rFonts w:hint="eastAsia" w:asciiTheme="minorEastAsia" w:hAnsiTheme="minorEastAsia" w:eastAsiaTheme="minorEastAsia" w:cstheme="minorEastAsia"/>
          <w:color w:val="auto"/>
          <w:kern w:val="0"/>
          <w:szCs w:val="21"/>
        </w:rPr>
        <w:t>电  子  函  件：</w:t>
      </w:r>
    </w:p>
    <w:p>
      <w:pPr>
        <w:autoSpaceDE w:val="0"/>
        <w:autoSpaceDN w:val="0"/>
        <w:adjustRightInd w:val="0"/>
        <w:ind w:firstLine="420" w:firstLineChars="200"/>
        <w:jc w:val="left"/>
        <w:rPr>
          <w:rFonts w:asciiTheme="minorEastAsia" w:hAnsiTheme="minorEastAsia" w:eastAsiaTheme="minorEastAsia" w:cstheme="minorEastAsia"/>
          <w:color w:val="auto"/>
          <w:kern w:val="0"/>
          <w:szCs w:val="21"/>
        </w:rPr>
      </w:pPr>
      <w:r>
        <w:rPr>
          <w:rFonts w:hint="eastAsia" w:asciiTheme="minorEastAsia" w:hAnsiTheme="minorEastAsia" w:eastAsiaTheme="minorEastAsia" w:cstheme="minorEastAsia"/>
          <w:color w:val="auto"/>
          <w:kern w:val="0"/>
          <w:szCs w:val="21"/>
        </w:rPr>
        <w:t>授权代表（签字）：</w:t>
      </w:r>
    </w:p>
    <w:p>
      <w:pPr>
        <w:autoSpaceDE w:val="0"/>
        <w:autoSpaceDN w:val="0"/>
        <w:adjustRightInd w:val="0"/>
        <w:ind w:firstLine="420" w:firstLineChars="200"/>
        <w:jc w:val="left"/>
        <w:rPr>
          <w:rFonts w:asciiTheme="minorEastAsia" w:hAnsiTheme="minorEastAsia" w:eastAsiaTheme="minorEastAsia" w:cstheme="minorEastAsia"/>
          <w:color w:val="auto"/>
          <w:kern w:val="0"/>
          <w:szCs w:val="21"/>
        </w:rPr>
      </w:pPr>
      <w:r>
        <w:rPr>
          <w:rFonts w:hint="eastAsia" w:asciiTheme="minorEastAsia" w:hAnsiTheme="minorEastAsia" w:eastAsiaTheme="minorEastAsia" w:cstheme="minorEastAsia"/>
          <w:color w:val="auto"/>
          <w:kern w:val="0"/>
          <w:szCs w:val="21"/>
        </w:rPr>
        <w:t>日         期：</w:t>
      </w:r>
    </w:p>
    <w:p>
      <w:pPr>
        <w:tabs>
          <w:tab w:val="left" w:pos="540"/>
        </w:tabs>
        <w:autoSpaceDE w:val="0"/>
        <w:autoSpaceDN w:val="0"/>
        <w:adjustRightInd w:val="0"/>
        <w:jc w:val="center"/>
        <w:outlineLvl w:val="1"/>
        <w:rPr>
          <w:rFonts w:asciiTheme="minorEastAsia" w:hAnsiTheme="minorEastAsia" w:eastAsiaTheme="minorEastAsia" w:cstheme="minorEastAsia"/>
          <w:b/>
          <w:color w:val="auto"/>
        </w:rPr>
      </w:pPr>
      <w:bookmarkStart w:id="138" w:name="_Toc24882"/>
      <w:bookmarkStart w:id="139" w:name="_Toc13969"/>
      <w:bookmarkStart w:id="140" w:name="_Toc24205"/>
      <w:bookmarkStart w:id="141" w:name="_Toc479184126"/>
      <w:r>
        <w:rPr>
          <w:rFonts w:hint="eastAsia" w:asciiTheme="minorEastAsia" w:hAnsiTheme="minorEastAsia" w:eastAsiaTheme="minorEastAsia" w:cstheme="minorEastAsia"/>
          <w:b/>
          <w:color w:val="auto"/>
        </w:rPr>
        <w:br w:type="textWrapping"/>
      </w:r>
      <w:r>
        <w:rPr>
          <w:rFonts w:hint="eastAsia" w:asciiTheme="minorEastAsia" w:hAnsiTheme="minorEastAsia" w:eastAsiaTheme="minorEastAsia" w:cstheme="minorEastAsia"/>
          <w:b/>
          <w:color w:val="auto"/>
        </w:rPr>
        <w:br w:type="textWrapping"/>
      </w:r>
      <w:r>
        <w:rPr>
          <w:rFonts w:hint="eastAsia" w:asciiTheme="minorEastAsia" w:hAnsiTheme="minorEastAsia" w:eastAsiaTheme="minorEastAsia" w:cstheme="minorEastAsia"/>
          <w:b/>
          <w:color w:val="auto"/>
        </w:rPr>
        <w:br w:type="textWrapping"/>
      </w:r>
      <w:r>
        <w:rPr>
          <w:rFonts w:hint="eastAsia" w:asciiTheme="minorEastAsia" w:hAnsiTheme="minorEastAsia" w:eastAsiaTheme="minorEastAsia" w:cstheme="minorEastAsia"/>
          <w:b/>
          <w:color w:val="auto"/>
        </w:rPr>
        <w:t>三、法定代表人授权书</w:t>
      </w:r>
      <w:bookmarkEnd w:id="138"/>
      <w:bookmarkEnd w:id="139"/>
      <w:bookmarkEnd w:id="140"/>
      <w:bookmarkEnd w:id="141"/>
    </w:p>
    <w:p>
      <w:pPr>
        <w:rPr>
          <w:rFonts w:asciiTheme="minorEastAsia" w:hAnsiTheme="minorEastAsia" w:eastAsiaTheme="minorEastAsia" w:cstheme="minorEastAsia"/>
          <w:color w:val="auto"/>
          <w:kern w:val="0"/>
          <w:szCs w:val="21"/>
        </w:rPr>
      </w:pPr>
    </w:p>
    <w:p>
      <w:pPr>
        <w:rPr>
          <w:rFonts w:asciiTheme="minorEastAsia" w:hAnsiTheme="minorEastAsia" w:eastAsiaTheme="minorEastAsia" w:cstheme="minorEastAsia"/>
          <w:color w:val="auto"/>
          <w:kern w:val="0"/>
          <w:szCs w:val="21"/>
        </w:rPr>
      </w:pPr>
    </w:p>
    <w:p>
      <w:pPr>
        <w:autoSpaceDE w:val="0"/>
        <w:autoSpaceDN w:val="0"/>
        <w:adjustRightInd w:val="0"/>
        <w:spacing w:line="360" w:lineRule="auto"/>
        <w:ind w:firstLine="697"/>
        <w:jc w:val="left"/>
        <w:rPr>
          <w:rFonts w:asciiTheme="minorEastAsia" w:hAnsiTheme="minorEastAsia" w:eastAsiaTheme="minorEastAsia" w:cstheme="minorEastAsia"/>
          <w:color w:val="auto"/>
          <w:kern w:val="0"/>
          <w:szCs w:val="21"/>
        </w:rPr>
      </w:pPr>
      <w:r>
        <w:rPr>
          <w:rFonts w:hint="eastAsia" w:asciiTheme="minorEastAsia" w:hAnsiTheme="minorEastAsia" w:eastAsiaTheme="minorEastAsia" w:cstheme="minorEastAsia"/>
          <w:color w:val="auto"/>
          <w:kern w:val="0"/>
          <w:szCs w:val="21"/>
        </w:rPr>
        <w:t>兹授权</w:t>
      </w:r>
      <w:r>
        <w:rPr>
          <w:rFonts w:hint="eastAsia" w:asciiTheme="minorEastAsia" w:hAnsiTheme="minorEastAsia" w:eastAsiaTheme="minorEastAsia" w:cstheme="minorEastAsia"/>
          <w:color w:val="auto"/>
          <w:kern w:val="0"/>
          <w:szCs w:val="21"/>
          <w:u w:val="single"/>
        </w:rPr>
        <w:t xml:space="preserve">　　　   </w:t>
      </w:r>
      <w:r>
        <w:rPr>
          <w:rFonts w:hint="eastAsia" w:asciiTheme="minorEastAsia" w:hAnsiTheme="minorEastAsia" w:eastAsiaTheme="minorEastAsia" w:cstheme="minorEastAsia"/>
          <w:color w:val="auto"/>
          <w:kern w:val="0"/>
          <w:szCs w:val="21"/>
        </w:rPr>
        <w:t>同志为我公司参加贵单位组织的</w:t>
      </w:r>
      <w:r>
        <w:rPr>
          <w:rFonts w:hint="eastAsia" w:asciiTheme="minorEastAsia" w:hAnsiTheme="minorEastAsia" w:eastAsiaTheme="minorEastAsia" w:cstheme="minorEastAsia"/>
          <w:color w:val="auto"/>
          <w:kern w:val="0"/>
          <w:szCs w:val="21"/>
          <w:u w:val="single"/>
        </w:rPr>
        <w:t>（项目名称）</w:t>
      </w:r>
      <w:r>
        <w:rPr>
          <w:rFonts w:hint="eastAsia" w:asciiTheme="minorEastAsia" w:hAnsiTheme="minorEastAsia" w:eastAsiaTheme="minorEastAsia" w:cstheme="minorEastAsia"/>
          <w:color w:val="auto"/>
          <w:kern w:val="0"/>
          <w:szCs w:val="21"/>
        </w:rPr>
        <w:t>采购活动的供应商代表人（磋商代表），全权代表我公司处理在该项目采购活动中的一切事宜。代理期限从</w:t>
      </w:r>
      <w:r>
        <w:rPr>
          <w:rFonts w:hint="eastAsia" w:asciiTheme="minorEastAsia" w:hAnsiTheme="minorEastAsia" w:eastAsiaTheme="minorEastAsia" w:cstheme="minorEastAsia"/>
          <w:color w:val="auto"/>
          <w:kern w:val="0"/>
          <w:szCs w:val="21"/>
          <w:u w:val="single"/>
        </w:rPr>
        <w:t xml:space="preserve">         </w:t>
      </w:r>
      <w:r>
        <w:rPr>
          <w:rFonts w:hint="eastAsia" w:asciiTheme="minorEastAsia" w:hAnsiTheme="minorEastAsia" w:eastAsiaTheme="minorEastAsia" w:cstheme="minorEastAsia"/>
          <w:color w:val="auto"/>
          <w:kern w:val="0"/>
          <w:szCs w:val="21"/>
        </w:rPr>
        <w:t xml:space="preserve">年 </w:t>
      </w:r>
      <w:r>
        <w:rPr>
          <w:rFonts w:hint="eastAsia" w:asciiTheme="minorEastAsia" w:hAnsiTheme="minorEastAsia" w:eastAsiaTheme="minorEastAsia" w:cstheme="minorEastAsia"/>
          <w:color w:val="auto"/>
          <w:kern w:val="0"/>
          <w:szCs w:val="21"/>
          <w:u w:val="single"/>
        </w:rPr>
        <w:t xml:space="preserve">       </w:t>
      </w:r>
      <w:r>
        <w:rPr>
          <w:rFonts w:hint="eastAsia" w:asciiTheme="minorEastAsia" w:hAnsiTheme="minorEastAsia" w:eastAsiaTheme="minorEastAsia" w:cstheme="minorEastAsia"/>
          <w:color w:val="auto"/>
          <w:kern w:val="0"/>
          <w:szCs w:val="21"/>
        </w:rPr>
        <w:t>月</w:t>
      </w:r>
      <w:r>
        <w:rPr>
          <w:rFonts w:hint="eastAsia" w:asciiTheme="minorEastAsia" w:hAnsiTheme="minorEastAsia" w:eastAsiaTheme="minorEastAsia" w:cstheme="minorEastAsia"/>
          <w:color w:val="auto"/>
          <w:kern w:val="0"/>
          <w:szCs w:val="21"/>
          <w:u w:val="single"/>
        </w:rPr>
        <w:t xml:space="preserve">          </w:t>
      </w:r>
      <w:r>
        <w:rPr>
          <w:rFonts w:hint="eastAsia" w:asciiTheme="minorEastAsia" w:hAnsiTheme="minorEastAsia" w:eastAsiaTheme="minorEastAsia" w:cstheme="minorEastAsia"/>
          <w:color w:val="auto"/>
          <w:kern w:val="0"/>
          <w:szCs w:val="21"/>
        </w:rPr>
        <w:t>日起至</w:t>
      </w:r>
      <w:r>
        <w:rPr>
          <w:rFonts w:hint="eastAsia" w:asciiTheme="minorEastAsia" w:hAnsiTheme="minorEastAsia" w:eastAsiaTheme="minorEastAsia" w:cstheme="minorEastAsia"/>
          <w:color w:val="auto"/>
          <w:kern w:val="0"/>
          <w:szCs w:val="21"/>
          <w:u w:val="single"/>
        </w:rPr>
        <w:t xml:space="preserve">        </w:t>
      </w:r>
      <w:r>
        <w:rPr>
          <w:rFonts w:hint="eastAsia" w:asciiTheme="minorEastAsia" w:hAnsiTheme="minorEastAsia" w:eastAsiaTheme="minorEastAsia" w:cstheme="minorEastAsia"/>
          <w:color w:val="auto"/>
          <w:kern w:val="0"/>
          <w:szCs w:val="21"/>
        </w:rPr>
        <w:t xml:space="preserve">年 </w:t>
      </w:r>
      <w:r>
        <w:rPr>
          <w:rFonts w:hint="eastAsia" w:asciiTheme="minorEastAsia" w:hAnsiTheme="minorEastAsia" w:eastAsiaTheme="minorEastAsia" w:cstheme="minorEastAsia"/>
          <w:color w:val="auto"/>
          <w:kern w:val="0"/>
          <w:szCs w:val="21"/>
          <w:u w:val="single"/>
        </w:rPr>
        <w:t xml:space="preserve">       </w:t>
      </w:r>
      <w:r>
        <w:rPr>
          <w:rFonts w:hint="eastAsia" w:asciiTheme="minorEastAsia" w:hAnsiTheme="minorEastAsia" w:eastAsiaTheme="minorEastAsia" w:cstheme="minorEastAsia"/>
          <w:color w:val="auto"/>
          <w:kern w:val="0"/>
          <w:szCs w:val="21"/>
        </w:rPr>
        <w:t>月</w:t>
      </w:r>
      <w:r>
        <w:rPr>
          <w:rFonts w:hint="eastAsia" w:asciiTheme="minorEastAsia" w:hAnsiTheme="minorEastAsia" w:eastAsiaTheme="minorEastAsia" w:cstheme="minorEastAsia"/>
          <w:color w:val="auto"/>
          <w:kern w:val="0"/>
          <w:szCs w:val="21"/>
          <w:u w:val="single"/>
        </w:rPr>
        <w:t xml:space="preserve">          </w:t>
      </w:r>
      <w:r>
        <w:rPr>
          <w:rFonts w:hint="eastAsia" w:asciiTheme="minorEastAsia" w:hAnsiTheme="minorEastAsia" w:eastAsiaTheme="minorEastAsia" w:cstheme="minorEastAsia"/>
          <w:color w:val="auto"/>
          <w:kern w:val="0"/>
          <w:szCs w:val="21"/>
        </w:rPr>
        <w:t>日止。</w:t>
      </w:r>
    </w:p>
    <w:p>
      <w:pPr>
        <w:autoSpaceDE w:val="0"/>
        <w:autoSpaceDN w:val="0"/>
        <w:adjustRightInd w:val="0"/>
        <w:spacing w:line="360" w:lineRule="auto"/>
        <w:ind w:firstLine="697"/>
        <w:jc w:val="left"/>
        <w:rPr>
          <w:rFonts w:asciiTheme="minorEastAsia" w:hAnsiTheme="minorEastAsia" w:eastAsiaTheme="minorEastAsia" w:cstheme="minorEastAsia"/>
          <w:color w:val="auto"/>
          <w:kern w:val="0"/>
          <w:szCs w:val="21"/>
        </w:rPr>
      </w:pPr>
    </w:p>
    <w:p>
      <w:pPr>
        <w:autoSpaceDE w:val="0"/>
        <w:autoSpaceDN w:val="0"/>
        <w:adjustRightInd w:val="0"/>
        <w:spacing w:line="360" w:lineRule="auto"/>
        <w:ind w:firstLine="697"/>
        <w:jc w:val="left"/>
        <w:rPr>
          <w:rFonts w:asciiTheme="minorEastAsia" w:hAnsiTheme="minorEastAsia" w:eastAsiaTheme="minorEastAsia" w:cstheme="minorEastAsia"/>
          <w:color w:val="auto"/>
          <w:kern w:val="0"/>
          <w:szCs w:val="21"/>
        </w:rPr>
      </w:pPr>
      <w:r>
        <w:rPr>
          <w:rFonts w:hint="eastAsia" w:asciiTheme="minorEastAsia" w:hAnsiTheme="minorEastAsia" w:eastAsiaTheme="minorEastAsia" w:cstheme="minorEastAsia"/>
          <w:color w:val="auto"/>
          <w:kern w:val="0"/>
          <w:szCs w:val="21"/>
        </w:rPr>
        <w:t>授权单位（盖章）：</w:t>
      </w:r>
      <w:r>
        <w:rPr>
          <w:rFonts w:hint="eastAsia" w:asciiTheme="minorEastAsia" w:hAnsiTheme="minorEastAsia" w:eastAsiaTheme="minorEastAsia" w:cstheme="minorEastAsia"/>
          <w:color w:val="auto"/>
          <w:kern w:val="0"/>
          <w:szCs w:val="21"/>
          <w:u w:val="single"/>
        </w:rPr>
        <w:t xml:space="preserve">                     </w:t>
      </w:r>
      <w:r>
        <w:rPr>
          <w:rFonts w:hint="eastAsia" w:asciiTheme="minorEastAsia" w:hAnsiTheme="minorEastAsia" w:eastAsiaTheme="minorEastAsia" w:cstheme="minorEastAsia"/>
          <w:color w:val="auto"/>
          <w:kern w:val="0"/>
          <w:szCs w:val="21"/>
        </w:rPr>
        <w:t xml:space="preserve"> </w:t>
      </w:r>
    </w:p>
    <w:p>
      <w:pPr>
        <w:autoSpaceDE w:val="0"/>
        <w:autoSpaceDN w:val="0"/>
        <w:adjustRightInd w:val="0"/>
        <w:spacing w:line="360" w:lineRule="auto"/>
        <w:ind w:firstLine="697"/>
        <w:jc w:val="left"/>
        <w:rPr>
          <w:rFonts w:asciiTheme="minorEastAsia" w:hAnsiTheme="minorEastAsia" w:eastAsiaTheme="minorEastAsia" w:cstheme="minorEastAsia"/>
          <w:color w:val="auto"/>
          <w:kern w:val="0"/>
          <w:szCs w:val="21"/>
        </w:rPr>
      </w:pPr>
      <w:r>
        <w:rPr>
          <w:rFonts w:hint="eastAsia" w:asciiTheme="minorEastAsia" w:hAnsiTheme="minorEastAsia" w:eastAsiaTheme="minorEastAsia" w:cstheme="minorEastAsia"/>
          <w:color w:val="auto"/>
          <w:kern w:val="0"/>
          <w:szCs w:val="21"/>
        </w:rPr>
        <w:t>法定代表人（签字或盖章）：</w:t>
      </w:r>
      <w:r>
        <w:rPr>
          <w:rFonts w:hint="eastAsia" w:asciiTheme="minorEastAsia" w:hAnsiTheme="minorEastAsia" w:eastAsiaTheme="minorEastAsia" w:cstheme="minorEastAsia"/>
          <w:color w:val="auto"/>
          <w:kern w:val="0"/>
          <w:szCs w:val="21"/>
          <w:u w:val="single"/>
        </w:rPr>
        <w:t xml:space="preserve">             </w:t>
      </w:r>
      <w:r>
        <w:rPr>
          <w:rFonts w:hint="eastAsia" w:asciiTheme="minorEastAsia" w:hAnsiTheme="minorEastAsia" w:eastAsiaTheme="minorEastAsia" w:cstheme="minorEastAsia"/>
          <w:color w:val="auto"/>
          <w:kern w:val="0"/>
          <w:szCs w:val="21"/>
        </w:rPr>
        <w:t xml:space="preserve"> </w:t>
      </w:r>
    </w:p>
    <w:p>
      <w:pPr>
        <w:autoSpaceDE w:val="0"/>
        <w:autoSpaceDN w:val="0"/>
        <w:adjustRightInd w:val="0"/>
        <w:spacing w:line="360" w:lineRule="auto"/>
        <w:ind w:firstLine="697"/>
        <w:jc w:val="left"/>
        <w:rPr>
          <w:rFonts w:asciiTheme="minorEastAsia" w:hAnsiTheme="minorEastAsia" w:eastAsiaTheme="minorEastAsia" w:cstheme="minorEastAsia"/>
          <w:color w:val="auto"/>
          <w:kern w:val="0"/>
          <w:szCs w:val="21"/>
        </w:rPr>
      </w:pPr>
      <w:r>
        <w:rPr>
          <w:rFonts w:hint="eastAsia" w:asciiTheme="minorEastAsia" w:hAnsiTheme="minorEastAsia" w:eastAsiaTheme="minorEastAsia" w:cstheme="minorEastAsia"/>
          <w:color w:val="auto"/>
          <w:kern w:val="0"/>
          <w:szCs w:val="21"/>
        </w:rPr>
        <w:t>签发日期：</w:t>
      </w:r>
      <w:r>
        <w:rPr>
          <w:rFonts w:hint="eastAsia" w:asciiTheme="minorEastAsia" w:hAnsiTheme="minorEastAsia" w:eastAsiaTheme="minorEastAsia" w:cstheme="minorEastAsia"/>
          <w:color w:val="auto"/>
          <w:kern w:val="0"/>
          <w:szCs w:val="21"/>
          <w:u w:val="single"/>
        </w:rPr>
        <w:t xml:space="preserve">       </w:t>
      </w:r>
      <w:r>
        <w:rPr>
          <w:rFonts w:hint="eastAsia" w:asciiTheme="minorEastAsia" w:hAnsiTheme="minorEastAsia" w:eastAsiaTheme="minorEastAsia" w:cstheme="minorEastAsia"/>
          <w:color w:val="auto"/>
          <w:kern w:val="0"/>
          <w:szCs w:val="21"/>
        </w:rPr>
        <w:t xml:space="preserve">年 </w:t>
      </w:r>
      <w:r>
        <w:rPr>
          <w:rFonts w:hint="eastAsia" w:asciiTheme="minorEastAsia" w:hAnsiTheme="minorEastAsia" w:eastAsiaTheme="minorEastAsia" w:cstheme="minorEastAsia"/>
          <w:color w:val="auto"/>
          <w:kern w:val="0"/>
          <w:szCs w:val="21"/>
          <w:u w:val="single"/>
        </w:rPr>
        <w:t xml:space="preserve">    </w:t>
      </w:r>
      <w:r>
        <w:rPr>
          <w:rFonts w:hint="eastAsia" w:asciiTheme="minorEastAsia" w:hAnsiTheme="minorEastAsia" w:eastAsiaTheme="minorEastAsia" w:cstheme="minorEastAsia"/>
          <w:color w:val="auto"/>
          <w:kern w:val="0"/>
          <w:szCs w:val="21"/>
        </w:rPr>
        <w:t>月</w:t>
      </w:r>
      <w:r>
        <w:rPr>
          <w:rFonts w:hint="eastAsia" w:asciiTheme="minorEastAsia" w:hAnsiTheme="minorEastAsia" w:eastAsiaTheme="minorEastAsia" w:cstheme="minorEastAsia"/>
          <w:color w:val="auto"/>
          <w:kern w:val="0"/>
          <w:szCs w:val="21"/>
          <w:u w:val="single"/>
        </w:rPr>
        <w:t xml:space="preserve">    </w:t>
      </w:r>
      <w:r>
        <w:rPr>
          <w:rFonts w:hint="eastAsia" w:asciiTheme="minorEastAsia" w:hAnsiTheme="minorEastAsia" w:eastAsiaTheme="minorEastAsia" w:cstheme="minorEastAsia"/>
          <w:color w:val="auto"/>
          <w:kern w:val="0"/>
          <w:szCs w:val="21"/>
        </w:rPr>
        <w:t xml:space="preserve">日         </w:t>
      </w:r>
    </w:p>
    <w:p>
      <w:pPr>
        <w:autoSpaceDE w:val="0"/>
        <w:autoSpaceDN w:val="0"/>
        <w:adjustRightInd w:val="0"/>
        <w:spacing w:line="360" w:lineRule="auto"/>
        <w:ind w:firstLine="697"/>
        <w:jc w:val="left"/>
        <w:rPr>
          <w:rFonts w:asciiTheme="minorEastAsia" w:hAnsiTheme="minorEastAsia" w:eastAsiaTheme="minorEastAsia" w:cstheme="minorEastAsia"/>
          <w:color w:val="auto"/>
          <w:kern w:val="0"/>
          <w:szCs w:val="21"/>
        </w:rPr>
      </w:pPr>
    </w:p>
    <w:p>
      <w:pPr>
        <w:autoSpaceDE w:val="0"/>
        <w:autoSpaceDN w:val="0"/>
        <w:adjustRightInd w:val="0"/>
        <w:spacing w:line="360" w:lineRule="auto"/>
        <w:ind w:firstLine="697"/>
        <w:jc w:val="left"/>
        <w:rPr>
          <w:rFonts w:asciiTheme="minorEastAsia" w:hAnsiTheme="minorEastAsia" w:eastAsiaTheme="minorEastAsia" w:cstheme="minorEastAsia"/>
          <w:color w:val="auto"/>
          <w:kern w:val="0"/>
          <w:szCs w:val="21"/>
        </w:rPr>
      </w:pPr>
      <w:r>
        <w:rPr>
          <w:rFonts w:hint="eastAsia" w:asciiTheme="minorEastAsia" w:hAnsiTheme="minorEastAsia" w:eastAsiaTheme="minorEastAsia" w:cstheme="minorEastAsia"/>
          <w:color w:val="auto"/>
          <w:kern w:val="0"/>
          <w:szCs w:val="21"/>
        </w:rPr>
        <w:t>附：</w:t>
      </w:r>
      <w:r>
        <w:rPr>
          <w:rFonts w:hint="eastAsia" w:asciiTheme="minorEastAsia" w:hAnsiTheme="minorEastAsia" w:eastAsiaTheme="minorEastAsia" w:cstheme="minorEastAsia"/>
          <w:color w:val="auto"/>
          <w:kern w:val="0"/>
          <w:szCs w:val="21"/>
          <w:u w:val="single"/>
        </w:rPr>
        <w:t xml:space="preserve">                               </w:t>
      </w:r>
    </w:p>
    <w:p>
      <w:pPr>
        <w:autoSpaceDE w:val="0"/>
        <w:autoSpaceDN w:val="0"/>
        <w:adjustRightInd w:val="0"/>
        <w:spacing w:line="360" w:lineRule="auto"/>
        <w:ind w:firstLine="697"/>
        <w:jc w:val="left"/>
        <w:rPr>
          <w:rFonts w:asciiTheme="minorEastAsia" w:hAnsiTheme="minorEastAsia" w:eastAsiaTheme="minorEastAsia" w:cstheme="minorEastAsia"/>
          <w:color w:val="auto"/>
          <w:kern w:val="0"/>
          <w:szCs w:val="21"/>
          <w:u w:val="single"/>
        </w:rPr>
      </w:pPr>
      <w:r>
        <w:rPr>
          <w:rFonts w:hint="eastAsia" w:asciiTheme="minorEastAsia" w:hAnsiTheme="minorEastAsia" w:eastAsiaTheme="minorEastAsia" w:cstheme="minorEastAsia"/>
          <w:color w:val="auto"/>
          <w:kern w:val="0"/>
          <w:szCs w:val="21"/>
        </w:rPr>
        <w:t>授权代表职务：</w:t>
      </w:r>
      <w:r>
        <w:rPr>
          <w:rFonts w:hint="eastAsia" w:asciiTheme="minorEastAsia" w:hAnsiTheme="minorEastAsia" w:eastAsiaTheme="minorEastAsia" w:cstheme="minorEastAsia"/>
          <w:color w:val="auto"/>
          <w:kern w:val="0"/>
          <w:szCs w:val="21"/>
          <w:u w:val="single"/>
        </w:rPr>
        <w:t xml:space="preserve">                            </w:t>
      </w:r>
    </w:p>
    <w:p>
      <w:pPr>
        <w:autoSpaceDE w:val="0"/>
        <w:autoSpaceDN w:val="0"/>
        <w:adjustRightInd w:val="0"/>
        <w:spacing w:line="360" w:lineRule="auto"/>
        <w:ind w:firstLine="697"/>
        <w:jc w:val="left"/>
        <w:rPr>
          <w:rFonts w:asciiTheme="minorEastAsia" w:hAnsiTheme="minorEastAsia" w:eastAsiaTheme="minorEastAsia" w:cstheme="minorEastAsia"/>
          <w:color w:val="auto"/>
          <w:kern w:val="0"/>
          <w:szCs w:val="21"/>
        </w:rPr>
      </w:pPr>
      <w:r>
        <w:rPr>
          <w:rFonts w:hint="eastAsia" w:asciiTheme="minorEastAsia" w:hAnsiTheme="minorEastAsia" w:eastAsiaTheme="minorEastAsia" w:cstheme="minorEastAsia"/>
          <w:color w:val="auto"/>
          <w:kern w:val="0"/>
          <w:szCs w:val="21"/>
        </w:rPr>
        <w:t>性别：</w:t>
      </w:r>
      <w:r>
        <w:rPr>
          <w:rFonts w:hint="eastAsia" w:asciiTheme="minorEastAsia" w:hAnsiTheme="minorEastAsia" w:eastAsiaTheme="minorEastAsia" w:cstheme="minorEastAsia"/>
          <w:color w:val="auto"/>
          <w:kern w:val="0"/>
          <w:szCs w:val="21"/>
          <w:u w:val="single"/>
        </w:rPr>
        <w:t xml:space="preserve">      </w:t>
      </w:r>
      <w:r>
        <w:rPr>
          <w:rFonts w:hint="eastAsia" w:asciiTheme="minorEastAsia" w:hAnsiTheme="minorEastAsia" w:eastAsiaTheme="minorEastAsia" w:cstheme="minorEastAsia"/>
          <w:color w:val="auto"/>
          <w:kern w:val="0"/>
          <w:szCs w:val="21"/>
        </w:rPr>
        <w:t xml:space="preserve">  </w:t>
      </w:r>
    </w:p>
    <w:p>
      <w:pPr>
        <w:autoSpaceDE w:val="0"/>
        <w:autoSpaceDN w:val="0"/>
        <w:adjustRightInd w:val="0"/>
        <w:spacing w:line="360" w:lineRule="auto"/>
        <w:ind w:firstLine="697"/>
        <w:jc w:val="left"/>
        <w:rPr>
          <w:rFonts w:asciiTheme="minorEastAsia" w:hAnsiTheme="minorEastAsia" w:eastAsiaTheme="minorEastAsia" w:cstheme="minorEastAsia"/>
          <w:color w:val="auto"/>
          <w:kern w:val="0"/>
          <w:szCs w:val="21"/>
        </w:rPr>
      </w:pPr>
      <w:r>
        <w:rPr>
          <w:rFonts w:hint="eastAsia" w:asciiTheme="minorEastAsia" w:hAnsiTheme="minorEastAsia" w:eastAsiaTheme="minorEastAsia" w:cstheme="minorEastAsia"/>
          <w:color w:val="auto"/>
          <w:kern w:val="0"/>
          <w:szCs w:val="21"/>
        </w:rPr>
        <w:t>授权代表身份证号码：</w:t>
      </w:r>
      <w:r>
        <w:rPr>
          <w:rFonts w:hint="eastAsia" w:asciiTheme="minorEastAsia" w:hAnsiTheme="minorEastAsia" w:eastAsiaTheme="minorEastAsia" w:cstheme="minorEastAsia"/>
          <w:color w:val="auto"/>
          <w:kern w:val="0"/>
          <w:szCs w:val="21"/>
          <w:u w:val="single"/>
        </w:rPr>
        <w:t xml:space="preserve">                                                                                    </w:t>
      </w:r>
    </w:p>
    <w:tbl>
      <w:tblPr>
        <w:tblStyle w:val="26"/>
        <w:tblW w:w="907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07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84" w:hRule="atLeast"/>
          <w:jc w:val="center"/>
        </w:trPr>
        <w:tc>
          <w:tcPr>
            <w:tcW w:w="9071" w:type="dxa"/>
          </w:tcPr>
          <w:p>
            <w:pPr>
              <w:autoSpaceDE w:val="0"/>
              <w:autoSpaceDN w:val="0"/>
              <w:adjustRightInd w:val="0"/>
              <w:spacing w:line="360" w:lineRule="auto"/>
              <w:jc w:val="left"/>
              <w:rPr>
                <w:color w:val="auto"/>
              </w:rPr>
            </w:pPr>
            <w:r>
              <w:rPr>
                <w:rFonts w:hint="eastAsia"/>
                <w:color w:val="auto"/>
              </w:rPr>
              <w:t>授权代表身份证正反面（真彩扫描件）：</w:t>
            </w:r>
          </w:p>
          <w:p>
            <w:pPr>
              <w:autoSpaceDE w:val="0"/>
              <w:autoSpaceDN w:val="0"/>
              <w:adjustRightInd w:val="0"/>
              <w:spacing w:line="360" w:lineRule="auto"/>
              <w:jc w:val="left"/>
              <w:rPr>
                <w:color w:val="auto"/>
              </w:rPr>
            </w:pPr>
            <w:r>
              <w:rPr>
                <w:rFonts w:hint="eastAsia"/>
                <w:color w:val="auto"/>
              </w:rPr>
              <w:t>法定代表人身份证正反面（真彩扫描件）：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2" w:hRule="atLeast"/>
          <w:jc w:val="center"/>
        </w:trPr>
        <w:tc>
          <w:tcPr>
            <w:tcW w:w="9071" w:type="dxa"/>
          </w:tcPr>
          <w:p>
            <w:pPr>
              <w:autoSpaceDE w:val="0"/>
              <w:autoSpaceDN w:val="0"/>
              <w:adjustRightInd w:val="0"/>
              <w:spacing w:line="360" w:lineRule="auto"/>
              <w:jc w:val="left"/>
              <w:rPr>
                <w:color w:val="auto"/>
              </w:rPr>
            </w:pPr>
            <w:r>
              <w:rPr>
                <w:rFonts w:hint="eastAsia"/>
                <w:b/>
                <w:bCs/>
                <w:color w:val="auto"/>
              </w:rPr>
              <w:t>注：如法定代表人直接参加磋商并签署响应文件，无须提供本授权书。</w:t>
            </w:r>
          </w:p>
        </w:tc>
      </w:tr>
    </w:tbl>
    <w:p>
      <w:pPr>
        <w:tabs>
          <w:tab w:val="left" w:pos="540"/>
        </w:tabs>
        <w:autoSpaceDE w:val="0"/>
        <w:autoSpaceDN w:val="0"/>
        <w:adjustRightInd w:val="0"/>
        <w:spacing w:line="360" w:lineRule="auto"/>
        <w:jc w:val="center"/>
        <w:outlineLvl w:val="1"/>
        <w:rPr>
          <w:rFonts w:asciiTheme="minorEastAsia" w:hAnsiTheme="minorEastAsia" w:eastAsiaTheme="minorEastAsia" w:cstheme="minorEastAsia"/>
          <w:b/>
          <w:bCs/>
          <w:color w:val="auto"/>
          <w:szCs w:val="21"/>
        </w:rPr>
      </w:pPr>
      <w:bookmarkStart w:id="142" w:name="_Toc360120184"/>
      <w:bookmarkStart w:id="143" w:name="_Toc424832832"/>
      <w:bookmarkStart w:id="144" w:name="_Toc30245"/>
      <w:bookmarkStart w:id="145" w:name="_Toc432149008"/>
      <w:bookmarkStart w:id="146" w:name="_Toc479184127"/>
      <w:bookmarkStart w:id="147" w:name="_Toc19133"/>
      <w:bookmarkStart w:id="148" w:name="_Toc30476"/>
      <w:bookmarkStart w:id="149" w:name="_Toc29904"/>
      <w:r>
        <w:rPr>
          <w:rFonts w:hint="eastAsia" w:asciiTheme="minorEastAsia" w:hAnsiTheme="minorEastAsia" w:eastAsiaTheme="minorEastAsia" w:cstheme="minorEastAsia"/>
          <w:b/>
          <w:bCs/>
          <w:color w:val="auto"/>
          <w:kern w:val="0"/>
          <w:szCs w:val="21"/>
        </w:rPr>
        <w:br w:type="textWrapping"/>
      </w:r>
      <w:r>
        <w:rPr>
          <w:rFonts w:hint="eastAsia" w:asciiTheme="minorEastAsia" w:hAnsiTheme="minorEastAsia" w:eastAsiaTheme="minorEastAsia" w:cstheme="minorEastAsia"/>
          <w:b/>
          <w:bCs/>
          <w:color w:val="auto"/>
          <w:kern w:val="0"/>
          <w:szCs w:val="21"/>
        </w:rPr>
        <w:br w:type="textWrapping"/>
      </w:r>
      <w:r>
        <w:rPr>
          <w:rFonts w:hint="eastAsia" w:asciiTheme="minorEastAsia" w:hAnsiTheme="minorEastAsia" w:eastAsiaTheme="minorEastAsia" w:cstheme="minorEastAsia"/>
          <w:b/>
          <w:bCs/>
          <w:color w:val="auto"/>
          <w:kern w:val="0"/>
          <w:szCs w:val="21"/>
        </w:rPr>
        <w:t>四、</w:t>
      </w:r>
      <w:r>
        <w:rPr>
          <w:rFonts w:hint="eastAsia" w:asciiTheme="minorEastAsia" w:hAnsiTheme="minorEastAsia" w:eastAsiaTheme="minorEastAsia" w:cstheme="minorEastAsia"/>
          <w:b/>
          <w:bCs/>
          <w:color w:val="auto"/>
          <w:szCs w:val="21"/>
        </w:rPr>
        <w:t>法定代表人身份证明书</w:t>
      </w:r>
      <w:bookmarkEnd w:id="142"/>
      <w:bookmarkEnd w:id="143"/>
      <w:bookmarkEnd w:id="144"/>
      <w:bookmarkEnd w:id="145"/>
      <w:bookmarkEnd w:id="146"/>
      <w:bookmarkEnd w:id="147"/>
      <w:bookmarkEnd w:id="148"/>
      <w:bookmarkEnd w:id="149"/>
    </w:p>
    <w:p>
      <w:pPr>
        <w:spacing w:line="360" w:lineRule="auto"/>
        <w:rPr>
          <w:rFonts w:asciiTheme="minorEastAsia" w:hAnsiTheme="minorEastAsia" w:eastAsiaTheme="minorEastAsia" w:cstheme="minorEastAsia"/>
          <w:color w:val="auto"/>
          <w:kern w:val="0"/>
          <w:szCs w:val="21"/>
        </w:rPr>
      </w:pPr>
    </w:p>
    <w:p>
      <w:pPr>
        <w:spacing w:line="360" w:lineRule="auto"/>
        <w:ind w:firstLine="630" w:firstLineChars="300"/>
        <w:rPr>
          <w:rFonts w:asciiTheme="minorEastAsia" w:hAnsiTheme="minorEastAsia" w:eastAsiaTheme="minorEastAsia" w:cstheme="minorEastAsia"/>
          <w:color w:val="auto"/>
          <w:kern w:val="0"/>
          <w:szCs w:val="21"/>
        </w:rPr>
      </w:pPr>
      <w:r>
        <w:rPr>
          <w:rFonts w:hint="eastAsia" w:asciiTheme="minorEastAsia" w:hAnsiTheme="minorEastAsia" w:eastAsiaTheme="minorEastAsia" w:cstheme="minorEastAsia"/>
          <w:color w:val="auto"/>
          <w:kern w:val="0"/>
          <w:szCs w:val="21"/>
        </w:rPr>
        <w:t>兹证明</w:t>
      </w:r>
      <w:r>
        <w:rPr>
          <w:rFonts w:hint="eastAsia" w:asciiTheme="minorEastAsia" w:hAnsiTheme="minorEastAsia" w:eastAsiaTheme="minorEastAsia" w:cstheme="minorEastAsia"/>
          <w:color w:val="auto"/>
          <w:kern w:val="0"/>
          <w:szCs w:val="21"/>
          <w:u w:val="single"/>
        </w:rPr>
        <w:t xml:space="preserve">        </w:t>
      </w:r>
      <w:r>
        <w:rPr>
          <w:rFonts w:hint="eastAsia" w:asciiTheme="minorEastAsia" w:hAnsiTheme="minorEastAsia" w:eastAsiaTheme="minorEastAsia" w:cstheme="minorEastAsia"/>
          <w:color w:val="auto"/>
          <w:kern w:val="0"/>
          <w:szCs w:val="21"/>
        </w:rPr>
        <w:t>（姓名）</w:t>
      </w:r>
      <w:r>
        <w:rPr>
          <w:rFonts w:hint="eastAsia" w:asciiTheme="minorEastAsia" w:hAnsiTheme="minorEastAsia" w:eastAsiaTheme="minorEastAsia" w:cstheme="minorEastAsia"/>
          <w:color w:val="auto"/>
          <w:szCs w:val="21"/>
        </w:rPr>
        <w:t>在我单位任</w:t>
      </w:r>
      <w:r>
        <w:rPr>
          <w:rFonts w:hint="eastAsia" w:asciiTheme="minorEastAsia" w:hAnsiTheme="minorEastAsia" w:eastAsiaTheme="minorEastAsia" w:cstheme="minorEastAsia"/>
          <w:color w:val="auto"/>
          <w:szCs w:val="21"/>
          <w:u w:val="single"/>
        </w:rPr>
        <w:t xml:space="preserve">            </w:t>
      </w:r>
      <w:r>
        <w:rPr>
          <w:rFonts w:hint="eastAsia" w:asciiTheme="minorEastAsia" w:hAnsiTheme="minorEastAsia" w:eastAsiaTheme="minorEastAsia" w:cstheme="minorEastAsia"/>
          <w:color w:val="auto"/>
          <w:szCs w:val="21"/>
        </w:rPr>
        <w:t>职务</w:t>
      </w:r>
      <w:r>
        <w:rPr>
          <w:rFonts w:hint="eastAsia" w:asciiTheme="minorEastAsia" w:hAnsiTheme="minorEastAsia" w:eastAsiaTheme="minorEastAsia" w:cstheme="minorEastAsia"/>
          <w:color w:val="auto"/>
          <w:kern w:val="0"/>
          <w:szCs w:val="21"/>
        </w:rPr>
        <w:t>，系</w:t>
      </w:r>
      <w:r>
        <w:rPr>
          <w:rFonts w:hint="eastAsia" w:asciiTheme="minorEastAsia" w:hAnsiTheme="minorEastAsia" w:eastAsiaTheme="minorEastAsia" w:cstheme="minorEastAsia"/>
          <w:color w:val="auto"/>
          <w:kern w:val="0"/>
          <w:szCs w:val="21"/>
          <w:u w:val="single"/>
        </w:rPr>
        <w:t xml:space="preserve">                    </w:t>
      </w:r>
      <w:r>
        <w:rPr>
          <w:rFonts w:hint="eastAsia" w:asciiTheme="minorEastAsia" w:hAnsiTheme="minorEastAsia" w:eastAsiaTheme="minorEastAsia" w:cstheme="minorEastAsia"/>
          <w:color w:val="auto"/>
          <w:kern w:val="0"/>
          <w:szCs w:val="21"/>
        </w:rPr>
        <w:t>（供应商）的法定代表人。</w:t>
      </w:r>
    </w:p>
    <w:p>
      <w:pPr>
        <w:spacing w:line="360" w:lineRule="auto"/>
        <w:ind w:firstLine="630" w:firstLineChars="300"/>
        <w:rPr>
          <w:rFonts w:asciiTheme="minorEastAsia" w:hAnsiTheme="minorEastAsia" w:eastAsiaTheme="minorEastAsia" w:cstheme="minorEastAsia"/>
          <w:color w:val="auto"/>
          <w:kern w:val="0"/>
          <w:szCs w:val="21"/>
        </w:rPr>
      </w:pPr>
    </w:p>
    <w:p>
      <w:pPr>
        <w:spacing w:line="360" w:lineRule="auto"/>
        <w:ind w:firstLine="630" w:firstLineChars="300"/>
        <w:rPr>
          <w:rFonts w:asciiTheme="minorEastAsia" w:hAnsiTheme="minorEastAsia" w:eastAsiaTheme="minorEastAsia" w:cstheme="minorEastAsia"/>
          <w:color w:val="auto"/>
          <w:kern w:val="0"/>
          <w:szCs w:val="21"/>
        </w:rPr>
      </w:pPr>
      <w:r>
        <w:rPr>
          <w:rFonts w:hint="eastAsia" w:asciiTheme="minorEastAsia" w:hAnsiTheme="minorEastAsia" w:eastAsiaTheme="minorEastAsia" w:cstheme="minorEastAsia"/>
          <w:color w:val="auto"/>
          <w:kern w:val="0"/>
          <w:szCs w:val="21"/>
        </w:rPr>
        <w:t>供应商（盖章）：</w:t>
      </w:r>
      <w:r>
        <w:rPr>
          <w:rFonts w:hint="eastAsia" w:asciiTheme="minorEastAsia" w:hAnsiTheme="minorEastAsia" w:eastAsiaTheme="minorEastAsia" w:cstheme="minorEastAsia"/>
          <w:color w:val="auto"/>
          <w:kern w:val="0"/>
          <w:szCs w:val="21"/>
          <w:u w:val="single"/>
        </w:rPr>
        <w:t xml:space="preserve">                             </w:t>
      </w:r>
    </w:p>
    <w:p>
      <w:pPr>
        <w:spacing w:line="360" w:lineRule="auto"/>
        <w:ind w:firstLine="630" w:firstLineChars="300"/>
        <w:rPr>
          <w:rFonts w:asciiTheme="minorEastAsia" w:hAnsiTheme="minorEastAsia" w:eastAsiaTheme="minorEastAsia" w:cstheme="minorEastAsia"/>
          <w:color w:val="auto"/>
          <w:kern w:val="0"/>
          <w:szCs w:val="21"/>
        </w:rPr>
      </w:pPr>
      <w:r>
        <w:rPr>
          <w:rFonts w:hint="eastAsia" w:asciiTheme="minorEastAsia" w:hAnsiTheme="minorEastAsia" w:eastAsiaTheme="minorEastAsia" w:cstheme="minorEastAsia"/>
          <w:color w:val="auto"/>
          <w:kern w:val="0"/>
          <w:szCs w:val="21"/>
        </w:rPr>
        <w:t>法定代表人（签字或盖章）：</w:t>
      </w:r>
      <w:r>
        <w:rPr>
          <w:rFonts w:hint="eastAsia" w:asciiTheme="minorEastAsia" w:hAnsiTheme="minorEastAsia" w:eastAsiaTheme="minorEastAsia" w:cstheme="minorEastAsia"/>
          <w:color w:val="auto"/>
          <w:kern w:val="0"/>
          <w:szCs w:val="21"/>
          <w:u w:val="single"/>
        </w:rPr>
        <w:t xml:space="preserve">                         </w:t>
      </w:r>
    </w:p>
    <w:p>
      <w:pPr>
        <w:spacing w:line="360" w:lineRule="auto"/>
        <w:ind w:firstLine="630" w:firstLineChars="300"/>
        <w:rPr>
          <w:rFonts w:asciiTheme="minorEastAsia" w:hAnsiTheme="minorEastAsia" w:eastAsiaTheme="minorEastAsia" w:cstheme="minorEastAsia"/>
          <w:color w:val="auto"/>
          <w:kern w:val="0"/>
          <w:szCs w:val="21"/>
        </w:rPr>
      </w:pPr>
      <w:r>
        <w:rPr>
          <w:rFonts w:hint="eastAsia" w:asciiTheme="minorEastAsia" w:hAnsiTheme="minorEastAsia" w:eastAsiaTheme="minorEastAsia" w:cstheme="minorEastAsia"/>
          <w:color w:val="auto"/>
          <w:kern w:val="0"/>
          <w:szCs w:val="21"/>
        </w:rPr>
        <w:t>性别：</w:t>
      </w:r>
      <w:r>
        <w:rPr>
          <w:rFonts w:hint="eastAsia" w:asciiTheme="minorEastAsia" w:hAnsiTheme="minorEastAsia" w:eastAsiaTheme="minorEastAsia" w:cstheme="minorEastAsia"/>
          <w:color w:val="auto"/>
          <w:kern w:val="0"/>
          <w:szCs w:val="21"/>
          <w:u w:val="single"/>
        </w:rPr>
        <w:t xml:space="preserve">      </w:t>
      </w:r>
      <w:r>
        <w:rPr>
          <w:rFonts w:hint="eastAsia" w:asciiTheme="minorEastAsia" w:hAnsiTheme="minorEastAsia" w:eastAsiaTheme="minorEastAsia" w:cstheme="minorEastAsia"/>
          <w:color w:val="auto"/>
          <w:kern w:val="0"/>
          <w:szCs w:val="21"/>
        </w:rPr>
        <w:t>年龄：</w:t>
      </w:r>
      <w:r>
        <w:rPr>
          <w:rFonts w:hint="eastAsia" w:asciiTheme="minorEastAsia" w:hAnsiTheme="minorEastAsia" w:eastAsiaTheme="minorEastAsia" w:cstheme="minorEastAsia"/>
          <w:color w:val="auto"/>
          <w:kern w:val="0"/>
          <w:szCs w:val="21"/>
          <w:u w:val="single"/>
        </w:rPr>
        <w:t xml:space="preserve">        </w:t>
      </w:r>
    </w:p>
    <w:p>
      <w:pPr>
        <w:spacing w:line="360" w:lineRule="auto"/>
        <w:ind w:firstLine="630" w:firstLineChars="300"/>
        <w:rPr>
          <w:rFonts w:asciiTheme="minorEastAsia" w:hAnsiTheme="minorEastAsia" w:eastAsiaTheme="minorEastAsia" w:cstheme="minorEastAsia"/>
          <w:color w:val="auto"/>
          <w:kern w:val="0"/>
          <w:szCs w:val="21"/>
        </w:rPr>
      </w:pPr>
      <w:r>
        <w:rPr>
          <w:rFonts w:hint="eastAsia" w:asciiTheme="minorEastAsia" w:hAnsiTheme="minorEastAsia" w:eastAsiaTheme="minorEastAsia" w:cstheme="minorEastAsia"/>
          <w:color w:val="auto"/>
          <w:kern w:val="0"/>
          <w:szCs w:val="21"/>
        </w:rPr>
        <w:t>身份证号码：</w:t>
      </w:r>
      <w:r>
        <w:rPr>
          <w:rFonts w:hint="eastAsia" w:asciiTheme="minorEastAsia" w:hAnsiTheme="minorEastAsia" w:eastAsiaTheme="minorEastAsia" w:cstheme="minorEastAsia"/>
          <w:color w:val="auto"/>
          <w:kern w:val="0"/>
          <w:szCs w:val="21"/>
          <w:u w:val="single"/>
        </w:rPr>
        <w:t xml:space="preserve">                  </w:t>
      </w:r>
    </w:p>
    <w:p>
      <w:pPr>
        <w:spacing w:line="360" w:lineRule="auto"/>
        <w:ind w:firstLine="5985" w:firstLineChars="2850"/>
        <w:rPr>
          <w:rFonts w:asciiTheme="minorEastAsia" w:hAnsiTheme="minorEastAsia" w:eastAsiaTheme="minorEastAsia" w:cstheme="minorEastAsia"/>
          <w:color w:val="auto"/>
          <w:kern w:val="0"/>
          <w:szCs w:val="21"/>
        </w:rPr>
      </w:pPr>
      <w:r>
        <w:rPr>
          <w:rFonts w:hint="eastAsia" w:asciiTheme="minorEastAsia" w:hAnsiTheme="minorEastAsia" w:eastAsiaTheme="minorEastAsia" w:cstheme="minorEastAsia"/>
          <w:color w:val="auto"/>
          <w:kern w:val="0"/>
          <w:szCs w:val="21"/>
          <w:u w:val="single"/>
        </w:rPr>
        <w:t xml:space="preserve">     </w:t>
      </w:r>
      <w:r>
        <w:rPr>
          <w:rFonts w:hint="eastAsia" w:asciiTheme="minorEastAsia" w:hAnsiTheme="minorEastAsia" w:eastAsiaTheme="minorEastAsia" w:cstheme="minorEastAsia"/>
          <w:color w:val="auto"/>
          <w:kern w:val="0"/>
          <w:szCs w:val="21"/>
        </w:rPr>
        <w:t>年</w:t>
      </w:r>
      <w:r>
        <w:rPr>
          <w:rFonts w:hint="eastAsia" w:asciiTheme="minorEastAsia" w:hAnsiTheme="minorEastAsia" w:eastAsiaTheme="minorEastAsia" w:cstheme="minorEastAsia"/>
          <w:color w:val="auto"/>
          <w:kern w:val="0"/>
          <w:szCs w:val="21"/>
          <w:u w:val="single"/>
        </w:rPr>
        <w:t xml:space="preserve">    </w:t>
      </w:r>
      <w:r>
        <w:rPr>
          <w:rFonts w:hint="eastAsia" w:asciiTheme="minorEastAsia" w:hAnsiTheme="minorEastAsia" w:eastAsiaTheme="minorEastAsia" w:cstheme="minorEastAsia"/>
          <w:color w:val="auto"/>
          <w:kern w:val="0"/>
          <w:szCs w:val="21"/>
        </w:rPr>
        <w:t>月</w:t>
      </w:r>
      <w:r>
        <w:rPr>
          <w:rFonts w:hint="eastAsia" w:asciiTheme="minorEastAsia" w:hAnsiTheme="minorEastAsia" w:eastAsiaTheme="minorEastAsia" w:cstheme="minorEastAsia"/>
          <w:color w:val="auto"/>
          <w:kern w:val="0"/>
          <w:szCs w:val="21"/>
          <w:u w:val="single"/>
        </w:rPr>
        <w:t xml:space="preserve">    </w:t>
      </w:r>
      <w:r>
        <w:rPr>
          <w:rFonts w:hint="eastAsia" w:asciiTheme="minorEastAsia" w:hAnsiTheme="minorEastAsia" w:eastAsiaTheme="minorEastAsia" w:cstheme="minorEastAsia"/>
          <w:color w:val="auto"/>
          <w:kern w:val="0"/>
          <w:szCs w:val="21"/>
        </w:rPr>
        <w:t>日</w:t>
      </w:r>
    </w:p>
    <w:p>
      <w:pPr>
        <w:autoSpaceDE w:val="0"/>
        <w:autoSpaceDN w:val="0"/>
        <w:adjustRightInd w:val="0"/>
        <w:spacing w:line="360" w:lineRule="auto"/>
        <w:rPr>
          <w:rFonts w:asciiTheme="minorEastAsia" w:hAnsiTheme="minorEastAsia" w:eastAsiaTheme="minorEastAsia" w:cstheme="minorEastAsia"/>
          <w:color w:val="auto"/>
          <w:kern w:val="0"/>
          <w:szCs w:val="21"/>
        </w:rPr>
      </w:pPr>
    </w:p>
    <w:p>
      <w:pPr>
        <w:autoSpaceDE w:val="0"/>
        <w:autoSpaceDN w:val="0"/>
        <w:adjustRightInd w:val="0"/>
        <w:spacing w:line="360" w:lineRule="auto"/>
        <w:rPr>
          <w:rFonts w:asciiTheme="minorEastAsia" w:hAnsiTheme="minorEastAsia" w:eastAsiaTheme="minorEastAsia" w:cstheme="minorEastAsia"/>
          <w:color w:val="auto"/>
          <w:kern w:val="0"/>
          <w:szCs w:val="21"/>
        </w:rPr>
      </w:pPr>
    </w:p>
    <w:p>
      <w:pPr>
        <w:autoSpaceDE w:val="0"/>
        <w:autoSpaceDN w:val="0"/>
        <w:adjustRightInd w:val="0"/>
        <w:spacing w:line="360" w:lineRule="auto"/>
        <w:rPr>
          <w:rFonts w:asciiTheme="minorEastAsia" w:hAnsiTheme="minorEastAsia" w:eastAsiaTheme="minorEastAsia" w:cstheme="minorEastAsia"/>
          <w:color w:val="auto"/>
          <w:kern w:val="0"/>
          <w:szCs w:val="21"/>
        </w:rPr>
      </w:pPr>
    </w:p>
    <w:tbl>
      <w:tblPr>
        <w:tblStyle w:val="26"/>
        <w:tblW w:w="907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07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25" w:hRule="atLeast"/>
          <w:jc w:val="center"/>
        </w:trPr>
        <w:tc>
          <w:tcPr>
            <w:tcW w:w="9071" w:type="dxa"/>
          </w:tcPr>
          <w:p>
            <w:pPr>
              <w:spacing w:line="360" w:lineRule="auto"/>
              <w:rPr>
                <w:rFonts w:asciiTheme="minorEastAsia" w:hAnsiTheme="minorEastAsia" w:eastAsiaTheme="minorEastAsia" w:cstheme="minorEastAsia"/>
                <w:color w:val="auto"/>
                <w:kern w:val="0"/>
                <w:szCs w:val="21"/>
              </w:rPr>
            </w:pPr>
          </w:p>
          <w:p>
            <w:pPr>
              <w:spacing w:line="360" w:lineRule="auto"/>
              <w:rPr>
                <w:rFonts w:asciiTheme="minorEastAsia" w:hAnsiTheme="minorEastAsia" w:eastAsiaTheme="minorEastAsia" w:cstheme="minorEastAsia"/>
                <w:color w:val="auto"/>
                <w:kern w:val="0"/>
                <w:szCs w:val="21"/>
              </w:rPr>
            </w:pPr>
            <w:r>
              <w:rPr>
                <w:rFonts w:hint="eastAsia"/>
                <w:color w:val="auto"/>
              </w:rPr>
              <w:t>法定代表人身份证正反面（真彩扫描件）：</w:t>
            </w:r>
          </w:p>
        </w:tc>
      </w:tr>
    </w:tbl>
    <w:p>
      <w:pPr>
        <w:spacing w:line="360" w:lineRule="auto"/>
        <w:rPr>
          <w:rFonts w:asciiTheme="minorEastAsia" w:hAnsiTheme="minorEastAsia" w:eastAsiaTheme="minorEastAsia" w:cstheme="minorEastAsia"/>
          <w:color w:val="auto"/>
          <w:kern w:val="0"/>
          <w:szCs w:val="21"/>
        </w:rPr>
      </w:pPr>
      <w:r>
        <w:rPr>
          <w:rFonts w:hint="eastAsia" w:asciiTheme="minorEastAsia" w:hAnsiTheme="minorEastAsia" w:eastAsiaTheme="minorEastAsia" w:cstheme="minorEastAsia"/>
          <w:color w:val="auto"/>
          <w:kern w:val="0"/>
          <w:szCs w:val="21"/>
        </w:rPr>
        <w:t>注：本表适用于供应商不授权代理人，而由法定代表人直接参加磋商并签署响应文件的情况；</w:t>
      </w:r>
    </w:p>
    <w:p>
      <w:pPr>
        <w:rPr>
          <w:rFonts w:asciiTheme="minorEastAsia" w:hAnsiTheme="minorEastAsia" w:eastAsiaTheme="minorEastAsia" w:cstheme="minorEastAsia"/>
          <w:b/>
          <w:color w:val="auto"/>
          <w:kern w:val="0"/>
          <w:szCs w:val="21"/>
        </w:rPr>
      </w:pPr>
    </w:p>
    <w:p>
      <w:pPr>
        <w:spacing w:line="360" w:lineRule="auto"/>
        <w:rPr>
          <w:rFonts w:asciiTheme="minorEastAsia" w:hAnsiTheme="minorEastAsia" w:eastAsiaTheme="minorEastAsia" w:cstheme="minorEastAsia"/>
          <w:color w:val="auto"/>
          <w:szCs w:val="21"/>
        </w:rPr>
      </w:pPr>
    </w:p>
    <w:p>
      <w:pPr>
        <w:spacing w:line="360" w:lineRule="auto"/>
        <w:rPr>
          <w:rFonts w:asciiTheme="minorEastAsia" w:hAnsiTheme="minorEastAsia" w:eastAsiaTheme="minorEastAsia" w:cstheme="minorEastAsia"/>
          <w:bCs/>
          <w:color w:val="auto"/>
          <w:szCs w:val="21"/>
        </w:rPr>
      </w:pPr>
    </w:p>
    <w:p>
      <w:pPr>
        <w:tabs>
          <w:tab w:val="left" w:pos="3969"/>
        </w:tabs>
        <w:spacing w:line="500" w:lineRule="exact"/>
        <w:rPr>
          <w:rFonts w:asciiTheme="minorEastAsia" w:hAnsiTheme="minorEastAsia" w:eastAsiaTheme="minorEastAsia" w:cstheme="minorEastAsia"/>
          <w:color w:val="auto"/>
          <w:szCs w:val="21"/>
        </w:rPr>
      </w:pPr>
    </w:p>
    <w:p>
      <w:pPr>
        <w:tabs>
          <w:tab w:val="left" w:pos="540"/>
        </w:tabs>
        <w:autoSpaceDE w:val="0"/>
        <w:autoSpaceDN w:val="0"/>
        <w:adjustRightInd w:val="0"/>
        <w:spacing w:line="360" w:lineRule="auto"/>
        <w:jc w:val="center"/>
        <w:outlineLvl w:val="1"/>
        <w:rPr>
          <w:rFonts w:asciiTheme="minorEastAsia" w:hAnsiTheme="minorEastAsia" w:eastAsiaTheme="minorEastAsia" w:cstheme="minorEastAsia"/>
          <w:b/>
          <w:bCs/>
          <w:color w:val="auto"/>
          <w:szCs w:val="21"/>
        </w:rPr>
      </w:pPr>
      <w:bookmarkStart w:id="150" w:name="_Toc422466732"/>
      <w:bookmarkStart w:id="151" w:name="_Toc432149006"/>
      <w:r>
        <w:rPr>
          <w:rFonts w:hint="eastAsia" w:asciiTheme="minorEastAsia" w:hAnsiTheme="minorEastAsia" w:eastAsiaTheme="minorEastAsia" w:cstheme="minorEastAsia"/>
          <w:b/>
          <w:bCs/>
          <w:color w:val="auto"/>
          <w:sz w:val="24"/>
        </w:rPr>
        <w:br w:type="page"/>
      </w:r>
      <w:bookmarkStart w:id="152" w:name="_Toc4301"/>
      <w:bookmarkStart w:id="153" w:name="_Toc4741"/>
      <w:bookmarkStart w:id="154" w:name="_Toc24587"/>
      <w:bookmarkStart w:id="155" w:name="_Toc479184128"/>
      <w:r>
        <w:rPr>
          <w:rFonts w:hint="eastAsia" w:asciiTheme="minorEastAsia" w:hAnsiTheme="minorEastAsia" w:eastAsiaTheme="minorEastAsia" w:cstheme="minorEastAsia"/>
          <w:b/>
          <w:bCs/>
          <w:color w:val="auto"/>
          <w:szCs w:val="21"/>
        </w:rPr>
        <w:t>五、报价一览表</w:t>
      </w:r>
      <w:bookmarkEnd w:id="150"/>
      <w:bookmarkEnd w:id="151"/>
      <w:bookmarkEnd w:id="152"/>
      <w:bookmarkEnd w:id="153"/>
      <w:bookmarkEnd w:id="154"/>
      <w:bookmarkEnd w:id="155"/>
    </w:p>
    <w:p>
      <w:pPr>
        <w:adjustRightInd w:val="0"/>
        <w:snapToGrid w:val="0"/>
        <w:ind w:left="-88" w:leftChars="-42"/>
        <w:rPr>
          <w:rFonts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rPr>
        <w:t xml:space="preserve">            </w:t>
      </w:r>
    </w:p>
    <w:p>
      <w:pPr>
        <w:adjustRightInd w:val="0"/>
        <w:snapToGrid w:val="0"/>
        <w:spacing w:line="360" w:lineRule="auto"/>
        <w:rPr>
          <w:rFonts w:asciiTheme="minorEastAsia" w:hAnsiTheme="minorEastAsia" w:eastAsiaTheme="minorEastAsia" w:cstheme="minorEastAsia"/>
          <w:color w:val="auto"/>
          <w:szCs w:val="21"/>
          <w:u w:val="single"/>
        </w:rPr>
      </w:pPr>
      <w:r>
        <w:rPr>
          <w:rFonts w:hint="eastAsia" w:asciiTheme="minorEastAsia" w:hAnsiTheme="minorEastAsia" w:eastAsiaTheme="minorEastAsia" w:cstheme="minorEastAsia"/>
          <w:color w:val="auto"/>
          <w:szCs w:val="21"/>
        </w:rPr>
        <w:t>项目名称：</w:t>
      </w:r>
      <w:r>
        <w:rPr>
          <w:rFonts w:hint="eastAsia" w:asciiTheme="minorEastAsia" w:hAnsiTheme="minorEastAsia" w:eastAsiaTheme="minorEastAsia" w:cstheme="minorEastAsia"/>
          <w:color w:val="auto"/>
          <w:szCs w:val="21"/>
          <w:u w:val="single"/>
        </w:rPr>
        <w:t xml:space="preserve">                         </w:t>
      </w:r>
    </w:p>
    <w:p>
      <w:pPr>
        <w:adjustRightInd w:val="0"/>
        <w:snapToGrid w:val="0"/>
        <w:spacing w:line="360" w:lineRule="auto"/>
        <w:rPr>
          <w:rFonts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项目编号：</w:t>
      </w:r>
      <w:r>
        <w:rPr>
          <w:rFonts w:hint="eastAsia" w:asciiTheme="minorEastAsia" w:hAnsiTheme="minorEastAsia" w:eastAsiaTheme="minorEastAsia" w:cstheme="minorEastAsia"/>
          <w:color w:val="auto"/>
          <w:szCs w:val="21"/>
          <w:u w:val="single"/>
        </w:rPr>
        <w:t xml:space="preserve">                         </w:t>
      </w:r>
      <w:r>
        <w:rPr>
          <w:rFonts w:hint="eastAsia" w:asciiTheme="minorEastAsia" w:hAnsiTheme="minorEastAsia" w:eastAsiaTheme="minorEastAsia" w:cstheme="minorEastAsia"/>
          <w:color w:val="auto"/>
          <w:szCs w:val="21"/>
        </w:rPr>
        <w:t xml:space="preserve">                         </w:t>
      </w:r>
    </w:p>
    <w:tbl>
      <w:tblPr>
        <w:tblStyle w:val="26"/>
        <w:tblW w:w="8584" w:type="dxa"/>
        <w:tblInd w:w="0"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2418"/>
        <w:gridCol w:w="6166"/>
      </w:tblGrid>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13" w:hRule="atLeast"/>
        </w:trPr>
        <w:tc>
          <w:tcPr>
            <w:tcW w:w="2418" w:type="dxa"/>
            <w:tcBorders>
              <w:top w:val="single" w:color="auto" w:sz="4" w:space="0"/>
              <w:left w:val="single" w:color="auto" w:sz="4" w:space="0"/>
              <w:bottom w:val="single" w:color="auto" w:sz="4" w:space="0"/>
              <w:right w:val="single" w:color="auto" w:sz="4" w:space="0"/>
            </w:tcBorders>
            <w:vAlign w:val="center"/>
          </w:tcPr>
          <w:p>
            <w:pPr>
              <w:rPr>
                <w:rFonts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供应商名称</w:t>
            </w:r>
          </w:p>
        </w:tc>
        <w:tc>
          <w:tcPr>
            <w:tcW w:w="6166" w:type="dxa"/>
            <w:tcBorders>
              <w:top w:val="single" w:color="auto" w:sz="4" w:space="0"/>
              <w:left w:val="single" w:color="auto" w:sz="4" w:space="0"/>
              <w:bottom w:val="single" w:color="auto" w:sz="4" w:space="0"/>
              <w:right w:val="single" w:color="auto" w:sz="4" w:space="0"/>
            </w:tcBorders>
            <w:vAlign w:val="center"/>
          </w:tcPr>
          <w:p>
            <w:pPr>
              <w:jc w:val="center"/>
              <w:rPr>
                <w:rFonts w:asciiTheme="minorEastAsia" w:hAnsiTheme="minorEastAsia" w:eastAsiaTheme="minorEastAsia" w:cstheme="minorEastAsia"/>
                <w:color w:val="auto"/>
                <w:szCs w:val="21"/>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13" w:hRule="atLeast"/>
        </w:trPr>
        <w:tc>
          <w:tcPr>
            <w:tcW w:w="2418" w:type="dxa"/>
            <w:tcBorders>
              <w:top w:val="single" w:color="auto" w:sz="4" w:space="0"/>
              <w:left w:val="single" w:color="auto" w:sz="4" w:space="0"/>
              <w:bottom w:val="single" w:color="auto" w:sz="4" w:space="0"/>
              <w:right w:val="single" w:color="auto" w:sz="4" w:space="0"/>
            </w:tcBorders>
            <w:vAlign w:val="center"/>
          </w:tcPr>
          <w:p>
            <w:pPr>
              <w:rPr>
                <w:rFonts w:asciiTheme="minorEastAsia" w:hAnsiTheme="minorEastAsia" w:eastAsiaTheme="minorEastAsia" w:cstheme="minorEastAsia"/>
                <w:color w:val="auto"/>
                <w:szCs w:val="21"/>
              </w:rPr>
            </w:pPr>
            <w:r>
              <w:rPr>
                <w:rFonts w:hint="eastAsia" w:ascii="宋体" w:hAnsi="宋体"/>
                <w:color w:val="auto"/>
                <w:szCs w:val="21"/>
              </w:rPr>
              <w:t>供应商地址</w:t>
            </w:r>
          </w:p>
        </w:tc>
        <w:tc>
          <w:tcPr>
            <w:tcW w:w="6166" w:type="dxa"/>
            <w:tcBorders>
              <w:top w:val="single" w:color="auto" w:sz="4" w:space="0"/>
              <w:left w:val="single" w:color="auto" w:sz="4" w:space="0"/>
              <w:bottom w:val="single" w:color="auto" w:sz="4" w:space="0"/>
              <w:right w:val="single" w:color="auto" w:sz="4" w:space="0"/>
            </w:tcBorders>
            <w:vAlign w:val="center"/>
          </w:tcPr>
          <w:p>
            <w:pPr>
              <w:jc w:val="center"/>
              <w:rPr>
                <w:rFonts w:asciiTheme="minorEastAsia" w:hAnsiTheme="minorEastAsia" w:eastAsiaTheme="minorEastAsia" w:cstheme="minorEastAsia"/>
                <w:color w:val="auto"/>
                <w:szCs w:val="21"/>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13" w:hRule="atLeast"/>
        </w:trPr>
        <w:tc>
          <w:tcPr>
            <w:tcW w:w="2418" w:type="dxa"/>
            <w:tcBorders>
              <w:top w:val="single" w:color="auto" w:sz="4" w:space="0"/>
              <w:left w:val="single" w:color="auto" w:sz="4" w:space="0"/>
              <w:bottom w:val="single" w:color="auto" w:sz="4" w:space="0"/>
              <w:right w:val="single" w:color="auto" w:sz="4" w:space="0"/>
            </w:tcBorders>
            <w:vAlign w:val="center"/>
          </w:tcPr>
          <w:p>
            <w:pPr>
              <w:rPr>
                <w:rFonts w:asciiTheme="minorEastAsia" w:hAnsiTheme="minorEastAsia" w:eastAsiaTheme="minorEastAsia" w:cstheme="minorEastAsia"/>
                <w:color w:val="auto"/>
                <w:szCs w:val="21"/>
              </w:rPr>
            </w:pPr>
            <w:r>
              <w:rPr>
                <w:rFonts w:hint="eastAsia" w:asciiTheme="minorEastAsia" w:hAnsiTheme="minorEastAsia" w:eastAsiaTheme="minorEastAsia" w:cstheme="minorEastAsia"/>
                <w:bCs/>
                <w:color w:val="auto"/>
                <w:szCs w:val="21"/>
              </w:rPr>
              <w:t>竞标报价</w:t>
            </w:r>
          </w:p>
        </w:tc>
        <w:tc>
          <w:tcPr>
            <w:tcW w:w="6166" w:type="dxa"/>
            <w:tcBorders>
              <w:top w:val="single" w:color="auto" w:sz="4" w:space="0"/>
              <w:left w:val="single" w:color="auto" w:sz="4" w:space="0"/>
              <w:bottom w:val="single" w:color="auto" w:sz="4" w:space="0"/>
              <w:right w:val="single" w:color="auto" w:sz="4" w:space="0"/>
            </w:tcBorders>
            <w:vAlign w:val="center"/>
          </w:tcPr>
          <w:p>
            <w:pPr>
              <w:jc w:val="left"/>
              <w:rPr>
                <w:rFonts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u w:val="single"/>
              </w:rPr>
              <w:t xml:space="preserve">大写：      </w:t>
            </w:r>
            <w:r>
              <w:rPr>
                <w:rFonts w:hint="eastAsia" w:asciiTheme="minorEastAsia" w:hAnsiTheme="minorEastAsia" w:eastAsiaTheme="minorEastAsia" w:cstheme="minorEastAsia"/>
                <w:color w:val="auto"/>
                <w:szCs w:val="21"/>
              </w:rPr>
              <w:br w:type="textWrapping"/>
            </w:r>
            <w:r>
              <w:rPr>
                <w:rFonts w:hint="eastAsia" w:asciiTheme="minorEastAsia" w:hAnsiTheme="minorEastAsia" w:eastAsiaTheme="minorEastAsia" w:cstheme="minorEastAsia"/>
                <w:color w:val="auto"/>
                <w:szCs w:val="21"/>
                <w:u w:val="single"/>
              </w:rPr>
              <w:t xml:space="preserve">小写：      </w:t>
            </w:r>
            <w:r>
              <w:rPr>
                <w:rFonts w:hint="eastAsia" w:asciiTheme="minorEastAsia" w:hAnsiTheme="minorEastAsia" w:eastAsiaTheme="minorEastAsia" w:cstheme="minorEastAsia"/>
                <w:color w:val="auto"/>
                <w:szCs w:val="21"/>
              </w:rPr>
              <w:t>万元</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13" w:hRule="atLeast"/>
        </w:trPr>
        <w:tc>
          <w:tcPr>
            <w:tcW w:w="2418" w:type="dxa"/>
            <w:tcBorders>
              <w:top w:val="single" w:color="auto" w:sz="4" w:space="0"/>
              <w:left w:val="single" w:color="auto" w:sz="4" w:space="0"/>
              <w:bottom w:val="single" w:color="auto" w:sz="4" w:space="0"/>
              <w:right w:val="single" w:color="auto" w:sz="4" w:space="0"/>
            </w:tcBorders>
            <w:vAlign w:val="center"/>
          </w:tcPr>
          <w:p>
            <w:pPr>
              <w:rPr>
                <w:rFonts w:asciiTheme="minorEastAsia" w:hAnsiTheme="minorEastAsia" w:eastAsiaTheme="minorEastAsia" w:cstheme="minorEastAsia"/>
                <w:bCs/>
                <w:color w:val="auto"/>
                <w:szCs w:val="21"/>
              </w:rPr>
            </w:pPr>
            <w:r>
              <w:rPr>
                <w:rFonts w:hint="eastAsia" w:asciiTheme="minorEastAsia" w:hAnsiTheme="minorEastAsia" w:eastAsiaTheme="minorEastAsia" w:cstheme="minorEastAsia"/>
                <w:bCs/>
                <w:color w:val="auto"/>
                <w:szCs w:val="21"/>
              </w:rPr>
              <w:t>主要产品概况</w:t>
            </w:r>
          </w:p>
        </w:tc>
        <w:tc>
          <w:tcPr>
            <w:tcW w:w="6166" w:type="dxa"/>
            <w:tcBorders>
              <w:top w:val="single" w:color="auto" w:sz="4" w:space="0"/>
              <w:left w:val="single" w:color="auto" w:sz="4" w:space="0"/>
              <w:bottom w:val="single" w:color="auto" w:sz="4" w:space="0"/>
              <w:right w:val="single" w:color="auto" w:sz="4" w:space="0"/>
            </w:tcBorders>
            <w:vAlign w:val="center"/>
          </w:tcPr>
          <w:p>
            <w:pPr>
              <w:rPr>
                <w:rFonts w:asciiTheme="minorEastAsia" w:hAnsiTheme="minorEastAsia" w:eastAsiaTheme="minorEastAsia" w:cstheme="minorEastAsia"/>
                <w:bCs/>
                <w:color w:val="auto"/>
                <w:szCs w:val="21"/>
              </w:rPr>
            </w:pPr>
            <w:r>
              <w:rPr>
                <w:rFonts w:hint="eastAsia" w:asciiTheme="minorEastAsia" w:hAnsiTheme="minorEastAsia" w:eastAsiaTheme="minorEastAsia" w:cstheme="minorEastAsia"/>
                <w:bCs/>
                <w:color w:val="auto"/>
                <w:szCs w:val="21"/>
              </w:rPr>
              <w:t>请填写本项目主要产品的品牌、规格型号和制造商</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13" w:hRule="atLeast"/>
        </w:trPr>
        <w:tc>
          <w:tcPr>
            <w:tcW w:w="2418" w:type="dxa"/>
            <w:tcBorders>
              <w:top w:val="single" w:color="auto" w:sz="4" w:space="0"/>
              <w:left w:val="single" w:color="auto" w:sz="4" w:space="0"/>
              <w:bottom w:val="single" w:color="auto" w:sz="4" w:space="0"/>
              <w:right w:val="single" w:color="auto" w:sz="4" w:space="0"/>
            </w:tcBorders>
            <w:vAlign w:val="center"/>
          </w:tcPr>
          <w:p>
            <w:pPr>
              <w:rPr>
                <w:rFonts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交货期</w:t>
            </w:r>
          </w:p>
        </w:tc>
        <w:tc>
          <w:tcPr>
            <w:tcW w:w="6166" w:type="dxa"/>
            <w:tcBorders>
              <w:top w:val="single" w:color="auto" w:sz="4" w:space="0"/>
              <w:left w:val="single" w:color="auto" w:sz="4" w:space="0"/>
              <w:bottom w:val="single" w:color="auto" w:sz="4" w:space="0"/>
              <w:right w:val="single" w:color="auto" w:sz="4" w:space="0"/>
            </w:tcBorders>
            <w:vAlign w:val="center"/>
          </w:tcPr>
          <w:p>
            <w:pPr>
              <w:jc w:val="center"/>
              <w:rPr>
                <w:rFonts w:asciiTheme="minorEastAsia" w:hAnsiTheme="minorEastAsia" w:eastAsiaTheme="minorEastAsia" w:cstheme="minorEastAsia"/>
                <w:color w:val="auto"/>
                <w:szCs w:val="21"/>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13" w:hRule="atLeast"/>
        </w:trPr>
        <w:tc>
          <w:tcPr>
            <w:tcW w:w="2418" w:type="dxa"/>
            <w:tcBorders>
              <w:top w:val="single" w:color="auto" w:sz="4" w:space="0"/>
              <w:left w:val="single" w:color="auto" w:sz="4" w:space="0"/>
              <w:bottom w:val="single" w:color="auto" w:sz="4" w:space="0"/>
              <w:right w:val="single" w:color="auto" w:sz="4" w:space="0"/>
            </w:tcBorders>
            <w:vAlign w:val="center"/>
          </w:tcPr>
          <w:p>
            <w:pPr>
              <w:rPr>
                <w:rFonts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质保期/保修期</w:t>
            </w:r>
          </w:p>
        </w:tc>
        <w:tc>
          <w:tcPr>
            <w:tcW w:w="6166" w:type="dxa"/>
            <w:tcBorders>
              <w:top w:val="single" w:color="auto" w:sz="4" w:space="0"/>
              <w:left w:val="single" w:color="auto" w:sz="4" w:space="0"/>
              <w:bottom w:val="single" w:color="auto" w:sz="4" w:space="0"/>
              <w:right w:val="single" w:color="auto" w:sz="4" w:space="0"/>
            </w:tcBorders>
            <w:vAlign w:val="center"/>
          </w:tcPr>
          <w:p>
            <w:pPr>
              <w:rPr>
                <w:rFonts w:asciiTheme="minorEastAsia" w:hAnsiTheme="minorEastAsia" w:eastAsiaTheme="minorEastAsia" w:cstheme="minorEastAsia"/>
                <w:color w:val="auto"/>
                <w:szCs w:val="21"/>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13" w:hRule="atLeast"/>
        </w:trPr>
        <w:tc>
          <w:tcPr>
            <w:tcW w:w="2418" w:type="dxa"/>
            <w:tcBorders>
              <w:top w:val="single" w:color="auto" w:sz="4" w:space="0"/>
              <w:left w:val="single" w:color="auto" w:sz="4" w:space="0"/>
              <w:bottom w:val="single" w:color="auto" w:sz="4" w:space="0"/>
              <w:right w:val="single" w:color="auto" w:sz="4" w:space="0"/>
            </w:tcBorders>
            <w:vAlign w:val="center"/>
          </w:tcPr>
          <w:p>
            <w:pPr>
              <w:rPr>
                <w:rFonts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优惠声明</w:t>
            </w:r>
          </w:p>
        </w:tc>
        <w:tc>
          <w:tcPr>
            <w:tcW w:w="6166" w:type="dxa"/>
            <w:tcBorders>
              <w:top w:val="single" w:color="auto" w:sz="4" w:space="0"/>
              <w:left w:val="single" w:color="auto" w:sz="4" w:space="0"/>
              <w:bottom w:val="single" w:color="auto" w:sz="4" w:space="0"/>
              <w:right w:val="single" w:color="auto" w:sz="4" w:space="0"/>
            </w:tcBorders>
            <w:vAlign w:val="center"/>
          </w:tcPr>
          <w:p>
            <w:pPr>
              <w:rPr>
                <w:rFonts w:asciiTheme="minorEastAsia" w:hAnsiTheme="minorEastAsia" w:eastAsiaTheme="minorEastAsia" w:cstheme="minorEastAsia"/>
                <w:color w:val="auto"/>
                <w:szCs w:val="21"/>
              </w:rPr>
            </w:pPr>
            <w:r>
              <w:rPr>
                <w:rFonts w:asciiTheme="minorEastAsia" w:hAnsiTheme="minorEastAsia" w:eastAsiaTheme="minorEastAsia" w:cstheme="minorEastAsia"/>
                <w:color w:val="auto"/>
                <w:szCs w:val="21"/>
              </w:rPr>
              <w:t>□</w:t>
            </w:r>
            <w:r>
              <w:rPr>
                <w:rFonts w:hint="eastAsia" w:asciiTheme="minorEastAsia" w:hAnsiTheme="minorEastAsia" w:eastAsiaTheme="minorEastAsia" w:cstheme="minorEastAsia"/>
                <w:color w:val="auto"/>
                <w:szCs w:val="21"/>
              </w:rPr>
              <w:t xml:space="preserve">有；      </w:t>
            </w:r>
            <w:r>
              <w:rPr>
                <w:rFonts w:asciiTheme="minorEastAsia" w:hAnsiTheme="minorEastAsia" w:eastAsiaTheme="minorEastAsia" w:cstheme="minorEastAsia"/>
                <w:color w:val="auto"/>
                <w:szCs w:val="21"/>
              </w:rPr>
              <w:t>□</w:t>
            </w:r>
            <w:r>
              <w:rPr>
                <w:rFonts w:hint="eastAsia" w:asciiTheme="minorEastAsia" w:hAnsiTheme="minorEastAsia" w:eastAsiaTheme="minorEastAsia" w:cstheme="minorEastAsia"/>
                <w:color w:val="auto"/>
                <w:szCs w:val="21"/>
              </w:rPr>
              <w:t>无；</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13" w:hRule="atLeast"/>
        </w:trPr>
        <w:tc>
          <w:tcPr>
            <w:tcW w:w="2418" w:type="dxa"/>
            <w:tcBorders>
              <w:top w:val="single" w:color="auto" w:sz="4" w:space="0"/>
              <w:left w:val="single" w:color="auto" w:sz="4" w:space="0"/>
              <w:bottom w:val="single" w:color="auto" w:sz="4" w:space="0"/>
              <w:right w:val="single" w:color="auto" w:sz="4" w:space="0"/>
            </w:tcBorders>
            <w:vAlign w:val="center"/>
          </w:tcPr>
          <w:p>
            <w:pPr>
              <w:rPr>
                <w:color w:val="auto"/>
              </w:rPr>
            </w:pPr>
            <w:r>
              <w:rPr>
                <w:rFonts w:hint="eastAsia" w:asciiTheme="minorEastAsia" w:hAnsiTheme="minorEastAsia" w:eastAsiaTheme="minorEastAsia" w:cstheme="minorEastAsia"/>
                <w:color w:val="auto"/>
                <w:szCs w:val="21"/>
              </w:rPr>
              <w:t>备注</w:t>
            </w:r>
          </w:p>
        </w:tc>
        <w:tc>
          <w:tcPr>
            <w:tcW w:w="6166" w:type="dxa"/>
            <w:tcBorders>
              <w:top w:val="single" w:color="auto" w:sz="4" w:space="0"/>
              <w:left w:val="single" w:color="auto" w:sz="4" w:space="0"/>
              <w:bottom w:val="single" w:color="auto" w:sz="4" w:space="0"/>
              <w:right w:val="single" w:color="auto" w:sz="4" w:space="0"/>
            </w:tcBorders>
            <w:vAlign w:val="center"/>
          </w:tcPr>
          <w:p>
            <w:pPr>
              <w:pStyle w:val="10"/>
              <w:rPr>
                <w:color w:val="auto"/>
              </w:rPr>
            </w:pPr>
            <w:r>
              <w:rPr>
                <w:rFonts w:hint="eastAsia" w:asciiTheme="minorEastAsia" w:hAnsiTheme="minorEastAsia" w:eastAsiaTheme="minorEastAsia" w:cstheme="minorEastAsia"/>
                <w:color w:val="auto"/>
                <w:szCs w:val="21"/>
              </w:rPr>
              <w:t>如有优惠声明，</w:t>
            </w:r>
            <w:r>
              <w:rPr>
                <w:rFonts w:asciiTheme="minorEastAsia" w:hAnsiTheme="minorEastAsia" w:eastAsiaTheme="minorEastAsia" w:cstheme="minorEastAsia"/>
                <w:color w:val="auto"/>
                <w:szCs w:val="21"/>
              </w:rPr>
              <w:t>优惠声明</w:t>
            </w:r>
            <w:r>
              <w:rPr>
                <w:rFonts w:hint="eastAsia" w:asciiTheme="minorEastAsia" w:hAnsiTheme="minorEastAsia" w:eastAsiaTheme="minorEastAsia" w:cstheme="minorEastAsia"/>
                <w:color w:val="auto"/>
                <w:szCs w:val="21"/>
              </w:rPr>
              <w:t>后的价格必须与竞标报价一致。</w:t>
            </w:r>
          </w:p>
        </w:tc>
      </w:tr>
    </w:tbl>
    <w:p>
      <w:pPr>
        <w:spacing w:line="360" w:lineRule="auto"/>
        <w:ind w:firstLine="525" w:firstLineChars="250"/>
        <w:rPr>
          <w:rFonts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说明</w:t>
      </w:r>
      <w:r>
        <w:rPr>
          <w:rFonts w:hint="eastAsia" w:asciiTheme="minorEastAsia" w:hAnsiTheme="minorEastAsia" w:eastAsiaTheme="minorEastAsia" w:cstheme="minorEastAsia"/>
          <w:bCs/>
          <w:color w:val="auto"/>
          <w:szCs w:val="21"/>
        </w:rPr>
        <w:t>：</w:t>
      </w:r>
      <w:r>
        <w:rPr>
          <w:rFonts w:hint="eastAsia" w:asciiTheme="minorEastAsia" w:hAnsiTheme="minorEastAsia" w:eastAsiaTheme="minorEastAsia" w:cstheme="minorEastAsia"/>
          <w:color w:val="auto"/>
          <w:szCs w:val="21"/>
        </w:rPr>
        <w:t>价格应按照“供应商须知” 的要求报价。</w:t>
      </w:r>
    </w:p>
    <w:p>
      <w:pPr>
        <w:spacing w:line="360" w:lineRule="auto"/>
        <w:rPr>
          <w:rFonts w:asciiTheme="minorEastAsia" w:hAnsiTheme="minorEastAsia" w:eastAsiaTheme="minorEastAsia" w:cstheme="minorEastAsia"/>
          <w:color w:val="auto"/>
          <w:szCs w:val="21"/>
        </w:rPr>
      </w:pPr>
    </w:p>
    <w:p>
      <w:pPr>
        <w:spacing w:line="360" w:lineRule="auto"/>
        <w:rPr>
          <w:rFonts w:asciiTheme="minorEastAsia" w:hAnsiTheme="minorEastAsia" w:eastAsiaTheme="minorEastAsia" w:cstheme="minorEastAsia"/>
          <w:color w:val="auto"/>
          <w:szCs w:val="21"/>
        </w:rPr>
      </w:pPr>
    </w:p>
    <w:p>
      <w:pPr>
        <w:spacing w:line="360" w:lineRule="auto"/>
        <w:rPr>
          <w:rFonts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磋商供应商法定代表人（签字）：</w:t>
      </w:r>
    </w:p>
    <w:p>
      <w:pPr>
        <w:spacing w:line="360" w:lineRule="auto"/>
        <w:rPr>
          <w:rFonts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磋商供应商授权代表（签字）：</w:t>
      </w:r>
      <w:r>
        <w:rPr>
          <w:rFonts w:hint="eastAsia" w:asciiTheme="minorEastAsia" w:hAnsiTheme="minorEastAsia" w:eastAsiaTheme="minorEastAsia" w:cstheme="minorEastAsia"/>
          <w:color w:val="auto"/>
          <w:szCs w:val="21"/>
          <w:u w:val="single"/>
        </w:rPr>
        <w:t xml:space="preserve">                        </w:t>
      </w:r>
    </w:p>
    <w:p>
      <w:pPr>
        <w:spacing w:line="360" w:lineRule="auto"/>
        <w:rPr>
          <w:rFonts w:asciiTheme="minorEastAsia" w:hAnsiTheme="minorEastAsia" w:eastAsiaTheme="minorEastAsia" w:cstheme="minorEastAsia"/>
          <w:color w:val="auto"/>
          <w:szCs w:val="21"/>
          <w:u w:val="single"/>
        </w:rPr>
      </w:pPr>
      <w:r>
        <w:rPr>
          <w:rFonts w:hint="eastAsia" w:asciiTheme="minorEastAsia" w:hAnsiTheme="minorEastAsia" w:eastAsiaTheme="minorEastAsia" w:cstheme="minorEastAsia"/>
          <w:color w:val="auto"/>
          <w:szCs w:val="21"/>
        </w:rPr>
        <w:t>磋商供应商名称（盖章）：</w:t>
      </w:r>
      <w:r>
        <w:rPr>
          <w:rFonts w:hint="eastAsia" w:asciiTheme="minorEastAsia" w:hAnsiTheme="minorEastAsia" w:eastAsiaTheme="minorEastAsia" w:cstheme="minorEastAsia"/>
          <w:color w:val="auto"/>
          <w:szCs w:val="21"/>
          <w:u w:val="single"/>
        </w:rPr>
        <w:t xml:space="preserve">                                     </w:t>
      </w:r>
    </w:p>
    <w:p>
      <w:pPr>
        <w:spacing w:line="360" w:lineRule="auto"/>
        <w:rPr>
          <w:rFonts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时                 间：</w:t>
      </w:r>
      <w:r>
        <w:rPr>
          <w:rFonts w:hint="eastAsia" w:asciiTheme="minorEastAsia" w:hAnsiTheme="minorEastAsia" w:eastAsiaTheme="minorEastAsia" w:cstheme="minorEastAsia"/>
          <w:color w:val="auto"/>
          <w:szCs w:val="21"/>
          <w:u w:val="single"/>
        </w:rPr>
        <w:t xml:space="preserve">           </w:t>
      </w:r>
      <w:r>
        <w:rPr>
          <w:rFonts w:hint="eastAsia" w:asciiTheme="minorEastAsia" w:hAnsiTheme="minorEastAsia" w:eastAsiaTheme="minorEastAsia" w:cstheme="minorEastAsia"/>
          <w:color w:val="auto"/>
          <w:szCs w:val="21"/>
        </w:rPr>
        <w:t>年</w:t>
      </w:r>
      <w:r>
        <w:rPr>
          <w:rFonts w:hint="eastAsia" w:asciiTheme="minorEastAsia" w:hAnsiTheme="minorEastAsia" w:eastAsiaTheme="minorEastAsia" w:cstheme="minorEastAsia"/>
          <w:color w:val="auto"/>
          <w:szCs w:val="21"/>
          <w:u w:val="single"/>
        </w:rPr>
        <w:t xml:space="preserve">          </w:t>
      </w:r>
      <w:r>
        <w:rPr>
          <w:rFonts w:hint="eastAsia" w:asciiTheme="minorEastAsia" w:hAnsiTheme="minorEastAsia" w:eastAsiaTheme="minorEastAsia" w:cstheme="minorEastAsia"/>
          <w:color w:val="auto"/>
          <w:szCs w:val="21"/>
        </w:rPr>
        <w:t>月</w:t>
      </w:r>
      <w:r>
        <w:rPr>
          <w:rFonts w:hint="eastAsia" w:asciiTheme="minorEastAsia" w:hAnsiTheme="minorEastAsia" w:eastAsiaTheme="minorEastAsia" w:cstheme="minorEastAsia"/>
          <w:color w:val="auto"/>
          <w:szCs w:val="21"/>
          <w:u w:val="single"/>
        </w:rPr>
        <w:t xml:space="preserve">          </w:t>
      </w:r>
      <w:r>
        <w:rPr>
          <w:rFonts w:hint="eastAsia" w:asciiTheme="minorEastAsia" w:hAnsiTheme="minorEastAsia" w:eastAsiaTheme="minorEastAsia" w:cstheme="minorEastAsia"/>
          <w:color w:val="auto"/>
          <w:szCs w:val="21"/>
        </w:rPr>
        <w:t>日</w:t>
      </w:r>
    </w:p>
    <w:p>
      <w:pPr>
        <w:tabs>
          <w:tab w:val="left" w:pos="540"/>
        </w:tabs>
        <w:autoSpaceDE w:val="0"/>
        <w:autoSpaceDN w:val="0"/>
        <w:adjustRightInd w:val="0"/>
        <w:spacing w:line="360" w:lineRule="auto"/>
        <w:jc w:val="center"/>
        <w:outlineLvl w:val="1"/>
        <w:rPr>
          <w:rFonts w:asciiTheme="minorEastAsia" w:hAnsiTheme="minorEastAsia" w:eastAsiaTheme="minorEastAsia" w:cstheme="minorEastAsia"/>
          <w:color w:val="auto"/>
          <w:szCs w:val="21"/>
          <w:u w:val="single"/>
        </w:rPr>
      </w:pPr>
      <w:bookmarkStart w:id="156" w:name="_Toc460258117"/>
      <w:bookmarkStart w:id="157" w:name="_Toc259028723"/>
      <w:bookmarkStart w:id="158" w:name="_Toc432149007"/>
      <w:bookmarkStart w:id="159" w:name="_Toc424832831"/>
      <w:r>
        <w:rPr>
          <w:rFonts w:hint="eastAsia" w:asciiTheme="minorEastAsia" w:hAnsiTheme="minorEastAsia" w:eastAsiaTheme="minorEastAsia" w:cstheme="minorEastAsia"/>
          <w:b/>
          <w:bCs/>
          <w:color w:val="auto"/>
          <w:sz w:val="24"/>
        </w:rPr>
        <w:br w:type="page"/>
      </w:r>
      <w:bookmarkStart w:id="160" w:name="_Toc1079"/>
      <w:bookmarkStart w:id="161" w:name="_Toc18559"/>
      <w:bookmarkStart w:id="162" w:name="_Toc479184129"/>
      <w:bookmarkStart w:id="163" w:name="_Toc9154"/>
      <w:r>
        <w:rPr>
          <w:rFonts w:hint="eastAsia" w:asciiTheme="minorEastAsia" w:hAnsiTheme="minorEastAsia" w:eastAsiaTheme="minorEastAsia" w:cstheme="minorEastAsia"/>
          <w:b/>
          <w:bCs/>
          <w:color w:val="auto"/>
          <w:szCs w:val="21"/>
        </w:rPr>
        <w:t>六、</w:t>
      </w:r>
      <w:bookmarkEnd w:id="156"/>
      <w:bookmarkEnd w:id="157"/>
      <w:bookmarkEnd w:id="160"/>
      <w:bookmarkEnd w:id="161"/>
      <w:bookmarkEnd w:id="162"/>
      <w:r>
        <w:rPr>
          <w:rFonts w:hint="eastAsia" w:asciiTheme="minorEastAsia" w:hAnsiTheme="minorEastAsia" w:eastAsiaTheme="minorEastAsia" w:cstheme="minorEastAsia"/>
          <w:b/>
          <w:bCs/>
          <w:color w:val="auto"/>
          <w:szCs w:val="21"/>
        </w:rPr>
        <w:t>报价费用构成表</w:t>
      </w:r>
      <w:bookmarkEnd w:id="163"/>
    </w:p>
    <w:p>
      <w:pPr>
        <w:adjustRightInd w:val="0"/>
        <w:snapToGrid w:val="0"/>
        <w:spacing w:line="360" w:lineRule="auto"/>
        <w:rPr>
          <w:rFonts w:asciiTheme="minorEastAsia" w:hAnsiTheme="minorEastAsia" w:eastAsiaTheme="minorEastAsia" w:cstheme="minorEastAsia"/>
          <w:color w:val="auto"/>
          <w:szCs w:val="21"/>
          <w:u w:val="single"/>
        </w:rPr>
      </w:pPr>
      <w:r>
        <w:rPr>
          <w:rFonts w:hint="eastAsia" w:asciiTheme="minorEastAsia" w:hAnsiTheme="minorEastAsia" w:eastAsiaTheme="minorEastAsia" w:cstheme="minorEastAsia"/>
          <w:color w:val="auto"/>
          <w:szCs w:val="21"/>
        </w:rPr>
        <w:t>项目名称：</w:t>
      </w:r>
      <w:r>
        <w:rPr>
          <w:rFonts w:hint="eastAsia" w:asciiTheme="minorEastAsia" w:hAnsiTheme="minorEastAsia" w:eastAsiaTheme="minorEastAsia" w:cstheme="minorEastAsia"/>
          <w:color w:val="auto"/>
          <w:szCs w:val="21"/>
          <w:u w:val="single"/>
        </w:rPr>
        <w:t xml:space="preserve">                         </w:t>
      </w:r>
    </w:p>
    <w:p>
      <w:pPr>
        <w:adjustRightInd w:val="0"/>
        <w:snapToGrid w:val="0"/>
        <w:spacing w:line="360" w:lineRule="auto"/>
        <w:rPr>
          <w:rFonts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项目编号：</w:t>
      </w:r>
      <w:r>
        <w:rPr>
          <w:rFonts w:hint="eastAsia" w:asciiTheme="minorEastAsia" w:hAnsiTheme="minorEastAsia" w:eastAsiaTheme="minorEastAsia" w:cstheme="minorEastAsia"/>
          <w:color w:val="auto"/>
          <w:szCs w:val="21"/>
          <w:u w:val="single"/>
        </w:rPr>
        <w:t xml:space="preserve">                         </w:t>
      </w:r>
    </w:p>
    <w:tbl>
      <w:tblPr>
        <w:tblStyle w:val="26"/>
        <w:tblW w:w="10131"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28"/>
        <w:gridCol w:w="2116"/>
        <w:gridCol w:w="1112"/>
        <w:gridCol w:w="1453"/>
        <w:gridCol w:w="741"/>
        <w:gridCol w:w="631"/>
        <w:gridCol w:w="933"/>
        <w:gridCol w:w="830"/>
        <w:gridCol w:w="750"/>
        <w:gridCol w:w="737"/>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828" w:type="dxa"/>
            <w:vAlign w:val="center"/>
          </w:tcPr>
          <w:p>
            <w:pPr>
              <w:adjustRightInd w:val="0"/>
              <w:snapToGrid w:val="0"/>
              <w:jc w:val="center"/>
              <w:rPr>
                <w:rFonts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序号</w:t>
            </w:r>
          </w:p>
        </w:tc>
        <w:tc>
          <w:tcPr>
            <w:tcW w:w="2116" w:type="dxa"/>
            <w:vAlign w:val="center"/>
          </w:tcPr>
          <w:p>
            <w:pPr>
              <w:adjustRightInd w:val="0"/>
              <w:snapToGrid w:val="0"/>
              <w:jc w:val="center"/>
              <w:rPr>
                <w:rFonts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名称</w:t>
            </w:r>
          </w:p>
        </w:tc>
        <w:tc>
          <w:tcPr>
            <w:tcW w:w="1112" w:type="dxa"/>
            <w:vAlign w:val="center"/>
          </w:tcPr>
          <w:p>
            <w:pPr>
              <w:adjustRightInd w:val="0"/>
              <w:snapToGrid w:val="0"/>
              <w:jc w:val="center"/>
              <w:rPr>
                <w:rFonts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规格型号（如有）</w:t>
            </w:r>
          </w:p>
        </w:tc>
        <w:tc>
          <w:tcPr>
            <w:tcW w:w="1453" w:type="dxa"/>
            <w:vAlign w:val="center"/>
          </w:tcPr>
          <w:p>
            <w:pPr>
              <w:adjustRightInd w:val="0"/>
              <w:snapToGrid w:val="0"/>
              <w:jc w:val="center"/>
              <w:rPr>
                <w:rFonts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制造商名称（如有）</w:t>
            </w:r>
          </w:p>
        </w:tc>
        <w:tc>
          <w:tcPr>
            <w:tcW w:w="741" w:type="dxa"/>
            <w:vAlign w:val="center"/>
          </w:tcPr>
          <w:p>
            <w:pPr>
              <w:adjustRightInd w:val="0"/>
              <w:snapToGrid w:val="0"/>
              <w:jc w:val="center"/>
              <w:rPr>
                <w:rFonts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产地</w:t>
            </w:r>
          </w:p>
        </w:tc>
        <w:tc>
          <w:tcPr>
            <w:tcW w:w="631" w:type="dxa"/>
            <w:vAlign w:val="center"/>
          </w:tcPr>
          <w:p>
            <w:pPr>
              <w:adjustRightInd w:val="0"/>
              <w:snapToGrid w:val="0"/>
              <w:jc w:val="center"/>
              <w:rPr>
                <w:rFonts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数量</w:t>
            </w:r>
          </w:p>
        </w:tc>
        <w:tc>
          <w:tcPr>
            <w:tcW w:w="933" w:type="dxa"/>
            <w:vAlign w:val="center"/>
          </w:tcPr>
          <w:p>
            <w:pPr>
              <w:adjustRightInd w:val="0"/>
              <w:snapToGrid w:val="0"/>
              <w:jc w:val="center"/>
              <w:rPr>
                <w:rFonts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单价最高限价（元）</w:t>
            </w:r>
          </w:p>
        </w:tc>
        <w:tc>
          <w:tcPr>
            <w:tcW w:w="830" w:type="dxa"/>
            <w:vAlign w:val="center"/>
          </w:tcPr>
          <w:p>
            <w:pPr>
              <w:adjustRightInd w:val="0"/>
              <w:snapToGrid w:val="0"/>
              <w:jc w:val="center"/>
              <w:rPr>
                <w:rFonts w:hint="eastAsia" w:asciiTheme="minorEastAsia" w:hAnsiTheme="minorEastAsia" w:eastAsiaTheme="minorEastAsia" w:cstheme="minorEastAsia"/>
                <w:color w:val="auto"/>
                <w:szCs w:val="21"/>
                <w:lang w:eastAsia="zh-CN"/>
              </w:rPr>
            </w:pPr>
            <w:r>
              <w:rPr>
                <w:rFonts w:hint="eastAsia" w:asciiTheme="minorEastAsia" w:hAnsiTheme="minorEastAsia" w:eastAsiaTheme="minorEastAsia" w:cstheme="minorEastAsia"/>
                <w:color w:val="auto"/>
                <w:szCs w:val="21"/>
              </w:rPr>
              <w:t>单价</w:t>
            </w:r>
            <w:r>
              <w:rPr>
                <w:rFonts w:hint="eastAsia" w:asciiTheme="minorEastAsia" w:hAnsiTheme="minorEastAsia" w:eastAsiaTheme="minorEastAsia" w:cstheme="minorEastAsia"/>
                <w:color w:val="auto"/>
                <w:szCs w:val="21"/>
                <w:lang w:eastAsia="zh-CN"/>
              </w:rPr>
              <w:t>报价（元）</w:t>
            </w:r>
          </w:p>
        </w:tc>
        <w:tc>
          <w:tcPr>
            <w:tcW w:w="750" w:type="dxa"/>
            <w:vAlign w:val="center"/>
          </w:tcPr>
          <w:p>
            <w:pPr>
              <w:adjustRightInd w:val="0"/>
              <w:snapToGrid w:val="0"/>
              <w:jc w:val="center"/>
              <w:rPr>
                <w:rFonts w:hint="eastAsia"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总价（元）</w:t>
            </w:r>
          </w:p>
        </w:tc>
        <w:tc>
          <w:tcPr>
            <w:tcW w:w="737" w:type="dxa"/>
            <w:vAlign w:val="center"/>
          </w:tcPr>
          <w:p>
            <w:pPr>
              <w:adjustRightInd w:val="0"/>
              <w:snapToGrid w:val="0"/>
              <w:jc w:val="center"/>
              <w:rPr>
                <w:rFonts w:hint="eastAsia"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828" w:type="dxa"/>
            <w:vAlign w:val="center"/>
          </w:tcPr>
          <w:p>
            <w:pPr>
              <w:adjustRightInd w:val="0"/>
              <w:snapToGrid w:val="0"/>
              <w:jc w:val="center"/>
              <w:rPr>
                <w:rFonts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1</w:t>
            </w:r>
          </w:p>
        </w:tc>
        <w:tc>
          <w:tcPr>
            <w:tcW w:w="2116" w:type="dxa"/>
            <w:vAlign w:val="center"/>
          </w:tcPr>
          <w:p>
            <w:pPr>
              <w:jc w:val="center"/>
              <w:rPr>
                <w:rFonts w:ascii="宋体" w:hAnsi="宋体" w:eastAsia="宋体" w:cs="宋体"/>
                <w:color w:val="auto"/>
                <w:kern w:val="2"/>
                <w:sz w:val="21"/>
                <w:szCs w:val="21"/>
                <w:lang w:val="en-US" w:eastAsia="zh-CN" w:bidi="ar-SA"/>
              </w:rPr>
            </w:pPr>
            <w:r>
              <w:rPr>
                <w:rFonts w:hint="eastAsia" w:ascii="宋体" w:hAnsi="宋体" w:cs="宋体"/>
                <w:color w:val="auto"/>
                <w:szCs w:val="21"/>
              </w:rPr>
              <w:t>电机控制硬件在环仿真系统（</w:t>
            </w:r>
            <w:r>
              <w:rPr>
                <w:rFonts w:hint="eastAsia" w:asciiTheme="minorEastAsia" w:hAnsiTheme="minorEastAsia" w:eastAsiaTheme="minorEastAsia" w:cstheme="minorEastAsia"/>
                <w:color w:val="auto"/>
                <w:szCs w:val="21"/>
              </w:rPr>
              <w:t>核心产品</w:t>
            </w:r>
            <w:r>
              <w:rPr>
                <w:rFonts w:hint="eastAsia" w:ascii="宋体" w:hAnsi="宋体" w:cs="宋体"/>
                <w:color w:val="auto"/>
                <w:szCs w:val="21"/>
              </w:rPr>
              <w:t>）</w:t>
            </w:r>
          </w:p>
        </w:tc>
        <w:tc>
          <w:tcPr>
            <w:tcW w:w="1112" w:type="dxa"/>
            <w:vAlign w:val="center"/>
          </w:tcPr>
          <w:p>
            <w:pPr>
              <w:adjustRightInd w:val="0"/>
              <w:snapToGrid w:val="0"/>
              <w:jc w:val="center"/>
              <w:rPr>
                <w:rFonts w:asciiTheme="minorEastAsia" w:hAnsiTheme="minorEastAsia" w:eastAsiaTheme="minorEastAsia" w:cstheme="minorEastAsia"/>
                <w:color w:val="auto"/>
                <w:szCs w:val="21"/>
              </w:rPr>
            </w:pPr>
          </w:p>
        </w:tc>
        <w:tc>
          <w:tcPr>
            <w:tcW w:w="1453" w:type="dxa"/>
            <w:vAlign w:val="center"/>
          </w:tcPr>
          <w:p>
            <w:pPr>
              <w:adjustRightInd w:val="0"/>
              <w:snapToGrid w:val="0"/>
              <w:jc w:val="center"/>
              <w:rPr>
                <w:rFonts w:asciiTheme="minorEastAsia" w:hAnsiTheme="minorEastAsia" w:eastAsiaTheme="minorEastAsia" w:cstheme="minorEastAsia"/>
                <w:color w:val="auto"/>
                <w:szCs w:val="21"/>
              </w:rPr>
            </w:pPr>
          </w:p>
        </w:tc>
        <w:tc>
          <w:tcPr>
            <w:tcW w:w="741" w:type="dxa"/>
            <w:vAlign w:val="center"/>
          </w:tcPr>
          <w:p>
            <w:pPr>
              <w:adjustRightInd w:val="0"/>
              <w:snapToGrid w:val="0"/>
              <w:jc w:val="center"/>
              <w:rPr>
                <w:rFonts w:asciiTheme="minorEastAsia" w:hAnsiTheme="minorEastAsia" w:eastAsiaTheme="minorEastAsia" w:cstheme="minorEastAsia"/>
                <w:color w:val="auto"/>
                <w:szCs w:val="21"/>
              </w:rPr>
            </w:pPr>
          </w:p>
        </w:tc>
        <w:tc>
          <w:tcPr>
            <w:tcW w:w="631" w:type="dxa"/>
            <w:vAlign w:val="center"/>
          </w:tcPr>
          <w:p>
            <w:pPr>
              <w:jc w:val="center"/>
              <w:rPr>
                <w:rFonts w:asciiTheme="minorEastAsia" w:hAnsiTheme="minorEastAsia" w:eastAsiaTheme="minorEastAsia" w:cstheme="minorEastAsia"/>
                <w:color w:val="auto"/>
                <w:szCs w:val="21"/>
              </w:rPr>
            </w:pPr>
            <w:r>
              <w:rPr>
                <w:rFonts w:hint="eastAsia" w:ascii="宋体" w:hAnsi="宋体" w:cs="宋体"/>
                <w:color w:val="auto"/>
                <w:szCs w:val="21"/>
              </w:rPr>
              <w:t>1套</w:t>
            </w:r>
          </w:p>
        </w:tc>
        <w:tc>
          <w:tcPr>
            <w:tcW w:w="933" w:type="dxa"/>
            <w:vAlign w:val="center"/>
          </w:tcPr>
          <w:p>
            <w:pPr>
              <w:jc w:val="center"/>
              <w:rPr>
                <w:rFonts w:asciiTheme="minorEastAsia" w:hAnsiTheme="minorEastAsia" w:eastAsiaTheme="minorEastAsia" w:cstheme="minorEastAsia"/>
                <w:color w:val="auto"/>
                <w:szCs w:val="21"/>
              </w:rPr>
            </w:pPr>
            <w:r>
              <w:rPr>
                <w:rFonts w:hint="eastAsia" w:ascii="微软雅黑" w:hAnsi="微软雅黑" w:eastAsia="微软雅黑" w:cs="微软雅黑"/>
                <w:color w:val="auto"/>
                <w:sz w:val="18"/>
                <w:szCs w:val="18"/>
              </w:rPr>
              <w:t>436600</w:t>
            </w:r>
            <w:r>
              <w:rPr>
                <w:rFonts w:ascii="微软雅黑" w:hAnsi="微软雅黑" w:eastAsia="微软雅黑" w:cs="微软雅黑"/>
                <w:vanish/>
                <w:color w:val="auto"/>
                <w:sz w:val="24"/>
              </w:rPr>
              <w:drawing>
                <wp:inline distT="0" distB="0" distL="114300" distR="114300">
                  <wp:extent cx="914400" cy="226695"/>
                  <wp:effectExtent l="0" t="0" r="0" b="1905"/>
                  <wp:docPr id="8" name="图片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图片 8"/>
                          <pic:cNvPicPr>
                            <a:picLocks noChangeAspect="1"/>
                          </pic:cNvPicPr>
                        </pic:nvPicPr>
                        <pic:blipFill>
                          <a:blip r:embed="rId14"/>
                          <a:stretch>
                            <a:fillRect/>
                          </a:stretch>
                        </pic:blipFill>
                        <pic:spPr>
                          <a:xfrm>
                            <a:off x="0" y="0"/>
                            <a:ext cx="914400" cy="226695"/>
                          </a:xfrm>
                          <a:prstGeom prst="rect">
                            <a:avLst/>
                          </a:prstGeom>
                          <a:noFill/>
                          <a:ln>
                            <a:noFill/>
                          </a:ln>
                        </pic:spPr>
                      </pic:pic>
                    </a:graphicData>
                  </a:graphic>
                </wp:inline>
              </w:drawing>
            </w:r>
          </w:p>
        </w:tc>
        <w:tc>
          <w:tcPr>
            <w:tcW w:w="830" w:type="dxa"/>
            <w:vAlign w:val="center"/>
          </w:tcPr>
          <w:p>
            <w:pPr>
              <w:adjustRightInd w:val="0"/>
              <w:snapToGrid w:val="0"/>
              <w:jc w:val="center"/>
              <w:rPr>
                <w:rFonts w:asciiTheme="minorEastAsia" w:hAnsiTheme="minorEastAsia" w:eastAsiaTheme="minorEastAsia" w:cstheme="minorEastAsia"/>
                <w:color w:val="auto"/>
                <w:szCs w:val="21"/>
              </w:rPr>
            </w:pPr>
          </w:p>
        </w:tc>
        <w:tc>
          <w:tcPr>
            <w:tcW w:w="750" w:type="dxa"/>
            <w:vAlign w:val="center"/>
          </w:tcPr>
          <w:p>
            <w:pPr>
              <w:adjustRightInd w:val="0"/>
              <w:snapToGrid w:val="0"/>
              <w:jc w:val="center"/>
              <w:rPr>
                <w:rFonts w:asciiTheme="minorEastAsia" w:hAnsiTheme="minorEastAsia" w:eastAsiaTheme="minorEastAsia" w:cstheme="minorEastAsia"/>
                <w:color w:val="auto"/>
                <w:szCs w:val="21"/>
              </w:rPr>
            </w:pPr>
          </w:p>
        </w:tc>
        <w:tc>
          <w:tcPr>
            <w:tcW w:w="737" w:type="dxa"/>
            <w:vAlign w:val="center"/>
          </w:tcPr>
          <w:p>
            <w:pPr>
              <w:adjustRightInd w:val="0"/>
              <w:snapToGrid w:val="0"/>
              <w:jc w:val="center"/>
              <w:rPr>
                <w:rFonts w:asciiTheme="minorEastAsia" w:hAnsiTheme="minorEastAsia" w:eastAsiaTheme="minorEastAsia" w:cstheme="minorEastAsia"/>
                <w:color w:val="auto"/>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828" w:type="dxa"/>
            <w:vAlign w:val="center"/>
          </w:tcPr>
          <w:p>
            <w:pPr>
              <w:adjustRightInd w:val="0"/>
              <w:snapToGrid w:val="0"/>
              <w:jc w:val="center"/>
              <w:rPr>
                <w:rFonts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2</w:t>
            </w:r>
          </w:p>
        </w:tc>
        <w:tc>
          <w:tcPr>
            <w:tcW w:w="2116" w:type="dxa"/>
            <w:vAlign w:val="center"/>
          </w:tcPr>
          <w:p>
            <w:pPr>
              <w:jc w:val="center"/>
              <w:rPr>
                <w:rFonts w:ascii="宋体" w:hAnsi="宋体" w:eastAsia="宋体" w:cs="宋体"/>
                <w:color w:val="auto"/>
                <w:kern w:val="2"/>
                <w:sz w:val="21"/>
                <w:szCs w:val="21"/>
                <w:lang w:val="en-US" w:eastAsia="zh-CN" w:bidi="ar-SA"/>
              </w:rPr>
            </w:pPr>
            <w:r>
              <w:rPr>
                <w:rFonts w:hint="eastAsia" w:ascii="宋体" w:hAnsi="宋体" w:cs="宋体"/>
                <w:color w:val="auto"/>
                <w:szCs w:val="21"/>
              </w:rPr>
              <w:t>SIC逆变器集成开发环境（</w:t>
            </w:r>
            <w:r>
              <w:rPr>
                <w:rFonts w:hint="eastAsia" w:asciiTheme="minorEastAsia" w:hAnsiTheme="minorEastAsia" w:eastAsiaTheme="minorEastAsia" w:cstheme="minorEastAsia"/>
                <w:color w:val="auto"/>
                <w:szCs w:val="21"/>
              </w:rPr>
              <w:t>核心产品</w:t>
            </w:r>
            <w:r>
              <w:rPr>
                <w:rFonts w:hint="eastAsia" w:ascii="宋体" w:hAnsi="宋体" w:cs="宋体"/>
                <w:color w:val="auto"/>
                <w:szCs w:val="21"/>
              </w:rPr>
              <w:t>）</w:t>
            </w:r>
          </w:p>
        </w:tc>
        <w:tc>
          <w:tcPr>
            <w:tcW w:w="1112" w:type="dxa"/>
            <w:vAlign w:val="center"/>
          </w:tcPr>
          <w:p>
            <w:pPr>
              <w:adjustRightInd w:val="0"/>
              <w:snapToGrid w:val="0"/>
              <w:jc w:val="center"/>
              <w:rPr>
                <w:rFonts w:asciiTheme="minorEastAsia" w:hAnsiTheme="minorEastAsia" w:eastAsiaTheme="minorEastAsia" w:cstheme="minorEastAsia"/>
                <w:color w:val="auto"/>
                <w:szCs w:val="21"/>
              </w:rPr>
            </w:pPr>
          </w:p>
        </w:tc>
        <w:tc>
          <w:tcPr>
            <w:tcW w:w="1453" w:type="dxa"/>
            <w:vAlign w:val="center"/>
          </w:tcPr>
          <w:p>
            <w:pPr>
              <w:adjustRightInd w:val="0"/>
              <w:snapToGrid w:val="0"/>
              <w:jc w:val="center"/>
              <w:rPr>
                <w:rFonts w:asciiTheme="minorEastAsia" w:hAnsiTheme="minorEastAsia" w:eastAsiaTheme="minorEastAsia" w:cstheme="minorEastAsia"/>
                <w:color w:val="auto"/>
                <w:szCs w:val="21"/>
              </w:rPr>
            </w:pPr>
          </w:p>
        </w:tc>
        <w:tc>
          <w:tcPr>
            <w:tcW w:w="741" w:type="dxa"/>
            <w:vAlign w:val="center"/>
          </w:tcPr>
          <w:p>
            <w:pPr>
              <w:adjustRightInd w:val="0"/>
              <w:snapToGrid w:val="0"/>
              <w:jc w:val="center"/>
              <w:rPr>
                <w:rFonts w:asciiTheme="minorEastAsia" w:hAnsiTheme="minorEastAsia" w:eastAsiaTheme="minorEastAsia" w:cstheme="minorEastAsia"/>
                <w:color w:val="auto"/>
                <w:szCs w:val="21"/>
              </w:rPr>
            </w:pPr>
          </w:p>
        </w:tc>
        <w:tc>
          <w:tcPr>
            <w:tcW w:w="631" w:type="dxa"/>
            <w:vAlign w:val="center"/>
          </w:tcPr>
          <w:p>
            <w:pPr>
              <w:jc w:val="center"/>
              <w:rPr>
                <w:rFonts w:asciiTheme="minorEastAsia" w:hAnsiTheme="minorEastAsia" w:eastAsiaTheme="minorEastAsia" w:cstheme="minorEastAsia"/>
                <w:color w:val="auto"/>
                <w:szCs w:val="21"/>
              </w:rPr>
            </w:pPr>
            <w:r>
              <w:rPr>
                <w:rFonts w:hint="eastAsia" w:ascii="宋体" w:hAnsi="宋体" w:cs="宋体"/>
                <w:color w:val="auto"/>
                <w:szCs w:val="21"/>
              </w:rPr>
              <w:t>1套</w:t>
            </w:r>
          </w:p>
        </w:tc>
        <w:tc>
          <w:tcPr>
            <w:tcW w:w="933" w:type="dxa"/>
            <w:vAlign w:val="center"/>
          </w:tcPr>
          <w:p>
            <w:pPr>
              <w:jc w:val="center"/>
              <w:rPr>
                <w:rFonts w:asciiTheme="minorEastAsia" w:hAnsiTheme="minorEastAsia" w:eastAsiaTheme="minorEastAsia" w:cstheme="minorEastAsia"/>
                <w:color w:val="auto"/>
                <w:szCs w:val="21"/>
              </w:rPr>
            </w:pPr>
            <w:r>
              <w:rPr>
                <w:rFonts w:hint="eastAsia" w:ascii="微软雅黑" w:hAnsi="微软雅黑" w:eastAsia="微软雅黑" w:cs="微软雅黑"/>
                <w:color w:val="auto"/>
                <w:sz w:val="18"/>
                <w:szCs w:val="18"/>
              </w:rPr>
              <w:t>451400</w:t>
            </w:r>
            <w:r>
              <w:rPr>
                <w:rFonts w:ascii="微软雅黑" w:hAnsi="微软雅黑" w:eastAsia="微软雅黑" w:cs="微软雅黑"/>
                <w:vanish/>
                <w:color w:val="auto"/>
                <w:sz w:val="24"/>
              </w:rPr>
              <w:drawing>
                <wp:inline distT="0" distB="0" distL="114300" distR="114300">
                  <wp:extent cx="914400" cy="226695"/>
                  <wp:effectExtent l="0" t="0" r="0" b="1905"/>
                  <wp:docPr id="9" name="图片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图片 8"/>
                          <pic:cNvPicPr>
                            <a:picLocks noChangeAspect="1"/>
                          </pic:cNvPicPr>
                        </pic:nvPicPr>
                        <pic:blipFill>
                          <a:blip r:embed="rId14"/>
                          <a:stretch>
                            <a:fillRect/>
                          </a:stretch>
                        </pic:blipFill>
                        <pic:spPr>
                          <a:xfrm>
                            <a:off x="0" y="0"/>
                            <a:ext cx="914400" cy="226695"/>
                          </a:xfrm>
                          <a:prstGeom prst="rect">
                            <a:avLst/>
                          </a:prstGeom>
                          <a:noFill/>
                          <a:ln>
                            <a:noFill/>
                          </a:ln>
                        </pic:spPr>
                      </pic:pic>
                    </a:graphicData>
                  </a:graphic>
                </wp:inline>
              </w:drawing>
            </w:r>
          </w:p>
        </w:tc>
        <w:tc>
          <w:tcPr>
            <w:tcW w:w="830" w:type="dxa"/>
            <w:vAlign w:val="center"/>
          </w:tcPr>
          <w:p>
            <w:pPr>
              <w:adjustRightInd w:val="0"/>
              <w:snapToGrid w:val="0"/>
              <w:jc w:val="center"/>
              <w:rPr>
                <w:rFonts w:asciiTheme="minorEastAsia" w:hAnsiTheme="minorEastAsia" w:eastAsiaTheme="minorEastAsia" w:cstheme="minorEastAsia"/>
                <w:color w:val="auto"/>
                <w:szCs w:val="21"/>
              </w:rPr>
            </w:pPr>
          </w:p>
        </w:tc>
        <w:tc>
          <w:tcPr>
            <w:tcW w:w="750" w:type="dxa"/>
            <w:vAlign w:val="center"/>
          </w:tcPr>
          <w:p>
            <w:pPr>
              <w:adjustRightInd w:val="0"/>
              <w:snapToGrid w:val="0"/>
              <w:jc w:val="center"/>
              <w:rPr>
                <w:rFonts w:asciiTheme="minorEastAsia" w:hAnsiTheme="minorEastAsia" w:eastAsiaTheme="minorEastAsia" w:cstheme="minorEastAsia"/>
                <w:color w:val="auto"/>
                <w:szCs w:val="21"/>
              </w:rPr>
            </w:pPr>
          </w:p>
        </w:tc>
        <w:tc>
          <w:tcPr>
            <w:tcW w:w="737" w:type="dxa"/>
            <w:vAlign w:val="center"/>
          </w:tcPr>
          <w:p>
            <w:pPr>
              <w:adjustRightInd w:val="0"/>
              <w:snapToGrid w:val="0"/>
              <w:jc w:val="center"/>
              <w:rPr>
                <w:rFonts w:asciiTheme="minorEastAsia" w:hAnsiTheme="minorEastAsia" w:eastAsiaTheme="minorEastAsia" w:cstheme="minorEastAsia"/>
                <w:color w:val="auto"/>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828" w:type="dxa"/>
            <w:vAlign w:val="center"/>
          </w:tcPr>
          <w:p>
            <w:pPr>
              <w:adjustRightInd w:val="0"/>
              <w:snapToGrid w:val="0"/>
              <w:jc w:val="center"/>
              <w:rPr>
                <w:rFonts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3</w:t>
            </w:r>
          </w:p>
        </w:tc>
        <w:tc>
          <w:tcPr>
            <w:tcW w:w="2116" w:type="dxa"/>
            <w:vAlign w:val="center"/>
          </w:tcPr>
          <w:p>
            <w:pPr>
              <w:jc w:val="center"/>
              <w:rPr>
                <w:rFonts w:ascii="宋体" w:hAnsi="宋体" w:eastAsia="宋体" w:cs="宋体"/>
                <w:color w:val="auto"/>
                <w:kern w:val="2"/>
                <w:sz w:val="21"/>
                <w:szCs w:val="21"/>
                <w:lang w:val="en-US" w:eastAsia="zh-CN" w:bidi="ar-SA"/>
              </w:rPr>
            </w:pPr>
            <w:r>
              <w:rPr>
                <w:rFonts w:hint="eastAsia" w:ascii="宋体" w:hAnsi="宋体" w:cs="宋体"/>
                <w:color w:val="auto"/>
                <w:szCs w:val="21"/>
              </w:rPr>
              <w:t>可调</w:t>
            </w:r>
            <w:r>
              <w:rPr>
                <w:rFonts w:ascii="宋体" w:hAnsi="宋体" w:cs="宋体"/>
                <w:color w:val="auto"/>
                <w:szCs w:val="21"/>
              </w:rPr>
              <w:t>负载箱</w:t>
            </w:r>
          </w:p>
        </w:tc>
        <w:tc>
          <w:tcPr>
            <w:tcW w:w="1112" w:type="dxa"/>
            <w:vAlign w:val="center"/>
          </w:tcPr>
          <w:p>
            <w:pPr>
              <w:adjustRightInd w:val="0"/>
              <w:snapToGrid w:val="0"/>
              <w:jc w:val="center"/>
              <w:rPr>
                <w:rFonts w:asciiTheme="minorEastAsia" w:hAnsiTheme="minorEastAsia" w:eastAsiaTheme="minorEastAsia" w:cstheme="minorEastAsia"/>
                <w:color w:val="auto"/>
                <w:szCs w:val="21"/>
              </w:rPr>
            </w:pPr>
          </w:p>
        </w:tc>
        <w:tc>
          <w:tcPr>
            <w:tcW w:w="1453" w:type="dxa"/>
            <w:vAlign w:val="center"/>
          </w:tcPr>
          <w:p>
            <w:pPr>
              <w:adjustRightInd w:val="0"/>
              <w:snapToGrid w:val="0"/>
              <w:jc w:val="center"/>
              <w:rPr>
                <w:rFonts w:asciiTheme="minorEastAsia" w:hAnsiTheme="minorEastAsia" w:eastAsiaTheme="minorEastAsia" w:cstheme="minorEastAsia"/>
                <w:color w:val="auto"/>
                <w:szCs w:val="21"/>
              </w:rPr>
            </w:pPr>
          </w:p>
        </w:tc>
        <w:tc>
          <w:tcPr>
            <w:tcW w:w="741" w:type="dxa"/>
            <w:vAlign w:val="center"/>
          </w:tcPr>
          <w:p>
            <w:pPr>
              <w:adjustRightInd w:val="0"/>
              <w:snapToGrid w:val="0"/>
              <w:jc w:val="center"/>
              <w:rPr>
                <w:rFonts w:asciiTheme="minorEastAsia" w:hAnsiTheme="minorEastAsia" w:eastAsiaTheme="minorEastAsia" w:cstheme="minorEastAsia"/>
                <w:color w:val="auto"/>
                <w:szCs w:val="21"/>
              </w:rPr>
            </w:pPr>
          </w:p>
        </w:tc>
        <w:tc>
          <w:tcPr>
            <w:tcW w:w="631" w:type="dxa"/>
            <w:vAlign w:val="center"/>
          </w:tcPr>
          <w:p>
            <w:pPr>
              <w:jc w:val="center"/>
              <w:rPr>
                <w:rFonts w:asciiTheme="minorEastAsia" w:hAnsiTheme="minorEastAsia" w:eastAsiaTheme="minorEastAsia" w:cstheme="minorEastAsia"/>
                <w:color w:val="auto"/>
                <w:szCs w:val="21"/>
              </w:rPr>
            </w:pPr>
            <w:r>
              <w:rPr>
                <w:rFonts w:hint="eastAsia" w:ascii="宋体" w:hAnsi="宋体" w:cs="宋体"/>
                <w:color w:val="auto"/>
                <w:szCs w:val="21"/>
              </w:rPr>
              <w:t>1套</w:t>
            </w:r>
          </w:p>
        </w:tc>
        <w:tc>
          <w:tcPr>
            <w:tcW w:w="933" w:type="dxa"/>
            <w:vAlign w:val="center"/>
          </w:tcPr>
          <w:p>
            <w:pPr>
              <w:jc w:val="center"/>
              <w:rPr>
                <w:rFonts w:asciiTheme="minorEastAsia" w:hAnsiTheme="minorEastAsia" w:eastAsiaTheme="minorEastAsia" w:cstheme="minorEastAsia"/>
                <w:color w:val="auto"/>
                <w:szCs w:val="21"/>
              </w:rPr>
            </w:pPr>
            <w:r>
              <w:rPr>
                <w:rFonts w:hint="eastAsia" w:ascii="微软雅黑" w:hAnsi="微软雅黑" w:eastAsia="微软雅黑" w:cs="微软雅黑"/>
                <w:color w:val="auto"/>
                <w:sz w:val="18"/>
                <w:szCs w:val="18"/>
              </w:rPr>
              <w:t>12000</w:t>
            </w:r>
            <w:r>
              <w:rPr>
                <w:rFonts w:ascii="微软雅黑" w:hAnsi="微软雅黑" w:eastAsia="微软雅黑" w:cs="微软雅黑"/>
                <w:vanish/>
                <w:color w:val="auto"/>
                <w:sz w:val="24"/>
              </w:rPr>
              <w:drawing>
                <wp:inline distT="0" distB="0" distL="114300" distR="114300">
                  <wp:extent cx="914400" cy="226695"/>
                  <wp:effectExtent l="0" t="0" r="0" b="1905"/>
                  <wp:docPr id="10" name="图片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图片 9"/>
                          <pic:cNvPicPr>
                            <a:picLocks noChangeAspect="1"/>
                          </pic:cNvPicPr>
                        </pic:nvPicPr>
                        <pic:blipFill>
                          <a:blip r:embed="rId14"/>
                          <a:stretch>
                            <a:fillRect/>
                          </a:stretch>
                        </pic:blipFill>
                        <pic:spPr>
                          <a:xfrm>
                            <a:off x="0" y="0"/>
                            <a:ext cx="914400" cy="226695"/>
                          </a:xfrm>
                          <a:prstGeom prst="rect">
                            <a:avLst/>
                          </a:prstGeom>
                          <a:noFill/>
                          <a:ln>
                            <a:noFill/>
                          </a:ln>
                        </pic:spPr>
                      </pic:pic>
                    </a:graphicData>
                  </a:graphic>
                </wp:inline>
              </w:drawing>
            </w:r>
          </w:p>
        </w:tc>
        <w:tc>
          <w:tcPr>
            <w:tcW w:w="830" w:type="dxa"/>
            <w:vAlign w:val="center"/>
          </w:tcPr>
          <w:p>
            <w:pPr>
              <w:adjustRightInd w:val="0"/>
              <w:snapToGrid w:val="0"/>
              <w:jc w:val="center"/>
              <w:rPr>
                <w:rFonts w:asciiTheme="minorEastAsia" w:hAnsiTheme="minorEastAsia" w:eastAsiaTheme="minorEastAsia" w:cstheme="minorEastAsia"/>
                <w:color w:val="auto"/>
                <w:szCs w:val="21"/>
              </w:rPr>
            </w:pPr>
          </w:p>
        </w:tc>
        <w:tc>
          <w:tcPr>
            <w:tcW w:w="750" w:type="dxa"/>
            <w:vAlign w:val="center"/>
          </w:tcPr>
          <w:p>
            <w:pPr>
              <w:adjustRightInd w:val="0"/>
              <w:snapToGrid w:val="0"/>
              <w:jc w:val="center"/>
              <w:rPr>
                <w:rFonts w:asciiTheme="minorEastAsia" w:hAnsiTheme="minorEastAsia" w:eastAsiaTheme="minorEastAsia" w:cstheme="minorEastAsia"/>
                <w:color w:val="auto"/>
                <w:szCs w:val="21"/>
              </w:rPr>
            </w:pPr>
          </w:p>
        </w:tc>
        <w:tc>
          <w:tcPr>
            <w:tcW w:w="737" w:type="dxa"/>
            <w:vAlign w:val="center"/>
          </w:tcPr>
          <w:p>
            <w:pPr>
              <w:adjustRightInd w:val="0"/>
              <w:snapToGrid w:val="0"/>
              <w:jc w:val="center"/>
              <w:rPr>
                <w:rFonts w:asciiTheme="minorEastAsia" w:hAnsiTheme="minorEastAsia" w:eastAsiaTheme="minorEastAsia" w:cstheme="minorEastAsia"/>
                <w:color w:val="auto"/>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828" w:type="dxa"/>
            <w:vAlign w:val="center"/>
          </w:tcPr>
          <w:p>
            <w:pPr>
              <w:adjustRightInd w:val="0"/>
              <w:snapToGrid w:val="0"/>
              <w:jc w:val="center"/>
              <w:rPr>
                <w:rFonts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4</w:t>
            </w:r>
          </w:p>
        </w:tc>
        <w:tc>
          <w:tcPr>
            <w:tcW w:w="2116" w:type="dxa"/>
            <w:vAlign w:val="center"/>
          </w:tcPr>
          <w:p>
            <w:pPr>
              <w:jc w:val="center"/>
              <w:rPr>
                <w:rFonts w:ascii="宋体" w:hAnsi="宋体" w:eastAsia="宋体" w:cs="宋体"/>
                <w:color w:val="auto"/>
                <w:kern w:val="2"/>
                <w:sz w:val="21"/>
                <w:szCs w:val="21"/>
                <w:lang w:val="en-US" w:eastAsia="zh-CN" w:bidi="ar-SA"/>
              </w:rPr>
            </w:pPr>
            <w:r>
              <w:rPr>
                <w:rFonts w:hint="eastAsia" w:ascii="宋体" w:hAnsi="宋体" w:cs="宋体"/>
                <w:color w:val="auto"/>
                <w:szCs w:val="21"/>
              </w:rPr>
              <w:t>电流钳</w:t>
            </w:r>
          </w:p>
        </w:tc>
        <w:tc>
          <w:tcPr>
            <w:tcW w:w="1112" w:type="dxa"/>
            <w:vAlign w:val="center"/>
          </w:tcPr>
          <w:p>
            <w:pPr>
              <w:adjustRightInd w:val="0"/>
              <w:snapToGrid w:val="0"/>
              <w:jc w:val="center"/>
              <w:rPr>
                <w:rFonts w:asciiTheme="minorEastAsia" w:hAnsiTheme="minorEastAsia" w:eastAsiaTheme="minorEastAsia" w:cstheme="minorEastAsia"/>
                <w:color w:val="auto"/>
                <w:szCs w:val="21"/>
              </w:rPr>
            </w:pPr>
          </w:p>
        </w:tc>
        <w:tc>
          <w:tcPr>
            <w:tcW w:w="1453" w:type="dxa"/>
            <w:vAlign w:val="center"/>
          </w:tcPr>
          <w:p>
            <w:pPr>
              <w:adjustRightInd w:val="0"/>
              <w:snapToGrid w:val="0"/>
              <w:jc w:val="center"/>
              <w:rPr>
                <w:rFonts w:asciiTheme="minorEastAsia" w:hAnsiTheme="minorEastAsia" w:eastAsiaTheme="minorEastAsia" w:cstheme="minorEastAsia"/>
                <w:color w:val="auto"/>
                <w:szCs w:val="21"/>
              </w:rPr>
            </w:pPr>
          </w:p>
        </w:tc>
        <w:tc>
          <w:tcPr>
            <w:tcW w:w="741" w:type="dxa"/>
            <w:vAlign w:val="center"/>
          </w:tcPr>
          <w:p>
            <w:pPr>
              <w:adjustRightInd w:val="0"/>
              <w:snapToGrid w:val="0"/>
              <w:jc w:val="center"/>
              <w:rPr>
                <w:rFonts w:asciiTheme="minorEastAsia" w:hAnsiTheme="minorEastAsia" w:eastAsiaTheme="minorEastAsia" w:cstheme="minorEastAsia"/>
                <w:color w:val="auto"/>
                <w:szCs w:val="21"/>
              </w:rPr>
            </w:pPr>
          </w:p>
        </w:tc>
        <w:tc>
          <w:tcPr>
            <w:tcW w:w="631" w:type="dxa"/>
            <w:vAlign w:val="center"/>
          </w:tcPr>
          <w:p>
            <w:pPr>
              <w:jc w:val="center"/>
              <w:rPr>
                <w:rFonts w:asciiTheme="minorEastAsia" w:hAnsiTheme="minorEastAsia" w:eastAsiaTheme="minorEastAsia" w:cstheme="minorEastAsia"/>
                <w:color w:val="auto"/>
                <w:szCs w:val="21"/>
              </w:rPr>
            </w:pPr>
            <w:r>
              <w:rPr>
                <w:rFonts w:hint="eastAsia" w:ascii="宋体" w:hAnsi="宋体" w:cs="宋体"/>
                <w:color w:val="auto"/>
                <w:szCs w:val="21"/>
              </w:rPr>
              <w:t>1套</w:t>
            </w:r>
          </w:p>
        </w:tc>
        <w:tc>
          <w:tcPr>
            <w:tcW w:w="933" w:type="dxa"/>
            <w:vAlign w:val="center"/>
          </w:tcPr>
          <w:p>
            <w:pPr>
              <w:jc w:val="center"/>
              <w:rPr>
                <w:rFonts w:asciiTheme="minorEastAsia" w:hAnsiTheme="minorEastAsia" w:eastAsiaTheme="minorEastAsia" w:cstheme="minorEastAsia"/>
                <w:color w:val="auto"/>
                <w:szCs w:val="21"/>
              </w:rPr>
            </w:pPr>
            <w:r>
              <w:rPr>
                <w:rFonts w:hint="eastAsia" w:ascii="微软雅黑" w:hAnsi="微软雅黑" w:eastAsia="微软雅黑" w:cs="微软雅黑"/>
                <w:color w:val="auto"/>
                <w:sz w:val="18"/>
                <w:szCs w:val="18"/>
              </w:rPr>
              <w:t>23000</w:t>
            </w:r>
            <w:r>
              <w:rPr>
                <w:rFonts w:ascii="微软雅黑" w:hAnsi="微软雅黑" w:eastAsia="微软雅黑" w:cs="微软雅黑"/>
                <w:vanish/>
                <w:color w:val="auto"/>
                <w:sz w:val="24"/>
              </w:rPr>
              <w:drawing>
                <wp:inline distT="0" distB="0" distL="114300" distR="114300">
                  <wp:extent cx="914400" cy="226695"/>
                  <wp:effectExtent l="0" t="0" r="0" b="1905"/>
                  <wp:docPr id="11" name="图片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图片 10"/>
                          <pic:cNvPicPr>
                            <a:picLocks noChangeAspect="1"/>
                          </pic:cNvPicPr>
                        </pic:nvPicPr>
                        <pic:blipFill>
                          <a:blip r:embed="rId14"/>
                          <a:stretch>
                            <a:fillRect/>
                          </a:stretch>
                        </pic:blipFill>
                        <pic:spPr>
                          <a:xfrm>
                            <a:off x="0" y="0"/>
                            <a:ext cx="914400" cy="226695"/>
                          </a:xfrm>
                          <a:prstGeom prst="rect">
                            <a:avLst/>
                          </a:prstGeom>
                          <a:noFill/>
                          <a:ln>
                            <a:noFill/>
                          </a:ln>
                        </pic:spPr>
                      </pic:pic>
                    </a:graphicData>
                  </a:graphic>
                </wp:inline>
              </w:drawing>
            </w:r>
          </w:p>
        </w:tc>
        <w:tc>
          <w:tcPr>
            <w:tcW w:w="830" w:type="dxa"/>
            <w:vAlign w:val="center"/>
          </w:tcPr>
          <w:p>
            <w:pPr>
              <w:adjustRightInd w:val="0"/>
              <w:snapToGrid w:val="0"/>
              <w:jc w:val="center"/>
              <w:rPr>
                <w:rFonts w:asciiTheme="minorEastAsia" w:hAnsiTheme="minorEastAsia" w:eastAsiaTheme="minorEastAsia" w:cstheme="minorEastAsia"/>
                <w:color w:val="auto"/>
                <w:szCs w:val="21"/>
              </w:rPr>
            </w:pPr>
          </w:p>
        </w:tc>
        <w:tc>
          <w:tcPr>
            <w:tcW w:w="750" w:type="dxa"/>
            <w:vAlign w:val="center"/>
          </w:tcPr>
          <w:p>
            <w:pPr>
              <w:adjustRightInd w:val="0"/>
              <w:snapToGrid w:val="0"/>
              <w:jc w:val="center"/>
              <w:rPr>
                <w:rFonts w:asciiTheme="minorEastAsia" w:hAnsiTheme="minorEastAsia" w:eastAsiaTheme="minorEastAsia" w:cstheme="minorEastAsia"/>
                <w:color w:val="auto"/>
                <w:szCs w:val="21"/>
              </w:rPr>
            </w:pPr>
          </w:p>
        </w:tc>
        <w:tc>
          <w:tcPr>
            <w:tcW w:w="737" w:type="dxa"/>
            <w:vAlign w:val="center"/>
          </w:tcPr>
          <w:p>
            <w:pPr>
              <w:adjustRightInd w:val="0"/>
              <w:snapToGrid w:val="0"/>
              <w:jc w:val="center"/>
              <w:rPr>
                <w:rFonts w:asciiTheme="minorEastAsia" w:hAnsiTheme="minorEastAsia" w:eastAsiaTheme="minorEastAsia" w:cstheme="minorEastAsia"/>
                <w:color w:val="auto"/>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828" w:type="dxa"/>
            <w:vAlign w:val="center"/>
          </w:tcPr>
          <w:p>
            <w:pPr>
              <w:adjustRightInd w:val="0"/>
              <w:snapToGrid w:val="0"/>
              <w:jc w:val="center"/>
              <w:rPr>
                <w:rFonts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5</w:t>
            </w:r>
          </w:p>
        </w:tc>
        <w:tc>
          <w:tcPr>
            <w:tcW w:w="2116" w:type="dxa"/>
            <w:vAlign w:val="center"/>
          </w:tcPr>
          <w:p>
            <w:pPr>
              <w:jc w:val="center"/>
              <w:rPr>
                <w:rFonts w:ascii="宋体" w:hAnsi="宋体" w:eastAsia="宋体" w:cs="宋体"/>
                <w:color w:val="auto"/>
                <w:kern w:val="2"/>
                <w:sz w:val="21"/>
                <w:szCs w:val="21"/>
                <w:lang w:val="en-US" w:eastAsia="zh-CN" w:bidi="ar-SA"/>
              </w:rPr>
            </w:pPr>
            <w:r>
              <w:rPr>
                <w:rFonts w:hint="eastAsia" w:ascii="宋体" w:hAnsi="宋体" w:cs="宋体"/>
                <w:color w:val="auto"/>
                <w:szCs w:val="21"/>
              </w:rPr>
              <w:t>示波器</w:t>
            </w:r>
          </w:p>
        </w:tc>
        <w:tc>
          <w:tcPr>
            <w:tcW w:w="1112" w:type="dxa"/>
            <w:vAlign w:val="center"/>
          </w:tcPr>
          <w:p>
            <w:pPr>
              <w:adjustRightInd w:val="0"/>
              <w:snapToGrid w:val="0"/>
              <w:jc w:val="center"/>
              <w:rPr>
                <w:rFonts w:asciiTheme="minorEastAsia" w:hAnsiTheme="minorEastAsia" w:eastAsiaTheme="minorEastAsia" w:cstheme="minorEastAsia"/>
                <w:color w:val="auto"/>
                <w:szCs w:val="21"/>
              </w:rPr>
            </w:pPr>
          </w:p>
        </w:tc>
        <w:tc>
          <w:tcPr>
            <w:tcW w:w="1453" w:type="dxa"/>
            <w:vAlign w:val="center"/>
          </w:tcPr>
          <w:p>
            <w:pPr>
              <w:adjustRightInd w:val="0"/>
              <w:snapToGrid w:val="0"/>
              <w:jc w:val="center"/>
              <w:rPr>
                <w:rFonts w:asciiTheme="minorEastAsia" w:hAnsiTheme="minorEastAsia" w:eastAsiaTheme="minorEastAsia" w:cstheme="minorEastAsia"/>
                <w:color w:val="auto"/>
                <w:szCs w:val="21"/>
              </w:rPr>
            </w:pPr>
          </w:p>
        </w:tc>
        <w:tc>
          <w:tcPr>
            <w:tcW w:w="741" w:type="dxa"/>
            <w:vAlign w:val="center"/>
          </w:tcPr>
          <w:p>
            <w:pPr>
              <w:adjustRightInd w:val="0"/>
              <w:snapToGrid w:val="0"/>
              <w:jc w:val="center"/>
              <w:rPr>
                <w:rFonts w:asciiTheme="minorEastAsia" w:hAnsiTheme="minorEastAsia" w:eastAsiaTheme="minorEastAsia" w:cstheme="minorEastAsia"/>
                <w:color w:val="auto"/>
                <w:szCs w:val="21"/>
              </w:rPr>
            </w:pPr>
          </w:p>
        </w:tc>
        <w:tc>
          <w:tcPr>
            <w:tcW w:w="631" w:type="dxa"/>
            <w:vAlign w:val="center"/>
          </w:tcPr>
          <w:p>
            <w:pPr>
              <w:jc w:val="center"/>
              <w:rPr>
                <w:rFonts w:asciiTheme="minorEastAsia" w:hAnsiTheme="minorEastAsia" w:eastAsiaTheme="minorEastAsia" w:cstheme="minorEastAsia"/>
                <w:color w:val="auto"/>
                <w:szCs w:val="21"/>
              </w:rPr>
            </w:pPr>
            <w:r>
              <w:rPr>
                <w:rFonts w:hint="eastAsia" w:ascii="宋体" w:hAnsi="宋体" w:cs="宋体"/>
                <w:color w:val="auto"/>
                <w:szCs w:val="21"/>
              </w:rPr>
              <w:t>1套</w:t>
            </w:r>
          </w:p>
        </w:tc>
        <w:tc>
          <w:tcPr>
            <w:tcW w:w="933" w:type="dxa"/>
            <w:vAlign w:val="center"/>
          </w:tcPr>
          <w:p>
            <w:pPr>
              <w:jc w:val="center"/>
              <w:rPr>
                <w:rFonts w:asciiTheme="minorEastAsia" w:hAnsiTheme="minorEastAsia" w:eastAsiaTheme="minorEastAsia" w:cstheme="minorEastAsia"/>
                <w:color w:val="auto"/>
                <w:szCs w:val="21"/>
              </w:rPr>
            </w:pPr>
            <w:r>
              <w:rPr>
                <w:rFonts w:hint="eastAsia" w:ascii="微软雅黑" w:hAnsi="微软雅黑" w:eastAsia="微软雅黑" w:cs="微软雅黑"/>
                <w:color w:val="auto"/>
                <w:sz w:val="18"/>
                <w:szCs w:val="18"/>
              </w:rPr>
              <w:t>27000</w:t>
            </w:r>
            <w:r>
              <w:rPr>
                <w:rFonts w:ascii="微软雅黑" w:hAnsi="微软雅黑" w:eastAsia="微软雅黑" w:cs="微软雅黑"/>
                <w:vanish/>
                <w:color w:val="auto"/>
                <w:sz w:val="24"/>
              </w:rPr>
              <w:drawing>
                <wp:inline distT="0" distB="0" distL="114300" distR="114300">
                  <wp:extent cx="914400" cy="226695"/>
                  <wp:effectExtent l="0" t="0" r="0" b="1905"/>
                  <wp:docPr id="12" name="图片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图片 11"/>
                          <pic:cNvPicPr>
                            <a:picLocks noChangeAspect="1"/>
                          </pic:cNvPicPr>
                        </pic:nvPicPr>
                        <pic:blipFill>
                          <a:blip r:embed="rId14"/>
                          <a:stretch>
                            <a:fillRect/>
                          </a:stretch>
                        </pic:blipFill>
                        <pic:spPr>
                          <a:xfrm>
                            <a:off x="0" y="0"/>
                            <a:ext cx="914400" cy="226695"/>
                          </a:xfrm>
                          <a:prstGeom prst="rect">
                            <a:avLst/>
                          </a:prstGeom>
                          <a:noFill/>
                          <a:ln>
                            <a:noFill/>
                          </a:ln>
                        </pic:spPr>
                      </pic:pic>
                    </a:graphicData>
                  </a:graphic>
                </wp:inline>
              </w:drawing>
            </w:r>
          </w:p>
        </w:tc>
        <w:tc>
          <w:tcPr>
            <w:tcW w:w="830" w:type="dxa"/>
            <w:vAlign w:val="center"/>
          </w:tcPr>
          <w:p>
            <w:pPr>
              <w:adjustRightInd w:val="0"/>
              <w:snapToGrid w:val="0"/>
              <w:jc w:val="center"/>
              <w:rPr>
                <w:rFonts w:asciiTheme="minorEastAsia" w:hAnsiTheme="minorEastAsia" w:eastAsiaTheme="minorEastAsia" w:cstheme="minorEastAsia"/>
                <w:color w:val="auto"/>
                <w:szCs w:val="21"/>
              </w:rPr>
            </w:pPr>
          </w:p>
        </w:tc>
        <w:tc>
          <w:tcPr>
            <w:tcW w:w="750" w:type="dxa"/>
            <w:vAlign w:val="center"/>
          </w:tcPr>
          <w:p>
            <w:pPr>
              <w:adjustRightInd w:val="0"/>
              <w:snapToGrid w:val="0"/>
              <w:jc w:val="center"/>
              <w:rPr>
                <w:rFonts w:asciiTheme="minorEastAsia" w:hAnsiTheme="minorEastAsia" w:eastAsiaTheme="minorEastAsia" w:cstheme="minorEastAsia"/>
                <w:color w:val="auto"/>
                <w:szCs w:val="21"/>
              </w:rPr>
            </w:pPr>
          </w:p>
        </w:tc>
        <w:tc>
          <w:tcPr>
            <w:tcW w:w="737" w:type="dxa"/>
            <w:vAlign w:val="center"/>
          </w:tcPr>
          <w:p>
            <w:pPr>
              <w:adjustRightInd w:val="0"/>
              <w:snapToGrid w:val="0"/>
              <w:jc w:val="center"/>
              <w:rPr>
                <w:rFonts w:asciiTheme="minorEastAsia" w:hAnsiTheme="minorEastAsia" w:eastAsiaTheme="minorEastAsia" w:cstheme="minorEastAsia"/>
                <w:color w:val="auto"/>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828" w:type="dxa"/>
            <w:vAlign w:val="center"/>
          </w:tcPr>
          <w:p>
            <w:pPr>
              <w:adjustRightInd w:val="0"/>
              <w:snapToGrid w:val="0"/>
              <w:jc w:val="center"/>
              <w:rPr>
                <w:rFonts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6</w:t>
            </w:r>
          </w:p>
        </w:tc>
        <w:tc>
          <w:tcPr>
            <w:tcW w:w="2116" w:type="dxa"/>
            <w:vAlign w:val="center"/>
          </w:tcPr>
          <w:p>
            <w:pPr>
              <w:jc w:val="center"/>
              <w:rPr>
                <w:rFonts w:ascii="宋体" w:hAnsi="宋体" w:eastAsia="宋体" w:cs="宋体"/>
                <w:color w:val="auto"/>
                <w:kern w:val="2"/>
                <w:sz w:val="21"/>
                <w:szCs w:val="21"/>
                <w:lang w:val="en-US" w:eastAsia="zh-CN" w:bidi="ar-SA"/>
              </w:rPr>
            </w:pPr>
            <w:r>
              <w:rPr>
                <w:rFonts w:hint="eastAsia" w:ascii="宋体" w:hAnsi="宋体" w:cs="宋体"/>
                <w:color w:val="auto"/>
                <w:szCs w:val="21"/>
              </w:rPr>
              <w:t>电源柜</w:t>
            </w:r>
          </w:p>
        </w:tc>
        <w:tc>
          <w:tcPr>
            <w:tcW w:w="1112" w:type="dxa"/>
            <w:vAlign w:val="center"/>
          </w:tcPr>
          <w:p>
            <w:pPr>
              <w:adjustRightInd w:val="0"/>
              <w:snapToGrid w:val="0"/>
              <w:jc w:val="center"/>
              <w:rPr>
                <w:rFonts w:asciiTheme="minorEastAsia" w:hAnsiTheme="minorEastAsia" w:eastAsiaTheme="minorEastAsia" w:cstheme="minorEastAsia"/>
                <w:color w:val="auto"/>
                <w:szCs w:val="21"/>
              </w:rPr>
            </w:pPr>
          </w:p>
        </w:tc>
        <w:tc>
          <w:tcPr>
            <w:tcW w:w="1453" w:type="dxa"/>
            <w:vAlign w:val="center"/>
          </w:tcPr>
          <w:p>
            <w:pPr>
              <w:adjustRightInd w:val="0"/>
              <w:snapToGrid w:val="0"/>
              <w:jc w:val="center"/>
              <w:rPr>
                <w:rFonts w:asciiTheme="minorEastAsia" w:hAnsiTheme="minorEastAsia" w:eastAsiaTheme="minorEastAsia" w:cstheme="minorEastAsia"/>
                <w:color w:val="auto"/>
                <w:szCs w:val="21"/>
              </w:rPr>
            </w:pPr>
          </w:p>
        </w:tc>
        <w:tc>
          <w:tcPr>
            <w:tcW w:w="741" w:type="dxa"/>
            <w:vAlign w:val="center"/>
          </w:tcPr>
          <w:p>
            <w:pPr>
              <w:adjustRightInd w:val="0"/>
              <w:snapToGrid w:val="0"/>
              <w:jc w:val="center"/>
              <w:rPr>
                <w:rFonts w:asciiTheme="minorEastAsia" w:hAnsiTheme="minorEastAsia" w:eastAsiaTheme="minorEastAsia" w:cstheme="minorEastAsia"/>
                <w:color w:val="auto"/>
                <w:szCs w:val="21"/>
              </w:rPr>
            </w:pPr>
          </w:p>
        </w:tc>
        <w:tc>
          <w:tcPr>
            <w:tcW w:w="631" w:type="dxa"/>
            <w:vAlign w:val="center"/>
          </w:tcPr>
          <w:p>
            <w:pPr>
              <w:jc w:val="center"/>
              <w:rPr>
                <w:rFonts w:asciiTheme="minorEastAsia" w:hAnsiTheme="minorEastAsia" w:eastAsiaTheme="minorEastAsia" w:cstheme="minorEastAsia"/>
                <w:color w:val="auto"/>
                <w:szCs w:val="21"/>
              </w:rPr>
            </w:pPr>
            <w:r>
              <w:rPr>
                <w:rFonts w:hint="eastAsia" w:ascii="宋体" w:hAnsi="宋体" w:cs="宋体"/>
                <w:color w:val="auto"/>
                <w:szCs w:val="21"/>
              </w:rPr>
              <w:t>1套</w:t>
            </w:r>
          </w:p>
        </w:tc>
        <w:tc>
          <w:tcPr>
            <w:tcW w:w="933" w:type="dxa"/>
            <w:vAlign w:val="center"/>
          </w:tcPr>
          <w:p>
            <w:pPr>
              <w:jc w:val="center"/>
              <w:rPr>
                <w:rFonts w:asciiTheme="minorEastAsia" w:hAnsiTheme="minorEastAsia" w:eastAsiaTheme="minorEastAsia" w:cstheme="minorEastAsia"/>
                <w:color w:val="auto"/>
                <w:szCs w:val="21"/>
              </w:rPr>
            </w:pPr>
            <w:r>
              <w:rPr>
                <w:rFonts w:hint="eastAsia" w:ascii="微软雅黑" w:hAnsi="微软雅黑" w:eastAsia="微软雅黑" w:cs="微软雅黑"/>
                <w:color w:val="auto"/>
                <w:sz w:val="18"/>
                <w:szCs w:val="18"/>
              </w:rPr>
              <w:t>50000</w:t>
            </w:r>
            <w:r>
              <w:rPr>
                <w:rFonts w:ascii="微软雅黑" w:hAnsi="微软雅黑" w:eastAsia="微软雅黑" w:cs="微软雅黑"/>
                <w:vanish/>
                <w:color w:val="auto"/>
                <w:sz w:val="24"/>
              </w:rPr>
              <w:drawing>
                <wp:inline distT="0" distB="0" distL="114300" distR="114300">
                  <wp:extent cx="914400" cy="226695"/>
                  <wp:effectExtent l="0" t="0" r="0" b="1905"/>
                  <wp:docPr id="13" name="图片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图片 12"/>
                          <pic:cNvPicPr>
                            <a:picLocks noChangeAspect="1"/>
                          </pic:cNvPicPr>
                        </pic:nvPicPr>
                        <pic:blipFill>
                          <a:blip r:embed="rId14"/>
                          <a:stretch>
                            <a:fillRect/>
                          </a:stretch>
                        </pic:blipFill>
                        <pic:spPr>
                          <a:xfrm>
                            <a:off x="0" y="0"/>
                            <a:ext cx="914400" cy="226695"/>
                          </a:xfrm>
                          <a:prstGeom prst="rect">
                            <a:avLst/>
                          </a:prstGeom>
                          <a:noFill/>
                          <a:ln>
                            <a:noFill/>
                          </a:ln>
                        </pic:spPr>
                      </pic:pic>
                    </a:graphicData>
                  </a:graphic>
                </wp:inline>
              </w:drawing>
            </w:r>
          </w:p>
        </w:tc>
        <w:tc>
          <w:tcPr>
            <w:tcW w:w="830" w:type="dxa"/>
            <w:vAlign w:val="center"/>
          </w:tcPr>
          <w:p>
            <w:pPr>
              <w:adjustRightInd w:val="0"/>
              <w:snapToGrid w:val="0"/>
              <w:jc w:val="center"/>
              <w:rPr>
                <w:rFonts w:asciiTheme="minorEastAsia" w:hAnsiTheme="minorEastAsia" w:eastAsiaTheme="minorEastAsia" w:cstheme="minorEastAsia"/>
                <w:color w:val="auto"/>
                <w:szCs w:val="21"/>
              </w:rPr>
            </w:pPr>
          </w:p>
        </w:tc>
        <w:tc>
          <w:tcPr>
            <w:tcW w:w="750" w:type="dxa"/>
            <w:vAlign w:val="center"/>
          </w:tcPr>
          <w:p>
            <w:pPr>
              <w:adjustRightInd w:val="0"/>
              <w:snapToGrid w:val="0"/>
              <w:jc w:val="center"/>
              <w:rPr>
                <w:rFonts w:asciiTheme="minorEastAsia" w:hAnsiTheme="minorEastAsia" w:eastAsiaTheme="minorEastAsia" w:cstheme="minorEastAsia"/>
                <w:color w:val="auto"/>
                <w:szCs w:val="21"/>
              </w:rPr>
            </w:pPr>
          </w:p>
        </w:tc>
        <w:tc>
          <w:tcPr>
            <w:tcW w:w="737" w:type="dxa"/>
            <w:vAlign w:val="center"/>
          </w:tcPr>
          <w:p>
            <w:pPr>
              <w:adjustRightInd w:val="0"/>
              <w:snapToGrid w:val="0"/>
              <w:jc w:val="center"/>
              <w:rPr>
                <w:rFonts w:asciiTheme="minorEastAsia" w:hAnsiTheme="minorEastAsia" w:eastAsiaTheme="minorEastAsia" w:cstheme="minorEastAsia"/>
                <w:color w:val="auto"/>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828" w:type="dxa"/>
            <w:vAlign w:val="center"/>
          </w:tcPr>
          <w:p>
            <w:pPr>
              <w:adjustRightInd w:val="0"/>
              <w:snapToGrid w:val="0"/>
              <w:jc w:val="center"/>
              <w:rPr>
                <w:rFonts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w:t>
            </w:r>
          </w:p>
        </w:tc>
        <w:tc>
          <w:tcPr>
            <w:tcW w:w="2116" w:type="dxa"/>
            <w:vAlign w:val="center"/>
          </w:tcPr>
          <w:p>
            <w:pPr>
              <w:adjustRightInd w:val="0"/>
              <w:snapToGrid w:val="0"/>
              <w:jc w:val="center"/>
              <w:rPr>
                <w:rFonts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w:t>
            </w:r>
          </w:p>
        </w:tc>
        <w:tc>
          <w:tcPr>
            <w:tcW w:w="1112" w:type="dxa"/>
            <w:vAlign w:val="center"/>
          </w:tcPr>
          <w:p>
            <w:pPr>
              <w:adjustRightInd w:val="0"/>
              <w:snapToGrid w:val="0"/>
              <w:jc w:val="center"/>
              <w:rPr>
                <w:rFonts w:asciiTheme="minorEastAsia" w:hAnsiTheme="minorEastAsia" w:eastAsiaTheme="minorEastAsia" w:cstheme="minorEastAsia"/>
                <w:color w:val="auto"/>
                <w:szCs w:val="21"/>
              </w:rPr>
            </w:pPr>
          </w:p>
        </w:tc>
        <w:tc>
          <w:tcPr>
            <w:tcW w:w="1453" w:type="dxa"/>
            <w:vAlign w:val="center"/>
          </w:tcPr>
          <w:p>
            <w:pPr>
              <w:adjustRightInd w:val="0"/>
              <w:snapToGrid w:val="0"/>
              <w:jc w:val="center"/>
              <w:rPr>
                <w:rFonts w:asciiTheme="minorEastAsia" w:hAnsiTheme="minorEastAsia" w:eastAsiaTheme="minorEastAsia" w:cstheme="minorEastAsia"/>
                <w:color w:val="auto"/>
                <w:szCs w:val="21"/>
              </w:rPr>
            </w:pPr>
          </w:p>
        </w:tc>
        <w:tc>
          <w:tcPr>
            <w:tcW w:w="741" w:type="dxa"/>
            <w:vAlign w:val="center"/>
          </w:tcPr>
          <w:p>
            <w:pPr>
              <w:adjustRightInd w:val="0"/>
              <w:snapToGrid w:val="0"/>
              <w:jc w:val="center"/>
              <w:rPr>
                <w:rFonts w:asciiTheme="minorEastAsia" w:hAnsiTheme="minorEastAsia" w:eastAsiaTheme="minorEastAsia" w:cstheme="minorEastAsia"/>
                <w:color w:val="auto"/>
                <w:szCs w:val="21"/>
              </w:rPr>
            </w:pPr>
          </w:p>
        </w:tc>
        <w:tc>
          <w:tcPr>
            <w:tcW w:w="631" w:type="dxa"/>
            <w:vAlign w:val="center"/>
          </w:tcPr>
          <w:p>
            <w:pPr>
              <w:adjustRightInd w:val="0"/>
              <w:snapToGrid w:val="0"/>
              <w:jc w:val="center"/>
              <w:rPr>
                <w:rFonts w:asciiTheme="minorEastAsia" w:hAnsiTheme="minorEastAsia" w:eastAsiaTheme="minorEastAsia" w:cstheme="minorEastAsia"/>
                <w:color w:val="auto"/>
                <w:szCs w:val="21"/>
              </w:rPr>
            </w:pPr>
          </w:p>
        </w:tc>
        <w:tc>
          <w:tcPr>
            <w:tcW w:w="933" w:type="dxa"/>
            <w:vAlign w:val="center"/>
          </w:tcPr>
          <w:p>
            <w:pPr>
              <w:adjustRightInd w:val="0"/>
              <w:snapToGrid w:val="0"/>
              <w:jc w:val="center"/>
              <w:rPr>
                <w:rFonts w:asciiTheme="minorEastAsia" w:hAnsiTheme="minorEastAsia" w:eastAsiaTheme="minorEastAsia" w:cstheme="minorEastAsia"/>
                <w:color w:val="auto"/>
                <w:szCs w:val="21"/>
              </w:rPr>
            </w:pPr>
          </w:p>
        </w:tc>
        <w:tc>
          <w:tcPr>
            <w:tcW w:w="830" w:type="dxa"/>
            <w:vAlign w:val="center"/>
          </w:tcPr>
          <w:p>
            <w:pPr>
              <w:adjustRightInd w:val="0"/>
              <w:snapToGrid w:val="0"/>
              <w:jc w:val="center"/>
              <w:rPr>
                <w:rFonts w:asciiTheme="minorEastAsia" w:hAnsiTheme="minorEastAsia" w:eastAsiaTheme="minorEastAsia" w:cstheme="minorEastAsia"/>
                <w:color w:val="auto"/>
                <w:szCs w:val="21"/>
              </w:rPr>
            </w:pPr>
          </w:p>
        </w:tc>
        <w:tc>
          <w:tcPr>
            <w:tcW w:w="750" w:type="dxa"/>
            <w:vAlign w:val="center"/>
          </w:tcPr>
          <w:p>
            <w:pPr>
              <w:adjustRightInd w:val="0"/>
              <w:snapToGrid w:val="0"/>
              <w:jc w:val="center"/>
              <w:rPr>
                <w:rFonts w:asciiTheme="minorEastAsia" w:hAnsiTheme="minorEastAsia" w:eastAsiaTheme="minorEastAsia" w:cstheme="minorEastAsia"/>
                <w:color w:val="auto"/>
                <w:szCs w:val="21"/>
              </w:rPr>
            </w:pPr>
          </w:p>
        </w:tc>
        <w:tc>
          <w:tcPr>
            <w:tcW w:w="737" w:type="dxa"/>
            <w:vAlign w:val="center"/>
          </w:tcPr>
          <w:p>
            <w:pPr>
              <w:adjustRightInd w:val="0"/>
              <w:snapToGrid w:val="0"/>
              <w:jc w:val="center"/>
              <w:rPr>
                <w:rFonts w:asciiTheme="minorEastAsia" w:hAnsiTheme="minorEastAsia" w:eastAsiaTheme="minorEastAsia" w:cstheme="minorEastAsia"/>
                <w:color w:val="auto"/>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5509" w:type="dxa"/>
            <w:gridSpan w:val="4"/>
            <w:vAlign w:val="center"/>
          </w:tcPr>
          <w:p>
            <w:pPr>
              <w:adjustRightInd w:val="0"/>
              <w:snapToGrid w:val="0"/>
              <w:jc w:val="center"/>
              <w:rPr>
                <w:rFonts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总计</w:t>
            </w:r>
          </w:p>
        </w:tc>
        <w:tc>
          <w:tcPr>
            <w:tcW w:w="741" w:type="dxa"/>
            <w:vAlign w:val="center"/>
          </w:tcPr>
          <w:p>
            <w:pPr>
              <w:adjustRightInd w:val="0"/>
              <w:snapToGrid w:val="0"/>
              <w:jc w:val="center"/>
              <w:rPr>
                <w:rFonts w:asciiTheme="minorEastAsia" w:hAnsiTheme="minorEastAsia" w:eastAsiaTheme="minorEastAsia" w:cstheme="minorEastAsia"/>
                <w:color w:val="auto"/>
                <w:szCs w:val="21"/>
              </w:rPr>
            </w:pPr>
          </w:p>
        </w:tc>
        <w:tc>
          <w:tcPr>
            <w:tcW w:w="631" w:type="dxa"/>
            <w:vAlign w:val="center"/>
          </w:tcPr>
          <w:p>
            <w:pPr>
              <w:adjustRightInd w:val="0"/>
              <w:snapToGrid w:val="0"/>
              <w:jc w:val="center"/>
              <w:rPr>
                <w:rFonts w:asciiTheme="minorEastAsia" w:hAnsiTheme="minorEastAsia" w:eastAsiaTheme="minorEastAsia" w:cstheme="minorEastAsia"/>
                <w:color w:val="auto"/>
                <w:szCs w:val="21"/>
              </w:rPr>
            </w:pPr>
          </w:p>
        </w:tc>
        <w:tc>
          <w:tcPr>
            <w:tcW w:w="933" w:type="dxa"/>
            <w:vAlign w:val="center"/>
          </w:tcPr>
          <w:p>
            <w:pPr>
              <w:adjustRightInd w:val="0"/>
              <w:snapToGrid w:val="0"/>
              <w:jc w:val="center"/>
              <w:rPr>
                <w:rFonts w:asciiTheme="minorEastAsia" w:hAnsiTheme="minorEastAsia" w:eastAsiaTheme="minorEastAsia" w:cstheme="minorEastAsia"/>
                <w:color w:val="auto"/>
                <w:szCs w:val="21"/>
              </w:rPr>
            </w:pPr>
          </w:p>
        </w:tc>
        <w:tc>
          <w:tcPr>
            <w:tcW w:w="830" w:type="dxa"/>
            <w:vAlign w:val="center"/>
          </w:tcPr>
          <w:p>
            <w:pPr>
              <w:adjustRightInd w:val="0"/>
              <w:snapToGrid w:val="0"/>
              <w:jc w:val="center"/>
              <w:rPr>
                <w:rFonts w:asciiTheme="minorEastAsia" w:hAnsiTheme="minorEastAsia" w:eastAsiaTheme="minorEastAsia" w:cstheme="minorEastAsia"/>
                <w:color w:val="auto"/>
                <w:szCs w:val="21"/>
              </w:rPr>
            </w:pPr>
          </w:p>
        </w:tc>
        <w:tc>
          <w:tcPr>
            <w:tcW w:w="750" w:type="dxa"/>
            <w:vAlign w:val="center"/>
          </w:tcPr>
          <w:p>
            <w:pPr>
              <w:adjustRightInd w:val="0"/>
              <w:snapToGrid w:val="0"/>
              <w:jc w:val="center"/>
              <w:rPr>
                <w:rFonts w:asciiTheme="minorEastAsia" w:hAnsiTheme="minorEastAsia" w:eastAsiaTheme="minorEastAsia" w:cstheme="minorEastAsia"/>
                <w:color w:val="auto"/>
                <w:szCs w:val="21"/>
              </w:rPr>
            </w:pPr>
          </w:p>
        </w:tc>
        <w:tc>
          <w:tcPr>
            <w:tcW w:w="737" w:type="dxa"/>
            <w:vAlign w:val="center"/>
          </w:tcPr>
          <w:p>
            <w:pPr>
              <w:adjustRightInd w:val="0"/>
              <w:snapToGrid w:val="0"/>
              <w:jc w:val="center"/>
              <w:rPr>
                <w:rFonts w:asciiTheme="minorEastAsia" w:hAnsiTheme="minorEastAsia" w:eastAsiaTheme="minorEastAsia" w:cstheme="minorEastAsia"/>
                <w:color w:val="auto"/>
                <w:szCs w:val="21"/>
              </w:rPr>
            </w:pPr>
          </w:p>
        </w:tc>
      </w:tr>
    </w:tbl>
    <w:p>
      <w:pPr>
        <w:adjustRightInd w:val="0"/>
        <w:snapToGrid w:val="0"/>
        <w:rPr>
          <w:rFonts w:asciiTheme="minorEastAsia" w:hAnsiTheme="minorEastAsia" w:eastAsiaTheme="minorEastAsia" w:cstheme="minorEastAsia"/>
          <w:color w:val="auto"/>
          <w:szCs w:val="21"/>
        </w:rPr>
      </w:pPr>
    </w:p>
    <w:p>
      <w:pPr>
        <w:adjustRightInd w:val="0"/>
        <w:snapToGrid w:val="0"/>
        <w:rPr>
          <w:rFonts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说明：</w:t>
      </w:r>
    </w:p>
    <w:p>
      <w:pPr>
        <w:numPr>
          <w:ilvl w:val="0"/>
          <w:numId w:val="44"/>
        </w:numPr>
        <w:adjustRightInd w:val="0"/>
        <w:snapToGrid w:val="0"/>
        <w:rPr>
          <w:rFonts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所有价格按照“供应商须知”要求执行。</w:t>
      </w:r>
    </w:p>
    <w:p>
      <w:pPr>
        <w:numPr>
          <w:ilvl w:val="0"/>
          <w:numId w:val="44"/>
        </w:numPr>
        <w:adjustRightInd w:val="0"/>
        <w:snapToGrid w:val="0"/>
        <w:rPr>
          <w:rFonts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分项报价总计价格必须与《报价一览表》报价一致。</w:t>
      </w:r>
    </w:p>
    <w:p>
      <w:pPr>
        <w:numPr>
          <w:ilvl w:val="0"/>
          <w:numId w:val="44"/>
        </w:numPr>
        <w:adjustRightInd w:val="0"/>
        <w:snapToGrid w:val="0"/>
        <w:rPr>
          <w:rFonts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如果不提供详细的报价费用构成可能将被视为没有实质性响应磋商文件。</w:t>
      </w:r>
    </w:p>
    <w:p>
      <w:pPr>
        <w:numPr>
          <w:ilvl w:val="0"/>
          <w:numId w:val="44"/>
        </w:numPr>
        <w:adjustRightInd w:val="0"/>
        <w:snapToGrid w:val="0"/>
        <w:rPr>
          <w:rFonts w:asciiTheme="minorEastAsia" w:hAnsiTheme="minorEastAsia" w:eastAsiaTheme="minorEastAsia" w:cstheme="minorEastAsia"/>
          <w:b/>
          <w:bCs/>
          <w:color w:val="auto"/>
          <w:szCs w:val="21"/>
        </w:rPr>
      </w:pPr>
      <w:r>
        <w:rPr>
          <w:rFonts w:hint="eastAsia" w:asciiTheme="minorEastAsia" w:hAnsiTheme="minorEastAsia" w:eastAsiaTheme="minorEastAsia" w:cstheme="minorEastAsia"/>
          <w:b/>
          <w:bCs/>
          <w:color w:val="auto"/>
          <w:szCs w:val="21"/>
        </w:rPr>
        <w:t>针对产地一栏，请供应商熟读《政府采购进口产品管理办法》，如实慎重填写；</w:t>
      </w:r>
      <w:r>
        <w:rPr>
          <w:rFonts w:hint="eastAsia" w:asciiTheme="minorEastAsia" w:hAnsiTheme="minorEastAsia" w:eastAsiaTheme="minorEastAsia" w:cstheme="minorEastAsia"/>
          <w:b/>
          <w:bCs/>
          <w:color w:val="auto"/>
          <w:szCs w:val="21"/>
        </w:rPr>
        <w:br w:type="textWrapping"/>
      </w:r>
      <w:r>
        <w:rPr>
          <w:rFonts w:hint="eastAsia" w:asciiTheme="minorEastAsia" w:hAnsiTheme="minorEastAsia" w:eastAsiaTheme="minorEastAsia" w:cstheme="minorEastAsia"/>
          <w:b/>
          <w:bCs/>
          <w:color w:val="auto"/>
          <w:szCs w:val="21"/>
        </w:rPr>
        <w:t>4.1国产设备请填写“中国”，国内生产的国外品牌请填写“中国”；</w:t>
      </w:r>
      <w:r>
        <w:rPr>
          <w:rFonts w:hint="eastAsia" w:asciiTheme="minorEastAsia" w:hAnsiTheme="minorEastAsia" w:eastAsiaTheme="minorEastAsia" w:cstheme="minorEastAsia"/>
          <w:b/>
          <w:bCs/>
          <w:color w:val="auto"/>
          <w:szCs w:val="21"/>
        </w:rPr>
        <w:br w:type="textWrapping"/>
      </w:r>
      <w:r>
        <w:rPr>
          <w:rFonts w:hint="eastAsia" w:asciiTheme="minorEastAsia" w:hAnsiTheme="minorEastAsia" w:eastAsiaTheme="minorEastAsia" w:cstheme="minorEastAsia"/>
          <w:b/>
          <w:bCs/>
          <w:color w:val="auto"/>
          <w:szCs w:val="21"/>
        </w:rPr>
        <w:t>4.2原装进口设备请填写具体生产国名称，如“美国”等，设备经过报关等手续才能供货的视同进口设备，产地请填写“进口”，并附相关说明或材料佐证其为进口设备；</w:t>
      </w:r>
    </w:p>
    <w:p>
      <w:pPr>
        <w:adjustRightInd w:val="0"/>
        <w:snapToGrid w:val="0"/>
        <w:spacing w:line="360" w:lineRule="auto"/>
        <w:ind w:left="-88" w:leftChars="-42"/>
        <w:rPr>
          <w:rFonts w:asciiTheme="minorEastAsia" w:hAnsiTheme="minorEastAsia" w:eastAsiaTheme="minorEastAsia" w:cstheme="minorEastAsia"/>
          <w:b/>
          <w:bCs/>
          <w:color w:val="auto"/>
          <w:szCs w:val="21"/>
        </w:rPr>
      </w:pPr>
    </w:p>
    <w:p>
      <w:pPr>
        <w:spacing w:line="360" w:lineRule="auto"/>
        <w:rPr>
          <w:rFonts w:asciiTheme="minorEastAsia" w:hAnsiTheme="minorEastAsia" w:eastAsiaTheme="minorEastAsia" w:cstheme="minorEastAsia"/>
          <w:color w:val="auto"/>
          <w:szCs w:val="21"/>
        </w:rPr>
      </w:pPr>
    </w:p>
    <w:p>
      <w:pPr>
        <w:spacing w:line="360" w:lineRule="auto"/>
        <w:rPr>
          <w:rFonts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磋商供应商法定代表人（签字）：</w:t>
      </w:r>
    </w:p>
    <w:p>
      <w:pPr>
        <w:spacing w:line="360" w:lineRule="auto"/>
        <w:rPr>
          <w:rFonts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磋商供应商授权代表（签字）：</w:t>
      </w:r>
      <w:r>
        <w:rPr>
          <w:rFonts w:hint="eastAsia" w:asciiTheme="minorEastAsia" w:hAnsiTheme="minorEastAsia" w:eastAsiaTheme="minorEastAsia" w:cstheme="minorEastAsia"/>
          <w:color w:val="auto"/>
          <w:szCs w:val="21"/>
          <w:u w:val="single"/>
        </w:rPr>
        <w:t xml:space="preserve">                        </w:t>
      </w:r>
    </w:p>
    <w:p>
      <w:pPr>
        <w:spacing w:line="360" w:lineRule="auto"/>
        <w:rPr>
          <w:rFonts w:asciiTheme="minorEastAsia" w:hAnsiTheme="minorEastAsia" w:eastAsiaTheme="minorEastAsia" w:cstheme="minorEastAsia"/>
          <w:color w:val="auto"/>
          <w:szCs w:val="21"/>
          <w:u w:val="single"/>
        </w:rPr>
      </w:pPr>
      <w:r>
        <w:rPr>
          <w:rFonts w:hint="eastAsia" w:asciiTheme="minorEastAsia" w:hAnsiTheme="minorEastAsia" w:eastAsiaTheme="minorEastAsia" w:cstheme="minorEastAsia"/>
          <w:color w:val="auto"/>
          <w:szCs w:val="21"/>
        </w:rPr>
        <w:t>磋商供应商名称（盖章）：</w:t>
      </w:r>
      <w:r>
        <w:rPr>
          <w:rFonts w:hint="eastAsia" w:asciiTheme="minorEastAsia" w:hAnsiTheme="minorEastAsia" w:eastAsiaTheme="minorEastAsia" w:cstheme="minorEastAsia"/>
          <w:color w:val="auto"/>
          <w:szCs w:val="21"/>
          <w:u w:val="single"/>
        </w:rPr>
        <w:t xml:space="preserve">                                     </w:t>
      </w:r>
    </w:p>
    <w:p>
      <w:pPr>
        <w:spacing w:line="360" w:lineRule="auto"/>
        <w:rPr>
          <w:rFonts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时                 间：</w:t>
      </w:r>
      <w:r>
        <w:rPr>
          <w:rFonts w:hint="eastAsia" w:asciiTheme="minorEastAsia" w:hAnsiTheme="minorEastAsia" w:eastAsiaTheme="minorEastAsia" w:cstheme="minorEastAsia"/>
          <w:color w:val="auto"/>
          <w:szCs w:val="21"/>
          <w:u w:val="single"/>
        </w:rPr>
        <w:t xml:space="preserve">           </w:t>
      </w:r>
      <w:r>
        <w:rPr>
          <w:rFonts w:hint="eastAsia" w:asciiTheme="minorEastAsia" w:hAnsiTheme="minorEastAsia" w:eastAsiaTheme="minorEastAsia" w:cstheme="minorEastAsia"/>
          <w:color w:val="auto"/>
          <w:szCs w:val="21"/>
        </w:rPr>
        <w:t>年</w:t>
      </w:r>
      <w:r>
        <w:rPr>
          <w:rFonts w:hint="eastAsia" w:asciiTheme="minorEastAsia" w:hAnsiTheme="minorEastAsia" w:eastAsiaTheme="minorEastAsia" w:cstheme="minorEastAsia"/>
          <w:color w:val="auto"/>
          <w:szCs w:val="21"/>
          <w:u w:val="single"/>
        </w:rPr>
        <w:t xml:space="preserve">          </w:t>
      </w:r>
      <w:r>
        <w:rPr>
          <w:rFonts w:hint="eastAsia" w:asciiTheme="minorEastAsia" w:hAnsiTheme="minorEastAsia" w:eastAsiaTheme="minorEastAsia" w:cstheme="minorEastAsia"/>
          <w:color w:val="auto"/>
          <w:szCs w:val="21"/>
        </w:rPr>
        <w:t>月</w:t>
      </w:r>
      <w:r>
        <w:rPr>
          <w:rFonts w:hint="eastAsia" w:asciiTheme="minorEastAsia" w:hAnsiTheme="minorEastAsia" w:eastAsiaTheme="minorEastAsia" w:cstheme="minorEastAsia"/>
          <w:color w:val="auto"/>
          <w:szCs w:val="21"/>
          <w:u w:val="single"/>
        </w:rPr>
        <w:t xml:space="preserve">          </w:t>
      </w:r>
      <w:r>
        <w:rPr>
          <w:rFonts w:hint="eastAsia" w:asciiTheme="minorEastAsia" w:hAnsiTheme="minorEastAsia" w:eastAsiaTheme="minorEastAsia" w:cstheme="minorEastAsia"/>
          <w:color w:val="auto"/>
          <w:szCs w:val="21"/>
        </w:rPr>
        <w:t>日</w:t>
      </w:r>
    </w:p>
    <w:p>
      <w:pPr>
        <w:spacing w:line="360" w:lineRule="auto"/>
        <w:rPr>
          <w:rFonts w:asciiTheme="minorEastAsia" w:hAnsiTheme="minorEastAsia" w:eastAsiaTheme="minorEastAsia" w:cstheme="minorEastAsia"/>
          <w:color w:val="auto"/>
          <w:szCs w:val="21"/>
        </w:rPr>
      </w:pPr>
    </w:p>
    <w:p>
      <w:pPr>
        <w:tabs>
          <w:tab w:val="left" w:pos="540"/>
        </w:tabs>
        <w:autoSpaceDE w:val="0"/>
        <w:autoSpaceDN w:val="0"/>
        <w:adjustRightInd w:val="0"/>
        <w:spacing w:line="360" w:lineRule="auto"/>
        <w:jc w:val="center"/>
        <w:outlineLvl w:val="1"/>
        <w:rPr>
          <w:rFonts w:asciiTheme="minorEastAsia" w:hAnsiTheme="minorEastAsia" w:eastAsiaTheme="minorEastAsia" w:cstheme="minorEastAsia"/>
          <w:b/>
          <w:bCs/>
          <w:color w:val="auto"/>
          <w:szCs w:val="21"/>
        </w:rPr>
      </w:pPr>
      <w:r>
        <w:rPr>
          <w:rFonts w:hint="eastAsia" w:asciiTheme="minorEastAsia" w:hAnsiTheme="minorEastAsia" w:eastAsiaTheme="minorEastAsia" w:cstheme="minorEastAsia"/>
          <w:color w:val="auto"/>
          <w:szCs w:val="21"/>
        </w:rPr>
        <w:br w:type="page"/>
      </w:r>
      <w:bookmarkStart w:id="164" w:name="_Toc26825"/>
      <w:bookmarkStart w:id="165" w:name="_Toc479184130"/>
      <w:bookmarkStart w:id="166" w:name="_Toc28656"/>
      <w:bookmarkStart w:id="167" w:name="_Toc8555"/>
      <w:r>
        <w:rPr>
          <w:rFonts w:hint="eastAsia" w:asciiTheme="minorEastAsia" w:hAnsiTheme="minorEastAsia" w:eastAsiaTheme="minorEastAsia" w:cstheme="minorEastAsia"/>
          <w:b/>
          <w:bCs/>
          <w:color w:val="auto"/>
          <w:szCs w:val="21"/>
        </w:rPr>
        <w:t>七、耗材清单</w:t>
      </w:r>
      <w:bookmarkEnd w:id="164"/>
      <w:bookmarkEnd w:id="165"/>
      <w:bookmarkEnd w:id="166"/>
      <w:bookmarkEnd w:id="167"/>
    </w:p>
    <w:p>
      <w:pPr>
        <w:adjustRightInd w:val="0"/>
        <w:snapToGrid w:val="0"/>
        <w:rPr>
          <w:rFonts w:asciiTheme="minorEastAsia" w:hAnsiTheme="minorEastAsia" w:eastAsiaTheme="minorEastAsia" w:cstheme="minorEastAsia"/>
          <w:b/>
          <w:color w:val="auto"/>
          <w:szCs w:val="21"/>
        </w:rPr>
      </w:pPr>
    </w:p>
    <w:p>
      <w:pPr>
        <w:adjustRightInd w:val="0"/>
        <w:snapToGrid w:val="0"/>
        <w:spacing w:line="360" w:lineRule="auto"/>
        <w:rPr>
          <w:rFonts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 xml:space="preserve">项目名称：                         </w:t>
      </w:r>
    </w:p>
    <w:p>
      <w:pPr>
        <w:adjustRightInd w:val="0"/>
        <w:snapToGrid w:val="0"/>
        <w:spacing w:line="360" w:lineRule="auto"/>
        <w:rPr>
          <w:rFonts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项目编号：</w:t>
      </w:r>
    </w:p>
    <w:tbl>
      <w:tblPr>
        <w:tblStyle w:val="26"/>
        <w:tblW w:w="928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89"/>
        <w:gridCol w:w="2295"/>
        <w:gridCol w:w="1512"/>
        <w:gridCol w:w="1512"/>
        <w:gridCol w:w="1513"/>
        <w:gridCol w:w="709"/>
        <w:gridCol w:w="95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1" w:hRule="atLeast"/>
          <w:jc w:val="center"/>
        </w:trPr>
        <w:tc>
          <w:tcPr>
            <w:tcW w:w="789" w:type="dxa"/>
            <w:vAlign w:val="center"/>
          </w:tcPr>
          <w:p>
            <w:pPr>
              <w:widowControl/>
              <w:jc w:val="center"/>
              <w:rPr>
                <w:rFonts w:asciiTheme="minorEastAsia" w:hAnsiTheme="minorEastAsia" w:eastAsiaTheme="minorEastAsia" w:cstheme="minorEastAsia"/>
                <w:b/>
                <w:color w:val="auto"/>
                <w:szCs w:val="21"/>
              </w:rPr>
            </w:pPr>
            <w:r>
              <w:rPr>
                <w:rFonts w:hint="eastAsia" w:asciiTheme="minorEastAsia" w:hAnsiTheme="minorEastAsia" w:eastAsiaTheme="minorEastAsia" w:cstheme="minorEastAsia"/>
                <w:b/>
                <w:color w:val="auto"/>
                <w:szCs w:val="21"/>
              </w:rPr>
              <w:t>序号</w:t>
            </w:r>
          </w:p>
        </w:tc>
        <w:tc>
          <w:tcPr>
            <w:tcW w:w="2295" w:type="dxa"/>
            <w:vAlign w:val="center"/>
          </w:tcPr>
          <w:p>
            <w:pPr>
              <w:widowControl/>
              <w:jc w:val="center"/>
              <w:rPr>
                <w:rFonts w:asciiTheme="minorEastAsia" w:hAnsiTheme="minorEastAsia" w:eastAsiaTheme="minorEastAsia" w:cstheme="minorEastAsia"/>
                <w:b/>
                <w:color w:val="auto"/>
                <w:szCs w:val="21"/>
              </w:rPr>
            </w:pPr>
            <w:r>
              <w:rPr>
                <w:rFonts w:hint="eastAsia" w:asciiTheme="minorEastAsia" w:hAnsiTheme="minorEastAsia" w:eastAsiaTheme="minorEastAsia" w:cstheme="minorEastAsia"/>
                <w:b/>
                <w:color w:val="auto"/>
                <w:szCs w:val="21"/>
              </w:rPr>
              <w:t>耗材名称</w:t>
            </w:r>
          </w:p>
        </w:tc>
        <w:tc>
          <w:tcPr>
            <w:tcW w:w="1512" w:type="dxa"/>
            <w:vAlign w:val="center"/>
          </w:tcPr>
          <w:p>
            <w:pPr>
              <w:widowControl/>
              <w:jc w:val="center"/>
              <w:rPr>
                <w:rFonts w:asciiTheme="minorEastAsia" w:hAnsiTheme="minorEastAsia" w:eastAsiaTheme="minorEastAsia" w:cstheme="minorEastAsia"/>
                <w:b/>
                <w:color w:val="auto"/>
                <w:szCs w:val="21"/>
              </w:rPr>
            </w:pPr>
            <w:r>
              <w:rPr>
                <w:rFonts w:hint="eastAsia" w:asciiTheme="minorEastAsia" w:hAnsiTheme="minorEastAsia" w:eastAsiaTheme="minorEastAsia" w:cstheme="minorEastAsia"/>
                <w:b/>
                <w:color w:val="auto"/>
                <w:szCs w:val="21"/>
              </w:rPr>
              <w:t>规格型号</w:t>
            </w:r>
          </w:p>
        </w:tc>
        <w:tc>
          <w:tcPr>
            <w:tcW w:w="1512" w:type="dxa"/>
          </w:tcPr>
          <w:p>
            <w:pPr>
              <w:widowControl/>
              <w:jc w:val="center"/>
              <w:rPr>
                <w:rFonts w:asciiTheme="minorEastAsia" w:hAnsiTheme="minorEastAsia" w:eastAsiaTheme="minorEastAsia" w:cstheme="minorEastAsia"/>
                <w:b/>
                <w:color w:val="auto"/>
                <w:szCs w:val="21"/>
              </w:rPr>
            </w:pPr>
            <w:r>
              <w:rPr>
                <w:rFonts w:hint="eastAsia" w:asciiTheme="minorEastAsia" w:hAnsiTheme="minorEastAsia" w:eastAsiaTheme="minorEastAsia" w:cstheme="minorEastAsia"/>
                <w:b/>
                <w:color w:val="auto"/>
                <w:szCs w:val="21"/>
              </w:rPr>
              <w:t>制造商名称</w:t>
            </w:r>
          </w:p>
        </w:tc>
        <w:tc>
          <w:tcPr>
            <w:tcW w:w="1513" w:type="dxa"/>
          </w:tcPr>
          <w:p>
            <w:pPr>
              <w:widowControl/>
              <w:jc w:val="center"/>
              <w:rPr>
                <w:rFonts w:asciiTheme="minorEastAsia" w:hAnsiTheme="minorEastAsia" w:eastAsiaTheme="minorEastAsia" w:cstheme="minorEastAsia"/>
                <w:b/>
                <w:color w:val="auto"/>
                <w:szCs w:val="21"/>
              </w:rPr>
            </w:pPr>
            <w:r>
              <w:rPr>
                <w:rFonts w:hint="eastAsia" w:asciiTheme="minorEastAsia" w:hAnsiTheme="minorEastAsia" w:eastAsiaTheme="minorEastAsia" w:cstheme="minorEastAsia"/>
                <w:b/>
                <w:color w:val="auto"/>
                <w:szCs w:val="21"/>
              </w:rPr>
              <w:t>产地</w:t>
            </w:r>
          </w:p>
        </w:tc>
        <w:tc>
          <w:tcPr>
            <w:tcW w:w="709" w:type="dxa"/>
            <w:vAlign w:val="center"/>
          </w:tcPr>
          <w:p>
            <w:pPr>
              <w:widowControl/>
              <w:jc w:val="center"/>
              <w:rPr>
                <w:rFonts w:asciiTheme="minorEastAsia" w:hAnsiTheme="minorEastAsia" w:eastAsiaTheme="minorEastAsia" w:cstheme="minorEastAsia"/>
                <w:b/>
                <w:color w:val="auto"/>
                <w:szCs w:val="21"/>
              </w:rPr>
            </w:pPr>
            <w:r>
              <w:rPr>
                <w:rFonts w:hint="eastAsia" w:asciiTheme="minorEastAsia" w:hAnsiTheme="minorEastAsia" w:eastAsiaTheme="minorEastAsia" w:cstheme="minorEastAsia"/>
                <w:b/>
                <w:color w:val="auto"/>
                <w:szCs w:val="21"/>
              </w:rPr>
              <w:t>数量</w:t>
            </w:r>
          </w:p>
        </w:tc>
        <w:tc>
          <w:tcPr>
            <w:tcW w:w="958" w:type="dxa"/>
            <w:vAlign w:val="center"/>
          </w:tcPr>
          <w:p>
            <w:pPr>
              <w:widowControl/>
              <w:jc w:val="center"/>
              <w:rPr>
                <w:rFonts w:asciiTheme="minorEastAsia" w:hAnsiTheme="minorEastAsia" w:eastAsiaTheme="minorEastAsia" w:cstheme="minorEastAsia"/>
                <w:b/>
                <w:color w:val="auto"/>
                <w:szCs w:val="21"/>
              </w:rPr>
            </w:pPr>
            <w:r>
              <w:rPr>
                <w:rFonts w:hint="eastAsia" w:asciiTheme="minorEastAsia" w:hAnsiTheme="minorEastAsia" w:eastAsiaTheme="minorEastAsia" w:cstheme="minorEastAsia"/>
                <w:b/>
                <w:color w:val="auto"/>
                <w:szCs w:val="21"/>
              </w:rPr>
              <w:t>单位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1" w:hRule="atLeast"/>
          <w:jc w:val="center"/>
        </w:trPr>
        <w:tc>
          <w:tcPr>
            <w:tcW w:w="789" w:type="dxa"/>
            <w:vAlign w:val="center"/>
          </w:tcPr>
          <w:p>
            <w:pPr>
              <w:widowControl/>
              <w:jc w:val="center"/>
              <w:rPr>
                <w:rFonts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1</w:t>
            </w:r>
          </w:p>
        </w:tc>
        <w:tc>
          <w:tcPr>
            <w:tcW w:w="2295" w:type="dxa"/>
            <w:vAlign w:val="center"/>
          </w:tcPr>
          <w:p>
            <w:pPr>
              <w:widowControl/>
              <w:jc w:val="center"/>
              <w:rPr>
                <w:rFonts w:asciiTheme="minorEastAsia" w:hAnsiTheme="minorEastAsia" w:eastAsiaTheme="minorEastAsia" w:cstheme="minorEastAsia"/>
                <w:color w:val="auto"/>
                <w:szCs w:val="21"/>
              </w:rPr>
            </w:pPr>
          </w:p>
        </w:tc>
        <w:tc>
          <w:tcPr>
            <w:tcW w:w="1512" w:type="dxa"/>
            <w:vAlign w:val="center"/>
          </w:tcPr>
          <w:p>
            <w:pPr>
              <w:widowControl/>
              <w:jc w:val="center"/>
              <w:rPr>
                <w:rFonts w:asciiTheme="minorEastAsia" w:hAnsiTheme="minorEastAsia" w:eastAsiaTheme="minorEastAsia" w:cstheme="minorEastAsia"/>
                <w:color w:val="auto"/>
                <w:szCs w:val="21"/>
              </w:rPr>
            </w:pPr>
          </w:p>
        </w:tc>
        <w:tc>
          <w:tcPr>
            <w:tcW w:w="1512" w:type="dxa"/>
          </w:tcPr>
          <w:p>
            <w:pPr>
              <w:widowControl/>
              <w:jc w:val="center"/>
              <w:rPr>
                <w:rFonts w:asciiTheme="minorEastAsia" w:hAnsiTheme="minorEastAsia" w:eastAsiaTheme="minorEastAsia" w:cstheme="minorEastAsia"/>
                <w:color w:val="auto"/>
                <w:szCs w:val="21"/>
              </w:rPr>
            </w:pPr>
          </w:p>
        </w:tc>
        <w:tc>
          <w:tcPr>
            <w:tcW w:w="1513" w:type="dxa"/>
          </w:tcPr>
          <w:p>
            <w:pPr>
              <w:widowControl/>
              <w:jc w:val="center"/>
              <w:rPr>
                <w:rFonts w:asciiTheme="minorEastAsia" w:hAnsiTheme="minorEastAsia" w:eastAsiaTheme="minorEastAsia" w:cstheme="minorEastAsia"/>
                <w:color w:val="auto"/>
                <w:szCs w:val="21"/>
              </w:rPr>
            </w:pPr>
          </w:p>
        </w:tc>
        <w:tc>
          <w:tcPr>
            <w:tcW w:w="709" w:type="dxa"/>
            <w:vAlign w:val="center"/>
          </w:tcPr>
          <w:p>
            <w:pPr>
              <w:widowControl/>
              <w:jc w:val="center"/>
              <w:rPr>
                <w:rFonts w:asciiTheme="minorEastAsia" w:hAnsiTheme="minorEastAsia" w:eastAsiaTheme="minorEastAsia" w:cstheme="minorEastAsia"/>
                <w:color w:val="auto"/>
                <w:szCs w:val="21"/>
              </w:rPr>
            </w:pPr>
          </w:p>
        </w:tc>
        <w:tc>
          <w:tcPr>
            <w:tcW w:w="958" w:type="dxa"/>
            <w:vAlign w:val="center"/>
          </w:tcPr>
          <w:p>
            <w:pPr>
              <w:widowControl/>
              <w:jc w:val="center"/>
              <w:rPr>
                <w:rFonts w:asciiTheme="minorEastAsia" w:hAnsiTheme="minorEastAsia" w:eastAsiaTheme="minorEastAsia" w:cstheme="minorEastAsia"/>
                <w:color w:val="auto"/>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1" w:hRule="atLeast"/>
          <w:jc w:val="center"/>
        </w:trPr>
        <w:tc>
          <w:tcPr>
            <w:tcW w:w="789" w:type="dxa"/>
            <w:vAlign w:val="center"/>
          </w:tcPr>
          <w:p>
            <w:pPr>
              <w:widowControl/>
              <w:jc w:val="center"/>
              <w:rPr>
                <w:rFonts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2</w:t>
            </w:r>
          </w:p>
        </w:tc>
        <w:tc>
          <w:tcPr>
            <w:tcW w:w="2295" w:type="dxa"/>
            <w:vAlign w:val="center"/>
          </w:tcPr>
          <w:p>
            <w:pPr>
              <w:widowControl/>
              <w:jc w:val="center"/>
              <w:rPr>
                <w:rFonts w:asciiTheme="minorEastAsia" w:hAnsiTheme="minorEastAsia" w:eastAsiaTheme="minorEastAsia" w:cstheme="minorEastAsia"/>
                <w:color w:val="auto"/>
                <w:szCs w:val="21"/>
              </w:rPr>
            </w:pPr>
          </w:p>
        </w:tc>
        <w:tc>
          <w:tcPr>
            <w:tcW w:w="1512" w:type="dxa"/>
            <w:vAlign w:val="center"/>
          </w:tcPr>
          <w:p>
            <w:pPr>
              <w:widowControl/>
              <w:jc w:val="center"/>
              <w:rPr>
                <w:rFonts w:asciiTheme="minorEastAsia" w:hAnsiTheme="minorEastAsia" w:eastAsiaTheme="minorEastAsia" w:cstheme="minorEastAsia"/>
                <w:color w:val="auto"/>
                <w:szCs w:val="21"/>
              </w:rPr>
            </w:pPr>
          </w:p>
        </w:tc>
        <w:tc>
          <w:tcPr>
            <w:tcW w:w="1512" w:type="dxa"/>
          </w:tcPr>
          <w:p>
            <w:pPr>
              <w:widowControl/>
              <w:jc w:val="center"/>
              <w:rPr>
                <w:rFonts w:asciiTheme="minorEastAsia" w:hAnsiTheme="minorEastAsia" w:eastAsiaTheme="minorEastAsia" w:cstheme="minorEastAsia"/>
                <w:color w:val="auto"/>
                <w:szCs w:val="21"/>
              </w:rPr>
            </w:pPr>
          </w:p>
        </w:tc>
        <w:tc>
          <w:tcPr>
            <w:tcW w:w="1513" w:type="dxa"/>
          </w:tcPr>
          <w:p>
            <w:pPr>
              <w:widowControl/>
              <w:jc w:val="center"/>
              <w:rPr>
                <w:rFonts w:asciiTheme="minorEastAsia" w:hAnsiTheme="minorEastAsia" w:eastAsiaTheme="minorEastAsia" w:cstheme="minorEastAsia"/>
                <w:color w:val="auto"/>
                <w:szCs w:val="21"/>
              </w:rPr>
            </w:pPr>
          </w:p>
        </w:tc>
        <w:tc>
          <w:tcPr>
            <w:tcW w:w="709" w:type="dxa"/>
            <w:vAlign w:val="center"/>
          </w:tcPr>
          <w:p>
            <w:pPr>
              <w:widowControl/>
              <w:jc w:val="center"/>
              <w:rPr>
                <w:rFonts w:asciiTheme="minorEastAsia" w:hAnsiTheme="minorEastAsia" w:eastAsiaTheme="minorEastAsia" w:cstheme="minorEastAsia"/>
                <w:color w:val="auto"/>
                <w:szCs w:val="21"/>
              </w:rPr>
            </w:pPr>
          </w:p>
        </w:tc>
        <w:tc>
          <w:tcPr>
            <w:tcW w:w="958" w:type="dxa"/>
            <w:vAlign w:val="center"/>
          </w:tcPr>
          <w:p>
            <w:pPr>
              <w:widowControl/>
              <w:jc w:val="center"/>
              <w:rPr>
                <w:rFonts w:asciiTheme="minorEastAsia" w:hAnsiTheme="minorEastAsia" w:eastAsiaTheme="minorEastAsia" w:cstheme="minorEastAsia"/>
                <w:color w:val="auto"/>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 w:hRule="atLeast"/>
          <w:jc w:val="center"/>
        </w:trPr>
        <w:tc>
          <w:tcPr>
            <w:tcW w:w="789" w:type="dxa"/>
            <w:vAlign w:val="center"/>
          </w:tcPr>
          <w:p>
            <w:pPr>
              <w:widowControl/>
              <w:jc w:val="center"/>
              <w:rPr>
                <w:rFonts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3</w:t>
            </w:r>
          </w:p>
        </w:tc>
        <w:tc>
          <w:tcPr>
            <w:tcW w:w="2295" w:type="dxa"/>
            <w:vAlign w:val="center"/>
          </w:tcPr>
          <w:p>
            <w:pPr>
              <w:widowControl/>
              <w:jc w:val="center"/>
              <w:rPr>
                <w:rFonts w:asciiTheme="minorEastAsia" w:hAnsiTheme="minorEastAsia" w:eastAsiaTheme="minorEastAsia" w:cstheme="minorEastAsia"/>
                <w:color w:val="auto"/>
                <w:szCs w:val="21"/>
              </w:rPr>
            </w:pPr>
          </w:p>
        </w:tc>
        <w:tc>
          <w:tcPr>
            <w:tcW w:w="1512" w:type="dxa"/>
            <w:vAlign w:val="center"/>
          </w:tcPr>
          <w:p>
            <w:pPr>
              <w:widowControl/>
              <w:jc w:val="center"/>
              <w:rPr>
                <w:rFonts w:asciiTheme="minorEastAsia" w:hAnsiTheme="minorEastAsia" w:eastAsiaTheme="minorEastAsia" w:cstheme="minorEastAsia"/>
                <w:color w:val="auto"/>
                <w:szCs w:val="21"/>
              </w:rPr>
            </w:pPr>
          </w:p>
        </w:tc>
        <w:tc>
          <w:tcPr>
            <w:tcW w:w="1512" w:type="dxa"/>
          </w:tcPr>
          <w:p>
            <w:pPr>
              <w:widowControl/>
              <w:jc w:val="center"/>
              <w:rPr>
                <w:rFonts w:asciiTheme="minorEastAsia" w:hAnsiTheme="minorEastAsia" w:eastAsiaTheme="minorEastAsia" w:cstheme="minorEastAsia"/>
                <w:color w:val="auto"/>
                <w:szCs w:val="21"/>
              </w:rPr>
            </w:pPr>
          </w:p>
        </w:tc>
        <w:tc>
          <w:tcPr>
            <w:tcW w:w="1513" w:type="dxa"/>
          </w:tcPr>
          <w:p>
            <w:pPr>
              <w:widowControl/>
              <w:jc w:val="center"/>
              <w:rPr>
                <w:rFonts w:asciiTheme="minorEastAsia" w:hAnsiTheme="minorEastAsia" w:eastAsiaTheme="minorEastAsia" w:cstheme="minorEastAsia"/>
                <w:color w:val="auto"/>
                <w:szCs w:val="21"/>
              </w:rPr>
            </w:pPr>
          </w:p>
        </w:tc>
        <w:tc>
          <w:tcPr>
            <w:tcW w:w="709" w:type="dxa"/>
            <w:vAlign w:val="center"/>
          </w:tcPr>
          <w:p>
            <w:pPr>
              <w:widowControl/>
              <w:jc w:val="center"/>
              <w:rPr>
                <w:rFonts w:asciiTheme="minorEastAsia" w:hAnsiTheme="minorEastAsia" w:eastAsiaTheme="minorEastAsia" w:cstheme="minorEastAsia"/>
                <w:color w:val="auto"/>
                <w:szCs w:val="21"/>
              </w:rPr>
            </w:pPr>
          </w:p>
        </w:tc>
        <w:tc>
          <w:tcPr>
            <w:tcW w:w="958" w:type="dxa"/>
            <w:vAlign w:val="center"/>
          </w:tcPr>
          <w:p>
            <w:pPr>
              <w:widowControl/>
              <w:jc w:val="center"/>
              <w:rPr>
                <w:rFonts w:asciiTheme="minorEastAsia" w:hAnsiTheme="minorEastAsia" w:eastAsiaTheme="minorEastAsia" w:cstheme="minorEastAsia"/>
                <w:color w:val="auto"/>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1" w:hRule="atLeast"/>
          <w:jc w:val="center"/>
        </w:trPr>
        <w:tc>
          <w:tcPr>
            <w:tcW w:w="789" w:type="dxa"/>
            <w:vAlign w:val="center"/>
          </w:tcPr>
          <w:p>
            <w:pPr>
              <w:widowControl/>
              <w:jc w:val="center"/>
              <w:rPr>
                <w:rFonts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4</w:t>
            </w:r>
          </w:p>
        </w:tc>
        <w:tc>
          <w:tcPr>
            <w:tcW w:w="2295" w:type="dxa"/>
            <w:vAlign w:val="center"/>
          </w:tcPr>
          <w:p>
            <w:pPr>
              <w:widowControl/>
              <w:jc w:val="center"/>
              <w:rPr>
                <w:rFonts w:asciiTheme="minorEastAsia" w:hAnsiTheme="minorEastAsia" w:eastAsiaTheme="minorEastAsia" w:cstheme="minorEastAsia"/>
                <w:color w:val="auto"/>
                <w:szCs w:val="21"/>
              </w:rPr>
            </w:pPr>
          </w:p>
        </w:tc>
        <w:tc>
          <w:tcPr>
            <w:tcW w:w="1512" w:type="dxa"/>
            <w:vAlign w:val="center"/>
          </w:tcPr>
          <w:p>
            <w:pPr>
              <w:widowControl/>
              <w:jc w:val="left"/>
              <w:rPr>
                <w:rFonts w:asciiTheme="minorEastAsia" w:hAnsiTheme="minorEastAsia" w:eastAsiaTheme="minorEastAsia" w:cstheme="minorEastAsia"/>
                <w:color w:val="auto"/>
                <w:kern w:val="0"/>
                <w:szCs w:val="21"/>
              </w:rPr>
            </w:pPr>
          </w:p>
        </w:tc>
        <w:tc>
          <w:tcPr>
            <w:tcW w:w="1512" w:type="dxa"/>
          </w:tcPr>
          <w:p>
            <w:pPr>
              <w:widowControl/>
              <w:jc w:val="center"/>
              <w:rPr>
                <w:rFonts w:asciiTheme="minorEastAsia" w:hAnsiTheme="minorEastAsia" w:eastAsiaTheme="minorEastAsia" w:cstheme="minorEastAsia"/>
                <w:color w:val="auto"/>
                <w:szCs w:val="21"/>
              </w:rPr>
            </w:pPr>
          </w:p>
        </w:tc>
        <w:tc>
          <w:tcPr>
            <w:tcW w:w="1513" w:type="dxa"/>
          </w:tcPr>
          <w:p>
            <w:pPr>
              <w:widowControl/>
              <w:jc w:val="center"/>
              <w:rPr>
                <w:rFonts w:asciiTheme="minorEastAsia" w:hAnsiTheme="minorEastAsia" w:eastAsiaTheme="minorEastAsia" w:cstheme="minorEastAsia"/>
                <w:color w:val="auto"/>
                <w:szCs w:val="21"/>
              </w:rPr>
            </w:pPr>
          </w:p>
        </w:tc>
        <w:tc>
          <w:tcPr>
            <w:tcW w:w="709" w:type="dxa"/>
            <w:vAlign w:val="center"/>
          </w:tcPr>
          <w:p>
            <w:pPr>
              <w:widowControl/>
              <w:jc w:val="center"/>
              <w:rPr>
                <w:rFonts w:asciiTheme="minorEastAsia" w:hAnsiTheme="minorEastAsia" w:eastAsiaTheme="minorEastAsia" w:cstheme="minorEastAsia"/>
                <w:color w:val="auto"/>
                <w:szCs w:val="21"/>
              </w:rPr>
            </w:pPr>
          </w:p>
        </w:tc>
        <w:tc>
          <w:tcPr>
            <w:tcW w:w="958" w:type="dxa"/>
            <w:vAlign w:val="center"/>
          </w:tcPr>
          <w:p>
            <w:pPr>
              <w:widowControl/>
              <w:jc w:val="center"/>
              <w:rPr>
                <w:rFonts w:asciiTheme="minorEastAsia" w:hAnsiTheme="minorEastAsia" w:eastAsiaTheme="minorEastAsia" w:cstheme="minorEastAsia"/>
                <w:color w:val="auto"/>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1" w:hRule="atLeast"/>
          <w:jc w:val="center"/>
        </w:trPr>
        <w:tc>
          <w:tcPr>
            <w:tcW w:w="789" w:type="dxa"/>
            <w:vAlign w:val="center"/>
          </w:tcPr>
          <w:p>
            <w:pPr>
              <w:widowControl/>
              <w:jc w:val="center"/>
              <w:rPr>
                <w:rFonts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5</w:t>
            </w:r>
          </w:p>
        </w:tc>
        <w:tc>
          <w:tcPr>
            <w:tcW w:w="2295" w:type="dxa"/>
            <w:vAlign w:val="center"/>
          </w:tcPr>
          <w:p>
            <w:pPr>
              <w:widowControl/>
              <w:jc w:val="center"/>
              <w:rPr>
                <w:rFonts w:asciiTheme="minorEastAsia" w:hAnsiTheme="minorEastAsia" w:eastAsiaTheme="minorEastAsia" w:cstheme="minorEastAsia"/>
                <w:color w:val="auto"/>
                <w:szCs w:val="21"/>
              </w:rPr>
            </w:pPr>
          </w:p>
        </w:tc>
        <w:tc>
          <w:tcPr>
            <w:tcW w:w="1512" w:type="dxa"/>
            <w:vAlign w:val="center"/>
          </w:tcPr>
          <w:p>
            <w:pPr>
              <w:widowControl/>
              <w:jc w:val="center"/>
              <w:rPr>
                <w:rFonts w:asciiTheme="minorEastAsia" w:hAnsiTheme="minorEastAsia" w:eastAsiaTheme="minorEastAsia" w:cstheme="minorEastAsia"/>
                <w:color w:val="auto"/>
                <w:szCs w:val="21"/>
              </w:rPr>
            </w:pPr>
          </w:p>
        </w:tc>
        <w:tc>
          <w:tcPr>
            <w:tcW w:w="1512" w:type="dxa"/>
          </w:tcPr>
          <w:p>
            <w:pPr>
              <w:jc w:val="center"/>
              <w:rPr>
                <w:rFonts w:asciiTheme="minorEastAsia" w:hAnsiTheme="minorEastAsia" w:eastAsiaTheme="minorEastAsia" w:cstheme="minorEastAsia"/>
                <w:color w:val="auto"/>
                <w:szCs w:val="21"/>
              </w:rPr>
            </w:pPr>
          </w:p>
        </w:tc>
        <w:tc>
          <w:tcPr>
            <w:tcW w:w="1513" w:type="dxa"/>
          </w:tcPr>
          <w:p>
            <w:pPr>
              <w:jc w:val="center"/>
              <w:rPr>
                <w:rFonts w:asciiTheme="minorEastAsia" w:hAnsiTheme="minorEastAsia" w:eastAsiaTheme="minorEastAsia" w:cstheme="minorEastAsia"/>
                <w:color w:val="auto"/>
                <w:szCs w:val="21"/>
              </w:rPr>
            </w:pPr>
          </w:p>
        </w:tc>
        <w:tc>
          <w:tcPr>
            <w:tcW w:w="709" w:type="dxa"/>
            <w:vAlign w:val="center"/>
          </w:tcPr>
          <w:p>
            <w:pPr>
              <w:jc w:val="center"/>
              <w:rPr>
                <w:rFonts w:asciiTheme="minorEastAsia" w:hAnsiTheme="minorEastAsia" w:eastAsiaTheme="minorEastAsia" w:cstheme="minorEastAsia"/>
                <w:color w:val="auto"/>
                <w:szCs w:val="21"/>
              </w:rPr>
            </w:pPr>
          </w:p>
        </w:tc>
        <w:tc>
          <w:tcPr>
            <w:tcW w:w="958" w:type="dxa"/>
            <w:vAlign w:val="center"/>
          </w:tcPr>
          <w:p>
            <w:pPr>
              <w:widowControl/>
              <w:jc w:val="center"/>
              <w:rPr>
                <w:rFonts w:asciiTheme="minorEastAsia" w:hAnsiTheme="minorEastAsia" w:eastAsiaTheme="minorEastAsia" w:cstheme="minorEastAsia"/>
                <w:color w:val="auto"/>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1" w:hRule="atLeast"/>
          <w:jc w:val="center"/>
        </w:trPr>
        <w:tc>
          <w:tcPr>
            <w:tcW w:w="789" w:type="dxa"/>
            <w:vAlign w:val="center"/>
          </w:tcPr>
          <w:p>
            <w:pPr>
              <w:widowControl/>
              <w:jc w:val="center"/>
              <w:rPr>
                <w:rFonts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6</w:t>
            </w:r>
          </w:p>
        </w:tc>
        <w:tc>
          <w:tcPr>
            <w:tcW w:w="2295" w:type="dxa"/>
            <w:vAlign w:val="center"/>
          </w:tcPr>
          <w:p>
            <w:pPr>
              <w:widowControl/>
              <w:jc w:val="center"/>
              <w:rPr>
                <w:rFonts w:asciiTheme="minorEastAsia" w:hAnsiTheme="minorEastAsia" w:eastAsiaTheme="minorEastAsia" w:cstheme="minorEastAsia"/>
                <w:color w:val="auto"/>
                <w:szCs w:val="21"/>
              </w:rPr>
            </w:pPr>
          </w:p>
        </w:tc>
        <w:tc>
          <w:tcPr>
            <w:tcW w:w="1512" w:type="dxa"/>
            <w:vAlign w:val="center"/>
          </w:tcPr>
          <w:p>
            <w:pPr>
              <w:widowControl/>
              <w:jc w:val="center"/>
              <w:rPr>
                <w:rFonts w:asciiTheme="minorEastAsia" w:hAnsiTheme="minorEastAsia" w:eastAsiaTheme="minorEastAsia" w:cstheme="minorEastAsia"/>
                <w:color w:val="auto"/>
                <w:szCs w:val="21"/>
              </w:rPr>
            </w:pPr>
          </w:p>
        </w:tc>
        <w:tc>
          <w:tcPr>
            <w:tcW w:w="1512" w:type="dxa"/>
          </w:tcPr>
          <w:p>
            <w:pPr>
              <w:jc w:val="center"/>
              <w:rPr>
                <w:rFonts w:asciiTheme="minorEastAsia" w:hAnsiTheme="minorEastAsia" w:eastAsiaTheme="minorEastAsia" w:cstheme="minorEastAsia"/>
                <w:color w:val="auto"/>
                <w:szCs w:val="21"/>
              </w:rPr>
            </w:pPr>
          </w:p>
        </w:tc>
        <w:tc>
          <w:tcPr>
            <w:tcW w:w="1513" w:type="dxa"/>
          </w:tcPr>
          <w:p>
            <w:pPr>
              <w:jc w:val="center"/>
              <w:rPr>
                <w:rFonts w:asciiTheme="minorEastAsia" w:hAnsiTheme="minorEastAsia" w:eastAsiaTheme="minorEastAsia" w:cstheme="minorEastAsia"/>
                <w:color w:val="auto"/>
                <w:szCs w:val="21"/>
              </w:rPr>
            </w:pPr>
          </w:p>
        </w:tc>
        <w:tc>
          <w:tcPr>
            <w:tcW w:w="709" w:type="dxa"/>
            <w:vAlign w:val="center"/>
          </w:tcPr>
          <w:p>
            <w:pPr>
              <w:jc w:val="center"/>
              <w:rPr>
                <w:rFonts w:asciiTheme="minorEastAsia" w:hAnsiTheme="minorEastAsia" w:eastAsiaTheme="minorEastAsia" w:cstheme="minorEastAsia"/>
                <w:color w:val="auto"/>
                <w:szCs w:val="21"/>
              </w:rPr>
            </w:pPr>
          </w:p>
        </w:tc>
        <w:tc>
          <w:tcPr>
            <w:tcW w:w="958" w:type="dxa"/>
            <w:vAlign w:val="center"/>
          </w:tcPr>
          <w:p>
            <w:pPr>
              <w:widowControl/>
              <w:jc w:val="center"/>
              <w:rPr>
                <w:rFonts w:asciiTheme="minorEastAsia" w:hAnsiTheme="minorEastAsia" w:eastAsiaTheme="minorEastAsia" w:cstheme="minorEastAsia"/>
                <w:color w:val="auto"/>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1" w:hRule="atLeast"/>
          <w:jc w:val="center"/>
        </w:trPr>
        <w:tc>
          <w:tcPr>
            <w:tcW w:w="789" w:type="dxa"/>
            <w:vAlign w:val="center"/>
          </w:tcPr>
          <w:p>
            <w:pPr>
              <w:widowControl/>
              <w:jc w:val="center"/>
              <w:rPr>
                <w:rFonts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7</w:t>
            </w:r>
          </w:p>
        </w:tc>
        <w:tc>
          <w:tcPr>
            <w:tcW w:w="2295" w:type="dxa"/>
            <w:vAlign w:val="center"/>
          </w:tcPr>
          <w:p>
            <w:pPr>
              <w:widowControl/>
              <w:jc w:val="center"/>
              <w:rPr>
                <w:rFonts w:asciiTheme="minorEastAsia" w:hAnsiTheme="minorEastAsia" w:eastAsiaTheme="minorEastAsia" w:cstheme="minorEastAsia"/>
                <w:color w:val="auto"/>
                <w:szCs w:val="21"/>
              </w:rPr>
            </w:pPr>
          </w:p>
        </w:tc>
        <w:tc>
          <w:tcPr>
            <w:tcW w:w="1512" w:type="dxa"/>
            <w:vAlign w:val="center"/>
          </w:tcPr>
          <w:p>
            <w:pPr>
              <w:widowControl/>
              <w:jc w:val="center"/>
              <w:rPr>
                <w:rFonts w:asciiTheme="minorEastAsia" w:hAnsiTheme="minorEastAsia" w:eastAsiaTheme="minorEastAsia" w:cstheme="minorEastAsia"/>
                <w:color w:val="auto"/>
                <w:szCs w:val="21"/>
              </w:rPr>
            </w:pPr>
          </w:p>
        </w:tc>
        <w:tc>
          <w:tcPr>
            <w:tcW w:w="1512" w:type="dxa"/>
          </w:tcPr>
          <w:p>
            <w:pPr>
              <w:jc w:val="center"/>
              <w:rPr>
                <w:rFonts w:asciiTheme="minorEastAsia" w:hAnsiTheme="minorEastAsia" w:eastAsiaTheme="minorEastAsia" w:cstheme="minorEastAsia"/>
                <w:color w:val="auto"/>
                <w:szCs w:val="21"/>
              </w:rPr>
            </w:pPr>
          </w:p>
        </w:tc>
        <w:tc>
          <w:tcPr>
            <w:tcW w:w="1513" w:type="dxa"/>
          </w:tcPr>
          <w:p>
            <w:pPr>
              <w:jc w:val="center"/>
              <w:rPr>
                <w:rFonts w:asciiTheme="minorEastAsia" w:hAnsiTheme="minorEastAsia" w:eastAsiaTheme="minorEastAsia" w:cstheme="minorEastAsia"/>
                <w:color w:val="auto"/>
                <w:szCs w:val="21"/>
              </w:rPr>
            </w:pPr>
          </w:p>
        </w:tc>
        <w:tc>
          <w:tcPr>
            <w:tcW w:w="709" w:type="dxa"/>
            <w:vAlign w:val="center"/>
          </w:tcPr>
          <w:p>
            <w:pPr>
              <w:jc w:val="center"/>
              <w:rPr>
                <w:rFonts w:asciiTheme="minorEastAsia" w:hAnsiTheme="minorEastAsia" w:eastAsiaTheme="minorEastAsia" w:cstheme="minorEastAsia"/>
                <w:color w:val="auto"/>
                <w:szCs w:val="21"/>
              </w:rPr>
            </w:pPr>
          </w:p>
        </w:tc>
        <w:tc>
          <w:tcPr>
            <w:tcW w:w="958" w:type="dxa"/>
            <w:vAlign w:val="center"/>
          </w:tcPr>
          <w:p>
            <w:pPr>
              <w:widowControl/>
              <w:jc w:val="center"/>
              <w:rPr>
                <w:rFonts w:asciiTheme="minorEastAsia" w:hAnsiTheme="minorEastAsia" w:eastAsiaTheme="minorEastAsia" w:cstheme="minorEastAsia"/>
                <w:color w:val="auto"/>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1" w:hRule="atLeast"/>
          <w:jc w:val="center"/>
        </w:trPr>
        <w:tc>
          <w:tcPr>
            <w:tcW w:w="789" w:type="dxa"/>
            <w:vAlign w:val="center"/>
          </w:tcPr>
          <w:p>
            <w:pPr>
              <w:widowControl/>
              <w:jc w:val="center"/>
              <w:rPr>
                <w:rFonts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8</w:t>
            </w:r>
          </w:p>
        </w:tc>
        <w:tc>
          <w:tcPr>
            <w:tcW w:w="2295" w:type="dxa"/>
            <w:vAlign w:val="center"/>
          </w:tcPr>
          <w:p>
            <w:pPr>
              <w:widowControl/>
              <w:jc w:val="center"/>
              <w:rPr>
                <w:rFonts w:asciiTheme="minorEastAsia" w:hAnsiTheme="minorEastAsia" w:eastAsiaTheme="minorEastAsia" w:cstheme="minorEastAsia"/>
                <w:color w:val="auto"/>
                <w:szCs w:val="21"/>
              </w:rPr>
            </w:pPr>
          </w:p>
        </w:tc>
        <w:tc>
          <w:tcPr>
            <w:tcW w:w="1512" w:type="dxa"/>
            <w:vAlign w:val="center"/>
          </w:tcPr>
          <w:p>
            <w:pPr>
              <w:widowControl/>
              <w:jc w:val="center"/>
              <w:rPr>
                <w:rFonts w:asciiTheme="minorEastAsia" w:hAnsiTheme="minorEastAsia" w:eastAsiaTheme="minorEastAsia" w:cstheme="minorEastAsia"/>
                <w:color w:val="auto"/>
                <w:szCs w:val="21"/>
              </w:rPr>
            </w:pPr>
          </w:p>
        </w:tc>
        <w:tc>
          <w:tcPr>
            <w:tcW w:w="1512" w:type="dxa"/>
          </w:tcPr>
          <w:p>
            <w:pPr>
              <w:jc w:val="center"/>
              <w:rPr>
                <w:rFonts w:asciiTheme="minorEastAsia" w:hAnsiTheme="minorEastAsia" w:eastAsiaTheme="minorEastAsia" w:cstheme="minorEastAsia"/>
                <w:color w:val="auto"/>
                <w:szCs w:val="21"/>
              </w:rPr>
            </w:pPr>
          </w:p>
        </w:tc>
        <w:tc>
          <w:tcPr>
            <w:tcW w:w="1513" w:type="dxa"/>
          </w:tcPr>
          <w:p>
            <w:pPr>
              <w:jc w:val="center"/>
              <w:rPr>
                <w:rFonts w:asciiTheme="minorEastAsia" w:hAnsiTheme="minorEastAsia" w:eastAsiaTheme="minorEastAsia" w:cstheme="minorEastAsia"/>
                <w:color w:val="auto"/>
                <w:szCs w:val="21"/>
              </w:rPr>
            </w:pPr>
          </w:p>
        </w:tc>
        <w:tc>
          <w:tcPr>
            <w:tcW w:w="709" w:type="dxa"/>
            <w:vAlign w:val="center"/>
          </w:tcPr>
          <w:p>
            <w:pPr>
              <w:jc w:val="center"/>
              <w:rPr>
                <w:rFonts w:asciiTheme="minorEastAsia" w:hAnsiTheme="minorEastAsia" w:eastAsiaTheme="minorEastAsia" w:cstheme="minorEastAsia"/>
                <w:color w:val="auto"/>
                <w:szCs w:val="21"/>
              </w:rPr>
            </w:pPr>
          </w:p>
        </w:tc>
        <w:tc>
          <w:tcPr>
            <w:tcW w:w="958" w:type="dxa"/>
            <w:vAlign w:val="center"/>
          </w:tcPr>
          <w:p>
            <w:pPr>
              <w:widowControl/>
              <w:jc w:val="center"/>
              <w:rPr>
                <w:rFonts w:asciiTheme="minorEastAsia" w:hAnsiTheme="minorEastAsia" w:eastAsiaTheme="minorEastAsia" w:cstheme="minorEastAsia"/>
                <w:color w:val="auto"/>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1" w:hRule="atLeast"/>
          <w:jc w:val="center"/>
        </w:trPr>
        <w:tc>
          <w:tcPr>
            <w:tcW w:w="789" w:type="dxa"/>
            <w:vAlign w:val="center"/>
          </w:tcPr>
          <w:p>
            <w:pPr>
              <w:widowControl/>
              <w:jc w:val="center"/>
              <w:rPr>
                <w:rFonts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9</w:t>
            </w:r>
          </w:p>
        </w:tc>
        <w:tc>
          <w:tcPr>
            <w:tcW w:w="2295" w:type="dxa"/>
            <w:vAlign w:val="center"/>
          </w:tcPr>
          <w:p>
            <w:pPr>
              <w:widowControl/>
              <w:jc w:val="center"/>
              <w:rPr>
                <w:rFonts w:asciiTheme="minorEastAsia" w:hAnsiTheme="minorEastAsia" w:eastAsiaTheme="minorEastAsia" w:cstheme="minorEastAsia"/>
                <w:color w:val="auto"/>
                <w:szCs w:val="21"/>
              </w:rPr>
            </w:pPr>
          </w:p>
        </w:tc>
        <w:tc>
          <w:tcPr>
            <w:tcW w:w="1512" w:type="dxa"/>
            <w:vAlign w:val="center"/>
          </w:tcPr>
          <w:p>
            <w:pPr>
              <w:widowControl/>
              <w:jc w:val="center"/>
              <w:rPr>
                <w:rFonts w:asciiTheme="minorEastAsia" w:hAnsiTheme="minorEastAsia" w:eastAsiaTheme="minorEastAsia" w:cstheme="minorEastAsia"/>
                <w:color w:val="auto"/>
                <w:szCs w:val="21"/>
              </w:rPr>
            </w:pPr>
          </w:p>
        </w:tc>
        <w:tc>
          <w:tcPr>
            <w:tcW w:w="1512" w:type="dxa"/>
          </w:tcPr>
          <w:p>
            <w:pPr>
              <w:jc w:val="center"/>
              <w:rPr>
                <w:rFonts w:asciiTheme="minorEastAsia" w:hAnsiTheme="minorEastAsia" w:eastAsiaTheme="minorEastAsia" w:cstheme="minorEastAsia"/>
                <w:color w:val="auto"/>
                <w:szCs w:val="21"/>
              </w:rPr>
            </w:pPr>
          </w:p>
        </w:tc>
        <w:tc>
          <w:tcPr>
            <w:tcW w:w="1513" w:type="dxa"/>
          </w:tcPr>
          <w:p>
            <w:pPr>
              <w:jc w:val="center"/>
              <w:rPr>
                <w:rFonts w:asciiTheme="minorEastAsia" w:hAnsiTheme="minorEastAsia" w:eastAsiaTheme="minorEastAsia" w:cstheme="minorEastAsia"/>
                <w:color w:val="auto"/>
                <w:szCs w:val="21"/>
              </w:rPr>
            </w:pPr>
          </w:p>
        </w:tc>
        <w:tc>
          <w:tcPr>
            <w:tcW w:w="709" w:type="dxa"/>
            <w:vAlign w:val="center"/>
          </w:tcPr>
          <w:p>
            <w:pPr>
              <w:jc w:val="center"/>
              <w:rPr>
                <w:rFonts w:asciiTheme="minorEastAsia" w:hAnsiTheme="minorEastAsia" w:eastAsiaTheme="minorEastAsia" w:cstheme="minorEastAsia"/>
                <w:color w:val="auto"/>
                <w:szCs w:val="21"/>
              </w:rPr>
            </w:pPr>
          </w:p>
        </w:tc>
        <w:tc>
          <w:tcPr>
            <w:tcW w:w="958" w:type="dxa"/>
            <w:vAlign w:val="center"/>
          </w:tcPr>
          <w:p>
            <w:pPr>
              <w:widowControl/>
              <w:jc w:val="center"/>
              <w:rPr>
                <w:rFonts w:asciiTheme="minorEastAsia" w:hAnsiTheme="minorEastAsia" w:eastAsiaTheme="minorEastAsia" w:cstheme="minorEastAsia"/>
                <w:color w:val="auto"/>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1" w:hRule="atLeast"/>
          <w:jc w:val="center"/>
        </w:trPr>
        <w:tc>
          <w:tcPr>
            <w:tcW w:w="789" w:type="dxa"/>
            <w:vAlign w:val="center"/>
          </w:tcPr>
          <w:p>
            <w:pPr>
              <w:widowControl/>
              <w:jc w:val="center"/>
              <w:rPr>
                <w:rFonts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10</w:t>
            </w:r>
          </w:p>
        </w:tc>
        <w:tc>
          <w:tcPr>
            <w:tcW w:w="2295" w:type="dxa"/>
            <w:vAlign w:val="center"/>
          </w:tcPr>
          <w:p>
            <w:pPr>
              <w:widowControl/>
              <w:jc w:val="center"/>
              <w:rPr>
                <w:rFonts w:asciiTheme="minorEastAsia" w:hAnsiTheme="minorEastAsia" w:eastAsiaTheme="minorEastAsia" w:cstheme="minorEastAsia"/>
                <w:color w:val="auto"/>
                <w:szCs w:val="21"/>
              </w:rPr>
            </w:pPr>
          </w:p>
        </w:tc>
        <w:tc>
          <w:tcPr>
            <w:tcW w:w="1512" w:type="dxa"/>
            <w:vAlign w:val="center"/>
          </w:tcPr>
          <w:p>
            <w:pPr>
              <w:widowControl/>
              <w:jc w:val="center"/>
              <w:rPr>
                <w:rFonts w:asciiTheme="minorEastAsia" w:hAnsiTheme="minorEastAsia" w:eastAsiaTheme="minorEastAsia" w:cstheme="minorEastAsia"/>
                <w:color w:val="auto"/>
                <w:szCs w:val="21"/>
              </w:rPr>
            </w:pPr>
          </w:p>
        </w:tc>
        <w:tc>
          <w:tcPr>
            <w:tcW w:w="1512" w:type="dxa"/>
          </w:tcPr>
          <w:p>
            <w:pPr>
              <w:jc w:val="center"/>
              <w:rPr>
                <w:rFonts w:asciiTheme="minorEastAsia" w:hAnsiTheme="minorEastAsia" w:eastAsiaTheme="minorEastAsia" w:cstheme="minorEastAsia"/>
                <w:color w:val="auto"/>
                <w:szCs w:val="21"/>
              </w:rPr>
            </w:pPr>
          </w:p>
        </w:tc>
        <w:tc>
          <w:tcPr>
            <w:tcW w:w="1513" w:type="dxa"/>
          </w:tcPr>
          <w:p>
            <w:pPr>
              <w:jc w:val="center"/>
              <w:rPr>
                <w:rFonts w:asciiTheme="minorEastAsia" w:hAnsiTheme="minorEastAsia" w:eastAsiaTheme="minorEastAsia" w:cstheme="minorEastAsia"/>
                <w:color w:val="auto"/>
                <w:szCs w:val="21"/>
              </w:rPr>
            </w:pPr>
          </w:p>
        </w:tc>
        <w:tc>
          <w:tcPr>
            <w:tcW w:w="709" w:type="dxa"/>
            <w:vAlign w:val="center"/>
          </w:tcPr>
          <w:p>
            <w:pPr>
              <w:jc w:val="center"/>
              <w:rPr>
                <w:rFonts w:asciiTheme="minorEastAsia" w:hAnsiTheme="minorEastAsia" w:eastAsiaTheme="minorEastAsia" w:cstheme="minorEastAsia"/>
                <w:color w:val="auto"/>
                <w:szCs w:val="21"/>
              </w:rPr>
            </w:pPr>
          </w:p>
        </w:tc>
        <w:tc>
          <w:tcPr>
            <w:tcW w:w="958" w:type="dxa"/>
            <w:vAlign w:val="center"/>
          </w:tcPr>
          <w:p>
            <w:pPr>
              <w:widowControl/>
              <w:jc w:val="center"/>
              <w:rPr>
                <w:rFonts w:asciiTheme="minorEastAsia" w:hAnsiTheme="minorEastAsia" w:eastAsiaTheme="minorEastAsia" w:cstheme="minorEastAsia"/>
                <w:color w:val="auto"/>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 w:hRule="atLeast"/>
          <w:jc w:val="center"/>
        </w:trPr>
        <w:tc>
          <w:tcPr>
            <w:tcW w:w="789" w:type="dxa"/>
            <w:vAlign w:val="center"/>
          </w:tcPr>
          <w:p>
            <w:pPr>
              <w:widowControl/>
              <w:jc w:val="center"/>
              <w:rPr>
                <w:rFonts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11</w:t>
            </w:r>
          </w:p>
        </w:tc>
        <w:tc>
          <w:tcPr>
            <w:tcW w:w="2295" w:type="dxa"/>
            <w:vAlign w:val="center"/>
          </w:tcPr>
          <w:p>
            <w:pPr>
              <w:widowControl/>
              <w:jc w:val="center"/>
              <w:rPr>
                <w:rFonts w:asciiTheme="minorEastAsia" w:hAnsiTheme="minorEastAsia" w:eastAsiaTheme="minorEastAsia" w:cstheme="minorEastAsia"/>
                <w:color w:val="auto"/>
                <w:szCs w:val="21"/>
              </w:rPr>
            </w:pPr>
          </w:p>
        </w:tc>
        <w:tc>
          <w:tcPr>
            <w:tcW w:w="1512" w:type="dxa"/>
            <w:vAlign w:val="center"/>
          </w:tcPr>
          <w:p>
            <w:pPr>
              <w:widowControl/>
              <w:jc w:val="center"/>
              <w:rPr>
                <w:rFonts w:asciiTheme="minorEastAsia" w:hAnsiTheme="minorEastAsia" w:eastAsiaTheme="minorEastAsia" w:cstheme="minorEastAsia"/>
                <w:color w:val="auto"/>
                <w:szCs w:val="21"/>
              </w:rPr>
            </w:pPr>
          </w:p>
        </w:tc>
        <w:tc>
          <w:tcPr>
            <w:tcW w:w="1512" w:type="dxa"/>
          </w:tcPr>
          <w:p>
            <w:pPr>
              <w:jc w:val="center"/>
              <w:rPr>
                <w:rFonts w:asciiTheme="minorEastAsia" w:hAnsiTheme="minorEastAsia" w:eastAsiaTheme="minorEastAsia" w:cstheme="minorEastAsia"/>
                <w:color w:val="auto"/>
                <w:szCs w:val="21"/>
              </w:rPr>
            </w:pPr>
          </w:p>
        </w:tc>
        <w:tc>
          <w:tcPr>
            <w:tcW w:w="1513" w:type="dxa"/>
          </w:tcPr>
          <w:p>
            <w:pPr>
              <w:jc w:val="center"/>
              <w:rPr>
                <w:rFonts w:asciiTheme="minorEastAsia" w:hAnsiTheme="minorEastAsia" w:eastAsiaTheme="minorEastAsia" w:cstheme="minorEastAsia"/>
                <w:color w:val="auto"/>
                <w:szCs w:val="21"/>
              </w:rPr>
            </w:pPr>
          </w:p>
        </w:tc>
        <w:tc>
          <w:tcPr>
            <w:tcW w:w="709" w:type="dxa"/>
            <w:vAlign w:val="center"/>
          </w:tcPr>
          <w:p>
            <w:pPr>
              <w:jc w:val="center"/>
              <w:rPr>
                <w:rFonts w:asciiTheme="minorEastAsia" w:hAnsiTheme="minorEastAsia" w:eastAsiaTheme="minorEastAsia" w:cstheme="minorEastAsia"/>
                <w:color w:val="auto"/>
                <w:szCs w:val="21"/>
              </w:rPr>
            </w:pPr>
          </w:p>
        </w:tc>
        <w:tc>
          <w:tcPr>
            <w:tcW w:w="958" w:type="dxa"/>
            <w:vAlign w:val="center"/>
          </w:tcPr>
          <w:p>
            <w:pPr>
              <w:widowControl/>
              <w:jc w:val="center"/>
              <w:rPr>
                <w:rFonts w:asciiTheme="minorEastAsia" w:hAnsiTheme="minorEastAsia" w:eastAsiaTheme="minorEastAsia" w:cstheme="minorEastAsia"/>
                <w:color w:val="auto"/>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1" w:hRule="atLeast"/>
          <w:jc w:val="center"/>
        </w:trPr>
        <w:tc>
          <w:tcPr>
            <w:tcW w:w="789" w:type="dxa"/>
            <w:vAlign w:val="center"/>
          </w:tcPr>
          <w:p>
            <w:pPr>
              <w:widowControl/>
              <w:jc w:val="center"/>
              <w:rPr>
                <w:rFonts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12</w:t>
            </w:r>
          </w:p>
        </w:tc>
        <w:tc>
          <w:tcPr>
            <w:tcW w:w="2295" w:type="dxa"/>
            <w:vAlign w:val="center"/>
          </w:tcPr>
          <w:p>
            <w:pPr>
              <w:widowControl/>
              <w:jc w:val="center"/>
              <w:rPr>
                <w:rFonts w:asciiTheme="minorEastAsia" w:hAnsiTheme="minorEastAsia" w:eastAsiaTheme="minorEastAsia" w:cstheme="minorEastAsia"/>
                <w:color w:val="auto"/>
                <w:szCs w:val="21"/>
              </w:rPr>
            </w:pPr>
          </w:p>
        </w:tc>
        <w:tc>
          <w:tcPr>
            <w:tcW w:w="1512" w:type="dxa"/>
            <w:vAlign w:val="center"/>
          </w:tcPr>
          <w:p>
            <w:pPr>
              <w:widowControl/>
              <w:jc w:val="center"/>
              <w:rPr>
                <w:rFonts w:asciiTheme="minorEastAsia" w:hAnsiTheme="minorEastAsia" w:eastAsiaTheme="minorEastAsia" w:cstheme="minorEastAsia"/>
                <w:color w:val="auto"/>
                <w:szCs w:val="21"/>
              </w:rPr>
            </w:pPr>
          </w:p>
        </w:tc>
        <w:tc>
          <w:tcPr>
            <w:tcW w:w="1512" w:type="dxa"/>
          </w:tcPr>
          <w:p>
            <w:pPr>
              <w:jc w:val="center"/>
              <w:rPr>
                <w:rFonts w:asciiTheme="minorEastAsia" w:hAnsiTheme="minorEastAsia" w:eastAsiaTheme="minorEastAsia" w:cstheme="minorEastAsia"/>
                <w:color w:val="auto"/>
                <w:szCs w:val="21"/>
              </w:rPr>
            </w:pPr>
          </w:p>
        </w:tc>
        <w:tc>
          <w:tcPr>
            <w:tcW w:w="1513" w:type="dxa"/>
          </w:tcPr>
          <w:p>
            <w:pPr>
              <w:jc w:val="center"/>
              <w:rPr>
                <w:rFonts w:asciiTheme="minorEastAsia" w:hAnsiTheme="minorEastAsia" w:eastAsiaTheme="minorEastAsia" w:cstheme="minorEastAsia"/>
                <w:color w:val="auto"/>
                <w:szCs w:val="21"/>
              </w:rPr>
            </w:pPr>
          </w:p>
        </w:tc>
        <w:tc>
          <w:tcPr>
            <w:tcW w:w="709" w:type="dxa"/>
            <w:vAlign w:val="center"/>
          </w:tcPr>
          <w:p>
            <w:pPr>
              <w:jc w:val="center"/>
              <w:rPr>
                <w:rFonts w:asciiTheme="minorEastAsia" w:hAnsiTheme="minorEastAsia" w:eastAsiaTheme="minorEastAsia" w:cstheme="minorEastAsia"/>
                <w:color w:val="auto"/>
                <w:szCs w:val="21"/>
              </w:rPr>
            </w:pPr>
          </w:p>
        </w:tc>
        <w:tc>
          <w:tcPr>
            <w:tcW w:w="958" w:type="dxa"/>
            <w:vAlign w:val="center"/>
          </w:tcPr>
          <w:p>
            <w:pPr>
              <w:widowControl/>
              <w:jc w:val="center"/>
              <w:rPr>
                <w:rFonts w:asciiTheme="minorEastAsia" w:hAnsiTheme="minorEastAsia" w:eastAsiaTheme="minorEastAsia" w:cstheme="minorEastAsia"/>
                <w:color w:val="auto"/>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1" w:hRule="atLeast"/>
          <w:jc w:val="center"/>
        </w:trPr>
        <w:tc>
          <w:tcPr>
            <w:tcW w:w="789" w:type="dxa"/>
            <w:vAlign w:val="center"/>
          </w:tcPr>
          <w:p>
            <w:pPr>
              <w:widowControl/>
              <w:jc w:val="center"/>
              <w:rPr>
                <w:rFonts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w:t>
            </w:r>
          </w:p>
        </w:tc>
        <w:tc>
          <w:tcPr>
            <w:tcW w:w="2295" w:type="dxa"/>
            <w:vAlign w:val="center"/>
          </w:tcPr>
          <w:p>
            <w:pPr>
              <w:widowControl/>
              <w:jc w:val="center"/>
              <w:rPr>
                <w:rFonts w:asciiTheme="minorEastAsia" w:hAnsiTheme="minorEastAsia" w:eastAsiaTheme="minorEastAsia" w:cstheme="minorEastAsia"/>
                <w:color w:val="auto"/>
                <w:szCs w:val="21"/>
              </w:rPr>
            </w:pPr>
          </w:p>
        </w:tc>
        <w:tc>
          <w:tcPr>
            <w:tcW w:w="1512" w:type="dxa"/>
            <w:vAlign w:val="center"/>
          </w:tcPr>
          <w:p>
            <w:pPr>
              <w:widowControl/>
              <w:jc w:val="center"/>
              <w:rPr>
                <w:rFonts w:asciiTheme="minorEastAsia" w:hAnsiTheme="minorEastAsia" w:eastAsiaTheme="minorEastAsia" w:cstheme="minorEastAsia"/>
                <w:color w:val="auto"/>
                <w:szCs w:val="21"/>
              </w:rPr>
            </w:pPr>
          </w:p>
        </w:tc>
        <w:tc>
          <w:tcPr>
            <w:tcW w:w="1512" w:type="dxa"/>
          </w:tcPr>
          <w:p>
            <w:pPr>
              <w:jc w:val="center"/>
              <w:rPr>
                <w:rFonts w:asciiTheme="minorEastAsia" w:hAnsiTheme="minorEastAsia" w:eastAsiaTheme="minorEastAsia" w:cstheme="minorEastAsia"/>
                <w:color w:val="auto"/>
                <w:szCs w:val="21"/>
              </w:rPr>
            </w:pPr>
          </w:p>
        </w:tc>
        <w:tc>
          <w:tcPr>
            <w:tcW w:w="1513" w:type="dxa"/>
          </w:tcPr>
          <w:p>
            <w:pPr>
              <w:jc w:val="center"/>
              <w:rPr>
                <w:rFonts w:asciiTheme="minorEastAsia" w:hAnsiTheme="minorEastAsia" w:eastAsiaTheme="minorEastAsia" w:cstheme="minorEastAsia"/>
                <w:color w:val="auto"/>
                <w:szCs w:val="21"/>
              </w:rPr>
            </w:pPr>
          </w:p>
        </w:tc>
        <w:tc>
          <w:tcPr>
            <w:tcW w:w="709" w:type="dxa"/>
            <w:vAlign w:val="center"/>
          </w:tcPr>
          <w:p>
            <w:pPr>
              <w:jc w:val="center"/>
              <w:rPr>
                <w:rFonts w:asciiTheme="minorEastAsia" w:hAnsiTheme="minorEastAsia" w:eastAsiaTheme="minorEastAsia" w:cstheme="minorEastAsia"/>
                <w:color w:val="auto"/>
                <w:szCs w:val="21"/>
              </w:rPr>
            </w:pPr>
          </w:p>
        </w:tc>
        <w:tc>
          <w:tcPr>
            <w:tcW w:w="958" w:type="dxa"/>
            <w:vAlign w:val="center"/>
          </w:tcPr>
          <w:p>
            <w:pPr>
              <w:widowControl/>
              <w:jc w:val="center"/>
              <w:rPr>
                <w:rFonts w:asciiTheme="minorEastAsia" w:hAnsiTheme="minorEastAsia" w:eastAsiaTheme="minorEastAsia" w:cstheme="minorEastAsia"/>
                <w:color w:val="auto"/>
                <w:szCs w:val="21"/>
              </w:rPr>
            </w:pPr>
          </w:p>
        </w:tc>
      </w:tr>
    </w:tbl>
    <w:p>
      <w:pPr>
        <w:spacing w:line="360" w:lineRule="auto"/>
        <w:rPr>
          <w:rFonts w:asciiTheme="minorEastAsia" w:hAnsiTheme="minorEastAsia" w:eastAsiaTheme="minorEastAsia" w:cstheme="minorEastAsia"/>
          <w:color w:val="auto"/>
          <w:szCs w:val="21"/>
        </w:rPr>
      </w:pPr>
    </w:p>
    <w:p>
      <w:pPr>
        <w:spacing w:line="360" w:lineRule="auto"/>
        <w:rPr>
          <w:rFonts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磋商供应商授权代表（签字）：</w:t>
      </w:r>
      <w:r>
        <w:rPr>
          <w:rFonts w:hint="eastAsia" w:asciiTheme="minorEastAsia" w:hAnsiTheme="minorEastAsia" w:eastAsiaTheme="minorEastAsia" w:cstheme="minorEastAsia"/>
          <w:color w:val="auto"/>
          <w:szCs w:val="21"/>
          <w:u w:val="single"/>
        </w:rPr>
        <w:t xml:space="preserve">                        </w:t>
      </w:r>
    </w:p>
    <w:p>
      <w:pPr>
        <w:spacing w:line="360" w:lineRule="auto"/>
        <w:rPr>
          <w:rFonts w:asciiTheme="minorEastAsia" w:hAnsiTheme="minorEastAsia" w:eastAsiaTheme="minorEastAsia" w:cstheme="minorEastAsia"/>
          <w:color w:val="auto"/>
          <w:szCs w:val="21"/>
          <w:u w:val="single"/>
        </w:rPr>
      </w:pPr>
      <w:r>
        <w:rPr>
          <w:rFonts w:hint="eastAsia" w:asciiTheme="minorEastAsia" w:hAnsiTheme="minorEastAsia" w:eastAsiaTheme="minorEastAsia" w:cstheme="minorEastAsia"/>
          <w:color w:val="auto"/>
          <w:szCs w:val="21"/>
        </w:rPr>
        <w:t>磋商供应商名称（盖章）：</w:t>
      </w:r>
      <w:r>
        <w:rPr>
          <w:rFonts w:hint="eastAsia" w:asciiTheme="minorEastAsia" w:hAnsiTheme="minorEastAsia" w:eastAsiaTheme="minorEastAsia" w:cstheme="minorEastAsia"/>
          <w:color w:val="auto"/>
          <w:szCs w:val="21"/>
          <w:u w:val="single"/>
        </w:rPr>
        <w:t xml:space="preserve">                                     </w:t>
      </w:r>
    </w:p>
    <w:p>
      <w:pPr>
        <w:spacing w:line="360" w:lineRule="auto"/>
        <w:rPr>
          <w:rFonts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时                 间：</w:t>
      </w:r>
      <w:r>
        <w:rPr>
          <w:rFonts w:hint="eastAsia" w:asciiTheme="minorEastAsia" w:hAnsiTheme="minorEastAsia" w:eastAsiaTheme="minorEastAsia" w:cstheme="minorEastAsia"/>
          <w:color w:val="auto"/>
          <w:szCs w:val="21"/>
          <w:u w:val="single"/>
        </w:rPr>
        <w:t xml:space="preserve">           </w:t>
      </w:r>
      <w:r>
        <w:rPr>
          <w:rFonts w:hint="eastAsia" w:asciiTheme="minorEastAsia" w:hAnsiTheme="minorEastAsia" w:eastAsiaTheme="minorEastAsia" w:cstheme="minorEastAsia"/>
          <w:color w:val="auto"/>
          <w:szCs w:val="21"/>
        </w:rPr>
        <w:t>年</w:t>
      </w:r>
      <w:r>
        <w:rPr>
          <w:rFonts w:hint="eastAsia" w:asciiTheme="minorEastAsia" w:hAnsiTheme="minorEastAsia" w:eastAsiaTheme="minorEastAsia" w:cstheme="minorEastAsia"/>
          <w:color w:val="auto"/>
          <w:szCs w:val="21"/>
          <w:u w:val="single"/>
        </w:rPr>
        <w:t xml:space="preserve">          </w:t>
      </w:r>
      <w:r>
        <w:rPr>
          <w:rFonts w:hint="eastAsia" w:asciiTheme="minorEastAsia" w:hAnsiTheme="minorEastAsia" w:eastAsiaTheme="minorEastAsia" w:cstheme="minorEastAsia"/>
          <w:color w:val="auto"/>
          <w:szCs w:val="21"/>
        </w:rPr>
        <w:t>月</w:t>
      </w:r>
      <w:r>
        <w:rPr>
          <w:rFonts w:hint="eastAsia" w:asciiTheme="minorEastAsia" w:hAnsiTheme="minorEastAsia" w:eastAsiaTheme="minorEastAsia" w:cstheme="minorEastAsia"/>
          <w:color w:val="auto"/>
          <w:szCs w:val="21"/>
          <w:u w:val="single"/>
        </w:rPr>
        <w:t xml:space="preserve">          </w:t>
      </w:r>
      <w:r>
        <w:rPr>
          <w:rFonts w:hint="eastAsia" w:asciiTheme="minorEastAsia" w:hAnsiTheme="minorEastAsia" w:eastAsiaTheme="minorEastAsia" w:cstheme="minorEastAsia"/>
          <w:color w:val="auto"/>
          <w:szCs w:val="21"/>
        </w:rPr>
        <w:t>日</w:t>
      </w:r>
    </w:p>
    <w:p>
      <w:pPr>
        <w:tabs>
          <w:tab w:val="left" w:pos="540"/>
        </w:tabs>
        <w:autoSpaceDE w:val="0"/>
        <w:autoSpaceDN w:val="0"/>
        <w:adjustRightInd w:val="0"/>
        <w:spacing w:line="360" w:lineRule="auto"/>
        <w:jc w:val="left"/>
        <w:rPr>
          <w:rFonts w:asciiTheme="minorEastAsia" w:hAnsiTheme="minorEastAsia" w:eastAsiaTheme="minorEastAsia" w:cstheme="minorEastAsia"/>
          <w:color w:val="auto"/>
          <w:szCs w:val="21"/>
        </w:rPr>
      </w:pPr>
    </w:p>
    <w:p>
      <w:pPr>
        <w:rPr>
          <w:color w:val="auto"/>
        </w:rPr>
      </w:pPr>
    </w:p>
    <w:p>
      <w:pPr>
        <w:tabs>
          <w:tab w:val="left" w:pos="540"/>
        </w:tabs>
        <w:autoSpaceDE w:val="0"/>
        <w:autoSpaceDN w:val="0"/>
        <w:adjustRightInd w:val="0"/>
        <w:spacing w:line="360" w:lineRule="auto"/>
        <w:jc w:val="left"/>
        <w:rPr>
          <w:rFonts w:asciiTheme="minorEastAsia" w:hAnsiTheme="minorEastAsia" w:eastAsiaTheme="minorEastAsia" w:cstheme="minorEastAsia"/>
          <w:color w:val="auto"/>
          <w:szCs w:val="21"/>
        </w:rPr>
      </w:pPr>
    </w:p>
    <w:p>
      <w:pPr>
        <w:tabs>
          <w:tab w:val="left" w:pos="540"/>
        </w:tabs>
        <w:autoSpaceDE w:val="0"/>
        <w:autoSpaceDN w:val="0"/>
        <w:adjustRightInd w:val="0"/>
        <w:spacing w:line="360" w:lineRule="auto"/>
        <w:jc w:val="center"/>
        <w:outlineLvl w:val="1"/>
        <w:rPr>
          <w:rFonts w:asciiTheme="minorEastAsia" w:hAnsiTheme="minorEastAsia" w:eastAsiaTheme="minorEastAsia" w:cstheme="minorEastAsia"/>
          <w:b/>
          <w:bCs/>
          <w:color w:val="auto"/>
          <w:szCs w:val="21"/>
        </w:rPr>
      </w:pPr>
      <w:r>
        <w:rPr>
          <w:rFonts w:hint="eastAsia" w:asciiTheme="minorEastAsia" w:hAnsiTheme="minorEastAsia" w:eastAsiaTheme="minorEastAsia" w:cstheme="minorEastAsia"/>
          <w:color w:val="auto"/>
          <w:szCs w:val="21"/>
        </w:rPr>
        <w:br w:type="page"/>
      </w:r>
      <w:bookmarkStart w:id="168" w:name="_Toc479184131"/>
      <w:bookmarkStart w:id="169" w:name="_Toc4858"/>
      <w:bookmarkStart w:id="170" w:name="_Toc32726"/>
      <w:bookmarkStart w:id="171" w:name="_Toc7535"/>
      <w:r>
        <w:rPr>
          <w:rFonts w:hint="eastAsia" w:asciiTheme="minorEastAsia" w:hAnsiTheme="minorEastAsia" w:eastAsiaTheme="minorEastAsia" w:cstheme="minorEastAsia"/>
          <w:b/>
          <w:bCs/>
          <w:color w:val="auto"/>
          <w:szCs w:val="21"/>
        </w:rPr>
        <w:t>八、拟投入设备/备件、工具情况</w:t>
      </w:r>
      <w:bookmarkEnd w:id="168"/>
      <w:bookmarkEnd w:id="169"/>
      <w:bookmarkEnd w:id="170"/>
      <w:bookmarkEnd w:id="171"/>
    </w:p>
    <w:p>
      <w:pPr>
        <w:spacing w:line="360" w:lineRule="auto"/>
        <w:rPr>
          <w:rFonts w:asciiTheme="minorEastAsia" w:hAnsiTheme="minorEastAsia" w:eastAsiaTheme="minorEastAsia" w:cstheme="minorEastAsia"/>
          <w:color w:val="auto"/>
          <w:szCs w:val="21"/>
        </w:rPr>
      </w:pPr>
    </w:p>
    <w:p>
      <w:pPr>
        <w:adjustRightInd w:val="0"/>
        <w:snapToGrid w:val="0"/>
        <w:spacing w:line="360" w:lineRule="auto"/>
        <w:rPr>
          <w:rFonts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 xml:space="preserve">项目名称：                         </w:t>
      </w:r>
    </w:p>
    <w:p>
      <w:pPr>
        <w:adjustRightInd w:val="0"/>
        <w:snapToGrid w:val="0"/>
        <w:spacing w:line="360" w:lineRule="auto"/>
        <w:rPr>
          <w:rFonts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项目编号：</w:t>
      </w:r>
    </w:p>
    <w:tbl>
      <w:tblPr>
        <w:tblStyle w:val="26"/>
        <w:tblW w:w="928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89"/>
        <w:gridCol w:w="2295"/>
        <w:gridCol w:w="1512"/>
        <w:gridCol w:w="1512"/>
        <w:gridCol w:w="1513"/>
        <w:gridCol w:w="709"/>
        <w:gridCol w:w="95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1" w:hRule="atLeast"/>
          <w:jc w:val="center"/>
        </w:trPr>
        <w:tc>
          <w:tcPr>
            <w:tcW w:w="789" w:type="dxa"/>
            <w:vAlign w:val="center"/>
          </w:tcPr>
          <w:p>
            <w:pPr>
              <w:widowControl/>
              <w:jc w:val="center"/>
              <w:rPr>
                <w:rFonts w:asciiTheme="minorEastAsia" w:hAnsiTheme="minorEastAsia" w:eastAsiaTheme="minorEastAsia" w:cstheme="minorEastAsia"/>
                <w:b/>
                <w:color w:val="auto"/>
                <w:szCs w:val="21"/>
              </w:rPr>
            </w:pPr>
            <w:r>
              <w:rPr>
                <w:rFonts w:hint="eastAsia" w:asciiTheme="minorEastAsia" w:hAnsiTheme="minorEastAsia" w:eastAsiaTheme="minorEastAsia" w:cstheme="minorEastAsia"/>
                <w:b/>
                <w:color w:val="auto"/>
                <w:szCs w:val="21"/>
              </w:rPr>
              <w:t>序号</w:t>
            </w:r>
          </w:p>
        </w:tc>
        <w:tc>
          <w:tcPr>
            <w:tcW w:w="2295" w:type="dxa"/>
            <w:vAlign w:val="center"/>
          </w:tcPr>
          <w:p>
            <w:pPr>
              <w:widowControl/>
              <w:jc w:val="center"/>
              <w:rPr>
                <w:rFonts w:asciiTheme="minorEastAsia" w:hAnsiTheme="minorEastAsia" w:eastAsiaTheme="minorEastAsia" w:cstheme="minorEastAsia"/>
                <w:b/>
                <w:color w:val="auto"/>
                <w:szCs w:val="21"/>
              </w:rPr>
            </w:pPr>
            <w:r>
              <w:rPr>
                <w:rFonts w:hint="eastAsia" w:asciiTheme="minorEastAsia" w:hAnsiTheme="minorEastAsia" w:eastAsiaTheme="minorEastAsia" w:cstheme="minorEastAsia"/>
                <w:b/>
                <w:color w:val="auto"/>
                <w:szCs w:val="21"/>
              </w:rPr>
              <w:t>设备</w:t>
            </w:r>
            <w:r>
              <w:rPr>
                <w:rFonts w:hint="eastAsia" w:asciiTheme="minorEastAsia" w:hAnsiTheme="minorEastAsia" w:eastAsiaTheme="minorEastAsia" w:cstheme="minorEastAsia"/>
                <w:b/>
                <w:bCs/>
                <w:color w:val="auto"/>
                <w:szCs w:val="21"/>
              </w:rPr>
              <w:t>/备件</w:t>
            </w:r>
            <w:r>
              <w:rPr>
                <w:rFonts w:hint="eastAsia" w:asciiTheme="minorEastAsia" w:hAnsiTheme="minorEastAsia" w:eastAsiaTheme="minorEastAsia" w:cstheme="minorEastAsia"/>
                <w:b/>
                <w:color w:val="auto"/>
                <w:szCs w:val="21"/>
              </w:rPr>
              <w:t>名称</w:t>
            </w:r>
          </w:p>
        </w:tc>
        <w:tc>
          <w:tcPr>
            <w:tcW w:w="1512" w:type="dxa"/>
            <w:vAlign w:val="center"/>
          </w:tcPr>
          <w:p>
            <w:pPr>
              <w:widowControl/>
              <w:jc w:val="center"/>
              <w:rPr>
                <w:rFonts w:asciiTheme="minorEastAsia" w:hAnsiTheme="minorEastAsia" w:eastAsiaTheme="minorEastAsia" w:cstheme="minorEastAsia"/>
                <w:b/>
                <w:color w:val="auto"/>
                <w:szCs w:val="21"/>
              </w:rPr>
            </w:pPr>
            <w:r>
              <w:rPr>
                <w:rFonts w:hint="eastAsia" w:asciiTheme="minorEastAsia" w:hAnsiTheme="minorEastAsia" w:eastAsiaTheme="minorEastAsia" w:cstheme="minorEastAsia"/>
                <w:b/>
                <w:color w:val="auto"/>
                <w:szCs w:val="21"/>
              </w:rPr>
              <w:t>规格型号</w:t>
            </w:r>
          </w:p>
        </w:tc>
        <w:tc>
          <w:tcPr>
            <w:tcW w:w="1512" w:type="dxa"/>
          </w:tcPr>
          <w:p>
            <w:pPr>
              <w:widowControl/>
              <w:jc w:val="center"/>
              <w:rPr>
                <w:rFonts w:asciiTheme="minorEastAsia" w:hAnsiTheme="minorEastAsia" w:eastAsiaTheme="minorEastAsia" w:cstheme="minorEastAsia"/>
                <w:b/>
                <w:color w:val="auto"/>
                <w:szCs w:val="21"/>
              </w:rPr>
            </w:pPr>
            <w:r>
              <w:rPr>
                <w:rFonts w:hint="eastAsia" w:asciiTheme="minorEastAsia" w:hAnsiTheme="minorEastAsia" w:eastAsiaTheme="minorEastAsia" w:cstheme="minorEastAsia"/>
                <w:b/>
                <w:color w:val="auto"/>
                <w:szCs w:val="21"/>
              </w:rPr>
              <w:t>制造商名称</w:t>
            </w:r>
          </w:p>
        </w:tc>
        <w:tc>
          <w:tcPr>
            <w:tcW w:w="1513" w:type="dxa"/>
          </w:tcPr>
          <w:p>
            <w:pPr>
              <w:widowControl/>
              <w:jc w:val="center"/>
              <w:rPr>
                <w:rFonts w:asciiTheme="minorEastAsia" w:hAnsiTheme="minorEastAsia" w:eastAsiaTheme="minorEastAsia" w:cstheme="minorEastAsia"/>
                <w:b/>
                <w:color w:val="auto"/>
                <w:szCs w:val="21"/>
              </w:rPr>
            </w:pPr>
            <w:r>
              <w:rPr>
                <w:rFonts w:hint="eastAsia" w:asciiTheme="minorEastAsia" w:hAnsiTheme="minorEastAsia" w:eastAsiaTheme="minorEastAsia" w:cstheme="minorEastAsia"/>
                <w:b/>
                <w:color w:val="auto"/>
                <w:szCs w:val="21"/>
              </w:rPr>
              <w:t>产地</w:t>
            </w:r>
          </w:p>
        </w:tc>
        <w:tc>
          <w:tcPr>
            <w:tcW w:w="709" w:type="dxa"/>
            <w:vAlign w:val="center"/>
          </w:tcPr>
          <w:p>
            <w:pPr>
              <w:widowControl/>
              <w:jc w:val="center"/>
              <w:rPr>
                <w:rFonts w:asciiTheme="minorEastAsia" w:hAnsiTheme="minorEastAsia" w:eastAsiaTheme="minorEastAsia" w:cstheme="minorEastAsia"/>
                <w:b/>
                <w:color w:val="auto"/>
                <w:szCs w:val="21"/>
              </w:rPr>
            </w:pPr>
            <w:r>
              <w:rPr>
                <w:rFonts w:hint="eastAsia" w:asciiTheme="minorEastAsia" w:hAnsiTheme="minorEastAsia" w:eastAsiaTheme="minorEastAsia" w:cstheme="minorEastAsia"/>
                <w:b/>
                <w:color w:val="auto"/>
                <w:szCs w:val="21"/>
              </w:rPr>
              <w:t>数量</w:t>
            </w:r>
          </w:p>
        </w:tc>
        <w:tc>
          <w:tcPr>
            <w:tcW w:w="958" w:type="dxa"/>
            <w:vAlign w:val="center"/>
          </w:tcPr>
          <w:p>
            <w:pPr>
              <w:widowControl/>
              <w:jc w:val="center"/>
              <w:rPr>
                <w:rFonts w:asciiTheme="minorEastAsia" w:hAnsiTheme="minorEastAsia" w:eastAsiaTheme="minorEastAsia" w:cstheme="minorEastAsia"/>
                <w:b/>
                <w:color w:val="auto"/>
                <w:szCs w:val="21"/>
              </w:rPr>
            </w:pPr>
            <w:r>
              <w:rPr>
                <w:rFonts w:hint="eastAsia" w:asciiTheme="minorEastAsia" w:hAnsiTheme="minorEastAsia" w:eastAsiaTheme="minorEastAsia" w:cstheme="minorEastAsia"/>
                <w:b/>
                <w:color w:val="auto"/>
                <w:szCs w:val="21"/>
              </w:rPr>
              <w:t>单位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1" w:hRule="atLeast"/>
          <w:jc w:val="center"/>
        </w:trPr>
        <w:tc>
          <w:tcPr>
            <w:tcW w:w="789" w:type="dxa"/>
            <w:vAlign w:val="center"/>
          </w:tcPr>
          <w:p>
            <w:pPr>
              <w:widowControl/>
              <w:jc w:val="center"/>
              <w:rPr>
                <w:rFonts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1</w:t>
            </w:r>
          </w:p>
        </w:tc>
        <w:tc>
          <w:tcPr>
            <w:tcW w:w="2295" w:type="dxa"/>
            <w:vAlign w:val="center"/>
          </w:tcPr>
          <w:p>
            <w:pPr>
              <w:widowControl/>
              <w:jc w:val="center"/>
              <w:rPr>
                <w:rFonts w:asciiTheme="minorEastAsia" w:hAnsiTheme="minorEastAsia" w:eastAsiaTheme="minorEastAsia" w:cstheme="minorEastAsia"/>
                <w:color w:val="auto"/>
                <w:szCs w:val="21"/>
              </w:rPr>
            </w:pPr>
          </w:p>
        </w:tc>
        <w:tc>
          <w:tcPr>
            <w:tcW w:w="1512" w:type="dxa"/>
            <w:vAlign w:val="center"/>
          </w:tcPr>
          <w:p>
            <w:pPr>
              <w:widowControl/>
              <w:jc w:val="center"/>
              <w:rPr>
                <w:rFonts w:asciiTheme="minorEastAsia" w:hAnsiTheme="minorEastAsia" w:eastAsiaTheme="minorEastAsia" w:cstheme="minorEastAsia"/>
                <w:color w:val="auto"/>
                <w:szCs w:val="21"/>
              </w:rPr>
            </w:pPr>
          </w:p>
        </w:tc>
        <w:tc>
          <w:tcPr>
            <w:tcW w:w="1512" w:type="dxa"/>
          </w:tcPr>
          <w:p>
            <w:pPr>
              <w:widowControl/>
              <w:jc w:val="center"/>
              <w:rPr>
                <w:rFonts w:asciiTheme="minorEastAsia" w:hAnsiTheme="minorEastAsia" w:eastAsiaTheme="minorEastAsia" w:cstheme="minorEastAsia"/>
                <w:color w:val="auto"/>
                <w:szCs w:val="21"/>
              </w:rPr>
            </w:pPr>
          </w:p>
        </w:tc>
        <w:tc>
          <w:tcPr>
            <w:tcW w:w="1513" w:type="dxa"/>
          </w:tcPr>
          <w:p>
            <w:pPr>
              <w:widowControl/>
              <w:jc w:val="center"/>
              <w:rPr>
                <w:rFonts w:asciiTheme="minorEastAsia" w:hAnsiTheme="minorEastAsia" w:eastAsiaTheme="minorEastAsia" w:cstheme="minorEastAsia"/>
                <w:color w:val="auto"/>
                <w:szCs w:val="21"/>
              </w:rPr>
            </w:pPr>
          </w:p>
        </w:tc>
        <w:tc>
          <w:tcPr>
            <w:tcW w:w="709" w:type="dxa"/>
            <w:vAlign w:val="center"/>
          </w:tcPr>
          <w:p>
            <w:pPr>
              <w:widowControl/>
              <w:jc w:val="center"/>
              <w:rPr>
                <w:rFonts w:asciiTheme="minorEastAsia" w:hAnsiTheme="minorEastAsia" w:eastAsiaTheme="minorEastAsia" w:cstheme="minorEastAsia"/>
                <w:color w:val="auto"/>
                <w:szCs w:val="21"/>
              </w:rPr>
            </w:pPr>
          </w:p>
        </w:tc>
        <w:tc>
          <w:tcPr>
            <w:tcW w:w="958" w:type="dxa"/>
            <w:vAlign w:val="center"/>
          </w:tcPr>
          <w:p>
            <w:pPr>
              <w:widowControl/>
              <w:jc w:val="center"/>
              <w:rPr>
                <w:rFonts w:asciiTheme="minorEastAsia" w:hAnsiTheme="minorEastAsia" w:eastAsiaTheme="minorEastAsia" w:cstheme="minorEastAsia"/>
                <w:color w:val="auto"/>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1" w:hRule="atLeast"/>
          <w:jc w:val="center"/>
        </w:trPr>
        <w:tc>
          <w:tcPr>
            <w:tcW w:w="789" w:type="dxa"/>
            <w:vAlign w:val="center"/>
          </w:tcPr>
          <w:p>
            <w:pPr>
              <w:widowControl/>
              <w:jc w:val="center"/>
              <w:rPr>
                <w:rFonts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2</w:t>
            </w:r>
          </w:p>
        </w:tc>
        <w:tc>
          <w:tcPr>
            <w:tcW w:w="2295" w:type="dxa"/>
            <w:vAlign w:val="center"/>
          </w:tcPr>
          <w:p>
            <w:pPr>
              <w:widowControl/>
              <w:jc w:val="center"/>
              <w:rPr>
                <w:rFonts w:asciiTheme="minorEastAsia" w:hAnsiTheme="minorEastAsia" w:eastAsiaTheme="minorEastAsia" w:cstheme="minorEastAsia"/>
                <w:color w:val="auto"/>
                <w:szCs w:val="21"/>
              </w:rPr>
            </w:pPr>
          </w:p>
        </w:tc>
        <w:tc>
          <w:tcPr>
            <w:tcW w:w="1512" w:type="dxa"/>
            <w:vAlign w:val="center"/>
          </w:tcPr>
          <w:p>
            <w:pPr>
              <w:widowControl/>
              <w:jc w:val="center"/>
              <w:rPr>
                <w:rFonts w:asciiTheme="minorEastAsia" w:hAnsiTheme="minorEastAsia" w:eastAsiaTheme="minorEastAsia" w:cstheme="minorEastAsia"/>
                <w:color w:val="auto"/>
                <w:szCs w:val="21"/>
              </w:rPr>
            </w:pPr>
          </w:p>
        </w:tc>
        <w:tc>
          <w:tcPr>
            <w:tcW w:w="1512" w:type="dxa"/>
          </w:tcPr>
          <w:p>
            <w:pPr>
              <w:widowControl/>
              <w:jc w:val="center"/>
              <w:rPr>
                <w:rFonts w:asciiTheme="minorEastAsia" w:hAnsiTheme="minorEastAsia" w:eastAsiaTheme="minorEastAsia" w:cstheme="minorEastAsia"/>
                <w:color w:val="auto"/>
                <w:szCs w:val="21"/>
              </w:rPr>
            </w:pPr>
          </w:p>
        </w:tc>
        <w:tc>
          <w:tcPr>
            <w:tcW w:w="1513" w:type="dxa"/>
          </w:tcPr>
          <w:p>
            <w:pPr>
              <w:widowControl/>
              <w:jc w:val="center"/>
              <w:rPr>
                <w:rFonts w:asciiTheme="minorEastAsia" w:hAnsiTheme="minorEastAsia" w:eastAsiaTheme="minorEastAsia" w:cstheme="minorEastAsia"/>
                <w:color w:val="auto"/>
                <w:szCs w:val="21"/>
              </w:rPr>
            </w:pPr>
          </w:p>
        </w:tc>
        <w:tc>
          <w:tcPr>
            <w:tcW w:w="709" w:type="dxa"/>
            <w:vAlign w:val="center"/>
          </w:tcPr>
          <w:p>
            <w:pPr>
              <w:widowControl/>
              <w:jc w:val="center"/>
              <w:rPr>
                <w:rFonts w:asciiTheme="minorEastAsia" w:hAnsiTheme="minorEastAsia" w:eastAsiaTheme="minorEastAsia" w:cstheme="minorEastAsia"/>
                <w:color w:val="auto"/>
                <w:szCs w:val="21"/>
              </w:rPr>
            </w:pPr>
          </w:p>
        </w:tc>
        <w:tc>
          <w:tcPr>
            <w:tcW w:w="958" w:type="dxa"/>
            <w:vAlign w:val="center"/>
          </w:tcPr>
          <w:p>
            <w:pPr>
              <w:widowControl/>
              <w:jc w:val="center"/>
              <w:rPr>
                <w:rFonts w:asciiTheme="minorEastAsia" w:hAnsiTheme="minorEastAsia" w:eastAsiaTheme="minorEastAsia" w:cstheme="minorEastAsia"/>
                <w:color w:val="auto"/>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 w:hRule="atLeast"/>
          <w:jc w:val="center"/>
        </w:trPr>
        <w:tc>
          <w:tcPr>
            <w:tcW w:w="789" w:type="dxa"/>
            <w:vAlign w:val="center"/>
          </w:tcPr>
          <w:p>
            <w:pPr>
              <w:widowControl/>
              <w:jc w:val="center"/>
              <w:rPr>
                <w:rFonts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3</w:t>
            </w:r>
          </w:p>
        </w:tc>
        <w:tc>
          <w:tcPr>
            <w:tcW w:w="2295" w:type="dxa"/>
            <w:vAlign w:val="center"/>
          </w:tcPr>
          <w:p>
            <w:pPr>
              <w:widowControl/>
              <w:jc w:val="center"/>
              <w:rPr>
                <w:rFonts w:asciiTheme="minorEastAsia" w:hAnsiTheme="minorEastAsia" w:eastAsiaTheme="minorEastAsia" w:cstheme="minorEastAsia"/>
                <w:color w:val="auto"/>
                <w:szCs w:val="21"/>
              </w:rPr>
            </w:pPr>
          </w:p>
        </w:tc>
        <w:tc>
          <w:tcPr>
            <w:tcW w:w="1512" w:type="dxa"/>
            <w:vAlign w:val="center"/>
          </w:tcPr>
          <w:p>
            <w:pPr>
              <w:widowControl/>
              <w:jc w:val="center"/>
              <w:rPr>
                <w:rFonts w:asciiTheme="minorEastAsia" w:hAnsiTheme="minorEastAsia" w:eastAsiaTheme="minorEastAsia" w:cstheme="minorEastAsia"/>
                <w:color w:val="auto"/>
                <w:szCs w:val="21"/>
              </w:rPr>
            </w:pPr>
          </w:p>
        </w:tc>
        <w:tc>
          <w:tcPr>
            <w:tcW w:w="1512" w:type="dxa"/>
          </w:tcPr>
          <w:p>
            <w:pPr>
              <w:widowControl/>
              <w:jc w:val="center"/>
              <w:rPr>
                <w:rFonts w:asciiTheme="minorEastAsia" w:hAnsiTheme="minorEastAsia" w:eastAsiaTheme="minorEastAsia" w:cstheme="minorEastAsia"/>
                <w:color w:val="auto"/>
                <w:szCs w:val="21"/>
              </w:rPr>
            </w:pPr>
          </w:p>
        </w:tc>
        <w:tc>
          <w:tcPr>
            <w:tcW w:w="1513" w:type="dxa"/>
          </w:tcPr>
          <w:p>
            <w:pPr>
              <w:widowControl/>
              <w:jc w:val="center"/>
              <w:rPr>
                <w:rFonts w:asciiTheme="minorEastAsia" w:hAnsiTheme="minorEastAsia" w:eastAsiaTheme="minorEastAsia" w:cstheme="minorEastAsia"/>
                <w:color w:val="auto"/>
                <w:szCs w:val="21"/>
              </w:rPr>
            </w:pPr>
          </w:p>
        </w:tc>
        <w:tc>
          <w:tcPr>
            <w:tcW w:w="709" w:type="dxa"/>
            <w:vAlign w:val="center"/>
          </w:tcPr>
          <w:p>
            <w:pPr>
              <w:widowControl/>
              <w:jc w:val="center"/>
              <w:rPr>
                <w:rFonts w:asciiTheme="minorEastAsia" w:hAnsiTheme="minorEastAsia" w:eastAsiaTheme="minorEastAsia" w:cstheme="minorEastAsia"/>
                <w:color w:val="auto"/>
                <w:szCs w:val="21"/>
              </w:rPr>
            </w:pPr>
          </w:p>
        </w:tc>
        <w:tc>
          <w:tcPr>
            <w:tcW w:w="958" w:type="dxa"/>
            <w:vAlign w:val="center"/>
          </w:tcPr>
          <w:p>
            <w:pPr>
              <w:widowControl/>
              <w:jc w:val="center"/>
              <w:rPr>
                <w:rFonts w:asciiTheme="minorEastAsia" w:hAnsiTheme="minorEastAsia" w:eastAsiaTheme="minorEastAsia" w:cstheme="minorEastAsia"/>
                <w:color w:val="auto"/>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1" w:hRule="atLeast"/>
          <w:jc w:val="center"/>
        </w:trPr>
        <w:tc>
          <w:tcPr>
            <w:tcW w:w="789" w:type="dxa"/>
            <w:vAlign w:val="center"/>
          </w:tcPr>
          <w:p>
            <w:pPr>
              <w:widowControl/>
              <w:jc w:val="center"/>
              <w:rPr>
                <w:rFonts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4</w:t>
            </w:r>
          </w:p>
        </w:tc>
        <w:tc>
          <w:tcPr>
            <w:tcW w:w="2295" w:type="dxa"/>
            <w:vAlign w:val="center"/>
          </w:tcPr>
          <w:p>
            <w:pPr>
              <w:widowControl/>
              <w:jc w:val="center"/>
              <w:rPr>
                <w:rFonts w:asciiTheme="minorEastAsia" w:hAnsiTheme="minorEastAsia" w:eastAsiaTheme="minorEastAsia" w:cstheme="minorEastAsia"/>
                <w:color w:val="auto"/>
                <w:szCs w:val="21"/>
              </w:rPr>
            </w:pPr>
          </w:p>
        </w:tc>
        <w:tc>
          <w:tcPr>
            <w:tcW w:w="1512" w:type="dxa"/>
            <w:vAlign w:val="center"/>
          </w:tcPr>
          <w:p>
            <w:pPr>
              <w:widowControl/>
              <w:jc w:val="left"/>
              <w:rPr>
                <w:rFonts w:asciiTheme="minorEastAsia" w:hAnsiTheme="minorEastAsia" w:eastAsiaTheme="minorEastAsia" w:cstheme="minorEastAsia"/>
                <w:color w:val="auto"/>
                <w:kern w:val="0"/>
                <w:szCs w:val="21"/>
              </w:rPr>
            </w:pPr>
          </w:p>
        </w:tc>
        <w:tc>
          <w:tcPr>
            <w:tcW w:w="1512" w:type="dxa"/>
          </w:tcPr>
          <w:p>
            <w:pPr>
              <w:widowControl/>
              <w:jc w:val="center"/>
              <w:rPr>
                <w:rFonts w:asciiTheme="minorEastAsia" w:hAnsiTheme="minorEastAsia" w:eastAsiaTheme="minorEastAsia" w:cstheme="minorEastAsia"/>
                <w:color w:val="auto"/>
                <w:szCs w:val="21"/>
              </w:rPr>
            </w:pPr>
          </w:p>
        </w:tc>
        <w:tc>
          <w:tcPr>
            <w:tcW w:w="1513" w:type="dxa"/>
          </w:tcPr>
          <w:p>
            <w:pPr>
              <w:widowControl/>
              <w:jc w:val="center"/>
              <w:rPr>
                <w:rFonts w:asciiTheme="minorEastAsia" w:hAnsiTheme="minorEastAsia" w:eastAsiaTheme="minorEastAsia" w:cstheme="minorEastAsia"/>
                <w:color w:val="auto"/>
                <w:szCs w:val="21"/>
              </w:rPr>
            </w:pPr>
          </w:p>
        </w:tc>
        <w:tc>
          <w:tcPr>
            <w:tcW w:w="709" w:type="dxa"/>
            <w:vAlign w:val="center"/>
          </w:tcPr>
          <w:p>
            <w:pPr>
              <w:widowControl/>
              <w:jc w:val="center"/>
              <w:rPr>
                <w:rFonts w:asciiTheme="minorEastAsia" w:hAnsiTheme="minorEastAsia" w:eastAsiaTheme="minorEastAsia" w:cstheme="minorEastAsia"/>
                <w:color w:val="auto"/>
                <w:szCs w:val="21"/>
              </w:rPr>
            </w:pPr>
          </w:p>
        </w:tc>
        <w:tc>
          <w:tcPr>
            <w:tcW w:w="958" w:type="dxa"/>
            <w:vAlign w:val="center"/>
          </w:tcPr>
          <w:p>
            <w:pPr>
              <w:widowControl/>
              <w:jc w:val="center"/>
              <w:rPr>
                <w:rFonts w:asciiTheme="minorEastAsia" w:hAnsiTheme="minorEastAsia" w:eastAsiaTheme="minorEastAsia" w:cstheme="minorEastAsia"/>
                <w:color w:val="auto"/>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1" w:hRule="atLeast"/>
          <w:jc w:val="center"/>
        </w:trPr>
        <w:tc>
          <w:tcPr>
            <w:tcW w:w="789" w:type="dxa"/>
            <w:vAlign w:val="center"/>
          </w:tcPr>
          <w:p>
            <w:pPr>
              <w:widowControl/>
              <w:jc w:val="center"/>
              <w:rPr>
                <w:rFonts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5</w:t>
            </w:r>
          </w:p>
        </w:tc>
        <w:tc>
          <w:tcPr>
            <w:tcW w:w="2295" w:type="dxa"/>
            <w:vAlign w:val="center"/>
          </w:tcPr>
          <w:p>
            <w:pPr>
              <w:widowControl/>
              <w:jc w:val="center"/>
              <w:rPr>
                <w:rFonts w:asciiTheme="minorEastAsia" w:hAnsiTheme="minorEastAsia" w:eastAsiaTheme="minorEastAsia" w:cstheme="minorEastAsia"/>
                <w:color w:val="auto"/>
                <w:szCs w:val="21"/>
              </w:rPr>
            </w:pPr>
          </w:p>
        </w:tc>
        <w:tc>
          <w:tcPr>
            <w:tcW w:w="1512" w:type="dxa"/>
            <w:vAlign w:val="center"/>
          </w:tcPr>
          <w:p>
            <w:pPr>
              <w:widowControl/>
              <w:jc w:val="center"/>
              <w:rPr>
                <w:rFonts w:asciiTheme="minorEastAsia" w:hAnsiTheme="minorEastAsia" w:eastAsiaTheme="minorEastAsia" w:cstheme="minorEastAsia"/>
                <w:color w:val="auto"/>
                <w:szCs w:val="21"/>
              </w:rPr>
            </w:pPr>
          </w:p>
        </w:tc>
        <w:tc>
          <w:tcPr>
            <w:tcW w:w="1512" w:type="dxa"/>
          </w:tcPr>
          <w:p>
            <w:pPr>
              <w:jc w:val="center"/>
              <w:rPr>
                <w:rFonts w:asciiTheme="minorEastAsia" w:hAnsiTheme="minorEastAsia" w:eastAsiaTheme="minorEastAsia" w:cstheme="minorEastAsia"/>
                <w:color w:val="auto"/>
                <w:szCs w:val="21"/>
              </w:rPr>
            </w:pPr>
          </w:p>
        </w:tc>
        <w:tc>
          <w:tcPr>
            <w:tcW w:w="1513" w:type="dxa"/>
          </w:tcPr>
          <w:p>
            <w:pPr>
              <w:jc w:val="center"/>
              <w:rPr>
                <w:rFonts w:asciiTheme="minorEastAsia" w:hAnsiTheme="minorEastAsia" w:eastAsiaTheme="minorEastAsia" w:cstheme="minorEastAsia"/>
                <w:color w:val="auto"/>
                <w:szCs w:val="21"/>
              </w:rPr>
            </w:pPr>
          </w:p>
        </w:tc>
        <w:tc>
          <w:tcPr>
            <w:tcW w:w="709" w:type="dxa"/>
            <w:vAlign w:val="center"/>
          </w:tcPr>
          <w:p>
            <w:pPr>
              <w:jc w:val="center"/>
              <w:rPr>
                <w:rFonts w:asciiTheme="minorEastAsia" w:hAnsiTheme="minorEastAsia" w:eastAsiaTheme="minorEastAsia" w:cstheme="minorEastAsia"/>
                <w:color w:val="auto"/>
                <w:szCs w:val="21"/>
              </w:rPr>
            </w:pPr>
          </w:p>
        </w:tc>
        <w:tc>
          <w:tcPr>
            <w:tcW w:w="958" w:type="dxa"/>
            <w:vAlign w:val="center"/>
          </w:tcPr>
          <w:p>
            <w:pPr>
              <w:widowControl/>
              <w:jc w:val="center"/>
              <w:rPr>
                <w:rFonts w:asciiTheme="minorEastAsia" w:hAnsiTheme="minorEastAsia" w:eastAsiaTheme="minorEastAsia" w:cstheme="minorEastAsia"/>
                <w:color w:val="auto"/>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1" w:hRule="atLeast"/>
          <w:jc w:val="center"/>
        </w:trPr>
        <w:tc>
          <w:tcPr>
            <w:tcW w:w="789" w:type="dxa"/>
            <w:vAlign w:val="center"/>
          </w:tcPr>
          <w:p>
            <w:pPr>
              <w:widowControl/>
              <w:jc w:val="center"/>
              <w:rPr>
                <w:rFonts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6</w:t>
            </w:r>
          </w:p>
        </w:tc>
        <w:tc>
          <w:tcPr>
            <w:tcW w:w="2295" w:type="dxa"/>
            <w:vAlign w:val="center"/>
          </w:tcPr>
          <w:p>
            <w:pPr>
              <w:widowControl/>
              <w:jc w:val="center"/>
              <w:rPr>
                <w:rFonts w:asciiTheme="minorEastAsia" w:hAnsiTheme="minorEastAsia" w:eastAsiaTheme="minorEastAsia" w:cstheme="minorEastAsia"/>
                <w:color w:val="auto"/>
                <w:szCs w:val="21"/>
              </w:rPr>
            </w:pPr>
          </w:p>
        </w:tc>
        <w:tc>
          <w:tcPr>
            <w:tcW w:w="1512" w:type="dxa"/>
            <w:vAlign w:val="center"/>
          </w:tcPr>
          <w:p>
            <w:pPr>
              <w:widowControl/>
              <w:jc w:val="center"/>
              <w:rPr>
                <w:rFonts w:asciiTheme="minorEastAsia" w:hAnsiTheme="minorEastAsia" w:eastAsiaTheme="minorEastAsia" w:cstheme="minorEastAsia"/>
                <w:color w:val="auto"/>
                <w:szCs w:val="21"/>
              </w:rPr>
            </w:pPr>
          </w:p>
        </w:tc>
        <w:tc>
          <w:tcPr>
            <w:tcW w:w="1512" w:type="dxa"/>
          </w:tcPr>
          <w:p>
            <w:pPr>
              <w:jc w:val="center"/>
              <w:rPr>
                <w:rFonts w:asciiTheme="minorEastAsia" w:hAnsiTheme="minorEastAsia" w:eastAsiaTheme="minorEastAsia" w:cstheme="minorEastAsia"/>
                <w:color w:val="auto"/>
                <w:szCs w:val="21"/>
              </w:rPr>
            </w:pPr>
          </w:p>
        </w:tc>
        <w:tc>
          <w:tcPr>
            <w:tcW w:w="1513" w:type="dxa"/>
          </w:tcPr>
          <w:p>
            <w:pPr>
              <w:jc w:val="center"/>
              <w:rPr>
                <w:rFonts w:asciiTheme="minorEastAsia" w:hAnsiTheme="minorEastAsia" w:eastAsiaTheme="minorEastAsia" w:cstheme="minorEastAsia"/>
                <w:color w:val="auto"/>
                <w:szCs w:val="21"/>
              </w:rPr>
            </w:pPr>
          </w:p>
        </w:tc>
        <w:tc>
          <w:tcPr>
            <w:tcW w:w="709" w:type="dxa"/>
            <w:vAlign w:val="center"/>
          </w:tcPr>
          <w:p>
            <w:pPr>
              <w:jc w:val="center"/>
              <w:rPr>
                <w:rFonts w:asciiTheme="minorEastAsia" w:hAnsiTheme="minorEastAsia" w:eastAsiaTheme="minorEastAsia" w:cstheme="minorEastAsia"/>
                <w:color w:val="auto"/>
                <w:szCs w:val="21"/>
              </w:rPr>
            </w:pPr>
          </w:p>
        </w:tc>
        <w:tc>
          <w:tcPr>
            <w:tcW w:w="958" w:type="dxa"/>
            <w:vAlign w:val="center"/>
          </w:tcPr>
          <w:p>
            <w:pPr>
              <w:widowControl/>
              <w:jc w:val="center"/>
              <w:rPr>
                <w:rFonts w:asciiTheme="minorEastAsia" w:hAnsiTheme="minorEastAsia" w:eastAsiaTheme="minorEastAsia" w:cstheme="minorEastAsia"/>
                <w:color w:val="auto"/>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1" w:hRule="atLeast"/>
          <w:jc w:val="center"/>
        </w:trPr>
        <w:tc>
          <w:tcPr>
            <w:tcW w:w="789" w:type="dxa"/>
            <w:vAlign w:val="center"/>
          </w:tcPr>
          <w:p>
            <w:pPr>
              <w:widowControl/>
              <w:jc w:val="center"/>
              <w:rPr>
                <w:rFonts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7</w:t>
            </w:r>
          </w:p>
        </w:tc>
        <w:tc>
          <w:tcPr>
            <w:tcW w:w="2295" w:type="dxa"/>
            <w:vAlign w:val="center"/>
          </w:tcPr>
          <w:p>
            <w:pPr>
              <w:widowControl/>
              <w:jc w:val="center"/>
              <w:rPr>
                <w:rFonts w:asciiTheme="minorEastAsia" w:hAnsiTheme="minorEastAsia" w:eastAsiaTheme="minorEastAsia" w:cstheme="minorEastAsia"/>
                <w:color w:val="auto"/>
                <w:szCs w:val="21"/>
              </w:rPr>
            </w:pPr>
          </w:p>
        </w:tc>
        <w:tc>
          <w:tcPr>
            <w:tcW w:w="1512" w:type="dxa"/>
            <w:vAlign w:val="center"/>
          </w:tcPr>
          <w:p>
            <w:pPr>
              <w:widowControl/>
              <w:jc w:val="center"/>
              <w:rPr>
                <w:rFonts w:asciiTheme="minorEastAsia" w:hAnsiTheme="minorEastAsia" w:eastAsiaTheme="minorEastAsia" w:cstheme="minorEastAsia"/>
                <w:color w:val="auto"/>
                <w:szCs w:val="21"/>
              </w:rPr>
            </w:pPr>
          </w:p>
        </w:tc>
        <w:tc>
          <w:tcPr>
            <w:tcW w:w="1512" w:type="dxa"/>
          </w:tcPr>
          <w:p>
            <w:pPr>
              <w:jc w:val="center"/>
              <w:rPr>
                <w:rFonts w:asciiTheme="minorEastAsia" w:hAnsiTheme="minorEastAsia" w:eastAsiaTheme="minorEastAsia" w:cstheme="minorEastAsia"/>
                <w:color w:val="auto"/>
                <w:szCs w:val="21"/>
              </w:rPr>
            </w:pPr>
          </w:p>
        </w:tc>
        <w:tc>
          <w:tcPr>
            <w:tcW w:w="1513" w:type="dxa"/>
          </w:tcPr>
          <w:p>
            <w:pPr>
              <w:jc w:val="center"/>
              <w:rPr>
                <w:rFonts w:asciiTheme="minorEastAsia" w:hAnsiTheme="minorEastAsia" w:eastAsiaTheme="minorEastAsia" w:cstheme="minorEastAsia"/>
                <w:color w:val="auto"/>
                <w:szCs w:val="21"/>
              </w:rPr>
            </w:pPr>
          </w:p>
        </w:tc>
        <w:tc>
          <w:tcPr>
            <w:tcW w:w="709" w:type="dxa"/>
            <w:vAlign w:val="center"/>
          </w:tcPr>
          <w:p>
            <w:pPr>
              <w:jc w:val="center"/>
              <w:rPr>
                <w:rFonts w:asciiTheme="minorEastAsia" w:hAnsiTheme="minorEastAsia" w:eastAsiaTheme="minorEastAsia" w:cstheme="minorEastAsia"/>
                <w:color w:val="auto"/>
                <w:szCs w:val="21"/>
              </w:rPr>
            </w:pPr>
          </w:p>
        </w:tc>
        <w:tc>
          <w:tcPr>
            <w:tcW w:w="958" w:type="dxa"/>
            <w:vAlign w:val="center"/>
          </w:tcPr>
          <w:p>
            <w:pPr>
              <w:widowControl/>
              <w:jc w:val="center"/>
              <w:rPr>
                <w:rFonts w:asciiTheme="minorEastAsia" w:hAnsiTheme="minorEastAsia" w:eastAsiaTheme="minorEastAsia" w:cstheme="minorEastAsia"/>
                <w:color w:val="auto"/>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1" w:hRule="atLeast"/>
          <w:jc w:val="center"/>
        </w:trPr>
        <w:tc>
          <w:tcPr>
            <w:tcW w:w="789" w:type="dxa"/>
            <w:vAlign w:val="center"/>
          </w:tcPr>
          <w:p>
            <w:pPr>
              <w:widowControl/>
              <w:jc w:val="center"/>
              <w:rPr>
                <w:rFonts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8</w:t>
            </w:r>
          </w:p>
        </w:tc>
        <w:tc>
          <w:tcPr>
            <w:tcW w:w="2295" w:type="dxa"/>
            <w:vAlign w:val="center"/>
          </w:tcPr>
          <w:p>
            <w:pPr>
              <w:widowControl/>
              <w:jc w:val="center"/>
              <w:rPr>
                <w:rFonts w:asciiTheme="minorEastAsia" w:hAnsiTheme="minorEastAsia" w:eastAsiaTheme="minorEastAsia" w:cstheme="minorEastAsia"/>
                <w:color w:val="auto"/>
                <w:szCs w:val="21"/>
              </w:rPr>
            </w:pPr>
          </w:p>
        </w:tc>
        <w:tc>
          <w:tcPr>
            <w:tcW w:w="1512" w:type="dxa"/>
            <w:vAlign w:val="center"/>
          </w:tcPr>
          <w:p>
            <w:pPr>
              <w:widowControl/>
              <w:jc w:val="center"/>
              <w:rPr>
                <w:rFonts w:asciiTheme="minorEastAsia" w:hAnsiTheme="minorEastAsia" w:eastAsiaTheme="minorEastAsia" w:cstheme="minorEastAsia"/>
                <w:color w:val="auto"/>
                <w:szCs w:val="21"/>
              </w:rPr>
            </w:pPr>
          </w:p>
        </w:tc>
        <w:tc>
          <w:tcPr>
            <w:tcW w:w="1512" w:type="dxa"/>
          </w:tcPr>
          <w:p>
            <w:pPr>
              <w:jc w:val="center"/>
              <w:rPr>
                <w:rFonts w:asciiTheme="minorEastAsia" w:hAnsiTheme="minorEastAsia" w:eastAsiaTheme="minorEastAsia" w:cstheme="minorEastAsia"/>
                <w:color w:val="auto"/>
                <w:szCs w:val="21"/>
              </w:rPr>
            </w:pPr>
          </w:p>
        </w:tc>
        <w:tc>
          <w:tcPr>
            <w:tcW w:w="1513" w:type="dxa"/>
          </w:tcPr>
          <w:p>
            <w:pPr>
              <w:jc w:val="center"/>
              <w:rPr>
                <w:rFonts w:asciiTheme="minorEastAsia" w:hAnsiTheme="minorEastAsia" w:eastAsiaTheme="minorEastAsia" w:cstheme="minorEastAsia"/>
                <w:color w:val="auto"/>
                <w:szCs w:val="21"/>
              </w:rPr>
            </w:pPr>
          </w:p>
        </w:tc>
        <w:tc>
          <w:tcPr>
            <w:tcW w:w="709" w:type="dxa"/>
            <w:vAlign w:val="center"/>
          </w:tcPr>
          <w:p>
            <w:pPr>
              <w:jc w:val="center"/>
              <w:rPr>
                <w:rFonts w:asciiTheme="minorEastAsia" w:hAnsiTheme="minorEastAsia" w:eastAsiaTheme="minorEastAsia" w:cstheme="minorEastAsia"/>
                <w:color w:val="auto"/>
                <w:szCs w:val="21"/>
              </w:rPr>
            </w:pPr>
          </w:p>
        </w:tc>
        <w:tc>
          <w:tcPr>
            <w:tcW w:w="958" w:type="dxa"/>
            <w:vAlign w:val="center"/>
          </w:tcPr>
          <w:p>
            <w:pPr>
              <w:widowControl/>
              <w:jc w:val="center"/>
              <w:rPr>
                <w:rFonts w:asciiTheme="minorEastAsia" w:hAnsiTheme="minorEastAsia" w:eastAsiaTheme="minorEastAsia" w:cstheme="minorEastAsia"/>
                <w:color w:val="auto"/>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1" w:hRule="atLeast"/>
          <w:jc w:val="center"/>
        </w:trPr>
        <w:tc>
          <w:tcPr>
            <w:tcW w:w="789" w:type="dxa"/>
            <w:vAlign w:val="center"/>
          </w:tcPr>
          <w:p>
            <w:pPr>
              <w:widowControl/>
              <w:jc w:val="center"/>
              <w:rPr>
                <w:rFonts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9</w:t>
            </w:r>
          </w:p>
        </w:tc>
        <w:tc>
          <w:tcPr>
            <w:tcW w:w="2295" w:type="dxa"/>
            <w:vAlign w:val="center"/>
          </w:tcPr>
          <w:p>
            <w:pPr>
              <w:widowControl/>
              <w:jc w:val="center"/>
              <w:rPr>
                <w:rFonts w:asciiTheme="minorEastAsia" w:hAnsiTheme="minorEastAsia" w:eastAsiaTheme="minorEastAsia" w:cstheme="minorEastAsia"/>
                <w:color w:val="auto"/>
                <w:szCs w:val="21"/>
              </w:rPr>
            </w:pPr>
          </w:p>
        </w:tc>
        <w:tc>
          <w:tcPr>
            <w:tcW w:w="1512" w:type="dxa"/>
            <w:vAlign w:val="center"/>
          </w:tcPr>
          <w:p>
            <w:pPr>
              <w:widowControl/>
              <w:jc w:val="center"/>
              <w:rPr>
                <w:rFonts w:asciiTheme="minorEastAsia" w:hAnsiTheme="minorEastAsia" w:eastAsiaTheme="minorEastAsia" w:cstheme="minorEastAsia"/>
                <w:color w:val="auto"/>
                <w:szCs w:val="21"/>
              </w:rPr>
            </w:pPr>
          </w:p>
        </w:tc>
        <w:tc>
          <w:tcPr>
            <w:tcW w:w="1512" w:type="dxa"/>
          </w:tcPr>
          <w:p>
            <w:pPr>
              <w:jc w:val="center"/>
              <w:rPr>
                <w:rFonts w:asciiTheme="minorEastAsia" w:hAnsiTheme="minorEastAsia" w:eastAsiaTheme="minorEastAsia" w:cstheme="minorEastAsia"/>
                <w:color w:val="auto"/>
                <w:szCs w:val="21"/>
              </w:rPr>
            </w:pPr>
          </w:p>
        </w:tc>
        <w:tc>
          <w:tcPr>
            <w:tcW w:w="1513" w:type="dxa"/>
          </w:tcPr>
          <w:p>
            <w:pPr>
              <w:jc w:val="center"/>
              <w:rPr>
                <w:rFonts w:asciiTheme="minorEastAsia" w:hAnsiTheme="minorEastAsia" w:eastAsiaTheme="minorEastAsia" w:cstheme="minorEastAsia"/>
                <w:color w:val="auto"/>
                <w:szCs w:val="21"/>
              </w:rPr>
            </w:pPr>
          </w:p>
        </w:tc>
        <w:tc>
          <w:tcPr>
            <w:tcW w:w="709" w:type="dxa"/>
            <w:vAlign w:val="center"/>
          </w:tcPr>
          <w:p>
            <w:pPr>
              <w:jc w:val="center"/>
              <w:rPr>
                <w:rFonts w:asciiTheme="minorEastAsia" w:hAnsiTheme="minorEastAsia" w:eastAsiaTheme="minorEastAsia" w:cstheme="minorEastAsia"/>
                <w:color w:val="auto"/>
                <w:szCs w:val="21"/>
              </w:rPr>
            </w:pPr>
          </w:p>
        </w:tc>
        <w:tc>
          <w:tcPr>
            <w:tcW w:w="958" w:type="dxa"/>
            <w:vAlign w:val="center"/>
          </w:tcPr>
          <w:p>
            <w:pPr>
              <w:widowControl/>
              <w:jc w:val="center"/>
              <w:rPr>
                <w:rFonts w:asciiTheme="minorEastAsia" w:hAnsiTheme="minorEastAsia" w:eastAsiaTheme="minorEastAsia" w:cstheme="minorEastAsia"/>
                <w:color w:val="auto"/>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1" w:hRule="atLeast"/>
          <w:jc w:val="center"/>
        </w:trPr>
        <w:tc>
          <w:tcPr>
            <w:tcW w:w="789" w:type="dxa"/>
            <w:vAlign w:val="center"/>
          </w:tcPr>
          <w:p>
            <w:pPr>
              <w:widowControl/>
              <w:jc w:val="center"/>
              <w:rPr>
                <w:rFonts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10</w:t>
            </w:r>
          </w:p>
        </w:tc>
        <w:tc>
          <w:tcPr>
            <w:tcW w:w="2295" w:type="dxa"/>
            <w:vAlign w:val="center"/>
          </w:tcPr>
          <w:p>
            <w:pPr>
              <w:widowControl/>
              <w:jc w:val="center"/>
              <w:rPr>
                <w:rFonts w:asciiTheme="minorEastAsia" w:hAnsiTheme="minorEastAsia" w:eastAsiaTheme="minorEastAsia" w:cstheme="minorEastAsia"/>
                <w:color w:val="auto"/>
                <w:szCs w:val="21"/>
              </w:rPr>
            </w:pPr>
          </w:p>
        </w:tc>
        <w:tc>
          <w:tcPr>
            <w:tcW w:w="1512" w:type="dxa"/>
            <w:vAlign w:val="center"/>
          </w:tcPr>
          <w:p>
            <w:pPr>
              <w:widowControl/>
              <w:jc w:val="center"/>
              <w:rPr>
                <w:rFonts w:asciiTheme="minorEastAsia" w:hAnsiTheme="minorEastAsia" w:eastAsiaTheme="minorEastAsia" w:cstheme="minorEastAsia"/>
                <w:color w:val="auto"/>
                <w:szCs w:val="21"/>
              </w:rPr>
            </w:pPr>
          </w:p>
        </w:tc>
        <w:tc>
          <w:tcPr>
            <w:tcW w:w="1512" w:type="dxa"/>
          </w:tcPr>
          <w:p>
            <w:pPr>
              <w:jc w:val="center"/>
              <w:rPr>
                <w:rFonts w:asciiTheme="minorEastAsia" w:hAnsiTheme="minorEastAsia" w:eastAsiaTheme="minorEastAsia" w:cstheme="minorEastAsia"/>
                <w:color w:val="auto"/>
                <w:szCs w:val="21"/>
              </w:rPr>
            </w:pPr>
          </w:p>
        </w:tc>
        <w:tc>
          <w:tcPr>
            <w:tcW w:w="1513" w:type="dxa"/>
          </w:tcPr>
          <w:p>
            <w:pPr>
              <w:jc w:val="center"/>
              <w:rPr>
                <w:rFonts w:asciiTheme="minorEastAsia" w:hAnsiTheme="minorEastAsia" w:eastAsiaTheme="minorEastAsia" w:cstheme="minorEastAsia"/>
                <w:color w:val="auto"/>
                <w:szCs w:val="21"/>
              </w:rPr>
            </w:pPr>
          </w:p>
        </w:tc>
        <w:tc>
          <w:tcPr>
            <w:tcW w:w="709" w:type="dxa"/>
            <w:vAlign w:val="center"/>
          </w:tcPr>
          <w:p>
            <w:pPr>
              <w:jc w:val="center"/>
              <w:rPr>
                <w:rFonts w:asciiTheme="minorEastAsia" w:hAnsiTheme="minorEastAsia" w:eastAsiaTheme="minorEastAsia" w:cstheme="minorEastAsia"/>
                <w:color w:val="auto"/>
                <w:szCs w:val="21"/>
              </w:rPr>
            </w:pPr>
          </w:p>
        </w:tc>
        <w:tc>
          <w:tcPr>
            <w:tcW w:w="958" w:type="dxa"/>
            <w:vAlign w:val="center"/>
          </w:tcPr>
          <w:p>
            <w:pPr>
              <w:widowControl/>
              <w:jc w:val="center"/>
              <w:rPr>
                <w:rFonts w:asciiTheme="minorEastAsia" w:hAnsiTheme="minorEastAsia" w:eastAsiaTheme="minorEastAsia" w:cstheme="minorEastAsia"/>
                <w:color w:val="auto"/>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 w:hRule="atLeast"/>
          <w:jc w:val="center"/>
        </w:trPr>
        <w:tc>
          <w:tcPr>
            <w:tcW w:w="789" w:type="dxa"/>
            <w:vAlign w:val="center"/>
          </w:tcPr>
          <w:p>
            <w:pPr>
              <w:widowControl/>
              <w:jc w:val="center"/>
              <w:rPr>
                <w:rFonts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11</w:t>
            </w:r>
          </w:p>
        </w:tc>
        <w:tc>
          <w:tcPr>
            <w:tcW w:w="2295" w:type="dxa"/>
            <w:vAlign w:val="center"/>
          </w:tcPr>
          <w:p>
            <w:pPr>
              <w:widowControl/>
              <w:jc w:val="center"/>
              <w:rPr>
                <w:rFonts w:asciiTheme="minorEastAsia" w:hAnsiTheme="minorEastAsia" w:eastAsiaTheme="minorEastAsia" w:cstheme="minorEastAsia"/>
                <w:color w:val="auto"/>
                <w:szCs w:val="21"/>
              </w:rPr>
            </w:pPr>
          </w:p>
        </w:tc>
        <w:tc>
          <w:tcPr>
            <w:tcW w:w="1512" w:type="dxa"/>
            <w:vAlign w:val="center"/>
          </w:tcPr>
          <w:p>
            <w:pPr>
              <w:widowControl/>
              <w:jc w:val="center"/>
              <w:rPr>
                <w:rFonts w:asciiTheme="minorEastAsia" w:hAnsiTheme="minorEastAsia" w:eastAsiaTheme="minorEastAsia" w:cstheme="minorEastAsia"/>
                <w:color w:val="auto"/>
                <w:szCs w:val="21"/>
              </w:rPr>
            </w:pPr>
          </w:p>
        </w:tc>
        <w:tc>
          <w:tcPr>
            <w:tcW w:w="1512" w:type="dxa"/>
          </w:tcPr>
          <w:p>
            <w:pPr>
              <w:jc w:val="center"/>
              <w:rPr>
                <w:rFonts w:asciiTheme="minorEastAsia" w:hAnsiTheme="minorEastAsia" w:eastAsiaTheme="minorEastAsia" w:cstheme="minorEastAsia"/>
                <w:color w:val="auto"/>
                <w:szCs w:val="21"/>
              </w:rPr>
            </w:pPr>
          </w:p>
        </w:tc>
        <w:tc>
          <w:tcPr>
            <w:tcW w:w="1513" w:type="dxa"/>
          </w:tcPr>
          <w:p>
            <w:pPr>
              <w:jc w:val="center"/>
              <w:rPr>
                <w:rFonts w:asciiTheme="minorEastAsia" w:hAnsiTheme="minorEastAsia" w:eastAsiaTheme="minorEastAsia" w:cstheme="minorEastAsia"/>
                <w:color w:val="auto"/>
                <w:szCs w:val="21"/>
              </w:rPr>
            </w:pPr>
          </w:p>
        </w:tc>
        <w:tc>
          <w:tcPr>
            <w:tcW w:w="709" w:type="dxa"/>
            <w:vAlign w:val="center"/>
          </w:tcPr>
          <w:p>
            <w:pPr>
              <w:jc w:val="center"/>
              <w:rPr>
                <w:rFonts w:asciiTheme="minorEastAsia" w:hAnsiTheme="minorEastAsia" w:eastAsiaTheme="minorEastAsia" w:cstheme="minorEastAsia"/>
                <w:color w:val="auto"/>
                <w:szCs w:val="21"/>
              </w:rPr>
            </w:pPr>
          </w:p>
        </w:tc>
        <w:tc>
          <w:tcPr>
            <w:tcW w:w="958" w:type="dxa"/>
            <w:vAlign w:val="center"/>
          </w:tcPr>
          <w:p>
            <w:pPr>
              <w:widowControl/>
              <w:jc w:val="center"/>
              <w:rPr>
                <w:rFonts w:asciiTheme="minorEastAsia" w:hAnsiTheme="minorEastAsia" w:eastAsiaTheme="minorEastAsia" w:cstheme="minorEastAsia"/>
                <w:color w:val="auto"/>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1" w:hRule="atLeast"/>
          <w:jc w:val="center"/>
        </w:trPr>
        <w:tc>
          <w:tcPr>
            <w:tcW w:w="789" w:type="dxa"/>
            <w:vAlign w:val="center"/>
          </w:tcPr>
          <w:p>
            <w:pPr>
              <w:widowControl/>
              <w:jc w:val="center"/>
              <w:rPr>
                <w:rFonts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12</w:t>
            </w:r>
          </w:p>
        </w:tc>
        <w:tc>
          <w:tcPr>
            <w:tcW w:w="2295" w:type="dxa"/>
            <w:vAlign w:val="center"/>
          </w:tcPr>
          <w:p>
            <w:pPr>
              <w:widowControl/>
              <w:jc w:val="center"/>
              <w:rPr>
                <w:rFonts w:asciiTheme="minorEastAsia" w:hAnsiTheme="minorEastAsia" w:eastAsiaTheme="minorEastAsia" w:cstheme="minorEastAsia"/>
                <w:color w:val="auto"/>
                <w:szCs w:val="21"/>
              </w:rPr>
            </w:pPr>
          </w:p>
        </w:tc>
        <w:tc>
          <w:tcPr>
            <w:tcW w:w="1512" w:type="dxa"/>
            <w:vAlign w:val="center"/>
          </w:tcPr>
          <w:p>
            <w:pPr>
              <w:widowControl/>
              <w:jc w:val="center"/>
              <w:rPr>
                <w:rFonts w:asciiTheme="minorEastAsia" w:hAnsiTheme="minorEastAsia" w:eastAsiaTheme="minorEastAsia" w:cstheme="minorEastAsia"/>
                <w:color w:val="auto"/>
                <w:szCs w:val="21"/>
              </w:rPr>
            </w:pPr>
          </w:p>
        </w:tc>
        <w:tc>
          <w:tcPr>
            <w:tcW w:w="1512" w:type="dxa"/>
          </w:tcPr>
          <w:p>
            <w:pPr>
              <w:jc w:val="center"/>
              <w:rPr>
                <w:rFonts w:asciiTheme="minorEastAsia" w:hAnsiTheme="minorEastAsia" w:eastAsiaTheme="minorEastAsia" w:cstheme="minorEastAsia"/>
                <w:color w:val="auto"/>
                <w:szCs w:val="21"/>
              </w:rPr>
            </w:pPr>
          </w:p>
        </w:tc>
        <w:tc>
          <w:tcPr>
            <w:tcW w:w="1513" w:type="dxa"/>
          </w:tcPr>
          <w:p>
            <w:pPr>
              <w:jc w:val="center"/>
              <w:rPr>
                <w:rFonts w:asciiTheme="minorEastAsia" w:hAnsiTheme="minorEastAsia" w:eastAsiaTheme="minorEastAsia" w:cstheme="minorEastAsia"/>
                <w:color w:val="auto"/>
                <w:szCs w:val="21"/>
              </w:rPr>
            </w:pPr>
          </w:p>
        </w:tc>
        <w:tc>
          <w:tcPr>
            <w:tcW w:w="709" w:type="dxa"/>
            <w:vAlign w:val="center"/>
          </w:tcPr>
          <w:p>
            <w:pPr>
              <w:jc w:val="center"/>
              <w:rPr>
                <w:rFonts w:asciiTheme="minorEastAsia" w:hAnsiTheme="minorEastAsia" w:eastAsiaTheme="minorEastAsia" w:cstheme="minorEastAsia"/>
                <w:color w:val="auto"/>
                <w:szCs w:val="21"/>
              </w:rPr>
            </w:pPr>
          </w:p>
        </w:tc>
        <w:tc>
          <w:tcPr>
            <w:tcW w:w="958" w:type="dxa"/>
            <w:vAlign w:val="center"/>
          </w:tcPr>
          <w:p>
            <w:pPr>
              <w:widowControl/>
              <w:jc w:val="center"/>
              <w:rPr>
                <w:rFonts w:asciiTheme="minorEastAsia" w:hAnsiTheme="minorEastAsia" w:eastAsiaTheme="minorEastAsia" w:cstheme="minorEastAsia"/>
                <w:color w:val="auto"/>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1" w:hRule="atLeast"/>
          <w:jc w:val="center"/>
        </w:trPr>
        <w:tc>
          <w:tcPr>
            <w:tcW w:w="789" w:type="dxa"/>
            <w:vAlign w:val="center"/>
          </w:tcPr>
          <w:p>
            <w:pPr>
              <w:widowControl/>
              <w:jc w:val="center"/>
              <w:rPr>
                <w:rFonts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w:t>
            </w:r>
          </w:p>
        </w:tc>
        <w:tc>
          <w:tcPr>
            <w:tcW w:w="2295" w:type="dxa"/>
            <w:vAlign w:val="center"/>
          </w:tcPr>
          <w:p>
            <w:pPr>
              <w:widowControl/>
              <w:jc w:val="center"/>
              <w:rPr>
                <w:rFonts w:asciiTheme="minorEastAsia" w:hAnsiTheme="minorEastAsia" w:eastAsiaTheme="minorEastAsia" w:cstheme="minorEastAsia"/>
                <w:color w:val="auto"/>
                <w:szCs w:val="21"/>
              </w:rPr>
            </w:pPr>
          </w:p>
        </w:tc>
        <w:tc>
          <w:tcPr>
            <w:tcW w:w="1512" w:type="dxa"/>
            <w:vAlign w:val="center"/>
          </w:tcPr>
          <w:p>
            <w:pPr>
              <w:widowControl/>
              <w:jc w:val="center"/>
              <w:rPr>
                <w:rFonts w:asciiTheme="minorEastAsia" w:hAnsiTheme="minorEastAsia" w:eastAsiaTheme="minorEastAsia" w:cstheme="minorEastAsia"/>
                <w:color w:val="auto"/>
                <w:szCs w:val="21"/>
              </w:rPr>
            </w:pPr>
          </w:p>
        </w:tc>
        <w:tc>
          <w:tcPr>
            <w:tcW w:w="1512" w:type="dxa"/>
          </w:tcPr>
          <w:p>
            <w:pPr>
              <w:jc w:val="center"/>
              <w:rPr>
                <w:rFonts w:asciiTheme="minorEastAsia" w:hAnsiTheme="minorEastAsia" w:eastAsiaTheme="minorEastAsia" w:cstheme="minorEastAsia"/>
                <w:color w:val="auto"/>
                <w:szCs w:val="21"/>
              </w:rPr>
            </w:pPr>
          </w:p>
        </w:tc>
        <w:tc>
          <w:tcPr>
            <w:tcW w:w="1513" w:type="dxa"/>
          </w:tcPr>
          <w:p>
            <w:pPr>
              <w:jc w:val="center"/>
              <w:rPr>
                <w:rFonts w:asciiTheme="minorEastAsia" w:hAnsiTheme="minorEastAsia" w:eastAsiaTheme="minorEastAsia" w:cstheme="minorEastAsia"/>
                <w:color w:val="auto"/>
                <w:szCs w:val="21"/>
              </w:rPr>
            </w:pPr>
          </w:p>
        </w:tc>
        <w:tc>
          <w:tcPr>
            <w:tcW w:w="709" w:type="dxa"/>
            <w:vAlign w:val="center"/>
          </w:tcPr>
          <w:p>
            <w:pPr>
              <w:jc w:val="center"/>
              <w:rPr>
                <w:rFonts w:asciiTheme="minorEastAsia" w:hAnsiTheme="minorEastAsia" w:eastAsiaTheme="minorEastAsia" w:cstheme="minorEastAsia"/>
                <w:color w:val="auto"/>
                <w:szCs w:val="21"/>
              </w:rPr>
            </w:pPr>
          </w:p>
        </w:tc>
        <w:tc>
          <w:tcPr>
            <w:tcW w:w="958" w:type="dxa"/>
            <w:vAlign w:val="center"/>
          </w:tcPr>
          <w:p>
            <w:pPr>
              <w:widowControl/>
              <w:jc w:val="center"/>
              <w:rPr>
                <w:rFonts w:asciiTheme="minorEastAsia" w:hAnsiTheme="minorEastAsia" w:eastAsiaTheme="minorEastAsia" w:cstheme="minorEastAsia"/>
                <w:color w:val="auto"/>
                <w:szCs w:val="21"/>
              </w:rPr>
            </w:pPr>
          </w:p>
        </w:tc>
      </w:tr>
    </w:tbl>
    <w:p>
      <w:pPr>
        <w:spacing w:line="360" w:lineRule="auto"/>
        <w:rPr>
          <w:rFonts w:asciiTheme="minorEastAsia" w:hAnsiTheme="minorEastAsia" w:eastAsiaTheme="minorEastAsia" w:cstheme="minorEastAsia"/>
          <w:color w:val="auto"/>
          <w:szCs w:val="21"/>
        </w:rPr>
      </w:pPr>
    </w:p>
    <w:p>
      <w:pPr>
        <w:rPr>
          <w:color w:val="auto"/>
        </w:rPr>
      </w:pPr>
    </w:p>
    <w:p>
      <w:pPr>
        <w:spacing w:line="360" w:lineRule="auto"/>
        <w:rPr>
          <w:rFonts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磋商供应商授权代表（签字）：</w:t>
      </w:r>
      <w:r>
        <w:rPr>
          <w:rFonts w:hint="eastAsia" w:asciiTheme="minorEastAsia" w:hAnsiTheme="minorEastAsia" w:eastAsiaTheme="minorEastAsia" w:cstheme="minorEastAsia"/>
          <w:color w:val="auto"/>
          <w:szCs w:val="21"/>
          <w:u w:val="single"/>
        </w:rPr>
        <w:t xml:space="preserve">                        </w:t>
      </w:r>
    </w:p>
    <w:p>
      <w:pPr>
        <w:spacing w:line="360" w:lineRule="auto"/>
        <w:rPr>
          <w:rFonts w:asciiTheme="minorEastAsia" w:hAnsiTheme="minorEastAsia" w:eastAsiaTheme="minorEastAsia" w:cstheme="minorEastAsia"/>
          <w:color w:val="auto"/>
          <w:szCs w:val="21"/>
          <w:u w:val="single"/>
        </w:rPr>
      </w:pPr>
      <w:r>
        <w:rPr>
          <w:rFonts w:hint="eastAsia" w:asciiTheme="minorEastAsia" w:hAnsiTheme="minorEastAsia" w:eastAsiaTheme="minorEastAsia" w:cstheme="minorEastAsia"/>
          <w:color w:val="auto"/>
          <w:szCs w:val="21"/>
        </w:rPr>
        <w:t>磋商供应商名称（盖章）：</w:t>
      </w:r>
      <w:r>
        <w:rPr>
          <w:rFonts w:hint="eastAsia" w:asciiTheme="minorEastAsia" w:hAnsiTheme="minorEastAsia" w:eastAsiaTheme="minorEastAsia" w:cstheme="minorEastAsia"/>
          <w:color w:val="auto"/>
          <w:szCs w:val="21"/>
          <w:u w:val="single"/>
        </w:rPr>
        <w:t xml:space="preserve">                                     </w:t>
      </w:r>
    </w:p>
    <w:p>
      <w:pPr>
        <w:spacing w:line="360" w:lineRule="auto"/>
        <w:rPr>
          <w:rFonts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时                 间：</w:t>
      </w:r>
      <w:r>
        <w:rPr>
          <w:rFonts w:hint="eastAsia" w:asciiTheme="minorEastAsia" w:hAnsiTheme="minorEastAsia" w:eastAsiaTheme="minorEastAsia" w:cstheme="minorEastAsia"/>
          <w:color w:val="auto"/>
          <w:szCs w:val="21"/>
          <w:u w:val="single"/>
        </w:rPr>
        <w:t xml:space="preserve">           </w:t>
      </w:r>
      <w:r>
        <w:rPr>
          <w:rFonts w:hint="eastAsia" w:asciiTheme="minorEastAsia" w:hAnsiTheme="minorEastAsia" w:eastAsiaTheme="minorEastAsia" w:cstheme="minorEastAsia"/>
          <w:color w:val="auto"/>
          <w:szCs w:val="21"/>
        </w:rPr>
        <w:t>年</w:t>
      </w:r>
      <w:r>
        <w:rPr>
          <w:rFonts w:hint="eastAsia" w:asciiTheme="minorEastAsia" w:hAnsiTheme="minorEastAsia" w:eastAsiaTheme="minorEastAsia" w:cstheme="minorEastAsia"/>
          <w:color w:val="auto"/>
          <w:szCs w:val="21"/>
          <w:u w:val="single"/>
        </w:rPr>
        <w:t xml:space="preserve">          </w:t>
      </w:r>
      <w:r>
        <w:rPr>
          <w:rFonts w:hint="eastAsia" w:asciiTheme="minorEastAsia" w:hAnsiTheme="minorEastAsia" w:eastAsiaTheme="minorEastAsia" w:cstheme="minorEastAsia"/>
          <w:color w:val="auto"/>
          <w:szCs w:val="21"/>
        </w:rPr>
        <w:t>月</w:t>
      </w:r>
      <w:r>
        <w:rPr>
          <w:rFonts w:hint="eastAsia" w:asciiTheme="minorEastAsia" w:hAnsiTheme="minorEastAsia" w:eastAsiaTheme="minorEastAsia" w:cstheme="minorEastAsia"/>
          <w:color w:val="auto"/>
          <w:szCs w:val="21"/>
          <w:u w:val="single"/>
        </w:rPr>
        <w:t xml:space="preserve">          </w:t>
      </w:r>
      <w:r>
        <w:rPr>
          <w:rFonts w:hint="eastAsia" w:asciiTheme="minorEastAsia" w:hAnsiTheme="minorEastAsia" w:eastAsiaTheme="minorEastAsia" w:cstheme="minorEastAsia"/>
          <w:color w:val="auto"/>
          <w:szCs w:val="21"/>
        </w:rPr>
        <w:t>日</w:t>
      </w:r>
    </w:p>
    <w:p>
      <w:pPr>
        <w:tabs>
          <w:tab w:val="left" w:pos="540"/>
        </w:tabs>
        <w:autoSpaceDE w:val="0"/>
        <w:autoSpaceDN w:val="0"/>
        <w:adjustRightInd w:val="0"/>
        <w:spacing w:line="360" w:lineRule="auto"/>
        <w:jc w:val="center"/>
        <w:outlineLvl w:val="1"/>
        <w:rPr>
          <w:rFonts w:asciiTheme="minorEastAsia" w:hAnsiTheme="minorEastAsia" w:eastAsiaTheme="minorEastAsia" w:cstheme="minorEastAsia"/>
          <w:b/>
          <w:bCs/>
          <w:color w:val="auto"/>
          <w:szCs w:val="21"/>
        </w:rPr>
      </w:pPr>
      <w:r>
        <w:rPr>
          <w:rFonts w:hint="eastAsia" w:asciiTheme="minorEastAsia" w:hAnsiTheme="minorEastAsia" w:eastAsiaTheme="minorEastAsia" w:cstheme="minorEastAsia"/>
          <w:color w:val="auto"/>
          <w:szCs w:val="21"/>
        </w:rPr>
        <w:br w:type="page"/>
      </w:r>
      <w:bookmarkStart w:id="172" w:name="_Toc450827818"/>
      <w:bookmarkStart w:id="173" w:name="_Toc479184132"/>
      <w:bookmarkStart w:id="174" w:name="_Toc27053"/>
      <w:bookmarkStart w:id="175" w:name="_Toc10449"/>
      <w:bookmarkStart w:id="176" w:name="_Toc28637"/>
      <w:r>
        <w:rPr>
          <w:rFonts w:hint="eastAsia" w:asciiTheme="minorEastAsia" w:hAnsiTheme="minorEastAsia" w:eastAsiaTheme="minorEastAsia" w:cstheme="minorEastAsia"/>
          <w:b/>
          <w:bCs/>
          <w:color w:val="auto"/>
          <w:szCs w:val="21"/>
        </w:rPr>
        <w:t>九、缴纳保证金的银行凭证</w:t>
      </w:r>
      <w:bookmarkEnd w:id="172"/>
      <w:bookmarkEnd w:id="173"/>
      <w:bookmarkEnd w:id="174"/>
      <w:bookmarkEnd w:id="175"/>
      <w:r>
        <w:rPr>
          <w:rFonts w:hint="eastAsia" w:asciiTheme="minorEastAsia" w:hAnsiTheme="minorEastAsia" w:eastAsiaTheme="minorEastAsia" w:cstheme="minorEastAsia"/>
          <w:b/>
          <w:bCs/>
          <w:color w:val="auto"/>
          <w:szCs w:val="21"/>
        </w:rPr>
        <w:t>（如有）</w:t>
      </w:r>
      <w:bookmarkEnd w:id="176"/>
    </w:p>
    <w:p>
      <w:pPr>
        <w:spacing w:line="360" w:lineRule="auto"/>
        <w:jc w:val="center"/>
        <w:rPr>
          <w:rFonts w:asciiTheme="minorEastAsia" w:hAnsiTheme="minorEastAsia" w:eastAsiaTheme="minorEastAsia" w:cstheme="minorEastAsia"/>
          <w:bCs/>
          <w:color w:val="auto"/>
          <w:szCs w:val="21"/>
        </w:rPr>
      </w:pPr>
      <w:r>
        <w:rPr>
          <w:rFonts w:hint="eastAsia" w:asciiTheme="minorEastAsia" w:hAnsiTheme="minorEastAsia" w:eastAsiaTheme="minorEastAsia" w:cstheme="minorEastAsia"/>
          <w:bCs/>
          <w:color w:val="auto"/>
          <w:szCs w:val="21"/>
        </w:rPr>
        <w:tab/>
      </w:r>
      <w:r>
        <w:rPr>
          <w:rFonts w:hint="eastAsia" w:asciiTheme="minorEastAsia" w:hAnsiTheme="minorEastAsia" w:eastAsiaTheme="minorEastAsia" w:cstheme="minorEastAsia"/>
          <w:bCs/>
          <w:color w:val="auto"/>
          <w:szCs w:val="21"/>
        </w:rPr>
        <w:tab/>
      </w:r>
      <w:r>
        <w:rPr>
          <w:rFonts w:hint="eastAsia" w:asciiTheme="minorEastAsia" w:hAnsiTheme="minorEastAsia" w:eastAsiaTheme="minorEastAsia" w:cstheme="minorEastAsia"/>
          <w:bCs/>
          <w:color w:val="auto"/>
          <w:szCs w:val="21"/>
        </w:rPr>
        <w:tab/>
      </w:r>
      <w:r>
        <w:rPr>
          <w:rFonts w:hint="eastAsia" w:asciiTheme="minorEastAsia" w:hAnsiTheme="minorEastAsia" w:eastAsiaTheme="minorEastAsia" w:cstheme="minorEastAsia"/>
          <w:bCs/>
          <w:color w:val="auto"/>
          <w:szCs w:val="21"/>
        </w:rPr>
        <w:tab/>
      </w:r>
      <w:r>
        <w:rPr>
          <w:rFonts w:hint="eastAsia" w:asciiTheme="minorEastAsia" w:hAnsiTheme="minorEastAsia" w:eastAsiaTheme="minorEastAsia" w:cstheme="minorEastAsia"/>
          <w:bCs/>
          <w:color w:val="auto"/>
          <w:szCs w:val="21"/>
        </w:rPr>
        <w:tab/>
      </w:r>
      <w:r>
        <w:rPr>
          <w:rFonts w:hint="eastAsia" w:asciiTheme="minorEastAsia" w:hAnsiTheme="minorEastAsia" w:eastAsiaTheme="minorEastAsia" w:cstheme="minorEastAsia"/>
          <w:bCs/>
          <w:color w:val="auto"/>
          <w:szCs w:val="21"/>
        </w:rPr>
        <w:tab/>
      </w:r>
      <w:r>
        <w:rPr>
          <w:rFonts w:hint="eastAsia" w:asciiTheme="minorEastAsia" w:hAnsiTheme="minorEastAsia" w:eastAsiaTheme="minorEastAsia" w:cstheme="minorEastAsia"/>
          <w:bCs/>
          <w:color w:val="auto"/>
          <w:szCs w:val="21"/>
        </w:rPr>
        <w:tab/>
      </w:r>
      <w:r>
        <w:rPr>
          <w:rFonts w:hint="eastAsia" w:asciiTheme="minorEastAsia" w:hAnsiTheme="minorEastAsia" w:eastAsiaTheme="minorEastAsia" w:cstheme="minorEastAsia"/>
          <w:bCs/>
          <w:color w:val="auto"/>
          <w:szCs w:val="21"/>
        </w:rPr>
        <w:tab/>
      </w:r>
      <w:r>
        <w:rPr>
          <w:rFonts w:hint="eastAsia" w:asciiTheme="minorEastAsia" w:hAnsiTheme="minorEastAsia" w:eastAsiaTheme="minorEastAsia" w:cstheme="minorEastAsia"/>
          <w:bCs/>
          <w:color w:val="auto"/>
          <w:szCs w:val="21"/>
        </w:rPr>
        <w:tab/>
      </w:r>
      <w:r>
        <w:rPr>
          <w:rFonts w:hint="eastAsia" w:asciiTheme="minorEastAsia" w:hAnsiTheme="minorEastAsia" w:eastAsiaTheme="minorEastAsia" w:cstheme="minorEastAsia"/>
          <w:bCs/>
          <w:color w:val="auto"/>
          <w:szCs w:val="21"/>
        </w:rPr>
        <w:t xml:space="preserve">         </w:t>
      </w:r>
    </w:p>
    <w:p>
      <w:pPr>
        <w:spacing w:line="360" w:lineRule="auto"/>
        <w:rPr>
          <w:rFonts w:asciiTheme="minorEastAsia" w:hAnsiTheme="minorEastAsia" w:eastAsiaTheme="minorEastAsia" w:cstheme="minorEastAsia"/>
          <w:bCs/>
          <w:color w:val="auto"/>
          <w:szCs w:val="21"/>
        </w:rPr>
      </w:pPr>
      <w:r>
        <w:rPr>
          <w:rFonts w:hint="eastAsia" w:asciiTheme="minorEastAsia" w:hAnsiTheme="minorEastAsia" w:eastAsiaTheme="minorEastAsia" w:cstheme="minorEastAsia"/>
          <w:bCs/>
          <w:color w:val="auto"/>
          <w:szCs w:val="21"/>
        </w:rPr>
        <w:t>中经国际招标集团有限公司：</w:t>
      </w:r>
    </w:p>
    <w:p>
      <w:pPr>
        <w:spacing w:line="360" w:lineRule="auto"/>
        <w:rPr>
          <w:rFonts w:asciiTheme="minorEastAsia" w:hAnsiTheme="minorEastAsia" w:eastAsiaTheme="minorEastAsia" w:cstheme="minorEastAsia"/>
          <w:color w:val="auto"/>
          <w:szCs w:val="21"/>
        </w:rPr>
      </w:pPr>
      <w:r>
        <w:rPr>
          <w:rFonts w:hint="eastAsia" w:asciiTheme="minorEastAsia" w:hAnsiTheme="minorEastAsia" w:eastAsiaTheme="minorEastAsia" w:cstheme="minorEastAsia"/>
          <w:bCs/>
          <w:color w:val="auto"/>
          <w:szCs w:val="21"/>
        </w:rPr>
        <w:t xml:space="preserve">      </w:t>
      </w:r>
      <w:r>
        <w:rPr>
          <w:rFonts w:hint="eastAsia" w:asciiTheme="minorEastAsia" w:hAnsiTheme="minorEastAsia" w:eastAsiaTheme="minorEastAsia" w:cstheme="minorEastAsia"/>
          <w:bCs/>
          <w:color w:val="auto"/>
          <w:szCs w:val="21"/>
          <w:u w:val="single"/>
        </w:rPr>
        <w:t xml:space="preserve">                       (供应商全称)</w:t>
      </w:r>
      <w:r>
        <w:rPr>
          <w:rFonts w:hint="eastAsia" w:asciiTheme="minorEastAsia" w:hAnsiTheme="minorEastAsia" w:eastAsiaTheme="minorEastAsia" w:cstheme="minorEastAsia"/>
          <w:bCs/>
          <w:color w:val="auto"/>
          <w:szCs w:val="21"/>
        </w:rPr>
        <w:t xml:space="preserve"> 参加贵方组织的，采购编号为</w:t>
      </w:r>
      <w:r>
        <w:rPr>
          <w:rFonts w:hint="eastAsia" w:asciiTheme="minorEastAsia" w:hAnsiTheme="minorEastAsia" w:eastAsiaTheme="minorEastAsia" w:cstheme="minorEastAsia"/>
          <w:bCs/>
          <w:color w:val="auto"/>
          <w:szCs w:val="21"/>
          <w:u w:val="single"/>
        </w:rPr>
        <w:t xml:space="preserve">           </w:t>
      </w:r>
      <w:r>
        <w:rPr>
          <w:rFonts w:hint="eastAsia" w:asciiTheme="minorEastAsia" w:hAnsiTheme="minorEastAsia" w:eastAsiaTheme="minorEastAsia" w:cstheme="minorEastAsia"/>
          <w:bCs/>
          <w:color w:val="auto"/>
          <w:szCs w:val="21"/>
        </w:rPr>
        <w:t>的采购活动。</w:t>
      </w:r>
      <w:r>
        <w:rPr>
          <w:rFonts w:hint="eastAsia" w:asciiTheme="minorEastAsia" w:hAnsiTheme="minorEastAsia" w:eastAsiaTheme="minorEastAsia" w:cstheme="minorEastAsia"/>
          <w:color w:val="auto"/>
          <w:szCs w:val="21"/>
        </w:rPr>
        <w:t>按竞争性磋商文件的规定，已递交人民币</w:t>
      </w:r>
      <w:r>
        <w:rPr>
          <w:rFonts w:hint="eastAsia" w:asciiTheme="minorEastAsia" w:hAnsiTheme="minorEastAsia" w:eastAsiaTheme="minorEastAsia" w:cstheme="minorEastAsia"/>
          <w:color w:val="auto"/>
          <w:szCs w:val="21"/>
          <w:u w:val="single"/>
        </w:rPr>
        <w:t xml:space="preserve">（大写）  　　 </w:t>
      </w:r>
      <w:r>
        <w:rPr>
          <w:rFonts w:hint="eastAsia" w:asciiTheme="minorEastAsia" w:hAnsiTheme="minorEastAsia" w:eastAsiaTheme="minorEastAsia" w:cstheme="minorEastAsia"/>
          <w:color w:val="auto"/>
          <w:szCs w:val="21"/>
        </w:rPr>
        <w:t xml:space="preserve"> 元的保证金。</w:t>
      </w:r>
    </w:p>
    <w:p>
      <w:pPr>
        <w:spacing w:line="360" w:lineRule="auto"/>
        <w:rPr>
          <w:rFonts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供 应 商 名 称 ：</w:t>
      </w:r>
      <w:r>
        <w:rPr>
          <w:rFonts w:hint="eastAsia" w:asciiTheme="minorEastAsia" w:hAnsiTheme="minorEastAsia" w:eastAsiaTheme="minorEastAsia" w:cstheme="minorEastAsia"/>
          <w:color w:val="auto"/>
          <w:szCs w:val="21"/>
          <w:u w:val="single"/>
        </w:rPr>
        <w:t xml:space="preserve">                              </w:t>
      </w:r>
      <w:r>
        <w:rPr>
          <w:rFonts w:hint="eastAsia" w:asciiTheme="minorEastAsia" w:hAnsiTheme="minorEastAsia" w:eastAsiaTheme="minorEastAsia" w:cstheme="minorEastAsia"/>
          <w:color w:val="auto"/>
          <w:szCs w:val="21"/>
        </w:rPr>
        <w:t xml:space="preserve">  </w:t>
      </w:r>
    </w:p>
    <w:p>
      <w:pPr>
        <w:spacing w:line="360" w:lineRule="auto"/>
        <w:rPr>
          <w:rFonts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供应商开户银行：</w:t>
      </w:r>
      <w:r>
        <w:rPr>
          <w:rFonts w:hint="eastAsia" w:asciiTheme="minorEastAsia" w:hAnsiTheme="minorEastAsia" w:eastAsiaTheme="minorEastAsia" w:cstheme="minorEastAsia"/>
          <w:color w:val="auto"/>
          <w:szCs w:val="21"/>
          <w:u w:val="single"/>
        </w:rPr>
        <w:t xml:space="preserve">                              </w:t>
      </w:r>
      <w:r>
        <w:rPr>
          <w:rFonts w:hint="eastAsia" w:asciiTheme="minorEastAsia" w:hAnsiTheme="minorEastAsia" w:eastAsiaTheme="minorEastAsia" w:cstheme="minorEastAsia"/>
          <w:color w:val="auto"/>
          <w:szCs w:val="21"/>
        </w:rPr>
        <w:t xml:space="preserve">     </w:t>
      </w:r>
    </w:p>
    <w:p>
      <w:pPr>
        <w:spacing w:line="360" w:lineRule="auto"/>
        <w:rPr>
          <w:rFonts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供应商银行账号：</w:t>
      </w:r>
      <w:r>
        <w:rPr>
          <w:rFonts w:hint="eastAsia" w:asciiTheme="minorEastAsia" w:hAnsiTheme="minorEastAsia" w:eastAsiaTheme="minorEastAsia" w:cstheme="minorEastAsia"/>
          <w:color w:val="auto"/>
          <w:szCs w:val="21"/>
          <w:u w:val="single"/>
        </w:rPr>
        <w:t xml:space="preserve">                              </w:t>
      </w:r>
      <w:r>
        <w:rPr>
          <w:rFonts w:hint="eastAsia" w:asciiTheme="minorEastAsia" w:hAnsiTheme="minorEastAsia" w:eastAsiaTheme="minorEastAsia" w:cstheme="minorEastAsia"/>
          <w:color w:val="auto"/>
          <w:szCs w:val="21"/>
        </w:rPr>
        <w:t xml:space="preserve">   </w:t>
      </w:r>
    </w:p>
    <w:p>
      <w:pPr>
        <w:spacing w:line="360" w:lineRule="auto"/>
        <w:rPr>
          <w:rFonts w:asciiTheme="minorEastAsia" w:hAnsiTheme="minorEastAsia" w:eastAsiaTheme="minorEastAsia" w:cstheme="minorEastAsia"/>
          <w:color w:val="auto"/>
          <w:szCs w:val="21"/>
        </w:rPr>
      </w:pPr>
    </w:p>
    <w:p>
      <w:pPr>
        <w:spacing w:line="360" w:lineRule="auto"/>
        <w:rPr>
          <w:rFonts w:asciiTheme="minorEastAsia" w:hAnsiTheme="minorEastAsia" w:eastAsiaTheme="minorEastAsia" w:cstheme="minorEastAsia"/>
          <w:color w:val="auto"/>
          <w:szCs w:val="21"/>
        </w:rPr>
      </w:pPr>
    </w:p>
    <w:p>
      <w:pPr>
        <w:spacing w:line="360" w:lineRule="auto"/>
        <w:rPr>
          <w:rFonts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磋商供应商法定代表人（签字）：</w:t>
      </w:r>
    </w:p>
    <w:p>
      <w:pPr>
        <w:spacing w:line="360" w:lineRule="auto"/>
        <w:rPr>
          <w:rFonts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磋商供应商授权代表（签字）：</w:t>
      </w:r>
      <w:r>
        <w:rPr>
          <w:rFonts w:hint="eastAsia" w:asciiTheme="minorEastAsia" w:hAnsiTheme="minorEastAsia" w:eastAsiaTheme="minorEastAsia" w:cstheme="minorEastAsia"/>
          <w:color w:val="auto"/>
          <w:szCs w:val="21"/>
          <w:u w:val="single"/>
        </w:rPr>
        <w:t xml:space="preserve">                       </w:t>
      </w:r>
    </w:p>
    <w:p>
      <w:pPr>
        <w:spacing w:line="360" w:lineRule="auto"/>
        <w:rPr>
          <w:rFonts w:asciiTheme="minorEastAsia" w:hAnsiTheme="minorEastAsia" w:eastAsiaTheme="minorEastAsia" w:cstheme="minorEastAsia"/>
          <w:color w:val="auto"/>
          <w:szCs w:val="21"/>
          <w:u w:val="single"/>
        </w:rPr>
      </w:pPr>
      <w:r>
        <w:rPr>
          <w:rFonts w:hint="eastAsia" w:asciiTheme="minorEastAsia" w:hAnsiTheme="minorEastAsia" w:eastAsiaTheme="minorEastAsia" w:cstheme="minorEastAsia"/>
          <w:color w:val="auto"/>
          <w:szCs w:val="21"/>
        </w:rPr>
        <w:t>磋商供应商名称（盖章）：</w:t>
      </w:r>
      <w:r>
        <w:rPr>
          <w:rFonts w:hint="eastAsia" w:asciiTheme="minorEastAsia" w:hAnsiTheme="minorEastAsia" w:eastAsiaTheme="minorEastAsia" w:cstheme="minorEastAsia"/>
          <w:color w:val="auto"/>
          <w:szCs w:val="21"/>
          <w:u w:val="single"/>
        </w:rPr>
        <w:t xml:space="preserve">                                     </w:t>
      </w:r>
    </w:p>
    <w:p>
      <w:pPr>
        <w:spacing w:line="360" w:lineRule="auto"/>
        <w:rPr>
          <w:rFonts w:asciiTheme="minorEastAsia" w:hAnsiTheme="minorEastAsia" w:eastAsiaTheme="minorEastAsia" w:cstheme="minorEastAsia"/>
          <w:bCs/>
          <w:color w:val="auto"/>
          <w:szCs w:val="21"/>
        </w:rPr>
      </w:pPr>
      <w:r>
        <w:rPr>
          <w:rFonts w:hint="eastAsia" w:asciiTheme="minorEastAsia" w:hAnsiTheme="minorEastAsia" w:eastAsiaTheme="minorEastAsia" w:cstheme="minorEastAsia"/>
          <w:color w:val="auto"/>
          <w:szCs w:val="21"/>
        </w:rPr>
        <w:t>时                 间：</w:t>
      </w:r>
      <w:r>
        <w:rPr>
          <w:rFonts w:hint="eastAsia" w:asciiTheme="minorEastAsia" w:hAnsiTheme="minorEastAsia" w:eastAsiaTheme="minorEastAsia" w:cstheme="minorEastAsia"/>
          <w:color w:val="auto"/>
          <w:szCs w:val="21"/>
          <w:u w:val="single"/>
        </w:rPr>
        <w:t xml:space="preserve">           </w:t>
      </w:r>
      <w:r>
        <w:rPr>
          <w:rFonts w:hint="eastAsia" w:asciiTheme="minorEastAsia" w:hAnsiTheme="minorEastAsia" w:eastAsiaTheme="minorEastAsia" w:cstheme="minorEastAsia"/>
          <w:color w:val="auto"/>
          <w:szCs w:val="21"/>
        </w:rPr>
        <w:t>年</w:t>
      </w:r>
      <w:r>
        <w:rPr>
          <w:rFonts w:hint="eastAsia" w:asciiTheme="minorEastAsia" w:hAnsiTheme="minorEastAsia" w:eastAsiaTheme="minorEastAsia" w:cstheme="minorEastAsia"/>
          <w:color w:val="auto"/>
          <w:szCs w:val="21"/>
          <w:u w:val="single"/>
        </w:rPr>
        <w:t xml:space="preserve">          </w:t>
      </w:r>
      <w:r>
        <w:rPr>
          <w:rFonts w:hint="eastAsia" w:asciiTheme="minorEastAsia" w:hAnsiTheme="minorEastAsia" w:eastAsiaTheme="minorEastAsia" w:cstheme="minorEastAsia"/>
          <w:color w:val="auto"/>
          <w:szCs w:val="21"/>
        </w:rPr>
        <w:t>月</w:t>
      </w:r>
      <w:r>
        <w:rPr>
          <w:rFonts w:hint="eastAsia" w:asciiTheme="minorEastAsia" w:hAnsiTheme="minorEastAsia" w:eastAsiaTheme="minorEastAsia" w:cstheme="minorEastAsia"/>
          <w:color w:val="auto"/>
          <w:szCs w:val="21"/>
          <w:u w:val="single"/>
        </w:rPr>
        <w:t xml:space="preserve">          </w:t>
      </w:r>
      <w:r>
        <w:rPr>
          <w:rFonts w:hint="eastAsia" w:asciiTheme="minorEastAsia" w:hAnsiTheme="minorEastAsia" w:eastAsiaTheme="minorEastAsia" w:cstheme="minorEastAsia"/>
          <w:color w:val="auto"/>
          <w:szCs w:val="21"/>
        </w:rPr>
        <w:t>日</w:t>
      </w:r>
    </w:p>
    <w:p>
      <w:pPr>
        <w:spacing w:line="360" w:lineRule="auto"/>
        <w:rPr>
          <w:rFonts w:asciiTheme="minorEastAsia" w:hAnsiTheme="minorEastAsia" w:eastAsiaTheme="minorEastAsia" w:cstheme="minorEastAsia"/>
          <w:bCs/>
          <w:color w:val="auto"/>
          <w:szCs w:val="21"/>
        </w:rPr>
      </w:pPr>
    </w:p>
    <w:p>
      <w:pPr>
        <w:spacing w:line="360" w:lineRule="auto"/>
        <w:rPr>
          <w:rFonts w:asciiTheme="minorEastAsia" w:hAnsiTheme="minorEastAsia" w:eastAsiaTheme="minorEastAsia" w:cstheme="minorEastAsia"/>
          <w:bCs/>
          <w:color w:val="auto"/>
          <w:szCs w:val="21"/>
        </w:rPr>
      </w:pPr>
    </w:p>
    <w:tbl>
      <w:tblPr>
        <w:tblStyle w:val="26"/>
        <w:tblW w:w="8820"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82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4487" w:hRule="atLeast"/>
        </w:trPr>
        <w:tc>
          <w:tcPr>
            <w:tcW w:w="8820" w:type="dxa"/>
          </w:tcPr>
          <w:p>
            <w:pPr>
              <w:spacing w:line="360" w:lineRule="auto"/>
              <w:rPr>
                <w:rFonts w:asciiTheme="minorEastAsia" w:hAnsiTheme="minorEastAsia" w:eastAsiaTheme="minorEastAsia" w:cstheme="minorEastAsia"/>
                <w:bCs/>
                <w:color w:val="auto"/>
                <w:szCs w:val="21"/>
              </w:rPr>
            </w:pPr>
            <w:r>
              <w:rPr>
                <w:rFonts w:hint="eastAsia" w:asciiTheme="minorEastAsia" w:hAnsiTheme="minorEastAsia" w:eastAsiaTheme="minorEastAsia" w:cstheme="minorEastAsia"/>
                <w:bCs/>
                <w:color w:val="auto"/>
                <w:szCs w:val="21"/>
              </w:rPr>
              <w:t>粘贴转账或电汇银行凭证（复印件）</w:t>
            </w:r>
          </w:p>
          <w:p>
            <w:pPr>
              <w:spacing w:line="360" w:lineRule="auto"/>
              <w:rPr>
                <w:rFonts w:asciiTheme="minorEastAsia" w:hAnsiTheme="minorEastAsia" w:eastAsiaTheme="minorEastAsia" w:cstheme="minorEastAsia"/>
                <w:bCs/>
                <w:color w:val="auto"/>
                <w:szCs w:val="21"/>
              </w:rPr>
            </w:pPr>
          </w:p>
          <w:p>
            <w:pPr>
              <w:spacing w:line="360" w:lineRule="auto"/>
              <w:rPr>
                <w:rFonts w:asciiTheme="minorEastAsia" w:hAnsiTheme="minorEastAsia" w:eastAsiaTheme="minorEastAsia" w:cstheme="minorEastAsia"/>
                <w:bCs/>
                <w:color w:val="auto"/>
                <w:szCs w:val="21"/>
              </w:rPr>
            </w:pPr>
          </w:p>
          <w:p>
            <w:pPr>
              <w:spacing w:line="360" w:lineRule="auto"/>
              <w:rPr>
                <w:rFonts w:asciiTheme="minorEastAsia" w:hAnsiTheme="minorEastAsia" w:eastAsiaTheme="minorEastAsia" w:cstheme="minorEastAsia"/>
                <w:bCs/>
                <w:color w:val="auto"/>
                <w:szCs w:val="21"/>
              </w:rPr>
            </w:pPr>
          </w:p>
          <w:p>
            <w:pPr>
              <w:spacing w:line="360" w:lineRule="auto"/>
              <w:rPr>
                <w:rFonts w:asciiTheme="minorEastAsia" w:hAnsiTheme="minorEastAsia" w:eastAsiaTheme="minorEastAsia" w:cstheme="minorEastAsia"/>
                <w:bCs/>
                <w:color w:val="auto"/>
                <w:szCs w:val="21"/>
              </w:rPr>
            </w:pPr>
          </w:p>
          <w:p>
            <w:pPr>
              <w:spacing w:line="360" w:lineRule="auto"/>
              <w:rPr>
                <w:rFonts w:asciiTheme="minorEastAsia" w:hAnsiTheme="minorEastAsia" w:eastAsiaTheme="minorEastAsia" w:cstheme="minorEastAsia"/>
                <w:bCs/>
                <w:color w:val="auto"/>
                <w:szCs w:val="21"/>
              </w:rPr>
            </w:pPr>
          </w:p>
          <w:p>
            <w:pPr>
              <w:spacing w:line="360" w:lineRule="auto"/>
              <w:rPr>
                <w:rFonts w:asciiTheme="minorEastAsia" w:hAnsiTheme="minorEastAsia" w:eastAsiaTheme="minorEastAsia" w:cstheme="minorEastAsia"/>
                <w:bCs/>
                <w:color w:val="auto"/>
                <w:szCs w:val="21"/>
              </w:rPr>
            </w:pPr>
          </w:p>
          <w:p>
            <w:pPr>
              <w:spacing w:line="360" w:lineRule="auto"/>
              <w:rPr>
                <w:rFonts w:asciiTheme="minorEastAsia" w:hAnsiTheme="minorEastAsia" w:eastAsiaTheme="minorEastAsia" w:cstheme="minorEastAsia"/>
                <w:bCs/>
                <w:color w:val="auto"/>
                <w:szCs w:val="21"/>
              </w:rPr>
            </w:pPr>
          </w:p>
        </w:tc>
      </w:tr>
    </w:tbl>
    <w:p>
      <w:pPr>
        <w:adjustRightInd w:val="0"/>
        <w:snapToGrid w:val="0"/>
        <w:spacing w:line="360" w:lineRule="auto"/>
        <w:rPr>
          <w:rFonts w:asciiTheme="minorEastAsia" w:hAnsiTheme="minorEastAsia" w:eastAsiaTheme="minorEastAsia" w:cstheme="minorEastAsia"/>
          <w:color w:val="auto"/>
          <w:szCs w:val="21"/>
        </w:rPr>
      </w:pPr>
      <w:r>
        <w:rPr>
          <w:rFonts w:hint="eastAsia" w:asciiTheme="minorEastAsia" w:hAnsiTheme="minorEastAsia" w:eastAsiaTheme="minorEastAsia" w:cstheme="minorEastAsia"/>
          <w:bCs/>
          <w:color w:val="auto"/>
          <w:szCs w:val="21"/>
        </w:rPr>
        <w:t>注： 请供应商认真填写银行信息，并要求与粘贴转账或电汇银行凭证的相关信息一致，采购代理机构将依据此凭证信息退还保证金。</w:t>
      </w:r>
    </w:p>
    <w:bookmarkEnd w:id="158"/>
    <w:bookmarkEnd w:id="159"/>
    <w:p>
      <w:pPr>
        <w:tabs>
          <w:tab w:val="left" w:pos="540"/>
        </w:tabs>
        <w:autoSpaceDE w:val="0"/>
        <w:autoSpaceDN w:val="0"/>
        <w:adjustRightInd w:val="0"/>
        <w:spacing w:line="360" w:lineRule="auto"/>
        <w:jc w:val="center"/>
        <w:outlineLvl w:val="1"/>
        <w:rPr>
          <w:rFonts w:asciiTheme="minorEastAsia" w:hAnsiTheme="minorEastAsia" w:eastAsiaTheme="minorEastAsia" w:cstheme="minorEastAsia"/>
          <w:b/>
          <w:bCs/>
          <w:color w:val="auto"/>
          <w:szCs w:val="21"/>
        </w:rPr>
      </w:pPr>
      <w:r>
        <w:rPr>
          <w:rFonts w:hint="eastAsia" w:asciiTheme="minorEastAsia" w:hAnsiTheme="minorEastAsia" w:eastAsiaTheme="minorEastAsia" w:cstheme="minorEastAsia"/>
          <w:b/>
          <w:bCs/>
          <w:color w:val="auto"/>
          <w:sz w:val="24"/>
        </w:rPr>
        <w:br w:type="page"/>
      </w:r>
      <w:bookmarkStart w:id="177" w:name="_Toc479184133"/>
      <w:bookmarkStart w:id="178" w:name="_Toc12530"/>
      <w:bookmarkStart w:id="179" w:name="_Toc422466736"/>
      <w:bookmarkStart w:id="180" w:name="_Toc432149012"/>
      <w:bookmarkStart w:id="181" w:name="_Toc1591"/>
      <w:bookmarkStart w:id="182" w:name="_Toc28200"/>
      <w:r>
        <w:rPr>
          <w:rFonts w:hint="eastAsia" w:asciiTheme="minorEastAsia" w:hAnsiTheme="minorEastAsia" w:eastAsiaTheme="minorEastAsia" w:cstheme="minorEastAsia"/>
          <w:b/>
          <w:bCs/>
          <w:color w:val="auto"/>
          <w:szCs w:val="21"/>
        </w:rPr>
        <w:t>十、偏离说明表</w:t>
      </w:r>
      <w:bookmarkEnd w:id="177"/>
      <w:bookmarkEnd w:id="178"/>
      <w:bookmarkEnd w:id="179"/>
      <w:bookmarkEnd w:id="180"/>
      <w:bookmarkEnd w:id="181"/>
      <w:bookmarkEnd w:id="182"/>
    </w:p>
    <w:p>
      <w:pPr>
        <w:adjustRightInd w:val="0"/>
        <w:snapToGrid w:val="0"/>
        <w:rPr>
          <w:rFonts w:asciiTheme="minorEastAsia" w:hAnsiTheme="minorEastAsia" w:eastAsiaTheme="minorEastAsia" w:cstheme="minorEastAsia"/>
          <w:color w:val="auto"/>
          <w:szCs w:val="21"/>
        </w:rPr>
      </w:pPr>
    </w:p>
    <w:p>
      <w:pPr>
        <w:adjustRightInd w:val="0"/>
        <w:snapToGrid w:val="0"/>
        <w:spacing w:line="360" w:lineRule="auto"/>
        <w:rPr>
          <w:rFonts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 xml:space="preserve">项目名称：                         </w:t>
      </w:r>
    </w:p>
    <w:p>
      <w:pPr>
        <w:adjustRightInd w:val="0"/>
        <w:snapToGrid w:val="0"/>
        <w:rPr>
          <w:rFonts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项目编号：</w:t>
      </w:r>
    </w:p>
    <w:tbl>
      <w:tblPr>
        <w:tblStyle w:val="26"/>
        <w:tblW w:w="907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73"/>
        <w:gridCol w:w="2874"/>
        <w:gridCol w:w="3449"/>
        <w:gridCol w:w="167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 w:hRule="atLeast"/>
          <w:jc w:val="center"/>
        </w:trPr>
        <w:tc>
          <w:tcPr>
            <w:tcW w:w="1073" w:type="dxa"/>
            <w:shd w:val="clear" w:color="auto" w:fill="C0C0C0"/>
            <w:vAlign w:val="center"/>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b/>
                <w:color w:val="auto"/>
                <w:szCs w:val="21"/>
              </w:rPr>
            </w:pPr>
            <w:r>
              <w:rPr>
                <w:rFonts w:hint="eastAsia" w:asciiTheme="minorEastAsia" w:hAnsiTheme="minorEastAsia" w:eastAsiaTheme="minorEastAsia" w:cstheme="minorEastAsia"/>
                <w:b/>
                <w:color w:val="auto"/>
                <w:szCs w:val="21"/>
              </w:rPr>
              <w:t>序号</w:t>
            </w:r>
          </w:p>
        </w:tc>
        <w:tc>
          <w:tcPr>
            <w:tcW w:w="2874" w:type="dxa"/>
            <w:shd w:val="clear" w:color="auto" w:fill="C0C0C0"/>
            <w:vAlign w:val="center"/>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b/>
                <w:color w:val="auto"/>
                <w:szCs w:val="21"/>
              </w:rPr>
            </w:pPr>
            <w:r>
              <w:rPr>
                <w:rFonts w:hint="eastAsia" w:asciiTheme="minorEastAsia" w:hAnsiTheme="minorEastAsia" w:eastAsiaTheme="minorEastAsia" w:cstheme="minorEastAsia"/>
                <w:b/>
                <w:color w:val="auto"/>
                <w:szCs w:val="21"/>
              </w:rPr>
              <w:t>采购需求</w:t>
            </w:r>
          </w:p>
        </w:tc>
        <w:tc>
          <w:tcPr>
            <w:tcW w:w="3449" w:type="dxa"/>
            <w:shd w:val="clear" w:color="auto" w:fill="C0C0C0"/>
            <w:vAlign w:val="center"/>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b/>
                <w:color w:val="auto"/>
                <w:szCs w:val="21"/>
              </w:rPr>
            </w:pPr>
            <w:r>
              <w:rPr>
                <w:rFonts w:hint="eastAsia" w:asciiTheme="minorEastAsia" w:hAnsiTheme="minorEastAsia" w:eastAsiaTheme="minorEastAsia" w:cstheme="minorEastAsia"/>
                <w:b/>
                <w:color w:val="auto"/>
                <w:szCs w:val="21"/>
              </w:rPr>
              <w:t>报价响应</w:t>
            </w:r>
          </w:p>
        </w:tc>
        <w:tc>
          <w:tcPr>
            <w:tcW w:w="1675" w:type="dxa"/>
            <w:shd w:val="clear" w:color="auto" w:fill="C0C0C0"/>
            <w:vAlign w:val="center"/>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b/>
                <w:color w:val="auto"/>
                <w:szCs w:val="21"/>
              </w:rPr>
            </w:pPr>
            <w:r>
              <w:rPr>
                <w:rFonts w:hint="eastAsia" w:asciiTheme="minorEastAsia" w:hAnsiTheme="minorEastAsia" w:eastAsiaTheme="minorEastAsia" w:cstheme="minorEastAsia"/>
                <w:b/>
                <w:color w:val="auto"/>
                <w:szCs w:val="21"/>
              </w:rPr>
              <w:t>偏离说明</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 w:hRule="atLeast"/>
          <w:jc w:val="center"/>
        </w:trPr>
        <w:tc>
          <w:tcPr>
            <w:tcW w:w="9071" w:type="dxa"/>
            <w:gridSpan w:val="4"/>
            <w:shd w:val="clear" w:color="auto" w:fill="C0C0C0"/>
            <w:vAlign w:val="center"/>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b/>
                <w:color w:val="auto"/>
                <w:szCs w:val="21"/>
              </w:rPr>
            </w:pPr>
            <w:r>
              <w:rPr>
                <w:rFonts w:hint="eastAsia" w:asciiTheme="minorEastAsia" w:hAnsiTheme="minorEastAsia" w:eastAsiaTheme="minorEastAsia" w:cstheme="minorEastAsia"/>
                <w:b/>
                <w:color w:val="auto"/>
                <w:szCs w:val="21"/>
              </w:rPr>
              <w:t>技术需求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 w:hRule="atLeast"/>
          <w:jc w:val="center"/>
        </w:trPr>
        <w:tc>
          <w:tcPr>
            <w:tcW w:w="1073" w:type="dxa"/>
            <w:vAlign w:val="center"/>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1</w:t>
            </w:r>
          </w:p>
        </w:tc>
        <w:tc>
          <w:tcPr>
            <w:tcW w:w="2874" w:type="dxa"/>
            <w:vAlign w:val="center"/>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color w:val="auto"/>
                <w:szCs w:val="21"/>
              </w:rPr>
            </w:pPr>
          </w:p>
        </w:tc>
        <w:tc>
          <w:tcPr>
            <w:tcW w:w="3449" w:type="dxa"/>
            <w:vAlign w:val="center"/>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color w:val="auto"/>
                <w:szCs w:val="21"/>
              </w:rPr>
            </w:pPr>
          </w:p>
        </w:tc>
        <w:tc>
          <w:tcPr>
            <w:tcW w:w="1675" w:type="dxa"/>
            <w:vAlign w:val="center"/>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color w:val="auto"/>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 w:hRule="atLeast"/>
          <w:jc w:val="center"/>
        </w:trPr>
        <w:tc>
          <w:tcPr>
            <w:tcW w:w="1073" w:type="dxa"/>
            <w:vAlign w:val="center"/>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2</w:t>
            </w:r>
          </w:p>
        </w:tc>
        <w:tc>
          <w:tcPr>
            <w:tcW w:w="2874" w:type="dxa"/>
            <w:vAlign w:val="center"/>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color w:val="auto"/>
                <w:szCs w:val="21"/>
              </w:rPr>
            </w:pPr>
          </w:p>
        </w:tc>
        <w:tc>
          <w:tcPr>
            <w:tcW w:w="3449" w:type="dxa"/>
            <w:vAlign w:val="center"/>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color w:val="auto"/>
                <w:szCs w:val="21"/>
              </w:rPr>
            </w:pPr>
          </w:p>
        </w:tc>
        <w:tc>
          <w:tcPr>
            <w:tcW w:w="1675" w:type="dxa"/>
            <w:vAlign w:val="center"/>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color w:val="auto"/>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 w:hRule="atLeast"/>
          <w:jc w:val="center"/>
        </w:trPr>
        <w:tc>
          <w:tcPr>
            <w:tcW w:w="1073" w:type="dxa"/>
            <w:vAlign w:val="center"/>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3</w:t>
            </w:r>
          </w:p>
        </w:tc>
        <w:tc>
          <w:tcPr>
            <w:tcW w:w="2874" w:type="dxa"/>
            <w:vAlign w:val="center"/>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color w:val="auto"/>
                <w:szCs w:val="21"/>
              </w:rPr>
            </w:pPr>
          </w:p>
        </w:tc>
        <w:tc>
          <w:tcPr>
            <w:tcW w:w="3449" w:type="dxa"/>
            <w:vAlign w:val="center"/>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color w:val="auto"/>
                <w:szCs w:val="21"/>
              </w:rPr>
            </w:pPr>
          </w:p>
        </w:tc>
        <w:tc>
          <w:tcPr>
            <w:tcW w:w="1675" w:type="dxa"/>
            <w:vAlign w:val="center"/>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color w:val="auto"/>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 w:hRule="atLeast"/>
          <w:jc w:val="center"/>
        </w:trPr>
        <w:tc>
          <w:tcPr>
            <w:tcW w:w="1073" w:type="dxa"/>
            <w:vAlign w:val="center"/>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w:t>
            </w:r>
          </w:p>
        </w:tc>
        <w:tc>
          <w:tcPr>
            <w:tcW w:w="2874" w:type="dxa"/>
            <w:vAlign w:val="center"/>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color w:val="auto"/>
                <w:szCs w:val="21"/>
              </w:rPr>
            </w:pPr>
          </w:p>
        </w:tc>
        <w:tc>
          <w:tcPr>
            <w:tcW w:w="3449" w:type="dxa"/>
            <w:vAlign w:val="center"/>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color w:val="auto"/>
                <w:szCs w:val="21"/>
              </w:rPr>
            </w:pPr>
          </w:p>
        </w:tc>
        <w:tc>
          <w:tcPr>
            <w:tcW w:w="1675" w:type="dxa"/>
            <w:vAlign w:val="center"/>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color w:val="auto"/>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 w:hRule="atLeast"/>
          <w:jc w:val="center"/>
        </w:trPr>
        <w:tc>
          <w:tcPr>
            <w:tcW w:w="9071" w:type="dxa"/>
            <w:gridSpan w:val="4"/>
            <w:shd w:val="clear" w:color="auto" w:fill="C0C0C0"/>
            <w:vAlign w:val="center"/>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b/>
                <w:color w:val="auto"/>
                <w:szCs w:val="21"/>
              </w:rPr>
            </w:pPr>
            <w:r>
              <w:rPr>
                <w:rFonts w:hint="eastAsia" w:asciiTheme="minorEastAsia" w:hAnsiTheme="minorEastAsia" w:eastAsiaTheme="minorEastAsia" w:cstheme="minorEastAsia"/>
                <w:b/>
                <w:color w:val="auto"/>
                <w:szCs w:val="21"/>
              </w:rPr>
              <w:t>商务需求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 w:hRule="atLeast"/>
          <w:jc w:val="center"/>
        </w:trPr>
        <w:tc>
          <w:tcPr>
            <w:tcW w:w="1073" w:type="dxa"/>
            <w:vAlign w:val="center"/>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1</w:t>
            </w:r>
          </w:p>
        </w:tc>
        <w:tc>
          <w:tcPr>
            <w:tcW w:w="2874" w:type="dxa"/>
            <w:vAlign w:val="center"/>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color w:val="auto"/>
                <w:szCs w:val="21"/>
              </w:rPr>
            </w:pPr>
          </w:p>
        </w:tc>
        <w:tc>
          <w:tcPr>
            <w:tcW w:w="3449" w:type="dxa"/>
            <w:vAlign w:val="center"/>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color w:val="auto"/>
                <w:szCs w:val="21"/>
              </w:rPr>
            </w:pPr>
          </w:p>
        </w:tc>
        <w:tc>
          <w:tcPr>
            <w:tcW w:w="1675" w:type="dxa"/>
            <w:vAlign w:val="center"/>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color w:val="auto"/>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 w:hRule="atLeast"/>
          <w:jc w:val="center"/>
        </w:trPr>
        <w:tc>
          <w:tcPr>
            <w:tcW w:w="1073" w:type="dxa"/>
            <w:vAlign w:val="center"/>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2</w:t>
            </w:r>
          </w:p>
        </w:tc>
        <w:tc>
          <w:tcPr>
            <w:tcW w:w="2874" w:type="dxa"/>
            <w:vAlign w:val="center"/>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color w:val="auto"/>
                <w:szCs w:val="21"/>
              </w:rPr>
            </w:pPr>
          </w:p>
        </w:tc>
        <w:tc>
          <w:tcPr>
            <w:tcW w:w="3449" w:type="dxa"/>
            <w:vAlign w:val="center"/>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color w:val="auto"/>
                <w:szCs w:val="21"/>
              </w:rPr>
            </w:pPr>
          </w:p>
        </w:tc>
        <w:tc>
          <w:tcPr>
            <w:tcW w:w="1675" w:type="dxa"/>
            <w:vAlign w:val="center"/>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color w:val="auto"/>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 w:hRule="atLeast"/>
          <w:jc w:val="center"/>
        </w:trPr>
        <w:tc>
          <w:tcPr>
            <w:tcW w:w="1073" w:type="dxa"/>
            <w:vAlign w:val="center"/>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3</w:t>
            </w:r>
          </w:p>
        </w:tc>
        <w:tc>
          <w:tcPr>
            <w:tcW w:w="2874" w:type="dxa"/>
            <w:vAlign w:val="center"/>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color w:val="auto"/>
                <w:szCs w:val="21"/>
              </w:rPr>
            </w:pPr>
          </w:p>
        </w:tc>
        <w:tc>
          <w:tcPr>
            <w:tcW w:w="3449" w:type="dxa"/>
            <w:vAlign w:val="center"/>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color w:val="auto"/>
                <w:szCs w:val="21"/>
              </w:rPr>
            </w:pPr>
          </w:p>
        </w:tc>
        <w:tc>
          <w:tcPr>
            <w:tcW w:w="1675" w:type="dxa"/>
            <w:vAlign w:val="center"/>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color w:val="auto"/>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 w:hRule="atLeast"/>
          <w:jc w:val="center"/>
        </w:trPr>
        <w:tc>
          <w:tcPr>
            <w:tcW w:w="1073" w:type="dxa"/>
            <w:vAlign w:val="center"/>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w:t>
            </w:r>
          </w:p>
        </w:tc>
        <w:tc>
          <w:tcPr>
            <w:tcW w:w="2874" w:type="dxa"/>
            <w:vAlign w:val="center"/>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color w:val="auto"/>
                <w:szCs w:val="21"/>
              </w:rPr>
            </w:pPr>
          </w:p>
        </w:tc>
        <w:tc>
          <w:tcPr>
            <w:tcW w:w="3449" w:type="dxa"/>
            <w:vAlign w:val="center"/>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color w:val="auto"/>
                <w:szCs w:val="21"/>
              </w:rPr>
            </w:pPr>
          </w:p>
        </w:tc>
        <w:tc>
          <w:tcPr>
            <w:tcW w:w="1675" w:type="dxa"/>
            <w:vAlign w:val="center"/>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color w:val="auto"/>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 w:hRule="atLeast"/>
          <w:jc w:val="center"/>
        </w:trPr>
        <w:tc>
          <w:tcPr>
            <w:tcW w:w="9071" w:type="dxa"/>
            <w:gridSpan w:val="4"/>
            <w:shd w:val="clear" w:color="auto" w:fill="C0C0C0"/>
            <w:vAlign w:val="center"/>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b/>
                <w:color w:val="auto"/>
                <w:szCs w:val="21"/>
              </w:rPr>
            </w:pPr>
            <w:r>
              <w:rPr>
                <w:rFonts w:hint="eastAsia" w:asciiTheme="minorEastAsia" w:hAnsiTheme="minorEastAsia" w:eastAsiaTheme="minorEastAsia" w:cstheme="minorEastAsia"/>
                <w:b/>
                <w:color w:val="auto"/>
                <w:szCs w:val="21"/>
              </w:rPr>
              <w:t>资格性要求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 w:hRule="atLeast"/>
          <w:jc w:val="center"/>
        </w:trPr>
        <w:tc>
          <w:tcPr>
            <w:tcW w:w="1073" w:type="dxa"/>
            <w:vAlign w:val="center"/>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1</w:t>
            </w:r>
          </w:p>
        </w:tc>
        <w:tc>
          <w:tcPr>
            <w:tcW w:w="2874" w:type="dxa"/>
            <w:vAlign w:val="center"/>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color w:val="auto"/>
                <w:szCs w:val="21"/>
              </w:rPr>
            </w:pPr>
          </w:p>
        </w:tc>
        <w:tc>
          <w:tcPr>
            <w:tcW w:w="3449" w:type="dxa"/>
            <w:vAlign w:val="center"/>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color w:val="auto"/>
                <w:szCs w:val="21"/>
              </w:rPr>
            </w:pPr>
          </w:p>
        </w:tc>
        <w:tc>
          <w:tcPr>
            <w:tcW w:w="1675" w:type="dxa"/>
            <w:vAlign w:val="center"/>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color w:val="auto"/>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 w:hRule="atLeast"/>
          <w:jc w:val="center"/>
        </w:trPr>
        <w:tc>
          <w:tcPr>
            <w:tcW w:w="1073" w:type="dxa"/>
            <w:vAlign w:val="center"/>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2</w:t>
            </w:r>
          </w:p>
        </w:tc>
        <w:tc>
          <w:tcPr>
            <w:tcW w:w="2874" w:type="dxa"/>
            <w:vAlign w:val="center"/>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color w:val="auto"/>
                <w:szCs w:val="21"/>
              </w:rPr>
            </w:pPr>
          </w:p>
        </w:tc>
        <w:tc>
          <w:tcPr>
            <w:tcW w:w="3449" w:type="dxa"/>
            <w:vAlign w:val="center"/>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color w:val="auto"/>
                <w:szCs w:val="21"/>
              </w:rPr>
            </w:pPr>
          </w:p>
        </w:tc>
        <w:tc>
          <w:tcPr>
            <w:tcW w:w="1675" w:type="dxa"/>
            <w:vAlign w:val="center"/>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color w:val="auto"/>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 w:hRule="atLeast"/>
          <w:jc w:val="center"/>
        </w:trPr>
        <w:tc>
          <w:tcPr>
            <w:tcW w:w="1073" w:type="dxa"/>
            <w:vAlign w:val="center"/>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3</w:t>
            </w:r>
          </w:p>
        </w:tc>
        <w:tc>
          <w:tcPr>
            <w:tcW w:w="2874" w:type="dxa"/>
            <w:vAlign w:val="center"/>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color w:val="auto"/>
                <w:szCs w:val="21"/>
              </w:rPr>
            </w:pPr>
          </w:p>
        </w:tc>
        <w:tc>
          <w:tcPr>
            <w:tcW w:w="3449" w:type="dxa"/>
            <w:vAlign w:val="center"/>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color w:val="auto"/>
                <w:szCs w:val="21"/>
              </w:rPr>
            </w:pPr>
          </w:p>
        </w:tc>
        <w:tc>
          <w:tcPr>
            <w:tcW w:w="1675" w:type="dxa"/>
            <w:vAlign w:val="center"/>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color w:val="auto"/>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 w:hRule="atLeast"/>
          <w:jc w:val="center"/>
        </w:trPr>
        <w:tc>
          <w:tcPr>
            <w:tcW w:w="1073" w:type="dxa"/>
            <w:vAlign w:val="center"/>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w:t>
            </w:r>
          </w:p>
        </w:tc>
        <w:tc>
          <w:tcPr>
            <w:tcW w:w="2874" w:type="dxa"/>
            <w:vAlign w:val="center"/>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color w:val="auto"/>
                <w:szCs w:val="21"/>
              </w:rPr>
            </w:pPr>
          </w:p>
        </w:tc>
        <w:tc>
          <w:tcPr>
            <w:tcW w:w="3449" w:type="dxa"/>
            <w:vAlign w:val="center"/>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color w:val="auto"/>
                <w:szCs w:val="21"/>
              </w:rPr>
            </w:pPr>
          </w:p>
        </w:tc>
        <w:tc>
          <w:tcPr>
            <w:tcW w:w="1675" w:type="dxa"/>
            <w:vAlign w:val="center"/>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color w:val="auto"/>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 w:hRule="atLeast"/>
          <w:jc w:val="center"/>
        </w:trPr>
        <w:tc>
          <w:tcPr>
            <w:tcW w:w="9071" w:type="dxa"/>
            <w:gridSpan w:val="4"/>
            <w:shd w:val="clear" w:color="auto" w:fill="D7D7D7" w:themeFill="background1" w:themeFillShade="D8"/>
            <w:vAlign w:val="center"/>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color w:val="auto"/>
                <w:szCs w:val="21"/>
              </w:rPr>
            </w:pPr>
            <w:r>
              <w:rPr>
                <w:rFonts w:hint="eastAsia" w:asciiTheme="minorEastAsia" w:hAnsiTheme="minorEastAsia" w:eastAsiaTheme="minorEastAsia" w:cstheme="minorEastAsia"/>
                <w:b/>
                <w:color w:val="auto"/>
                <w:szCs w:val="21"/>
                <w:shd w:val="clear" w:color="auto" w:fill="D7D7D7" w:themeFill="background1" w:themeFillShade="D8"/>
              </w:rPr>
              <w:t>符合性要求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 w:hRule="atLeast"/>
          <w:jc w:val="center"/>
        </w:trPr>
        <w:tc>
          <w:tcPr>
            <w:tcW w:w="1073" w:type="dxa"/>
            <w:vAlign w:val="center"/>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1</w:t>
            </w:r>
          </w:p>
        </w:tc>
        <w:tc>
          <w:tcPr>
            <w:tcW w:w="2874" w:type="dxa"/>
            <w:vAlign w:val="center"/>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color w:val="auto"/>
                <w:szCs w:val="21"/>
              </w:rPr>
            </w:pPr>
          </w:p>
        </w:tc>
        <w:tc>
          <w:tcPr>
            <w:tcW w:w="3449" w:type="dxa"/>
            <w:vAlign w:val="center"/>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color w:val="auto"/>
                <w:szCs w:val="21"/>
              </w:rPr>
            </w:pPr>
          </w:p>
        </w:tc>
        <w:tc>
          <w:tcPr>
            <w:tcW w:w="1675" w:type="dxa"/>
            <w:vAlign w:val="center"/>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color w:val="auto"/>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 w:hRule="atLeast"/>
          <w:jc w:val="center"/>
        </w:trPr>
        <w:tc>
          <w:tcPr>
            <w:tcW w:w="1073" w:type="dxa"/>
            <w:vAlign w:val="center"/>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2</w:t>
            </w:r>
          </w:p>
        </w:tc>
        <w:tc>
          <w:tcPr>
            <w:tcW w:w="2874" w:type="dxa"/>
            <w:vAlign w:val="center"/>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color w:val="auto"/>
                <w:szCs w:val="21"/>
              </w:rPr>
            </w:pPr>
          </w:p>
        </w:tc>
        <w:tc>
          <w:tcPr>
            <w:tcW w:w="3449" w:type="dxa"/>
            <w:vAlign w:val="center"/>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color w:val="auto"/>
                <w:szCs w:val="21"/>
              </w:rPr>
            </w:pPr>
          </w:p>
        </w:tc>
        <w:tc>
          <w:tcPr>
            <w:tcW w:w="1675" w:type="dxa"/>
            <w:vAlign w:val="center"/>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color w:val="auto"/>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 w:hRule="atLeast"/>
          <w:jc w:val="center"/>
        </w:trPr>
        <w:tc>
          <w:tcPr>
            <w:tcW w:w="1073" w:type="dxa"/>
            <w:vAlign w:val="center"/>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3</w:t>
            </w:r>
          </w:p>
        </w:tc>
        <w:tc>
          <w:tcPr>
            <w:tcW w:w="2874" w:type="dxa"/>
            <w:vAlign w:val="center"/>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color w:val="auto"/>
                <w:szCs w:val="21"/>
              </w:rPr>
            </w:pPr>
          </w:p>
        </w:tc>
        <w:tc>
          <w:tcPr>
            <w:tcW w:w="3449" w:type="dxa"/>
            <w:vAlign w:val="center"/>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color w:val="auto"/>
                <w:szCs w:val="21"/>
              </w:rPr>
            </w:pPr>
          </w:p>
        </w:tc>
        <w:tc>
          <w:tcPr>
            <w:tcW w:w="1675" w:type="dxa"/>
            <w:vAlign w:val="center"/>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color w:val="auto"/>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 w:hRule="atLeast"/>
          <w:jc w:val="center"/>
        </w:trPr>
        <w:tc>
          <w:tcPr>
            <w:tcW w:w="1073" w:type="dxa"/>
            <w:vAlign w:val="center"/>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w:t>
            </w:r>
          </w:p>
        </w:tc>
        <w:tc>
          <w:tcPr>
            <w:tcW w:w="2874" w:type="dxa"/>
            <w:vAlign w:val="center"/>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color w:val="auto"/>
                <w:szCs w:val="21"/>
              </w:rPr>
            </w:pPr>
          </w:p>
        </w:tc>
        <w:tc>
          <w:tcPr>
            <w:tcW w:w="3449" w:type="dxa"/>
            <w:vAlign w:val="center"/>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color w:val="auto"/>
                <w:szCs w:val="21"/>
              </w:rPr>
            </w:pPr>
          </w:p>
        </w:tc>
        <w:tc>
          <w:tcPr>
            <w:tcW w:w="1675" w:type="dxa"/>
            <w:vAlign w:val="center"/>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color w:val="auto"/>
                <w:szCs w:val="21"/>
              </w:rPr>
            </w:pPr>
          </w:p>
        </w:tc>
      </w:tr>
    </w:tbl>
    <w:p>
      <w:pPr>
        <w:adjustRightInd w:val="0"/>
        <w:snapToGrid w:val="0"/>
        <w:rPr>
          <w:rFonts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说明：</w:t>
      </w:r>
    </w:p>
    <w:p>
      <w:pPr>
        <w:numPr>
          <w:ilvl w:val="7"/>
          <w:numId w:val="45"/>
        </w:numPr>
        <w:tabs>
          <w:tab w:val="left" w:pos="540"/>
        </w:tabs>
        <w:adjustRightInd w:val="0"/>
        <w:snapToGrid w:val="0"/>
        <w:ind w:left="540" w:hanging="540"/>
        <w:rPr>
          <w:rFonts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供应商应对竞争性磋商采购文件的各项要求，逐条说明竞争性磋商响应文件做出的实质性响应，并申明竞争性磋商响应文件的偏离和例外。优于竞争性磋商采购文件要求的为正偏离，不满足的为负偏离。</w:t>
      </w:r>
    </w:p>
    <w:p>
      <w:pPr>
        <w:numPr>
          <w:ilvl w:val="7"/>
          <w:numId w:val="45"/>
        </w:numPr>
        <w:tabs>
          <w:tab w:val="left" w:pos="540"/>
        </w:tabs>
        <w:adjustRightInd w:val="0"/>
        <w:snapToGrid w:val="0"/>
        <w:ind w:left="540" w:hanging="540"/>
        <w:rPr>
          <w:rFonts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对有具体参数要求的指标，磋商供应商必须提供所投产品的具体参数值。如果仅注明“符合”，“满足”或简单复制竞争性磋商采购文件要求，将可能导致报价被拒绝。</w:t>
      </w:r>
    </w:p>
    <w:p>
      <w:pPr>
        <w:adjustRightInd w:val="0"/>
        <w:snapToGrid w:val="0"/>
        <w:ind w:firstLine="420"/>
        <w:rPr>
          <w:rFonts w:asciiTheme="minorEastAsia" w:hAnsiTheme="minorEastAsia" w:eastAsiaTheme="minorEastAsia" w:cstheme="minorEastAsia"/>
          <w:color w:val="auto"/>
          <w:szCs w:val="21"/>
        </w:rPr>
      </w:pPr>
    </w:p>
    <w:p>
      <w:pPr>
        <w:adjustRightInd w:val="0"/>
        <w:snapToGrid w:val="0"/>
        <w:rPr>
          <w:rFonts w:asciiTheme="minorEastAsia" w:hAnsiTheme="minorEastAsia" w:eastAsiaTheme="minorEastAsia" w:cstheme="minorEastAsia"/>
          <w:color w:val="auto"/>
          <w:szCs w:val="21"/>
        </w:rPr>
      </w:pPr>
    </w:p>
    <w:p>
      <w:pPr>
        <w:spacing w:line="360" w:lineRule="auto"/>
        <w:rPr>
          <w:rFonts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磋商供应商授权代表（签字）：</w:t>
      </w:r>
      <w:r>
        <w:rPr>
          <w:rFonts w:hint="eastAsia" w:asciiTheme="minorEastAsia" w:hAnsiTheme="minorEastAsia" w:eastAsiaTheme="minorEastAsia" w:cstheme="minorEastAsia"/>
          <w:color w:val="auto"/>
          <w:szCs w:val="21"/>
          <w:u w:val="single"/>
        </w:rPr>
        <w:t xml:space="preserve">                        </w:t>
      </w:r>
    </w:p>
    <w:p>
      <w:pPr>
        <w:spacing w:line="360" w:lineRule="auto"/>
        <w:rPr>
          <w:rFonts w:asciiTheme="minorEastAsia" w:hAnsiTheme="minorEastAsia" w:eastAsiaTheme="minorEastAsia" w:cstheme="minorEastAsia"/>
          <w:color w:val="auto"/>
          <w:szCs w:val="21"/>
          <w:u w:val="single"/>
        </w:rPr>
      </w:pPr>
      <w:r>
        <w:rPr>
          <w:rFonts w:hint="eastAsia" w:asciiTheme="minorEastAsia" w:hAnsiTheme="minorEastAsia" w:eastAsiaTheme="minorEastAsia" w:cstheme="minorEastAsia"/>
          <w:color w:val="auto"/>
          <w:szCs w:val="21"/>
        </w:rPr>
        <w:t>磋商</w:t>
      </w:r>
      <w:r>
        <w:rPr>
          <w:rFonts w:hint="eastAsia" w:asciiTheme="minorEastAsia" w:hAnsiTheme="minorEastAsia" w:eastAsiaTheme="minorEastAsia" w:cstheme="minorEastAsia"/>
          <w:bCs/>
          <w:color w:val="auto"/>
          <w:szCs w:val="21"/>
        </w:rPr>
        <w:t>供应商</w:t>
      </w:r>
      <w:r>
        <w:rPr>
          <w:rFonts w:hint="eastAsia" w:asciiTheme="minorEastAsia" w:hAnsiTheme="minorEastAsia" w:eastAsiaTheme="minorEastAsia" w:cstheme="minorEastAsia"/>
          <w:color w:val="auto"/>
          <w:szCs w:val="21"/>
        </w:rPr>
        <w:t>名称（盖章 ）：</w:t>
      </w:r>
      <w:r>
        <w:rPr>
          <w:rFonts w:hint="eastAsia" w:asciiTheme="minorEastAsia" w:hAnsiTheme="minorEastAsia" w:eastAsiaTheme="minorEastAsia" w:cstheme="minorEastAsia"/>
          <w:color w:val="auto"/>
          <w:szCs w:val="21"/>
          <w:u w:val="single"/>
        </w:rPr>
        <w:t xml:space="preserve">                                     </w:t>
      </w:r>
    </w:p>
    <w:p>
      <w:pPr>
        <w:spacing w:line="360" w:lineRule="auto"/>
        <w:rPr>
          <w:rFonts w:asciiTheme="minorEastAsia" w:hAnsiTheme="minorEastAsia" w:eastAsiaTheme="minorEastAsia" w:cstheme="minorEastAsia"/>
          <w:color w:val="auto"/>
          <w:szCs w:val="21"/>
        </w:rPr>
      </w:pPr>
      <w:r>
        <w:rPr>
          <w:rFonts w:hint="eastAsia" w:asciiTheme="minorEastAsia" w:hAnsiTheme="minorEastAsia" w:eastAsiaTheme="minorEastAsia" w:cstheme="minorEastAsia"/>
          <w:bCs/>
          <w:color w:val="auto"/>
          <w:szCs w:val="21"/>
        </w:rPr>
        <w:t xml:space="preserve">时                 </w:t>
      </w:r>
      <w:r>
        <w:rPr>
          <w:rFonts w:hint="eastAsia" w:asciiTheme="minorEastAsia" w:hAnsiTheme="minorEastAsia" w:eastAsiaTheme="minorEastAsia" w:cstheme="minorEastAsia"/>
          <w:color w:val="auto"/>
          <w:szCs w:val="21"/>
        </w:rPr>
        <w:t>间：</w:t>
      </w:r>
      <w:r>
        <w:rPr>
          <w:rFonts w:hint="eastAsia" w:asciiTheme="minorEastAsia" w:hAnsiTheme="minorEastAsia" w:eastAsiaTheme="minorEastAsia" w:cstheme="minorEastAsia"/>
          <w:color w:val="auto"/>
          <w:szCs w:val="21"/>
          <w:u w:val="single"/>
        </w:rPr>
        <w:t xml:space="preserve">           </w:t>
      </w:r>
      <w:r>
        <w:rPr>
          <w:rFonts w:hint="eastAsia" w:asciiTheme="minorEastAsia" w:hAnsiTheme="minorEastAsia" w:eastAsiaTheme="minorEastAsia" w:cstheme="minorEastAsia"/>
          <w:color w:val="auto"/>
          <w:szCs w:val="21"/>
        </w:rPr>
        <w:t>年</w:t>
      </w:r>
      <w:r>
        <w:rPr>
          <w:rFonts w:hint="eastAsia" w:asciiTheme="minorEastAsia" w:hAnsiTheme="minorEastAsia" w:eastAsiaTheme="minorEastAsia" w:cstheme="minorEastAsia"/>
          <w:color w:val="auto"/>
          <w:szCs w:val="21"/>
          <w:u w:val="single"/>
        </w:rPr>
        <w:t xml:space="preserve">          </w:t>
      </w:r>
      <w:r>
        <w:rPr>
          <w:rFonts w:hint="eastAsia" w:asciiTheme="minorEastAsia" w:hAnsiTheme="minorEastAsia" w:eastAsiaTheme="minorEastAsia" w:cstheme="minorEastAsia"/>
          <w:color w:val="auto"/>
          <w:szCs w:val="21"/>
        </w:rPr>
        <w:t>月</w:t>
      </w:r>
      <w:r>
        <w:rPr>
          <w:rFonts w:hint="eastAsia" w:asciiTheme="minorEastAsia" w:hAnsiTheme="minorEastAsia" w:eastAsiaTheme="minorEastAsia" w:cstheme="minorEastAsia"/>
          <w:color w:val="auto"/>
          <w:szCs w:val="21"/>
          <w:u w:val="single"/>
        </w:rPr>
        <w:t xml:space="preserve">          </w:t>
      </w:r>
      <w:r>
        <w:rPr>
          <w:rFonts w:hint="eastAsia" w:asciiTheme="minorEastAsia" w:hAnsiTheme="minorEastAsia" w:eastAsiaTheme="minorEastAsia" w:cstheme="minorEastAsia"/>
          <w:color w:val="auto"/>
          <w:szCs w:val="21"/>
        </w:rPr>
        <w:t>日</w:t>
      </w:r>
    </w:p>
    <w:p>
      <w:pPr>
        <w:rPr>
          <w:rFonts w:asciiTheme="minorEastAsia" w:hAnsiTheme="minorEastAsia" w:eastAsiaTheme="minorEastAsia" w:cstheme="minorEastAsia"/>
          <w:b/>
          <w:color w:val="auto"/>
          <w:kern w:val="0"/>
          <w:szCs w:val="21"/>
        </w:rPr>
      </w:pPr>
    </w:p>
    <w:p>
      <w:pPr>
        <w:tabs>
          <w:tab w:val="left" w:pos="540"/>
        </w:tabs>
        <w:autoSpaceDE w:val="0"/>
        <w:autoSpaceDN w:val="0"/>
        <w:adjustRightInd w:val="0"/>
        <w:spacing w:line="360" w:lineRule="auto"/>
        <w:jc w:val="center"/>
        <w:outlineLvl w:val="1"/>
        <w:rPr>
          <w:rFonts w:asciiTheme="minorEastAsia" w:hAnsiTheme="minorEastAsia" w:eastAsiaTheme="minorEastAsia" w:cstheme="minorEastAsia"/>
          <w:b/>
          <w:bCs/>
          <w:color w:val="auto"/>
          <w:szCs w:val="21"/>
        </w:rPr>
      </w:pPr>
      <w:r>
        <w:rPr>
          <w:rFonts w:hint="eastAsia" w:asciiTheme="minorEastAsia" w:hAnsiTheme="minorEastAsia" w:eastAsiaTheme="minorEastAsia" w:cstheme="minorEastAsia"/>
          <w:b/>
          <w:color w:val="auto"/>
          <w:kern w:val="0"/>
          <w:szCs w:val="21"/>
        </w:rPr>
        <w:br w:type="page"/>
      </w:r>
      <w:bookmarkStart w:id="183" w:name="_Toc28283"/>
      <w:bookmarkStart w:id="184" w:name="_Toc32060"/>
      <w:bookmarkStart w:id="185" w:name="_Toc432149013"/>
      <w:bookmarkStart w:id="186" w:name="_Toc362935521"/>
      <w:bookmarkStart w:id="187" w:name="_Toc479184134"/>
      <w:bookmarkStart w:id="188" w:name="_Toc24869"/>
      <w:r>
        <w:rPr>
          <w:rFonts w:hint="eastAsia" w:asciiTheme="minorEastAsia" w:hAnsiTheme="minorEastAsia" w:eastAsiaTheme="minorEastAsia" w:cstheme="minorEastAsia"/>
          <w:b/>
          <w:color w:val="auto"/>
          <w:kern w:val="0"/>
          <w:szCs w:val="21"/>
        </w:rPr>
        <w:t>十一、</w:t>
      </w:r>
      <w:r>
        <w:rPr>
          <w:rFonts w:hint="eastAsia" w:asciiTheme="minorEastAsia" w:hAnsiTheme="minorEastAsia" w:eastAsiaTheme="minorEastAsia" w:cstheme="minorEastAsia"/>
          <w:b/>
          <w:bCs/>
          <w:color w:val="auto"/>
          <w:szCs w:val="21"/>
        </w:rPr>
        <w:t>类似业绩一览表</w:t>
      </w:r>
      <w:bookmarkEnd w:id="183"/>
      <w:bookmarkEnd w:id="184"/>
      <w:bookmarkEnd w:id="185"/>
      <w:bookmarkEnd w:id="186"/>
      <w:bookmarkEnd w:id="187"/>
      <w:r>
        <w:rPr>
          <w:rFonts w:hint="eastAsia" w:asciiTheme="minorEastAsia" w:hAnsiTheme="minorEastAsia" w:eastAsiaTheme="minorEastAsia" w:cstheme="minorEastAsia"/>
          <w:b/>
          <w:bCs/>
          <w:color w:val="auto"/>
          <w:szCs w:val="21"/>
        </w:rPr>
        <w:br w:type="textWrapping"/>
      </w:r>
      <w:bookmarkEnd w:id="188"/>
    </w:p>
    <w:p>
      <w:pPr>
        <w:adjustRightInd w:val="0"/>
        <w:snapToGrid w:val="0"/>
        <w:spacing w:line="360" w:lineRule="auto"/>
        <w:rPr>
          <w:rFonts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 xml:space="preserve">项目名称：                         </w:t>
      </w:r>
    </w:p>
    <w:p>
      <w:pPr>
        <w:rPr>
          <w:rFonts w:asciiTheme="minorEastAsia" w:hAnsiTheme="minorEastAsia" w:eastAsiaTheme="minorEastAsia" w:cstheme="minorEastAsia"/>
          <w:bCs/>
          <w:color w:val="auto"/>
          <w:szCs w:val="21"/>
        </w:rPr>
      </w:pPr>
      <w:r>
        <w:rPr>
          <w:rFonts w:hint="eastAsia" w:asciiTheme="minorEastAsia" w:hAnsiTheme="minorEastAsia" w:eastAsiaTheme="minorEastAsia" w:cstheme="minorEastAsia"/>
          <w:color w:val="auto"/>
          <w:szCs w:val="21"/>
        </w:rPr>
        <w:t>项目编号：</w:t>
      </w:r>
    </w:p>
    <w:tbl>
      <w:tblPr>
        <w:tblStyle w:val="26"/>
        <w:tblW w:w="923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42"/>
        <w:gridCol w:w="1330"/>
        <w:gridCol w:w="771"/>
        <w:gridCol w:w="964"/>
        <w:gridCol w:w="768"/>
        <w:gridCol w:w="756"/>
        <w:gridCol w:w="1176"/>
        <w:gridCol w:w="1212"/>
        <w:gridCol w:w="1019"/>
        <w:gridCol w:w="59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1" w:hRule="atLeast"/>
          <w:jc w:val="center"/>
        </w:trPr>
        <w:tc>
          <w:tcPr>
            <w:tcW w:w="642" w:type="dxa"/>
            <w:vAlign w:val="center"/>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color w:val="auto"/>
                <w:spacing w:val="-6"/>
                <w:szCs w:val="21"/>
              </w:rPr>
            </w:pPr>
            <w:r>
              <w:rPr>
                <w:rFonts w:hint="eastAsia" w:asciiTheme="minorEastAsia" w:hAnsiTheme="minorEastAsia" w:eastAsiaTheme="minorEastAsia" w:cstheme="minorEastAsia"/>
                <w:color w:val="auto"/>
                <w:spacing w:val="-6"/>
                <w:szCs w:val="21"/>
              </w:rPr>
              <w:t>序号</w:t>
            </w:r>
          </w:p>
        </w:tc>
        <w:tc>
          <w:tcPr>
            <w:tcW w:w="1330" w:type="dxa"/>
            <w:vAlign w:val="center"/>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项目名称</w:t>
            </w:r>
          </w:p>
        </w:tc>
        <w:tc>
          <w:tcPr>
            <w:tcW w:w="771" w:type="dxa"/>
            <w:vAlign w:val="center"/>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业主单位</w:t>
            </w:r>
          </w:p>
        </w:tc>
        <w:tc>
          <w:tcPr>
            <w:tcW w:w="964" w:type="dxa"/>
            <w:vAlign w:val="center"/>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color w:val="auto"/>
                <w:spacing w:val="-6"/>
                <w:szCs w:val="21"/>
              </w:rPr>
            </w:pPr>
            <w:r>
              <w:rPr>
                <w:rFonts w:hint="eastAsia" w:asciiTheme="minorEastAsia" w:hAnsiTheme="minorEastAsia" w:eastAsiaTheme="minorEastAsia" w:cstheme="minorEastAsia"/>
                <w:color w:val="auto"/>
                <w:spacing w:val="-6"/>
                <w:szCs w:val="21"/>
              </w:rPr>
              <w:t>合同签订</w:t>
            </w:r>
          </w:p>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pacing w:val="-6"/>
                <w:szCs w:val="21"/>
              </w:rPr>
              <w:t>时间</w:t>
            </w:r>
          </w:p>
        </w:tc>
        <w:tc>
          <w:tcPr>
            <w:tcW w:w="768" w:type="dxa"/>
            <w:vAlign w:val="center"/>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合同金额</w:t>
            </w:r>
          </w:p>
        </w:tc>
        <w:tc>
          <w:tcPr>
            <w:tcW w:w="756" w:type="dxa"/>
            <w:vAlign w:val="center"/>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项目负责人</w:t>
            </w:r>
          </w:p>
        </w:tc>
        <w:tc>
          <w:tcPr>
            <w:tcW w:w="1176" w:type="dxa"/>
            <w:vAlign w:val="center"/>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业主单位联系人及电话</w:t>
            </w:r>
          </w:p>
        </w:tc>
        <w:tc>
          <w:tcPr>
            <w:tcW w:w="1212" w:type="dxa"/>
            <w:vAlign w:val="center"/>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中标公告网页链接（如有）</w:t>
            </w:r>
          </w:p>
        </w:tc>
        <w:tc>
          <w:tcPr>
            <w:tcW w:w="1019" w:type="dxa"/>
            <w:vAlign w:val="center"/>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是否投</w:t>
            </w:r>
          </w:p>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入使用</w:t>
            </w:r>
          </w:p>
        </w:tc>
        <w:tc>
          <w:tcPr>
            <w:tcW w:w="599" w:type="dxa"/>
            <w:vAlign w:val="center"/>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备  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7" w:hRule="atLeast"/>
          <w:jc w:val="center"/>
        </w:trPr>
        <w:tc>
          <w:tcPr>
            <w:tcW w:w="642" w:type="dxa"/>
            <w:vAlign w:val="center"/>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color w:val="auto"/>
                <w:szCs w:val="21"/>
              </w:rPr>
            </w:pPr>
          </w:p>
        </w:tc>
        <w:tc>
          <w:tcPr>
            <w:tcW w:w="1330" w:type="dxa"/>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 xml:space="preserve">       </w:t>
            </w:r>
          </w:p>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color w:val="auto"/>
                <w:szCs w:val="21"/>
              </w:rPr>
            </w:pPr>
          </w:p>
        </w:tc>
        <w:tc>
          <w:tcPr>
            <w:tcW w:w="771" w:type="dxa"/>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color w:val="auto"/>
                <w:szCs w:val="21"/>
              </w:rPr>
            </w:pPr>
          </w:p>
        </w:tc>
        <w:tc>
          <w:tcPr>
            <w:tcW w:w="964" w:type="dxa"/>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color w:val="auto"/>
                <w:szCs w:val="21"/>
              </w:rPr>
            </w:pPr>
          </w:p>
        </w:tc>
        <w:tc>
          <w:tcPr>
            <w:tcW w:w="768" w:type="dxa"/>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color w:val="auto"/>
                <w:szCs w:val="21"/>
              </w:rPr>
            </w:pPr>
          </w:p>
        </w:tc>
        <w:tc>
          <w:tcPr>
            <w:tcW w:w="756" w:type="dxa"/>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color w:val="auto"/>
                <w:szCs w:val="21"/>
              </w:rPr>
            </w:pPr>
          </w:p>
        </w:tc>
        <w:tc>
          <w:tcPr>
            <w:tcW w:w="1176" w:type="dxa"/>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color w:val="auto"/>
                <w:szCs w:val="21"/>
              </w:rPr>
            </w:pPr>
          </w:p>
        </w:tc>
        <w:tc>
          <w:tcPr>
            <w:tcW w:w="1212" w:type="dxa"/>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color w:val="auto"/>
                <w:szCs w:val="21"/>
              </w:rPr>
            </w:pPr>
          </w:p>
        </w:tc>
        <w:tc>
          <w:tcPr>
            <w:tcW w:w="1019" w:type="dxa"/>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color w:val="auto"/>
                <w:szCs w:val="21"/>
              </w:rPr>
            </w:pPr>
          </w:p>
        </w:tc>
        <w:tc>
          <w:tcPr>
            <w:tcW w:w="599" w:type="dxa"/>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color w:val="auto"/>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7" w:hRule="atLeast"/>
          <w:jc w:val="center"/>
        </w:trPr>
        <w:tc>
          <w:tcPr>
            <w:tcW w:w="642" w:type="dxa"/>
            <w:vAlign w:val="center"/>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color w:val="auto"/>
                <w:szCs w:val="21"/>
              </w:rPr>
            </w:pPr>
          </w:p>
        </w:tc>
        <w:tc>
          <w:tcPr>
            <w:tcW w:w="1330" w:type="dxa"/>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color w:val="auto"/>
                <w:szCs w:val="21"/>
              </w:rPr>
            </w:pPr>
          </w:p>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color w:val="auto"/>
                <w:szCs w:val="21"/>
              </w:rPr>
            </w:pPr>
          </w:p>
        </w:tc>
        <w:tc>
          <w:tcPr>
            <w:tcW w:w="771" w:type="dxa"/>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color w:val="auto"/>
                <w:szCs w:val="21"/>
              </w:rPr>
            </w:pPr>
          </w:p>
        </w:tc>
        <w:tc>
          <w:tcPr>
            <w:tcW w:w="964" w:type="dxa"/>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color w:val="auto"/>
                <w:szCs w:val="21"/>
              </w:rPr>
            </w:pPr>
          </w:p>
        </w:tc>
        <w:tc>
          <w:tcPr>
            <w:tcW w:w="768" w:type="dxa"/>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color w:val="auto"/>
                <w:szCs w:val="21"/>
              </w:rPr>
            </w:pPr>
          </w:p>
        </w:tc>
        <w:tc>
          <w:tcPr>
            <w:tcW w:w="756" w:type="dxa"/>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color w:val="auto"/>
                <w:szCs w:val="21"/>
              </w:rPr>
            </w:pPr>
          </w:p>
        </w:tc>
        <w:tc>
          <w:tcPr>
            <w:tcW w:w="1176" w:type="dxa"/>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color w:val="auto"/>
                <w:szCs w:val="21"/>
              </w:rPr>
            </w:pPr>
          </w:p>
        </w:tc>
        <w:tc>
          <w:tcPr>
            <w:tcW w:w="1212" w:type="dxa"/>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color w:val="auto"/>
                <w:szCs w:val="21"/>
              </w:rPr>
            </w:pPr>
          </w:p>
        </w:tc>
        <w:tc>
          <w:tcPr>
            <w:tcW w:w="1019" w:type="dxa"/>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color w:val="auto"/>
                <w:szCs w:val="21"/>
              </w:rPr>
            </w:pPr>
          </w:p>
        </w:tc>
        <w:tc>
          <w:tcPr>
            <w:tcW w:w="599" w:type="dxa"/>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color w:val="auto"/>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7" w:hRule="atLeast"/>
          <w:jc w:val="center"/>
        </w:trPr>
        <w:tc>
          <w:tcPr>
            <w:tcW w:w="642" w:type="dxa"/>
            <w:vAlign w:val="center"/>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color w:val="auto"/>
                <w:szCs w:val="21"/>
              </w:rPr>
            </w:pPr>
          </w:p>
        </w:tc>
        <w:tc>
          <w:tcPr>
            <w:tcW w:w="1330" w:type="dxa"/>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color w:val="auto"/>
                <w:szCs w:val="21"/>
              </w:rPr>
            </w:pPr>
          </w:p>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color w:val="auto"/>
                <w:szCs w:val="21"/>
              </w:rPr>
            </w:pPr>
          </w:p>
        </w:tc>
        <w:tc>
          <w:tcPr>
            <w:tcW w:w="771" w:type="dxa"/>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color w:val="auto"/>
                <w:szCs w:val="21"/>
              </w:rPr>
            </w:pPr>
          </w:p>
        </w:tc>
        <w:tc>
          <w:tcPr>
            <w:tcW w:w="964" w:type="dxa"/>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color w:val="auto"/>
                <w:szCs w:val="21"/>
              </w:rPr>
            </w:pPr>
          </w:p>
        </w:tc>
        <w:tc>
          <w:tcPr>
            <w:tcW w:w="768" w:type="dxa"/>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color w:val="auto"/>
                <w:szCs w:val="21"/>
              </w:rPr>
            </w:pPr>
          </w:p>
        </w:tc>
        <w:tc>
          <w:tcPr>
            <w:tcW w:w="756" w:type="dxa"/>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color w:val="auto"/>
                <w:szCs w:val="21"/>
              </w:rPr>
            </w:pPr>
          </w:p>
        </w:tc>
        <w:tc>
          <w:tcPr>
            <w:tcW w:w="1176" w:type="dxa"/>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color w:val="auto"/>
                <w:szCs w:val="21"/>
              </w:rPr>
            </w:pPr>
          </w:p>
        </w:tc>
        <w:tc>
          <w:tcPr>
            <w:tcW w:w="1212" w:type="dxa"/>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color w:val="auto"/>
                <w:szCs w:val="21"/>
              </w:rPr>
            </w:pPr>
          </w:p>
        </w:tc>
        <w:tc>
          <w:tcPr>
            <w:tcW w:w="1019" w:type="dxa"/>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color w:val="auto"/>
                <w:szCs w:val="21"/>
              </w:rPr>
            </w:pPr>
          </w:p>
        </w:tc>
        <w:tc>
          <w:tcPr>
            <w:tcW w:w="599" w:type="dxa"/>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color w:val="auto"/>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7" w:hRule="atLeast"/>
          <w:jc w:val="center"/>
        </w:trPr>
        <w:tc>
          <w:tcPr>
            <w:tcW w:w="642" w:type="dxa"/>
            <w:vAlign w:val="center"/>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color w:val="auto"/>
                <w:szCs w:val="21"/>
              </w:rPr>
            </w:pPr>
          </w:p>
        </w:tc>
        <w:tc>
          <w:tcPr>
            <w:tcW w:w="1330" w:type="dxa"/>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color w:val="auto"/>
                <w:szCs w:val="21"/>
              </w:rPr>
            </w:pPr>
          </w:p>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color w:val="auto"/>
                <w:szCs w:val="21"/>
              </w:rPr>
            </w:pPr>
          </w:p>
        </w:tc>
        <w:tc>
          <w:tcPr>
            <w:tcW w:w="771" w:type="dxa"/>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color w:val="auto"/>
                <w:szCs w:val="21"/>
              </w:rPr>
            </w:pPr>
          </w:p>
        </w:tc>
        <w:tc>
          <w:tcPr>
            <w:tcW w:w="964" w:type="dxa"/>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color w:val="auto"/>
                <w:szCs w:val="21"/>
              </w:rPr>
            </w:pPr>
          </w:p>
        </w:tc>
        <w:tc>
          <w:tcPr>
            <w:tcW w:w="768" w:type="dxa"/>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color w:val="auto"/>
                <w:szCs w:val="21"/>
              </w:rPr>
            </w:pPr>
          </w:p>
        </w:tc>
        <w:tc>
          <w:tcPr>
            <w:tcW w:w="756" w:type="dxa"/>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color w:val="auto"/>
                <w:szCs w:val="21"/>
              </w:rPr>
            </w:pPr>
          </w:p>
        </w:tc>
        <w:tc>
          <w:tcPr>
            <w:tcW w:w="1176" w:type="dxa"/>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color w:val="auto"/>
                <w:szCs w:val="21"/>
              </w:rPr>
            </w:pPr>
          </w:p>
        </w:tc>
        <w:tc>
          <w:tcPr>
            <w:tcW w:w="1212" w:type="dxa"/>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color w:val="auto"/>
                <w:szCs w:val="21"/>
              </w:rPr>
            </w:pPr>
          </w:p>
        </w:tc>
        <w:tc>
          <w:tcPr>
            <w:tcW w:w="1019" w:type="dxa"/>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color w:val="auto"/>
                <w:szCs w:val="21"/>
              </w:rPr>
            </w:pPr>
          </w:p>
        </w:tc>
        <w:tc>
          <w:tcPr>
            <w:tcW w:w="599" w:type="dxa"/>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color w:val="auto"/>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7" w:hRule="atLeast"/>
          <w:jc w:val="center"/>
        </w:trPr>
        <w:tc>
          <w:tcPr>
            <w:tcW w:w="642" w:type="dxa"/>
            <w:vAlign w:val="center"/>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color w:val="auto"/>
                <w:szCs w:val="21"/>
              </w:rPr>
            </w:pPr>
          </w:p>
        </w:tc>
        <w:tc>
          <w:tcPr>
            <w:tcW w:w="1330" w:type="dxa"/>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color w:val="auto"/>
                <w:szCs w:val="21"/>
              </w:rPr>
            </w:pPr>
          </w:p>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color w:val="auto"/>
                <w:szCs w:val="21"/>
              </w:rPr>
            </w:pPr>
          </w:p>
        </w:tc>
        <w:tc>
          <w:tcPr>
            <w:tcW w:w="771" w:type="dxa"/>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color w:val="auto"/>
                <w:szCs w:val="21"/>
              </w:rPr>
            </w:pPr>
          </w:p>
        </w:tc>
        <w:tc>
          <w:tcPr>
            <w:tcW w:w="964" w:type="dxa"/>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color w:val="auto"/>
                <w:szCs w:val="21"/>
              </w:rPr>
            </w:pPr>
          </w:p>
        </w:tc>
        <w:tc>
          <w:tcPr>
            <w:tcW w:w="768" w:type="dxa"/>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color w:val="auto"/>
                <w:szCs w:val="21"/>
              </w:rPr>
            </w:pPr>
          </w:p>
        </w:tc>
        <w:tc>
          <w:tcPr>
            <w:tcW w:w="756" w:type="dxa"/>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color w:val="auto"/>
                <w:szCs w:val="21"/>
              </w:rPr>
            </w:pPr>
          </w:p>
        </w:tc>
        <w:tc>
          <w:tcPr>
            <w:tcW w:w="1176" w:type="dxa"/>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color w:val="auto"/>
                <w:szCs w:val="21"/>
              </w:rPr>
            </w:pPr>
          </w:p>
        </w:tc>
        <w:tc>
          <w:tcPr>
            <w:tcW w:w="1212" w:type="dxa"/>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color w:val="auto"/>
                <w:szCs w:val="21"/>
              </w:rPr>
            </w:pPr>
          </w:p>
        </w:tc>
        <w:tc>
          <w:tcPr>
            <w:tcW w:w="1019" w:type="dxa"/>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color w:val="auto"/>
                <w:szCs w:val="21"/>
              </w:rPr>
            </w:pPr>
          </w:p>
        </w:tc>
        <w:tc>
          <w:tcPr>
            <w:tcW w:w="599" w:type="dxa"/>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color w:val="auto"/>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7" w:hRule="atLeast"/>
          <w:jc w:val="center"/>
        </w:trPr>
        <w:tc>
          <w:tcPr>
            <w:tcW w:w="642" w:type="dxa"/>
            <w:vAlign w:val="center"/>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color w:val="auto"/>
                <w:szCs w:val="21"/>
              </w:rPr>
            </w:pPr>
          </w:p>
        </w:tc>
        <w:tc>
          <w:tcPr>
            <w:tcW w:w="1330" w:type="dxa"/>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color w:val="auto"/>
                <w:szCs w:val="21"/>
              </w:rPr>
            </w:pPr>
          </w:p>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color w:val="auto"/>
                <w:szCs w:val="21"/>
              </w:rPr>
            </w:pPr>
          </w:p>
        </w:tc>
        <w:tc>
          <w:tcPr>
            <w:tcW w:w="771" w:type="dxa"/>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color w:val="auto"/>
                <w:szCs w:val="21"/>
              </w:rPr>
            </w:pPr>
          </w:p>
        </w:tc>
        <w:tc>
          <w:tcPr>
            <w:tcW w:w="964" w:type="dxa"/>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color w:val="auto"/>
                <w:szCs w:val="21"/>
              </w:rPr>
            </w:pPr>
          </w:p>
        </w:tc>
        <w:tc>
          <w:tcPr>
            <w:tcW w:w="768" w:type="dxa"/>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color w:val="auto"/>
                <w:szCs w:val="21"/>
              </w:rPr>
            </w:pPr>
          </w:p>
        </w:tc>
        <w:tc>
          <w:tcPr>
            <w:tcW w:w="756" w:type="dxa"/>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color w:val="auto"/>
                <w:szCs w:val="21"/>
              </w:rPr>
            </w:pPr>
          </w:p>
        </w:tc>
        <w:tc>
          <w:tcPr>
            <w:tcW w:w="1176" w:type="dxa"/>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color w:val="auto"/>
                <w:szCs w:val="21"/>
              </w:rPr>
            </w:pPr>
          </w:p>
        </w:tc>
        <w:tc>
          <w:tcPr>
            <w:tcW w:w="1212" w:type="dxa"/>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color w:val="auto"/>
                <w:szCs w:val="21"/>
              </w:rPr>
            </w:pPr>
          </w:p>
        </w:tc>
        <w:tc>
          <w:tcPr>
            <w:tcW w:w="1019" w:type="dxa"/>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color w:val="auto"/>
                <w:szCs w:val="21"/>
              </w:rPr>
            </w:pPr>
          </w:p>
        </w:tc>
        <w:tc>
          <w:tcPr>
            <w:tcW w:w="599" w:type="dxa"/>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color w:val="auto"/>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7" w:hRule="atLeast"/>
          <w:jc w:val="center"/>
        </w:trPr>
        <w:tc>
          <w:tcPr>
            <w:tcW w:w="642" w:type="dxa"/>
            <w:vAlign w:val="center"/>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color w:val="auto"/>
                <w:szCs w:val="21"/>
              </w:rPr>
            </w:pPr>
          </w:p>
        </w:tc>
        <w:tc>
          <w:tcPr>
            <w:tcW w:w="1330" w:type="dxa"/>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color w:val="auto"/>
                <w:szCs w:val="21"/>
              </w:rPr>
            </w:pPr>
          </w:p>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color w:val="auto"/>
                <w:szCs w:val="21"/>
              </w:rPr>
            </w:pPr>
          </w:p>
        </w:tc>
        <w:tc>
          <w:tcPr>
            <w:tcW w:w="771" w:type="dxa"/>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color w:val="auto"/>
                <w:szCs w:val="21"/>
              </w:rPr>
            </w:pPr>
          </w:p>
        </w:tc>
        <w:tc>
          <w:tcPr>
            <w:tcW w:w="964" w:type="dxa"/>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color w:val="auto"/>
                <w:szCs w:val="21"/>
              </w:rPr>
            </w:pPr>
          </w:p>
        </w:tc>
        <w:tc>
          <w:tcPr>
            <w:tcW w:w="768" w:type="dxa"/>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color w:val="auto"/>
                <w:szCs w:val="21"/>
              </w:rPr>
            </w:pPr>
          </w:p>
        </w:tc>
        <w:tc>
          <w:tcPr>
            <w:tcW w:w="756" w:type="dxa"/>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color w:val="auto"/>
                <w:szCs w:val="21"/>
              </w:rPr>
            </w:pPr>
          </w:p>
        </w:tc>
        <w:tc>
          <w:tcPr>
            <w:tcW w:w="1176" w:type="dxa"/>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color w:val="auto"/>
                <w:szCs w:val="21"/>
              </w:rPr>
            </w:pPr>
          </w:p>
        </w:tc>
        <w:tc>
          <w:tcPr>
            <w:tcW w:w="1212" w:type="dxa"/>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color w:val="auto"/>
                <w:szCs w:val="21"/>
              </w:rPr>
            </w:pPr>
          </w:p>
        </w:tc>
        <w:tc>
          <w:tcPr>
            <w:tcW w:w="1019" w:type="dxa"/>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color w:val="auto"/>
                <w:szCs w:val="21"/>
              </w:rPr>
            </w:pPr>
          </w:p>
        </w:tc>
        <w:tc>
          <w:tcPr>
            <w:tcW w:w="599" w:type="dxa"/>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color w:val="auto"/>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7" w:hRule="atLeast"/>
          <w:jc w:val="center"/>
        </w:trPr>
        <w:tc>
          <w:tcPr>
            <w:tcW w:w="642" w:type="dxa"/>
            <w:vAlign w:val="center"/>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w:t>
            </w:r>
          </w:p>
        </w:tc>
        <w:tc>
          <w:tcPr>
            <w:tcW w:w="1330" w:type="dxa"/>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color w:val="auto"/>
                <w:szCs w:val="21"/>
              </w:rPr>
            </w:pPr>
          </w:p>
        </w:tc>
        <w:tc>
          <w:tcPr>
            <w:tcW w:w="771" w:type="dxa"/>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color w:val="auto"/>
                <w:szCs w:val="21"/>
              </w:rPr>
            </w:pPr>
          </w:p>
        </w:tc>
        <w:tc>
          <w:tcPr>
            <w:tcW w:w="964" w:type="dxa"/>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color w:val="auto"/>
                <w:szCs w:val="21"/>
              </w:rPr>
            </w:pPr>
          </w:p>
        </w:tc>
        <w:tc>
          <w:tcPr>
            <w:tcW w:w="768" w:type="dxa"/>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color w:val="auto"/>
                <w:szCs w:val="21"/>
              </w:rPr>
            </w:pPr>
          </w:p>
        </w:tc>
        <w:tc>
          <w:tcPr>
            <w:tcW w:w="756" w:type="dxa"/>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color w:val="auto"/>
                <w:szCs w:val="21"/>
              </w:rPr>
            </w:pPr>
          </w:p>
        </w:tc>
        <w:tc>
          <w:tcPr>
            <w:tcW w:w="1176" w:type="dxa"/>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color w:val="auto"/>
                <w:szCs w:val="21"/>
              </w:rPr>
            </w:pPr>
          </w:p>
        </w:tc>
        <w:tc>
          <w:tcPr>
            <w:tcW w:w="1212" w:type="dxa"/>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color w:val="auto"/>
                <w:szCs w:val="21"/>
              </w:rPr>
            </w:pPr>
          </w:p>
        </w:tc>
        <w:tc>
          <w:tcPr>
            <w:tcW w:w="1019" w:type="dxa"/>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color w:val="auto"/>
                <w:szCs w:val="21"/>
              </w:rPr>
            </w:pPr>
          </w:p>
        </w:tc>
        <w:tc>
          <w:tcPr>
            <w:tcW w:w="599" w:type="dxa"/>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color w:val="auto"/>
                <w:szCs w:val="21"/>
              </w:rPr>
            </w:pPr>
          </w:p>
        </w:tc>
      </w:tr>
    </w:tbl>
    <w:p>
      <w:pPr>
        <w:spacing w:line="360" w:lineRule="auto"/>
        <w:rPr>
          <w:rFonts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说明：</w:t>
      </w:r>
    </w:p>
    <w:p>
      <w:pPr>
        <w:spacing w:line="360" w:lineRule="auto"/>
        <w:rPr>
          <w:rFonts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1.附磋商供应商承担类似项目的情况填入本表中，提供业绩合同等评分标准要求的相关证明材料。 无证明材料的内容评审时将不予考虑。</w:t>
      </w:r>
      <w:r>
        <w:rPr>
          <w:rFonts w:hint="eastAsia" w:asciiTheme="minorEastAsia" w:hAnsiTheme="minorEastAsia" w:eastAsiaTheme="minorEastAsia" w:cstheme="minorEastAsia"/>
          <w:color w:val="auto"/>
          <w:szCs w:val="21"/>
        </w:rPr>
        <w:br w:type="textWrapping"/>
      </w:r>
      <w:r>
        <w:rPr>
          <w:rFonts w:hint="eastAsia" w:asciiTheme="minorEastAsia" w:hAnsiTheme="minorEastAsia" w:eastAsiaTheme="minorEastAsia" w:cstheme="minorEastAsia"/>
          <w:color w:val="auto"/>
          <w:szCs w:val="21"/>
        </w:rPr>
        <w:t>2.公开竞标成交的类似业绩，还应提供成交/中标公告网页链接。</w:t>
      </w:r>
    </w:p>
    <w:p>
      <w:pPr>
        <w:spacing w:line="360" w:lineRule="auto"/>
        <w:rPr>
          <w:rFonts w:asciiTheme="minorEastAsia" w:hAnsiTheme="minorEastAsia" w:eastAsiaTheme="minorEastAsia" w:cstheme="minorEastAsia"/>
          <w:color w:val="auto"/>
          <w:szCs w:val="21"/>
        </w:rPr>
      </w:pPr>
      <w:bookmarkStart w:id="189" w:name="_Toc460258118"/>
      <w:bookmarkStart w:id="190" w:name="_Toc454806053"/>
      <w:r>
        <w:rPr>
          <w:rFonts w:hint="eastAsia" w:asciiTheme="minorEastAsia" w:hAnsiTheme="minorEastAsia" w:eastAsiaTheme="minorEastAsia" w:cstheme="minorEastAsia"/>
          <w:b/>
          <w:bCs/>
          <w:color w:val="auto"/>
          <w:sz w:val="24"/>
        </w:rPr>
        <w:br w:type="textWrapping"/>
      </w:r>
      <w:r>
        <w:rPr>
          <w:rFonts w:hint="eastAsia" w:asciiTheme="minorEastAsia" w:hAnsiTheme="minorEastAsia" w:eastAsiaTheme="minorEastAsia" w:cstheme="minorEastAsia"/>
          <w:b/>
          <w:bCs/>
          <w:color w:val="auto"/>
          <w:sz w:val="24"/>
        </w:rPr>
        <w:br w:type="textWrapping"/>
      </w:r>
      <w:r>
        <w:rPr>
          <w:rFonts w:hint="eastAsia" w:asciiTheme="minorEastAsia" w:hAnsiTheme="minorEastAsia" w:eastAsiaTheme="minorEastAsia" w:cstheme="minorEastAsia"/>
          <w:color w:val="auto"/>
          <w:szCs w:val="21"/>
        </w:rPr>
        <w:t>磋商供应商授权代表（签字）：</w:t>
      </w:r>
      <w:r>
        <w:rPr>
          <w:rFonts w:hint="eastAsia" w:asciiTheme="minorEastAsia" w:hAnsiTheme="minorEastAsia" w:eastAsiaTheme="minorEastAsia" w:cstheme="minorEastAsia"/>
          <w:color w:val="auto"/>
          <w:szCs w:val="21"/>
          <w:u w:val="single"/>
        </w:rPr>
        <w:t xml:space="preserve">                        </w:t>
      </w:r>
    </w:p>
    <w:p>
      <w:pPr>
        <w:spacing w:line="360" w:lineRule="auto"/>
        <w:rPr>
          <w:rFonts w:asciiTheme="minorEastAsia" w:hAnsiTheme="minorEastAsia" w:eastAsiaTheme="minorEastAsia" w:cstheme="minorEastAsia"/>
          <w:color w:val="auto"/>
          <w:szCs w:val="21"/>
          <w:u w:val="single"/>
        </w:rPr>
      </w:pPr>
      <w:r>
        <w:rPr>
          <w:rFonts w:hint="eastAsia" w:asciiTheme="minorEastAsia" w:hAnsiTheme="minorEastAsia" w:eastAsiaTheme="minorEastAsia" w:cstheme="minorEastAsia"/>
          <w:color w:val="auto"/>
          <w:szCs w:val="21"/>
        </w:rPr>
        <w:t>磋商</w:t>
      </w:r>
      <w:r>
        <w:rPr>
          <w:rFonts w:hint="eastAsia" w:asciiTheme="minorEastAsia" w:hAnsiTheme="minorEastAsia" w:eastAsiaTheme="minorEastAsia" w:cstheme="minorEastAsia"/>
          <w:bCs/>
          <w:color w:val="auto"/>
          <w:szCs w:val="21"/>
        </w:rPr>
        <w:t>供应商</w:t>
      </w:r>
      <w:r>
        <w:rPr>
          <w:rFonts w:hint="eastAsia" w:asciiTheme="minorEastAsia" w:hAnsiTheme="minorEastAsia" w:eastAsiaTheme="minorEastAsia" w:cstheme="minorEastAsia"/>
          <w:color w:val="auto"/>
          <w:szCs w:val="21"/>
        </w:rPr>
        <w:t>名称（盖章 ）：</w:t>
      </w:r>
      <w:r>
        <w:rPr>
          <w:rFonts w:hint="eastAsia" w:asciiTheme="minorEastAsia" w:hAnsiTheme="minorEastAsia" w:eastAsiaTheme="minorEastAsia" w:cstheme="minorEastAsia"/>
          <w:color w:val="auto"/>
          <w:szCs w:val="21"/>
          <w:u w:val="single"/>
        </w:rPr>
        <w:t xml:space="preserve">                                     </w:t>
      </w:r>
    </w:p>
    <w:p>
      <w:pPr>
        <w:spacing w:line="360" w:lineRule="auto"/>
        <w:rPr>
          <w:rFonts w:asciiTheme="minorEastAsia" w:hAnsiTheme="minorEastAsia" w:eastAsiaTheme="minorEastAsia" w:cstheme="minorEastAsia"/>
          <w:color w:val="auto"/>
          <w:szCs w:val="21"/>
        </w:rPr>
      </w:pPr>
      <w:r>
        <w:rPr>
          <w:rFonts w:hint="eastAsia" w:asciiTheme="minorEastAsia" w:hAnsiTheme="minorEastAsia" w:eastAsiaTheme="minorEastAsia" w:cstheme="minorEastAsia"/>
          <w:bCs/>
          <w:color w:val="auto"/>
          <w:szCs w:val="21"/>
        </w:rPr>
        <w:t xml:space="preserve">时                 </w:t>
      </w:r>
      <w:r>
        <w:rPr>
          <w:rFonts w:hint="eastAsia" w:asciiTheme="minorEastAsia" w:hAnsiTheme="minorEastAsia" w:eastAsiaTheme="minorEastAsia" w:cstheme="minorEastAsia"/>
          <w:color w:val="auto"/>
          <w:szCs w:val="21"/>
        </w:rPr>
        <w:t>间：</w:t>
      </w:r>
      <w:r>
        <w:rPr>
          <w:rFonts w:hint="eastAsia" w:asciiTheme="minorEastAsia" w:hAnsiTheme="minorEastAsia" w:eastAsiaTheme="minorEastAsia" w:cstheme="minorEastAsia"/>
          <w:color w:val="auto"/>
          <w:szCs w:val="21"/>
          <w:u w:val="single"/>
        </w:rPr>
        <w:t xml:space="preserve">           </w:t>
      </w:r>
      <w:r>
        <w:rPr>
          <w:rFonts w:hint="eastAsia" w:asciiTheme="minorEastAsia" w:hAnsiTheme="minorEastAsia" w:eastAsiaTheme="minorEastAsia" w:cstheme="minorEastAsia"/>
          <w:color w:val="auto"/>
          <w:szCs w:val="21"/>
        </w:rPr>
        <w:t>年</w:t>
      </w:r>
      <w:r>
        <w:rPr>
          <w:rFonts w:hint="eastAsia" w:asciiTheme="minorEastAsia" w:hAnsiTheme="minorEastAsia" w:eastAsiaTheme="minorEastAsia" w:cstheme="minorEastAsia"/>
          <w:color w:val="auto"/>
          <w:szCs w:val="21"/>
          <w:u w:val="single"/>
        </w:rPr>
        <w:t xml:space="preserve">          </w:t>
      </w:r>
      <w:r>
        <w:rPr>
          <w:rFonts w:hint="eastAsia" w:asciiTheme="minorEastAsia" w:hAnsiTheme="minorEastAsia" w:eastAsiaTheme="minorEastAsia" w:cstheme="minorEastAsia"/>
          <w:color w:val="auto"/>
          <w:szCs w:val="21"/>
        </w:rPr>
        <w:t>月</w:t>
      </w:r>
      <w:r>
        <w:rPr>
          <w:rFonts w:hint="eastAsia" w:asciiTheme="minorEastAsia" w:hAnsiTheme="minorEastAsia" w:eastAsiaTheme="minorEastAsia" w:cstheme="minorEastAsia"/>
          <w:color w:val="auto"/>
          <w:szCs w:val="21"/>
          <w:u w:val="single"/>
        </w:rPr>
        <w:t xml:space="preserve">          </w:t>
      </w:r>
      <w:r>
        <w:rPr>
          <w:rFonts w:hint="eastAsia" w:asciiTheme="minorEastAsia" w:hAnsiTheme="minorEastAsia" w:eastAsiaTheme="minorEastAsia" w:cstheme="minorEastAsia"/>
          <w:color w:val="auto"/>
          <w:szCs w:val="21"/>
        </w:rPr>
        <w:t>日</w:t>
      </w:r>
    </w:p>
    <w:p>
      <w:pPr>
        <w:tabs>
          <w:tab w:val="left" w:pos="540"/>
        </w:tabs>
        <w:autoSpaceDE w:val="0"/>
        <w:autoSpaceDN w:val="0"/>
        <w:adjustRightInd w:val="0"/>
        <w:spacing w:line="360" w:lineRule="auto"/>
        <w:jc w:val="center"/>
        <w:outlineLvl w:val="1"/>
        <w:rPr>
          <w:rFonts w:asciiTheme="minorEastAsia" w:hAnsiTheme="minorEastAsia" w:eastAsiaTheme="minorEastAsia" w:cstheme="minorEastAsia"/>
          <w:b/>
          <w:bCs/>
          <w:color w:val="auto"/>
          <w:szCs w:val="21"/>
        </w:rPr>
      </w:pPr>
      <w:r>
        <w:rPr>
          <w:rFonts w:hint="eastAsia" w:asciiTheme="minorEastAsia" w:hAnsiTheme="minorEastAsia" w:eastAsiaTheme="minorEastAsia" w:cstheme="minorEastAsia"/>
          <w:b/>
          <w:bCs/>
          <w:color w:val="auto"/>
          <w:sz w:val="24"/>
        </w:rPr>
        <w:br w:type="page"/>
      </w:r>
      <w:bookmarkStart w:id="191" w:name="_Toc30455"/>
      <w:bookmarkStart w:id="192" w:name="_Toc479184135"/>
      <w:bookmarkStart w:id="193" w:name="_Toc17955"/>
      <w:bookmarkStart w:id="194" w:name="_Toc4834"/>
      <w:r>
        <w:rPr>
          <w:rFonts w:hint="eastAsia" w:asciiTheme="minorEastAsia" w:hAnsiTheme="minorEastAsia" w:eastAsiaTheme="minorEastAsia" w:cstheme="minorEastAsia"/>
          <w:b/>
          <w:bCs/>
          <w:color w:val="auto"/>
          <w:szCs w:val="21"/>
        </w:rPr>
        <w:t>十二、拟投入项目组人员一览表</w:t>
      </w:r>
      <w:bookmarkEnd w:id="189"/>
      <w:bookmarkEnd w:id="190"/>
      <w:bookmarkEnd w:id="191"/>
      <w:bookmarkEnd w:id="192"/>
      <w:bookmarkEnd w:id="193"/>
      <w:bookmarkEnd w:id="194"/>
    </w:p>
    <w:p>
      <w:pPr>
        <w:adjustRightInd w:val="0"/>
        <w:snapToGrid w:val="0"/>
        <w:spacing w:line="360" w:lineRule="auto"/>
        <w:rPr>
          <w:rFonts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 xml:space="preserve">项目名称：                         </w:t>
      </w:r>
    </w:p>
    <w:p>
      <w:pPr>
        <w:adjustRightInd w:val="0"/>
        <w:snapToGrid w:val="0"/>
        <w:spacing w:line="360" w:lineRule="auto"/>
        <w:ind w:left="-181" w:leftChars="-86" w:firstLine="180" w:firstLineChars="86"/>
        <w:rPr>
          <w:rFonts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项目编号：</w:t>
      </w:r>
    </w:p>
    <w:tbl>
      <w:tblPr>
        <w:tblStyle w:val="26"/>
        <w:tblW w:w="9235"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03"/>
        <w:gridCol w:w="834"/>
        <w:gridCol w:w="2208"/>
        <w:gridCol w:w="850"/>
        <w:gridCol w:w="693"/>
        <w:gridCol w:w="877"/>
        <w:gridCol w:w="877"/>
        <w:gridCol w:w="1383"/>
        <w:gridCol w:w="71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9" w:hRule="atLeast"/>
        </w:trPr>
        <w:tc>
          <w:tcPr>
            <w:tcW w:w="803" w:type="dxa"/>
            <w:vAlign w:val="center"/>
          </w:tcPr>
          <w:p>
            <w:pPr>
              <w:adjustRightInd w:val="0"/>
              <w:snapToGrid w:val="0"/>
              <w:spacing w:line="360" w:lineRule="auto"/>
              <w:jc w:val="center"/>
              <w:rPr>
                <w:rFonts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序号</w:t>
            </w:r>
          </w:p>
        </w:tc>
        <w:tc>
          <w:tcPr>
            <w:tcW w:w="834" w:type="dxa"/>
            <w:vAlign w:val="center"/>
          </w:tcPr>
          <w:p>
            <w:pPr>
              <w:adjustRightInd w:val="0"/>
              <w:snapToGrid w:val="0"/>
              <w:spacing w:line="360" w:lineRule="auto"/>
              <w:jc w:val="center"/>
              <w:rPr>
                <w:rFonts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姓名</w:t>
            </w:r>
          </w:p>
        </w:tc>
        <w:tc>
          <w:tcPr>
            <w:tcW w:w="2208" w:type="dxa"/>
            <w:vAlign w:val="center"/>
          </w:tcPr>
          <w:p>
            <w:pPr>
              <w:adjustRightInd w:val="0"/>
              <w:snapToGrid w:val="0"/>
              <w:spacing w:line="360" w:lineRule="auto"/>
              <w:jc w:val="center"/>
              <w:rPr>
                <w:rFonts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在本项目中担当职位</w:t>
            </w:r>
          </w:p>
        </w:tc>
        <w:tc>
          <w:tcPr>
            <w:tcW w:w="850" w:type="dxa"/>
            <w:vAlign w:val="center"/>
          </w:tcPr>
          <w:p>
            <w:pPr>
              <w:adjustRightInd w:val="0"/>
              <w:snapToGrid w:val="0"/>
              <w:spacing w:line="360" w:lineRule="auto"/>
              <w:jc w:val="center"/>
              <w:rPr>
                <w:rFonts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年龄</w:t>
            </w:r>
          </w:p>
        </w:tc>
        <w:tc>
          <w:tcPr>
            <w:tcW w:w="693" w:type="dxa"/>
            <w:vAlign w:val="center"/>
          </w:tcPr>
          <w:p>
            <w:pPr>
              <w:adjustRightInd w:val="0"/>
              <w:snapToGrid w:val="0"/>
              <w:spacing w:line="360" w:lineRule="auto"/>
              <w:jc w:val="center"/>
              <w:rPr>
                <w:rFonts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学历</w:t>
            </w:r>
          </w:p>
        </w:tc>
        <w:tc>
          <w:tcPr>
            <w:tcW w:w="877" w:type="dxa"/>
            <w:vAlign w:val="center"/>
          </w:tcPr>
          <w:p>
            <w:pPr>
              <w:adjustRightInd w:val="0"/>
              <w:snapToGrid w:val="0"/>
              <w:spacing w:line="360" w:lineRule="auto"/>
              <w:jc w:val="center"/>
              <w:rPr>
                <w:rFonts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职务</w:t>
            </w:r>
          </w:p>
        </w:tc>
        <w:tc>
          <w:tcPr>
            <w:tcW w:w="877" w:type="dxa"/>
            <w:vAlign w:val="center"/>
          </w:tcPr>
          <w:p>
            <w:pPr>
              <w:adjustRightInd w:val="0"/>
              <w:snapToGrid w:val="0"/>
              <w:spacing w:line="360" w:lineRule="auto"/>
              <w:jc w:val="center"/>
              <w:rPr>
                <w:rFonts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职称</w:t>
            </w:r>
          </w:p>
        </w:tc>
        <w:tc>
          <w:tcPr>
            <w:tcW w:w="1383" w:type="dxa"/>
            <w:vAlign w:val="center"/>
          </w:tcPr>
          <w:p>
            <w:pPr>
              <w:adjustRightInd w:val="0"/>
              <w:snapToGrid w:val="0"/>
              <w:spacing w:line="360" w:lineRule="auto"/>
              <w:jc w:val="center"/>
              <w:rPr>
                <w:rFonts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从业经历</w:t>
            </w:r>
          </w:p>
        </w:tc>
        <w:tc>
          <w:tcPr>
            <w:tcW w:w="710" w:type="dxa"/>
            <w:vAlign w:val="center"/>
          </w:tcPr>
          <w:p>
            <w:pPr>
              <w:adjustRightInd w:val="0"/>
              <w:snapToGrid w:val="0"/>
              <w:spacing w:line="360" w:lineRule="auto"/>
              <w:jc w:val="center"/>
              <w:rPr>
                <w:rFonts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其他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9" w:hRule="atLeast"/>
        </w:trPr>
        <w:tc>
          <w:tcPr>
            <w:tcW w:w="803" w:type="dxa"/>
            <w:vAlign w:val="center"/>
          </w:tcPr>
          <w:p>
            <w:pPr>
              <w:adjustRightInd w:val="0"/>
              <w:snapToGrid w:val="0"/>
              <w:spacing w:line="360" w:lineRule="auto"/>
              <w:jc w:val="center"/>
              <w:rPr>
                <w:rFonts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1</w:t>
            </w:r>
          </w:p>
        </w:tc>
        <w:tc>
          <w:tcPr>
            <w:tcW w:w="834" w:type="dxa"/>
            <w:vAlign w:val="center"/>
          </w:tcPr>
          <w:p>
            <w:pPr>
              <w:adjustRightInd w:val="0"/>
              <w:snapToGrid w:val="0"/>
              <w:spacing w:line="360" w:lineRule="auto"/>
              <w:jc w:val="center"/>
              <w:rPr>
                <w:rFonts w:asciiTheme="minorEastAsia" w:hAnsiTheme="minorEastAsia" w:eastAsiaTheme="minorEastAsia" w:cstheme="minorEastAsia"/>
                <w:color w:val="auto"/>
                <w:szCs w:val="21"/>
              </w:rPr>
            </w:pPr>
          </w:p>
        </w:tc>
        <w:tc>
          <w:tcPr>
            <w:tcW w:w="2208" w:type="dxa"/>
            <w:vAlign w:val="center"/>
          </w:tcPr>
          <w:p>
            <w:pPr>
              <w:adjustRightInd w:val="0"/>
              <w:snapToGrid w:val="0"/>
              <w:spacing w:line="360" w:lineRule="auto"/>
              <w:jc w:val="center"/>
              <w:rPr>
                <w:rFonts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项目负责人</w:t>
            </w:r>
          </w:p>
        </w:tc>
        <w:tc>
          <w:tcPr>
            <w:tcW w:w="850" w:type="dxa"/>
            <w:vAlign w:val="center"/>
          </w:tcPr>
          <w:p>
            <w:pPr>
              <w:adjustRightInd w:val="0"/>
              <w:snapToGrid w:val="0"/>
              <w:spacing w:line="360" w:lineRule="auto"/>
              <w:jc w:val="center"/>
              <w:rPr>
                <w:rFonts w:asciiTheme="minorEastAsia" w:hAnsiTheme="minorEastAsia" w:eastAsiaTheme="minorEastAsia" w:cstheme="minorEastAsia"/>
                <w:color w:val="auto"/>
                <w:szCs w:val="21"/>
              </w:rPr>
            </w:pPr>
          </w:p>
        </w:tc>
        <w:tc>
          <w:tcPr>
            <w:tcW w:w="693" w:type="dxa"/>
            <w:vAlign w:val="center"/>
          </w:tcPr>
          <w:p>
            <w:pPr>
              <w:adjustRightInd w:val="0"/>
              <w:snapToGrid w:val="0"/>
              <w:spacing w:line="360" w:lineRule="auto"/>
              <w:jc w:val="center"/>
              <w:rPr>
                <w:rFonts w:asciiTheme="minorEastAsia" w:hAnsiTheme="minorEastAsia" w:eastAsiaTheme="minorEastAsia" w:cstheme="minorEastAsia"/>
                <w:color w:val="auto"/>
                <w:szCs w:val="21"/>
              </w:rPr>
            </w:pPr>
          </w:p>
        </w:tc>
        <w:tc>
          <w:tcPr>
            <w:tcW w:w="877" w:type="dxa"/>
            <w:vAlign w:val="center"/>
          </w:tcPr>
          <w:p>
            <w:pPr>
              <w:adjustRightInd w:val="0"/>
              <w:snapToGrid w:val="0"/>
              <w:spacing w:line="360" w:lineRule="auto"/>
              <w:jc w:val="center"/>
              <w:rPr>
                <w:rFonts w:asciiTheme="minorEastAsia" w:hAnsiTheme="minorEastAsia" w:eastAsiaTheme="minorEastAsia" w:cstheme="minorEastAsia"/>
                <w:color w:val="auto"/>
                <w:szCs w:val="21"/>
              </w:rPr>
            </w:pPr>
          </w:p>
        </w:tc>
        <w:tc>
          <w:tcPr>
            <w:tcW w:w="877" w:type="dxa"/>
            <w:vAlign w:val="center"/>
          </w:tcPr>
          <w:p>
            <w:pPr>
              <w:adjustRightInd w:val="0"/>
              <w:snapToGrid w:val="0"/>
              <w:spacing w:line="360" w:lineRule="auto"/>
              <w:jc w:val="center"/>
              <w:rPr>
                <w:rFonts w:asciiTheme="minorEastAsia" w:hAnsiTheme="minorEastAsia" w:eastAsiaTheme="minorEastAsia" w:cstheme="minorEastAsia"/>
                <w:color w:val="auto"/>
                <w:szCs w:val="21"/>
              </w:rPr>
            </w:pPr>
          </w:p>
        </w:tc>
        <w:tc>
          <w:tcPr>
            <w:tcW w:w="1383" w:type="dxa"/>
            <w:vAlign w:val="center"/>
          </w:tcPr>
          <w:p>
            <w:pPr>
              <w:adjustRightInd w:val="0"/>
              <w:snapToGrid w:val="0"/>
              <w:spacing w:line="360" w:lineRule="auto"/>
              <w:jc w:val="center"/>
              <w:rPr>
                <w:rFonts w:asciiTheme="minorEastAsia" w:hAnsiTheme="minorEastAsia" w:eastAsiaTheme="minorEastAsia" w:cstheme="minorEastAsia"/>
                <w:color w:val="auto"/>
                <w:szCs w:val="21"/>
              </w:rPr>
            </w:pPr>
          </w:p>
        </w:tc>
        <w:tc>
          <w:tcPr>
            <w:tcW w:w="710" w:type="dxa"/>
            <w:vAlign w:val="center"/>
          </w:tcPr>
          <w:p>
            <w:pPr>
              <w:adjustRightInd w:val="0"/>
              <w:snapToGrid w:val="0"/>
              <w:spacing w:line="360" w:lineRule="auto"/>
              <w:jc w:val="center"/>
              <w:rPr>
                <w:rFonts w:asciiTheme="minorEastAsia" w:hAnsiTheme="minorEastAsia" w:eastAsiaTheme="minorEastAsia" w:cstheme="minorEastAsia"/>
                <w:color w:val="auto"/>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9" w:hRule="atLeast"/>
        </w:trPr>
        <w:tc>
          <w:tcPr>
            <w:tcW w:w="803" w:type="dxa"/>
            <w:vAlign w:val="center"/>
          </w:tcPr>
          <w:p>
            <w:pPr>
              <w:adjustRightInd w:val="0"/>
              <w:snapToGrid w:val="0"/>
              <w:spacing w:line="360" w:lineRule="auto"/>
              <w:jc w:val="center"/>
              <w:rPr>
                <w:rFonts w:asciiTheme="minorEastAsia" w:hAnsiTheme="minorEastAsia" w:eastAsiaTheme="minorEastAsia" w:cstheme="minorEastAsia"/>
                <w:color w:val="auto"/>
                <w:szCs w:val="21"/>
              </w:rPr>
            </w:pPr>
          </w:p>
        </w:tc>
        <w:tc>
          <w:tcPr>
            <w:tcW w:w="834" w:type="dxa"/>
            <w:vAlign w:val="center"/>
          </w:tcPr>
          <w:p>
            <w:pPr>
              <w:adjustRightInd w:val="0"/>
              <w:snapToGrid w:val="0"/>
              <w:spacing w:line="360" w:lineRule="auto"/>
              <w:jc w:val="center"/>
              <w:rPr>
                <w:rFonts w:asciiTheme="minorEastAsia" w:hAnsiTheme="minorEastAsia" w:eastAsiaTheme="minorEastAsia" w:cstheme="minorEastAsia"/>
                <w:color w:val="auto"/>
                <w:szCs w:val="21"/>
              </w:rPr>
            </w:pPr>
          </w:p>
        </w:tc>
        <w:tc>
          <w:tcPr>
            <w:tcW w:w="2208" w:type="dxa"/>
            <w:vAlign w:val="center"/>
          </w:tcPr>
          <w:p>
            <w:pPr>
              <w:adjustRightInd w:val="0"/>
              <w:snapToGrid w:val="0"/>
              <w:spacing w:line="360" w:lineRule="auto"/>
              <w:jc w:val="center"/>
              <w:rPr>
                <w:rFonts w:asciiTheme="minorEastAsia" w:hAnsiTheme="minorEastAsia" w:eastAsiaTheme="minorEastAsia" w:cstheme="minorEastAsia"/>
                <w:color w:val="auto"/>
                <w:szCs w:val="21"/>
              </w:rPr>
            </w:pPr>
          </w:p>
        </w:tc>
        <w:tc>
          <w:tcPr>
            <w:tcW w:w="850" w:type="dxa"/>
            <w:vAlign w:val="center"/>
          </w:tcPr>
          <w:p>
            <w:pPr>
              <w:adjustRightInd w:val="0"/>
              <w:snapToGrid w:val="0"/>
              <w:spacing w:line="360" w:lineRule="auto"/>
              <w:jc w:val="center"/>
              <w:rPr>
                <w:rFonts w:asciiTheme="minorEastAsia" w:hAnsiTheme="minorEastAsia" w:eastAsiaTheme="minorEastAsia" w:cstheme="minorEastAsia"/>
                <w:color w:val="auto"/>
                <w:szCs w:val="21"/>
              </w:rPr>
            </w:pPr>
          </w:p>
        </w:tc>
        <w:tc>
          <w:tcPr>
            <w:tcW w:w="693" w:type="dxa"/>
            <w:vAlign w:val="center"/>
          </w:tcPr>
          <w:p>
            <w:pPr>
              <w:adjustRightInd w:val="0"/>
              <w:snapToGrid w:val="0"/>
              <w:spacing w:line="360" w:lineRule="auto"/>
              <w:jc w:val="center"/>
              <w:rPr>
                <w:rFonts w:asciiTheme="minorEastAsia" w:hAnsiTheme="minorEastAsia" w:eastAsiaTheme="minorEastAsia" w:cstheme="minorEastAsia"/>
                <w:color w:val="auto"/>
                <w:szCs w:val="21"/>
              </w:rPr>
            </w:pPr>
          </w:p>
        </w:tc>
        <w:tc>
          <w:tcPr>
            <w:tcW w:w="877" w:type="dxa"/>
            <w:vAlign w:val="center"/>
          </w:tcPr>
          <w:p>
            <w:pPr>
              <w:adjustRightInd w:val="0"/>
              <w:snapToGrid w:val="0"/>
              <w:spacing w:line="360" w:lineRule="auto"/>
              <w:jc w:val="center"/>
              <w:rPr>
                <w:rFonts w:asciiTheme="minorEastAsia" w:hAnsiTheme="minorEastAsia" w:eastAsiaTheme="minorEastAsia" w:cstheme="minorEastAsia"/>
                <w:color w:val="auto"/>
                <w:szCs w:val="21"/>
              </w:rPr>
            </w:pPr>
          </w:p>
        </w:tc>
        <w:tc>
          <w:tcPr>
            <w:tcW w:w="877" w:type="dxa"/>
            <w:vAlign w:val="center"/>
          </w:tcPr>
          <w:p>
            <w:pPr>
              <w:adjustRightInd w:val="0"/>
              <w:snapToGrid w:val="0"/>
              <w:spacing w:line="360" w:lineRule="auto"/>
              <w:jc w:val="center"/>
              <w:rPr>
                <w:rFonts w:asciiTheme="minorEastAsia" w:hAnsiTheme="minorEastAsia" w:eastAsiaTheme="minorEastAsia" w:cstheme="minorEastAsia"/>
                <w:color w:val="auto"/>
                <w:szCs w:val="21"/>
              </w:rPr>
            </w:pPr>
          </w:p>
        </w:tc>
        <w:tc>
          <w:tcPr>
            <w:tcW w:w="1383" w:type="dxa"/>
            <w:vAlign w:val="center"/>
          </w:tcPr>
          <w:p>
            <w:pPr>
              <w:adjustRightInd w:val="0"/>
              <w:snapToGrid w:val="0"/>
              <w:spacing w:line="360" w:lineRule="auto"/>
              <w:jc w:val="center"/>
              <w:rPr>
                <w:rFonts w:asciiTheme="minorEastAsia" w:hAnsiTheme="minorEastAsia" w:eastAsiaTheme="minorEastAsia" w:cstheme="minorEastAsia"/>
                <w:color w:val="auto"/>
                <w:szCs w:val="21"/>
              </w:rPr>
            </w:pPr>
          </w:p>
        </w:tc>
        <w:tc>
          <w:tcPr>
            <w:tcW w:w="710" w:type="dxa"/>
            <w:vAlign w:val="center"/>
          </w:tcPr>
          <w:p>
            <w:pPr>
              <w:adjustRightInd w:val="0"/>
              <w:snapToGrid w:val="0"/>
              <w:spacing w:line="360" w:lineRule="auto"/>
              <w:jc w:val="center"/>
              <w:rPr>
                <w:rFonts w:asciiTheme="minorEastAsia" w:hAnsiTheme="minorEastAsia" w:eastAsiaTheme="minorEastAsia" w:cstheme="minorEastAsia"/>
                <w:color w:val="auto"/>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9" w:hRule="atLeast"/>
        </w:trPr>
        <w:tc>
          <w:tcPr>
            <w:tcW w:w="803" w:type="dxa"/>
            <w:vAlign w:val="center"/>
          </w:tcPr>
          <w:p>
            <w:pPr>
              <w:adjustRightInd w:val="0"/>
              <w:snapToGrid w:val="0"/>
              <w:spacing w:line="360" w:lineRule="auto"/>
              <w:jc w:val="center"/>
              <w:rPr>
                <w:rFonts w:asciiTheme="minorEastAsia" w:hAnsiTheme="minorEastAsia" w:eastAsiaTheme="minorEastAsia" w:cstheme="minorEastAsia"/>
                <w:color w:val="auto"/>
                <w:szCs w:val="21"/>
              </w:rPr>
            </w:pPr>
          </w:p>
        </w:tc>
        <w:tc>
          <w:tcPr>
            <w:tcW w:w="834" w:type="dxa"/>
            <w:vAlign w:val="center"/>
          </w:tcPr>
          <w:p>
            <w:pPr>
              <w:adjustRightInd w:val="0"/>
              <w:snapToGrid w:val="0"/>
              <w:spacing w:line="360" w:lineRule="auto"/>
              <w:jc w:val="center"/>
              <w:rPr>
                <w:rFonts w:asciiTheme="minorEastAsia" w:hAnsiTheme="minorEastAsia" w:eastAsiaTheme="minorEastAsia" w:cstheme="minorEastAsia"/>
                <w:color w:val="auto"/>
                <w:szCs w:val="21"/>
              </w:rPr>
            </w:pPr>
          </w:p>
        </w:tc>
        <w:tc>
          <w:tcPr>
            <w:tcW w:w="2208" w:type="dxa"/>
            <w:vAlign w:val="center"/>
          </w:tcPr>
          <w:p>
            <w:pPr>
              <w:adjustRightInd w:val="0"/>
              <w:snapToGrid w:val="0"/>
              <w:spacing w:line="360" w:lineRule="auto"/>
              <w:jc w:val="center"/>
              <w:rPr>
                <w:rFonts w:asciiTheme="minorEastAsia" w:hAnsiTheme="minorEastAsia" w:eastAsiaTheme="minorEastAsia" w:cstheme="minorEastAsia"/>
                <w:color w:val="auto"/>
                <w:szCs w:val="21"/>
              </w:rPr>
            </w:pPr>
          </w:p>
        </w:tc>
        <w:tc>
          <w:tcPr>
            <w:tcW w:w="850" w:type="dxa"/>
            <w:vAlign w:val="center"/>
          </w:tcPr>
          <w:p>
            <w:pPr>
              <w:adjustRightInd w:val="0"/>
              <w:snapToGrid w:val="0"/>
              <w:spacing w:line="360" w:lineRule="auto"/>
              <w:jc w:val="center"/>
              <w:rPr>
                <w:rFonts w:asciiTheme="minorEastAsia" w:hAnsiTheme="minorEastAsia" w:eastAsiaTheme="minorEastAsia" w:cstheme="minorEastAsia"/>
                <w:color w:val="auto"/>
                <w:szCs w:val="21"/>
              </w:rPr>
            </w:pPr>
          </w:p>
        </w:tc>
        <w:tc>
          <w:tcPr>
            <w:tcW w:w="693" w:type="dxa"/>
            <w:vAlign w:val="center"/>
          </w:tcPr>
          <w:p>
            <w:pPr>
              <w:adjustRightInd w:val="0"/>
              <w:snapToGrid w:val="0"/>
              <w:spacing w:line="360" w:lineRule="auto"/>
              <w:jc w:val="center"/>
              <w:rPr>
                <w:rFonts w:asciiTheme="minorEastAsia" w:hAnsiTheme="minorEastAsia" w:eastAsiaTheme="minorEastAsia" w:cstheme="minorEastAsia"/>
                <w:color w:val="auto"/>
                <w:szCs w:val="21"/>
              </w:rPr>
            </w:pPr>
          </w:p>
        </w:tc>
        <w:tc>
          <w:tcPr>
            <w:tcW w:w="877" w:type="dxa"/>
            <w:vAlign w:val="center"/>
          </w:tcPr>
          <w:p>
            <w:pPr>
              <w:adjustRightInd w:val="0"/>
              <w:snapToGrid w:val="0"/>
              <w:spacing w:line="360" w:lineRule="auto"/>
              <w:jc w:val="center"/>
              <w:rPr>
                <w:rFonts w:asciiTheme="minorEastAsia" w:hAnsiTheme="minorEastAsia" w:eastAsiaTheme="minorEastAsia" w:cstheme="minorEastAsia"/>
                <w:color w:val="auto"/>
                <w:szCs w:val="21"/>
              </w:rPr>
            </w:pPr>
          </w:p>
        </w:tc>
        <w:tc>
          <w:tcPr>
            <w:tcW w:w="877" w:type="dxa"/>
            <w:vAlign w:val="center"/>
          </w:tcPr>
          <w:p>
            <w:pPr>
              <w:adjustRightInd w:val="0"/>
              <w:snapToGrid w:val="0"/>
              <w:spacing w:line="360" w:lineRule="auto"/>
              <w:jc w:val="center"/>
              <w:rPr>
                <w:rFonts w:asciiTheme="minorEastAsia" w:hAnsiTheme="minorEastAsia" w:eastAsiaTheme="minorEastAsia" w:cstheme="minorEastAsia"/>
                <w:color w:val="auto"/>
                <w:szCs w:val="21"/>
              </w:rPr>
            </w:pPr>
          </w:p>
        </w:tc>
        <w:tc>
          <w:tcPr>
            <w:tcW w:w="1383" w:type="dxa"/>
            <w:vAlign w:val="center"/>
          </w:tcPr>
          <w:p>
            <w:pPr>
              <w:adjustRightInd w:val="0"/>
              <w:snapToGrid w:val="0"/>
              <w:spacing w:line="360" w:lineRule="auto"/>
              <w:jc w:val="center"/>
              <w:rPr>
                <w:rFonts w:asciiTheme="minorEastAsia" w:hAnsiTheme="minorEastAsia" w:eastAsiaTheme="minorEastAsia" w:cstheme="minorEastAsia"/>
                <w:color w:val="auto"/>
                <w:szCs w:val="21"/>
              </w:rPr>
            </w:pPr>
          </w:p>
        </w:tc>
        <w:tc>
          <w:tcPr>
            <w:tcW w:w="710" w:type="dxa"/>
            <w:vAlign w:val="center"/>
          </w:tcPr>
          <w:p>
            <w:pPr>
              <w:adjustRightInd w:val="0"/>
              <w:snapToGrid w:val="0"/>
              <w:spacing w:line="360" w:lineRule="auto"/>
              <w:jc w:val="center"/>
              <w:rPr>
                <w:rFonts w:asciiTheme="minorEastAsia" w:hAnsiTheme="minorEastAsia" w:eastAsiaTheme="minorEastAsia" w:cstheme="minorEastAsia"/>
                <w:color w:val="auto"/>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9" w:hRule="atLeast"/>
        </w:trPr>
        <w:tc>
          <w:tcPr>
            <w:tcW w:w="803" w:type="dxa"/>
            <w:vAlign w:val="center"/>
          </w:tcPr>
          <w:p>
            <w:pPr>
              <w:adjustRightInd w:val="0"/>
              <w:snapToGrid w:val="0"/>
              <w:spacing w:line="360" w:lineRule="auto"/>
              <w:jc w:val="center"/>
              <w:rPr>
                <w:rFonts w:asciiTheme="minorEastAsia" w:hAnsiTheme="minorEastAsia" w:eastAsiaTheme="minorEastAsia" w:cstheme="minorEastAsia"/>
                <w:color w:val="auto"/>
                <w:szCs w:val="21"/>
              </w:rPr>
            </w:pPr>
          </w:p>
        </w:tc>
        <w:tc>
          <w:tcPr>
            <w:tcW w:w="834" w:type="dxa"/>
            <w:vAlign w:val="center"/>
          </w:tcPr>
          <w:p>
            <w:pPr>
              <w:adjustRightInd w:val="0"/>
              <w:snapToGrid w:val="0"/>
              <w:spacing w:line="360" w:lineRule="auto"/>
              <w:jc w:val="center"/>
              <w:rPr>
                <w:rFonts w:asciiTheme="minorEastAsia" w:hAnsiTheme="minorEastAsia" w:eastAsiaTheme="minorEastAsia" w:cstheme="minorEastAsia"/>
                <w:color w:val="auto"/>
                <w:szCs w:val="21"/>
              </w:rPr>
            </w:pPr>
          </w:p>
        </w:tc>
        <w:tc>
          <w:tcPr>
            <w:tcW w:w="2208" w:type="dxa"/>
            <w:vAlign w:val="center"/>
          </w:tcPr>
          <w:p>
            <w:pPr>
              <w:adjustRightInd w:val="0"/>
              <w:snapToGrid w:val="0"/>
              <w:spacing w:line="360" w:lineRule="auto"/>
              <w:jc w:val="center"/>
              <w:rPr>
                <w:rFonts w:asciiTheme="minorEastAsia" w:hAnsiTheme="minorEastAsia" w:eastAsiaTheme="minorEastAsia" w:cstheme="minorEastAsia"/>
                <w:color w:val="auto"/>
                <w:szCs w:val="21"/>
              </w:rPr>
            </w:pPr>
          </w:p>
        </w:tc>
        <w:tc>
          <w:tcPr>
            <w:tcW w:w="850" w:type="dxa"/>
            <w:vAlign w:val="center"/>
          </w:tcPr>
          <w:p>
            <w:pPr>
              <w:adjustRightInd w:val="0"/>
              <w:snapToGrid w:val="0"/>
              <w:spacing w:line="360" w:lineRule="auto"/>
              <w:jc w:val="center"/>
              <w:rPr>
                <w:rFonts w:asciiTheme="minorEastAsia" w:hAnsiTheme="minorEastAsia" w:eastAsiaTheme="minorEastAsia" w:cstheme="minorEastAsia"/>
                <w:color w:val="auto"/>
                <w:szCs w:val="21"/>
              </w:rPr>
            </w:pPr>
          </w:p>
        </w:tc>
        <w:tc>
          <w:tcPr>
            <w:tcW w:w="693" w:type="dxa"/>
            <w:vAlign w:val="center"/>
          </w:tcPr>
          <w:p>
            <w:pPr>
              <w:adjustRightInd w:val="0"/>
              <w:snapToGrid w:val="0"/>
              <w:spacing w:line="360" w:lineRule="auto"/>
              <w:jc w:val="center"/>
              <w:rPr>
                <w:rFonts w:asciiTheme="minorEastAsia" w:hAnsiTheme="minorEastAsia" w:eastAsiaTheme="minorEastAsia" w:cstheme="minorEastAsia"/>
                <w:color w:val="auto"/>
                <w:szCs w:val="21"/>
              </w:rPr>
            </w:pPr>
          </w:p>
        </w:tc>
        <w:tc>
          <w:tcPr>
            <w:tcW w:w="877" w:type="dxa"/>
            <w:vAlign w:val="center"/>
          </w:tcPr>
          <w:p>
            <w:pPr>
              <w:adjustRightInd w:val="0"/>
              <w:snapToGrid w:val="0"/>
              <w:spacing w:line="360" w:lineRule="auto"/>
              <w:jc w:val="center"/>
              <w:rPr>
                <w:rFonts w:asciiTheme="minorEastAsia" w:hAnsiTheme="minorEastAsia" w:eastAsiaTheme="minorEastAsia" w:cstheme="minorEastAsia"/>
                <w:color w:val="auto"/>
                <w:szCs w:val="21"/>
              </w:rPr>
            </w:pPr>
          </w:p>
        </w:tc>
        <w:tc>
          <w:tcPr>
            <w:tcW w:w="877" w:type="dxa"/>
            <w:vAlign w:val="center"/>
          </w:tcPr>
          <w:p>
            <w:pPr>
              <w:adjustRightInd w:val="0"/>
              <w:snapToGrid w:val="0"/>
              <w:spacing w:line="360" w:lineRule="auto"/>
              <w:jc w:val="center"/>
              <w:rPr>
                <w:rFonts w:asciiTheme="minorEastAsia" w:hAnsiTheme="minorEastAsia" w:eastAsiaTheme="minorEastAsia" w:cstheme="minorEastAsia"/>
                <w:color w:val="auto"/>
                <w:szCs w:val="21"/>
              </w:rPr>
            </w:pPr>
          </w:p>
        </w:tc>
        <w:tc>
          <w:tcPr>
            <w:tcW w:w="1383" w:type="dxa"/>
            <w:vAlign w:val="center"/>
          </w:tcPr>
          <w:p>
            <w:pPr>
              <w:adjustRightInd w:val="0"/>
              <w:snapToGrid w:val="0"/>
              <w:spacing w:line="360" w:lineRule="auto"/>
              <w:jc w:val="center"/>
              <w:rPr>
                <w:rFonts w:asciiTheme="minorEastAsia" w:hAnsiTheme="minorEastAsia" w:eastAsiaTheme="minorEastAsia" w:cstheme="minorEastAsia"/>
                <w:color w:val="auto"/>
                <w:szCs w:val="21"/>
              </w:rPr>
            </w:pPr>
          </w:p>
        </w:tc>
        <w:tc>
          <w:tcPr>
            <w:tcW w:w="710" w:type="dxa"/>
            <w:vAlign w:val="center"/>
          </w:tcPr>
          <w:p>
            <w:pPr>
              <w:adjustRightInd w:val="0"/>
              <w:snapToGrid w:val="0"/>
              <w:spacing w:line="360" w:lineRule="auto"/>
              <w:jc w:val="center"/>
              <w:rPr>
                <w:rFonts w:asciiTheme="minorEastAsia" w:hAnsiTheme="minorEastAsia" w:eastAsiaTheme="minorEastAsia" w:cstheme="minorEastAsia"/>
                <w:color w:val="auto"/>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9" w:hRule="atLeast"/>
        </w:trPr>
        <w:tc>
          <w:tcPr>
            <w:tcW w:w="803" w:type="dxa"/>
            <w:vAlign w:val="center"/>
          </w:tcPr>
          <w:p>
            <w:pPr>
              <w:adjustRightInd w:val="0"/>
              <w:snapToGrid w:val="0"/>
              <w:spacing w:line="360" w:lineRule="auto"/>
              <w:jc w:val="center"/>
              <w:rPr>
                <w:rFonts w:asciiTheme="minorEastAsia" w:hAnsiTheme="minorEastAsia" w:eastAsiaTheme="minorEastAsia" w:cstheme="minorEastAsia"/>
                <w:color w:val="auto"/>
                <w:szCs w:val="21"/>
              </w:rPr>
            </w:pPr>
          </w:p>
        </w:tc>
        <w:tc>
          <w:tcPr>
            <w:tcW w:w="834" w:type="dxa"/>
            <w:vAlign w:val="center"/>
          </w:tcPr>
          <w:p>
            <w:pPr>
              <w:adjustRightInd w:val="0"/>
              <w:snapToGrid w:val="0"/>
              <w:spacing w:line="360" w:lineRule="auto"/>
              <w:jc w:val="center"/>
              <w:rPr>
                <w:rFonts w:asciiTheme="minorEastAsia" w:hAnsiTheme="minorEastAsia" w:eastAsiaTheme="minorEastAsia" w:cstheme="minorEastAsia"/>
                <w:color w:val="auto"/>
                <w:szCs w:val="21"/>
              </w:rPr>
            </w:pPr>
          </w:p>
        </w:tc>
        <w:tc>
          <w:tcPr>
            <w:tcW w:w="2208" w:type="dxa"/>
            <w:vAlign w:val="center"/>
          </w:tcPr>
          <w:p>
            <w:pPr>
              <w:adjustRightInd w:val="0"/>
              <w:snapToGrid w:val="0"/>
              <w:spacing w:line="360" w:lineRule="auto"/>
              <w:jc w:val="center"/>
              <w:rPr>
                <w:rFonts w:asciiTheme="minorEastAsia" w:hAnsiTheme="minorEastAsia" w:eastAsiaTheme="minorEastAsia" w:cstheme="minorEastAsia"/>
                <w:color w:val="auto"/>
                <w:szCs w:val="21"/>
              </w:rPr>
            </w:pPr>
          </w:p>
        </w:tc>
        <w:tc>
          <w:tcPr>
            <w:tcW w:w="850" w:type="dxa"/>
            <w:vAlign w:val="center"/>
          </w:tcPr>
          <w:p>
            <w:pPr>
              <w:adjustRightInd w:val="0"/>
              <w:snapToGrid w:val="0"/>
              <w:spacing w:line="360" w:lineRule="auto"/>
              <w:jc w:val="center"/>
              <w:rPr>
                <w:rFonts w:asciiTheme="minorEastAsia" w:hAnsiTheme="minorEastAsia" w:eastAsiaTheme="minorEastAsia" w:cstheme="minorEastAsia"/>
                <w:color w:val="auto"/>
                <w:szCs w:val="21"/>
              </w:rPr>
            </w:pPr>
          </w:p>
        </w:tc>
        <w:tc>
          <w:tcPr>
            <w:tcW w:w="693" w:type="dxa"/>
            <w:vAlign w:val="center"/>
          </w:tcPr>
          <w:p>
            <w:pPr>
              <w:adjustRightInd w:val="0"/>
              <w:snapToGrid w:val="0"/>
              <w:spacing w:line="360" w:lineRule="auto"/>
              <w:jc w:val="center"/>
              <w:rPr>
                <w:rFonts w:asciiTheme="minorEastAsia" w:hAnsiTheme="minorEastAsia" w:eastAsiaTheme="minorEastAsia" w:cstheme="minorEastAsia"/>
                <w:color w:val="auto"/>
                <w:szCs w:val="21"/>
              </w:rPr>
            </w:pPr>
          </w:p>
        </w:tc>
        <w:tc>
          <w:tcPr>
            <w:tcW w:w="877" w:type="dxa"/>
            <w:vAlign w:val="center"/>
          </w:tcPr>
          <w:p>
            <w:pPr>
              <w:adjustRightInd w:val="0"/>
              <w:snapToGrid w:val="0"/>
              <w:spacing w:line="360" w:lineRule="auto"/>
              <w:jc w:val="center"/>
              <w:rPr>
                <w:rFonts w:asciiTheme="minorEastAsia" w:hAnsiTheme="minorEastAsia" w:eastAsiaTheme="minorEastAsia" w:cstheme="minorEastAsia"/>
                <w:color w:val="auto"/>
                <w:szCs w:val="21"/>
              </w:rPr>
            </w:pPr>
          </w:p>
        </w:tc>
        <w:tc>
          <w:tcPr>
            <w:tcW w:w="877" w:type="dxa"/>
            <w:vAlign w:val="center"/>
          </w:tcPr>
          <w:p>
            <w:pPr>
              <w:adjustRightInd w:val="0"/>
              <w:snapToGrid w:val="0"/>
              <w:spacing w:line="360" w:lineRule="auto"/>
              <w:jc w:val="center"/>
              <w:rPr>
                <w:rFonts w:asciiTheme="minorEastAsia" w:hAnsiTheme="minorEastAsia" w:eastAsiaTheme="minorEastAsia" w:cstheme="minorEastAsia"/>
                <w:color w:val="auto"/>
                <w:szCs w:val="21"/>
              </w:rPr>
            </w:pPr>
          </w:p>
        </w:tc>
        <w:tc>
          <w:tcPr>
            <w:tcW w:w="1383" w:type="dxa"/>
            <w:vAlign w:val="center"/>
          </w:tcPr>
          <w:p>
            <w:pPr>
              <w:adjustRightInd w:val="0"/>
              <w:snapToGrid w:val="0"/>
              <w:spacing w:line="360" w:lineRule="auto"/>
              <w:jc w:val="center"/>
              <w:rPr>
                <w:rFonts w:asciiTheme="minorEastAsia" w:hAnsiTheme="minorEastAsia" w:eastAsiaTheme="minorEastAsia" w:cstheme="minorEastAsia"/>
                <w:color w:val="auto"/>
                <w:szCs w:val="21"/>
              </w:rPr>
            </w:pPr>
          </w:p>
        </w:tc>
        <w:tc>
          <w:tcPr>
            <w:tcW w:w="710" w:type="dxa"/>
            <w:vAlign w:val="center"/>
          </w:tcPr>
          <w:p>
            <w:pPr>
              <w:adjustRightInd w:val="0"/>
              <w:snapToGrid w:val="0"/>
              <w:spacing w:line="360" w:lineRule="auto"/>
              <w:jc w:val="center"/>
              <w:rPr>
                <w:rFonts w:asciiTheme="minorEastAsia" w:hAnsiTheme="minorEastAsia" w:eastAsiaTheme="minorEastAsia" w:cstheme="minorEastAsia"/>
                <w:color w:val="auto"/>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9" w:hRule="atLeast"/>
        </w:trPr>
        <w:tc>
          <w:tcPr>
            <w:tcW w:w="803" w:type="dxa"/>
            <w:vAlign w:val="center"/>
          </w:tcPr>
          <w:p>
            <w:pPr>
              <w:adjustRightInd w:val="0"/>
              <w:snapToGrid w:val="0"/>
              <w:spacing w:line="360" w:lineRule="auto"/>
              <w:jc w:val="center"/>
              <w:rPr>
                <w:rFonts w:asciiTheme="minorEastAsia" w:hAnsiTheme="minorEastAsia" w:eastAsiaTheme="minorEastAsia" w:cstheme="minorEastAsia"/>
                <w:color w:val="auto"/>
                <w:szCs w:val="21"/>
              </w:rPr>
            </w:pPr>
          </w:p>
        </w:tc>
        <w:tc>
          <w:tcPr>
            <w:tcW w:w="834" w:type="dxa"/>
            <w:vAlign w:val="center"/>
          </w:tcPr>
          <w:p>
            <w:pPr>
              <w:adjustRightInd w:val="0"/>
              <w:snapToGrid w:val="0"/>
              <w:spacing w:line="360" w:lineRule="auto"/>
              <w:jc w:val="center"/>
              <w:rPr>
                <w:rFonts w:asciiTheme="minorEastAsia" w:hAnsiTheme="minorEastAsia" w:eastAsiaTheme="minorEastAsia" w:cstheme="minorEastAsia"/>
                <w:color w:val="auto"/>
                <w:szCs w:val="21"/>
              </w:rPr>
            </w:pPr>
          </w:p>
        </w:tc>
        <w:tc>
          <w:tcPr>
            <w:tcW w:w="2208" w:type="dxa"/>
            <w:vAlign w:val="center"/>
          </w:tcPr>
          <w:p>
            <w:pPr>
              <w:adjustRightInd w:val="0"/>
              <w:snapToGrid w:val="0"/>
              <w:spacing w:line="360" w:lineRule="auto"/>
              <w:jc w:val="center"/>
              <w:rPr>
                <w:rFonts w:asciiTheme="minorEastAsia" w:hAnsiTheme="minorEastAsia" w:eastAsiaTheme="minorEastAsia" w:cstheme="minorEastAsia"/>
                <w:color w:val="auto"/>
                <w:szCs w:val="21"/>
              </w:rPr>
            </w:pPr>
          </w:p>
        </w:tc>
        <w:tc>
          <w:tcPr>
            <w:tcW w:w="850" w:type="dxa"/>
            <w:vAlign w:val="center"/>
          </w:tcPr>
          <w:p>
            <w:pPr>
              <w:adjustRightInd w:val="0"/>
              <w:snapToGrid w:val="0"/>
              <w:spacing w:line="360" w:lineRule="auto"/>
              <w:jc w:val="center"/>
              <w:rPr>
                <w:rFonts w:asciiTheme="minorEastAsia" w:hAnsiTheme="minorEastAsia" w:eastAsiaTheme="minorEastAsia" w:cstheme="minorEastAsia"/>
                <w:color w:val="auto"/>
                <w:szCs w:val="21"/>
              </w:rPr>
            </w:pPr>
          </w:p>
        </w:tc>
        <w:tc>
          <w:tcPr>
            <w:tcW w:w="693" w:type="dxa"/>
            <w:vAlign w:val="center"/>
          </w:tcPr>
          <w:p>
            <w:pPr>
              <w:adjustRightInd w:val="0"/>
              <w:snapToGrid w:val="0"/>
              <w:spacing w:line="360" w:lineRule="auto"/>
              <w:jc w:val="center"/>
              <w:rPr>
                <w:rFonts w:asciiTheme="minorEastAsia" w:hAnsiTheme="minorEastAsia" w:eastAsiaTheme="minorEastAsia" w:cstheme="minorEastAsia"/>
                <w:color w:val="auto"/>
                <w:szCs w:val="21"/>
              </w:rPr>
            </w:pPr>
          </w:p>
        </w:tc>
        <w:tc>
          <w:tcPr>
            <w:tcW w:w="877" w:type="dxa"/>
            <w:vAlign w:val="center"/>
          </w:tcPr>
          <w:p>
            <w:pPr>
              <w:adjustRightInd w:val="0"/>
              <w:snapToGrid w:val="0"/>
              <w:spacing w:line="360" w:lineRule="auto"/>
              <w:jc w:val="center"/>
              <w:rPr>
                <w:rFonts w:asciiTheme="minorEastAsia" w:hAnsiTheme="minorEastAsia" w:eastAsiaTheme="minorEastAsia" w:cstheme="minorEastAsia"/>
                <w:color w:val="auto"/>
                <w:szCs w:val="21"/>
              </w:rPr>
            </w:pPr>
          </w:p>
        </w:tc>
        <w:tc>
          <w:tcPr>
            <w:tcW w:w="877" w:type="dxa"/>
            <w:vAlign w:val="center"/>
          </w:tcPr>
          <w:p>
            <w:pPr>
              <w:adjustRightInd w:val="0"/>
              <w:snapToGrid w:val="0"/>
              <w:spacing w:line="360" w:lineRule="auto"/>
              <w:jc w:val="center"/>
              <w:rPr>
                <w:rFonts w:asciiTheme="minorEastAsia" w:hAnsiTheme="minorEastAsia" w:eastAsiaTheme="minorEastAsia" w:cstheme="minorEastAsia"/>
                <w:color w:val="auto"/>
                <w:szCs w:val="21"/>
              </w:rPr>
            </w:pPr>
          </w:p>
        </w:tc>
        <w:tc>
          <w:tcPr>
            <w:tcW w:w="1383" w:type="dxa"/>
            <w:vAlign w:val="center"/>
          </w:tcPr>
          <w:p>
            <w:pPr>
              <w:adjustRightInd w:val="0"/>
              <w:snapToGrid w:val="0"/>
              <w:spacing w:line="360" w:lineRule="auto"/>
              <w:jc w:val="center"/>
              <w:rPr>
                <w:rFonts w:asciiTheme="minorEastAsia" w:hAnsiTheme="minorEastAsia" w:eastAsiaTheme="minorEastAsia" w:cstheme="minorEastAsia"/>
                <w:color w:val="auto"/>
                <w:szCs w:val="21"/>
              </w:rPr>
            </w:pPr>
          </w:p>
        </w:tc>
        <w:tc>
          <w:tcPr>
            <w:tcW w:w="710" w:type="dxa"/>
            <w:vAlign w:val="center"/>
          </w:tcPr>
          <w:p>
            <w:pPr>
              <w:adjustRightInd w:val="0"/>
              <w:snapToGrid w:val="0"/>
              <w:spacing w:line="360" w:lineRule="auto"/>
              <w:jc w:val="center"/>
              <w:rPr>
                <w:rFonts w:asciiTheme="minorEastAsia" w:hAnsiTheme="minorEastAsia" w:eastAsiaTheme="minorEastAsia" w:cstheme="minorEastAsia"/>
                <w:color w:val="auto"/>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9" w:hRule="atLeast"/>
        </w:trPr>
        <w:tc>
          <w:tcPr>
            <w:tcW w:w="803" w:type="dxa"/>
            <w:vAlign w:val="center"/>
          </w:tcPr>
          <w:p>
            <w:pPr>
              <w:adjustRightInd w:val="0"/>
              <w:snapToGrid w:val="0"/>
              <w:spacing w:line="360" w:lineRule="auto"/>
              <w:jc w:val="center"/>
              <w:rPr>
                <w:rFonts w:asciiTheme="minorEastAsia" w:hAnsiTheme="minorEastAsia" w:eastAsiaTheme="minorEastAsia" w:cstheme="minorEastAsia"/>
                <w:color w:val="auto"/>
                <w:szCs w:val="21"/>
              </w:rPr>
            </w:pPr>
          </w:p>
        </w:tc>
        <w:tc>
          <w:tcPr>
            <w:tcW w:w="834" w:type="dxa"/>
            <w:vAlign w:val="center"/>
          </w:tcPr>
          <w:p>
            <w:pPr>
              <w:adjustRightInd w:val="0"/>
              <w:snapToGrid w:val="0"/>
              <w:spacing w:line="360" w:lineRule="auto"/>
              <w:jc w:val="center"/>
              <w:rPr>
                <w:rFonts w:asciiTheme="minorEastAsia" w:hAnsiTheme="minorEastAsia" w:eastAsiaTheme="minorEastAsia" w:cstheme="minorEastAsia"/>
                <w:color w:val="auto"/>
                <w:szCs w:val="21"/>
              </w:rPr>
            </w:pPr>
          </w:p>
        </w:tc>
        <w:tc>
          <w:tcPr>
            <w:tcW w:w="2208" w:type="dxa"/>
            <w:vAlign w:val="center"/>
          </w:tcPr>
          <w:p>
            <w:pPr>
              <w:adjustRightInd w:val="0"/>
              <w:snapToGrid w:val="0"/>
              <w:spacing w:line="360" w:lineRule="auto"/>
              <w:jc w:val="center"/>
              <w:rPr>
                <w:rFonts w:asciiTheme="minorEastAsia" w:hAnsiTheme="minorEastAsia" w:eastAsiaTheme="minorEastAsia" w:cstheme="minorEastAsia"/>
                <w:color w:val="auto"/>
                <w:szCs w:val="21"/>
              </w:rPr>
            </w:pPr>
          </w:p>
        </w:tc>
        <w:tc>
          <w:tcPr>
            <w:tcW w:w="850" w:type="dxa"/>
            <w:vAlign w:val="center"/>
          </w:tcPr>
          <w:p>
            <w:pPr>
              <w:adjustRightInd w:val="0"/>
              <w:snapToGrid w:val="0"/>
              <w:spacing w:line="360" w:lineRule="auto"/>
              <w:jc w:val="center"/>
              <w:rPr>
                <w:rFonts w:asciiTheme="minorEastAsia" w:hAnsiTheme="minorEastAsia" w:eastAsiaTheme="minorEastAsia" w:cstheme="minorEastAsia"/>
                <w:color w:val="auto"/>
                <w:szCs w:val="21"/>
              </w:rPr>
            </w:pPr>
          </w:p>
        </w:tc>
        <w:tc>
          <w:tcPr>
            <w:tcW w:w="693" w:type="dxa"/>
            <w:vAlign w:val="center"/>
          </w:tcPr>
          <w:p>
            <w:pPr>
              <w:adjustRightInd w:val="0"/>
              <w:snapToGrid w:val="0"/>
              <w:spacing w:line="360" w:lineRule="auto"/>
              <w:jc w:val="center"/>
              <w:rPr>
                <w:rFonts w:asciiTheme="minorEastAsia" w:hAnsiTheme="minorEastAsia" w:eastAsiaTheme="minorEastAsia" w:cstheme="minorEastAsia"/>
                <w:color w:val="auto"/>
                <w:szCs w:val="21"/>
              </w:rPr>
            </w:pPr>
          </w:p>
        </w:tc>
        <w:tc>
          <w:tcPr>
            <w:tcW w:w="877" w:type="dxa"/>
            <w:vAlign w:val="center"/>
          </w:tcPr>
          <w:p>
            <w:pPr>
              <w:adjustRightInd w:val="0"/>
              <w:snapToGrid w:val="0"/>
              <w:spacing w:line="360" w:lineRule="auto"/>
              <w:jc w:val="center"/>
              <w:rPr>
                <w:rFonts w:asciiTheme="minorEastAsia" w:hAnsiTheme="minorEastAsia" w:eastAsiaTheme="minorEastAsia" w:cstheme="minorEastAsia"/>
                <w:color w:val="auto"/>
                <w:szCs w:val="21"/>
              </w:rPr>
            </w:pPr>
          </w:p>
        </w:tc>
        <w:tc>
          <w:tcPr>
            <w:tcW w:w="877" w:type="dxa"/>
            <w:vAlign w:val="center"/>
          </w:tcPr>
          <w:p>
            <w:pPr>
              <w:adjustRightInd w:val="0"/>
              <w:snapToGrid w:val="0"/>
              <w:spacing w:line="360" w:lineRule="auto"/>
              <w:jc w:val="center"/>
              <w:rPr>
                <w:rFonts w:asciiTheme="minorEastAsia" w:hAnsiTheme="minorEastAsia" w:eastAsiaTheme="minorEastAsia" w:cstheme="minorEastAsia"/>
                <w:color w:val="auto"/>
                <w:szCs w:val="21"/>
              </w:rPr>
            </w:pPr>
          </w:p>
        </w:tc>
        <w:tc>
          <w:tcPr>
            <w:tcW w:w="1383" w:type="dxa"/>
            <w:vAlign w:val="center"/>
          </w:tcPr>
          <w:p>
            <w:pPr>
              <w:adjustRightInd w:val="0"/>
              <w:snapToGrid w:val="0"/>
              <w:spacing w:line="360" w:lineRule="auto"/>
              <w:jc w:val="center"/>
              <w:rPr>
                <w:rFonts w:asciiTheme="minorEastAsia" w:hAnsiTheme="minorEastAsia" w:eastAsiaTheme="minorEastAsia" w:cstheme="minorEastAsia"/>
                <w:color w:val="auto"/>
                <w:szCs w:val="21"/>
              </w:rPr>
            </w:pPr>
          </w:p>
        </w:tc>
        <w:tc>
          <w:tcPr>
            <w:tcW w:w="710" w:type="dxa"/>
            <w:vAlign w:val="center"/>
          </w:tcPr>
          <w:p>
            <w:pPr>
              <w:adjustRightInd w:val="0"/>
              <w:snapToGrid w:val="0"/>
              <w:spacing w:line="360" w:lineRule="auto"/>
              <w:jc w:val="center"/>
              <w:rPr>
                <w:rFonts w:asciiTheme="minorEastAsia" w:hAnsiTheme="minorEastAsia" w:eastAsiaTheme="minorEastAsia" w:cstheme="minorEastAsia"/>
                <w:color w:val="auto"/>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9" w:hRule="atLeast"/>
        </w:trPr>
        <w:tc>
          <w:tcPr>
            <w:tcW w:w="803" w:type="dxa"/>
            <w:vAlign w:val="center"/>
          </w:tcPr>
          <w:p>
            <w:pPr>
              <w:adjustRightInd w:val="0"/>
              <w:snapToGrid w:val="0"/>
              <w:spacing w:line="360" w:lineRule="auto"/>
              <w:jc w:val="center"/>
              <w:rPr>
                <w:rFonts w:asciiTheme="minorEastAsia" w:hAnsiTheme="minorEastAsia" w:eastAsiaTheme="minorEastAsia" w:cstheme="minorEastAsia"/>
                <w:color w:val="auto"/>
                <w:szCs w:val="21"/>
              </w:rPr>
            </w:pPr>
          </w:p>
        </w:tc>
        <w:tc>
          <w:tcPr>
            <w:tcW w:w="834" w:type="dxa"/>
            <w:vAlign w:val="center"/>
          </w:tcPr>
          <w:p>
            <w:pPr>
              <w:adjustRightInd w:val="0"/>
              <w:snapToGrid w:val="0"/>
              <w:spacing w:line="360" w:lineRule="auto"/>
              <w:jc w:val="center"/>
              <w:rPr>
                <w:rFonts w:asciiTheme="minorEastAsia" w:hAnsiTheme="minorEastAsia" w:eastAsiaTheme="minorEastAsia" w:cstheme="minorEastAsia"/>
                <w:color w:val="auto"/>
                <w:szCs w:val="21"/>
              </w:rPr>
            </w:pPr>
          </w:p>
        </w:tc>
        <w:tc>
          <w:tcPr>
            <w:tcW w:w="2208" w:type="dxa"/>
            <w:vAlign w:val="center"/>
          </w:tcPr>
          <w:p>
            <w:pPr>
              <w:adjustRightInd w:val="0"/>
              <w:snapToGrid w:val="0"/>
              <w:spacing w:line="360" w:lineRule="auto"/>
              <w:jc w:val="center"/>
              <w:rPr>
                <w:rFonts w:asciiTheme="minorEastAsia" w:hAnsiTheme="minorEastAsia" w:eastAsiaTheme="minorEastAsia" w:cstheme="minorEastAsia"/>
                <w:color w:val="auto"/>
                <w:szCs w:val="21"/>
              </w:rPr>
            </w:pPr>
          </w:p>
        </w:tc>
        <w:tc>
          <w:tcPr>
            <w:tcW w:w="850" w:type="dxa"/>
            <w:vAlign w:val="center"/>
          </w:tcPr>
          <w:p>
            <w:pPr>
              <w:adjustRightInd w:val="0"/>
              <w:snapToGrid w:val="0"/>
              <w:spacing w:line="360" w:lineRule="auto"/>
              <w:jc w:val="center"/>
              <w:rPr>
                <w:rFonts w:asciiTheme="minorEastAsia" w:hAnsiTheme="minorEastAsia" w:eastAsiaTheme="minorEastAsia" w:cstheme="minorEastAsia"/>
                <w:color w:val="auto"/>
                <w:szCs w:val="21"/>
              </w:rPr>
            </w:pPr>
          </w:p>
        </w:tc>
        <w:tc>
          <w:tcPr>
            <w:tcW w:w="693" w:type="dxa"/>
            <w:vAlign w:val="center"/>
          </w:tcPr>
          <w:p>
            <w:pPr>
              <w:adjustRightInd w:val="0"/>
              <w:snapToGrid w:val="0"/>
              <w:spacing w:line="360" w:lineRule="auto"/>
              <w:jc w:val="center"/>
              <w:rPr>
                <w:rFonts w:asciiTheme="minorEastAsia" w:hAnsiTheme="minorEastAsia" w:eastAsiaTheme="minorEastAsia" w:cstheme="minorEastAsia"/>
                <w:color w:val="auto"/>
                <w:szCs w:val="21"/>
              </w:rPr>
            </w:pPr>
          </w:p>
        </w:tc>
        <w:tc>
          <w:tcPr>
            <w:tcW w:w="877" w:type="dxa"/>
            <w:vAlign w:val="center"/>
          </w:tcPr>
          <w:p>
            <w:pPr>
              <w:adjustRightInd w:val="0"/>
              <w:snapToGrid w:val="0"/>
              <w:spacing w:line="360" w:lineRule="auto"/>
              <w:jc w:val="center"/>
              <w:rPr>
                <w:rFonts w:asciiTheme="minorEastAsia" w:hAnsiTheme="minorEastAsia" w:eastAsiaTheme="minorEastAsia" w:cstheme="minorEastAsia"/>
                <w:color w:val="auto"/>
                <w:szCs w:val="21"/>
              </w:rPr>
            </w:pPr>
          </w:p>
        </w:tc>
        <w:tc>
          <w:tcPr>
            <w:tcW w:w="877" w:type="dxa"/>
            <w:vAlign w:val="center"/>
          </w:tcPr>
          <w:p>
            <w:pPr>
              <w:adjustRightInd w:val="0"/>
              <w:snapToGrid w:val="0"/>
              <w:spacing w:line="360" w:lineRule="auto"/>
              <w:jc w:val="center"/>
              <w:rPr>
                <w:rFonts w:asciiTheme="minorEastAsia" w:hAnsiTheme="minorEastAsia" w:eastAsiaTheme="minorEastAsia" w:cstheme="minorEastAsia"/>
                <w:color w:val="auto"/>
                <w:szCs w:val="21"/>
              </w:rPr>
            </w:pPr>
          </w:p>
        </w:tc>
        <w:tc>
          <w:tcPr>
            <w:tcW w:w="1383" w:type="dxa"/>
            <w:vAlign w:val="center"/>
          </w:tcPr>
          <w:p>
            <w:pPr>
              <w:adjustRightInd w:val="0"/>
              <w:snapToGrid w:val="0"/>
              <w:spacing w:line="360" w:lineRule="auto"/>
              <w:jc w:val="center"/>
              <w:rPr>
                <w:rFonts w:asciiTheme="minorEastAsia" w:hAnsiTheme="minorEastAsia" w:eastAsiaTheme="minorEastAsia" w:cstheme="minorEastAsia"/>
                <w:color w:val="auto"/>
                <w:szCs w:val="21"/>
              </w:rPr>
            </w:pPr>
          </w:p>
        </w:tc>
        <w:tc>
          <w:tcPr>
            <w:tcW w:w="710" w:type="dxa"/>
            <w:vAlign w:val="center"/>
          </w:tcPr>
          <w:p>
            <w:pPr>
              <w:adjustRightInd w:val="0"/>
              <w:snapToGrid w:val="0"/>
              <w:spacing w:line="360" w:lineRule="auto"/>
              <w:jc w:val="center"/>
              <w:rPr>
                <w:rFonts w:asciiTheme="minorEastAsia" w:hAnsiTheme="minorEastAsia" w:eastAsiaTheme="minorEastAsia" w:cstheme="minorEastAsia"/>
                <w:color w:val="auto"/>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0" w:hRule="atLeast"/>
        </w:trPr>
        <w:tc>
          <w:tcPr>
            <w:tcW w:w="803" w:type="dxa"/>
            <w:vAlign w:val="center"/>
          </w:tcPr>
          <w:p>
            <w:pPr>
              <w:adjustRightInd w:val="0"/>
              <w:snapToGrid w:val="0"/>
              <w:spacing w:line="360" w:lineRule="auto"/>
              <w:jc w:val="center"/>
              <w:rPr>
                <w:rFonts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w:t>
            </w:r>
          </w:p>
        </w:tc>
        <w:tc>
          <w:tcPr>
            <w:tcW w:w="834" w:type="dxa"/>
            <w:vAlign w:val="center"/>
          </w:tcPr>
          <w:p>
            <w:pPr>
              <w:adjustRightInd w:val="0"/>
              <w:snapToGrid w:val="0"/>
              <w:spacing w:line="360" w:lineRule="auto"/>
              <w:jc w:val="center"/>
              <w:rPr>
                <w:rFonts w:asciiTheme="minorEastAsia" w:hAnsiTheme="minorEastAsia" w:eastAsiaTheme="minorEastAsia" w:cstheme="minorEastAsia"/>
                <w:color w:val="auto"/>
                <w:szCs w:val="21"/>
              </w:rPr>
            </w:pPr>
          </w:p>
        </w:tc>
        <w:tc>
          <w:tcPr>
            <w:tcW w:w="2208" w:type="dxa"/>
            <w:vAlign w:val="center"/>
          </w:tcPr>
          <w:p>
            <w:pPr>
              <w:adjustRightInd w:val="0"/>
              <w:snapToGrid w:val="0"/>
              <w:spacing w:line="360" w:lineRule="auto"/>
              <w:jc w:val="center"/>
              <w:rPr>
                <w:rFonts w:asciiTheme="minorEastAsia" w:hAnsiTheme="minorEastAsia" w:eastAsiaTheme="minorEastAsia" w:cstheme="minorEastAsia"/>
                <w:color w:val="auto"/>
                <w:szCs w:val="21"/>
              </w:rPr>
            </w:pPr>
          </w:p>
        </w:tc>
        <w:tc>
          <w:tcPr>
            <w:tcW w:w="850" w:type="dxa"/>
            <w:vAlign w:val="center"/>
          </w:tcPr>
          <w:p>
            <w:pPr>
              <w:adjustRightInd w:val="0"/>
              <w:snapToGrid w:val="0"/>
              <w:spacing w:line="360" w:lineRule="auto"/>
              <w:jc w:val="center"/>
              <w:rPr>
                <w:rFonts w:asciiTheme="minorEastAsia" w:hAnsiTheme="minorEastAsia" w:eastAsiaTheme="minorEastAsia" w:cstheme="minorEastAsia"/>
                <w:color w:val="auto"/>
                <w:szCs w:val="21"/>
              </w:rPr>
            </w:pPr>
          </w:p>
        </w:tc>
        <w:tc>
          <w:tcPr>
            <w:tcW w:w="693" w:type="dxa"/>
            <w:vAlign w:val="center"/>
          </w:tcPr>
          <w:p>
            <w:pPr>
              <w:adjustRightInd w:val="0"/>
              <w:snapToGrid w:val="0"/>
              <w:spacing w:line="360" w:lineRule="auto"/>
              <w:jc w:val="center"/>
              <w:rPr>
                <w:rFonts w:asciiTheme="minorEastAsia" w:hAnsiTheme="minorEastAsia" w:eastAsiaTheme="minorEastAsia" w:cstheme="minorEastAsia"/>
                <w:color w:val="auto"/>
                <w:szCs w:val="21"/>
              </w:rPr>
            </w:pPr>
          </w:p>
        </w:tc>
        <w:tc>
          <w:tcPr>
            <w:tcW w:w="877" w:type="dxa"/>
            <w:vAlign w:val="center"/>
          </w:tcPr>
          <w:p>
            <w:pPr>
              <w:adjustRightInd w:val="0"/>
              <w:snapToGrid w:val="0"/>
              <w:spacing w:line="360" w:lineRule="auto"/>
              <w:jc w:val="center"/>
              <w:rPr>
                <w:rFonts w:asciiTheme="minorEastAsia" w:hAnsiTheme="minorEastAsia" w:eastAsiaTheme="minorEastAsia" w:cstheme="minorEastAsia"/>
                <w:color w:val="auto"/>
                <w:szCs w:val="21"/>
              </w:rPr>
            </w:pPr>
          </w:p>
        </w:tc>
        <w:tc>
          <w:tcPr>
            <w:tcW w:w="877" w:type="dxa"/>
            <w:vAlign w:val="center"/>
          </w:tcPr>
          <w:p>
            <w:pPr>
              <w:adjustRightInd w:val="0"/>
              <w:snapToGrid w:val="0"/>
              <w:spacing w:line="360" w:lineRule="auto"/>
              <w:jc w:val="center"/>
              <w:rPr>
                <w:rFonts w:asciiTheme="minorEastAsia" w:hAnsiTheme="minorEastAsia" w:eastAsiaTheme="minorEastAsia" w:cstheme="minorEastAsia"/>
                <w:color w:val="auto"/>
                <w:szCs w:val="21"/>
              </w:rPr>
            </w:pPr>
          </w:p>
        </w:tc>
        <w:tc>
          <w:tcPr>
            <w:tcW w:w="1383" w:type="dxa"/>
            <w:vAlign w:val="center"/>
          </w:tcPr>
          <w:p>
            <w:pPr>
              <w:adjustRightInd w:val="0"/>
              <w:snapToGrid w:val="0"/>
              <w:spacing w:line="360" w:lineRule="auto"/>
              <w:jc w:val="center"/>
              <w:rPr>
                <w:rFonts w:asciiTheme="minorEastAsia" w:hAnsiTheme="minorEastAsia" w:eastAsiaTheme="minorEastAsia" w:cstheme="minorEastAsia"/>
                <w:color w:val="auto"/>
                <w:szCs w:val="21"/>
              </w:rPr>
            </w:pPr>
          </w:p>
        </w:tc>
        <w:tc>
          <w:tcPr>
            <w:tcW w:w="710" w:type="dxa"/>
            <w:vAlign w:val="center"/>
          </w:tcPr>
          <w:p>
            <w:pPr>
              <w:adjustRightInd w:val="0"/>
              <w:snapToGrid w:val="0"/>
              <w:spacing w:line="360" w:lineRule="auto"/>
              <w:jc w:val="center"/>
              <w:rPr>
                <w:rFonts w:asciiTheme="minorEastAsia" w:hAnsiTheme="minorEastAsia" w:eastAsiaTheme="minorEastAsia" w:cstheme="minorEastAsia"/>
                <w:color w:val="auto"/>
                <w:szCs w:val="21"/>
              </w:rPr>
            </w:pPr>
          </w:p>
        </w:tc>
      </w:tr>
    </w:tbl>
    <w:p>
      <w:pPr>
        <w:spacing w:line="360" w:lineRule="auto"/>
        <w:rPr>
          <w:rFonts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说明：附拟投入项目组人员身份证、劳动合同、社保证明、</w:t>
      </w:r>
      <w:r>
        <w:rPr>
          <w:rFonts w:hint="eastAsia"/>
          <w:color w:val="auto"/>
        </w:rPr>
        <w:t>职称证书、学历证书</w:t>
      </w:r>
      <w:r>
        <w:rPr>
          <w:rFonts w:hint="eastAsia" w:asciiTheme="minorEastAsia" w:hAnsiTheme="minorEastAsia" w:eastAsiaTheme="minorEastAsia" w:cstheme="minorEastAsia"/>
          <w:color w:val="auto"/>
          <w:szCs w:val="21"/>
        </w:rPr>
        <w:t>等评分标准要求的其他相关证明材料。无证明材料的内容评审时将不予考虑。</w:t>
      </w:r>
    </w:p>
    <w:p>
      <w:pPr>
        <w:spacing w:line="360" w:lineRule="auto"/>
        <w:rPr>
          <w:rFonts w:asciiTheme="minorEastAsia" w:hAnsiTheme="minorEastAsia" w:eastAsiaTheme="minorEastAsia" w:cstheme="minorEastAsia"/>
          <w:color w:val="auto"/>
          <w:szCs w:val="21"/>
        </w:rPr>
      </w:pPr>
    </w:p>
    <w:p>
      <w:pPr>
        <w:spacing w:line="360" w:lineRule="auto"/>
        <w:rPr>
          <w:rFonts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kern w:val="0"/>
          <w:szCs w:val="21"/>
        </w:rPr>
        <w:br w:type="textWrapping"/>
      </w:r>
      <w:r>
        <w:rPr>
          <w:rFonts w:hint="eastAsia" w:asciiTheme="minorEastAsia" w:hAnsiTheme="minorEastAsia" w:eastAsiaTheme="minorEastAsia" w:cstheme="minorEastAsia"/>
          <w:color w:val="auto"/>
          <w:kern w:val="0"/>
          <w:szCs w:val="21"/>
        </w:rPr>
        <w:br w:type="textWrapping"/>
      </w:r>
      <w:r>
        <w:rPr>
          <w:rFonts w:hint="eastAsia" w:asciiTheme="minorEastAsia" w:hAnsiTheme="minorEastAsia" w:eastAsiaTheme="minorEastAsia" w:cstheme="minorEastAsia"/>
          <w:color w:val="auto"/>
          <w:szCs w:val="21"/>
        </w:rPr>
        <w:t>磋商供应商授权代表（签字）：</w:t>
      </w:r>
      <w:r>
        <w:rPr>
          <w:rFonts w:hint="eastAsia" w:asciiTheme="minorEastAsia" w:hAnsiTheme="minorEastAsia" w:eastAsiaTheme="minorEastAsia" w:cstheme="minorEastAsia"/>
          <w:color w:val="auto"/>
          <w:szCs w:val="21"/>
          <w:u w:val="single"/>
        </w:rPr>
        <w:t xml:space="preserve">                        </w:t>
      </w:r>
    </w:p>
    <w:p>
      <w:pPr>
        <w:spacing w:line="360" w:lineRule="auto"/>
        <w:rPr>
          <w:rFonts w:asciiTheme="minorEastAsia" w:hAnsiTheme="minorEastAsia" w:eastAsiaTheme="minorEastAsia" w:cstheme="minorEastAsia"/>
          <w:color w:val="auto"/>
          <w:szCs w:val="21"/>
          <w:u w:val="single"/>
        </w:rPr>
      </w:pPr>
      <w:r>
        <w:rPr>
          <w:rFonts w:hint="eastAsia" w:asciiTheme="minorEastAsia" w:hAnsiTheme="minorEastAsia" w:eastAsiaTheme="minorEastAsia" w:cstheme="minorEastAsia"/>
          <w:color w:val="auto"/>
          <w:szCs w:val="21"/>
        </w:rPr>
        <w:t>磋商</w:t>
      </w:r>
      <w:r>
        <w:rPr>
          <w:rFonts w:hint="eastAsia" w:asciiTheme="minorEastAsia" w:hAnsiTheme="minorEastAsia" w:eastAsiaTheme="minorEastAsia" w:cstheme="minorEastAsia"/>
          <w:bCs/>
          <w:color w:val="auto"/>
          <w:szCs w:val="21"/>
        </w:rPr>
        <w:t>供应商</w:t>
      </w:r>
      <w:r>
        <w:rPr>
          <w:rFonts w:hint="eastAsia" w:asciiTheme="minorEastAsia" w:hAnsiTheme="minorEastAsia" w:eastAsiaTheme="minorEastAsia" w:cstheme="minorEastAsia"/>
          <w:color w:val="auto"/>
          <w:szCs w:val="21"/>
        </w:rPr>
        <w:t>名称（盖章 ）：</w:t>
      </w:r>
      <w:r>
        <w:rPr>
          <w:rFonts w:hint="eastAsia" w:asciiTheme="minorEastAsia" w:hAnsiTheme="minorEastAsia" w:eastAsiaTheme="minorEastAsia" w:cstheme="minorEastAsia"/>
          <w:color w:val="auto"/>
          <w:szCs w:val="21"/>
          <w:u w:val="single"/>
        </w:rPr>
        <w:t xml:space="preserve">                                     </w:t>
      </w:r>
    </w:p>
    <w:p>
      <w:pPr>
        <w:spacing w:line="360" w:lineRule="auto"/>
        <w:rPr>
          <w:rFonts w:asciiTheme="minorEastAsia" w:hAnsiTheme="minorEastAsia" w:eastAsiaTheme="minorEastAsia" w:cstheme="minorEastAsia"/>
          <w:color w:val="auto"/>
          <w:szCs w:val="21"/>
        </w:rPr>
      </w:pPr>
      <w:r>
        <w:rPr>
          <w:rFonts w:hint="eastAsia" w:asciiTheme="minorEastAsia" w:hAnsiTheme="minorEastAsia" w:eastAsiaTheme="minorEastAsia" w:cstheme="minorEastAsia"/>
          <w:bCs/>
          <w:color w:val="auto"/>
          <w:szCs w:val="21"/>
        </w:rPr>
        <w:t xml:space="preserve">时                 </w:t>
      </w:r>
      <w:r>
        <w:rPr>
          <w:rFonts w:hint="eastAsia" w:asciiTheme="minorEastAsia" w:hAnsiTheme="minorEastAsia" w:eastAsiaTheme="minorEastAsia" w:cstheme="minorEastAsia"/>
          <w:color w:val="auto"/>
          <w:szCs w:val="21"/>
        </w:rPr>
        <w:t>间：</w:t>
      </w:r>
      <w:r>
        <w:rPr>
          <w:rFonts w:hint="eastAsia" w:asciiTheme="minorEastAsia" w:hAnsiTheme="minorEastAsia" w:eastAsiaTheme="minorEastAsia" w:cstheme="minorEastAsia"/>
          <w:color w:val="auto"/>
          <w:szCs w:val="21"/>
          <w:u w:val="single"/>
        </w:rPr>
        <w:t xml:space="preserve">           </w:t>
      </w:r>
      <w:r>
        <w:rPr>
          <w:rFonts w:hint="eastAsia" w:asciiTheme="minorEastAsia" w:hAnsiTheme="minorEastAsia" w:eastAsiaTheme="minorEastAsia" w:cstheme="minorEastAsia"/>
          <w:color w:val="auto"/>
          <w:szCs w:val="21"/>
        </w:rPr>
        <w:t>年</w:t>
      </w:r>
      <w:r>
        <w:rPr>
          <w:rFonts w:hint="eastAsia" w:asciiTheme="minorEastAsia" w:hAnsiTheme="minorEastAsia" w:eastAsiaTheme="minorEastAsia" w:cstheme="minorEastAsia"/>
          <w:color w:val="auto"/>
          <w:szCs w:val="21"/>
          <w:u w:val="single"/>
        </w:rPr>
        <w:t xml:space="preserve">          </w:t>
      </w:r>
      <w:r>
        <w:rPr>
          <w:rFonts w:hint="eastAsia" w:asciiTheme="minorEastAsia" w:hAnsiTheme="minorEastAsia" w:eastAsiaTheme="minorEastAsia" w:cstheme="minorEastAsia"/>
          <w:color w:val="auto"/>
          <w:szCs w:val="21"/>
        </w:rPr>
        <w:t>月</w:t>
      </w:r>
      <w:r>
        <w:rPr>
          <w:rFonts w:hint="eastAsia" w:asciiTheme="minorEastAsia" w:hAnsiTheme="minorEastAsia" w:eastAsiaTheme="minorEastAsia" w:cstheme="minorEastAsia"/>
          <w:color w:val="auto"/>
          <w:szCs w:val="21"/>
          <w:u w:val="single"/>
        </w:rPr>
        <w:t xml:space="preserve">          </w:t>
      </w:r>
      <w:r>
        <w:rPr>
          <w:rFonts w:hint="eastAsia" w:asciiTheme="minorEastAsia" w:hAnsiTheme="minorEastAsia" w:eastAsiaTheme="minorEastAsia" w:cstheme="minorEastAsia"/>
          <w:color w:val="auto"/>
          <w:szCs w:val="21"/>
        </w:rPr>
        <w:t>日</w:t>
      </w:r>
    </w:p>
    <w:p>
      <w:pPr>
        <w:tabs>
          <w:tab w:val="left" w:pos="540"/>
        </w:tabs>
        <w:autoSpaceDE w:val="0"/>
        <w:autoSpaceDN w:val="0"/>
        <w:adjustRightInd w:val="0"/>
        <w:spacing w:line="360" w:lineRule="auto"/>
        <w:jc w:val="center"/>
        <w:outlineLvl w:val="1"/>
        <w:rPr>
          <w:rFonts w:asciiTheme="minorEastAsia" w:hAnsiTheme="minorEastAsia" w:eastAsiaTheme="minorEastAsia" w:cstheme="minorEastAsia"/>
          <w:b/>
          <w:bCs/>
          <w:color w:val="auto"/>
          <w:szCs w:val="21"/>
        </w:rPr>
      </w:pPr>
      <w:r>
        <w:rPr>
          <w:rFonts w:hint="eastAsia" w:asciiTheme="minorEastAsia" w:hAnsiTheme="minorEastAsia" w:eastAsiaTheme="minorEastAsia" w:cstheme="minorEastAsia"/>
          <w:color w:val="auto"/>
          <w:kern w:val="0"/>
          <w:szCs w:val="21"/>
        </w:rPr>
        <w:br w:type="page"/>
      </w:r>
      <w:bookmarkStart w:id="195" w:name="_Toc422466737"/>
      <w:bookmarkStart w:id="196" w:name="_Toc10429"/>
      <w:bookmarkStart w:id="197" w:name="_Toc479184136"/>
      <w:bookmarkStart w:id="198" w:name="_Toc26838"/>
      <w:bookmarkStart w:id="199" w:name="_Toc1688"/>
      <w:bookmarkStart w:id="200" w:name="_Toc432149014"/>
      <w:r>
        <w:rPr>
          <w:rFonts w:hint="eastAsia" w:asciiTheme="minorEastAsia" w:hAnsiTheme="minorEastAsia" w:eastAsiaTheme="minorEastAsia" w:cstheme="minorEastAsia"/>
          <w:b/>
          <w:bCs/>
          <w:color w:val="auto"/>
          <w:kern w:val="0"/>
          <w:szCs w:val="21"/>
        </w:rPr>
        <w:t>十三、</w:t>
      </w:r>
      <w:r>
        <w:rPr>
          <w:rFonts w:hint="eastAsia" w:asciiTheme="minorEastAsia" w:hAnsiTheme="minorEastAsia" w:eastAsiaTheme="minorEastAsia" w:cstheme="minorEastAsia"/>
          <w:b/>
          <w:bCs/>
          <w:color w:val="auto"/>
          <w:szCs w:val="21"/>
        </w:rPr>
        <w:t>供应商的资格声明</w:t>
      </w:r>
      <w:bookmarkEnd w:id="195"/>
      <w:bookmarkEnd w:id="196"/>
      <w:bookmarkEnd w:id="197"/>
      <w:bookmarkEnd w:id="198"/>
      <w:bookmarkEnd w:id="199"/>
      <w:bookmarkEnd w:id="200"/>
    </w:p>
    <w:p>
      <w:pPr>
        <w:rPr>
          <w:rFonts w:asciiTheme="minorEastAsia" w:hAnsiTheme="minorEastAsia" w:eastAsiaTheme="minorEastAsia" w:cstheme="minorEastAsia"/>
          <w:color w:val="auto"/>
          <w:szCs w:val="21"/>
        </w:rPr>
      </w:pPr>
    </w:p>
    <w:p>
      <w:pPr>
        <w:rPr>
          <w:rFonts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1.名称及基本情况：</w:t>
      </w:r>
    </w:p>
    <w:p>
      <w:pPr>
        <w:rPr>
          <w:rFonts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（1）供应商名称：</w:t>
      </w:r>
      <w:r>
        <w:rPr>
          <w:rFonts w:hint="eastAsia" w:asciiTheme="minorEastAsia" w:hAnsiTheme="minorEastAsia" w:eastAsiaTheme="minorEastAsia" w:cstheme="minorEastAsia"/>
          <w:color w:val="auto"/>
          <w:szCs w:val="21"/>
          <w:u w:val="single"/>
        </w:rPr>
        <w:t xml:space="preserve">                        </w:t>
      </w:r>
      <w:r>
        <w:rPr>
          <w:rFonts w:hint="eastAsia" w:asciiTheme="minorEastAsia" w:hAnsiTheme="minorEastAsia" w:eastAsiaTheme="minorEastAsia" w:cstheme="minorEastAsia"/>
          <w:color w:val="auto"/>
          <w:szCs w:val="21"/>
        </w:rPr>
        <w:t xml:space="preserve"> </w:t>
      </w:r>
    </w:p>
    <w:p>
      <w:pPr>
        <w:rPr>
          <w:rFonts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（2）地址：</w:t>
      </w:r>
      <w:r>
        <w:rPr>
          <w:rFonts w:hint="eastAsia" w:asciiTheme="minorEastAsia" w:hAnsiTheme="minorEastAsia" w:eastAsiaTheme="minorEastAsia" w:cstheme="minorEastAsia"/>
          <w:color w:val="auto"/>
          <w:szCs w:val="21"/>
          <w:u w:val="single"/>
        </w:rPr>
        <w:t xml:space="preserve">                              </w:t>
      </w:r>
      <w:r>
        <w:rPr>
          <w:rFonts w:hint="eastAsia" w:asciiTheme="minorEastAsia" w:hAnsiTheme="minorEastAsia" w:eastAsiaTheme="minorEastAsia" w:cstheme="minorEastAsia"/>
          <w:color w:val="auto"/>
          <w:szCs w:val="21"/>
        </w:rPr>
        <w:t xml:space="preserve"> 邮箱：</w:t>
      </w:r>
      <w:r>
        <w:rPr>
          <w:rFonts w:hint="eastAsia" w:asciiTheme="minorEastAsia" w:hAnsiTheme="minorEastAsia" w:eastAsiaTheme="minorEastAsia" w:cstheme="minorEastAsia"/>
          <w:color w:val="auto"/>
          <w:szCs w:val="21"/>
          <w:u w:val="single"/>
        </w:rPr>
        <w:t xml:space="preserve">                      </w:t>
      </w:r>
      <w:r>
        <w:rPr>
          <w:rFonts w:hint="eastAsia" w:asciiTheme="minorEastAsia" w:hAnsiTheme="minorEastAsia" w:eastAsiaTheme="minorEastAsia" w:cstheme="minorEastAsia"/>
          <w:color w:val="auto"/>
          <w:szCs w:val="21"/>
        </w:rPr>
        <w:t xml:space="preserve"> </w:t>
      </w:r>
    </w:p>
    <w:p>
      <w:pPr>
        <w:rPr>
          <w:rFonts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 xml:space="preserve">     电话：</w:t>
      </w:r>
      <w:r>
        <w:rPr>
          <w:rFonts w:hint="eastAsia" w:asciiTheme="minorEastAsia" w:hAnsiTheme="minorEastAsia" w:eastAsiaTheme="minorEastAsia" w:cstheme="minorEastAsia"/>
          <w:color w:val="auto"/>
          <w:szCs w:val="21"/>
          <w:u w:val="single"/>
        </w:rPr>
        <w:t xml:space="preserve">                              </w:t>
      </w:r>
      <w:r>
        <w:rPr>
          <w:rFonts w:hint="eastAsia" w:asciiTheme="minorEastAsia" w:hAnsiTheme="minorEastAsia" w:eastAsiaTheme="minorEastAsia" w:cstheme="minorEastAsia"/>
          <w:color w:val="auto"/>
          <w:szCs w:val="21"/>
        </w:rPr>
        <w:t xml:space="preserve"> 传真：</w:t>
      </w:r>
      <w:r>
        <w:rPr>
          <w:rFonts w:hint="eastAsia" w:asciiTheme="minorEastAsia" w:hAnsiTheme="minorEastAsia" w:eastAsiaTheme="minorEastAsia" w:cstheme="minorEastAsia"/>
          <w:color w:val="auto"/>
          <w:szCs w:val="21"/>
          <w:u w:val="single"/>
        </w:rPr>
        <w:t xml:space="preserve">                      </w:t>
      </w:r>
      <w:r>
        <w:rPr>
          <w:rFonts w:hint="eastAsia" w:asciiTheme="minorEastAsia" w:hAnsiTheme="minorEastAsia" w:eastAsiaTheme="minorEastAsia" w:cstheme="minorEastAsia"/>
          <w:color w:val="auto"/>
          <w:szCs w:val="21"/>
        </w:rPr>
        <w:t xml:space="preserve"> </w:t>
      </w:r>
    </w:p>
    <w:p>
      <w:pPr>
        <w:rPr>
          <w:rFonts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（3）成立或注册日期：</w:t>
      </w:r>
      <w:r>
        <w:rPr>
          <w:rFonts w:hint="eastAsia" w:asciiTheme="minorEastAsia" w:hAnsiTheme="minorEastAsia" w:eastAsiaTheme="minorEastAsia" w:cstheme="minorEastAsia"/>
          <w:color w:val="auto"/>
          <w:szCs w:val="21"/>
          <w:u w:val="single"/>
        </w:rPr>
        <w:t xml:space="preserve">                           </w:t>
      </w:r>
      <w:r>
        <w:rPr>
          <w:rFonts w:hint="eastAsia" w:asciiTheme="minorEastAsia" w:hAnsiTheme="minorEastAsia" w:eastAsiaTheme="minorEastAsia" w:cstheme="minorEastAsia"/>
          <w:color w:val="auto"/>
          <w:szCs w:val="21"/>
        </w:rPr>
        <w:t xml:space="preserve"> </w:t>
      </w:r>
    </w:p>
    <w:p>
      <w:pPr>
        <w:rPr>
          <w:rFonts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（4）公司性质：</w:t>
      </w:r>
      <w:r>
        <w:rPr>
          <w:rFonts w:hint="eastAsia" w:asciiTheme="minorEastAsia" w:hAnsiTheme="minorEastAsia" w:eastAsiaTheme="minorEastAsia" w:cstheme="minorEastAsia"/>
          <w:color w:val="auto"/>
          <w:szCs w:val="21"/>
          <w:u w:val="single"/>
        </w:rPr>
        <w:t xml:space="preserve">                                 </w:t>
      </w:r>
      <w:r>
        <w:rPr>
          <w:rFonts w:hint="eastAsia" w:asciiTheme="minorEastAsia" w:hAnsiTheme="minorEastAsia" w:eastAsiaTheme="minorEastAsia" w:cstheme="minorEastAsia"/>
          <w:color w:val="auto"/>
          <w:szCs w:val="21"/>
        </w:rPr>
        <w:t xml:space="preserve"> </w:t>
      </w:r>
    </w:p>
    <w:p>
      <w:pPr>
        <w:rPr>
          <w:rFonts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（5）法定代表人或主要负责人：</w:t>
      </w:r>
      <w:r>
        <w:rPr>
          <w:rFonts w:hint="eastAsia" w:asciiTheme="minorEastAsia" w:hAnsiTheme="minorEastAsia" w:eastAsiaTheme="minorEastAsia" w:cstheme="minorEastAsia"/>
          <w:color w:val="auto"/>
          <w:szCs w:val="21"/>
          <w:u w:val="single"/>
        </w:rPr>
        <w:t xml:space="preserve">                   </w:t>
      </w:r>
      <w:r>
        <w:rPr>
          <w:rFonts w:hint="eastAsia" w:asciiTheme="minorEastAsia" w:hAnsiTheme="minorEastAsia" w:eastAsiaTheme="minorEastAsia" w:cstheme="minorEastAsia"/>
          <w:color w:val="auto"/>
          <w:szCs w:val="21"/>
        </w:rPr>
        <w:t xml:space="preserve"> </w:t>
      </w:r>
    </w:p>
    <w:p>
      <w:pPr>
        <w:rPr>
          <w:rFonts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（6）员工人数：</w:t>
      </w:r>
      <w:r>
        <w:rPr>
          <w:rFonts w:hint="eastAsia" w:asciiTheme="minorEastAsia" w:hAnsiTheme="minorEastAsia" w:eastAsiaTheme="minorEastAsia" w:cstheme="minorEastAsia"/>
          <w:color w:val="auto"/>
          <w:szCs w:val="21"/>
          <w:u w:val="single"/>
        </w:rPr>
        <w:t xml:space="preserve">                                 </w:t>
      </w:r>
      <w:r>
        <w:rPr>
          <w:rFonts w:hint="eastAsia" w:asciiTheme="minorEastAsia" w:hAnsiTheme="minorEastAsia" w:eastAsiaTheme="minorEastAsia" w:cstheme="minorEastAsia"/>
          <w:color w:val="auto"/>
          <w:szCs w:val="21"/>
        </w:rPr>
        <w:t xml:space="preserve"> </w:t>
      </w:r>
    </w:p>
    <w:p>
      <w:pPr>
        <w:rPr>
          <w:rFonts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（7）注册资本：</w:t>
      </w:r>
      <w:r>
        <w:rPr>
          <w:rFonts w:hint="eastAsia" w:asciiTheme="minorEastAsia" w:hAnsiTheme="minorEastAsia" w:eastAsiaTheme="minorEastAsia" w:cstheme="minorEastAsia"/>
          <w:color w:val="auto"/>
          <w:szCs w:val="21"/>
          <w:u w:val="single"/>
        </w:rPr>
        <w:t xml:space="preserve">                                 </w:t>
      </w:r>
      <w:r>
        <w:rPr>
          <w:rFonts w:hint="eastAsia" w:asciiTheme="minorEastAsia" w:hAnsiTheme="minorEastAsia" w:eastAsiaTheme="minorEastAsia" w:cstheme="minorEastAsia"/>
          <w:color w:val="auto"/>
          <w:szCs w:val="21"/>
        </w:rPr>
        <w:t xml:space="preserve">   </w:t>
      </w:r>
    </w:p>
    <w:p>
      <w:pPr>
        <w:rPr>
          <w:rFonts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（8）实收资本：</w:t>
      </w:r>
      <w:r>
        <w:rPr>
          <w:rFonts w:hint="eastAsia" w:asciiTheme="minorEastAsia" w:hAnsiTheme="minorEastAsia" w:eastAsiaTheme="minorEastAsia" w:cstheme="minorEastAsia"/>
          <w:color w:val="auto"/>
          <w:szCs w:val="21"/>
          <w:u w:val="single"/>
        </w:rPr>
        <w:t xml:space="preserve">                                 </w:t>
      </w:r>
      <w:r>
        <w:rPr>
          <w:rFonts w:hint="eastAsia" w:asciiTheme="minorEastAsia" w:hAnsiTheme="minorEastAsia" w:eastAsiaTheme="minorEastAsia" w:cstheme="minorEastAsia"/>
          <w:color w:val="auto"/>
          <w:szCs w:val="21"/>
        </w:rPr>
        <w:t xml:space="preserve"> </w:t>
      </w:r>
    </w:p>
    <w:p>
      <w:pPr>
        <w:rPr>
          <w:rFonts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（9）上年末资产负债率：</w:t>
      </w:r>
      <w:r>
        <w:rPr>
          <w:rFonts w:hint="eastAsia" w:asciiTheme="minorEastAsia" w:hAnsiTheme="minorEastAsia" w:eastAsiaTheme="minorEastAsia" w:cstheme="minorEastAsia"/>
          <w:color w:val="auto"/>
          <w:szCs w:val="21"/>
          <w:u w:val="single"/>
        </w:rPr>
        <w:t xml:space="preserve">                         </w:t>
      </w:r>
      <w:r>
        <w:rPr>
          <w:rFonts w:hint="eastAsia" w:asciiTheme="minorEastAsia" w:hAnsiTheme="minorEastAsia" w:eastAsiaTheme="minorEastAsia" w:cstheme="minorEastAsia"/>
          <w:color w:val="auto"/>
          <w:szCs w:val="21"/>
        </w:rPr>
        <w:t xml:space="preserve"> </w:t>
      </w:r>
    </w:p>
    <w:p>
      <w:pPr>
        <w:rPr>
          <w:rFonts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1）固定资产</w:t>
      </w:r>
    </w:p>
    <w:p>
      <w:pPr>
        <w:rPr>
          <w:rFonts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 xml:space="preserve">   原值：</w:t>
      </w:r>
      <w:r>
        <w:rPr>
          <w:rFonts w:hint="eastAsia" w:asciiTheme="minorEastAsia" w:hAnsiTheme="minorEastAsia" w:eastAsiaTheme="minorEastAsia" w:cstheme="minorEastAsia"/>
          <w:color w:val="auto"/>
          <w:szCs w:val="21"/>
          <w:u w:val="single"/>
        </w:rPr>
        <w:t xml:space="preserve">               </w:t>
      </w:r>
      <w:r>
        <w:rPr>
          <w:rFonts w:hint="eastAsia" w:asciiTheme="minorEastAsia" w:hAnsiTheme="minorEastAsia" w:eastAsiaTheme="minorEastAsia" w:cstheme="minorEastAsia"/>
          <w:color w:val="auto"/>
          <w:szCs w:val="21"/>
        </w:rPr>
        <w:t xml:space="preserve">   净值：</w:t>
      </w:r>
      <w:r>
        <w:rPr>
          <w:rFonts w:hint="eastAsia" w:asciiTheme="minorEastAsia" w:hAnsiTheme="minorEastAsia" w:eastAsiaTheme="minorEastAsia" w:cstheme="minorEastAsia"/>
          <w:color w:val="auto"/>
          <w:szCs w:val="21"/>
          <w:u w:val="single"/>
        </w:rPr>
        <w:t xml:space="preserve">               </w:t>
      </w:r>
      <w:r>
        <w:rPr>
          <w:rFonts w:hint="eastAsia" w:asciiTheme="minorEastAsia" w:hAnsiTheme="minorEastAsia" w:eastAsiaTheme="minorEastAsia" w:cstheme="minorEastAsia"/>
          <w:color w:val="auto"/>
          <w:szCs w:val="21"/>
        </w:rPr>
        <w:t xml:space="preserve">      </w:t>
      </w:r>
    </w:p>
    <w:p>
      <w:pPr>
        <w:rPr>
          <w:rFonts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2）流动资产：</w:t>
      </w:r>
      <w:r>
        <w:rPr>
          <w:rFonts w:hint="eastAsia" w:asciiTheme="minorEastAsia" w:hAnsiTheme="minorEastAsia" w:eastAsiaTheme="minorEastAsia" w:cstheme="minorEastAsia"/>
          <w:color w:val="auto"/>
          <w:szCs w:val="21"/>
          <w:u w:val="single"/>
        </w:rPr>
        <w:t xml:space="preserve">                                   </w:t>
      </w:r>
      <w:r>
        <w:rPr>
          <w:rFonts w:hint="eastAsia" w:asciiTheme="minorEastAsia" w:hAnsiTheme="minorEastAsia" w:eastAsiaTheme="minorEastAsia" w:cstheme="minorEastAsia"/>
          <w:color w:val="auto"/>
          <w:szCs w:val="21"/>
        </w:rPr>
        <w:t xml:space="preserve">      </w:t>
      </w:r>
    </w:p>
    <w:p>
      <w:pPr>
        <w:rPr>
          <w:rFonts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3）长期负债：</w:t>
      </w:r>
      <w:r>
        <w:rPr>
          <w:rFonts w:hint="eastAsia" w:asciiTheme="minorEastAsia" w:hAnsiTheme="minorEastAsia" w:eastAsiaTheme="minorEastAsia" w:cstheme="minorEastAsia"/>
          <w:color w:val="auto"/>
          <w:szCs w:val="21"/>
          <w:u w:val="single"/>
        </w:rPr>
        <w:t xml:space="preserve">                                   </w:t>
      </w:r>
      <w:r>
        <w:rPr>
          <w:rFonts w:hint="eastAsia" w:asciiTheme="minorEastAsia" w:hAnsiTheme="minorEastAsia" w:eastAsiaTheme="minorEastAsia" w:cstheme="minorEastAsia"/>
          <w:color w:val="auto"/>
          <w:szCs w:val="21"/>
        </w:rPr>
        <w:t xml:space="preserve"> </w:t>
      </w:r>
    </w:p>
    <w:p>
      <w:pPr>
        <w:rPr>
          <w:rFonts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4）短期负债：</w:t>
      </w:r>
      <w:r>
        <w:rPr>
          <w:rFonts w:hint="eastAsia" w:asciiTheme="minorEastAsia" w:hAnsiTheme="minorEastAsia" w:eastAsiaTheme="minorEastAsia" w:cstheme="minorEastAsia"/>
          <w:color w:val="auto"/>
          <w:szCs w:val="21"/>
          <w:u w:val="single"/>
        </w:rPr>
        <w:t xml:space="preserve">                                   </w:t>
      </w:r>
      <w:r>
        <w:rPr>
          <w:rFonts w:hint="eastAsia" w:asciiTheme="minorEastAsia" w:hAnsiTheme="minorEastAsia" w:eastAsiaTheme="minorEastAsia" w:cstheme="minorEastAsia"/>
          <w:color w:val="auto"/>
          <w:szCs w:val="21"/>
        </w:rPr>
        <w:t xml:space="preserve"> </w:t>
      </w:r>
    </w:p>
    <w:p>
      <w:pPr>
        <w:rPr>
          <w:rFonts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2．与报价服务内容有关的情况：</w:t>
      </w:r>
    </w:p>
    <w:p>
      <w:pPr>
        <w:rPr>
          <w:rFonts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（1）供应商提供此响应服务内容的经验（包括年限、项目业主、额定能力、商业运营的起始日期等）；</w:t>
      </w:r>
    </w:p>
    <w:p>
      <w:pPr>
        <w:rPr>
          <w:rFonts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（2）服务网点分布（可另行附表）：</w:t>
      </w:r>
    </w:p>
    <w:tbl>
      <w:tblPr>
        <w:tblStyle w:val="26"/>
        <w:tblW w:w="907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797"/>
        <w:gridCol w:w="1737"/>
        <w:gridCol w:w="2269"/>
        <w:gridCol w:w="226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2" w:hRule="atLeast"/>
          <w:jc w:val="center"/>
        </w:trPr>
        <w:tc>
          <w:tcPr>
            <w:tcW w:w="2797" w:type="dxa"/>
            <w:vAlign w:val="center"/>
          </w:tcPr>
          <w:p>
            <w:pPr>
              <w:spacing w:line="360" w:lineRule="auto"/>
              <w:jc w:val="center"/>
              <w:rPr>
                <w:rFonts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服务网点名称和地址</w:t>
            </w:r>
          </w:p>
        </w:tc>
        <w:tc>
          <w:tcPr>
            <w:tcW w:w="1737" w:type="dxa"/>
            <w:vAlign w:val="center"/>
          </w:tcPr>
          <w:p>
            <w:pPr>
              <w:spacing w:line="360" w:lineRule="auto"/>
              <w:jc w:val="center"/>
              <w:rPr>
                <w:rFonts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主要服务范围</w:t>
            </w:r>
          </w:p>
        </w:tc>
        <w:tc>
          <w:tcPr>
            <w:tcW w:w="2269" w:type="dxa"/>
            <w:vAlign w:val="center"/>
          </w:tcPr>
          <w:p>
            <w:pPr>
              <w:spacing w:line="360" w:lineRule="auto"/>
              <w:jc w:val="center"/>
              <w:rPr>
                <w:rFonts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服务人员数</w:t>
            </w:r>
          </w:p>
        </w:tc>
        <w:tc>
          <w:tcPr>
            <w:tcW w:w="2268" w:type="dxa"/>
            <w:vAlign w:val="center"/>
          </w:tcPr>
          <w:p>
            <w:pPr>
              <w:spacing w:line="360" w:lineRule="auto"/>
              <w:jc w:val="center"/>
              <w:rPr>
                <w:rFonts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内部等级</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2" w:hRule="atLeast"/>
          <w:jc w:val="center"/>
        </w:trPr>
        <w:tc>
          <w:tcPr>
            <w:tcW w:w="2797" w:type="dxa"/>
            <w:vAlign w:val="center"/>
          </w:tcPr>
          <w:p>
            <w:pPr>
              <w:spacing w:line="360" w:lineRule="auto"/>
              <w:jc w:val="center"/>
              <w:rPr>
                <w:rFonts w:asciiTheme="minorEastAsia" w:hAnsiTheme="minorEastAsia" w:eastAsiaTheme="minorEastAsia" w:cstheme="minorEastAsia"/>
                <w:color w:val="auto"/>
                <w:szCs w:val="21"/>
              </w:rPr>
            </w:pPr>
          </w:p>
        </w:tc>
        <w:tc>
          <w:tcPr>
            <w:tcW w:w="1737" w:type="dxa"/>
            <w:vAlign w:val="center"/>
          </w:tcPr>
          <w:p>
            <w:pPr>
              <w:spacing w:line="360" w:lineRule="auto"/>
              <w:jc w:val="center"/>
              <w:rPr>
                <w:rFonts w:asciiTheme="minorEastAsia" w:hAnsiTheme="minorEastAsia" w:eastAsiaTheme="minorEastAsia" w:cstheme="minorEastAsia"/>
                <w:color w:val="auto"/>
                <w:szCs w:val="21"/>
              </w:rPr>
            </w:pPr>
          </w:p>
        </w:tc>
        <w:tc>
          <w:tcPr>
            <w:tcW w:w="2269" w:type="dxa"/>
            <w:vAlign w:val="center"/>
          </w:tcPr>
          <w:p>
            <w:pPr>
              <w:spacing w:line="360" w:lineRule="auto"/>
              <w:jc w:val="center"/>
              <w:rPr>
                <w:rFonts w:asciiTheme="minorEastAsia" w:hAnsiTheme="minorEastAsia" w:eastAsiaTheme="minorEastAsia" w:cstheme="minorEastAsia"/>
                <w:color w:val="auto"/>
                <w:szCs w:val="21"/>
              </w:rPr>
            </w:pPr>
          </w:p>
        </w:tc>
        <w:tc>
          <w:tcPr>
            <w:tcW w:w="2268" w:type="dxa"/>
            <w:vAlign w:val="center"/>
          </w:tcPr>
          <w:p>
            <w:pPr>
              <w:spacing w:line="360" w:lineRule="auto"/>
              <w:jc w:val="center"/>
              <w:rPr>
                <w:rFonts w:asciiTheme="minorEastAsia" w:hAnsiTheme="minorEastAsia" w:eastAsiaTheme="minorEastAsia" w:cstheme="minorEastAsia"/>
                <w:color w:val="auto"/>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2" w:hRule="atLeast"/>
          <w:jc w:val="center"/>
        </w:trPr>
        <w:tc>
          <w:tcPr>
            <w:tcW w:w="2797" w:type="dxa"/>
            <w:vAlign w:val="center"/>
          </w:tcPr>
          <w:p>
            <w:pPr>
              <w:spacing w:line="360" w:lineRule="auto"/>
              <w:jc w:val="center"/>
              <w:rPr>
                <w:rFonts w:asciiTheme="minorEastAsia" w:hAnsiTheme="minorEastAsia" w:eastAsiaTheme="minorEastAsia" w:cstheme="minorEastAsia"/>
                <w:color w:val="auto"/>
                <w:szCs w:val="21"/>
              </w:rPr>
            </w:pPr>
          </w:p>
        </w:tc>
        <w:tc>
          <w:tcPr>
            <w:tcW w:w="1737" w:type="dxa"/>
            <w:vAlign w:val="center"/>
          </w:tcPr>
          <w:p>
            <w:pPr>
              <w:spacing w:line="360" w:lineRule="auto"/>
              <w:jc w:val="center"/>
              <w:rPr>
                <w:rFonts w:asciiTheme="minorEastAsia" w:hAnsiTheme="minorEastAsia" w:eastAsiaTheme="minorEastAsia" w:cstheme="minorEastAsia"/>
                <w:color w:val="auto"/>
                <w:szCs w:val="21"/>
              </w:rPr>
            </w:pPr>
          </w:p>
        </w:tc>
        <w:tc>
          <w:tcPr>
            <w:tcW w:w="2269" w:type="dxa"/>
            <w:vAlign w:val="center"/>
          </w:tcPr>
          <w:p>
            <w:pPr>
              <w:spacing w:line="360" w:lineRule="auto"/>
              <w:jc w:val="center"/>
              <w:rPr>
                <w:rFonts w:asciiTheme="minorEastAsia" w:hAnsiTheme="minorEastAsia" w:eastAsiaTheme="minorEastAsia" w:cstheme="minorEastAsia"/>
                <w:color w:val="auto"/>
                <w:szCs w:val="21"/>
              </w:rPr>
            </w:pPr>
          </w:p>
        </w:tc>
        <w:tc>
          <w:tcPr>
            <w:tcW w:w="2268" w:type="dxa"/>
            <w:vAlign w:val="center"/>
          </w:tcPr>
          <w:p>
            <w:pPr>
              <w:spacing w:line="360" w:lineRule="auto"/>
              <w:jc w:val="center"/>
              <w:rPr>
                <w:rFonts w:asciiTheme="minorEastAsia" w:hAnsiTheme="minorEastAsia" w:eastAsiaTheme="minorEastAsia" w:cstheme="minorEastAsia"/>
                <w:color w:val="auto"/>
                <w:szCs w:val="21"/>
              </w:rPr>
            </w:pPr>
          </w:p>
        </w:tc>
      </w:tr>
    </w:tbl>
    <w:p>
      <w:pPr>
        <w:rPr>
          <w:rFonts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3．供应商认为需要声明的其他情况：</w:t>
      </w:r>
    </w:p>
    <w:p>
      <w:pPr>
        <w:ind w:firstLine="210" w:firstLineChars="100"/>
        <w:rPr>
          <w:rFonts w:asciiTheme="minorEastAsia" w:hAnsiTheme="minorEastAsia" w:eastAsiaTheme="minorEastAsia" w:cstheme="minorEastAsia"/>
          <w:bCs/>
          <w:color w:val="auto"/>
          <w:szCs w:val="21"/>
        </w:rPr>
      </w:pPr>
      <w:r>
        <w:rPr>
          <w:rFonts w:hint="eastAsia" w:asciiTheme="minorEastAsia" w:hAnsiTheme="minorEastAsia" w:eastAsiaTheme="minorEastAsia" w:cstheme="minorEastAsia"/>
          <w:color w:val="auto"/>
          <w:szCs w:val="21"/>
        </w:rPr>
        <w:t>兹证明上述声明是真实的、正确的，并提供了全部能提供的资料和数据，我们同意遵照</w:t>
      </w:r>
      <w:r>
        <w:rPr>
          <w:rFonts w:hint="eastAsia" w:asciiTheme="minorEastAsia" w:hAnsiTheme="minorEastAsia" w:eastAsiaTheme="minorEastAsia" w:cstheme="minorEastAsia"/>
          <w:bCs/>
          <w:color w:val="auto"/>
          <w:szCs w:val="21"/>
          <w:u w:val="single"/>
        </w:rPr>
        <w:t>采购代理机构</w:t>
      </w:r>
      <w:r>
        <w:rPr>
          <w:rFonts w:hint="eastAsia" w:asciiTheme="minorEastAsia" w:hAnsiTheme="minorEastAsia" w:eastAsiaTheme="minorEastAsia" w:cstheme="minorEastAsia"/>
          <w:bCs/>
          <w:color w:val="auto"/>
          <w:szCs w:val="21"/>
        </w:rPr>
        <w:t>要求出示的有关证明文件。</w:t>
      </w:r>
    </w:p>
    <w:p>
      <w:pPr>
        <w:spacing w:line="360" w:lineRule="auto"/>
        <w:ind w:firstLine="210" w:firstLineChars="100"/>
        <w:rPr>
          <w:rFonts w:asciiTheme="minorEastAsia" w:hAnsiTheme="minorEastAsia" w:eastAsiaTheme="minorEastAsia" w:cstheme="minorEastAsia"/>
          <w:bCs/>
          <w:color w:val="auto"/>
          <w:szCs w:val="21"/>
        </w:rPr>
      </w:pPr>
    </w:p>
    <w:p>
      <w:pPr>
        <w:spacing w:line="360" w:lineRule="auto"/>
        <w:rPr>
          <w:rFonts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 xml:space="preserve">电      话：                     </w:t>
      </w:r>
    </w:p>
    <w:p>
      <w:pPr>
        <w:spacing w:line="360" w:lineRule="auto"/>
        <w:rPr>
          <w:rFonts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传      真：</w:t>
      </w:r>
    </w:p>
    <w:p>
      <w:pPr>
        <w:spacing w:line="360" w:lineRule="auto"/>
        <w:rPr>
          <w:rFonts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磋商供应商授权代表（签字）：</w:t>
      </w:r>
      <w:r>
        <w:rPr>
          <w:rFonts w:hint="eastAsia" w:asciiTheme="minorEastAsia" w:hAnsiTheme="minorEastAsia" w:eastAsiaTheme="minorEastAsia" w:cstheme="minorEastAsia"/>
          <w:color w:val="auto"/>
          <w:szCs w:val="21"/>
          <w:u w:val="single"/>
        </w:rPr>
        <w:t xml:space="preserve">                        </w:t>
      </w:r>
    </w:p>
    <w:p>
      <w:pPr>
        <w:spacing w:line="360" w:lineRule="auto"/>
        <w:rPr>
          <w:rFonts w:asciiTheme="minorEastAsia" w:hAnsiTheme="minorEastAsia" w:eastAsiaTheme="minorEastAsia" w:cstheme="minorEastAsia"/>
          <w:color w:val="auto"/>
          <w:szCs w:val="21"/>
          <w:u w:val="single"/>
        </w:rPr>
      </w:pPr>
      <w:r>
        <w:rPr>
          <w:rFonts w:hint="eastAsia" w:asciiTheme="minorEastAsia" w:hAnsiTheme="minorEastAsia" w:eastAsiaTheme="minorEastAsia" w:cstheme="minorEastAsia"/>
          <w:color w:val="auto"/>
          <w:szCs w:val="21"/>
        </w:rPr>
        <w:t>磋商</w:t>
      </w:r>
      <w:r>
        <w:rPr>
          <w:rFonts w:hint="eastAsia" w:asciiTheme="minorEastAsia" w:hAnsiTheme="minorEastAsia" w:eastAsiaTheme="minorEastAsia" w:cstheme="minorEastAsia"/>
          <w:bCs/>
          <w:color w:val="auto"/>
          <w:szCs w:val="21"/>
        </w:rPr>
        <w:t>供应商</w:t>
      </w:r>
      <w:r>
        <w:rPr>
          <w:rFonts w:hint="eastAsia" w:asciiTheme="minorEastAsia" w:hAnsiTheme="minorEastAsia" w:eastAsiaTheme="minorEastAsia" w:cstheme="minorEastAsia"/>
          <w:color w:val="auto"/>
          <w:szCs w:val="21"/>
        </w:rPr>
        <w:t>名称（盖章 ）：</w:t>
      </w:r>
      <w:r>
        <w:rPr>
          <w:rFonts w:hint="eastAsia" w:asciiTheme="minorEastAsia" w:hAnsiTheme="minorEastAsia" w:eastAsiaTheme="minorEastAsia" w:cstheme="minorEastAsia"/>
          <w:color w:val="auto"/>
          <w:szCs w:val="21"/>
          <w:u w:val="single"/>
        </w:rPr>
        <w:t xml:space="preserve">                                     </w:t>
      </w:r>
    </w:p>
    <w:p>
      <w:pPr>
        <w:spacing w:line="360" w:lineRule="auto"/>
        <w:rPr>
          <w:rFonts w:asciiTheme="minorEastAsia" w:hAnsiTheme="minorEastAsia" w:eastAsiaTheme="minorEastAsia" w:cstheme="minorEastAsia"/>
          <w:color w:val="auto"/>
          <w:szCs w:val="21"/>
        </w:rPr>
      </w:pPr>
      <w:r>
        <w:rPr>
          <w:rFonts w:hint="eastAsia" w:asciiTheme="minorEastAsia" w:hAnsiTheme="minorEastAsia" w:eastAsiaTheme="minorEastAsia" w:cstheme="minorEastAsia"/>
          <w:bCs/>
          <w:color w:val="auto"/>
          <w:szCs w:val="21"/>
        </w:rPr>
        <w:t xml:space="preserve">时                 </w:t>
      </w:r>
      <w:r>
        <w:rPr>
          <w:rFonts w:hint="eastAsia" w:asciiTheme="minorEastAsia" w:hAnsiTheme="minorEastAsia" w:eastAsiaTheme="minorEastAsia" w:cstheme="minorEastAsia"/>
          <w:color w:val="auto"/>
          <w:szCs w:val="21"/>
        </w:rPr>
        <w:t>间：</w:t>
      </w:r>
      <w:r>
        <w:rPr>
          <w:rFonts w:hint="eastAsia" w:asciiTheme="minorEastAsia" w:hAnsiTheme="minorEastAsia" w:eastAsiaTheme="minorEastAsia" w:cstheme="minorEastAsia"/>
          <w:color w:val="auto"/>
          <w:szCs w:val="21"/>
          <w:u w:val="single"/>
        </w:rPr>
        <w:t xml:space="preserve">           </w:t>
      </w:r>
      <w:r>
        <w:rPr>
          <w:rFonts w:hint="eastAsia" w:asciiTheme="minorEastAsia" w:hAnsiTheme="minorEastAsia" w:eastAsiaTheme="minorEastAsia" w:cstheme="minorEastAsia"/>
          <w:color w:val="auto"/>
          <w:szCs w:val="21"/>
        </w:rPr>
        <w:t>年</w:t>
      </w:r>
      <w:r>
        <w:rPr>
          <w:rFonts w:hint="eastAsia" w:asciiTheme="minorEastAsia" w:hAnsiTheme="minorEastAsia" w:eastAsiaTheme="minorEastAsia" w:cstheme="minorEastAsia"/>
          <w:color w:val="auto"/>
          <w:szCs w:val="21"/>
          <w:u w:val="single"/>
        </w:rPr>
        <w:t xml:space="preserve">          </w:t>
      </w:r>
      <w:r>
        <w:rPr>
          <w:rFonts w:hint="eastAsia" w:asciiTheme="minorEastAsia" w:hAnsiTheme="minorEastAsia" w:eastAsiaTheme="minorEastAsia" w:cstheme="minorEastAsia"/>
          <w:color w:val="auto"/>
          <w:szCs w:val="21"/>
        </w:rPr>
        <w:t>月</w:t>
      </w:r>
      <w:r>
        <w:rPr>
          <w:rFonts w:hint="eastAsia" w:asciiTheme="minorEastAsia" w:hAnsiTheme="minorEastAsia" w:eastAsiaTheme="minorEastAsia" w:cstheme="minorEastAsia"/>
          <w:color w:val="auto"/>
          <w:szCs w:val="21"/>
          <w:u w:val="single"/>
        </w:rPr>
        <w:t xml:space="preserve">          </w:t>
      </w:r>
      <w:r>
        <w:rPr>
          <w:rFonts w:hint="eastAsia" w:asciiTheme="minorEastAsia" w:hAnsiTheme="minorEastAsia" w:eastAsiaTheme="minorEastAsia" w:cstheme="minorEastAsia"/>
          <w:color w:val="auto"/>
          <w:szCs w:val="21"/>
        </w:rPr>
        <w:t>日</w:t>
      </w:r>
    </w:p>
    <w:p>
      <w:pPr>
        <w:tabs>
          <w:tab w:val="left" w:pos="540"/>
        </w:tabs>
        <w:autoSpaceDE w:val="0"/>
        <w:autoSpaceDN w:val="0"/>
        <w:adjustRightInd w:val="0"/>
        <w:spacing w:line="360" w:lineRule="auto"/>
        <w:jc w:val="center"/>
        <w:outlineLvl w:val="1"/>
        <w:rPr>
          <w:rFonts w:asciiTheme="minorEastAsia" w:hAnsiTheme="minorEastAsia" w:eastAsiaTheme="minorEastAsia" w:cstheme="minorEastAsia"/>
          <w:b/>
          <w:bCs/>
          <w:color w:val="auto"/>
          <w:szCs w:val="21"/>
        </w:rPr>
      </w:pPr>
      <w:r>
        <w:rPr>
          <w:rFonts w:hint="eastAsia" w:asciiTheme="minorEastAsia" w:hAnsiTheme="minorEastAsia" w:eastAsiaTheme="minorEastAsia" w:cstheme="minorEastAsia"/>
          <w:color w:val="auto"/>
          <w:kern w:val="0"/>
          <w:szCs w:val="21"/>
        </w:rPr>
        <w:br w:type="page"/>
      </w:r>
      <w:bookmarkStart w:id="201" w:name="_Toc18017"/>
      <w:bookmarkStart w:id="202" w:name="_Toc479184137"/>
      <w:bookmarkStart w:id="203" w:name="_Toc17331"/>
      <w:bookmarkStart w:id="204" w:name="_Toc259028731"/>
      <w:bookmarkStart w:id="205" w:name="_Toc17527"/>
      <w:bookmarkStart w:id="206" w:name="_Toc450827823"/>
      <w:r>
        <w:rPr>
          <w:rFonts w:hint="eastAsia" w:asciiTheme="minorEastAsia" w:hAnsiTheme="minorEastAsia" w:eastAsiaTheme="minorEastAsia" w:cstheme="minorEastAsia"/>
          <w:b/>
          <w:bCs/>
          <w:color w:val="auto"/>
          <w:kern w:val="0"/>
          <w:szCs w:val="21"/>
        </w:rPr>
        <w:t>十四、</w:t>
      </w:r>
      <w:r>
        <w:rPr>
          <w:rFonts w:hint="eastAsia" w:asciiTheme="minorEastAsia" w:hAnsiTheme="minorEastAsia" w:eastAsiaTheme="minorEastAsia" w:cstheme="minorEastAsia"/>
          <w:b/>
          <w:bCs/>
          <w:color w:val="auto"/>
          <w:szCs w:val="21"/>
        </w:rPr>
        <w:t>资格证明文件</w:t>
      </w:r>
      <w:bookmarkEnd w:id="201"/>
      <w:bookmarkEnd w:id="202"/>
      <w:bookmarkEnd w:id="203"/>
      <w:bookmarkEnd w:id="204"/>
      <w:bookmarkEnd w:id="205"/>
      <w:bookmarkEnd w:id="206"/>
    </w:p>
    <w:p>
      <w:pPr>
        <w:rPr>
          <w:rFonts w:asciiTheme="minorEastAsia" w:hAnsiTheme="minorEastAsia" w:eastAsiaTheme="minorEastAsia" w:cstheme="minorEastAsia"/>
          <w:color w:val="auto"/>
          <w:szCs w:val="21"/>
        </w:rPr>
      </w:pPr>
    </w:p>
    <w:p>
      <w:pPr>
        <w:rPr>
          <w:rFonts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提供第一章第二款资格要求的资格证明文件的真彩扫描件。</w:t>
      </w:r>
    </w:p>
    <w:p>
      <w:pPr>
        <w:rPr>
          <w:rFonts w:asciiTheme="minorEastAsia" w:hAnsiTheme="minorEastAsia" w:eastAsiaTheme="minorEastAsia" w:cstheme="minorEastAsia"/>
          <w:color w:val="auto"/>
          <w:szCs w:val="21"/>
        </w:rPr>
      </w:pPr>
    </w:p>
    <w:p>
      <w:pPr>
        <w:adjustRightInd w:val="0"/>
        <w:snapToGrid w:val="0"/>
        <w:spacing w:line="360" w:lineRule="auto"/>
        <w:ind w:left="-88" w:leftChars="-42"/>
        <w:jc w:val="center"/>
        <w:rPr>
          <w:rFonts w:asciiTheme="minorEastAsia" w:hAnsiTheme="minorEastAsia" w:eastAsiaTheme="minorEastAsia" w:cstheme="minorEastAsia"/>
          <w:color w:val="auto"/>
          <w:szCs w:val="21"/>
        </w:rPr>
      </w:pPr>
    </w:p>
    <w:p>
      <w:pPr>
        <w:spacing w:line="360" w:lineRule="auto"/>
        <w:ind w:left="168" w:leftChars="80"/>
        <w:jc w:val="center"/>
        <w:rPr>
          <w:rFonts w:asciiTheme="minorEastAsia" w:hAnsiTheme="minorEastAsia" w:eastAsiaTheme="minorEastAsia" w:cstheme="minorEastAsia"/>
          <w:bCs/>
          <w:color w:val="auto"/>
          <w:szCs w:val="21"/>
        </w:rPr>
      </w:pPr>
      <w:r>
        <w:rPr>
          <w:rFonts w:hint="eastAsia" w:asciiTheme="minorEastAsia" w:hAnsiTheme="minorEastAsia" w:eastAsiaTheme="minorEastAsia" w:cstheme="minorEastAsia"/>
          <w:bCs/>
          <w:color w:val="auto"/>
          <w:szCs w:val="21"/>
        </w:rPr>
        <w:br w:type="textWrapping"/>
      </w:r>
      <w:r>
        <w:rPr>
          <w:rFonts w:hint="eastAsia" w:asciiTheme="minorEastAsia" w:hAnsiTheme="minorEastAsia" w:eastAsiaTheme="minorEastAsia" w:cstheme="minorEastAsia"/>
          <w:bCs/>
          <w:color w:val="auto"/>
          <w:szCs w:val="21"/>
        </w:rPr>
        <w:br w:type="textWrapping"/>
      </w:r>
      <w:r>
        <w:rPr>
          <w:rFonts w:hint="eastAsia" w:asciiTheme="minorEastAsia" w:hAnsiTheme="minorEastAsia" w:eastAsiaTheme="minorEastAsia" w:cstheme="minorEastAsia"/>
          <w:bCs/>
          <w:color w:val="auto"/>
          <w:szCs w:val="21"/>
        </w:rPr>
        <w:br w:type="textWrapping"/>
      </w:r>
      <w:r>
        <w:rPr>
          <w:rFonts w:hint="eastAsia" w:asciiTheme="minorEastAsia" w:hAnsiTheme="minorEastAsia" w:eastAsiaTheme="minorEastAsia" w:cstheme="minorEastAsia"/>
          <w:bCs/>
          <w:color w:val="auto"/>
          <w:szCs w:val="21"/>
        </w:rPr>
        <w:br w:type="textWrapping"/>
      </w:r>
      <w:r>
        <w:rPr>
          <w:rFonts w:hint="eastAsia" w:asciiTheme="minorEastAsia" w:hAnsiTheme="minorEastAsia" w:eastAsiaTheme="minorEastAsia" w:cstheme="minorEastAsia"/>
          <w:bCs/>
          <w:color w:val="auto"/>
          <w:szCs w:val="21"/>
        </w:rPr>
        <w:br w:type="textWrapping"/>
      </w:r>
      <w:r>
        <w:rPr>
          <w:rFonts w:hint="eastAsia" w:asciiTheme="minorEastAsia" w:hAnsiTheme="minorEastAsia" w:eastAsiaTheme="minorEastAsia" w:cstheme="minorEastAsia"/>
          <w:bCs/>
          <w:color w:val="auto"/>
          <w:szCs w:val="21"/>
        </w:rPr>
        <w:br w:type="textWrapping"/>
      </w:r>
      <w:r>
        <w:rPr>
          <w:rFonts w:hint="eastAsia" w:asciiTheme="minorEastAsia" w:hAnsiTheme="minorEastAsia" w:eastAsiaTheme="minorEastAsia" w:cstheme="minorEastAsia"/>
          <w:bCs/>
          <w:color w:val="auto"/>
          <w:szCs w:val="21"/>
        </w:rPr>
        <w:br w:type="textWrapping"/>
      </w:r>
      <w:r>
        <w:rPr>
          <w:rFonts w:hint="eastAsia" w:asciiTheme="minorEastAsia" w:hAnsiTheme="minorEastAsia" w:eastAsiaTheme="minorEastAsia" w:cstheme="minorEastAsia"/>
          <w:bCs/>
          <w:color w:val="auto"/>
          <w:szCs w:val="21"/>
        </w:rPr>
        <w:br w:type="textWrapping"/>
      </w:r>
      <w:r>
        <w:rPr>
          <w:rFonts w:hint="eastAsia" w:asciiTheme="minorEastAsia" w:hAnsiTheme="minorEastAsia" w:eastAsiaTheme="minorEastAsia" w:cstheme="minorEastAsia"/>
          <w:bCs/>
          <w:color w:val="auto"/>
          <w:szCs w:val="21"/>
        </w:rPr>
        <w:br w:type="textWrapping"/>
      </w:r>
      <w:r>
        <w:rPr>
          <w:rFonts w:hint="eastAsia" w:asciiTheme="minorEastAsia" w:hAnsiTheme="minorEastAsia" w:eastAsiaTheme="minorEastAsia" w:cstheme="minorEastAsia"/>
          <w:bCs/>
          <w:color w:val="auto"/>
          <w:szCs w:val="21"/>
        </w:rPr>
        <w:br w:type="textWrapping"/>
      </w:r>
      <w:r>
        <w:rPr>
          <w:rFonts w:hint="eastAsia" w:asciiTheme="minorEastAsia" w:hAnsiTheme="minorEastAsia" w:eastAsiaTheme="minorEastAsia" w:cstheme="minorEastAsia"/>
          <w:bCs/>
          <w:color w:val="auto"/>
          <w:szCs w:val="21"/>
        </w:rPr>
        <w:br w:type="textWrapping"/>
      </w:r>
      <w:r>
        <w:rPr>
          <w:rFonts w:hint="eastAsia" w:asciiTheme="minorEastAsia" w:hAnsiTheme="minorEastAsia" w:eastAsiaTheme="minorEastAsia" w:cstheme="minorEastAsia"/>
          <w:bCs/>
          <w:color w:val="auto"/>
          <w:szCs w:val="21"/>
        </w:rPr>
        <w:br w:type="textWrapping"/>
      </w:r>
      <w:r>
        <w:rPr>
          <w:rFonts w:hint="eastAsia" w:asciiTheme="minorEastAsia" w:hAnsiTheme="minorEastAsia" w:eastAsiaTheme="minorEastAsia" w:cstheme="minorEastAsia"/>
          <w:bCs/>
          <w:color w:val="auto"/>
          <w:szCs w:val="21"/>
        </w:rPr>
        <w:br w:type="textWrapping"/>
      </w:r>
      <w:r>
        <w:rPr>
          <w:rFonts w:hint="eastAsia" w:asciiTheme="minorEastAsia" w:hAnsiTheme="minorEastAsia" w:eastAsiaTheme="minorEastAsia" w:cstheme="minorEastAsia"/>
          <w:bCs/>
          <w:color w:val="auto"/>
          <w:szCs w:val="21"/>
        </w:rPr>
        <w:br w:type="textWrapping"/>
      </w:r>
      <w:r>
        <w:rPr>
          <w:rFonts w:hint="eastAsia" w:asciiTheme="minorEastAsia" w:hAnsiTheme="minorEastAsia" w:eastAsiaTheme="minorEastAsia" w:cstheme="minorEastAsia"/>
          <w:bCs/>
          <w:color w:val="auto"/>
          <w:szCs w:val="21"/>
        </w:rPr>
        <w:br w:type="textWrapping"/>
      </w:r>
      <w:r>
        <w:rPr>
          <w:rFonts w:hint="eastAsia" w:asciiTheme="minorEastAsia" w:hAnsiTheme="minorEastAsia" w:eastAsiaTheme="minorEastAsia" w:cstheme="minorEastAsia"/>
          <w:bCs/>
          <w:color w:val="auto"/>
          <w:szCs w:val="21"/>
        </w:rPr>
        <w:br w:type="textWrapping"/>
      </w:r>
      <w:r>
        <w:rPr>
          <w:rFonts w:hint="eastAsia" w:asciiTheme="minorEastAsia" w:hAnsiTheme="minorEastAsia" w:eastAsiaTheme="minorEastAsia" w:cstheme="minorEastAsia"/>
          <w:bCs/>
          <w:color w:val="auto"/>
          <w:szCs w:val="21"/>
        </w:rPr>
        <w:br w:type="textWrapping"/>
      </w:r>
      <w:r>
        <w:rPr>
          <w:rFonts w:hint="eastAsia" w:asciiTheme="minorEastAsia" w:hAnsiTheme="minorEastAsia" w:eastAsiaTheme="minorEastAsia" w:cstheme="minorEastAsia"/>
          <w:bCs/>
          <w:color w:val="auto"/>
          <w:szCs w:val="21"/>
        </w:rPr>
        <w:br w:type="textWrapping"/>
      </w:r>
      <w:r>
        <w:rPr>
          <w:rFonts w:hint="eastAsia" w:asciiTheme="minorEastAsia" w:hAnsiTheme="minorEastAsia" w:eastAsiaTheme="minorEastAsia" w:cstheme="minorEastAsia"/>
          <w:bCs/>
          <w:color w:val="auto"/>
          <w:szCs w:val="21"/>
        </w:rPr>
        <w:br w:type="textWrapping"/>
      </w:r>
      <w:r>
        <w:rPr>
          <w:rFonts w:hint="eastAsia" w:asciiTheme="minorEastAsia" w:hAnsiTheme="minorEastAsia" w:eastAsiaTheme="minorEastAsia" w:cstheme="minorEastAsia"/>
          <w:bCs/>
          <w:color w:val="auto"/>
          <w:szCs w:val="21"/>
        </w:rPr>
        <w:br w:type="textWrapping"/>
      </w:r>
      <w:r>
        <w:rPr>
          <w:rFonts w:hint="eastAsia" w:asciiTheme="minorEastAsia" w:hAnsiTheme="minorEastAsia" w:eastAsiaTheme="minorEastAsia" w:cstheme="minorEastAsia"/>
          <w:bCs/>
          <w:color w:val="auto"/>
          <w:szCs w:val="21"/>
        </w:rPr>
        <w:br w:type="textWrapping"/>
      </w:r>
      <w:r>
        <w:rPr>
          <w:rFonts w:hint="eastAsia" w:asciiTheme="minorEastAsia" w:hAnsiTheme="minorEastAsia" w:eastAsiaTheme="minorEastAsia" w:cstheme="minorEastAsia"/>
          <w:bCs/>
          <w:color w:val="auto"/>
          <w:szCs w:val="21"/>
        </w:rPr>
        <w:br w:type="textWrapping"/>
      </w:r>
    </w:p>
    <w:p>
      <w:pPr>
        <w:spacing w:line="360" w:lineRule="auto"/>
        <w:ind w:left="168" w:leftChars="80"/>
        <w:jc w:val="center"/>
        <w:rPr>
          <w:rFonts w:asciiTheme="minorEastAsia" w:hAnsiTheme="minorEastAsia" w:eastAsiaTheme="minorEastAsia" w:cstheme="minorEastAsia"/>
          <w:bCs/>
          <w:color w:val="auto"/>
          <w:szCs w:val="21"/>
        </w:rPr>
      </w:pPr>
      <w:r>
        <w:rPr>
          <w:rFonts w:hint="eastAsia" w:asciiTheme="minorEastAsia" w:hAnsiTheme="minorEastAsia" w:eastAsiaTheme="minorEastAsia" w:cstheme="minorEastAsia"/>
          <w:bCs/>
          <w:color w:val="auto"/>
          <w:szCs w:val="21"/>
        </w:rPr>
        <w:br w:type="textWrapping"/>
      </w:r>
      <w:r>
        <w:rPr>
          <w:rFonts w:hint="eastAsia" w:asciiTheme="minorEastAsia" w:hAnsiTheme="minorEastAsia" w:eastAsiaTheme="minorEastAsia" w:cstheme="minorEastAsia"/>
          <w:bCs/>
          <w:color w:val="auto"/>
          <w:szCs w:val="21"/>
        </w:rPr>
        <w:br w:type="textWrapping"/>
      </w:r>
      <w:bookmarkStart w:id="207" w:name="_Toc358447587"/>
      <w:bookmarkStart w:id="208" w:name="_Toc18555"/>
      <w:bookmarkStart w:id="209" w:name="_Toc364868916"/>
      <w:bookmarkStart w:id="210" w:name="_Toc427239751"/>
      <w:bookmarkStart w:id="211" w:name="_Toc32187"/>
      <w:bookmarkStart w:id="212" w:name="_Toc5793"/>
      <w:bookmarkStart w:id="213" w:name="_Toc290207179"/>
    </w:p>
    <w:p>
      <w:pPr>
        <w:tabs>
          <w:tab w:val="left" w:pos="540"/>
        </w:tabs>
        <w:autoSpaceDE w:val="0"/>
        <w:autoSpaceDN w:val="0"/>
        <w:adjustRightInd w:val="0"/>
        <w:spacing w:line="360" w:lineRule="auto"/>
        <w:jc w:val="center"/>
        <w:outlineLvl w:val="1"/>
        <w:rPr>
          <w:rFonts w:asciiTheme="minorEastAsia" w:hAnsiTheme="minorEastAsia" w:eastAsiaTheme="minorEastAsia" w:cstheme="minorEastAsia"/>
          <w:b/>
          <w:bCs/>
          <w:color w:val="auto"/>
          <w:kern w:val="0"/>
          <w:szCs w:val="21"/>
        </w:rPr>
      </w:pPr>
      <w:bookmarkStart w:id="214" w:name="_Toc21818"/>
      <w:r>
        <w:rPr>
          <w:rFonts w:hint="eastAsia" w:asciiTheme="minorEastAsia" w:hAnsiTheme="minorEastAsia" w:eastAsiaTheme="minorEastAsia" w:cstheme="minorEastAsia"/>
          <w:b/>
          <w:bCs/>
          <w:color w:val="auto"/>
          <w:kern w:val="0"/>
          <w:szCs w:val="21"/>
        </w:rPr>
        <w:t>十五、</w:t>
      </w:r>
      <w:bookmarkEnd w:id="207"/>
      <w:bookmarkEnd w:id="208"/>
      <w:bookmarkEnd w:id="209"/>
      <w:bookmarkEnd w:id="210"/>
      <w:bookmarkEnd w:id="211"/>
      <w:bookmarkEnd w:id="212"/>
      <w:bookmarkEnd w:id="213"/>
      <w:bookmarkStart w:id="215" w:name="_Toc479184138"/>
      <w:bookmarkStart w:id="216" w:name="_Toc460258123"/>
      <w:bookmarkStart w:id="217" w:name="_Toc27229"/>
      <w:bookmarkStart w:id="218" w:name="_Toc29785"/>
      <w:r>
        <w:rPr>
          <w:rFonts w:hint="eastAsia" w:asciiTheme="minorEastAsia" w:hAnsiTheme="minorEastAsia" w:eastAsiaTheme="minorEastAsia" w:cstheme="minorEastAsia"/>
          <w:b/>
          <w:bCs/>
          <w:color w:val="auto"/>
          <w:kern w:val="0"/>
          <w:szCs w:val="21"/>
        </w:rPr>
        <w:t>报价技术文件</w:t>
      </w:r>
      <w:bookmarkEnd w:id="214"/>
      <w:bookmarkEnd w:id="215"/>
      <w:bookmarkEnd w:id="216"/>
      <w:bookmarkEnd w:id="217"/>
      <w:bookmarkEnd w:id="218"/>
    </w:p>
    <w:p>
      <w:pPr>
        <w:rPr>
          <w:rFonts w:asciiTheme="minorEastAsia" w:hAnsiTheme="minorEastAsia" w:eastAsiaTheme="minorEastAsia" w:cstheme="minorEastAsia"/>
          <w:color w:val="auto"/>
          <w:szCs w:val="21"/>
        </w:rPr>
      </w:pPr>
    </w:p>
    <w:p>
      <w:pPr>
        <w:pStyle w:val="97"/>
        <w:spacing w:line="360" w:lineRule="auto"/>
        <w:ind w:firstLine="420" w:firstLineChars="200"/>
        <w:jc w:val="left"/>
        <w:rPr>
          <w:rFonts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由供应商自行编制，目录清晰、内容详尽、易于理解和评审并富有建设性的技术方案将在评审时具有优势。</w:t>
      </w:r>
    </w:p>
    <w:p>
      <w:pPr>
        <w:adjustRightInd w:val="0"/>
        <w:snapToGrid w:val="0"/>
        <w:spacing w:line="360" w:lineRule="auto"/>
        <w:ind w:left="-88" w:leftChars="-42" w:firstLine="422" w:firstLineChars="200"/>
        <w:jc w:val="left"/>
        <w:rPr>
          <w:rFonts w:asciiTheme="minorEastAsia" w:hAnsiTheme="minorEastAsia" w:eastAsiaTheme="minorEastAsia" w:cstheme="minorEastAsia"/>
          <w:b/>
          <w:bCs/>
          <w:color w:val="auto"/>
          <w:szCs w:val="21"/>
        </w:rPr>
      </w:pPr>
      <w:r>
        <w:rPr>
          <w:rFonts w:hint="eastAsia" w:asciiTheme="minorEastAsia" w:hAnsiTheme="minorEastAsia" w:eastAsiaTheme="minorEastAsia" w:cstheme="minorEastAsia"/>
          <w:b/>
          <w:bCs/>
          <w:color w:val="auto"/>
          <w:szCs w:val="21"/>
        </w:rPr>
        <w:t>以下内容仅供参考，格式自拟。</w:t>
      </w:r>
    </w:p>
    <w:p>
      <w:pPr>
        <w:numPr>
          <w:ilvl w:val="1"/>
          <w:numId w:val="46"/>
        </w:numPr>
        <w:tabs>
          <w:tab w:val="left" w:pos="640"/>
          <w:tab w:val="clear" w:pos="0"/>
        </w:tabs>
        <w:spacing w:line="360" w:lineRule="auto"/>
        <w:rPr>
          <w:rFonts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项目概况及对本项目总体要求的理解</w:t>
      </w:r>
    </w:p>
    <w:p>
      <w:pPr>
        <w:numPr>
          <w:ilvl w:val="1"/>
          <w:numId w:val="46"/>
        </w:numPr>
        <w:tabs>
          <w:tab w:val="left" w:pos="640"/>
          <w:tab w:val="clear" w:pos="0"/>
        </w:tabs>
        <w:spacing w:line="360" w:lineRule="auto"/>
        <w:rPr>
          <w:rFonts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项目实施方案</w:t>
      </w:r>
    </w:p>
    <w:p>
      <w:pPr>
        <w:numPr>
          <w:ilvl w:val="1"/>
          <w:numId w:val="46"/>
        </w:numPr>
        <w:tabs>
          <w:tab w:val="left" w:pos="640"/>
          <w:tab w:val="clear" w:pos="0"/>
        </w:tabs>
        <w:spacing w:line="360" w:lineRule="auto"/>
        <w:rPr>
          <w:rFonts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项目重点及难点解析</w:t>
      </w:r>
    </w:p>
    <w:p>
      <w:pPr>
        <w:numPr>
          <w:ilvl w:val="1"/>
          <w:numId w:val="46"/>
        </w:numPr>
        <w:tabs>
          <w:tab w:val="left" w:pos="640"/>
          <w:tab w:val="clear" w:pos="0"/>
        </w:tabs>
        <w:spacing w:line="360" w:lineRule="auto"/>
        <w:rPr>
          <w:rFonts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质量控制措施</w:t>
      </w:r>
    </w:p>
    <w:p>
      <w:pPr>
        <w:numPr>
          <w:ilvl w:val="1"/>
          <w:numId w:val="46"/>
        </w:numPr>
        <w:tabs>
          <w:tab w:val="left" w:pos="640"/>
          <w:tab w:val="clear" w:pos="0"/>
        </w:tabs>
        <w:spacing w:line="360" w:lineRule="auto"/>
        <w:rPr>
          <w:rFonts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进度控制措施</w:t>
      </w:r>
    </w:p>
    <w:p>
      <w:pPr>
        <w:numPr>
          <w:ilvl w:val="1"/>
          <w:numId w:val="46"/>
        </w:numPr>
        <w:tabs>
          <w:tab w:val="left" w:pos="640"/>
          <w:tab w:val="clear" w:pos="0"/>
        </w:tabs>
        <w:spacing w:line="360" w:lineRule="auto"/>
        <w:rPr>
          <w:rFonts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对本项目的合理化建议</w:t>
      </w:r>
    </w:p>
    <w:p>
      <w:pPr>
        <w:tabs>
          <w:tab w:val="left" w:pos="540"/>
        </w:tabs>
        <w:autoSpaceDE w:val="0"/>
        <w:autoSpaceDN w:val="0"/>
        <w:adjustRightInd w:val="0"/>
        <w:spacing w:line="360" w:lineRule="auto"/>
        <w:jc w:val="center"/>
        <w:outlineLvl w:val="1"/>
        <w:rPr>
          <w:rFonts w:asciiTheme="minorEastAsia" w:hAnsiTheme="minorEastAsia" w:eastAsiaTheme="minorEastAsia" w:cstheme="minorEastAsia"/>
          <w:b/>
          <w:color w:val="auto"/>
        </w:rPr>
      </w:pPr>
      <w:r>
        <w:rPr>
          <w:rFonts w:hint="eastAsia" w:asciiTheme="minorEastAsia" w:hAnsiTheme="minorEastAsia" w:eastAsiaTheme="minorEastAsia" w:cstheme="minorEastAsia"/>
          <w:color w:val="auto"/>
        </w:rPr>
        <w:br w:type="page"/>
      </w:r>
      <w:bookmarkStart w:id="219" w:name="_Toc422466739"/>
      <w:bookmarkStart w:id="220" w:name="_Toc2101"/>
      <w:bookmarkStart w:id="221" w:name="_Toc356836516"/>
      <w:bookmarkStart w:id="222" w:name="_Toc12119"/>
      <w:bookmarkStart w:id="223" w:name="_Toc479184140"/>
      <w:bookmarkStart w:id="224" w:name="_Toc432149016"/>
      <w:bookmarkStart w:id="225" w:name="_Toc355802499"/>
      <w:bookmarkStart w:id="226" w:name="_Toc8098"/>
      <w:bookmarkStart w:id="227" w:name="_Toc22465"/>
      <w:bookmarkStart w:id="228" w:name="_Toc2302"/>
      <w:r>
        <w:rPr>
          <w:rFonts w:hint="eastAsia" w:asciiTheme="minorEastAsia" w:hAnsiTheme="minorEastAsia" w:eastAsiaTheme="minorEastAsia" w:cstheme="minorEastAsia"/>
          <w:b/>
          <w:color w:val="auto"/>
        </w:rPr>
        <w:t>十六、</w:t>
      </w:r>
      <w:bookmarkEnd w:id="219"/>
      <w:bookmarkEnd w:id="220"/>
      <w:bookmarkEnd w:id="221"/>
      <w:bookmarkEnd w:id="222"/>
      <w:bookmarkEnd w:id="223"/>
      <w:bookmarkEnd w:id="224"/>
      <w:bookmarkEnd w:id="225"/>
      <w:bookmarkEnd w:id="226"/>
      <w:bookmarkEnd w:id="227"/>
      <w:r>
        <w:rPr>
          <w:rFonts w:hint="eastAsia" w:asciiTheme="minorEastAsia" w:hAnsiTheme="minorEastAsia" w:eastAsiaTheme="minorEastAsia" w:cstheme="minorEastAsia"/>
          <w:b/>
          <w:color w:val="auto"/>
          <w:lang w:val="zh-CN"/>
        </w:rPr>
        <w:t>中小企业声明函（</w:t>
      </w:r>
      <w:r>
        <w:rPr>
          <w:rFonts w:hint="eastAsia" w:asciiTheme="minorEastAsia" w:hAnsiTheme="minorEastAsia" w:eastAsiaTheme="minorEastAsia" w:cstheme="minorEastAsia"/>
          <w:b/>
          <w:color w:val="auto"/>
        </w:rPr>
        <w:t>货物</w:t>
      </w:r>
      <w:r>
        <w:rPr>
          <w:rFonts w:hint="eastAsia" w:asciiTheme="minorEastAsia" w:hAnsiTheme="minorEastAsia" w:eastAsiaTheme="minorEastAsia" w:cstheme="minorEastAsia"/>
          <w:b/>
          <w:color w:val="auto"/>
          <w:lang w:val="zh-CN"/>
        </w:rPr>
        <w:t>）（若</w:t>
      </w:r>
      <w:r>
        <w:rPr>
          <w:rFonts w:hint="eastAsia" w:asciiTheme="minorEastAsia" w:hAnsiTheme="minorEastAsia" w:eastAsiaTheme="minorEastAsia" w:cstheme="minorEastAsia"/>
          <w:b/>
          <w:color w:val="auto"/>
        </w:rPr>
        <w:t>符合</w:t>
      </w:r>
      <w:r>
        <w:rPr>
          <w:rFonts w:hint="eastAsia" w:asciiTheme="minorEastAsia" w:hAnsiTheme="minorEastAsia" w:eastAsiaTheme="minorEastAsia" w:cstheme="minorEastAsia"/>
          <w:b/>
          <w:color w:val="auto"/>
          <w:lang w:val="zh-CN"/>
        </w:rPr>
        <w:t>）</w:t>
      </w:r>
      <w:bookmarkEnd w:id="228"/>
    </w:p>
    <w:p>
      <w:pPr>
        <w:spacing w:line="360" w:lineRule="auto"/>
        <w:ind w:firstLine="420" w:firstLineChars="200"/>
        <w:jc w:val="center"/>
        <w:rPr>
          <w:rFonts w:ascii="宋体" w:hAnsi="宋体" w:cs="宋体"/>
          <w:color w:val="auto"/>
          <w:szCs w:val="21"/>
        </w:rPr>
      </w:pPr>
      <w:r>
        <w:rPr>
          <w:rFonts w:ascii="宋体" w:hAnsi="宋体" w:cs="宋体"/>
          <w:color w:val="auto"/>
          <w:szCs w:val="21"/>
        </w:rPr>
        <w:t>中小企业声明函（</w:t>
      </w:r>
      <w:r>
        <w:rPr>
          <w:rFonts w:hint="eastAsia" w:ascii="宋体" w:hAnsi="宋体" w:cs="宋体"/>
          <w:color w:val="auto"/>
          <w:szCs w:val="21"/>
        </w:rPr>
        <w:t>货物</w:t>
      </w:r>
      <w:r>
        <w:rPr>
          <w:rFonts w:ascii="宋体" w:hAnsi="宋体" w:cs="宋体"/>
          <w:color w:val="auto"/>
          <w:szCs w:val="21"/>
        </w:rPr>
        <w:t>）</w:t>
      </w:r>
    </w:p>
    <w:p>
      <w:pPr>
        <w:spacing w:line="360" w:lineRule="auto"/>
        <w:ind w:firstLine="420" w:firstLineChars="200"/>
        <w:rPr>
          <w:rFonts w:ascii="宋体" w:hAnsi="宋体" w:cs="宋体"/>
          <w:color w:val="auto"/>
          <w:szCs w:val="21"/>
        </w:rPr>
      </w:pPr>
      <w:r>
        <w:rPr>
          <w:rFonts w:ascii="宋体" w:hAnsi="宋体" w:cs="宋体"/>
          <w:color w:val="auto"/>
          <w:szCs w:val="21"/>
        </w:rPr>
        <w:t>本公司（联合体）郑重声明，根据《政府采购促进中小企业发展管理办法》（财库﹝2020﹞</w:t>
      </w:r>
      <w:r>
        <w:rPr>
          <w:rFonts w:hint="eastAsia" w:ascii="宋体" w:hAnsi="宋体" w:cs="宋体"/>
          <w:color w:val="auto"/>
          <w:szCs w:val="21"/>
        </w:rPr>
        <w:t>46</w:t>
      </w:r>
      <w:r>
        <w:rPr>
          <w:rFonts w:ascii="宋体" w:hAnsi="宋体" w:cs="宋体"/>
          <w:color w:val="auto"/>
          <w:szCs w:val="21"/>
        </w:rPr>
        <w:t>号）的规定，本公司 （联合体）参加</w:t>
      </w:r>
      <w:r>
        <w:rPr>
          <w:rFonts w:hint="eastAsia" w:ascii="宋体" w:hAnsi="宋体" w:cs="宋体"/>
          <w:color w:val="auto"/>
          <w:szCs w:val="21"/>
          <w:u w:val="single"/>
        </w:rPr>
        <w:t xml:space="preserve">          </w:t>
      </w:r>
      <w:r>
        <w:rPr>
          <w:rFonts w:ascii="宋体" w:hAnsi="宋体" w:cs="宋体"/>
          <w:color w:val="auto"/>
          <w:szCs w:val="21"/>
          <w:u w:val="single"/>
        </w:rPr>
        <w:t>（单位名称）</w:t>
      </w:r>
      <w:r>
        <w:rPr>
          <w:rFonts w:ascii="宋体" w:hAnsi="宋体" w:cs="宋体"/>
          <w:color w:val="auto"/>
          <w:szCs w:val="21"/>
        </w:rPr>
        <w:t>的</w:t>
      </w:r>
      <w:r>
        <w:rPr>
          <w:rFonts w:hint="eastAsia" w:ascii="宋体" w:hAnsi="宋体" w:cs="宋体"/>
          <w:color w:val="auto"/>
          <w:szCs w:val="21"/>
          <w:u w:val="single"/>
        </w:rPr>
        <w:t xml:space="preserve">          </w:t>
      </w:r>
      <w:r>
        <w:rPr>
          <w:rFonts w:ascii="宋体" w:hAnsi="宋体" w:cs="宋体"/>
          <w:color w:val="auto"/>
          <w:szCs w:val="21"/>
          <w:u w:val="single"/>
        </w:rPr>
        <w:t>（项目名称）</w:t>
      </w:r>
      <w:r>
        <w:rPr>
          <w:rFonts w:ascii="宋体" w:hAnsi="宋体" w:cs="宋体"/>
          <w:color w:val="auto"/>
          <w:szCs w:val="21"/>
        </w:rPr>
        <w:t xml:space="preserve">采购活动，提供的货物全部由符合政策要求的中小企业制造。相关企业（含联合体中的中小企业、签订分包意向协议的中小企业） 的具体情况如下： </w:t>
      </w:r>
      <w:r>
        <w:rPr>
          <w:rFonts w:ascii="宋体" w:hAnsi="宋体" w:cs="宋体"/>
          <w:color w:val="auto"/>
          <w:szCs w:val="21"/>
        </w:rPr>
        <w:br w:type="textWrapping"/>
      </w:r>
      <w:r>
        <w:rPr>
          <w:rFonts w:hint="eastAsia" w:ascii="宋体" w:hAnsi="宋体" w:cs="宋体"/>
          <w:color w:val="auto"/>
          <w:szCs w:val="21"/>
        </w:rPr>
        <w:t xml:space="preserve">    </w:t>
      </w:r>
      <w:r>
        <w:rPr>
          <w:rFonts w:ascii="宋体" w:hAnsi="宋体" w:cs="宋体"/>
          <w:color w:val="auto"/>
          <w:szCs w:val="21"/>
        </w:rPr>
        <w:t xml:space="preserve">1. </w:t>
      </w:r>
      <w:r>
        <w:rPr>
          <w:rFonts w:hint="eastAsia" w:ascii="宋体" w:hAnsi="宋体" w:cs="宋体"/>
          <w:color w:val="auto"/>
          <w:szCs w:val="21"/>
          <w:u w:val="single"/>
        </w:rPr>
        <w:t xml:space="preserve">                  </w:t>
      </w:r>
      <w:r>
        <w:rPr>
          <w:rFonts w:ascii="宋体" w:hAnsi="宋体" w:cs="宋体"/>
          <w:color w:val="auto"/>
          <w:szCs w:val="21"/>
          <w:u w:val="single"/>
        </w:rPr>
        <w:t>（标的名称）</w:t>
      </w:r>
      <w:r>
        <w:rPr>
          <w:rFonts w:ascii="宋体" w:hAnsi="宋体" w:cs="宋体"/>
          <w:color w:val="auto"/>
          <w:szCs w:val="21"/>
        </w:rPr>
        <w:t xml:space="preserve"> ，属于</w:t>
      </w:r>
      <w:r>
        <w:rPr>
          <w:rFonts w:hint="eastAsia" w:ascii="宋体" w:hAnsi="宋体" w:cs="宋体"/>
          <w:color w:val="auto"/>
          <w:szCs w:val="21"/>
          <w:u w:val="single"/>
        </w:rPr>
        <w:t xml:space="preserve">               </w:t>
      </w:r>
      <w:r>
        <w:rPr>
          <w:rFonts w:ascii="宋体" w:hAnsi="宋体" w:cs="宋体"/>
          <w:color w:val="auto"/>
          <w:szCs w:val="21"/>
          <w:u w:val="single"/>
        </w:rPr>
        <w:t>（采购文件中明确的所属行业）</w:t>
      </w:r>
      <w:r>
        <w:rPr>
          <w:rFonts w:ascii="宋体" w:hAnsi="宋体" w:cs="宋体"/>
          <w:color w:val="auto"/>
          <w:szCs w:val="21"/>
        </w:rPr>
        <w:t xml:space="preserve"> 行业；制造商为</w:t>
      </w:r>
      <w:r>
        <w:rPr>
          <w:rFonts w:hint="eastAsia" w:ascii="宋体" w:hAnsi="宋体" w:cs="宋体"/>
          <w:color w:val="auto"/>
          <w:szCs w:val="21"/>
          <w:u w:val="single"/>
        </w:rPr>
        <w:t xml:space="preserve">     </w:t>
      </w:r>
      <w:r>
        <w:rPr>
          <w:rFonts w:ascii="宋体" w:hAnsi="宋体" w:cs="宋体"/>
          <w:color w:val="auto"/>
          <w:szCs w:val="21"/>
          <w:u w:val="single"/>
        </w:rPr>
        <w:t>（企业名称）</w:t>
      </w:r>
      <w:r>
        <w:rPr>
          <w:rFonts w:ascii="宋体" w:hAnsi="宋体" w:cs="宋体"/>
          <w:color w:val="auto"/>
          <w:szCs w:val="21"/>
        </w:rPr>
        <w:t>，从业人员</w:t>
      </w:r>
      <w:r>
        <w:rPr>
          <w:rFonts w:hint="eastAsia" w:ascii="宋体" w:hAnsi="宋体" w:cs="宋体"/>
          <w:color w:val="auto"/>
          <w:szCs w:val="21"/>
          <w:u w:val="single"/>
        </w:rPr>
        <w:t xml:space="preserve">        </w:t>
      </w:r>
      <w:r>
        <w:rPr>
          <w:rFonts w:ascii="宋体" w:hAnsi="宋体" w:cs="宋体"/>
          <w:color w:val="auto"/>
          <w:szCs w:val="21"/>
        </w:rPr>
        <w:t>人，营业收入为</w:t>
      </w:r>
      <w:r>
        <w:rPr>
          <w:rFonts w:hint="eastAsia" w:ascii="宋体" w:hAnsi="宋体" w:cs="宋体"/>
          <w:color w:val="auto"/>
          <w:szCs w:val="21"/>
          <w:u w:val="single"/>
        </w:rPr>
        <w:t xml:space="preserve">        </w:t>
      </w:r>
      <w:r>
        <w:rPr>
          <w:rFonts w:ascii="宋体" w:hAnsi="宋体" w:cs="宋体"/>
          <w:color w:val="auto"/>
          <w:szCs w:val="21"/>
        </w:rPr>
        <w:t>万元，资产总额为</w:t>
      </w:r>
      <w:r>
        <w:rPr>
          <w:rFonts w:hint="eastAsia" w:ascii="宋体" w:hAnsi="宋体" w:cs="宋体"/>
          <w:color w:val="auto"/>
          <w:szCs w:val="21"/>
          <w:u w:val="single"/>
        </w:rPr>
        <w:t xml:space="preserve">        </w:t>
      </w:r>
      <w:r>
        <w:rPr>
          <w:rFonts w:ascii="宋体" w:hAnsi="宋体" w:cs="宋体"/>
          <w:color w:val="auto"/>
          <w:szCs w:val="21"/>
        </w:rPr>
        <w:t>万元，属于</w:t>
      </w:r>
      <w:r>
        <w:rPr>
          <w:rFonts w:ascii="宋体" w:hAnsi="宋体" w:cs="宋体"/>
          <w:color w:val="auto"/>
          <w:szCs w:val="21"/>
          <w:u w:val="single"/>
        </w:rPr>
        <w:t>（中型企业、小型企业、微型企业）；</w:t>
      </w:r>
      <w:r>
        <w:rPr>
          <w:rFonts w:ascii="宋体" w:hAnsi="宋体" w:cs="宋体"/>
          <w:color w:val="auto"/>
          <w:szCs w:val="21"/>
        </w:rPr>
        <w:t xml:space="preserve"> </w:t>
      </w:r>
      <w:r>
        <w:rPr>
          <w:rFonts w:ascii="宋体" w:hAnsi="宋体" w:cs="宋体"/>
          <w:color w:val="auto"/>
          <w:szCs w:val="21"/>
        </w:rPr>
        <w:br w:type="textWrapping"/>
      </w:r>
      <w:r>
        <w:rPr>
          <w:rFonts w:hint="eastAsia" w:ascii="宋体" w:hAnsi="宋体" w:cs="宋体"/>
          <w:color w:val="auto"/>
          <w:szCs w:val="21"/>
        </w:rPr>
        <w:t xml:space="preserve">    </w:t>
      </w:r>
      <w:r>
        <w:rPr>
          <w:rFonts w:ascii="宋体" w:hAnsi="宋体" w:cs="宋体"/>
          <w:color w:val="auto"/>
          <w:szCs w:val="21"/>
        </w:rPr>
        <w:t xml:space="preserve">2. </w:t>
      </w:r>
      <w:r>
        <w:rPr>
          <w:rFonts w:hint="eastAsia" w:ascii="宋体" w:hAnsi="宋体" w:cs="宋体"/>
          <w:color w:val="auto"/>
          <w:szCs w:val="21"/>
          <w:u w:val="single"/>
        </w:rPr>
        <w:t xml:space="preserve">                  </w:t>
      </w:r>
      <w:r>
        <w:rPr>
          <w:rFonts w:ascii="宋体" w:hAnsi="宋体" w:cs="宋体"/>
          <w:color w:val="auto"/>
          <w:szCs w:val="21"/>
          <w:u w:val="single"/>
        </w:rPr>
        <w:t>（标的名称）</w:t>
      </w:r>
      <w:r>
        <w:rPr>
          <w:rFonts w:ascii="宋体" w:hAnsi="宋体" w:cs="宋体"/>
          <w:color w:val="auto"/>
          <w:szCs w:val="21"/>
        </w:rPr>
        <w:t xml:space="preserve"> ，属于</w:t>
      </w:r>
      <w:r>
        <w:rPr>
          <w:rFonts w:hint="eastAsia" w:ascii="宋体" w:hAnsi="宋体" w:cs="宋体"/>
          <w:color w:val="auto"/>
          <w:szCs w:val="21"/>
          <w:u w:val="single"/>
        </w:rPr>
        <w:t xml:space="preserve">               </w:t>
      </w:r>
      <w:r>
        <w:rPr>
          <w:rFonts w:ascii="宋体" w:hAnsi="宋体" w:cs="宋体"/>
          <w:color w:val="auto"/>
          <w:szCs w:val="21"/>
          <w:u w:val="single"/>
        </w:rPr>
        <w:t>（采购文件中明确的所属行业）</w:t>
      </w:r>
      <w:r>
        <w:rPr>
          <w:rFonts w:ascii="宋体" w:hAnsi="宋体" w:cs="宋体"/>
          <w:color w:val="auto"/>
          <w:szCs w:val="21"/>
        </w:rPr>
        <w:t>行业；制造商为</w:t>
      </w:r>
      <w:r>
        <w:rPr>
          <w:rFonts w:hint="eastAsia" w:ascii="宋体" w:hAnsi="宋体" w:cs="宋体"/>
          <w:color w:val="auto"/>
          <w:szCs w:val="21"/>
          <w:u w:val="single"/>
        </w:rPr>
        <w:t xml:space="preserve">     </w:t>
      </w:r>
      <w:r>
        <w:rPr>
          <w:rFonts w:ascii="宋体" w:hAnsi="宋体" w:cs="宋体"/>
          <w:color w:val="auto"/>
          <w:szCs w:val="21"/>
          <w:u w:val="single"/>
        </w:rPr>
        <w:t>（企业名称）</w:t>
      </w:r>
      <w:r>
        <w:rPr>
          <w:rFonts w:ascii="宋体" w:hAnsi="宋体" w:cs="宋体"/>
          <w:color w:val="auto"/>
          <w:szCs w:val="21"/>
        </w:rPr>
        <w:t>，从业人员</w:t>
      </w:r>
      <w:r>
        <w:rPr>
          <w:rFonts w:hint="eastAsia" w:ascii="宋体" w:hAnsi="宋体" w:cs="宋体"/>
          <w:color w:val="auto"/>
          <w:szCs w:val="21"/>
          <w:u w:val="single"/>
        </w:rPr>
        <w:t xml:space="preserve">        </w:t>
      </w:r>
      <w:r>
        <w:rPr>
          <w:rFonts w:ascii="宋体" w:hAnsi="宋体" w:cs="宋体"/>
          <w:color w:val="auto"/>
          <w:szCs w:val="21"/>
        </w:rPr>
        <w:t>人，营业收入为</w:t>
      </w:r>
      <w:r>
        <w:rPr>
          <w:rFonts w:hint="eastAsia" w:ascii="宋体" w:hAnsi="宋体" w:cs="宋体"/>
          <w:color w:val="auto"/>
          <w:szCs w:val="21"/>
          <w:u w:val="single"/>
        </w:rPr>
        <w:t xml:space="preserve">        </w:t>
      </w:r>
      <w:r>
        <w:rPr>
          <w:rFonts w:ascii="宋体" w:hAnsi="宋体" w:cs="宋体"/>
          <w:color w:val="auto"/>
          <w:szCs w:val="21"/>
        </w:rPr>
        <w:t>万元，资产总额为</w:t>
      </w:r>
      <w:r>
        <w:rPr>
          <w:rFonts w:hint="eastAsia" w:ascii="宋体" w:hAnsi="宋体" w:cs="宋体"/>
          <w:color w:val="auto"/>
          <w:szCs w:val="21"/>
          <w:u w:val="single"/>
        </w:rPr>
        <w:t xml:space="preserve">        </w:t>
      </w:r>
      <w:r>
        <w:rPr>
          <w:rFonts w:ascii="宋体" w:hAnsi="宋体" w:cs="宋体"/>
          <w:color w:val="auto"/>
          <w:szCs w:val="21"/>
        </w:rPr>
        <w:t>万元，属于</w:t>
      </w:r>
      <w:r>
        <w:rPr>
          <w:rFonts w:ascii="宋体" w:hAnsi="宋体" w:cs="宋体"/>
          <w:color w:val="auto"/>
          <w:szCs w:val="21"/>
          <w:u w:val="single"/>
        </w:rPr>
        <w:t>（中型企业、小型企业、微型企业）</w:t>
      </w:r>
      <w:r>
        <w:rPr>
          <w:rFonts w:ascii="宋体" w:hAnsi="宋体" w:cs="宋体"/>
          <w:color w:val="auto"/>
          <w:szCs w:val="21"/>
        </w:rPr>
        <w:t xml:space="preserve">； </w:t>
      </w:r>
      <w:r>
        <w:rPr>
          <w:rFonts w:ascii="宋体" w:hAnsi="宋体" w:cs="宋体"/>
          <w:color w:val="auto"/>
          <w:szCs w:val="21"/>
        </w:rPr>
        <w:br w:type="textWrapping"/>
      </w:r>
      <w:r>
        <w:rPr>
          <w:rFonts w:hint="eastAsia" w:ascii="宋体" w:hAnsi="宋体" w:cs="宋体"/>
          <w:color w:val="auto"/>
          <w:szCs w:val="21"/>
        </w:rPr>
        <w:t xml:space="preserve">    </w:t>
      </w:r>
      <w:r>
        <w:rPr>
          <w:rFonts w:ascii="宋体" w:hAnsi="宋体" w:cs="宋体"/>
          <w:color w:val="auto"/>
          <w:szCs w:val="21"/>
        </w:rPr>
        <w:t xml:space="preserve">…… </w:t>
      </w:r>
      <w:r>
        <w:rPr>
          <w:rFonts w:ascii="宋体" w:hAnsi="宋体" w:cs="宋体"/>
          <w:color w:val="auto"/>
          <w:szCs w:val="21"/>
        </w:rPr>
        <w:br w:type="textWrapping"/>
      </w:r>
      <w:r>
        <w:rPr>
          <w:rFonts w:hint="eastAsia" w:ascii="宋体" w:hAnsi="宋体" w:cs="宋体"/>
          <w:color w:val="auto"/>
          <w:szCs w:val="21"/>
        </w:rPr>
        <w:t xml:space="preserve">    </w:t>
      </w:r>
      <w:r>
        <w:rPr>
          <w:rFonts w:ascii="宋体" w:hAnsi="宋体" w:cs="宋体"/>
          <w:color w:val="auto"/>
          <w:szCs w:val="21"/>
        </w:rPr>
        <w:t xml:space="preserve">以上企业，不属于大企业的分支机构，不存在控股股东为大企业的情形，也不存在与大企业的负责人为同一人的情形。 </w:t>
      </w:r>
      <w:r>
        <w:rPr>
          <w:rFonts w:ascii="宋体" w:hAnsi="宋体" w:cs="宋体"/>
          <w:color w:val="auto"/>
          <w:szCs w:val="21"/>
        </w:rPr>
        <w:br w:type="textWrapping"/>
      </w:r>
      <w:r>
        <w:rPr>
          <w:rFonts w:hint="eastAsia" w:ascii="宋体" w:hAnsi="宋体" w:cs="宋体"/>
          <w:color w:val="auto"/>
          <w:szCs w:val="21"/>
        </w:rPr>
        <w:t xml:space="preserve">    </w:t>
      </w:r>
      <w:r>
        <w:rPr>
          <w:rFonts w:ascii="宋体" w:hAnsi="宋体" w:cs="宋体"/>
          <w:color w:val="auto"/>
          <w:szCs w:val="21"/>
        </w:rPr>
        <w:t xml:space="preserve">本企业对上述声明内容的真实性负责。如有虚假，将依法承担相应责任。 </w:t>
      </w:r>
    </w:p>
    <w:p>
      <w:pPr>
        <w:spacing w:line="360" w:lineRule="auto"/>
        <w:ind w:firstLine="6930" w:firstLineChars="3300"/>
        <w:rPr>
          <w:rFonts w:ascii="宋体" w:hAnsi="宋体" w:cs="宋体"/>
          <w:color w:val="auto"/>
          <w:szCs w:val="21"/>
        </w:rPr>
      </w:pPr>
      <w:r>
        <w:rPr>
          <w:rFonts w:ascii="宋体" w:hAnsi="宋体" w:cs="宋体"/>
          <w:color w:val="auto"/>
          <w:szCs w:val="21"/>
        </w:rPr>
        <w:t xml:space="preserve">企业名称（盖章）： </w:t>
      </w:r>
    </w:p>
    <w:p>
      <w:pPr>
        <w:spacing w:line="360" w:lineRule="auto"/>
        <w:ind w:firstLine="420" w:firstLineChars="200"/>
        <w:jc w:val="center"/>
        <w:rPr>
          <w:rFonts w:ascii="宋体" w:hAnsi="宋体" w:cs="宋体"/>
          <w:color w:val="auto"/>
          <w:szCs w:val="21"/>
        </w:rPr>
      </w:pPr>
      <w:r>
        <w:rPr>
          <w:rFonts w:hint="eastAsia" w:ascii="宋体" w:hAnsi="宋体" w:cs="宋体"/>
          <w:color w:val="auto"/>
          <w:szCs w:val="21"/>
        </w:rPr>
        <w:t xml:space="preserve">                                                </w:t>
      </w:r>
      <w:r>
        <w:rPr>
          <w:rFonts w:ascii="宋体" w:hAnsi="宋体" w:cs="宋体"/>
          <w:color w:val="auto"/>
          <w:szCs w:val="21"/>
        </w:rPr>
        <w:t>日 期：</w:t>
      </w:r>
    </w:p>
    <w:p>
      <w:pPr>
        <w:spacing w:line="360" w:lineRule="auto"/>
        <w:rPr>
          <w:rFonts w:ascii="宋体" w:hAnsi="宋体" w:cs="宋体"/>
          <w:color w:val="auto"/>
          <w:szCs w:val="21"/>
        </w:rPr>
      </w:pPr>
    </w:p>
    <w:p>
      <w:pPr>
        <w:spacing w:line="360" w:lineRule="auto"/>
        <w:rPr>
          <w:rFonts w:ascii="宋体" w:hAnsi="宋体" w:cs="宋体"/>
          <w:color w:val="auto"/>
          <w:szCs w:val="21"/>
        </w:rPr>
      </w:pPr>
    </w:p>
    <w:p>
      <w:pPr>
        <w:spacing w:line="360" w:lineRule="auto"/>
        <w:rPr>
          <w:rFonts w:ascii="宋体" w:hAnsi="宋体" w:cs="宋体"/>
          <w:color w:val="auto"/>
          <w:szCs w:val="21"/>
        </w:rPr>
      </w:pPr>
    </w:p>
    <w:p>
      <w:pPr>
        <w:spacing w:line="360" w:lineRule="auto"/>
        <w:rPr>
          <w:rFonts w:ascii="宋体" w:hAnsi="宋体" w:cs="宋体"/>
          <w:color w:val="auto"/>
          <w:szCs w:val="21"/>
        </w:rPr>
      </w:pPr>
    </w:p>
    <w:p>
      <w:pPr>
        <w:spacing w:line="360" w:lineRule="auto"/>
        <w:ind w:firstLine="420" w:firstLineChars="200"/>
        <w:rPr>
          <w:color w:val="auto"/>
        </w:rPr>
      </w:pPr>
      <w:r>
        <w:rPr>
          <w:rFonts w:ascii="宋体" w:hAnsi="宋体" w:cs="宋体"/>
          <w:color w:val="auto"/>
          <w:szCs w:val="21"/>
        </w:rPr>
        <w:t>从业人员、营业收入、资产总额填报上一年度数据，无上一年度数据的新成立企业可不填报。</w:t>
      </w:r>
    </w:p>
    <w:p>
      <w:pPr>
        <w:spacing w:line="360" w:lineRule="auto"/>
        <w:ind w:firstLine="444" w:firstLineChars="200"/>
        <w:rPr>
          <w:rFonts w:asciiTheme="minorEastAsia" w:hAnsiTheme="minorEastAsia" w:eastAsiaTheme="minorEastAsia" w:cstheme="minorEastAsia"/>
          <w:color w:val="auto"/>
          <w:spacing w:val="6"/>
          <w:szCs w:val="21"/>
        </w:rPr>
      </w:pPr>
      <w:r>
        <w:rPr>
          <w:rFonts w:hint="eastAsia" w:asciiTheme="minorEastAsia" w:hAnsiTheme="minorEastAsia" w:eastAsiaTheme="minorEastAsia" w:cstheme="minorEastAsia"/>
          <w:color w:val="auto"/>
          <w:spacing w:val="6"/>
          <w:szCs w:val="21"/>
        </w:rPr>
        <w:t xml:space="preserve"> </w:t>
      </w:r>
    </w:p>
    <w:p>
      <w:pPr>
        <w:spacing w:line="360" w:lineRule="auto"/>
        <w:ind w:firstLine="444" w:firstLineChars="200"/>
        <w:rPr>
          <w:rFonts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pacing w:val="6"/>
          <w:szCs w:val="21"/>
        </w:rPr>
        <w:br w:type="textWrapping"/>
      </w:r>
      <w:r>
        <w:rPr>
          <w:rFonts w:hint="eastAsia" w:asciiTheme="minorEastAsia" w:hAnsiTheme="minorEastAsia" w:eastAsiaTheme="minorEastAsia" w:cstheme="minorEastAsia"/>
          <w:color w:val="auto"/>
          <w:spacing w:val="6"/>
          <w:szCs w:val="21"/>
        </w:rPr>
        <w:br w:type="textWrapping"/>
      </w:r>
      <w:r>
        <w:rPr>
          <w:rFonts w:hint="eastAsia" w:asciiTheme="minorEastAsia" w:hAnsiTheme="minorEastAsia" w:eastAsiaTheme="minorEastAsia" w:cstheme="minorEastAsia"/>
          <w:color w:val="auto"/>
          <w:szCs w:val="21"/>
        </w:rPr>
        <w:t>磋商供应商授权代表（签字）：</w:t>
      </w:r>
      <w:r>
        <w:rPr>
          <w:rFonts w:hint="eastAsia" w:asciiTheme="minorEastAsia" w:hAnsiTheme="minorEastAsia" w:eastAsiaTheme="minorEastAsia" w:cstheme="minorEastAsia"/>
          <w:color w:val="auto"/>
          <w:szCs w:val="21"/>
          <w:u w:val="single"/>
        </w:rPr>
        <w:t xml:space="preserve">                        </w:t>
      </w:r>
    </w:p>
    <w:p>
      <w:pPr>
        <w:spacing w:line="360" w:lineRule="auto"/>
        <w:rPr>
          <w:rFonts w:asciiTheme="minorEastAsia" w:hAnsiTheme="minorEastAsia" w:eastAsiaTheme="minorEastAsia" w:cstheme="minorEastAsia"/>
          <w:color w:val="auto"/>
          <w:szCs w:val="21"/>
          <w:u w:val="single"/>
        </w:rPr>
      </w:pPr>
      <w:r>
        <w:rPr>
          <w:rFonts w:hint="eastAsia" w:asciiTheme="minorEastAsia" w:hAnsiTheme="minorEastAsia" w:eastAsiaTheme="minorEastAsia" w:cstheme="minorEastAsia"/>
          <w:color w:val="auto"/>
          <w:szCs w:val="21"/>
        </w:rPr>
        <w:t>磋商</w:t>
      </w:r>
      <w:r>
        <w:rPr>
          <w:rFonts w:hint="eastAsia" w:asciiTheme="minorEastAsia" w:hAnsiTheme="minorEastAsia" w:eastAsiaTheme="minorEastAsia" w:cstheme="minorEastAsia"/>
          <w:bCs/>
          <w:color w:val="auto"/>
          <w:szCs w:val="21"/>
        </w:rPr>
        <w:t>供应商</w:t>
      </w:r>
      <w:r>
        <w:rPr>
          <w:rFonts w:hint="eastAsia" w:asciiTheme="minorEastAsia" w:hAnsiTheme="minorEastAsia" w:eastAsiaTheme="minorEastAsia" w:cstheme="minorEastAsia"/>
          <w:color w:val="auto"/>
          <w:szCs w:val="21"/>
        </w:rPr>
        <w:t>名称（盖章 ）：</w:t>
      </w:r>
      <w:r>
        <w:rPr>
          <w:rFonts w:hint="eastAsia" w:asciiTheme="minorEastAsia" w:hAnsiTheme="minorEastAsia" w:eastAsiaTheme="minorEastAsia" w:cstheme="minorEastAsia"/>
          <w:color w:val="auto"/>
          <w:szCs w:val="21"/>
          <w:u w:val="single"/>
        </w:rPr>
        <w:t xml:space="preserve">                                     </w:t>
      </w:r>
    </w:p>
    <w:p>
      <w:pPr>
        <w:spacing w:line="360" w:lineRule="auto"/>
        <w:rPr>
          <w:rFonts w:asciiTheme="minorEastAsia" w:hAnsiTheme="minorEastAsia" w:eastAsiaTheme="minorEastAsia" w:cstheme="minorEastAsia"/>
          <w:color w:val="auto"/>
          <w:spacing w:val="6"/>
          <w:szCs w:val="21"/>
        </w:rPr>
      </w:pPr>
      <w:r>
        <w:rPr>
          <w:rFonts w:hint="eastAsia" w:asciiTheme="minorEastAsia" w:hAnsiTheme="minorEastAsia" w:eastAsiaTheme="minorEastAsia" w:cstheme="minorEastAsia"/>
          <w:bCs/>
          <w:color w:val="auto"/>
          <w:szCs w:val="21"/>
        </w:rPr>
        <w:t xml:space="preserve">时                 </w:t>
      </w:r>
      <w:r>
        <w:rPr>
          <w:rFonts w:hint="eastAsia" w:asciiTheme="minorEastAsia" w:hAnsiTheme="minorEastAsia" w:eastAsiaTheme="minorEastAsia" w:cstheme="minorEastAsia"/>
          <w:color w:val="auto"/>
          <w:szCs w:val="21"/>
        </w:rPr>
        <w:t>间：</w:t>
      </w:r>
      <w:r>
        <w:rPr>
          <w:rFonts w:hint="eastAsia" w:asciiTheme="minorEastAsia" w:hAnsiTheme="minorEastAsia" w:eastAsiaTheme="minorEastAsia" w:cstheme="minorEastAsia"/>
          <w:color w:val="auto"/>
          <w:szCs w:val="21"/>
          <w:u w:val="single"/>
        </w:rPr>
        <w:t xml:space="preserve">           </w:t>
      </w:r>
      <w:r>
        <w:rPr>
          <w:rFonts w:hint="eastAsia" w:asciiTheme="minorEastAsia" w:hAnsiTheme="minorEastAsia" w:eastAsiaTheme="minorEastAsia" w:cstheme="minorEastAsia"/>
          <w:color w:val="auto"/>
          <w:szCs w:val="21"/>
        </w:rPr>
        <w:t>年</w:t>
      </w:r>
      <w:r>
        <w:rPr>
          <w:rFonts w:hint="eastAsia" w:asciiTheme="minorEastAsia" w:hAnsiTheme="minorEastAsia" w:eastAsiaTheme="minorEastAsia" w:cstheme="minorEastAsia"/>
          <w:color w:val="auto"/>
          <w:szCs w:val="21"/>
          <w:u w:val="single"/>
        </w:rPr>
        <w:t xml:space="preserve">          </w:t>
      </w:r>
      <w:r>
        <w:rPr>
          <w:rFonts w:hint="eastAsia" w:asciiTheme="minorEastAsia" w:hAnsiTheme="minorEastAsia" w:eastAsiaTheme="minorEastAsia" w:cstheme="minorEastAsia"/>
          <w:color w:val="auto"/>
          <w:szCs w:val="21"/>
        </w:rPr>
        <w:t>月</w:t>
      </w:r>
      <w:r>
        <w:rPr>
          <w:rFonts w:hint="eastAsia" w:asciiTheme="minorEastAsia" w:hAnsiTheme="minorEastAsia" w:eastAsiaTheme="minorEastAsia" w:cstheme="minorEastAsia"/>
          <w:color w:val="auto"/>
          <w:szCs w:val="21"/>
          <w:u w:val="single"/>
        </w:rPr>
        <w:t xml:space="preserve">          </w:t>
      </w:r>
      <w:r>
        <w:rPr>
          <w:rFonts w:hint="eastAsia" w:asciiTheme="minorEastAsia" w:hAnsiTheme="minorEastAsia" w:eastAsiaTheme="minorEastAsia" w:cstheme="minorEastAsia"/>
          <w:color w:val="auto"/>
          <w:szCs w:val="21"/>
        </w:rPr>
        <w:t>日</w:t>
      </w:r>
      <w:r>
        <w:rPr>
          <w:rFonts w:hint="eastAsia" w:asciiTheme="minorEastAsia" w:hAnsiTheme="minorEastAsia" w:eastAsiaTheme="minorEastAsia" w:cstheme="minorEastAsia"/>
          <w:color w:val="auto"/>
          <w:szCs w:val="21"/>
        </w:rPr>
        <w:br w:type="textWrapping"/>
      </w:r>
    </w:p>
    <w:bookmarkEnd w:id="129"/>
    <w:bookmarkEnd w:id="130"/>
    <w:bookmarkEnd w:id="131"/>
    <w:bookmarkEnd w:id="132"/>
    <w:p>
      <w:pPr>
        <w:adjustRightInd w:val="0"/>
        <w:snapToGrid w:val="0"/>
        <w:jc w:val="center"/>
        <w:outlineLvl w:val="1"/>
        <w:rPr>
          <w:rFonts w:asciiTheme="minorEastAsia" w:hAnsiTheme="minorEastAsia" w:eastAsiaTheme="minorEastAsia" w:cstheme="minorEastAsia"/>
          <w:b/>
          <w:color w:val="auto"/>
        </w:rPr>
      </w:pPr>
      <w:bookmarkStart w:id="229" w:name="_Toc11257"/>
      <w:bookmarkStart w:id="230" w:name="_Toc479184141"/>
      <w:bookmarkStart w:id="231" w:name="_Toc7229"/>
      <w:bookmarkStart w:id="232" w:name="_Toc476839034"/>
      <w:bookmarkStart w:id="233" w:name="_Toc30406"/>
      <w:bookmarkStart w:id="234" w:name="_Toc4320"/>
      <w:r>
        <w:rPr>
          <w:rFonts w:hint="eastAsia" w:asciiTheme="minorEastAsia" w:hAnsiTheme="minorEastAsia" w:eastAsiaTheme="minorEastAsia" w:cstheme="minorEastAsia"/>
          <w:b/>
          <w:bCs/>
          <w:color w:val="auto"/>
          <w:spacing w:val="6"/>
          <w:szCs w:val="21"/>
        </w:rPr>
        <w:t>十七、</w:t>
      </w:r>
      <w:r>
        <w:rPr>
          <w:rFonts w:hint="eastAsia" w:asciiTheme="minorEastAsia" w:hAnsiTheme="minorEastAsia" w:eastAsiaTheme="minorEastAsia" w:cstheme="minorEastAsia"/>
          <w:b/>
          <w:bCs/>
          <w:color w:val="auto"/>
          <w:lang w:val="zh-CN"/>
        </w:rPr>
        <w:t>监狱企业证</w:t>
      </w:r>
      <w:r>
        <w:rPr>
          <w:rFonts w:hint="eastAsia" w:asciiTheme="minorEastAsia" w:hAnsiTheme="minorEastAsia" w:eastAsiaTheme="minorEastAsia" w:cstheme="minorEastAsia"/>
          <w:b/>
          <w:color w:val="auto"/>
          <w:lang w:val="zh-CN"/>
        </w:rPr>
        <w:t>明文</w:t>
      </w:r>
      <w:r>
        <w:rPr>
          <w:rFonts w:hint="eastAsia" w:asciiTheme="minorEastAsia" w:hAnsiTheme="minorEastAsia" w:eastAsiaTheme="minorEastAsia" w:cstheme="minorEastAsia"/>
          <w:b/>
          <w:color w:val="auto"/>
        </w:rPr>
        <w:t>件</w:t>
      </w:r>
      <w:r>
        <w:rPr>
          <w:rFonts w:hint="eastAsia" w:asciiTheme="minorEastAsia" w:hAnsiTheme="minorEastAsia" w:eastAsiaTheme="minorEastAsia" w:cstheme="minorEastAsia"/>
          <w:b/>
          <w:color w:val="auto"/>
          <w:lang w:val="zh-CN"/>
        </w:rPr>
        <w:t>（若</w:t>
      </w:r>
      <w:r>
        <w:rPr>
          <w:rFonts w:hint="eastAsia" w:asciiTheme="minorEastAsia" w:hAnsiTheme="minorEastAsia" w:eastAsiaTheme="minorEastAsia" w:cstheme="minorEastAsia"/>
          <w:b/>
          <w:color w:val="auto"/>
        </w:rPr>
        <w:t>符合</w:t>
      </w:r>
      <w:r>
        <w:rPr>
          <w:rFonts w:hint="eastAsia" w:asciiTheme="minorEastAsia" w:hAnsiTheme="minorEastAsia" w:eastAsiaTheme="minorEastAsia" w:cstheme="minorEastAsia"/>
          <w:b/>
          <w:color w:val="auto"/>
          <w:lang w:val="zh-CN"/>
        </w:rPr>
        <w:t>）</w:t>
      </w:r>
      <w:bookmarkEnd w:id="229"/>
    </w:p>
    <w:p>
      <w:pPr>
        <w:adjustRightInd w:val="0"/>
        <w:snapToGrid w:val="0"/>
        <w:jc w:val="center"/>
        <w:rPr>
          <w:rFonts w:asciiTheme="minorEastAsia" w:hAnsiTheme="minorEastAsia" w:eastAsiaTheme="minorEastAsia" w:cstheme="minorEastAsia"/>
          <w:color w:val="auto"/>
          <w:spacing w:val="6"/>
          <w:szCs w:val="21"/>
        </w:rPr>
      </w:pPr>
    </w:p>
    <w:p>
      <w:pPr>
        <w:spacing w:line="360" w:lineRule="auto"/>
        <w:rPr>
          <w:rFonts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pacing w:val="6"/>
          <w:szCs w:val="21"/>
        </w:rPr>
        <w:br w:type="textWrapping"/>
      </w:r>
      <w:r>
        <w:rPr>
          <w:rFonts w:hint="eastAsia" w:asciiTheme="minorEastAsia" w:hAnsiTheme="minorEastAsia" w:eastAsiaTheme="minorEastAsia" w:cstheme="minorEastAsia"/>
          <w:color w:val="auto"/>
          <w:spacing w:val="6"/>
          <w:szCs w:val="21"/>
        </w:rPr>
        <w:br w:type="textWrapping"/>
      </w:r>
      <w:r>
        <w:rPr>
          <w:rFonts w:hint="eastAsia" w:asciiTheme="minorEastAsia" w:hAnsiTheme="minorEastAsia" w:eastAsiaTheme="minorEastAsia" w:cstheme="minorEastAsia"/>
          <w:color w:val="auto"/>
          <w:spacing w:val="6"/>
          <w:szCs w:val="21"/>
        </w:rPr>
        <w:t>供应商如是监狱企业，提供相关证明文件。</w:t>
      </w:r>
      <w:r>
        <w:rPr>
          <w:rFonts w:hint="eastAsia" w:asciiTheme="minorEastAsia" w:hAnsiTheme="minorEastAsia" w:eastAsiaTheme="minorEastAsia" w:cstheme="minorEastAsia"/>
          <w:color w:val="auto"/>
          <w:spacing w:val="6"/>
          <w:szCs w:val="21"/>
        </w:rPr>
        <w:br w:type="textWrapping"/>
      </w:r>
      <w:r>
        <w:rPr>
          <w:rFonts w:hint="eastAsia" w:asciiTheme="minorEastAsia" w:hAnsiTheme="minorEastAsia" w:eastAsiaTheme="minorEastAsia" w:cstheme="minorEastAsia"/>
          <w:color w:val="auto"/>
          <w:spacing w:val="6"/>
          <w:szCs w:val="21"/>
        </w:rPr>
        <w:br w:type="textWrapping"/>
      </w:r>
      <w:r>
        <w:rPr>
          <w:rFonts w:hint="eastAsia" w:asciiTheme="minorEastAsia" w:hAnsiTheme="minorEastAsia" w:eastAsiaTheme="minorEastAsia" w:cstheme="minorEastAsia"/>
          <w:color w:val="auto"/>
          <w:szCs w:val="21"/>
        </w:rPr>
        <w:t>磋商供应商授权代表（签字）：</w:t>
      </w:r>
      <w:r>
        <w:rPr>
          <w:rFonts w:hint="eastAsia" w:asciiTheme="minorEastAsia" w:hAnsiTheme="minorEastAsia" w:eastAsiaTheme="minorEastAsia" w:cstheme="minorEastAsia"/>
          <w:color w:val="auto"/>
          <w:szCs w:val="21"/>
          <w:u w:val="single"/>
        </w:rPr>
        <w:t xml:space="preserve">                        </w:t>
      </w:r>
    </w:p>
    <w:p>
      <w:pPr>
        <w:spacing w:line="360" w:lineRule="auto"/>
        <w:rPr>
          <w:rFonts w:asciiTheme="minorEastAsia" w:hAnsiTheme="minorEastAsia" w:eastAsiaTheme="minorEastAsia" w:cstheme="minorEastAsia"/>
          <w:color w:val="auto"/>
          <w:szCs w:val="21"/>
          <w:u w:val="single"/>
        </w:rPr>
      </w:pPr>
      <w:r>
        <w:rPr>
          <w:rFonts w:hint="eastAsia" w:asciiTheme="minorEastAsia" w:hAnsiTheme="minorEastAsia" w:eastAsiaTheme="minorEastAsia" w:cstheme="minorEastAsia"/>
          <w:color w:val="auto"/>
          <w:szCs w:val="21"/>
        </w:rPr>
        <w:t>磋商</w:t>
      </w:r>
      <w:r>
        <w:rPr>
          <w:rFonts w:hint="eastAsia" w:asciiTheme="minorEastAsia" w:hAnsiTheme="minorEastAsia" w:eastAsiaTheme="minorEastAsia" w:cstheme="minorEastAsia"/>
          <w:bCs/>
          <w:color w:val="auto"/>
          <w:szCs w:val="21"/>
        </w:rPr>
        <w:t>供应商</w:t>
      </w:r>
      <w:r>
        <w:rPr>
          <w:rFonts w:hint="eastAsia" w:asciiTheme="minorEastAsia" w:hAnsiTheme="minorEastAsia" w:eastAsiaTheme="minorEastAsia" w:cstheme="minorEastAsia"/>
          <w:color w:val="auto"/>
          <w:szCs w:val="21"/>
        </w:rPr>
        <w:t>名称（盖章 ）：</w:t>
      </w:r>
      <w:r>
        <w:rPr>
          <w:rFonts w:hint="eastAsia" w:asciiTheme="minorEastAsia" w:hAnsiTheme="minorEastAsia" w:eastAsiaTheme="minorEastAsia" w:cstheme="minorEastAsia"/>
          <w:color w:val="auto"/>
          <w:szCs w:val="21"/>
          <w:u w:val="single"/>
        </w:rPr>
        <w:t xml:space="preserve">                                     </w:t>
      </w:r>
    </w:p>
    <w:p>
      <w:pPr>
        <w:adjustRightInd w:val="0"/>
        <w:snapToGrid w:val="0"/>
        <w:rPr>
          <w:rFonts w:asciiTheme="minorEastAsia" w:hAnsiTheme="minorEastAsia" w:eastAsiaTheme="minorEastAsia" w:cstheme="minorEastAsia"/>
          <w:color w:val="auto"/>
          <w:szCs w:val="21"/>
        </w:rPr>
      </w:pPr>
      <w:r>
        <w:rPr>
          <w:rFonts w:hint="eastAsia" w:asciiTheme="minorEastAsia" w:hAnsiTheme="minorEastAsia" w:eastAsiaTheme="minorEastAsia" w:cstheme="minorEastAsia"/>
          <w:bCs/>
          <w:color w:val="auto"/>
          <w:szCs w:val="21"/>
        </w:rPr>
        <w:t xml:space="preserve">时                 </w:t>
      </w:r>
      <w:r>
        <w:rPr>
          <w:rFonts w:hint="eastAsia" w:asciiTheme="minorEastAsia" w:hAnsiTheme="minorEastAsia" w:eastAsiaTheme="minorEastAsia" w:cstheme="minorEastAsia"/>
          <w:color w:val="auto"/>
          <w:szCs w:val="21"/>
        </w:rPr>
        <w:t>间：</w:t>
      </w:r>
      <w:r>
        <w:rPr>
          <w:rFonts w:hint="eastAsia" w:asciiTheme="minorEastAsia" w:hAnsiTheme="minorEastAsia" w:eastAsiaTheme="minorEastAsia" w:cstheme="minorEastAsia"/>
          <w:color w:val="auto"/>
          <w:szCs w:val="21"/>
          <w:u w:val="single"/>
        </w:rPr>
        <w:t xml:space="preserve">           </w:t>
      </w:r>
      <w:r>
        <w:rPr>
          <w:rFonts w:hint="eastAsia" w:asciiTheme="minorEastAsia" w:hAnsiTheme="minorEastAsia" w:eastAsiaTheme="minorEastAsia" w:cstheme="minorEastAsia"/>
          <w:color w:val="auto"/>
          <w:szCs w:val="21"/>
        </w:rPr>
        <w:t>年</w:t>
      </w:r>
      <w:r>
        <w:rPr>
          <w:rFonts w:hint="eastAsia" w:asciiTheme="minorEastAsia" w:hAnsiTheme="minorEastAsia" w:eastAsiaTheme="minorEastAsia" w:cstheme="minorEastAsia"/>
          <w:color w:val="auto"/>
          <w:szCs w:val="21"/>
          <w:u w:val="single"/>
        </w:rPr>
        <w:t xml:space="preserve">          </w:t>
      </w:r>
      <w:r>
        <w:rPr>
          <w:rFonts w:hint="eastAsia" w:asciiTheme="minorEastAsia" w:hAnsiTheme="minorEastAsia" w:eastAsiaTheme="minorEastAsia" w:cstheme="minorEastAsia"/>
          <w:color w:val="auto"/>
          <w:szCs w:val="21"/>
        </w:rPr>
        <w:t>月</w:t>
      </w:r>
      <w:r>
        <w:rPr>
          <w:rFonts w:hint="eastAsia" w:asciiTheme="minorEastAsia" w:hAnsiTheme="minorEastAsia" w:eastAsiaTheme="minorEastAsia" w:cstheme="minorEastAsia"/>
          <w:color w:val="auto"/>
          <w:szCs w:val="21"/>
          <w:u w:val="single"/>
        </w:rPr>
        <w:t xml:space="preserve">          </w:t>
      </w:r>
      <w:r>
        <w:rPr>
          <w:rFonts w:hint="eastAsia" w:asciiTheme="minorEastAsia" w:hAnsiTheme="minorEastAsia" w:eastAsiaTheme="minorEastAsia" w:cstheme="minorEastAsia"/>
          <w:color w:val="auto"/>
          <w:szCs w:val="21"/>
        </w:rPr>
        <w:t>日</w:t>
      </w:r>
    </w:p>
    <w:p>
      <w:pPr>
        <w:adjustRightInd w:val="0"/>
        <w:snapToGrid w:val="0"/>
        <w:rPr>
          <w:rFonts w:asciiTheme="minorEastAsia" w:hAnsiTheme="minorEastAsia" w:eastAsiaTheme="minorEastAsia" w:cstheme="minorEastAsia"/>
          <w:color w:val="auto"/>
          <w:spacing w:val="6"/>
          <w:szCs w:val="21"/>
        </w:rPr>
      </w:pPr>
    </w:p>
    <w:p>
      <w:pPr>
        <w:adjustRightInd w:val="0"/>
        <w:snapToGrid w:val="0"/>
        <w:rPr>
          <w:rFonts w:asciiTheme="minorEastAsia" w:hAnsiTheme="minorEastAsia" w:eastAsiaTheme="minorEastAsia" w:cstheme="minorEastAsia"/>
          <w:color w:val="auto"/>
          <w:spacing w:val="6"/>
          <w:szCs w:val="21"/>
        </w:rPr>
      </w:pPr>
    </w:p>
    <w:p>
      <w:pPr>
        <w:rPr>
          <w:color w:val="auto"/>
        </w:rPr>
      </w:pPr>
      <w:r>
        <w:rPr>
          <w:rFonts w:hint="eastAsia"/>
          <w:color w:val="auto"/>
        </w:rPr>
        <w:br w:type="textWrapping"/>
      </w:r>
      <w:r>
        <w:rPr>
          <w:rFonts w:hint="eastAsia"/>
          <w:color w:val="auto"/>
        </w:rPr>
        <w:br w:type="textWrapping"/>
      </w:r>
      <w:r>
        <w:rPr>
          <w:rFonts w:hint="eastAsia"/>
          <w:color w:val="auto"/>
        </w:rPr>
        <w:br w:type="textWrapping"/>
      </w:r>
      <w:r>
        <w:rPr>
          <w:rFonts w:hint="eastAsia"/>
          <w:color w:val="auto"/>
        </w:rPr>
        <w:br w:type="textWrapping"/>
      </w:r>
      <w:r>
        <w:rPr>
          <w:rFonts w:hint="eastAsia"/>
          <w:color w:val="auto"/>
        </w:rPr>
        <w:br w:type="textWrapping"/>
      </w:r>
      <w:r>
        <w:rPr>
          <w:rFonts w:hint="eastAsia"/>
          <w:color w:val="auto"/>
        </w:rPr>
        <w:br w:type="textWrapping"/>
      </w:r>
      <w:r>
        <w:rPr>
          <w:rFonts w:hint="eastAsia"/>
          <w:color w:val="auto"/>
        </w:rPr>
        <w:br w:type="textWrapping"/>
      </w:r>
      <w:r>
        <w:rPr>
          <w:rFonts w:hint="eastAsia"/>
          <w:color w:val="auto"/>
        </w:rPr>
        <w:br w:type="textWrapping"/>
      </w:r>
      <w:r>
        <w:rPr>
          <w:rFonts w:hint="eastAsia"/>
          <w:color w:val="auto"/>
        </w:rPr>
        <w:br w:type="textWrapping"/>
      </w:r>
      <w:r>
        <w:rPr>
          <w:rFonts w:hint="eastAsia"/>
          <w:color w:val="auto"/>
        </w:rPr>
        <w:br w:type="textWrapping"/>
      </w:r>
      <w:r>
        <w:rPr>
          <w:rFonts w:hint="eastAsia"/>
          <w:color w:val="auto"/>
        </w:rPr>
        <w:br w:type="textWrapping"/>
      </w:r>
      <w:r>
        <w:rPr>
          <w:rFonts w:hint="eastAsia"/>
          <w:color w:val="auto"/>
        </w:rPr>
        <w:br w:type="textWrapping"/>
      </w:r>
      <w:r>
        <w:rPr>
          <w:rFonts w:hint="eastAsia"/>
          <w:color w:val="auto"/>
        </w:rPr>
        <w:br w:type="textWrapping"/>
      </w:r>
      <w:r>
        <w:rPr>
          <w:rFonts w:hint="eastAsia"/>
          <w:color w:val="auto"/>
        </w:rPr>
        <w:br w:type="textWrapping"/>
      </w:r>
      <w:r>
        <w:rPr>
          <w:rFonts w:hint="eastAsia"/>
          <w:color w:val="auto"/>
        </w:rPr>
        <w:br w:type="textWrapping"/>
      </w:r>
      <w:r>
        <w:rPr>
          <w:rFonts w:hint="eastAsia"/>
          <w:color w:val="auto"/>
        </w:rPr>
        <w:br w:type="textWrapping"/>
      </w:r>
      <w:r>
        <w:rPr>
          <w:rFonts w:hint="eastAsia"/>
          <w:color w:val="auto"/>
        </w:rPr>
        <w:br w:type="textWrapping"/>
      </w:r>
      <w:r>
        <w:rPr>
          <w:rFonts w:hint="eastAsia"/>
          <w:color w:val="auto"/>
        </w:rPr>
        <w:br w:type="textWrapping"/>
      </w:r>
      <w:r>
        <w:rPr>
          <w:rFonts w:hint="eastAsia"/>
          <w:color w:val="auto"/>
        </w:rPr>
        <w:br w:type="textWrapping"/>
      </w:r>
      <w:r>
        <w:rPr>
          <w:rFonts w:hint="eastAsia"/>
          <w:color w:val="auto"/>
        </w:rPr>
        <w:br w:type="textWrapping"/>
      </w:r>
      <w:r>
        <w:rPr>
          <w:rFonts w:hint="eastAsia"/>
          <w:color w:val="auto"/>
        </w:rPr>
        <w:br w:type="textWrapping"/>
      </w:r>
      <w:r>
        <w:rPr>
          <w:rFonts w:hint="eastAsia"/>
          <w:color w:val="auto"/>
        </w:rPr>
        <w:br w:type="textWrapping"/>
      </w:r>
      <w:r>
        <w:rPr>
          <w:rFonts w:hint="eastAsia"/>
          <w:color w:val="auto"/>
        </w:rPr>
        <w:br w:type="textWrapping"/>
      </w:r>
      <w:r>
        <w:rPr>
          <w:rFonts w:hint="eastAsia"/>
          <w:color w:val="auto"/>
        </w:rPr>
        <w:br w:type="textWrapping"/>
      </w:r>
      <w:r>
        <w:rPr>
          <w:rFonts w:hint="eastAsia"/>
          <w:color w:val="auto"/>
        </w:rPr>
        <w:br w:type="textWrapping"/>
      </w:r>
      <w:r>
        <w:rPr>
          <w:rFonts w:hint="eastAsia"/>
          <w:color w:val="auto"/>
        </w:rPr>
        <w:br w:type="textWrapping"/>
      </w:r>
      <w:r>
        <w:rPr>
          <w:rFonts w:hint="eastAsia"/>
          <w:color w:val="auto"/>
        </w:rPr>
        <w:br w:type="textWrapping"/>
      </w:r>
      <w:r>
        <w:rPr>
          <w:rFonts w:hint="eastAsia"/>
          <w:color w:val="auto"/>
        </w:rPr>
        <w:br w:type="textWrapping"/>
      </w:r>
      <w:r>
        <w:rPr>
          <w:rFonts w:hint="eastAsia"/>
          <w:color w:val="auto"/>
        </w:rPr>
        <w:br w:type="textWrapping"/>
      </w:r>
    </w:p>
    <w:p>
      <w:pPr>
        <w:adjustRightInd w:val="0"/>
        <w:snapToGrid w:val="0"/>
        <w:jc w:val="center"/>
        <w:outlineLvl w:val="1"/>
        <w:rPr>
          <w:rFonts w:asciiTheme="minorEastAsia" w:hAnsiTheme="minorEastAsia" w:eastAsiaTheme="minorEastAsia" w:cstheme="minorEastAsia"/>
          <w:b/>
          <w:color w:val="auto"/>
          <w:lang w:val="zh-CN"/>
        </w:rPr>
      </w:pPr>
      <w:bookmarkStart w:id="235" w:name="_Toc10919"/>
      <w:r>
        <w:rPr>
          <w:rFonts w:hint="eastAsia" w:asciiTheme="minorEastAsia" w:hAnsiTheme="minorEastAsia" w:eastAsiaTheme="minorEastAsia" w:cstheme="minorEastAsia"/>
          <w:color w:val="auto"/>
          <w:spacing w:val="6"/>
          <w:szCs w:val="21"/>
        </w:rPr>
        <w:br w:type="textWrapping"/>
      </w:r>
      <w:r>
        <w:rPr>
          <w:rFonts w:hint="eastAsia" w:asciiTheme="minorEastAsia" w:hAnsiTheme="minorEastAsia" w:eastAsiaTheme="minorEastAsia" w:cstheme="minorEastAsia"/>
          <w:b/>
          <w:color w:val="auto"/>
        </w:rPr>
        <w:t>十八、</w:t>
      </w:r>
      <w:r>
        <w:rPr>
          <w:rFonts w:hint="eastAsia" w:asciiTheme="minorEastAsia" w:hAnsiTheme="minorEastAsia" w:eastAsiaTheme="minorEastAsia" w:cstheme="minorEastAsia"/>
          <w:b/>
          <w:color w:val="auto"/>
          <w:lang w:val="zh-CN"/>
        </w:rPr>
        <w:t>残疾人福利性单位声明函（若</w:t>
      </w:r>
      <w:r>
        <w:rPr>
          <w:rFonts w:hint="eastAsia" w:asciiTheme="minorEastAsia" w:hAnsiTheme="minorEastAsia" w:eastAsiaTheme="minorEastAsia" w:cstheme="minorEastAsia"/>
          <w:b/>
          <w:color w:val="auto"/>
        </w:rPr>
        <w:t>符合</w:t>
      </w:r>
      <w:r>
        <w:rPr>
          <w:rFonts w:hint="eastAsia" w:asciiTheme="minorEastAsia" w:hAnsiTheme="minorEastAsia" w:eastAsiaTheme="minorEastAsia" w:cstheme="minorEastAsia"/>
          <w:b/>
          <w:color w:val="auto"/>
          <w:lang w:val="zh-CN"/>
        </w:rPr>
        <w:t>）</w:t>
      </w:r>
      <w:bookmarkEnd w:id="235"/>
    </w:p>
    <w:p>
      <w:pPr>
        <w:pStyle w:val="15"/>
        <w:spacing w:line="360" w:lineRule="auto"/>
        <w:ind w:firstLine="415" w:firstLineChars="198"/>
        <w:jc w:val="left"/>
        <w:rPr>
          <w:rFonts w:asciiTheme="minorEastAsia" w:hAnsiTheme="minorEastAsia" w:eastAsiaTheme="minorEastAsia" w:cstheme="minorEastAsia"/>
          <w:color w:val="auto"/>
          <w:sz w:val="21"/>
        </w:rPr>
      </w:pPr>
      <w:r>
        <w:rPr>
          <w:rFonts w:hint="eastAsia" w:asciiTheme="minorEastAsia" w:hAnsiTheme="minorEastAsia" w:eastAsiaTheme="minorEastAsia" w:cstheme="minorEastAsia"/>
          <w:color w:val="auto"/>
          <w:sz w:val="21"/>
        </w:rPr>
        <w:t>本单位郑重声明，根据《财政部民政部中国残疾人联合会关于促进残疾人就业政府采购政策的通知》（财库〔2017〕141号）的规定，本单位为符合条件的残疾人福利性单位（详见“残疾人福利性单位应当满足的条件”）。</w:t>
      </w:r>
    </w:p>
    <w:p>
      <w:pPr>
        <w:pStyle w:val="15"/>
        <w:spacing w:line="360" w:lineRule="auto"/>
        <w:ind w:firstLine="415" w:firstLineChars="198"/>
        <w:jc w:val="left"/>
        <w:rPr>
          <w:rFonts w:asciiTheme="minorEastAsia" w:hAnsiTheme="minorEastAsia" w:eastAsiaTheme="minorEastAsia" w:cstheme="minorEastAsia"/>
          <w:color w:val="auto"/>
          <w:sz w:val="21"/>
        </w:rPr>
      </w:pPr>
      <w:r>
        <w:rPr>
          <w:rFonts w:hint="eastAsia" w:asciiTheme="minorEastAsia" w:hAnsiTheme="minorEastAsia" w:eastAsiaTheme="minorEastAsia" w:cstheme="minorEastAsia"/>
          <w:color w:val="auto"/>
          <w:sz w:val="21"/>
        </w:rPr>
        <w:t>本单位授权</w:t>
      </w:r>
      <w:r>
        <w:rPr>
          <w:rFonts w:hint="eastAsia" w:asciiTheme="minorEastAsia" w:hAnsiTheme="minorEastAsia" w:eastAsiaTheme="minorEastAsia" w:cstheme="minorEastAsia"/>
          <w:color w:val="auto"/>
          <w:sz w:val="21"/>
          <w:u w:val="single"/>
        </w:rPr>
        <w:t xml:space="preserve">     （供应商） </w:t>
      </w:r>
      <w:r>
        <w:rPr>
          <w:rFonts w:hint="eastAsia" w:asciiTheme="minorEastAsia" w:hAnsiTheme="minorEastAsia" w:eastAsiaTheme="minorEastAsia" w:cstheme="minorEastAsia"/>
          <w:color w:val="auto"/>
          <w:sz w:val="21"/>
        </w:rPr>
        <w:t>参加</w:t>
      </w:r>
      <w:r>
        <w:rPr>
          <w:rFonts w:hint="eastAsia" w:asciiTheme="minorEastAsia" w:hAnsiTheme="minorEastAsia" w:eastAsiaTheme="minorEastAsia" w:cstheme="minorEastAsia"/>
          <w:color w:val="auto"/>
          <w:sz w:val="21"/>
          <w:u w:val="single"/>
        </w:rPr>
        <w:t xml:space="preserve">     （采购人）</w:t>
      </w:r>
      <w:r>
        <w:rPr>
          <w:rFonts w:hint="eastAsia" w:asciiTheme="minorEastAsia" w:hAnsiTheme="minorEastAsia" w:eastAsiaTheme="minorEastAsia" w:cstheme="minorEastAsia"/>
          <w:color w:val="auto"/>
          <w:sz w:val="21"/>
        </w:rPr>
        <w:t>的</w:t>
      </w:r>
      <w:r>
        <w:rPr>
          <w:rFonts w:hint="eastAsia" w:asciiTheme="minorEastAsia" w:hAnsiTheme="minorEastAsia" w:eastAsiaTheme="minorEastAsia" w:cstheme="minorEastAsia"/>
          <w:color w:val="auto"/>
          <w:sz w:val="21"/>
          <w:u w:val="single"/>
        </w:rPr>
        <w:t>    </w:t>
      </w:r>
      <w:r>
        <w:rPr>
          <w:rFonts w:hint="eastAsia" w:asciiTheme="minorEastAsia" w:hAnsiTheme="minorEastAsia" w:eastAsiaTheme="minorEastAsia" w:cstheme="minorEastAsia"/>
          <w:color w:val="auto"/>
          <w:sz w:val="21"/>
        </w:rPr>
        <w:t>项目（项目编号：_____）采购活动提供本单位制造的货物（由本单位承担工程/提供服务）。或者提供其他残疾人福利性单位制造的货物（不包括使用非残疾人福利性单位注册商标的货物）。</w:t>
      </w:r>
    </w:p>
    <w:p>
      <w:pPr>
        <w:spacing w:line="360" w:lineRule="auto"/>
        <w:ind w:firstLine="420" w:firstLineChars="200"/>
        <w:rPr>
          <w:rFonts w:asciiTheme="minorEastAsia" w:hAnsiTheme="minorEastAsia" w:eastAsiaTheme="minorEastAsia" w:cstheme="minorEastAsia"/>
          <w:bCs/>
          <w:color w:val="auto"/>
          <w:szCs w:val="21"/>
        </w:rPr>
      </w:pPr>
      <w:r>
        <w:rPr>
          <w:rFonts w:hint="eastAsia" w:asciiTheme="minorEastAsia" w:hAnsiTheme="minorEastAsia" w:eastAsiaTheme="minorEastAsia" w:cstheme="minorEastAsia"/>
          <w:color w:val="auto"/>
          <w:szCs w:val="21"/>
        </w:rPr>
        <w:t>本单位对上述声明的真实性负责。如有虚假，将依法承担相应责任。</w:t>
      </w:r>
    </w:p>
    <w:p>
      <w:pPr>
        <w:pStyle w:val="15"/>
        <w:spacing w:line="360" w:lineRule="auto"/>
        <w:jc w:val="left"/>
        <w:rPr>
          <w:rFonts w:asciiTheme="minorEastAsia" w:hAnsiTheme="minorEastAsia" w:eastAsiaTheme="minorEastAsia" w:cstheme="minorEastAsia"/>
          <w:color w:val="auto"/>
          <w:sz w:val="21"/>
        </w:rPr>
      </w:pPr>
      <w:r>
        <w:rPr>
          <w:rFonts w:hint="eastAsia" w:asciiTheme="minorEastAsia" w:hAnsiTheme="minorEastAsia" w:eastAsiaTheme="minorEastAsia" w:cstheme="minorEastAsia"/>
          <w:bCs/>
          <w:color w:val="auto"/>
          <w:sz w:val="21"/>
        </w:rPr>
        <w:t>说明：</w:t>
      </w:r>
      <w:r>
        <w:rPr>
          <w:rFonts w:hint="eastAsia" w:asciiTheme="minorEastAsia" w:hAnsiTheme="minorEastAsia" w:eastAsiaTheme="minorEastAsia" w:cstheme="minorEastAsia"/>
          <w:color w:val="auto"/>
          <w:sz w:val="21"/>
        </w:rPr>
        <w:t>1、供应商所投货物为自己制造的，也应按本声明函格式填写。</w:t>
      </w:r>
    </w:p>
    <w:p>
      <w:pPr>
        <w:pStyle w:val="15"/>
        <w:spacing w:line="360" w:lineRule="auto"/>
        <w:ind w:left="1033" w:leftChars="342" w:hanging="315" w:hangingChars="150"/>
        <w:jc w:val="left"/>
        <w:rPr>
          <w:rFonts w:asciiTheme="minorEastAsia" w:hAnsiTheme="minorEastAsia" w:eastAsiaTheme="minorEastAsia" w:cstheme="minorEastAsia"/>
          <w:color w:val="auto"/>
          <w:sz w:val="21"/>
        </w:rPr>
      </w:pPr>
      <w:r>
        <w:rPr>
          <w:rFonts w:hint="eastAsia" w:asciiTheme="minorEastAsia" w:hAnsiTheme="minorEastAsia" w:eastAsiaTheme="minorEastAsia" w:cstheme="minorEastAsia"/>
          <w:color w:val="auto"/>
          <w:sz w:val="21"/>
        </w:rPr>
        <w:t>2、组成联合体的大中型企业和其他自然人、法人或者其他组织，与残疾人福利性单位之间不得存在投资关系。</w:t>
      </w:r>
    </w:p>
    <w:p>
      <w:pPr>
        <w:pStyle w:val="15"/>
        <w:spacing w:line="360" w:lineRule="auto"/>
        <w:ind w:left="1033" w:leftChars="342" w:hanging="315" w:hangingChars="150"/>
        <w:jc w:val="left"/>
        <w:rPr>
          <w:rFonts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1"/>
        </w:rPr>
        <w:t>3、如以联合体方式参与本项目响应的供应商，则应由联合体双方签字盖章。</w:t>
      </w:r>
    </w:p>
    <w:p>
      <w:pPr>
        <w:spacing w:before="100" w:beforeAutospacing="1" w:after="100" w:afterAutospacing="1"/>
        <w:jc w:val="left"/>
        <w:rPr>
          <w:rFonts w:asciiTheme="minorEastAsia" w:hAnsiTheme="minorEastAsia" w:eastAsiaTheme="minorEastAsia" w:cstheme="minorEastAsia"/>
          <w:color w:val="auto"/>
          <w:szCs w:val="21"/>
          <w:lang w:val="zh-CN"/>
        </w:rPr>
      </w:pPr>
      <w:r>
        <w:rPr>
          <w:rFonts w:hint="eastAsia" w:asciiTheme="minorEastAsia" w:hAnsiTheme="minorEastAsia" w:eastAsiaTheme="minorEastAsia" w:cstheme="minorEastAsia"/>
          <w:color w:val="auto"/>
          <w:szCs w:val="21"/>
          <w:lang w:val="zh-CN"/>
        </w:rPr>
        <w:t>制造商（</w:t>
      </w:r>
      <w:r>
        <w:rPr>
          <w:rFonts w:hint="eastAsia" w:asciiTheme="minorEastAsia" w:hAnsiTheme="minorEastAsia" w:eastAsiaTheme="minorEastAsia" w:cstheme="minorEastAsia"/>
          <w:color w:val="auto"/>
          <w:szCs w:val="21"/>
        </w:rPr>
        <w:t>盖章</w:t>
      </w:r>
      <w:r>
        <w:rPr>
          <w:rFonts w:hint="eastAsia" w:asciiTheme="minorEastAsia" w:hAnsiTheme="minorEastAsia" w:eastAsiaTheme="minorEastAsia" w:cstheme="minorEastAsia"/>
          <w:color w:val="auto"/>
          <w:szCs w:val="21"/>
          <w:lang w:val="zh-CN"/>
        </w:rPr>
        <w:t>）：</w:t>
      </w:r>
    </w:p>
    <w:p>
      <w:pPr>
        <w:spacing w:before="100" w:beforeAutospacing="1" w:after="100" w:afterAutospacing="1"/>
        <w:jc w:val="left"/>
        <w:rPr>
          <w:rFonts w:asciiTheme="minorEastAsia" w:hAnsiTheme="minorEastAsia" w:eastAsiaTheme="minorEastAsia" w:cstheme="minorEastAsia"/>
          <w:color w:val="auto"/>
          <w:szCs w:val="21"/>
          <w:lang w:val="zh-CN"/>
        </w:rPr>
      </w:pPr>
      <w:r>
        <w:rPr>
          <w:rFonts w:hint="eastAsia" w:asciiTheme="minorEastAsia" w:hAnsiTheme="minorEastAsia" w:eastAsiaTheme="minorEastAsia" w:cstheme="minorEastAsia"/>
          <w:color w:val="auto"/>
          <w:szCs w:val="21"/>
          <w:lang w:val="zh-CN"/>
        </w:rPr>
        <w:t>制造商法定代表人（签字）：</w:t>
      </w:r>
    </w:p>
    <w:p>
      <w:pPr>
        <w:spacing w:before="100" w:beforeAutospacing="1" w:after="100" w:afterAutospacing="1"/>
        <w:jc w:val="left"/>
        <w:rPr>
          <w:rFonts w:asciiTheme="minorEastAsia" w:hAnsiTheme="minorEastAsia" w:eastAsiaTheme="minorEastAsia" w:cstheme="minorEastAsia"/>
          <w:color w:val="auto"/>
          <w:szCs w:val="21"/>
          <w:lang w:val="zh-CN"/>
        </w:rPr>
      </w:pPr>
      <w:r>
        <w:rPr>
          <w:rFonts w:hint="eastAsia" w:asciiTheme="minorEastAsia" w:hAnsiTheme="minorEastAsia" w:eastAsiaTheme="minorEastAsia" w:cstheme="minorEastAsia"/>
          <w:color w:val="auto"/>
          <w:szCs w:val="21"/>
          <w:lang w:val="zh-CN"/>
        </w:rPr>
        <w:t>磋商供应商法定代表人（签字）：</w:t>
      </w:r>
    </w:p>
    <w:p>
      <w:pPr>
        <w:spacing w:before="100" w:beforeAutospacing="1" w:after="100" w:afterAutospacing="1"/>
        <w:jc w:val="left"/>
        <w:rPr>
          <w:rFonts w:asciiTheme="minorEastAsia" w:hAnsiTheme="minorEastAsia" w:eastAsiaTheme="minorEastAsia" w:cstheme="minorEastAsia"/>
          <w:color w:val="auto"/>
          <w:szCs w:val="21"/>
          <w:lang w:val="zh-CN"/>
        </w:rPr>
      </w:pPr>
      <w:r>
        <w:rPr>
          <w:rFonts w:hint="eastAsia" w:asciiTheme="minorEastAsia" w:hAnsiTheme="minorEastAsia" w:eastAsiaTheme="minorEastAsia" w:cstheme="minorEastAsia"/>
          <w:color w:val="auto"/>
          <w:szCs w:val="21"/>
          <w:lang w:val="zh-CN"/>
        </w:rPr>
        <w:t xml:space="preserve">磋商供应商授权代表（签字）：                        </w:t>
      </w:r>
    </w:p>
    <w:p>
      <w:pPr>
        <w:spacing w:before="100" w:beforeAutospacing="1" w:after="100" w:afterAutospacing="1"/>
        <w:jc w:val="left"/>
        <w:rPr>
          <w:rFonts w:asciiTheme="minorEastAsia" w:hAnsiTheme="minorEastAsia" w:eastAsiaTheme="minorEastAsia" w:cstheme="minorEastAsia"/>
          <w:color w:val="auto"/>
          <w:szCs w:val="21"/>
          <w:lang w:val="zh-CN"/>
        </w:rPr>
      </w:pPr>
      <w:r>
        <w:rPr>
          <w:rFonts w:hint="eastAsia" w:asciiTheme="minorEastAsia" w:hAnsiTheme="minorEastAsia" w:eastAsiaTheme="minorEastAsia" w:cstheme="minorEastAsia"/>
          <w:color w:val="auto"/>
          <w:szCs w:val="21"/>
          <w:lang w:val="zh-CN"/>
        </w:rPr>
        <w:t>磋商供应商名称（</w:t>
      </w:r>
      <w:r>
        <w:rPr>
          <w:rFonts w:hint="eastAsia" w:asciiTheme="minorEastAsia" w:hAnsiTheme="minorEastAsia" w:eastAsiaTheme="minorEastAsia" w:cstheme="minorEastAsia"/>
          <w:color w:val="auto"/>
          <w:szCs w:val="21"/>
        </w:rPr>
        <w:t>盖章</w:t>
      </w:r>
      <w:r>
        <w:rPr>
          <w:rFonts w:hint="eastAsia" w:asciiTheme="minorEastAsia" w:hAnsiTheme="minorEastAsia" w:eastAsiaTheme="minorEastAsia" w:cstheme="minorEastAsia"/>
          <w:color w:val="auto"/>
          <w:szCs w:val="21"/>
          <w:lang w:val="zh-CN"/>
        </w:rPr>
        <w:t xml:space="preserve">）：                                     </w:t>
      </w:r>
    </w:p>
    <w:p>
      <w:pPr>
        <w:spacing w:before="100" w:beforeAutospacing="1" w:after="100" w:afterAutospacing="1"/>
        <w:rPr>
          <w:rFonts w:asciiTheme="minorEastAsia" w:hAnsiTheme="minorEastAsia" w:eastAsiaTheme="minorEastAsia" w:cstheme="minorEastAsia"/>
          <w:color w:val="auto"/>
          <w:szCs w:val="21"/>
          <w:lang w:val="zh-CN"/>
        </w:rPr>
      </w:pPr>
      <w:r>
        <w:rPr>
          <w:rFonts w:hint="eastAsia" w:asciiTheme="minorEastAsia" w:hAnsiTheme="minorEastAsia" w:eastAsiaTheme="minorEastAsia" w:cstheme="minorEastAsia"/>
          <w:color w:val="auto"/>
          <w:szCs w:val="21"/>
          <w:lang w:val="zh-CN"/>
        </w:rPr>
        <w:t>时                 间：           年          月          日</w:t>
      </w:r>
    </w:p>
    <w:p>
      <w:pPr>
        <w:spacing w:before="100" w:beforeAutospacing="1" w:after="100" w:afterAutospacing="1"/>
        <w:rPr>
          <w:rFonts w:asciiTheme="minorEastAsia" w:hAnsiTheme="minorEastAsia" w:eastAsiaTheme="minorEastAsia" w:cstheme="minorEastAsia"/>
          <w:color w:val="auto"/>
          <w:szCs w:val="21"/>
          <w:lang w:val="zh-CN"/>
        </w:rPr>
      </w:pPr>
      <w:r>
        <w:rPr>
          <w:rFonts w:hint="eastAsia" w:asciiTheme="minorEastAsia" w:hAnsiTheme="minorEastAsia" w:eastAsiaTheme="minorEastAsia" w:cstheme="minorEastAsia"/>
          <w:color w:val="auto"/>
          <w:szCs w:val="21"/>
          <w:lang w:val="zh-CN"/>
        </w:rPr>
        <w:br w:type="textWrapping"/>
      </w:r>
      <w:r>
        <w:rPr>
          <w:rFonts w:hint="eastAsia" w:asciiTheme="minorEastAsia" w:hAnsiTheme="minorEastAsia" w:eastAsiaTheme="minorEastAsia" w:cstheme="minorEastAsia"/>
          <w:color w:val="auto"/>
          <w:szCs w:val="21"/>
          <w:lang w:val="zh-CN"/>
        </w:rPr>
        <w:t>备注：享受政府采购支持政策的残疾人福利性单位应当同时满足以下条件：</w:t>
      </w:r>
    </w:p>
    <w:p>
      <w:pPr>
        <w:numPr>
          <w:ilvl w:val="0"/>
          <w:numId w:val="47"/>
        </w:numPr>
        <w:spacing w:before="100" w:beforeAutospacing="1" w:after="100" w:afterAutospacing="1"/>
        <w:rPr>
          <w:rFonts w:asciiTheme="minorEastAsia" w:hAnsiTheme="minorEastAsia" w:eastAsiaTheme="minorEastAsia" w:cstheme="minorEastAsia"/>
          <w:color w:val="auto"/>
          <w:szCs w:val="21"/>
          <w:lang w:val="zh-CN"/>
        </w:rPr>
      </w:pPr>
      <w:r>
        <w:rPr>
          <w:rFonts w:hint="eastAsia" w:asciiTheme="minorEastAsia" w:hAnsiTheme="minorEastAsia" w:eastAsiaTheme="minorEastAsia" w:cstheme="minorEastAsia"/>
          <w:color w:val="auto"/>
          <w:szCs w:val="21"/>
          <w:lang w:val="zh-CN"/>
        </w:rPr>
        <w:t>安置的残疾人占本单位在职职工人数的比例不低于 25%（含 25%），并且安置的残疾人人数不少于 10 人（含 10 人）；</w:t>
      </w:r>
    </w:p>
    <w:p>
      <w:pPr>
        <w:numPr>
          <w:ilvl w:val="0"/>
          <w:numId w:val="47"/>
        </w:numPr>
        <w:spacing w:before="100" w:beforeAutospacing="1" w:after="100" w:afterAutospacing="1"/>
        <w:rPr>
          <w:rFonts w:asciiTheme="minorEastAsia" w:hAnsiTheme="minorEastAsia" w:eastAsiaTheme="minorEastAsia" w:cstheme="minorEastAsia"/>
          <w:color w:val="auto"/>
          <w:szCs w:val="21"/>
          <w:lang w:val="zh-CN"/>
        </w:rPr>
      </w:pPr>
      <w:r>
        <w:rPr>
          <w:rFonts w:hint="eastAsia" w:asciiTheme="minorEastAsia" w:hAnsiTheme="minorEastAsia" w:eastAsiaTheme="minorEastAsia" w:cstheme="minorEastAsia"/>
          <w:color w:val="auto"/>
          <w:szCs w:val="21"/>
          <w:lang w:val="zh-CN"/>
        </w:rPr>
        <w:t>依法与安置的每位残疾人签订了一年以上（含一年）的劳动合同或服务协议；</w:t>
      </w:r>
    </w:p>
    <w:p>
      <w:pPr>
        <w:numPr>
          <w:ilvl w:val="0"/>
          <w:numId w:val="47"/>
        </w:numPr>
        <w:spacing w:before="100" w:beforeAutospacing="1" w:after="100" w:afterAutospacing="1"/>
        <w:rPr>
          <w:rFonts w:asciiTheme="minorEastAsia" w:hAnsiTheme="minorEastAsia" w:eastAsiaTheme="minorEastAsia" w:cstheme="minorEastAsia"/>
          <w:color w:val="auto"/>
          <w:szCs w:val="21"/>
          <w:lang w:val="zh-CN"/>
        </w:rPr>
      </w:pPr>
      <w:r>
        <w:rPr>
          <w:rFonts w:hint="eastAsia" w:asciiTheme="minorEastAsia" w:hAnsiTheme="minorEastAsia" w:eastAsiaTheme="minorEastAsia" w:cstheme="minorEastAsia"/>
          <w:color w:val="auto"/>
          <w:szCs w:val="21"/>
          <w:lang w:val="zh-CN"/>
        </w:rPr>
        <w:t>为安置的每位残疾人按月足额缴纳了基本养老保险、基本医疗保险、失业保险、工伤保险和生育保险等社会保险费；</w:t>
      </w:r>
    </w:p>
    <w:p>
      <w:pPr>
        <w:numPr>
          <w:ilvl w:val="0"/>
          <w:numId w:val="47"/>
        </w:numPr>
        <w:spacing w:before="100" w:beforeAutospacing="1" w:after="100" w:afterAutospacing="1"/>
        <w:rPr>
          <w:rFonts w:asciiTheme="minorEastAsia" w:hAnsiTheme="minorEastAsia" w:eastAsiaTheme="minorEastAsia" w:cstheme="minorEastAsia"/>
          <w:color w:val="auto"/>
          <w:szCs w:val="21"/>
          <w:lang w:val="zh-CN"/>
        </w:rPr>
      </w:pPr>
      <w:r>
        <w:rPr>
          <w:rFonts w:hint="eastAsia" w:asciiTheme="minorEastAsia" w:hAnsiTheme="minorEastAsia" w:eastAsiaTheme="minorEastAsia" w:cstheme="minorEastAsia"/>
          <w:color w:val="auto"/>
          <w:szCs w:val="21"/>
          <w:lang w:val="zh-CN"/>
        </w:rPr>
        <w:t>通过银行等金融机构向安置的每位残疾人，按月支付了不低于单位所在区县适用的经省级人民政府批准的月最低工资标准的工资；</w:t>
      </w:r>
    </w:p>
    <w:p>
      <w:pPr>
        <w:numPr>
          <w:ilvl w:val="0"/>
          <w:numId w:val="47"/>
        </w:numPr>
        <w:spacing w:before="100" w:beforeAutospacing="1" w:after="100" w:afterAutospacing="1"/>
        <w:rPr>
          <w:rFonts w:asciiTheme="minorEastAsia" w:hAnsiTheme="minorEastAsia" w:eastAsiaTheme="minorEastAsia" w:cstheme="minorEastAsia"/>
          <w:color w:val="auto"/>
          <w:szCs w:val="21"/>
          <w:lang w:val="zh-CN"/>
        </w:rPr>
      </w:pPr>
      <w:r>
        <w:rPr>
          <w:rFonts w:hint="eastAsia" w:asciiTheme="minorEastAsia" w:hAnsiTheme="minorEastAsia" w:eastAsiaTheme="minorEastAsia" w:cstheme="minorEastAsia"/>
          <w:color w:val="auto"/>
          <w:szCs w:val="21"/>
          <w:lang w:val="zh-CN"/>
        </w:rPr>
        <w:t>提供本单位制造的货物、承担的工程或者服务（以下简称产品），或者提供其他残疾人福利性单位制造的货物（不包括使用非残疾人福利性单位注册商标的货物）。前款所称残疾人是指法定劳动年龄内，持有《中华人民共和国残疾人证》或者《中华人民共和国残疾军人证（1 至 8 级）》的自然人，包括具有劳动条件和劳动意愿的精神残疾人。在职职工人数是指与残疾人福利性单位建立劳动关系并依法签订劳动合同或者服务协议的雇员人数。</w:t>
      </w:r>
    </w:p>
    <w:p>
      <w:pPr>
        <w:spacing w:before="100" w:beforeAutospacing="1" w:after="100" w:afterAutospacing="1" w:line="360" w:lineRule="auto"/>
        <w:jc w:val="center"/>
        <w:outlineLvl w:val="1"/>
        <w:rPr>
          <w:rFonts w:asciiTheme="minorEastAsia" w:hAnsiTheme="minorEastAsia" w:eastAsiaTheme="minorEastAsia" w:cstheme="minorEastAsia"/>
          <w:bCs/>
          <w:color w:val="auto"/>
          <w:szCs w:val="21"/>
          <w:u w:val="single"/>
        </w:rPr>
      </w:pPr>
      <w:bookmarkStart w:id="236" w:name="_Toc20592"/>
      <w:r>
        <w:rPr>
          <w:rFonts w:hint="eastAsia" w:asciiTheme="minorEastAsia" w:hAnsiTheme="minorEastAsia" w:eastAsiaTheme="minorEastAsia" w:cstheme="minorEastAsia"/>
          <w:b/>
          <w:color w:val="auto"/>
        </w:rPr>
        <w:t>十九、节能环保产品证明材料（若符合）</w:t>
      </w:r>
      <w:bookmarkEnd w:id="236"/>
    </w:p>
    <w:p>
      <w:pPr>
        <w:adjustRightInd w:val="0"/>
        <w:snapToGrid w:val="0"/>
        <w:jc w:val="left"/>
        <w:rPr>
          <w:rFonts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 xml:space="preserve">项目名称：                         </w:t>
      </w:r>
    </w:p>
    <w:p>
      <w:pPr>
        <w:spacing w:before="100" w:beforeAutospacing="1" w:after="100" w:afterAutospacing="1"/>
        <w:jc w:val="left"/>
        <w:rPr>
          <w:rFonts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项目编号：</w:t>
      </w:r>
      <w:r>
        <w:rPr>
          <w:rFonts w:hint="eastAsia" w:asciiTheme="minorEastAsia" w:hAnsiTheme="minorEastAsia" w:eastAsiaTheme="minorEastAsia" w:cstheme="minorEastAsia"/>
          <w:color w:val="auto"/>
          <w:szCs w:val="21"/>
        </w:rPr>
        <w:br w:type="textWrapping"/>
      </w:r>
      <w:r>
        <w:rPr>
          <w:rFonts w:hint="eastAsia" w:asciiTheme="minorEastAsia" w:hAnsiTheme="minorEastAsia" w:eastAsiaTheme="minorEastAsia" w:cstheme="minorEastAsia"/>
          <w:color w:val="auto"/>
          <w:szCs w:val="21"/>
        </w:rPr>
        <w:t>（1）节能产品：</w:t>
      </w:r>
    </w:p>
    <w:tbl>
      <w:tblPr>
        <w:tblStyle w:val="26"/>
        <w:tblW w:w="9235"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03"/>
        <w:gridCol w:w="1109"/>
        <w:gridCol w:w="1370"/>
        <w:gridCol w:w="639"/>
        <w:gridCol w:w="639"/>
        <w:gridCol w:w="639"/>
        <w:gridCol w:w="1383"/>
        <w:gridCol w:w="1304"/>
        <w:gridCol w:w="134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9" w:hRule="atLeast"/>
        </w:trPr>
        <w:tc>
          <w:tcPr>
            <w:tcW w:w="803" w:type="dxa"/>
            <w:vAlign w:val="center"/>
          </w:tcPr>
          <w:p>
            <w:pPr>
              <w:adjustRightInd w:val="0"/>
              <w:snapToGrid w:val="0"/>
              <w:spacing w:line="360" w:lineRule="auto"/>
              <w:jc w:val="center"/>
              <w:rPr>
                <w:rFonts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序号</w:t>
            </w:r>
          </w:p>
        </w:tc>
        <w:tc>
          <w:tcPr>
            <w:tcW w:w="1109" w:type="dxa"/>
            <w:vAlign w:val="center"/>
          </w:tcPr>
          <w:p>
            <w:pPr>
              <w:adjustRightInd w:val="0"/>
              <w:snapToGrid w:val="0"/>
              <w:spacing w:line="360" w:lineRule="auto"/>
              <w:jc w:val="center"/>
              <w:rPr>
                <w:rFonts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设备名称</w:t>
            </w:r>
          </w:p>
        </w:tc>
        <w:tc>
          <w:tcPr>
            <w:tcW w:w="1370" w:type="dxa"/>
            <w:vAlign w:val="center"/>
          </w:tcPr>
          <w:p>
            <w:pPr>
              <w:adjustRightInd w:val="0"/>
              <w:snapToGrid w:val="0"/>
              <w:spacing w:line="360" w:lineRule="auto"/>
              <w:jc w:val="center"/>
              <w:rPr>
                <w:rFonts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制造商名称</w:t>
            </w:r>
          </w:p>
        </w:tc>
        <w:tc>
          <w:tcPr>
            <w:tcW w:w="639" w:type="dxa"/>
            <w:vAlign w:val="center"/>
          </w:tcPr>
          <w:p>
            <w:pPr>
              <w:adjustRightInd w:val="0"/>
              <w:snapToGrid w:val="0"/>
              <w:spacing w:line="360" w:lineRule="auto"/>
              <w:jc w:val="center"/>
              <w:rPr>
                <w:rFonts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品牌</w:t>
            </w:r>
          </w:p>
        </w:tc>
        <w:tc>
          <w:tcPr>
            <w:tcW w:w="639" w:type="dxa"/>
            <w:vAlign w:val="center"/>
          </w:tcPr>
          <w:p>
            <w:pPr>
              <w:adjustRightInd w:val="0"/>
              <w:snapToGrid w:val="0"/>
              <w:spacing w:line="360" w:lineRule="auto"/>
              <w:jc w:val="center"/>
              <w:rPr>
                <w:rFonts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型号</w:t>
            </w:r>
          </w:p>
        </w:tc>
        <w:tc>
          <w:tcPr>
            <w:tcW w:w="639" w:type="dxa"/>
            <w:vAlign w:val="center"/>
          </w:tcPr>
          <w:p>
            <w:pPr>
              <w:adjustRightInd w:val="0"/>
              <w:snapToGrid w:val="0"/>
              <w:spacing w:line="360" w:lineRule="auto"/>
              <w:jc w:val="center"/>
              <w:rPr>
                <w:rFonts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数量</w:t>
            </w:r>
          </w:p>
        </w:tc>
        <w:tc>
          <w:tcPr>
            <w:tcW w:w="1383" w:type="dxa"/>
            <w:vAlign w:val="center"/>
          </w:tcPr>
          <w:p>
            <w:pPr>
              <w:adjustRightInd w:val="0"/>
              <w:snapToGrid w:val="0"/>
              <w:spacing w:line="360" w:lineRule="auto"/>
              <w:jc w:val="center"/>
              <w:rPr>
                <w:rFonts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单价（万元）</w:t>
            </w:r>
          </w:p>
        </w:tc>
        <w:tc>
          <w:tcPr>
            <w:tcW w:w="1304" w:type="dxa"/>
            <w:vAlign w:val="center"/>
          </w:tcPr>
          <w:p>
            <w:pPr>
              <w:adjustRightInd w:val="0"/>
              <w:snapToGrid w:val="0"/>
              <w:spacing w:line="360" w:lineRule="auto"/>
              <w:jc w:val="center"/>
              <w:rPr>
                <w:rFonts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总价（万元）</w:t>
            </w:r>
          </w:p>
        </w:tc>
        <w:tc>
          <w:tcPr>
            <w:tcW w:w="1349" w:type="dxa"/>
            <w:vAlign w:val="center"/>
          </w:tcPr>
          <w:p>
            <w:pPr>
              <w:adjustRightInd w:val="0"/>
              <w:snapToGrid w:val="0"/>
              <w:spacing w:line="360" w:lineRule="auto"/>
              <w:jc w:val="center"/>
              <w:rPr>
                <w:rFonts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属强制采购或优先采购</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9" w:hRule="atLeast"/>
        </w:trPr>
        <w:tc>
          <w:tcPr>
            <w:tcW w:w="803" w:type="dxa"/>
            <w:vAlign w:val="center"/>
          </w:tcPr>
          <w:p>
            <w:pPr>
              <w:adjustRightInd w:val="0"/>
              <w:snapToGrid w:val="0"/>
              <w:spacing w:line="360" w:lineRule="auto"/>
              <w:jc w:val="center"/>
              <w:rPr>
                <w:rFonts w:asciiTheme="minorEastAsia" w:hAnsiTheme="minorEastAsia" w:eastAsiaTheme="minorEastAsia" w:cstheme="minorEastAsia"/>
                <w:color w:val="auto"/>
                <w:szCs w:val="21"/>
              </w:rPr>
            </w:pPr>
          </w:p>
        </w:tc>
        <w:tc>
          <w:tcPr>
            <w:tcW w:w="1109" w:type="dxa"/>
            <w:vAlign w:val="center"/>
          </w:tcPr>
          <w:p>
            <w:pPr>
              <w:adjustRightInd w:val="0"/>
              <w:snapToGrid w:val="0"/>
              <w:spacing w:line="360" w:lineRule="auto"/>
              <w:jc w:val="center"/>
              <w:rPr>
                <w:rFonts w:asciiTheme="minorEastAsia" w:hAnsiTheme="minorEastAsia" w:eastAsiaTheme="minorEastAsia" w:cstheme="minorEastAsia"/>
                <w:color w:val="auto"/>
                <w:szCs w:val="21"/>
              </w:rPr>
            </w:pPr>
          </w:p>
        </w:tc>
        <w:tc>
          <w:tcPr>
            <w:tcW w:w="1370" w:type="dxa"/>
            <w:vAlign w:val="center"/>
          </w:tcPr>
          <w:p>
            <w:pPr>
              <w:adjustRightInd w:val="0"/>
              <w:snapToGrid w:val="0"/>
              <w:spacing w:line="360" w:lineRule="auto"/>
              <w:jc w:val="center"/>
              <w:rPr>
                <w:rFonts w:asciiTheme="minorEastAsia" w:hAnsiTheme="minorEastAsia" w:eastAsiaTheme="minorEastAsia" w:cstheme="minorEastAsia"/>
                <w:color w:val="auto"/>
                <w:szCs w:val="21"/>
              </w:rPr>
            </w:pPr>
          </w:p>
        </w:tc>
        <w:tc>
          <w:tcPr>
            <w:tcW w:w="639" w:type="dxa"/>
            <w:vAlign w:val="center"/>
          </w:tcPr>
          <w:p>
            <w:pPr>
              <w:adjustRightInd w:val="0"/>
              <w:snapToGrid w:val="0"/>
              <w:spacing w:line="360" w:lineRule="auto"/>
              <w:jc w:val="center"/>
              <w:rPr>
                <w:rFonts w:asciiTheme="minorEastAsia" w:hAnsiTheme="minorEastAsia" w:eastAsiaTheme="minorEastAsia" w:cstheme="minorEastAsia"/>
                <w:color w:val="auto"/>
                <w:szCs w:val="21"/>
              </w:rPr>
            </w:pPr>
          </w:p>
        </w:tc>
        <w:tc>
          <w:tcPr>
            <w:tcW w:w="639" w:type="dxa"/>
            <w:vAlign w:val="center"/>
          </w:tcPr>
          <w:p>
            <w:pPr>
              <w:adjustRightInd w:val="0"/>
              <w:snapToGrid w:val="0"/>
              <w:spacing w:line="360" w:lineRule="auto"/>
              <w:jc w:val="center"/>
              <w:rPr>
                <w:rFonts w:asciiTheme="minorEastAsia" w:hAnsiTheme="minorEastAsia" w:eastAsiaTheme="minorEastAsia" w:cstheme="minorEastAsia"/>
                <w:color w:val="auto"/>
                <w:szCs w:val="21"/>
              </w:rPr>
            </w:pPr>
          </w:p>
        </w:tc>
        <w:tc>
          <w:tcPr>
            <w:tcW w:w="639" w:type="dxa"/>
            <w:vAlign w:val="center"/>
          </w:tcPr>
          <w:p>
            <w:pPr>
              <w:adjustRightInd w:val="0"/>
              <w:snapToGrid w:val="0"/>
              <w:spacing w:line="360" w:lineRule="auto"/>
              <w:jc w:val="center"/>
              <w:rPr>
                <w:rFonts w:asciiTheme="minorEastAsia" w:hAnsiTheme="minorEastAsia" w:eastAsiaTheme="minorEastAsia" w:cstheme="minorEastAsia"/>
                <w:color w:val="auto"/>
                <w:szCs w:val="21"/>
              </w:rPr>
            </w:pPr>
          </w:p>
        </w:tc>
        <w:tc>
          <w:tcPr>
            <w:tcW w:w="1383" w:type="dxa"/>
            <w:vAlign w:val="center"/>
          </w:tcPr>
          <w:p>
            <w:pPr>
              <w:adjustRightInd w:val="0"/>
              <w:snapToGrid w:val="0"/>
              <w:spacing w:line="360" w:lineRule="auto"/>
              <w:jc w:val="center"/>
              <w:rPr>
                <w:rFonts w:asciiTheme="minorEastAsia" w:hAnsiTheme="minorEastAsia" w:eastAsiaTheme="minorEastAsia" w:cstheme="minorEastAsia"/>
                <w:color w:val="auto"/>
                <w:szCs w:val="21"/>
              </w:rPr>
            </w:pPr>
          </w:p>
        </w:tc>
        <w:tc>
          <w:tcPr>
            <w:tcW w:w="1304" w:type="dxa"/>
            <w:vAlign w:val="center"/>
          </w:tcPr>
          <w:p>
            <w:pPr>
              <w:adjustRightInd w:val="0"/>
              <w:snapToGrid w:val="0"/>
              <w:spacing w:line="360" w:lineRule="auto"/>
              <w:jc w:val="center"/>
              <w:rPr>
                <w:rFonts w:asciiTheme="minorEastAsia" w:hAnsiTheme="minorEastAsia" w:eastAsiaTheme="minorEastAsia" w:cstheme="minorEastAsia"/>
                <w:color w:val="auto"/>
                <w:szCs w:val="21"/>
              </w:rPr>
            </w:pPr>
          </w:p>
        </w:tc>
        <w:tc>
          <w:tcPr>
            <w:tcW w:w="1349" w:type="dxa"/>
            <w:vAlign w:val="center"/>
          </w:tcPr>
          <w:p>
            <w:pPr>
              <w:adjustRightInd w:val="0"/>
              <w:snapToGrid w:val="0"/>
              <w:spacing w:line="360" w:lineRule="auto"/>
              <w:jc w:val="center"/>
              <w:rPr>
                <w:rFonts w:asciiTheme="minorEastAsia" w:hAnsiTheme="minorEastAsia" w:eastAsiaTheme="minorEastAsia" w:cstheme="minorEastAsia"/>
                <w:color w:val="auto"/>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9" w:hRule="atLeast"/>
        </w:trPr>
        <w:tc>
          <w:tcPr>
            <w:tcW w:w="803" w:type="dxa"/>
            <w:vAlign w:val="center"/>
          </w:tcPr>
          <w:p>
            <w:pPr>
              <w:adjustRightInd w:val="0"/>
              <w:snapToGrid w:val="0"/>
              <w:spacing w:line="360" w:lineRule="auto"/>
              <w:jc w:val="center"/>
              <w:rPr>
                <w:rFonts w:asciiTheme="minorEastAsia" w:hAnsiTheme="minorEastAsia" w:eastAsiaTheme="minorEastAsia" w:cstheme="minorEastAsia"/>
                <w:color w:val="auto"/>
                <w:szCs w:val="21"/>
              </w:rPr>
            </w:pPr>
          </w:p>
        </w:tc>
        <w:tc>
          <w:tcPr>
            <w:tcW w:w="1109" w:type="dxa"/>
            <w:vAlign w:val="center"/>
          </w:tcPr>
          <w:p>
            <w:pPr>
              <w:adjustRightInd w:val="0"/>
              <w:snapToGrid w:val="0"/>
              <w:spacing w:line="360" w:lineRule="auto"/>
              <w:jc w:val="center"/>
              <w:rPr>
                <w:rFonts w:asciiTheme="minorEastAsia" w:hAnsiTheme="minorEastAsia" w:eastAsiaTheme="minorEastAsia" w:cstheme="minorEastAsia"/>
                <w:color w:val="auto"/>
                <w:szCs w:val="21"/>
              </w:rPr>
            </w:pPr>
          </w:p>
        </w:tc>
        <w:tc>
          <w:tcPr>
            <w:tcW w:w="1370" w:type="dxa"/>
            <w:vAlign w:val="center"/>
          </w:tcPr>
          <w:p>
            <w:pPr>
              <w:adjustRightInd w:val="0"/>
              <w:snapToGrid w:val="0"/>
              <w:spacing w:line="360" w:lineRule="auto"/>
              <w:jc w:val="center"/>
              <w:rPr>
                <w:rFonts w:asciiTheme="minorEastAsia" w:hAnsiTheme="minorEastAsia" w:eastAsiaTheme="minorEastAsia" w:cstheme="minorEastAsia"/>
                <w:color w:val="auto"/>
                <w:szCs w:val="21"/>
              </w:rPr>
            </w:pPr>
          </w:p>
        </w:tc>
        <w:tc>
          <w:tcPr>
            <w:tcW w:w="639" w:type="dxa"/>
            <w:vAlign w:val="center"/>
          </w:tcPr>
          <w:p>
            <w:pPr>
              <w:adjustRightInd w:val="0"/>
              <w:snapToGrid w:val="0"/>
              <w:spacing w:line="360" w:lineRule="auto"/>
              <w:jc w:val="center"/>
              <w:rPr>
                <w:rFonts w:asciiTheme="minorEastAsia" w:hAnsiTheme="minorEastAsia" w:eastAsiaTheme="minorEastAsia" w:cstheme="minorEastAsia"/>
                <w:color w:val="auto"/>
                <w:szCs w:val="21"/>
              </w:rPr>
            </w:pPr>
          </w:p>
        </w:tc>
        <w:tc>
          <w:tcPr>
            <w:tcW w:w="639" w:type="dxa"/>
            <w:vAlign w:val="center"/>
          </w:tcPr>
          <w:p>
            <w:pPr>
              <w:adjustRightInd w:val="0"/>
              <w:snapToGrid w:val="0"/>
              <w:spacing w:line="360" w:lineRule="auto"/>
              <w:jc w:val="center"/>
              <w:rPr>
                <w:rFonts w:asciiTheme="minorEastAsia" w:hAnsiTheme="minorEastAsia" w:eastAsiaTheme="minorEastAsia" w:cstheme="minorEastAsia"/>
                <w:color w:val="auto"/>
                <w:szCs w:val="21"/>
              </w:rPr>
            </w:pPr>
          </w:p>
        </w:tc>
        <w:tc>
          <w:tcPr>
            <w:tcW w:w="639" w:type="dxa"/>
            <w:vAlign w:val="center"/>
          </w:tcPr>
          <w:p>
            <w:pPr>
              <w:adjustRightInd w:val="0"/>
              <w:snapToGrid w:val="0"/>
              <w:spacing w:line="360" w:lineRule="auto"/>
              <w:jc w:val="center"/>
              <w:rPr>
                <w:rFonts w:asciiTheme="minorEastAsia" w:hAnsiTheme="minorEastAsia" w:eastAsiaTheme="minorEastAsia" w:cstheme="minorEastAsia"/>
                <w:color w:val="auto"/>
                <w:szCs w:val="21"/>
              </w:rPr>
            </w:pPr>
          </w:p>
        </w:tc>
        <w:tc>
          <w:tcPr>
            <w:tcW w:w="1383" w:type="dxa"/>
            <w:vAlign w:val="center"/>
          </w:tcPr>
          <w:p>
            <w:pPr>
              <w:adjustRightInd w:val="0"/>
              <w:snapToGrid w:val="0"/>
              <w:spacing w:line="360" w:lineRule="auto"/>
              <w:jc w:val="center"/>
              <w:rPr>
                <w:rFonts w:asciiTheme="minorEastAsia" w:hAnsiTheme="minorEastAsia" w:eastAsiaTheme="minorEastAsia" w:cstheme="minorEastAsia"/>
                <w:color w:val="auto"/>
                <w:szCs w:val="21"/>
              </w:rPr>
            </w:pPr>
          </w:p>
        </w:tc>
        <w:tc>
          <w:tcPr>
            <w:tcW w:w="1304" w:type="dxa"/>
            <w:vAlign w:val="center"/>
          </w:tcPr>
          <w:p>
            <w:pPr>
              <w:adjustRightInd w:val="0"/>
              <w:snapToGrid w:val="0"/>
              <w:spacing w:line="360" w:lineRule="auto"/>
              <w:jc w:val="center"/>
              <w:rPr>
                <w:rFonts w:asciiTheme="minorEastAsia" w:hAnsiTheme="minorEastAsia" w:eastAsiaTheme="minorEastAsia" w:cstheme="minorEastAsia"/>
                <w:color w:val="auto"/>
                <w:szCs w:val="21"/>
              </w:rPr>
            </w:pPr>
          </w:p>
        </w:tc>
        <w:tc>
          <w:tcPr>
            <w:tcW w:w="1349" w:type="dxa"/>
            <w:vAlign w:val="center"/>
          </w:tcPr>
          <w:p>
            <w:pPr>
              <w:adjustRightInd w:val="0"/>
              <w:snapToGrid w:val="0"/>
              <w:spacing w:line="360" w:lineRule="auto"/>
              <w:jc w:val="center"/>
              <w:rPr>
                <w:rFonts w:asciiTheme="minorEastAsia" w:hAnsiTheme="minorEastAsia" w:eastAsiaTheme="minorEastAsia" w:cstheme="minorEastAsia"/>
                <w:color w:val="auto"/>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9" w:hRule="atLeast"/>
        </w:trPr>
        <w:tc>
          <w:tcPr>
            <w:tcW w:w="803" w:type="dxa"/>
            <w:vAlign w:val="center"/>
          </w:tcPr>
          <w:p>
            <w:pPr>
              <w:adjustRightInd w:val="0"/>
              <w:snapToGrid w:val="0"/>
              <w:spacing w:line="360" w:lineRule="auto"/>
              <w:jc w:val="center"/>
              <w:rPr>
                <w:rFonts w:asciiTheme="minorEastAsia" w:hAnsiTheme="minorEastAsia" w:eastAsiaTheme="minorEastAsia" w:cstheme="minorEastAsia"/>
                <w:color w:val="auto"/>
                <w:szCs w:val="21"/>
              </w:rPr>
            </w:pPr>
          </w:p>
        </w:tc>
        <w:tc>
          <w:tcPr>
            <w:tcW w:w="1109" w:type="dxa"/>
            <w:vAlign w:val="center"/>
          </w:tcPr>
          <w:p>
            <w:pPr>
              <w:adjustRightInd w:val="0"/>
              <w:snapToGrid w:val="0"/>
              <w:spacing w:line="360" w:lineRule="auto"/>
              <w:jc w:val="center"/>
              <w:rPr>
                <w:rFonts w:asciiTheme="minorEastAsia" w:hAnsiTheme="minorEastAsia" w:eastAsiaTheme="minorEastAsia" w:cstheme="minorEastAsia"/>
                <w:color w:val="auto"/>
                <w:szCs w:val="21"/>
              </w:rPr>
            </w:pPr>
          </w:p>
        </w:tc>
        <w:tc>
          <w:tcPr>
            <w:tcW w:w="1370" w:type="dxa"/>
            <w:vAlign w:val="center"/>
          </w:tcPr>
          <w:p>
            <w:pPr>
              <w:adjustRightInd w:val="0"/>
              <w:snapToGrid w:val="0"/>
              <w:spacing w:line="360" w:lineRule="auto"/>
              <w:jc w:val="center"/>
              <w:rPr>
                <w:rFonts w:asciiTheme="minorEastAsia" w:hAnsiTheme="minorEastAsia" w:eastAsiaTheme="minorEastAsia" w:cstheme="minorEastAsia"/>
                <w:color w:val="auto"/>
                <w:szCs w:val="21"/>
              </w:rPr>
            </w:pPr>
          </w:p>
        </w:tc>
        <w:tc>
          <w:tcPr>
            <w:tcW w:w="639" w:type="dxa"/>
            <w:vAlign w:val="center"/>
          </w:tcPr>
          <w:p>
            <w:pPr>
              <w:adjustRightInd w:val="0"/>
              <w:snapToGrid w:val="0"/>
              <w:spacing w:line="360" w:lineRule="auto"/>
              <w:jc w:val="center"/>
              <w:rPr>
                <w:rFonts w:asciiTheme="minorEastAsia" w:hAnsiTheme="minorEastAsia" w:eastAsiaTheme="minorEastAsia" w:cstheme="minorEastAsia"/>
                <w:color w:val="auto"/>
                <w:szCs w:val="21"/>
              </w:rPr>
            </w:pPr>
          </w:p>
        </w:tc>
        <w:tc>
          <w:tcPr>
            <w:tcW w:w="639" w:type="dxa"/>
            <w:vAlign w:val="center"/>
          </w:tcPr>
          <w:p>
            <w:pPr>
              <w:adjustRightInd w:val="0"/>
              <w:snapToGrid w:val="0"/>
              <w:spacing w:line="360" w:lineRule="auto"/>
              <w:jc w:val="center"/>
              <w:rPr>
                <w:rFonts w:asciiTheme="minorEastAsia" w:hAnsiTheme="minorEastAsia" w:eastAsiaTheme="minorEastAsia" w:cstheme="minorEastAsia"/>
                <w:color w:val="auto"/>
                <w:szCs w:val="21"/>
              </w:rPr>
            </w:pPr>
          </w:p>
        </w:tc>
        <w:tc>
          <w:tcPr>
            <w:tcW w:w="639" w:type="dxa"/>
            <w:vAlign w:val="center"/>
          </w:tcPr>
          <w:p>
            <w:pPr>
              <w:adjustRightInd w:val="0"/>
              <w:snapToGrid w:val="0"/>
              <w:spacing w:line="360" w:lineRule="auto"/>
              <w:jc w:val="center"/>
              <w:rPr>
                <w:rFonts w:asciiTheme="minorEastAsia" w:hAnsiTheme="minorEastAsia" w:eastAsiaTheme="minorEastAsia" w:cstheme="minorEastAsia"/>
                <w:color w:val="auto"/>
                <w:szCs w:val="21"/>
              </w:rPr>
            </w:pPr>
          </w:p>
        </w:tc>
        <w:tc>
          <w:tcPr>
            <w:tcW w:w="1383" w:type="dxa"/>
            <w:vAlign w:val="center"/>
          </w:tcPr>
          <w:p>
            <w:pPr>
              <w:adjustRightInd w:val="0"/>
              <w:snapToGrid w:val="0"/>
              <w:spacing w:line="360" w:lineRule="auto"/>
              <w:jc w:val="center"/>
              <w:rPr>
                <w:rFonts w:asciiTheme="minorEastAsia" w:hAnsiTheme="minorEastAsia" w:eastAsiaTheme="minorEastAsia" w:cstheme="minorEastAsia"/>
                <w:color w:val="auto"/>
                <w:szCs w:val="21"/>
              </w:rPr>
            </w:pPr>
          </w:p>
        </w:tc>
        <w:tc>
          <w:tcPr>
            <w:tcW w:w="1304" w:type="dxa"/>
            <w:vAlign w:val="center"/>
          </w:tcPr>
          <w:p>
            <w:pPr>
              <w:adjustRightInd w:val="0"/>
              <w:snapToGrid w:val="0"/>
              <w:spacing w:line="360" w:lineRule="auto"/>
              <w:jc w:val="center"/>
              <w:rPr>
                <w:rFonts w:asciiTheme="minorEastAsia" w:hAnsiTheme="minorEastAsia" w:eastAsiaTheme="minorEastAsia" w:cstheme="minorEastAsia"/>
                <w:color w:val="auto"/>
                <w:szCs w:val="21"/>
              </w:rPr>
            </w:pPr>
          </w:p>
        </w:tc>
        <w:tc>
          <w:tcPr>
            <w:tcW w:w="1349" w:type="dxa"/>
            <w:vAlign w:val="center"/>
          </w:tcPr>
          <w:p>
            <w:pPr>
              <w:adjustRightInd w:val="0"/>
              <w:snapToGrid w:val="0"/>
              <w:spacing w:line="360" w:lineRule="auto"/>
              <w:jc w:val="center"/>
              <w:rPr>
                <w:rFonts w:asciiTheme="minorEastAsia" w:hAnsiTheme="minorEastAsia" w:eastAsiaTheme="minorEastAsia" w:cstheme="minorEastAsia"/>
                <w:color w:val="auto"/>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0" w:hRule="atLeast"/>
        </w:trPr>
        <w:tc>
          <w:tcPr>
            <w:tcW w:w="803" w:type="dxa"/>
            <w:vAlign w:val="center"/>
          </w:tcPr>
          <w:p>
            <w:pPr>
              <w:adjustRightInd w:val="0"/>
              <w:snapToGrid w:val="0"/>
              <w:spacing w:line="360" w:lineRule="auto"/>
              <w:jc w:val="center"/>
              <w:rPr>
                <w:rFonts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w:t>
            </w:r>
          </w:p>
        </w:tc>
        <w:tc>
          <w:tcPr>
            <w:tcW w:w="1109" w:type="dxa"/>
            <w:vAlign w:val="center"/>
          </w:tcPr>
          <w:p>
            <w:pPr>
              <w:adjustRightInd w:val="0"/>
              <w:snapToGrid w:val="0"/>
              <w:spacing w:line="360" w:lineRule="auto"/>
              <w:jc w:val="center"/>
              <w:rPr>
                <w:rFonts w:asciiTheme="minorEastAsia" w:hAnsiTheme="minorEastAsia" w:eastAsiaTheme="minorEastAsia" w:cstheme="minorEastAsia"/>
                <w:color w:val="auto"/>
                <w:szCs w:val="21"/>
              </w:rPr>
            </w:pPr>
          </w:p>
        </w:tc>
        <w:tc>
          <w:tcPr>
            <w:tcW w:w="1370" w:type="dxa"/>
            <w:vAlign w:val="center"/>
          </w:tcPr>
          <w:p>
            <w:pPr>
              <w:adjustRightInd w:val="0"/>
              <w:snapToGrid w:val="0"/>
              <w:spacing w:line="360" w:lineRule="auto"/>
              <w:jc w:val="center"/>
              <w:rPr>
                <w:rFonts w:asciiTheme="minorEastAsia" w:hAnsiTheme="minorEastAsia" w:eastAsiaTheme="minorEastAsia" w:cstheme="minorEastAsia"/>
                <w:color w:val="auto"/>
                <w:szCs w:val="21"/>
              </w:rPr>
            </w:pPr>
          </w:p>
        </w:tc>
        <w:tc>
          <w:tcPr>
            <w:tcW w:w="639" w:type="dxa"/>
            <w:vAlign w:val="center"/>
          </w:tcPr>
          <w:p>
            <w:pPr>
              <w:adjustRightInd w:val="0"/>
              <w:snapToGrid w:val="0"/>
              <w:spacing w:line="360" w:lineRule="auto"/>
              <w:jc w:val="center"/>
              <w:rPr>
                <w:rFonts w:asciiTheme="minorEastAsia" w:hAnsiTheme="minorEastAsia" w:eastAsiaTheme="minorEastAsia" w:cstheme="minorEastAsia"/>
                <w:color w:val="auto"/>
                <w:szCs w:val="21"/>
              </w:rPr>
            </w:pPr>
          </w:p>
        </w:tc>
        <w:tc>
          <w:tcPr>
            <w:tcW w:w="639" w:type="dxa"/>
            <w:vAlign w:val="center"/>
          </w:tcPr>
          <w:p>
            <w:pPr>
              <w:adjustRightInd w:val="0"/>
              <w:snapToGrid w:val="0"/>
              <w:spacing w:line="360" w:lineRule="auto"/>
              <w:jc w:val="center"/>
              <w:rPr>
                <w:rFonts w:asciiTheme="minorEastAsia" w:hAnsiTheme="minorEastAsia" w:eastAsiaTheme="minorEastAsia" w:cstheme="minorEastAsia"/>
                <w:color w:val="auto"/>
                <w:szCs w:val="21"/>
              </w:rPr>
            </w:pPr>
          </w:p>
        </w:tc>
        <w:tc>
          <w:tcPr>
            <w:tcW w:w="639" w:type="dxa"/>
            <w:vAlign w:val="center"/>
          </w:tcPr>
          <w:p>
            <w:pPr>
              <w:adjustRightInd w:val="0"/>
              <w:snapToGrid w:val="0"/>
              <w:spacing w:line="360" w:lineRule="auto"/>
              <w:jc w:val="center"/>
              <w:rPr>
                <w:rFonts w:asciiTheme="minorEastAsia" w:hAnsiTheme="minorEastAsia" w:eastAsiaTheme="minorEastAsia" w:cstheme="minorEastAsia"/>
                <w:color w:val="auto"/>
                <w:szCs w:val="21"/>
              </w:rPr>
            </w:pPr>
          </w:p>
        </w:tc>
        <w:tc>
          <w:tcPr>
            <w:tcW w:w="1383" w:type="dxa"/>
            <w:vAlign w:val="center"/>
          </w:tcPr>
          <w:p>
            <w:pPr>
              <w:adjustRightInd w:val="0"/>
              <w:snapToGrid w:val="0"/>
              <w:spacing w:line="360" w:lineRule="auto"/>
              <w:jc w:val="center"/>
              <w:rPr>
                <w:rFonts w:asciiTheme="minorEastAsia" w:hAnsiTheme="minorEastAsia" w:eastAsiaTheme="minorEastAsia" w:cstheme="minorEastAsia"/>
                <w:color w:val="auto"/>
                <w:szCs w:val="21"/>
              </w:rPr>
            </w:pPr>
          </w:p>
        </w:tc>
        <w:tc>
          <w:tcPr>
            <w:tcW w:w="1304" w:type="dxa"/>
            <w:vAlign w:val="center"/>
          </w:tcPr>
          <w:p>
            <w:pPr>
              <w:adjustRightInd w:val="0"/>
              <w:snapToGrid w:val="0"/>
              <w:spacing w:line="360" w:lineRule="auto"/>
              <w:jc w:val="center"/>
              <w:rPr>
                <w:rFonts w:asciiTheme="minorEastAsia" w:hAnsiTheme="minorEastAsia" w:eastAsiaTheme="minorEastAsia" w:cstheme="minorEastAsia"/>
                <w:color w:val="auto"/>
                <w:szCs w:val="21"/>
              </w:rPr>
            </w:pPr>
          </w:p>
        </w:tc>
        <w:tc>
          <w:tcPr>
            <w:tcW w:w="1349" w:type="dxa"/>
            <w:vAlign w:val="center"/>
          </w:tcPr>
          <w:p>
            <w:pPr>
              <w:adjustRightInd w:val="0"/>
              <w:snapToGrid w:val="0"/>
              <w:spacing w:line="360" w:lineRule="auto"/>
              <w:jc w:val="center"/>
              <w:rPr>
                <w:rFonts w:asciiTheme="minorEastAsia" w:hAnsiTheme="minorEastAsia" w:eastAsiaTheme="minorEastAsia" w:cstheme="minorEastAsia"/>
                <w:color w:val="auto"/>
                <w:szCs w:val="21"/>
              </w:rPr>
            </w:pPr>
          </w:p>
        </w:tc>
      </w:tr>
    </w:tbl>
    <w:p>
      <w:pPr>
        <w:spacing w:before="100" w:beforeAutospacing="1" w:after="100" w:afterAutospacing="1"/>
        <w:jc w:val="left"/>
        <w:rPr>
          <w:rFonts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（2）环保产品：</w:t>
      </w:r>
    </w:p>
    <w:tbl>
      <w:tblPr>
        <w:tblStyle w:val="26"/>
        <w:tblW w:w="928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46"/>
        <w:gridCol w:w="1306"/>
        <w:gridCol w:w="1613"/>
        <w:gridCol w:w="849"/>
        <w:gridCol w:w="849"/>
        <w:gridCol w:w="849"/>
        <w:gridCol w:w="1487"/>
        <w:gridCol w:w="138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9" w:hRule="atLeast"/>
        </w:trPr>
        <w:tc>
          <w:tcPr>
            <w:tcW w:w="946" w:type="dxa"/>
            <w:vAlign w:val="center"/>
          </w:tcPr>
          <w:p>
            <w:pPr>
              <w:adjustRightInd w:val="0"/>
              <w:snapToGrid w:val="0"/>
              <w:spacing w:line="360" w:lineRule="auto"/>
              <w:jc w:val="center"/>
              <w:rPr>
                <w:rFonts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序号</w:t>
            </w:r>
          </w:p>
        </w:tc>
        <w:tc>
          <w:tcPr>
            <w:tcW w:w="1306" w:type="dxa"/>
            <w:vAlign w:val="center"/>
          </w:tcPr>
          <w:p>
            <w:pPr>
              <w:adjustRightInd w:val="0"/>
              <w:snapToGrid w:val="0"/>
              <w:spacing w:line="360" w:lineRule="auto"/>
              <w:jc w:val="center"/>
              <w:rPr>
                <w:rFonts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设备名称</w:t>
            </w:r>
          </w:p>
        </w:tc>
        <w:tc>
          <w:tcPr>
            <w:tcW w:w="1613" w:type="dxa"/>
            <w:vAlign w:val="center"/>
          </w:tcPr>
          <w:p>
            <w:pPr>
              <w:adjustRightInd w:val="0"/>
              <w:snapToGrid w:val="0"/>
              <w:spacing w:line="360" w:lineRule="auto"/>
              <w:jc w:val="center"/>
              <w:rPr>
                <w:rFonts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制造商名称</w:t>
            </w:r>
          </w:p>
        </w:tc>
        <w:tc>
          <w:tcPr>
            <w:tcW w:w="849" w:type="dxa"/>
            <w:vAlign w:val="center"/>
          </w:tcPr>
          <w:p>
            <w:pPr>
              <w:adjustRightInd w:val="0"/>
              <w:snapToGrid w:val="0"/>
              <w:spacing w:line="360" w:lineRule="auto"/>
              <w:jc w:val="center"/>
              <w:rPr>
                <w:rFonts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品牌</w:t>
            </w:r>
          </w:p>
        </w:tc>
        <w:tc>
          <w:tcPr>
            <w:tcW w:w="849" w:type="dxa"/>
            <w:vAlign w:val="center"/>
          </w:tcPr>
          <w:p>
            <w:pPr>
              <w:adjustRightInd w:val="0"/>
              <w:snapToGrid w:val="0"/>
              <w:spacing w:line="360" w:lineRule="auto"/>
              <w:jc w:val="center"/>
              <w:rPr>
                <w:rFonts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型号</w:t>
            </w:r>
          </w:p>
        </w:tc>
        <w:tc>
          <w:tcPr>
            <w:tcW w:w="849" w:type="dxa"/>
            <w:vAlign w:val="center"/>
          </w:tcPr>
          <w:p>
            <w:pPr>
              <w:adjustRightInd w:val="0"/>
              <w:snapToGrid w:val="0"/>
              <w:spacing w:line="360" w:lineRule="auto"/>
              <w:jc w:val="center"/>
              <w:rPr>
                <w:rFonts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数量</w:t>
            </w:r>
          </w:p>
        </w:tc>
        <w:tc>
          <w:tcPr>
            <w:tcW w:w="1487" w:type="dxa"/>
            <w:vAlign w:val="center"/>
          </w:tcPr>
          <w:p>
            <w:pPr>
              <w:adjustRightInd w:val="0"/>
              <w:snapToGrid w:val="0"/>
              <w:spacing w:line="360" w:lineRule="auto"/>
              <w:jc w:val="center"/>
              <w:rPr>
                <w:rFonts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单价（万元）</w:t>
            </w:r>
          </w:p>
        </w:tc>
        <w:tc>
          <w:tcPr>
            <w:tcW w:w="1389" w:type="dxa"/>
            <w:vAlign w:val="center"/>
          </w:tcPr>
          <w:p>
            <w:pPr>
              <w:adjustRightInd w:val="0"/>
              <w:snapToGrid w:val="0"/>
              <w:spacing w:line="360" w:lineRule="auto"/>
              <w:jc w:val="center"/>
              <w:rPr>
                <w:rFonts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总价（万元）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9" w:hRule="atLeast"/>
        </w:trPr>
        <w:tc>
          <w:tcPr>
            <w:tcW w:w="946" w:type="dxa"/>
            <w:vAlign w:val="center"/>
          </w:tcPr>
          <w:p>
            <w:pPr>
              <w:adjustRightInd w:val="0"/>
              <w:snapToGrid w:val="0"/>
              <w:spacing w:line="360" w:lineRule="auto"/>
              <w:jc w:val="center"/>
              <w:rPr>
                <w:rFonts w:asciiTheme="minorEastAsia" w:hAnsiTheme="minorEastAsia" w:eastAsiaTheme="minorEastAsia" w:cstheme="minorEastAsia"/>
                <w:color w:val="auto"/>
                <w:szCs w:val="21"/>
              </w:rPr>
            </w:pPr>
          </w:p>
        </w:tc>
        <w:tc>
          <w:tcPr>
            <w:tcW w:w="1306" w:type="dxa"/>
            <w:vAlign w:val="center"/>
          </w:tcPr>
          <w:p>
            <w:pPr>
              <w:adjustRightInd w:val="0"/>
              <w:snapToGrid w:val="0"/>
              <w:spacing w:line="360" w:lineRule="auto"/>
              <w:jc w:val="center"/>
              <w:rPr>
                <w:rFonts w:asciiTheme="minorEastAsia" w:hAnsiTheme="minorEastAsia" w:eastAsiaTheme="minorEastAsia" w:cstheme="minorEastAsia"/>
                <w:color w:val="auto"/>
                <w:szCs w:val="21"/>
              </w:rPr>
            </w:pPr>
          </w:p>
        </w:tc>
        <w:tc>
          <w:tcPr>
            <w:tcW w:w="1613" w:type="dxa"/>
            <w:vAlign w:val="center"/>
          </w:tcPr>
          <w:p>
            <w:pPr>
              <w:adjustRightInd w:val="0"/>
              <w:snapToGrid w:val="0"/>
              <w:spacing w:line="360" w:lineRule="auto"/>
              <w:jc w:val="center"/>
              <w:rPr>
                <w:rFonts w:asciiTheme="minorEastAsia" w:hAnsiTheme="minorEastAsia" w:eastAsiaTheme="minorEastAsia" w:cstheme="minorEastAsia"/>
                <w:color w:val="auto"/>
                <w:szCs w:val="21"/>
              </w:rPr>
            </w:pPr>
          </w:p>
        </w:tc>
        <w:tc>
          <w:tcPr>
            <w:tcW w:w="849" w:type="dxa"/>
            <w:vAlign w:val="center"/>
          </w:tcPr>
          <w:p>
            <w:pPr>
              <w:adjustRightInd w:val="0"/>
              <w:snapToGrid w:val="0"/>
              <w:spacing w:line="360" w:lineRule="auto"/>
              <w:jc w:val="center"/>
              <w:rPr>
                <w:rFonts w:asciiTheme="minorEastAsia" w:hAnsiTheme="minorEastAsia" w:eastAsiaTheme="minorEastAsia" w:cstheme="minorEastAsia"/>
                <w:color w:val="auto"/>
                <w:szCs w:val="21"/>
              </w:rPr>
            </w:pPr>
          </w:p>
        </w:tc>
        <w:tc>
          <w:tcPr>
            <w:tcW w:w="849" w:type="dxa"/>
            <w:vAlign w:val="center"/>
          </w:tcPr>
          <w:p>
            <w:pPr>
              <w:adjustRightInd w:val="0"/>
              <w:snapToGrid w:val="0"/>
              <w:spacing w:line="360" w:lineRule="auto"/>
              <w:jc w:val="center"/>
              <w:rPr>
                <w:rFonts w:asciiTheme="minorEastAsia" w:hAnsiTheme="minorEastAsia" w:eastAsiaTheme="minorEastAsia" w:cstheme="minorEastAsia"/>
                <w:color w:val="auto"/>
                <w:szCs w:val="21"/>
              </w:rPr>
            </w:pPr>
          </w:p>
        </w:tc>
        <w:tc>
          <w:tcPr>
            <w:tcW w:w="849" w:type="dxa"/>
            <w:vAlign w:val="center"/>
          </w:tcPr>
          <w:p>
            <w:pPr>
              <w:adjustRightInd w:val="0"/>
              <w:snapToGrid w:val="0"/>
              <w:spacing w:line="360" w:lineRule="auto"/>
              <w:jc w:val="center"/>
              <w:rPr>
                <w:rFonts w:asciiTheme="minorEastAsia" w:hAnsiTheme="minorEastAsia" w:eastAsiaTheme="minorEastAsia" w:cstheme="minorEastAsia"/>
                <w:color w:val="auto"/>
                <w:szCs w:val="21"/>
              </w:rPr>
            </w:pPr>
          </w:p>
        </w:tc>
        <w:tc>
          <w:tcPr>
            <w:tcW w:w="1487" w:type="dxa"/>
            <w:vAlign w:val="center"/>
          </w:tcPr>
          <w:p>
            <w:pPr>
              <w:adjustRightInd w:val="0"/>
              <w:snapToGrid w:val="0"/>
              <w:spacing w:line="360" w:lineRule="auto"/>
              <w:jc w:val="center"/>
              <w:rPr>
                <w:rFonts w:asciiTheme="minorEastAsia" w:hAnsiTheme="minorEastAsia" w:eastAsiaTheme="minorEastAsia" w:cstheme="minorEastAsia"/>
                <w:color w:val="auto"/>
                <w:szCs w:val="21"/>
              </w:rPr>
            </w:pPr>
          </w:p>
        </w:tc>
        <w:tc>
          <w:tcPr>
            <w:tcW w:w="1389" w:type="dxa"/>
            <w:vAlign w:val="center"/>
          </w:tcPr>
          <w:p>
            <w:pPr>
              <w:adjustRightInd w:val="0"/>
              <w:snapToGrid w:val="0"/>
              <w:spacing w:line="360" w:lineRule="auto"/>
              <w:jc w:val="center"/>
              <w:rPr>
                <w:rFonts w:asciiTheme="minorEastAsia" w:hAnsiTheme="minorEastAsia" w:eastAsiaTheme="minorEastAsia" w:cstheme="minorEastAsia"/>
                <w:color w:val="auto"/>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9" w:hRule="atLeast"/>
        </w:trPr>
        <w:tc>
          <w:tcPr>
            <w:tcW w:w="946" w:type="dxa"/>
            <w:vAlign w:val="center"/>
          </w:tcPr>
          <w:p>
            <w:pPr>
              <w:adjustRightInd w:val="0"/>
              <w:snapToGrid w:val="0"/>
              <w:spacing w:line="360" w:lineRule="auto"/>
              <w:jc w:val="center"/>
              <w:rPr>
                <w:rFonts w:asciiTheme="minorEastAsia" w:hAnsiTheme="minorEastAsia" w:eastAsiaTheme="minorEastAsia" w:cstheme="minorEastAsia"/>
                <w:color w:val="auto"/>
                <w:szCs w:val="21"/>
              </w:rPr>
            </w:pPr>
          </w:p>
        </w:tc>
        <w:tc>
          <w:tcPr>
            <w:tcW w:w="1306" w:type="dxa"/>
            <w:vAlign w:val="center"/>
          </w:tcPr>
          <w:p>
            <w:pPr>
              <w:adjustRightInd w:val="0"/>
              <w:snapToGrid w:val="0"/>
              <w:spacing w:line="360" w:lineRule="auto"/>
              <w:jc w:val="center"/>
              <w:rPr>
                <w:rFonts w:asciiTheme="minorEastAsia" w:hAnsiTheme="minorEastAsia" w:eastAsiaTheme="minorEastAsia" w:cstheme="minorEastAsia"/>
                <w:color w:val="auto"/>
                <w:szCs w:val="21"/>
              </w:rPr>
            </w:pPr>
          </w:p>
        </w:tc>
        <w:tc>
          <w:tcPr>
            <w:tcW w:w="1613" w:type="dxa"/>
            <w:vAlign w:val="center"/>
          </w:tcPr>
          <w:p>
            <w:pPr>
              <w:adjustRightInd w:val="0"/>
              <w:snapToGrid w:val="0"/>
              <w:spacing w:line="360" w:lineRule="auto"/>
              <w:jc w:val="center"/>
              <w:rPr>
                <w:rFonts w:asciiTheme="minorEastAsia" w:hAnsiTheme="minorEastAsia" w:eastAsiaTheme="minorEastAsia" w:cstheme="minorEastAsia"/>
                <w:color w:val="auto"/>
                <w:szCs w:val="21"/>
              </w:rPr>
            </w:pPr>
          </w:p>
        </w:tc>
        <w:tc>
          <w:tcPr>
            <w:tcW w:w="849" w:type="dxa"/>
            <w:vAlign w:val="center"/>
          </w:tcPr>
          <w:p>
            <w:pPr>
              <w:adjustRightInd w:val="0"/>
              <w:snapToGrid w:val="0"/>
              <w:spacing w:line="360" w:lineRule="auto"/>
              <w:jc w:val="center"/>
              <w:rPr>
                <w:rFonts w:asciiTheme="minorEastAsia" w:hAnsiTheme="minorEastAsia" w:eastAsiaTheme="minorEastAsia" w:cstheme="minorEastAsia"/>
                <w:color w:val="auto"/>
                <w:szCs w:val="21"/>
              </w:rPr>
            </w:pPr>
          </w:p>
        </w:tc>
        <w:tc>
          <w:tcPr>
            <w:tcW w:w="849" w:type="dxa"/>
            <w:vAlign w:val="center"/>
          </w:tcPr>
          <w:p>
            <w:pPr>
              <w:adjustRightInd w:val="0"/>
              <w:snapToGrid w:val="0"/>
              <w:spacing w:line="360" w:lineRule="auto"/>
              <w:jc w:val="center"/>
              <w:rPr>
                <w:rFonts w:asciiTheme="minorEastAsia" w:hAnsiTheme="minorEastAsia" w:eastAsiaTheme="minorEastAsia" w:cstheme="minorEastAsia"/>
                <w:color w:val="auto"/>
                <w:szCs w:val="21"/>
              </w:rPr>
            </w:pPr>
          </w:p>
        </w:tc>
        <w:tc>
          <w:tcPr>
            <w:tcW w:w="849" w:type="dxa"/>
            <w:vAlign w:val="center"/>
          </w:tcPr>
          <w:p>
            <w:pPr>
              <w:adjustRightInd w:val="0"/>
              <w:snapToGrid w:val="0"/>
              <w:spacing w:line="360" w:lineRule="auto"/>
              <w:jc w:val="center"/>
              <w:rPr>
                <w:rFonts w:asciiTheme="minorEastAsia" w:hAnsiTheme="minorEastAsia" w:eastAsiaTheme="minorEastAsia" w:cstheme="minorEastAsia"/>
                <w:color w:val="auto"/>
                <w:szCs w:val="21"/>
              </w:rPr>
            </w:pPr>
          </w:p>
        </w:tc>
        <w:tc>
          <w:tcPr>
            <w:tcW w:w="1487" w:type="dxa"/>
            <w:vAlign w:val="center"/>
          </w:tcPr>
          <w:p>
            <w:pPr>
              <w:adjustRightInd w:val="0"/>
              <w:snapToGrid w:val="0"/>
              <w:spacing w:line="360" w:lineRule="auto"/>
              <w:jc w:val="center"/>
              <w:rPr>
                <w:rFonts w:asciiTheme="minorEastAsia" w:hAnsiTheme="minorEastAsia" w:eastAsiaTheme="minorEastAsia" w:cstheme="minorEastAsia"/>
                <w:color w:val="auto"/>
                <w:szCs w:val="21"/>
              </w:rPr>
            </w:pPr>
          </w:p>
        </w:tc>
        <w:tc>
          <w:tcPr>
            <w:tcW w:w="1389" w:type="dxa"/>
            <w:vAlign w:val="center"/>
          </w:tcPr>
          <w:p>
            <w:pPr>
              <w:adjustRightInd w:val="0"/>
              <w:snapToGrid w:val="0"/>
              <w:spacing w:line="360" w:lineRule="auto"/>
              <w:jc w:val="center"/>
              <w:rPr>
                <w:rFonts w:asciiTheme="minorEastAsia" w:hAnsiTheme="minorEastAsia" w:eastAsiaTheme="minorEastAsia" w:cstheme="minorEastAsia"/>
                <w:color w:val="auto"/>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9" w:hRule="atLeast"/>
        </w:trPr>
        <w:tc>
          <w:tcPr>
            <w:tcW w:w="946" w:type="dxa"/>
            <w:vAlign w:val="center"/>
          </w:tcPr>
          <w:p>
            <w:pPr>
              <w:adjustRightInd w:val="0"/>
              <w:snapToGrid w:val="0"/>
              <w:spacing w:line="360" w:lineRule="auto"/>
              <w:jc w:val="center"/>
              <w:rPr>
                <w:rFonts w:asciiTheme="minorEastAsia" w:hAnsiTheme="minorEastAsia" w:eastAsiaTheme="minorEastAsia" w:cstheme="minorEastAsia"/>
                <w:color w:val="auto"/>
                <w:szCs w:val="21"/>
              </w:rPr>
            </w:pPr>
          </w:p>
        </w:tc>
        <w:tc>
          <w:tcPr>
            <w:tcW w:w="1306" w:type="dxa"/>
            <w:vAlign w:val="center"/>
          </w:tcPr>
          <w:p>
            <w:pPr>
              <w:adjustRightInd w:val="0"/>
              <w:snapToGrid w:val="0"/>
              <w:spacing w:line="360" w:lineRule="auto"/>
              <w:jc w:val="center"/>
              <w:rPr>
                <w:rFonts w:asciiTheme="minorEastAsia" w:hAnsiTheme="minorEastAsia" w:eastAsiaTheme="minorEastAsia" w:cstheme="minorEastAsia"/>
                <w:color w:val="auto"/>
                <w:szCs w:val="21"/>
              </w:rPr>
            </w:pPr>
          </w:p>
        </w:tc>
        <w:tc>
          <w:tcPr>
            <w:tcW w:w="1613" w:type="dxa"/>
            <w:vAlign w:val="center"/>
          </w:tcPr>
          <w:p>
            <w:pPr>
              <w:adjustRightInd w:val="0"/>
              <w:snapToGrid w:val="0"/>
              <w:spacing w:line="360" w:lineRule="auto"/>
              <w:jc w:val="center"/>
              <w:rPr>
                <w:rFonts w:asciiTheme="minorEastAsia" w:hAnsiTheme="minorEastAsia" w:eastAsiaTheme="minorEastAsia" w:cstheme="minorEastAsia"/>
                <w:color w:val="auto"/>
                <w:szCs w:val="21"/>
              </w:rPr>
            </w:pPr>
          </w:p>
        </w:tc>
        <w:tc>
          <w:tcPr>
            <w:tcW w:w="849" w:type="dxa"/>
            <w:vAlign w:val="center"/>
          </w:tcPr>
          <w:p>
            <w:pPr>
              <w:adjustRightInd w:val="0"/>
              <w:snapToGrid w:val="0"/>
              <w:spacing w:line="360" w:lineRule="auto"/>
              <w:jc w:val="center"/>
              <w:rPr>
                <w:rFonts w:asciiTheme="minorEastAsia" w:hAnsiTheme="minorEastAsia" w:eastAsiaTheme="minorEastAsia" w:cstheme="minorEastAsia"/>
                <w:color w:val="auto"/>
                <w:szCs w:val="21"/>
              </w:rPr>
            </w:pPr>
          </w:p>
        </w:tc>
        <w:tc>
          <w:tcPr>
            <w:tcW w:w="849" w:type="dxa"/>
            <w:vAlign w:val="center"/>
          </w:tcPr>
          <w:p>
            <w:pPr>
              <w:adjustRightInd w:val="0"/>
              <w:snapToGrid w:val="0"/>
              <w:spacing w:line="360" w:lineRule="auto"/>
              <w:jc w:val="center"/>
              <w:rPr>
                <w:rFonts w:asciiTheme="minorEastAsia" w:hAnsiTheme="minorEastAsia" w:eastAsiaTheme="minorEastAsia" w:cstheme="minorEastAsia"/>
                <w:color w:val="auto"/>
                <w:szCs w:val="21"/>
              </w:rPr>
            </w:pPr>
          </w:p>
        </w:tc>
        <w:tc>
          <w:tcPr>
            <w:tcW w:w="849" w:type="dxa"/>
            <w:vAlign w:val="center"/>
          </w:tcPr>
          <w:p>
            <w:pPr>
              <w:adjustRightInd w:val="0"/>
              <w:snapToGrid w:val="0"/>
              <w:spacing w:line="360" w:lineRule="auto"/>
              <w:jc w:val="center"/>
              <w:rPr>
                <w:rFonts w:asciiTheme="minorEastAsia" w:hAnsiTheme="minorEastAsia" w:eastAsiaTheme="minorEastAsia" w:cstheme="minorEastAsia"/>
                <w:color w:val="auto"/>
                <w:szCs w:val="21"/>
              </w:rPr>
            </w:pPr>
          </w:p>
        </w:tc>
        <w:tc>
          <w:tcPr>
            <w:tcW w:w="1487" w:type="dxa"/>
            <w:vAlign w:val="center"/>
          </w:tcPr>
          <w:p>
            <w:pPr>
              <w:adjustRightInd w:val="0"/>
              <w:snapToGrid w:val="0"/>
              <w:spacing w:line="360" w:lineRule="auto"/>
              <w:jc w:val="center"/>
              <w:rPr>
                <w:rFonts w:asciiTheme="minorEastAsia" w:hAnsiTheme="minorEastAsia" w:eastAsiaTheme="minorEastAsia" w:cstheme="minorEastAsia"/>
                <w:color w:val="auto"/>
                <w:szCs w:val="21"/>
              </w:rPr>
            </w:pPr>
          </w:p>
        </w:tc>
        <w:tc>
          <w:tcPr>
            <w:tcW w:w="1389" w:type="dxa"/>
            <w:vAlign w:val="center"/>
          </w:tcPr>
          <w:p>
            <w:pPr>
              <w:adjustRightInd w:val="0"/>
              <w:snapToGrid w:val="0"/>
              <w:spacing w:line="360" w:lineRule="auto"/>
              <w:jc w:val="center"/>
              <w:rPr>
                <w:rFonts w:asciiTheme="minorEastAsia" w:hAnsiTheme="minorEastAsia" w:eastAsiaTheme="minorEastAsia" w:cstheme="minorEastAsia"/>
                <w:color w:val="auto"/>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0" w:hRule="atLeast"/>
        </w:trPr>
        <w:tc>
          <w:tcPr>
            <w:tcW w:w="946" w:type="dxa"/>
            <w:vAlign w:val="center"/>
          </w:tcPr>
          <w:p>
            <w:pPr>
              <w:adjustRightInd w:val="0"/>
              <w:snapToGrid w:val="0"/>
              <w:spacing w:line="360" w:lineRule="auto"/>
              <w:jc w:val="center"/>
              <w:rPr>
                <w:rFonts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w:t>
            </w:r>
          </w:p>
        </w:tc>
        <w:tc>
          <w:tcPr>
            <w:tcW w:w="1306" w:type="dxa"/>
            <w:vAlign w:val="center"/>
          </w:tcPr>
          <w:p>
            <w:pPr>
              <w:adjustRightInd w:val="0"/>
              <w:snapToGrid w:val="0"/>
              <w:spacing w:line="360" w:lineRule="auto"/>
              <w:jc w:val="center"/>
              <w:rPr>
                <w:rFonts w:asciiTheme="minorEastAsia" w:hAnsiTheme="minorEastAsia" w:eastAsiaTheme="minorEastAsia" w:cstheme="minorEastAsia"/>
                <w:color w:val="auto"/>
                <w:szCs w:val="21"/>
              </w:rPr>
            </w:pPr>
          </w:p>
        </w:tc>
        <w:tc>
          <w:tcPr>
            <w:tcW w:w="1613" w:type="dxa"/>
            <w:vAlign w:val="center"/>
          </w:tcPr>
          <w:p>
            <w:pPr>
              <w:adjustRightInd w:val="0"/>
              <w:snapToGrid w:val="0"/>
              <w:spacing w:line="360" w:lineRule="auto"/>
              <w:jc w:val="center"/>
              <w:rPr>
                <w:rFonts w:asciiTheme="minorEastAsia" w:hAnsiTheme="minorEastAsia" w:eastAsiaTheme="minorEastAsia" w:cstheme="minorEastAsia"/>
                <w:color w:val="auto"/>
                <w:szCs w:val="21"/>
              </w:rPr>
            </w:pPr>
          </w:p>
        </w:tc>
        <w:tc>
          <w:tcPr>
            <w:tcW w:w="849" w:type="dxa"/>
            <w:vAlign w:val="center"/>
          </w:tcPr>
          <w:p>
            <w:pPr>
              <w:adjustRightInd w:val="0"/>
              <w:snapToGrid w:val="0"/>
              <w:spacing w:line="360" w:lineRule="auto"/>
              <w:jc w:val="center"/>
              <w:rPr>
                <w:rFonts w:asciiTheme="minorEastAsia" w:hAnsiTheme="minorEastAsia" w:eastAsiaTheme="minorEastAsia" w:cstheme="minorEastAsia"/>
                <w:color w:val="auto"/>
                <w:szCs w:val="21"/>
              </w:rPr>
            </w:pPr>
          </w:p>
        </w:tc>
        <w:tc>
          <w:tcPr>
            <w:tcW w:w="849" w:type="dxa"/>
            <w:vAlign w:val="center"/>
          </w:tcPr>
          <w:p>
            <w:pPr>
              <w:adjustRightInd w:val="0"/>
              <w:snapToGrid w:val="0"/>
              <w:spacing w:line="360" w:lineRule="auto"/>
              <w:jc w:val="center"/>
              <w:rPr>
                <w:rFonts w:asciiTheme="minorEastAsia" w:hAnsiTheme="minorEastAsia" w:eastAsiaTheme="minorEastAsia" w:cstheme="minorEastAsia"/>
                <w:color w:val="auto"/>
                <w:szCs w:val="21"/>
              </w:rPr>
            </w:pPr>
          </w:p>
        </w:tc>
        <w:tc>
          <w:tcPr>
            <w:tcW w:w="849" w:type="dxa"/>
            <w:vAlign w:val="center"/>
          </w:tcPr>
          <w:p>
            <w:pPr>
              <w:adjustRightInd w:val="0"/>
              <w:snapToGrid w:val="0"/>
              <w:spacing w:line="360" w:lineRule="auto"/>
              <w:jc w:val="center"/>
              <w:rPr>
                <w:rFonts w:asciiTheme="minorEastAsia" w:hAnsiTheme="minorEastAsia" w:eastAsiaTheme="minorEastAsia" w:cstheme="minorEastAsia"/>
                <w:color w:val="auto"/>
                <w:szCs w:val="21"/>
              </w:rPr>
            </w:pPr>
          </w:p>
        </w:tc>
        <w:tc>
          <w:tcPr>
            <w:tcW w:w="1487" w:type="dxa"/>
            <w:vAlign w:val="center"/>
          </w:tcPr>
          <w:p>
            <w:pPr>
              <w:adjustRightInd w:val="0"/>
              <w:snapToGrid w:val="0"/>
              <w:spacing w:line="360" w:lineRule="auto"/>
              <w:jc w:val="center"/>
              <w:rPr>
                <w:rFonts w:asciiTheme="minorEastAsia" w:hAnsiTheme="minorEastAsia" w:eastAsiaTheme="minorEastAsia" w:cstheme="minorEastAsia"/>
                <w:color w:val="auto"/>
                <w:szCs w:val="21"/>
              </w:rPr>
            </w:pPr>
          </w:p>
        </w:tc>
        <w:tc>
          <w:tcPr>
            <w:tcW w:w="1389" w:type="dxa"/>
            <w:vAlign w:val="center"/>
          </w:tcPr>
          <w:p>
            <w:pPr>
              <w:adjustRightInd w:val="0"/>
              <w:snapToGrid w:val="0"/>
              <w:spacing w:line="360" w:lineRule="auto"/>
              <w:jc w:val="center"/>
              <w:rPr>
                <w:rFonts w:asciiTheme="minorEastAsia" w:hAnsiTheme="minorEastAsia" w:eastAsiaTheme="minorEastAsia" w:cstheme="minorEastAsia"/>
                <w:color w:val="auto"/>
                <w:szCs w:val="21"/>
              </w:rPr>
            </w:pPr>
          </w:p>
        </w:tc>
      </w:tr>
    </w:tbl>
    <w:p>
      <w:pPr>
        <w:spacing w:before="100" w:beforeAutospacing="1" w:after="100" w:afterAutospacing="1" w:line="360" w:lineRule="auto"/>
        <w:rPr>
          <w:rFonts w:asciiTheme="minorEastAsia" w:hAnsiTheme="minorEastAsia" w:eastAsiaTheme="minorEastAsia" w:cstheme="minorEastAsia"/>
          <w:bCs/>
          <w:color w:val="auto"/>
          <w:szCs w:val="21"/>
          <w:u w:val="single"/>
        </w:rPr>
      </w:pPr>
      <w:r>
        <w:rPr>
          <w:rFonts w:hint="eastAsia" w:asciiTheme="minorEastAsia" w:hAnsiTheme="minorEastAsia" w:eastAsiaTheme="minorEastAsia" w:cstheme="minorEastAsia"/>
          <w:color w:val="auto"/>
          <w:szCs w:val="21"/>
        </w:rPr>
        <w:t>注：供应商所提供产品如为节能环保产品，则应按本磋商文件第四章“政策支持”提供相关证明材料，并将节能、环保产品分别列入上表中，未填写本表或未提供有效认证证书的不给予价格扣除。</w:t>
      </w:r>
      <w:r>
        <w:rPr>
          <w:rFonts w:hint="eastAsia" w:asciiTheme="minorEastAsia" w:hAnsiTheme="minorEastAsia" w:eastAsiaTheme="minorEastAsia" w:cstheme="minorEastAsia"/>
          <w:color w:val="auto"/>
          <w:szCs w:val="21"/>
        </w:rPr>
        <w:br w:type="textWrapping"/>
      </w:r>
      <w:r>
        <w:rPr>
          <w:rFonts w:hint="eastAsia" w:asciiTheme="minorEastAsia" w:hAnsiTheme="minorEastAsia" w:eastAsiaTheme="minorEastAsia" w:cstheme="minorEastAsia"/>
          <w:color w:val="auto"/>
          <w:szCs w:val="21"/>
        </w:rPr>
        <w:br w:type="textWrapping"/>
      </w:r>
    </w:p>
    <w:p>
      <w:pPr>
        <w:spacing w:before="100" w:beforeAutospacing="1" w:after="100" w:afterAutospacing="1"/>
        <w:jc w:val="left"/>
        <w:rPr>
          <w:rFonts w:asciiTheme="minorEastAsia" w:hAnsiTheme="minorEastAsia" w:eastAsiaTheme="minorEastAsia" w:cstheme="minorEastAsia"/>
          <w:color w:val="auto"/>
          <w:szCs w:val="21"/>
          <w:lang w:val="zh-CN"/>
        </w:rPr>
      </w:pPr>
      <w:r>
        <w:rPr>
          <w:rFonts w:hint="eastAsia" w:asciiTheme="minorEastAsia" w:hAnsiTheme="minorEastAsia" w:eastAsiaTheme="minorEastAsia" w:cstheme="minorEastAsia"/>
          <w:color w:val="auto"/>
          <w:szCs w:val="21"/>
          <w:lang w:val="zh-CN"/>
        </w:rPr>
        <w:t xml:space="preserve">磋商供应商授权代表（签字）：                        </w:t>
      </w:r>
    </w:p>
    <w:p>
      <w:pPr>
        <w:spacing w:before="100" w:beforeAutospacing="1" w:after="100" w:afterAutospacing="1"/>
        <w:jc w:val="left"/>
        <w:rPr>
          <w:rFonts w:asciiTheme="minorEastAsia" w:hAnsiTheme="minorEastAsia" w:eastAsiaTheme="minorEastAsia" w:cstheme="minorEastAsia"/>
          <w:color w:val="auto"/>
          <w:szCs w:val="21"/>
          <w:lang w:val="zh-CN"/>
        </w:rPr>
      </w:pPr>
      <w:r>
        <w:rPr>
          <w:rFonts w:hint="eastAsia" w:asciiTheme="minorEastAsia" w:hAnsiTheme="minorEastAsia" w:eastAsiaTheme="minorEastAsia" w:cstheme="minorEastAsia"/>
          <w:color w:val="auto"/>
          <w:szCs w:val="21"/>
          <w:lang w:val="zh-CN"/>
        </w:rPr>
        <w:t>磋商供应商名称（</w:t>
      </w:r>
      <w:r>
        <w:rPr>
          <w:rFonts w:hint="eastAsia" w:asciiTheme="minorEastAsia" w:hAnsiTheme="minorEastAsia" w:eastAsiaTheme="minorEastAsia" w:cstheme="minorEastAsia"/>
          <w:color w:val="auto"/>
          <w:szCs w:val="21"/>
        </w:rPr>
        <w:t>盖章</w:t>
      </w:r>
      <w:r>
        <w:rPr>
          <w:rFonts w:hint="eastAsia" w:asciiTheme="minorEastAsia" w:hAnsiTheme="minorEastAsia" w:eastAsiaTheme="minorEastAsia" w:cstheme="minorEastAsia"/>
          <w:color w:val="auto"/>
          <w:szCs w:val="21"/>
          <w:lang w:val="zh-CN"/>
        </w:rPr>
        <w:t xml:space="preserve">）：                                     </w:t>
      </w:r>
    </w:p>
    <w:p>
      <w:pPr>
        <w:spacing w:before="100" w:beforeAutospacing="1" w:after="100" w:afterAutospacing="1" w:line="360" w:lineRule="auto"/>
        <w:rPr>
          <w:rFonts w:asciiTheme="minorEastAsia" w:hAnsiTheme="minorEastAsia" w:eastAsiaTheme="minorEastAsia" w:cstheme="minorEastAsia"/>
          <w:bCs/>
          <w:color w:val="auto"/>
          <w:szCs w:val="21"/>
          <w:u w:val="single"/>
        </w:rPr>
      </w:pPr>
      <w:r>
        <w:rPr>
          <w:rFonts w:hint="eastAsia" w:asciiTheme="minorEastAsia" w:hAnsiTheme="minorEastAsia" w:eastAsiaTheme="minorEastAsia" w:cstheme="minorEastAsia"/>
          <w:color w:val="auto"/>
          <w:szCs w:val="21"/>
          <w:lang w:val="zh-CN"/>
        </w:rPr>
        <w:t>时                 间：           年          月          日</w:t>
      </w:r>
      <w:r>
        <w:rPr>
          <w:rFonts w:hint="eastAsia" w:asciiTheme="minorEastAsia" w:hAnsiTheme="minorEastAsia" w:eastAsiaTheme="minorEastAsia" w:cstheme="minorEastAsia"/>
          <w:color w:val="auto"/>
          <w:szCs w:val="21"/>
        </w:rPr>
        <w:t xml:space="preserve"> </w:t>
      </w:r>
    </w:p>
    <w:p>
      <w:pPr>
        <w:spacing w:before="100" w:beforeAutospacing="1" w:after="100" w:afterAutospacing="1" w:line="360" w:lineRule="auto"/>
        <w:rPr>
          <w:rFonts w:asciiTheme="minorEastAsia" w:hAnsiTheme="minorEastAsia" w:eastAsiaTheme="minorEastAsia" w:cstheme="minorEastAsia"/>
          <w:color w:val="auto"/>
          <w:szCs w:val="21"/>
        </w:rPr>
      </w:pPr>
      <w:r>
        <w:rPr>
          <w:rFonts w:hint="eastAsia" w:asciiTheme="minorEastAsia" w:hAnsiTheme="minorEastAsia" w:eastAsiaTheme="minorEastAsia" w:cstheme="minorEastAsia"/>
          <w:bCs/>
          <w:color w:val="auto"/>
          <w:szCs w:val="21"/>
          <w:u w:val="single"/>
        </w:rPr>
        <w:br w:type="textWrapping"/>
      </w:r>
    </w:p>
    <w:p>
      <w:pPr>
        <w:adjustRightInd w:val="0"/>
        <w:snapToGrid w:val="0"/>
        <w:spacing w:line="360" w:lineRule="auto"/>
        <w:jc w:val="center"/>
        <w:outlineLvl w:val="1"/>
        <w:rPr>
          <w:rFonts w:asciiTheme="minorEastAsia" w:hAnsiTheme="minorEastAsia" w:eastAsiaTheme="minorEastAsia" w:cstheme="minorEastAsia"/>
          <w:b/>
          <w:color w:val="auto"/>
        </w:rPr>
      </w:pPr>
      <w:bookmarkStart w:id="237" w:name="_Toc12167"/>
      <w:r>
        <w:rPr>
          <w:rFonts w:hint="eastAsia" w:asciiTheme="minorEastAsia" w:hAnsiTheme="minorEastAsia" w:eastAsiaTheme="minorEastAsia" w:cstheme="minorEastAsia"/>
          <w:b/>
          <w:bCs/>
          <w:color w:val="auto"/>
          <w:spacing w:val="6"/>
          <w:szCs w:val="21"/>
        </w:rPr>
        <w:t>二十、</w:t>
      </w:r>
      <w:r>
        <w:rPr>
          <w:rFonts w:hint="eastAsia" w:asciiTheme="minorEastAsia" w:hAnsiTheme="minorEastAsia" w:eastAsiaTheme="minorEastAsia" w:cstheme="minorEastAsia"/>
          <w:b/>
          <w:color w:val="auto"/>
        </w:rPr>
        <w:t>无重大违法记录声明</w:t>
      </w:r>
      <w:bookmarkEnd w:id="230"/>
      <w:bookmarkEnd w:id="231"/>
      <w:bookmarkEnd w:id="232"/>
      <w:bookmarkEnd w:id="233"/>
      <w:bookmarkEnd w:id="234"/>
      <w:bookmarkEnd w:id="237"/>
    </w:p>
    <w:p>
      <w:pPr>
        <w:spacing w:line="480" w:lineRule="auto"/>
        <w:jc w:val="center"/>
        <w:rPr>
          <w:rFonts w:asciiTheme="minorEastAsia" w:hAnsiTheme="minorEastAsia" w:eastAsiaTheme="minorEastAsia" w:cstheme="minorEastAsia"/>
          <w:b/>
          <w:bCs/>
          <w:color w:val="auto"/>
          <w:kern w:val="0"/>
          <w:sz w:val="24"/>
        </w:rPr>
      </w:pPr>
      <w:r>
        <w:rPr>
          <w:rFonts w:hint="eastAsia" w:asciiTheme="minorEastAsia" w:hAnsiTheme="minorEastAsia" w:eastAsiaTheme="minorEastAsia" w:cstheme="minorEastAsia"/>
          <w:b/>
          <w:bCs/>
          <w:color w:val="auto"/>
          <w:kern w:val="0"/>
          <w:sz w:val="24"/>
        </w:rPr>
        <w:t>（磋商供应商应在此基础上，根据本单位实际情况进行声明）</w:t>
      </w:r>
    </w:p>
    <w:p>
      <w:pPr>
        <w:spacing w:line="480" w:lineRule="auto"/>
        <w:rPr>
          <w:rFonts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kern w:val="0"/>
          <w:szCs w:val="21"/>
        </w:rPr>
        <w:t>采购人和采购代理机构：</w:t>
      </w:r>
    </w:p>
    <w:p>
      <w:pPr>
        <w:spacing w:line="480" w:lineRule="auto"/>
        <w:ind w:firstLine="420" w:firstLineChars="200"/>
        <w:rPr>
          <w:rFonts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kern w:val="0"/>
          <w:szCs w:val="21"/>
        </w:rPr>
        <w:t>我方在此声明，我方在参加本</w:t>
      </w:r>
      <w:r>
        <w:rPr>
          <w:rFonts w:hint="eastAsia" w:asciiTheme="minorEastAsia" w:hAnsiTheme="minorEastAsia" w:eastAsiaTheme="minorEastAsia" w:cstheme="minorEastAsia"/>
          <w:color w:val="auto"/>
          <w:kern w:val="0"/>
          <w:szCs w:val="21"/>
          <w:shd w:val="clear" w:color="auto" w:fill="FFFFFF"/>
        </w:rPr>
        <w:t>次政府采购活动前三年内，在经营活动中没有以下重大违法记录：</w:t>
      </w:r>
    </w:p>
    <w:p>
      <w:pPr>
        <w:spacing w:line="480" w:lineRule="auto"/>
        <w:rPr>
          <w:rFonts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kern w:val="0"/>
          <w:szCs w:val="21"/>
          <w:shd w:val="clear" w:color="auto" w:fill="FFFFFF"/>
        </w:rPr>
        <w:t>1.我方因违法经营被追究过刑事责任；</w:t>
      </w:r>
    </w:p>
    <w:p>
      <w:pPr>
        <w:spacing w:line="480" w:lineRule="auto"/>
        <w:rPr>
          <w:rFonts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kern w:val="0"/>
          <w:szCs w:val="21"/>
          <w:shd w:val="clear" w:color="auto" w:fill="FFFFFF"/>
        </w:rPr>
        <w:t>2.我方因违法经营被责令停产停业、吊销许可证或者执照；</w:t>
      </w:r>
    </w:p>
    <w:p>
      <w:pPr>
        <w:spacing w:line="480" w:lineRule="auto"/>
        <w:rPr>
          <w:rFonts w:asciiTheme="minorEastAsia" w:hAnsiTheme="minorEastAsia" w:eastAsiaTheme="minorEastAsia" w:cstheme="minorEastAsia"/>
          <w:color w:val="auto"/>
          <w:kern w:val="0"/>
          <w:szCs w:val="21"/>
          <w:shd w:val="clear" w:color="auto" w:fill="FFFFFF"/>
        </w:rPr>
      </w:pPr>
      <w:r>
        <w:rPr>
          <w:rFonts w:hint="eastAsia" w:asciiTheme="minorEastAsia" w:hAnsiTheme="minorEastAsia" w:eastAsiaTheme="minorEastAsia" w:cstheme="minorEastAsia"/>
          <w:color w:val="auto"/>
          <w:kern w:val="0"/>
          <w:szCs w:val="21"/>
          <w:shd w:val="clear" w:color="auto" w:fill="FFFFFF"/>
        </w:rPr>
        <w:t>3.我方因违法经营被处以较大数额罚款等行政处罚；</w:t>
      </w:r>
    </w:p>
    <w:p>
      <w:pPr>
        <w:spacing w:line="480" w:lineRule="auto"/>
        <w:rPr>
          <w:rFonts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kern w:val="0"/>
          <w:szCs w:val="21"/>
          <w:shd w:val="clear" w:color="auto" w:fill="FFFFFF"/>
        </w:rPr>
        <w:t>4.不良经济纠纷记录和违法行为。</w:t>
      </w:r>
    </w:p>
    <w:p>
      <w:pPr>
        <w:spacing w:line="480" w:lineRule="auto"/>
        <w:ind w:firstLine="420" w:firstLineChars="200"/>
        <w:rPr>
          <w:rFonts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kern w:val="0"/>
          <w:szCs w:val="21"/>
          <w:shd w:val="clear" w:color="auto" w:fill="FFFFFF"/>
        </w:rPr>
        <w:t>随本声明附上我方参加本次政府采购活动前3年内发生的诉讼及仲裁情况表以及相关的法律证明文件供贵方核验。我方保证上述信息的完整、客观、真实、准确，并愿意承担我方因提供虚假材料谋骗取中标、成交所引起的一切法律后果。</w:t>
      </w:r>
    </w:p>
    <w:p>
      <w:pPr>
        <w:spacing w:line="480" w:lineRule="auto"/>
        <w:ind w:firstLine="420" w:firstLineChars="200"/>
        <w:rPr>
          <w:rFonts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kern w:val="0"/>
          <w:szCs w:val="21"/>
          <w:shd w:val="clear" w:color="auto" w:fill="FFFFFF"/>
        </w:rPr>
        <w:t>特此声明！</w:t>
      </w:r>
    </w:p>
    <w:p>
      <w:pPr>
        <w:spacing w:line="480" w:lineRule="auto"/>
        <w:rPr>
          <w:rFonts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kern w:val="0"/>
          <w:szCs w:val="21"/>
          <w:shd w:val="clear" w:color="auto" w:fill="FFFFFF"/>
        </w:rPr>
        <w:t> </w:t>
      </w:r>
    </w:p>
    <w:p>
      <w:pPr>
        <w:spacing w:line="480" w:lineRule="auto"/>
        <w:rPr>
          <w:rFonts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kern w:val="0"/>
          <w:szCs w:val="21"/>
          <w:shd w:val="clear" w:color="auto" w:fill="FFFFFF"/>
        </w:rPr>
        <w:t> </w:t>
      </w:r>
    </w:p>
    <w:p>
      <w:pPr>
        <w:spacing w:before="100" w:beforeAutospacing="1" w:after="100" w:afterAutospacing="1"/>
        <w:jc w:val="left"/>
        <w:rPr>
          <w:rFonts w:asciiTheme="minorEastAsia" w:hAnsiTheme="minorEastAsia" w:eastAsiaTheme="minorEastAsia" w:cstheme="minorEastAsia"/>
          <w:color w:val="auto"/>
          <w:szCs w:val="21"/>
          <w:lang w:val="zh-CN"/>
        </w:rPr>
      </w:pPr>
      <w:r>
        <w:rPr>
          <w:rFonts w:hint="eastAsia" w:asciiTheme="minorEastAsia" w:hAnsiTheme="minorEastAsia" w:eastAsiaTheme="minorEastAsia" w:cstheme="minorEastAsia"/>
          <w:color w:val="auto"/>
          <w:szCs w:val="21"/>
          <w:lang w:val="zh-CN"/>
        </w:rPr>
        <w:t>磋商供应商法定代表人（签字）：</w:t>
      </w:r>
    </w:p>
    <w:p>
      <w:pPr>
        <w:spacing w:before="100" w:beforeAutospacing="1" w:after="100" w:afterAutospacing="1"/>
        <w:jc w:val="left"/>
        <w:rPr>
          <w:rFonts w:asciiTheme="minorEastAsia" w:hAnsiTheme="minorEastAsia" w:eastAsiaTheme="minorEastAsia" w:cstheme="minorEastAsia"/>
          <w:color w:val="auto"/>
          <w:szCs w:val="21"/>
          <w:lang w:val="zh-CN"/>
        </w:rPr>
      </w:pPr>
      <w:r>
        <w:rPr>
          <w:rFonts w:hint="eastAsia" w:asciiTheme="minorEastAsia" w:hAnsiTheme="minorEastAsia" w:eastAsiaTheme="minorEastAsia" w:cstheme="minorEastAsia"/>
          <w:color w:val="auto"/>
          <w:szCs w:val="21"/>
          <w:lang w:val="zh-CN"/>
        </w:rPr>
        <w:t xml:space="preserve">磋商供应商授权代表（签字）：                        </w:t>
      </w:r>
    </w:p>
    <w:p>
      <w:pPr>
        <w:spacing w:before="100" w:beforeAutospacing="1" w:after="100" w:afterAutospacing="1"/>
        <w:jc w:val="left"/>
        <w:rPr>
          <w:rFonts w:asciiTheme="minorEastAsia" w:hAnsiTheme="minorEastAsia" w:eastAsiaTheme="minorEastAsia" w:cstheme="minorEastAsia"/>
          <w:color w:val="auto"/>
          <w:szCs w:val="21"/>
          <w:lang w:val="zh-CN"/>
        </w:rPr>
      </w:pPr>
      <w:r>
        <w:rPr>
          <w:rFonts w:hint="eastAsia" w:asciiTheme="minorEastAsia" w:hAnsiTheme="minorEastAsia" w:eastAsiaTheme="minorEastAsia" w:cstheme="minorEastAsia"/>
          <w:color w:val="auto"/>
          <w:szCs w:val="21"/>
          <w:lang w:val="zh-CN"/>
        </w:rPr>
        <w:t>磋商供应商名称（</w:t>
      </w:r>
      <w:r>
        <w:rPr>
          <w:rFonts w:hint="eastAsia" w:asciiTheme="minorEastAsia" w:hAnsiTheme="minorEastAsia" w:eastAsiaTheme="minorEastAsia" w:cstheme="minorEastAsia"/>
          <w:color w:val="auto"/>
          <w:szCs w:val="21"/>
        </w:rPr>
        <w:t>盖章</w:t>
      </w:r>
      <w:r>
        <w:rPr>
          <w:rFonts w:hint="eastAsia" w:asciiTheme="minorEastAsia" w:hAnsiTheme="minorEastAsia" w:eastAsiaTheme="minorEastAsia" w:cstheme="minorEastAsia"/>
          <w:color w:val="auto"/>
          <w:szCs w:val="21"/>
          <w:lang w:val="zh-CN"/>
        </w:rPr>
        <w:t xml:space="preserve">）：                                     </w:t>
      </w:r>
    </w:p>
    <w:p>
      <w:pPr>
        <w:spacing w:line="360" w:lineRule="auto"/>
        <w:rPr>
          <w:rFonts w:asciiTheme="minorEastAsia" w:hAnsiTheme="minorEastAsia" w:eastAsiaTheme="minorEastAsia" w:cstheme="minorEastAsia"/>
          <w:color w:val="auto"/>
          <w:kern w:val="0"/>
          <w:szCs w:val="21"/>
          <w:shd w:val="clear" w:color="auto" w:fill="FFFFFF"/>
        </w:rPr>
      </w:pPr>
      <w:r>
        <w:rPr>
          <w:rFonts w:hint="eastAsia" w:asciiTheme="minorEastAsia" w:hAnsiTheme="minorEastAsia" w:eastAsiaTheme="minorEastAsia" w:cstheme="minorEastAsia"/>
          <w:color w:val="auto"/>
          <w:szCs w:val="21"/>
          <w:lang w:val="zh-CN"/>
        </w:rPr>
        <w:t>时                 间：           年          月          日</w:t>
      </w:r>
      <w:r>
        <w:rPr>
          <w:rFonts w:hint="eastAsia" w:asciiTheme="minorEastAsia" w:hAnsiTheme="minorEastAsia" w:eastAsiaTheme="minorEastAsia" w:cstheme="minorEastAsia"/>
          <w:color w:val="auto"/>
          <w:szCs w:val="21"/>
        </w:rPr>
        <w:t xml:space="preserve"> </w:t>
      </w:r>
    </w:p>
    <w:p>
      <w:pPr>
        <w:spacing w:line="360" w:lineRule="auto"/>
        <w:ind w:firstLine="420" w:firstLineChars="200"/>
        <w:rPr>
          <w:rFonts w:asciiTheme="minorEastAsia" w:hAnsiTheme="minorEastAsia" w:eastAsiaTheme="minorEastAsia" w:cstheme="minorEastAsia"/>
          <w:color w:val="auto"/>
          <w:kern w:val="0"/>
          <w:szCs w:val="21"/>
          <w:shd w:val="clear" w:color="auto" w:fill="FFFFFF"/>
        </w:rPr>
      </w:pPr>
      <w:r>
        <w:rPr>
          <w:rFonts w:hint="eastAsia" w:asciiTheme="minorEastAsia" w:hAnsiTheme="minorEastAsia" w:eastAsiaTheme="minorEastAsia" w:cstheme="minorEastAsia"/>
          <w:color w:val="auto"/>
          <w:kern w:val="0"/>
          <w:szCs w:val="21"/>
          <w:shd w:val="clear" w:color="auto" w:fill="FFFFFF"/>
        </w:rPr>
        <w:t>注：发生的诉讼和仲裁情况仅限于供应商败诉的，且与经营活动有关的案件，不包括调解结案的案件。与经营活动有关，但尚未裁决或终审判决的案件请单独另附《情况说明》（说明内容：案件当事人、基本案情）。</w:t>
      </w:r>
      <w:r>
        <w:rPr>
          <w:rFonts w:hint="eastAsia" w:asciiTheme="minorEastAsia" w:hAnsiTheme="minorEastAsia" w:eastAsiaTheme="minorEastAsia" w:cstheme="minorEastAsia"/>
          <w:color w:val="auto"/>
          <w:kern w:val="0"/>
          <w:szCs w:val="21"/>
          <w:shd w:val="clear" w:color="auto" w:fill="FFFFFF"/>
        </w:rPr>
        <w:br w:type="textWrapping"/>
      </w:r>
    </w:p>
    <w:p>
      <w:pPr>
        <w:jc w:val="center"/>
        <w:outlineLvl w:val="1"/>
        <w:rPr>
          <w:rFonts w:asciiTheme="minorEastAsia" w:hAnsiTheme="minorEastAsia" w:eastAsiaTheme="minorEastAsia" w:cstheme="minorEastAsia"/>
          <w:color w:val="auto"/>
          <w:spacing w:val="6"/>
          <w:szCs w:val="21"/>
        </w:rPr>
      </w:pPr>
      <w:bookmarkStart w:id="238" w:name="_Toc10829"/>
      <w:bookmarkStart w:id="239" w:name="_Toc16157"/>
      <w:r>
        <w:rPr>
          <w:rFonts w:hint="eastAsia" w:asciiTheme="minorEastAsia" w:hAnsiTheme="minorEastAsia" w:eastAsiaTheme="minorEastAsia" w:cstheme="minorEastAsia"/>
          <w:color w:val="auto"/>
          <w:kern w:val="0"/>
          <w:szCs w:val="21"/>
          <w:shd w:val="clear" w:color="auto" w:fill="FFFFFF"/>
        </w:rPr>
        <w:br w:type="textWrapping"/>
      </w:r>
      <w:r>
        <w:rPr>
          <w:rFonts w:hint="eastAsia" w:asciiTheme="minorEastAsia" w:hAnsiTheme="minorEastAsia" w:eastAsiaTheme="minorEastAsia" w:cstheme="minorEastAsia"/>
          <w:b/>
          <w:bCs/>
          <w:color w:val="auto"/>
          <w:kern w:val="0"/>
          <w:szCs w:val="21"/>
          <w:shd w:val="clear" w:color="auto" w:fill="FFFFFF"/>
        </w:rPr>
        <w:t>二十一、磋商供应商认为应该提交的其它文件（格式自拟）</w:t>
      </w:r>
      <w:bookmarkEnd w:id="238"/>
      <w:r>
        <w:rPr>
          <w:rFonts w:hint="eastAsia" w:asciiTheme="minorEastAsia" w:hAnsiTheme="minorEastAsia" w:eastAsiaTheme="minorEastAsia" w:cstheme="minorEastAsia"/>
          <w:b/>
          <w:bCs/>
          <w:color w:val="auto"/>
          <w:kern w:val="0"/>
          <w:szCs w:val="21"/>
          <w:shd w:val="clear" w:color="auto" w:fill="FFFFFF"/>
        </w:rPr>
        <w:br w:type="textWrapping"/>
      </w:r>
      <w:bookmarkEnd w:id="239"/>
    </w:p>
    <w:tbl>
      <w:tblPr>
        <w:tblStyle w:val="26"/>
        <w:tblW w:w="5484" w:type="pct"/>
        <w:tblInd w:w="-466" w:type="dxa"/>
        <w:tblLayout w:type="fixed"/>
        <w:tblCellMar>
          <w:top w:w="0" w:type="dxa"/>
          <w:left w:w="0" w:type="dxa"/>
          <w:bottom w:w="0" w:type="dxa"/>
          <w:right w:w="0" w:type="dxa"/>
        </w:tblCellMar>
      </w:tblPr>
      <w:tblGrid>
        <w:gridCol w:w="1163"/>
        <w:gridCol w:w="662"/>
        <w:gridCol w:w="760"/>
        <w:gridCol w:w="819"/>
        <w:gridCol w:w="665"/>
        <w:gridCol w:w="783"/>
        <w:gridCol w:w="783"/>
        <w:gridCol w:w="657"/>
        <w:gridCol w:w="767"/>
        <w:gridCol w:w="747"/>
        <w:gridCol w:w="793"/>
        <w:gridCol w:w="685"/>
        <w:gridCol w:w="699"/>
      </w:tblGrid>
      <w:tr>
        <w:tblPrEx>
          <w:tblCellMar>
            <w:top w:w="0" w:type="dxa"/>
            <w:left w:w="0" w:type="dxa"/>
            <w:bottom w:w="0" w:type="dxa"/>
            <w:right w:w="0" w:type="dxa"/>
          </w:tblCellMar>
        </w:tblPrEx>
        <w:trPr>
          <w:trHeight w:val="720" w:hRule="atLeast"/>
          <w:tblHeader/>
        </w:trPr>
        <w:tc>
          <w:tcPr>
            <w:tcW w:w="5000" w:type="pct"/>
            <w:gridSpan w:val="13"/>
            <w:tcBorders>
              <w:top w:val="nil"/>
              <w:left w:val="nil"/>
              <w:bottom w:val="nil"/>
              <w:right w:val="nil"/>
            </w:tcBorders>
            <w:shd w:val="clear" w:color="auto" w:fill="auto"/>
            <w:noWrap/>
            <w:tcMar>
              <w:top w:w="15" w:type="dxa"/>
              <w:left w:w="15" w:type="dxa"/>
              <w:right w:w="15" w:type="dxa"/>
            </w:tcMar>
            <w:vAlign w:val="center"/>
          </w:tcPr>
          <w:p>
            <w:pPr>
              <w:widowControl/>
              <w:jc w:val="center"/>
              <w:textAlignment w:val="center"/>
              <w:rPr>
                <w:rFonts w:ascii="黑体" w:hAnsi="宋体" w:eastAsia="黑体" w:cs="黑体"/>
                <w:b/>
                <w:color w:val="auto"/>
                <w:sz w:val="40"/>
                <w:szCs w:val="40"/>
              </w:rPr>
            </w:pPr>
            <w:r>
              <w:rPr>
                <w:rFonts w:hint="eastAsia" w:ascii="黑体" w:hAnsi="宋体" w:eastAsia="黑体" w:cs="黑体"/>
                <w:b/>
                <w:color w:val="auto"/>
                <w:kern w:val="0"/>
                <w:sz w:val="40"/>
                <w:szCs w:val="40"/>
                <w:lang w:bidi="ar"/>
              </w:rPr>
              <w:t>中小企业划型标准规定（工信部联企业[2011]300号）</w:t>
            </w:r>
          </w:p>
        </w:tc>
      </w:tr>
      <w:tr>
        <w:tblPrEx>
          <w:tblCellMar>
            <w:top w:w="0" w:type="dxa"/>
            <w:left w:w="0" w:type="dxa"/>
            <w:bottom w:w="0" w:type="dxa"/>
            <w:right w:w="0" w:type="dxa"/>
          </w:tblCellMar>
        </w:tblPrEx>
        <w:trPr>
          <w:trHeight w:val="270" w:hRule="atLeast"/>
          <w:tblHeader/>
        </w:trPr>
        <w:tc>
          <w:tcPr>
            <w:tcW w:w="583" w:type="pct"/>
            <w:vMerge w:val="restart"/>
            <w:tcBorders>
              <w:top w:val="single" w:color="000000" w:sz="8" w:space="0"/>
              <w:left w:val="single" w:color="000000" w:sz="8" w:space="0"/>
              <w:bottom w:val="single" w:color="000000" w:sz="4" w:space="0"/>
              <w:right w:val="single" w:color="000000" w:sz="4" w:space="0"/>
            </w:tcBorders>
            <w:shd w:val="clear" w:color="auto" w:fill="auto"/>
            <w:tcMar>
              <w:top w:w="15" w:type="dxa"/>
              <w:left w:w="15" w:type="dxa"/>
              <w:right w:w="15" w:type="dxa"/>
            </w:tcMar>
            <w:vAlign w:val="center"/>
          </w:tcPr>
          <w:p>
            <w:pPr>
              <w:widowControl/>
              <w:jc w:val="center"/>
              <w:textAlignment w:val="center"/>
              <w:rPr>
                <w:rFonts w:ascii="宋体" w:hAnsi="宋体" w:cs="宋体"/>
                <w:color w:val="auto"/>
                <w:szCs w:val="21"/>
              </w:rPr>
            </w:pPr>
            <w:r>
              <w:rPr>
                <w:rFonts w:hint="eastAsia" w:ascii="宋体" w:hAnsi="宋体" w:cs="宋体"/>
                <w:color w:val="auto"/>
                <w:kern w:val="0"/>
                <w:szCs w:val="21"/>
                <w:lang w:bidi="ar"/>
              </w:rPr>
              <w:t>行业</w:t>
            </w:r>
          </w:p>
        </w:tc>
        <w:tc>
          <w:tcPr>
            <w:tcW w:w="1123" w:type="pct"/>
            <w:gridSpan w:val="3"/>
            <w:tcBorders>
              <w:top w:val="single" w:color="000000" w:sz="8"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center"/>
              <w:textAlignment w:val="center"/>
              <w:rPr>
                <w:rFonts w:ascii="宋体" w:hAnsi="宋体" w:cs="宋体"/>
                <w:color w:val="auto"/>
                <w:szCs w:val="21"/>
              </w:rPr>
            </w:pPr>
            <w:r>
              <w:rPr>
                <w:rFonts w:hint="eastAsia" w:ascii="宋体" w:hAnsi="宋体" w:cs="宋体"/>
                <w:color w:val="auto"/>
                <w:kern w:val="0"/>
                <w:szCs w:val="21"/>
                <w:lang w:bidi="ar"/>
              </w:rPr>
              <w:t>中小微型企业（</w:t>
            </w:r>
            <w:r>
              <w:rPr>
                <w:rFonts w:hint="eastAsia" w:ascii="宋体" w:hAnsi="宋体" w:cs="宋体"/>
                <w:b/>
                <w:color w:val="auto"/>
                <w:kern w:val="0"/>
                <w:szCs w:val="21"/>
                <w:lang w:bidi="ar"/>
              </w:rPr>
              <w:t>或</w:t>
            </w:r>
            <w:r>
              <w:rPr>
                <w:rFonts w:hint="eastAsia" w:ascii="宋体" w:hAnsi="宋体" w:cs="宋体"/>
                <w:color w:val="auto"/>
                <w:kern w:val="0"/>
                <w:szCs w:val="21"/>
                <w:lang w:bidi="ar"/>
              </w:rPr>
              <w:t>）</w:t>
            </w:r>
          </w:p>
        </w:tc>
        <w:tc>
          <w:tcPr>
            <w:tcW w:w="1117" w:type="pct"/>
            <w:gridSpan w:val="3"/>
            <w:tcBorders>
              <w:top w:val="single" w:color="000000" w:sz="8"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center"/>
              <w:textAlignment w:val="center"/>
              <w:rPr>
                <w:rFonts w:ascii="宋体" w:hAnsi="宋体" w:cs="宋体"/>
                <w:color w:val="auto"/>
                <w:szCs w:val="21"/>
              </w:rPr>
            </w:pPr>
            <w:r>
              <w:rPr>
                <w:rFonts w:hint="eastAsia" w:ascii="宋体" w:hAnsi="宋体" w:cs="宋体"/>
                <w:color w:val="auto"/>
                <w:kern w:val="0"/>
                <w:szCs w:val="21"/>
                <w:lang w:bidi="ar"/>
              </w:rPr>
              <w:t>中型企业（</w:t>
            </w:r>
            <w:r>
              <w:rPr>
                <w:rFonts w:hint="eastAsia" w:ascii="宋体" w:hAnsi="宋体" w:cs="宋体"/>
                <w:b/>
                <w:color w:val="auto"/>
                <w:kern w:val="0"/>
                <w:szCs w:val="21"/>
                <w:lang w:bidi="ar"/>
              </w:rPr>
              <w:t>且</w:t>
            </w:r>
            <w:r>
              <w:rPr>
                <w:rFonts w:hint="eastAsia" w:ascii="宋体" w:hAnsi="宋体" w:cs="宋体"/>
                <w:color w:val="auto"/>
                <w:kern w:val="0"/>
                <w:szCs w:val="21"/>
                <w:lang w:bidi="ar"/>
              </w:rPr>
              <w:t>）</w:t>
            </w:r>
          </w:p>
        </w:tc>
        <w:tc>
          <w:tcPr>
            <w:tcW w:w="1087" w:type="pct"/>
            <w:gridSpan w:val="3"/>
            <w:tcBorders>
              <w:top w:val="single" w:color="000000" w:sz="8"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center"/>
              <w:textAlignment w:val="center"/>
              <w:rPr>
                <w:rFonts w:ascii="宋体" w:hAnsi="宋体" w:cs="宋体"/>
                <w:color w:val="auto"/>
                <w:szCs w:val="21"/>
              </w:rPr>
            </w:pPr>
            <w:r>
              <w:rPr>
                <w:rFonts w:hint="eastAsia" w:ascii="宋体" w:hAnsi="宋体" w:cs="宋体"/>
                <w:color w:val="auto"/>
                <w:kern w:val="0"/>
                <w:szCs w:val="21"/>
                <w:lang w:bidi="ar"/>
              </w:rPr>
              <w:t>小型企业（</w:t>
            </w:r>
            <w:r>
              <w:rPr>
                <w:rFonts w:hint="eastAsia" w:ascii="宋体" w:hAnsi="宋体" w:cs="宋体"/>
                <w:b/>
                <w:color w:val="auto"/>
                <w:kern w:val="0"/>
                <w:szCs w:val="21"/>
                <w:lang w:bidi="ar"/>
              </w:rPr>
              <w:t>且</w:t>
            </w:r>
            <w:r>
              <w:rPr>
                <w:rFonts w:hint="eastAsia" w:ascii="宋体" w:hAnsi="宋体" w:cs="宋体"/>
                <w:color w:val="auto"/>
                <w:kern w:val="0"/>
                <w:szCs w:val="21"/>
                <w:lang w:bidi="ar"/>
              </w:rPr>
              <w:t>）</w:t>
            </w:r>
          </w:p>
        </w:tc>
        <w:tc>
          <w:tcPr>
            <w:tcW w:w="1088" w:type="pct"/>
            <w:gridSpan w:val="3"/>
            <w:tcBorders>
              <w:top w:val="single" w:color="000000" w:sz="8"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center"/>
              <w:textAlignment w:val="center"/>
              <w:rPr>
                <w:rFonts w:ascii="宋体" w:hAnsi="宋体" w:cs="宋体"/>
                <w:color w:val="auto"/>
                <w:szCs w:val="21"/>
              </w:rPr>
            </w:pPr>
            <w:r>
              <w:rPr>
                <w:rFonts w:hint="eastAsia" w:ascii="宋体" w:hAnsi="宋体" w:cs="宋体"/>
                <w:color w:val="auto"/>
                <w:kern w:val="0"/>
                <w:szCs w:val="21"/>
                <w:lang w:bidi="ar"/>
              </w:rPr>
              <w:t>微型企业（</w:t>
            </w:r>
            <w:r>
              <w:rPr>
                <w:rFonts w:hint="eastAsia" w:ascii="宋体" w:hAnsi="宋体" w:cs="宋体"/>
                <w:b/>
                <w:color w:val="auto"/>
                <w:kern w:val="0"/>
                <w:szCs w:val="21"/>
                <w:lang w:bidi="ar"/>
              </w:rPr>
              <w:t>或</w:t>
            </w:r>
            <w:r>
              <w:rPr>
                <w:rFonts w:hint="eastAsia" w:ascii="宋体" w:hAnsi="宋体" w:cs="宋体"/>
                <w:color w:val="auto"/>
                <w:kern w:val="0"/>
                <w:szCs w:val="21"/>
                <w:lang w:bidi="ar"/>
              </w:rPr>
              <w:t>）</w:t>
            </w:r>
          </w:p>
        </w:tc>
      </w:tr>
      <w:tr>
        <w:tblPrEx>
          <w:tblCellMar>
            <w:top w:w="0" w:type="dxa"/>
            <w:left w:w="0" w:type="dxa"/>
            <w:bottom w:w="0" w:type="dxa"/>
            <w:right w:w="0" w:type="dxa"/>
          </w:tblCellMar>
        </w:tblPrEx>
        <w:trPr>
          <w:trHeight w:val="270" w:hRule="atLeast"/>
          <w:tblHeader/>
        </w:trPr>
        <w:tc>
          <w:tcPr>
            <w:tcW w:w="583" w:type="pct"/>
            <w:vMerge w:val="continue"/>
            <w:tcBorders>
              <w:top w:val="single" w:color="000000" w:sz="8" w:space="0"/>
              <w:left w:val="single" w:color="000000" w:sz="8" w:space="0"/>
              <w:bottom w:val="single" w:color="000000" w:sz="4" w:space="0"/>
              <w:right w:val="single" w:color="000000" w:sz="4" w:space="0"/>
            </w:tcBorders>
            <w:shd w:val="clear" w:color="auto" w:fill="auto"/>
            <w:tcMar>
              <w:top w:w="15" w:type="dxa"/>
              <w:left w:w="15" w:type="dxa"/>
              <w:right w:w="15" w:type="dxa"/>
            </w:tcMar>
            <w:vAlign w:val="center"/>
          </w:tcPr>
          <w:p>
            <w:pPr>
              <w:jc w:val="center"/>
              <w:rPr>
                <w:rFonts w:ascii="宋体" w:hAnsi="宋体" w:cs="宋体"/>
                <w:color w:val="auto"/>
                <w:szCs w:val="21"/>
              </w:rPr>
            </w:pPr>
          </w:p>
        </w:tc>
        <w:tc>
          <w:tcPr>
            <w:tcW w:w="332"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center"/>
              <w:textAlignment w:val="center"/>
              <w:rPr>
                <w:rFonts w:ascii="宋体" w:hAnsi="宋体" w:cs="宋体"/>
                <w:color w:val="auto"/>
                <w:szCs w:val="21"/>
              </w:rPr>
            </w:pPr>
            <w:r>
              <w:rPr>
                <w:rFonts w:hint="eastAsia" w:ascii="宋体" w:hAnsi="宋体" w:cs="宋体"/>
                <w:color w:val="auto"/>
                <w:kern w:val="0"/>
                <w:szCs w:val="21"/>
                <w:lang w:bidi="ar"/>
              </w:rPr>
              <w:t>从业人员</w:t>
            </w:r>
          </w:p>
        </w:tc>
        <w:tc>
          <w:tcPr>
            <w:tcW w:w="381"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center"/>
              <w:textAlignment w:val="center"/>
              <w:rPr>
                <w:rFonts w:ascii="宋体" w:hAnsi="宋体" w:cs="宋体"/>
                <w:color w:val="auto"/>
                <w:szCs w:val="21"/>
              </w:rPr>
            </w:pPr>
            <w:r>
              <w:rPr>
                <w:rFonts w:hint="eastAsia" w:ascii="宋体" w:hAnsi="宋体" w:cs="宋体"/>
                <w:color w:val="auto"/>
                <w:kern w:val="0"/>
                <w:szCs w:val="21"/>
                <w:lang w:bidi="ar"/>
              </w:rPr>
              <w:t>营业收入</w:t>
            </w:r>
          </w:p>
        </w:tc>
        <w:tc>
          <w:tcPr>
            <w:tcW w:w="409"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center"/>
              <w:textAlignment w:val="center"/>
              <w:rPr>
                <w:rFonts w:ascii="宋体" w:hAnsi="宋体" w:cs="宋体"/>
                <w:color w:val="auto"/>
                <w:szCs w:val="21"/>
              </w:rPr>
            </w:pPr>
            <w:r>
              <w:rPr>
                <w:rFonts w:hint="eastAsia" w:ascii="宋体" w:hAnsi="宋体" w:cs="宋体"/>
                <w:color w:val="auto"/>
                <w:kern w:val="0"/>
                <w:szCs w:val="21"/>
                <w:lang w:bidi="ar"/>
              </w:rPr>
              <w:t>资产总额</w:t>
            </w:r>
          </w:p>
        </w:tc>
        <w:tc>
          <w:tcPr>
            <w:tcW w:w="333"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center"/>
              <w:textAlignment w:val="center"/>
              <w:rPr>
                <w:rFonts w:ascii="宋体" w:hAnsi="宋体" w:cs="宋体"/>
                <w:color w:val="auto"/>
                <w:szCs w:val="21"/>
              </w:rPr>
            </w:pPr>
            <w:r>
              <w:rPr>
                <w:rFonts w:hint="eastAsia" w:ascii="宋体" w:hAnsi="宋体" w:cs="宋体"/>
                <w:color w:val="auto"/>
                <w:kern w:val="0"/>
                <w:szCs w:val="21"/>
                <w:lang w:bidi="ar"/>
              </w:rPr>
              <w:t>从业人员</w:t>
            </w:r>
          </w:p>
        </w:tc>
        <w:tc>
          <w:tcPr>
            <w:tcW w:w="392"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center"/>
              <w:textAlignment w:val="center"/>
              <w:rPr>
                <w:rFonts w:ascii="宋体" w:hAnsi="宋体" w:cs="宋体"/>
                <w:color w:val="auto"/>
                <w:szCs w:val="21"/>
              </w:rPr>
            </w:pPr>
            <w:r>
              <w:rPr>
                <w:rFonts w:hint="eastAsia" w:ascii="宋体" w:hAnsi="宋体" w:cs="宋体"/>
                <w:color w:val="auto"/>
                <w:kern w:val="0"/>
                <w:szCs w:val="21"/>
                <w:lang w:bidi="ar"/>
              </w:rPr>
              <w:t>营业收入</w:t>
            </w:r>
          </w:p>
        </w:tc>
        <w:tc>
          <w:tcPr>
            <w:tcW w:w="391"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center"/>
              <w:textAlignment w:val="center"/>
              <w:rPr>
                <w:rFonts w:ascii="宋体" w:hAnsi="宋体" w:cs="宋体"/>
                <w:color w:val="auto"/>
                <w:szCs w:val="21"/>
              </w:rPr>
            </w:pPr>
            <w:r>
              <w:rPr>
                <w:rFonts w:hint="eastAsia" w:ascii="宋体" w:hAnsi="宋体" w:cs="宋体"/>
                <w:color w:val="auto"/>
                <w:kern w:val="0"/>
                <w:szCs w:val="21"/>
                <w:lang w:bidi="ar"/>
              </w:rPr>
              <w:t>资产总额</w:t>
            </w:r>
          </w:p>
        </w:tc>
        <w:tc>
          <w:tcPr>
            <w:tcW w:w="329"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center"/>
              <w:textAlignment w:val="center"/>
              <w:rPr>
                <w:rFonts w:ascii="宋体" w:hAnsi="宋体" w:cs="宋体"/>
                <w:color w:val="auto"/>
                <w:szCs w:val="21"/>
              </w:rPr>
            </w:pPr>
            <w:r>
              <w:rPr>
                <w:rFonts w:hint="eastAsia" w:ascii="宋体" w:hAnsi="宋体" w:cs="宋体"/>
                <w:color w:val="auto"/>
                <w:kern w:val="0"/>
                <w:szCs w:val="21"/>
                <w:lang w:bidi="ar"/>
              </w:rPr>
              <w:t>从业人员</w:t>
            </w:r>
          </w:p>
        </w:tc>
        <w:tc>
          <w:tcPr>
            <w:tcW w:w="384"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center"/>
              <w:textAlignment w:val="center"/>
              <w:rPr>
                <w:rFonts w:ascii="宋体" w:hAnsi="宋体" w:cs="宋体"/>
                <w:color w:val="auto"/>
                <w:szCs w:val="21"/>
              </w:rPr>
            </w:pPr>
            <w:r>
              <w:rPr>
                <w:rFonts w:hint="eastAsia" w:ascii="宋体" w:hAnsi="宋体" w:cs="宋体"/>
                <w:color w:val="auto"/>
                <w:kern w:val="0"/>
                <w:szCs w:val="21"/>
                <w:lang w:bidi="ar"/>
              </w:rPr>
              <w:t>营业收入</w:t>
            </w:r>
          </w:p>
        </w:tc>
        <w:tc>
          <w:tcPr>
            <w:tcW w:w="373"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center"/>
              <w:textAlignment w:val="center"/>
              <w:rPr>
                <w:rFonts w:ascii="宋体" w:hAnsi="宋体" w:cs="宋体"/>
                <w:color w:val="auto"/>
                <w:szCs w:val="21"/>
              </w:rPr>
            </w:pPr>
            <w:r>
              <w:rPr>
                <w:rFonts w:hint="eastAsia" w:ascii="宋体" w:hAnsi="宋体" w:cs="宋体"/>
                <w:color w:val="auto"/>
                <w:kern w:val="0"/>
                <w:szCs w:val="21"/>
                <w:lang w:bidi="ar"/>
              </w:rPr>
              <w:t>资产总额</w:t>
            </w:r>
          </w:p>
        </w:tc>
        <w:tc>
          <w:tcPr>
            <w:tcW w:w="397"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center"/>
              <w:textAlignment w:val="center"/>
              <w:rPr>
                <w:rFonts w:ascii="宋体" w:hAnsi="宋体" w:cs="宋体"/>
                <w:color w:val="auto"/>
                <w:szCs w:val="21"/>
              </w:rPr>
            </w:pPr>
            <w:r>
              <w:rPr>
                <w:rFonts w:hint="eastAsia" w:ascii="宋体" w:hAnsi="宋体" w:cs="宋体"/>
                <w:color w:val="auto"/>
                <w:kern w:val="0"/>
                <w:szCs w:val="21"/>
                <w:lang w:bidi="ar"/>
              </w:rPr>
              <w:t>从业人员</w:t>
            </w:r>
          </w:p>
        </w:tc>
        <w:tc>
          <w:tcPr>
            <w:tcW w:w="343"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center"/>
              <w:textAlignment w:val="center"/>
              <w:rPr>
                <w:rFonts w:ascii="宋体" w:hAnsi="宋体" w:cs="宋体"/>
                <w:color w:val="auto"/>
                <w:szCs w:val="21"/>
              </w:rPr>
            </w:pPr>
            <w:r>
              <w:rPr>
                <w:rFonts w:hint="eastAsia" w:ascii="宋体" w:hAnsi="宋体" w:cs="宋体"/>
                <w:color w:val="auto"/>
                <w:kern w:val="0"/>
                <w:szCs w:val="21"/>
                <w:lang w:bidi="ar"/>
              </w:rPr>
              <w:t>营业收入</w:t>
            </w:r>
          </w:p>
        </w:tc>
        <w:tc>
          <w:tcPr>
            <w:tcW w:w="347" w:type="pct"/>
            <w:tcBorders>
              <w:top w:val="single" w:color="000000" w:sz="4" w:space="0"/>
              <w:left w:val="single" w:color="000000" w:sz="4" w:space="0"/>
              <w:bottom w:val="single" w:color="000000" w:sz="4" w:space="0"/>
              <w:right w:val="single" w:color="000000" w:sz="8" w:space="0"/>
            </w:tcBorders>
            <w:shd w:val="clear" w:color="auto" w:fill="auto"/>
            <w:tcMar>
              <w:top w:w="15" w:type="dxa"/>
              <w:left w:w="15" w:type="dxa"/>
              <w:right w:w="15" w:type="dxa"/>
            </w:tcMar>
            <w:vAlign w:val="center"/>
          </w:tcPr>
          <w:p>
            <w:pPr>
              <w:widowControl/>
              <w:jc w:val="center"/>
              <w:textAlignment w:val="center"/>
              <w:rPr>
                <w:rFonts w:ascii="宋体" w:hAnsi="宋体" w:cs="宋体"/>
                <w:color w:val="auto"/>
                <w:szCs w:val="21"/>
              </w:rPr>
            </w:pPr>
            <w:r>
              <w:rPr>
                <w:rFonts w:hint="eastAsia" w:ascii="宋体" w:hAnsi="宋体" w:cs="宋体"/>
                <w:color w:val="auto"/>
                <w:kern w:val="0"/>
                <w:szCs w:val="21"/>
                <w:lang w:bidi="ar"/>
              </w:rPr>
              <w:t>资产总额</w:t>
            </w:r>
          </w:p>
        </w:tc>
      </w:tr>
      <w:tr>
        <w:tblPrEx>
          <w:tblCellMar>
            <w:top w:w="0" w:type="dxa"/>
            <w:left w:w="0" w:type="dxa"/>
            <w:bottom w:w="0" w:type="dxa"/>
            <w:right w:w="0" w:type="dxa"/>
          </w:tblCellMar>
        </w:tblPrEx>
        <w:trPr>
          <w:trHeight w:val="420" w:hRule="atLeast"/>
        </w:trPr>
        <w:tc>
          <w:tcPr>
            <w:tcW w:w="583" w:type="pct"/>
            <w:tcBorders>
              <w:top w:val="single" w:color="000000" w:sz="4" w:space="0"/>
              <w:left w:val="single" w:color="000000" w:sz="8" w:space="0"/>
              <w:bottom w:val="single" w:color="000000" w:sz="4" w:space="0"/>
              <w:right w:val="single" w:color="000000" w:sz="4" w:space="0"/>
            </w:tcBorders>
            <w:shd w:val="clear" w:color="auto" w:fill="auto"/>
            <w:tcMar>
              <w:top w:w="15" w:type="dxa"/>
              <w:left w:w="15" w:type="dxa"/>
              <w:right w:w="15" w:type="dxa"/>
            </w:tcMar>
            <w:vAlign w:val="center"/>
          </w:tcPr>
          <w:p>
            <w:pPr>
              <w:widowControl/>
              <w:jc w:val="left"/>
              <w:textAlignment w:val="center"/>
              <w:rPr>
                <w:rFonts w:ascii="宋体" w:hAnsi="宋体" w:cs="宋体"/>
                <w:color w:val="auto"/>
                <w:szCs w:val="21"/>
              </w:rPr>
            </w:pPr>
            <w:r>
              <w:rPr>
                <w:rFonts w:hint="eastAsia" w:ascii="宋体" w:hAnsi="宋体" w:cs="宋体"/>
                <w:color w:val="auto"/>
                <w:kern w:val="0"/>
                <w:szCs w:val="21"/>
                <w:lang w:bidi="ar"/>
              </w:rPr>
              <w:t>农、林、牧、渔业</w:t>
            </w:r>
          </w:p>
        </w:tc>
        <w:tc>
          <w:tcPr>
            <w:tcW w:w="332"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rPr>
                <w:rFonts w:ascii="宋体" w:hAnsi="宋体" w:cs="宋体"/>
                <w:color w:val="auto"/>
                <w:szCs w:val="21"/>
              </w:rPr>
            </w:pPr>
          </w:p>
        </w:tc>
        <w:tc>
          <w:tcPr>
            <w:tcW w:w="381"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left"/>
              <w:textAlignment w:val="center"/>
              <w:rPr>
                <w:rFonts w:ascii="宋体" w:hAnsi="宋体" w:cs="宋体"/>
                <w:color w:val="auto"/>
                <w:szCs w:val="21"/>
              </w:rPr>
            </w:pPr>
            <w:r>
              <w:rPr>
                <w:rFonts w:hint="eastAsia" w:ascii="宋体" w:hAnsi="宋体" w:cs="宋体"/>
                <w:color w:val="auto"/>
                <w:kern w:val="0"/>
                <w:szCs w:val="21"/>
                <w:lang w:bidi="ar"/>
              </w:rPr>
              <w:t>20000万元以下</w:t>
            </w:r>
          </w:p>
        </w:tc>
        <w:tc>
          <w:tcPr>
            <w:tcW w:w="409"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rPr>
                <w:rFonts w:ascii="宋体" w:hAnsi="宋体" w:cs="宋体"/>
                <w:color w:val="auto"/>
                <w:szCs w:val="21"/>
              </w:rPr>
            </w:pPr>
          </w:p>
        </w:tc>
        <w:tc>
          <w:tcPr>
            <w:tcW w:w="333"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rPr>
                <w:rFonts w:ascii="宋体" w:hAnsi="宋体" w:cs="宋体"/>
                <w:color w:val="auto"/>
                <w:szCs w:val="21"/>
              </w:rPr>
            </w:pPr>
          </w:p>
        </w:tc>
        <w:tc>
          <w:tcPr>
            <w:tcW w:w="392"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left"/>
              <w:textAlignment w:val="center"/>
              <w:rPr>
                <w:rFonts w:ascii="宋体" w:hAnsi="宋体" w:cs="宋体"/>
                <w:color w:val="auto"/>
                <w:szCs w:val="21"/>
              </w:rPr>
            </w:pPr>
            <w:r>
              <w:rPr>
                <w:rFonts w:hint="eastAsia" w:ascii="宋体" w:hAnsi="宋体" w:cs="宋体"/>
                <w:color w:val="auto"/>
                <w:kern w:val="0"/>
                <w:szCs w:val="21"/>
                <w:lang w:bidi="ar"/>
              </w:rPr>
              <w:t>500万元及以上</w:t>
            </w:r>
          </w:p>
        </w:tc>
        <w:tc>
          <w:tcPr>
            <w:tcW w:w="391"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rPr>
                <w:rFonts w:ascii="宋体" w:hAnsi="宋体" w:cs="宋体"/>
                <w:color w:val="auto"/>
                <w:szCs w:val="21"/>
              </w:rPr>
            </w:pPr>
          </w:p>
        </w:tc>
        <w:tc>
          <w:tcPr>
            <w:tcW w:w="329"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rPr>
                <w:rFonts w:ascii="宋体" w:hAnsi="宋体" w:cs="宋体"/>
                <w:color w:val="auto"/>
                <w:szCs w:val="21"/>
              </w:rPr>
            </w:pPr>
          </w:p>
        </w:tc>
        <w:tc>
          <w:tcPr>
            <w:tcW w:w="384"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left"/>
              <w:textAlignment w:val="center"/>
              <w:rPr>
                <w:rFonts w:ascii="宋体" w:hAnsi="宋体" w:cs="宋体"/>
                <w:color w:val="auto"/>
                <w:szCs w:val="21"/>
              </w:rPr>
            </w:pPr>
            <w:r>
              <w:rPr>
                <w:rFonts w:hint="eastAsia" w:ascii="宋体" w:hAnsi="宋体" w:cs="宋体"/>
                <w:color w:val="auto"/>
                <w:kern w:val="0"/>
                <w:szCs w:val="21"/>
                <w:lang w:bidi="ar"/>
              </w:rPr>
              <w:t>50万元及以上</w:t>
            </w:r>
          </w:p>
        </w:tc>
        <w:tc>
          <w:tcPr>
            <w:tcW w:w="373"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rPr>
                <w:rFonts w:ascii="宋体" w:hAnsi="宋体" w:cs="宋体"/>
                <w:color w:val="auto"/>
                <w:szCs w:val="21"/>
              </w:rPr>
            </w:pPr>
          </w:p>
        </w:tc>
        <w:tc>
          <w:tcPr>
            <w:tcW w:w="397"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rPr>
                <w:rFonts w:ascii="宋体" w:hAnsi="宋体" w:cs="宋体"/>
                <w:color w:val="auto"/>
                <w:szCs w:val="21"/>
              </w:rPr>
            </w:pPr>
          </w:p>
        </w:tc>
        <w:tc>
          <w:tcPr>
            <w:tcW w:w="343"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left"/>
              <w:textAlignment w:val="center"/>
              <w:rPr>
                <w:rFonts w:ascii="宋体" w:hAnsi="宋体" w:cs="宋体"/>
                <w:color w:val="auto"/>
                <w:szCs w:val="21"/>
              </w:rPr>
            </w:pPr>
            <w:r>
              <w:rPr>
                <w:rFonts w:hint="eastAsia" w:ascii="宋体" w:hAnsi="宋体" w:cs="宋体"/>
                <w:color w:val="auto"/>
                <w:kern w:val="0"/>
                <w:szCs w:val="21"/>
                <w:lang w:bidi="ar"/>
              </w:rPr>
              <w:t>50万元以下</w:t>
            </w:r>
          </w:p>
        </w:tc>
        <w:tc>
          <w:tcPr>
            <w:tcW w:w="347" w:type="pct"/>
            <w:tcBorders>
              <w:top w:val="single" w:color="000000" w:sz="4" w:space="0"/>
              <w:left w:val="single" w:color="000000" w:sz="4" w:space="0"/>
              <w:bottom w:val="single" w:color="000000" w:sz="4" w:space="0"/>
              <w:right w:val="single" w:color="000000" w:sz="8" w:space="0"/>
            </w:tcBorders>
            <w:shd w:val="clear" w:color="auto" w:fill="auto"/>
            <w:tcMar>
              <w:top w:w="15" w:type="dxa"/>
              <w:left w:w="15" w:type="dxa"/>
              <w:right w:w="15" w:type="dxa"/>
            </w:tcMar>
            <w:vAlign w:val="center"/>
          </w:tcPr>
          <w:p>
            <w:pPr>
              <w:rPr>
                <w:rFonts w:ascii="宋体" w:hAnsi="宋体" w:cs="宋体"/>
                <w:color w:val="auto"/>
                <w:szCs w:val="21"/>
              </w:rPr>
            </w:pPr>
          </w:p>
        </w:tc>
      </w:tr>
      <w:tr>
        <w:tblPrEx>
          <w:tblCellMar>
            <w:top w:w="0" w:type="dxa"/>
            <w:left w:w="0" w:type="dxa"/>
            <w:bottom w:w="0" w:type="dxa"/>
            <w:right w:w="0" w:type="dxa"/>
          </w:tblCellMar>
        </w:tblPrEx>
        <w:trPr>
          <w:trHeight w:val="420" w:hRule="atLeast"/>
        </w:trPr>
        <w:tc>
          <w:tcPr>
            <w:tcW w:w="583" w:type="pct"/>
            <w:tcBorders>
              <w:top w:val="single" w:color="000000" w:sz="4" w:space="0"/>
              <w:left w:val="single" w:color="000000" w:sz="8" w:space="0"/>
              <w:bottom w:val="single" w:color="000000" w:sz="4" w:space="0"/>
              <w:right w:val="single" w:color="000000" w:sz="4" w:space="0"/>
            </w:tcBorders>
            <w:shd w:val="clear" w:color="auto" w:fill="auto"/>
            <w:tcMar>
              <w:top w:w="15" w:type="dxa"/>
              <w:left w:w="15" w:type="dxa"/>
              <w:right w:w="15" w:type="dxa"/>
            </w:tcMar>
            <w:vAlign w:val="center"/>
          </w:tcPr>
          <w:p>
            <w:pPr>
              <w:widowControl/>
              <w:jc w:val="left"/>
              <w:textAlignment w:val="center"/>
              <w:rPr>
                <w:rFonts w:ascii="宋体" w:hAnsi="宋体" w:cs="宋体"/>
                <w:color w:val="auto"/>
                <w:szCs w:val="21"/>
              </w:rPr>
            </w:pPr>
            <w:r>
              <w:rPr>
                <w:rFonts w:hint="eastAsia" w:ascii="宋体" w:hAnsi="宋体" w:cs="宋体"/>
                <w:color w:val="auto"/>
                <w:kern w:val="0"/>
                <w:szCs w:val="21"/>
                <w:lang w:bidi="ar"/>
              </w:rPr>
              <w:t>工业（包括采矿业，制造业，电力、热力、燃气及水生产和供应业）</w:t>
            </w:r>
          </w:p>
        </w:tc>
        <w:tc>
          <w:tcPr>
            <w:tcW w:w="332"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left"/>
              <w:textAlignment w:val="center"/>
              <w:rPr>
                <w:rFonts w:ascii="宋体" w:hAnsi="宋体" w:cs="宋体"/>
                <w:color w:val="auto"/>
                <w:szCs w:val="21"/>
              </w:rPr>
            </w:pPr>
            <w:r>
              <w:rPr>
                <w:rFonts w:hint="eastAsia" w:ascii="宋体" w:hAnsi="宋体" w:cs="宋体"/>
                <w:color w:val="auto"/>
                <w:kern w:val="0"/>
                <w:szCs w:val="21"/>
                <w:lang w:bidi="ar"/>
              </w:rPr>
              <w:t>1000人以下</w:t>
            </w:r>
          </w:p>
        </w:tc>
        <w:tc>
          <w:tcPr>
            <w:tcW w:w="381"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left"/>
              <w:textAlignment w:val="center"/>
              <w:rPr>
                <w:rFonts w:ascii="宋体" w:hAnsi="宋体" w:cs="宋体"/>
                <w:color w:val="auto"/>
                <w:szCs w:val="21"/>
              </w:rPr>
            </w:pPr>
            <w:r>
              <w:rPr>
                <w:rFonts w:hint="eastAsia" w:ascii="宋体" w:hAnsi="宋体" w:cs="宋体"/>
                <w:color w:val="auto"/>
                <w:kern w:val="0"/>
                <w:szCs w:val="21"/>
                <w:lang w:bidi="ar"/>
              </w:rPr>
              <w:t>40000万元以下</w:t>
            </w:r>
          </w:p>
        </w:tc>
        <w:tc>
          <w:tcPr>
            <w:tcW w:w="409"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rPr>
                <w:rFonts w:ascii="宋体" w:hAnsi="宋体" w:cs="宋体"/>
                <w:color w:val="auto"/>
                <w:szCs w:val="21"/>
              </w:rPr>
            </w:pPr>
          </w:p>
        </w:tc>
        <w:tc>
          <w:tcPr>
            <w:tcW w:w="333"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left"/>
              <w:textAlignment w:val="center"/>
              <w:rPr>
                <w:rFonts w:ascii="宋体" w:hAnsi="宋体" w:cs="宋体"/>
                <w:color w:val="auto"/>
                <w:szCs w:val="21"/>
              </w:rPr>
            </w:pPr>
            <w:r>
              <w:rPr>
                <w:rFonts w:hint="eastAsia" w:ascii="宋体" w:hAnsi="宋体" w:cs="宋体"/>
                <w:color w:val="auto"/>
                <w:kern w:val="0"/>
                <w:szCs w:val="21"/>
                <w:lang w:bidi="ar"/>
              </w:rPr>
              <w:t>300人及以上</w:t>
            </w:r>
          </w:p>
        </w:tc>
        <w:tc>
          <w:tcPr>
            <w:tcW w:w="392"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left"/>
              <w:textAlignment w:val="center"/>
              <w:rPr>
                <w:rFonts w:ascii="宋体" w:hAnsi="宋体" w:cs="宋体"/>
                <w:color w:val="auto"/>
                <w:szCs w:val="21"/>
              </w:rPr>
            </w:pPr>
            <w:r>
              <w:rPr>
                <w:rFonts w:hint="eastAsia" w:ascii="宋体" w:hAnsi="宋体" w:cs="宋体"/>
                <w:color w:val="auto"/>
                <w:kern w:val="0"/>
                <w:szCs w:val="21"/>
                <w:lang w:bidi="ar"/>
              </w:rPr>
              <w:t>2000万元及以上</w:t>
            </w:r>
          </w:p>
        </w:tc>
        <w:tc>
          <w:tcPr>
            <w:tcW w:w="391"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rPr>
                <w:rFonts w:ascii="宋体" w:hAnsi="宋体" w:cs="宋体"/>
                <w:color w:val="auto"/>
                <w:szCs w:val="21"/>
              </w:rPr>
            </w:pPr>
          </w:p>
        </w:tc>
        <w:tc>
          <w:tcPr>
            <w:tcW w:w="329"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left"/>
              <w:textAlignment w:val="center"/>
              <w:rPr>
                <w:rFonts w:ascii="宋体" w:hAnsi="宋体" w:cs="宋体"/>
                <w:color w:val="auto"/>
                <w:szCs w:val="21"/>
              </w:rPr>
            </w:pPr>
            <w:r>
              <w:rPr>
                <w:rFonts w:hint="eastAsia" w:ascii="宋体" w:hAnsi="宋体" w:cs="宋体"/>
                <w:color w:val="auto"/>
                <w:kern w:val="0"/>
                <w:szCs w:val="21"/>
                <w:lang w:bidi="ar"/>
              </w:rPr>
              <w:t>20人及以上</w:t>
            </w:r>
          </w:p>
        </w:tc>
        <w:tc>
          <w:tcPr>
            <w:tcW w:w="384"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left"/>
              <w:textAlignment w:val="center"/>
              <w:rPr>
                <w:rFonts w:ascii="宋体" w:hAnsi="宋体" w:cs="宋体"/>
                <w:color w:val="auto"/>
                <w:szCs w:val="21"/>
              </w:rPr>
            </w:pPr>
            <w:r>
              <w:rPr>
                <w:rFonts w:hint="eastAsia" w:ascii="宋体" w:hAnsi="宋体" w:cs="宋体"/>
                <w:color w:val="auto"/>
                <w:kern w:val="0"/>
                <w:szCs w:val="21"/>
                <w:lang w:bidi="ar"/>
              </w:rPr>
              <w:t>300万元及以上</w:t>
            </w:r>
          </w:p>
        </w:tc>
        <w:tc>
          <w:tcPr>
            <w:tcW w:w="373"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rPr>
                <w:rFonts w:ascii="宋体" w:hAnsi="宋体" w:cs="宋体"/>
                <w:color w:val="auto"/>
                <w:szCs w:val="21"/>
              </w:rPr>
            </w:pPr>
          </w:p>
        </w:tc>
        <w:tc>
          <w:tcPr>
            <w:tcW w:w="397"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left"/>
              <w:textAlignment w:val="center"/>
              <w:rPr>
                <w:rFonts w:ascii="宋体" w:hAnsi="宋体" w:cs="宋体"/>
                <w:color w:val="auto"/>
                <w:szCs w:val="21"/>
              </w:rPr>
            </w:pPr>
            <w:r>
              <w:rPr>
                <w:rFonts w:hint="eastAsia" w:ascii="宋体" w:hAnsi="宋体" w:cs="宋体"/>
                <w:color w:val="auto"/>
                <w:kern w:val="0"/>
                <w:szCs w:val="21"/>
                <w:lang w:bidi="ar"/>
              </w:rPr>
              <w:t>20人以下</w:t>
            </w:r>
          </w:p>
        </w:tc>
        <w:tc>
          <w:tcPr>
            <w:tcW w:w="343"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left"/>
              <w:textAlignment w:val="center"/>
              <w:rPr>
                <w:rFonts w:ascii="宋体" w:hAnsi="宋体" w:cs="宋体"/>
                <w:color w:val="auto"/>
                <w:szCs w:val="21"/>
              </w:rPr>
            </w:pPr>
            <w:r>
              <w:rPr>
                <w:rFonts w:hint="eastAsia" w:ascii="宋体" w:hAnsi="宋体" w:cs="宋体"/>
                <w:color w:val="auto"/>
                <w:kern w:val="0"/>
                <w:szCs w:val="21"/>
                <w:lang w:bidi="ar"/>
              </w:rPr>
              <w:t>300万元以下</w:t>
            </w:r>
          </w:p>
        </w:tc>
        <w:tc>
          <w:tcPr>
            <w:tcW w:w="347" w:type="pct"/>
            <w:tcBorders>
              <w:top w:val="single" w:color="000000" w:sz="4" w:space="0"/>
              <w:left w:val="single" w:color="000000" w:sz="4" w:space="0"/>
              <w:bottom w:val="single" w:color="000000" w:sz="4" w:space="0"/>
              <w:right w:val="single" w:color="000000" w:sz="8" w:space="0"/>
            </w:tcBorders>
            <w:shd w:val="clear" w:color="auto" w:fill="auto"/>
            <w:tcMar>
              <w:top w:w="15" w:type="dxa"/>
              <w:left w:w="15" w:type="dxa"/>
              <w:right w:w="15" w:type="dxa"/>
            </w:tcMar>
            <w:vAlign w:val="center"/>
          </w:tcPr>
          <w:p>
            <w:pPr>
              <w:rPr>
                <w:rFonts w:ascii="宋体" w:hAnsi="宋体" w:cs="宋体"/>
                <w:color w:val="auto"/>
                <w:szCs w:val="21"/>
              </w:rPr>
            </w:pPr>
          </w:p>
        </w:tc>
      </w:tr>
      <w:tr>
        <w:tblPrEx>
          <w:tblCellMar>
            <w:top w:w="0" w:type="dxa"/>
            <w:left w:w="0" w:type="dxa"/>
            <w:bottom w:w="0" w:type="dxa"/>
            <w:right w:w="0" w:type="dxa"/>
          </w:tblCellMar>
        </w:tblPrEx>
        <w:trPr>
          <w:trHeight w:val="420" w:hRule="atLeast"/>
        </w:trPr>
        <w:tc>
          <w:tcPr>
            <w:tcW w:w="583" w:type="pct"/>
            <w:tcBorders>
              <w:top w:val="single" w:color="000000" w:sz="4" w:space="0"/>
              <w:left w:val="single" w:color="000000" w:sz="8" w:space="0"/>
              <w:bottom w:val="single" w:color="000000" w:sz="4" w:space="0"/>
              <w:right w:val="single" w:color="000000" w:sz="4" w:space="0"/>
            </w:tcBorders>
            <w:shd w:val="clear" w:color="auto" w:fill="auto"/>
            <w:tcMar>
              <w:top w:w="15" w:type="dxa"/>
              <w:left w:w="15" w:type="dxa"/>
              <w:right w:w="15" w:type="dxa"/>
            </w:tcMar>
            <w:vAlign w:val="center"/>
          </w:tcPr>
          <w:p>
            <w:pPr>
              <w:widowControl/>
              <w:jc w:val="left"/>
              <w:textAlignment w:val="center"/>
              <w:rPr>
                <w:rFonts w:ascii="宋体" w:hAnsi="宋体" w:cs="宋体"/>
                <w:color w:val="auto"/>
                <w:szCs w:val="21"/>
              </w:rPr>
            </w:pPr>
            <w:r>
              <w:rPr>
                <w:rFonts w:hint="eastAsia" w:ascii="宋体" w:hAnsi="宋体" w:cs="宋体"/>
                <w:color w:val="auto"/>
                <w:kern w:val="0"/>
                <w:szCs w:val="21"/>
                <w:lang w:bidi="ar"/>
              </w:rPr>
              <w:t>建筑业</w:t>
            </w:r>
          </w:p>
        </w:tc>
        <w:tc>
          <w:tcPr>
            <w:tcW w:w="332"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rPr>
                <w:rFonts w:ascii="宋体" w:hAnsi="宋体" w:cs="宋体"/>
                <w:color w:val="auto"/>
                <w:szCs w:val="21"/>
              </w:rPr>
            </w:pPr>
          </w:p>
        </w:tc>
        <w:tc>
          <w:tcPr>
            <w:tcW w:w="381"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left"/>
              <w:textAlignment w:val="center"/>
              <w:rPr>
                <w:rFonts w:ascii="宋体" w:hAnsi="宋体" w:cs="宋体"/>
                <w:color w:val="auto"/>
                <w:szCs w:val="21"/>
              </w:rPr>
            </w:pPr>
            <w:r>
              <w:rPr>
                <w:rFonts w:hint="eastAsia" w:ascii="宋体" w:hAnsi="宋体" w:cs="宋体"/>
                <w:color w:val="auto"/>
                <w:kern w:val="0"/>
                <w:szCs w:val="21"/>
                <w:lang w:bidi="ar"/>
              </w:rPr>
              <w:t>80000万元以下</w:t>
            </w:r>
          </w:p>
        </w:tc>
        <w:tc>
          <w:tcPr>
            <w:tcW w:w="409"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left"/>
              <w:textAlignment w:val="center"/>
              <w:rPr>
                <w:rFonts w:ascii="宋体" w:hAnsi="宋体" w:cs="宋体"/>
                <w:color w:val="auto"/>
                <w:szCs w:val="21"/>
              </w:rPr>
            </w:pPr>
            <w:r>
              <w:rPr>
                <w:rFonts w:hint="eastAsia" w:ascii="宋体" w:hAnsi="宋体" w:cs="宋体"/>
                <w:color w:val="auto"/>
                <w:kern w:val="0"/>
                <w:szCs w:val="21"/>
                <w:lang w:bidi="ar"/>
              </w:rPr>
              <w:t>80000万元以下</w:t>
            </w:r>
          </w:p>
        </w:tc>
        <w:tc>
          <w:tcPr>
            <w:tcW w:w="333"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rPr>
                <w:rFonts w:ascii="宋体" w:hAnsi="宋体" w:cs="宋体"/>
                <w:color w:val="auto"/>
                <w:szCs w:val="21"/>
              </w:rPr>
            </w:pPr>
          </w:p>
        </w:tc>
        <w:tc>
          <w:tcPr>
            <w:tcW w:w="392"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left"/>
              <w:textAlignment w:val="center"/>
              <w:rPr>
                <w:rFonts w:ascii="宋体" w:hAnsi="宋体" w:cs="宋体"/>
                <w:color w:val="auto"/>
                <w:szCs w:val="21"/>
              </w:rPr>
            </w:pPr>
            <w:r>
              <w:rPr>
                <w:rFonts w:hint="eastAsia" w:ascii="宋体" w:hAnsi="宋体" w:cs="宋体"/>
                <w:color w:val="auto"/>
                <w:kern w:val="0"/>
                <w:szCs w:val="21"/>
                <w:lang w:bidi="ar"/>
              </w:rPr>
              <w:t>6000万元及以上</w:t>
            </w:r>
          </w:p>
        </w:tc>
        <w:tc>
          <w:tcPr>
            <w:tcW w:w="391"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left"/>
              <w:textAlignment w:val="center"/>
              <w:rPr>
                <w:rFonts w:ascii="宋体" w:hAnsi="宋体" w:cs="宋体"/>
                <w:color w:val="auto"/>
                <w:szCs w:val="21"/>
              </w:rPr>
            </w:pPr>
            <w:r>
              <w:rPr>
                <w:rFonts w:hint="eastAsia" w:ascii="宋体" w:hAnsi="宋体" w:cs="宋体"/>
                <w:color w:val="auto"/>
                <w:kern w:val="0"/>
                <w:szCs w:val="21"/>
                <w:lang w:bidi="ar"/>
              </w:rPr>
              <w:t>5000万元及以上</w:t>
            </w:r>
          </w:p>
        </w:tc>
        <w:tc>
          <w:tcPr>
            <w:tcW w:w="329"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rPr>
                <w:rFonts w:ascii="宋体" w:hAnsi="宋体" w:cs="宋体"/>
                <w:color w:val="auto"/>
                <w:szCs w:val="21"/>
              </w:rPr>
            </w:pPr>
          </w:p>
        </w:tc>
        <w:tc>
          <w:tcPr>
            <w:tcW w:w="384"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left"/>
              <w:textAlignment w:val="center"/>
              <w:rPr>
                <w:rFonts w:ascii="宋体" w:hAnsi="宋体" w:cs="宋体"/>
                <w:color w:val="auto"/>
                <w:szCs w:val="21"/>
              </w:rPr>
            </w:pPr>
            <w:r>
              <w:rPr>
                <w:rFonts w:hint="eastAsia" w:ascii="宋体" w:hAnsi="宋体" w:cs="宋体"/>
                <w:color w:val="auto"/>
                <w:kern w:val="0"/>
                <w:szCs w:val="21"/>
                <w:lang w:bidi="ar"/>
              </w:rPr>
              <w:t>300万元及以上</w:t>
            </w:r>
          </w:p>
        </w:tc>
        <w:tc>
          <w:tcPr>
            <w:tcW w:w="373"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left"/>
              <w:textAlignment w:val="center"/>
              <w:rPr>
                <w:rFonts w:ascii="宋体" w:hAnsi="宋体" w:cs="宋体"/>
                <w:color w:val="auto"/>
                <w:szCs w:val="21"/>
              </w:rPr>
            </w:pPr>
            <w:r>
              <w:rPr>
                <w:rFonts w:hint="eastAsia" w:ascii="宋体" w:hAnsi="宋体" w:cs="宋体"/>
                <w:color w:val="auto"/>
                <w:kern w:val="0"/>
                <w:szCs w:val="21"/>
                <w:lang w:bidi="ar"/>
              </w:rPr>
              <w:t>300万元及以上</w:t>
            </w:r>
          </w:p>
        </w:tc>
        <w:tc>
          <w:tcPr>
            <w:tcW w:w="397"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rPr>
                <w:rFonts w:ascii="宋体" w:hAnsi="宋体" w:cs="宋体"/>
                <w:color w:val="auto"/>
                <w:szCs w:val="21"/>
              </w:rPr>
            </w:pPr>
          </w:p>
        </w:tc>
        <w:tc>
          <w:tcPr>
            <w:tcW w:w="343"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left"/>
              <w:textAlignment w:val="center"/>
              <w:rPr>
                <w:rFonts w:ascii="宋体" w:hAnsi="宋体" w:cs="宋体"/>
                <w:color w:val="auto"/>
                <w:szCs w:val="21"/>
              </w:rPr>
            </w:pPr>
            <w:r>
              <w:rPr>
                <w:rFonts w:hint="eastAsia" w:ascii="宋体" w:hAnsi="宋体" w:cs="宋体"/>
                <w:color w:val="auto"/>
                <w:kern w:val="0"/>
                <w:szCs w:val="21"/>
                <w:lang w:bidi="ar"/>
              </w:rPr>
              <w:t>300万元以下</w:t>
            </w:r>
          </w:p>
        </w:tc>
        <w:tc>
          <w:tcPr>
            <w:tcW w:w="347" w:type="pct"/>
            <w:tcBorders>
              <w:top w:val="single" w:color="000000" w:sz="4" w:space="0"/>
              <w:left w:val="single" w:color="000000" w:sz="4" w:space="0"/>
              <w:bottom w:val="single" w:color="000000" w:sz="4" w:space="0"/>
              <w:right w:val="single" w:color="000000" w:sz="8" w:space="0"/>
            </w:tcBorders>
            <w:shd w:val="clear" w:color="auto" w:fill="auto"/>
            <w:tcMar>
              <w:top w:w="15" w:type="dxa"/>
              <w:left w:w="15" w:type="dxa"/>
              <w:right w:w="15" w:type="dxa"/>
            </w:tcMar>
            <w:vAlign w:val="center"/>
          </w:tcPr>
          <w:p>
            <w:pPr>
              <w:widowControl/>
              <w:jc w:val="left"/>
              <w:textAlignment w:val="center"/>
              <w:rPr>
                <w:rFonts w:ascii="宋体" w:hAnsi="宋体" w:cs="宋体"/>
                <w:color w:val="auto"/>
                <w:szCs w:val="21"/>
              </w:rPr>
            </w:pPr>
            <w:r>
              <w:rPr>
                <w:rFonts w:hint="eastAsia" w:ascii="宋体" w:hAnsi="宋体" w:cs="宋体"/>
                <w:color w:val="auto"/>
                <w:kern w:val="0"/>
                <w:szCs w:val="21"/>
                <w:lang w:bidi="ar"/>
              </w:rPr>
              <w:t>300万元以下</w:t>
            </w:r>
          </w:p>
        </w:tc>
      </w:tr>
      <w:tr>
        <w:tblPrEx>
          <w:tblCellMar>
            <w:top w:w="0" w:type="dxa"/>
            <w:left w:w="0" w:type="dxa"/>
            <w:bottom w:w="0" w:type="dxa"/>
            <w:right w:w="0" w:type="dxa"/>
          </w:tblCellMar>
        </w:tblPrEx>
        <w:trPr>
          <w:trHeight w:val="420" w:hRule="atLeast"/>
        </w:trPr>
        <w:tc>
          <w:tcPr>
            <w:tcW w:w="583" w:type="pct"/>
            <w:tcBorders>
              <w:top w:val="single" w:color="000000" w:sz="4" w:space="0"/>
              <w:left w:val="single" w:color="000000" w:sz="8" w:space="0"/>
              <w:bottom w:val="single" w:color="000000" w:sz="4" w:space="0"/>
              <w:right w:val="single" w:color="000000" w:sz="4" w:space="0"/>
            </w:tcBorders>
            <w:shd w:val="clear" w:color="auto" w:fill="auto"/>
            <w:tcMar>
              <w:top w:w="15" w:type="dxa"/>
              <w:left w:w="15" w:type="dxa"/>
              <w:right w:w="15" w:type="dxa"/>
            </w:tcMar>
            <w:vAlign w:val="center"/>
          </w:tcPr>
          <w:p>
            <w:pPr>
              <w:widowControl/>
              <w:jc w:val="left"/>
              <w:textAlignment w:val="center"/>
              <w:rPr>
                <w:rFonts w:ascii="宋体" w:hAnsi="宋体" w:cs="宋体"/>
                <w:color w:val="auto"/>
                <w:szCs w:val="21"/>
              </w:rPr>
            </w:pPr>
            <w:r>
              <w:rPr>
                <w:rFonts w:hint="eastAsia" w:ascii="宋体" w:hAnsi="宋体" w:cs="宋体"/>
                <w:color w:val="auto"/>
                <w:kern w:val="0"/>
                <w:szCs w:val="21"/>
                <w:lang w:bidi="ar"/>
              </w:rPr>
              <w:t>批发业</w:t>
            </w:r>
          </w:p>
        </w:tc>
        <w:tc>
          <w:tcPr>
            <w:tcW w:w="332"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left"/>
              <w:textAlignment w:val="center"/>
              <w:rPr>
                <w:rFonts w:ascii="宋体" w:hAnsi="宋体" w:cs="宋体"/>
                <w:color w:val="auto"/>
                <w:szCs w:val="21"/>
              </w:rPr>
            </w:pPr>
            <w:r>
              <w:rPr>
                <w:rFonts w:hint="eastAsia" w:ascii="宋体" w:hAnsi="宋体" w:cs="宋体"/>
                <w:color w:val="auto"/>
                <w:kern w:val="0"/>
                <w:szCs w:val="21"/>
                <w:lang w:bidi="ar"/>
              </w:rPr>
              <w:t>200人以下</w:t>
            </w:r>
          </w:p>
        </w:tc>
        <w:tc>
          <w:tcPr>
            <w:tcW w:w="381"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left"/>
              <w:textAlignment w:val="center"/>
              <w:rPr>
                <w:rFonts w:ascii="宋体" w:hAnsi="宋体" w:cs="宋体"/>
                <w:color w:val="auto"/>
                <w:szCs w:val="21"/>
              </w:rPr>
            </w:pPr>
            <w:r>
              <w:rPr>
                <w:rFonts w:hint="eastAsia" w:ascii="宋体" w:hAnsi="宋体" w:cs="宋体"/>
                <w:color w:val="auto"/>
                <w:kern w:val="0"/>
                <w:szCs w:val="21"/>
                <w:lang w:bidi="ar"/>
              </w:rPr>
              <w:t>40000万元以下</w:t>
            </w:r>
          </w:p>
        </w:tc>
        <w:tc>
          <w:tcPr>
            <w:tcW w:w="409"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rPr>
                <w:rFonts w:ascii="宋体" w:hAnsi="宋体" w:cs="宋体"/>
                <w:color w:val="auto"/>
                <w:szCs w:val="21"/>
              </w:rPr>
            </w:pPr>
          </w:p>
        </w:tc>
        <w:tc>
          <w:tcPr>
            <w:tcW w:w="333"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left"/>
              <w:textAlignment w:val="center"/>
              <w:rPr>
                <w:rFonts w:ascii="宋体" w:hAnsi="宋体" w:cs="宋体"/>
                <w:color w:val="auto"/>
                <w:szCs w:val="21"/>
              </w:rPr>
            </w:pPr>
            <w:r>
              <w:rPr>
                <w:rFonts w:hint="eastAsia" w:ascii="宋体" w:hAnsi="宋体" w:cs="宋体"/>
                <w:color w:val="auto"/>
                <w:kern w:val="0"/>
                <w:szCs w:val="21"/>
                <w:lang w:bidi="ar"/>
              </w:rPr>
              <w:t>20人及以上</w:t>
            </w:r>
          </w:p>
        </w:tc>
        <w:tc>
          <w:tcPr>
            <w:tcW w:w="392"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left"/>
              <w:textAlignment w:val="center"/>
              <w:rPr>
                <w:rFonts w:ascii="宋体" w:hAnsi="宋体" w:cs="宋体"/>
                <w:color w:val="auto"/>
                <w:szCs w:val="21"/>
              </w:rPr>
            </w:pPr>
            <w:r>
              <w:rPr>
                <w:rFonts w:hint="eastAsia" w:ascii="宋体" w:hAnsi="宋体" w:cs="宋体"/>
                <w:color w:val="auto"/>
                <w:kern w:val="0"/>
                <w:szCs w:val="21"/>
                <w:lang w:bidi="ar"/>
              </w:rPr>
              <w:t>5000万元及以上</w:t>
            </w:r>
          </w:p>
        </w:tc>
        <w:tc>
          <w:tcPr>
            <w:tcW w:w="391"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rPr>
                <w:rFonts w:ascii="宋体" w:hAnsi="宋体" w:cs="宋体"/>
                <w:color w:val="auto"/>
                <w:szCs w:val="21"/>
              </w:rPr>
            </w:pPr>
          </w:p>
        </w:tc>
        <w:tc>
          <w:tcPr>
            <w:tcW w:w="329"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left"/>
              <w:textAlignment w:val="center"/>
              <w:rPr>
                <w:rFonts w:ascii="宋体" w:hAnsi="宋体" w:cs="宋体"/>
                <w:color w:val="auto"/>
                <w:szCs w:val="21"/>
              </w:rPr>
            </w:pPr>
            <w:r>
              <w:rPr>
                <w:rFonts w:hint="eastAsia" w:ascii="宋体" w:hAnsi="宋体" w:cs="宋体"/>
                <w:color w:val="auto"/>
                <w:kern w:val="0"/>
                <w:szCs w:val="21"/>
                <w:lang w:bidi="ar"/>
              </w:rPr>
              <w:t>5人及以上</w:t>
            </w:r>
          </w:p>
        </w:tc>
        <w:tc>
          <w:tcPr>
            <w:tcW w:w="384"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left"/>
              <w:textAlignment w:val="center"/>
              <w:rPr>
                <w:rFonts w:ascii="宋体" w:hAnsi="宋体" w:cs="宋体"/>
                <w:color w:val="auto"/>
                <w:szCs w:val="21"/>
              </w:rPr>
            </w:pPr>
            <w:r>
              <w:rPr>
                <w:rFonts w:hint="eastAsia" w:ascii="宋体" w:hAnsi="宋体" w:cs="宋体"/>
                <w:color w:val="auto"/>
                <w:kern w:val="0"/>
                <w:szCs w:val="21"/>
                <w:lang w:bidi="ar"/>
              </w:rPr>
              <w:t>1000万元及以上</w:t>
            </w:r>
          </w:p>
        </w:tc>
        <w:tc>
          <w:tcPr>
            <w:tcW w:w="373"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rPr>
                <w:rFonts w:ascii="宋体" w:hAnsi="宋体" w:cs="宋体"/>
                <w:color w:val="auto"/>
                <w:szCs w:val="21"/>
              </w:rPr>
            </w:pPr>
          </w:p>
        </w:tc>
        <w:tc>
          <w:tcPr>
            <w:tcW w:w="397"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left"/>
              <w:textAlignment w:val="center"/>
              <w:rPr>
                <w:rFonts w:ascii="宋体" w:hAnsi="宋体" w:cs="宋体"/>
                <w:color w:val="auto"/>
                <w:szCs w:val="21"/>
              </w:rPr>
            </w:pPr>
            <w:r>
              <w:rPr>
                <w:rFonts w:hint="eastAsia" w:ascii="宋体" w:hAnsi="宋体" w:cs="宋体"/>
                <w:color w:val="auto"/>
                <w:kern w:val="0"/>
                <w:szCs w:val="21"/>
                <w:lang w:bidi="ar"/>
              </w:rPr>
              <w:t>5人以下</w:t>
            </w:r>
          </w:p>
        </w:tc>
        <w:tc>
          <w:tcPr>
            <w:tcW w:w="343"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left"/>
              <w:textAlignment w:val="center"/>
              <w:rPr>
                <w:rFonts w:ascii="宋体" w:hAnsi="宋体" w:cs="宋体"/>
                <w:color w:val="auto"/>
                <w:szCs w:val="21"/>
              </w:rPr>
            </w:pPr>
            <w:r>
              <w:rPr>
                <w:rFonts w:hint="eastAsia" w:ascii="宋体" w:hAnsi="宋体" w:cs="宋体"/>
                <w:color w:val="auto"/>
                <w:kern w:val="0"/>
                <w:szCs w:val="21"/>
                <w:lang w:bidi="ar"/>
              </w:rPr>
              <w:t>1000万元以下</w:t>
            </w:r>
          </w:p>
        </w:tc>
        <w:tc>
          <w:tcPr>
            <w:tcW w:w="347" w:type="pct"/>
            <w:tcBorders>
              <w:top w:val="single" w:color="000000" w:sz="4" w:space="0"/>
              <w:left w:val="single" w:color="000000" w:sz="4" w:space="0"/>
              <w:bottom w:val="single" w:color="000000" w:sz="4" w:space="0"/>
              <w:right w:val="single" w:color="000000" w:sz="8" w:space="0"/>
            </w:tcBorders>
            <w:shd w:val="clear" w:color="auto" w:fill="auto"/>
            <w:tcMar>
              <w:top w:w="15" w:type="dxa"/>
              <w:left w:w="15" w:type="dxa"/>
              <w:right w:w="15" w:type="dxa"/>
            </w:tcMar>
            <w:vAlign w:val="center"/>
          </w:tcPr>
          <w:p>
            <w:pPr>
              <w:rPr>
                <w:rFonts w:ascii="宋体" w:hAnsi="宋体" w:cs="宋体"/>
                <w:color w:val="auto"/>
                <w:szCs w:val="21"/>
              </w:rPr>
            </w:pPr>
          </w:p>
        </w:tc>
      </w:tr>
      <w:tr>
        <w:tblPrEx>
          <w:tblCellMar>
            <w:top w:w="0" w:type="dxa"/>
            <w:left w:w="0" w:type="dxa"/>
            <w:bottom w:w="0" w:type="dxa"/>
            <w:right w:w="0" w:type="dxa"/>
          </w:tblCellMar>
        </w:tblPrEx>
        <w:trPr>
          <w:trHeight w:val="420" w:hRule="atLeast"/>
        </w:trPr>
        <w:tc>
          <w:tcPr>
            <w:tcW w:w="583" w:type="pct"/>
            <w:tcBorders>
              <w:top w:val="single" w:color="000000" w:sz="4" w:space="0"/>
              <w:left w:val="single" w:color="000000" w:sz="8" w:space="0"/>
              <w:bottom w:val="single" w:color="000000" w:sz="4" w:space="0"/>
              <w:right w:val="single" w:color="000000" w:sz="4" w:space="0"/>
            </w:tcBorders>
            <w:shd w:val="clear" w:color="auto" w:fill="auto"/>
            <w:tcMar>
              <w:top w:w="15" w:type="dxa"/>
              <w:left w:w="15" w:type="dxa"/>
              <w:right w:w="15" w:type="dxa"/>
            </w:tcMar>
            <w:vAlign w:val="center"/>
          </w:tcPr>
          <w:p>
            <w:pPr>
              <w:widowControl/>
              <w:jc w:val="left"/>
              <w:textAlignment w:val="center"/>
              <w:rPr>
                <w:rFonts w:ascii="宋体" w:hAnsi="宋体" w:cs="宋体"/>
                <w:color w:val="auto"/>
                <w:szCs w:val="21"/>
              </w:rPr>
            </w:pPr>
            <w:r>
              <w:rPr>
                <w:rFonts w:hint="eastAsia" w:ascii="宋体" w:hAnsi="宋体" w:cs="宋体"/>
                <w:color w:val="auto"/>
                <w:kern w:val="0"/>
                <w:szCs w:val="21"/>
                <w:lang w:bidi="ar"/>
              </w:rPr>
              <w:t>零售业</w:t>
            </w:r>
          </w:p>
        </w:tc>
        <w:tc>
          <w:tcPr>
            <w:tcW w:w="332"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left"/>
              <w:textAlignment w:val="center"/>
              <w:rPr>
                <w:rFonts w:ascii="宋体" w:hAnsi="宋体" w:cs="宋体"/>
                <w:color w:val="auto"/>
                <w:szCs w:val="21"/>
              </w:rPr>
            </w:pPr>
            <w:r>
              <w:rPr>
                <w:rFonts w:hint="eastAsia" w:ascii="宋体" w:hAnsi="宋体" w:cs="宋体"/>
                <w:color w:val="auto"/>
                <w:kern w:val="0"/>
                <w:szCs w:val="21"/>
                <w:lang w:bidi="ar"/>
              </w:rPr>
              <w:t>300人以下</w:t>
            </w:r>
          </w:p>
        </w:tc>
        <w:tc>
          <w:tcPr>
            <w:tcW w:w="381"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left"/>
              <w:textAlignment w:val="center"/>
              <w:rPr>
                <w:rFonts w:ascii="宋体" w:hAnsi="宋体" w:cs="宋体"/>
                <w:color w:val="auto"/>
                <w:szCs w:val="21"/>
              </w:rPr>
            </w:pPr>
            <w:r>
              <w:rPr>
                <w:rFonts w:hint="eastAsia" w:ascii="宋体" w:hAnsi="宋体" w:cs="宋体"/>
                <w:color w:val="auto"/>
                <w:kern w:val="0"/>
                <w:szCs w:val="21"/>
                <w:lang w:bidi="ar"/>
              </w:rPr>
              <w:t>20000万元以下</w:t>
            </w:r>
          </w:p>
        </w:tc>
        <w:tc>
          <w:tcPr>
            <w:tcW w:w="409"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rPr>
                <w:rFonts w:ascii="宋体" w:hAnsi="宋体" w:cs="宋体"/>
                <w:color w:val="auto"/>
                <w:szCs w:val="21"/>
              </w:rPr>
            </w:pPr>
          </w:p>
        </w:tc>
        <w:tc>
          <w:tcPr>
            <w:tcW w:w="333"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left"/>
              <w:textAlignment w:val="center"/>
              <w:rPr>
                <w:rFonts w:ascii="宋体" w:hAnsi="宋体" w:cs="宋体"/>
                <w:color w:val="auto"/>
                <w:szCs w:val="21"/>
              </w:rPr>
            </w:pPr>
            <w:r>
              <w:rPr>
                <w:rFonts w:hint="eastAsia" w:ascii="宋体" w:hAnsi="宋体" w:cs="宋体"/>
                <w:color w:val="auto"/>
                <w:kern w:val="0"/>
                <w:szCs w:val="21"/>
                <w:lang w:bidi="ar"/>
              </w:rPr>
              <w:t>50人及以上</w:t>
            </w:r>
          </w:p>
        </w:tc>
        <w:tc>
          <w:tcPr>
            <w:tcW w:w="392"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left"/>
              <w:textAlignment w:val="center"/>
              <w:rPr>
                <w:rFonts w:ascii="宋体" w:hAnsi="宋体" w:cs="宋体"/>
                <w:color w:val="auto"/>
                <w:szCs w:val="21"/>
              </w:rPr>
            </w:pPr>
            <w:r>
              <w:rPr>
                <w:rFonts w:hint="eastAsia" w:ascii="宋体" w:hAnsi="宋体" w:cs="宋体"/>
                <w:color w:val="auto"/>
                <w:kern w:val="0"/>
                <w:szCs w:val="21"/>
                <w:lang w:bidi="ar"/>
              </w:rPr>
              <w:t>500万元及以上</w:t>
            </w:r>
          </w:p>
        </w:tc>
        <w:tc>
          <w:tcPr>
            <w:tcW w:w="391"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rPr>
                <w:rFonts w:ascii="宋体" w:hAnsi="宋体" w:cs="宋体"/>
                <w:color w:val="auto"/>
                <w:szCs w:val="21"/>
              </w:rPr>
            </w:pPr>
          </w:p>
        </w:tc>
        <w:tc>
          <w:tcPr>
            <w:tcW w:w="329"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left"/>
              <w:textAlignment w:val="center"/>
              <w:rPr>
                <w:rFonts w:ascii="宋体" w:hAnsi="宋体" w:cs="宋体"/>
                <w:color w:val="auto"/>
                <w:szCs w:val="21"/>
              </w:rPr>
            </w:pPr>
            <w:r>
              <w:rPr>
                <w:rFonts w:hint="eastAsia" w:ascii="宋体" w:hAnsi="宋体" w:cs="宋体"/>
                <w:color w:val="auto"/>
                <w:kern w:val="0"/>
                <w:szCs w:val="21"/>
                <w:lang w:bidi="ar"/>
              </w:rPr>
              <w:t>10人及以上</w:t>
            </w:r>
          </w:p>
        </w:tc>
        <w:tc>
          <w:tcPr>
            <w:tcW w:w="384"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left"/>
              <w:textAlignment w:val="center"/>
              <w:rPr>
                <w:rFonts w:ascii="宋体" w:hAnsi="宋体" w:cs="宋体"/>
                <w:color w:val="auto"/>
                <w:szCs w:val="21"/>
              </w:rPr>
            </w:pPr>
            <w:r>
              <w:rPr>
                <w:rFonts w:hint="eastAsia" w:ascii="宋体" w:hAnsi="宋体" w:cs="宋体"/>
                <w:color w:val="auto"/>
                <w:kern w:val="0"/>
                <w:szCs w:val="21"/>
                <w:lang w:bidi="ar"/>
              </w:rPr>
              <w:t>100万元及以上</w:t>
            </w:r>
          </w:p>
        </w:tc>
        <w:tc>
          <w:tcPr>
            <w:tcW w:w="373"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rPr>
                <w:rFonts w:ascii="宋体" w:hAnsi="宋体" w:cs="宋体"/>
                <w:color w:val="auto"/>
                <w:szCs w:val="21"/>
              </w:rPr>
            </w:pPr>
          </w:p>
        </w:tc>
        <w:tc>
          <w:tcPr>
            <w:tcW w:w="397"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left"/>
              <w:textAlignment w:val="center"/>
              <w:rPr>
                <w:rFonts w:ascii="宋体" w:hAnsi="宋体" w:cs="宋体"/>
                <w:color w:val="auto"/>
                <w:szCs w:val="21"/>
              </w:rPr>
            </w:pPr>
            <w:r>
              <w:rPr>
                <w:rFonts w:hint="eastAsia" w:ascii="宋体" w:hAnsi="宋体" w:cs="宋体"/>
                <w:color w:val="auto"/>
                <w:kern w:val="0"/>
                <w:szCs w:val="21"/>
                <w:lang w:bidi="ar"/>
              </w:rPr>
              <w:t>10人以下</w:t>
            </w:r>
          </w:p>
        </w:tc>
        <w:tc>
          <w:tcPr>
            <w:tcW w:w="343"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left"/>
              <w:textAlignment w:val="center"/>
              <w:rPr>
                <w:rFonts w:ascii="宋体" w:hAnsi="宋体" w:cs="宋体"/>
                <w:color w:val="auto"/>
                <w:szCs w:val="21"/>
              </w:rPr>
            </w:pPr>
            <w:r>
              <w:rPr>
                <w:rFonts w:hint="eastAsia" w:ascii="宋体" w:hAnsi="宋体" w:cs="宋体"/>
                <w:color w:val="auto"/>
                <w:kern w:val="0"/>
                <w:szCs w:val="21"/>
                <w:lang w:bidi="ar"/>
              </w:rPr>
              <w:t>100万元以下</w:t>
            </w:r>
          </w:p>
        </w:tc>
        <w:tc>
          <w:tcPr>
            <w:tcW w:w="347" w:type="pct"/>
            <w:tcBorders>
              <w:top w:val="single" w:color="000000" w:sz="4" w:space="0"/>
              <w:left w:val="single" w:color="000000" w:sz="4" w:space="0"/>
              <w:bottom w:val="single" w:color="000000" w:sz="4" w:space="0"/>
              <w:right w:val="single" w:color="000000" w:sz="8" w:space="0"/>
            </w:tcBorders>
            <w:shd w:val="clear" w:color="auto" w:fill="auto"/>
            <w:tcMar>
              <w:top w:w="15" w:type="dxa"/>
              <w:left w:w="15" w:type="dxa"/>
              <w:right w:w="15" w:type="dxa"/>
            </w:tcMar>
            <w:vAlign w:val="center"/>
          </w:tcPr>
          <w:p>
            <w:pPr>
              <w:rPr>
                <w:rFonts w:ascii="宋体" w:hAnsi="宋体" w:cs="宋体"/>
                <w:color w:val="auto"/>
                <w:szCs w:val="21"/>
              </w:rPr>
            </w:pPr>
          </w:p>
        </w:tc>
      </w:tr>
      <w:tr>
        <w:tblPrEx>
          <w:tblCellMar>
            <w:top w:w="0" w:type="dxa"/>
            <w:left w:w="0" w:type="dxa"/>
            <w:bottom w:w="0" w:type="dxa"/>
            <w:right w:w="0" w:type="dxa"/>
          </w:tblCellMar>
        </w:tblPrEx>
        <w:trPr>
          <w:trHeight w:val="420" w:hRule="atLeast"/>
        </w:trPr>
        <w:tc>
          <w:tcPr>
            <w:tcW w:w="583" w:type="pct"/>
            <w:tcBorders>
              <w:top w:val="single" w:color="000000" w:sz="4" w:space="0"/>
              <w:left w:val="single" w:color="000000" w:sz="8" w:space="0"/>
              <w:bottom w:val="single" w:color="000000" w:sz="4" w:space="0"/>
              <w:right w:val="single" w:color="000000" w:sz="4" w:space="0"/>
            </w:tcBorders>
            <w:shd w:val="clear" w:color="auto" w:fill="auto"/>
            <w:tcMar>
              <w:top w:w="15" w:type="dxa"/>
              <w:left w:w="15" w:type="dxa"/>
              <w:right w:w="15" w:type="dxa"/>
            </w:tcMar>
            <w:vAlign w:val="center"/>
          </w:tcPr>
          <w:p>
            <w:pPr>
              <w:widowControl/>
              <w:jc w:val="left"/>
              <w:textAlignment w:val="center"/>
              <w:rPr>
                <w:rFonts w:ascii="宋体" w:hAnsi="宋体" w:cs="宋体"/>
                <w:color w:val="auto"/>
                <w:szCs w:val="21"/>
              </w:rPr>
            </w:pPr>
            <w:r>
              <w:rPr>
                <w:rFonts w:hint="eastAsia" w:ascii="宋体" w:hAnsi="宋体" w:cs="宋体"/>
                <w:color w:val="auto"/>
                <w:kern w:val="0"/>
                <w:szCs w:val="21"/>
                <w:lang w:bidi="ar"/>
              </w:rPr>
              <w:t>交通运输业（不含铁路运输业）</w:t>
            </w:r>
          </w:p>
        </w:tc>
        <w:tc>
          <w:tcPr>
            <w:tcW w:w="332"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left"/>
              <w:textAlignment w:val="center"/>
              <w:rPr>
                <w:rFonts w:ascii="宋体" w:hAnsi="宋体" w:cs="宋体"/>
                <w:color w:val="auto"/>
                <w:szCs w:val="21"/>
              </w:rPr>
            </w:pPr>
            <w:r>
              <w:rPr>
                <w:rFonts w:hint="eastAsia" w:ascii="宋体" w:hAnsi="宋体" w:cs="宋体"/>
                <w:color w:val="auto"/>
                <w:kern w:val="0"/>
                <w:szCs w:val="21"/>
                <w:lang w:bidi="ar"/>
              </w:rPr>
              <w:t>1000人以下</w:t>
            </w:r>
          </w:p>
        </w:tc>
        <w:tc>
          <w:tcPr>
            <w:tcW w:w="381"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left"/>
              <w:textAlignment w:val="center"/>
              <w:rPr>
                <w:rFonts w:ascii="宋体" w:hAnsi="宋体" w:cs="宋体"/>
                <w:color w:val="auto"/>
                <w:szCs w:val="21"/>
              </w:rPr>
            </w:pPr>
            <w:r>
              <w:rPr>
                <w:rFonts w:hint="eastAsia" w:ascii="宋体" w:hAnsi="宋体" w:cs="宋体"/>
                <w:color w:val="auto"/>
                <w:kern w:val="0"/>
                <w:szCs w:val="21"/>
                <w:lang w:bidi="ar"/>
              </w:rPr>
              <w:t>30000万元以下</w:t>
            </w:r>
          </w:p>
        </w:tc>
        <w:tc>
          <w:tcPr>
            <w:tcW w:w="409"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rPr>
                <w:rFonts w:ascii="宋体" w:hAnsi="宋体" w:cs="宋体"/>
                <w:color w:val="auto"/>
                <w:szCs w:val="21"/>
              </w:rPr>
            </w:pPr>
          </w:p>
        </w:tc>
        <w:tc>
          <w:tcPr>
            <w:tcW w:w="333"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left"/>
              <w:textAlignment w:val="center"/>
              <w:rPr>
                <w:rFonts w:ascii="宋体" w:hAnsi="宋体" w:cs="宋体"/>
                <w:color w:val="auto"/>
                <w:szCs w:val="21"/>
              </w:rPr>
            </w:pPr>
            <w:r>
              <w:rPr>
                <w:rFonts w:hint="eastAsia" w:ascii="宋体" w:hAnsi="宋体" w:cs="宋体"/>
                <w:color w:val="auto"/>
                <w:kern w:val="0"/>
                <w:szCs w:val="21"/>
                <w:lang w:bidi="ar"/>
              </w:rPr>
              <w:t>300人及以上</w:t>
            </w:r>
          </w:p>
        </w:tc>
        <w:tc>
          <w:tcPr>
            <w:tcW w:w="392"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left"/>
              <w:textAlignment w:val="center"/>
              <w:rPr>
                <w:rFonts w:ascii="宋体" w:hAnsi="宋体" w:cs="宋体"/>
                <w:color w:val="auto"/>
                <w:szCs w:val="21"/>
              </w:rPr>
            </w:pPr>
            <w:r>
              <w:rPr>
                <w:rFonts w:hint="eastAsia" w:ascii="宋体" w:hAnsi="宋体" w:cs="宋体"/>
                <w:color w:val="auto"/>
                <w:kern w:val="0"/>
                <w:szCs w:val="21"/>
                <w:lang w:bidi="ar"/>
              </w:rPr>
              <w:t>3000万元及以上</w:t>
            </w:r>
          </w:p>
        </w:tc>
        <w:tc>
          <w:tcPr>
            <w:tcW w:w="391"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rPr>
                <w:rFonts w:ascii="宋体" w:hAnsi="宋体" w:cs="宋体"/>
                <w:color w:val="auto"/>
                <w:szCs w:val="21"/>
              </w:rPr>
            </w:pPr>
          </w:p>
        </w:tc>
        <w:tc>
          <w:tcPr>
            <w:tcW w:w="329"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left"/>
              <w:textAlignment w:val="center"/>
              <w:rPr>
                <w:rFonts w:ascii="宋体" w:hAnsi="宋体" w:cs="宋体"/>
                <w:color w:val="auto"/>
                <w:szCs w:val="21"/>
              </w:rPr>
            </w:pPr>
            <w:r>
              <w:rPr>
                <w:rFonts w:hint="eastAsia" w:ascii="宋体" w:hAnsi="宋体" w:cs="宋体"/>
                <w:color w:val="auto"/>
                <w:kern w:val="0"/>
                <w:szCs w:val="21"/>
                <w:lang w:bidi="ar"/>
              </w:rPr>
              <w:t>20人及以上</w:t>
            </w:r>
          </w:p>
        </w:tc>
        <w:tc>
          <w:tcPr>
            <w:tcW w:w="384"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left"/>
              <w:textAlignment w:val="center"/>
              <w:rPr>
                <w:rFonts w:ascii="宋体" w:hAnsi="宋体" w:cs="宋体"/>
                <w:color w:val="auto"/>
                <w:szCs w:val="21"/>
              </w:rPr>
            </w:pPr>
            <w:r>
              <w:rPr>
                <w:rFonts w:hint="eastAsia" w:ascii="宋体" w:hAnsi="宋体" w:cs="宋体"/>
                <w:color w:val="auto"/>
                <w:kern w:val="0"/>
                <w:szCs w:val="21"/>
                <w:lang w:bidi="ar"/>
              </w:rPr>
              <w:t>200万元及以上</w:t>
            </w:r>
          </w:p>
        </w:tc>
        <w:tc>
          <w:tcPr>
            <w:tcW w:w="373"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rPr>
                <w:rFonts w:ascii="宋体" w:hAnsi="宋体" w:cs="宋体"/>
                <w:color w:val="auto"/>
                <w:szCs w:val="21"/>
              </w:rPr>
            </w:pPr>
          </w:p>
        </w:tc>
        <w:tc>
          <w:tcPr>
            <w:tcW w:w="397"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left"/>
              <w:textAlignment w:val="center"/>
              <w:rPr>
                <w:rFonts w:ascii="宋体" w:hAnsi="宋体" w:cs="宋体"/>
                <w:color w:val="auto"/>
                <w:szCs w:val="21"/>
              </w:rPr>
            </w:pPr>
            <w:r>
              <w:rPr>
                <w:rFonts w:hint="eastAsia" w:ascii="宋体" w:hAnsi="宋体" w:cs="宋体"/>
                <w:color w:val="auto"/>
                <w:kern w:val="0"/>
                <w:szCs w:val="21"/>
                <w:lang w:bidi="ar"/>
              </w:rPr>
              <w:t>20人以下</w:t>
            </w:r>
          </w:p>
        </w:tc>
        <w:tc>
          <w:tcPr>
            <w:tcW w:w="343"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left"/>
              <w:textAlignment w:val="center"/>
              <w:rPr>
                <w:rFonts w:ascii="宋体" w:hAnsi="宋体" w:cs="宋体"/>
                <w:color w:val="auto"/>
                <w:szCs w:val="21"/>
              </w:rPr>
            </w:pPr>
            <w:r>
              <w:rPr>
                <w:rFonts w:hint="eastAsia" w:ascii="宋体" w:hAnsi="宋体" w:cs="宋体"/>
                <w:color w:val="auto"/>
                <w:kern w:val="0"/>
                <w:szCs w:val="21"/>
                <w:lang w:bidi="ar"/>
              </w:rPr>
              <w:t>200万元以下</w:t>
            </w:r>
          </w:p>
        </w:tc>
        <w:tc>
          <w:tcPr>
            <w:tcW w:w="347" w:type="pct"/>
            <w:tcBorders>
              <w:top w:val="single" w:color="000000" w:sz="4" w:space="0"/>
              <w:left w:val="single" w:color="000000" w:sz="4" w:space="0"/>
              <w:bottom w:val="single" w:color="000000" w:sz="4" w:space="0"/>
              <w:right w:val="single" w:color="000000" w:sz="8" w:space="0"/>
            </w:tcBorders>
            <w:shd w:val="clear" w:color="auto" w:fill="auto"/>
            <w:tcMar>
              <w:top w:w="15" w:type="dxa"/>
              <w:left w:w="15" w:type="dxa"/>
              <w:right w:w="15" w:type="dxa"/>
            </w:tcMar>
            <w:vAlign w:val="center"/>
          </w:tcPr>
          <w:p>
            <w:pPr>
              <w:rPr>
                <w:rFonts w:ascii="宋体" w:hAnsi="宋体" w:cs="宋体"/>
                <w:color w:val="auto"/>
                <w:szCs w:val="21"/>
              </w:rPr>
            </w:pPr>
          </w:p>
        </w:tc>
      </w:tr>
      <w:tr>
        <w:tblPrEx>
          <w:tblCellMar>
            <w:top w:w="0" w:type="dxa"/>
            <w:left w:w="0" w:type="dxa"/>
            <w:bottom w:w="0" w:type="dxa"/>
            <w:right w:w="0" w:type="dxa"/>
          </w:tblCellMar>
        </w:tblPrEx>
        <w:trPr>
          <w:trHeight w:val="420" w:hRule="atLeast"/>
        </w:trPr>
        <w:tc>
          <w:tcPr>
            <w:tcW w:w="583" w:type="pct"/>
            <w:tcBorders>
              <w:top w:val="single" w:color="000000" w:sz="4" w:space="0"/>
              <w:left w:val="single" w:color="000000" w:sz="8" w:space="0"/>
              <w:bottom w:val="single" w:color="000000" w:sz="4" w:space="0"/>
              <w:right w:val="single" w:color="000000" w:sz="4" w:space="0"/>
            </w:tcBorders>
            <w:shd w:val="clear" w:color="auto" w:fill="auto"/>
            <w:tcMar>
              <w:top w:w="15" w:type="dxa"/>
              <w:left w:w="15" w:type="dxa"/>
              <w:right w:w="15" w:type="dxa"/>
            </w:tcMar>
            <w:vAlign w:val="center"/>
          </w:tcPr>
          <w:p>
            <w:pPr>
              <w:widowControl/>
              <w:jc w:val="left"/>
              <w:textAlignment w:val="center"/>
              <w:rPr>
                <w:rFonts w:ascii="宋体" w:hAnsi="宋体" w:cs="宋体"/>
                <w:color w:val="auto"/>
                <w:szCs w:val="21"/>
              </w:rPr>
            </w:pPr>
            <w:r>
              <w:rPr>
                <w:rFonts w:hint="eastAsia" w:ascii="宋体" w:hAnsi="宋体" w:cs="宋体"/>
                <w:color w:val="auto"/>
                <w:kern w:val="0"/>
                <w:szCs w:val="21"/>
                <w:lang w:bidi="ar"/>
              </w:rPr>
              <w:t>仓储业</w:t>
            </w:r>
          </w:p>
        </w:tc>
        <w:tc>
          <w:tcPr>
            <w:tcW w:w="332"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left"/>
              <w:textAlignment w:val="center"/>
              <w:rPr>
                <w:rFonts w:ascii="宋体" w:hAnsi="宋体" w:cs="宋体"/>
                <w:color w:val="auto"/>
                <w:szCs w:val="21"/>
              </w:rPr>
            </w:pPr>
            <w:r>
              <w:rPr>
                <w:rFonts w:hint="eastAsia" w:ascii="宋体" w:hAnsi="宋体" w:cs="宋体"/>
                <w:color w:val="auto"/>
                <w:kern w:val="0"/>
                <w:szCs w:val="21"/>
                <w:lang w:bidi="ar"/>
              </w:rPr>
              <w:t>200人以下</w:t>
            </w:r>
          </w:p>
        </w:tc>
        <w:tc>
          <w:tcPr>
            <w:tcW w:w="381"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left"/>
              <w:textAlignment w:val="center"/>
              <w:rPr>
                <w:rFonts w:ascii="宋体" w:hAnsi="宋体" w:cs="宋体"/>
                <w:color w:val="auto"/>
                <w:szCs w:val="21"/>
              </w:rPr>
            </w:pPr>
            <w:r>
              <w:rPr>
                <w:rFonts w:hint="eastAsia" w:ascii="宋体" w:hAnsi="宋体" w:cs="宋体"/>
                <w:color w:val="auto"/>
                <w:kern w:val="0"/>
                <w:szCs w:val="21"/>
                <w:lang w:bidi="ar"/>
              </w:rPr>
              <w:t>30000万元以下</w:t>
            </w:r>
          </w:p>
        </w:tc>
        <w:tc>
          <w:tcPr>
            <w:tcW w:w="409"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rPr>
                <w:rFonts w:ascii="宋体" w:hAnsi="宋体" w:cs="宋体"/>
                <w:color w:val="auto"/>
                <w:szCs w:val="21"/>
              </w:rPr>
            </w:pPr>
          </w:p>
        </w:tc>
        <w:tc>
          <w:tcPr>
            <w:tcW w:w="333"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left"/>
              <w:textAlignment w:val="center"/>
              <w:rPr>
                <w:rFonts w:ascii="宋体" w:hAnsi="宋体" w:cs="宋体"/>
                <w:color w:val="auto"/>
                <w:szCs w:val="21"/>
              </w:rPr>
            </w:pPr>
            <w:r>
              <w:rPr>
                <w:rFonts w:hint="eastAsia" w:ascii="宋体" w:hAnsi="宋体" w:cs="宋体"/>
                <w:color w:val="auto"/>
                <w:kern w:val="0"/>
                <w:szCs w:val="21"/>
                <w:lang w:bidi="ar"/>
              </w:rPr>
              <w:t>100人及以上</w:t>
            </w:r>
          </w:p>
        </w:tc>
        <w:tc>
          <w:tcPr>
            <w:tcW w:w="392"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left"/>
              <w:textAlignment w:val="center"/>
              <w:rPr>
                <w:rFonts w:ascii="宋体" w:hAnsi="宋体" w:cs="宋体"/>
                <w:color w:val="auto"/>
                <w:szCs w:val="21"/>
              </w:rPr>
            </w:pPr>
            <w:r>
              <w:rPr>
                <w:rFonts w:hint="eastAsia" w:ascii="宋体" w:hAnsi="宋体" w:cs="宋体"/>
                <w:color w:val="auto"/>
                <w:kern w:val="0"/>
                <w:szCs w:val="21"/>
                <w:lang w:bidi="ar"/>
              </w:rPr>
              <w:t>1000万元及以上</w:t>
            </w:r>
          </w:p>
        </w:tc>
        <w:tc>
          <w:tcPr>
            <w:tcW w:w="391"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rPr>
                <w:rFonts w:ascii="宋体" w:hAnsi="宋体" w:cs="宋体"/>
                <w:color w:val="auto"/>
                <w:szCs w:val="21"/>
              </w:rPr>
            </w:pPr>
          </w:p>
        </w:tc>
        <w:tc>
          <w:tcPr>
            <w:tcW w:w="329"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left"/>
              <w:textAlignment w:val="center"/>
              <w:rPr>
                <w:rFonts w:ascii="宋体" w:hAnsi="宋体" w:cs="宋体"/>
                <w:color w:val="auto"/>
                <w:szCs w:val="21"/>
              </w:rPr>
            </w:pPr>
            <w:r>
              <w:rPr>
                <w:rFonts w:hint="eastAsia" w:ascii="宋体" w:hAnsi="宋体" w:cs="宋体"/>
                <w:color w:val="auto"/>
                <w:kern w:val="0"/>
                <w:szCs w:val="21"/>
                <w:lang w:bidi="ar"/>
              </w:rPr>
              <w:t>20人及以上</w:t>
            </w:r>
          </w:p>
        </w:tc>
        <w:tc>
          <w:tcPr>
            <w:tcW w:w="384"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left"/>
              <w:textAlignment w:val="center"/>
              <w:rPr>
                <w:rFonts w:ascii="宋体" w:hAnsi="宋体" w:cs="宋体"/>
                <w:color w:val="auto"/>
                <w:szCs w:val="21"/>
              </w:rPr>
            </w:pPr>
            <w:r>
              <w:rPr>
                <w:rFonts w:hint="eastAsia" w:ascii="宋体" w:hAnsi="宋体" w:cs="宋体"/>
                <w:color w:val="auto"/>
                <w:kern w:val="0"/>
                <w:szCs w:val="21"/>
                <w:lang w:bidi="ar"/>
              </w:rPr>
              <w:t>100万元及以上</w:t>
            </w:r>
          </w:p>
        </w:tc>
        <w:tc>
          <w:tcPr>
            <w:tcW w:w="373"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rPr>
                <w:rFonts w:ascii="宋体" w:hAnsi="宋体" w:cs="宋体"/>
                <w:color w:val="auto"/>
                <w:szCs w:val="21"/>
              </w:rPr>
            </w:pPr>
          </w:p>
        </w:tc>
        <w:tc>
          <w:tcPr>
            <w:tcW w:w="397"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left"/>
              <w:textAlignment w:val="center"/>
              <w:rPr>
                <w:rFonts w:ascii="宋体" w:hAnsi="宋体" w:cs="宋体"/>
                <w:color w:val="auto"/>
                <w:szCs w:val="21"/>
              </w:rPr>
            </w:pPr>
            <w:r>
              <w:rPr>
                <w:rFonts w:hint="eastAsia" w:ascii="宋体" w:hAnsi="宋体" w:cs="宋体"/>
                <w:color w:val="auto"/>
                <w:kern w:val="0"/>
                <w:szCs w:val="21"/>
                <w:lang w:bidi="ar"/>
              </w:rPr>
              <w:t>20人以下</w:t>
            </w:r>
          </w:p>
        </w:tc>
        <w:tc>
          <w:tcPr>
            <w:tcW w:w="343"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left"/>
              <w:textAlignment w:val="center"/>
              <w:rPr>
                <w:rFonts w:ascii="宋体" w:hAnsi="宋体" w:cs="宋体"/>
                <w:color w:val="auto"/>
                <w:szCs w:val="21"/>
              </w:rPr>
            </w:pPr>
            <w:r>
              <w:rPr>
                <w:rFonts w:hint="eastAsia" w:ascii="宋体" w:hAnsi="宋体" w:cs="宋体"/>
                <w:color w:val="auto"/>
                <w:kern w:val="0"/>
                <w:szCs w:val="21"/>
                <w:lang w:bidi="ar"/>
              </w:rPr>
              <w:t>100万元以下</w:t>
            </w:r>
          </w:p>
        </w:tc>
        <w:tc>
          <w:tcPr>
            <w:tcW w:w="347" w:type="pct"/>
            <w:tcBorders>
              <w:top w:val="single" w:color="000000" w:sz="4" w:space="0"/>
              <w:left w:val="single" w:color="000000" w:sz="4" w:space="0"/>
              <w:bottom w:val="single" w:color="000000" w:sz="4" w:space="0"/>
              <w:right w:val="single" w:color="000000" w:sz="8" w:space="0"/>
            </w:tcBorders>
            <w:shd w:val="clear" w:color="auto" w:fill="auto"/>
            <w:tcMar>
              <w:top w:w="15" w:type="dxa"/>
              <w:left w:w="15" w:type="dxa"/>
              <w:right w:w="15" w:type="dxa"/>
            </w:tcMar>
            <w:vAlign w:val="center"/>
          </w:tcPr>
          <w:p>
            <w:pPr>
              <w:rPr>
                <w:rFonts w:ascii="宋体" w:hAnsi="宋体" w:cs="宋体"/>
                <w:color w:val="auto"/>
                <w:szCs w:val="21"/>
              </w:rPr>
            </w:pPr>
          </w:p>
        </w:tc>
      </w:tr>
      <w:tr>
        <w:tblPrEx>
          <w:tblCellMar>
            <w:top w:w="0" w:type="dxa"/>
            <w:left w:w="0" w:type="dxa"/>
            <w:bottom w:w="0" w:type="dxa"/>
            <w:right w:w="0" w:type="dxa"/>
          </w:tblCellMar>
        </w:tblPrEx>
        <w:trPr>
          <w:trHeight w:val="420" w:hRule="atLeast"/>
        </w:trPr>
        <w:tc>
          <w:tcPr>
            <w:tcW w:w="583" w:type="pct"/>
            <w:tcBorders>
              <w:top w:val="single" w:color="000000" w:sz="4" w:space="0"/>
              <w:left w:val="single" w:color="000000" w:sz="8" w:space="0"/>
              <w:bottom w:val="single" w:color="000000" w:sz="4" w:space="0"/>
              <w:right w:val="single" w:color="000000" w:sz="4" w:space="0"/>
            </w:tcBorders>
            <w:shd w:val="clear" w:color="auto" w:fill="auto"/>
            <w:tcMar>
              <w:top w:w="15" w:type="dxa"/>
              <w:left w:w="15" w:type="dxa"/>
              <w:right w:w="15" w:type="dxa"/>
            </w:tcMar>
            <w:vAlign w:val="center"/>
          </w:tcPr>
          <w:p>
            <w:pPr>
              <w:widowControl/>
              <w:jc w:val="left"/>
              <w:textAlignment w:val="center"/>
              <w:rPr>
                <w:rFonts w:ascii="宋体" w:hAnsi="宋体" w:cs="宋体"/>
                <w:color w:val="auto"/>
                <w:szCs w:val="21"/>
              </w:rPr>
            </w:pPr>
            <w:r>
              <w:rPr>
                <w:rFonts w:hint="eastAsia" w:ascii="宋体" w:hAnsi="宋体" w:cs="宋体"/>
                <w:color w:val="auto"/>
                <w:kern w:val="0"/>
                <w:szCs w:val="21"/>
                <w:lang w:bidi="ar"/>
              </w:rPr>
              <w:t>邮政业</w:t>
            </w:r>
          </w:p>
        </w:tc>
        <w:tc>
          <w:tcPr>
            <w:tcW w:w="332"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left"/>
              <w:textAlignment w:val="center"/>
              <w:rPr>
                <w:rFonts w:ascii="宋体" w:hAnsi="宋体" w:cs="宋体"/>
                <w:color w:val="auto"/>
                <w:szCs w:val="21"/>
              </w:rPr>
            </w:pPr>
            <w:r>
              <w:rPr>
                <w:rFonts w:hint="eastAsia" w:ascii="宋体" w:hAnsi="宋体" w:cs="宋体"/>
                <w:color w:val="auto"/>
                <w:kern w:val="0"/>
                <w:szCs w:val="21"/>
                <w:lang w:bidi="ar"/>
              </w:rPr>
              <w:t>1000人以下</w:t>
            </w:r>
          </w:p>
        </w:tc>
        <w:tc>
          <w:tcPr>
            <w:tcW w:w="381"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left"/>
              <w:textAlignment w:val="center"/>
              <w:rPr>
                <w:rFonts w:ascii="宋体" w:hAnsi="宋体" w:cs="宋体"/>
                <w:color w:val="auto"/>
                <w:szCs w:val="21"/>
              </w:rPr>
            </w:pPr>
            <w:r>
              <w:rPr>
                <w:rFonts w:hint="eastAsia" w:ascii="宋体" w:hAnsi="宋体" w:cs="宋体"/>
                <w:color w:val="auto"/>
                <w:kern w:val="0"/>
                <w:szCs w:val="21"/>
                <w:lang w:bidi="ar"/>
              </w:rPr>
              <w:t>30000万元以下</w:t>
            </w:r>
          </w:p>
        </w:tc>
        <w:tc>
          <w:tcPr>
            <w:tcW w:w="409"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rPr>
                <w:rFonts w:ascii="宋体" w:hAnsi="宋体" w:cs="宋体"/>
                <w:color w:val="auto"/>
                <w:szCs w:val="21"/>
              </w:rPr>
            </w:pPr>
          </w:p>
        </w:tc>
        <w:tc>
          <w:tcPr>
            <w:tcW w:w="333"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left"/>
              <w:textAlignment w:val="center"/>
              <w:rPr>
                <w:rFonts w:ascii="宋体" w:hAnsi="宋体" w:cs="宋体"/>
                <w:color w:val="auto"/>
                <w:szCs w:val="21"/>
              </w:rPr>
            </w:pPr>
            <w:r>
              <w:rPr>
                <w:rFonts w:hint="eastAsia" w:ascii="宋体" w:hAnsi="宋体" w:cs="宋体"/>
                <w:color w:val="auto"/>
                <w:kern w:val="0"/>
                <w:szCs w:val="21"/>
                <w:lang w:bidi="ar"/>
              </w:rPr>
              <w:t>300人及以上</w:t>
            </w:r>
          </w:p>
        </w:tc>
        <w:tc>
          <w:tcPr>
            <w:tcW w:w="392"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left"/>
              <w:textAlignment w:val="center"/>
              <w:rPr>
                <w:rFonts w:ascii="宋体" w:hAnsi="宋体" w:cs="宋体"/>
                <w:color w:val="auto"/>
                <w:szCs w:val="21"/>
              </w:rPr>
            </w:pPr>
            <w:r>
              <w:rPr>
                <w:rFonts w:hint="eastAsia" w:ascii="宋体" w:hAnsi="宋体" w:cs="宋体"/>
                <w:color w:val="auto"/>
                <w:kern w:val="0"/>
                <w:szCs w:val="21"/>
                <w:lang w:bidi="ar"/>
              </w:rPr>
              <w:t>2000万元及以上</w:t>
            </w:r>
          </w:p>
        </w:tc>
        <w:tc>
          <w:tcPr>
            <w:tcW w:w="391"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rPr>
                <w:rFonts w:ascii="宋体" w:hAnsi="宋体" w:cs="宋体"/>
                <w:color w:val="auto"/>
                <w:szCs w:val="21"/>
              </w:rPr>
            </w:pPr>
          </w:p>
        </w:tc>
        <w:tc>
          <w:tcPr>
            <w:tcW w:w="329"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left"/>
              <w:textAlignment w:val="center"/>
              <w:rPr>
                <w:rFonts w:ascii="宋体" w:hAnsi="宋体" w:cs="宋体"/>
                <w:color w:val="auto"/>
                <w:szCs w:val="21"/>
              </w:rPr>
            </w:pPr>
            <w:r>
              <w:rPr>
                <w:rFonts w:hint="eastAsia" w:ascii="宋体" w:hAnsi="宋体" w:cs="宋体"/>
                <w:color w:val="auto"/>
                <w:kern w:val="0"/>
                <w:szCs w:val="21"/>
                <w:lang w:bidi="ar"/>
              </w:rPr>
              <w:t>20人及以上</w:t>
            </w:r>
          </w:p>
        </w:tc>
        <w:tc>
          <w:tcPr>
            <w:tcW w:w="384"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left"/>
              <w:textAlignment w:val="center"/>
              <w:rPr>
                <w:rFonts w:ascii="宋体" w:hAnsi="宋体" w:cs="宋体"/>
                <w:color w:val="auto"/>
                <w:szCs w:val="21"/>
              </w:rPr>
            </w:pPr>
            <w:r>
              <w:rPr>
                <w:rFonts w:hint="eastAsia" w:ascii="宋体" w:hAnsi="宋体" w:cs="宋体"/>
                <w:color w:val="auto"/>
                <w:kern w:val="0"/>
                <w:szCs w:val="21"/>
                <w:lang w:bidi="ar"/>
              </w:rPr>
              <w:t>100万元及以上</w:t>
            </w:r>
          </w:p>
        </w:tc>
        <w:tc>
          <w:tcPr>
            <w:tcW w:w="373"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rPr>
                <w:rFonts w:ascii="宋体" w:hAnsi="宋体" w:cs="宋体"/>
                <w:color w:val="auto"/>
                <w:szCs w:val="21"/>
              </w:rPr>
            </w:pPr>
          </w:p>
        </w:tc>
        <w:tc>
          <w:tcPr>
            <w:tcW w:w="397"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left"/>
              <w:textAlignment w:val="center"/>
              <w:rPr>
                <w:rFonts w:ascii="宋体" w:hAnsi="宋体" w:cs="宋体"/>
                <w:color w:val="auto"/>
                <w:szCs w:val="21"/>
              </w:rPr>
            </w:pPr>
            <w:r>
              <w:rPr>
                <w:rFonts w:hint="eastAsia" w:ascii="宋体" w:hAnsi="宋体" w:cs="宋体"/>
                <w:color w:val="auto"/>
                <w:kern w:val="0"/>
                <w:szCs w:val="21"/>
                <w:lang w:bidi="ar"/>
              </w:rPr>
              <w:t>20人以下</w:t>
            </w:r>
          </w:p>
        </w:tc>
        <w:tc>
          <w:tcPr>
            <w:tcW w:w="343"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left"/>
              <w:textAlignment w:val="center"/>
              <w:rPr>
                <w:rFonts w:ascii="宋体" w:hAnsi="宋体" w:cs="宋体"/>
                <w:color w:val="auto"/>
                <w:szCs w:val="21"/>
              </w:rPr>
            </w:pPr>
            <w:r>
              <w:rPr>
                <w:rFonts w:hint="eastAsia" w:ascii="宋体" w:hAnsi="宋体" w:cs="宋体"/>
                <w:color w:val="auto"/>
                <w:kern w:val="0"/>
                <w:szCs w:val="21"/>
                <w:lang w:bidi="ar"/>
              </w:rPr>
              <w:t>100万元以下</w:t>
            </w:r>
          </w:p>
        </w:tc>
        <w:tc>
          <w:tcPr>
            <w:tcW w:w="347" w:type="pct"/>
            <w:tcBorders>
              <w:top w:val="single" w:color="000000" w:sz="4" w:space="0"/>
              <w:left w:val="single" w:color="000000" w:sz="4" w:space="0"/>
              <w:bottom w:val="single" w:color="000000" w:sz="4" w:space="0"/>
              <w:right w:val="single" w:color="000000" w:sz="8" w:space="0"/>
            </w:tcBorders>
            <w:shd w:val="clear" w:color="auto" w:fill="auto"/>
            <w:tcMar>
              <w:top w:w="15" w:type="dxa"/>
              <w:left w:w="15" w:type="dxa"/>
              <w:right w:w="15" w:type="dxa"/>
            </w:tcMar>
            <w:vAlign w:val="center"/>
          </w:tcPr>
          <w:p>
            <w:pPr>
              <w:rPr>
                <w:rFonts w:ascii="宋体" w:hAnsi="宋体" w:cs="宋体"/>
                <w:color w:val="auto"/>
                <w:szCs w:val="21"/>
              </w:rPr>
            </w:pPr>
          </w:p>
        </w:tc>
      </w:tr>
      <w:tr>
        <w:tblPrEx>
          <w:tblCellMar>
            <w:top w:w="0" w:type="dxa"/>
            <w:left w:w="0" w:type="dxa"/>
            <w:bottom w:w="0" w:type="dxa"/>
            <w:right w:w="0" w:type="dxa"/>
          </w:tblCellMar>
        </w:tblPrEx>
        <w:trPr>
          <w:trHeight w:val="420" w:hRule="atLeast"/>
        </w:trPr>
        <w:tc>
          <w:tcPr>
            <w:tcW w:w="583" w:type="pct"/>
            <w:tcBorders>
              <w:top w:val="single" w:color="000000" w:sz="4" w:space="0"/>
              <w:left w:val="single" w:color="000000" w:sz="8" w:space="0"/>
              <w:bottom w:val="single" w:color="000000" w:sz="4" w:space="0"/>
              <w:right w:val="single" w:color="000000" w:sz="4" w:space="0"/>
            </w:tcBorders>
            <w:shd w:val="clear" w:color="auto" w:fill="auto"/>
            <w:tcMar>
              <w:top w:w="15" w:type="dxa"/>
              <w:left w:w="15" w:type="dxa"/>
              <w:right w:w="15" w:type="dxa"/>
            </w:tcMar>
            <w:vAlign w:val="center"/>
          </w:tcPr>
          <w:p>
            <w:pPr>
              <w:widowControl/>
              <w:jc w:val="left"/>
              <w:textAlignment w:val="center"/>
              <w:rPr>
                <w:rFonts w:ascii="宋体" w:hAnsi="宋体" w:cs="宋体"/>
                <w:color w:val="auto"/>
                <w:szCs w:val="21"/>
              </w:rPr>
            </w:pPr>
            <w:r>
              <w:rPr>
                <w:rFonts w:hint="eastAsia" w:ascii="宋体" w:hAnsi="宋体" w:cs="宋体"/>
                <w:color w:val="auto"/>
                <w:kern w:val="0"/>
                <w:szCs w:val="21"/>
                <w:lang w:bidi="ar"/>
              </w:rPr>
              <w:t>住宿业</w:t>
            </w:r>
          </w:p>
        </w:tc>
        <w:tc>
          <w:tcPr>
            <w:tcW w:w="332"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left"/>
              <w:textAlignment w:val="center"/>
              <w:rPr>
                <w:rFonts w:ascii="宋体" w:hAnsi="宋体" w:cs="宋体"/>
                <w:color w:val="auto"/>
                <w:szCs w:val="21"/>
              </w:rPr>
            </w:pPr>
            <w:r>
              <w:rPr>
                <w:rFonts w:hint="eastAsia" w:ascii="宋体" w:hAnsi="宋体" w:cs="宋体"/>
                <w:color w:val="auto"/>
                <w:kern w:val="0"/>
                <w:szCs w:val="21"/>
                <w:lang w:bidi="ar"/>
              </w:rPr>
              <w:t>300人以下</w:t>
            </w:r>
          </w:p>
        </w:tc>
        <w:tc>
          <w:tcPr>
            <w:tcW w:w="381"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left"/>
              <w:textAlignment w:val="center"/>
              <w:rPr>
                <w:rFonts w:ascii="宋体" w:hAnsi="宋体" w:cs="宋体"/>
                <w:color w:val="auto"/>
                <w:szCs w:val="21"/>
              </w:rPr>
            </w:pPr>
            <w:r>
              <w:rPr>
                <w:rFonts w:hint="eastAsia" w:ascii="宋体" w:hAnsi="宋体" w:cs="宋体"/>
                <w:color w:val="auto"/>
                <w:kern w:val="0"/>
                <w:szCs w:val="21"/>
                <w:lang w:bidi="ar"/>
              </w:rPr>
              <w:t>10000万元以下</w:t>
            </w:r>
          </w:p>
        </w:tc>
        <w:tc>
          <w:tcPr>
            <w:tcW w:w="409"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rPr>
                <w:rFonts w:ascii="宋体" w:hAnsi="宋体" w:cs="宋体"/>
                <w:color w:val="auto"/>
                <w:szCs w:val="21"/>
              </w:rPr>
            </w:pPr>
          </w:p>
        </w:tc>
        <w:tc>
          <w:tcPr>
            <w:tcW w:w="333"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left"/>
              <w:textAlignment w:val="center"/>
              <w:rPr>
                <w:rFonts w:ascii="宋体" w:hAnsi="宋体" w:cs="宋体"/>
                <w:color w:val="auto"/>
                <w:szCs w:val="21"/>
              </w:rPr>
            </w:pPr>
            <w:r>
              <w:rPr>
                <w:rFonts w:hint="eastAsia" w:ascii="宋体" w:hAnsi="宋体" w:cs="宋体"/>
                <w:color w:val="auto"/>
                <w:kern w:val="0"/>
                <w:szCs w:val="21"/>
                <w:lang w:bidi="ar"/>
              </w:rPr>
              <w:t>100人及以上</w:t>
            </w:r>
          </w:p>
        </w:tc>
        <w:tc>
          <w:tcPr>
            <w:tcW w:w="392"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left"/>
              <w:textAlignment w:val="center"/>
              <w:rPr>
                <w:rFonts w:ascii="宋体" w:hAnsi="宋体" w:cs="宋体"/>
                <w:color w:val="auto"/>
                <w:szCs w:val="21"/>
              </w:rPr>
            </w:pPr>
            <w:r>
              <w:rPr>
                <w:rFonts w:hint="eastAsia" w:ascii="宋体" w:hAnsi="宋体" w:cs="宋体"/>
                <w:color w:val="auto"/>
                <w:kern w:val="0"/>
                <w:szCs w:val="21"/>
                <w:lang w:bidi="ar"/>
              </w:rPr>
              <w:t>2000万元及以上</w:t>
            </w:r>
          </w:p>
        </w:tc>
        <w:tc>
          <w:tcPr>
            <w:tcW w:w="391"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rPr>
                <w:rFonts w:ascii="宋体" w:hAnsi="宋体" w:cs="宋体"/>
                <w:color w:val="auto"/>
                <w:szCs w:val="21"/>
              </w:rPr>
            </w:pPr>
          </w:p>
        </w:tc>
        <w:tc>
          <w:tcPr>
            <w:tcW w:w="329"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left"/>
              <w:textAlignment w:val="center"/>
              <w:rPr>
                <w:rFonts w:ascii="宋体" w:hAnsi="宋体" w:cs="宋体"/>
                <w:color w:val="auto"/>
                <w:szCs w:val="21"/>
              </w:rPr>
            </w:pPr>
            <w:r>
              <w:rPr>
                <w:rFonts w:hint="eastAsia" w:ascii="宋体" w:hAnsi="宋体" w:cs="宋体"/>
                <w:color w:val="auto"/>
                <w:kern w:val="0"/>
                <w:szCs w:val="21"/>
                <w:lang w:bidi="ar"/>
              </w:rPr>
              <w:t>10人及以上</w:t>
            </w:r>
          </w:p>
        </w:tc>
        <w:tc>
          <w:tcPr>
            <w:tcW w:w="384"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left"/>
              <w:textAlignment w:val="center"/>
              <w:rPr>
                <w:rFonts w:ascii="宋体" w:hAnsi="宋体" w:cs="宋体"/>
                <w:color w:val="auto"/>
                <w:szCs w:val="21"/>
              </w:rPr>
            </w:pPr>
            <w:r>
              <w:rPr>
                <w:rFonts w:hint="eastAsia" w:ascii="宋体" w:hAnsi="宋体" w:cs="宋体"/>
                <w:color w:val="auto"/>
                <w:kern w:val="0"/>
                <w:szCs w:val="21"/>
                <w:lang w:bidi="ar"/>
              </w:rPr>
              <w:t>100万元及以上</w:t>
            </w:r>
          </w:p>
        </w:tc>
        <w:tc>
          <w:tcPr>
            <w:tcW w:w="373"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rPr>
                <w:rFonts w:ascii="宋体" w:hAnsi="宋体" w:cs="宋体"/>
                <w:color w:val="auto"/>
                <w:szCs w:val="21"/>
              </w:rPr>
            </w:pPr>
          </w:p>
        </w:tc>
        <w:tc>
          <w:tcPr>
            <w:tcW w:w="397"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left"/>
              <w:textAlignment w:val="center"/>
              <w:rPr>
                <w:rFonts w:ascii="宋体" w:hAnsi="宋体" w:cs="宋体"/>
                <w:color w:val="auto"/>
                <w:szCs w:val="21"/>
              </w:rPr>
            </w:pPr>
            <w:r>
              <w:rPr>
                <w:rFonts w:hint="eastAsia" w:ascii="宋体" w:hAnsi="宋体" w:cs="宋体"/>
                <w:color w:val="auto"/>
                <w:kern w:val="0"/>
                <w:szCs w:val="21"/>
                <w:lang w:bidi="ar"/>
              </w:rPr>
              <w:t>10人以下</w:t>
            </w:r>
          </w:p>
        </w:tc>
        <w:tc>
          <w:tcPr>
            <w:tcW w:w="343"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left"/>
              <w:textAlignment w:val="center"/>
              <w:rPr>
                <w:rFonts w:ascii="宋体" w:hAnsi="宋体" w:cs="宋体"/>
                <w:color w:val="auto"/>
                <w:szCs w:val="21"/>
              </w:rPr>
            </w:pPr>
            <w:r>
              <w:rPr>
                <w:rFonts w:hint="eastAsia" w:ascii="宋体" w:hAnsi="宋体" w:cs="宋体"/>
                <w:color w:val="auto"/>
                <w:kern w:val="0"/>
                <w:szCs w:val="21"/>
                <w:lang w:bidi="ar"/>
              </w:rPr>
              <w:t>100万元以下</w:t>
            </w:r>
          </w:p>
        </w:tc>
        <w:tc>
          <w:tcPr>
            <w:tcW w:w="347" w:type="pct"/>
            <w:tcBorders>
              <w:top w:val="single" w:color="000000" w:sz="4" w:space="0"/>
              <w:left w:val="single" w:color="000000" w:sz="4" w:space="0"/>
              <w:bottom w:val="single" w:color="000000" w:sz="4" w:space="0"/>
              <w:right w:val="single" w:color="000000" w:sz="8" w:space="0"/>
            </w:tcBorders>
            <w:shd w:val="clear" w:color="auto" w:fill="auto"/>
            <w:tcMar>
              <w:top w:w="15" w:type="dxa"/>
              <w:left w:w="15" w:type="dxa"/>
              <w:right w:w="15" w:type="dxa"/>
            </w:tcMar>
            <w:vAlign w:val="center"/>
          </w:tcPr>
          <w:p>
            <w:pPr>
              <w:rPr>
                <w:rFonts w:ascii="宋体" w:hAnsi="宋体" w:cs="宋体"/>
                <w:color w:val="auto"/>
                <w:szCs w:val="21"/>
              </w:rPr>
            </w:pPr>
          </w:p>
        </w:tc>
      </w:tr>
      <w:tr>
        <w:tblPrEx>
          <w:tblCellMar>
            <w:top w:w="0" w:type="dxa"/>
            <w:left w:w="0" w:type="dxa"/>
            <w:bottom w:w="0" w:type="dxa"/>
            <w:right w:w="0" w:type="dxa"/>
          </w:tblCellMar>
        </w:tblPrEx>
        <w:trPr>
          <w:trHeight w:val="420" w:hRule="atLeast"/>
        </w:trPr>
        <w:tc>
          <w:tcPr>
            <w:tcW w:w="583" w:type="pct"/>
            <w:tcBorders>
              <w:top w:val="single" w:color="000000" w:sz="4" w:space="0"/>
              <w:left w:val="single" w:color="000000" w:sz="8" w:space="0"/>
              <w:bottom w:val="single" w:color="000000" w:sz="4" w:space="0"/>
              <w:right w:val="single" w:color="000000" w:sz="4" w:space="0"/>
            </w:tcBorders>
            <w:shd w:val="clear" w:color="auto" w:fill="auto"/>
            <w:tcMar>
              <w:top w:w="15" w:type="dxa"/>
              <w:left w:w="15" w:type="dxa"/>
              <w:right w:w="15" w:type="dxa"/>
            </w:tcMar>
            <w:vAlign w:val="center"/>
          </w:tcPr>
          <w:p>
            <w:pPr>
              <w:widowControl/>
              <w:jc w:val="left"/>
              <w:textAlignment w:val="center"/>
              <w:rPr>
                <w:rFonts w:ascii="宋体" w:hAnsi="宋体" w:cs="宋体"/>
                <w:color w:val="auto"/>
                <w:szCs w:val="21"/>
              </w:rPr>
            </w:pPr>
            <w:r>
              <w:rPr>
                <w:rFonts w:hint="eastAsia" w:ascii="宋体" w:hAnsi="宋体" w:cs="宋体"/>
                <w:color w:val="auto"/>
                <w:kern w:val="0"/>
                <w:szCs w:val="21"/>
                <w:lang w:bidi="ar"/>
              </w:rPr>
              <w:t>餐饮业</w:t>
            </w:r>
          </w:p>
        </w:tc>
        <w:tc>
          <w:tcPr>
            <w:tcW w:w="332"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left"/>
              <w:textAlignment w:val="center"/>
              <w:rPr>
                <w:rFonts w:ascii="宋体" w:hAnsi="宋体" w:cs="宋体"/>
                <w:color w:val="auto"/>
                <w:szCs w:val="21"/>
              </w:rPr>
            </w:pPr>
            <w:r>
              <w:rPr>
                <w:rFonts w:hint="eastAsia" w:ascii="宋体" w:hAnsi="宋体" w:cs="宋体"/>
                <w:color w:val="auto"/>
                <w:kern w:val="0"/>
                <w:szCs w:val="21"/>
                <w:lang w:bidi="ar"/>
              </w:rPr>
              <w:t>300人以下</w:t>
            </w:r>
          </w:p>
        </w:tc>
        <w:tc>
          <w:tcPr>
            <w:tcW w:w="381"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left"/>
              <w:textAlignment w:val="center"/>
              <w:rPr>
                <w:rFonts w:ascii="宋体" w:hAnsi="宋体" w:cs="宋体"/>
                <w:color w:val="auto"/>
                <w:szCs w:val="21"/>
              </w:rPr>
            </w:pPr>
            <w:r>
              <w:rPr>
                <w:rFonts w:hint="eastAsia" w:ascii="宋体" w:hAnsi="宋体" w:cs="宋体"/>
                <w:color w:val="auto"/>
                <w:kern w:val="0"/>
                <w:szCs w:val="21"/>
                <w:lang w:bidi="ar"/>
              </w:rPr>
              <w:t>10000万元以下</w:t>
            </w:r>
          </w:p>
        </w:tc>
        <w:tc>
          <w:tcPr>
            <w:tcW w:w="409"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rPr>
                <w:rFonts w:ascii="宋体" w:hAnsi="宋体" w:cs="宋体"/>
                <w:color w:val="auto"/>
                <w:szCs w:val="21"/>
              </w:rPr>
            </w:pPr>
          </w:p>
        </w:tc>
        <w:tc>
          <w:tcPr>
            <w:tcW w:w="333"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left"/>
              <w:textAlignment w:val="center"/>
              <w:rPr>
                <w:rFonts w:ascii="宋体" w:hAnsi="宋体" w:cs="宋体"/>
                <w:color w:val="auto"/>
                <w:szCs w:val="21"/>
              </w:rPr>
            </w:pPr>
            <w:r>
              <w:rPr>
                <w:rFonts w:hint="eastAsia" w:ascii="宋体" w:hAnsi="宋体" w:cs="宋体"/>
                <w:color w:val="auto"/>
                <w:kern w:val="0"/>
                <w:szCs w:val="21"/>
                <w:lang w:bidi="ar"/>
              </w:rPr>
              <w:t>100人及以上</w:t>
            </w:r>
          </w:p>
        </w:tc>
        <w:tc>
          <w:tcPr>
            <w:tcW w:w="392"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left"/>
              <w:textAlignment w:val="center"/>
              <w:rPr>
                <w:rFonts w:ascii="宋体" w:hAnsi="宋体" w:cs="宋体"/>
                <w:color w:val="auto"/>
                <w:szCs w:val="21"/>
              </w:rPr>
            </w:pPr>
            <w:r>
              <w:rPr>
                <w:rFonts w:hint="eastAsia" w:ascii="宋体" w:hAnsi="宋体" w:cs="宋体"/>
                <w:color w:val="auto"/>
                <w:kern w:val="0"/>
                <w:szCs w:val="21"/>
                <w:lang w:bidi="ar"/>
              </w:rPr>
              <w:t>2000万元及以上</w:t>
            </w:r>
          </w:p>
        </w:tc>
        <w:tc>
          <w:tcPr>
            <w:tcW w:w="391"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rPr>
                <w:rFonts w:ascii="宋体" w:hAnsi="宋体" w:cs="宋体"/>
                <w:color w:val="auto"/>
                <w:szCs w:val="21"/>
              </w:rPr>
            </w:pPr>
          </w:p>
        </w:tc>
        <w:tc>
          <w:tcPr>
            <w:tcW w:w="329"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left"/>
              <w:textAlignment w:val="center"/>
              <w:rPr>
                <w:rFonts w:ascii="宋体" w:hAnsi="宋体" w:cs="宋体"/>
                <w:color w:val="auto"/>
                <w:szCs w:val="21"/>
              </w:rPr>
            </w:pPr>
            <w:r>
              <w:rPr>
                <w:rFonts w:hint="eastAsia" w:ascii="宋体" w:hAnsi="宋体" w:cs="宋体"/>
                <w:color w:val="auto"/>
                <w:kern w:val="0"/>
                <w:szCs w:val="21"/>
                <w:lang w:bidi="ar"/>
              </w:rPr>
              <w:t>10人及以上</w:t>
            </w:r>
          </w:p>
        </w:tc>
        <w:tc>
          <w:tcPr>
            <w:tcW w:w="384"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left"/>
              <w:textAlignment w:val="center"/>
              <w:rPr>
                <w:rFonts w:ascii="宋体" w:hAnsi="宋体" w:cs="宋体"/>
                <w:color w:val="auto"/>
                <w:szCs w:val="21"/>
              </w:rPr>
            </w:pPr>
            <w:r>
              <w:rPr>
                <w:rFonts w:hint="eastAsia" w:ascii="宋体" w:hAnsi="宋体" w:cs="宋体"/>
                <w:color w:val="auto"/>
                <w:kern w:val="0"/>
                <w:szCs w:val="21"/>
                <w:lang w:bidi="ar"/>
              </w:rPr>
              <w:t>100万元及以上</w:t>
            </w:r>
          </w:p>
        </w:tc>
        <w:tc>
          <w:tcPr>
            <w:tcW w:w="373"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rPr>
                <w:rFonts w:ascii="宋体" w:hAnsi="宋体" w:cs="宋体"/>
                <w:color w:val="auto"/>
                <w:szCs w:val="21"/>
              </w:rPr>
            </w:pPr>
          </w:p>
        </w:tc>
        <w:tc>
          <w:tcPr>
            <w:tcW w:w="397"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left"/>
              <w:textAlignment w:val="center"/>
              <w:rPr>
                <w:rFonts w:ascii="宋体" w:hAnsi="宋体" w:cs="宋体"/>
                <w:color w:val="auto"/>
                <w:szCs w:val="21"/>
              </w:rPr>
            </w:pPr>
            <w:r>
              <w:rPr>
                <w:rFonts w:hint="eastAsia" w:ascii="宋体" w:hAnsi="宋体" w:cs="宋体"/>
                <w:color w:val="auto"/>
                <w:kern w:val="0"/>
                <w:szCs w:val="21"/>
                <w:lang w:bidi="ar"/>
              </w:rPr>
              <w:t>10人以下</w:t>
            </w:r>
          </w:p>
        </w:tc>
        <w:tc>
          <w:tcPr>
            <w:tcW w:w="343"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left"/>
              <w:textAlignment w:val="center"/>
              <w:rPr>
                <w:rFonts w:ascii="宋体" w:hAnsi="宋体" w:cs="宋体"/>
                <w:color w:val="auto"/>
                <w:szCs w:val="21"/>
              </w:rPr>
            </w:pPr>
            <w:r>
              <w:rPr>
                <w:rFonts w:hint="eastAsia" w:ascii="宋体" w:hAnsi="宋体" w:cs="宋体"/>
                <w:color w:val="auto"/>
                <w:kern w:val="0"/>
                <w:szCs w:val="21"/>
                <w:lang w:bidi="ar"/>
              </w:rPr>
              <w:t>100万元以下</w:t>
            </w:r>
          </w:p>
        </w:tc>
        <w:tc>
          <w:tcPr>
            <w:tcW w:w="347" w:type="pct"/>
            <w:tcBorders>
              <w:top w:val="single" w:color="000000" w:sz="4" w:space="0"/>
              <w:left w:val="single" w:color="000000" w:sz="4" w:space="0"/>
              <w:bottom w:val="single" w:color="000000" w:sz="4" w:space="0"/>
              <w:right w:val="single" w:color="000000" w:sz="8" w:space="0"/>
            </w:tcBorders>
            <w:shd w:val="clear" w:color="auto" w:fill="auto"/>
            <w:tcMar>
              <w:top w:w="15" w:type="dxa"/>
              <w:left w:w="15" w:type="dxa"/>
              <w:right w:w="15" w:type="dxa"/>
            </w:tcMar>
            <w:vAlign w:val="center"/>
          </w:tcPr>
          <w:p>
            <w:pPr>
              <w:rPr>
                <w:rFonts w:ascii="宋体" w:hAnsi="宋体" w:cs="宋体"/>
                <w:color w:val="auto"/>
                <w:szCs w:val="21"/>
              </w:rPr>
            </w:pPr>
          </w:p>
        </w:tc>
      </w:tr>
      <w:tr>
        <w:tblPrEx>
          <w:tblCellMar>
            <w:top w:w="0" w:type="dxa"/>
            <w:left w:w="0" w:type="dxa"/>
            <w:bottom w:w="0" w:type="dxa"/>
            <w:right w:w="0" w:type="dxa"/>
          </w:tblCellMar>
        </w:tblPrEx>
        <w:trPr>
          <w:trHeight w:val="420" w:hRule="atLeast"/>
        </w:trPr>
        <w:tc>
          <w:tcPr>
            <w:tcW w:w="583" w:type="pct"/>
            <w:tcBorders>
              <w:top w:val="single" w:color="000000" w:sz="4" w:space="0"/>
              <w:left w:val="single" w:color="000000" w:sz="8" w:space="0"/>
              <w:bottom w:val="single" w:color="000000" w:sz="4" w:space="0"/>
              <w:right w:val="single" w:color="000000" w:sz="4" w:space="0"/>
            </w:tcBorders>
            <w:shd w:val="clear" w:color="auto" w:fill="auto"/>
            <w:tcMar>
              <w:top w:w="15" w:type="dxa"/>
              <w:left w:w="15" w:type="dxa"/>
              <w:right w:w="15" w:type="dxa"/>
            </w:tcMar>
            <w:vAlign w:val="center"/>
          </w:tcPr>
          <w:p>
            <w:pPr>
              <w:widowControl/>
              <w:jc w:val="left"/>
              <w:textAlignment w:val="center"/>
              <w:rPr>
                <w:rFonts w:ascii="宋体" w:hAnsi="宋体" w:cs="宋体"/>
                <w:color w:val="auto"/>
                <w:szCs w:val="21"/>
              </w:rPr>
            </w:pPr>
            <w:r>
              <w:rPr>
                <w:rFonts w:hint="eastAsia" w:ascii="宋体" w:hAnsi="宋体" w:cs="宋体"/>
                <w:color w:val="auto"/>
                <w:kern w:val="0"/>
                <w:szCs w:val="21"/>
                <w:lang w:bidi="ar"/>
              </w:rPr>
              <w:t>信息传输业（包括电信、互联网和相关服务）</w:t>
            </w:r>
          </w:p>
        </w:tc>
        <w:tc>
          <w:tcPr>
            <w:tcW w:w="332"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left"/>
              <w:textAlignment w:val="center"/>
              <w:rPr>
                <w:rFonts w:ascii="宋体" w:hAnsi="宋体" w:cs="宋体"/>
                <w:color w:val="auto"/>
                <w:szCs w:val="21"/>
              </w:rPr>
            </w:pPr>
            <w:r>
              <w:rPr>
                <w:rFonts w:hint="eastAsia" w:ascii="宋体" w:hAnsi="宋体" w:cs="宋体"/>
                <w:color w:val="auto"/>
                <w:kern w:val="0"/>
                <w:szCs w:val="21"/>
                <w:lang w:bidi="ar"/>
              </w:rPr>
              <w:t>2000人以下</w:t>
            </w:r>
          </w:p>
        </w:tc>
        <w:tc>
          <w:tcPr>
            <w:tcW w:w="381"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left"/>
              <w:textAlignment w:val="center"/>
              <w:rPr>
                <w:rFonts w:ascii="宋体" w:hAnsi="宋体" w:cs="宋体"/>
                <w:color w:val="auto"/>
                <w:szCs w:val="21"/>
              </w:rPr>
            </w:pPr>
            <w:r>
              <w:rPr>
                <w:rFonts w:hint="eastAsia" w:ascii="宋体" w:hAnsi="宋体" w:cs="宋体"/>
                <w:color w:val="auto"/>
                <w:kern w:val="0"/>
                <w:szCs w:val="21"/>
                <w:lang w:bidi="ar"/>
              </w:rPr>
              <w:t>100000万元以下</w:t>
            </w:r>
          </w:p>
        </w:tc>
        <w:tc>
          <w:tcPr>
            <w:tcW w:w="409"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rPr>
                <w:rFonts w:ascii="宋体" w:hAnsi="宋体" w:cs="宋体"/>
                <w:color w:val="auto"/>
                <w:szCs w:val="21"/>
              </w:rPr>
            </w:pPr>
          </w:p>
        </w:tc>
        <w:tc>
          <w:tcPr>
            <w:tcW w:w="333"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left"/>
              <w:textAlignment w:val="center"/>
              <w:rPr>
                <w:rFonts w:ascii="宋体" w:hAnsi="宋体" w:cs="宋体"/>
                <w:color w:val="auto"/>
                <w:szCs w:val="21"/>
              </w:rPr>
            </w:pPr>
            <w:r>
              <w:rPr>
                <w:rFonts w:hint="eastAsia" w:ascii="宋体" w:hAnsi="宋体" w:cs="宋体"/>
                <w:color w:val="auto"/>
                <w:kern w:val="0"/>
                <w:szCs w:val="21"/>
                <w:lang w:bidi="ar"/>
              </w:rPr>
              <w:t>100人及以上</w:t>
            </w:r>
          </w:p>
        </w:tc>
        <w:tc>
          <w:tcPr>
            <w:tcW w:w="392"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left"/>
              <w:textAlignment w:val="center"/>
              <w:rPr>
                <w:rFonts w:ascii="宋体" w:hAnsi="宋体" w:cs="宋体"/>
                <w:color w:val="auto"/>
                <w:szCs w:val="21"/>
              </w:rPr>
            </w:pPr>
            <w:r>
              <w:rPr>
                <w:rFonts w:hint="eastAsia" w:ascii="宋体" w:hAnsi="宋体" w:cs="宋体"/>
                <w:color w:val="auto"/>
                <w:kern w:val="0"/>
                <w:szCs w:val="21"/>
                <w:lang w:bidi="ar"/>
              </w:rPr>
              <w:t>1000万元及以上</w:t>
            </w:r>
          </w:p>
        </w:tc>
        <w:tc>
          <w:tcPr>
            <w:tcW w:w="391"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rPr>
                <w:rFonts w:ascii="宋体" w:hAnsi="宋体" w:cs="宋体"/>
                <w:color w:val="auto"/>
                <w:szCs w:val="21"/>
              </w:rPr>
            </w:pPr>
          </w:p>
        </w:tc>
        <w:tc>
          <w:tcPr>
            <w:tcW w:w="329"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left"/>
              <w:textAlignment w:val="center"/>
              <w:rPr>
                <w:rFonts w:ascii="宋体" w:hAnsi="宋体" w:cs="宋体"/>
                <w:color w:val="auto"/>
                <w:szCs w:val="21"/>
              </w:rPr>
            </w:pPr>
            <w:r>
              <w:rPr>
                <w:rFonts w:hint="eastAsia" w:ascii="宋体" w:hAnsi="宋体" w:cs="宋体"/>
                <w:color w:val="auto"/>
                <w:kern w:val="0"/>
                <w:szCs w:val="21"/>
                <w:lang w:bidi="ar"/>
              </w:rPr>
              <w:t>10人及以上</w:t>
            </w:r>
          </w:p>
        </w:tc>
        <w:tc>
          <w:tcPr>
            <w:tcW w:w="384"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left"/>
              <w:textAlignment w:val="center"/>
              <w:rPr>
                <w:rFonts w:ascii="宋体" w:hAnsi="宋体" w:cs="宋体"/>
                <w:color w:val="auto"/>
                <w:szCs w:val="21"/>
              </w:rPr>
            </w:pPr>
            <w:r>
              <w:rPr>
                <w:rFonts w:hint="eastAsia" w:ascii="宋体" w:hAnsi="宋体" w:cs="宋体"/>
                <w:color w:val="auto"/>
                <w:kern w:val="0"/>
                <w:szCs w:val="21"/>
                <w:lang w:bidi="ar"/>
              </w:rPr>
              <w:t>100万元及以上</w:t>
            </w:r>
          </w:p>
        </w:tc>
        <w:tc>
          <w:tcPr>
            <w:tcW w:w="373"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rPr>
                <w:rFonts w:ascii="宋体" w:hAnsi="宋体" w:cs="宋体"/>
                <w:color w:val="auto"/>
                <w:szCs w:val="21"/>
              </w:rPr>
            </w:pPr>
          </w:p>
        </w:tc>
        <w:tc>
          <w:tcPr>
            <w:tcW w:w="397"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left"/>
              <w:textAlignment w:val="center"/>
              <w:rPr>
                <w:rFonts w:ascii="宋体" w:hAnsi="宋体" w:cs="宋体"/>
                <w:color w:val="auto"/>
                <w:szCs w:val="21"/>
              </w:rPr>
            </w:pPr>
            <w:r>
              <w:rPr>
                <w:rFonts w:hint="eastAsia" w:ascii="宋体" w:hAnsi="宋体" w:cs="宋体"/>
                <w:color w:val="auto"/>
                <w:kern w:val="0"/>
                <w:szCs w:val="21"/>
                <w:lang w:bidi="ar"/>
              </w:rPr>
              <w:t>10人以下</w:t>
            </w:r>
          </w:p>
        </w:tc>
        <w:tc>
          <w:tcPr>
            <w:tcW w:w="343"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left"/>
              <w:textAlignment w:val="center"/>
              <w:rPr>
                <w:rFonts w:ascii="宋体" w:hAnsi="宋体" w:cs="宋体"/>
                <w:color w:val="auto"/>
                <w:szCs w:val="21"/>
              </w:rPr>
            </w:pPr>
            <w:r>
              <w:rPr>
                <w:rFonts w:hint="eastAsia" w:ascii="宋体" w:hAnsi="宋体" w:cs="宋体"/>
                <w:color w:val="auto"/>
                <w:kern w:val="0"/>
                <w:szCs w:val="21"/>
                <w:lang w:bidi="ar"/>
              </w:rPr>
              <w:t>100万元以下</w:t>
            </w:r>
          </w:p>
        </w:tc>
        <w:tc>
          <w:tcPr>
            <w:tcW w:w="347" w:type="pct"/>
            <w:tcBorders>
              <w:top w:val="single" w:color="000000" w:sz="4" w:space="0"/>
              <w:left w:val="single" w:color="000000" w:sz="4" w:space="0"/>
              <w:bottom w:val="single" w:color="000000" w:sz="4" w:space="0"/>
              <w:right w:val="single" w:color="000000" w:sz="8" w:space="0"/>
            </w:tcBorders>
            <w:shd w:val="clear" w:color="auto" w:fill="auto"/>
            <w:tcMar>
              <w:top w:w="15" w:type="dxa"/>
              <w:left w:w="15" w:type="dxa"/>
              <w:right w:w="15" w:type="dxa"/>
            </w:tcMar>
            <w:vAlign w:val="center"/>
          </w:tcPr>
          <w:p>
            <w:pPr>
              <w:rPr>
                <w:rFonts w:ascii="宋体" w:hAnsi="宋体" w:cs="宋体"/>
                <w:color w:val="auto"/>
                <w:szCs w:val="21"/>
              </w:rPr>
            </w:pPr>
          </w:p>
        </w:tc>
      </w:tr>
      <w:tr>
        <w:tblPrEx>
          <w:tblCellMar>
            <w:top w:w="0" w:type="dxa"/>
            <w:left w:w="0" w:type="dxa"/>
            <w:bottom w:w="0" w:type="dxa"/>
            <w:right w:w="0" w:type="dxa"/>
          </w:tblCellMar>
        </w:tblPrEx>
        <w:trPr>
          <w:trHeight w:val="420" w:hRule="atLeast"/>
        </w:trPr>
        <w:tc>
          <w:tcPr>
            <w:tcW w:w="583" w:type="pct"/>
            <w:tcBorders>
              <w:top w:val="single" w:color="000000" w:sz="4" w:space="0"/>
              <w:left w:val="single" w:color="000000" w:sz="8" w:space="0"/>
              <w:bottom w:val="single" w:color="000000" w:sz="4" w:space="0"/>
              <w:right w:val="single" w:color="000000" w:sz="4" w:space="0"/>
            </w:tcBorders>
            <w:shd w:val="clear" w:color="auto" w:fill="auto"/>
            <w:tcMar>
              <w:top w:w="15" w:type="dxa"/>
              <w:left w:w="15" w:type="dxa"/>
              <w:right w:w="15" w:type="dxa"/>
            </w:tcMar>
            <w:vAlign w:val="center"/>
          </w:tcPr>
          <w:p>
            <w:pPr>
              <w:widowControl/>
              <w:jc w:val="left"/>
              <w:textAlignment w:val="center"/>
              <w:rPr>
                <w:rFonts w:ascii="宋体" w:hAnsi="宋体" w:cs="宋体"/>
                <w:color w:val="auto"/>
                <w:szCs w:val="21"/>
              </w:rPr>
            </w:pPr>
            <w:r>
              <w:rPr>
                <w:rFonts w:hint="eastAsia" w:ascii="宋体" w:hAnsi="宋体" w:cs="宋体"/>
                <w:color w:val="auto"/>
                <w:kern w:val="0"/>
                <w:szCs w:val="21"/>
                <w:lang w:bidi="ar"/>
              </w:rPr>
              <w:t>软件和信息技术服务业</w:t>
            </w:r>
          </w:p>
        </w:tc>
        <w:tc>
          <w:tcPr>
            <w:tcW w:w="332"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left"/>
              <w:textAlignment w:val="center"/>
              <w:rPr>
                <w:rFonts w:ascii="宋体" w:hAnsi="宋体" w:cs="宋体"/>
                <w:color w:val="auto"/>
                <w:szCs w:val="21"/>
              </w:rPr>
            </w:pPr>
            <w:r>
              <w:rPr>
                <w:rFonts w:hint="eastAsia" w:ascii="宋体" w:hAnsi="宋体" w:cs="宋体"/>
                <w:color w:val="auto"/>
                <w:kern w:val="0"/>
                <w:szCs w:val="21"/>
                <w:lang w:bidi="ar"/>
              </w:rPr>
              <w:t>300人以下</w:t>
            </w:r>
          </w:p>
        </w:tc>
        <w:tc>
          <w:tcPr>
            <w:tcW w:w="381"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left"/>
              <w:textAlignment w:val="center"/>
              <w:rPr>
                <w:rFonts w:ascii="宋体" w:hAnsi="宋体" w:cs="宋体"/>
                <w:color w:val="auto"/>
                <w:szCs w:val="21"/>
              </w:rPr>
            </w:pPr>
            <w:r>
              <w:rPr>
                <w:rFonts w:hint="eastAsia" w:ascii="宋体" w:hAnsi="宋体" w:cs="宋体"/>
                <w:color w:val="auto"/>
                <w:kern w:val="0"/>
                <w:szCs w:val="21"/>
                <w:lang w:bidi="ar"/>
              </w:rPr>
              <w:t>10000万元以下</w:t>
            </w:r>
          </w:p>
        </w:tc>
        <w:tc>
          <w:tcPr>
            <w:tcW w:w="409"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rPr>
                <w:rFonts w:ascii="宋体" w:hAnsi="宋体" w:cs="宋体"/>
                <w:color w:val="auto"/>
                <w:szCs w:val="21"/>
              </w:rPr>
            </w:pPr>
          </w:p>
        </w:tc>
        <w:tc>
          <w:tcPr>
            <w:tcW w:w="333"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left"/>
              <w:textAlignment w:val="center"/>
              <w:rPr>
                <w:rFonts w:ascii="宋体" w:hAnsi="宋体" w:cs="宋体"/>
                <w:color w:val="auto"/>
                <w:szCs w:val="21"/>
              </w:rPr>
            </w:pPr>
            <w:r>
              <w:rPr>
                <w:rFonts w:hint="eastAsia" w:ascii="宋体" w:hAnsi="宋体" w:cs="宋体"/>
                <w:color w:val="auto"/>
                <w:kern w:val="0"/>
                <w:szCs w:val="21"/>
                <w:lang w:bidi="ar"/>
              </w:rPr>
              <w:t>100人及以上</w:t>
            </w:r>
          </w:p>
        </w:tc>
        <w:tc>
          <w:tcPr>
            <w:tcW w:w="392"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left"/>
              <w:textAlignment w:val="center"/>
              <w:rPr>
                <w:rFonts w:ascii="宋体" w:hAnsi="宋体" w:cs="宋体"/>
                <w:color w:val="auto"/>
                <w:szCs w:val="21"/>
              </w:rPr>
            </w:pPr>
            <w:r>
              <w:rPr>
                <w:rFonts w:hint="eastAsia" w:ascii="宋体" w:hAnsi="宋体" w:cs="宋体"/>
                <w:color w:val="auto"/>
                <w:kern w:val="0"/>
                <w:szCs w:val="21"/>
                <w:lang w:bidi="ar"/>
              </w:rPr>
              <w:t>1000万元及以上</w:t>
            </w:r>
          </w:p>
        </w:tc>
        <w:tc>
          <w:tcPr>
            <w:tcW w:w="391"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rPr>
                <w:rFonts w:ascii="宋体" w:hAnsi="宋体" w:cs="宋体"/>
                <w:color w:val="auto"/>
                <w:szCs w:val="21"/>
              </w:rPr>
            </w:pPr>
          </w:p>
        </w:tc>
        <w:tc>
          <w:tcPr>
            <w:tcW w:w="329"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left"/>
              <w:textAlignment w:val="center"/>
              <w:rPr>
                <w:rFonts w:ascii="宋体" w:hAnsi="宋体" w:cs="宋体"/>
                <w:color w:val="auto"/>
                <w:szCs w:val="21"/>
              </w:rPr>
            </w:pPr>
            <w:r>
              <w:rPr>
                <w:rFonts w:hint="eastAsia" w:ascii="宋体" w:hAnsi="宋体" w:cs="宋体"/>
                <w:color w:val="auto"/>
                <w:kern w:val="0"/>
                <w:szCs w:val="21"/>
                <w:lang w:bidi="ar"/>
              </w:rPr>
              <w:t>10人及以上</w:t>
            </w:r>
          </w:p>
        </w:tc>
        <w:tc>
          <w:tcPr>
            <w:tcW w:w="384"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left"/>
              <w:textAlignment w:val="center"/>
              <w:rPr>
                <w:rFonts w:ascii="宋体" w:hAnsi="宋体" w:cs="宋体"/>
                <w:color w:val="auto"/>
                <w:szCs w:val="21"/>
              </w:rPr>
            </w:pPr>
            <w:r>
              <w:rPr>
                <w:rFonts w:hint="eastAsia" w:ascii="宋体" w:hAnsi="宋体" w:cs="宋体"/>
                <w:color w:val="auto"/>
                <w:kern w:val="0"/>
                <w:szCs w:val="21"/>
                <w:lang w:bidi="ar"/>
              </w:rPr>
              <w:t>50万元及以上</w:t>
            </w:r>
          </w:p>
        </w:tc>
        <w:tc>
          <w:tcPr>
            <w:tcW w:w="373"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rPr>
                <w:rFonts w:ascii="宋体" w:hAnsi="宋体" w:cs="宋体"/>
                <w:color w:val="auto"/>
                <w:szCs w:val="21"/>
              </w:rPr>
            </w:pPr>
          </w:p>
        </w:tc>
        <w:tc>
          <w:tcPr>
            <w:tcW w:w="397"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left"/>
              <w:textAlignment w:val="center"/>
              <w:rPr>
                <w:rFonts w:ascii="宋体" w:hAnsi="宋体" w:cs="宋体"/>
                <w:color w:val="auto"/>
                <w:szCs w:val="21"/>
              </w:rPr>
            </w:pPr>
            <w:r>
              <w:rPr>
                <w:rFonts w:hint="eastAsia" w:ascii="宋体" w:hAnsi="宋体" w:cs="宋体"/>
                <w:color w:val="auto"/>
                <w:kern w:val="0"/>
                <w:szCs w:val="21"/>
                <w:lang w:bidi="ar"/>
              </w:rPr>
              <w:t>10人以下</w:t>
            </w:r>
          </w:p>
        </w:tc>
        <w:tc>
          <w:tcPr>
            <w:tcW w:w="343"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left"/>
              <w:textAlignment w:val="center"/>
              <w:rPr>
                <w:rFonts w:ascii="宋体" w:hAnsi="宋体" w:cs="宋体"/>
                <w:color w:val="auto"/>
                <w:szCs w:val="21"/>
              </w:rPr>
            </w:pPr>
            <w:r>
              <w:rPr>
                <w:rFonts w:hint="eastAsia" w:ascii="宋体" w:hAnsi="宋体" w:cs="宋体"/>
                <w:color w:val="auto"/>
                <w:kern w:val="0"/>
                <w:szCs w:val="21"/>
                <w:lang w:bidi="ar"/>
              </w:rPr>
              <w:t>50万元以下</w:t>
            </w:r>
          </w:p>
        </w:tc>
        <w:tc>
          <w:tcPr>
            <w:tcW w:w="347" w:type="pct"/>
            <w:tcBorders>
              <w:top w:val="single" w:color="000000" w:sz="4" w:space="0"/>
              <w:left w:val="single" w:color="000000" w:sz="4" w:space="0"/>
              <w:bottom w:val="single" w:color="000000" w:sz="4" w:space="0"/>
              <w:right w:val="single" w:color="000000" w:sz="8" w:space="0"/>
            </w:tcBorders>
            <w:shd w:val="clear" w:color="auto" w:fill="auto"/>
            <w:tcMar>
              <w:top w:w="15" w:type="dxa"/>
              <w:left w:w="15" w:type="dxa"/>
              <w:right w:w="15" w:type="dxa"/>
            </w:tcMar>
            <w:vAlign w:val="center"/>
          </w:tcPr>
          <w:p>
            <w:pPr>
              <w:rPr>
                <w:rFonts w:ascii="宋体" w:hAnsi="宋体" w:cs="宋体"/>
                <w:color w:val="auto"/>
                <w:szCs w:val="21"/>
              </w:rPr>
            </w:pPr>
          </w:p>
        </w:tc>
      </w:tr>
      <w:tr>
        <w:tblPrEx>
          <w:tblCellMar>
            <w:top w:w="0" w:type="dxa"/>
            <w:left w:w="0" w:type="dxa"/>
            <w:bottom w:w="0" w:type="dxa"/>
            <w:right w:w="0" w:type="dxa"/>
          </w:tblCellMar>
        </w:tblPrEx>
        <w:trPr>
          <w:trHeight w:val="420" w:hRule="atLeast"/>
        </w:trPr>
        <w:tc>
          <w:tcPr>
            <w:tcW w:w="583" w:type="pct"/>
            <w:tcBorders>
              <w:top w:val="single" w:color="000000" w:sz="4" w:space="0"/>
              <w:left w:val="single" w:color="000000" w:sz="8" w:space="0"/>
              <w:bottom w:val="single" w:color="000000" w:sz="4" w:space="0"/>
              <w:right w:val="single" w:color="000000" w:sz="4" w:space="0"/>
            </w:tcBorders>
            <w:shd w:val="clear" w:color="auto" w:fill="auto"/>
            <w:tcMar>
              <w:top w:w="15" w:type="dxa"/>
              <w:left w:w="15" w:type="dxa"/>
              <w:right w:w="15" w:type="dxa"/>
            </w:tcMar>
            <w:vAlign w:val="center"/>
          </w:tcPr>
          <w:p>
            <w:pPr>
              <w:widowControl/>
              <w:jc w:val="left"/>
              <w:textAlignment w:val="center"/>
              <w:rPr>
                <w:rFonts w:ascii="宋体" w:hAnsi="宋体" w:cs="宋体"/>
                <w:color w:val="auto"/>
                <w:szCs w:val="21"/>
              </w:rPr>
            </w:pPr>
            <w:r>
              <w:rPr>
                <w:rFonts w:hint="eastAsia" w:ascii="宋体" w:hAnsi="宋体" w:cs="宋体"/>
                <w:color w:val="auto"/>
                <w:kern w:val="0"/>
                <w:szCs w:val="21"/>
                <w:lang w:bidi="ar"/>
              </w:rPr>
              <w:t>房地产开发经营</w:t>
            </w:r>
          </w:p>
        </w:tc>
        <w:tc>
          <w:tcPr>
            <w:tcW w:w="332"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left"/>
              <w:textAlignment w:val="center"/>
              <w:rPr>
                <w:rFonts w:ascii="宋体" w:hAnsi="宋体" w:cs="宋体"/>
                <w:color w:val="auto"/>
                <w:szCs w:val="21"/>
              </w:rPr>
            </w:pPr>
            <w:r>
              <w:rPr>
                <w:rFonts w:hint="eastAsia" w:ascii="宋体" w:hAnsi="宋体" w:cs="宋体"/>
                <w:color w:val="auto"/>
                <w:kern w:val="0"/>
                <w:szCs w:val="21"/>
                <w:lang w:bidi="ar"/>
              </w:rPr>
              <w:t>200000万元以下</w:t>
            </w:r>
          </w:p>
        </w:tc>
        <w:tc>
          <w:tcPr>
            <w:tcW w:w="381"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left"/>
              <w:textAlignment w:val="center"/>
              <w:rPr>
                <w:rFonts w:ascii="宋体" w:hAnsi="宋体" w:cs="宋体"/>
                <w:color w:val="auto"/>
                <w:szCs w:val="21"/>
              </w:rPr>
            </w:pPr>
            <w:r>
              <w:rPr>
                <w:rFonts w:hint="eastAsia" w:ascii="宋体" w:hAnsi="宋体" w:cs="宋体"/>
                <w:color w:val="auto"/>
                <w:kern w:val="0"/>
                <w:szCs w:val="21"/>
                <w:lang w:bidi="ar"/>
              </w:rPr>
              <w:t>10000万元以下</w:t>
            </w:r>
          </w:p>
        </w:tc>
        <w:tc>
          <w:tcPr>
            <w:tcW w:w="409"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rPr>
                <w:rFonts w:ascii="宋体" w:hAnsi="宋体" w:cs="宋体"/>
                <w:color w:val="auto"/>
                <w:szCs w:val="21"/>
              </w:rPr>
            </w:pPr>
          </w:p>
        </w:tc>
        <w:tc>
          <w:tcPr>
            <w:tcW w:w="333"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rPr>
                <w:rFonts w:ascii="宋体" w:hAnsi="宋体" w:cs="宋体"/>
                <w:color w:val="auto"/>
                <w:szCs w:val="21"/>
              </w:rPr>
            </w:pPr>
          </w:p>
        </w:tc>
        <w:tc>
          <w:tcPr>
            <w:tcW w:w="392"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left"/>
              <w:textAlignment w:val="center"/>
              <w:rPr>
                <w:rFonts w:ascii="宋体" w:hAnsi="宋体" w:cs="宋体"/>
                <w:color w:val="auto"/>
                <w:szCs w:val="21"/>
              </w:rPr>
            </w:pPr>
            <w:r>
              <w:rPr>
                <w:rFonts w:hint="eastAsia" w:ascii="宋体" w:hAnsi="宋体" w:cs="宋体"/>
                <w:color w:val="auto"/>
                <w:kern w:val="0"/>
                <w:szCs w:val="21"/>
                <w:lang w:bidi="ar"/>
              </w:rPr>
              <w:t>1000万元及以上</w:t>
            </w:r>
          </w:p>
        </w:tc>
        <w:tc>
          <w:tcPr>
            <w:tcW w:w="391"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left"/>
              <w:textAlignment w:val="center"/>
              <w:rPr>
                <w:rFonts w:ascii="宋体" w:hAnsi="宋体" w:cs="宋体"/>
                <w:color w:val="auto"/>
                <w:szCs w:val="21"/>
              </w:rPr>
            </w:pPr>
            <w:r>
              <w:rPr>
                <w:rFonts w:hint="eastAsia" w:ascii="宋体" w:hAnsi="宋体" w:cs="宋体"/>
                <w:color w:val="auto"/>
                <w:kern w:val="0"/>
                <w:szCs w:val="21"/>
                <w:lang w:bidi="ar"/>
              </w:rPr>
              <w:t>5000万元及以上</w:t>
            </w:r>
          </w:p>
        </w:tc>
        <w:tc>
          <w:tcPr>
            <w:tcW w:w="329"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rPr>
                <w:rFonts w:ascii="宋体" w:hAnsi="宋体" w:cs="宋体"/>
                <w:color w:val="auto"/>
                <w:szCs w:val="21"/>
              </w:rPr>
            </w:pPr>
          </w:p>
        </w:tc>
        <w:tc>
          <w:tcPr>
            <w:tcW w:w="384"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left"/>
              <w:textAlignment w:val="center"/>
              <w:rPr>
                <w:rFonts w:ascii="宋体" w:hAnsi="宋体" w:cs="宋体"/>
                <w:color w:val="auto"/>
                <w:szCs w:val="21"/>
              </w:rPr>
            </w:pPr>
            <w:r>
              <w:rPr>
                <w:rFonts w:hint="eastAsia" w:ascii="宋体" w:hAnsi="宋体" w:cs="宋体"/>
                <w:color w:val="auto"/>
                <w:kern w:val="0"/>
                <w:szCs w:val="21"/>
                <w:lang w:bidi="ar"/>
              </w:rPr>
              <w:t>100万元及以上</w:t>
            </w:r>
          </w:p>
        </w:tc>
        <w:tc>
          <w:tcPr>
            <w:tcW w:w="373"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left"/>
              <w:textAlignment w:val="center"/>
              <w:rPr>
                <w:rFonts w:ascii="宋体" w:hAnsi="宋体" w:cs="宋体"/>
                <w:color w:val="auto"/>
                <w:szCs w:val="21"/>
              </w:rPr>
            </w:pPr>
            <w:r>
              <w:rPr>
                <w:rFonts w:hint="eastAsia" w:ascii="宋体" w:hAnsi="宋体" w:cs="宋体"/>
                <w:color w:val="auto"/>
                <w:kern w:val="0"/>
                <w:szCs w:val="21"/>
                <w:lang w:bidi="ar"/>
              </w:rPr>
              <w:t>2000万元及以上</w:t>
            </w:r>
          </w:p>
        </w:tc>
        <w:tc>
          <w:tcPr>
            <w:tcW w:w="397"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rPr>
                <w:rFonts w:ascii="宋体" w:hAnsi="宋体" w:cs="宋体"/>
                <w:color w:val="auto"/>
                <w:szCs w:val="21"/>
              </w:rPr>
            </w:pPr>
          </w:p>
        </w:tc>
        <w:tc>
          <w:tcPr>
            <w:tcW w:w="343"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left"/>
              <w:textAlignment w:val="center"/>
              <w:rPr>
                <w:rFonts w:ascii="宋体" w:hAnsi="宋体" w:cs="宋体"/>
                <w:color w:val="auto"/>
                <w:szCs w:val="21"/>
              </w:rPr>
            </w:pPr>
            <w:r>
              <w:rPr>
                <w:rFonts w:hint="eastAsia" w:ascii="宋体" w:hAnsi="宋体" w:cs="宋体"/>
                <w:color w:val="auto"/>
                <w:kern w:val="0"/>
                <w:szCs w:val="21"/>
                <w:lang w:bidi="ar"/>
              </w:rPr>
              <w:t>100万元以下</w:t>
            </w:r>
          </w:p>
        </w:tc>
        <w:tc>
          <w:tcPr>
            <w:tcW w:w="347" w:type="pct"/>
            <w:tcBorders>
              <w:top w:val="single" w:color="000000" w:sz="4" w:space="0"/>
              <w:left w:val="single" w:color="000000" w:sz="4" w:space="0"/>
              <w:bottom w:val="single" w:color="000000" w:sz="4" w:space="0"/>
              <w:right w:val="single" w:color="000000" w:sz="8" w:space="0"/>
            </w:tcBorders>
            <w:shd w:val="clear" w:color="auto" w:fill="auto"/>
            <w:tcMar>
              <w:top w:w="15" w:type="dxa"/>
              <w:left w:w="15" w:type="dxa"/>
              <w:right w:w="15" w:type="dxa"/>
            </w:tcMar>
            <w:vAlign w:val="center"/>
          </w:tcPr>
          <w:p>
            <w:pPr>
              <w:widowControl/>
              <w:jc w:val="left"/>
              <w:textAlignment w:val="center"/>
              <w:rPr>
                <w:rFonts w:ascii="宋体" w:hAnsi="宋体" w:cs="宋体"/>
                <w:color w:val="auto"/>
                <w:szCs w:val="21"/>
              </w:rPr>
            </w:pPr>
            <w:r>
              <w:rPr>
                <w:rFonts w:hint="eastAsia" w:ascii="宋体" w:hAnsi="宋体" w:cs="宋体"/>
                <w:color w:val="auto"/>
                <w:kern w:val="0"/>
                <w:szCs w:val="21"/>
                <w:lang w:bidi="ar"/>
              </w:rPr>
              <w:t>2000万元以下</w:t>
            </w:r>
          </w:p>
        </w:tc>
      </w:tr>
      <w:tr>
        <w:tblPrEx>
          <w:tblCellMar>
            <w:top w:w="0" w:type="dxa"/>
            <w:left w:w="0" w:type="dxa"/>
            <w:bottom w:w="0" w:type="dxa"/>
            <w:right w:w="0" w:type="dxa"/>
          </w:tblCellMar>
        </w:tblPrEx>
        <w:trPr>
          <w:trHeight w:val="420" w:hRule="atLeast"/>
        </w:trPr>
        <w:tc>
          <w:tcPr>
            <w:tcW w:w="583" w:type="pct"/>
            <w:tcBorders>
              <w:top w:val="single" w:color="000000" w:sz="4" w:space="0"/>
              <w:left w:val="single" w:color="000000" w:sz="8" w:space="0"/>
              <w:bottom w:val="single" w:color="000000" w:sz="4" w:space="0"/>
              <w:right w:val="single" w:color="000000" w:sz="4" w:space="0"/>
            </w:tcBorders>
            <w:shd w:val="clear" w:color="auto" w:fill="auto"/>
            <w:tcMar>
              <w:top w:w="15" w:type="dxa"/>
              <w:left w:w="15" w:type="dxa"/>
              <w:right w:w="15" w:type="dxa"/>
            </w:tcMar>
            <w:vAlign w:val="center"/>
          </w:tcPr>
          <w:p>
            <w:pPr>
              <w:widowControl/>
              <w:jc w:val="left"/>
              <w:textAlignment w:val="center"/>
              <w:rPr>
                <w:rFonts w:ascii="宋体" w:hAnsi="宋体" w:cs="宋体"/>
                <w:color w:val="auto"/>
                <w:szCs w:val="21"/>
              </w:rPr>
            </w:pPr>
            <w:r>
              <w:rPr>
                <w:rFonts w:hint="eastAsia" w:ascii="宋体" w:hAnsi="宋体" w:cs="宋体"/>
                <w:color w:val="auto"/>
                <w:kern w:val="0"/>
                <w:szCs w:val="21"/>
                <w:lang w:bidi="ar"/>
              </w:rPr>
              <w:t>物业管理</w:t>
            </w:r>
          </w:p>
        </w:tc>
        <w:tc>
          <w:tcPr>
            <w:tcW w:w="332"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left"/>
              <w:textAlignment w:val="center"/>
              <w:rPr>
                <w:rFonts w:ascii="宋体" w:hAnsi="宋体" w:cs="宋体"/>
                <w:color w:val="auto"/>
                <w:szCs w:val="21"/>
              </w:rPr>
            </w:pPr>
            <w:r>
              <w:rPr>
                <w:rFonts w:hint="eastAsia" w:ascii="宋体" w:hAnsi="宋体" w:cs="宋体"/>
                <w:color w:val="auto"/>
                <w:kern w:val="0"/>
                <w:szCs w:val="21"/>
                <w:lang w:bidi="ar"/>
              </w:rPr>
              <w:t>1000人以下</w:t>
            </w:r>
          </w:p>
        </w:tc>
        <w:tc>
          <w:tcPr>
            <w:tcW w:w="381"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left"/>
              <w:textAlignment w:val="center"/>
              <w:rPr>
                <w:rFonts w:ascii="宋体" w:hAnsi="宋体" w:cs="宋体"/>
                <w:color w:val="auto"/>
                <w:szCs w:val="21"/>
              </w:rPr>
            </w:pPr>
            <w:r>
              <w:rPr>
                <w:rFonts w:hint="eastAsia" w:ascii="宋体" w:hAnsi="宋体" w:cs="宋体"/>
                <w:color w:val="auto"/>
                <w:kern w:val="0"/>
                <w:szCs w:val="21"/>
                <w:lang w:bidi="ar"/>
              </w:rPr>
              <w:t>5000万元以下</w:t>
            </w:r>
          </w:p>
        </w:tc>
        <w:tc>
          <w:tcPr>
            <w:tcW w:w="409"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rPr>
                <w:rFonts w:ascii="宋体" w:hAnsi="宋体" w:cs="宋体"/>
                <w:color w:val="auto"/>
                <w:szCs w:val="21"/>
              </w:rPr>
            </w:pPr>
          </w:p>
        </w:tc>
        <w:tc>
          <w:tcPr>
            <w:tcW w:w="333"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left"/>
              <w:textAlignment w:val="center"/>
              <w:rPr>
                <w:rFonts w:ascii="宋体" w:hAnsi="宋体" w:cs="宋体"/>
                <w:color w:val="auto"/>
                <w:szCs w:val="21"/>
              </w:rPr>
            </w:pPr>
            <w:r>
              <w:rPr>
                <w:rFonts w:hint="eastAsia" w:ascii="宋体" w:hAnsi="宋体" w:cs="宋体"/>
                <w:color w:val="auto"/>
                <w:kern w:val="0"/>
                <w:szCs w:val="21"/>
                <w:lang w:bidi="ar"/>
              </w:rPr>
              <w:t>300人及以上</w:t>
            </w:r>
          </w:p>
        </w:tc>
        <w:tc>
          <w:tcPr>
            <w:tcW w:w="392"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left"/>
              <w:textAlignment w:val="center"/>
              <w:rPr>
                <w:rFonts w:ascii="宋体" w:hAnsi="宋体" w:cs="宋体"/>
                <w:color w:val="auto"/>
                <w:szCs w:val="21"/>
              </w:rPr>
            </w:pPr>
            <w:r>
              <w:rPr>
                <w:rFonts w:hint="eastAsia" w:ascii="宋体" w:hAnsi="宋体" w:cs="宋体"/>
                <w:color w:val="auto"/>
                <w:kern w:val="0"/>
                <w:szCs w:val="21"/>
                <w:lang w:bidi="ar"/>
              </w:rPr>
              <w:t>1000万元及以上</w:t>
            </w:r>
          </w:p>
        </w:tc>
        <w:tc>
          <w:tcPr>
            <w:tcW w:w="391"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rPr>
                <w:rFonts w:ascii="宋体" w:hAnsi="宋体" w:cs="宋体"/>
                <w:color w:val="auto"/>
                <w:szCs w:val="21"/>
              </w:rPr>
            </w:pPr>
          </w:p>
        </w:tc>
        <w:tc>
          <w:tcPr>
            <w:tcW w:w="329"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left"/>
              <w:textAlignment w:val="center"/>
              <w:rPr>
                <w:rFonts w:ascii="宋体" w:hAnsi="宋体" w:cs="宋体"/>
                <w:color w:val="auto"/>
                <w:szCs w:val="21"/>
              </w:rPr>
            </w:pPr>
            <w:r>
              <w:rPr>
                <w:rFonts w:hint="eastAsia" w:ascii="宋体" w:hAnsi="宋体" w:cs="宋体"/>
                <w:color w:val="auto"/>
                <w:kern w:val="0"/>
                <w:szCs w:val="21"/>
                <w:lang w:bidi="ar"/>
              </w:rPr>
              <w:t>100人及以上</w:t>
            </w:r>
          </w:p>
        </w:tc>
        <w:tc>
          <w:tcPr>
            <w:tcW w:w="384"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left"/>
              <w:textAlignment w:val="center"/>
              <w:rPr>
                <w:rFonts w:ascii="宋体" w:hAnsi="宋体" w:cs="宋体"/>
                <w:color w:val="auto"/>
                <w:szCs w:val="21"/>
              </w:rPr>
            </w:pPr>
            <w:r>
              <w:rPr>
                <w:rFonts w:hint="eastAsia" w:ascii="宋体" w:hAnsi="宋体" w:cs="宋体"/>
                <w:color w:val="auto"/>
                <w:kern w:val="0"/>
                <w:szCs w:val="21"/>
                <w:lang w:bidi="ar"/>
              </w:rPr>
              <w:t>500万元及以上</w:t>
            </w:r>
          </w:p>
        </w:tc>
        <w:tc>
          <w:tcPr>
            <w:tcW w:w="373"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rPr>
                <w:rFonts w:ascii="宋体" w:hAnsi="宋体" w:cs="宋体"/>
                <w:color w:val="auto"/>
                <w:szCs w:val="21"/>
              </w:rPr>
            </w:pPr>
          </w:p>
        </w:tc>
        <w:tc>
          <w:tcPr>
            <w:tcW w:w="397"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left"/>
              <w:textAlignment w:val="center"/>
              <w:rPr>
                <w:rFonts w:ascii="宋体" w:hAnsi="宋体" w:cs="宋体"/>
                <w:color w:val="auto"/>
                <w:szCs w:val="21"/>
              </w:rPr>
            </w:pPr>
            <w:r>
              <w:rPr>
                <w:rFonts w:hint="eastAsia" w:ascii="宋体" w:hAnsi="宋体" w:cs="宋体"/>
                <w:color w:val="auto"/>
                <w:kern w:val="0"/>
                <w:szCs w:val="21"/>
                <w:lang w:bidi="ar"/>
              </w:rPr>
              <w:t>100人以下</w:t>
            </w:r>
          </w:p>
        </w:tc>
        <w:tc>
          <w:tcPr>
            <w:tcW w:w="343"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left"/>
              <w:textAlignment w:val="center"/>
              <w:rPr>
                <w:rFonts w:ascii="宋体" w:hAnsi="宋体" w:cs="宋体"/>
                <w:color w:val="auto"/>
                <w:szCs w:val="21"/>
              </w:rPr>
            </w:pPr>
            <w:r>
              <w:rPr>
                <w:rFonts w:hint="eastAsia" w:ascii="宋体" w:hAnsi="宋体" w:cs="宋体"/>
                <w:color w:val="auto"/>
                <w:kern w:val="0"/>
                <w:szCs w:val="21"/>
                <w:lang w:bidi="ar"/>
              </w:rPr>
              <w:t>500万元以下</w:t>
            </w:r>
          </w:p>
        </w:tc>
        <w:tc>
          <w:tcPr>
            <w:tcW w:w="347" w:type="pct"/>
            <w:tcBorders>
              <w:top w:val="single" w:color="000000" w:sz="4" w:space="0"/>
              <w:left w:val="single" w:color="000000" w:sz="4" w:space="0"/>
              <w:bottom w:val="single" w:color="000000" w:sz="4" w:space="0"/>
              <w:right w:val="single" w:color="000000" w:sz="8" w:space="0"/>
            </w:tcBorders>
            <w:shd w:val="clear" w:color="auto" w:fill="auto"/>
            <w:tcMar>
              <w:top w:w="15" w:type="dxa"/>
              <w:left w:w="15" w:type="dxa"/>
              <w:right w:w="15" w:type="dxa"/>
            </w:tcMar>
            <w:vAlign w:val="center"/>
          </w:tcPr>
          <w:p>
            <w:pPr>
              <w:rPr>
                <w:rFonts w:ascii="宋体" w:hAnsi="宋体" w:cs="宋体"/>
                <w:color w:val="auto"/>
                <w:szCs w:val="21"/>
              </w:rPr>
            </w:pPr>
          </w:p>
        </w:tc>
      </w:tr>
      <w:tr>
        <w:tblPrEx>
          <w:tblCellMar>
            <w:top w:w="0" w:type="dxa"/>
            <w:left w:w="0" w:type="dxa"/>
            <w:bottom w:w="0" w:type="dxa"/>
            <w:right w:w="0" w:type="dxa"/>
          </w:tblCellMar>
        </w:tblPrEx>
        <w:trPr>
          <w:trHeight w:val="420" w:hRule="atLeast"/>
        </w:trPr>
        <w:tc>
          <w:tcPr>
            <w:tcW w:w="583" w:type="pct"/>
            <w:tcBorders>
              <w:top w:val="single" w:color="000000" w:sz="4" w:space="0"/>
              <w:left w:val="single" w:color="000000" w:sz="8" w:space="0"/>
              <w:bottom w:val="single" w:color="000000" w:sz="4" w:space="0"/>
              <w:right w:val="single" w:color="000000" w:sz="4" w:space="0"/>
            </w:tcBorders>
            <w:shd w:val="clear" w:color="auto" w:fill="auto"/>
            <w:tcMar>
              <w:top w:w="15" w:type="dxa"/>
              <w:left w:w="15" w:type="dxa"/>
              <w:right w:w="15" w:type="dxa"/>
            </w:tcMar>
            <w:vAlign w:val="center"/>
          </w:tcPr>
          <w:p>
            <w:pPr>
              <w:widowControl/>
              <w:jc w:val="left"/>
              <w:textAlignment w:val="center"/>
              <w:rPr>
                <w:rFonts w:ascii="宋体" w:hAnsi="宋体" w:cs="宋体"/>
                <w:color w:val="auto"/>
                <w:szCs w:val="21"/>
              </w:rPr>
            </w:pPr>
            <w:r>
              <w:rPr>
                <w:rFonts w:hint="eastAsia" w:ascii="宋体" w:hAnsi="宋体" w:cs="宋体"/>
                <w:color w:val="auto"/>
                <w:kern w:val="0"/>
                <w:szCs w:val="21"/>
                <w:lang w:bidi="ar"/>
              </w:rPr>
              <w:t>租赁和商务服务业</w:t>
            </w:r>
          </w:p>
        </w:tc>
        <w:tc>
          <w:tcPr>
            <w:tcW w:w="332"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left"/>
              <w:textAlignment w:val="center"/>
              <w:rPr>
                <w:rFonts w:ascii="宋体" w:hAnsi="宋体" w:cs="宋体"/>
                <w:color w:val="auto"/>
                <w:szCs w:val="21"/>
              </w:rPr>
            </w:pPr>
            <w:r>
              <w:rPr>
                <w:rFonts w:hint="eastAsia" w:ascii="宋体" w:hAnsi="宋体" w:cs="宋体"/>
                <w:color w:val="auto"/>
                <w:kern w:val="0"/>
                <w:szCs w:val="21"/>
                <w:lang w:bidi="ar"/>
              </w:rPr>
              <w:t>300人以下</w:t>
            </w:r>
          </w:p>
        </w:tc>
        <w:tc>
          <w:tcPr>
            <w:tcW w:w="381"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rPr>
                <w:rFonts w:ascii="宋体" w:hAnsi="宋体" w:cs="宋体"/>
                <w:color w:val="auto"/>
                <w:szCs w:val="21"/>
              </w:rPr>
            </w:pPr>
          </w:p>
        </w:tc>
        <w:tc>
          <w:tcPr>
            <w:tcW w:w="409"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left"/>
              <w:textAlignment w:val="center"/>
              <w:rPr>
                <w:rFonts w:ascii="宋体" w:hAnsi="宋体" w:cs="宋体"/>
                <w:color w:val="auto"/>
                <w:szCs w:val="21"/>
              </w:rPr>
            </w:pPr>
            <w:r>
              <w:rPr>
                <w:rFonts w:hint="eastAsia" w:ascii="宋体" w:hAnsi="宋体" w:cs="宋体"/>
                <w:color w:val="auto"/>
                <w:kern w:val="0"/>
                <w:szCs w:val="21"/>
                <w:lang w:bidi="ar"/>
              </w:rPr>
              <w:t>120000万元以下</w:t>
            </w:r>
          </w:p>
        </w:tc>
        <w:tc>
          <w:tcPr>
            <w:tcW w:w="333"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left"/>
              <w:textAlignment w:val="center"/>
              <w:rPr>
                <w:rFonts w:ascii="宋体" w:hAnsi="宋体" w:cs="宋体"/>
                <w:color w:val="auto"/>
                <w:szCs w:val="21"/>
              </w:rPr>
            </w:pPr>
            <w:r>
              <w:rPr>
                <w:rFonts w:hint="eastAsia" w:ascii="宋体" w:hAnsi="宋体" w:cs="宋体"/>
                <w:color w:val="auto"/>
                <w:kern w:val="0"/>
                <w:szCs w:val="21"/>
                <w:lang w:bidi="ar"/>
              </w:rPr>
              <w:t>100人及以上</w:t>
            </w:r>
          </w:p>
        </w:tc>
        <w:tc>
          <w:tcPr>
            <w:tcW w:w="392"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rPr>
                <w:rFonts w:ascii="宋体" w:hAnsi="宋体" w:cs="宋体"/>
                <w:color w:val="auto"/>
                <w:szCs w:val="21"/>
              </w:rPr>
            </w:pPr>
          </w:p>
        </w:tc>
        <w:tc>
          <w:tcPr>
            <w:tcW w:w="391"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left"/>
              <w:textAlignment w:val="center"/>
              <w:rPr>
                <w:rFonts w:ascii="宋体" w:hAnsi="宋体" w:cs="宋体"/>
                <w:color w:val="auto"/>
                <w:szCs w:val="21"/>
              </w:rPr>
            </w:pPr>
            <w:r>
              <w:rPr>
                <w:rFonts w:hint="eastAsia" w:ascii="宋体" w:hAnsi="宋体" w:cs="宋体"/>
                <w:color w:val="auto"/>
                <w:kern w:val="0"/>
                <w:szCs w:val="21"/>
                <w:lang w:bidi="ar"/>
              </w:rPr>
              <w:t>8000万元及以上</w:t>
            </w:r>
          </w:p>
        </w:tc>
        <w:tc>
          <w:tcPr>
            <w:tcW w:w="329"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left"/>
              <w:textAlignment w:val="center"/>
              <w:rPr>
                <w:rFonts w:ascii="宋体" w:hAnsi="宋体" w:cs="宋体"/>
                <w:color w:val="auto"/>
                <w:szCs w:val="21"/>
              </w:rPr>
            </w:pPr>
            <w:r>
              <w:rPr>
                <w:rFonts w:hint="eastAsia" w:ascii="宋体" w:hAnsi="宋体" w:cs="宋体"/>
                <w:color w:val="auto"/>
                <w:kern w:val="0"/>
                <w:szCs w:val="21"/>
                <w:lang w:bidi="ar"/>
              </w:rPr>
              <w:t>10人及以上</w:t>
            </w:r>
          </w:p>
        </w:tc>
        <w:tc>
          <w:tcPr>
            <w:tcW w:w="384"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rPr>
                <w:rFonts w:ascii="宋体" w:hAnsi="宋体" w:cs="宋体"/>
                <w:color w:val="auto"/>
                <w:szCs w:val="21"/>
              </w:rPr>
            </w:pPr>
          </w:p>
        </w:tc>
        <w:tc>
          <w:tcPr>
            <w:tcW w:w="373"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left"/>
              <w:textAlignment w:val="center"/>
              <w:rPr>
                <w:rFonts w:ascii="宋体" w:hAnsi="宋体" w:cs="宋体"/>
                <w:color w:val="auto"/>
                <w:szCs w:val="21"/>
              </w:rPr>
            </w:pPr>
            <w:r>
              <w:rPr>
                <w:rFonts w:hint="eastAsia" w:ascii="宋体" w:hAnsi="宋体" w:cs="宋体"/>
                <w:color w:val="auto"/>
                <w:kern w:val="0"/>
                <w:szCs w:val="21"/>
                <w:lang w:bidi="ar"/>
              </w:rPr>
              <w:t>100万元及以上</w:t>
            </w:r>
          </w:p>
        </w:tc>
        <w:tc>
          <w:tcPr>
            <w:tcW w:w="397"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left"/>
              <w:textAlignment w:val="center"/>
              <w:rPr>
                <w:rFonts w:ascii="宋体" w:hAnsi="宋体" w:cs="宋体"/>
                <w:color w:val="auto"/>
                <w:szCs w:val="21"/>
              </w:rPr>
            </w:pPr>
            <w:r>
              <w:rPr>
                <w:rFonts w:hint="eastAsia" w:ascii="宋体" w:hAnsi="宋体" w:cs="宋体"/>
                <w:color w:val="auto"/>
                <w:kern w:val="0"/>
                <w:szCs w:val="21"/>
                <w:lang w:bidi="ar"/>
              </w:rPr>
              <w:t>10人以下</w:t>
            </w:r>
          </w:p>
        </w:tc>
        <w:tc>
          <w:tcPr>
            <w:tcW w:w="343"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rPr>
                <w:rFonts w:ascii="宋体" w:hAnsi="宋体" w:cs="宋体"/>
                <w:color w:val="auto"/>
                <w:szCs w:val="21"/>
              </w:rPr>
            </w:pPr>
          </w:p>
        </w:tc>
        <w:tc>
          <w:tcPr>
            <w:tcW w:w="347" w:type="pct"/>
            <w:tcBorders>
              <w:top w:val="single" w:color="000000" w:sz="4" w:space="0"/>
              <w:left w:val="single" w:color="000000" w:sz="4" w:space="0"/>
              <w:bottom w:val="single" w:color="000000" w:sz="4" w:space="0"/>
              <w:right w:val="single" w:color="000000" w:sz="8" w:space="0"/>
            </w:tcBorders>
            <w:shd w:val="clear" w:color="auto" w:fill="auto"/>
            <w:tcMar>
              <w:top w:w="15" w:type="dxa"/>
              <w:left w:w="15" w:type="dxa"/>
              <w:right w:w="15" w:type="dxa"/>
            </w:tcMar>
            <w:vAlign w:val="center"/>
          </w:tcPr>
          <w:p>
            <w:pPr>
              <w:widowControl/>
              <w:jc w:val="left"/>
              <w:textAlignment w:val="center"/>
              <w:rPr>
                <w:rFonts w:ascii="宋体" w:hAnsi="宋体" w:cs="宋体"/>
                <w:color w:val="auto"/>
                <w:szCs w:val="21"/>
              </w:rPr>
            </w:pPr>
            <w:r>
              <w:rPr>
                <w:rFonts w:hint="eastAsia" w:ascii="宋体" w:hAnsi="宋体" w:cs="宋体"/>
                <w:color w:val="auto"/>
                <w:kern w:val="0"/>
                <w:szCs w:val="21"/>
                <w:lang w:bidi="ar"/>
              </w:rPr>
              <w:t>100万元以下</w:t>
            </w:r>
          </w:p>
        </w:tc>
      </w:tr>
      <w:tr>
        <w:tblPrEx>
          <w:tblCellMar>
            <w:top w:w="0" w:type="dxa"/>
            <w:left w:w="0" w:type="dxa"/>
            <w:bottom w:w="0" w:type="dxa"/>
            <w:right w:w="0" w:type="dxa"/>
          </w:tblCellMar>
        </w:tblPrEx>
        <w:trPr>
          <w:trHeight w:val="1065" w:hRule="atLeast"/>
        </w:trPr>
        <w:tc>
          <w:tcPr>
            <w:tcW w:w="583" w:type="pct"/>
            <w:tcBorders>
              <w:top w:val="single" w:color="000000" w:sz="4" w:space="0"/>
              <w:left w:val="single" w:color="000000" w:sz="8" w:space="0"/>
              <w:bottom w:val="single" w:color="000000" w:sz="8" w:space="0"/>
              <w:right w:val="single" w:color="000000" w:sz="4" w:space="0"/>
            </w:tcBorders>
            <w:shd w:val="clear" w:color="auto" w:fill="auto"/>
            <w:tcMar>
              <w:top w:w="15" w:type="dxa"/>
              <w:left w:w="15" w:type="dxa"/>
              <w:right w:w="15" w:type="dxa"/>
            </w:tcMar>
            <w:vAlign w:val="center"/>
          </w:tcPr>
          <w:p>
            <w:pPr>
              <w:widowControl/>
              <w:jc w:val="left"/>
              <w:textAlignment w:val="center"/>
              <w:rPr>
                <w:rFonts w:ascii="宋体" w:hAnsi="宋体" w:cs="宋体"/>
                <w:color w:val="auto"/>
                <w:szCs w:val="21"/>
              </w:rPr>
            </w:pPr>
            <w:r>
              <w:rPr>
                <w:rFonts w:hint="eastAsia" w:ascii="宋体" w:hAnsi="宋体" w:cs="宋体"/>
                <w:color w:val="auto"/>
                <w:kern w:val="0"/>
                <w:szCs w:val="21"/>
                <w:lang w:bidi="ar"/>
              </w:rPr>
              <w:t>其他未列明行业（包括科学研究和技术服务业，水利、环境和公共设施管理业，居民服务、修理和其他服务业，社会工作，文化、体育和娱乐业等）</w:t>
            </w:r>
          </w:p>
        </w:tc>
        <w:tc>
          <w:tcPr>
            <w:tcW w:w="332" w:type="pct"/>
            <w:tcBorders>
              <w:top w:val="single" w:color="000000" w:sz="4" w:space="0"/>
              <w:left w:val="single" w:color="000000" w:sz="4" w:space="0"/>
              <w:bottom w:val="single" w:color="000000" w:sz="8" w:space="0"/>
              <w:right w:val="single" w:color="000000" w:sz="4" w:space="0"/>
            </w:tcBorders>
            <w:shd w:val="clear" w:color="auto" w:fill="auto"/>
            <w:tcMar>
              <w:top w:w="15" w:type="dxa"/>
              <w:left w:w="15" w:type="dxa"/>
              <w:right w:w="15" w:type="dxa"/>
            </w:tcMar>
            <w:vAlign w:val="center"/>
          </w:tcPr>
          <w:p>
            <w:pPr>
              <w:widowControl/>
              <w:jc w:val="left"/>
              <w:textAlignment w:val="center"/>
              <w:rPr>
                <w:rFonts w:ascii="宋体" w:hAnsi="宋体" w:cs="宋体"/>
                <w:color w:val="auto"/>
                <w:szCs w:val="21"/>
              </w:rPr>
            </w:pPr>
            <w:r>
              <w:rPr>
                <w:rFonts w:hint="eastAsia" w:ascii="宋体" w:hAnsi="宋体" w:cs="宋体"/>
                <w:color w:val="auto"/>
                <w:kern w:val="0"/>
                <w:szCs w:val="21"/>
                <w:lang w:bidi="ar"/>
              </w:rPr>
              <w:t>300人以下</w:t>
            </w:r>
          </w:p>
        </w:tc>
        <w:tc>
          <w:tcPr>
            <w:tcW w:w="381" w:type="pct"/>
            <w:tcBorders>
              <w:top w:val="single" w:color="000000" w:sz="4" w:space="0"/>
              <w:left w:val="single" w:color="000000" w:sz="4" w:space="0"/>
              <w:bottom w:val="single" w:color="000000" w:sz="8" w:space="0"/>
              <w:right w:val="single" w:color="000000" w:sz="4" w:space="0"/>
            </w:tcBorders>
            <w:shd w:val="clear" w:color="auto" w:fill="auto"/>
            <w:tcMar>
              <w:top w:w="15" w:type="dxa"/>
              <w:left w:w="15" w:type="dxa"/>
              <w:right w:w="15" w:type="dxa"/>
            </w:tcMar>
            <w:vAlign w:val="center"/>
          </w:tcPr>
          <w:p>
            <w:pPr>
              <w:rPr>
                <w:rFonts w:ascii="宋体" w:hAnsi="宋体" w:cs="宋体"/>
                <w:color w:val="auto"/>
                <w:szCs w:val="21"/>
              </w:rPr>
            </w:pPr>
          </w:p>
        </w:tc>
        <w:tc>
          <w:tcPr>
            <w:tcW w:w="409" w:type="pct"/>
            <w:tcBorders>
              <w:top w:val="single" w:color="000000" w:sz="4" w:space="0"/>
              <w:left w:val="single" w:color="000000" w:sz="4" w:space="0"/>
              <w:bottom w:val="single" w:color="000000" w:sz="8" w:space="0"/>
              <w:right w:val="single" w:color="000000" w:sz="4" w:space="0"/>
            </w:tcBorders>
            <w:shd w:val="clear" w:color="auto" w:fill="auto"/>
            <w:tcMar>
              <w:top w:w="15" w:type="dxa"/>
              <w:left w:w="15" w:type="dxa"/>
              <w:right w:w="15" w:type="dxa"/>
            </w:tcMar>
            <w:vAlign w:val="center"/>
          </w:tcPr>
          <w:p>
            <w:pPr>
              <w:rPr>
                <w:rFonts w:ascii="宋体" w:hAnsi="宋体" w:cs="宋体"/>
                <w:color w:val="auto"/>
                <w:szCs w:val="21"/>
              </w:rPr>
            </w:pPr>
          </w:p>
        </w:tc>
        <w:tc>
          <w:tcPr>
            <w:tcW w:w="333" w:type="pct"/>
            <w:tcBorders>
              <w:top w:val="single" w:color="000000" w:sz="4" w:space="0"/>
              <w:left w:val="single" w:color="000000" w:sz="4" w:space="0"/>
              <w:bottom w:val="single" w:color="000000" w:sz="8" w:space="0"/>
              <w:right w:val="single" w:color="000000" w:sz="4" w:space="0"/>
            </w:tcBorders>
            <w:shd w:val="clear" w:color="auto" w:fill="auto"/>
            <w:tcMar>
              <w:top w:w="15" w:type="dxa"/>
              <w:left w:w="15" w:type="dxa"/>
              <w:right w:w="15" w:type="dxa"/>
            </w:tcMar>
            <w:vAlign w:val="center"/>
          </w:tcPr>
          <w:p>
            <w:pPr>
              <w:widowControl/>
              <w:jc w:val="left"/>
              <w:textAlignment w:val="center"/>
              <w:rPr>
                <w:rFonts w:ascii="宋体" w:hAnsi="宋体" w:cs="宋体"/>
                <w:color w:val="auto"/>
                <w:szCs w:val="21"/>
              </w:rPr>
            </w:pPr>
            <w:r>
              <w:rPr>
                <w:rFonts w:hint="eastAsia" w:ascii="宋体" w:hAnsi="宋体" w:cs="宋体"/>
                <w:color w:val="auto"/>
                <w:kern w:val="0"/>
                <w:szCs w:val="21"/>
                <w:lang w:bidi="ar"/>
              </w:rPr>
              <w:t>100人及以上</w:t>
            </w:r>
          </w:p>
        </w:tc>
        <w:tc>
          <w:tcPr>
            <w:tcW w:w="392" w:type="pct"/>
            <w:tcBorders>
              <w:top w:val="single" w:color="000000" w:sz="4" w:space="0"/>
              <w:left w:val="single" w:color="000000" w:sz="4" w:space="0"/>
              <w:bottom w:val="single" w:color="000000" w:sz="8" w:space="0"/>
              <w:right w:val="single" w:color="000000" w:sz="4" w:space="0"/>
            </w:tcBorders>
            <w:shd w:val="clear" w:color="auto" w:fill="auto"/>
            <w:tcMar>
              <w:top w:w="15" w:type="dxa"/>
              <w:left w:w="15" w:type="dxa"/>
              <w:right w:w="15" w:type="dxa"/>
            </w:tcMar>
            <w:vAlign w:val="center"/>
          </w:tcPr>
          <w:p>
            <w:pPr>
              <w:rPr>
                <w:rFonts w:ascii="宋体" w:hAnsi="宋体" w:cs="宋体"/>
                <w:color w:val="auto"/>
                <w:szCs w:val="21"/>
              </w:rPr>
            </w:pPr>
          </w:p>
        </w:tc>
        <w:tc>
          <w:tcPr>
            <w:tcW w:w="391" w:type="pct"/>
            <w:tcBorders>
              <w:top w:val="single" w:color="000000" w:sz="4" w:space="0"/>
              <w:left w:val="single" w:color="000000" w:sz="4" w:space="0"/>
              <w:bottom w:val="single" w:color="000000" w:sz="8" w:space="0"/>
              <w:right w:val="single" w:color="000000" w:sz="4" w:space="0"/>
            </w:tcBorders>
            <w:shd w:val="clear" w:color="auto" w:fill="auto"/>
            <w:tcMar>
              <w:top w:w="15" w:type="dxa"/>
              <w:left w:w="15" w:type="dxa"/>
              <w:right w:w="15" w:type="dxa"/>
            </w:tcMar>
            <w:vAlign w:val="center"/>
          </w:tcPr>
          <w:p>
            <w:pPr>
              <w:rPr>
                <w:rFonts w:ascii="宋体" w:hAnsi="宋体" w:cs="宋体"/>
                <w:color w:val="auto"/>
                <w:szCs w:val="21"/>
              </w:rPr>
            </w:pPr>
          </w:p>
        </w:tc>
        <w:tc>
          <w:tcPr>
            <w:tcW w:w="329" w:type="pct"/>
            <w:tcBorders>
              <w:top w:val="single" w:color="000000" w:sz="4" w:space="0"/>
              <w:left w:val="single" w:color="000000" w:sz="4" w:space="0"/>
              <w:bottom w:val="single" w:color="000000" w:sz="8" w:space="0"/>
              <w:right w:val="single" w:color="000000" w:sz="4" w:space="0"/>
            </w:tcBorders>
            <w:shd w:val="clear" w:color="auto" w:fill="auto"/>
            <w:tcMar>
              <w:top w:w="15" w:type="dxa"/>
              <w:left w:w="15" w:type="dxa"/>
              <w:right w:w="15" w:type="dxa"/>
            </w:tcMar>
            <w:vAlign w:val="center"/>
          </w:tcPr>
          <w:p>
            <w:pPr>
              <w:widowControl/>
              <w:jc w:val="left"/>
              <w:textAlignment w:val="center"/>
              <w:rPr>
                <w:rFonts w:ascii="宋体" w:hAnsi="宋体" w:cs="宋体"/>
                <w:color w:val="auto"/>
                <w:szCs w:val="21"/>
              </w:rPr>
            </w:pPr>
            <w:r>
              <w:rPr>
                <w:rFonts w:hint="eastAsia" w:ascii="宋体" w:hAnsi="宋体" w:cs="宋体"/>
                <w:color w:val="auto"/>
                <w:kern w:val="0"/>
                <w:szCs w:val="21"/>
                <w:lang w:bidi="ar"/>
              </w:rPr>
              <w:t>10人及以上</w:t>
            </w:r>
          </w:p>
        </w:tc>
        <w:tc>
          <w:tcPr>
            <w:tcW w:w="384" w:type="pct"/>
            <w:tcBorders>
              <w:top w:val="single" w:color="000000" w:sz="4" w:space="0"/>
              <w:left w:val="single" w:color="000000" w:sz="4" w:space="0"/>
              <w:bottom w:val="single" w:color="000000" w:sz="8" w:space="0"/>
              <w:right w:val="single" w:color="000000" w:sz="4" w:space="0"/>
            </w:tcBorders>
            <w:shd w:val="clear" w:color="auto" w:fill="auto"/>
            <w:tcMar>
              <w:top w:w="15" w:type="dxa"/>
              <w:left w:w="15" w:type="dxa"/>
              <w:right w:w="15" w:type="dxa"/>
            </w:tcMar>
            <w:vAlign w:val="center"/>
          </w:tcPr>
          <w:p>
            <w:pPr>
              <w:rPr>
                <w:rFonts w:ascii="宋体" w:hAnsi="宋体" w:cs="宋体"/>
                <w:color w:val="auto"/>
                <w:szCs w:val="21"/>
              </w:rPr>
            </w:pPr>
          </w:p>
        </w:tc>
        <w:tc>
          <w:tcPr>
            <w:tcW w:w="373" w:type="pct"/>
            <w:tcBorders>
              <w:top w:val="single" w:color="000000" w:sz="4" w:space="0"/>
              <w:left w:val="single" w:color="000000" w:sz="4" w:space="0"/>
              <w:bottom w:val="single" w:color="000000" w:sz="8" w:space="0"/>
              <w:right w:val="single" w:color="000000" w:sz="4" w:space="0"/>
            </w:tcBorders>
            <w:shd w:val="clear" w:color="auto" w:fill="auto"/>
            <w:tcMar>
              <w:top w:w="15" w:type="dxa"/>
              <w:left w:w="15" w:type="dxa"/>
              <w:right w:w="15" w:type="dxa"/>
            </w:tcMar>
            <w:vAlign w:val="center"/>
          </w:tcPr>
          <w:p>
            <w:pPr>
              <w:rPr>
                <w:rFonts w:ascii="宋体" w:hAnsi="宋体" w:cs="宋体"/>
                <w:color w:val="auto"/>
                <w:szCs w:val="21"/>
              </w:rPr>
            </w:pPr>
          </w:p>
        </w:tc>
        <w:tc>
          <w:tcPr>
            <w:tcW w:w="397" w:type="pct"/>
            <w:tcBorders>
              <w:top w:val="single" w:color="000000" w:sz="4" w:space="0"/>
              <w:left w:val="single" w:color="000000" w:sz="4" w:space="0"/>
              <w:bottom w:val="single" w:color="000000" w:sz="8" w:space="0"/>
              <w:right w:val="single" w:color="000000" w:sz="4" w:space="0"/>
            </w:tcBorders>
            <w:shd w:val="clear" w:color="auto" w:fill="auto"/>
            <w:tcMar>
              <w:top w:w="15" w:type="dxa"/>
              <w:left w:w="15" w:type="dxa"/>
              <w:right w:w="15" w:type="dxa"/>
            </w:tcMar>
            <w:vAlign w:val="center"/>
          </w:tcPr>
          <w:p>
            <w:pPr>
              <w:widowControl/>
              <w:jc w:val="left"/>
              <w:textAlignment w:val="center"/>
              <w:rPr>
                <w:rFonts w:ascii="宋体" w:hAnsi="宋体" w:cs="宋体"/>
                <w:color w:val="auto"/>
                <w:szCs w:val="21"/>
              </w:rPr>
            </w:pPr>
            <w:r>
              <w:rPr>
                <w:rFonts w:hint="eastAsia" w:ascii="宋体" w:hAnsi="宋体" w:cs="宋体"/>
                <w:color w:val="auto"/>
                <w:kern w:val="0"/>
                <w:szCs w:val="21"/>
                <w:lang w:bidi="ar"/>
              </w:rPr>
              <w:t>10人以下</w:t>
            </w:r>
          </w:p>
        </w:tc>
        <w:tc>
          <w:tcPr>
            <w:tcW w:w="343" w:type="pct"/>
            <w:tcBorders>
              <w:top w:val="single" w:color="000000" w:sz="4" w:space="0"/>
              <w:left w:val="single" w:color="000000" w:sz="4" w:space="0"/>
              <w:bottom w:val="single" w:color="000000" w:sz="8" w:space="0"/>
              <w:right w:val="single" w:color="000000" w:sz="4" w:space="0"/>
            </w:tcBorders>
            <w:shd w:val="clear" w:color="auto" w:fill="auto"/>
            <w:tcMar>
              <w:top w:w="15" w:type="dxa"/>
              <w:left w:w="15" w:type="dxa"/>
              <w:right w:w="15" w:type="dxa"/>
            </w:tcMar>
            <w:vAlign w:val="center"/>
          </w:tcPr>
          <w:p>
            <w:pPr>
              <w:rPr>
                <w:rFonts w:ascii="宋体" w:hAnsi="宋体" w:cs="宋体"/>
                <w:color w:val="auto"/>
                <w:szCs w:val="21"/>
              </w:rPr>
            </w:pPr>
          </w:p>
        </w:tc>
        <w:tc>
          <w:tcPr>
            <w:tcW w:w="347" w:type="pct"/>
            <w:tcBorders>
              <w:top w:val="single" w:color="000000" w:sz="4" w:space="0"/>
              <w:left w:val="single" w:color="000000" w:sz="4" w:space="0"/>
              <w:bottom w:val="single" w:color="000000" w:sz="8" w:space="0"/>
              <w:right w:val="single" w:color="000000" w:sz="8" w:space="0"/>
            </w:tcBorders>
            <w:shd w:val="clear" w:color="auto" w:fill="auto"/>
            <w:tcMar>
              <w:top w:w="15" w:type="dxa"/>
              <w:left w:w="15" w:type="dxa"/>
              <w:right w:w="15" w:type="dxa"/>
            </w:tcMar>
            <w:vAlign w:val="center"/>
          </w:tcPr>
          <w:p>
            <w:pPr>
              <w:rPr>
                <w:rFonts w:ascii="宋体" w:hAnsi="宋体" w:cs="宋体"/>
                <w:color w:val="auto"/>
                <w:szCs w:val="21"/>
              </w:rPr>
            </w:pPr>
          </w:p>
        </w:tc>
      </w:tr>
      <w:tr>
        <w:tblPrEx>
          <w:tblCellMar>
            <w:top w:w="0" w:type="dxa"/>
            <w:left w:w="0" w:type="dxa"/>
            <w:bottom w:w="0" w:type="dxa"/>
            <w:right w:w="0" w:type="dxa"/>
          </w:tblCellMar>
        </w:tblPrEx>
        <w:trPr>
          <w:trHeight w:val="270" w:hRule="atLeast"/>
        </w:trPr>
        <w:tc>
          <w:tcPr>
            <w:tcW w:w="5000" w:type="pct"/>
            <w:gridSpan w:val="13"/>
            <w:tcBorders>
              <w:top w:val="nil"/>
              <w:left w:val="nil"/>
              <w:bottom w:val="nil"/>
              <w:right w:val="nil"/>
            </w:tcBorders>
            <w:shd w:val="clear" w:color="auto" w:fill="auto"/>
            <w:noWrap/>
            <w:tcMar>
              <w:top w:w="15" w:type="dxa"/>
              <w:left w:w="15" w:type="dxa"/>
              <w:right w:w="15" w:type="dxa"/>
            </w:tcMar>
            <w:vAlign w:val="center"/>
          </w:tcPr>
          <w:p>
            <w:pPr>
              <w:rPr>
                <w:rFonts w:ascii="宋体" w:hAnsi="宋体" w:cs="宋体"/>
                <w:color w:val="auto"/>
                <w:szCs w:val="21"/>
              </w:rPr>
            </w:pPr>
            <w:r>
              <w:rPr>
                <w:rFonts w:hint="eastAsia" w:ascii="宋体" w:hAnsi="宋体" w:cs="宋体"/>
                <w:color w:val="auto"/>
                <w:kern w:val="0"/>
                <w:szCs w:val="21"/>
                <w:lang w:bidi="ar"/>
              </w:rPr>
              <w:t>本规定适用于在中华人民共和国境内依法设立的各类所有制和各种组织形式的企业。</w:t>
            </w:r>
            <w:r>
              <w:rPr>
                <w:rFonts w:hint="eastAsia" w:ascii="宋体" w:hAnsi="宋体" w:cs="宋体"/>
                <w:b/>
                <w:color w:val="auto"/>
                <w:kern w:val="0"/>
                <w:szCs w:val="21"/>
                <w:lang w:bidi="ar"/>
              </w:rPr>
              <w:t>个体工商户</w:t>
            </w:r>
            <w:r>
              <w:rPr>
                <w:rFonts w:hint="eastAsia" w:ascii="宋体" w:hAnsi="宋体" w:cs="宋体"/>
                <w:color w:val="auto"/>
                <w:kern w:val="0"/>
                <w:szCs w:val="21"/>
                <w:lang w:bidi="ar"/>
              </w:rPr>
              <w:t>和本规定以外的行业，参照本规定进行划型。</w:t>
            </w:r>
          </w:p>
        </w:tc>
      </w:tr>
      <w:tr>
        <w:tblPrEx>
          <w:tblCellMar>
            <w:top w:w="0" w:type="dxa"/>
            <w:left w:w="0" w:type="dxa"/>
            <w:bottom w:w="0" w:type="dxa"/>
            <w:right w:w="0" w:type="dxa"/>
          </w:tblCellMar>
        </w:tblPrEx>
        <w:trPr>
          <w:trHeight w:val="270" w:hRule="atLeast"/>
        </w:trPr>
        <w:tc>
          <w:tcPr>
            <w:tcW w:w="5000" w:type="pct"/>
            <w:gridSpan w:val="13"/>
            <w:tcBorders>
              <w:top w:val="nil"/>
              <w:left w:val="nil"/>
              <w:bottom w:val="nil"/>
              <w:right w:val="nil"/>
            </w:tcBorders>
            <w:shd w:val="clear" w:color="auto" w:fill="auto"/>
            <w:noWrap/>
            <w:tcMar>
              <w:top w:w="15" w:type="dxa"/>
              <w:left w:w="15" w:type="dxa"/>
              <w:right w:w="15" w:type="dxa"/>
            </w:tcMar>
            <w:vAlign w:val="center"/>
          </w:tcPr>
          <w:p>
            <w:pPr>
              <w:rPr>
                <w:rFonts w:ascii="宋体" w:hAnsi="宋体" w:cs="宋体"/>
                <w:color w:val="auto"/>
                <w:szCs w:val="21"/>
              </w:rPr>
            </w:pPr>
            <w:r>
              <w:rPr>
                <w:rFonts w:hint="eastAsia" w:ascii="宋体" w:hAnsi="宋体" w:cs="宋体"/>
                <w:color w:val="auto"/>
                <w:kern w:val="0"/>
                <w:szCs w:val="21"/>
                <w:lang w:bidi="ar"/>
              </w:rPr>
              <w:t>本规定的中型企业标准上限即为大型企业标准的下限，国家统计部门据此制定大中小微型企业的统计分类。国务院有关部门据此进行相关数据分析，不得制定与本规定不一致的企业划型标准。</w:t>
            </w:r>
          </w:p>
        </w:tc>
      </w:tr>
    </w:tbl>
    <w:p>
      <w:pPr>
        <w:jc w:val="center"/>
        <w:outlineLvl w:val="1"/>
        <w:rPr>
          <w:rFonts w:asciiTheme="minorEastAsia" w:hAnsiTheme="minorEastAsia" w:eastAsiaTheme="minorEastAsia" w:cstheme="minorEastAsia"/>
          <w:color w:val="auto"/>
          <w:spacing w:val="6"/>
          <w:szCs w:val="21"/>
        </w:rPr>
      </w:pPr>
    </w:p>
    <w:sectPr>
      <w:pgSz w:w="11906" w:h="16838"/>
      <w:pgMar w:top="1417" w:right="1417" w:bottom="1417" w:left="1417"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Cambria">
    <w:panose1 w:val="02040503050406030204"/>
    <w:charset w:val="00"/>
    <w:family w:val="roman"/>
    <w:pitch w:val="default"/>
    <w:sig w:usb0="E00002FF" w:usb1="400004FF" w:usb2="00000000" w:usb3="00000000" w:csb0="2000019F" w:csb1="00000000"/>
  </w:font>
  <w:font w:name="仿宋_GB2312">
    <w:altName w:val="仿宋"/>
    <w:panose1 w:val="00000000000000000000"/>
    <w:charset w:val="86"/>
    <w:family w:val="modern"/>
    <w:pitch w:val="default"/>
    <w:sig w:usb0="00000000" w:usb1="00000000" w:usb2="00000010" w:usb3="00000000" w:csb0="00040000" w:csb1="00000000"/>
  </w:font>
  <w:font w:name="仿宋">
    <w:panose1 w:val="02010609060101010101"/>
    <w:charset w:val="86"/>
    <w:family w:val="auto"/>
    <w:pitch w:val="default"/>
    <w:sig w:usb0="800002BF" w:usb1="38CF7CFA" w:usb2="00000016" w:usb3="00000000" w:csb0="00040001" w:csb1="00000000"/>
  </w:font>
  <w:font w:name="Tahoma">
    <w:panose1 w:val="020B0604030504040204"/>
    <w:charset w:val="00"/>
    <w:family w:val="swiss"/>
    <w:pitch w:val="default"/>
    <w:sig w:usb0="E1002EFF" w:usb1="C000605B" w:usb2="00000029" w:usb3="00000000" w:csb0="200101FF" w:csb1="20280000"/>
  </w:font>
  <w:font w:name="楷体_GB2312">
    <w:altName w:val="楷体"/>
    <w:panose1 w:val="00000000000000000000"/>
    <w:charset w:val="86"/>
    <w:family w:val="modern"/>
    <w:pitch w:val="default"/>
    <w:sig w:usb0="00000000" w:usb1="00000000" w:usb2="00000010" w:usb3="00000000" w:csb0="00040000" w:csb1="00000000"/>
  </w:font>
  <w:font w:name="楷体">
    <w:panose1 w:val="02010609060101010101"/>
    <w:charset w:val="86"/>
    <w:family w:val="auto"/>
    <w:pitch w:val="default"/>
    <w:sig w:usb0="800002BF" w:usb1="38CF7CFA" w:usb2="00000016" w:usb3="00000000" w:csb0="00040001" w:csb1="00000000"/>
  </w:font>
  <w:font w:name="华文仿宋">
    <w:altName w:val="仿宋"/>
    <w:panose1 w:val="02010600040101010101"/>
    <w:charset w:val="86"/>
    <w:family w:val="auto"/>
    <w:pitch w:val="default"/>
    <w:sig w:usb0="00000000" w:usb1="00000000" w:usb2="00000010" w:usb3="00000000" w:csb0="0004009F" w:csb1="00000000"/>
  </w:font>
  <w:font w:name="Verdana">
    <w:panose1 w:val="020B0604030504040204"/>
    <w:charset w:val="00"/>
    <w:family w:val="swiss"/>
    <w:pitch w:val="default"/>
    <w:sig w:usb0="A10006FF" w:usb1="4000205B" w:usb2="00000010" w:usb3="00000000" w:csb0="2000019F" w:csb1="00000000"/>
  </w:font>
  <w:font w:name="font-weight : 400">
    <w:altName w:val="Courier New"/>
    <w:panose1 w:val="00000000000000000000"/>
    <w:charset w:val="00"/>
    <w:family w:val="auto"/>
    <w:pitch w:val="default"/>
    <w:sig w:usb0="00000000" w:usb1="00000000" w:usb2="00000000" w:usb3="00000000" w:csb0="00040001" w:csb1="00000000"/>
  </w:font>
  <w:font w:name="MS Shell Dlg">
    <w:altName w:val="Microsoft Sans Serif"/>
    <w:panose1 w:val="020B0604020202020204"/>
    <w:charset w:val="00"/>
    <w:family w:val="swiss"/>
    <w:pitch w:val="default"/>
    <w:sig w:usb0="00000000" w:usb1="00000000" w:usb2="00000008" w:usb3="00000000" w:csb0="000101FF" w:csb1="00000000"/>
  </w:font>
  <w:font w:name="Microsoft Sans Serif">
    <w:panose1 w:val="020B0604020202020204"/>
    <w:charset w:val="00"/>
    <w:family w:val="auto"/>
    <w:pitch w:val="default"/>
    <w:sig w:usb0="E1002AFF" w:usb1="C0000002" w:usb2="00000008" w:usb3="00000000" w:csb0="200101FF" w:csb1="20280000"/>
  </w:font>
  <w:font w:name="Wingdings 2">
    <w:altName w:val="Wingdings"/>
    <w:panose1 w:val="05020102010507070707"/>
    <w:charset w:val="02"/>
    <w:family w:val="roman"/>
    <w:pitch w:val="default"/>
    <w:sig w:usb0="00000000" w:usb1="00000000" w:usb2="00000000" w:usb3="00000000" w:csb0="80000000" w:csb1="00000000"/>
  </w:font>
  <w:font w:name="微软雅黑">
    <w:panose1 w:val="020B0503020204020204"/>
    <w:charset w:val="86"/>
    <w:family w:val="swiss"/>
    <w:pitch w:val="default"/>
    <w:sig w:usb0="80000287" w:usb1="280F3C52" w:usb2="00000016" w:usb3="00000000" w:csb0="0004001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9"/>
      <w:ind w:right="360"/>
      <w:jc w:val="cen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9"/>
      <w:framePr w:wrap="around" w:vAnchor="text" w:hAnchor="margin" w:xAlign="right" w:y="1"/>
      <w:rPr>
        <w:rStyle w:val="30"/>
      </w:rPr>
    </w:pPr>
    <w:r>
      <w:fldChar w:fldCharType="begin"/>
    </w:r>
    <w:r>
      <w:rPr>
        <w:rStyle w:val="30"/>
      </w:rPr>
      <w:instrText xml:space="preserve">PAGE  </w:instrText>
    </w:r>
    <w:r>
      <w:fldChar w:fldCharType="end"/>
    </w:r>
  </w:p>
  <w:p>
    <w:pPr>
      <w:pStyle w:val="19"/>
      <w:ind w:right="36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9"/>
      <w:ind w:right="360"/>
      <w:jc w:val="cente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9"/>
      <w:framePr w:wrap="around" w:vAnchor="text" w:hAnchor="margin" w:xAlign="right" w:y="1"/>
      <w:rPr>
        <w:rStyle w:val="30"/>
      </w:rPr>
    </w:pPr>
    <w:r>
      <w:fldChar w:fldCharType="begin"/>
    </w:r>
    <w:r>
      <w:rPr>
        <w:rStyle w:val="30"/>
      </w:rPr>
      <w:instrText xml:space="preserve">PAGE  </w:instrText>
    </w:r>
    <w:r>
      <w:fldChar w:fldCharType="end"/>
    </w:r>
  </w:p>
  <w:p>
    <w:pPr>
      <w:pStyle w:val="19"/>
      <w:ind w:right="360"/>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9"/>
      <w:jc w:val="center"/>
    </w:pPr>
    <w:r>
      <w:fldChar w:fldCharType="begin"/>
    </w:r>
    <w:r>
      <w:instrText xml:space="preserve"> PAGE   \* MERGEFORMAT </w:instrText>
    </w:r>
    <w:r>
      <w:fldChar w:fldCharType="separate"/>
    </w:r>
    <w:r>
      <w:rPr>
        <w:lang w:val="zh-CN"/>
      </w:rPr>
      <w:t>72</w:t>
    </w:r>
    <w:r>
      <w:fldChar w:fldCharType="end"/>
    </w:r>
  </w:p>
  <w:p>
    <w:pPr>
      <w:pStyle w:val="19"/>
      <w:ind w:right="360"/>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pBdr>
        <w:bottom w:val="none" w:color="auto" w:sz="0" w:space="0"/>
      </w:pBd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pPr>
    <w:r>
      <w:pict>
        <v:shape id="_x0000_s2050" o:spid="_x0000_s2050" o:spt="136" type="#_x0000_t136" style="position:absolute;left:0pt;height:200.25pt;width:600.75pt;mso-position-horizontal:center;mso-position-horizontal-relative:page;mso-position-vertical:center;mso-position-vertical-relative:page;rotation:20643840f;z-index:-251655168;mso-width-relative:page;mso-height-relative:page;" fillcolor="#FF0000" filled="t" stroked="f" coordsize="21600,21600" o:allowincell="f">
          <v:path/>
          <v:fill on="t" opacity="32768f" focussize="0,0"/>
          <v:stroke on="f"/>
          <v:imagedata o:title=""/>
          <o:lock v:ext="edit" text="f"/>
          <v:textpath on="t" fitshape="t" fitpath="t" trim="t" xscale="f" string="第一稿" style="font-family:宋体;font-size:96pt;v-text-align:center;"/>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pBdr>
        <w:bottom w:val="none" w:color="auto" w:sz="0" w:space="0"/>
      </w:pBd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pPr>
    <w:r>
      <w:pict>
        <v:shape id="PowerPlusWaterMarkObject2" o:spid="_x0000_s2049" o:spt="136" type="#_x0000_t136" style="position:absolute;left:0pt;height:200.25pt;width:600.75pt;mso-position-horizontal:center;mso-position-horizontal-relative:page;mso-position-vertical:center;mso-position-vertical-relative:page;rotation:20643840f;z-index:-251657216;mso-width-relative:page;mso-height-relative:page;" fillcolor="#FF0000" filled="t" stroked="f" coordsize="21600,21600" o:allowincell="f">
          <v:path/>
          <v:fill on="t" opacity="32768f" focussize="0,0"/>
          <v:stroke on="f"/>
          <v:imagedata o:title=""/>
          <o:lock v:ext="edit" text="f"/>
          <v:textpath on="t" fitshape="t" fitpath="t" trim="t" xscale="f" string="第一稿" style="font-family:宋体;font-size:96pt;v-text-align:center;"/>
        </v:shape>
      </w:pic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917A2E6"/>
    <w:multiLevelType w:val="singleLevel"/>
    <w:tmpl w:val="8917A2E6"/>
    <w:lvl w:ilvl="0" w:tentative="0">
      <w:start w:val="4"/>
      <w:numFmt w:val="decimal"/>
      <w:suff w:val="nothing"/>
      <w:lvlText w:val="%1、"/>
      <w:lvlJc w:val="left"/>
    </w:lvl>
  </w:abstractNum>
  <w:abstractNum w:abstractNumId="1">
    <w:nsid w:val="D757A492"/>
    <w:multiLevelType w:val="singleLevel"/>
    <w:tmpl w:val="D757A492"/>
    <w:lvl w:ilvl="0" w:tentative="0">
      <w:start w:val="1"/>
      <w:numFmt w:val="decimal"/>
      <w:suff w:val="space"/>
      <w:lvlText w:val="%1）"/>
      <w:lvlJc w:val="left"/>
    </w:lvl>
  </w:abstractNum>
  <w:abstractNum w:abstractNumId="2">
    <w:nsid w:val="F2868B82"/>
    <w:multiLevelType w:val="singleLevel"/>
    <w:tmpl w:val="F2868B82"/>
    <w:lvl w:ilvl="0" w:tentative="0">
      <w:start w:val="2"/>
      <w:numFmt w:val="decimal"/>
      <w:lvlText w:val="%1."/>
      <w:lvlJc w:val="left"/>
      <w:pPr>
        <w:tabs>
          <w:tab w:val="left" w:pos="312"/>
        </w:tabs>
      </w:pPr>
    </w:lvl>
  </w:abstractNum>
  <w:abstractNum w:abstractNumId="3">
    <w:nsid w:val="0000000C"/>
    <w:multiLevelType w:val="multilevel"/>
    <w:tmpl w:val="0000000C"/>
    <w:lvl w:ilvl="0" w:tentative="0">
      <w:start w:val="1"/>
      <w:numFmt w:val="japaneseCounting"/>
      <w:lvlText w:val="第%1章"/>
      <w:lvlJc w:val="left"/>
      <w:pPr>
        <w:tabs>
          <w:tab w:val="left" w:pos="1605"/>
        </w:tabs>
        <w:ind w:left="1605" w:hanging="960"/>
      </w:pPr>
      <w:rPr>
        <w:rFonts w:hint="eastAsia"/>
      </w:rPr>
    </w:lvl>
    <w:lvl w:ilvl="1" w:tentative="0">
      <w:start w:val="1"/>
      <w:numFmt w:val="japaneseCounting"/>
      <w:lvlText w:val="%2、"/>
      <w:lvlJc w:val="left"/>
      <w:pPr>
        <w:tabs>
          <w:tab w:val="left" w:pos="1365"/>
        </w:tabs>
        <w:ind w:left="1365" w:hanging="525"/>
      </w:pPr>
      <w:rPr>
        <w:rFonts w:hint="default"/>
      </w:rPr>
    </w:lvl>
    <w:lvl w:ilvl="2" w:tentative="0">
      <w:start w:val="1"/>
      <w:numFmt w:val="lowerRoman"/>
      <w:lvlText w:val="%3."/>
      <w:lvlJc w:val="right"/>
      <w:pPr>
        <w:tabs>
          <w:tab w:val="left" w:pos="1905"/>
        </w:tabs>
        <w:ind w:left="1905" w:hanging="420"/>
      </w:pPr>
    </w:lvl>
    <w:lvl w:ilvl="3" w:tentative="0">
      <w:start w:val="1"/>
      <w:numFmt w:val="decimal"/>
      <w:lvlText w:val="%4."/>
      <w:lvlJc w:val="left"/>
      <w:pPr>
        <w:tabs>
          <w:tab w:val="left" w:pos="2325"/>
        </w:tabs>
        <w:ind w:left="2325" w:hanging="420"/>
      </w:pPr>
    </w:lvl>
    <w:lvl w:ilvl="4" w:tentative="0">
      <w:start w:val="1"/>
      <w:numFmt w:val="lowerLetter"/>
      <w:lvlText w:val="%5)"/>
      <w:lvlJc w:val="left"/>
      <w:pPr>
        <w:tabs>
          <w:tab w:val="left" w:pos="2745"/>
        </w:tabs>
        <w:ind w:left="2745" w:hanging="420"/>
      </w:pPr>
    </w:lvl>
    <w:lvl w:ilvl="5" w:tentative="0">
      <w:start w:val="1"/>
      <w:numFmt w:val="lowerRoman"/>
      <w:lvlText w:val="%6."/>
      <w:lvlJc w:val="right"/>
      <w:pPr>
        <w:tabs>
          <w:tab w:val="left" w:pos="3165"/>
        </w:tabs>
        <w:ind w:left="3165" w:hanging="420"/>
      </w:pPr>
    </w:lvl>
    <w:lvl w:ilvl="6" w:tentative="0">
      <w:start w:val="1"/>
      <w:numFmt w:val="decimal"/>
      <w:lvlText w:val="%7."/>
      <w:lvlJc w:val="left"/>
      <w:pPr>
        <w:tabs>
          <w:tab w:val="left" w:pos="420"/>
        </w:tabs>
        <w:ind w:left="420" w:hanging="420"/>
      </w:pPr>
    </w:lvl>
    <w:lvl w:ilvl="7" w:tentative="0">
      <w:start w:val="1"/>
      <w:numFmt w:val="lowerLetter"/>
      <w:lvlText w:val="%8)"/>
      <w:lvlJc w:val="left"/>
      <w:pPr>
        <w:tabs>
          <w:tab w:val="left" w:pos="4005"/>
        </w:tabs>
        <w:ind w:left="4005" w:hanging="420"/>
      </w:pPr>
    </w:lvl>
    <w:lvl w:ilvl="8" w:tentative="0">
      <w:start w:val="1"/>
      <w:numFmt w:val="lowerRoman"/>
      <w:lvlText w:val="%9."/>
      <w:lvlJc w:val="right"/>
      <w:pPr>
        <w:tabs>
          <w:tab w:val="left" w:pos="4425"/>
        </w:tabs>
        <w:ind w:left="4425" w:hanging="420"/>
      </w:pPr>
    </w:lvl>
  </w:abstractNum>
  <w:abstractNum w:abstractNumId="4">
    <w:nsid w:val="00F67C5B"/>
    <w:multiLevelType w:val="multilevel"/>
    <w:tmpl w:val="00F67C5B"/>
    <w:lvl w:ilvl="0" w:tentative="0">
      <w:start w:val="8"/>
      <w:numFmt w:val="decimal"/>
      <w:lvlText w:val="%1"/>
      <w:lvlJc w:val="left"/>
      <w:pPr>
        <w:tabs>
          <w:tab w:val="left" w:pos="360"/>
        </w:tabs>
        <w:ind w:left="360" w:hanging="360"/>
      </w:pPr>
      <w:rPr>
        <w:rFonts w:hint="default"/>
        <w:b/>
      </w:rPr>
    </w:lvl>
    <w:lvl w:ilvl="1" w:tentative="0">
      <w:start w:val="1"/>
      <w:numFmt w:val="decimal"/>
      <w:lvlText w:val="%1.%2"/>
      <w:lvlJc w:val="left"/>
      <w:pPr>
        <w:tabs>
          <w:tab w:val="left" w:pos="360"/>
        </w:tabs>
        <w:ind w:left="360" w:hanging="360"/>
      </w:pPr>
      <w:rPr>
        <w:rFonts w:hint="default"/>
        <w:b w:val="0"/>
      </w:rPr>
    </w:lvl>
    <w:lvl w:ilvl="2" w:tentative="0">
      <w:start w:val="1"/>
      <w:numFmt w:val="decimal"/>
      <w:lvlText w:val="%1.%2.%3"/>
      <w:lvlJc w:val="left"/>
      <w:pPr>
        <w:tabs>
          <w:tab w:val="left" w:pos="720"/>
        </w:tabs>
        <w:ind w:left="720" w:hanging="720"/>
      </w:pPr>
      <w:rPr>
        <w:rFonts w:hint="default"/>
        <w:b/>
      </w:rPr>
    </w:lvl>
    <w:lvl w:ilvl="3" w:tentative="0">
      <w:start w:val="1"/>
      <w:numFmt w:val="decimal"/>
      <w:lvlText w:val="%1.%2.%3.%4"/>
      <w:lvlJc w:val="left"/>
      <w:pPr>
        <w:tabs>
          <w:tab w:val="left" w:pos="1080"/>
        </w:tabs>
        <w:ind w:left="1080" w:hanging="1080"/>
      </w:pPr>
      <w:rPr>
        <w:rFonts w:hint="default"/>
        <w:b/>
      </w:rPr>
    </w:lvl>
    <w:lvl w:ilvl="4" w:tentative="0">
      <w:start w:val="1"/>
      <w:numFmt w:val="decimal"/>
      <w:lvlText w:val="%1.%2.%3.%4.%5"/>
      <w:lvlJc w:val="left"/>
      <w:pPr>
        <w:tabs>
          <w:tab w:val="left" w:pos="1080"/>
        </w:tabs>
        <w:ind w:left="1080" w:hanging="1080"/>
      </w:pPr>
      <w:rPr>
        <w:rFonts w:hint="default"/>
        <w:b/>
      </w:rPr>
    </w:lvl>
    <w:lvl w:ilvl="5" w:tentative="0">
      <w:start w:val="1"/>
      <w:numFmt w:val="decimal"/>
      <w:lvlText w:val="%1.%2.%3.%4.%5.%6"/>
      <w:lvlJc w:val="left"/>
      <w:pPr>
        <w:tabs>
          <w:tab w:val="left" w:pos="1440"/>
        </w:tabs>
        <w:ind w:left="1440" w:hanging="1440"/>
      </w:pPr>
      <w:rPr>
        <w:rFonts w:hint="default"/>
        <w:b/>
      </w:rPr>
    </w:lvl>
    <w:lvl w:ilvl="6" w:tentative="0">
      <w:start w:val="1"/>
      <w:numFmt w:val="decimal"/>
      <w:lvlText w:val="%1.%2.%3.%4.%5.%6.%7"/>
      <w:lvlJc w:val="left"/>
      <w:pPr>
        <w:tabs>
          <w:tab w:val="left" w:pos="1440"/>
        </w:tabs>
        <w:ind w:left="1440" w:hanging="1440"/>
      </w:pPr>
      <w:rPr>
        <w:rFonts w:hint="default"/>
        <w:b/>
      </w:rPr>
    </w:lvl>
    <w:lvl w:ilvl="7" w:tentative="0">
      <w:start w:val="1"/>
      <w:numFmt w:val="decimal"/>
      <w:lvlText w:val="%1.%2.%3.%4.%5.%6.%7.%8"/>
      <w:lvlJc w:val="left"/>
      <w:pPr>
        <w:tabs>
          <w:tab w:val="left" w:pos="1800"/>
        </w:tabs>
        <w:ind w:left="1800" w:hanging="1800"/>
      </w:pPr>
      <w:rPr>
        <w:rFonts w:hint="default"/>
        <w:b/>
      </w:rPr>
    </w:lvl>
    <w:lvl w:ilvl="8" w:tentative="0">
      <w:start w:val="1"/>
      <w:numFmt w:val="decimal"/>
      <w:lvlText w:val="%1.%2.%3.%4.%5.%6.%7.%8.%9"/>
      <w:lvlJc w:val="left"/>
      <w:pPr>
        <w:tabs>
          <w:tab w:val="left" w:pos="1800"/>
        </w:tabs>
        <w:ind w:left="1800" w:hanging="1800"/>
      </w:pPr>
      <w:rPr>
        <w:rFonts w:hint="default"/>
        <w:b/>
      </w:rPr>
    </w:lvl>
  </w:abstractNum>
  <w:abstractNum w:abstractNumId="5">
    <w:nsid w:val="044F5BAD"/>
    <w:multiLevelType w:val="singleLevel"/>
    <w:tmpl w:val="044F5BAD"/>
    <w:lvl w:ilvl="0" w:tentative="0">
      <w:start w:val="1"/>
      <w:numFmt w:val="decimal"/>
      <w:suff w:val="nothing"/>
      <w:lvlText w:val="（%1）"/>
      <w:lvlJc w:val="left"/>
    </w:lvl>
  </w:abstractNum>
  <w:abstractNum w:abstractNumId="6">
    <w:nsid w:val="06F92C31"/>
    <w:multiLevelType w:val="multilevel"/>
    <w:tmpl w:val="06F92C31"/>
    <w:lvl w:ilvl="0" w:tentative="0">
      <w:start w:val="10"/>
      <w:numFmt w:val="decimal"/>
      <w:lvlText w:val="%1"/>
      <w:lvlJc w:val="left"/>
      <w:pPr>
        <w:tabs>
          <w:tab w:val="left" w:pos="360"/>
        </w:tabs>
        <w:ind w:left="360" w:hanging="360"/>
      </w:pPr>
      <w:rPr>
        <w:rFonts w:hint="default"/>
      </w:rPr>
    </w:lvl>
    <w:lvl w:ilvl="1" w:tentative="0">
      <w:start w:val="1"/>
      <w:numFmt w:val="decimal"/>
      <w:lvlText w:val="%1.%2"/>
      <w:lvlJc w:val="left"/>
      <w:pPr>
        <w:tabs>
          <w:tab w:val="left" w:pos="360"/>
        </w:tabs>
        <w:ind w:left="360" w:hanging="360"/>
      </w:pPr>
      <w:rPr>
        <w:rFonts w:hint="default"/>
      </w:rPr>
    </w:lvl>
    <w:lvl w:ilvl="2" w:tentative="0">
      <w:start w:val="1"/>
      <w:numFmt w:val="decimal"/>
      <w:lvlText w:val="%1.%2.%3"/>
      <w:lvlJc w:val="left"/>
      <w:pPr>
        <w:tabs>
          <w:tab w:val="left" w:pos="720"/>
        </w:tabs>
        <w:ind w:left="720" w:hanging="720"/>
      </w:pPr>
      <w:rPr>
        <w:rFonts w:hint="default"/>
      </w:rPr>
    </w:lvl>
    <w:lvl w:ilvl="3" w:tentative="0">
      <w:start w:val="1"/>
      <w:numFmt w:val="decimal"/>
      <w:lvlText w:val="%1.%2.%3.%4"/>
      <w:lvlJc w:val="left"/>
      <w:pPr>
        <w:tabs>
          <w:tab w:val="left" w:pos="1080"/>
        </w:tabs>
        <w:ind w:left="1080" w:hanging="1080"/>
      </w:pPr>
      <w:rPr>
        <w:rFonts w:hint="default"/>
      </w:rPr>
    </w:lvl>
    <w:lvl w:ilvl="4" w:tentative="0">
      <w:start w:val="1"/>
      <w:numFmt w:val="decimal"/>
      <w:lvlText w:val="%1.%2.%3.%4.%5"/>
      <w:lvlJc w:val="left"/>
      <w:pPr>
        <w:tabs>
          <w:tab w:val="left" w:pos="1080"/>
        </w:tabs>
        <w:ind w:left="1080" w:hanging="1080"/>
      </w:pPr>
      <w:rPr>
        <w:rFonts w:hint="default"/>
      </w:rPr>
    </w:lvl>
    <w:lvl w:ilvl="5" w:tentative="0">
      <w:start w:val="1"/>
      <w:numFmt w:val="decimal"/>
      <w:lvlText w:val="%1.%2.%3.%4.%5.%6"/>
      <w:lvlJc w:val="left"/>
      <w:pPr>
        <w:tabs>
          <w:tab w:val="left" w:pos="1440"/>
        </w:tabs>
        <w:ind w:left="1440" w:hanging="1440"/>
      </w:pPr>
      <w:rPr>
        <w:rFonts w:hint="default"/>
      </w:rPr>
    </w:lvl>
    <w:lvl w:ilvl="6" w:tentative="0">
      <w:start w:val="1"/>
      <w:numFmt w:val="decimal"/>
      <w:lvlText w:val="%1.%2.%3.%4.%5.%6.%7"/>
      <w:lvlJc w:val="left"/>
      <w:pPr>
        <w:tabs>
          <w:tab w:val="left" w:pos="1440"/>
        </w:tabs>
        <w:ind w:left="1440" w:hanging="1440"/>
      </w:pPr>
      <w:rPr>
        <w:rFonts w:hint="default"/>
      </w:rPr>
    </w:lvl>
    <w:lvl w:ilvl="7" w:tentative="0">
      <w:start w:val="1"/>
      <w:numFmt w:val="decimal"/>
      <w:lvlText w:val="%1.%2.%3.%4.%5.%6.%7.%8"/>
      <w:lvlJc w:val="left"/>
      <w:pPr>
        <w:tabs>
          <w:tab w:val="left" w:pos="1800"/>
        </w:tabs>
        <w:ind w:left="1800" w:hanging="1800"/>
      </w:pPr>
      <w:rPr>
        <w:rFonts w:hint="default"/>
      </w:rPr>
    </w:lvl>
    <w:lvl w:ilvl="8" w:tentative="0">
      <w:start w:val="1"/>
      <w:numFmt w:val="decimal"/>
      <w:lvlText w:val="%1.%2.%3.%4.%5.%6.%7.%8.%9"/>
      <w:lvlJc w:val="left"/>
      <w:pPr>
        <w:tabs>
          <w:tab w:val="left" w:pos="1800"/>
        </w:tabs>
        <w:ind w:left="1800" w:hanging="1800"/>
      </w:pPr>
      <w:rPr>
        <w:rFonts w:hint="default"/>
      </w:rPr>
    </w:lvl>
  </w:abstractNum>
  <w:abstractNum w:abstractNumId="7">
    <w:nsid w:val="10152ABE"/>
    <w:multiLevelType w:val="multilevel"/>
    <w:tmpl w:val="10152ABE"/>
    <w:lvl w:ilvl="0" w:tentative="0">
      <w:start w:val="1"/>
      <w:numFmt w:val="decimal"/>
      <w:lvlText w:val="%1）"/>
      <w:lvlJc w:val="left"/>
      <w:pPr>
        <w:tabs>
          <w:tab w:val="left" w:pos="780"/>
        </w:tabs>
        <w:ind w:left="780" w:hanging="360"/>
      </w:pPr>
      <w:rPr>
        <w:rFonts w:hint="default"/>
      </w:rPr>
    </w:lvl>
    <w:lvl w:ilvl="1" w:tentative="0">
      <w:start w:val="1"/>
      <w:numFmt w:val="decimal"/>
      <w:lvlText w:val="%2、"/>
      <w:lvlJc w:val="left"/>
      <w:pPr>
        <w:tabs>
          <w:tab w:val="left" w:pos="0"/>
        </w:tabs>
        <w:ind w:left="0" w:firstLine="0"/>
      </w:pPr>
      <w:rPr>
        <w:rFonts w:hint="default"/>
      </w:rPr>
    </w:lvl>
    <w:lvl w:ilvl="2" w:tentative="0">
      <w:start w:val="1"/>
      <w:numFmt w:val="lowerRoman"/>
      <w:lvlText w:val="%3."/>
      <w:lvlJc w:val="right"/>
      <w:pPr>
        <w:tabs>
          <w:tab w:val="left" w:pos="1680"/>
        </w:tabs>
        <w:ind w:left="1680" w:hanging="420"/>
      </w:pPr>
    </w:lvl>
    <w:lvl w:ilvl="3" w:tentative="0">
      <w:start w:val="1"/>
      <w:numFmt w:val="decimal"/>
      <w:lvlText w:val="%4."/>
      <w:lvlJc w:val="left"/>
      <w:pPr>
        <w:tabs>
          <w:tab w:val="left" w:pos="2100"/>
        </w:tabs>
        <w:ind w:left="2100" w:hanging="420"/>
      </w:pPr>
    </w:lvl>
    <w:lvl w:ilvl="4" w:tentative="0">
      <w:start w:val="1"/>
      <w:numFmt w:val="lowerLetter"/>
      <w:lvlText w:val="%5)"/>
      <w:lvlJc w:val="left"/>
      <w:pPr>
        <w:tabs>
          <w:tab w:val="left" w:pos="2520"/>
        </w:tabs>
        <w:ind w:left="2520" w:hanging="420"/>
      </w:pPr>
    </w:lvl>
    <w:lvl w:ilvl="5" w:tentative="0">
      <w:start w:val="1"/>
      <w:numFmt w:val="lowerRoman"/>
      <w:lvlText w:val="%6."/>
      <w:lvlJc w:val="right"/>
      <w:pPr>
        <w:tabs>
          <w:tab w:val="left" w:pos="2940"/>
        </w:tabs>
        <w:ind w:left="2940" w:hanging="420"/>
      </w:pPr>
    </w:lvl>
    <w:lvl w:ilvl="6" w:tentative="0">
      <w:start w:val="1"/>
      <w:numFmt w:val="decimal"/>
      <w:lvlText w:val="%7."/>
      <w:lvlJc w:val="left"/>
      <w:pPr>
        <w:tabs>
          <w:tab w:val="left" w:pos="3360"/>
        </w:tabs>
        <w:ind w:left="3360" w:hanging="420"/>
      </w:pPr>
    </w:lvl>
    <w:lvl w:ilvl="7" w:tentative="0">
      <w:start w:val="1"/>
      <w:numFmt w:val="lowerLetter"/>
      <w:lvlText w:val="%8)"/>
      <w:lvlJc w:val="left"/>
      <w:pPr>
        <w:tabs>
          <w:tab w:val="left" w:pos="3780"/>
        </w:tabs>
        <w:ind w:left="3780" w:hanging="420"/>
      </w:pPr>
    </w:lvl>
    <w:lvl w:ilvl="8" w:tentative="0">
      <w:start w:val="1"/>
      <w:numFmt w:val="lowerRoman"/>
      <w:lvlText w:val="%9."/>
      <w:lvlJc w:val="right"/>
      <w:pPr>
        <w:tabs>
          <w:tab w:val="left" w:pos="4200"/>
        </w:tabs>
        <w:ind w:left="4200" w:hanging="420"/>
      </w:pPr>
    </w:lvl>
  </w:abstractNum>
  <w:abstractNum w:abstractNumId="8">
    <w:nsid w:val="11726340"/>
    <w:multiLevelType w:val="multilevel"/>
    <w:tmpl w:val="11726340"/>
    <w:lvl w:ilvl="0" w:tentative="0">
      <w:start w:val="15"/>
      <w:numFmt w:val="decimal"/>
      <w:lvlText w:val="%1"/>
      <w:lvlJc w:val="left"/>
      <w:pPr>
        <w:tabs>
          <w:tab w:val="left" w:pos="465"/>
        </w:tabs>
        <w:ind w:left="465" w:hanging="465"/>
      </w:pPr>
      <w:rPr>
        <w:rFonts w:hint="default"/>
      </w:rPr>
    </w:lvl>
    <w:lvl w:ilvl="1" w:tentative="0">
      <w:start w:val="1"/>
      <w:numFmt w:val="decimal"/>
      <w:lvlText w:val="%1.%2"/>
      <w:lvlJc w:val="left"/>
      <w:pPr>
        <w:tabs>
          <w:tab w:val="left" w:pos="465"/>
        </w:tabs>
        <w:ind w:left="465" w:hanging="465"/>
      </w:pPr>
      <w:rPr>
        <w:rFonts w:hint="default"/>
      </w:rPr>
    </w:lvl>
    <w:lvl w:ilvl="2" w:tentative="0">
      <w:start w:val="1"/>
      <w:numFmt w:val="decimal"/>
      <w:lvlText w:val="%1.%2.%3"/>
      <w:lvlJc w:val="left"/>
      <w:pPr>
        <w:tabs>
          <w:tab w:val="left" w:pos="720"/>
        </w:tabs>
        <w:ind w:left="720" w:hanging="720"/>
      </w:pPr>
      <w:rPr>
        <w:rFonts w:hint="default"/>
      </w:rPr>
    </w:lvl>
    <w:lvl w:ilvl="3" w:tentative="0">
      <w:start w:val="1"/>
      <w:numFmt w:val="decimal"/>
      <w:lvlText w:val="%1.%2.%3.%4"/>
      <w:lvlJc w:val="left"/>
      <w:pPr>
        <w:tabs>
          <w:tab w:val="left" w:pos="1080"/>
        </w:tabs>
        <w:ind w:left="1080" w:hanging="1080"/>
      </w:pPr>
      <w:rPr>
        <w:rFonts w:hint="default"/>
      </w:rPr>
    </w:lvl>
    <w:lvl w:ilvl="4" w:tentative="0">
      <w:start w:val="1"/>
      <w:numFmt w:val="decimal"/>
      <w:lvlText w:val="%1.%2.%3.%4.%5"/>
      <w:lvlJc w:val="left"/>
      <w:pPr>
        <w:tabs>
          <w:tab w:val="left" w:pos="1080"/>
        </w:tabs>
        <w:ind w:left="1080" w:hanging="1080"/>
      </w:pPr>
      <w:rPr>
        <w:rFonts w:hint="default"/>
      </w:rPr>
    </w:lvl>
    <w:lvl w:ilvl="5" w:tentative="0">
      <w:start w:val="1"/>
      <w:numFmt w:val="decimal"/>
      <w:lvlText w:val="%1.%2.%3.%4.%5.%6"/>
      <w:lvlJc w:val="left"/>
      <w:pPr>
        <w:tabs>
          <w:tab w:val="left" w:pos="1440"/>
        </w:tabs>
        <w:ind w:left="1440" w:hanging="1440"/>
      </w:pPr>
      <w:rPr>
        <w:rFonts w:hint="default"/>
      </w:rPr>
    </w:lvl>
    <w:lvl w:ilvl="6" w:tentative="0">
      <w:start w:val="1"/>
      <w:numFmt w:val="decimal"/>
      <w:lvlText w:val="%1.%2.%3.%4.%5.%6.%7"/>
      <w:lvlJc w:val="left"/>
      <w:pPr>
        <w:tabs>
          <w:tab w:val="left" w:pos="1800"/>
        </w:tabs>
        <w:ind w:left="1800" w:hanging="1800"/>
      </w:pPr>
      <w:rPr>
        <w:rFonts w:hint="default"/>
      </w:rPr>
    </w:lvl>
    <w:lvl w:ilvl="7" w:tentative="0">
      <w:start w:val="1"/>
      <w:numFmt w:val="decimal"/>
      <w:lvlText w:val="%1.%2.%3.%4.%5.%6.%7.%8"/>
      <w:lvlJc w:val="left"/>
      <w:pPr>
        <w:tabs>
          <w:tab w:val="left" w:pos="1800"/>
        </w:tabs>
        <w:ind w:left="1800" w:hanging="1800"/>
      </w:pPr>
      <w:rPr>
        <w:rFonts w:hint="default"/>
      </w:rPr>
    </w:lvl>
    <w:lvl w:ilvl="8" w:tentative="0">
      <w:start w:val="1"/>
      <w:numFmt w:val="decimal"/>
      <w:lvlText w:val="%1.%2.%3.%4.%5.%6.%7.%8.%9"/>
      <w:lvlJc w:val="left"/>
      <w:pPr>
        <w:tabs>
          <w:tab w:val="left" w:pos="2160"/>
        </w:tabs>
        <w:ind w:left="2160" w:hanging="2160"/>
      </w:pPr>
      <w:rPr>
        <w:rFonts w:hint="default"/>
      </w:rPr>
    </w:lvl>
  </w:abstractNum>
  <w:abstractNum w:abstractNumId="9">
    <w:nsid w:val="118D7FF0"/>
    <w:multiLevelType w:val="multilevel"/>
    <w:tmpl w:val="118D7FF0"/>
    <w:lvl w:ilvl="0" w:tentative="0">
      <w:start w:val="1"/>
      <w:numFmt w:val="chineseCountingThousand"/>
      <w:lvlText w:val="%1、"/>
      <w:lvlJc w:val="left"/>
      <w:pPr>
        <w:tabs>
          <w:tab w:val="left" w:pos="425"/>
        </w:tabs>
        <w:ind w:left="425" w:firstLine="0"/>
      </w:pPr>
      <w:rPr>
        <w:rFonts w:hint="default"/>
      </w:rPr>
    </w:lvl>
    <w:lvl w:ilvl="1" w:tentative="0">
      <w:start w:val="1"/>
      <w:numFmt w:val="japaneseCounting"/>
      <w:lvlText w:val="%2、"/>
      <w:lvlJc w:val="left"/>
      <w:pPr>
        <w:tabs>
          <w:tab w:val="left" w:pos="840"/>
        </w:tabs>
        <w:ind w:left="840" w:hanging="420"/>
      </w:pPr>
      <w:rPr>
        <w:rFonts w:hint="default"/>
      </w:rPr>
    </w:lvl>
    <w:lvl w:ilvl="2" w:tentative="0">
      <w:start w:val="1"/>
      <w:numFmt w:val="decimal"/>
      <w:lvlText w:val="%3、"/>
      <w:lvlJc w:val="left"/>
      <w:pPr>
        <w:tabs>
          <w:tab w:val="left" w:pos="1200"/>
        </w:tabs>
        <w:ind w:left="1200" w:hanging="360"/>
      </w:pPr>
      <w:rPr>
        <w:rFonts w:hint="default"/>
      </w:rPr>
    </w:lvl>
    <w:lvl w:ilvl="3" w:tentative="0">
      <w:start w:val="1"/>
      <w:numFmt w:val="decimal"/>
      <w:lvlText w:val="%4."/>
      <w:lvlJc w:val="left"/>
      <w:pPr>
        <w:tabs>
          <w:tab w:val="left" w:pos="1680"/>
        </w:tabs>
        <w:ind w:left="1680" w:hanging="420"/>
      </w:pPr>
      <w:rPr>
        <w:rFonts w:hint="default"/>
      </w:rPr>
    </w:lvl>
    <w:lvl w:ilvl="4" w:tentative="0">
      <w:start w:val="1"/>
      <w:numFmt w:val="lowerLetter"/>
      <w:lvlText w:val="%5)"/>
      <w:lvlJc w:val="left"/>
      <w:pPr>
        <w:tabs>
          <w:tab w:val="left" w:pos="2040"/>
        </w:tabs>
        <w:ind w:left="2040" w:hanging="360"/>
      </w:pPr>
      <w:rPr>
        <w:rFonts w:hint="default"/>
      </w:rPr>
    </w:lvl>
    <w:lvl w:ilvl="5" w:tentative="0">
      <w:start w:val="1"/>
      <w:numFmt w:val="lowerLetter"/>
      <w:lvlText w:val="%6）"/>
      <w:lvlJc w:val="left"/>
      <w:pPr>
        <w:tabs>
          <w:tab w:val="left" w:pos="2460"/>
        </w:tabs>
        <w:ind w:left="2460" w:hanging="360"/>
      </w:pPr>
      <w:rPr>
        <w:rFonts w:hint="default" w:ascii="宋体" w:hAnsi="宋体"/>
      </w:r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10">
    <w:nsid w:val="156E5987"/>
    <w:multiLevelType w:val="multilevel"/>
    <w:tmpl w:val="156E5987"/>
    <w:lvl w:ilvl="0" w:tentative="0">
      <w:start w:val="19"/>
      <w:numFmt w:val="decimal"/>
      <w:lvlText w:val="%1"/>
      <w:lvlJc w:val="left"/>
      <w:pPr>
        <w:tabs>
          <w:tab w:val="left" w:pos="465"/>
        </w:tabs>
        <w:ind w:left="465" w:hanging="465"/>
      </w:pPr>
      <w:rPr>
        <w:rFonts w:hint="default"/>
      </w:rPr>
    </w:lvl>
    <w:lvl w:ilvl="1" w:tentative="0">
      <w:start w:val="1"/>
      <w:numFmt w:val="decimal"/>
      <w:lvlText w:val="%1.%2"/>
      <w:lvlJc w:val="left"/>
      <w:pPr>
        <w:tabs>
          <w:tab w:val="left" w:pos="465"/>
        </w:tabs>
        <w:ind w:left="465" w:hanging="465"/>
      </w:pPr>
      <w:rPr>
        <w:rFonts w:hint="default"/>
      </w:rPr>
    </w:lvl>
    <w:lvl w:ilvl="2" w:tentative="0">
      <w:start w:val="1"/>
      <w:numFmt w:val="decimal"/>
      <w:lvlText w:val="%1.%2.%3"/>
      <w:lvlJc w:val="left"/>
      <w:pPr>
        <w:tabs>
          <w:tab w:val="left" w:pos="720"/>
        </w:tabs>
        <w:ind w:left="720" w:hanging="720"/>
      </w:pPr>
      <w:rPr>
        <w:rFonts w:hint="default"/>
      </w:rPr>
    </w:lvl>
    <w:lvl w:ilvl="3" w:tentative="0">
      <w:start w:val="1"/>
      <w:numFmt w:val="decimal"/>
      <w:lvlText w:val="%1.%2.%3.%4"/>
      <w:lvlJc w:val="left"/>
      <w:pPr>
        <w:tabs>
          <w:tab w:val="left" w:pos="1080"/>
        </w:tabs>
        <w:ind w:left="1080" w:hanging="1080"/>
      </w:pPr>
      <w:rPr>
        <w:rFonts w:hint="default"/>
      </w:rPr>
    </w:lvl>
    <w:lvl w:ilvl="4" w:tentative="0">
      <w:start w:val="1"/>
      <w:numFmt w:val="decimal"/>
      <w:lvlText w:val="%1.%2.%3.%4.%5"/>
      <w:lvlJc w:val="left"/>
      <w:pPr>
        <w:tabs>
          <w:tab w:val="left" w:pos="1080"/>
        </w:tabs>
        <w:ind w:left="1080" w:hanging="1080"/>
      </w:pPr>
      <w:rPr>
        <w:rFonts w:hint="default"/>
      </w:rPr>
    </w:lvl>
    <w:lvl w:ilvl="5" w:tentative="0">
      <w:start w:val="1"/>
      <w:numFmt w:val="decimal"/>
      <w:lvlText w:val="%1.%2.%3.%4.%5.%6"/>
      <w:lvlJc w:val="left"/>
      <w:pPr>
        <w:tabs>
          <w:tab w:val="left" w:pos="1440"/>
        </w:tabs>
        <w:ind w:left="1440" w:hanging="1440"/>
      </w:pPr>
      <w:rPr>
        <w:rFonts w:hint="default"/>
      </w:rPr>
    </w:lvl>
    <w:lvl w:ilvl="6" w:tentative="0">
      <w:start w:val="1"/>
      <w:numFmt w:val="decimal"/>
      <w:lvlText w:val="%1.%2.%3.%4.%5.%6.%7"/>
      <w:lvlJc w:val="left"/>
      <w:pPr>
        <w:tabs>
          <w:tab w:val="left" w:pos="1800"/>
        </w:tabs>
        <w:ind w:left="1800" w:hanging="1800"/>
      </w:pPr>
      <w:rPr>
        <w:rFonts w:hint="default"/>
      </w:rPr>
    </w:lvl>
    <w:lvl w:ilvl="7" w:tentative="0">
      <w:start w:val="1"/>
      <w:numFmt w:val="decimal"/>
      <w:lvlText w:val="%1.%2.%3.%4.%5.%6.%7.%8"/>
      <w:lvlJc w:val="left"/>
      <w:pPr>
        <w:tabs>
          <w:tab w:val="left" w:pos="1800"/>
        </w:tabs>
        <w:ind w:left="1800" w:hanging="1800"/>
      </w:pPr>
      <w:rPr>
        <w:rFonts w:hint="default"/>
      </w:rPr>
    </w:lvl>
    <w:lvl w:ilvl="8" w:tentative="0">
      <w:start w:val="1"/>
      <w:numFmt w:val="decimal"/>
      <w:lvlText w:val="%1.%2.%3.%4.%5.%6.%7.%8.%9"/>
      <w:lvlJc w:val="left"/>
      <w:pPr>
        <w:tabs>
          <w:tab w:val="left" w:pos="2160"/>
        </w:tabs>
        <w:ind w:left="2160" w:hanging="2160"/>
      </w:pPr>
      <w:rPr>
        <w:rFonts w:hint="default"/>
      </w:rPr>
    </w:lvl>
  </w:abstractNum>
  <w:abstractNum w:abstractNumId="11">
    <w:nsid w:val="15907297"/>
    <w:multiLevelType w:val="multilevel"/>
    <w:tmpl w:val="15907297"/>
    <w:lvl w:ilvl="0" w:tentative="0">
      <w:start w:val="1"/>
      <w:numFmt w:val="decimal"/>
      <w:pStyle w:val="79"/>
      <w:lvlText w:val="%1"/>
      <w:lvlJc w:val="left"/>
      <w:pPr>
        <w:tabs>
          <w:tab w:val="left" w:pos="432"/>
        </w:tabs>
        <w:ind w:left="432" w:hanging="432"/>
      </w:pPr>
      <w:rPr>
        <w:rFonts w:hint="eastAsia"/>
      </w:rPr>
    </w:lvl>
    <w:lvl w:ilvl="1" w:tentative="0">
      <w:start w:val="1"/>
      <w:numFmt w:val="decimal"/>
      <w:lvlText w:val="%1.%2"/>
      <w:lvlJc w:val="left"/>
      <w:pPr>
        <w:tabs>
          <w:tab w:val="left" w:pos="576"/>
        </w:tabs>
        <w:ind w:left="576" w:hanging="292"/>
      </w:pPr>
      <w:rPr>
        <w:rFonts w:hint="eastAsia"/>
      </w:rPr>
    </w:lvl>
    <w:lvl w:ilvl="2" w:tentative="0">
      <w:start w:val="1"/>
      <w:numFmt w:val="decimal"/>
      <w:pStyle w:val="91"/>
      <w:lvlText w:val="%1.%2.%3"/>
      <w:lvlJc w:val="left"/>
      <w:pPr>
        <w:tabs>
          <w:tab w:val="left" w:pos="720"/>
        </w:tabs>
        <w:ind w:left="720" w:hanging="153"/>
      </w:pPr>
      <w:rPr>
        <w:rFonts w:hint="eastAsia"/>
      </w:rPr>
    </w:lvl>
    <w:lvl w:ilvl="3" w:tentative="0">
      <w:start w:val="1"/>
      <w:numFmt w:val="decimal"/>
      <w:pStyle w:val="78"/>
      <w:lvlText w:val="%1.%2.%3.%4"/>
      <w:lvlJc w:val="left"/>
      <w:pPr>
        <w:tabs>
          <w:tab w:val="left" w:pos="864"/>
        </w:tabs>
        <w:ind w:left="864" w:hanging="13"/>
      </w:pPr>
      <w:rPr>
        <w:rFonts w:hint="eastAsia"/>
      </w:rPr>
    </w:lvl>
    <w:lvl w:ilvl="4" w:tentative="0">
      <w:start w:val="1"/>
      <w:numFmt w:val="decimal"/>
      <w:lvlText w:val="%1.%2.%3.%4.%5"/>
      <w:lvlJc w:val="left"/>
      <w:pPr>
        <w:tabs>
          <w:tab w:val="left" w:pos="1008"/>
        </w:tabs>
        <w:ind w:left="1008" w:firstLine="126"/>
      </w:pPr>
      <w:rPr>
        <w:rFonts w:hint="eastAsia"/>
        <w:b/>
      </w:rPr>
    </w:lvl>
    <w:lvl w:ilvl="5" w:tentative="0">
      <w:start w:val="1"/>
      <w:numFmt w:val="decimal"/>
      <w:lvlText w:val="%1.%2.%3.%4.%5.%6"/>
      <w:lvlJc w:val="left"/>
      <w:pPr>
        <w:tabs>
          <w:tab w:val="left" w:pos="1152"/>
        </w:tabs>
        <w:ind w:left="1152" w:firstLine="266"/>
      </w:pPr>
      <w:rPr>
        <w:rFonts w:hint="eastAsia"/>
      </w:rPr>
    </w:lvl>
    <w:lvl w:ilvl="6" w:tentative="0">
      <w:start w:val="1"/>
      <w:numFmt w:val="decimal"/>
      <w:lvlText w:val="%1.%2.%3.%4.%5.%6.%7"/>
      <w:lvlJc w:val="left"/>
      <w:pPr>
        <w:tabs>
          <w:tab w:val="left" w:pos="1296"/>
        </w:tabs>
        <w:ind w:left="1296" w:hanging="1296"/>
      </w:pPr>
      <w:rPr>
        <w:rFonts w:hint="eastAsia"/>
      </w:rPr>
    </w:lvl>
    <w:lvl w:ilvl="7" w:tentative="0">
      <w:start w:val="1"/>
      <w:numFmt w:val="decimal"/>
      <w:lvlText w:val="%1.%2.%3.%4.%5.%6.%7.%8"/>
      <w:lvlJc w:val="left"/>
      <w:pPr>
        <w:tabs>
          <w:tab w:val="left" w:pos="1440"/>
        </w:tabs>
        <w:ind w:left="1440" w:hanging="1440"/>
      </w:pPr>
      <w:rPr>
        <w:rFonts w:hint="eastAsia"/>
      </w:rPr>
    </w:lvl>
    <w:lvl w:ilvl="8" w:tentative="0">
      <w:start w:val="1"/>
      <w:numFmt w:val="decimal"/>
      <w:lvlText w:val="%1.%2.%3.%4.%5.%6.%7.%8.%9"/>
      <w:lvlJc w:val="left"/>
      <w:pPr>
        <w:tabs>
          <w:tab w:val="left" w:pos="1584"/>
        </w:tabs>
        <w:ind w:left="1584" w:hanging="1584"/>
      </w:pPr>
      <w:rPr>
        <w:rFonts w:hint="eastAsia"/>
      </w:rPr>
    </w:lvl>
  </w:abstractNum>
  <w:abstractNum w:abstractNumId="12">
    <w:nsid w:val="159114E6"/>
    <w:multiLevelType w:val="multilevel"/>
    <w:tmpl w:val="159114E6"/>
    <w:lvl w:ilvl="0" w:tentative="0">
      <w:start w:val="14"/>
      <w:numFmt w:val="decimal"/>
      <w:lvlText w:val="%1"/>
      <w:lvlJc w:val="left"/>
      <w:pPr>
        <w:tabs>
          <w:tab w:val="left" w:pos="465"/>
        </w:tabs>
        <w:ind w:left="465" w:hanging="465"/>
      </w:pPr>
      <w:rPr>
        <w:rFonts w:hint="default"/>
      </w:rPr>
    </w:lvl>
    <w:lvl w:ilvl="1" w:tentative="0">
      <w:start w:val="1"/>
      <w:numFmt w:val="decimal"/>
      <w:lvlText w:val="%1.%2"/>
      <w:lvlJc w:val="left"/>
      <w:pPr>
        <w:tabs>
          <w:tab w:val="left" w:pos="465"/>
        </w:tabs>
        <w:ind w:left="465" w:hanging="465"/>
      </w:pPr>
      <w:rPr>
        <w:rFonts w:hint="default"/>
      </w:rPr>
    </w:lvl>
    <w:lvl w:ilvl="2" w:tentative="0">
      <w:start w:val="1"/>
      <w:numFmt w:val="decimal"/>
      <w:lvlText w:val="%1.%2.%3"/>
      <w:lvlJc w:val="left"/>
      <w:pPr>
        <w:tabs>
          <w:tab w:val="left" w:pos="720"/>
        </w:tabs>
        <w:ind w:left="720" w:hanging="720"/>
      </w:pPr>
      <w:rPr>
        <w:rFonts w:hint="default"/>
      </w:rPr>
    </w:lvl>
    <w:lvl w:ilvl="3" w:tentative="0">
      <w:start w:val="1"/>
      <w:numFmt w:val="decimal"/>
      <w:lvlText w:val="%1.%2.%3.%4"/>
      <w:lvlJc w:val="left"/>
      <w:pPr>
        <w:tabs>
          <w:tab w:val="left" w:pos="1080"/>
        </w:tabs>
        <w:ind w:left="1080" w:hanging="1080"/>
      </w:pPr>
      <w:rPr>
        <w:rFonts w:hint="default"/>
      </w:rPr>
    </w:lvl>
    <w:lvl w:ilvl="4" w:tentative="0">
      <w:start w:val="1"/>
      <w:numFmt w:val="decimal"/>
      <w:lvlText w:val="%1.%2.%3.%4.%5"/>
      <w:lvlJc w:val="left"/>
      <w:pPr>
        <w:tabs>
          <w:tab w:val="left" w:pos="1080"/>
        </w:tabs>
        <w:ind w:left="1080" w:hanging="1080"/>
      </w:pPr>
      <w:rPr>
        <w:rFonts w:hint="default"/>
      </w:rPr>
    </w:lvl>
    <w:lvl w:ilvl="5" w:tentative="0">
      <w:start w:val="1"/>
      <w:numFmt w:val="decimal"/>
      <w:lvlText w:val="%1.%2.%3.%4.%5.%6"/>
      <w:lvlJc w:val="left"/>
      <w:pPr>
        <w:tabs>
          <w:tab w:val="left" w:pos="1440"/>
        </w:tabs>
        <w:ind w:left="1440" w:hanging="1440"/>
      </w:pPr>
      <w:rPr>
        <w:rFonts w:hint="default"/>
      </w:rPr>
    </w:lvl>
    <w:lvl w:ilvl="6" w:tentative="0">
      <w:start w:val="1"/>
      <w:numFmt w:val="decimal"/>
      <w:lvlText w:val="%1.%2.%3.%4.%5.%6.%7"/>
      <w:lvlJc w:val="left"/>
      <w:pPr>
        <w:tabs>
          <w:tab w:val="left" w:pos="1800"/>
        </w:tabs>
        <w:ind w:left="1800" w:hanging="1800"/>
      </w:pPr>
      <w:rPr>
        <w:rFonts w:hint="default"/>
      </w:rPr>
    </w:lvl>
    <w:lvl w:ilvl="7" w:tentative="0">
      <w:start w:val="1"/>
      <w:numFmt w:val="decimal"/>
      <w:lvlText w:val="%1.%2.%3.%4.%5.%6.%7.%8"/>
      <w:lvlJc w:val="left"/>
      <w:pPr>
        <w:tabs>
          <w:tab w:val="left" w:pos="1800"/>
        </w:tabs>
        <w:ind w:left="1800" w:hanging="1800"/>
      </w:pPr>
      <w:rPr>
        <w:rFonts w:hint="default"/>
      </w:rPr>
    </w:lvl>
    <w:lvl w:ilvl="8" w:tentative="0">
      <w:start w:val="1"/>
      <w:numFmt w:val="decimal"/>
      <w:lvlText w:val="%1.%2.%3.%4.%5.%6.%7.%8.%9"/>
      <w:lvlJc w:val="left"/>
      <w:pPr>
        <w:tabs>
          <w:tab w:val="left" w:pos="2160"/>
        </w:tabs>
        <w:ind w:left="2160" w:hanging="2160"/>
      </w:pPr>
      <w:rPr>
        <w:rFonts w:hint="default"/>
      </w:rPr>
    </w:lvl>
  </w:abstractNum>
  <w:abstractNum w:abstractNumId="13">
    <w:nsid w:val="179B3BE8"/>
    <w:multiLevelType w:val="multilevel"/>
    <w:tmpl w:val="179B3BE8"/>
    <w:lvl w:ilvl="0" w:tentative="0">
      <w:start w:val="1"/>
      <w:numFmt w:val="chineseCountingThousand"/>
      <w:lvlText w:val="%1、"/>
      <w:lvlJc w:val="left"/>
      <w:pPr>
        <w:ind w:left="420" w:hanging="420"/>
      </w:pPr>
    </w:lvl>
    <w:lvl w:ilvl="1" w:tentative="0">
      <w:start w:val="1"/>
      <w:numFmt w:val="decimal"/>
      <w:lvlText w:val="%2、"/>
      <w:lvlJc w:val="left"/>
      <w:pPr>
        <w:tabs>
          <w:tab w:val="left" w:pos="780"/>
        </w:tabs>
        <w:ind w:left="780" w:hanging="360"/>
      </w:pPr>
      <w:rPr>
        <w:rFonts w:hint="default"/>
      </w:r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4">
    <w:nsid w:val="197549D3"/>
    <w:multiLevelType w:val="multilevel"/>
    <w:tmpl w:val="197549D3"/>
    <w:lvl w:ilvl="0" w:tentative="0">
      <w:start w:val="1"/>
      <w:numFmt w:val="japaneseCounting"/>
      <w:lvlText w:val="第%1章"/>
      <w:lvlJc w:val="left"/>
      <w:pPr>
        <w:tabs>
          <w:tab w:val="left" w:pos="1305"/>
        </w:tabs>
        <w:ind w:left="1305" w:hanging="1305"/>
      </w:pPr>
      <w:rPr>
        <w:rFonts w:hint="default"/>
        <w:b/>
        <w:sz w:val="36"/>
        <w:szCs w:val="36"/>
      </w:rPr>
    </w:lvl>
    <w:lvl w:ilvl="1" w:tentative="0">
      <w:start w:val="1"/>
      <w:numFmt w:val="japaneseCounting"/>
      <w:lvlText w:val="%2、"/>
      <w:lvlJc w:val="left"/>
      <w:pPr>
        <w:tabs>
          <w:tab w:val="left" w:pos="840"/>
        </w:tabs>
        <w:ind w:left="840" w:hanging="420"/>
      </w:pPr>
      <w:rPr>
        <w:rFonts w:hint="default"/>
        <w:b/>
        <w:sz w:val="21"/>
        <w:szCs w:val="21"/>
      </w:rPr>
    </w:lvl>
    <w:lvl w:ilvl="2" w:tentative="0">
      <w:start w:val="6"/>
      <w:numFmt w:val="decimal"/>
      <w:lvlText w:val="%3）"/>
      <w:lvlJc w:val="left"/>
      <w:pPr>
        <w:tabs>
          <w:tab w:val="left" w:pos="1200"/>
        </w:tabs>
        <w:ind w:left="1200" w:hanging="360"/>
      </w:pPr>
      <w:rPr>
        <w:rFonts w:hint="default"/>
      </w:r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15">
    <w:nsid w:val="1C8005C7"/>
    <w:multiLevelType w:val="multilevel"/>
    <w:tmpl w:val="1C8005C7"/>
    <w:lvl w:ilvl="0" w:tentative="0">
      <w:start w:val="1"/>
      <w:numFmt w:val="decimal"/>
      <w:lvlText w:val="%1、"/>
      <w:lvlJc w:val="left"/>
      <w:pPr>
        <w:tabs>
          <w:tab w:val="left" w:pos="540"/>
        </w:tabs>
        <w:ind w:left="540" w:hanging="360"/>
      </w:pPr>
      <w:rPr>
        <w:rFonts w:hint="default"/>
        <w:b/>
      </w:rPr>
    </w:lvl>
    <w:lvl w:ilvl="1" w:tentative="0">
      <w:start w:val="1"/>
      <w:numFmt w:val="decimal"/>
      <w:lvlText w:val="（%2）"/>
      <w:lvlJc w:val="left"/>
      <w:pPr>
        <w:tabs>
          <w:tab w:val="left" w:pos="1094"/>
        </w:tabs>
        <w:ind w:left="1094" w:hanging="674"/>
      </w:pPr>
      <w:rPr>
        <w:rFonts w:hint="default"/>
      </w:rPr>
    </w:lvl>
    <w:lvl w:ilvl="2" w:tentative="0">
      <w:start w:val="1"/>
      <w:numFmt w:val="lowerLetter"/>
      <w:lvlText w:val="%3）"/>
      <w:lvlJc w:val="left"/>
      <w:pPr>
        <w:tabs>
          <w:tab w:val="left" w:pos="1620"/>
        </w:tabs>
        <w:ind w:left="1620" w:hanging="360"/>
      </w:pPr>
      <w:rPr>
        <w:rFonts w:hint="default"/>
        <w:b w:val="0"/>
      </w:rPr>
    </w:lvl>
    <w:lvl w:ilvl="3" w:tentative="0">
      <w:start w:val="1"/>
      <w:numFmt w:val="decimal"/>
      <w:lvlText w:val="%4）"/>
      <w:lvlJc w:val="left"/>
      <w:pPr>
        <w:tabs>
          <w:tab w:val="left" w:pos="2040"/>
        </w:tabs>
        <w:ind w:left="2040" w:hanging="360"/>
      </w:pPr>
      <w:rPr>
        <w:rFonts w:hint="default"/>
      </w:rPr>
    </w:lvl>
    <w:lvl w:ilvl="4" w:tentative="0">
      <w:start w:val="1"/>
      <w:numFmt w:val="decimal"/>
      <w:lvlText w:val="%5."/>
      <w:lvlJc w:val="left"/>
      <w:pPr>
        <w:tabs>
          <w:tab w:val="left" w:pos="2460"/>
        </w:tabs>
        <w:ind w:left="2460" w:hanging="360"/>
      </w:pPr>
      <w:rPr>
        <w:rFonts w:hint="default"/>
        <w:b/>
        <w:sz w:val="24"/>
        <w:szCs w:val="24"/>
      </w:rPr>
    </w:lvl>
    <w:lvl w:ilvl="5" w:tentative="0">
      <w:start w:val="1"/>
      <w:numFmt w:val="lowerRoman"/>
      <w:lvlText w:val="%6."/>
      <w:lvlJc w:val="right"/>
      <w:pPr>
        <w:tabs>
          <w:tab w:val="left" w:pos="2940"/>
        </w:tabs>
        <w:ind w:left="2940" w:hanging="420"/>
      </w:pPr>
    </w:lvl>
    <w:lvl w:ilvl="6" w:tentative="0">
      <w:start w:val="1"/>
      <w:numFmt w:val="decimal"/>
      <w:lvlText w:val="%7."/>
      <w:lvlJc w:val="left"/>
      <w:pPr>
        <w:tabs>
          <w:tab w:val="left" w:pos="3360"/>
        </w:tabs>
        <w:ind w:left="3360" w:hanging="420"/>
      </w:pPr>
    </w:lvl>
    <w:lvl w:ilvl="7" w:tentative="0">
      <w:start w:val="1"/>
      <w:numFmt w:val="lowerLetter"/>
      <w:lvlText w:val="%8)"/>
      <w:lvlJc w:val="left"/>
      <w:pPr>
        <w:tabs>
          <w:tab w:val="left" w:pos="3780"/>
        </w:tabs>
        <w:ind w:left="3780" w:hanging="420"/>
      </w:pPr>
    </w:lvl>
    <w:lvl w:ilvl="8" w:tentative="0">
      <w:start w:val="1"/>
      <w:numFmt w:val="lowerRoman"/>
      <w:lvlText w:val="%9."/>
      <w:lvlJc w:val="right"/>
      <w:pPr>
        <w:tabs>
          <w:tab w:val="left" w:pos="4200"/>
        </w:tabs>
        <w:ind w:left="4200" w:hanging="420"/>
      </w:pPr>
    </w:lvl>
  </w:abstractNum>
  <w:abstractNum w:abstractNumId="16">
    <w:nsid w:val="20BA2AF0"/>
    <w:multiLevelType w:val="singleLevel"/>
    <w:tmpl w:val="20BA2AF0"/>
    <w:lvl w:ilvl="0" w:tentative="0">
      <w:start w:val="1"/>
      <w:numFmt w:val="decimal"/>
      <w:suff w:val="space"/>
      <w:lvlText w:val="%1）"/>
      <w:lvlJc w:val="left"/>
    </w:lvl>
  </w:abstractNum>
  <w:abstractNum w:abstractNumId="17">
    <w:nsid w:val="22D913E6"/>
    <w:multiLevelType w:val="multilevel"/>
    <w:tmpl w:val="22D913E6"/>
    <w:lvl w:ilvl="0" w:tentative="0">
      <w:start w:val="1"/>
      <w:numFmt w:val="japaneseCounting"/>
      <w:lvlText w:val="第%1章"/>
      <w:lvlJc w:val="left"/>
      <w:pPr>
        <w:tabs>
          <w:tab w:val="left" w:pos="3615"/>
        </w:tabs>
        <w:ind w:left="3615" w:hanging="1455"/>
      </w:pPr>
      <w:rPr>
        <w:rFonts w:hint="default"/>
        <w:b/>
      </w:rPr>
    </w:lvl>
    <w:lvl w:ilvl="1" w:tentative="0">
      <w:start w:val="1"/>
      <w:numFmt w:val="decimal"/>
      <w:lvlText w:val="%2、"/>
      <w:lvlJc w:val="left"/>
      <w:pPr>
        <w:tabs>
          <w:tab w:val="left" w:pos="360"/>
        </w:tabs>
        <w:ind w:left="360" w:hanging="360"/>
      </w:pPr>
      <w:rPr>
        <w:rFonts w:hint="default"/>
      </w:rPr>
    </w:lvl>
    <w:lvl w:ilvl="2" w:tentative="0">
      <w:start w:val="1"/>
      <w:numFmt w:val="lowerRoman"/>
      <w:lvlText w:val="%3."/>
      <w:lvlJc w:val="right"/>
      <w:pPr>
        <w:tabs>
          <w:tab w:val="left" w:pos="3420"/>
        </w:tabs>
        <w:ind w:left="3420" w:hanging="420"/>
      </w:pPr>
    </w:lvl>
    <w:lvl w:ilvl="3" w:tentative="0">
      <w:start w:val="1"/>
      <w:numFmt w:val="japaneseCounting"/>
      <w:lvlText w:val="%4、"/>
      <w:lvlJc w:val="left"/>
      <w:pPr>
        <w:tabs>
          <w:tab w:val="left" w:pos="3840"/>
        </w:tabs>
        <w:ind w:left="3840" w:hanging="420"/>
      </w:pPr>
      <w:rPr>
        <w:rFonts w:hint="default"/>
      </w:rPr>
    </w:lvl>
    <w:lvl w:ilvl="4" w:tentative="0">
      <w:start w:val="1"/>
      <w:numFmt w:val="japaneseCounting"/>
      <w:lvlText w:val="（%5）"/>
      <w:lvlJc w:val="left"/>
      <w:pPr>
        <w:tabs>
          <w:tab w:val="left" w:pos="4560"/>
        </w:tabs>
        <w:ind w:left="4560" w:hanging="720"/>
      </w:pPr>
      <w:rPr>
        <w:rFonts w:hint="default"/>
      </w:rPr>
    </w:lvl>
    <w:lvl w:ilvl="5" w:tentative="0">
      <w:start w:val="1"/>
      <w:numFmt w:val="decimal"/>
      <w:lvlText w:val="%6）"/>
      <w:lvlJc w:val="left"/>
      <w:pPr>
        <w:tabs>
          <w:tab w:val="left" w:pos="4605"/>
        </w:tabs>
        <w:ind w:left="4605" w:hanging="345"/>
      </w:pPr>
      <w:rPr>
        <w:rFonts w:hint="default"/>
      </w:rPr>
    </w:lvl>
    <w:lvl w:ilvl="6" w:tentative="0">
      <w:start w:val="1"/>
      <w:numFmt w:val="decimal"/>
      <w:lvlText w:val="%7．"/>
      <w:lvlJc w:val="left"/>
      <w:pPr>
        <w:tabs>
          <w:tab w:val="left" w:pos="5040"/>
        </w:tabs>
        <w:ind w:left="5040" w:hanging="360"/>
      </w:pPr>
      <w:rPr>
        <w:rFonts w:hint="default"/>
      </w:rPr>
    </w:lvl>
    <w:lvl w:ilvl="7" w:tentative="0">
      <w:start w:val="1"/>
      <w:numFmt w:val="decimal"/>
      <w:lvlText w:val="%8."/>
      <w:lvlJc w:val="left"/>
      <w:pPr>
        <w:tabs>
          <w:tab w:val="left" w:pos="5460"/>
        </w:tabs>
        <w:ind w:left="5460" w:hanging="360"/>
      </w:pPr>
      <w:rPr>
        <w:rFonts w:hint="default"/>
      </w:rPr>
    </w:lvl>
    <w:lvl w:ilvl="8" w:tentative="0">
      <w:start w:val="1"/>
      <w:numFmt w:val="lowerRoman"/>
      <w:lvlText w:val="%9."/>
      <w:lvlJc w:val="right"/>
      <w:pPr>
        <w:tabs>
          <w:tab w:val="left" w:pos="5940"/>
        </w:tabs>
        <w:ind w:left="5940" w:hanging="420"/>
      </w:pPr>
    </w:lvl>
  </w:abstractNum>
  <w:abstractNum w:abstractNumId="18">
    <w:nsid w:val="277F6DC9"/>
    <w:multiLevelType w:val="multilevel"/>
    <w:tmpl w:val="277F6DC9"/>
    <w:lvl w:ilvl="0" w:tentative="0">
      <w:start w:val="1"/>
      <w:numFmt w:val="decimal"/>
      <w:lvlText w:val="%1."/>
      <w:lvlJc w:val="left"/>
      <w:pPr>
        <w:tabs>
          <w:tab w:val="left" w:pos="990"/>
        </w:tabs>
        <w:ind w:left="990" w:hanging="360"/>
      </w:pPr>
      <w:rPr>
        <w:rFonts w:hint="default"/>
      </w:rPr>
    </w:lvl>
    <w:lvl w:ilvl="1" w:tentative="0">
      <w:start w:val="1"/>
      <w:numFmt w:val="lowerLetter"/>
      <w:lvlText w:val="%2)"/>
      <w:lvlJc w:val="left"/>
      <w:pPr>
        <w:tabs>
          <w:tab w:val="left" w:pos="1470"/>
        </w:tabs>
        <w:ind w:left="1470" w:hanging="420"/>
      </w:pPr>
    </w:lvl>
    <w:lvl w:ilvl="2" w:tentative="0">
      <w:start w:val="1"/>
      <w:numFmt w:val="lowerRoman"/>
      <w:lvlText w:val="%3."/>
      <w:lvlJc w:val="right"/>
      <w:pPr>
        <w:tabs>
          <w:tab w:val="left" w:pos="1890"/>
        </w:tabs>
        <w:ind w:left="1890" w:hanging="420"/>
      </w:pPr>
    </w:lvl>
    <w:lvl w:ilvl="3" w:tentative="0">
      <w:start w:val="1"/>
      <w:numFmt w:val="decimal"/>
      <w:lvlText w:val="%4."/>
      <w:lvlJc w:val="left"/>
      <w:pPr>
        <w:tabs>
          <w:tab w:val="left" w:pos="2310"/>
        </w:tabs>
        <w:ind w:left="2310" w:hanging="420"/>
      </w:pPr>
    </w:lvl>
    <w:lvl w:ilvl="4" w:tentative="0">
      <w:start w:val="1"/>
      <w:numFmt w:val="lowerLetter"/>
      <w:lvlText w:val="%5)"/>
      <w:lvlJc w:val="left"/>
      <w:pPr>
        <w:tabs>
          <w:tab w:val="left" w:pos="2730"/>
        </w:tabs>
        <w:ind w:left="2730" w:hanging="420"/>
      </w:pPr>
    </w:lvl>
    <w:lvl w:ilvl="5" w:tentative="0">
      <w:start w:val="1"/>
      <w:numFmt w:val="lowerRoman"/>
      <w:lvlText w:val="%6."/>
      <w:lvlJc w:val="right"/>
      <w:pPr>
        <w:tabs>
          <w:tab w:val="left" w:pos="3150"/>
        </w:tabs>
        <w:ind w:left="3150" w:hanging="420"/>
      </w:pPr>
    </w:lvl>
    <w:lvl w:ilvl="6" w:tentative="0">
      <w:start w:val="1"/>
      <w:numFmt w:val="decimal"/>
      <w:lvlText w:val="%7."/>
      <w:lvlJc w:val="left"/>
      <w:pPr>
        <w:tabs>
          <w:tab w:val="left" w:pos="3570"/>
        </w:tabs>
        <w:ind w:left="3570" w:hanging="420"/>
      </w:pPr>
    </w:lvl>
    <w:lvl w:ilvl="7" w:tentative="0">
      <w:start w:val="1"/>
      <w:numFmt w:val="lowerLetter"/>
      <w:lvlText w:val="%8)"/>
      <w:lvlJc w:val="left"/>
      <w:pPr>
        <w:tabs>
          <w:tab w:val="left" w:pos="3990"/>
        </w:tabs>
        <w:ind w:left="3990" w:hanging="420"/>
      </w:pPr>
    </w:lvl>
    <w:lvl w:ilvl="8" w:tentative="0">
      <w:start w:val="1"/>
      <w:numFmt w:val="lowerRoman"/>
      <w:lvlText w:val="%9."/>
      <w:lvlJc w:val="right"/>
      <w:pPr>
        <w:tabs>
          <w:tab w:val="left" w:pos="4410"/>
        </w:tabs>
        <w:ind w:left="4410" w:hanging="420"/>
      </w:pPr>
    </w:lvl>
  </w:abstractNum>
  <w:abstractNum w:abstractNumId="19">
    <w:nsid w:val="2AA957BB"/>
    <w:multiLevelType w:val="multilevel"/>
    <w:tmpl w:val="2AA957BB"/>
    <w:lvl w:ilvl="0" w:tentative="0">
      <w:start w:val="1"/>
      <w:numFmt w:val="decimal"/>
      <w:lvlText w:val="%1"/>
      <w:lvlJc w:val="left"/>
      <w:pPr>
        <w:tabs>
          <w:tab w:val="left" w:pos="432"/>
        </w:tabs>
        <w:ind w:left="432" w:hanging="432"/>
      </w:pPr>
      <w:rPr>
        <w:rFonts w:hint="eastAsia"/>
      </w:rPr>
    </w:lvl>
    <w:lvl w:ilvl="1" w:tentative="0">
      <w:start w:val="1"/>
      <w:numFmt w:val="decimal"/>
      <w:lvlText w:val="%1.%2"/>
      <w:lvlJc w:val="left"/>
      <w:pPr>
        <w:tabs>
          <w:tab w:val="left" w:pos="576"/>
        </w:tabs>
        <w:ind w:left="576" w:hanging="292"/>
      </w:pPr>
      <w:rPr>
        <w:rFonts w:hint="eastAsia"/>
      </w:rPr>
    </w:lvl>
    <w:lvl w:ilvl="2" w:tentative="0">
      <w:start w:val="1"/>
      <w:numFmt w:val="decimal"/>
      <w:lvlText w:val="%1.%2.%3"/>
      <w:lvlJc w:val="left"/>
      <w:pPr>
        <w:tabs>
          <w:tab w:val="left" w:pos="720"/>
        </w:tabs>
        <w:ind w:left="720" w:hanging="153"/>
      </w:pPr>
      <w:rPr>
        <w:rFonts w:hint="eastAsia"/>
      </w:rPr>
    </w:lvl>
    <w:lvl w:ilvl="3" w:tentative="0">
      <w:start w:val="1"/>
      <w:numFmt w:val="bullet"/>
      <w:pStyle w:val="85"/>
      <w:lvlText w:val=""/>
      <w:lvlJc w:val="left"/>
      <w:pPr>
        <w:tabs>
          <w:tab w:val="left" w:pos="1271"/>
        </w:tabs>
        <w:ind w:left="1271" w:hanging="420"/>
      </w:pPr>
      <w:rPr>
        <w:rFonts w:hint="default" w:ascii="Wingdings" w:hAnsi="Wingdings"/>
      </w:rPr>
    </w:lvl>
    <w:lvl w:ilvl="4" w:tentative="0">
      <w:start w:val="1"/>
      <w:numFmt w:val="decimal"/>
      <w:lvlText w:val="%1.%2.%3.%4.%5"/>
      <w:lvlJc w:val="left"/>
      <w:pPr>
        <w:tabs>
          <w:tab w:val="left" w:pos="1008"/>
        </w:tabs>
        <w:ind w:left="1008" w:firstLine="126"/>
      </w:pPr>
      <w:rPr>
        <w:rFonts w:hint="eastAsia"/>
        <w:b/>
      </w:rPr>
    </w:lvl>
    <w:lvl w:ilvl="5" w:tentative="0">
      <w:start w:val="1"/>
      <w:numFmt w:val="decimal"/>
      <w:lvlText w:val="%1.%2.%3.%4.%5.%6"/>
      <w:lvlJc w:val="left"/>
      <w:pPr>
        <w:tabs>
          <w:tab w:val="left" w:pos="1152"/>
        </w:tabs>
        <w:ind w:left="1152" w:firstLine="266"/>
      </w:pPr>
      <w:rPr>
        <w:rFonts w:hint="eastAsia"/>
      </w:rPr>
    </w:lvl>
    <w:lvl w:ilvl="6" w:tentative="0">
      <w:start w:val="1"/>
      <w:numFmt w:val="decimal"/>
      <w:lvlText w:val="%1.%2.%3.%4.%5.%6.%7"/>
      <w:lvlJc w:val="left"/>
      <w:pPr>
        <w:tabs>
          <w:tab w:val="left" w:pos="1296"/>
        </w:tabs>
        <w:ind w:left="1296" w:hanging="1296"/>
      </w:pPr>
      <w:rPr>
        <w:rFonts w:hint="eastAsia"/>
      </w:rPr>
    </w:lvl>
    <w:lvl w:ilvl="7" w:tentative="0">
      <w:start w:val="1"/>
      <w:numFmt w:val="decimal"/>
      <w:lvlText w:val="%1.%2.%3.%4.%5.%6.%7.%8"/>
      <w:lvlJc w:val="left"/>
      <w:pPr>
        <w:tabs>
          <w:tab w:val="left" w:pos="1440"/>
        </w:tabs>
        <w:ind w:left="1440" w:hanging="1440"/>
      </w:pPr>
      <w:rPr>
        <w:rFonts w:hint="eastAsia"/>
      </w:rPr>
    </w:lvl>
    <w:lvl w:ilvl="8" w:tentative="0">
      <w:start w:val="1"/>
      <w:numFmt w:val="decimal"/>
      <w:lvlText w:val="%1.%2.%3.%4.%5.%6.%7.%8.%9"/>
      <w:lvlJc w:val="left"/>
      <w:pPr>
        <w:tabs>
          <w:tab w:val="left" w:pos="1584"/>
        </w:tabs>
        <w:ind w:left="1584" w:hanging="1584"/>
      </w:pPr>
      <w:rPr>
        <w:rFonts w:hint="eastAsia"/>
      </w:rPr>
    </w:lvl>
  </w:abstractNum>
  <w:abstractNum w:abstractNumId="20">
    <w:nsid w:val="2C7A7351"/>
    <w:multiLevelType w:val="multilevel"/>
    <w:tmpl w:val="2C7A7351"/>
    <w:lvl w:ilvl="0" w:tentative="0">
      <w:start w:val="21"/>
      <w:numFmt w:val="decimal"/>
      <w:lvlText w:val="%1"/>
      <w:lvlJc w:val="left"/>
      <w:pPr>
        <w:tabs>
          <w:tab w:val="left" w:pos="480"/>
        </w:tabs>
        <w:ind w:left="480" w:hanging="480"/>
      </w:pPr>
      <w:rPr>
        <w:rFonts w:hint="default"/>
      </w:rPr>
    </w:lvl>
    <w:lvl w:ilvl="1" w:tentative="0">
      <w:start w:val="1"/>
      <w:numFmt w:val="decimal"/>
      <w:lvlText w:val="%1.%2"/>
      <w:lvlJc w:val="left"/>
      <w:pPr>
        <w:tabs>
          <w:tab w:val="left" w:pos="480"/>
        </w:tabs>
        <w:ind w:left="480" w:hanging="480"/>
      </w:pPr>
      <w:rPr>
        <w:rFonts w:hint="default"/>
        <w:b w:val="0"/>
      </w:rPr>
    </w:lvl>
    <w:lvl w:ilvl="2" w:tentative="0">
      <w:start w:val="1"/>
      <w:numFmt w:val="decimal"/>
      <w:lvlText w:val="%1.%2.%3"/>
      <w:lvlJc w:val="left"/>
      <w:pPr>
        <w:tabs>
          <w:tab w:val="left" w:pos="720"/>
        </w:tabs>
        <w:ind w:left="720" w:hanging="720"/>
      </w:pPr>
      <w:rPr>
        <w:rFonts w:hint="default"/>
      </w:rPr>
    </w:lvl>
    <w:lvl w:ilvl="3" w:tentative="0">
      <w:start w:val="1"/>
      <w:numFmt w:val="decimal"/>
      <w:lvlText w:val="%1.%2.%3.%4"/>
      <w:lvlJc w:val="left"/>
      <w:pPr>
        <w:tabs>
          <w:tab w:val="left" w:pos="1080"/>
        </w:tabs>
        <w:ind w:left="1080" w:hanging="1080"/>
      </w:pPr>
      <w:rPr>
        <w:rFonts w:hint="default"/>
      </w:rPr>
    </w:lvl>
    <w:lvl w:ilvl="4" w:tentative="0">
      <w:start w:val="1"/>
      <w:numFmt w:val="decimal"/>
      <w:lvlText w:val="%1.%2.%3.%4.%5"/>
      <w:lvlJc w:val="left"/>
      <w:pPr>
        <w:tabs>
          <w:tab w:val="left" w:pos="1080"/>
        </w:tabs>
        <w:ind w:left="1080" w:hanging="1080"/>
      </w:pPr>
      <w:rPr>
        <w:rFonts w:hint="default"/>
      </w:rPr>
    </w:lvl>
    <w:lvl w:ilvl="5" w:tentative="0">
      <w:start w:val="1"/>
      <w:numFmt w:val="decimal"/>
      <w:lvlText w:val="%1.%2.%3.%4.%5.%6"/>
      <w:lvlJc w:val="left"/>
      <w:pPr>
        <w:tabs>
          <w:tab w:val="left" w:pos="1440"/>
        </w:tabs>
        <w:ind w:left="1440" w:hanging="1440"/>
      </w:pPr>
      <w:rPr>
        <w:rFonts w:hint="default"/>
      </w:rPr>
    </w:lvl>
    <w:lvl w:ilvl="6" w:tentative="0">
      <w:start w:val="1"/>
      <w:numFmt w:val="decimal"/>
      <w:lvlText w:val="%1.%2.%3.%4.%5.%6.%7"/>
      <w:lvlJc w:val="left"/>
      <w:pPr>
        <w:tabs>
          <w:tab w:val="left" w:pos="1800"/>
        </w:tabs>
        <w:ind w:left="1800" w:hanging="1800"/>
      </w:pPr>
      <w:rPr>
        <w:rFonts w:hint="default"/>
      </w:rPr>
    </w:lvl>
    <w:lvl w:ilvl="7" w:tentative="0">
      <w:start w:val="1"/>
      <w:numFmt w:val="decimal"/>
      <w:lvlText w:val="%1.%2.%3.%4.%5.%6.%7.%8"/>
      <w:lvlJc w:val="left"/>
      <w:pPr>
        <w:tabs>
          <w:tab w:val="left" w:pos="1800"/>
        </w:tabs>
        <w:ind w:left="1800" w:hanging="1800"/>
      </w:pPr>
      <w:rPr>
        <w:rFonts w:hint="default"/>
      </w:rPr>
    </w:lvl>
    <w:lvl w:ilvl="8" w:tentative="0">
      <w:start w:val="1"/>
      <w:numFmt w:val="decimal"/>
      <w:lvlText w:val="%1.%2.%3.%4.%5.%6.%7.%8.%9"/>
      <w:lvlJc w:val="left"/>
      <w:pPr>
        <w:tabs>
          <w:tab w:val="left" w:pos="2160"/>
        </w:tabs>
        <w:ind w:left="2160" w:hanging="2160"/>
      </w:pPr>
      <w:rPr>
        <w:rFonts w:hint="default"/>
      </w:rPr>
    </w:lvl>
  </w:abstractNum>
  <w:abstractNum w:abstractNumId="21">
    <w:nsid w:val="2F576453"/>
    <w:multiLevelType w:val="multilevel"/>
    <w:tmpl w:val="2F576453"/>
    <w:lvl w:ilvl="0" w:tentative="0">
      <w:start w:val="12"/>
      <w:numFmt w:val="decimal"/>
      <w:lvlText w:val="%1"/>
      <w:lvlJc w:val="left"/>
      <w:pPr>
        <w:tabs>
          <w:tab w:val="left" w:pos="465"/>
        </w:tabs>
        <w:ind w:left="465" w:hanging="465"/>
      </w:pPr>
      <w:rPr>
        <w:rFonts w:hint="default"/>
      </w:rPr>
    </w:lvl>
    <w:lvl w:ilvl="1" w:tentative="0">
      <w:start w:val="1"/>
      <w:numFmt w:val="decimal"/>
      <w:lvlText w:val="%1.%2"/>
      <w:lvlJc w:val="left"/>
      <w:pPr>
        <w:tabs>
          <w:tab w:val="left" w:pos="465"/>
        </w:tabs>
        <w:ind w:left="465" w:hanging="465"/>
      </w:pPr>
      <w:rPr>
        <w:rFonts w:hint="default"/>
      </w:rPr>
    </w:lvl>
    <w:lvl w:ilvl="2" w:tentative="0">
      <w:start w:val="1"/>
      <w:numFmt w:val="decimal"/>
      <w:lvlText w:val="%1.%2.%3"/>
      <w:lvlJc w:val="left"/>
      <w:pPr>
        <w:tabs>
          <w:tab w:val="left" w:pos="720"/>
        </w:tabs>
        <w:ind w:left="720" w:hanging="720"/>
      </w:pPr>
      <w:rPr>
        <w:rFonts w:hint="default"/>
      </w:rPr>
    </w:lvl>
    <w:lvl w:ilvl="3" w:tentative="0">
      <w:start w:val="1"/>
      <w:numFmt w:val="decimal"/>
      <w:lvlText w:val="%1.%2.%3.%4"/>
      <w:lvlJc w:val="left"/>
      <w:pPr>
        <w:tabs>
          <w:tab w:val="left" w:pos="1080"/>
        </w:tabs>
        <w:ind w:left="1080" w:hanging="1080"/>
      </w:pPr>
      <w:rPr>
        <w:rFonts w:hint="default"/>
      </w:rPr>
    </w:lvl>
    <w:lvl w:ilvl="4" w:tentative="0">
      <w:start w:val="1"/>
      <w:numFmt w:val="decimal"/>
      <w:lvlText w:val="%1.%2.%3.%4.%5"/>
      <w:lvlJc w:val="left"/>
      <w:pPr>
        <w:tabs>
          <w:tab w:val="left" w:pos="1080"/>
        </w:tabs>
        <w:ind w:left="1080" w:hanging="1080"/>
      </w:pPr>
      <w:rPr>
        <w:rFonts w:hint="default"/>
      </w:rPr>
    </w:lvl>
    <w:lvl w:ilvl="5" w:tentative="0">
      <w:start w:val="1"/>
      <w:numFmt w:val="decimal"/>
      <w:lvlText w:val="%1.%2.%3.%4.%5.%6"/>
      <w:lvlJc w:val="left"/>
      <w:pPr>
        <w:tabs>
          <w:tab w:val="left" w:pos="1440"/>
        </w:tabs>
        <w:ind w:left="1440" w:hanging="1440"/>
      </w:pPr>
      <w:rPr>
        <w:rFonts w:hint="default"/>
      </w:rPr>
    </w:lvl>
    <w:lvl w:ilvl="6" w:tentative="0">
      <w:start w:val="1"/>
      <w:numFmt w:val="decimal"/>
      <w:lvlText w:val="%1.%2.%3.%4.%5.%6.%7"/>
      <w:lvlJc w:val="left"/>
      <w:pPr>
        <w:tabs>
          <w:tab w:val="left" w:pos="1800"/>
        </w:tabs>
        <w:ind w:left="1800" w:hanging="1800"/>
      </w:pPr>
      <w:rPr>
        <w:rFonts w:hint="default"/>
      </w:rPr>
    </w:lvl>
    <w:lvl w:ilvl="7" w:tentative="0">
      <w:start w:val="1"/>
      <w:numFmt w:val="decimal"/>
      <w:lvlText w:val="%1.%2.%3.%4.%5.%6.%7.%8"/>
      <w:lvlJc w:val="left"/>
      <w:pPr>
        <w:tabs>
          <w:tab w:val="left" w:pos="1800"/>
        </w:tabs>
        <w:ind w:left="1800" w:hanging="1800"/>
      </w:pPr>
      <w:rPr>
        <w:rFonts w:hint="default"/>
      </w:rPr>
    </w:lvl>
    <w:lvl w:ilvl="8" w:tentative="0">
      <w:start w:val="1"/>
      <w:numFmt w:val="decimal"/>
      <w:lvlText w:val="%1.%2.%3.%4.%5.%6.%7.%8.%9"/>
      <w:lvlJc w:val="left"/>
      <w:pPr>
        <w:tabs>
          <w:tab w:val="left" w:pos="2160"/>
        </w:tabs>
        <w:ind w:left="2160" w:hanging="2160"/>
      </w:pPr>
      <w:rPr>
        <w:rFonts w:hint="default"/>
      </w:rPr>
    </w:lvl>
  </w:abstractNum>
  <w:abstractNum w:abstractNumId="22">
    <w:nsid w:val="33222C7A"/>
    <w:multiLevelType w:val="singleLevel"/>
    <w:tmpl w:val="33222C7A"/>
    <w:lvl w:ilvl="0" w:tentative="0">
      <w:start w:val="1"/>
      <w:numFmt w:val="chineseCounting"/>
      <w:suff w:val="nothing"/>
      <w:lvlText w:val="%1、"/>
      <w:lvlJc w:val="left"/>
      <w:rPr>
        <w:rFonts w:hint="eastAsia"/>
      </w:rPr>
    </w:lvl>
  </w:abstractNum>
  <w:abstractNum w:abstractNumId="23">
    <w:nsid w:val="35135A59"/>
    <w:multiLevelType w:val="multilevel"/>
    <w:tmpl w:val="35135A59"/>
    <w:lvl w:ilvl="0" w:tentative="0">
      <w:start w:val="1"/>
      <w:numFmt w:val="japaneseCounting"/>
      <w:lvlText w:val="第%1章"/>
      <w:lvlJc w:val="left"/>
      <w:pPr>
        <w:tabs>
          <w:tab w:val="left" w:pos="3615"/>
        </w:tabs>
        <w:ind w:left="3615" w:hanging="1455"/>
      </w:pPr>
      <w:rPr>
        <w:rFonts w:hint="default"/>
        <w:b/>
      </w:rPr>
    </w:lvl>
    <w:lvl w:ilvl="1" w:tentative="0">
      <w:start w:val="1"/>
      <w:numFmt w:val="decimal"/>
      <w:lvlText w:val="%2、"/>
      <w:lvlJc w:val="left"/>
      <w:pPr>
        <w:tabs>
          <w:tab w:val="left" w:pos="360"/>
        </w:tabs>
        <w:ind w:left="360" w:hanging="360"/>
      </w:pPr>
      <w:rPr>
        <w:rFonts w:hint="default"/>
      </w:rPr>
    </w:lvl>
    <w:lvl w:ilvl="2" w:tentative="0">
      <w:start w:val="1"/>
      <w:numFmt w:val="lowerRoman"/>
      <w:lvlText w:val="%3."/>
      <w:lvlJc w:val="right"/>
      <w:pPr>
        <w:tabs>
          <w:tab w:val="left" w:pos="3420"/>
        </w:tabs>
        <w:ind w:left="3420" w:hanging="420"/>
      </w:pPr>
    </w:lvl>
    <w:lvl w:ilvl="3" w:tentative="0">
      <w:start w:val="1"/>
      <w:numFmt w:val="japaneseCounting"/>
      <w:lvlText w:val="%4、"/>
      <w:lvlJc w:val="left"/>
      <w:pPr>
        <w:tabs>
          <w:tab w:val="left" w:pos="3840"/>
        </w:tabs>
        <w:ind w:left="3840" w:hanging="420"/>
      </w:pPr>
      <w:rPr>
        <w:rFonts w:hint="default"/>
      </w:rPr>
    </w:lvl>
    <w:lvl w:ilvl="4" w:tentative="0">
      <w:start w:val="1"/>
      <w:numFmt w:val="japaneseCounting"/>
      <w:lvlText w:val="（%5）"/>
      <w:lvlJc w:val="left"/>
      <w:pPr>
        <w:tabs>
          <w:tab w:val="left" w:pos="4560"/>
        </w:tabs>
        <w:ind w:left="4560" w:hanging="720"/>
      </w:pPr>
      <w:rPr>
        <w:rFonts w:hint="default"/>
      </w:rPr>
    </w:lvl>
    <w:lvl w:ilvl="5" w:tentative="0">
      <w:start w:val="1"/>
      <w:numFmt w:val="decimal"/>
      <w:lvlText w:val="%6）"/>
      <w:lvlJc w:val="left"/>
      <w:pPr>
        <w:tabs>
          <w:tab w:val="left" w:pos="4605"/>
        </w:tabs>
        <w:ind w:left="4605" w:hanging="345"/>
      </w:pPr>
      <w:rPr>
        <w:rFonts w:hint="default"/>
      </w:rPr>
    </w:lvl>
    <w:lvl w:ilvl="6" w:tentative="0">
      <w:start w:val="1"/>
      <w:numFmt w:val="decimal"/>
      <w:lvlText w:val="%7．"/>
      <w:lvlJc w:val="left"/>
      <w:pPr>
        <w:tabs>
          <w:tab w:val="left" w:pos="5040"/>
        </w:tabs>
        <w:ind w:left="5040" w:hanging="360"/>
      </w:pPr>
      <w:rPr>
        <w:rFonts w:hint="default"/>
      </w:rPr>
    </w:lvl>
    <w:lvl w:ilvl="7" w:tentative="0">
      <w:start w:val="1"/>
      <w:numFmt w:val="decimal"/>
      <w:lvlText w:val="%8."/>
      <w:lvlJc w:val="left"/>
      <w:pPr>
        <w:tabs>
          <w:tab w:val="left" w:pos="5460"/>
        </w:tabs>
        <w:ind w:left="5460" w:hanging="360"/>
      </w:pPr>
      <w:rPr>
        <w:rFonts w:hint="default"/>
      </w:rPr>
    </w:lvl>
    <w:lvl w:ilvl="8" w:tentative="0">
      <w:start w:val="1"/>
      <w:numFmt w:val="lowerRoman"/>
      <w:lvlText w:val="%9."/>
      <w:lvlJc w:val="right"/>
      <w:pPr>
        <w:tabs>
          <w:tab w:val="left" w:pos="5940"/>
        </w:tabs>
        <w:ind w:left="5940" w:hanging="420"/>
      </w:pPr>
    </w:lvl>
  </w:abstractNum>
  <w:abstractNum w:abstractNumId="24">
    <w:nsid w:val="359C51AA"/>
    <w:multiLevelType w:val="multilevel"/>
    <w:tmpl w:val="359C51AA"/>
    <w:lvl w:ilvl="0" w:tentative="0">
      <w:start w:val="18"/>
      <w:numFmt w:val="decimal"/>
      <w:lvlText w:val="%1"/>
      <w:lvlJc w:val="left"/>
      <w:pPr>
        <w:tabs>
          <w:tab w:val="left" w:pos="465"/>
        </w:tabs>
        <w:ind w:left="465" w:hanging="465"/>
      </w:pPr>
      <w:rPr>
        <w:rFonts w:hint="default"/>
      </w:rPr>
    </w:lvl>
    <w:lvl w:ilvl="1" w:tentative="0">
      <w:start w:val="1"/>
      <w:numFmt w:val="decimal"/>
      <w:lvlText w:val="%1.%2"/>
      <w:lvlJc w:val="left"/>
      <w:pPr>
        <w:tabs>
          <w:tab w:val="left" w:pos="465"/>
        </w:tabs>
        <w:ind w:left="465" w:hanging="465"/>
      </w:pPr>
      <w:rPr>
        <w:rFonts w:hint="default"/>
      </w:rPr>
    </w:lvl>
    <w:lvl w:ilvl="2" w:tentative="0">
      <w:start w:val="1"/>
      <w:numFmt w:val="decimal"/>
      <w:lvlText w:val="%1.%2.%3"/>
      <w:lvlJc w:val="left"/>
      <w:pPr>
        <w:tabs>
          <w:tab w:val="left" w:pos="720"/>
        </w:tabs>
        <w:ind w:left="720" w:hanging="720"/>
      </w:pPr>
      <w:rPr>
        <w:rFonts w:hint="default"/>
      </w:rPr>
    </w:lvl>
    <w:lvl w:ilvl="3" w:tentative="0">
      <w:start w:val="1"/>
      <w:numFmt w:val="decimal"/>
      <w:lvlText w:val="%1.%2.%3.%4"/>
      <w:lvlJc w:val="left"/>
      <w:pPr>
        <w:tabs>
          <w:tab w:val="left" w:pos="1080"/>
        </w:tabs>
        <w:ind w:left="1080" w:hanging="1080"/>
      </w:pPr>
      <w:rPr>
        <w:rFonts w:hint="default"/>
      </w:rPr>
    </w:lvl>
    <w:lvl w:ilvl="4" w:tentative="0">
      <w:start w:val="1"/>
      <w:numFmt w:val="decimal"/>
      <w:lvlText w:val="%1.%2.%3.%4.%5"/>
      <w:lvlJc w:val="left"/>
      <w:pPr>
        <w:tabs>
          <w:tab w:val="left" w:pos="1080"/>
        </w:tabs>
        <w:ind w:left="1080" w:hanging="1080"/>
      </w:pPr>
      <w:rPr>
        <w:rFonts w:hint="default"/>
      </w:rPr>
    </w:lvl>
    <w:lvl w:ilvl="5" w:tentative="0">
      <w:start w:val="1"/>
      <w:numFmt w:val="decimal"/>
      <w:lvlText w:val="%1.%2.%3.%4.%5.%6"/>
      <w:lvlJc w:val="left"/>
      <w:pPr>
        <w:tabs>
          <w:tab w:val="left" w:pos="1440"/>
        </w:tabs>
        <w:ind w:left="1440" w:hanging="1440"/>
      </w:pPr>
      <w:rPr>
        <w:rFonts w:hint="default"/>
      </w:rPr>
    </w:lvl>
    <w:lvl w:ilvl="6" w:tentative="0">
      <w:start w:val="1"/>
      <w:numFmt w:val="decimal"/>
      <w:lvlText w:val="%1.%2.%3.%4.%5.%6.%7"/>
      <w:lvlJc w:val="left"/>
      <w:pPr>
        <w:tabs>
          <w:tab w:val="left" w:pos="1800"/>
        </w:tabs>
        <w:ind w:left="1800" w:hanging="1800"/>
      </w:pPr>
      <w:rPr>
        <w:rFonts w:hint="default"/>
      </w:rPr>
    </w:lvl>
    <w:lvl w:ilvl="7" w:tentative="0">
      <w:start w:val="1"/>
      <w:numFmt w:val="decimal"/>
      <w:lvlText w:val="%1.%2.%3.%4.%5.%6.%7.%8"/>
      <w:lvlJc w:val="left"/>
      <w:pPr>
        <w:tabs>
          <w:tab w:val="left" w:pos="1800"/>
        </w:tabs>
        <w:ind w:left="1800" w:hanging="1800"/>
      </w:pPr>
      <w:rPr>
        <w:rFonts w:hint="default"/>
      </w:rPr>
    </w:lvl>
    <w:lvl w:ilvl="8" w:tentative="0">
      <w:start w:val="1"/>
      <w:numFmt w:val="decimal"/>
      <w:lvlText w:val="%1.%2.%3.%4.%5.%6.%7.%8.%9"/>
      <w:lvlJc w:val="left"/>
      <w:pPr>
        <w:tabs>
          <w:tab w:val="left" w:pos="2160"/>
        </w:tabs>
        <w:ind w:left="2160" w:hanging="2160"/>
      </w:pPr>
      <w:rPr>
        <w:rFonts w:hint="default"/>
      </w:rPr>
    </w:lvl>
  </w:abstractNum>
  <w:abstractNum w:abstractNumId="25">
    <w:nsid w:val="44274878"/>
    <w:multiLevelType w:val="multilevel"/>
    <w:tmpl w:val="44274878"/>
    <w:lvl w:ilvl="0" w:tentative="0">
      <w:start w:val="27"/>
      <w:numFmt w:val="decimal"/>
      <w:lvlText w:val="%1"/>
      <w:lvlJc w:val="left"/>
      <w:pPr>
        <w:ind w:left="360" w:hanging="360"/>
      </w:pPr>
      <w:rPr>
        <w:rFonts w:hint="default"/>
      </w:rPr>
    </w:lvl>
    <w:lvl w:ilvl="1" w:tentative="0">
      <w:start w:val="1"/>
      <w:numFmt w:val="decimal"/>
      <w:isLgl/>
      <w:lvlText w:val="%1.%2"/>
      <w:lvlJc w:val="left"/>
      <w:pPr>
        <w:ind w:left="510" w:hanging="510"/>
      </w:pPr>
      <w:rPr>
        <w:rFonts w:hint="default"/>
      </w:rPr>
    </w:lvl>
    <w:lvl w:ilvl="2" w:tentative="0">
      <w:start w:val="1"/>
      <w:numFmt w:val="decimal"/>
      <w:isLgl/>
      <w:lvlText w:val="%1.%2.%3"/>
      <w:lvlJc w:val="left"/>
      <w:pPr>
        <w:ind w:left="510" w:hanging="510"/>
      </w:pPr>
      <w:rPr>
        <w:rFonts w:hint="default"/>
      </w:rPr>
    </w:lvl>
    <w:lvl w:ilvl="3" w:tentative="0">
      <w:start w:val="1"/>
      <w:numFmt w:val="decimal"/>
      <w:isLgl/>
      <w:lvlText w:val="%1.%2.%3.%4"/>
      <w:lvlJc w:val="left"/>
      <w:pPr>
        <w:ind w:left="510" w:hanging="510"/>
      </w:pPr>
      <w:rPr>
        <w:rFonts w:hint="default"/>
      </w:rPr>
    </w:lvl>
    <w:lvl w:ilvl="4" w:tentative="0">
      <w:start w:val="1"/>
      <w:numFmt w:val="decimal"/>
      <w:isLgl/>
      <w:lvlText w:val="%1.%2.%3.%4.%5"/>
      <w:lvlJc w:val="left"/>
      <w:pPr>
        <w:ind w:left="510" w:hanging="510"/>
      </w:pPr>
      <w:rPr>
        <w:rFonts w:hint="default"/>
      </w:rPr>
    </w:lvl>
    <w:lvl w:ilvl="5" w:tentative="0">
      <w:start w:val="1"/>
      <w:numFmt w:val="decimal"/>
      <w:isLgl/>
      <w:lvlText w:val="%1.%2.%3.%4.%5.%6"/>
      <w:lvlJc w:val="left"/>
      <w:pPr>
        <w:ind w:left="510" w:hanging="510"/>
      </w:pPr>
      <w:rPr>
        <w:rFonts w:hint="default"/>
      </w:rPr>
    </w:lvl>
    <w:lvl w:ilvl="6" w:tentative="0">
      <w:start w:val="1"/>
      <w:numFmt w:val="decimal"/>
      <w:isLgl/>
      <w:lvlText w:val="%1.%2.%3.%4.%5.%6.%7"/>
      <w:lvlJc w:val="left"/>
      <w:pPr>
        <w:ind w:left="510" w:hanging="510"/>
      </w:pPr>
      <w:rPr>
        <w:rFonts w:hint="default"/>
      </w:rPr>
    </w:lvl>
    <w:lvl w:ilvl="7" w:tentative="0">
      <w:start w:val="1"/>
      <w:numFmt w:val="decimal"/>
      <w:isLgl/>
      <w:lvlText w:val="%1.%2.%3.%4.%5.%6.%7.%8"/>
      <w:lvlJc w:val="left"/>
      <w:pPr>
        <w:ind w:left="510" w:hanging="510"/>
      </w:pPr>
      <w:rPr>
        <w:rFonts w:hint="default"/>
      </w:rPr>
    </w:lvl>
    <w:lvl w:ilvl="8" w:tentative="0">
      <w:start w:val="1"/>
      <w:numFmt w:val="decimal"/>
      <w:isLgl/>
      <w:lvlText w:val="%1.%2.%3.%4.%5.%6.%7.%8.%9"/>
      <w:lvlJc w:val="left"/>
      <w:pPr>
        <w:ind w:left="510" w:hanging="510"/>
      </w:pPr>
      <w:rPr>
        <w:rFonts w:hint="default"/>
      </w:rPr>
    </w:lvl>
  </w:abstractNum>
  <w:abstractNum w:abstractNumId="26">
    <w:nsid w:val="46450AAB"/>
    <w:multiLevelType w:val="multilevel"/>
    <w:tmpl w:val="46450AAB"/>
    <w:lvl w:ilvl="0" w:tentative="0">
      <w:start w:val="11"/>
      <w:numFmt w:val="decimal"/>
      <w:lvlText w:val="%1"/>
      <w:lvlJc w:val="left"/>
      <w:pPr>
        <w:tabs>
          <w:tab w:val="left" w:pos="465"/>
        </w:tabs>
        <w:ind w:left="465" w:hanging="465"/>
      </w:pPr>
      <w:rPr>
        <w:rFonts w:hint="default"/>
      </w:rPr>
    </w:lvl>
    <w:lvl w:ilvl="1" w:tentative="0">
      <w:start w:val="1"/>
      <w:numFmt w:val="decimal"/>
      <w:lvlText w:val="%1.%2"/>
      <w:lvlJc w:val="left"/>
      <w:pPr>
        <w:tabs>
          <w:tab w:val="left" w:pos="465"/>
        </w:tabs>
        <w:ind w:left="465" w:hanging="465"/>
      </w:pPr>
      <w:rPr>
        <w:rFonts w:hint="default"/>
      </w:rPr>
    </w:lvl>
    <w:lvl w:ilvl="2" w:tentative="0">
      <w:start w:val="1"/>
      <w:numFmt w:val="decimal"/>
      <w:lvlText w:val="%1.%2.%3"/>
      <w:lvlJc w:val="left"/>
      <w:pPr>
        <w:tabs>
          <w:tab w:val="left" w:pos="720"/>
        </w:tabs>
        <w:ind w:left="720" w:hanging="720"/>
      </w:pPr>
      <w:rPr>
        <w:rFonts w:hint="default"/>
      </w:rPr>
    </w:lvl>
    <w:lvl w:ilvl="3" w:tentative="0">
      <w:start w:val="1"/>
      <w:numFmt w:val="decimal"/>
      <w:lvlText w:val="%1.%2.%3.%4"/>
      <w:lvlJc w:val="left"/>
      <w:pPr>
        <w:tabs>
          <w:tab w:val="left" w:pos="1080"/>
        </w:tabs>
        <w:ind w:left="1080" w:hanging="1080"/>
      </w:pPr>
      <w:rPr>
        <w:rFonts w:hint="default"/>
      </w:rPr>
    </w:lvl>
    <w:lvl w:ilvl="4" w:tentative="0">
      <w:start w:val="1"/>
      <w:numFmt w:val="decimal"/>
      <w:lvlText w:val="%1.%2.%3.%4.%5"/>
      <w:lvlJc w:val="left"/>
      <w:pPr>
        <w:tabs>
          <w:tab w:val="left" w:pos="1080"/>
        </w:tabs>
        <w:ind w:left="1080" w:hanging="1080"/>
      </w:pPr>
      <w:rPr>
        <w:rFonts w:hint="default"/>
      </w:rPr>
    </w:lvl>
    <w:lvl w:ilvl="5" w:tentative="0">
      <w:start w:val="1"/>
      <w:numFmt w:val="decimal"/>
      <w:lvlText w:val="%1.%2.%3.%4.%5.%6"/>
      <w:lvlJc w:val="left"/>
      <w:pPr>
        <w:tabs>
          <w:tab w:val="left" w:pos="1440"/>
        </w:tabs>
        <w:ind w:left="1440" w:hanging="1440"/>
      </w:pPr>
      <w:rPr>
        <w:rFonts w:hint="default"/>
      </w:rPr>
    </w:lvl>
    <w:lvl w:ilvl="6" w:tentative="0">
      <w:start w:val="1"/>
      <w:numFmt w:val="decimal"/>
      <w:lvlText w:val="%1.%2.%3.%4.%5.%6.%7"/>
      <w:lvlJc w:val="left"/>
      <w:pPr>
        <w:tabs>
          <w:tab w:val="left" w:pos="1800"/>
        </w:tabs>
        <w:ind w:left="1800" w:hanging="1800"/>
      </w:pPr>
      <w:rPr>
        <w:rFonts w:hint="default"/>
      </w:rPr>
    </w:lvl>
    <w:lvl w:ilvl="7" w:tentative="0">
      <w:start w:val="1"/>
      <w:numFmt w:val="decimal"/>
      <w:lvlText w:val="%1.%2.%3.%4.%5.%6.%7.%8"/>
      <w:lvlJc w:val="left"/>
      <w:pPr>
        <w:tabs>
          <w:tab w:val="left" w:pos="1800"/>
        </w:tabs>
        <w:ind w:left="1800" w:hanging="1800"/>
      </w:pPr>
      <w:rPr>
        <w:rFonts w:hint="default"/>
      </w:rPr>
    </w:lvl>
    <w:lvl w:ilvl="8" w:tentative="0">
      <w:start w:val="1"/>
      <w:numFmt w:val="decimal"/>
      <w:lvlText w:val="%1.%2.%3.%4.%5.%6.%7.%8.%9"/>
      <w:lvlJc w:val="left"/>
      <w:pPr>
        <w:tabs>
          <w:tab w:val="left" w:pos="2160"/>
        </w:tabs>
        <w:ind w:left="2160" w:hanging="2160"/>
      </w:pPr>
      <w:rPr>
        <w:rFonts w:hint="default"/>
      </w:rPr>
    </w:lvl>
  </w:abstractNum>
  <w:abstractNum w:abstractNumId="27">
    <w:nsid w:val="46C95EB7"/>
    <w:multiLevelType w:val="multilevel"/>
    <w:tmpl w:val="46C95EB7"/>
    <w:lvl w:ilvl="0" w:tentative="0">
      <w:start w:val="1"/>
      <w:numFmt w:val="decimal"/>
      <w:lvlText w:val="%1、"/>
      <w:lvlJc w:val="left"/>
      <w:pPr>
        <w:tabs>
          <w:tab w:val="left" w:pos="1305"/>
        </w:tabs>
        <w:ind w:left="1305" w:hanging="360"/>
      </w:pPr>
      <w:rPr>
        <w:rFonts w:hint="default"/>
      </w:rPr>
    </w:lvl>
    <w:lvl w:ilvl="1" w:tentative="0">
      <w:start w:val="1"/>
      <w:numFmt w:val="japaneseCounting"/>
      <w:lvlText w:val="%2、"/>
      <w:lvlJc w:val="left"/>
      <w:pPr>
        <w:tabs>
          <w:tab w:val="left" w:pos="1305"/>
        </w:tabs>
        <w:ind w:left="1305" w:hanging="465"/>
      </w:pPr>
      <w:rPr>
        <w:rFonts w:hint="default" w:cs="黑体"/>
      </w:rPr>
    </w:lvl>
    <w:lvl w:ilvl="2" w:tentative="0">
      <w:start w:val="1"/>
      <w:numFmt w:val="decimal"/>
      <w:lvlText w:val="%3)"/>
      <w:lvlJc w:val="left"/>
      <w:pPr>
        <w:tabs>
          <w:tab w:val="left" w:pos="1500"/>
        </w:tabs>
        <w:ind w:left="1500" w:hanging="240"/>
      </w:pPr>
      <w:rPr>
        <w:rFonts w:hint="default"/>
      </w:rPr>
    </w:lvl>
    <w:lvl w:ilvl="3" w:tentative="0">
      <w:start w:val="1"/>
      <w:numFmt w:val="decimal"/>
      <w:lvlText w:val="%4）"/>
      <w:lvlJc w:val="left"/>
      <w:pPr>
        <w:tabs>
          <w:tab w:val="left" w:pos="2040"/>
        </w:tabs>
        <w:ind w:left="2040" w:hanging="360"/>
      </w:pPr>
      <w:rPr>
        <w:rFonts w:hint="default"/>
      </w:rPr>
    </w:lvl>
    <w:lvl w:ilvl="4" w:tentative="0">
      <w:start w:val="4"/>
      <w:numFmt w:val="decimal"/>
      <w:lvlText w:val="%5．"/>
      <w:lvlJc w:val="left"/>
      <w:pPr>
        <w:tabs>
          <w:tab w:val="left" w:pos="2460"/>
        </w:tabs>
        <w:ind w:left="2460" w:hanging="360"/>
      </w:pPr>
      <w:rPr>
        <w:rFonts w:hint="default"/>
      </w:rPr>
    </w:lvl>
    <w:lvl w:ilvl="5" w:tentative="0">
      <w:start w:val="1"/>
      <w:numFmt w:val="lowerRoman"/>
      <w:lvlText w:val="%6."/>
      <w:lvlJc w:val="right"/>
      <w:pPr>
        <w:tabs>
          <w:tab w:val="left" w:pos="2940"/>
        </w:tabs>
        <w:ind w:left="2940" w:hanging="420"/>
      </w:pPr>
    </w:lvl>
    <w:lvl w:ilvl="6" w:tentative="0">
      <w:start w:val="1"/>
      <w:numFmt w:val="decimal"/>
      <w:lvlText w:val="%7."/>
      <w:lvlJc w:val="left"/>
      <w:pPr>
        <w:tabs>
          <w:tab w:val="left" w:pos="3360"/>
        </w:tabs>
        <w:ind w:left="3360" w:hanging="420"/>
      </w:pPr>
    </w:lvl>
    <w:lvl w:ilvl="7" w:tentative="0">
      <w:start w:val="1"/>
      <w:numFmt w:val="lowerLetter"/>
      <w:lvlText w:val="%8)"/>
      <w:lvlJc w:val="left"/>
      <w:pPr>
        <w:tabs>
          <w:tab w:val="left" w:pos="3780"/>
        </w:tabs>
        <w:ind w:left="3780" w:hanging="420"/>
      </w:pPr>
    </w:lvl>
    <w:lvl w:ilvl="8" w:tentative="0">
      <w:start w:val="1"/>
      <w:numFmt w:val="lowerRoman"/>
      <w:lvlText w:val="%9."/>
      <w:lvlJc w:val="right"/>
      <w:pPr>
        <w:tabs>
          <w:tab w:val="left" w:pos="4200"/>
        </w:tabs>
        <w:ind w:left="4200" w:hanging="420"/>
      </w:pPr>
    </w:lvl>
  </w:abstractNum>
  <w:abstractNum w:abstractNumId="28">
    <w:nsid w:val="48D858E8"/>
    <w:multiLevelType w:val="multilevel"/>
    <w:tmpl w:val="48D858E8"/>
    <w:lvl w:ilvl="0" w:tentative="0">
      <w:start w:val="4"/>
      <w:numFmt w:val="decimal"/>
      <w:lvlText w:val="%1"/>
      <w:lvlJc w:val="left"/>
      <w:pPr>
        <w:tabs>
          <w:tab w:val="left" w:pos="360"/>
        </w:tabs>
        <w:ind w:left="360" w:hanging="360"/>
      </w:pPr>
      <w:rPr>
        <w:rFonts w:hint="default" w:cs="Times New Roman"/>
      </w:rPr>
    </w:lvl>
    <w:lvl w:ilvl="1" w:tentative="0">
      <w:start w:val="1"/>
      <w:numFmt w:val="decimal"/>
      <w:lvlText w:val="%1.%2"/>
      <w:lvlJc w:val="left"/>
      <w:pPr>
        <w:tabs>
          <w:tab w:val="left" w:pos="360"/>
        </w:tabs>
        <w:ind w:left="360" w:hanging="360"/>
      </w:pPr>
      <w:rPr>
        <w:rFonts w:hint="default" w:cs="Times New Roman"/>
      </w:rPr>
    </w:lvl>
    <w:lvl w:ilvl="2" w:tentative="0">
      <w:start w:val="1"/>
      <w:numFmt w:val="decimal"/>
      <w:lvlText w:val="%1.%2.%3"/>
      <w:lvlJc w:val="left"/>
      <w:pPr>
        <w:tabs>
          <w:tab w:val="left" w:pos="720"/>
        </w:tabs>
        <w:ind w:left="720" w:hanging="720"/>
      </w:pPr>
      <w:rPr>
        <w:rFonts w:hint="default" w:cs="Times New Roman"/>
      </w:rPr>
    </w:lvl>
    <w:lvl w:ilvl="3" w:tentative="0">
      <w:start w:val="1"/>
      <w:numFmt w:val="decimal"/>
      <w:lvlText w:val="%1.%2.%3.%4"/>
      <w:lvlJc w:val="left"/>
      <w:pPr>
        <w:tabs>
          <w:tab w:val="left" w:pos="1080"/>
        </w:tabs>
        <w:ind w:left="1080" w:hanging="1080"/>
      </w:pPr>
      <w:rPr>
        <w:rFonts w:hint="default" w:cs="Times New Roman"/>
      </w:rPr>
    </w:lvl>
    <w:lvl w:ilvl="4" w:tentative="0">
      <w:start w:val="1"/>
      <w:numFmt w:val="decimal"/>
      <w:lvlText w:val="%1.%2.%3.%4.%5"/>
      <w:lvlJc w:val="left"/>
      <w:pPr>
        <w:tabs>
          <w:tab w:val="left" w:pos="1080"/>
        </w:tabs>
        <w:ind w:left="1080" w:hanging="1080"/>
      </w:pPr>
      <w:rPr>
        <w:rFonts w:hint="default" w:cs="Times New Roman"/>
      </w:rPr>
    </w:lvl>
    <w:lvl w:ilvl="5" w:tentative="0">
      <w:start w:val="1"/>
      <w:numFmt w:val="decimal"/>
      <w:lvlText w:val="%1.%2.%3.%4.%5.%6"/>
      <w:lvlJc w:val="left"/>
      <w:pPr>
        <w:tabs>
          <w:tab w:val="left" w:pos="1440"/>
        </w:tabs>
        <w:ind w:left="1440" w:hanging="1440"/>
      </w:pPr>
      <w:rPr>
        <w:rFonts w:hint="default" w:cs="Times New Roman"/>
      </w:rPr>
    </w:lvl>
    <w:lvl w:ilvl="6" w:tentative="0">
      <w:start w:val="1"/>
      <w:numFmt w:val="decimal"/>
      <w:lvlText w:val="%1.%2.%3.%4.%5.%6.%7"/>
      <w:lvlJc w:val="left"/>
      <w:pPr>
        <w:tabs>
          <w:tab w:val="left" w:pos="1440"/>
        </w:tabs>
        <w:ind w:left="1440" w:hanging="1440"/>
      </w:pPr>
      <w:rPr>
        <w:rFonts w:hint="default" w:cs="Times New Roman"/>
      </w:rPr>
    </w:lvl>
    <w:lvl w:ilvl="7" w:tentative="0">
      <w:start w:val="1"/>
      <w:numFmt w:val="decimal"/>
      <w:lvlText w:val="%1.%2.%3.%4.%5.%6.%7.%8"/>
      <w:lvlJc w:val="left"/>
      <w:pPr>
        <w:tabs>
          <w:tab w:val="left" w:pos="1800"/>
        </w:tabs>
        <w:ind w:left="1800" w:hanging="1800"/>
      </w:pPr>
      <w:rPr>
        <w:rFonts w:hint="default" w:cs="Times New Roman"/>
      </w:rPr>
    </w:lvl>
    <w:lvl w:ilvl="8" w:tentative="0">
      <w:start w:val="1"/>
      <w:numFmt w:val="decimal"/>
      <w:lvlText w:val="%1.%2.%3.%4.%5.%6.%7.%8.%9"/>
      <w:lvlJc w:val="left"/>
      <w:pPr>
        <w:tabs>
          <w:tab w:val="left" w:pos="1800"/>
        </w:tabs>
        <w:ind w:left="1800" w:hanging="1800"/>
      </w:pPr>
      <w:rPr>
        <w:rFonts w:hint="default" w:cs="Times New Roman"/>
      </w:rPr>
    </w:lvl>
  </w:abstractNum>
  <w:abstractNum w:abstractNumId="29">
    <w:nsid w:val="4B331C36"/>
    <w:multiLevelType w:val="multilevel"/>
    <w:tmpl w:val="4B331C36"/>
    <w:lvl w:ilvl="0" w:tentative="0">
      <w:start w:val="1"/>
      <w:numFmt w:val="japaneseCounting"/>
      <w:pStyle w:val="90"/>
      <w:lvlText w:val="第%1章"/>
      <w:lvlJc w:val="left"/>
      <w:pPr>
        <w:tabs>
          <w:tab w:val="left" w:pos="1275"/>
        </w:tabs>
        <w:ind w:left="1275" w:hanging="1275"/>
      </w:pPr>
      <w:rPr>
        <w:rFonts w:hint="default"/>
        <w:b/>
        <w:sz w:val="36"/>
        <w:szCs w:val="36"/>
      </w:rPr>
    </w:lvl>
    <w:lvl w:ilvl="1" w:tentative="0">
      <w:start w:val="1"/>
      <w:numFmt w:val="japaneseCounting"/>
      <w:lvlText w:val="%2、"/>
      <w:lvlJc w:val="left"/>
      <w:pPr>
        <w:tabs>
          <w:tab w:val="left" w:pos="420"/>
        </w:tabs>
        <w:ind w:left="420" w:hanging="420"/>
      </w:pPr>
      <w:rPr>
        <w:rFonts w:hint="default"/>
        <w:sz w:val="21"/>
        <w:szCs w:val="21"/>
      </w:rPr>
    </w:lvl>
    <w:lvl w:ilvl="2" w:tentative="0">
      <w:start w:val="1"/>
      <w:numFmt w:val="decimal"/>
      <w:lvlText w:val="%3、"/>
      <w:lvlJc w:val="left"/>
      <w:pPr>
        <w:tabs>
          <w:tab w:val="left" w:pos="420"/>
        </w:tabs>
        <w:ind w:left="0" w:firstLine="420"/>
      </w:pPr>
      <w:rPr>
        <w:rFonts w:hint="default"/>
        <w:b w:val="0"/>
        <w:sz w:val="21"/>
        <w:szCs w:val="21"/>
      </w:rPr>
    </w:lvl>
    <w:lvl w:ilvl="3" w:tentative="0">
      <w:start w:val="1"/>
      <w:numFmt w:val="decimal"/>
      <w:lvlText w:val="%4."/>
      <w:lvlJc w:val="left"/>
      <w:pPr>
        <w:tabs>
          <w:tab w:val="left" w:pos="1620"/>
        </w:tabs>
        <w:ind w:left="1620" w:hanging="360"/>
      </w:pPr>
      <w:rPr>
        <w:rFonts w:hint="default"/>
      </w:r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30">
    <w:nsid w:val="4F7C056F"/>
    <w:multiLevelType w:val="multilevel"/>
    <w:tmpl w:val="4F7C056F"/>
    <w:lvl w:ilvl="0" w:tentative="0">
      <w:start w:val="17"/>
      <w:numFmt w:val="decimal"/>
      <w:lvlText w:val="%1"/>
      <w:lvlJc w:val="left"/>
      <w:pPr>
        <w:tabs>
          <w:tab w:val="left" w:pos="465"/>
        </w:tabs>
        <w:ind w:left="465" w:hanging="465"/>
      </w:pPr>
      <w:rPr>
        <w:rFonts w:hint="default"/>
      </w:rPr>
    </w:lvl>
    <w:lvl w:ilvl="1" w:tentative="0">
      <w:start w:val="1"/>
      <w:numFmt w:val="decimal"/>
      <w:lvlText w:val="%1.%2"/>
      <w:lvlJc w:val="left"/>
      <w:pPr>
        <w:tabs>
          <w:tab w:val="left" w:pos="465"/>
        </w:tabs>
        <w:ind w:left="465" w:hanging="465"/>
      </w:pPr>
      <w:rPr>
        <w:rFonts w:hint="default"/>
      </w:rPr>
    </w:lvl>
    <w:lvl w:ilvl="2" w:tentative="0">
      <w:start w:val="1"/>
      <w:numFmt w:val="decimal"/>
      <w:lvlText w:val="%1.%2.%3"/>
      <w:lvlJc w:val="left"/>
      <w:pPr>
        <w:tabs>
          <w:tab w:val="left" w:pos="720"/>
        </w:tabs>
        <w:ind w:left="720" w:hanging="720"/>
      </w:pPr>
      <w:rPr>
        <w:rFonts w:hint="default"/>
      </w:rPr>
    </w:lvl>
    <w:lvl w:ilvl="3" w:tentative="0">
      <w:start w:val="1"/>
      <w:numFmt w:val="decimal"/>
      <w:lvlText w:val="%1.%2.%3.%4"/>
      <w:lvlJc w:val="left"/>
      <w:pPr>
        <w:tabs>
          <w:tab w:val="left" w:pos="1080"/>
        </w:tabs>
        <w:ind w:left="1080" w:hanging="1080"/>
      </w:pPr>
      <w:rPr>
        <w:rFonts w:hint="default"/>
      </w:rPr>
    </w:lvl>
    <w:lvl w:ilvl="4" w:tentative="0">
      <w:start w:val="1"/>
      <w:numFmt w:val="decimal"/>
      <w:lvlText w:val="%1.%2.%3.%4.%5"/>
      <w:lvlJc w:val="left"/>
      <w:pPr>
        <w:tabs>
          <w:tab w:val="left" w:pos="1080"/>
        </w:tabs>
        <w:ind w:left="1080" w:hanging="1080"/>
      </w:pPr>
      <w:rPr>
        <w:rFonts w:hint="default"/>
      </w:rPr>
    </w:lvl>
    <w:lvl w:ilvl="5" w:tentative="0">
      <w:start w:val="1"/>
      <w:numFmt w:val="decimal"/>
      <w:lvlText w:val="%1.%2.%3.%4.%5.%6"/>
      <w:lvlJc w:val="left"/>
      <w:pPr>
        <w:tabs>
          <w:tab w:val="left" w:pos="1440"/>
        </w:tabs>
        <w:ind w:left="1440" w:hanging="1440"/>
      </w:pPr>
      <w:rPr>
        <w:rFonts w:hint="default"/>
      </w:rPr>
    </w:lvl>
    <w:lvl w:ilvl="6" w:tentative="0">
      <w:start w:val="1"/>
      <w:numFmt w:val="decimal"/>
      <w:lvlText w:val="%1.%2.%3.%4.%5.%6.%7"/>
      <w:lvlJc w:val="left"/>
      <w:pPr>
        <w:tabs>
          <w:tab w:val="left" w:pos="1800"/>
        </w:tabs>
        <w:ind w:left="1800" w:hanging="1800"/>
      </w:pPr>
      <w:rPr>
        <w:rFonts w:hint="default"/>
      </w:rPr>
    </w:lvl>
    <w:lvl w:ilvl="7" w:tentative="0">
      <w:start w:val="1"/>
      <w:numFmt w:val="decimal"/>
      <w:lvlText w:val="%1.%2.%3.%4.%5.%6.%7.%8"/>
      <w:lvlJc w:val="left"/>
      <w:pPr>
        <w:tabs>
          <w:tab w:val="left" w:pos="1800"/>
        </w:tabs>
        <w:ind w:left="1800" w:hanging="1800"/>
      </w:pPr>
      <w:rPr>
        <w:rFonts w:hint="default"/>
      </w:rPr>
    </w:lvl>
    <w:lvl w:ilvl="8" w:tentative="0">
      <w:start w:val="1"/>
      <w:numFmt w:val="decimal"/>
      <w:lvlText w:val="%1.%2.%3.%4.%5.%6.%7.%8.%9"/>
      <w:lvlJc w:val="left"/>
      <w:pPr>
        <w:tabs>
          <w:tab w:val="left" w:pos="2160"/>
        </w:tabs>
        <w:ind w:left="2160" w:hanging="2160"/>
      </w:pPr>
      <w:rPr>
        <w:rFonts w:hint="default"/>
      </w:rPr>
    </w:lvl>
  </w:abstractNum>
  <w:abstractNum w:abstractNumId="31">
    <w:nsid w:val="54D12799"/>
    <w:multiLevelType w:val="multilevel"/>
    <w:tmpl w:val="54D12799"/>
    <w:lvl w:ilvl="0" w:tentative="0">
      <w:start w:val="5"/>
      <w:numFmt w:val="decimal"/>
      <w:lvlText w:val="%1"/>
      <w:lvlJc w:val="left"/>
      <w:pPr>
        <w:tabs>
          <w:tab w:val="left" w:pos="360"/>
        </w:tabs>
        <w:ind w:left="360" w:hanging="360"/>
      </w:pPr>
      <w:rPr>
        <w:rFonts w:hint="default"/>
      </w:rPr>
    </w:lvl>
    <w:lvl w:ilvl="1" w:tentative="0">
      <w:start w:val="1"/>
      <w:numFmt w:val="decimal"/>
      <w:lvlText w:val="%1.%2"/>
      <w:lvlJc w:val="left"/>
      <w:pPr>
        <w:tabs>
          <w:tab w:val="left" w:pos="360"/>
        </w:tabs>
        <w:ind w:left="360" w:hanging="360"/>
      </w:pPr>
      <w:rPr>
        <w:rFonts w:hint="default"/>
      </w:rPr>
    </w:lvl>
    <w:lvl w:ilvl="2" w:tentative="0">
      <w:start w:val="1"/>
      <w:numFmt w:val="decimal"/>
      <w:lvlText w:val="%1.%2.%3"/>
      <w:lvlJc w:val="left"/>
      <w:pPr>
        <w:tabs>
          <w:tab w:val="left" w:pos="720"/>
        </w:tabs>
        <w:ind w:left="720" w:hanging="720"/>
      </w:pPr>
      <w:rPr>
        <w:rFonts w:hint="default"/>
      </w:rPr>
    </w:lvl>
    <w:lvl w:ilvl="3" w:tentative="0">
      <w:start w:val="1"/>
      <w:numFmt w:val="decimal"/>
      <w:lvlText w:val="%1.%2.%3.%4"/>
      <w:lvlJc w:val="left"/>
      <w:pPr>
        <w:tabs>
          <w:tab w:val="left" w:pos="1080"/>
        </w:tabs>
        <w:ind w:left="1080" w:hanging="1080"/>
      </w:pPr>
      <w:rPr>
        <w:rFonts w:hint="default"/>
      </w:rPr>
    </w:lvl>
    <w:lvl w:ilvl="4" w:tentative="0">
      <w:start w:val="1"/>
      <w:numFmt w:val="decimal"/>
      <w:lvlText w:val="%1.%2.%3.%4.%5"/>
      <w:lvlJc w:val="left"/>
      <w:pPr>
        <w:tabs>
          <w:tab w:val="left" w:pos="1080"/>
        </w:tabs>
        <w:ind w:left="1080" w:hanging="1080"/>
      </w:pPr>
      <w:rPr>
        <w:rFonts w:hint="default"/>
      </w:rPr>
    </w:lvl>
    <w:lvl w:ilvl="5" w:tentative="0">
      <w:start w:val="1"/>
      <w:numFmt w:val="decimal"/>
      <w:lvlText w:val="%1.%2.%3.%4.%5.%6"/>
      <w:lvlJc w:val="left"/>
      <w:pPr>
        <w:tabs>
          <w:tab w:val="left" w:pos="1440"/>
        </w:tabs>
        <w:ind w:left="1440" w:hanging="1440"/>
      </w:pPr>
      <w:rPr>
        <w:rFonts w:hint="default"/>
      </w:rPr>
    </w:lvl>
    <w:lvl w:ilvl="6" w:tentative="0">
      <w:start w:val="1"/>
      <w:numFmt w:val="decimal"/>
      <w:lvlText w:val="%1.%2.%3.%4.%5.%6.%7"/>
      <w:lvlJc w:val="left"/>
      <w:pPr>
        <w:tabs>
          <w:tab w:val="left" w:pos="1440"/>
        </w:tabs>
        <w:ind w:left="1440" w:hanging="1440"/>
      </w:pPr>
      <w:rPr>
        <w:rFonts w:hint="default"/>
      </w:rPr>
    </w:lvl>
    <w:lvl w:ilvl="7" w:tentative="0">
      <w:start w:val="1"/>
      <w:numFmt w:val="decimal"/>
      <w:lvlText w:val="%1.%2.%3.%4.%5.%6.%7.%8"/>
      <w:lvlJc w:val="left"/>
      <w:pPr>
        <w:tabs>
          <w:tab w:val="left" w:pos="1800"/>
        </w:tabs>
        <w:ind w:left="1800" w:hanging="1800"/>
      </w:pPr>
      <w:rPr>
        <w:rFonts w:hint="default"/>
      </w:rPr>
    </w:lvl>
    <w:lvl w:ilvl="8" w:tentative="0">
      <w:start w:val="1"/>
      <w:numFmt w:val="decimal"/>
      <w:lvlText w:val="%1.%2.%3.%4.%5.%6.%7.%8.%9"/>
      <w:lvlJc w:val="left"/>
      <w:pPr>
        <w:tabs>
          <w:tab w:val="left" w:pos="1800"/>
        </w:tabs>
        <w:ind w:left="1800" w:hanging="1800"/>
      </w:pPr>
      <w:rPr>
        <w:rFonts w:hint="default"/>
      </w:rPr>
    </w:lvl>
  </w:abstractNum>
  <w:abstractNum w:abstractNumId="32">
    <w:nsid w:val="552E1C8E"/>
    <w:multiLevelType w:val="singleLevel"/>
    <w:tmpl w:val="552E1C8E"/>
    <w:lvl w:ilvl="0" w:tentative="0">
      <w:start w:val="1"/>
      <w:numFmt w:val="decimal"/>
      <w:suff w:val="nothing"/>
      <w:lvlText w:val="%1．"/>
      <w:lvlJc w:val="left"/>
      <w:pPr>
        <w:ind w:left="0" w:firstLine="400"/>
      </w:pPr>
      <w:rPr>
        <w:rFonts w:hint="default"/>
      </w:rPr>
    </w:lvl>
  </w:abstractNum>
  <w:abstractNum w:abstractNumId="33">
    <w:nsid w:val="57063C4C"/>
    <w:multiLevelType w:val="singleLevel"/>
    <w:tmpl w:val="57063C4C"/>
    <w:lvl w:ilvl="0" w:tentative="0">
      <w:start w:val="1"/>
      <w:numFmt w:val="decimal"/>
      <w:suff w:val="nothing"/>
      <w:lvlText w:val="%1．"/>
      <w:lvlJc w:val="left"/>
      <w:pPr>
        <w:ind w:left="26" w:firstLine="400"/>
      </w:pPr>
      <w:rPr>
        <w:rFonts w:hint="default"/>
      </w:rPr>
    </w:lvl>
  </w:abstractNum>
  <w:abstractNum w:abstractNumId="34">
    <w:nsid w:val="5E076C81"/>
    <w:multiLevelType w:val="multilevel"/>
    <w:tmpl w:val="5E076C81"/>
    <w:lvl w:ilvl="0" w:tentative="0">
      <w:start w:val="6"/>
      <w:numFmt w:val="decimal"/>
      <w:lvlText w:val="%1"/>
      <w:lvlJc w:val="left"/>
      <w:pPr>
        <w:tabs>
          <w:tab w:val="left" w:pos="360"/>
        </w:tabs>
        <w:ind w:left="360" w:hanging="360"/>
      </w:pPr>
      <w:rPr>
        <w:rFonts w:hint="default"/>
      </w:rPr>
    </w:lvl>
    <w:lvl w:ilvl="1" w:tentative="0">
      <w:start w:val="1"/>
      <w:numFmt w:val="decimal"/>
      <w:lvlText w:val="%1.%2"/>
      <w:lvlJc w:val="left"/>
      <w:pPr>
        <w:tabs>
          <w:tab w:val="left" w:pos="360"/>
        </w:tabs>
        <w:ind w:left="360" w:hanging="360"/>
      </w:pPr>
      <w:rPr>
        <w:rFonts w:hint="default"/>
      </w:rPr>
    </w:lvl>
    <w:lvl w:ilvl="2" w:tentative="0">
      <w:start w:val="1"/>
      <w:numFmt w:val="decimal"/>
      <w:lvlText w:val="%1.%2.%3"/>
      <w:lvlJc w:val="left"/>
      <w:pPr>
        <w:tabs>
          <w:tab w:val="left" w:pos="720"/>
        </w:tabs>
        <w:ind w:left="720" w:hanging="720"/>
      </w:pPr>
      <w:rPr>
        <w:rFonts w:hint="default"/>
      </w:rPr>
    </w:lvl>
    <w:lvl w:ilvl="3" w:tentative="0">
      <w:start w:val="1"/>
      <w:numFmt w:val="decimal"/>
      <w:lvlText w:val="%1.%2.%3.%4"/>
      <w:lvlJc w:val="left"/>
      <w:pPr>
        <w:tabs>
          <w:tab w:val="left" w:pos="1080"/>
        </w:tabs>
        <w:ind w:left="1080" w:hanging="1080"/>
      </w:pPr>
      <w:rPr>
        <w:rFonts w:hint="default"/>
      </w:rPr>
    </w:lvl>
    <w:lvl w:ilvl="4" w:tentative="0">
      <w:start w:val="1"/>
      <w:numFmt w:val="decimal"/>
      <w:lvlText w:val="%1.%2.%3.%4.%5"/>
      <w:lvlJc w:val="left"/>
      <w:pPr>
        <w:tabs>
          <w:tab w:val="left" w:pos="1080"/>
        </w:tabs>
        <w:ind w:left="1080" w:hanging="1080"/>
      </w:pPr>
      <w:rPr>
        <w:rFonts w:hint="default"/>
      </w:rPr>
    </w:lvl>
    <w:lvl w:ilvl="5" w:tentative="0">
      <w:start w:val="1"/>
      <w:numFmt w:val="decimal"/>
      <w:lvlText w:val="%1.%2.%3.%4.%5.%6"/>
      <w:lvlJc w:val="left"/>
      <w:pPr>
        <w:tabs>
          <w:tab w:val="left" w:pos="1440"/>
        </w:tabs>
        <w:ind w:left="1440" w:hanging="1440"/>
      </w:pPr>
      <w:rPr>
        <w:rFonts w:hint="default"/>
      </w:rPr>
    </w:lvl>
    <w:lvl w:ilvl="6" w:tentative="0">
      <w:start w:val="1"/>
      <w:numFmt w:val="decimal"/>
      <w:lvlText w:val="%1.%2.%3.%4.%5.%6.%7"/>
      <w:lvlJc w:val="left"/>
      <w:pPr>
        <w:tabs>
          <w:tab w:val="left" w:pos="1440"/>
        </w:tabs>
        <w:ind w:left="1440" w:hanging="1440"/>
      </w:pPr>
      <w:rPr>
        <w:rFonts w:hint="default"/>
      </w:rPr>
    </w:lvl>
    <w:lvl w:ilvl="7" w:tentative="0">
      <w:start w:val="1"/>
      <w:numFmt w:val="decimal"/>
      <w:lvlText w:val="%1.%2.%3.%4.%5.%6.%7.%8"/>
      <w:lvlJc w:val="left"/>
      <w:pPr>
        <w:tabs>
          <w:tab w:val="left" w:pos="1800"/>
        </w:tabs>
        <w:ind w:left="1800" w:hanging="1800"/>
      </w:pPr>
      <w:rPr>
        <w:rFonts w:hint="default"/>
      </w:rPr>
    </w:lvl>
    <w:lvl w:ilvl="8" w:tentative="0">
      <w:start w:val="1"/>
      <w:numFmt w:val="decimal"/>
      <w:lvlText w:val="%1.%2.%3.%4.%5.%6.%7.%8.%9"/>
      <w:lvlJc w:val="left"/>
      <w:pPr>
        <w:tabs>
          <w:tab w:val="left" w:pos="1800"/>
        </w:tabs>
        <w:ind w:left="1800" w:hanging="1800"/>
      </w:pPr>
      <w:rPr>
        <w:rFonts w:hint="default"/>
      </w:rPr>
    </w:lvl>
  </w:abstractNum>
  <w:abstractNum w:abstractNumId="35">
    <w:nsid w:val="5F4F21DF"/>
    <w:multiLevelType w:val="multilevel"/>
    <w:tmpl w:val="5F4F21DF"/>
    <w:lvl w:ilvl="0" w:tentative="0">
      <w:start w:val="1"/>
      <w:numFmt w:val="decimal"/>
      <w:lvlText w:val="%1"/>
      <w:lvlJc w:val="left"/>
      <w:pPr>
        <w:tabs>
          <w:tab w:val="left" w:pos="360"/>
        </w:tabs>
        <w:ind w:left="360" w:hanging="360"/>
      </w:pPr>
      <w:rPr>
        <w:rFonts w:hint="default"/>
      </w:rPr>
    </w:lvl>
    <w:lvl w:ilvl="1" w:tentative="0">
      <w:start w:val="1"/>
      <w:numFmt w:val="decimal"/>
      <w:lvlText w:val="%1.%2"/>
      <w:lvlJc w:val="left"/>
      <w:pPr>
        <w:tabs>
          <w:tab w:val="left" w:pos="360"/>
        </w:tabs>
        <w:ind w:left="360" w:hanging="360"/>
      </w:pPr>
      <w:rPr>
        <w:rFonts w:hint="default"/>
      </w:rPr>
    </w:lvl>
    <w:lvl w:ilvl="2" w:tentative="0">
      <w:start w:val="1"/>
      <w:numFmt w:val="decimal"/>
      <w:lvlText w:val="%1.%2.%3"/>
      <w:lvlJc w:val="left"/>
      <w:pPr>
        <w:tabs>
          <w:tab w:val="left" w:pos="720"/>
        </w:tabs>
        <w:ind w:left="720" w:hanging="720"/>
      </w:pPr>
      <w:rPr>
        <w:rFonts w:hint="default"/>
      </w:rPr>
    </w:lvl>
    <w:lvl w:ilvl="3" w:tentative="0">
      <w:start w:val="1"/>
      <w:numFmt w:val="decimal"/>
      <w:lvlText w:val="%1.%2.%3.%4"/>
      <w:lvlJc w:val="left"/>
      <w:pPr>
        <w:tabs>
          <w:tab w:val="left" w:pos="1080"/>
        </w:tabs>
        <w:ind w:left="1080" w:hanging="1080"/>
      </w:pPr>
      <w:rPr>
        <w:rFonts w:hint="default"/>
      </w:rPr>
    </w:lvl>
    <w:lvl w:ilvl="4" w:tentative="0">
      <w:start w:val="1"/>
      <w:numFmt w:val="decimal"/>
      <w:lvlText w:val="%1.%2.%3.%4.%5"/>
      <w:lvlJc w:val="left"/>
      <w:pPr>
        <w:tabs>
          <w:tab w:val="left" w:pos="1080"/>
        </w:tabs>
        <w:ind w:left="1080" w:hanging="1080"/>
      </w:pPr>
      <w:rPr>
        <w:rFonts w:hint="default"/>
      </w:rPr>
    </w:lvl>
    <w:lvl w:ilvl="5" w:tentative="0">
      <w:start w:val="1"/>
      <w:numFmt w:val="decimal"/>
      <w:lvlText w:val="%1.%2.%3.%4.%5.%6"/>
      <w:lvlJc w:val="left"/>
      <w:pPr>
        <w:tabs>
          <w:tab w:val="left" w:pos="1440"/>
        </w:tabs>
        <w:ind w:left="1440" w:hanging="1440"/>
      </w:pPr>
      <w:rPr>
        <w:rFonts w:hint="default"/>
      </w:rPr>
    </w:lvl>
    <w:lvl w:ilvl="6" w:tentative="0">
      <w:start w:val="1"/>
      <w:numFmt w:val="decimal"/>
      <w:lvlText w:val="%1.%2.%3.%4.%5.%6.%7"/>
      <w:lvlJc w:val="left"/>
      <w:pPr>
        <w:tabs>
          <w:tab w:val="left" w:pos="1440"/>
        </w:tabs>
        <w:ind w:left="1440" w:hanging="1440"/>
      </w:pPr>
      <w:rPr>
        <w:rFonts w:hint="default"/>
      </w:rPr>
    </w:lvl>
    <w:lvl w:ilvl="7" w:tentative="0">
      <w:start w:val="1"/>
      <w:numFmt w:val="decimal"/>
      <w:lvlText w:val="%1.%2.%3.%4.%5.%6.%7.%8"/>
      <w:lvlJc w:val="left"/>
      <w:pPr>
        <w:tabs>
          <w:tab w:val="left" w:pos="1800"/>
        </w:tabs>
        <w:ind w:left="1800" w:hanging="1800"/>
      </w:pPr>
      <w:rPr>
        <w:rFonts w:hint="default"/>
      </w:rPr>
    </w:lvl>
    <w:lvl w:ilvl="8" w:tentative="0">
      <w:start w:val="1"/>
      <w:numFmt w:val="decimal"/>
      <w:lvlText w:val="%1.%2.%3.%4.%5.%6.%7.%8.%9"/>
      <w:lvlJc w:val="left"/>
      <w:pPr>
        <w:tabs>
          <w:tab w:val="left" w:pos="1800"/>
        </w:tabs>
        <w:ind w:left="1800" w:hanging="1800"/>
      </w:pPr>
      <w:rPr>
        <w:rFonts w:hint="default"/>
      </w:rPr>
    </w:lvl>
  </w:abstractNum>
  <w:abstractNum w:abstractNumId="36">
    <w:nsid w:val="6065484F"/>
    <w:multiLevelType w:val="multilevel"/>
    <w:tmpl w:val="6065484F"/>
    <w:lvl w:ilvl="0" w:tentative="0">
      <w:start w:val="7"/>
      <w:numFmt w:val="decimal"/>
      <w:lvlText w:val="%1"/>
      <w:lvlJc w:val="left"/>
      <w:pPr>
        <w:tabs>
          <w:tab w:val="left" w:pos="360"/>
        </w:tabs>
        <w:ind w:left="360" w:hanging="360"/>
      </w:pPr>
      <w:rPr>
        <w:rFonts w:hint="default"/>
      </w:rPr>
    </w:lvl>
    <w:lvl w:ilvl="1" w:tentative="0">
      <w:start w:val="1"/>
      <w:numFmt w:val="decimal"/>
      <w:lvlText w:val="%1.%2"/>
      <w:lvlJc w:val="left"/>
      <w:pPr>
        <w:tabs>
          <w:tab w:val="left" w:pos="360"/>
        </w:tabs>
        <w:ind w:left="360" w:hanging="360"/>
      </w:pPr>
      <w:rPr>
        <w:rFonts w:hint="default"/>
      </w:rPr>
    </w:lvl>
    <w:lvl w:ilvl="2" w:tentative="0">
      <w:start w:val="1"/>
      <w:numFmt w:val="decimal"/>
      <w:lvlText w:val="%1.%2.%3"/>
      <w:lvlJc w:val="left"/>
      <w:pPr>
        <w:tabs>
          <w:tab w:val="left" w:pos="720"/>
        </w:tabs>
        <w:ind w:left="720" w:hanging="720"/>
      </w:pPr>
      <w:rPr>
        <w:rFonts w:hint="default"/>
      </w:rPr>
    </w:lvl>
    <w:lvl w:ilvl="3" w:tentative="0">
      <w:start w:val="1"/>
      <w:numFmt w:val="decimal"/>
      <w:lvlText w:val="%1.%2.%3.%4"/>
      <w:lvlJc w:val="left"/>
      <w:pPr>
        <w:tabs>
          <w:tab w:val="left" w:pos="1080"/>
        </w:tabs>
        <w:ind w:left="1080" w:hanging="1080"/>
      </w:pPr>
      <w:rPr>
        <w:rFonts w:hint="default"/>
      </w:rPr>
    </w:lvl>
    <w:lvl w:ilvl="4" w:tentative="0">
      <w:start w:val="1"/>
      <w:numFmt w:val="decimal"/>
      <w:lvlText w:val="%1.%2.%3.%4.%5"/>
      <w:lvlJc w:val="left"/>
      <w:pPr>
        <w:tabs>
          <w:tab w:val="left" w:pos="1080"/>
        </w:tabs>
        <w:ind w:left="1080" w:hanging="1080"/>
      </w:pPr>
      <w:rPr>
        <w:rFonts w:hint="default"/>
      </w:rPr>
    </w:lvl>
    <w:lvl w:ilvl="5" w:tentative="0">
      <w:start w:val="1"/>
      <w:numFmt w:val="decimal"/>
      <w:lvlText w:val="%1.%2.%3.%4.%5.%6"/>
      <w:lvlJc w:val="left"/>
      <w:pPr>
        <w:tabs>
          <w:tab w:val="left" w:pos="1440"/>
        </w:tabs>
        <w:ind w:left="1440" w:hanging="1440"/>
      </w:pPr>
      <w:rPr>
        <w:rFonts w:hint="default"/>
      </w:rPr>
    </w:lvl>
    <w:lvl w:ilvl="6" w:tentative="0">
      <w:start w:val="1"/>
      <w:numFmt w:val="decimal"/>
      <w:lvlText w:val="%1.%2.%3.%4.%5.%6.%7"/>
      <w:lvlJc w:val="left"/>
      <w:pPr>
        <w:tabs>
          <w:tab w:val="left" w:pos="1800"/>
        </w:tabs>
        <w:ind w:left="1800" w:hanging="1800"/>
      </w:pPr>
      <w:rPr>
        <w:rFonts w:hint="default"/>
      </w:rPr>
    </w:lvl>
    <w:lvl w:ilvl="7" w:tentative="0">
      <w:start w:val="1"/>
      <w:numFmt w:val="decimal"/>
      <w:lvlText w:val="%1.%2.%3.%4.%5.%6.%7.%8"/>
      <w:lvlJc w:val="left"/>
      <w:pPr>
        <w:tabs>
          <w:tab w:val="left" w:pos="1800"/>
        </w:tabs>
        <w:ind w:left="1800" w:hanging="1800"/>
      </w:pPr>
      <w:rPr>
        <w:rFonts w:hint="default"/>
      </w:rPr>
    </w:lvl>
    <w:lvl w:ilvl="8" w:tentative="0">
      <w:start w:val="1"/>
      <w:numFmt w:val="decimal"/>
      <w:lvlText w:val="%1.%2.%3.%4.%5.%6.%7.%8.%9"/>
      <w:lvlJc w:val="left"/>
      <w:pPr>
        <w:tabs>
          <w:tab w:val="left" w:pos="2160"/>
        </w:tabs>
        <w:ind w:left="2160" w:hanging="2160"/>
      </w:pPr>
      <w:rPr>
        <w:rFonts w:hint="default"/>
      </w:rPr>
    </w:lvl>
  </w:abstractNum>
  <w:abstractNum w:abstractNumId="37">
    <w:nsid w:val="615413D2"/>
    <w:multiLevelType w:val="multilevel"/>
    <w:tmpl w:val="615413D2"/>
    <w:lvl w:ilvl="0" w:tentative="0">
      <w:start w:val="1"/>
      <w:numFmt w:val="decimal"/>
      <w:lvlText w:val="%1"/>
      <w:lvlJc w:val="left"/>
      <w:pPr>
        <w:tabs>
          <w:tab w:val="left" w:pos="360"/>
        </w:tabs>
        <w:ind w:left="360" w:hanging="360"/>
      </w:pPr>
      <w:rPr>
        <w:rFonts w:hint="default"/>
      </w:rPr>
    </w:lvl>
    <w:lvl w:ilvl="1" w:tentative="0">
      <w:start w:val="1"/>
      <w:numFmt w:val="decimal"/>
      <w:lvlText w:val="%1.%2"/>
      <w:lvlJc w:val="left"/>
      <w:pPr>
        <w:tabs>
          <w:tab w:val="left" w:pos="360"/>
        </w:tabs>
        <w:ind w:left="360" w:hanging="360"/>
      </w:pPr>
      <w:rPr>
        <w:rFonts w:hint="default"/>
      </w:rPr>
    </w:lvl>
    <w:lvl w:ilvl="2" w:tentative="0">
      <w:start w:val="1"/>
      <w:numFmt w:val="decimal"/>
      <w:lvlText w:val="%1.%2.%3"/>
      <w:lvlJc w:val="left"/>
      <w:pPr>
        <w:tabs>
          <w:tab w:val="left" w:pos="720"/>
        </w:tabs>
        <w:ind w:left="720" w:hanging="720"/>
      </w:pPr>
      <w:rPr>
        <w:rFonts w:hint="default"/>
      </w:rPr>
    </w:lvl>
    <w:lvl w:ilvl="3" w:tentative="0">
      <w:start w:val="1"/>
      <w:numFmt w:val="decimal"/>
      <w:lvlText w:val="%1.%2.%3.%4"/>
      <w:lvlJc w:val="left"/>
      <w:pPr>
        <w:tabs>
          <w:tab w:val="left" w:pos="1080"/>
        </w:tabs>
        <w:ind w:left="1080" w:hanging="1080"/>
      </w:pPr>
      <w:rPr>
        <w:rFonts w:hint="default"/>
      </w:rPr>
    </w:lvl>
    <w:lvl w:ilvl="4" w:tentative="0">
      <w:start w:val="1"/>
      <w:numFmt w:val="decimal"/>
      <w:lvlText w:val="%1.%2.%3.%4.%5"/>
      <w:lvlJc w:val="left"/>
      <w:pPr>
        <w:tabs>
          <w:tab w:val="left" w:pos="1080"/>
        </w:tabs>
        <w:ind w:left="1080" w:hanging="1080"/>
      </w:pPr>
      <w:rPr>
        <w:rFonts w:hint="default"/>
      </w:rPr>
    </w:lvl>
    <w:lvl w:ilvl="5" w:tentative="0">
      <w:start w:val="1"/>
      <w:numFmt w:val="decimal"/>
      <w:lvlText w:val="%1.%2.%3.%4.%5.%6"/>
      <w:lvlJc w:val="left"/>
      <w:pPr>
        <w:tabs>
          <w:tab w:val="left" w:pos="1440"/>
        </w:tabs>
        <w:ind w:left="1440" w:hanging="1440"/>
      </w:pPr>
      <w:rPr>
        <w:rFonts w:hint="default"/>
      </w:rPr>
    </w:lvl>
    <w:lvl w:ilvl="6" w:tentative="0">
      <w:start w:val="1"/>
      <w:numFmt w:val="decimal"/>
      <w:lvlText w:val="%1.%2.%3.%4.%5.%6.%7"/>
      <w:lvlJc w:val="left"/>
      <w:pPr>
        <w:tabs>
          <w:tab w:val="left" w:pos="1440"/>
        </w:tabs>
        <w:ind w:left="1440" w:hanging="1440"/>
      </w:pPr>
      <w:rPr>
        <w:rFonts w:hint="default"/>
      </w:rPr>
    </w:lvl>
    <w:lvl w:ilvl="7" w:tentative="0">
      <w:start w:val="1"/>
      <w:numFmt w:val="decimal"/>
      <w:lvlText w:val="%1.%2.%3.%4.%5.%6.%7.%8"/>
      <w:lvlJc w:val="left"/>
      <w:pPr>
        <w:tabs>
          <w:tab w:val="left" w:pos="1800"/>
        </w:tabs>
        <w:ind w:left="1800" w:hanging="1800"/>
      </w:pPr>
      <w:rPr>
        <w:rFonts w:hint="default"/>
      </w:rPr>
    </w:lvl>
    <w:lvl w:ilvl="8" w:tentative="0">
      <w:start w:val="1"/>
      <w:numFmt w:val="decimal"/>
      <w:lvlText w:val="%1.%2.%3.%4.%5.%6.%7.%8.%9"/>
      <w:lvlJc w:val="left"/>
      <w:pPr>
        <w:tabs>
          <w:tab w:val="left" w:pos="1800"/>
        </w:tabs>
        <w:ind w:left="1800" w:hanging="1800"/>
      </w:pPr>
      <w:rPr>
        <w:rFonts w:hint="default"/>
      </w:rPr>
    </w:lvl>
  </w:abstractNum>
  <w:abstractNum w:abstractNumId="38">
    <w:nsid w:val="68C50813"/>
    <w:multiLevelType w:val="multilevel"/>
    <w:tmpl w:val="68C50813"/>
    <w:lvl w:ilvl="0" w:tentative="0">
      <w:start w:val="9"/>
      <w:numFmt w:val="decimal"/>
      <w:lvlText w:val="%1"/>
      <w:lvlJc w:val="left"/>
      <w:pPr>
        <w:tabs>
          <w:tab w:val="left" w:pos="360"/>
        </w:tabs>
        <w:ind w:left="360" w:hanging="360"/>
      </w:pPr>
      <w:rPr>
        <w:rFonts w:hint="default"/>
      </w:rPr>
    </w:lvl>
    <w:lvl w:ilvl="1" w:tentative="0">
      <w:start w:val="1"/>
      <w:numFmt w:val="decimal"/>
      <w:lvlText w:val="%1.%2"/>
      <w:lvlJc w:val="left"/>
      <w:pPr>
        <w:tabs>
          <w:tab w:val="left" w:pos="360"/>
        </w:tabs>
        <w:ind w:left="360" w:hanging="360"/>
      </w:pPr>
      <w:rPr>
        <w:rFonts w:hint="default"/>
      </w:rPr>
    </w:lvl>
    <w:lvl w:ilvl="2" w:tentative="0">
      <w:start w:val="1"/>
      <w:numFmt w:val="decimal"/>
      <w:lvlText w:val="%1.%2.%3"/>
      <w:lvlJc w:val="left"/>
      <w:pPr>
        <w:tabs>
          <w:tab w:val="left" w:pos="720"/>
        </w:tabs>
        <w:ind w:left="720" w:hanging="720"/>
      </w:pPr>
      <w:rPr>
        <w:rFonts w:hint="default"/>
      </w:rPr>
    </w:lvl>
    <w:lvl w:ilvl="3" w:tentative="0">
      <w:start w:val="1"/>
      <w:numFmt w:val="decimal"/>
      <w:lvlText w:val="%1.%2.%3.%4"/>
      <w:lvlJc w:val="left"/>
      <w:pPr>
        <w:tabs>
          <w:tab w:val="left" w:pos="1080"/>
        </w:tabs>
        <w:ind w:left="1080" w:hanging="1080"/>
      </w:pPr>
      <w:rPr>
        <w:rFonts w:hint="default"/>
      </w:rPr>
    </w:lvl>
    <w:lvl w:ilvl="4" w:tentative="0">
      <w:start w:val="1"/>
      <w:numFmt w:val="decimal"/>
      <w:lvlText w:val="%1.%2.%3.%4.%5"/>
      <w:lvlJc w:val="left"/>
      <w:pPr>
        <w:tabs>
          <w:tab w:val="left" w:pos="1080"/>
        </w:tabs>
        <w:ind w:left="1080" w:hanging="1080"/>
      </w:pPr>
      <w:rPr>
        <w:rFonts w:hint="default"/>
      </w:rPr>
    </w:lvl>
    <w:lvl w:ilvl="5" w:tentative="0">
      <w:start w:val="1"/>
      <w:numFmt w:val="decimal"/>
      <w:lvlText w:val="%1.%2.%3.%4.%5.%6"/>
      <w:lvlJc w:val="left"/>
      <w:pPr>
        <w:tabs>
          <w:tab w:val="left" w:pos="1440"/>
        </w:tabs>
        <w:ind w:left="1440" w:hanging="1440"/>
      </w:pPr>
      <w:rPr>
        <w:rFonts w:hint="default"/>
      </w:rPr>
    </w:lvl>
    <w:lvl w:ilvl="6" w:tentative="0">
      <w:start w:val="1"/>
      <w:numFmt w:val="decimal"/>
      <w:lvlText w:val="%1.%2.%3.%4.%5.%6.%7"/>
      <w:lvlJc w:val="left"/>
      <w:pPr>
        <w:tabs>
          <w:tab w:val="left" w:pos="1800"/>
        </w:tabs>
        <w:ind w:left="1800" w:hanging="1800"/>
      </w:pPr>
      <w:rPr>
        <w:rFonts w:hint="default"/>
      </w:rPr>
    </w:lvl>
    <w:lvl w:ilvl="7" w:tentative="0">
      <w:start w:val="1"/>
      <w:numFmt w:val="decimal"/>
      <w:lvlText w:val="%1.%2.%3.%4.%5.%6.%7.%8"/>
      <w:lvlJc w:val="left"/>
      <w:pPr>
        <w:tabs>
          <w:tab w:val="left" w:pos="1800"/>
        </w:tabs>
        <w:ind w:left="1800" w:hanging="1800"/>
      </w:pPr>
      <w:rPr>
        <w:rFonts w:hint="default"/>
      </w:rPr>
    </w:lvl>
    <w:lvl w:ilvl="8" w:tentative="0">
      <w:start w:val="1"/>
      <w:numFmt w:val="decimal"/>
      <w:lvlText w:val="%1.%2.%3.%4.%5.%6.%7.%8.%9"/>
      <w:lvlJc w:val="left"/>
      <w:pPr>
        <w:tabs>
          <w:tab w:val="left" w:pos="2160"/>
        </w:tabs>
        <w:ind w:left="2160" w:hanging="2160"/>
      </w:pPr>
      <w:rPr>
        <w:rFonts w:hint="default"/>
      </w:rPr>
    </w:lvl>
  </w:abstractNum>
  <w:abstractNum w:abstractNumId="39">
    <w:nsid w:val="6CEA2025"/>
    <w:multiLevelType w:val="multilevel"/>
    <w:tmpl w:val="6CEA2025"/>
    <w:lvl w:ilvl="0" w:tentative="0">
      <w:start w:val="1"/>
      <w:numFmt w:val="none"/>
      <w:pStyle w:val="67"/>
      <w:suff w:val="nothing"/>
      <w:lvlText w:val="%1"/>
      <w:lvlJc w:val="left"/>
      <w:pPr>
        <w:ind w:left="0" w:firstLine="0"/>
      </w:pPr>
      <w:rPr>
        <w:rFonts w:hint="default" w:ascii="Times New Roman" w:hAnsi="Times New Roman"/>
        <w:b/>
        <w:i w:val="0"/>
        <w:sz w:val="21"/>
      </w:rPr>
    </w:lvl>
    <w:lvl w:ilvl="1" w:tentative="0">
      <w:start w:val="1"/>
      <w:numFmt w:val="decimal"/>
      <w:pStyle w:val="70"/>
      <w:suff w:val="nothing"/>
      <w:lvlText w:val="%1%2　"/>
      <w:lvlJc w:val="left"/>
      <w:pPr>
        <w:ind w:left="180" w:firstLine="0"/>
      </w:pPr>
      <w:rPr>
        <w:rFonts w:hint="eastAsia" w:ascii="黑体" w:hAnsi="Times New Roman" w:eastAsia="黑体"/>
        <w:b/>
        <w:i w:val="0"/>
        <w:sz w:val="24"/>
        <w:szCs w:val="24"/>
      </w:rPr>
    </w:lvl>
    <w:lvl w:ilvl="2" w:tentative="0">
      <w:start w:val="1"/>
      <w:numFmt w:val="decimal"/>
      <w:pStyle w:val="76"/>
      <w:suff w:val="nothing"/>
      <w:lvlText w:val="%1%2.%3　"/>
      <w:lvlJc w:val="left"/>
      <w:pPr>
        <w:ind w:left="720" w:firstLine="0"/>
      </w:pPr>
      <w:rPr>
        <w:rFonts w:hint="eastAsia" w:ascii="黑体" w:hAnsi="Times New Roman" w:eastAsia="黑体"/>
        <w:b w:val="0"/>
        <w:i w:val="0"/>
        <w:sz w:val="21"/>
      </w:rPr>
    </w:lvl>
    <w:lvl w:ilvl="3" w:tentative="0">
      <w:start w:val="1"/>
      <w:numFmt w:val="decimal"/>
      <w:pStyle w:val="75"/>
      <w:suff w:val="nothing"/>
      <w:lvlText w:val="%1%2.4.%4　"/>
      <w:lvlJc w:val="left"/>
      <w:pPr>
        <w:ind w:left="420" w:firstLine="0"/>
      </w:pPr>
      <w:rPr>
        <w:rFonts w:hint="eastAsia" w:ascii="黑体" w:hAnsi="Times New Roman" w:eastAsia="黑体"/>
        <w:b w:val="0"/>
        <w:i w:val="0"/>
        <w:sz w:val="21"/>
      </w:rPr>
    </w:lvl>
    <w:lvl w:ilvl="4" w:tentative="0">
      <w:start w:val="1"/>
      <w:numFmt w:val="decimal"/>
      <w:pStyle w:val="82"/>
      <w:suff w:val="nothing"/>
      <w:lvlText w:val="5.%12.5.%5　"/>
      <w:lvlJc w:val="left"/>
      <w:pPr>
        <w:ind w:left="420" w:firstLine="0"/>
      </w:pPr>
      <w:rPr>
        <w:rFonts w:hint="eastAsia" w:ascii="黑体" w:hAnsi="Times New Roman" w:eastAsia="黑体"/>
        <w:b w:val="0"/>
        <w:i w:val="0"/>
        <w:sz w:val="21"/>
      </w:rPr>
    </w:lvl>
    <w:lvl w:ilvl="5" w:tentative="0">
      <w:start w:val="1"/>
      <w:numFmt w:val="decimal"/>
      <w:pStyle w:val="88"/>
      <w:suff w:val="nothing"/>
      <w:lvlText w:val="%1%2.%3.%4.%5.%6　"/>
      <w:lvlJc w:val="left"/>
      <w:pPr>
        <w:ind w:left="0" w:firstLine="0"/>
      </w:pPr>
      <w:rPr>
        <w:rFonts w:hint="eastAsia" w:ascii="黑体" w:hAnsi="Times New Roman" w:eastAsia="黑体"/>
        <w:b w:val="0"/>
        <w:i w:val="0"/>
        <w:sz w:val="21"/>
      </w:rPr>
    </w:lvl>
    <w:lvl w:ilvl="6" w:tentative="0">
      <w:start w:val="1"/>
      <w:numFmt w:val="decimal"/>
      <w:pStyle w:val="87"/>
      <w:suff w:val="nothing"/>
      <w:lvlText w:val="%1%2.%3.%4.%5.%6.%7　"/>
      <w:lvlJc w:val="left"/>
      <w:pPr>
        <w:ind w:left="0" w:firstLine="0"/>
      </w:pPr>
      <w:rPr>
        <w:rFonts w:hint="eastAsia" w:ascii="黑体" w:hAnsi="Times New Roman" w:eastAsia="黑体"/>
        <w:b w:val="0"/>
        <w:i w:val="0"/>
        <w:sz w:val="21"/>
      </w:rPr>
    </w:lvl>
    <w:lvl w:ilvl="7" w:tentative="0">
      <w:start w:val="1"/>
      <w:numFmt w:val="decimal"/>
      <w:lvlText w:val="%1.%2.%3.%4.%5.%6.%7.%8"/>
      <w:lvlJc w:val="left"/>
      <w:pPr>
        <w:tabs>
          <w:tab w:val="left" w:pos="4351"/>
        </w:tabs>
        <w:ind w:left="3969" w:hanging="1418"/>
      </w:pPr>
      <w:rPr>
        <w:rFonts w:hint="eastAsia"/>
      </w:rPr>
    </w:lvl>
    <w:lvl w:ilvl="8" w:tentative="0">
      <w:start w:val="1"/>
      <w:numFmt w:val="decimal"/>
      <w:lvlText w:val="%1.%2.%3.%4.%5.%6.%7.%8.%9"/>
      <w:lvlJc w:val="left"/>
      <w:pPr>
        <w:tabs>
          <w:tab w:val="left" w:pos="4777"/>
        </w:tabs>
        <w:ind w:left="4677" w:hanging="1700"/>
      </w:pPr>
      <w:rPr>
        <w:rFonts w:hint="eastAsia"/>
      </w:rPr>
    </w:lvl>
  </w:abstractNum>
  <w:abstractNum w:abstractNumId="40">
    <w:nsid w:val="6F113A89"/>
    <w:multiLevelType w:val="multilevel"/>
    <w:tmpl w:val="6F113A89"/>
    <w:lvl w:ilvl="0" w:tentative="0">
      <w:start w:val="16"/>
      <w:numFmt w:val="decimal"/>
      <w:lvlText w:val="%1"/>
      <w:lvlJc w:val="left"/>
      <w:pPr>
        <w:tabs>
          <w:tab w:val="left" w:pos="600"/>
        </w:tabs>
        <w:ind w:left="600" w:hanging="600"/>
      </w:pPr>
      <w:rPr>
        <w:rFonts w:hint="default"/>
      </w:rPr>
    </w:lvl>
    <w:lvl w:ilvl="1" w:tentative="0">
      <w:start w:val="1"/>
      <w:numFmt w:val="decimal"/>
      <w:lvlText w:val="%1.%2"/>
      <w:lvlJc w:val="left"/>
      <w:pPr>
        <w:tabs>
          <w:tab w:val="left" w:pos="600"/>
        </w:tabs>
        <w:ind w:left="600" w:hanging="600"/>
      </w:pPr>
      <w:rPr>
        <w:rFonts w:hint="default"/>
      </w:rPr>
    </w:lvl>
    <w:lvl w:ilvl="2" w:tentative="0">
      <w:start w:val="1"/>
      <w:numFmt w:val="decimal"/>
      <w:lvlText w:val="%1.%2.%3"/>
      <w:lvlJc w:val="left"/>
      <w:pPr>
        <w:tabs>
          <w:tab w:val="left" w:pos="600"/>
        </w:tabs>
        <w:ind w:left="600" w:hanging="600"/>
      </w:pPr>
      <w:rPr>
        <w:rFonts w:hint="default"/>
      </w:rPr>
    </w:lvl>
    <w:lvl w:ilvl="3" w:tentative="0">
      <w:start w:val="1"/>
      <w:numFmt w:val="decimal"/>
      <w:lvlText w:val="%1.%2.%3.%4"/>
      <w:lvlJc w:val="left"/>
      <w:pPr>
        <w:tabs>
          <w:tab w:val="left" w:pos="600"/>
        </w:tabs>
        <w:ind w:left="600" w:hanging="600"/>
      </w:pPr>
      <w:rPr>
        <w:rFonts w:hint="default"/>
      </w:rPr>
    </w:lvl>
    <w:lvl w:ilvl="4" w:tentative="0">
      <w:start w:val="1"/>
      <w:numFmt w:val="decimal"/>
      <w:lvlText w:val="%1.%2.%3.%4.%5"/>
      <w:lvlJc w:val="left"/>
      <w:pPr>
        <w:tabs>
          <w:tab w:val="left" w:pos="600"/>
        </w:tabs>
        <w:ind w:left="600" w:hanging="600"/>
      </w:pPr>
      <w:rPr>
        <w:rFonts w:hint="default"/>
      </w:rPr>
    </w:lvl>
    <w:lvl w:ilvl="5" w:tentative="0">
      <w:start w:val="1"/>
      <w:numFmt w:val="decimal"/>
      <w:lvlText w:val="%1.%2.%3.%4.%5.%6"/>
      <w:lvlJc w:val="left"/>
      <w:pPr>
        <w:tabs>
          <w:tab w:val="left" w:pos="600"/>
        </w:tabs>
        <w:ind w:left="600" w:hanging="600"/>
      </w:pPr>
      <w:rPr>
        <w:rFonts w:hint="default"/>
      </w:rPr>
    </w:lvl>
    <w:lvl w:ilvl="6" w:tentative="0">
      <w:start w:val="1"/>
      <w:numFmt w:val="decimal"/>
      <w:lvlText w:val="%1.%2.%3.%4.%5.%6.%7"/>
      <w:lvlJc w:val="left"/>
      <w:pPr>
        <w:tabs>
          <w:tab w:val="left" w:pos="600"/>
        </w:tabs>
        <w:ind w:left="600" w:hanging="600"/>
      </w:pPr>
      <w:rPr>
        <w:rFonts w:hint="default"/>
      </w:rPr>
    </w:lvl>
    <w:lvl w:ilvl="7" w:tentative="0">
      <w:start w:val="1"/>
      <w:numFmt w:val="decimal"/>
      <w:lvlText w:val="%1.%2.%3.%4.%5.%6.%7.%8"/>
      <w:lvlJc w:val="left"/>
      <w:pPr>
        <w:tabs>
          <w:tab w:val="left" w:pos="600"/>
        </w:tabs>
        <w:ind w:left="600" w:hanging="600"/>
      </w:pPr>
      <w:rPr>
        <w:rFonts w:hint="default"/>
      </w:rPr>
    </w:lvl>
    <w:lvl w:ilvl="8" w:tentative="0">
      <w:start w:val="1"/>
      <w:numFmt w:val="decimal"/>
      <w:lvlText w:val="%1.%2.%3.%4.%5.%6.%7.%8.%9"/>
      <w:lvlJc w:val="left"/>
      <w:pPr>
        <w:tabs>
          <w:tab w:val="left" w:pos="600"/>
        </w:tabs>
        <w:ind w:left="600" w:hanging="600"/>
      </w:pPr>
      <w:rPr>
        <w:rFonts w:hint="default"/>
      </w:rPr>
    </w:lvl>
  </w:abstractNum>
  <w:abstractNum w:abstractNumId="41">
    <w:nsid w:val="715F29F2"/>
    <w:multiLevelType w:val="multilevel"/>
    <w:tmpl w:val="715F29F2"/>
    <w:lvl w:ilvl="0" w:tentative="0">
      <w:start w:val="13"/>
      <w:numFmt w:val="decimal"/>
      <w:lvlText w:val="%1"/>
      <w:lvlJc w:val="left"/>
      <w:pPr>
        <w:tabs>
          <w:tab w:val="left" w:pos="465"/>
        </w:tabs>
        <w:ind w:left="465" w:hanging="465"/>
      </w:pPr>
      <w:rPr>
        <w:rFonts w:hint="default"/>
      </w:rPr>
    </w:lvl>
    <w:lvl w:ilvl="1" w:tentative="0">
      <w:start w:val="1"/>
      <w:numFmt w:val="decimal"/>
      <w:lvlText w:val="%1.%2"/>
      <w:lvlJc w:val="left"/>
      <w:pPr>
        <w:tabs>
          <w:tab w:val="left" w:pos="465"/>
        </w:tabs>
        <w:ind w:left="465" w:hanging="465"/>
      </w:pPr>
      <w:rPr>
        <w:rFonts w:hint="default"/>
      </w:rPr>
    </w:lvl>
    <w:lvl w:ilvl="2" w:tentative="0">
      <w:start w:val="1"/>
      <w:numFmt w:val="decimal"/>
      <w:lvlText w:val="%1.%2.%3"/>
      <w:lvlJc w:val="left"/>
      <w:pPr>
        <w:tabs>
          <w:tab w:val="left" w:pos="720"/>
        </w:tabs>
        <w:ind w:left="720" w:hanging="720"/>
      </w:pPr>
      <w:rPr>
        <w:rFonts w:hint="default"/>
      </w:rPr>
    </w:lvl>
    <w:lvl w:ilvl="3" w:tentative="0">
      <w:start w:val="1"/>
      <w:numFmt w:val="decimal"/>
      <w:lvlText w:val="%1.%2.%3.%4"/>
      <w:lvlJc w:val="left"/>
      <w:pPr>
        <w:tabs>
          <w:tab w:val="left" w:pos="1080"/>
        </w:tabs>
        <w:ind w:left="1080" w:hanging="1080"/>
      </w:pPr>
      <w:rPr>
        <w:rFonts w:hint="default"/>
      </w:rPr>
    </w:lvl>
    <w:lvl w:ilvl="4" w:tentative="0">
      <w:start w:val="1"/>
      <w:numFmt w:val="decimal"/>
      <w:lvlText w:val="%1.%2.%3.%4.%5"/>
      <w:lvlJc w:val="left"/>
      <w:pPr>
        <w:tabs>
          <w:tab w:val="left" w:pos="1080"/>
        </w:tabs>
        <w:ind w:left="1080" w:hanging="1080"/>
      </w:pPr>
      <w:rPr>
        <w:rFonts w:hint="default"/>
      </w:rPr>
    </w:lvl>
    <w:lvl w:ilvl="5" w:tentative="0">
      <w:start w:val="1"/>
      <w:numFmt w:val="decimal"/>
      <w:lvlText w:val="%1.%2.%3.%4.%5.%6"/>
      <w:lvlJc w:val="left"/>
      <w:pPr>
        <w:tabs>
          <w:tab w:val="left" w:pos="1440"/>
        </w:tabs>
        <w:ind w:left="1440" w:hanging="1440"/>
      </w:pPr>
      <w:rPr>
        <w:rFonts w:hint="default"/>
      </w:rPr>
    </w:lvl>
    <w:lvl w:ilvl="6" w:tentative="0">
      <w:start w:val="1"/>
      <w:numFmt w:val="decimal"/>
      <w:lvlText w:val="%1.%2.%3.%4.%5.%6.%7"/>
      <w:lvlJc w:val="left"/>
      <w:pPr>
        <w:tabs>
          <w:tab w:val="left" w:pos="1800"/>
        </w:tabs>
        <w:ind w:left="1800" w:hanging="1800"/>
      </w:pPr>
      <w:rPr>
        <w:rFonts w:hint="default"/>
      </w:rPr>
    </w:lvl>
    <w:lvl w:ilvl="7" w:tentative="0">
      <w:start w:val="1"/>
      <w:numFmt w:val="decimal"/>
      <w:lvlText w:val="%1.%2.%3.%4.%5.%6.%7.%8"/>
      <w:lvlJc w:val="left"/>
      <w:pPr>
        <w:tabs>
          <w:tab w:val="left" w:pos="1800"/>
        </w:tabs>
        <w:ind w:left="1800" w:hanging="1800"/>
      </w:pPr>
      <w:rPr>
        <w:rFonts w:hint="default"/>
      </w:rPr>
    </w:lvl>
    <w:lvl w:ilvl="8" w:tentative="0">
      <w:start w:val="1"/>
      <w:numFmt w:val="decimal"/>
      <w:lvlText w:val="%1.%2.%3.%4.%5.%6.%7.%8.%9"/>
      <w:lvlJc w:val="left"/>
      <w:pPr>
        <w:tabs>
          <w:tab w:val="left" w:pos="2160"/>
        </w:tabs>
        <w:ind w:left="2160" w:hanging="2160"/>
      </w:pPr>
      <w:rPr>
        <w:rFonts w:hint="default"/>
      </w:rPr>
    </w:lvl>
  </w:abstractNum>
  <w:abstractNum w:abstractNumId="42">
    <w:nsid w:val="76195D75"/>
    <w:multiLevelType w:val="multilevel"/>
    <w:tmpl w:val="76195D75"/>
    <w:lvl w:ilvl="0" w:tentative="0">
      <w:start w:val="28"/>
      <w:numFmt w:val="decimal"/>
      <w:lvlText w:val="%1、"/>
      <w:lvlJc w:val="left"/>
      <w:pPr>
        <w:ind w:left="465" w:hanging="465"/>
      </w:pPr>
      <w:rPr>
        <w:rFonts w:hint="default"/>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43">
    <w:nsid w:val="762D7317"/>
    <w:multiLevelType w:val="multilevel"/>
    <w:tmpl w:val="762D7317"/>
    <w:lvl w:ilvl="0" w:tentative="0">
      <w:start w:val="22"/>
      <w:numFmt w:val="decimal"/>
      <w:lvlText w:val="%1"/>
      <w:lvlJc w:val="left"/>
      <w:pPr>
        <w:tabs>
          <w:tab w:val="left" w:pos="480"/>
        </w:tabs>
        <w:ind w:left="480" w:hanging="480"/>
      </w:pPr>
      <w:rPr>
        <w:rFonts w:hint="default"/>
      </w:rPr>
    </w:lvl>
    <w:lvl w:ilvl="1" w:tentative="0">
      <w:start w:val="1"/>
      <w:numFmt w:val="decimal"/>
      <w:lvlText w:val="%1.%2"/>
      <w:lvlJc w:val="left"/>
      <w:pPr>
        <w:tabs>
          <w:tab w:val="left" w:pos="840"/>
        </w:tabs>
        <w:ind w:left="840" w:hanging="480"/>
      </w:pPr>
      <w:rPr>
        <w:rFonts w:hint="default"/>
        <w:b w:val="0"/>
      </w:rPr>
    </w:lvl>
    <w:lvl w:ilvl="2" w:tentative="0">
      <w:start w:val="1"/>
      <w:numFmt w:val="decimal"/>
      <w:lvlText w:val="%1.%2.%3"/>
      <w:lvlJc w:val="left"/>
      <w:pPr>
        <w:tabs>
          <w:tab w:val="left" w:pos="720"/>
        </w:tabs>
        <w:ind w:left="720" w:hanging="720"/>
      </w:pPr>
      <w:rPr>
        <w:rFonts w:hint="default"/>
      </w:rPr>
    </w:lvl>
    <w:lvl w:ilvl="3" w:tentative="0">
      <w:start w:val="1"/>
      <w:numFmt w:val="decimal"/>
      <w:lvlText w:val="%1.%2.%3.%4"/>
      <w:lvlJc w:val="left"/>
      <w:pPr>
        <w:tabs>
          <w:tab w:val="left" w:pos="1080"/>
        </w:tabs>
        <w:ind w:left="1080" w:hanging="1080"/>
      </w:pPr>
      <w:rPr>
        <w:rFonts w:hint="default"/>
      </w:rPr>
    </w:lvl>
    <w:lvl w:ilvl="4" w:tentative="0">
      <w:start w:val="1"/>
      <w:numFmt w:val="decimal"/>
      <w:lvlText w:val="%1.%2.%3.%4.%5"/>
      <w:lvlJc w:val="left"/>
      <w:pPr>
        <w:tabs>
          <w:tab w:val="left" w:pos="1080"/>
        </w:tabs>
        <w:ind w:left="1080" w:hanging="1080"/>
      </w:pPr>
      <w:rPr>
        <w:rFonts w:hint="default"/>
      </w:rPr>
    </w:lvl>
    <w:lvl w:ilvl="5" w:tentative="0">
      <w:start w:val="1"/>
      <w:numFmt w:val="decimal"/>
      <w:lvlText w:val="%1.%2.%3.%4.%5.%6"/>
      <w:lvlJc w:val="left"/>
      <w:pPr>
        <w:tabs>
          <w:tab w:val="left" w:pos="1440"/>
        </w:tabs>
        <w:ind w:left="1440" w:hanging="1440"/>
      </w:pPr>
      <w:rPr>
        <w:rFonts w:hint="default"/>
      </w:rPr>
    </w:lvl>
    <w:lvl w:ilvl="6" w:tentative="0">
      <w:start w:val="1"/>
      <w:numFmt w:val="decimal"/>
      <w:lvlText w:val="%1.%2.%3.%4.%5.%6.%7"/>
      <w:lvlJc w:val="left"/>
      <w:pPr>
        <w:tabs>
          <w:tab w:val="left" w:pos="1800"/>
        </w:tabs>
        <w:ind w:left="1800" w:hanging="1800"/>
      </w:pPr>
      <w:rPr>
        <w:rFonts w:hint="default"/>
      </w:rPr>
    </w:lvl>
    <w:lvl w:ilvl="7" w:tentative="0">
      <w:start w:val="1"/>
      <w:numFmt w:val="decimal"/>
      <w:lvlText w:val="%1.%2.%3.%4.%5.%6.%7.%8"/>
      <w:lvlJc w:val="left"/>
      <w:pPr>
        <w:tabs>
          <w:tab w:val="left" w:pos="1800"/>
        </w:tabs>
        <w:ind w:left="1800" w:hanging="1800"/>
      </w:pPr>
      <w:rPr>
        <w:rFonts w:hint="default"/>
      </w:rPr>
    </w:lvl>
    <w:lvl w:ilvl="8" w:tentative="0">
      <w:start w:val="1"/>
      <w:numFmt w:val="decimal"/>
      <w:lvlText w:val="%1.%2.%3.%4.%5.%6.%7.%8.%9"/>
      <w:lvlJc w:val="left"/>
      <w:pPr>
        <w:tabs>
          <w:tab w:val="left" w:pos="2160"/>
        </w:tabs>
        <w:ind w:left="2160" w:hanging="2160"/>
      </w:pPr>
      <w:rPr>
        <w:rFonts w:hint="default"/>
      </w:rPr>
    </w:lvl>
  </w:abstractNum>
  <w:abstractNum w:abstractNumId="44">
    <w:nsid w:val="7D1440D7"/>
    <w:multiLevelType w:val="multilevel"/>
    <w:tmpl w:val="7D1440D7"/>
    <w:lvl w:ilvl="0" w:tentative="0">
      <w:start w:val="1"/>
      <w:numFmt w:val="decimal"/>
      <w:lvlText w:val="%1）"/>
      <w:lvlJc w:val="left"/>
      <w:pPr>
        <w:tabs>
          <w:tab w:val="left" w:pos="2040"/>
        </w:tabs>
        <w:ind w:left="2040" w:hanging="360"/>
      </w:pPr>
      <w:rPr>
        <w:rFonts w:hint="default"/>
      </w:rPr>
    </w:lvl>
    <w:lvl w:ilvl="1" w:tentative="0">
      <w:start w:val="3"/>
      <w:numFmt w:val="japaneseCounting"/>
      <w:lvlText w:val="%2、"/>
      <w:lvlJc w:val="left"/>
      <w:pPr>
        <w:tabs>
          <w:tab w:val="left" w:pos="840"/>
        </w:tabs>
        <w:ind w:left="840" w:hanging="420"/>
      </w:pPr>
      <w:rPr>
        <w:rFonts w:hint="default"/>
      </w:rPr>
    </w:lvl>
    <w:lvl w:ilvl="2" w:tentative="0">
      <w:start w:val="1"/>
      <w:numFmt w:val="decimal"/>
      <w:lvlText w:val="%3."/>
      <w:lvlJc w:val="left"/>
      <w:pPr>
        <w:tabs>
          <w:tab w:val="left" w:pos="1200"/>
        </w:tabs>
        <w:ind w:left="1200" w:hanging="360"/>
      </w:pPr>
      <w:rPr>
        <w:rFonts w:hint="eastAsia" w:ascii="宋体" w:hAnsi="宋体" w:eastAsia="宋体" w:cs="Times New Roman"/>
      </w:rPr>
    </w:lvl>
    <w:lvl w:ilvl="3" w:tentative="0">
      <w:start w:val="1"/>
      <w:numFmt w:val="decimal"/>
      <w:lvlText w:val="%4、"/>
      <w:lvlJc w:val="left"/>
      <w:pPr>
        <w:tabs>
          <w:tab w:val="left" w:pos="1620"/>
        </w:tabs>
        <w:ind w:left="1620" w:hanging="360"/>
      </w:pPr>
      <w:rPr>
        <w:rFonts w:hint="default"/>
      </w:r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rPr>
        <w:b w:val="0"/>
        <w:sz w:val="21"/>
        <w:szCs w:val="21"/>
      </w:r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45">
    <w:nsid w:val="7F03740D"/>
    <w:multiLevelType w:val="multilevel"/>
    <w:tmpl w:val="7F03740D"/>
    <w:lvl w:ilvl="0" w:tentative="0">
      <w:start w:val="2"/>
      <w:numFmt w:val="decimal"/>
      <w:lvlText w:val="%1"/>
      <w:lvlJc w:val="left"/>
      <w:pPr>
        <w:tabs>
          <w:tab w:val="left" w:pos="360"/>
        </w:tabs>
        <w:ind w:left="360" w:hanging="360"/>
      </w:pPr>
      <w:rPr>
        <w:rFonts w:hint="default"/>
      </w:rPr>
    </w:lvl>
    <w:lvl w:ilvl="1" w:tentative="0">
      <w:start w:val="1"/>
      <w:numFmt w:val="decimal"/>
      <w:lvlText w:val="%1.%2"/>
      <w:lvlJc w:val="left"/>
      <w:pPr>
        <w:tabs>
          <w:tab w:val="left" w:pos="360"/>
        </w:tabs>
        <w:ind w:left="360" w:hanging="360"/>
      </w:pPr>
      <w:rPr>
        <w:rFonts w:hint="default"/>
      </w:rPr>
    </w:lvl>
    <w:lvl w:ilvl="2" w:tentative="0">
      <w:start w:val="1"/>
      <w:numFmt w:val="decimal"/>
      <w:lvlText w:val="%1.%2.%3"/>
      <w:lvlJc w:val="left"/>
      <w:pPr>
        <w:tabs>
          <w:tab w:val="left" w:pos="720"/>
        </w:tabs>
        <w:ind w:left="720" w:hanging="720"/>
      </w:pPr>
      <w:rPr>
        <w:rFonts w:hint="default"/>
      </w:rPr>
    </w:lvl>
    <w:lvl w:ilvl="3" w:tentative="0">
      <w:start w:val="1"/>
      <w:numFmt w:val="decimal"/>
      <w:lvlText w:val="%1.%2.%3.%4"/>
      <w:lvlJc w:val="left"/>
      <w:pPr>
        <w:tabs>
          <w:tab w:val="left" w:pos="1080"/>
        </w:tabs>
        <w:ind w:left="1080" w:hanging="1080"/>
      </w:pPr>
      <w:rPr>
        <w:rFonts w:hint="default"/>
      </w:rPr>
    </w:lvl>
    <w:lvl w:ilvl="4" w:tentative="0">
      <w:start w:val="1"/>
      <w:numFmt w:val="decimal"/>
      <w:lvlText w:val="%1.%2.%3.%4.%5"/>
      <w:lvlJc w:val="left"/>
      <w:pPr>
        <w:tabs>
          <w:tab w:val="left" w:pos="1080"/>
        </w:tabs>
        <w:ind w:left="1080" w:hanging="1080"/>
      </w:pPr>
      <w:rPr>
        <w:rFonts w:hint="default"/>
      </w:rPr>
    </w:lvl>
    <w:lvl w:ilvl="5" w:tentative="0">
      <w:start w:val="1"/>
      <w:numFmt w:val="decimal"/>
      <w:lvlText w:val="%1.%2.%3.%4.%5.%6"/>
      <w:lvlJc w:val="left"/>
      <w:pPr>
        <w:tabs>
          <w:tab w:val="left" w:pos="1440"/>
        </w:tabs>
        <w:ind w:left="1440" w:hanging="1440"/>
      </w:pPr>
      <w:rPr>
        <w:rFonts w:hint="default"/>
      </w:rPr>
    </w:lvl>
    <w:lvl w:ilvl="6" w:tentative="0">
      <w:start w:val="1"/>
      <w:numFmt w:val="decimal"/>
      <w:lvlText w:val="%1.%2.%3.%4.%5.%6.%7"/>
      <w:lvlJc w:val="left"/>
      <w:pPr>
        <w:tabs>
          <w:tab w:val="left" w:pos="1440"/>
        </w:tabs>
        <w:ind w:left="1440" w:hanging="1440"/>
      </w:pPr>
      <w:rPr>
        <w:rFonts w:hint="default"/>
      </w:rPr>
    </w:lvl>
    <w:lvl w:ilvl="7" w:tentative="0">
      <w:start w:val="1"/>
      <w:numFmt w:val="decimal"/>
      <w:lvlText w:val="%1.%2.%3.%4.%5.%6.%7.%8"/>
      <w:lvlJc w:val="left"/>
      <w:pPr>
        <w:tabs>
          <w:tab w:val="left" w:pos="1800"/>
        </w:tabs>
        <w:ind w:left="1800" w:hanging="1800"/>
      </w:pPr>
      <w:rPr>
        <w:rFonts w:hint="default"/>
      </w:rPr>
    </w:lvl>
    <w:lvl w:ilvl="8" w:tentative="0">
      <w:start w:val="1"/>
      <w:numFmt w:val="decimal"/>
      <w:lvlText w:val="%1.%2.%3.%4.%5.%6.%7.%8.%9"/>
      <w:lvlJc w:val="left"/>
      <w:pPr>
        <w:tabs>
          <w:tab w:val="left" w:pos="1800"/>
        </w:tabs>
        <w:ind w:left="1800" w:hanging="1800"/>
      </w:pPr>
      <w:rPr>
        <w:rFonts w:hint="default"/>
      </w:rPr>
    </w:lvl>
  </w:abstractNum>
  <w:abstractNum w:abstractNumId="46">
    <w:nsid w:val="7FC50114"/>
    <w:multiLevelType w:val="multilevel"/>
    <w:tmpl w:val="7FC50114"/>
    <w:lvl w:ilvl="0" w:tentative="0">
      <w:start w:val="3"/>
      <w:numFmt w:val="decimal"/>
      <w:lvlText w:val="%1"/>
      <w:lvlJc w:val="left"/>
      <w:pPr>
        <w:tabs>
          <w:tab w:val="left" w:pos="360"/>
        </w:tabs>
        <w:ind w:left="360" w:hanging="360"/>
      </w:pPr>
      <w:rPr>
        <w:rFonts w:hint="default" w:cs="宋体"/>
      </w:rPr>
    </w:lvl>
    <w:lvl w:ilvl="1" w:tentative="0">
      <w:start w:val="1"/>
      <w:numFmt w:val="decimal"/>
      <w:lvlText w:val="%1.%2"/>
      <w:lvlJc w:val="left"/>
      <w:pPr>
        <w:tabs>
          <w:tab w:val="left" w:pos="360"/>
        </w:tabs>
        <w:ind w:left="360" w:hanging="360"/>
      </w:pPr>
      <w:rPr>
        <w:rFonts w:hint="default" w:cs="宋体"/>
      </w:rPr>
    </w:lvl>
    <w:lvl w:ilvl="2" w:tentative="0">
      <w:start w:val="1"/>
      <w:numFmt w:val="decimal"/>
      <w:lvlText w:val="%1.%2.%3"/>
      <w:lvlJc w:val="left"/>
      <w:pPr>
        <w:tabs>
          <w:tab w:val="left" w:pos="720"/>
        </w:tabs>
        <w:ind w:left="720" w:hanging="720"/>
      </w:pPr>
      <w:rPr>
        <w:rFonts w:hint="default" w:cs="宋体"/>
      </w:rPr>
    </w:lvl>
    <w:lvl w:ilvl="3" w:tentative="0">
      <w:start w:val="1"/>
      <w:numFmt w:val="decimal"/>
      <w:lvlText w:val="%1.%2.%3.%4"/>
      <w:lvlJc w:val="left"/>
      <w:pPr>
        <w:tabs>
          <w:tab w:val="left" w:pos="1080"/>
        </w:tabs>
        <w:ind w:left="1080" w:hanging="1080"/>
      </w:pPr>
      <w:rPr>
        <w:rFonts w:hint="default" w:cs="宋体"/>
      </w:rPr>
    </w:lvl>
    <w:lvl w:ilvl="4" w:tentative="0">
      <w:start w:val="1"/>
      <w:numFmt w:val="decimal"/>
      <w:lvlText w:val="%1.%2.%3.%4.%5"/>
      <w:lvlJc w:val="left"/>
      <w:pPr>
        <w:tabs>
          <w:tab w:val="left" w:pos="1080"/>
        </w:tabs>
        <w:ind w:left="1080" w:hanging="1080"/>
      </w:pPr>
      <w:rPr>
        <w:rFonts w:hint="default" w:cs="宋体"/>
      </w:rPr>
    </w:lvl>
    <w:lvl w:ilvl="5" w:tentative="0">
      <w:start w:val="1"/>
      <w:numFmt w:val="decimal"/>
      <w:lvlText w:val="%1.%2.%3.%4.%5.%6"/>
      <w:lvlJc w:val="left"/>
      <w:pPr>
        <w:tabs>
          <w:tab w:val="left" w:pos="1440"/>
        </w:tabs>
        <w:ind w:left="1440" w:hanging="1440"/>
      </w:pPr>
      <w:rPr>
        <w:rFonts w:hint="default" w:cs="宋体"/>
      </w:rPr>
    </w:lvl>
    <w:lvl w:ilvl="6" w:tentative="0">
      <w:start w:val="1"/>
      <w:numFmt w:val="decimal"/>
      <w:lvlText w:val="%1.%2.%3.%4.%5.%6.%7"/>
      <w:lvlJc w:val="left"/>
      <w:pPr>
        <w:tabs>
          <w:tab w:val="left" w:pos="1440"/>
        </w:tabs>
        <w:ind w:left="1440" w:hanging="1440"/>
      </w:pPr>
      <w:rPr>
        <w:rFonts w:hint="default" w:cs="宋体"/>
      </w:rPr>
    </w:lvl>
    <w:lvl w:ilvl="7" w:tentative="0">
      <w:start w:val="1"/>
      <w:numFmt w:val="decimal"/>
      <w:lvlText w:val="%1.%2.%3.%4.%5.%6.%7.%8"/>
      <w:lvlJc w:val="left"/>
      <w:pPr>
        <w:tabs>
          <w:tab w:val="left" w:pos="1800"/>
        </w:tabs>
        <w:ind w:left="1800" w:hanging="1800"/>
      </w:pPr>
      <w:rPr>
        <w:rFonts w:hint="default" w:cs="宋体"/>
      </w:rPr>
    </w:lvl>
    <w:lvl w:ilvl="8" w:tentative="0">
      <w:start w:val="1"/>
      <w:numFmt w:val="decimal"/>
      <w:lvlText w:val="%1.%2.%3.%4.%5.%6.%7.%8.%9"/>
      <w:lvlJc w:val="left"/>
      <w:pPr>
        <w:tabs>
          <w:tab w:val="left" w:pos="1800"/>
        </w:tabs>
        <w:ind w:left="1800" w:hanging="1800"/>
      </w:pPr>
      <w:rPr>
        <w:rFonts w:hint="default" w:cs="宋体"/>
      </w:rPr>
    </w:lvl>
  </w:abstractNum>
  <w:num w:numId="1">
    <w:abstractNumId w:val="39"/>
  </w:num>
  <w:num w:numId="2">
    <w:abstractNumId w:val="11"/>
  </w:num>
  <w:num w:numId="3">
    <w:abstractNumId w:val="19"/>
  </w:num>
  <w:num w:numId="4">
    <w:abstractNumId w:val="29"/>
  </w:num>
  <w:num w:numId="5">
    <w:abstractNumId w:val="14"/>
  </w:num>
  <w:num w:numId="6">
    <w:abstractNumId w:val="13"/>
  </w:num>
  <w:num w:numId="7">
    <w:abstractNumId w:val="33"/>
  </w:num>
  <w:num w:numId="8">
    <w:abstractNumId w:val="9"/>
  </w:num>
  <w:num w:numId="9">
    <w:abstractNumId w:val="15"/>
  </w:num>
  <w:num w:numId="10">
    <w:abstractNumId w:val="35"/>
  </w:num>
  <w:num w:numId="11">
    <w:abstractNumId w:val="45"/>
  </w:num>
  <w:num w:numId="12">
    <w:abstractNumId w:val="46"/>
  </w:num>
  <w:num w:numId="13">
    <w:abstractNumId w:val="28"/>
  </w:num>
  <w:num w:numId="14">
    <w:abstractNumId w:val="31"/>
  </w:num>
  <w:num w:numId="15">
    <w:abstractNumId w:val="34"/>
  </w:num>
  <w:num w:numId="16">
    <w:abstractNumId w:val="36"/>
  </w:num>
  <w:num w:numId="17">
    <w:abstractNumId w:val="4"/>
  </w:num>
  <w:num w:numId="18">
    <w:abstractNumId w:val="38"/>
  </w:num>
  <w:num w:numId="19">
    <w:abstractNumId w:val="6"/>
  </w:num>
  <w:num w:numId="20">
    <w:abstractNumId w:val="26"/>
  </w:num>
  <w:num w:numId="21">
    <w:abstractNumId w:val="21"/>
  </w:num>
  <w:num w:numId="22">
    <w:abstractNumId w:val="41"/>
  </w:num>
  <w:num w:numId="23">
    <w:abstractNumId w:val="12"/>
  </w:num>
  <w:num w:numId="24">
    <w:abstractNumId w:val="27"/>
  </w:num>
  <w:num w:numId="25">
    <w:abstractNumId w:val="8"/>
  </w:num>
  <w:num w:numId="26">
    <w:abstractNumId w:val="40"/>
  </w:num>
  <w:num w:numId="27">
    <w:abstractNumId w:val="44"/>
  </w:num>
  <w:num w:numId="28">
    <w:abstractNumId w:val="30"/>
  </w:num>
  <w:num w:numId="29">
    <w:abstractNumId w:val="24"/>
  </w:num>
  <w:num w:numId="30">
    <w:abstractNumId w:val="10"/>
  </w:num>
  <w:num w:numId="31">
    <w:abstractNumId w:val="20"/>
  </w:num>
  <w:num w:numId="32">
    <w:abstractNumId w:val="43"/>
  </w:num>
  <w:num w:numId="33">
    <w:abstractNumId w:val="25"/>
  </w:num>
  <w:num w:numId="34">
    <w:abstractNumId w:val="16"/>
  </w:num>
  <w:num w:numId="35">
    <w:abstractNumId w:val="1"/>
  </w:num>
  <w:num w:numId="36">
    <w:abstractNumId w:val="2"/>
  </w:num>
  <w:num w:numId="37">
    <w:abstractNumId w:val="22"/>
  </w:num>
  <w:num w:numId="38">
    <w:abstractNumId w:val="0"/>
  </w:num>
  <w:num w:numId="39">
    <w:abstractNumId w:val="42"/>
  </w:num>
  <w:num w:numId="40">
    <w:abstractNumId w:val="37"/>
  </w:num>
  <w:num w:numId="41">
    <w:abstractNumId w:val="17"/>
  </w:num>
  <w:num w:numId="42">
    <w:abstractNumId w:val="32"/>
  </w:num>
  <w:num w:numId="43">
    <w:abstractNumId w:val="3"/>
  </w:num>
  <w:num w:numId="44">
    <w:abstractNumId w:val="18"/>
  </w:num>
  <w:num w:numId="45">
    <w:abstractNumId w:val="23"/>
  </w:num>
  <w:num w:numId="46">
    <w:abstractNumId w:val="7"/>
  </w:num>
  <w:num w:numId="4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30"/>
  <w:bordersDoNotSurroundHeader w:val="1"/>
  <w:bordersDoNotSurroundFooter w:val="1"/>
  <w:documentProtection w:enforcement="0"/>
  <w:defaultTabStop w:val="420"/>
  <w:drawingGridHorizontalSpacing w:val="105"/>
  <w:drawingGridVerticalSpacing w:val="156"/>
  <w:noPunctuationKerning w:val="1"/>
  <w:characterSpacingControl w:val="compressPunctuation"/>
  <w:doNotValidateAgainstSchema/>
  <w:doNotDemarcateInvalidXml/>
  <w:hdrShapeDefaults>
    <o:shapelayout v:ext="edit">
      <o:idmap v:ext="edit" data="2"/>
    </o:shapelayout>
  </w:hdrShapeDefaults>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01E68"/>
    <w:rsid w:val="000033B9"/>
    <w:rsid w:val="000047AE"/>
    <w:rsid w:val="00004A24"/>
    <w:rsid w:val="00004EFB"/>
    <w:rsid w:val="00007E56"/>
    <w:rsid w:val="0001587C"/>
    <w:rsid w:val="00015F4D"/>
    <w:rsid w:val="000215F4"/>
    <w:rsid w:val="00022666"/>
    <w:rsid w:val="00023392"/>
    <w:rsid w:val="000239A8"/>
    <w:rsid w:val="00024103"/>
    <w:rsid w:val="000253AD"/>
    <w:rsid w:val="0002669A"/>
    <w:rsid w:val="00026C24"/>
    <w:rsid w:val="00027066"/>
    <w:rsid w:val="0003059B"/>
    <w:rsid w:val="0003259A"/>
    <w:rsid w:val="0003403B"/>
    <w:rsid w:val="00034188"/>
    <w:rsid w:val="00034401"/>
    <w:rsid w:val="00034C37"/>
    <w:rsid w:val="00034DD0"/>
    <w:rsid w:val="00036612"/>
    <w:rsid w:val="00040CD1"/>
    <w:rsid w:val="00041FF2"/>
    <w:rsid w:val="00042D58"/>
    <w:rsid w:val="00043B68"/>
    <w:rsid w:val="00044766"/>
    <w:rsid w:val="00045299"/>
    <w:rsid w:val="00047217"/>
    <w:rsid w:val="00052BAD"/>
    <w:rsid w:val="00054956"/>
    <w:rsid w:val="000601EB"/>
    <w:rsid w:val="00060505"/>
    <w:rsid w:val="00061770"/>
    <w:rsid w:val="000637D5"/>
    <w:rsid w:val="00064234"/>
    <w:rsid w:val="00064EC5"/>
    <w:rsid w:val="00065B60"/>
    <w:rsid w:val="00066D4A"/>
    <w:rsid w:val="0006772A"/>
    <w:rsid w:val="0007168B"/>
    <w:rsid w:val="00073173"/>
    <w:rsid w:val="000738DC"/>
    <w:rsid w:val="000740E4"/>
    <w:rsid w:val="0007591B"/>
    <w:rsid w:val="000764B9"/>
    <w:rsid w:val="000808FD"/>
    <w:rsid w:val="00083858"/>
    <w:rsid w:val="00084E33"/>
    <w:rsid w:val="0008685D"/>
    <w:rsid w:val="000874D5"/>
    <w:rsid w:val="0008753B"/>
    <w:rsid w:val="000879E8"/>
    <w:rsid w:val="00087F0E"/>
    <w:rsid w:val="000927C7"/>
    <w:rsid w:val="000935C0"/>
    <w:rsid w:val="0009702B"/>
    <w:rsid w:val="00097DC4"/>
    <w:rsid w:val="000A08A5"/>
    <w:rsid w:val="000A1233"/>
    <w:rsid w:val="000A20A7"/>
    <w:rsid w:val="000A3F65"/>
    <w:rsid w:val="000A50F6"/>
    <w:rsid w:val="000A54F4"/>
    <w:rsid w:val="000A6C98"/>
    <w:rsid w:val="000B0404"/>
    <w:rsid w:val="000B0E4B"/>
    <w:rsid w:val="000B1147"/>
    <w:rsid w:val="000B1258"/>
    <w:rsid w:val="000B1404"/>
    <w:rsid w:val="000B25DE"/>
    <w:rsid w:val="000B27B8"/>
    <w:rsid w:val="000B3274"/>
    <w:rsid w:val="000B4D1A"/>
    <w:rsid w:val="000B6702"/>
    <w:rsid w:val="000C005A"/>
    <w:rsid w:val="000C114A"/>
    <w:rsid w:val="000C2471"/>
    <w:rsid w:val="000C3488"/>
    <w:rsid w:val="000C3DA3"/>
    <w:rsid w:val="000C420C"/>
    <w:rsid w:val="000C6D16"/>
    <w:rsid w:val="000C7ACA"/>
    <w:rsid w:val="000D017D"/>
    <w:rsid w:val="000D0DD2"/>
    <w:rsid w:val="000D3FD9"/>
    <w:rsid w:val="000D680D"/>
    <w:rsid w:val="000D75EB"/>
    <w:rsid w:val="000E044D"/>
    <w:rsid w:val="000E1552"/>
    <w:rsid w:val="000E1D32"/>
    <w:rsid w:val="000E2E3B"/>
    <w:rsid w:val="000E4823"/>
    <w:rsid w:val="000F09C3"/>
    <w:rsid w:val="000F25D9"/>
    <w:rsid w:val="000F2A59"/>
    <w:rsid w:val="000F661F"/>
    <w:rsid w:val="00100A0F"/>
    <w:rsid w:val="00101897"/>
    <w:rsid w:val="001025BD"/>
    <w:rsid w:val="00102981"/>
    <w:rsid w:val="00102DF0"/>
    <w:rsid w:val="00104978"/>
    <w:rsid w:val="001074B3"/>
    <w:rsid w:val="0010789F"/>
    <w:rsid w:val="001141C4"/>
    <w:rsid w:val="00114D60"/>
    <w:rsid w:val="001163B1"/>
    <w:rsid w:val="00116C7E"/>
    <w:rsid w:val="00124AA6"/>
    <w:rsid w:val="00125943"/>
    <w:rsid w:val="00127C5B"/>
    <w:rsid w:val="00134B30"/>
    <w:rsid w:val="00134FD7"/>
    <w:rsid w:val="0013620B"/>
    <w:rsid w:val="001408A8"/>
    <w:rsid w:val="00142545"/>
    <w:rsid w:val="0014282F"/>
    <w:rsid w:val="0014397E"/>
    <w:rsid w:val="00145432"/>
    <w:rsid w:val="001478B2"/>
    <w:rsid w:val="00150976"/>
    <w:rsid w:val="00150BBE"/>
    <w:rsid w:val="00150C35"/>
    <w:rsid w:val="00151409"/>
    <w:rsid w:val="00151CA6"/>
    <w:rsid w:val="00152FC8"/>
    <w:rsid w:val="00155948"/>
    <w:rsid w:val="001627D3"/>
    <w:rsid w:val="00162FE0"/>
    <w:rsid w:val="0016373B"/>
    <w:rsid w:val="00170342"/>
    <w:rsid w:val="00172C43"/>
    <w:rsid w:val="00173A77"/>
    <w:rsid w:val="0017427A"/>
    <w:rsid w:val="001744CA"/>
    <w:rsid w:val="001749AF"/>
    <w:rsid w:val="00175CFD"/>
    <w:rsid w:val="00175F5F"/>
    <w:rsid w:val="001777D8"/>
    <w:rsid w:val="0018039E"/>
    <w:rsid w:val="00181E47"/>
    <w:rsid w:val="001839B5"/>
    <w:rsid w:val="00185050"/>
    <w:rsid w:val="00185F86"/>
    <w:rsid w:val="00186CF1"/>
    <w:rsid w:val="00187F0E"/>
    <w:rsid w:val="00191399"/>
    <w:rsid w:val="00192611"/>
    <w:rsid w:val="001930D2"/>
    <w:rsid w:val="00194A27"/>
    <w:rsid w:val="00197EF1"/>
    <w:rsid w:val="001A02ED"/>
    <w:rsid w:val="001A1937"/>
    <w:rsid w:val="001A263A"/>
    <w:rsid w:val="001A2EB5"/>
    <w:rsid w:val="001A36FE"/>
    <w:rsid w:val="001A3E2E"/>
    <w:rsid w:val="001A4886"/>
    <w:rsid w:val="001A4FEF"/>
    <w:rsid w:val="001B0296"/>
    <w:rsid w:val="001B07C7"/>
    <w:rsid w:val="001B07DE"/>
    <w:rsid w:val="001B1154"/>
    <w:rsid w:val="001B20B0"/>
    <w:rsid w:val="001B727F"/>
    <w:rsid w:val="001B78A1"/>
    <w:rsid w:val="001C1736"/>
    <w:rsid w:val="001C1DA4"/>
    <w:rsid w:val="001C33E7"/>
    <w:rsid w:val="001C3B5D"/>
    <w:rsid w:val="001C4413"/>
    <w:rsid w:val="001C5A5B"/>
    <w:rsid w:val="001C6428"/>
    <w:rsid w:val="001C6B84"/>
    <w:rsid w:val="001D4194"/>
    <w:rsid w:val="001D4319"/>
    <w:rsid w:val="001D572B"/>
    <w:rsid w:val="001D7585"/>
    <w:rsid w:val="001E0C05"/>
    <w:rsid w:val="001E3837"/>
    <w:rsid w:val="001E3E08"/>
    <w:rsid w:val="001E3F69"/>
    <w:rsid w:val="001E56C2"/>
    <w:rsid w:val="001E63BF"/>
    <w:rsid w:val="001E744E"/>
    <w:rsid w:val="001F0E30"/>
    <w:rsid w:val="001F0E43"/>
    <w:rsid w:val="001F15DC"/>
    <w:rsid w:val="001F4124"/>
    <w:rsid w:val="001F44D4"/>
    <w:rsid w:val="001F6F7C"/>
    <w:rsid w:val="00202287"/>
    <w:rsid w:val="00203024"/>
    <w:rsid w:val="00204550"/>
    <w:rsid w:val="00205017"/>
    <w:rsid w:val="00205438"/>
    <w:rsid w:val="002062AF"/>
    <w:rsid w:val="002063F0"/>
    <w:rsid w:val="00207D04"/>
    <w:rsid w:val="00207DD9"/>
    <w:rsid w:val="00211F1C"/>
    <w:rsid w:val="00213D50"/>
    <w:rsid w:val="00220C09"/>
    <w:rsid w:val="00225358"/>
    <w:rsid w:val="002261E6"/>
    <w:rsid w:val="00226DC3"/>
    <w:rsid w:val="00227ED9"/>
    <w:rsid w:val="00230501"/>
    <w:rsid w:val="002339D1"/>
    <w:rsid w:val="00233ACA"/>
    <w:rsid w:val="00235704"/>
    <w:rsid w:val="002359B0"/>
    <w:rsid w:val="00235C97"/>
    <w:rsid w:val="00235F58"/>
    <w:rsid w:val="00235F62"/>
    <w:rsid w:val="00240060"/>
    <w:rsid w:val="00243A8A"/>
    <w:rsid w:val="00247965"/>
    <w:rsid w:val="002509F0"/>
    <w:rsid w:val="00251B5C"/>
    <w:rsid w:val="002530F4"/>
    <w:rsid w:val="00253653"/>
    <w:rsid w:val="00253BAC"/>
    <w:rsid w:val="0025542B"/>
    <w:rsid w:val="0025626F"/>
    <w:rsid w:val="00256A91"/>
    <w:rsid w:val="002603F9"/>
    <w:rsid w:val="002623C9"/>
    <w:rsid w:val="0026428F"/>
    <w:rsid w:val="002646B0"/>
    <w:rsid w:val="00265C3F"/>
    <w:rsid w:val="00267586"/>
    <w:rsid w:val="00267DB6"/>
    <w:rsid w:val="00270533"/>
    <w:rsid w:val="00271F95"/>
    <w:rsid w:val="002729C3"/>
    <w:rsid w:val="00273196"/>
    <w:rsid w:val="0027335E"/>
    <w:rsid w:val="002739FC"/>
    <w:rsid w:val="00273FBB"/>
    <w:rsid w:val="0027522F"/>
    <w:rsid w:val="002759DC"/>
    <w:rsid w:val="00280409"/>
    <w:rsid w:val="00281E10"/>
    <w:rsid w:val="002852EB"/>
    <w:rsid w:val="002861D3"/>
    <w:rsid w:val="00287848"/>
    <w:rsid w:val="00290E4C"/>
    <w:rsid w:val="00293D8B"/>
    <w:rsid w:val="002942BF"/>
    <w:rsid w:val="0029782F"/>
    <w:rsid w:val="0029786C"/>
    <w:rsid w:val="002A2523"/>
    <w:rsid w:val="002A4287"/>
    <w:rsid w:val="002A4B44"/>
    <w:rsid w:val="002A5FE4"/>
    <w:rsid w:val="002A6048"/>
    <w:rsid w:val="002A6253"/>
    <w:rsid w:val="002A62EA"/>
    <w:rsid w:val="002A647B"/>
    <w:rsid w:val="002A64F2"/>
    <w:rsid w:val="002A7BA2"/>
    <w:rsid w:val="002B18B4"/>
    <w:rsid w:val="002B1B84"/>
    <w:rsid w:val="002B1F08"/>
    <w:rsid w:val="002B2E16"/>
    <w:rsid w:val="002B4AA4"/>
    <w:rsid w:val="002B4E54"/>
    <w:rsid w:val="002B58F7"/>
    <w:rsid w:val="002C151B"/>
    <w:rsid w:val="002C1964"/>
    <w:rsid w:val="002C2691"/>
    <w:rsid w:val="002C2825"/>
    <w:rsid w:val="002C41E4"/>
    <w:rsid w:val="002C461D"/>
    <w:rsid w:val="002C4CD2"/>
    <w:rsid w:val="002C5671"/>
    <w:rsid w:val="002C57F2"/>
    <w:rsid w:val="002C62DA"/>
    <w:rsid w:val="002D44D6"/>
    <w:rsid w:val="002D4D2D"/>
    <w:rsid w:val="002D682B"/>
    <w:rsid w:val="002D78B4"/>
    <w:rsid w:val="002D79E1"/>
    <w:rsid w:val="002E034F"/>
    <w:rsid w:val="002E03D7"/>
    <w:rsid w:val="002E3B90"/>
    <w:rsid w:val="002E5B25"/>
    <w:rsid w:val="002E621E"/>
    <w:rsid w:val="002E6941"/>
    <w:rsid w:val="002E7568"/>
    <w:rsid w:val="002E7BCB"/>
    <w:rsid w:val="002F04D7"/>
    <w:rsid w:val="002F4524"/>
    <w:rsid w:val="002F4F9A"/>
    <w:rsid w:val="00300A17"/>
    <w:rsid w:val="00300DE8"/>
    <w:rsid w:val="00301075"/>
    <w:rsid w:val="00303733"/>
    <w:rsid w:val="00304C84"/>
    <w:rsid w:val="00306010"/>
    <w:rsid w:val="003072A8"/>
    <w:rsid w:val="00307CF7"/>
    <w:rsid w:val="00310E92"/>
    <w:rsid w:val="0031173B"/>
    <w:rsid w:val="00311C3E"/>
    <w:rsid w:val="003120D8"/>
    <w:rsid w:val="00312B4A"/>
    <w:rsid w:val="003219E3"/>
    <w:rsid w:val="00323623"/>
    <w:rsid w:val="00326087"/>
    <w:rsid w:val="0032719C"/>
    <w:rsid w:val="003278E1"/>
    <w:rsid w:val="00330A2D"/>
    <w:rsid w:val="00330B2E"/>
    <w:rsid w:val="00330B59"/>
    <w:rsid w:val="003328A4"/>
    <w:rsid w:val="00332C49"/>
    <w:rsid w:val="00333FA6"/>
    <w:rsid w:val="00335AF3"/>
    <w:rsid w:val="00337E74"/>
    <w:rsid w:val="00340003"/>
    <w:rsid w:val="00340409"/>
    <w:rsid w:val="00341769"/>
    <w:rsid w:val="00342802"/>
    <w:rsid w:val="003433E3"/>
    <w:rsid w:val="00343E09"/>
    <w:rsid w:val="003469C4"/>
    <w:rsid w:val="00346C9E"/>
    <w:rsid w:val="0034708C"/>
    <w:rsid w:val="0035254D"/>
    <w:rsid w:val="00354262"/>
    <w:rsid w:val="0035442F"/>
    <w:rsid w:val="003544F2"/>
    <w:rsid w:val="00360437"/>
    <w:rsid w:val="003614ED"/>
    <w:rsid w:val="0036151C"/>
    <w:rsid w:val="003636FC"/>
    <w:rsid w:val="00363B0E"/>
    <w:rsid w:val="0036524C"/>
    <w:rsid w:val="00365CE5"/>
    <w:rsid w:val="00366A63"/>
    <w:rsid w:val="00371F39"/>
    <w:rsid w:val="00371F92"/>
    <w:rsid w:val="00374C54"/>
    <w:rsid w:val="00377473"/>
    <w:rsid w:val="0037775F"/>
    <w:rsid w:val="003804FB"/>
    <w:rsid w:val="00382FC0"/>
    <w:rsid w:val="00383978"/>
    <w:rsid w:val="00384AB1"/>
    <w:rsid w:val="00385E6D"/>
    <w:rsid w:val="003861E9"/>
    <w:rsid w:val="003911FB"/>
    <w:rsid w:val="00392E5E"/>
    <w:rsid w:val="003939DC"/>
    <w:rsid w:val="00395273"/>
    <w:rsid w:val="0039777F"/>
    <w:rsid w:val="003A0645"/>
    <w:rsid w:val="003A0D8F"/>
    <w:rsid w:val="003A345A"/>
    <w:rsid w:val="003A3569"/>
    <w:rsid w:val="003A3BED"/>
    <w:rsid w:val="003A40C4"/>
    <w:rsid w:val="003A53FA"/>
    <w:rsid w:val="003A6DDF"/>
    <w:rsid w:val="003B229A"/>
    <w:rsid w:val="003B2550"/>
    <w:rsid w:val="003B2851"/>
    <w:rsid w:val="003B2E90"/>
    <w:rsid w:val="003B3303"/>
    <w:rsid w:val="003C0602"/>
    <w:rsid w:val="003C09A4"/>
    <w:rsid w:val="003C25C8"/>
    <w:rsid w:val="003C26BA"/>
    <w:rsid w:val="003C347E"/>
    <w:rsid w:val="003C40BC"/>
    <w:rsid w:val="003D2108"/>
    <w:rsid w:val="003D3DE1"/>
    <w:rsid w:val="003D43F4"/>
    <w:rsid w:val="003D4CCD"/>
    <w:rsid w:val="003E1DFB"/>
    <w:rsid w:val="003E3023"/>
    <w:rsid w:val="003E434A"/>
    <w:rsid w:val="003E5FD1"/>
    <w:rsid w:val="003F2162"/>
    <w:rsid w:val="003F2483"/>
    <w:rsid w:val="003F5780"/>
    <w:rsid w:val="003F5C2F"/>
    <w:rsid w:val="003F61E2"/>
    <w:rsid w:val="003F6EBF"/>
    <w:rsid w:val="0040035B"/>
    <w:rsid w:val="00400767"/>
    <w:rsid w:val="00400FF3"/>
    <w:rsid w:val="00401592"/>
    <w:rsid w:val="00401B39"/>
    <w:rsid w:val="00401F8D"/>
    <w:rsid w:val="00403EC7"/>
    <w:rsid w:val="00404737"/>
    <w:rsid w:val="00404AC0"/>
    <w:rsid w:val="0040715A"/>
    <w:rsid w:val="0041082C"/>
    <w:rsid w:val="00412EE9"/>
    <w:rsid w:val="00413598"/>
    <w:rsid w:val="00414D62"/>
    <w:rsid w:val="004151E7"/>
    <w:rsid w:val="0041672A"/>
    <w:rsid w:val="004168C6"/>
    <w:rsid w:val="00421282"/>
    <w:rsid w:val="004212E6"/>
    <w:rsid w:val="00421300"/>
    <w:rsid w:val="004225F2"/>
    <w:rsid w:val="00423062"/>
    <w:rsid w:val="00425599"/>
    <w:rsid w:val="00426AE9"/>
    <w:rsid w:val="004317F4"/>
    <w:rsid w:val="00431F70"/>
    <w:rsid w:val="004330C5"/>
    <w:rsid w:val="00435FDF"/>
    <w:rsid w:val="004417F5"/>
    <w:rsid w:val="00441812"/>
    <w:rsid w:val="00444B91"/>
    <w:rsid w:val="00444D72"/>
    <w:rsid w:val="00450A56"/>
    <w:rsid w:val="004529FE"/>
    <w:rsid w:val="00453191"/>
    <w:rsid w:val="004536D3"/>
    <w:rsid w:val="00454F59"/>
    <w:rsid w:val="004574D4"/>
    <w:rsid w:val="00460CF7"/>
    <w:rsid w:val="00462FA9"/>
    <w:rsid w:val="0046424E"/>
    <w:rsid w:val="004650B1"/>
    <w:rsid w:val="004654A9"/>
    <w:rsid w:val="00466CD9"/>
    <w:rsid w:val="00470049"/>
    <w:rsid w:val="00471C4F"/>
    <w:rsid w:val="00473C97"/>
    <w:rsid w:val="00474CAA"/>
    <w:rsid w:val="00475D91"/>
    <w:rsid w:val="00476316"/>
    <w:rsid w:val="004813F2"/>
    <w:rsid w:val="004840EA"/>
    <w:rsid w:val="004866AA"/>
    <w:rsid w:val="004877AD"/>
    <w:rsid w:val="00487B13"/>
    <w:rsid w:val="00487CDF"/>
    <w:rsid w:val="0049128D"/>
    <w:rsid w:val="00491BD8"/>
    <w:rsid w:val="0049242C"/>
    <w:rsid w:val="00492661"/>
    <w:rsid w:val="00494B84"/>
    <w:rsid w:val="004962D7"/>
    <w:rsid w:val="00497E9A"/>
    <w:rsid w:val="004A07F3"/>
    <w:rsid w:val="004A0A22"/>
    <w:rsid w:val="004A23AB"/>
    <w:rsid w:val="004A26B9"/>
    <w:rsid w:val="004A3BF6"/>
    <w:rsid w:val="004A3EC8"/>
    <w:rsid w:val="004A4250"/>
    <w:rsid w:val="004A4EB1"/>
    <w:rsid w:val="004A51E7"/>
    <w:rsid w:val="004A5714"/>
    <w:rsid w:val="004A583E"/>
    <w:rsid w:val="004A7813"/>
    <w:rsid w:val="004A7E77"/>
    <w:rsid w:val="004B1E35"/>
    <w:rsid w:val="004B3A16"/>
    <w:rsid w:val="004B3E63"/>
    <w:rsid w:val="004B4034"/>
    <w:rsid w:val="004B43E3"/>
    <w:rsid w:val="004B5BE2"/>
    <w:rsid w:val="004B673B"/>
    <w:rsid w:val="004B69BD"/>
    <w:rsid w:val="004B6BF2"/>
    <w:rsid w:val="004B7C76"/>
    <w:rsid w:val="004C01B4"/>
    <w:rsid w:val="004C36E8"/>
    <w:rsid w:val="004C3992"/>
    <w:rsid w:val="004C5ABD"/>
    <w:rsid w:val="004C7CF4"/>
    <w:rsid w:val="004D2C5A"/>
    <w:rsid w:val="004D3E0A"/>
    <w:rsid w:val="004D4E37"/>
    <w:rsid w:val="004D64B3"/>
    <w:rsid w:val="004D667C"/>
    <w:rsid w:val="004D674E"/>
    <w:rsid w:val="004D7E2E"/>
    <w:rsid w:val="004E0CE5"/>
    <w:rsid w:val="004E1FCE"/>
    <w:rsid w:val="004E5B0B"/>
    <w:rsid w:val="004E68F9"/>
    <w:rsid w:val="004F1700"/>
    <w:rsid w:val="004F1836"/>
    <w:rsid w:val="004F1C14"/>
    <w:rsid w:val="004F3520"/>
    <w:rsid w:val="004F463B"/>
    <w:rsid w:val="004F4AE7"/>
    <w:rsid w:val="004F4ED7"/>
    <w:rsid w:val="004F5FEC"/>
    <w:rsid w:val="004F62B8"/>
    <w:rsid w:val="0050076B"/>
    <w:rsid w:val="00502D31"/>
    <w:rsid w:val="00502FE2"/>
    <w:rsid w:val="00503A40"/>
    <w:rsid w:val="00503DBA"/>
    <w:rsid w:val="00504F72"/>
    <w:rsid w:val="00506AFD"/>
    <w:rsid w:val="00510CC0"/>
    <w:rsid w:val="00512066"/>
    <w:rsid w:val="00512E41"/>
    <w:rsid w:val="00513F7B"/>
    <w:rsid w:val="00514311"/>
    <w:rsid w:val="005149E1"/>
    <w:rsid w:val="00521C3F"/>
    <w:rsid w:val="00523722"/>
    <w:rsid w:val="00525EA0"/>
    <w:rsid w:val="0052675A"/>
    <w:rsid w:val="00530AC1"/>
    <w:rsid w:val="00530AEB"/>
    <w:rsid w:val="00531BAA"/>
    <w:rsid w:val="0053207C"/>
    <w:rsid w:val="00534A40"/>
    <w:rsid w:val="00535705"/>
    <w:rsid w:val="005366C2"/>
    <w:rsid w:val="00536974"/>
    <w:rsid w:val="00543F14"/>
    <w:rsid w:val="005522F1"/>
    <w:rsid w:val="005535DE"/>
    <w:rsid w:val="005538A7"/>
    <w:rsid w:val="0055465D"/>
    <w:rsid w:val="00554B6C"/>
    <w:rsid w:val="00554CD6"/>
    <w:rsid w:val="00555455"/>
    <w:rsid w:val="00555470"/>
    <w:rsid w:val="0055601F"/>
    <w:rsid w:val="00557813"/>
    <w:rsid w:val="00561D16"/>
    <w:rsid w:val="00564205"/>
    <w:rsid w:val="00567C36"/>
    <w:rsid w:val="00567F98"/>
    <w:rsid w:val="00570148"/>
    <w:rsid w:val="00570D42"/>
    <w:rsid w:val="00571337"/>
    <w:rsid w:val="00572087"/>
    <w:rsid w:val="00572729"/>
    <w:rsid w:val="00572851"/>
    <w:rsid w:val="00572CBA"/>
    <w:rsid w:val="00572F28"/>
    <w:rsid w:val="005730AB"/>
    <w:rsid w:val="0057497A"/>
    <w:rsid w:val="00575D74"/>
    <w:rsid w:val="00576EB0"/>
    <w:rsid w:val="00576FD7"/>
    <w:rsid w:val="00577616"/>
    <w:rsid w:val="00580693"/>
    <w:rsid w:val="005809F8"/>
    <w:rsid w:val="0058131F"/>
    <w:rsid w:val="005829E5"/>
    <w:rsid w:val="00583E5E"/>
    <w:rsid w:val="00590C4F"/>
    <w:rsid w:val="005913E3"/>
    <w:rsid w:val="005945E8"/>
    <w:rsid w:val="00595EB3"/>
    <w:rsid w:val="00596FB7"/>
    <w:rsid w:val="0059796C"/>
    <w:rsid w:val="005A07C7"/>
    <w:rsid w:val="005A1094"/>
    <w:rsid w:val="005A158B"/>
    <w:rsid w:val="005A18A8"/>
    <w:rsid w:val="005A5010"/>
    <w:rsid w:val="005A66DA"/>
    <w:rsid w:val="005B1331"/>
    <w:rsid w:val="005B34C8"/>
    <w:rsid w:val="005B3A1F"/>
    <w:rsid w:val="005B6422"/>
    <w:rsid w:val="005B6680"/>
    <w:rsid w:val="005B674D"/>
    <w:rsid w:val="005C1616"/>
    <w:rsid w:val="005C1B3A"/>
    <w:rsid w:val="005C4110"/>
    <w:rsid w:val="005C4B6B"/>
    <w:rsid w:val="005D08DC"/>
    <w:rsid w:val="005D2929"/>
    <w:rsid w:val="005D4A76"/>
    <w:rsid w:val="005D7313"/>
    <w:rsid w:val="005E02CE"/>
    <w:rsid w:val="005E1654"/>
    <w:rsid w:val="005E2A51"/>
    <w:rsid w:val="005E34B3"/>
    <w:rsid w:val="005E466A"/>
    <w:rsid w:val="005E6B54"/>
    <w:rsid w:val="005E754F"/>
    <w:rsid w:val="005F0A04"/>
    <w:rsid w:val="005F1228"/>
    <w:rsid w:val="005F33C9"/>
    <w:rsid w:val="005F3D99"/>
    <w:rsid w:val="005F5ED3"/>
    <w:rsid w:val="006001B3"/>
    <w:rsid w:val="00601AE5"/>
    <w:rsid w:val="0060350F"/>
    <w:rsid w:val="00603B97"/>
    <w:rsid w:val="00604B0F"/>
    <w:rsid w:val="00604C27"/>
    <w:rsid w:val="00605E39"/>
    <w:rsid w:val="00610024"/>
    <w:rsid w:val="00610A77"/>
    <w:rsid w:val="006134CF"/>
    <w:rsid w:val="00613E47"/>
    <w:rsid w:val="006146CA"/>
    <w:rsid w:val="00614F81"/>
    <w:rsid w:val="0061537F"/>
    <w:rsid w:val="006156F7"/>
    <w:rsid w:val="006158ED"/>
    <w:rsid w:val="006160A3"/>
    <w:rsid w:val="00616747"/>
    <w:rsid w:val="00617325"/>
    <w:rsid w:val="006177F7"/>
    <w:rsid w:val="0062159F"/>
    <w:rsid w:val="00623215"/>
    <w:rsid w:val="00624015"/>
    <w:rsid w:val="00624ABD"/>
    <w:rsid w:val="006256B1"/>
    <w:rsid w:val="006260DB"/>
    <w:rsid w:val="00626356"/>
    <w:rsid w:val="0062642C"/>
    <w:rsid w:val="00626EA7"/>
    <w:rsid w:val="00634D15"/>
    <w:rsid w:val="006351F3"/>
    <w:rsid w:val="00636117"/>
    <w:rsid w:val="00641E86"/>
    <w:rsid w:val="0064217E"/>
    <w:rsid w:val="00642979"/>
    <w:rsid w:val="00645283"/>
    <w:rsid w:val="006459D5"/>
    <w:rsid w:val="00646657"/>
    <w:rsid w:val="00646713"/>
    <w:rsid w:val="006477EE"/>
    <w:rsid w:val="00650533"/>
    <w:rsid w:val="00650FBC"/>
    <w:rsid w:val="0065141E"/>
    <w:rsid w:val="00653135"/>
    <w:rsid w:val="006536A2"/>
    <w:rsid w:val="006545B0"/>
    <w:rsid w:val="00654CED"/>
    <w:rsid w:val="00660348"/>
    <w:rsid w:val="006604C1"/>
    <w:rsid w:val="0066378A"/>
    <w:rsid w:val="006674BB"/>
    <w:rsid w:val="00667F16"/>
    <w:rsid w:val="00670FAB"/>
    <w:rsid w:val="00671072"/>
    <w:rsid w:val="00671594"/>
    <w:rsid w:val="0067167B"/>
    <w:rsid w:val="00671E63"/>
    <w:rsid w:val="006762CB"/>
    <w:rsid w:val="0067778A"/>
    <w:rsid w:val="006808BD"/>
    <w:rsid w:val="0068114C"/>
    <w:rsid w:val="00682105"/>
    <w:rsid w:val="0068216D"/>
    <w:rsid w:val="00682453"/>
    <w:rsid w:val="0068470E"/>
    <w:rsid w:val="00685219"/>
    <w:rsid w:val="0068527F"/>
    <w:rsid w:val="00685D09"/>
    <w:rsid w:val="006870B3"/>
    <w:rsid w:val="006879A5"/>
    <w:rsid w:val="00692797"/>
    <w:rsid w:val="00692D08"/>
    <w:rsid w:val="006938E5"/>
    <w:rsid w:val="00693DC5"/>
    <w:rsid w:val="00694BD6"/>
    <w:rsid w:val="006979DD"/>
    <w:rsid w:val="006979ED"/>
    <w:rsid w:val="006A04CE"/>
    <w:rsid w:val="006A06C3"/>
    <w:rsid w:val="006A197B"/>
    <w:rsid w:val="006A24E0"/>
    <w:rsid w:val="006A349B"/>
    <w:rsid w:val="006A4EB4"/>
    <w:rsid w:val="006B070B"/>
    <w:rsid w:val="006B1662"/>
    <w:rsid w:val="006B212E"/>
    <w:rsid w:val="006B3A4C"/>
    <w:rsid w:val="006B411E"/>
    <w:rsid w:val="006B42FC"/>
    <w:rsid w:val="006B4EC8"/>
    <w:rsid w:val="006B5102"/>
    <w:rsid w:val="006C0618"/>
    <w:rsid w:val="006C11E1"/>
    <w:rsid w:val="006C1B17"/>
    <w:rsid w:val="006C1FBB"/>
    <w:rsid w:val="006C5486"/>
    <w:rsid w:val="006C6067"/>
    <w:rsid w:val="006C667E"/>
    <w:rsid w:val="006D001D"/>
    <w:rsid w:val="006D04DA"/>
    <w:rsid w:val="006D171A"/>
    <w:rsid w:val="006D1ABC"/>
    <w:rsid w:val="006D4C38"/>
    <w:rsid w:val="006D65EF"/>
    <w:rsid w:val="006D7C32"/>
    <w:rsid w:val="006E0B77"/>
    <w:rsid w:val="006E2B1D"/>
    <w:rsid w:val="006E3412"/>
    <w:rsid w:val="006E3DDC"/>
    <w:rsid w:val="006E4106"/>
    <w:rsid w:val="006E43A8"/>
    <w:rsid w:val="006E506B"/>
    <w:rsid w:val="006E5F4F"/>
    <w:rsid w:val="006E6948"/>
    <w:rsid w:val="006E7106"/>
    <w:rsid w:val="006E7519"/>
    <w:rsid w:val="006F04AD"/>
    <w:rsid w:val="006F1B49"/>
    <w:rsid w:val="006F571B"/>
    <w:rsid w:val="006F7746"/>
    <w:rsid w:val="0070076E"/>
    <w:rsid w:val="007018B6"/>
    <w:rsid w:val="00702B2E"/>
    <w:rsid w:val="007031A3"/>
    <w:rsid w:val="00703AC7"/>
    <w:rsid w:val="007060C5"/>
    <w:rsid w:val="00707CF9"/>
    <w:rsid w:val="00707D6D"/>
    <w:rsid w:val="00707DBC"/>
    <w:rsid w:val="00714FB9"/>
    <w:rsid w:val="00717640"/>
    <w:rsid w:val="0072062D"/>
    <w:rsid w:val="007242CF"/>
    <w:rsid w:val="007245AA"/>
    <w:rsid w:val="00725281"/>
    <w:rsid w:val="0072778E"/>
    <w:rsid w:val="00727E0F"/>
    <w:rsid w:val="00731178"/>
    <w:rsid w:val="007312BC"/>
    <w:rsid w:val="0073210B"/>
    <w:rsid w:val="00732911"/>
    <w:rsid w:val="00737A9A"/>
    <w:rsid w:val="0074030C"/>
    <w:rsid w:val="007440C9"/>
    <w:rsid w:val="00744474"/>
    <w:rsid w:val="00744AF1"/>
    <w:rsid w:val="00745998"/>
    <w:rsid w:val="0074606E"/>
    <w:rsid w:val="00746605"/>
    <w:rsid w:val="00747D48"/>
    <w:rsid w:val="00750AD7"/>
    <w:rsid w:val="00752756"/>
    <w:rsid w:val="00753955"/>
    <w:rsid w:val="007540A6"/>
    <w:rsid w:val="00755C30"/>
    <w:rsid w:val="0075697C"/>
    <w:rsid w:val="00756CDD"/>
    <w:rsid w:val="00757482"/>
    <w:rsid w:val="00760970"/>
    <w:rsid w:val="00763507"/>
    <w:rsid w:val="00763BB1"/>
    <w:rsid w:val="00767104"/>
    <w:rsid w:val="007671A0"/>
    <w:rsid w:val="007704EF"/>
    <w:rsid w:val="00770A6C"/>
    <w:rsid w:val="007749F0"/>
    <w:rsid w:val="00775959"/>
    <w:rsid w:val="00776424"/>
    <w:rsid w:val="00776942"/>
    <w:rsid w:val="00777032"/>
    <w:rsid w:val="00777FB3"/>
    <w:rsid w:val="007804D2"/>
    <w:rsid w:val="00780BC2"/>
    <w:rsid w:val="00781507"/>
    <w:rsid w:val="00781ABE"/>
    <w:rsid w:val="007836C9"/>
    <w:rsid w:val="00785C0A"/>
    <w:rsid w:val="007864D7"/>
    <w:rsid w:val="00791159"/>
    <w:rsid w:val="00791934"/>
    <w:rsid w:val="0079516C"/>
    <w:rsid w:val="00797750"/>
    <w:rsid w:val="007A196A"/>
    <w:rsid w:val="007A25EF"/>
    <w:rsid w:val="007A294B"/>
    <w:rsid w:val="007B3F0C"/>
    <w:rsid w:val="007B3F75"/>
    <w:rsid w:val="007B6DA5"/>
    <w:rsid w:val="007B732F"/>
    <w:rsid w:val="007C0895"/>
    <w:rsid w:val="007C1124"/>
    <w:rsid w:val="007C1383"/>
    <w:rsid w:val="007C1FED"/>
    <w:rsid w:val="007C31C0"/>
    <w:rsid w:val="007C3714"/>
    <w:rsid w:val="007C48B8"/>
    <w:rsid w:val="007C5ABA"/>
    <w:rsid w:val="007D050F"/>
    <w:rsid w:val="007D21B0"/>
    <w:rsid w:val="007D24DD"/>
    <w:rsid w:val="007D3CB1"/>
    <w:rsid w:val="007D45A7"/>
    <w:rsid w:val="007D6D18"/>
    <w:rsid w:val="007D72D3"/>
    <w:rsid w:val="007E5890"/>
    <w:rsid w:val="007F1C25"/>
    <w:rsid w:val="007F3188"/>
    <w:rsid w:val="007F3E56"/>
    <w:rsid w:val="007F41A7"/>
    <w:rsid w:val="007F626E"/>
    <w:rsid w:val="007F63EE"/>
    <w:rsid w:val="007F6D9D"/>
    <w:rsid w:val="007F79E9"/>
    <w:rsid w:val="007F7E37"/>
    <w:rsid w:val="00801928"/>
    <w:rsid w:val="00801FC4"/>
    <w:rsid w:val="00802723"/>
    <w:rsid w:val="00802A21"/>
    <w:rsid w:val="008030F0"/>
    <w:rsid w:val="008041E8"/>
    <w:rsid w:val="00806D9B"/>
    <w:rsid w:val="00810B21"/>
    <w:rsid w:val="0081277D"/>
    <w:rsid w:val="00814014"/>
    <w:rsid w:val="008144BF"/>
    <w:rsid w:val="00815C7B"/>
    <w:rsid w:val="00816A3A"/>
    <w:rsid w:val="00817FDB"/>
    <w:rsid w:val="00820BF3"/>
    <w:rsid w:val="00821774"/>
    <w:rsid w:val="008219F7"/>
    <w:rsid w:val="00827143"/>
    <w:rsid w:val="00827B66"/>
    <w:rsid w:val="00827F6B"/>
    <w:rsid w:val="00830F70"/>
    <w:rsid w:val="00832EEC"/>
    <w:rsid w:val="00833768"/>
    <w:rsid w:val="00835BF5"/>
    <w:rsid w:val="008364C2"/>
    <w:rsid w:val="00843EAB"/>
    <w:rsid w:val="008441E4"/>
    <w:rsid w:val="0084442E"/>
    <w:rsid w:val="00845552"/>
    <w:rsid w:val="00847218"/>
    <w:rsid w:val="00850D24"/>
    <w:rsid w:val="00852233"/>
    <w:rsid w:val="00861300"/>
    <w:rsid w:val="00862348"/>
    <w:rsid w:val="00862913"/>
    <w:rsid w:val="00862D43"/>
    <w:rsid w:val="00863138"/>
    <w:rsid w:val="00863E09"/>
    <w:rsid w:val="0086480A"/>
    <w:rsid w:val="00865A89"/>
    <w:rsid w:val="0087020A"/>
    <w:rsid w:val="008725A7"/>
    <w:rsid w:val="00872D36"/>
    <w:rsid w:val="00872DBC"/>
    <w:rsid w:val="00873E1E"/>
    <w:rsid w:val="00874A3A"/>
    <w:rsid w:val="00875DC5"/>
    <w:rsid w:val="00876041"/>
    <w:rsid w:val="00877518"/>
    <w:rsid w:val="00880645"/>
    <w:rsid w:val="00880C2C"/>
    <w:rsid w:val="00880D52"/>
    <w:rsid w:val="00883BAD"/>
    <w:rsid w:val="00885A85"/>
    <w:rsid w:val="00886B49"/>
    <w:rsid w:val="00886EA3"/>
    <w:rsid w:val="00887DFA"/>
    <w:rsid w:val="008907B5"/>
    <w:rsid w:val="00891535"/>
    <w:rsid w:val="00891902"/>
    <w:rsid w:val="0089246F"/>
    <w:rsid w:val="00892800"/>
    <w:rsid w:val="0089307F"/>
    <w:rsid w:val="0089324E"/>
    <w:rsid w:val="00895994"/>
    <w:rsid w:val="008966B7"/>
    <w:rsid w:val="00896C4D"/>
    <w:rsid w:val="008A01C7"/>
    <w:rsid w:val="008A0C04"/>
    <w:rsid w:val="008A2560"/>
    <w:rsid w:val="008A4F3B"/>
    <w:rsid w:val="008A5126"/>
    <w:rsid w:val="008A66AC"/>
    <w:rsid w:val="008B0B14"/>
    <w:rsid w:val="008B134A"/>
    <w:rsid w:val="008B1B48"/>
    <w:rsid w:val="008B32F6"/>
    <w:rsid w:val="008B3BC4"/>
    <w:rsid w:val="008B3FB6"/>
    <w:rsid w:val="008B5DEC"/>
    <w:rsid w:val="008B6D40"/>
    <w:rsid w:val="008B7299"/>
    <w:rsid w:val="008C044F"/>
    <w:rsid w:val="008C0B33"/>
    <w:rsid w:val="008C100A"/>
    <w:rsid w:val="008C2D08"/>
    <w:rsid w:val="008C4638"/>
    <w:rsid w:val="008C468D"/>
    <w:rsid w:val="008C72B6"/>
    <w:rsid w:val="008C7F35"/>
    <w:rsid w:val="008D01C5"/>
    <w:rsid w:val="008D08F5"/>
    <w:rsid w:val="008D2BF3"/>
    <w:rsid w:val="008D5E9E"/>
    <w:rsid w:val="008D61BC"/>
    <w:rsid w:val="008D75BB"/>
    <w:rsid w:val="008E0380"/>
    <w:rsid w:val="008E2D0E"/>
    <w:rsid w:val="008E3209"/>
    <w:rsid w:val="008E413B"/>
    <w:rsid w:val="008E6EBC"/>
    <w:rsid w:val="008F489B"/>
    <w:rsid w:val="008F499F"/>
    <w:rsid w:val="008F4F52"/>
    <w:rsid w:val="008F51E2"/>
    <w:rsid w:val="008F5B8F"/>
    <w:rsid w:val="008F644C"/>
    <w:rsid w:val="008F7222"/>
    <w:rsid w:val="008F73EC"/>
    <w:rsid w:val="008F79BC"/>
    <w:rsid w:val="008F7D97"/>
    <w:rsid w:val="008F7DFE"/>
    <w:rsid w:val="00902321"/>
    <w:rsid w:val="00902F8F"/>
    <w:rsid w:val="00904A42"/>
    <w:rsid w:val="00907076"/>
    <w:rsid w:val="00910EA0"/>
    <w:rsid w:val="00912F2B"/>
    <w:rsid w:val="00913D05"/>
    <w:rsid w:val="0091414C"/>
    <w:rsid w:val="00914B20"/>
    <w:rsid w:val="00914BE7"/>
    <w:rsid w:val="009178A6"/>
    <w:rsid w:val="00917C1E"/>
    <w:rsid w:val="00917FB4"/>
    <w:rsid w:val="009210FA"/>
    <w:rsid w:val="00921BFC"/>
    <w:rsid w:val="00922766"/>
    <w:rsid w:val="00923012"/>
    <w:rsid w:val="00923501"/>
    <w:rsid w:val="00926F06"/>
    <w:rsid w:val="00927AB7"/>
    <w:rsid w:val="009303EC"/>
    <w:rsid w:val="009306DA"/>
    <w:rsid w:val="00931FDE"/>
    <w:rsid w:val="00932256"/>
    <w:rsid w:val="009328A8"/>
    <w:rsid w:val="0093528A"/>
    <w:rsid w:val="00936267"/>
    <w:rsid w:val="009374DA"/>
    <w:rsid w:val="00937BA0"/>
    <w:rsid w:val="00937E5A"/>
    <w:rsid w:val="00940072"/>
    <w:rsid w:val="00940CF1"/>
    <w:rsid w:val="00943458"/>
    <w:rsid w:val="009436EA"/>
    <w:rsid w:val="00943A5C"/>
    <w:rsid w:val="0094405F"/>
    <w:rsid w:val="00944249"/>
    <w:rsid w:val="009455B4"/>
    <w:rsid w:val="009470FB"/>
    <w:rsid w:val="00952E9A"/>
    <w:rsid w:val="00954B96"/>
    <w:rsid w:val="0095669C"/>
    <w:rsid w:val="0095783C"/>
    <w:rsid w:val="00961751"/>
    <w:rsid w:val="009636A9"/>
    <w:rsid w:val="0096405B"/>
    <w:rsid w:val="00964CB2"/>
    <w:rsid w:val="00964E1C"/>
    <w:rsid w:val="00965D07"/>
    <w:rsid w:val="00965D33"/>
    <w:rsid w:val="00966EF1"/>
    <w:rsid w:val="00967882"/>
    <w:rsid w:val="0096794D"/>
    <w:rsid w:val="00967DC1"/>
    <w:rsid w:val="00970B31"/>
    <w:rsid w:val="009715EF"/>
    <w:rsid w:val="009733BE"/>
    <w:rsid w:val="00975060"/>
    <w:rsid w:val="009755FA"/>
    <w:rsid w:val="009824B0"/>
    <w:rsid w:val="00982DA0"/>
    <w:rsid w:val="00983222"/>
    <w:rsid w:val="00983DAD"/>
    <w:rsid w:val="00984980"/>
    <w:rsid w:val="00985BD5"/>
    <w:rsid w:val="00985D2D"/>
    <w:rsid w:val="009864A9"/>
    <w:rsid w:val="0098656F"/>
    <w:rsid w:val="00990834"/>
    <w:rsid w:val="009908BA"/>
    <w:rsid w:val="009928DA"/>
    <w:rsid w:val="00992BB0"/>
    <w:rsid w:val="009938D0"/>
    <w:rsid w:val="00995CC4"/>
    <w:rsid w:val="0099610A"/>
    <w:rsid w:val="00996BC0"/>
    <w:rsid w:val="009A0565"/>
    <w:rsid w:val="009A15EA"/>
    <w:rsid w:val="009A27C5"/>
    <w:rsid w:val="009A3164"/>
    <w:rsid w:val="009A4BE1"/>
    <w:rsid w:val="009A768D"/>
    <w:rsid w:val="009A7F27"/>
    <w:rsid w:val="009B1812"/>
    <w:rsid w:val="009B1C94"/>
    <w:rsid w:val="009B4F95"/>
    <w:rsid w:val="009B5055"/>
    <w:rsid w:val="009B54B9"/>
    <w:rsid w:val="009B7DF7"/>
    <w:rsid w:val="009C09E4"/>
    <w:rsid w:val="009C0F8B"/>
    <w:rsid w:val="009C7765"/>
    <w:rsid w:val="009C7D28"/>
    <w:rsid w:val="009D2759"/>
    <w:rsid w:val="009D28E3"/>
    <w:rsid w:val="009D3663"/>
    <w:rsid w:val="009D4ED9"/>
    <w:rsid w:val="009D500A"/>
    <w:rsid w:val="009D614A"/>
    <w:rsid w:val="009D6F8C"/>
    <w:rsid w:val="009D750F"/>
    <w:rsid w:val="009E0D84"/>
    <w:rsid w:val="009E282B"/>
    <w:rsid w:val="009E2EED"/>
    <w:rsid w:val="009E42F9"/>
    <w:rsid w:val="009E493A"/>
    <w:rsid w:val="009E5351"/>
    <w:rsid w:val="009E6358"/>
    <w:rsid w:val="009E7F9E"/>
    <w:rsid w:val="009F038F"/>
    <w:rsid w:val="009F066C"/>
    <w:rsid w:val="009F185E"/>
    <w:rsid w:val="009F1F76"/>
    <w:rsid w:val="009F269D"/>
    <w:rsid w:val="009F2D80"/>
    <w:rsid w:val="009F4F0D"/>
    <w:rsid w:val="009F7DF3"/>
    <w:rsid w:val="00A00F87"/>
    <w:rsid w:val="00A00F93"/>
    <w:rsid w:val="00A023CA"/>
    <w:rsid w:val="00A02467"/>
    <w:rsid w:val="00A04D12"/>
    <w:rsid w:val="00A065EA"/>
    <w:rsid w:val="00A06C3E"/>
    <w:rsid w:val="00A10636"/>
    <w:rsid w:val="00A10E37"/>
    <w:rsid w:val="00A11896"/>
    <w:rsid w:val="00A12E3B"/>
    <w:rsid w:val="00A15BC6"/>
    <w:rsid w:val="00A163B5"/>
    <w:rsid w:val="00A20CD5"/>
    <w:rsid w:val="00A219B2"/>
    <w:rsid w:val="00A21C3F"/>
    <w:rsid w:val="00A2303A"/>
    <w:rsid w:val="00A248D1"/>
    <w:rsid w:val="00A24E6E"/>
    <w:rsid w:val="00A25B12"/>
    <w:rsid w:val="00A275D2"/>
    <w:rsid w:val="00A27D50"/>
    <w:rsid w:val="00A307DD"/>
    <w:rsid w:val="00A31DDE"/>
    <w:rsid w:val="00A341B6"/>
    <w:rsid w:val="00A3507B"/>
    <w:rsid w:val="00A37517"/>
    <w:rsid w:val="00A37624"/>
    <w:rsid w:val="00A3762D"/>
    <w:rsid w:val="00A407B6"/>
    <w:rsid w:val="00A41BC5"/>
    <w:rsid w:val="00A42929"/>
    <w:rsid w:val="00A43083"/>
    <w:rsid w:val="00A442B8"/>
    <w:rsid w:val="00A4586E"/>
    <w:rsid w:val="00A468C1"/>
    <w:rsid w:val="00A47FB8"/>
    <w:rsid w:val="00A523FE"/>
    <w:rsid w:val="00A525FE"/>
    <w:rsid w:val="00A528E9"/>
    <w:rsid w:val="00A536B2"/>
    <w:rsid w:val="00A53EE5"/>
    <w:rsid w:val="00A54301"/>
    <w:rsid w:val="00A57C3F"/>
    <w:rsid w:val="00A60CC2"/>
    <w:rsid w:val="00A61805"/>
    <w:rsid w:val="00A61E5C"/>
    <w:rsid w:val="00A64C1E"/>
    <w:rsid w:val="00A66DDD"/>
    <w:rsid w:val="00A676D7"/>
    <w:rsid w:val="00A67C90"/>
    <w:rsid w:val="00A7003F"/>
    <w:rsid w:val="00A705D2"/>
    <w:rsid w:val="00A729CB"/>
    <w:rsid w:val="00A75944"/>
    <w:rsid w:val="00A822B8"/>
    <w:rsid w:val="00A84B6B"/>
    <w:rsid w:val="00A901B3"/>
    <w:rsid w:val="00A908A8"/>
    <w:rsid w:val="00A90A4B"/>
    <w:rsid w:val="00A91316"/>
    <w:rsid w:val="00A92D14"/>
    <w:rsid w:val="00A930B3"/>
    <w:rsid w:val="00A93E19"/>
    <w:rsid w:val="00A9510F"/>
    <w:rsid w:val="00A96B78"/>
    <w:rsid w:val="00AA0F00"/>
    <w:rsid w:val="00AA2694"/>
    <w:rsid w:val="00AA415B"/>
    <w:rsid w:val="00AA4552"/>
    <w:rsid w:val="00AA5C52"/>
    <w:rsid w:val="00AA679C"/>
    <w:rsid w:val="00AB0731"/>
    <w:rsid w:val="00AB1663"/>
    <w:rsid w:val="00AB4505"/>
    <w:rsid w:val="00AB550D"/>
    <w:rsid w:val="00AB6072"/>
    <w:rsid w:val="00AC0904"/>
    <w:rsid w:val="00AC28BC"/>
    <w:rsid w:val="00AC2FB0"/>
    <w:rsid w:val="00AC48C4"/>
    <w:rsid w:val="00AC5864"/>
    <w:rsid w:val="00AC5D4F"/>
    <w:rsid w:val="00AC715E"/>
    <w:rsid w:val="00AD1AC0"/>
    <w:rsid w:val="00AD304E"/>
    <w:rsid w:val="00AD39B1"/>
    <w:rsid w:val="00AD40D0"/>
    <w:rsid w:val="00AD4583"/>
    <w:rsid w:val="00AD5216"/>
    <w:rsid w:val="00AD6354"/>
    <w:rsid w:val="00AE0801"/>
    <w:rsid w:val="00AE1389"/>
    <w:rsid w:val="00AE26A8"/>
    <w:rsid w:val="00AE4551"/>
    <w:rsid w:val="00AE4812"/>
    <w:rsid w:val="00AE57C7"/>
    <w:rsid w:val="00AF01E1"/>
    <w:rsid w:val="00AF146D"/>
    <w:rsid w:val="00AF18C1"/>
    <w:rsid w:val="00AF29C6"/>
    <w:rsid w:val="00AF2F47"/>
    <w:rsid w:val="00AF34B1"/>
    <w:rsid w:val="00AF547E"/>
    <w:rsid w:val="00AF6159"/>
    <w:rsid w:val="00AF6971"/>
    <w:rsid w:val="00AF7C72"/>
    <w:rsid w:val="00B01171"/>
    <w:rsid w:val="00B01DFC"/>
    <w:rsid w:val="00B04E90"/>
    <w:rsid w:val="00B06876"/>
    <w:rsid w:val="00B069E1"/>
    <w:rsid w:val="00B06D52"/>
    <w:rsid w:val="00B06F27"/>
    <w:rsid w:val="00B0722E"/>
    <w:rsid w:val="00B1009C"/>
    <w:rsid w:val="00B11429"/>
    <w:rsid w:val="00B14B9C"/>
    <w:rsid w:val="00B155E2"/>
    <w:rsid w:val="00B16B10"/>
    <w:rsid w:val="00B1701C"/>
    <w:rsid w:val="00B20A90"/>
    <w:rsid w:val="00B20EFC"/>
    <w:rsid w:val="00B22A37"/>
    <w:rsid w:val="00B23DE2"/>
    <w:rsid w:val="00B249F9"/>
    <w:rsid w:val="00B24FDF"/>
    <w:rsid w:val="00B26B04"/>
    <w:rsid w:val="00B27230"/>
    <w:rsid w:val="00B27F30"/>
    <w:rsid w:val="00B3268D"/>
    <w:rsid w:val="00B32A0B"/>
    <w:rsid w:val="00B34544"/>
    <w:rsid w:val="00B34AFF"/>
    <w:rsid w:val="00B34DA8"/>
    <w:rsid w:val="00B4076D"/>
    <w:rsid w:val="00B41659"/>
    <w:rsid w:val="00B424D0"/>
    <w:rsid w:val="00B44FCC"/>
    <w:rsid w:val="00B4537B"/>
    <w:rsid w:val="00B479C6"/>
    <w:rsid w:val="00B50799"/>
    <w:rsid w:val="00B50D1C"/>
    <w:rsid w:val="00B5371E"/>
    <w:rsid w:val="00B568EE"/>
    <w:rsid w:val="00B56F4C"/>
    <w:rsid w:val="00B62002"/>
    <w:rsid w:val="00B6448A"/>
    <w:rsid w:val="00B64578"/>
    <w:rsid w:val="00B65773"/>
    <w:rsid w:val="00B67CB7"/>
    <w:rsid w:val="00B70006"/>
    <w:rsid w:val="00B703A6"/>
    <w:rsid w:val="00B717D9"/>
    <w:rsid w:val="00B72D8D"/>
    <w:rsid w:val="00B7432A"/>
    <w:rsid w:val="00B75CE4"/>
    <w:rsid w:val="00B82552"/>
    <w:rsid w:val="00B847BC"/>
    <w:rsid w:val="00B87D2A"/>
    <w:rsid w:val="00B90642"/>
    <w:rsid w:val="00B9095A"/>
    <w:rsid w:val="00B91BCA"/>
    <w:rsid w:val="00B91DF7"/>
    <w:rsid w:val="00B92730"/>
    <w:rsid w:val="00B93231"/>
    <w:rsid w:val="00B93373"/>
    <w:rsid w:val="00BA00F1"/>
    <w:rsid w:val="00BA19BA"/>
    <w:rsid w:val="00BA22CD"/>
    <w:rsid w:val="00BA26AC"/>
    <w:rsid w:val="00BA4CC2"/>
    <w:rsid w:val="00BA57A4"/>
    <w:rsid w:val="00BA5C3D"/>
    <w:rsid w:val="00BB06BE"/>
    <w:rsid w:val="00BB163F"/>
    <w:rsid w:val="00BB28F5"/>
    <w:rsid w:val="00BB54AE"/>
    <w:rsid w:val="00BB5CCC"/>
    <w:rsid w:val="00BB6214"/>
    <w:rsid w:val="00BB674D"/>
    <w:rsid w:val="00BB6FAD"/>
    <w:rsid w:val="00BB70AE"/>
    <w:rsid w:val="00BB7148"/>
    <w:rsid w:val="00BB7A84"/>
    <w:rsid w:val="00BB7C5A"/>
    <w:rsid w:val="00BC0580"/>
    <w:rsid w:val="00BC2936"/>
    <w:rsid w:val="00BC2D2F"/>
    <w:rsid w:val="00BC3058"/>
    <w:rsid w:val="00BC4BC5"/>
    <w:rsid w:val="00BC618C"/>
    <w:rsid w:val="00BC668D"/>
    <w:rsid w:val="00BD0880"/>
    <w:rsid w:val="00BD41A3"/>
    <w:rsid w:val="00BD47E4"/>
    <w:rsid w:val="00BD6E58"/>
    <w:rsid w:val="00BE011D"/>
    <w:rsid w:val="00BE1CE7"/>
    <w:rsid w:val="00BE4909"/>
    <w:rsid w:val="00BE62F1"/>
    <w:rsid w:val="00BE6845"/>
    <w:rsid w:val="00BF02ED"/>
    <w:rsid w:val="00BF150C"/>
    <w:rsid w:val="00BF1EC8"/>
    <w:rsid w:val="00BF314E"/>
    <w:rsid w:val="00BF3507"/>
    <w:rsid w:val="00BF3723"/>
    <w:rsid w:val="00BF45E3"/>
    <w:rsid w:val="00BF4615"/>
    <w:rsid w:val="00BF47EA"/>
    <w:rsid w:val="00BF6183"/>
    <w:rsid w:val="00BF700F"/>
    <w:rsid w:val="00C02FDF"/>
    <w:rsid w:val="00C05D13"/>
    <w:rsid w:val="00C06A5E"/>
    <w:rsid w:val="00C07810"/>
    <w:rsid w:val="00C07DF7"/>
    <w:rsid w:val="00C110CF"/>
    <w:rsid w:val="00C1247A"/>
    <w:rsid w:val="00C128BA"/>
    <w:rsid w:val="00C12B4F"/>
    <w:rsid w:val="00C135B6"/>
    <w:rsid w:val="00C13671"/>
    <w:rsid w:val="00C13C97"/>
    <w:rsid w:val="00C14851"/>
    <w:rsid w:val="00C1499B"/>
    <w:rsid w:val="00C14CEA"/>
    <w:rsid w:val="00C1588A"/>
    <w:rsid w:val="00C163FC"/>
    <w:rsid w:val="00C16FED"/>
    <w:rsid w:val="00C21B3A"/>
    <w:rsid w:val="00C22576"/>
    <w:rsid w:val="00C2315C"/>
    <w:rsid w:val="00C240F4"/>
    <w:rsid w:val="00C24558"/>
    <w:rsid w:val="00C245ED"/>
    <w:rsid w:val="00C2619E"/>
    <w:rsid w:val="00C30F01"/>
    <w:rsid w:val="00C30FAA"/>
    <w:rsid w:val="00C310AB"/>
    <w:rsid w:val="00C33951"/>
    <w:rsid w:val="00C35D3B"/>
    <w:rsid w:val="00C4054B"/>
    <w:rsid w:val="00C41365"/>
    <w:rsid w:val="00C4455F"/>
    <w:rsid w:val="00C44DAC"/>
    <w:rsid w:val="00C466ED"/>
    <w:rsid w:val="00C47BA5"/>
    <w:rsid w:val="00C51480"/>
    <w:rsid w:val="00C51981"/>
    <w:rsid w:val="00C52068"/>
    <w:rsid w:val="00C522D0"/>
    <w:rsid w:val="00C53D0A"/>
    <w:rsid w:val="00C56227"/>
    <w:rsid w:val="00C576BB"/>
    <w:rsid w:val="00C64E40"/>
    <w:rsid w:val="00C655F9"/>
    <w:rsid w:val="00C67B1C"/>
    <w:rsid w:val="00C70B7D"/>
    <w:rsid w:val="00C71F13"/>
    <w:rsid w:val="00C74990"/>
    <w:rsid w:val="00C755C2"/>
    <w:rsid w:val="00C76323"/>
    <w:rsid w:val="00C7768B"/>
    <w:rsid w:val="00C77D8A"/>
    <w:rsid w:val="00C83AA7"/>
    <w:rsid w:val="00C843FB"/>
    <w:rsid w:val="00C84AA3"/>
    <w:rsid w:val="00C84FB0"/>
    <w:rsid w:val="00C919FC"/>
    <w:rsid w:val="00C948C2"/>
    <w:rsid w:val="00C958B5"/>
    <w:rsid w:val="00CA0315"/>
    <w:rsid w:val="00CA19E3"/>
    <w:rsid w:val="00CA36F9"/>
    <w:rsid w:val="00CA3F1A"/>
    <w:rsid w:val="00CA4173"/>
    <w:rsid w:val="00CA4B87"/>
    <w:rsid w:val="00CA4FDC"/>
    <w:rsid w:val="00CA53F1"/>
    <w:rsid w:val="00CA5F9D"/>
    <w:rsid w:val="00CA6032"/>
    <w:rsid w:val="00CA6C52"/>
    <w:rsid w:val="00CB0AFF"/>
    <w:rsid w:val="00CB1770"/>
    <w:rsid w:val="00CB2D84"/>
    <w:rsid w:val="00CC11C4"/>
    <w:rsid w:val="00CC19CF"/>
    <w:rsid w:val="00CC1D01"/>
    <w:rsid w:val="00CC253A"/>
    <w:rsid w:val="00CC3BB3"/>
    <w:rsid w:val="00CC4DD4"/>
    <w:rsid w:val="00CC4DED"/>
    <w:rsid w:val="00CC78BB"/>
    <w:rsid w:val="00CD2DA3"/>
    <w:rsid w:val="00CD4654"/>
    <w:rsid w:val="00CD6CDB"/>
    <w:rsid w:val="00CE00BF"/>
    <w:rsid w:val="00CE12C1"/>
    <w:rsid w:val="00CE22DA"/>
    <w:rsid w:val="00CE3138"/>
    <w:rsid w:val="00CE6BBD"/>
    <w:rsid w:val="00CF1554"/>
    <w:rsid w:val="00CF176D"/>
    <w:rsid w:val="00CF39DE"/>
    <w:rsid w:val="00CF4E4F"/>
    <w:rsid w:val="00D01E68"/>
    <w:rsid w:val="00D024A3"/>
    <w:rsid w:val="00D02874"/>
    <w:rsid w:val="00D02A08"/>
    <w:rsid w:val="00D031CC"/>
    <w:rsid w:val="00D04A2A"/>
    <w:rsid w:val="00D06401"/>
    <w:rsid w:val="00D06F60"/>
    <w:rsid w:val="00D07EC6"/>
    <w:rsid w:val="00D1073A"/>
    <w:rsid w:val="00D10941"/>
    <w:rsid w:val="00D1359D"/>
    <w:rsid w:val="00D179CB"/>
    <w:rsid w:val="00D25344"/>
    <w:rsid w:val="00D25C8B"/>
    <w:rsid w:val="00D26C1D"/>
    <w:rsid w:val="00D27170"/>
    <w:rsid w:val="00D32097"/>
    <w:rsid w:val="00D32C0C"/>
    <w:rsid w:val="00D33089"/>
    <w:rsid w:val="00D330C2"/>
    <w:rsid w:val="00D35313"/>
    <w:rsid w:val="00D35E91"/>
    <w:rsid w:val="00D366D3"/>
    <w:rsid w:val="00D370EF"/>
    <w:rsid w:val="00D41830"/>
    <w:rsid w:val="00D420DA"/>
    <w:rsid w:val="00D4244C"/>
    <w:rsid w:val="00D4482B"/>
    <w:rsid w:val="00D4634F"/>
    <w:rsid w:val="00D4649B"/>
    <w:rsid w:val="00D46A99"/>
    <w:rsid w:val="00D50289"/>
    <w:rsid w:val="00D502DF"/>
    <w:rsid w:val="00D50355"/>
    <w:rsid w:val="00D50991"/>
    <w:rsid w:val="00D54F4C"/>
    <w:rsid w:val="00D61731"/>
    <w:rsid w:val="00D62FB1"/>
    <w:rsid w:val="00D63289"/>
    <w:rsid w:val="00D6386B"/>
    <w:rsid w:val="00D63A65"/>
    <w:rsid w:val="00D64B1C"/>
    <w:rsid w:val="00D65F11"/>
    <w:rsid w:val="00D6682D"/>
    <w:rsid w:val="00D66BEF"/>
    <w:rsid w:val="00D66E0A"/>
    <w:rsid w:val="00D66F5B"/>
    <w:rsid w:val="00D7026D"/>
    <w:rsid w:val="00D71C30"/>
    <w:rsid w:val="00D73CDA"/>
    <w:rsid w:val="00D756AA"/>
    <w:rsid w:val="00D77C2D"/>
    <w:rsid w:val="00D81D88"/>
    <w:rsid w:val="00D8219D"/>
    <w:rsid w:val="00D825A8"/>
    <w:rsid w:val="00D82972"/>
    <w:rsid w:val="00D8513D"/>
    <w:rsid w:val="00D85781"/>
    <w:rsid w:val="00D879D3"/>
    <w:rsid w:val="00D90B34"/>
    <w:rsid w:val="00D91609"/>
    <w:rsid w:val="00D91C67"/>
    <w:rsid w:val="00D949F2"/>
    <w:rsid w:val="00D95270"/>
    <w:rsid w:val="00D95A49"/>
    <w:rsid w:val="00D9785E"/>
    <w:rsid w:val="00D97C18"/>
    <w:rsid w:val="00DA19F6"/>
    <w:rsid w:val="00DA2121"/>
    <w:rsid w:val="00DA2BAA"/>
    <w:rsid w:val="00DA2F10"/>
    <w:rsid w:val="00DA31EC"/>
    <w:rsid w:val="00DA795E"/>
    <w:rsid w:val="00DA7C01"/>
    <w:rsid w:val="00DB10CA"/>
    <w:rsid w:val="00DB2349"/>
    <w:rsid w:val="00DB2409"/>
    <w:rsid w:val="00DB3B8E"/>
    <w:rsid w:val="00DB4103"/>
    <w:rsid w:val="00DB443D"/>
    <w:rsid w:val="00DB4916"/>
    <w:rsid w:val="00DB4EEE"/>
    <w:rsid w:val="00DB75CA"/>
    <w:rsid w:val="00DC1E5E"/>
    <w:rsid w:val="00DC40FB"/>
    <w:rsid w:val="00DC5D82"/>
    <w:rsid w:val="00DD285D"/>
    <w:rsid w:val="00DD4BB1"/>
    <w:rsid w:val="00DD582D"/>
    <w:rsid w:val="00DD6384"/>
    <w:rsid w:val="00DD779B"/>
    <w:rsid w:val="00DD7C42"/>
    <w:rsid w:val="00DE1100"/>
    <w:rsid w:val="00DE41DA"/>
    <w:rsid w:val="00DE4C70"/>
    <w:rsid w:val="00DE516F"/>
    <w:rsid w:val="00DE553E"/>
    <w:rsid w:val="00DE6326"/>
    <w:rsid w:val="00DE704E"/>
    <w:rsid w:val="00DE72B2"/>
    <w:rsid w:val="00DE7D72"/>
    <w:rsid w:val="00DF05BA"/>
    <w:rsid w:val="00DF06F1"/>
    <w:rsid w:val="00DF2072"/>
    <w:rsid w:val="00DF3162"/>
    <w:rsid w:val="00DF4B93"/>
    <w:rsid w:val="00DF54EC"/>
    <w:rsid w:val="00DF563A"/>
    <w:rsid w:val="00DF57A2"/>
    <w:rsid w:val="00DF6CB9"/>
    <w:rsid w:val="00E00598"/>
    <w:rsid w:val="00E00A1F"/>
    <w:rsid w:val="00E04828"/>
    <w:rsid w:val="00E05138"/>
    <w:rsid w:val="00E06085"/>
    <w:rsid w:val="00E07F13"/>
    <w:rsid w:val="00E10C23"/>
    <w:rsid w:val="00E12CBE"/>
    <w:rsid w:val="00E12F48"/>
    <w:rsid w:val="00E14589"/>
    <w:rsid w:val="00E1504F"/>
    <w:rsid w:val="00E1565A"/>
    <w:rsid w:val="00E15853"/>
    <w:rsid w:val="00E169DC"/>
    <w:rsid w:val="00E17A1F"/>
    <w:rsid w:val="00E17C70"/>
    <w:rsid w:val="00E20141"/>
    <w:rsid w:val="00E2064E"/>
    <w:rsid w:val="00E20EA7"/>
    <w:rsid w:val="00E21BB1"/>
    <w:rsid w:val="00E23640"/>
    <w:rsid w:val="00E25E48"/>
    <w:rsid w:val="00E26C6A"/>
    <w:rsid w:val="00E31B9F"/>
    <w:rsid w:val="00E32C81"/>
    <w:rsid w:val="00E3476B"/>
    <w:rsid w:val="00E34992"/>
    <w:rsid w:val="00E34F15"/>
    <w:rsid w:val="00E3719A"/>
    <w:rsid w:val="00E4297C"/>
    <w:rsid w:val="00E43371"/>
    <w:rsid w:val="00E4351C"/>
    <w:rsid w:val="00E46EAE"/>
    <w:rsid w:val="00E47233"/>
    <w:rsid w:val="00E509F9"/>
    <w:rsid w:val="00E531C6"/>
    <w:rsid w:val="00E55EEF"/>
    <w:rsid w:val="00E56639"/>
    <w:rsid w:val="00E61628"/>
    <w:rsid w:val="00E631C0"/>
    <w:rsid w:val="00E636F3"/>
    <w:rsid w:val="00E65FB3"/>
    <w:rsid w:val="00E6677A"/>
    <w:rsid w:val="00E66884"/>
    <w:rsid w:val="00E675E5"/>
    <w:rsid w:val="00E6778C"/>
    <w:rsid w:val="00E70299"/>
    <w:rsid w:val="00E70F2F"/>
    <w:rsid w:val="00E7183C"/>
    <w:rsid w:val="00E7288B"/>
    <w:rsid w:val="00E73F70"/>
    <w:rsid w:val="00E76991"/>
    <w:rsid w:val="00E76CF7"/>
    <w:rsid w:val="00E801B1"/>
    <w:rsid w:val="00E805C4"/>
    <w:rsid w:val="00E8197B"/>
    <w:rsid w:val="00E83105"/>
    <w:rsid w:val="00E85D3B"/>
    <w:rsid w:val="00E87ADE"/>
    <w:rsid w:val="00E90FED"/>
    <w:rsid w:val="00E9230C"/>
    <w:rsid w:val="00E95F06"/>
    <w:rsid w:val="00E971DA"/>
    <w:rsid w:val="00EA096A"/>
    <w:rsid w:val="00EA0E26"/>
    <w:rsid w:val="00EA1449"/>
    <w:rsid w:val="00EA1636"/>
    <w:rsid w:val="00EA220B"/>
    <w:rsid w:val="00EA6092"/>
    <w:rsid w:val="00EA7517"/>
    <w:rsid w:val="00EA7BC9"/>
    <w:rsid w:val="00EB103B"/>
    <w:rsid w:val="00EB287E"/>
    <w:rsid w:val="00EB553B"/>
    <w:rsid w:val="00EB5BFE"/>
    <w:rsid w:val="00EB7491"/>
    <w:rsid w:val="00EC25B9"/>
    <w:rsid w:val="00EC4122"/>
    <w:rsid w:val="00EC61CE"/>
    <w:rsid w:val="00EC7ECD"/>
    <w:rsid w:val="00ED18AC"/>
    <w:rsid w:val="00ED298B"/>
    <w:rsid w:val="00ED5833"/>
    <w:rsid w:val="00ED59A7"/>
    <w:rsid w:val="00ED670D"/>
    <w:rsid w:val="00EE0C22"/>
    <w:rsid w:val="00EE7D80"/>
    <w:rsid w:val="00EF024D"/>
    <w:rsid w:val="00EF0400"/>
    <w:rsid w:val="00EF0960"/>
    <w:rsid w:val="00EF2BD1"/>
    <w:rsid w:val="00EF2BEE"/>
    <w:rsid w:val="00EF488E"/>
    <w:rsid w:val="00EF4F43"/>
    <w:rsid w:val="00EF5EB5"/>
    <w:rsid w:val="00EF5FCA"/>
    <w:rsid w:val="00EF605C"/>
    <w:rsid w:val="00EF7EEC"/>
    <w:rsid w:val="00F00AD9"/>
    <w:rsid w:val="00F04722"/>
    <w:rsid w:val="00F05F22"/>
    <w:rsid w:val="00F06418"/>
    <w:rsid w:val="00F072E6"/>
    <w:rsid w:val="00F07C47"/>
    <w:rsid w:val="00F11779"/>
    <w:rsid w:val="00F140BD"/>
    <w:rsid w:val="00F15112"/>
    <w:rsid w:val="00F23168"/>
    <w:rsid w:val="00F245B7"/>
    <w:rsid w:val="00F2575A"/>
    <w:rsid w:val="00F26A21"/>
    <w:rsid w:val="00F30ABF"/>
    <w:rsid w:val="00F30DCE"/>
    <w:rsid w:val="00F31A10"/>
    <w:rsid w:val="00F32776"/>
    <w:rsid w:val="00F32D0E"/>
    <w:rsid w:val="00F343EB"/>
    <w:rsid w:val="00F35E25"/>
    <w:rsid w:val="00F364D0"/>
    <w:rsid w:val="00F36871"/>
    <w:rsid w:val="00F40477"/>
    <w:rsid w:val="00F44260"/>
    <w:rsid w:val="00F449B9"/>
    <w:rsid w:val="00F449BD"/>
    <w:rsid w:val="00F507A1"/>
    <w:rsid w:val="00F53FEA"/>
    <w:rsid w:val="00F55C2D"/>
    <w:rsid w:val="00F56FF4"/>
    <w:rsid w:val="00F61558"/>
    <w:rsid w:val="00F62592"/>
    <w:rsid w:val="00F67C5A"/>
    <w:rsid w:val="00F73460"/>
    <w:rsid w:val="00F73F5B"/>
    <w:rsid w:val="00F74ADE"/>
    <w:rsid w:val="00F75A0B"/>
    <w:rsid w:val="00F80D96"/>
    <w:rsid w:val="00F81BC8"/>
    <w:rsid w:val="00F81D39"/>
    <w:rsid w:val="00F84475"/>
    <w:rsid w:val="00F85698"/>
    <w:rsid w:val="00F85CFD"/>
    <w:rsid w:val="00F860CA"/>
    <w:rsid w:val="00F86A96"/>
    <w:rsid w:val="00F8753D"/>
    <w:rsid w:val="00F87816"/>
    <w:rsid w:val="00F9150F"/>
    <w:rsid w:val="00F91DE5"/>
    <w:rsid w:val="00F942E1"/>
    <w:rsid w:val="00F95689"/>
    <w:rsid w:val="00F956B3"/>
    <w:rsid w:val="00F95BCA"/>
    <w:rsid w:val="00F964A8"/>
    <w:rsid w:val="00F972CC"/>
    <w:rsid w:val="00F97F5E"/>
    <w:rsid w:val="00FA056A"/>
    <w:rsid w:val="00FA0573"/>
    <w:rsid w:val="00FA21AC"/>
    <w:rsid w:val="00FA31E9"/>
    <w:rsid w:val="00FA5904"/>
    <w:rsid w:val="00FA618E"/>
    <w:rsid w:val="00FA6954"/>
    <w:rsid w:val="00FB3003"/>
    <w:rsid w:val="00FB3077"/>
    <w:rsid w:val="00FB378E"/>
    <w:rsid w:val="00FB5396"/>
    <w:rsid w:val="00FB6B63"/>
    <w:rsid w:val="00FC1687"/>
    <w:rsid w:val="00FC2B18"/>
    <w:rsid w:val="00FD04E5"/>
    <w:rsid w:val="00FD2069"/>
    <w:rsid w:val="00FD3749"/>
    <w:rsid w:val="00FD3A95"/>
    <w:rsid w:val="00FD48D9"/>
    <w:rsid w:val="00FD570D"/>
    <w:rsid w:val="00FD5DD2"/>
    <w:rsid w:val="00FE1606"/>
    <w:rsid w:val="00FE49F6"/>
    <w:rsid w:val="00FE4FCC"/>
    <w:rsid w:val="00FE5911"/>
    <w:rsid w:val="00FE74DB"/>
    <w:rsid w:val="00FE7B3D"/>
    <w:rsid w:val="00FF0B24"/>
    <w:rsid w:val="00FF14B0"/>
    <w:rsid w:val="00FF2088"/>
    <w:rsid w:val="00FF2ECB"/>
    <w:rsid w:val="00FF33F6"/>
    <w:rsid w:val="00FF349E"/>
    <w:rsid w:val="00FF3CAB"/>
    <w:rsid w:val="00FF3F80"/>
    <w:rsid w:val="00FF45DF"/>
    <w:rsid w:val="010B1330"/>
    <w:rsid w:val="01461ACD"/>
    <w:rsid w:val="01757860"/>
    <w:rsid w:val="018D0205"/>
    <w:rsid w:val="01C12A88"/>
    <w:rsid w:val="01D07706"/>
    <w:rsid w:val="0221271C"/>
    <w:rsid w:val="022D649C"/>
    <w:rsid w:val="02351774"/>
    <w:rsid w:val="023A6ECB"/>
    <w:rsid w:val="02420646"/>
    <w:rsid w:val="028223A8"/>
    <w:rsid w:val="02A9706C"/>
    <w:rsid w:val="02AF6599"/>
    <w:rsid w:val="02DE374B"/>
    <w:rsid w:val="02FE1853"/>
    <w:rsid w:val="03044359"/>
    <w:rsid w:val="03173665"/>
    <w:rsid w:val="031C67BA"/>
    <w:rsid w:val="03442A09"/>
    <w:rsid w:val="03511571"/>
    <w:rsid w:val="035E37BC"/>
    <w:rsid w:val="03715197"/>
    <w:rsid w:val="03A25185"/>
    <w:rsid w:val="03A92E0C"/>
    <w:rsid w:val="03A93F07"/>
    <w:rsid w:val="03DD17F0"/>
    <w:rsid w:val="03F730D5"/>
    <w:rsid w:val="040E2332"/>
    <w:rsid w:val="040E4213"/>
    <w:rsid w:val="04137380"/>
    <w:rsid w:val="04160294"/>
    <w:rsid w:val="0421064D"/>
    <w:rsid w:val="0424709F"/>
    <w:rsid w:val="04273734"/>
    <w:rsid w:val="042C6AE4"/>
    <w:rsid w:val="0439748C"/>
    <w:rsid w:val="045F4428"/>
    <w:rsid w:val="04663DEE"/>
    <w:rsid w:val="048B6224"/>
    <w:rsid w:val="049C3EF3"/>
    <w:rsid w:val="04BC1BA0"/>
    <w:rsid w:val="04CC4566"/>
    <w:rsid w:val="04FD23FC"/>
    <w:rsid w:val="05005426"/>
    <w:rsid w:val="05342074"/>
    <w:rsid w:val="055A38B5"/>
    <w:rsid w:val="059829FE"/>
    <w:rsid w:val="059C5F8E"/>
    <w:rsid w:val="05AD5736"/>
    <w:rsid w:val="05BB241B"/>
    <w:rsid w:val="05CA2818"/>
    <w:rsid w:val="05CF4780"/>
    <w:rsid w:val="05FA06DD"/>
    <w:rsid w:val="06023A8F"/>
    <w:rsid w:val="0611621E"/>
    <w:rsid w:val="063F258E"/>
    <w:rsid w:val="065044F8"/>
    <w:rsid w:val="0653482B"/>
    <w:rsid w:val="0673687E"/>
    <w:rsid w:val="06862192"/>
    <w:rsid w:val="06B7286F"/>
    <w:rsid w:val="06BE74D6"/>
    <w:rsid w:val="06C116BD"/>
    <w:rsid w:val="06C767F8"/>
    <w:rsid w:val="06EA2FBD"/>
    <w:rsid w:val="06ED1770"/>
    <w:rsid w:val="06FE4AAE"/>
    <w:rsid w:val="070157D1"/>
    <w:rsid w:val="07117CDC"/>
    <w:rsid w:val="07354BE2"/>
    <w:rsid w:val="073C402C"/>
    <w:rsid w:val="07506DDE"/>
    <w:rsid w:val="078360F1"/>
    <w:rsid w:val="079555F7"/>
    <w:rsid w:val="07AA21A6"/>
    <w:rsid w:val="07AD19E3"/>
    <w:rsid w:val="07B323DD"/>
    <w:rsid w:val="07CB1191"/>
    <w:rsid w:val="07D33E7D"/>
    <w:rsid w:val="07DA2552"/>
    <w:rsid w:val="07E61182"/>
    <w:rsid w:val="07F876CF"/>
    <w:rsid w:val="07FA3FC0"/>
    <w:rsid w:val="08376BE0"/>
    <w:rsid w:val="08424D1E"/>
    <w:rsid w:val="08483779"/>
    <w:rsid w:val="085D5FC0"/>
    <w:rsid w:val="0886626A"/>
    <w:rsid w:val="08912C45"/>
    <w:rsid w:val="08AD0CF8"/>
    <w:rsid w:val="08AD503B"/>
    <w:rsid w:val="08B604BF"/>
    <w:rsid w:val="08C76CFD"/>
    <w:rsid w:val="08E340CC"/>
    <w:rsid w:val="08E95B0E"/>
    <w:rsid w:val="090C54BE"/>
    <w:rsid w:val="09146300"/>
    <w:rsid w:val="0926253C"/>
    <w:rsid w:val="09271627"/>
    <w:rsid w:val="092936B1"/>
    <w:rsid w:val="096A4BCE"/>
    <w:rsid w:val="09710521"/>
    <w:rsid w:val="098226D8"/>
    <w:rsid w:val="09894939"/>
    <w:rsid w:val="098E0BF5"/>
    <w:rsid w:val="09A02CD8"/>
    <w:rsid w:val="09D771B0"/>
    <w:rsid w:val="09DA500D"/>
    <w:rsid w:val="0A165448"/>
    <w:rsid w:val="0A3F61A5"/>
    <w:rsid w:val="0A502EA2"/>
    <w:rsid w:val="0A5758F7"/>
    <w:rsid w:val="0A670FB8"/>
    <w:rsid w:val="0A67144A"/>
    <w:rsid w:val="0A71618F"/>
    <w:rsid w:val="0A7E1671"/>
    <w:rsid w:val="0AB610B3"/>
    <w:rsid w:val="0AC16F66"/>
    <w:rsid w:val="0AE86D78"/>
    <w:rsid w:val="0B2368EC"/>
    <w:rsid w:val="0B435CD5"/>
    <w:rsid w:val="0B456825"/>
    <w:rsid w:val="0B4B17AC"/>
    <w:rsid w:val="0B4C1B40"/>
    <w:rsid w:val="0B4F5787"/>
    <w:rsid w:val="0B625354"/>
    <w:rsid w:val="0B6438A9"/>
    <w:rsid w:val="0BB80799"/>
    <w:rsid w:val="0BC22757"/>
    <w:rsid w:val="0BD0342B"/>
    <w:rsid w:val="0BE3070D"/>
    <w:rsid w:val="0BE94FBA"/>
    <w:rsid w:val="0C367BBD"/>
    <w:rsid w:val="0C3C4113"/>
    <w:rsid w:val="0C4225D4"/>
    <w:rsid w:val="0C49239C"/>
    <w:rsid w:val="0C4E57C8"/>
    <w:rsid w:val="0C7336D0"/>
    <w:rsid w:val="0CC36F40"/>
    <w:rsid w:val="0CCE2CF7"/>
    <w:rsid w:val="0CE75800"/>
    <w:rsid w:val="0CF02600"/>
    <w:rsid w:val="0D002CE6"/>
    <w:rsid w:val="0D0527FE"/>
    <w:rsid w:val="0D162766"/>
    <w:rsid w:val="0D30615A"/>
    <w:rsid w:val="0D3E35C7"/>
    <w:rsid w:val="0D4A590E"/>
    <w:rsid w:val="0D4C5E85"/>
    <w:rsid w:val="0D50445B"/>
    <w:rsid w:val="0D7807F1"/>
    <w:rsid w:val="0D895A46"/>
    <w:rsid w:val="0D9B67EB"/>
    <w:rsid w:val="0DA45AD2"/>
    <w:rsid w:val="0DE86CEC"/>
    <w:rsid w:val="0E057004"/>
    <w:rsid w:val="0E0A51BD"/>
    <w:rsid w:val="0E141CA7"/>
    <w:rsid w:val="0E1D6D0A"/>
    <w:rsid w:val="0E386D2E"/>
    <w:rsid w:val="0E3D1DE5"/>
    <w:rsid w:val="0E442D5B"/>
    <w:rsid w:val="0E4C71E5"/>
    <w:rsid w:val="0E4E7B59"/>
    <w:rsid w:val="0E6E5960"/>
    <w:rsid w:val="0EAB7B80"/>
    <w:rsid w:val="0EAE4301"/>
    <w:rsid w:val="0ED27024"/>
    <w:rsid w:val="0ED94F19"/>
    <w:rsid w:val="0EDC5EDB"/>
    <w:rsid w:val="0F0A381F"/>
    <w:rsid w:val="0F1B0DB7"/>
    <w:rsid w:val="0F3225D5"/>
    <w:rsid w:val="0F3425BB"/>
    <w:rsid w:val="0F5A5FCA"/>
    <w:rsid w:val="0F6C7EA7"/>
    <w:rsid w:val="0FA03F81"/>
    <w:rsid w:val="0FC5121F"/>
    <w:rsid w:val="0FC52200"/>
    <w:rsid w:val="0FC57219"/>
    <w:rsid w:val="0FCD54FE"/>
    <w:rsid w:val="0FF11896"/>
    <w:rsid w:val="0FF743B8"/>
    <w:rsid w:val="104114BC"/>
    <w:rsid w:val="104F21E7"/>
    <w:rsid w:val="10522A43"/>
    <w:rsid w:val="105950B7"/>
    <w:rsid w:val="10681B45"/>
    <w:rsid w:val="10D545EB"/>
    <w:rsid w:val="10E51E7E"/>
    <w:rsid w:val="110045E6"/>
    <w:rsid w:val="1109548A"/>
    <w:rsid w:val="110E4212"/>
    <w:rsid w:val="11156035"/>
    <w:rsid w:val="111645D5"/>
    <w:rsid w:val="111F2499"/>
    <w:rsid w:val="11296D36"/>
    <w:rsid w:val="1146103D"/>
    <w:rsid w:val="116C7384"/>
    <w:rsid w:val="11AD3AEE"/>
    <w:rsid w:val="12305D0B"/>
    <w:rsid w:val="124B307E"/>
    <w:rsid w:val="12595354"/>
    <w:rsid w:val="12676ACE"/>
    <w:rsid w:val="128C79F5"/>
    <w:rsid w:val="128D4FDA"/>
    <w:rsid w:val="12987FD1"/>
    <w:rsid w:val="12D57C7C"/>
    <w:rsid w:val="12DE2F04"/>
    <w:rsid w:val="12F453F7"/>
    <w:rsid w:val="13455B8A"/>
    <w:rsid w:val="13505056"/>
    <w:rsid w:val="135A65CD"/>
    <w:rsid w:val="13681291"/>
    <w:rsid w:val="139A72A6"/>
    <w:rsid w:val="13D75C16"/>
    <w:rsid w:val="141A71FC"/>
    <w:rsid w:val="14393E39"/>
    <w:rsid w:val="1439492C"/>
    <w:rsid w:val="144E282E"/>
    <w:rsid w:val="1470289E"/>
    <w:rsid w:val="148B16AC"/>
    <w:rsid w:val="14905D77"/>
    <w:rsid w:val="14C13D98"/>
    <w:rsid w:val="14C818C6"/>
    <w:rsid w:val="14D134B5"/>
    <w:rsid w:val="14D17473"/>
    <w:rsid w:val="14D2285A"/>
    <w:rsid w:val="14F848F0"/>
    <w:rsid w:val="152D2F19"/>
    <w:rsid w:val="15301894"/>
    <w:rsid w:val="1533008F"/>
    <w:rsid w:val="153D3401"/>
    <w:rsid w:val="155142E7"/>
    <w:rsid w:val="15855A36"/>
    <w:rsid w:val="158E06A1"/>
    <w:rsid w:val="15932B1E"/>
    <w:rsid w:val="15AF36C0"/>
    <w:rsid w:val="15CA175D"/>
    <w:rsid w:val="15D73E4B"/>
    <w:rsid w:val="15EE7CEF"/>
    <w:rsid w:val="160D691C"/>
    <w:rsid w:val="16333435"/>
    <w:rsid w:val="16391530"/>
    <w:rsid w:val="16550678"/>
    <w:rsid w:val="166C136C"/>
    <w:rsid w:val="168C0198"/>
    <w:rsid w:val="16A26C34"/>
    <w:rsid w:val="16C6539F"/>
    <w:rsid w:val="16C83962"/>
    <w:rsid w:val="16ED23AA"/>
    <w:rsid w:val="17195883"/>
    <w:rsid w:val="171C7C67"/>
    <w:rsid w:val="1739233D"/>
    <w:rsid w:val="173E2364"/>
    <w:rsid w:val="173E4E07"/>
    <w:rsid w:val="1761710C"/>
    <w:rsid w:val="17666BDC"/>
    <w:rsid w:val="17812612"/>
    <w:rsid w:val="1789592C"/>
    <w:rsid w:val="17933C9F"/>
    <w:rsid w:val="17B13E29"/>
    <w:rsid w:val="17D67A38"/>
    <w:rsid w:val="17DB1463"/>
    <w:rsid w:val="17E97C5D"/>
    <w:rsid w:val="17ED5B45"/>
    <w:rsid w:val="17F03744"/>
    <w:rsid w:val="1810332E"/>
    <w:rsid w:val="1822777B"/>
    <w:rsid w:val="18260DD1"/>
    <w:rsid w:val="182656C2"/>
    <w:rsid w:val="182E7A85"/>
    <w:rsid w:val="18303541"/>
    <w:rsid w:val="183735E3"/>
    <w:rsid w:val="18485D36"/>
    <w:rsid w:val="185F0A82"/>
    <w:rsid w:val="18744310"/>
    <w:rsid w:val="189F530B"/>
    <w:rsid w:val="18A12DFD"/>
    <w:rsid w:val="18A922F3"/>
    <w:rsid w:val="18B137E8"/>
    <w:rsid w:val="18CC2C20"/>
    <w:rsid w:val="18D27683"/>
    <w:rsid w:val="18D46399"/>
    <w:rsid w:val="18F56002"/>
    <w:rsid w:val="192F50C9"/>
    <w:rsid w:val="19633F03"/>
    <w:rsid w:val="196F047E"/>
    <w:rsid w:val="19943641"/>
    <w:rsid w:val="199E02FC"/>
    <w:rsid w:val="19B43E3C"/>
    <w:rsid w:val="19BA1CE3"/>
    <w:rsid w:val="19DF55C2"/>
    <w:rsid w:val="19E41416"/>
    <w:rsid w:val="19F65AAF"/>
    <w:rsid w:val="1A0C61A8"/>
    <w:rsid w:val="1A132F57"/>
    <w:rsid w:val="1A300E03"/>
    <w:rsid w:val="1A5F760F"/>
    <w:rsid w:val="1A6F3E95"/>
    <w:rsid w:val="1A6F6E85"/>
    <w:rsid w:val="1AD22ED2"/>
    <w:rsid w:val="1AD51B88"/>
    <w:rsid w:val="1B2058A0"/>
    <w:rsid w:val="1B566A66"/>
    <w:rsid w:val="1B7C684B"/>
    <w:rsid w:val="1B8565CF"/>
    <w:rsid w:val="1B9104B0"/>
    <w:rsid w:val="1BA96293"/>
    <w:rsid w:val="1BAC363D"/>
    <w:rsid w:val="1BD60F79"/>
    <w:rsid w:val="1C0C60A0"/>
    <w:rsid w:val="1C261B3D"/>
    <w:rsid w:val="1C2A710A"/>
    <w:rsid w:val="1C41527E"/>
    <w:rsid w:val="1C49412F"/>
    <w:rsid w:val="1C4D3DCD"/>
    <w:rsid w:val="1C4F5FC4"/>
    <w:rsid w:val="1C64078D"/>
    <w:rsid w:val="1C81524F"/>
    <w:rsid w:val="1C85387B"/>
    <w:rsid w:val="1CA121A3"/>
    <w:rsid w:val="1CDF257F"/>
    <w:rsid w:val="1CE40841"/>
    <w:rsid w:val="1CF405AE"/>
    <w:rsid w:val="1CFB22F4"/>
    <w:rsid w:val="1D014450"/>
    <w:rsid w:val="1D2A2C86"/>
    <w:rsid w:val="1D2A6659"/>
    <w:rsid w:val="1D41310E"/>
    <w:rsid w:val="1D426DC5"/>
    <w:rsid w:val="1D4377C2"/>
    <w:rsid w:val="1D54682E"/>
    <w:rsid w:val="1D5605D9"/>
    <w:rsid w:val="1D575B51"/>
    <w:rsid w:val="1D83301E"/>
    <w:rsid w:val="1D836FC7"/>
    <w:rsid w:val="1D946672"/>
    <w:rsid w:val="1D956BB8"/>
    <w:rsid w:val="1D9F4A19"/>
    <w:rsid w:val="1DA05599"/>
    <w:rsid w:val="1DAB519B"/>
    <w:rsid w:val="1DC65420"/>
    <w:rsid w:val="1DC94DC3"/>
    <w:rsid w:val="1DD04ECF"/>
    <w:rsid w:val="1E0649A4"/>
    <w:rsid w:val="1E144E53"/>
    <w:rsid w:val="1E474E6F"/>
    <w:rsid w:val="1E496F6F"/>
    <w:rsid w:val="1E6843C7"/>
    <w:rsid w:val="1E8C3876"/>
    <w:rsid w:val="1EA60FCA"/>
    <w:rsid w:val="1EA87417"/>
    <w:rsid w:val="1ED70A99"/>
    <w:rsid w:val="1F35766F"/>
    <w:rsid w:val="1F505D2D"/>
    <w:rsid w:val="1F65672E"/>
    <w:rsid w:val="1F6B4880"/>
    <w:rsid w:val="1F6D18D3"/>
    <w:rsid w:val="1F7222CF"/>
    <w:rsid w:val="1F855EC8"/>
    <w:rsid w:val="1F865B87"/>
    <w:rsid w:val="1F8D0E35"/>
    <w:rsid w:val="1F9965A9"/>
    <w:rsid w:val="1FB611E4"/>
    <w:rsid w:val="1FBA2E91"/>
    <w:rsid w:val="1FC02D54"/>
    <w:rsid w:val="1FD6494D"/>
    <w:rsid w:val="1FD92D82"/>
    <w:rsid w:val="1FEE1F52"/>
    <w:rsid w:val="20316A7A"/>
    <w:rsid w:val="207471CF"/>
    <w:rsid w:val="20950348"/>
    <w:rsid w:val="20981E88"/>
    <w:rsid w:val="20A06A24"/>
    <w:rsid w:val="20A10137"/>
    <w:rsid w:val="20A76189"/>
    <w:rsid w:val="20B97750"/>
    <w:rsid w:val="20BD2343"/>
    <w:rsid w:val="20C125E5"/>
    <w:rsid w:val="20F77EBA"/>
    <w:rsid w:val="20FE0571"/>
    <w:rsid w:val="21040EE9"/>
    <w:rsid w:val="212265F7"/>
    <w:rsid w:val="2127556D"/>
    <w:rsid w:val="212F48FD"/>
    <w:rsid w:val="21592DC8"/>
    <w:rsid w:val="216135E4"/>
    <w:rsid w:val="21A31861"/>
    <w:rsid w:val="21B23C30"/>
    <w:rsid w:val="21D5663A"/>
    <w:rsid w:val="21EB1823"/>
    <w:rsid w:val="21FF37BF"/>
    <w:rsid w:val="220D5F91"/>
    <w:rsid w:val="220F017A"/>
    <w:rsid w:val="223D6488"/>
    <w:rsid w:val="224F423C"/>
    <w:rsid w:val="227710AB"/>
    <w:rsid w:val="229B4E78"/>
    <w:rsid w:val="22C77F82"/>
    <w:rsid w:val="22E50F21"/>
    <w:rsid w:val="22F562BD"/>
    <w:rsid w:val="23054BAA"/>
    <w:rsid w:val="23094F3C"/>
    <w:rsid w:val="231C3AC6"/>
    <w:rsid w:val="23261385"/>
    <w:rsid w:val="233970A1"/>
    <w:rsid w:val="23417687"/>
    <w:rsid w:val="2390118C"/>
    <w:rsid w:val="23A33225"/>
    <w:rsid w:val="23A3458B"/>
    <w:rsid w:val="23A83880"/>
    <w:rsid w:val="23AC3B0D"/>
    <w:rsid w:val="23AC7B00"/>
    <w:rsid w:val="23AE3EA4"/>
    <w:rsid w:val="23BD797B"/>
    <w:rsid w:val="23CC13DF"/>
    <w:rsid w:val="23CD435D"/>
    <w:rsid w:val="241374BB"/>
    <w:rsid w:val="24210897"/>
    <w:rsid w:val="242E0AC8"/>
    <w:rsid w:val="24312B20"/>
    <w:rsid w:val="24474E0A"/>
    <w:rsid w:val="244E4AD0"/>
    <w:rsid w:val="246B4679"/>
    <w:rsid w:val="248A767B"/>
    <w:rsid w:val="24980980"/>
    <w:rsid w:val="249900C5"/>
    <w:rsid w:val="24BF7D42"/>
    <w:rsid w:val="255D2F2A"/>
    <w:rsid w:val="256C5A3D"/>
    <w:rsid w:val="257963F1"/>
    <w:rsid w:val="257D2B89"/>
    <w:rsid w:val="25A7402B"/>
    <w:rsid w:val="25D966A6"/>
    <w:rsid w:val="25FE15DC"/>
    <w:rsid w:val="26653EC4"/>
    <w:rsid w:val="26806C09"/>
    <w:rsid w:val="26863962"/>
    <w:rsid w:val="268F15B2"/>
    <w:rsid w:val="26983FA4"/>
    <w:rsid w:val="26FA6E39"/>
    <w:rsid w:val="271E4603"/>
    <w:rsid w:val="27264DFC"/>
    <w:rsid w:val="272A0710"/>
    <w:rsid w:val="27555997"/>
    <w:rsid w:val="276E4B45"/>
    <w:rsid w:val="277E0E1B"/>
    <w:rsid w:val="27C13C20"/>
    <w:rsid w:val="27E47883"/>
    <w:rsid w:val="2807271F"/>
    <w:rsid w:val="28120519"/>
    <w:rsid w:val="281327C3"/>
    <w:rsid w:val="28195AAE"/>
    <w:rsid w:val="28323569"/>
    <w:rsid w:val="28326E12"/>
    <w:rsid w:val="28464DE6"/>
    <w:rsid w:val="28504863"/>
    <w:rsid w:val="28674296"/>
    <w:rsid w:val="287013AF"/>
    <w:rsid w:val="28934004"/>
    <w:rsid w:val="28943CBF"/>
    <w:rsid w:val="28E96526"/>
    <w:rsid w:val="28F77A34"/>
    <w:rsid w:val="28FB2B17"/>
    <w:rsid w:val="29213FAC"/>
    <w:rsid w:val="294019F3"/>
    <w:rsid w:val="295C30A0"/>
    <w:rsid w:val="295F6F3A"/>
    <w:rsid w:val="2978542E"/>
    <w:rsid w:val="298168E8"/>
    <w:rsid w:val="29880DC9"/>
    <w:rsid w:val="299658C8"/>
    <w:rsid w:val="29A10828"/>
    <w:rsid w:val="29C50711"/>
    <w:rsid w:val="29C74336"/>
    <w:rsid w:val="29CB4052"/>
    <w:rsid w:val="29FF6BE7"/>
    <w:rsid w:val="2A0C4705"/>
    <w:rsid w:val="2A104C01"/>
    <w:rsid w:val="2A2219FF"/>
    <w:rsid w:val="2A2649D3"/>
    <w:rsid w:val="2A2F0453"/>
    <w:rsid w:val="2A375CB0"/>
    <w:rsid w:val="2A4F7A8E"/>
    <w:rsid w:val="2A5C693A"/>
    <w:rsid w:val="2A7C052B"/>
    <w:rsid w:val="2A901D0A"/>
    <w:rsid w:val="2A9D1044"/>
    <w:rsid w:val="2AA14EFF"/>
    <w:rsid w:val="2AC52B69"/>
    <w:rsid w:val="2AE42B9F"/>
    <w:rsid w:val="2AEC2863"/>
    <w:rsid w:val="2AFA4FF0"/>
    <w:rsid w:val="2AFF35D3"/>
    <w:rsid w:val="2B051C0D"/>
    <w:rsid w:val="2B0969B2"/>
    <w:rsid w:val="2B0A651F"/>
    <w:rsid w:val="2B132D50"/>
    <w:rsid w:val="2B4604CF"/>
    <w:rsid w:val="2B6076B4"/>
    <w:rsid w:val="2B617D56"/>
    <w:rsid w:val="2B631EFF"/>
    <w:rsid w:val="2B6E542D"/>
    <w:rsid w:val="2B7A4E9F"/>
    <w:rsid w:val="2BAC408F"/>
    <w:rsid w:val="2BDD0A2E"/>
    <w:rsid w:val="2BEB27E3"/>
    <w:rsid w:val="2BEB2E9D"/>
    <w:rsid w:val="2BF61207"/>
    <w:rsid w:val="2C1713D1"/>
    <w:rsid w:val="2C2E6F83"/>
    <w:rsid w:val="2C614C36"/>
    <w:rsid w:val="2C620007"/>
    <w:rsid w:val="2CA8063D"/>
    <w:rsid w:val="2CD367CC"/>
    <w:rsid w:val="2CDD2B9E"/>
    <w:rsid w:val="2D09394F"/>
    <w:rsid w:val="2D51298D"/>
    <w:rsid w:val="2D6345E9"/>
    <w:rsid w:val="2D771E60"/>
    <w:rsid w:val="2D7E4209"/>
    <w:rsid w:val="2D9B288E"/>
    <w:rsid w:val="2DBD42B5"/>
    <w:rsid w:val="2DBF4D18"/>
    <w:rsid w:val="2DCB5DC1"/>
    <w:rsid w:val="2DCE5309"/>
    <w:rsid w:val="2DE2242A"/>
    <w:rsid w:val="2DF73844"/>
    <w:rsid w:val="2E174784"/>
    <w:rsid w:val="2E3C4F0E"/>
    <w:rsid w:val="2E4225F7"/>
    <w:rsid w:val="2E463849"/>
    <w:rsid w:val="2E5A5340"/>
    <w:rsid w:val="2E6E73D5"/>
    <w:rsid w:val="2E81141D"/>
    <w:rsid w:val="2E9A7ADA"/>
    <w:rsid w:val="2EC2396D"/>
    <w:rsid w:val="2EF80558"/>
    <w:rsid w:val="2F1B0798"/>
    <w:rsid w:val="2F4F0438"/>
    <w:rsid w:val="2F506BFB"/>
    <w:rsid w:val="2F684205"/>
    <w:rsid w:val="2F7E2CC0"/>
    <w:rsid w:val="2F871ABC"/>
    <w:rsid w:val="2F893F95"/>
    <w:rsid w:val="2F921764"/>
    <w:rsid w:val="2F98405A"/>
    <w:rsid w:val="2FAF32EB"/>
    <w:rsid w:val="2FD11EB8"/>
    <w:rsid w:val="2FE1749B"/>
    <w:rsid w:val="303606F3"/>
    <w:rsid w:val="303D5772"/>
    <w:rsid w:val="303E2207"/>
    <w:rsid w:val="30533443"/>
    <w:rsid w:val="306E40F7"/>
    <w:rsid w:val="306F4499"/>
    <w:rsid w:val="30B15581"/>
    <w:rsid w:val="30B93848"/>
    <w:rsid w:val="30BB37BA"/>
    <w:rsid w:val="30BE1DE8"/>
    <w:rsid w:val="3104700A"/>
    <w:rsid w:val="310C164E"/>
    <w:rsid w:val="31253510"/>
    <w:rsid w:val="313177AD"/>
    <w:rsid w:val="31341EAD"/>
    <w:rsid w:val="313712DD"/>
    <w:rsid w:val="31423CC5"/>
    <w:rsid w:val="3157256E"/>
    <w:rsid w:val="3160159B"/>
    <w:rsid w:val="316102EA"/>
    <w:rsid w:val="31665B97"/>
    <w:rsid w:val="31711EF3"/>
    <w:rsid w:val="31854B7E"/>
    <w:rsid w:val="31CE18A7"/>
    <w:rsid w:val="31E86EE4"/>
    <w:rsid w:val="31F00167"/>
    <w:rsid w:val="31FD6157"/>
    <w:rsid w:val="32171B71"/>
    <w:rsid w:val="322B53E9"/>
    <w:rsid w:val="32915ABA"/>
    <w:rsid w:val="329C1497"/>
    <w:rsid w:val="32D72576"/>
    <w:rsid w:val="32D93319"/>
    <w:rsid w:val="32E04086"/>
    <w:rsid w:val="32F96A45"/>
    <w:rsid w:val="330D0307"/>
    <w:rsid w:val="331D384C"/>
    <w:rsid w:val="332C3D97"/>
    <w:rsid w:val="3360351F"/>
    <w:rsid w:val="33620CB2"/>
    <w:rsid w:val="33777078"/>
    <w:rsid w:val="33B17CDB"/>
    <w:rsid w:val="33E04B57"/>
    <w:rsid w:val="33FA7456"/>
    <w:rsid w:val="34024883"/>
    <w:rsid w:val="342C6E98"/>
    <w:rsid w:val="344F7140"/>
    <w:rsid w:val="345754B6"/>
    <w:rsid w:val="34714E70"/>
    <w:rsid w:val="34755DB1"/>
    <w:rsid w:val="34935876"/>
    <w:rsid w:val="349E0FB2"/>
    <w:rsid w:val="34A96A1A"/>
    <w:rsid w:val="34B370D1"/>
    <w:rsid w:val="34CA52FD"/>
    <w:rsid w:val="34E622D6"/>
    <w:rsid w:val="34EF79C9"/>
    <w:rsid w:val="35073B82"/>
    <w:rsid w:val="3518700F"/>
    <w:rsid w:val="352F2FF3"/>
    <w:rsid w:val="35375748"/>
    <w:rsid w:val="35486C73"/>
    <w:rsid w:val="359E09BB"/>
    <w:rsid w:val="361A4DE1"/>
    <w:rsid w:val="361F592F"/>
    <w:rsid w:val="362F79EA"/>
    <w:rsid w:val="36516B14"/>
    <w:rsid w:val="36556C85"/>
    <w:rsid w:val="365B1C96"/>
    <w:rsid w:val="36603459"/>
    <w:rsid w:val="366D2C19"/>
    <w:rsid w:val="3675230B"/>
    <w:rsid w:val="36766F5C"/>
    <w:rsid w:val="36777C43"/>
    <w:rsid w:val="367E7A3F"/>
    <w:rsid w:val="36C1347A"/>
    <w:rsid w:val="36C31B41"/>
    <w:rsid w:val="36C532A1"/>
    <w:rsid w:val="36CE234D"/>
    <w:rsid w:val="36D347D3"/>
    <w:rsid w:val="36DA50A9"/>
    <w:rsid w:val="36F46372"/>
    <w:rsid w:val="372F4949"/>
    <w:rsid w:val="3736228A"/>
    <w:rsid w:val="37671725"/>
    <w:rsid w:val="376F122C"/>
    <w:rsid w:val="3798526A"/>
    <w:rsid w:val="37B72EB1"/>
    <w:rsid w:val="37C1607A"/>
    <w:rsid w:val="37C42A0D"/>
    <w:rsid w:val="37C806F3"/>
    <w:rsid w:val="37C85C3C"/>
    <w:rsid w:val="37CF1603"/>
    <w:rsid w:val="38585500"/>
    <w:rsid w:val="385D1C71"/>
    <w:rsid w:val="386038B3"/>
    <w:rsid w:val="38684A38"/>
    <w:rsid w:val="388E1434"/>
    <w:rsid w:val="38BA5460"/>
    <w:rsid w:val="38BE1F87"/>
    <w:rsid w:val="38C62FF5"/>
    <w:rsid w:val="38CB7543"/>
    <w:rsid w:val="38D62476"/>
    <w:rsid w:val="38E27127"/>
    <w:rsid w:val="39027E88"/>
    <w:rsid w:val="39075875"/>
    <w:rsid w:val="391904A1"/>
    <w:rsid w:val="391C718D"/>
    <w:rsid w:val="394D30B0"/>
    <w:rsid w:val="394F6067"/>
    <w:rsid w:val="39587411"/>
    <w:rsid w:val="39624091"/>
    <w:rsid w:val="397C6037"/>
    <w:rsid w:val="39902BAA"/>
    <w:rsid w:val="39D43B66"/>
    <w:rsid w:val="39EC03FA"/>
    <w:rsid w:val="39ED5382"/>
    <w:rsid w:val="3A1D058F"/>
    <w:rsid w:val="3A1E303B"/>
    <w:rsid w:val="3A1F74C9"/>
    <w:rsid w:val="3A2A1F54"/>
    <w:rsid w:val="3A2D40D1"/>
    <w:rsid w:val="3A314B02"/>
    <w:rsid w:val="3A5C2602"/>
    <w:rsid w:val="3A79657B"/>
    <w:rsid w:val="3A8B77C7"/>
    <w:rsid w:val="3A8F7DE5"/>
    <w:rsid w:val="3A9A32EA"/>
    <w:rsid w:val="3ACD391F"/>
    <w:rsid w:val="3B026D00"/>
    <w:rsid w:val="3B1471CB"/>
    <w:rsid w:val="3B441EA8"/>
    <w:rsid w:val="3B5F2B46"/>
    <w:rsid w:val="3B655681"/>
    <w:rsid w:val="3B6C4553"/>
    <w:rsid w:val="3B6F3ABC"/>
    <w:rsid w:val="3B7527F4"/>
    <w:rsid w:val="3B894EE4"/>
    <w:rsid w:val="3BAA143A"/>
    <w:rsid w:val="3BAC7D85"/>
    <w:rsid w:val="3BC378A6"/>
    <w:rsid w:val="3BDC08FD"/>
    <w:rsid w:val="3BE42ECD"/>
    <w:rsid w:val="3BFE1CAB"/>
    <w:rsid w:val="3C10260E"/>
    <w:rsid w:val="3C274A05"/>
    <w:rsid w:val="3C2D6326"/>
    <w:rsid w:val="3C43437F"/>
    <w:rsid w:val="3C4F746D"/>
    <w:rsid w:val="3C6A66D6"/>
    <w:rsid w:val="3C7511AE"/>
    <w:rsid w:val="3CA977D2"/>
    <w:rsid w:val="3CBF0958"/>
    <w:rsid w:val="3CC733AF"/>
    <w:rsid w:val="3CCB1880"/>
    <w:rsid w:val="3CD72551"/>
    <w:rsid w:val="3CF76813"/>
    <w:rsid w:val="3CFC6063"/>
    <w:rsid w:val="3D1319B5"/>
    <w:rsid w:val="3D260CA6"/>
    <w:rsid w:val="3D29736B"/>
    <w:rsid w:val="3D520CCB"/>
    <w:rsid w:val="3D5C6974"/>
    <w:rsid w:val="3D6678B0"/>
    <w:rsid w:val="3D772181"/>
    <w:rsid w:val="3D823D30"/>
    <w:rsid w:val="3DCE6FB3"/>
    <w:rsid w:val="3DD16176"/>
    <w:rsid w:val="3E104E3F"/>
    <w:rsid w:val="3E1D6E9C"/>
    <w:rsid w:val="3E4A1BED"/>
    <w:rsid w:val="3E662345"/>
    <w:rsid w:val="3E82228B"/>
    <w:rsid w:val="3E8242C1"/>
    <w:rsid w:val="3EB33AF3"/>
    <w:rsid w:val="3EBE0C1E"/>
    <w:rsid w:val="3EED4ECE"/>
    <w:rsid w:val="3EFD0DF6"/>
    <w:rsid w:val="3EFE49C6"/>
    <w:rsid w:val="3F0A5B5C"/>
    <w:rsid w:val="3F1A0890"/>
    <w:rsid w:val="3F3F5846"/>
    <w:rsid w:val="3F71500B"/>
    <w:rsid w:val="3F7B33F8"/>
    <w:rsid w:val="3F801023"/>
    <w:rsid w:val="3F8064EB"/>
    <w:rsid w:val="3F950FB5"/>
    <w:rsid w:val="3F982DCA"/>
    <w:rsid w:val="3FCB5632"/>
    <w:rsid w:val="3FD12D26"/>
    <w:rsid w:val="3FDE4917"/>
    <w:rsid w:val="3FE2412F"/>
    <w:rsid w:val="402F3ADF"/>
    <w:rsid w:val="40306F5A"/>
    <w:rsid w:val="40476BB3"/>
    <w:rsid w:val="40546FB6"/>
    <w:rsid w:val="40554803"/>
    <w:rsid w:val="407A60D5"/>
    <w:rsid w:val="407D4F24"/>
    <w:rsid w:val="40961808"/>
    <w:rsid w:val="40AB4DEE"/>
    <w:rsid w:val="40D24BBE"/>
    <w:rsid w:val="40DD06B4"/>
    <w:rsid w:val="40EC4043"/>
    <w:rsid w:val="410760C5"/>
    <w:rsid w:val="41166469"/>
    <w:rsid w:val="412008E0"/>
    <w:rsid w:val="413A6D3B"/>
    <w:rsid w:val="414D0855"/>
    <w:rsid w:val="41515AC7"/>
    <w:rsid w:val="41902B9F"/>
    <w:rsid w:val="41C02331"/>
    <w:rsid w:val="41C13A63"/>
    <w:rsid w:val="41C67037"/>
    <w:rsid w:val="41D229E1"/>
    <w:rsid w:val="41EC6E94"/>
    <w:rsid w:val="41F72149"/>
    <w:rsid w:val="4228585D"/>
    <w:rsid w:val="42391559"/>
    <w:rsid w:val="42415ACC"/>
    <w:rsid w:val="427D539F"/>
    <w:rsid w:val="42857881"/>
    <w:rsid w:val="42991E30"/>
    <w:rsid w:val="42CC19F4"/>
    <w:rsid w:val="42CE0B28"/>
    <w:rsid w:val="42CF6367"/>
    <w:rsid w:val="42D36FBC"/>
    <w:rsid w:val="42DE1CCC"/>
    <w:rsid w:val="4308546B"/>
    <w:rsid w:val="43263445"/>
    <w:rsid w:val="434157E3"/>
    <w:rsid w:val="43494860"/>
    <w:rsid w:val="434D380E"/>
    <w:rsid w:val="43866A2E"/>
    <w:rsid w:val="43934189"/>
    <w:rsid w:val="439D4850"/>
    <w:rsid w:val="43C27232"/>
    <w:rsid w:val="43ED069F"/>
    <w:rsid w:val="441D5860"/>
    <w:rsid w:val="442A6E5A"/>
    <w:rsid w:val="44356E29"/>
    <w:rsid w:val="445C4B8F"/>
    <w:rsid w:val="447C2A1B"/>
    <w:rsid w:val="447F5CBE"/>
    <w:rsid w:val="44833851"/>
    <w:rsid w:val="44982752"/>
    <w:rsid w:val="44BF6F86"/>
    <w:rsid w:val="44C45031"/>
    <w:rsid w:val="44D53AB2"/>
    <w:rsid w:val="44DA00B4"/>
    <w:rsid w:val="44F27B0D"/>
    <w:rsid w:val="45151583"/>
    <w:rsid w:val="45174CA4"/>
    <w:rsid w:val="45485BDE"/>
    <w:rsid w:val="457D4A3F"/>
    <w:rsid w:val="458571EC"/>
    <w:rsid w:val="45945C30"/>
    <w:rsid w:val="459F2306"/>
    <w:rsid w:val="45A832FE"/>
    <w:rsid w:val="45AB6174"/>
    <w:rsid w:val="45BA63E5"/>
    <w:rsid w:val="45CC5EDC"/>
    <w:rsid w:val="45E40376"/>
    <w:rsid w:val="45F73D47"/>
    <w:rsid w:val="462D2575"/>
    <w:rsid w:val="46467FD8"/>
    <w:rsid w:val="46601D33"/>
    <w:rsid w:val="4666746C"/>
    <w:rsid w:val="466D42C1"/>
    <w:rsid w:val="467505FA"/>
    <w:rsid w:val="467B6008"/>
    <w:rsid w:val="468720BA"/>
    <w:rsid w:val="46895AFC"/>
    <w:rsid w:val="468E6A9E"/>
    <w:rsid w:val="46BC623F"/>
    <w:rsid w:val="46D855B9"/>
    <w:rsid w:val="470D2C74"/>
    <w:rsid w:val="47176AEE"/>
    <w:rsid w:val="47236E19"/>
    <w:rsid w:val="477570F1"/>
    <w:rsid w:val="47AD33FA"/>
    <w:rsid w:val="47B41AAA"/>
    <w:rsid w:val="47B93532"/>
    <w:rsid w:val="47CD38AD"/>
    <w:rsid w:val="47DB16D8"/>
    <w:rsid w:val="481726F3"/>
    <w:rsid w:val="48416760"/>
    <w:rsid w:val="48466F81"/>
    <w:rsid w:val="484D02A2"/>
    <w:rsid w:val="486B647A"/>
    <w:rsid w:val="48896934"/>
    <w:rsid w:val="489B48B9"/>
    <w:rsid w:val="48C12AEC"/>
    <w:rsid w:val="48C779B9"/>
    <w:rsid w:val="48CB7F1F"/>
    <w:rsid w:val="48D072A1"/>
    <w:rsid w:val="48D1341D"/>
    <w:rsid w:val="48D63F90"/>
    <w:rsid w:val="48E0279A"/>
    <w:rsid w:val="48E64C8E"/>
    <w:rsid w:val="48FA7B87"/>
    <w:rsid w:val="49023E07"/>
    <w:rsid w:val="4919356E"/>
    <w:rsid w:val="492A7740"/>
    <w:rsid w:val="49300AA7"/>
    <w:rsid w:val="49391CB0"/>
    <w:rsid w:val="493C3A20"/>
    <w:rsid w:val="49401E21"/>
    <w:rsid w:val="49526EB9"/>
    <w:rsid w:val="49684311"/>
    <w:rsid w:val="496D00AD"/>
    <w:rsid w:val="49742114"/>
    <w:rsid w:val="49754CB4"/>
    <w:rsid w:val="49846293"/>
    <w:rsid w:val="49921F0F"/>
    <w:rsid w:val="49CE6B8E"/>
    <w:rsid w:val="49D6348B"/>
    <w:rsid w:val="49D72FF3"/>
    <w:rsid w:val="49E0102B"/>
    <w:rsid w:val="4A2945F2"/>
    <w:rsid w:val="4A615154"/>
    <w:rsid w:val="4A96607C"/>
    <w:rsid w:val="4AA91ED6"/>
    <w:rsid w:val="4AB92E92"/>
    <w:rsid w:val="4B15685C"/>
    <w:rsid w:val="4B2134B8"/>
    <w:rsid w:val="4B24233C"/>
    <w:rsid w:val="4B330A0B"/>
    <w:rsid w:val="4B3756CC"/>
    <w:rsid w:val="4B5E55F9"/>
    <w:rsid w:val="4B685D82"/>
    <w:rsid w:val="4B7B4674"/>
    <w:rsid w:val="4B7C663B"/>
    <w:rsid w:val="4B812078"/>
    <w:rsid w:val="4BF71347"/>
    <w:rsid w:val="4BF97932"/>
    <w:rsid w:val="4C141E75"/>
    <w:rsid w:val="4C2A4039"/>
    <w:rsid w:val="4C47652E"/>
    <w:rsid w:val="4C736F36"/>
    <w:rsid w:val="4CAE60E3"/>
    <w:rsid w:val="4CEE1D13"/>
    <w:rsid w:val="4D032DA9"/>
    <w:rsid w:val="4D0C6DBE"/>
    <w:rsid w:val="4D25615C"/>
    <w:rsid w:val="4D36054D"/>
    <w:rsid w:val="4D41137F"/>
    <w:rsid w:val="4D4D3B7A"/>
    <w:rsid w:val="4D524AEA"/>
    <w:rsid w:val="4D5724F7"/>
    <w:rsid w:val="4D601141"/>
    <w:rsid w:val="4D757452"/>
    <w:rsid w:val="4D8C3F82"/>
    <w:rsid w:val="4D907123"/>
    <w:rsid w:val="4DBC14B8"/>
    <w:rsid w:val="4DCB3CAF"/>
    <w:rsid w:val="4DD175C0"/>
    <w:rsid w:val="4DE936C7"/>
    <w:rsid w:val="4DF23555"/>
    <w:rsid w:val="4E050D4C"/>
    <w:rsid w:val="4E06569E"/>
    <w:rsid w:val="4E093792"/>
    <w:rsid w:val="4E1D26B7"/>
    <w:rsid w:val="4E1D3A0D"/>
    <w:rsid w:val="4E1F052C"/>
    <w:rsid w:val="4E451D41"/>
    <w:rsid w:val="4E7A454C"/>
    <w:rsid w:val="4E820B4C"/>
    <w:rsid w:val="4E85341C"/>
    <w:rsid w:val="4E9B7B12"/>
    <w:rsid w:val="4EC47712"/>
    <w:rsid w:val="4EDC1CCF"/>
    <w:rsid w:val="4EDD3C61"/>
    <w:rsid w:val="4EF1457F"/>
    <w:rsid w:val="4F2C40A0"/>
    <w:rsid w:val="4F2F3B98"/>
    <w:rsid w:val="4F380B7A"/>
    <w:rsid w:val="4F424B82"/>
    <w:rsid w:val="4F4B0CB3"/>
    <w:rsid w:val="4F4F0EBF"/>
    <w:rsid w:val="4F586D8F"/>
    <w:rsid w:val="4F7F66C7"/>
    <w:rsid w:val="4F805408"/>
    <w:rsid w:val="4F8C4B40"/>
    <w:rsid w:val="4FAA5CD5"/>
    <w:rsid w:val="4FBD187E"/>
    <w:rsid w:val="4FC56067"/>
    <w:rsid w:val="4FD11AC0"/>
    <w:rsid w:val="4FEA4E33"/>
    <w:rsid w:val="502731AA"/>
    <w:rsid w:val="502F75EB"/>
    <w:rsid w:val="50400243"/>
    <w:rsid w:val="50494336"/>
    <w:rsid w:val="50784012"/>
    <w:rsid w:val="50813C12"/>
    <w:rsid w:val="5087463E"/>
    <w:rsid w:val="50A11680"/>
    <w:rsid w:val="50B77550"/>
    <w:rsid w:val="50C20823"/>
    <w:rsid w:val="50C773AE"/>
    <w:rsid w:val="50CD6602"/>
    <w:rsid w:val="50E6022F"/>
    <w:rsid w:val="50FB542D"/>
    <w:rsid w:val="510D0F23"/>
    <w:rsid w:val="51197B59"/>
    <w:rsid w:val="51615030"/>
    <w:rsid w:val="51627812"/>
    <w:rsid w:val="51B547F8"/>
    <w:rsid w:val="51C136D4"/>
    <w:rsid w:val="51D33F6D"/>
    <w:rsid w:val="51DB1448"/>
    <w:rsid w:val="52045DB4"/>
    <w:rsid w:val="522C275E"/>
    <w:rsid w:val="524C13A2"/>
    <w:rsid w:val="529000F6"/>
    <w:rsid w:val="529012A7"/>
    <w:rsid w:val="5296149A"/>
    <w:rsid w:val="52A65672"/>
    <w:rsid w:val="52BA4073"/>
    <w:rsid w:val="52CA2507"/>
    <w:rsid w:val="52CD7B31"/>
    <w:rsid w:val="52D32A37"/>
    <w:rsid w:val="52D576F4"/>
    <w:rsid w:val="52DF170A"/>
    <w:rsid w:val="52E25B6D"/>
    <w:rsid w:val="52F362FB"/>
    <w:rsid w:val="52F4161A"/>
    <w:rsid w:val="52F965A5"/>
    <w:rsid w:val="53081AD8"/>
    <w:rsid w:val="53235275"/>
    <w:rsid w:val="53240623"/>
    <w:rsid w:val="53321C03"/>
    <w:rsid w:val="533415F9"/>
    <w:rsid w:val="534823B8"/>
    <w:rsid w:val="535657D0"/>
    <w:rsid w:val="535868CC"/>
    <w:rsid w:val="53597EDB"/>
    <w:rsid w:val="538D066D"/>
    <w:rsid w:val="53934B1D"/>
    <w:rsid w:val="5394722C"/>
    <w:rsid w:val="53A2278E"/>
    <w:rsid w:val="53AF3629"/>
    <w:rsid w:val="53BB651B"/>
    <w:rsid w:val="53BF611E"/>
    <w:rsid w:val="53CB788B"/>
    <w:rsid w:val="53E32E36"/>
    <w:rsid w:val="54203B94"/>
    <w:rsid w:val="5424233E"/>
    <w:rsid w:val="542A3DC2"/>
    <w:rsid w:val="542C299E"/>
    <w:rsid w:val="543527D7"/>
    <w:rsid w:val="543642C1"/>
    <w:rsid w:val="5461235D"/>
    <w:rsid w:val="54667BA2"/>
    <w:rsid w:val="547E7555"/>
    <w:rsid w:val="54806F19"/>
    <w:rsid w:val="54A01FAE"/>
    <w:rsid w:val="54A478E7"/>
    <w:rsid w:val="54AC3148"/>
    <w:rsid w:val="54C0256E"/>
    <w:rsid w:val="54C334B7"/>
    <w:rsid w:val="54D4667D"/>
    <w:rsid w:val="54D55C56"/>
    <w:rsid w:val="54EC389B"/>
    <w:rsid w:val="54F03CED"/>
    <w:rsid w:val="54F847D9"/>
    <w:rsid w:val="55126190"/>
    <w:rsid w:val="55535699"/>
    <w:rsid w:val="555F3833"/>
    <w:rsid w:val="55667780"/>
    <w:rsid w:val="556E493A"/>
    <w:rsid w:val="55725F14"/>
    <w:rsid w:val="55941D63"/>
    <w:rsid w:val="559C0CE1"/>
    <w:rsid w:val="55A330A6"/>
    <w:rsid w:val="55B42D88"/>
    <w:rsid w:val="55D11119"/>
    <w:rsid w:val="55DB1F79"/>
    <w:rsid w:val="560A42BD"/>
    <w:rsid w:val="560C1D89"/>
    <w:rsid w:val="56353B20"/>
    <w:rsid w:val="563A6A4D"/>
    <w:rsid w:val="56443B98"/>
    <w:rsid w:val="56453A77"/>
    <w:rsid w:val="564E73F9"/>
    <w:rsid w:val="56757259"/>
    <w:rsid w:val="568B7EB7"/>
    <w:rsid w:val="56BC078F"/>
    <w:rsid w:val="56CB4BCB"/>
    <w:rsid w:val="56FB75FE"/>
    <w:rsid w:val="572F42F6"/>
    <w:rsid w:val="57391A95"/>
    <w:rsid w:val="573F3C9E"/>
    <w:rsid w:val="574028CB"/>
    <w:rsid w:val="574C52C4"/>
    <w:rsid w:val="57526FDB"/>
    <w:rsid w:val="57572F35"/>
    <w:rsid w:val="575B33A4"/>
    <w:rsid w:val="57674A5D"/>
    <w:rsid w:val="579775E1"/>
    <w:rsid w:val="57C90530"/>
    <w:rsid w:val="57CE0836"/>
    <w:rsid w:val="582F44F7"/>
    <w:rsid w:val="58315479"/>
    <w:rsid w:val="583F27F2"/>
    <w:rsid w:val="58455B6D"/>
    <w:rsid w:val="584D29B0"/>
    <w:rsid w:val="584F7C49"/>
    <w:rsid w:val="5888302C"/>
    <w:rsid w:val="5889129A"/>
    <w:rsid w:val="58A70AE5"/>
    <w:rsid w:val="58AD528C"/>
    <w:rsid w:val="58B31955"/>
    <w:rsid w:val="58BA45A1"/>
    <w:rsid w:val="592D2B40"/>
    <w:rsid w:val="594F6915"/>
    <w:rsid w:val="59737A65"/>
    <w:rsid w:val="59842DF4"/>
    <w:rsid w:val="59947CE9"/>
    <w:rsid w:val="59A0359A"/>
    <w:rsid w:val="59E52D9A"/>
    <w:rsid w:val="5A273F75"/>
    <w:rsid w:val="5A300449"/>
    <w:rsid w:val="5A482DEE"/>
    <w:rsid w:val="5A55295D"/>
    <w:rsid w:val="5A7E104A"/>
    <w:rsid w:val="5A8208A0"/>
    <w:rsid w:val="5A861FD5"/>
    <w:rsid w:val="5AE3253A"/>
    <w:rsid w:val="5AEA30C9"/>
    <w:rsid w:val="5AEA3475"/>
    <w:rsid w:val="5AF54C6B"/>
    <w:rsid w:val="5AF8444F"/>
    <w:rsid w:val="5B087B94"/>
    <w:rsid w:val="5B0C2FBE"/>
    <w:rsid w:val="5B0E3E89"/>
    <w:rsid w:val="5B124740"/>
    <w:rsid w:val="5B2174AE"/>
    <w:rsid w:val="5B31434D"/>
    <w:rsid w:val="5B326775"/>
    <w:rsid w:val="5B3F60FF"/>
    <w:rsid w:val="5B3F66E7"/>
    <w:rsid w:val="5B872AE6"/>
    <w:rsid w:val="5BA77753"/>
    <w:rsid w:val="5BB60E53"/>
    <w:rsid w:val="5BBF7838"/>
    <w:rsid w:val="5BC025EF"/>
    <w:rsid w:val="5C077640"/>
    <w:rsid w:val="5C0835E2"/>
    <w:rsid w:val="5C1203C7"/>
    <w:rsid w:val="5C1F35AE"/>
    <w:rsid w:val="5C3905BF"/>
    <w:rsid w:val="5C66397A"/>
    <w:rsid w:val="5C7349B6"/>
    <w:rsid w:val="5C824C05"/>
    <w:rsid w:val="5C8725EE"/>
    <w:rsid w:val="5CB0251A"/>
    <w:rsid w:val="5CB97030"/>
    <w:rsid w:val="5CC97332"/>
    <w:rsid w:val="5D073AE3"/>
    <w:rsid w:val="5D187049"/>
    <w:rsid w:val="5D1D2427"/>
    <w:rsid w:val="5D756277"/>
    <w:rsid w:val="5D760215"/>
    <w:rsid w:val="5D955FBD"/>
    <w:rsid w:val="5DA62524"/>
    <w:rsid w:val="5DAC3919"/>
    <w:rsid w:val="5DB36259"/>
    <w:rsid w:val="5DBB66B5"/>
    <w:rsid w:val="5DBD33B2"/>
    <w:rsid w:val="5DC223CB"/>
    <w:rsid w:val="5DF66637"/>
    <w:rsid w:val="5DFF6858"/>
    <w:rsid w:val="5E0F2B0E"/>
    <w:rsid w:val="5E185132"/>
    <w:rsid w:val="5E21523D"/>
    <w:rsid w:val="5E2A0167"/>
    <w:rsid w:val="5E5D68E8"/>
    <w:rsid w:val="5E802A96"/>
    <w:rsid w:val="5E9074FF"/>
    <w:rsid w:val="5EAD0273"/>
    <w:rsid w:val="5EAE1AF2"/>
    <w:rsid w:val="5EB62A77"/>
    <w:rsid w:val="5EB80355"/>
    <w:rsid w:val="5EBB2226"/>
    <w:rsid w:val="5EBE5F24"/>
    <w:rsid w:val="5EF07004"/>
    <w:rsid w:val="5F0E1E9A"/>
    <w:rsid w:val="5F860C23"/>
    <w:rsid w:val="5F967E89"/>
    <w:rsid w:val="5FC44411"/>
    <w:rsid w:val="5FE426E2"/>
    <w:rsid w:val="605C7AA6"/>
    <w:rsid w:val="605F132B"/>
    <w:rsid w:val="608510A4"/>
    <w:rsid w:val="608762FF"/>
    <w:rsid w:val="609E1C45"/>
    <w:rsid w:val="60B74397"/>
    <w:rsid w:val="60BD4FD1"/>
    <w:rsid w:val="60C23FA5"/>
    <w:rsid w:val="60D507D0"/>
    <w:rsid w:val="60E9405C"/>
    <w:rsid w:val="60EA1511"/>
    <w:rsid w:val="60EB6C34"/>
    <w:rsid w:val="60FD5C7B"/>
    <w:rsid w:val="610C1CA3"/>
    <w:rsid w:val="611A5FDA"/>
    <w:rsid w:val="613D7E7B"/>
    <w:rsid w:val="61425C7D"/>
    <w:rsid w:val="614A6FF5"/>
    <w:rsid w:val="616248B5"/>
    <w:rsid w:val="617162E9"/>
    <w:rsid w:val="61A52BAA"/>
    <w:rsid w:val="61CF1360"/>
    <w:rsid w:val="61E2391D"/>
    <w:rsid w:val="61FA0AE4"/>
    <w:rsid w:val="621D7EC3"/>
    <w:rsid w:val="62221C10"/>
    <w:rsid w:val="623438BB"/>
    <w:rsid w:val="62352B2C"/>
    <w:rsid w:val="624B10F0"/>
    <w:rsid w:val="624F3E48"/>
    <w:rsid w:val="62635981"/>
    <w:rsid w:val="629B140E"/>
    <w:rsid w:val="629B3E75"/>
    <w:rsid w:val="629B5D43"/>
    <w:rsid w:val="62A36D1F"/>
    <w:rsid w:val="62A40365"/>
    <w:rsid w:val="62A469A9"/>
    <w:rsid w:val="62A92FF1"/>
    <w:rsid w:val="62B90FFE"/>
    <w:rsid w:val="62E10186"/>
    <w:rsid w:val="62F6018D"/>
    <w:rsid w:val="63016E3A"/>
    <w:rsid w:val="63034141"/>
    <w:rsid w:val="63045E00"/>
    <w:rsid w:val="630A731B"/>
    <w:rsid w:val="63386B48"/>
    <w:rsid w:val="633A3FE7"/>
    <w:rsid w:val="63410B16"/>
    <w:rsid w:val="63562840"/>
    <w:rsid w:val="63576E12"/>
    <w:rsid w:val="637141EC"/>
    <w:rsid w:val="637C1FEE"/>
    <w:rsid w:val="63805B1F"/>
    <w:rsid w:val="63834973"/>
    <w:rsid w:val="638F3DC7"/>
    <w:rsid w:val="6397194C"/>
    <w:rsid w:val="63AB4D19"/>
    <w:rsid w:val="63C025E5"/>
    <w:rsid w:val="63DA4B5E"/>
    <w:rsid w:val="63DE2C24"/>
    <w:rsid w:val="64273E62"/>
    <w:rsid w:val="642E2892"/>
    <w:rsid w:val="643B736C"/>
    <w:rsid w:val="64AD7C37"/>
    <w:rsid w:val="64B0399F"/>
    <w:rsid w:val="64B05758"/>
    <w:rsid w:val="64BE4B0D"/>
    <w:rsid w:val="65075A96"/>
    <w:rsid w:val="650E600B"/>
    <w:rsid w:val="650F0C7B"/>
    <w:rsid w:val="651541F8"/>
    <w:rsid w:val="652B691A"/>
    <w:rsid w:val="65B221E6"/>
    <w:rsid w:val="65BB5F2E"/>
    <w:rsid w:val="65E939D5"/>
    <w:rsid w:val="66426031"/>
    <w:rsid w:val="66593B74"/>
    <w:rsid w:val="665D2DD8"/>
    <w:rsid w:val="66651C8A"/>
    <w:rsid w:val="66675176"/>
    <w:rsid w:val="669F2C65"/>
    <w:rsid w:val="66BE6B53"/>
    <w:rsid w:val="66C55FD8"/>
    <w:rsid w:val="66C96C89"/>
    <w:rsid w:val="66D333AF"/>
    <w:rsid w:val="67023742"/>
    <w:rsid w:val="67192A34"/>
    <w:rsid w:val="674A4927"/>
    <w:rsid w:val="67567872"/>
    <w:rsid w:val="677243C5"/>
    <w:rsid w:val="678568CD"/>
    <w:rsid w:val="67904A3A"/>
    <w:rsid w:val="67A24F14"/>
    <w:rsid w:val="67A86B0A"/>
    <w:rsid w:val="67BB4EAD"/>
    <w:rsid w:val="67E453F6"/>
    <w:rsid w:val="67F130F8"/>
    <w:rsid w:val="67F84AFE"/>
    <w:rsid w:val="680878A3"/>
    <w:rsid w:val="68340476"/>
    <w:rsid w:val="68366D6B"/>
    <w:rsid w:val="68375AD4"/>
    <w:rsid w:val="683870E8"/>
    <w:rsid w:val="68457681"/>
    <w:rsid w:val="684977D5"/>
    <w:rsid w:val="68552C50"/>
    <w:rsid w:val="685D34E7"/>
    <w:rsid w:val="686A1EFF"/>
    <w:rsid w:val="68A8123A"/>
    <w:rsid w:val="68B84F4C"/>
    <w:rsid w:val="68C82E78"/>
    <w:rsid w:val="68E8586D"/>
    <w:rsid w:val="69055229"/>
    <w:rsid w:val="6929374C"/>
    <w:rsid w:val="692F20BB"/>
    <w:rsid w:val="69784C3F"/>
    <w:rsid w:val="698239B8"/>
    <w:rsid w:val="69B87D3A"/>
    <w:rsid w:val="69C1095D"/>
    <w:rsid w:val="6A0138F7"/>
    <w:rsid w:val="6A1E155A"/>
    <w:rsid w:val="6A7B5447"/>
    <w:rsid w:val="6A81713B"/>
    <w:rsid w:val="6ADB012D"/>
    <w:rsid w:val="6AE3748E"/>
    <w:rsid w:val="6AF53FAE"/>
    <w:rsid w:val="6B0416B5"/>
    <w:rsid w:val="6B1C3EC6"/>
    <w:rsid w:val="6B2E1575"/>
    <w:rsid w:val="6B3F4C28"/>
    <w:rsid w:val="6B574638"/>
    <w:rsid w:val="6B5F5B98"/>
    <w:rsid w:val="6B615C8D"/>
    <w:rsid w:val="6B644682"/>
    <w:rsid w:val="6B67068F"/>
    <w:rsid w:val="6B6E2E8D"/>
    <w:rsid w:val="6B977A86"/>
    <w:rsid w:val="6BAB6FBB"/>
    <w:rsid w:val="6BB568D4"/>
    <w:rsid w:val="6BDF720E"/>
    <w:rsid w:val="6BDF79C7"/>
    <w:rsid w:val="6BE146ED"/>
    <w:rsid w:val="6C0B074D"/>
    <w:rsid w:val="6C1458EF"/>
    <w:rsid w:val="6C231806"/>
    <w:rsid w:val="6C275F8B"/>
    <w:rsid w:val="6C2C76C9"/>
    <w:rsid w:val="6C3B15FF"/>
    <w:rsid w:val="6C3B431E"/>
    <w:rsid w:val="6C3E5116"/>
    <w:rsid w:val="6C4A65DC"/>
    <w:rsid w:val="6C725FD7"/>
    <w:rsid w:val="6C8379F5"/>
    <w:rsid w:val="6C852D02"/>
    <w:rsid w:val="6CCC72EC"/>
    <w:rsid w:val="6CEA2C90"/>
    <w:rsid w:val="6CFA5C74"/>
    <w:rsid w:val="6D272DFD"/>
    <w:rsid w:val="6D2C4A68"/>
    <w:rsid w:val="6D3B2E78"/>
    <w:rsid w:val="6D3C3AC0"/>
    <w:rsid w:val="6D410335"/>
    <w:rsid w:val="6D4305C3"/>
    <w:rsid w:val="6D48445E"/>
    <w:rsid w:val="6D500B73"/>
    <w:rsid w:val="6D666AA6"/>
    <w:rsid w:val="6D687043"/>
    <w:rsid w:val="6D7D6DC8"/>
    <w:rsid w:val="6D885EAB"/>
    <w:rsid w:val="6D953F0C"/>
    <w:rsid w:val="6DB67EBB"/>
    <w:rsid w:val="6DEF52E3"/>
    <w:rsid w:val="6E0E6A1E"/>
    <w:rsid w:val="6E2D763E"/>
    <w:rsid w:val="6E420FB1"/>
    <w:rsid w:val="6E6B46D3"/>
    <w:rsid w:val="6E953983"/>
    <w:rsid w:val="6E95768E"/>
    <w:rsid w:val="6EA14900"/>
    <w:rsid w:val="6EB27AA3"/>
    <w:rsid w:val="6EBD1CFE"/>
    <w:rsid w:val="6EF9461D"/>
    <w:rsid w:val="6F1348E9"/>
    <w:rsid w:val="6F2A01FE"/>
    <w:rsid w:val="6F2A71A4"/>
    <w:rsid w:val="6F5D1EE4"/>
    <w:rsid w:val="6F907DB3"/>
    <w:rsid w:val="6F9415EA"/>
    <w:rsid w:val="6FB72F84"/>
    <w:rsid w:val="6FCA5E7C"/>
    <w:rsid w:val="6FE10FA9"/>
    <w:rsid w:val="6FE11F22"/>
    <w:rsid w:val="6FE3419F"/>
    <w:rsid w:val="6FF778F1"/>
    <w:rsid w:val="700346D4"/>
    <w:rsid w:val="700972F0"/>
    <w:rsid w:val="70287F2C"/>
    <w:rsid w:val="70AF69EB"/>
    <w:rsid w:val="70C667BE"/>
    <w:rsid w:val="70DE2249"/>
    <w:rsid w:val="70F97D93"/>
    <w:rsid w:val="710E13DA"/>
    <w:rsid w:val="71181113"/>
    <w:rsid w:val="711D7CA6"/>
    <w:rsid w:val="71226ACC"/>
    <w:rsid w:val="71227E63"/>
    <w:rsid w:val="71614B6B"/>
    <w:rsid w:val="718D2905"/>
    <w:rsid w:val="719909D2"/>
    <w:rsid w:val="719B61D4"/>
    <w:rsid w:val="71A10922"/>
    <w:rsid w:val="71B85684"/>
    <w:rsid w:val="71D214DD"/>
    <w:rsid w:val="71E107C1"/>
    <w:rsid w:val="71F62920"/>
    <w:rsid w:val="72091DAA"/>
    <w:rsid w:val="72267D97"/>
    <w:rsid w:val="723734D4"/>
    <w:rsid w:val="724E29D1"/>
    <w:rsid w:val="728564F5"/>
    <w:rsid w:val="728B7ACE"/>
    <w:rsid w:val="728E70EC"/>
    <w:rsid w:val="729701CD"/>
    <w:rsid w:val="72AB431D"/>
    <w:rsid w:val="72D416DF"/>
    <w:rsid w:val="72DA09BB"/>
    <w:rsid w:val="72E745EF"/>
    <w:rsid w:val="72E97F76"/>
    <w:rsid w:val="730E0485"/>
    <w:rsid w:val="730E4D7D"/>
    <w:rsid w:val="731466EF"/>
    <w:rsid w:val="73212A01"/>
    <w:rsid w:val="73322FF0"/>
    <w:rsid w:val="733712FB"/>
    <w:rsid w:val="73397594"/>
    <w:rsid w:val="73460FB0"/>
    <w:rsid w:val="73513F28"/>
    <w:rsid w:val="735A7119"/>
    <w:rsid w:val="736127BE"/>
    <w:rsid w:val="739E0038"/>
    <w:rsid w:val="73B34591"/>
    <w:rsid w:val="73D850A2"/>
    <w:rsid w:val="73DE7F6C"/>
    <w:rsid w:val="73E365CE"/>
    <w:rsid w:val="73E64B1D"/>
    <w:rsid w:val="740735EA"/>
    <w:rsid w:val="7408106C"/>
    <w:rsid w:val="7412351E"/>
    <w:rsid w:val="749F2D9C"/>
    <w:rsid w:val="74A97F8B"/>
    <w:rsid w:val="74BB4279"/>
    <w:rsid w:val="74BE4E97"/>
    <w:rsid w:val="74D504C8"/>
    <w:rsid w:val="74F679F1"/>
    <w:rsid w:val="74F841F7"/>
    <w:rsid w:val="75003D28"/>
    <w:rsid w:val="750445F2"/>
    <w:rsid w:val="751D637E"/>
    <w:rsid w:val="751F2555"/>
    <w:rsid w:val="752265EA"/>
    <w:rsid w:val="753504B8"/>
    <w:rsid w:val="75466A74"/>
    <w:rsid w:val="757F267E"/>
    <w:rsid w:val="758418D8"/>
    <w:rsid w:val="75A17528"/>
    <w:rsid w:val="75AA6AC3"/>
    <w:rsid w:val="75B71D8E"/>
    <w:rsid w:val="75B749A9"/>
    <w:rsid w:val="75CB1443"/>
    <w:rsid w:val="75CD3F16"/>
    <w:rsid w:val="75EA5BFB"/>
    <w:rsid w:val="761A34DA"/>
    <w:rsid w:val="761D24DD"/>
    <w:rsid w:val="76781DCD"/>
    <w:rsid w:val="767B097A"/>
    <w:rsid w:val="76D84698"/>
    <w:rsid w:val="775865D7"/>
    <w:rsid w:val="775A33B3"/>
    <w:rsid w:val="775B4584"/>
    <w:rsid w:val="776234AF"/>
    <w:rsid w:val="776D12AE"/>
    <w:rsid w:val="77895532"/>
    <w:rsid w:val="77AD0FE0"/>
    <w:rsid w:val="77BE7384"/>
    <w:rsid w:val="780F37EC"/>
    <w:rsid w:val="786108C6"/>
    <w:rsid w:val="787A6E12"/>
    <w:rsid w:val="78821B50"/>
    <w:rsid w:val="788E2A2A"/>
    <w:rsid w:val="78B928EA"/>
    <w:rsid w:val="78BF6855"/>
    <w:rsid w:val="78C52EE0"/>
    <w:rsid w:val="78D23C9C"/>
    <w:rsid w:val="7900219B"/>
    <w:rsid w:val="7913610A"/>
    <w:rsid w:val="791A167A"/>
    <w:rsid w:val="794D119C"/>
    <w:rsid w:val="796B6F7E"/>
    <w:rsid w:val="79935707"/>
    <w:rsid w:val="799A2128"/>
    <w:rsid w:val="79C0552F"/>
    <w:rsid w:val="79C30D65"/>
    <w:rsid w:val="79CC3295"/>
    <w:rsid w:val="79D37E29"/>
    <w:rsid w:val="7A0B1561"/>
    <w:rsid w:val="7A25258A"/>
    <w:rsid w:val="7A2C646D"/>
    <w:rsid w:val="7A441CE6"/>
    <w:rsid w:val="7A55546C"/>
    <w:rsid w:val="7A743686"/>
    <w:rsid w:val="7A824E2E"/>
    <w:rsid w:val="7A9E7BE0"/>
    <w:rsid w:val="7AFF6437"/>
    <w:rsid w:val="7B021BF1"/>
    <w:rsid w:val="7B1C7193"/>
    <w:rsid w:val="7B1D31E5"/>
    <w:rsid w:val="7B4950F7"/>
    <w:rsid w:val="7B9F2862"/>
    <w:rsid w:val="7BA9751C"/>
    <w:rsid w:val="7BAB44F6"/>
    <w:rsid w:val="7BB856C6"/>
    <w:rsid w:val="7BBB27D3"/>
    <w:rsid w:val="7BC24A45"/>
    <w:rsid w:val="7BD52A90"/>
    <w:rsid w:val="7C076616"/>
    <w:rsid w:val="7C0D60AB"/>
    <w:rsid w:val="7C180AC4"/>
    <w:rsid w:val="7C295DFC"/>
    <w:rsid w:val="7C4B37FA"/>
    <w:rsid w:val="7C58255B"/>
    <w:rsid w:val="7C5B5FF8"/>
    <w:rsid w:val="7C910DB6"/>
    <w:rsid w:val="7C9E490F"/>
    <w:rsid w:val="7CBA0AD1"/>
    <w:rsid w:val="7CD96F03"/>
    <w:rsid w:val="7CF03F88"/>
    <w:rsid w:val="7CF73786"/>
    <w:rsid w:val="7D091FF0"/>
    <w:rsid w:val="7D0F4E59"/>
    <w:rsid w:val="7D4C6AE0"/>
    <w:rsid w:val="7D573168"/>
    <w:rsid w:val="7D5E51C4"/>
    <w:rsid w:val="7D7525FB"/>
    <w:rsid w:val="7DC111D1"/>
    <w:rsid w:val="7DC43A43"/>
    <w:rsid w:val="7DC74225"/>
    <w:rsid w:val="7DDA69EF"/>
    <w:rsid w:val="7DDD18D5"/>
    <w:rsid w:val="7E6C26A2"/>
    <w:rsid w:val="7E7E6ABD"/>
    <w:rsid w:val="7EB35583"/>
    <w:rsid w:val="7EB5276C"/>
    <w:rsid w:val="7EBC57D7"/>
    <w:rsid w:val="7ED0794B"/>
    <w:rsid w:val="7ED70A6F"/>
    <w:rsid w:val="7EE20D78"/>
    <w:rsid w:val="7EFF38D3"/>
    <w:rsid w:val="7F1A363A"/>
    <w:rsid w:val="7F23131E"/>
    <w:rsid w:val="7F3206AA"/>
    <w:rsid w:val="7F5E6382"/>
    <w:rsid w:val="7F5F2553"/>
    <w:rsid w:val="7F89742A"/>
    <w:rsid w:val="7F9B22D0"/>
    <w:rsid w:val="7F9F74D0"/>
    <w:rsid w:val="7FA200C0"/>
    <w:rsid w:val="7FA23B7F"/>
    <w:rsid w:val="7FBE60DA"/>
    <w:rsid w:val="7FBF3588"/>
    <w:rsid w:val="7FDE4F4F"/>
    <w:rsid w:val="7FEB69A3"/>
    <w:rsid w:val="7FFB014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t" stroke="t">
      <v:fill type="gradient" on="t" angle="90" focussize="0f,0f" focusposition="0f,0f">
        <o:fill type="gradientUnscaled" v:ext="backwardCompatible"/>
      </v:fill>
      <v:stroke weight="1.25pt" color="#739CC3"/>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39" w:semiHidden="0" w:name="toc 1"/>
    <w:lsdException w:qFormat="1" w:unhideWhenUsed="0" w:uiPriority="39" w:semiHidden="0" w:name="toc 2"/>
    <w:lsdException w:qFormat="1" w:uiPriority="39"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qFormat="1" w:unhideWhenUsed="0" w:uiPriority="99" w:name="annotation text"/>
    <w:lsdException w:qFormat="1" w:unhideWhenUsed="0" w:uiPriority="0" w:semiHidden="0" w:name="header"/>
    <w:lsdException w:qFormat="1" w:unhideWhenUsed="0"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iPriority="99"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qFormat="1"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qFormat="1" w:unhideWhenUsed="0" w:uiPriority="0" w:semiHidden="0" w:name="Body Text 2"/>
    <w:lsdException w:qFormat="1" w:unhideWhenUsed="0" w:uiPriority="0" w:semiHidden="0" w:name="Body Text 3"/>
    <w:lsdException w:qFormat="1" w:unhideWhenUsed="0" w:uiPriority="0" w:semiHidden="0" w:name="Body Text Indent 2"/>
    <w:lsdException w:qFormat="1" w:unhideWhenUsed="0" w:uiPriority="0" w:semiHidden="0" w:name="Body Text Indent 3"/>
    <w:lsdException w:qFormat="1" w:unhideWhenUsed="0" w:uiPriority="0" w:semiHidden="0" w:name="Block Text"/>
    <w:lsdException w:qFormat="1" w:unhideWhenUsed="0" w:uiPriority="99" w:semiHidden="0" w:name="Hyperlink"/>
    <w:lsdException w:qFormat="1" w:unhideWhenUsed="0" w:uiPriority="0" w:semiHidden="0" w:name="FollowedHyperlink"/>
    <w:lsdException w:qFormat="1" w:unhideWhenUsed="0" w:uiPriority="0" w:semiHidden="0" w:name="Strong"/>
    <w:lsdException w:qFormat="1" w:unhideWhenUsed="0" w:uiPriority="0" w:semiHidden="0" w:name="Emphasis"/>
    <w:lsdException w:qFormat="1" w:unhideWhenUsed="0" w:uiPriority="0" w:semiHidden="0" w:name="Document Map"/>
    <w:lsdException w:qFormat="1" w:unhideWhenUsed="0" w:uiPriority="0" w:semiHidden="0" w:name="Plain Text"/>
    <w:lsdException w:unhideWhenUsed="0" w:uiPriority="0" w:semiHidden="0" w:name="E-mail Signature"/>
    <w:lsdException w:qFormat="1" w:unhideWhenUsed="0" w:uiPriority="99"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qFormat="1"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iPriority="0" w:semiHidden="0" w:name="Balloon Text"/>
    <w:lsdException w:qFormat="1"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4">
    <w:name w:val="heading 1"/>
    <w:basedOn w:val="1"/>
    <w:next w:val="1"/>
    <w:link w:val="99"/>
    <w:qFormat/>
    <w:uiPriority w:val="0"/>
    <w:pPr>
      <w:keepNext/>
      <w:keepLines/>
      <w:spacing w:before="340" w:after="330" w:line="578" w:lineRule="auto"/>
      <w:outlineLvl w:val="0"/>
    </w:pPr>
    <w:rPr>
      <w:b/>
      <w:bCs/>
      <w:kern w:val="44"/>
      <w:sz w:val="44"/>
      <w:szCs w:val="44"/>
    </w:rPr>
  </w:style>
  <w:style w:type="paragraph" w:styleId="5">
    <w:name w:val="heading 2"/>
    <w:basedOn w:val="1"/>
    <w:next w:val="1"/>
    <w:link w:val="98"/>
    <w:qFormat/>
    <w:uiPriority w:val="0"/>
    <w:pPr>
      <w:keepNext/>
      <w:keepLines/>
      <w:spacing w:before="260" w:after="260" w:line="416" w:lineRule="auto"/>
      <w:outlineLvl w:val="1"/>
    </w:pPr>
    <w:rPr>
      <w:rFonts w:ascii="Arial" w:hAnsi="Arial" w:eastAsia="黑体"/>
      <w:b/>
      <w:bCs/>
      <w:sz w:val="32"/>
      <w:szCs w:val="32"/>
    </w:rPr>
  </w:style>
  <w:style w:type="paragraph" w:styleId="6">
    <w:name w:val="heading 3"/>
    <w:basedOn w:val="1"/>
    <w:next w:val="1"/>
    <w:link w:val="100"/>
    <w:qFormat/>
    <w:uiPriority w:val="0"/>
    <w:pPr>
      <w:keepNext/>
      <w:keepLines/>
      <w:spacing w:before="260" w:after="260" w:line="416" w:lineRule="auto"/>
      <w:outlineLvl w:val="2"/>
    </w:pPr>
    <w:rPr>
      <w:b/>
      <w:bCs/>
      <w:sz w:val="32"/>
      <w:szCs w:val="32"/>
    </w:rPr>
  </w:style>
  <w:style w:type="paragraph" w:styleId="7">
    <w:name w:val="heading 4"/>
    <w:basedOn w:val="1"/>
    <w:next w:val="1"/>
    <w:qFormat/>
    <w:uiPriority w:val="0"/>
    <w:pPr>
      <w:keepNext/>
      <w:keepLines/>
      <w:spacing w:before="280" w:after="290" w:line="376" w:lineRule="auto"/>
      <w:outlineLvl w:val="3"/>
    </w:pPr>
    <w:rPr>
      <w:rFonts w:ascii="Cambria" w:hAnsi="Cambria"/>
      <w:b/>
      <w:bCs/>
      <w:sz w:val="28"/>
      <w:szCs w:val="28"/>
    </w:rPr>
  </w:style>
  <w:style w:type="character" w:default="1" w:styleId="28">
    <w:name w:val="Default Paragraph Font"/>
    <w:semiHidden/>
    <w:unhideWhenUsed/>
    <w:qFormat/>
    <w:uiPriority w:val="1"/>
  </w:style>
  <w:style w:type="table" w:default="1" w:styleId="26">
    <w:name w:val="Normal Table"/>
    <w:semiHidden/>
    <w:unhideWhenUsed/>
    <w:qFormat/>
    <w:uiPriority w:val="99"/>
    <w:tblPr>
      <w:tblCellMar>
        <w:top w:w="0" w:type="dxa"/>
        <w:left w:w="108" w:type="dxa"/>
        <w:bottom w:w="0" w:type="dxa"/>
        <w:right w:w="108" w:type="dxa"/>
      </w:tblCellMar>
    </w:tblPr>
  </w:style>
  <w:style w:type="paragraph" w:styleId="2">
    <w:name w:val="header"/>
    <w:basedOn w:val="1"/>
    <w:next w:val="3"/>
    <w:qFormat/>
    <w:uiPriority w:val="0"/>
    <w:pPr>
      <w:pBdr>
        <w:bottom w:val="single" w:color="auto" w:sz="6" w:space="1"/>
      </w:pBdr>
      <w:tabs>
        <w:tab w:val="center" w:pos="4153"/>
        <w:tab w:val="right" w:pos="8306"/>
      </w:tabs>
      <w:snapToGrid w:val="0"/>
      <w:jc w:val="center"/>
    </w:pPr>
    <w:rPr>
      <w:sz w:val="18"/>
      <w:szCs w:val="18"/>
    </w:rPr>
  </w:style>
  <w:style w:type="paragraph" w:styleId="3">
    <w:name w:val="Block Text"/>
    <w:basedOn w:val="1"/>
    <w:qFormat/>
    <w:uiPriority w:val="0"/>
    <w:pPr>
      <w:autoSpaceDE w:val="0"/>
      <w:autoSpaceDN w:val="0"/>
      <w:adjustRightInd w:val="0"/>
      <w:spacing w:line="500" w:lineRule="exact"/>
      <w:ind w:left="391" w:right="246"/>
    </w:pPr>
    <w:rPr>
      <w:rFonts w:ascii="仿宋_GB2312" w:eastAsia="仿宋_GB2312"/>
      <w:kern w:val="0"/>
      <w:sz w:val="24"/>
    </w:rPr>
  </w:style>
  <w:style w:type="paragraph" w:styleId="8">
    <w:name w:val="Normal Indent"/>
    <w:basedOn w:val="1"/>
    <w:qFormat/>
    <w:uiPriority w:val="0"/>
    <w:pPr>
      <w:ind w:firstLine="420"/>
    </w:pPr>
    <w:rPr>
      <w:szCs w:val="20"/>
    </w:rPr>
  </w:style>
  <w:style w:type="paragraph" w:styleId="9">
    <w:name w:val="Document Map"/>
    <w:basedOn w:val="1"/>
    <w:link w:val="35"/>
    <w:qFormat/>
    <w:uiPriority w:val="0"/>
    <w:rPr>
      <w:rFonts w:ascii="宋体" w:hAnsi="Tahoma"/>
      <w:sz w:val="18"/>
      <w:szCs w:val="18"/>
    </w:rPr>
  </w:style>
  <w:style w:type="paragraph" w:styleId="10">
    <w:name w:val="annotation text"/>
    <w:basedOn w:val="1"/>
    <w:link w:val="64"/>
    <w:semiHidden/>
    <w:qFormat/>
    <w:uiPriority w:val="99"/>
    <w:pPr>
      <w:jc w:val="left"/>
    </w:pPr>
    <w:rPr>
      <w:rFonts w:ascii="Tahoma" w:hAnsi="Tahoma"/>
    </w:rPr>
  </w:style>
  <w:style w:type="paragraph" w:styleId="11">
    <w:name w:val="Body Text 3"/>
    <w:basedOn w:val="1"/>
    <w:qFormat/>
    <w:uiPriority w:val="0"/>
    <w:rPr>
      <w:kern w:val="0"/>
      <w:sz w:val="16"/>
      <w:szCs w:val="16"/>
    </w:rPr>
  </w:style>
  <w:style w:type="paragraph" w:styleId="12">
    <w:name w:val="Body Text"/>
    <w:basedOn w:val="1"/>
    <w:qFormat/>
    <w:uiPriority w:val="0"/>
    <w:pPr>
      <w:spacing w:after="120"/>
    </w:pPr>
  </w:style>
  <w:style w:type="paragraph" w:styleId="13">
    <w:name w:val="Body Text Indent"/>
    <w:basedOn w:val="1"/>
    <w:qFormat/>
    <w:uiPriority w:val="0"/>
    <w:pPr>
      <w:spacing w:after="120"/>
      <w:ind w:left="420" w:leftChars="200"/>
    </w:pPr>
  </w:style>
  <w:style w:type="paragraph" w:styleId="14">
    <w:name w:val="toc 3"/>
    <w:basedOn w:val="1"/>
    <w:next w:val="1"/>
    <w:unhideWhenUsed/>
    <w:qFormat/>
    <w:uiPriority w:val="39"/>
    <w:pPr>
      <w:ind w:left="840" w:leftChars="400"/>
    </w:pPr>
    <w:rPr>
      <w:sz w:val="28"/>
    </w:rPr>
  </w:style>
  <w:style w:type="paragraph" w:styleId="15">
    <w:name w:val="Plain Text"/>
    <w:basedOn w:val="1"/>
    <w:qFormat/>
    <w:uiPriority w:val="0"/>
    <w:rPr>
      <w:rFonts w:ascii="宋体" w:hAnsi="Courier New" w:eastAsia="楷体_GB2312"/>
      <w:snapToGrid w:val="0"/>
      <w:color w:val="000000"/>
      <w:kern w:val="0"/>
      <w:sz w:val="32"/>
      <w:szCs w:val="21"/>
    </w:rPr>
  </w:style>
  <w:style w:type="paragraph" w:styleId="16">
    <w:name w:val="Date"/>
    <w:basedOn w:val="1"/>
    <w:next w:val="1"/>
    <w:qFormat/>
    <w:uiPriority w:val="0"/>
    <w:rPr>
      <w:rFonts w:ascii="楷体_GB2312" w:eastAsia="楷体_GB2312"/>
      <w:color w:val="000000"/>
      <w:kern w:val="0"/>
      <w:sz w:val="32"/>
      <w:szCs w:val="32"/>
    </w:rPr>
  </w:style>
  <w:style w:type="paragraph" w:styleId="17">
    <w:name w:val="Body Text Indent 2"/>
    <w:basedOn w:val="1"/>
    <w:qFormat/>
    <w:uiPriority w:val="0"/>
    <w:pPr>
      <w:autoSpaceDE w:val="0"/>
      <w:autoSpaceDN w:val="0"/>
      <w:adjustRightInd w:val="0"/>
      <w:spacing w:line="489" w:lineRule="atLeast"/>
      <w:ind w:firstLine="709"/>
      <w:jc w:val="left"/>
    </w:pPr>
    <w:rPr>
      <w:rFonts w:ascii="华文仿宋" w:hAnsi="华文仿宋" w:eastAsia="华文仿宋"/>
      <w:color w:val="000000"/>
      <w:kern w:val="0"/>
      <w:sz w:val="32"/>
      <w:szCs w:val="32"/>
    </w:rPr>
  </w:style>
  <w:style w:type="paragraph" w:styleId="18">
    <w:name w:val="Balloon Text"/>
    <w:basedOn w:val="1"/>
    <w:unhideWhenUsed/>
    <w:qFormat/>
    <w:uiPriority w:val="0"/>
    <w:rPr>
      <w:sz w:val="18"/>
      <w:szCs w:val="18"/>
    </w:rPr>
  </w:style>
  <w:style w:type="paragraph" w:styleId="19">
    <w:name w:val="footer"/>
    <w:basedOn w:val="1"/>
    <w:link w:val="58"/>
    <w:qFormat/>
    <w:uiPriority w:val="99"/>
    <w:pPr>
      <w:tabs>
        <w:tab w:val="center" w:pos="4153"/>
        <w:tab w:val="right" w:pos="8306"/>
      </w:tabs>
      <w:snapToGrid w:val="0"/>
      <w:jc w:val="left"/>
    </w:pPr>
    <w:rPr>
      <w:rFonts w:ascii="Tahoma" w:hAnsi="Tahoma"/>
      <w:sz w:val="18"/>
      <w:szCs w:val="18"/>
    </w:rPr>
  </w:style>
  <w:style w:type="paragraph" w:styleId="20">
    <w:name w:val="toc 1"/>
    <w:basedOn w:val="1"/>
    <w:next w:val="1"/>
    <w:qFormat/>
    <w:uiPriority w:val="39"/>
  </w:style>
  <w:style w:type="paragraph" w:styleId="21">
    <w:name w:val="Body Text Indent 3"/>
    <w:basedOn w:val="1"/>
    <w:qFormat/>
    <w:uiPriority w:val="0"/>
    <w:pPr>
      <w:ind w:left="359" w:leftChars="171" w:firstLine="554" w:firstLineChars="198"/>
    </w:pPr>
    <w:rPr>
      <w:sz w:val="28"/>
      <w:szCs w:val="20"/>
    </w:rPr>
  </w:style>
  <w:style w:type="paragraph" w:styleId="22">
    <w:name w:val="toc 2"/>
    <w:basedOn w:val="1"/>
    <w:next w:val="1"/>
    <w:qFormat/>
    <w:uiPriority w:val="39"/>
    <w:pPr>
      <w:ind w:left="420" w:leftChars="200"/>
    </w:pPr>
  </w:style>
  <w:style w:type="paragraph" w:styleId="23">
    <w:name w:val="Body Text 2"/>
    <w:basedOn w:val="1"/>
    <w:qFormat/>
    <w:uiPriority w:val="0"/>
    <w:pPr>
      <w:spacing w:after="120" w:line="480" w:lineRule="auto"/>
    </w:pPr>
  </w:style>
  <w:style w:type="paragraph" w:styleId="24">
    <w:name w:val="Normal (Web)"/>
    <w:basedOn w:val="1"/>
    <w:qFormat/>
    <w:uiPriority w:val="99"/>
    <w:pPr>
      <w:widowControl/>
      <w:spacing w:before="100" w:beforeAutospacing="1" w:after="100" w:afterAutospacing="1"/>
      <w:jc w:val="left"/>
    </w:pPr>
    <w:rPr>
      <w:rFonts w:hint="eastAsia" w:ascii="宋体" w:hAnsi="宋体"/>
      <w:kern w:val="0"/>
      <w:sz w:val="24"/>
    </w:rPr>
  </w:style>
  <w:style w:type="paragraph" w:styleId="25">
    <w:name w:val="annotation subject"/>
    <w:basedOn w:val="10"/>
    <w:next w:val="10"/>
    <w:link w:val="62"/>
    <w:qFormat/>
    <w:uiPriority w:val="0"/>
    <w:rPr>
      <w:b/>
      <w:bCs/>
    </w:rPr>
  </w:style>
  <w:style w:type="table" w:styleId="27">
    <w:name w:val="Table Grid"/>
    <w:basedOn w:val="26"/>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styleId="29">
    <w:name w:val="Strong"/>
    <w:qFormat/>
    <w:uiPriority w:val="0"/>
    <w:rPr>
      <w:rFonts w:ascii="Tahoma" w:hAnsi="Tahoma"/>
      <w:b/>
      <w:bCs/>
      <w:sz w:val="24"/>
    </w:rPr>
  </w:style>
  <w:style w:type="character" w:styleId="30">
    <w:name w:val="page number"/>
    <w:basedOn w:val="28"/>
    <w:qFormat/>
    <w:uiPriority w:val="0"/>
  </w:style>
  <w:style w:type="character" w:styleId="31">
    <w:name w:val="FollowedHyperlink"/>
    <w:qFormat/>
    <w:uiPriority w:val="0"/>
    <w:rPr>
      <w:rFonts w:ascii="Tahoma" w:hAnsi="Tahoma"/>
      <w:color w:val="000000"/>
      <w:sz w:val="18"/>
      <w:szCs w:val="18"/>
      <w:u w:val="none"/>
    </w:rPr>
  </w:style>
  <w:style w:type="character" w:styleId="32">
    <w:name w:val="Hyperlink"/>
    <w:qFormat/>
    <w:uiPriority w:val="99"/>
    <w:rPr>
      <w:rFonts w:ascii="Tahoma" w:hAnsi="Tahoma"/>
      <w:color w:val="0000FF"/>
      <w:sz w:val="24"/>
      <w:u w:val="single"/>
    </w:rPr>
  </w:style>
  <w:style w:type="character" w:styleId="33">
    <w:name w:val="annotation reference"/>
    <w:unhideWhenUsed/>
    <w:qFormat/>
    <w:uiPriority w:val="99"/>
    <w:rPr>
      <w:rFonts w:ascii="Tahoma" w:hAnsi="Tahoma"/>
      <w:sz w:val="21"/>
      <w:szCs w:val="21"/>
    </w:rPr>
  </w:style>
  <w:style w:type="character" w:customStyle="1" w:styleId="34">
    <w:name w:val="cfdate"/>
    <w:basedOn w:val="28"/>
    <w:qFormat/>
    <w:uiPriority w:val="0"/>
    <w:rPr>
      <w:color w:val="333333"/>
      <w:sz w:val="18"/>
      <w:szCs w:val="18"/>
    </w:rPr>
  </w:style>
  <w:style w:type="character" w:customStyle="1" w:styleId="35">
    <w:name w:val="文档结构图 Char"/>
    <w:link w:val="9"/>
    <w:qFormat/>
    <w:uiPriority w:val="0"/>
    <w:rPr>
      <w:rFonts w:ascii="宋体" w:hAnsi="Tahoma"/>
      <w:kern w:val="2"/>
      <w:sz w:val="18"/>
      <w:szCs w:val="18"/>
    </w:rPr>
  </w:style>
  <w:style w:type="character" w:customStyle="1" w:styleId="36">
    <w:name w:val="copyright"/>
    <w:basedOn w:val="28"/>
    <w:qFormat/>
    <w:uiPriority w:val="0"/>
  </w:style>
  <w:style w:type="character" w:customStyle="1" w:styleId="37">
    <w:name w:val="Char Char6"/>
    <w:qFormat/>
    <w:uiPriority w:val="0"/>
    <w:rPr>
      <w:rFonts w:ascii="Tahoma" w:hAnsi="Tahoma" w:eastAsia="宋体"/>
      <w:b/>
      <w:bCs/>
      <w:kern w:val="2"/>
      <w:sz w:val="32"/>
      <w:szCs w:val="32"/>
      <w:lang w:val="en-US" w:eastAsia="zh-CN" w:bidi="ar-SA"/>
    </w:rPr>
  </w:style>
  <w:style w:type="character" w:customStyle="1" w:styleId="38">
    <w:name w:val="qxdate"/>
    <w:basedOn w:val="28"/>
    <w:qFormat/>
    <w:uiPriority w:val="0"/>
    <w:rPr>
      <w:color w:val="333333"/>
      <w:sz w:val="18"/>
      <w:szCs w:val="18"/>
    </w:rPr>
  </w:style>
  <w:style w:type="character" w:customStyle="1" w:styleId="39">
    <w:name w:val="gjfg"/>
    <w:basedOn w:val="28"/>
    <w:qFormat/>
    <w:uiPriority w:val="0"/>
  </w:style>
  <w:style w:type="character" w:customStyle="1" w:styleId="40">
    <w:name w:val="Char Char3"/>
    <w:semiHidden/>
    <w:qFormat/>
    <w:uiPriority w:val="0"/>
    <w:rPr>
      <w:rFonts w:ascii="Tahoma" w:hAnsi="Tahoma" w:eastAsia="宋体"/>
      <w:kern w:val="2"/>
      <w:sz w:val="18"/>
      <w:szCs w:val="18"/>
      <w:lang w:val="en-US" w:eastAsia="zh-CN" w:bidi="ar-SA"/>
    </w:rPr>
  </w:style>
  <w:style w:type="character" w:customStyle="1" w:styleId="41">
    <w:name w:val="普通文字 Char2"/>
    <w:qFormat/>
    <w:uiPriority w:val="0"/>
    <w:rPr>
      <w:rFonts w:ascii="宋体" w:hAnsi="Courier New" w:eastAsia="楷体_GB2312"/>
      <w:snapToGrid w:val="0"/>
      <w:color w:val="000000"/>
      <w:sz w:val="32"/>
      <w:szCs w:val="21"/>
      <w:lang w:val="en-US" w:eastAsia="zh-CN" w:bidi="ar-SA"/>
    </w:rPr>
  </w:style>
  <w:style w:type="character" w:customStyle="1" w:styleId="42">
    <w:name w:val="Char Char4"/>
    <w:qFormat/>
    <w:uiPriority w:val="0"/>
    <w:rPr>
      <w:rFonts w:ascii="Tahoma" w:hAnsi="Tahoma" w:eastAsia="宋体"/>
      <w:kern w:val="2"/>
      <w:sz w:val="18"/>
      <w:szCs w:val="18"/>
      <w:lang w:val="en-US" w:eastAsia="zh-CN" w:bidi="ar-SA"/>
    </w:rPr>
  </w:style>
  <w:style w:type="character" w:customStyle="1" w:styleId="43">
    <w:name w:val="font51"/>
    <w:qFormat/>
    <w:uiPriority w:val="0"/>
    <w:rPr>
      <w:rFonts w:hint="eastAsia" w:ascii="宋体" w:hAnsi="宋体" w:eastAsia="宋体" w:cs="宋体"/>
      <w:color w:val="000000"/>
      <w:sz w:val="21"/>
      <w:szCs w:val="21"/>
      <w:u w:val="none"/>
    </w:rPr>
  </w:style>
  <w:style w:type="character" w:customStyle="1" w:styleId="44">
    <w:name w:val="Char Char1"/>
    <w:semiHidden/>
    <w:qFormat/>
    <w:uiPriority w:val="0"/>
    <w:rPr>
      <w:rFonts w:ascii="Tahoma" w:hAnsi="Tahoma" w:eastAsia="宋体"/>
      <w:kern w:val="2"/>
      <w:sz w:val="28"/>
      <w:lang w:val="en-US" w:eastAsia="zh-CN" w:bidi="ar-SA"/>
    </w:rPr>
  </w:style>
  <w:style w:type="character" w:customStyle="1" w:styleId="45">
    <w:name w:val="profont1"/>
    <w:qFormat/>
    <w:uiPriority w:val="0"/>
    <w:rPr>
      <w:rFonts w:hint="default" w:ascii="Verdana" w:hAnsi="Verdana"/>
      <w:b/>
      <w:bCs/>
      <w:color w:val="333333"/>
      <w:sz w:val="24"/>
      <w:szCs w:val="24"/>
      <w:u w:val="none"/>
    </w:rPr>
  </w:style>
  <w:style w:type="character" w:customStyle="1" w:styleId="46">
    <w:name w:val="标题 2 Char"/>
    <w:qFormat/>
    <w:uiPriority w:val="0"/>
    <w:rPr>
      <w:rFonts w:ascii="Arial" w:hAnsi="Arial" w:eastAsia="黑体"/>
      <w:b/>
      <w:bCs/>
      <w:kern w:val="2"/>
      <w:sz w:val="32"/>
      <w:szCs w:val="32"/>
      <w:lang w:val="en-US" w:eastAsia="zh-CN" w:bidi="ar-SA"/>
    </w:rPr>
  </w:style>
  <w:style w:type="character" w:customStyle="1" w:styleId="47">
    <w:name w:val="Char Char5"/>
    <w:qFormat/>
    <w:uiPriority w:val="0"/>
    <w:rPr>
      <w:rFonts w:ascii="Tahoma" w:hAnsi="Tahoma" w:eastAsia="宋体"/>
      <w:kern w:val="2"/>
      <w:sz w:val="18"/>
      <w:szCs w:val="18"/>
      <w:lang w:val="en-US" w:eastAsia="zh-CN" w:bidi="ar-SA"/>
    </w:rPr>
  </w:style>
  <w:style w:type="character" w:customStyle="1" w:styleId="48">
    <w:name w:val="标题 1.1 Char1"/>
    <w:qFormat/>
    <w:uiPriority w:val="0"/>
    <w:rPr>
      <w:rFonts w:ascii="Arial" w:hAnsi="Arial" w:eastAsia="黑体"/>
      <w:b/>
      <w:bCs/>
      <w:kern w:val="2"/>
      <w:sz w:val="32"/>
      <w:szCs w:val="32"/>
      <w:lang w:val="en-US" w:eastAsia="zh-CN" w:bidi="ar-SA"/>
    </w:rPr>
  </w:style>
  <w:style w:type="character" w:customStyle="1" w:styleId="49">
    <w:name w:val="font01"/>
    <w:qFormat/>
    <w:uiPriority w:val="0"/>
    <w:rPr>
      <w:rFonts w:hint="eastAsia" w:ascii="宋体" w:hAnsi="宋体" w:eastAsia="宋体" w:cs="宋体"/>
      <w:color w:val="000000"/>
      <w:sz w:val="24"/>
      <w:szCs w:val="24"/>
      <w:u w:val="none"/>
    </w:rPr>
  </w:style>
  <w:style w:type="character" w:customStyle="1" w:styleId="50">
    <w:name w:val="font11"/>
    <w:qFormat/>
    <w:uiPriority w:val="0"/>
    <w:rPr>
      <w:rFonts w:hint="eastAsia" w:ascii="宋体" w:hAnsi="宋体" w:eastAsia="宋体" w:cs="宋体"/>
      <w:b/>
      <w:color w:val="000000"/>
      <w:sz w:val="24"/>
      <w:szCs w:val="24"/>
      <w:u w:val="none"/>
    </w:rPr>
  </w:style>
  <w:style w:type="character" w:customStyle="1" w:styleId="51">
    <w:name w:val="Char Char"/>
    <w:qFormat/>
    <w:uiPriority w:val="0"/>
    <w:rPr>
      <w:rFonts w:ascii="Tahoma" w:hAnsi="Tahoma"/>
      <w:kern w:val="2"/>
      <w:sz w:val="21"/>
      <w:szCs w:val="24"/>
    </w:rPr>
  </w:style>
  <w:style w:type="character" w:customStyle="1" w:styleId="52">
    <w:name w:val="style111"/>
    <w:qFormat/>
    <w:uiPriority w:val="0"/>
    <w:rPr>
      <w:rFonts w:ascii="Tahoma" w:hAnsi="Tahoma"/>
      <w:sz w:val="22"/>
      <w:szCs w:val="22"/>
    </w:rPr>
  </w:style>
  <w:style w:type="character" w:customStyle="1" w:styleId="53">
    <w:name w:val="displayarti"/>
    <w:basedOn w:val="28"/>
    <w:qFormat/>
    <w:uiPriority w:val="0"/>
    <w:rPr>
      <w:color w:val="FFFFFF"/>
      <w:shd w:val="clear" w:color="auto" w:fill="A00000"/>
    </w:rPr>
  </w:style>
  <w:style w:type="character" w:customStyle="1" w:styleId="54">
    <w:name w:val="Char Char7"/>
    <w:qFormat/>
    <w:uiPriority w:val="0"/>
    <w:rPr>
      <w:rFonts w:ascii="Tahoma" w:hAnsi="Tahoma" w:eastAsia="宋体"/>
      <w:b/>
      <w:bCs/>
      <w:kern w:val="44"/>
      <w:sz w:val="44"/>
      <w:szCs w:val="44"/>
      <w:lang w:val="en-US" w:eastAsia="zh-CN" w:bidi="ar-SA"/>
    </w:rPr>
  </w:style>
  <w:style w:type="character" w:customStyle="1" w:styleId="55">
    <w:name w:val="font31"/>
    <w:qFormat/>
    <w:uiPriority w:val="0"/>
    <w:rPr>
      <w:rFonts w:hint="eastAsia" w:ascii="宋体" w:hAnsi="宋体" w:eastAsia="宋体" w:cs="宋体"/>
      <w:color w:val="000000"/>
      <w:sz w:val="21"/>
      <w:szCs w:val="21"/>
      <w:u w:val="none"/>
    </w:rPr>
  </w:style>
  <w:style w:type="character" w:customStyle="1" w:styleId="56">
    <w:name w:val="Char Char2"/>
    <w:qFormat/>
    <w:uiPriority w:val="0"/>
    <w:rPr>
      <w:rFonts w:ascii="华文仿宋" w:hAnsi="华文仿宋" w:eastAsia="华文仿宋"/>
      <w:color w:val="000000"/>
      <w:sz w:val="32"/>
      <w:szCs w:val="32"/>
      <w:lang w:val="en-US" w:eastAsia="zh-CN" w:bidi="ar-SA"/>
    </w:rPr>
  </w:style>
  <w:style w:type="character" w:customStyle="1" w:styleId="57">
    <w:name w:val="style51"/>
    <w:qFormat/>
    <w:uiPriority w:val="0"/>
    <w:rPr>
      <w:rFonts w:ascii="Tahoma" w:hAnsi="Tahoma"/>
      <w:b/>
      <w:bCs/>
      <w:color w:val="814107"/>
      <w:sz w:val="21"/>
      <w:szCs w:val="21"/>
    </w:rPr>
  </w:style>
  <w:style w:type="character" w:customStyle="1" w:styleId="58">
    <w:name w:val="页脚 Char"/>
    <w:link w:val="19"/>
    <w:qFormat/>
    <w:uiPriority w:val="99"/>
    <w:rPr>
      <w:rFonts w:ascii="Tahoma" w:hAnsi="Tahoma"/>
      <w:kern w:val="2"/>
      <w:sz w:val="18"/>
      <w:szCs w:val="18"/>
    </w:rPr>
  </w:style>
  <w:style w:type="character" w:customStyle="1" w:styleId="59">
    <w:name w:val="标题 1.1 Char"/>
    <w:qFormat/>
    <w:uiPriority w:val="0"/>
    <w:rPr>
      <w:rFonts w:ascii="仿宋_GB2312" w:hAnsi="Arial" w:eastAsia="仿宋_GB2312" w:cs="Arial"/>
      <w:b/>
      <w:bCs/>
      <w:kern w:val="2"/>
      <w:sz w:val="24"/>
      <w:szCs w:val="24"/>
      <w:lang w:val="en-US" w:eastAsia="zh-CN" w:bidi="ar-SA"/>
    </w:rPr>
  </w:style>
  <w:style w:type="character" w:customStyle="1" w:styleId="60">
    <w:name w:val="普通文字 Char1"/>
    <w:qFormat/>
    <w:uiPriority w:val="0"/>
    <w:rPr>
      <w:rFonts w:ascii="宋体" w:hAnsi="Courier New" w:eastAsia="宋体"/>
      <w:kern w:val="2"/>
      <w:sz w:val="21"/>
      <w:szCs w:val="21"/>
      <w:lang w:val="en-US" w:eastAsia="zh-CN" w:bidi="ar-SA"/>
    </w:rPr>
  </w:style>
  <w:style w:type="character" w:customStyle="1" w:styleId="61">
    <w:name w:val="font41"/>
    <w:qFormat/>
    <w:uiPriority w:val="0"/>
    <w:rPr>
      <w:rFonts w:ascii="font-weight : 400" w:hAnsi="font-weight : 400" w:eastAsia="font-weight : 400" w:cs="font-weight : 400"/>
      <w:color w:val="000000"/>
      <w:sz w:val="21"/>
      <w:szCs w:val="21"/>
      <w:u w:val="none"/>
    </w:rPr>
  </w:style>
  <w:style w:type="character" w:customStyle="1" w:styleId="62">
    <w:name w:val="批注主题 Char"/>
    <w:link w:val="25"/>
    <w:qFormat/>
    <w:uiPriority w:val="0"/>
    <w:rPr>
      <w:rFonts w:ascii="Tahoma" w:hAnsi="Tahoma"/>
      <w:b/>
      <w:bCs/>
      <w:kern w:val="2"/>
      <w:sz w:val="21"/>
      <w:szCs w:val="24"/>
    </w:rPr>
  </w:style>
  <w:style w:type="character" w:customStyle="1" w:styleId="63">
    <w:name w:val="redfilefwwh"/>
    <w:basedOn w:val="28"/>
    <w:qFormat/>
    <w:uiPriority w:val="0"/>
    <w:rPr>
      <w:color w:val="BA2636"/>
      <w:sz w:val="18"/>
      <w:szCs w:val="18"/>
    </w:rPr>
  </w:style>
  <w:style w:type="character" w:customStyle="1" w:styleId="64">
    <w:name w:val="批注文字 Char"/>
    <w:link w:val="10"/>
    <w:semiHidden/>
    <w:qFormat/>
    <w:uiPriority w:val="99"/>
    <w:rPr>
      <w:rFonts w:ascii="Tahoma" w:hAnsi="Tahoma"/>
      <w:kern w:val="2"/>
      <w:sz w:val="21"/>
      <w:szCs w:val="24"/>
    </w:rPr>
  </w:style>
  <w:style w:type="character" w:customStyle="1" w:styleId="65">
    <w:name w:val="redfilenumber"/>
    <w:basedOn w:val="28"/>
    <w:qFormat/>
    <w:uiPriority w:val="0"/>
    <w:rPr>
      <w:color w:val="BA2636"/>
      <w:sz w:val="18"/>
      <w:szCs w:val="18"/>
    </w:rPr>
  </w:style>
  <w:style w:type="paragraph" w:customStyle="1" w:styleId="66">
    <w:name w:val="Char1 Char Char Char"/>
    <w:basedOn w:val="1"/>
    <w:qFormat/>
    <w:uiPriority w:val="0"/>
    <w:pPr>
      <w:adjustRightInd w:val="0"/>
      <w:spacing w:line="360" w:lineRule="auto"/>
    </w:pPr>
    <w:rPr>
      <w:kern w:val="0"/>
      <w:sz w:val="24"/>
      <w:szCs w:val="20"/>
    </w:rPr>
  </w:style>
  <w:style w:type="paragraph" w:customStyle="1" w:styleId="67">
    <w:name w:val="前言、引言标题"/>
    <w:next w:val="1"/>
    <w:qFormat/>
    <w:uiPriority w:val="0"/>
    <w:pPr>
      <w:numPr>
        <w:ilvl w:val="0"/>
        <w:numId w:val="1"/>
      </w:numPr>
      <w:shd w:val="clear" w:color="FFFFFF" w:fill="FFFFFF"/>
      <w:spacing w:before="640" w:after="560"/>
      <w:jc w:val="center"/>
      <w:outlineLvl w:val="0"/>
    </w:pPr>
    <w:rPr>
      <w:rFonts w:ascii="黑体" w:hAnsi="Times New Roman" w:eastAsia="黑体" w:cs="Times New Roman"/>
      <w:sz w:val="32"/>
      <w:lang w:val="en-US" w:eastAsia="zh-CN" w:bidi="ar-SA"/>
    </w:rPr>
  </w:style>
  <w:style w:type="paragraph" w:customStyle="1" w:styleId="68">
    <w:name w:val="_Style 2"/>
    <w:basedOn w:val="1"/>
    <w:qFormat/>
    <w:uiPriority w:val="34"/>
    <w:pPr>
      <w:ind w:firstLine="420" w:firstLineChars="200"/>
    </w:pPr>
  </w:style>
  <w:style w:type="paragraph" w:customStyle="1" w:styleId="69">
    <w:name w:val="Char Char Char Char Char Char"/>
    <w:basedOn w:val="1"/>
    <w:qFormat/>
    <w:uiPriority w:val="0"/>
    <w:rPr>
      <w:rFonts w:ascii="Tahoma" w:hAnsi="Tahoma"/>
      <w:sz w:val="24"/>
    </w:rPr>
  </w:style>
  <w:style w:type="paragraph" w:customStyle="1" w:styleId="70">
    <w:name w:val="章标题"/>
    <w:next w:val="1"/>
    <w:qFormat/>
    <w:uiPriority w:val="0"/>
    <w:pPr>
      <w:numPr>
        <w:ilvl w:val="1"/>
        <w:numId w:val="1"/>
      </w:numPr>
      <w:spacing w:beforeLines="50" w:afterLines="50"/>
      <w:jc w:val="both"/>
      <w:outlineLvl w:val="1"/>
    </w:pPr>
    <w:rPr>
      <w:rFonts w:ascii="黑体" w:hAnsi="Times New Roman" w:eastAsia="黑体" w:cs="Times New Roman"/>
      <w:sz w:val="21"/>
      <w:lang w:val="en-US" w:eastAsia="zh-CN" w:bidi="ar-SA"/>
    </w:rPr>
  </w:style>
  <w:style w:type="paragraph" w:customStyle="1" w:styleId="71">
    <w:name w:val="Char Char Char"/>
    <w:basedOn w:val="1"/>
    <w:qFormat/>
    <w:uiPriority w:val="0"/>
    <w:rPr>
      <w:rFonts w:ascii="Tahoma" w:hAnsi="Tahoma"/>
      <w:sz w:val="24"/>
      <w:szCs w:val="20"/>
    </w:rPr>
  </w:style>
  <w:style w:type="paragraph" w:customStyle="1" w:styleId="72">
    <w:name w:val="6'"/>
    <w:basedOn w:val="1"/>
    <w:qFormat/>
    <w:uiPriority w:val="0"/>
    <w:pPr>
      <w:autoSpaceDE w:val="0"/>
      <w:autoSpaceDN w:val="0"/>
      <w:adjustRightInd w:val="0"/>
      <w:snapToGrid w:val="0"/>
      <w:spacing w:line="320" w:lineRule="exact"/>
      <w:jc w:val="center"/>
      <w:textAlignment w:val="baseline"/>
    </w:pPr>
    <w:rPr>
      <w:spacing w:val="20"/>
      <w:kern w:val="28"/>
      <w:szCs w:val="20"/>
    </w:rPr>
  </w:style>
  <w:style w:type="paragraph" w:customStyle="1" w:styleId="73">
    <w:name w:val="样式 宋体 三号 加粗 居中 行距: 最小值 12 磅"/>
    <w:basedOn w:val="1"/>
    <w:qFormat/>
    <w:uiPriority w:val="0"/>
    <w:pPr>
      <w:spacing w:line="240" w:lineRule="atLeast"/>
      <w:jc w:val="center"/>
    </w:pPr>
    <w:rPr>
      <w:rFonts w:ascii="宋体" w:hAnsi="宋体" w:cs="宋体"/>
      <w:b/>
      <w:bCs/>
      <w:szCs w:val="20"/>
    </w:rPr>
  </w:style>
  <w:style w:type="paragraph" w:customStyle="1" w:styleId="74">
    <w:name w:val="普通(网站)1"/>
    <w:basedOn w:val="1"/>
    <w:qFormat/>
    <w:uiPriority w:val="0"/>
    <w:pPr>
      <w:widowControl/>
      <w:spacing w:before="100" w:beforeAutospacing="1" w:after="100" w:afterAutospacing="1"/>
      <w:jc w:val="left"/>
    </w:pPr>
    <w:rPr>
      <w:rFonts w:ascii="宋体" w:hAnsi="宋体" w:cs="宋体"/>
      <w:kern w:val="0"/>
      <w:sz w:val="24"/>
    </w:rPr>
  </w:style>
  <w:style w:type="paragraph" w:customStyle="1" w:styleId="75">
    <w:name w:val="二级条标题"/>
    <w:basedOn w:val="76"/>
    <w:next w:val="1"/>
    <w:qFormat/>
    <w:uiPriority w:val="0"/>
    <w:pPr>
      <w:numPr>
        <w:ilvl w:val="3"/>
      </w:numPr>
      <w:outlineLvl w:val="3"/>
    </w:pPr>
  </w:style>
  <w:style w:type="paragraph" w:customStyle="1" w:styleId="76">
    <w:name w:val="一级条标题"/>
    <w:basedOn w:val="70"/>
    <w:next w:val="1"/>
    <w:qFormat/>
    <w:uiPriority w:val="0"/>
    <w:pPr>
      <w:numPr>
        <w:ilvl w:val="2"/>
      </w:numPr>
      <w:spacing w:beforeLines="0" w:afterLines="0"/>
      <w:outlineLvl w:val="2"/>
    </w:pPr>
  </w:style>
  <w:style w:type="paragraph" w:customStyle="1" w:styleId="77">
    <w:name w:val="Char Char Char1"/>
    <w:basedOn w:val="1"/>
    <w:qFormat/>
    <w:uiPriority w:val="0"/>
    <w:rPr>
      <w:rFonts w:ascii="Tahoma" w:hAnsi="Tahoma"/>
      <w:sz w:val="24"/>
      <w:szCs w:val="20"/>
    </w:rPr>
  </w:style>
  <w:style w:type="paragraph" w:customStyle="1" w:styleId="78">
    <w:name w:val="样式5"/>
    <w:basedOn w:val="79"/>
    <w:qFormat/>
    <w:uiPriority w:val="0"/>
    <w:pPr>
      <w:numPr>
        <w:ilvl w:val="3"/>
      </w:numPr>
      <w:tabs>
        <w:tab w:val="left" w:pos="432"/>
      </w:tabs>
      <w:spacing w:before="156"/>
    </w:pPr>
  </w:style>
  <w:style w:type="paragraph" w:customStyle="1" w:styleId="79">
    <w:name w:val="样式4"/>
    <w:basedOn w:val="1"/>
    <w:qFormat/>
    <w:uiPriority w:val="0"/>
    <w:pPr>
      <w:numPr>
        <w:ilvl w:val="0"/>
        <w:numId w:val="2"/>
      </w:numPr>
      <w:spacing w:beforeLines="50"/>
      <w:outlineLvl w:val="2"/>
    </w:pPr>
    <w:rPr>
      <w:rFonts w:ascii="宋体" w:hAnsi="宋体" w:cs="MS Shell Dlg"/>
      <w:b/>
      <w:kern w:val="0"/>
      <w:szCs w:val="21"/>
    </w:rPr>
  </w:style>
  <w:style w:type="paragraph" w:customStyle="1" w:styleId="80">
    <w:name w:val="Char"/>
    <w:basedOn w:val="1"/>
    <w:qFormat/>
    <w:uiPriority w:val="0"/>
    <w:pPr>
      <w:adjustRightInd w:val="0"/>
      <w:spacing w:line="360" w:lineRule="auto"/>
    </w:pPr>
    <w:rPr>
      <w:kern w:val="0"/>
      <w:sz w:val="24"/>
      <w:szCs w:val="20"/>
    </w:rPr>
  </w:style>
  <w:style w:type="paragraph" w:customStyle="1" w:styleId="81">
    <w:name w:val="Char1"/>
    <w:basedOn w:val="1"/>
    <w:qFormat/>
    <w:uiPriority w:val="0"/>
    <w:pPr>
      <w:adjustRightInd w:val="0"/>
      <w:spacing w:line="360" w:lineRule="auto"/>
    </w:pPr>
    <w:rPr>
      <w:kern w:val="0"/>
      <w:sz w:val="24"/>
      <w:szCs w:val="20"/>
    </w:rPr>
  </w:style>
  <w:style w:type="paragraph" w:customStyle="1" w:styleId="82">
    <w:name w:val="三级条标题"/>
    <w:basedOn w:val="75"/>
    <w:next w:val="1"/>
    <w:qFormat/>
    <w:uiPriority w:val="0"/>
    <w:pPr>
      <w:numPr>
        <w:ilvl w:val="4"/>
      </w:numPr>
      <w:outlineLvl w:val="4"/>
    </w:pPr>
  </w:style>
  <w:style w:type="paragraph" w:customStyle="1" w:styleId="83">
    <w:name w:val="Char Char8"/>
    <w:basedOn w:val="1"/>
    <w:qFormat/>
    <w:uiPriority w:val="0"/>
    <w:pPr>
      <w:widowControl/>
      <w:spacing w:after="160" w:line="240" w:lineRule="exact"/>
      <w:jc w:val="left"/>
    </w:pPr>
    <w:rPr>
      <w:rFonts w:ascii="Verdana" w:hAnsi="Verdana" w:eastAsia="仿宋_GB2312"/>
      <w:kern w:val="0"/>
      <w:sz w:val="24"/>
      <w:szCs w:val="20"/>
      <w:lang w:eastAsia="en-US"/>
    </w:rPr>
  </w:style>
  <w:style w:type="paragraph" w:customStyle="1" w:styleId="84">
    <w:name w:val="Char Char Char Char Char Char Char"/>
    <w:basedOn w:val="1"/>
    <w:qFormat/>
    <w:uiPriority w:val="0"/>
    <w:rPr>
      <w:rFonts w:ascii="Tahoma" w:hAnsi="Tahoma" w:cs="Arial"/>
      <w:szCs w:val="21"/>
    </w:rPr>
  </w:style>
  <w:style w:type="paragraph" w:customStyle="1" w:styleId="85">
    <w:name w:val="样式8"/>
    <w:basedOn w:val="1"/>
    <w:qFormat/>
    <w:uiPriority w:val="0"/>
    <w:pPr>
      <w:numPr>
        <w:ilvl w:val="3"/>
        <w:numId w:val="3"/>
      </w:numPr>
      <w:tabs>
        <w:tab w:val="left" w:pos="1838"/>
        <w:tab w:val="clear" w:pos="1271"/>
      </w:tabs>
      <w:ind w:left="1838"/>
      <w:outlineLvl w:val="2"/>
    </w:pPr>
    <w:rPr>
      <w:rFonts w:ascii="宋体" w:hAnsi="宋体" w:cs="MS Shell Dlg"/>
      <w:kern w:val="0"/>
      <w:szCs w:val="21"/>
    </w:rPr>
  </w:style>
  <w:style w:type="paragraph" w:customStyle="1" w:styleId="86">
    <w:name w:val="px12black"/>
    <w:basedOn w:val="1"/>
    <w:qFormat/>
    <w:uiPriority w:val="0"/>
    <w:pPr>
      <w:widowControl/>
      <w:spacing w:before="100" w:beforeAutospacing="1" w:after="100" w:afterAutospacing="1"/>
      <w:jc w:val="left"/>
    </w:pPr>
    <w:rPr>
      <w:rFonts w:ascii="宋体" w:hAnsi="宋体"/>
      <w:kern w:val="0"/>
      <w:sz w:val="24"/>
      <w:szCs w:val="20"/>
    </w:rPr>
  </w:style>
  <w:style w:type="paragraph" w:customStyle="1" w:styleId="87">
    <w:name w:val="五级条标题"/>
    <w:basedOn w:val="88"/>
    <w:next w:val="1"/>
    <w:qFormat/>
    <w:uiPriority w:val="0"/>
    <w:pPr>
      <w:numPr>
        <w:ilvl w:val="6"/>
      </w:numPr>
      <w:outlineLvl w:val="6"/>
    </w:pPr>
  </w:style>
  <w:style w:type="paragraph" w:customStyle="1" w:styleId="88">
    <w:name w:val="四级条标题"/>
    <w:basedOn w:val="82"/>
    <w:next w:val="1"/>
    <w:qFormat/>
    <w:uiPriority w:val="0"/>
    <w:pPr>
      <w:numPr>
        <w:ilvl w:val="5"/>
      </w:numPr>
      <w:outlineLvl w:val="5"/>
    </w:pPr>
  </w:style>
  <w:style w:type="paragraph" w:customStyle="1" w:styleId="89">
    <w:name w:val="Normal Indent1"/>
    <w:basedOn w:val="1"/>
    <w:qFormat/>
    <w:uiPriority w:val="99"/>
    <w:pPr>
      <w:autoSpaceDE w:val="0"/>
      <w:autoSpaceDN w:val="0"/>
      <w:adjustRightInd w:val="0"/>
      <w:ind w:firstLine="420"/>
    </w:pPr>
    <w:rPr>
      <w:kern w:val="0"/>
      <w:szCs w:val="21"/>
    </w:rPr>
  </w:style>
  <w:style w:type="paragraph" w:customStyle="1" w:styleId="90">
    <w:name w:val="样式1"/>
    <w:basedOn w:val="1"/>
    <w:qFormat/>
    <w:uiPriority w:val="0"/>
    <w:pPr>
      <w:numPr>
        <w:ilvl w:val="0"/>
        <w:numId w:val="4"/>
      </w:numPr>
      <w:adjustRightInd w:val="0"/>
      <w:textAlignment w:val="baseline"/>
    </w:pPr>
    <w:rPr>
      <w:rFonts w:ascii="宋体" w:hAnsi="宋体"/>
      <w:kern w:val="0"/>
      <w:szCs w:val="21"/>
    </w:rPr>
  </w:style>
  <w:style w:type="paragraph" w:customStyle="1" w:styleId="91">
    <w:name w:val="样式6"/>
    <w:basedOn w:val="79"/>
    <w:qFormat/>
    <w:uiPriority w:val="0"/>
    <w:pPr>
      <w:numPr>
        <w:ilvl w:val="2"/>
      </w:numPr>
      <w:tabs>
        <w:tab w:val="clear" w:pos="432"/>
      </w:tabs>
      <w:spacing w:before="156"/>
      <w:outlineLvl w:val="4"/>
    </w:pPr>
    <w:rPr>
      <w:rFonts w:ascii="MS Shell Dlg" w:hAnsi="MS Shell Dlg"/>
    </w:rPr>
  </w:style>
  <w:style w:type="paragraph" w:styleId="92">
    <w:name w:val="List Paragraph"/>
    <w:basedOn w:val="1"/>
    <w:qFormat/>
    <w:uiPriority w:val="34"/>
    <w:pPr>
      <w:ind w:firstLine="420" w:firstLineChars="200"/>
    </w:pPr>
    <w:rPr>
      <w:sz w:val="28"/>
    </w:rPr>
  </w:style>
  <w:style w:type="paragraph" w:customStyle="1" w:styleId="93">
    <w:name w:val="列出段落1"/>
    <w:basedOn w:val="1"/>
    <w:qFormat/>
    <w:uiPriority w:val="0"/>
    <w:pPr>
      <w:ind w:firstLine="420" w:firstLineChars="200"/>
    </w:pPr>
    <w:rPr>
      <w:rFonts w:ascii="Calibri" w:hAnsi="Calibri"/>
      <w:kern w:val="0"/>
      <w:sz w:val="20"/>
      <w:szCs w:val="20"/>
    </w:rPr>
  </w:style>
  <w:style w:type="paragraph" w:customStyle="1" w:styleId="94">
    <w:name w:val="样式 标题 2 + Times New Roman 四号 非加粗 段前: 5 磅 段后: 0 磅 行距: 固定值 20..."/>
    <w:basedOn w:val="5"/>
    <w:qFormat/>
    <w:uiPriority w:val="0"/>
    <w:pPr>
      <w:spacing w:before="100" w:after="0" w:line="400" w:lineRule="exact"/>
    </w:pPr>
    <w:rPr>
      <w:rFonts w:ascii="Times New Roman" w:hAnsi="Times New Roman" w:cs="宋体"/>
      <w:b w:val="0"/>
      <w:bCs w:val="0"/>
      <w:sz w:val="28"/>
      <w:szCs w:val="20"/>
    </w:rPr>
  </w:style>
  <w:style w:type="paragraph" w:customStyle="1" w:styleId="95">
    <w:name w:val="Table Paragraph"/>
    <w:basedOn w:val="1"/>
    <w:unhideWhenUsed/>
    <w:qFormat/>
    <w:uiPriority w:val="1"/>
    <w:rPr>
      <w:rFonts w:hint="eastAsia"/>
      <w:sz w:val="24"/>
    </w:rPr>
  </w:style>
  <w:style w:type="paragraph" w:customStyle="1" w:styleId="96">
    <w:name w:val="样式 标题 3 + (中文) 黑体 小四 非加粗 段前: 7.8 磅 段后: 0 磅 行距: 固定值 20 磅"/>
    <w:basedOn w:val="6"/>
    <w:qFormat/>
    <w:uiPriority w:val="0"/>
    <w:pPr>
      <w:spacing w:before="0" w:after="0" w:line="400" w:lineRule="exact"/>
    </w:pPr>
    <w:rPr>
      <w:rFonts w:eastAsia="黑体" w:cs="宋体"/>
      <w:b w:val="0"/>
      <w:bCs w:val="0"/>
      <w:sz w:val="24"/>
      <w:szCs w:val="20"/>
    </w:rPr>
  </w:style>
  <w:style w:type="paragraph" w:customStyle="1" w:styleId="97">
    <w:name w:val="正文_0_0"/>
    <w:qFormat/>
    <w:uiPriority w:val="0"/>
    <w:pPr>
      <w:widowControl w:val="0"/>
      <w:jc w:val="both"/>
    </w:pPr>
    <w:rPr>
      <w:rFonts w:ascii="Calibri" w:hAnsi="Calibri" w:eastAsia="宋体" w:cs="Times New Roman"/>
      <w:kern w:val="2"/>
      <w:sz w:val="21"/>
      <w:szCs w:val="22"/>
      <w:lang w:val="en-US" w:eastAsia="zh-CN" w:bidi="ar-SA"/>
    </w:rPr>
  </w:style>
  <w:style w:type="character" w:customStyle="1" w:styleId="98">
    <w:name w:val="标题 2 Char1"/>
    <w:link w:val="5"/>
    <w:qFormat/>
    <w:uiPriority w:val="0"/>
    <w:rPr>
      <w:rFonts w:ascii="Arial" w:hAnsi="Arial" w:eastAsia="黑体"/>
      <w:b/>
      <w:bCs/>
      <w:sz w:val="32"/>
      <w:szCs w:val="32"/>
    </w:rPr>
  </w:style>
  <w:style w:type="character" w:customStyle="1" w:styleId="99">
    <w:name w:val="标题 1 Char"/>
    <w:link w:val="4"/>
    <w:qFormat/>
    <w:uiPriority w:val="0"/>
    <w:rPr>
      <w:b/>
      <w:bCs/>
      <w:kern w:val="44"/>
      <w:sz w:val="44"/>
      <w:szCs w:val="44"/>
    </w:rPr>
  </w:style>
  <w:style w:type="character" w:customStyle="1" w:styleId="100">
    <w:name w:val="标题 3 Char"/>
    <w:link w:val="6"/>
    <w:qFormat/>
    <w:uiPriority w:val="0"/>
    <w:rPr>
      <w:b/>
      <w:bCs/>
      <w:sz w:val="32"/>
      <w:szCs w:val="32"/>
    </w:rPr>
  </w:style>
  <w:style w:type="character" w:customStyle="1" w:styleId="101">
    <w:name w:val="layui-laypage-curr"/>
    <w:basedOn w:val="28"/>
    <w:qFormat/>
    <w:uiPriority w:val="0"/>
  </w:style>
  <w:style w:type="character" w:customStyle="1" w:styleId="102">
    <w:name w:val="label"/>
    <w:basedOn w:val="28"/>
    <w:qFormat/>
    <w:uiPriority w:val="0"/>
    <w:rPr>
      <w:color w:val="999999"/>
    </w:rPr>
  </w:style>
  <w:style w:type="character" w:customStyle="1" w:styleId="103">
    <w:name w:val="16"/>
    <w:basedOn w:val="28"/>
    <w:qFormat/>
    <w:uiPriority w:val="0"/>
    <w:rPr>
      <w:rFonts w:hint="default" w:ascii="Times New Roman" w:hAnsi="Times New Roman" w:cs="Times New Roman"/>
      <w:b/>
      <w:bCs/>
    </w:rPr>
  </w:style>
  <w:style w:type="character" w:customStyle="1" w:styleId="104">
    <w:name w:val="layui-this"/>
    <w:basedOn w:val="28"/>
    <w:qFormat/>
    <w:uiPriority w:val="0"/>
    <w:rPr>
      <w:bdr w:val="single" w:color="EEEEEE" w:sz="6" w:space="0"/>
      <w:shd w:val="clear" w:color="auto" w:fill="FFFFFF"/>
    </w:rPr>
  </w:style>
  <w:style w:type="character" w:customStyle="1" w:styleId="105">
    <w:name w:val="first-child"/>
    <w:basedOn w:val="28"/>
    <w:qFormat/>
    <w:uiPriority w:val="0"/>
  </w:style>
</w:styles>
</file>

<file path=word/_rels/document.xml.rels><?xml version="1.0" encoding="UTF-8" standalone="yes"?>
<Relationships xmlns="http://schemas.openxmlformats.org/package/2006/relationships"><Relationship Id="rId9" Type="http://schemas.openxmlformats.org/officeDocument/2006/relationships/footer" Target="footer3.xml"/><Relationship Id="rId8" Type="http://schemas.openxmlformats.org/officeDocument/2006/relationships/header" Target="header4.xml"/><Relationship Id="rId7" Type="http://schemas.openxmlformats.org/officeDocument/2006/relationships/header" Target="header3.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8" Type="http://schemas.openxmlformats.org/officeDocument/2006/relationships/fontTable" Target="fontTable.xml"/><Relationship Id="rId17" Type="http://schemas.openxmlformats.org/officeDocument/2006/relationships/customXml" Target="../customXml/item2.xml"/><Relationship Id="rId16" Type="http://schemas.openxmlformats.org/officeDocument/2006/relationships/numbering" Target="numbering.xml"/><Relationship Id="rId15" Type="http://schemas.openxmlformats.org/officeDocument/2006/relationships/customXml" Target="../customXml/item1.xml"/><Relationship Id="rId14" Type="http://schemas.openxmlformats.org/officeDocument/2006/relationships/image" Target="media/image2.wmf"/><Relationship Id="rId13" Type="http://schemas.openxmlformats.org/officeDocument/2006/relationships/image" Target="media/image1.jpeg"/><Relationship Id="rId12" Type="http://schemas.openxmlformats.org/officeDocument/2006/relationships/theme" Target="theme/theme1.xml"/><Relationship Id="rId11" Type="http://schemas.openxmlformats.org/officeDocument/2006/relationships/footer" Target="footer5.xml"/><Relationship Id="rId10" Type="http://schemas.openxmlformats.org/officeDocument/2006/relationships/footer" Target="footer4.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ops>
  <customShpExts>
    <customShpInfo spid="_x0000_s2050"/>
    <customShpInfo spid="_x0000_s2049"/>
  </customShpExt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56ED7F18-4DFB-40EE-97CC-9C7C0A16306D}">
  <ds:schemaRefs/>
</ds:datastoreItem>
</file>

<file path=docProps/app.xml><?xml version="1.0" encoding="utf-8"?>
<Properties xmlns="http://schemas.openxmlformats.org/officeDocument/2006/extended-properties" xmlns:vt="http://schemas.openxmlformats.org/officeDocument/2006/docPropsVTypes">
  <Template>Normal.dotm</Template>
  <Company>china</Company>
  <Pages>72</Pages>
  <Words>8213</Words>
  <Characters>46818</Characters>
  <Lines>390</Lines>
  <Paragraphs>109</Paragraphs>
  <TotalTime>4</TotalTime>
  <ScaleCrop>false</ScaleCrop>
  <LinksUpToDate>false</LinksUpToDate>
  <CharactersWithSpaces>54922</CharactersWithSpaces>
  <Application>WPS Office_11.1.0.10938_F1E327BC-269C-435d-A152-05C5408002CA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2018-07-02T23:53:00Z</dcterms:created>
  <dc:creator>风之客</dc:creator>
  <cp:lastModifiedBy>ying</cp:lastModifiedBy>
  <cp:lastPrinted>2019-09-01T07:55:00Z</cp:lastPrinted>
  <dcterms:modified xsi:type="dcterms:W3CDTF">2021-09-29T03:28:42Z</dcterms:modified>
  <dc:title>湖 北  招 标</dc:title>
  <cp:revision>19</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2052-11.1.0.10938</vt:lpwstr>
  </property>
  <property fmtid="{D5CDD505-2E9C-101B-9397-08002B2CF9AE}" pid="3" name="ICV">
    <vt:lpwstr>0893775613E244AFB9EB63BD0AF6EFDD</vt:lpwstr>
  </property>
</Properties>
</file>