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ind w:right="17"/>
        <w:jc w:val="center"/>
        <w:rPr>
          <w:rFonts w:asciiTheme="minorEastAsia" w:hAnsiTheme="minorEastAsia" w:eastAsiaTheme="minorEastAsia" w:cstheme="minorEastAsia"/>
          <w:sz w:val="28"/>
        </w:rPr>
      </w:pPr>
      <w:r>
        <w:rPr>
          <w:rFonts w:hint="eastAsia"/>
        </w:rPr>
        <w:drawing>
          <wp:anchor distT="0" distB="0" distL="114300" distR="114300" simplePos="0" relativeHeight="251661312" behindDoc="1" locked="0" layoutInCell="1" allowOverlap="1">
            <wp:simplePos x="0" y="0"/>
            <wp:positionH relativeFrom="column">
              <wp:posOffset>-2146935</wp:posOffset>
            </wp:positionH>
            <wp:positionV relativeFrom="paragraph">
              <wp:posOffset>-899795</wp:posOffset>
            </wp:positionV>
            <wp:extent cx="7612380" cy="1205865"/>
            <wp:effectExtent l="0" t="0" r="0" b="0"/>
            <wp:wrapNone/>
            <wp:docPr id="1" name="图片 1" descr="D:\Word设计\1平面设计\文档封面\2022.02.23文档封面\images\封面_01.png封面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Word设计\1平面设计\文档封面\2022.02.23文档封面\images\封面_01.png封面_01"/>
                    <pic:cNvPicPr>
                      <a:picLocks noChangeAspect="1"/>
                    </pic:cNvPicPr>
                  </pic:nvPicPr>
                  <pic:blipFill>
                    <a:blip r:embed="rId9">
                      <a:lum bright="12000"/>
                    </a:blip>
                    <a:srcRect r="-5657"/>
                    <a:stretch>
                      <a:fillRect/>
                    </a:stretch>
                  </pic:blipFill>
                  <pic:spPr>
                    <a:xfrm>
                      <a:off x="0" y="0"/>
                      <a:ext cx="7612380" cy="1205865"/>
                    </a:xfrm>
                    <a:prstGeom prst="rect">
                      <a:avLst/>
                    </a:prstGeom>
                  </pic:spPr>
                </pic:pic>
              </a:graphicData>
            </a:graphic>
          </wp:anchor>
        </w:drawing>
      </w:r>
      <w:r>
        <w:rPr>
          <w:rFonts w:hint="eastAsia" w:asciiTheme="minorEastAsia" w:hAnsiTheme="minorEastAsia" w:eastAsiaTheme="minorEastAsia" w:cstheme="minorEastAsia"/>
          <w:sz w:val="30"/>
          <w:szCs w:val="30"/>
        </w:rPr>
        <w:drawing>
          <wp:anchor distT="0" distB="0" distL="114300" distR="114300" simplePos="0" relativeHeight="251660288" behindDoc="0" locked="0" layoutInCell="1" allowOverlap="1">
            <wp:simplePos x="0" y="0"/>
            <wp:positionH relativeFrom="column">
              <wp:posOffset>11430</wp:posOffset>
            </wp:positionH>
            <wp:positionV relativeFrom="paragraph">
              <wp:posOffset>62865</wp:posOffset>
            </wp:positionV>
            <wp:extent cx="1222375" cy="784860"/>
            <wp:effectExtent l="0" t="0" r="15875" b="15240"/>
            <wp:wrapSquare wrapText="bothSides"/>
            <wp:docPr id="3" name="图片 5" descr="背景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背景墙"/>
                    <pic:cNvPicPr>
                      <a:picLocks noChangeAspect="1" noChangeArrowheads="1"/>
                    </pic:cNvPicPr>
                  </pic:nvPicPr>
                  <pic:blipFill>
                    <a:blip r:embed="rId10" cstate="print"/>
                    <a:srcRect/>
                    <a:stretch>
                      <a:fillRect/>
                    </a:stretch>
                  </pic:blipFill>
                  <pic:spPr>
                    <a:xfrm>
                      <a:off x="0" y="0"/>
                      <a:ext cx="1222375" cy="784860"/>
                    </a:xfrm>
                    <a:prstGeom prst="rect">
                      <a:avLst/>
                    </a:prstGeom>
                    <a:noFill/>
                    <a:ln w="9525" cmpd="sng">
                      <a:noFill/>
                      <a:miter lim="800000"/>
                      <a:headEnd/>
                      <a:tailEnd/>
                    </a:ln>
                  </pic:spPr>
                </pic:pic>
              </a:graphicData>
            </a:graphic>
          </wp:anchor>
        </w:drawing>
      </w: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p>
    <w:p>
      <w:pPr>
        <w:kinsoku w:val="0"/>
        <w:overflowPunct w:val="0"/>
        <w:ind w:right="17"/>
        <w:jc w:val="center"/>
        <w:rPr>
          <w:rFonts w:asciiTheme="minorEastAsia" w:hAnsiTheme="minorEastAsia" w:eastAsiaTheme="minorEastAsia" w:cstheme="minorEastAsia"/>
          <w:sz w:val="28"/>
        </w:rPr>
      </w:pPr>
      <w:r>
        <w:rPr>
          <w:rFonts w:hint="eastAsia" w:asciiTheme="minorEastAsia" w:hAnsiTheme="minorEastAsia" w:eastAsiaTheme="minorEastAsia" w:cstheme="minorEastAsia"/>
          <w:sz w:val="28"/>
        </w:rPr>
        <w:br w:type="textWrapping"/>
      </w:r>
      <w:r>
        <w:rPr>
          <w:rFonts w:hint="eastAsia" w:asciiTheme="minorEastAsia" w:hAnsiTheme="minorEastAsia" w:eastAsiaTheme="minorEastAsia" w:cstheme="minorEastAsia"/>
          <w:sz w:val="28"/>
        </w:rPr>
        <w:br w:type="textWrapping"/>
      </w:r>
    </w:p>
    <w:p>
      <w:pPr>
        <w:pStyle w:val="10"/>
        <w:kinsoku w:val="0"/>
        <w:overflowPunct w:val="0"/>
        <w:spacing w:before="194"/>
        <w:jc w:val="center"/>
        <w:rPr>
          <w:rFonts w:asciiTheme="minorEastAsia" w:hAnsiTheme="minorEastAsia" w:eastAsiaTheme="minorEastAsia" w:cstheme="minorEastAsia"/>
          <w:sz w:val="92"/>
        </w:rPr>
      </w:pPr>
      <w:r>
        <w:rPr>
          <w:rFonts w:hint="eastAsia" w:asciiTheme="minorEastAsia" w:hAnsiTheme="minorEastAsia" w:eastAsiaTheme="minorEastAsia" w:cstheme="minorEastAsia"/>
          <w:sz w:val="92"/>
        </w:rPr>
        <w:t>竞争性磋商采购文件</w:t>
      </w:r>
    </w:p>
    <w:p>
      <w:pPr>
        <w:pStyle w:val="10"/>
        <w:kinsoku w:val="0"/>
        <w:overflowPunct w:val="0"/>
        <w:rPr>
          <w:rFonts w:asciiTheme="minorEastAsia" w:hAnsiTheme="minorEastAsia" w:eastAsiaTheme="minorEastAsia" w:cstheme="minorEastAsia"/>
          <w:sz w:val="20"/>
        </w:rPr>
      </w:pPr>
    </w:p>
    <w:p>
      <w:pPr>
        <w:pStyle w:val="10"/>
        <w:kinsoku w:val="0"/>
        <w:overflowPunct w:val="0"/>
        <w:jc w:val="center"/>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2" w:after="1"/>
        <w:rPr>
          <w:rFonts w:asciiTheme="minorEastAsia" w:hAnsiTheme="minorEastAsia" w:eastAsiaTheme="minorEastAsia" w:cstheme="minorEastAsia"/>
          <w:sz w:val="11"/>
        </w:rPr>
      </w:pPr>
    </w:p>
    <w:tbl>
      <w:tblPr>
        <w:tblStyle w:val="26"/>
        <w:tblW w:w="8146" w:type="dxa"/>
        <w:tblInd w:w="690" w:type="dxa"/>
        <w:tblLayout w:type="fixed"/>
        <w:tblCellMar>
          <w:top w:w="0" w:type="dxa"/>
          <w:left w:w="0" w:type="dxa"/>
          <w:bottom w:w="0" w:type="dxa"/>
          <w:right w:w="0" w:type="dxa"/>
        </w:tblCellMar>
      </w:tblPr>
      <w:tblGrid>
        <w:gridCol w:w="2120"/>
        <w:gridCol w:w="6026"/>
      </w:tblGrid>
      <w:tr>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计划备案号：</w:t>
            </w:r>
          </w:p>
        </w:tc>
        <w:tc>
          <w:tcPr>
            <w:tcW w:w="6026" w:type="dxa"/>
            <w:tcBorders>
              <w:top w:val="nil"/>
              <w:left w:val="nil"/>
              <w:bottom w:val="nil"/>
              <w:right w:val="nil"/>
              <w:tl2br w:val="nil"/>
              <w:tr2bl w:val="nil"/>
            </w:tcBorders>
            <w:vAlign w:val="center"/>
          </w:tcPr>
          <w:p>
            <w:pPr>
              <w:pStyle w:val="100"/>
              <w:kinsoku w:val="0"/>
              <w:overflowPunct w:val="0"/>
              <w:spacing w:before="122"/>
              <w:ind w:left="55"/>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val="en-US" w:eastAsia="zh-CN"/>
              </w:rPr>
              <w:t>/</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项目编号：</w:t>
            </w:r>
          </w:p>
        </w:tc>
        <w:tc>
          <w:tcPr>
            <w:tcW w:w="6026" w:type="dxa"/>
            <w:tcBorders>
              <w:top w:val="nil"/>
              <w:left w:val="nil"/>
              <w:bottom w:val="nil"/>
              <w:right w:val="nil"/>
              <w:tl2br w:val="nil"/>
              <w:tr2bl w:val="nil"/>
            </w:tcBorders>
            <w:vAlign w:val="center"/>
          </w:tcPr>
          <w:p>
            <w:pPr>
              <w:pStyle w:val="100"/>
              <w:kinsoku w:val="0"/>
              <w:overflowPunct w:val="0"/>
              <w:spacing w:before="122"/>
              <w:ind w:left="55"/>
              <w:rPr>
                <w:rFonts w:hint="eastAsia" w:eastAsia="微软雅黑" w:asciiTheme="minorEastAsia" w:hAnsiTheme="minorEastAsia" w:cstheme="minorEastAsia"/>
                <w:b/>
                <w:sz w:val="28"/>
                <w:lang w:eastAsia="zh-CN"/>
              </w:rPr>
            </w:pPr>
            <w:r>
              <w:rPr>
                <w:rFonts w:hint="eastAsia" w:asciiTheme="minorEastAsia" w:hAnsiTheme="minorEastAsia" w:eastAsiaTheme="minorEastAsia" w:cstheme="minorEastAsia"/>
                <w:b/>
                <w:sz w:val="28"/>
                <w:lang w:eastAsia="zh-CN"/>
              </w:rPr>
              <w:t>HGDXW22-054/ZJZB-202207-198</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项目名称：</w:t>
            </w:r>
          </w:p>
        </w:tc>
        <w:tc>
          <w:tcPr>
            <w:tcW w:w="6026" w:type="dxa"/>
            <w:tcBorders>
              <w:top w:val="nil"/>
              <w:left w:val="nil"/>
              <w:bottom w:val="nil"/>
              <w:right w:val="nil"/>
              <w:tl2br w:val="nil"/>
              <w:tr2bl w:val="nil"/>
            </w:tcBorders>
            <w:vAlign w:val="center"/>
          </w:tcPr>
          <w:p>
            <w:pPr>
              <w:pStyle w:val="100"/>
              <w:kinsoku w:val="0"/>
              <w:overflowPunct w:val="0"/>
              <w:spacing w:before="123" w:line="242" w:lineRule="auto"/>
              <w:ind w:left="55" w:right="136"/>
              <w:rPr>
                <w:rFonts w:hint="eastAsia" w:asciiTheme="minorEastAsia" w:hAnsiTheme="minorEastAsia" w:eastAsiaTheme="minorEastAsia" w:cstheme="minorEastAsia"/>
                <w:b/>
                <w:sz w:val="28"/>
                <w:lang w:eastAsia="zh-CN"/>
              </w:rPr>
            </w:pPr>
            <w:r>
              <w:rPr>
                <w:rFonts w:hint="eastAsia" w:asciiTheme="minorEastAsia" w:hAnsiTheme="minorEastAsia" w:eastAsiaTheme="minorEastAsia" w:cstheme="minorEastAsia"/>
                <w:b/>
                <w:sz w:val="28"/>
                <w:lang w:eastAsia="zh-CN"/>
              </w:rPr>
              <w:t>湖北工业大学南区门禁系统改造并网升级</w:t>
            </w:r>
          </w:p>
        </w:tc>
      </w:tr>
      <w:tr>
        <w:tblPrEx>
          <w:tblCellMar>
            <w:top w:w="0" w:type="dxa"/>
            <w:left w:w="0" w:type="dxa"/>
            <w:bottom w:w="0" w:type="dxa"/>
            <w:right w:w="0" w:type="dxa"/>
          </w:tblCellMar>
        </w:tblPrEx>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采购方式：</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竞争性磋商</w:t>
            </w:r>
          </w:p>
        </w:tc>
      </w:tr>
      <w:tr>
        <w:trPr>
          <w:trHeight w:val="743" w:hRule="atLeast"/>
        </w:trPr>
        <w:tc>
          <w:tcPr>
            <w:tcW w:w="2120"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采购类别：</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left="55"/>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货物</w:t>
            </w:r>
          </w:p>
        </w:tc>
      </w:tr>
    </w:tbl>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r>
        <w:drawing>
          <wp:anchor distT="0" distB="0" distL="114300" distR="114300" simplePos="0" relativeHeight="251662336" behindDoc="1" locked="0" layoutInCell="1" allowOverlap="1">
            <wp:simplePos x="0" y="0"/>
            <wp:positionH relativeFrom="column">
              <wp:posOffset>-781050</wp:posOffset>
            </wp:positionH>
            <wp:positionV relativeFrom="paragraph">
              <wp:posOffset>415925</wp:posOffset>
            </wp:positionV>
            <wp:extent cx="7559675" cy="2678430"/>
            <wp:effectExtent l="0" t="0" r="3175" b="7620"/>
            <wp:wrapNone/>
            <wp:docPr id="4" name="图片 4" descr="D:\Word设计\1平面设计\文档封面\2022.02.23文档封面\images\封面_03.png封面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Word设计\1平面设计\文档封面\2022.02.23文档封面\images\封面_03.png封面_03"/>
                    <pic:cNvPicPr>
                      <a:picLocks noChangeAspect="1"/>
                    </pic:cNvPicPr>
                  </pic:nvPicPr>
                  <pic:blipFill>
                    <a:blip r:embed="rId11">
                      <a:lum bright="12000"/>
                    </a:blip>
                    <a:srcRect/>
                    <a:stretch>
                      <a:fillRect/>
                    </a:stretch>
                  </pic:blipFill>
                  <pic:spPr>
                    <a:xfrm>
                      <a:off x="0" y="0"/>
                      <a:ext cx="7559675" cy="2678430"/>
                    </a:xfrm>
                    <a:prstGeom prst="rect">
                      <a:avLst/>
                    </a:prstGeom>
                  </pic:spPr>
                </pic:pic>
              </a:graphicData>
            </a:graphic>
          </wp:anchor>
        </w:drawing>
      </w:r>
    </w:p>
    <w:p>
      <w:pPr>
        <w:pStyle w:val="10"/>
        <w:kinsoku w:val="0"/>
        <w:overflowPunct w:val="0"/>
        <w:rPr>
          <w:rFonts w:asciiTheme="minorEastAsia" w:hAnsiTheme="minorEastAsia" w:eastAsiaTheme="minorEastAsia" w:cstheme="minorEastAsia"/>
          <w:sz w:val="20"/>
        </w:rPr>
      </w:pPr>
    </w:p>
    <w:p>
      <w:pPr>
        <w:pStyle w:val="10"/>
        <w:kinsoku w:val="0"/>
        <w:overflowPunct w:val="0"/>
        <w:rPr>
          <w:rFonts w:asciiTheme="minorEastAsia" w:hAnsiTheme="minorEastAsia" w:eastAsiaTheme="minorEastAsia" w:cstheme="minorEastAsia"/>
          <w:sz w:val="20"/>
        </w:rPr>
      </w:pPr>
    </w:p>
    <w:p>
      <w:pPr>
        <w:pStyle w:val="10"/>
        <w:kinsoku w:val="0"/>
        <w:overflowPunct w:val="0"/>
        <w:spacing w:before="4"/>
        <w:rPr>
          <w:rFonts w:asciiTheme="minorEastAsia" w:hAnsiTheme="minorEastAsia" w:eastAsiaTheme="minorEastAsia" w:cstheme="minorEastAsia"/>
          <w:sz w:val="20"/>
        </w:rPr>
      </w:pPr>
    </w:p>
    <w:tbl>
      <w:tblPr>
        <w:tblStyle w:val="26"/>
        <w:tblW w:w="8123" w:type="dxa"/>
        <w:tblInd w:w="713" w:type="dxa"/>
        <w:tblLayout w:type="fixed"/>
        <w:tblCellMar>
          <w:top w:w="0" w:type="dxa"/>
          <w:left w:w="0" w:type="dxa"/>
          <w:bottom w:w="0" w:type="dxa"/>
          <w:right w:w="0" w:type="dxa"/>
        </w:tblCellMar>
      </w:tblPr>
      <w:tblGrid>
        <w:gridCol w:w="2097"/>
        <w:gridCol w:w="6026"/>
      </w:tblGrid>
      <w:tr>
        <w:tblPrEx>
          <w:tblCellMar>
            <w:top w:w="0" w:type="dxa"/>
            <w:left w:w="0" w:type="dxa"/>
            <w:bottom w:w="0" w:type="dxa"/>
            <w:right w:w="0" w:type="dxa"/>
          </w:tblCellMar>
        </w:tblPrEx>
        <w:trPr>
          <w:trHeight w:val="441" w:hRule="atLeast"/>
        </w:trPr>
        <w:tc>
          <w:tcPr>
            <w:tcW w:w="2097"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   购   人：</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湖北工业大学</w:t>
            </w:r>
          </w:p>
        </w:tc>
      </w:tr>
      <w:tr>
        <w:tblPrEx>
          <w:tblCellMar>
            <w:top w:w="0" w:type="dxa"/>
            <w:left w:w="0" w:type="dxa"/>
            <w:bottom w:w="0" w:type="dxa"/>
            <w:right w:w="0" w:type="dxa"/>
          </w:tblCellMar>
        </w:tblPrEx>
        <w:trPr>
          <w:trHeight w:val="603" w:hRule="atLeast"/>
        </w:trPr>
        <w:tc>
          <w:tcPr>
            <w:tcW w:w="2097"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采购代理机构：</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中经国际招标集团有限公司</w:t>
            </w:r>
          </w:p>
        </w:tc>
      </w:tr>
      <w:tr>
        <w:tblPrEx>
          <w:tblCellMar>
            <w:top w:w="0" w:type="dxa"/>
            <w:left w:w="0" w:type="dxa"/>
            <w:bottom w:w="0" w:type="dxa"/>
            <w:right w:w="0" w:type="dxa"/>
          </w:tblCellMar>
        </w:tblPrEx>
        <w:trPr>
          <w:trHeight w:val="442" w:hRule="atLeast"/>
        </w:trPr>
        <w:tc>
          <w:tcPr>
            <w:tcW w:w="2097" w:type="dxa"/>
            <w:tcBorders>
              <w:top w:val="nil"/>
              <w:left w:val="nil"/>
              <w:bottom w:val="nil"/>
              <w:right w:val="nil"/>
              <w:tl2br w:val="nil"/>
              <w:tr2bl w:val="nil"/>
            </w:tcBorders>
            <w:vAlign w:val="center"/>
          </w:tcPr>
          <w:p>
            <w:pPr>
              <w:pStyle w:val="100"/>
              <w:kinsoku w:val="0"/>
              <w:overflowPunct w:val="0"/>
              <w:spacing w:before="122" w:line="299" w:lineRule="exact"/>
              <w:ind w:right="53"/>
              <w:jc w:val="distribute"/>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编 制 时 间：</w:t>
            </w:r>
          </w:p>
        </w:tc>
        <w:tc>
          <w:tcPr>
            <w:tcW w:w="6026" w:type="dxa"/>
            <w:tcBorders>
              <w:top w:val="nil"/>
              <w:left w:val="nil"/>
              <w:bottom w:val="nil"/>
              <w:right w:val="nil"/>
              <w:tl2br w:val="nil"/>
              <w:tr2bl w:val="nil"/>
            </w:tcBorders>
            <w:vAlign w:val="center"/>
          </w:tcPr>
          <w:p>
            <w:pPr>
              <w:pStyle w:val="100"/>
              <w:kinsoku w:val="0"/>
              <w:overflowPunct w:val="0"/>
              <w:spacing w:before="122" w:line="299" w:lineRule="exact"/>
              <w:ind w:right="53"/>
              <w:rPr>
                <w:rFonts w:hint="default" w:asciiTheme="minorEastAsia" w:hAnsiTheme="minorEastAsia" w:eastAsiaTheme="minorEastAsia" w:cstheme="minorEastAsia"/>
                <w:b/>
                <w:sz w:val="28"/>
              </w:rPr>
            </w:pPr>
            <w:r>
              <w:rPr>
                <w:rFonts w:asciiTheme="minorEastAsia" w:hAnsiTheme="minorEastAsia" w:eastAsiaTheme="minorEastAsia" w:cstheme="minorEastAsia"/>
                <w:b/>
                <w:sz w:val="28"/>
              </w:rPr>
              <w:t>2022年7月</w:t>
            </w:r>
          </w:p>
        </w:tc>
      </w:tr>
    </w:tbl>
    <w:p>
      <w:pPr>
        <w:rPr>
          <w:rFonts w:asciiTheme="minorEastAsia" w:hAnsiTheme="minorEastAsia" w:eastAsiaTheme="minorEastAsia" w:cstheme="minorEastAsia"/>
          <w:sz w:val="20"/>
        </w:rPr>
        <w:sectPr>
          <w:type w:val="continuous"/>
          <w:pgSz w:w="11910" w:h="16840"/>
          <w:pgMar w:top="1400" w:right="1200" w:bottom="280" w:left="1200" w:header="720" w:footer="720" w:gutter="0"/>
          <w:cols w:space="720" w:num="1"/>
        </w:sectPr>
      </w:pPr>
    </w:p>
    <w:p>
      <w:pPr>
        <w:tabs>
          <w:tab w:val="center" w:pos="4597"/>
          <w:tab w:val="left" w:pos="6772"/>
        </w:tabs>
        <w:spacing w:line="360" w:lineRule="auto"/>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 w:val="44"/>
          <w:szCs w:val="44"/>
          <w:lang w:val="zh-CN"/>
        </w:rPr>
        <w:tab/>
      </w:r>
      <w:r>
        <w:rPr>
          <w:rFonts w:hint="eastAsia" w:asciiTheme="minorEastAsia" w:hAnsiTheme="minorEastAsia" w:eastAsiaTheme="minorEastAsia" w:cstheme="minorEastAsia"/>
          <w:b/>
          <w:bCs/>
          <w:sz w:val="24"/>
          <w:lang w:val="zh-CN"/>
        </w:rPr>
        <w:t>目  录</w:t>
      </w:r>
      <w:r>
        <w:rPr>
          <w:rFonts w:hint="eastAsia" w:asciiTheme="minorEastAsia" w:hAnsiTheme="minorEastAsia" w:eastAsiaTheme="minorEastAsia" w:cstheme="minorEastAsia"/>
          <w:b/>
          <w:bCs/>
          <w:szCs w:val="21"/>
          <w:lang w:val="zh-CN"/>
        </w:rPr>
        <w:tab/>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TOC \o "1-3" \h \z \u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_Toc29326 </w:instrText>
      </w:r>
      <w:r>
        <w:rPr>
          <w:rFonts w:hint="eastAsia" w:asciiTheme="minorEastAsia" w:hAnsiTheme="minorEastAsia" w:eastAsiaTheme="minorEastAsia" w:cstheme="minorEastAsia"/>
          <w:szCs w:val="21"/>
        </w:rPr>
        <w:fldChar w:fldCharType="separate"/>
      </w:r>
      <w:r>
        <w:rPr>
          <w:rFonts w:hint="default"/>
          <w:bCs/>
          <w:szCs w:val="36"/>
        </w:rPr>
        <w:t xml:space="preserve">第一章 </w:t>
      </w:r>
      <w:r>
        <w:rPr>
          <w:rFonts w:hint="eastAsia" w:ascii="宋体" w:hAnsi="宋体" w:cs="宋体"/>
          <w:szCs w:val="36"/>
        </w:rPr>
        <w:t>竞争性磋商公告</w:t>
      </w:r>
      <w:r>
        <w:tab/>
      </w:r>
      <w:r>
        <w:fldChar w:fldCharType="begin"/>
      </w:r>
      <w:r>
        <w:instrText xml:space="preserve"> PAGEREF _Toc29326 \h </w:instrText>
      </w:r>
      <w:r>
        <w:fldChar w:fldCharType="separate"/>
      </w:r>
      <w:r>
        <w:t>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_Toc27494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一、 </w:t>
      </w:r>
      <w:r>
        <w:rPr>
          <w:rFonts w:hint="eastAsia" w:ascii="宋体" w:hAnsi="宋体" w:eastAsia="宋体" w:cs="宋体"/>
          <w:szCs w:val="21"/>
        </w:rPr>
        <w:t>项目基本情况</w:t>
      </w:r>
      <w:r>
        <w:tab/>
      </w:r>
      <w:r>
        <w:fldChar w:fldCharType="begin"/>
      </w:r>
      <w:r>
        <w:instrText xml:space="preserve"> PAGEREF _Toc27494 \h </w:instrText>
      </w:r>
      <w:r>
        <w:fldChar w:fldCharType="separate"/>
      </w:r>
      <w:r>
        <w:t>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_Toc32692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二、 </w:t>
      </w:r>
      <w:r>
        <w:rPr>
          <w:rFonts w:hint="eastAsia" w:ascii="宋体" w:hAnsi="宋体" w:eastAsia="宋体" w:cs="宋体"/>
          <w:szCs w:val="21"/>
        </w:rPr>
        <w:t>申请人的资格要求</w:t>
      </w:r>
      <w:r>
        <w:tab/>
      </w:r>
      <w:r>
        <w:fldChar w:fldCharType="begin"/>
      </w:r>
      <w:r>
        <w:instrText xml:space="preserve"> PAGEREF _Toc32692 \h </w:instrText>
      </w:r>
      <w:r>
        <w:fldChar w:fldCharType="separate"/>
      </w:r>
      <w:r>
        <w:t>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_Toc16441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三、 </w:t>
      </w:r>
      <w:r>
        <w:rPr>
          <w:rFonts w:hint="eastAsia" w:ascii="宋体" w:hAnsi="宋体" w:eastAsia="宋体" w:cs="宋体"/>
          <w:szCs w:val="21"/>
        </w:rPr>
        <w:t>获取采购文件</w:t>
      </w:r>
      <w:r>
        <w:tab/>
      </w:r>
      <w:r>
        <w:fldChar w:fldCharType="begin"/>
      </w:r>
      <w:r>
        <w:instrText xml:space="preserve"> PAGEREF _Toc16441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_Toc22671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四、 </w:t>
      </w:r>
      <w:r>
        <w:rPr>
          <w:rFonts w:hint="eastAsia" w:ascii="宋体" w:hAnsi="宋体" w:eastAsia="宋体" w:cs="宋体"/>
          <w:szCs w:val="21"/>
        </w:rPr>
        <w:t>响应文件提交</w:t>
      </w:r>
      <w:r>
        <w:tab/>
      </w:r>
      <w:r>
        <w:fldChar w:fldCharType="begin"/>
      </w:r>
      <w:r>
        <w:instrText xml:space="preserve"> PAGEREF _Toc22671 \h </w:instrText>
      </w:r>
      <w:r>
        <w:fldChar w:fldCharType="separate"/>
      </w:r>
      <w:r>
        <w:t>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_Toc19282 </w:instrText>
      </w:r>
      <w:r>
        <w:rPr>
          <w:rFonts w:hint="eastAsia" w:asciiTheme="minorEastAsia" w:hAnsiTheme="minorEastAsia" w:eastAsiaTheme="minorEastAsia" w:cstheme="minorEastAsia"/>
          <w:szCs w:val="21"/>
        </w:rPr>
        <w:fldChar w:fldCharType="separate"/>
      </w:r>
      <w:r>
        <w:rPr>
          <w:rFonts w:eastAsia="宋体"/>
          <w:szCs w:val="21"/>
        </w:rPr>
        <w:t xml:space="preserve">五、 </w:t>
      </w:r>
      <w:r>
        <w:rPr>
          <w:rFonts w:hint="eastAsia" w:ascii="宋体" w:hAnsi="宋体" w:eastAsia="宋体" w:cs="宋体"/>
          <w:szCs w:val="21"/>
        </w:rPr>
        <w:t>开启</w:t>
      </w:r>
      <w:r>
        <w:tab/>
      </w:r>
      <w:r>
        <w:fldChar w:fldCharType="begin"/>
      </w:r>
      <w:r>
        <w:instrText xml:space="preserve"> PAGEREF _Toc19282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_Toc9065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六、 </w:t>
      </w:r>
      <w:r>
        <w:rPr>
          <w:rFonts w:hint="eastAsia" w:ascii="宋体" w:hAnsi="宋体" w:eastAsia="宋体" w:cs="宋体"/>
          <w:szCs w:val="21"/>
        </w:rPr>
        <w:t>公告期限</w:t>
      </w:r>
      <w:r>
        <w:tab/>
      </w:r>
      <w:r>
        <w:fldChar w:fldCharType="begin"/>
      </w:r>
      <w:r>
        <w:instrText xml:space="preserve"> PAGEREF _Toc9065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_Toc7923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七、 </w:t>
      </w:r>
      <w:r>
        <w:rPr>
          <w:rFonts w:hint="eastAsia" w:ascii="宋体" w:hAnsi="宋体" w:eastAsia="宋体" w:cs="宋体"/>
          <w:szCs w:val="21"/>
        </w:rPr>
        <w:t>其他补充事宜</w:t>
      </w:r>
      <w:r>
        <w:tab/>
      </w:r>
      <w:r>
        <w:fldChar w:fldCharType="begin"/>
      </w:r>
      <w:r>
        <w:instrText xml:space="preserve"> PAGEREF _Toc7923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_Toc8728 </w:instrText>
      </w:r>
      <w:r>
        <w:rPr>
          <w:rFonts w:hint="eastAsia" w:asciiTheme="minorEastAsia" w:hAnsiTheme="minorEastAsia" w:eastAsiaTheme="minorEastAsia" w:cstheme="minorEastAsia"/>
          <w:szCs w:val="21"/>
        </w:rPr>
        <w:fldChar w:fldCharType="separate"/>
      </w:r>
      <w:r>
        <w:rPr>
          <w:rFonts w:ascii="宋体" w:hAnsi="宋体" w:eastAsia="宋体" w:cs="宋体"/>
          <w:szCs w:val="21"/>
        </w:rPr>
        <w:t xml:space="preserve">八、 </w:t>
      </w:r>
      <w:r>
        <w:rPr>
          <w:rFonts w:hint="eastAsia" w:ascii="宋体" w:hAnsi="宋体" w:eastAsia="宋体" w:cs="宋体"/>
          <w:szCs w:val="21"/>
        </w:rPr>
        <w:t>凡对本次采购提出询问，请按以下方式联系</w:t>
      </w:r>
      <w:r>
        <w:tab/>
      </w:r>
      <w:r>
        <w:fldChar w:fldCharType="begin"/>
      </w:r>
      <w:r>
        <w:instrText xml:space="preserve"> PAGEREF _Toc8728 \h </w:instrText>
      </w:r>
      <w:r>
        <w:fldChar w:fldCharType="separate"/>
      </w:r>
      <w:r>
        <w:t>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_Toc29645 </w:instrText>
      </w:r>
      <w:r>
        <w:rPr>
          <w:rFonts w:hint="eastAsia" w:asciiTheme="minorEastAsia" w:hAnsiTheme="minorEastAsia" w:eastAsiaTheme="minorEastAsia" w:cstheme="minorEastAsia"/>
          <w:szCs w:val="21"/>
        </w:rPr>
        <w:fldChar w:fldCharType="separate"/>
      </w:r>
      <w:r>
        <w:rPr>
          <w:rFonts w:asciiTheme="minorEastAsia" w:hAnsiTheme="minorEastAsia" w:eastAsiaTheme="minorEastAsia" w:cstheme="minorEastAsia"/>
          <w:szCs w:val="21"/>
        </w:rPr>
        <w:t xml:space="preserve">九、 </w:t>
      </w:r>
      <w:r>
        <w:rPr>
          <w:rFonts w:hint="eastAsia" w:asciiTheme="minorEastAsia" w:hAnsiTheme="minorEastAsia" w:eastAsiaTheme="minorEastAsia" w:cstheme="minorEastAsia"/>
          <w:szCs w:val="21"/>
        </w:rPr>
        <w:t>注意事项</w:t>
      </w:r>
      <w:r>
        <w:tab/>
      </w:r>
      <w:r>
        <w:fldChar w:fldCharType="begin"/>
      </w:r>
      <w:r>
        <w:instrText xml:space="preserve"> PAGEREF _Toc29645 \h </w:instrText>
      </w:r>
      <w:r>
        <w:fldChar w:fldCharType="separate"/>
      </w:r>
      <w:r>
        <w:t>8</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_Toc30709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第二章 </w:t>
      </w:r>
      <w:r>
        <w:rPr>
          <w:rFonts w:hint="eastAsia" w:asciiTheme="minorEastAsia" w:hAnsiTheme="minorEastAsia" w:eastAsiaTheme="minorEastAsia" w:cstheme="minorEastAsia"/>
          <w:szCs w:val="36"/>
        </w:rPr>
        <w:t>供应商须知</w:t>
      </w:r>
      <w:r>
        <w:tab/>
      </w:r>
      <w:r>
        <w:fldChar w:fldCharType="begin"/>
      </w:r>
      <w:r>
        <w:instrText xml:space="preserve"> PAGEREF _Toc30709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_Toc8085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《供应商须知前附表》</w:t>
      </w:r>
      <w:r>
        <w:tab/>
      </w:r>
      <w:r>
        <w:fldChar w:fldCharType="begin"/>
      </w:r>
      <w:r>
        <w:instrText xml:space="preserve"> PAGEREF _Toc8085 \h </w:instrText>
      </w:r>
      <w:r>
        <w:fldChar w:fldCharType="separate"/>
      </w:r>
      <w:r>
        <w:t>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_Toc27799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供应商须知</w:t>
      </w:r>
      <w:r>
        <w:tab/>
      </w:r>
      <w:r>
        <w:fldChar w:fldCharType="begin"/>
      </w:r>
      <w:r>
        <w:instrText xml:space="preserve"> PAGEREF _Toc27799 \h </w:instrText>
      </w:r>
      <w:r>
        <w:fldChar w:fldCharType="separate"/>
      </w:r>
      <w:r>
        <w:t>12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_Toc22879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一、 </w:t>
      </w:r>
      <w:r>
        <w:rPr>
          <w:rFonts w:hint="eastAsia" w:asciiTheme="minorEastAsia" w:hAnsiTheme="minorEastAsia" w:eastAsiaTheme="minorEastAsia" w:cstheme="minorEastAsia"/>
          <w:szCs w:val="21"/>
        </w:rPr>
        <w:t>总则</w:t>
      </w:r>
      <w:r>
        <w:tab/>
      </w:r>
      <w:r>
        <w:fldChar w:fldCharType="begin"/>
      </w:r>
      <w:r>
        <w:instrText xml:space="preserve"> PAGEREF _Toc22879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_Toc31055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1、 </w:t>
      </w:r>
      <w:r>
        <w:rPr>
          <w:rFonts w:hint="eastAsia" w:asciiTheme="minorEastAsia" w:hAnsiTheme="minorEastAsia" w:eastAsiaTheme="minorEastAsia" w:cstheme="minorEastAsia"/>
          <w:szCs w:val="21"/>
        </w:rPr>
        <w:t>适用法律及范围</w:t>
      </w:r>
      <w:r>
        <w:tab/>
      </w:r>
      <w:r>
        <w:fldChar w:fldCharType="begin"/>
      </w:r>
      <w:r>
        <w:instrText xml:space="preserve"> PAGEREF _Toc31055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_Toc402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2、 </w:t>
      </w:r>
      <w:r>
        <w:rPr>
          <w:rFonts w:hint="eastAsia" w:asciiTheme="minorEastAsia" w:hAnsiTheme="minorEastAsia" w:eastAsiaTheme="minorEastAsia" w:cstheme="minorEastAsia"/>
          <w:szCs w:val="21"/>
        </w:rPr>
        <w:t>定义</w:t>
      </w:r>
      <w:r>
        <w:tab/>
      </w:r>
      <w:r>
        <w:fldChar w:fldCharType="begin"/>
      </w:r>
      <w:r>
        <w:instrText xml:space="preserve"> PAGEREF _Toc402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_Toc8132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3、 </w:t>
      </w:r>
      <w:r>
        <w:rPr>
          <w:rFonts w:hint="eastAsia" w:asciiTheme="minorEastAsia" w:hAnsiTheme="minorEastAsia" w:eastAsiaTheme="minorEastAsia" w:cstheme="minorEastAsia"/>
          <w:snapToGrid w:val="0"/>
          <w:kern w:val="0"/>
          <w:szCs w:val="21"/>
          <w:lang w:val="zh-CN"/>
        </w:rPr>
        <w:t>工程、货物及服务</w:t>
      </w:r>
      <w:r>
        <w:tab/>
      </w:r>
      <w:r>
        <w:fldChar w:fldCharType="begin"/>
      </w:r>
      <w:r>
        <w:instrText xml:space="preserve"> PAGEREF _Toc8132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_Toc4782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4、 </w:t>
      </w:r>
      <w:r>
        <w:rPr>
          <w:rFonts w:hint="eastAsia" w:asciiTheme="minorEastAsia" w:hAnsiTheme="minorEastAsia" w:eastAsiaTheme="minorEastAsia" w:cstheme="minorEastAsia"/>
          <w:szCs w:val="21"/>
        </w:rPr>
        <w:t>费用</w:t>
      </w:r>
      <w:r>
        <w:tab/>
      </w:r>
      <w:r>
        <w:fldChar w:fldCharType="begin"/>
      </w:r>
      <w:r>
        <w:instrText xml:space="preserve"> PAGEREF _Toc4782 \h </w:instrText>
      </w:r>
      <w:r>
        <w:fldChar w:fldCharType="separate"/>
      </w:r>
      <w:r>
        <w:t>13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_Toc14873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二、 </w:t>
      </w:r>
      <w:r>
        <w:rPr>
          <w:rFonts w:hint="eastAsia" w:asciiTheme="minorEastAsia" w:hAnsiTheme="minorEastAsia" w:eastAsiaTheme="minorEastAsia" w:cstheme="minorEastAsia"/>
          <w:szCs w:val="21"/>
        </w:rPr>
        <w:t>竞争性磋商采购文件</w:t>
      </w:r>
      <w:r>
        <w:tab/>
      </w:r>
      <w:r>
        <w:fldChar w:fldCharType="begin"/>
      </w:r>
      <w:r>
        <w:instrText xml:space="preserve"> PAGEREF _Toc14873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_Toc18767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5、 </w:t>
      </w:r>
      <w:r>
        <w:rPr>
          <w:rFonts w:hint="eastAsia" w:asciiTheme="minorEastAsia" w:hAnsiTheme="minorEastAsia" w:eastAsiaTheme="minorEastAsia" w:cstheme="minorEastAsia"/>
          <w:szCs w:val="21"/>
        </w:rPr>
        <w:t>竞争性磋商采购文件的构成</w:t>
      </w:r>
      <w:r>
        <w:tab/>
      </w:r>
      <w:r>
        <w:fldChar w:fldCharType="begin"/>
      </w:r>
      <w:r>
        <w:instrText xml:space="preserve"> PAGEREF _Toc18767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_Toc14714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6、 </w:t>
      </w:r>
      <w:r>
        <w:rPr>
          <w:rFonts w:hint="eastAsia" w:asciiTheme="minorEastAsia" w:hAnsiTheme="minorEastAsia" w:eastAsiaTheme="minorEastAsia" w:cstheme="minorEastAsia"/>
          <w:snapToGrid w:val="0"/>
          <w:kern w:val="0"/>
          <w:szCs w:val="21"/>
          <w:lang w:val="zh-CN"/>
        </w:rPr>
        <w:t>竞争性磋商采购文件的澄清</w:t>
      </w:r>
      <w:r>
        <w:tab/>
      </w:r>
      <w:r>
        <w:fldChar w:fldCharType="begin"/>
      </w:r>
      <w:r>
        <w:instrText xml:space="preserve"> PAGEREF _Toc14714 \h </w:instrText>
      </w:r>
      <w:r>
        <w:fldChar w:fldCharType="separate"/>
      </w:r>
      <w:r>
        <w:t>14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_Toc17662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7、 </w:t>
      </w:r>
      <w:r>
        <w:rPr>
          <w:rFonts w:hint="eastAsia" w:asciiTheme="minorEastAsia" w:hAnsiTheme="minorEastAsia" w:eastAsiaTheme="minorEastAsia" w:cstheme="minorEastAsia"/>
          <w:snapToGrid w:val="0"/>
          <w:kern w:val="0"/>
          <w:szCs w:val="21"/>
          <w:lang w:val="zh-CN"/>
        </w:rPr>
        <w:t>竞争性磋商采购文件的修改</w:t>
      </w:r>
      <w:r>
        <w:tab/>
      </w:r>
      <w:r>
        <w:fldChar w:fldCharType="begin"/>
      </w:r>
      <w:r>
        <w:instrText xml:space="preserve"> PAGEREF _Toc17662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_Toc11799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三、 </w:t>
      </w:r>
      <w:r>
        <w:rPr>
          <w:rFonts w:hint="eastAsia" w:asciiTheme="minorEastAsia" w:hAnsiTheme="minorEastAsia" w:eastAsiaTheme="minorEastAsia" w:cstheme="minorEastAsia"/>
          <w:szCs w:val="21"/>
        </w:rPr>
        <w:t>竞争性磋商响应文件</w:t>
      </w:r>
      <w:r>
        <w:tab/>
      </w:r>
      <w:r>
        <w:fldChar w:fldCharType="begin"/>
      </w:r>
      <w:r>
        <w:instrText xml:space="preserve"> PAGEREF _Toc11799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_Toc12496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8、 </w:t>
      </w:r>
      <w:r>
        <w:rPr>
          <w:rFonts w:hint="eastAsia" w:asciiTheme="minorEastAsia" w:hAnsiTheme="minorEastAsia" w:eastAsiaTheme="minorEastAsia" w:cstheme="minorEastAsia"/>
          <w:snapToGrid w:val="0"/>
          <w:kern w:val="0"/>
          <w:szCs w:val="21"/>
          <w:lang w:val="zh-CN"/>
        </w:rPr>
        <w:t>语言和计量单位</w:t>
      </w:r>
      <w:r>
        <w:tab/>
      </w:r>
      <w:r>
        <w:fldChar w:fldCharType="begin"/>
      </w:r>
      <w:r>
        <w:instrText xml:space="preserve"> PAGEREF _Toc12496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_Toc3015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9、 </w:t>
      </w:r>
      <w:r>
        <w:rPr>
          <w:rFonts w:hint="eastAsia" w:asciiTheme="minorEastAsia" w:hAnsiTheme="minorEastAsia" w:eastAsiaTheme="minorEastAsia" w:cstheme="minorEastAsia"/>
          <w:snapToGrid w:val="0"/>
          <w:kern w:val="0"/>
          <w:szCs w:val="21"/>
          <w:lang w:val="zh-CN"/>
        </w:rPr>
        <w:t>竞争性磋商响应文件的构成</w:t>
      </w:r>
      <w:r>
        <w:tab/>
      </w:r>
      <w:r>
        <w:fldChar w:fldCharType="begin"/>
      </w:r>
      <w:r>
        <w:instrText xml:space="preserve"> PAGEREF _Toc3015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_Toc14836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10、 </w:t>
      </w:r>
      <w:r>
        <w:rPr>
          <w:rFonts w:hint="eastAsia" w:asciiTheme="minorEastAsia" w:hAnsiTheme="minorEastAsia" w:eastAsiaTheme="minorEastAsia" w:cstheme="minorEastAsia"/>
          <w:snapToGrid w:val="0"/>
          <w:kern w:val="0"/>
          <w:szCs w:val="21"/>
          <w:lang w:val="zh-CN"/>
        </w:rPr>
        <w:t>竞争性磋商响应文件的编制</w:t>
      </w:r>
      <w:r>
        <w:tab/>
      </w:r>
      <w:r>
        <w:fldChar w:fldCharType="begin"/>
      </w:r>
      <w:r>
        <w:instrText xml:space="preserve"> PAGEREF _Toc14836 \h </w:instrText>
      </w:r>
      <w:r>
        <w:fldChar w:fldCharType="separate"/>
      </w:r>
      <w:r>
        <w:t>15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_Toc30950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11、 </w:t>
      </w:r>
      <w:r>
        <w:rPr>
          <w:rFonts w:hint="eastAsia" w:asciiTheme="minorEastAsia" w:hAnsiTheme="minorEastAsia" w:eastAsiaTheme="minorEastAsia" w:cstheme="minorEastAsia"/>
          <w:snapToGrid w:val="0"/>
          <w:kern w:val="0"/>
          <w:szCs w:val="21"/>
          <w:lang w:val="zh-CN"/>
        </w:rPr>
        <w:t>磋商报价</w:t>
      </w:r>
      <w:r>
        <w:tab/>
      </w:r>
      <w:r>
        <w:fldChar w:fldCharType="begin"/>
      </w:r>
      <w:r>
        <w:instrText xml:space="preserve"> PAGEREF _Toc30950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_Toc2960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12、 </w:t>
      </w:r>
      <w:r>
        <w:rPr>
          <w:rFonts w:hint="eastAsia" w:asciiTheme="minorEastAsia" w:hAnsiTheme="minorEastAsia" w:eastAsiaTheme="minorEastAsia" w:cstheme="minorEastAsia"/>
          <w:snapToGrid w:val="0"/>
          <w:kern w:val="0"/>
          <w:szCs w:val="21"/>
          <w:lang w:val="zh-CN"/>
        </w:rPr>
        <w:t>备选方案</w:t>
      </w:r>
      <w:r>
        <w:tab/>
      </w:r>
      <w:r>
        <w:fldChar w:fldCharType="begin"/>
      </w:r>
      <w:r>
        <w:instrText xml:space="preserve"> PAGEREF _Toc2960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_Toc8511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13、 </w:t>
      </w:r>
      <w:r>
        <w:rPr>
          <w:rFonts w:hint="eastAsia" w:asciiTheme="minorEastAsia" w:hAnsiTheme="minorEastAsia" w:eastAsiaTheme="minorEastAsia" w:cstheme="minorEastAsia"/>
          <w:snapToGrid w:val="0"/>
          <w:kern w:val="0"/>
          <w:szCs w:val="21"/>
          <w:lang w:val="zh-CN"/>
        </w:rPr>
        <w:t>联合体</w:t>
      </w:r>
      <w:r>
        <w:tab/>
      </w:r>
      <w:r>
        <w:fldChar w:fldCharType="begin"/>
      </w:r>
      <w:r>
        <w:instrText xml:space="preserve"> PAGEREF _Toc8511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_Toc671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14、 </w:t>
      </w:r>
      <w:r>
        <w:rPr>
          <w:rFonts w:hint="eastAsia" w:asciiTheme="minorEastAsia" w:hAnsiTheme="minorEastAsia" w:eastAsiaTheme="minorEastAsia" w:cstheme="minorEastAsia"/>
          <w:snapToGrid w:val="0"/>
          <w:kern w:val="0"/>
          <w:szCs w:val="21"/>
          <w:lang w:val="zh-CN"/>
        </w:rPr>
        <w:t>供应商资格证明文件</w:t>
      </w:r>
      <w:r>
        <w:tab/>
      </w:r>
      <w:r>
        <w:fldChar w:fldCharType="begin"/>
      </w:r>
      <w:r>
        <w:instrText xml:space="preserve"> PAGEREF _Toc671 \h </w:instrText>
      </w:r>
      <w:r>
        <w:fldChar w:fldCharType="separate"/>
      </w:r>
      <w:r>
        <w:t>16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_Toc5355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15、 </w:t>
      </w:r>
      <w:r>
        <w:rPr>
          <w:rFonts w:hint="eastAsia" w:asciiTheme="minorEastAsia" w:hAnsiTheme="minorEastAsia" w:eastAsiaTheme="minorEastAsia" w:cstheme="minorEastAsia"/>
          <w:snapToGrid w:val="0"/>
          <w:kern w:val="0"/>
          <w:szCs w:val="21"/>
          <w:lang w:val="zh-CN"/>
        </w:rPr>
        <w:t>证明报价内容、服务合格性和符合竞争性磋商采购文件规定的文件</w:t>
      </w:r>
      <w:r>
        <w:tab/>
      </w:r>
      <w:r>
        <w:fldChar w:fldCharType="begin"/>
      </w:r>
      <w:r>
        <w:instrText xml:space="preserve"> PAGEREF _Toc5355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_Toc8624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16、 </w:t>
      </w:r>
      <w:r>
        <w:rPr>
          <w:rFonts w:hint="eastAsia" w:asciiTheme="minorEastAsia" w:hAnsiTheme="minorEastAsia" w:eastAsiaTheme="minorEastAsia" w:cstheme="minorEastAsia"/>
          <w:snapToGrid w:val="0"/>
          <w:kern w:val="0"/>
          <w:szCs w:val="21"/>
          <w:lang w:val="zh-CN"/>
        </w:rPr>
        <w:t>磋商保证金</w:t>
      </w:r>
      <w:r>
        <w:tab/>
      </w:r>
      <w:r>
        <w:fldChar w:fldCharType="begin"/>
      </w:r>
      <w:r>
        <w:instrText xml:space="preserve"> PAGEREF _Toc8624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_Toc15253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17、 </w:t>
      </w:r>
      <w:r>
        <w:rPr>
          <w:rFonts w:hint="eastAsia" w:asciiTheme="minorEastAsia" w:hAnsiTheme="minorEastAsia" w:eastAsiaTheme="minorEastAsia" w:cstheme="minorEastAsia"/>
          <w:snapToGrid w:val="0"/>
          <w:kern w:val="0"/>
          <w:szCs w:val="21"/>
          <w:lang w:val="zh-CN"/>
        </w:rPr>
        <w:t>磋商有效期</w:t>
      </w:r>
      <w:r>
        <w:tab/>
      </w:r>
      <w:r>
        <w:fldChar w:fldCharType="begin"/>
      </w:r>
      <w:r>
        <w:instrText xml:space="preserve"> PAGEREF _Toc15253 \h </w:instrText>
      </w:r>
      <w:r>
        <w:fldChar w:fldCharType="separate"/>
      </w:r>
      <w:r>
        <w:t>17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_Toc19385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18、 </w:t>
      </w:r>
      <w:r>
        <w:rPr>
          <w:rFonts w:hint="eastAsia" w:asciiTheme="minorEastAsia" w:hAnsiTheme="minorEastAsia" w:eastAsiaTheme="minorEastAsia" w:cstheme="minorEastAsia"/>
          <w:snapToGrid w:val="0"/>
          <w:kern w:val="0"/>
          <w:szCs w:val="21"/>
          <w:lang w:val="zh-CN"/>
        </w:rPr>
        <w:t>竞争性磋商响应文件的装订、签署和数量</w:t>
      </w:r>
      <w:r>
        <w:tab/>
      </w:r>
      <w:r>
        <w:fldChar w:fldCharType="begin"/>
      </w:r>
      <w:r>
        <w:instrText xml:space="preserve"> PAGEREF _Toc19385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_Toc26249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四、 </w:t>
      </w:r>
      <w:r>
        <w:rPr>
          <w:rFonts w:hint="eastAsia" w:asciiTheme="minorEastAsia" w:hAnsiTheme="minorEastAsia" w:eastAsiaTheme="minorEastAsia" w:cstheme="minorEastAsia"/>
          <w:szCs w:val="21"/>
        </w:rPr>
        <w:t>竞争性磋商响应文件的递交</w:t>
      </w:r>
      <w:r>
        <w:tab/>
      </w:r>
      <w:r>
        <w:fldChar w:fldCharType="begin"/>
      </w:r>
      <w:r>
        <w:instrText xml:space="preserve"> PAGEREF _Toc26249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_Toc18004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19、 </w:t>
      </w:r>
      <w:r>
        <w:rPr>
          <w:rFonts w:hint="eastAsia" w:asciiTheme="minorEastAsia" w:hAnsiTheme="minorEastAsia" w:eastAsiaTheme="minorEastAsia" w:cstheme="minorEastAsia"/>
          <w:szCs w:val="21"/>
        </w:rPr>
        <w:t>竞争性磋商响应文件</w:t>
      </w:r>
      <w:r>
        <w:rPr>
          <w:rFonts w:hint="eastAsia" w:asciiTheme="minorEastAsia" w:hAnsiTheme="minorEastAsia" w:eastAsiaTheme="minorEastAsia" w:cstheme="minorEastAsia"/>
          <w:snapToGrid w:val="0"/>
          <w:kern w:val="0"/>
          <w:szCs w:val="21"/>
          <w:lang w:val="zh-CN"/>
        </w:rPr>
        <w:t>的密封和标记</w:t>
      </w:r>
      <w:r>
        <w:tab/>
      </w:r>
      <w:r>
        <w:fldChar w:fldCharType="begin"/>
      </w:r>
      <w:r>
        <w:instrText xml:space="preserve"> PAGEREF _Toc18004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_Toc8300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20、 </w:t>
      </w:r>
      <w:r>
        <w:rPr>
          <w:rFonts w:hint="eastAsia" w:asciiTheme="minorEastAsia" w:hAnsiTheme="minorEastAsia" w:eastAsiaTheme="minorEastAsia" w:cstheme="minorEastAsia"/>
          <w:snapToGrid w:val="0"/>
          <w:kern w:val="0"/>
          <w:szCs w:val="21"/>
          <w:lang w:val="zh-CN"/>
        </w:rPr>
        <w:t>竞争性磋商响应文件的送达地点及截止时间</w:t>
      </w:r>
      <w:r>
        <w:tab/>
      </w:r>
      <w:r>
        <w:fldChar w:fldCharType="begin"/>
      </w:r>
      <w:r>
        <w:instrText xml:space="preserve"> PAGEREF _Toc8300 \h </w:instrText>
      </w:r>
      <w:r>
        <w:fldChar w:fldCharType="separate"/>
      </w:r>
      <w:r>
        <w:t>18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_Toc18217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21、 </w:t>
      </w:r>
      <w:r>
        <w:rPr>
          <w:rFonts w:hint="eastAsia" w:asciiTheme="minorEastAsia" w:hAnsiTheme="minorEastAsia" w:eastAsiaTheme="minorEastAsia" w:cstheme="minorEastAsia"/>
          <w:snapToGrid w:val="0"/>
          <w:kern w:val="0"/>
          <w:szCs w:val="21"/>
          <w:lang w:val="zh-CN"/>
        </w:rPr>
        <w:t>迟交的竞争性磋商响应文件</w:t>
      </w:r>
      <w:r>
        <w:tab/>
      </w:r>
      <w:r>
        <w:fldChar w:fldCharType="begin"/>
      </w:r>
      <w:r>
        <w:instrText xml:space="preserve"> PAGEREF _Toc18217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_Toc3991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22、 </w:t>
      </w:r>
      <w:r>
        <w:rPr>
          <w:rFonts w:hint="eastAsia" w:asciiTheme="minorEastAsia" w:hAnsiTheme="minorEastAsia" w:eastAsiaTheme="minorEastAsia" w:cstheme="minorEastAsia"/>
          <w:snapToGrid w:val="0"/>
          <w:kern w:val="0"/>
          <w:szCs w:val="21"/>
          <w:lang w:val="zh-CN"/>
        </w:rPr>
        <w:t>竞争性磋商响应文件的补充、修改或者撤回</w:t>
      </w:r>
      <w:r>
        <w:tab/>
      </w:r>
      <w:r>
        <w:fldChar w:fldCharType="begin"/>
      </w:r>
      <w:r>
        <w:instrText xml:space="preserve"> PAGEREF _Toc3991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_Toc11595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五、 </w:t>
      </w:r>
      <w:r>
        <w:rPr>
          <w:rFonts w:hint="eastAsia" w:asciiTheme="minorEastAsia" w:hAnsiTheme="minorEastAsia" w:eastAsiaTheme="minorEastAsia" w:cstheme="minorEastAsia"/>
          <w:szCs w:val="21"/>
        </w:rPr>
        <w:t>磋商程序及步骤</w:t>
      </w:r>
      <w:r>
        <w:tab/>
      </w:r>
      <w:r>
        <w:fldChar w:fldCharType="begin"/>
      </w:r>
      <w:r>
        <w:instrText xml:space="preserve"> PAGEREF _Toc11595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_Toc10346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23、 </w:t>
      </w:r>
      <w:r>
        <w:rPr>
          <w:rFonts w:hint="eastAsia" w:asciiTheme="minorEastAsia" w:hAnsiTheme="minorEastAsia" w:eastAsiaTheme="minorEastAsia" w:cstheme="minorEastAsia"/>
        </w:rPr>
        <w:t>竞争性磋商小组</w:t>
      </w:r>
      <w:r>
        <w:tab/>
      </w:r>
      <w:r>
        <w:fldChar w:fldCharType="begin"/>
      </w:r>
      <w:r>
        <w:instrText xml:space="preserve"> PAGEREF _Toc10346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_Toc20173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napToGrid w:val="0"/>
          <w:kern w:val="0"/>
          <w:szCs w:val="21"/>
          <w:lang w:val="zh-CN"/>
        </w:rPr>
        <w:t xml:space="preserve">24、 </w:t>
      </w:r>
      <w:r>
        <w:rPr>
          <w:rFonts w:hint="eastAsia" w:asciiTheme="minorEastAsia" w:hAnsiTheme="minorEastAsia" w:eastAsiaTheme="minorEastAsia" w:cstheme="minorEastAsia"/>
        </w:rPr>
        <w:t>磋商代表</w:t>
      </w:r>
      <w:r>
        <w:tab/>
      </w:r>
      <w:r>
        <w:fldChar w:fldCharType="begin"/>
      </w:r>
      <w:r>
        <w:instrText xml:space="preserve"> PAGEREF _Toc20173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_Toc5905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25、 </w:t>
      </w:r>
      <w:r>
        <w:rPr>
          <w:rFonts w:hint="eastAsia" w:asciiTheme="minorEastAsia" w:hAnsiTheme="minorEastAsia" w:eastAsiaTheme="minorEastAsia" w:cstheme="minorEastAsia"/>
        </w:rPr>
        <w:t>资格审查和符合性审查</w:t>
      </w:r>
      <w:r>
        <w:tab/>
      </w:r>
      <w:r>
        <w:fldChar w:fldCharType="begin"/>
      </w:r>
      <w:r>
        <w:instrText xml:space="preserve"> PAGEREF _Toc5905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_Toc17390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26、 </w:t>
      </w:r>
      <w:r>
        <w:rPr>
          <w:rFonts w:hint="eastAsia" w:asciiTheme="minorEastAsia" w:hAnsiTheme="minorEastAsia" w:eastAsiaTheme="minorEastAsia" w:cstheme="minorEastAsia"/>
        </w:rPr>
        <w:t>磋商</w:t>
      </w:r>
      <w:r>
        <w:tab/>
      </w:r>
      <w:r>
        <w:fldChar w:fldCharType="begin"/>
      </w:r>
      <w:r>
        <w:instrText xml:space="preserve"> PAGEREF _Toc17390 \h </w:instrText>
      </w:r>
      <w:r>
        <w:fldChar w:fldCharType="separate"/>
      </w:r>
      <w:r>
        <w:t>19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_Toc17550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27、 </w:t>
      </w:r>
      <w:r>
        <w:rPr>
          <w:rFonts w:hint="eastAsia" w:asciiTheme="minorEastAsia" w:hAnsiTheme="minorEastAsia" w:eastAsiaTheme="minorEastAsia" w:cstheme="minorEastAsia"/>
          <w:lang w:val="zh-CN"/>
        </w:rPr>
        <w:t>保密</w:t>
      </w:r>
      <w:r>
        <w:tab/>
      </w:r>
      <w:r>
        <w:fldChar w:fldCharType="begin"/>
      </w:r>
      <w:r>
        <w:instrText xml:space="preserve"> PAGEREF _Toc17550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_Toc9335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rPr>
        <w:t xml:space="preserve">六、 </w:t>
      </w:r>
      <w:r>
        <w:rPr>
          <w:rFonts w:hint="eastAsia" w:asciiTheme="minorEastAsia" w:hAnsiTheme="minorEastAsia" w:eastAsiaTheme="minorEastAsia" w:cstheme="minorEastAsia"/>
          <w:szCs w:val="21"/>
        </w:rPr>
        <w:t>成交与签订合同</w:t>
      </w:r>
      <w:r>
        <w:tab/>
      </w:r>
      <w:r>
        <w:fldChar w:fldCharType="begin"/>
      </w:r>
      <w:r>
        <w:instrText xml:space="preserve"> PAGEREF _Toc9335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_Toc14605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28、 </w:t>
      </w:r>
      <w:r>
        <w:rPr>
          <w:rFonts w:hint="eastAsia" w:asciiTheme="minorEastAsia" w:hAnsiTheme="minorEastAsia" w:eastAsiaTheme="minorEastAsia" w:cstheme="minorEastAsia"/>
          <w:lang w:val="zh-CN"/>
        </w:rPr>
        <w:t>合同授予标准</w:t>
      </w:r>
      <w:r>
        <w:tab/>
      </w:r>
      <w:r>
        <w:fldChar w:fldCharType="begin"/>
      </w:r>
      <w:r>
        <w:instrText xml:space="preserve"> PAGEREF _Toc14605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_Toc4426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29、 </w:t>
      </w:r>
      <w:r>
        <w:rPr>
          <w:rFonts w:hint="eastAsia" w:asciiTheme="minorEastAsia" w:hAnsiTheme="minorEastAsia" w:eastAsiaTheme="minorEastAsia" w:cstheme="minorEastAsia"/>
          <w:lang w:val="zh-CN"/>
        </w:rPr>
        <w:t>签订合同</w:t>
      </w:r>
      <w:r>
        <w:tab/>
      </w:r>
      <w:r>
        <w:fldChar w:fldCharType="begin"/>
      </w:r>
      <w:r>
        <w:instrText xml:space="preserve"> PAGEREF _Toc4426 \h </w:instrText>
      </w:r>
      <w:r>
        <w:fldChar w:fldCharType="separate"/>
      </w:r>
      <w:r>
        <w:t>21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_Toc28100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31、 </w:t>
      </w:r>
      <w:r>
        <w:rPr>
          <w:rFonts w:hint="eastAsia" w:asciiTheme="minorEastAsia" w:hAnsiTheme="minorEastAsia" w:eastAsiaTheme="minorEastAsia" w:cstheme="minorEastAsia"/>
          <w:lang w:val="zh-CN"/>
        </w:rPr>
        <w:t>质疑回复</w:t>
      </w:r>
      <w:r>
        <w:tab/>
      </w:r>
      <w:r>
        <w:fldChar w:fldCharType="begin"/>
      </w:r>
      <w:r>
        <w:instrText xml:space="preserve"> PAGEREF _Toc28100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_Toc29493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lang w:val="zh-CN"/>
        </w:rPr>
        <w:t xml:space="preserve">32、 </w:t>
      </w:r>
      <w:r>
        <w:rPr>
          <w:rFonts w:hint="eastAsia" w:asciiTheme="minorEastAsia" w:hAnsiTheme="minorEastAsia" w:eastAsiaTheme="minorEastAsia" w:cstheme="minorEastAsia"/>
          <w:lang w:val="zh-CN"/>
        </w:rPr>
        <w:t>投诉</w:t>
      </w:r>
      <w:r>
        <w:tab/>
      </w:r>
      <w:r>
        <w:fldChar w:fldCharType="begin"/>
      </w:r>
      <w:r>
        <w:instrText xml:space="preserve"> PAGEREF _Toc29493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_Toc29425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八、 </w:t>
      </w:r>
      <w:r>
        <w:rPr>
          <w:rFonts w:hint="eastAsia" w:asciiTheme="minorEastAsia" w:hAnsiTheme="minorEastAsia" w:eastAsiaTheme="minorEastAsia" w:cstheme="minorEastAsia"/>
          <w:szCs w:val="21"/>
          <w:lang w:val="zh-CN"/>
        </w:rPr>
        <w:t>政策</w:t>
      </w:r>
      <w:r>
        <w:tab/>
      </w:r>
      <w:r>
        <w:fldChar w:fldCharType="begin"/>
      </w:r>
      <w:r>
        <w:instrText xml:space="preserve"> PAGEREF _Toc29425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_Toc24961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rPr>
        <w:t xml:space="preserve">33、 </w:t>
      </w:r>
      <w:r>
        <w:rPr>
          <w:rFonts w:hint="eastAsia" w:asciiTheme="minorEastAsia" w:hAnsiTheme="minorEastAsia" w:eastAsiaTheme="minorEastAsia" w:cstheme="minorEastAsia"/>
        </w:rPr>
        <w:t>政府采购政策</w:t>
      </w:r>
      <w:r>
        <w:tab/>
      </w:r>
      <w:r>
        <w:fldChar w:fldCharType="begin"/>
      </w:r>
      <w:r>
        <w:instrText xml:space="preserve"> PAGEREF _Toc24961 \h </w:instrText>
      </w:r>
      <w:r>
        <w:fldChar w:fldCharType="separate"/>
      </w:r>
      <w:r>
        <w:t>23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_Toc12983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九、 </w:t>
      </w:r>
      <w:r>
        <w:rPr>
          <w:rFonts w:hint="eastAsia" w:asciiTheme="minorEastAsia" w:hAnsiTheme="minorEastAsia" w:eastAsiaTheme="minorEastAsia" w:cstheme="minorEastAsia"/>
          <w:szCs w:val="21"/>
          <w:lang w:val="zh-CN"/>
        </w:rPr>
        <w:t>其他要求</w:t>
      </w:r>
      <w:r>
        <w:tab/>
      </w:r>
      <w:r>
        <w:fldChar w:fldCharType="begin"/>
      </w:r>
      <w:r>
        <w:instrText xml:space="preserve"> PAGEREF _Toc12983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_Toc30166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21"/>
          <w:lang w:val="zh-CN"/>
        </w:rPr>
        <w:t xml:space="preserve">十、 </w:t>
      </w:r>
      <w:r>
        <w:rPr>
          <w:rFonts w:hint="eastAsia" w:asciiTheme="minorEastAsia" w:hAnsiTheme="minorEastAsia" w:eastAsiaTheme="minorEastAsia" w:cstheme="minorEastAsia"/>
          <w:szCs w:val="21"/>
          <w:lang w:val="zh-CN"/>
        </w:rPr>
        <w:t>适用法律</w:t>
      </w:r>
      <w:r>
        <w:tab/>
      </w:r>
      <w:r>
        <w:fldChar w:fldCharType="begin"/>
      </w:r>
      <w:r>
        <w:instrText xml:space="preserve"> PAGEREF _Toc30166 \h </w:instrText>
      </w:r>
      <w:r>
        <w:fldChar w:fldCharType="separate"/>
      </w:r>
      <w:r>
        <w:t>24</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_Toc8164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第三章 </w:t>
      </w:r>
      <w:r>
        <w:rPr>
          <w:rFonts w:hint="eastAsia" w:asciiTheme="minorEastAsia" w:hAnsiTheme="minorEastAsia" w:eastAsiaTheme="minorEastAsia" w:cstheme="minorEastAsia"/>
          <w:bCs/>
          <w:szCs w:val="36"/>
        </w:rPr>
        <w:t>采购需求</w:t>
      </w:r>
      <w:r>
        <w:tab/>
      </w:r>
      <w:r>
        <w:fldChar w:fldCharType="begin"/>
      </w:r>
      <w:r>
        <w:instrText xml:space="preserve"> PAGEREF _Toc8164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_Toc16493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一、技术需求</w:t>
      </w:r>
      <w:r>
        <w:tab/>
      </w:r>
      <w:r>
        <w:fldChar w:fldCharType="begin"/>
      </w:r>
      <w:r>
        <w:instrText xml:space="preserve"> PAGEREF _Toc16493 \h </w:instrText>
      </w:r>
      <w:r>
        <w:fldChar w:fldCharType="separate"/>
      </w:r>
      <w:r>
        <w:t>26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_Toc22503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rPr>
        <w:t>二、商务需求</w:t>
      </w:r>
      <w:r>
        <w:tab/>
      </w:r>
      <w:r>
        <w:fldChar w:fldCharType="begin"/>
      </w:r>
      <w:r>
        <w:instrText xml:space="preserve"> PAGEREF _Toc22503 \h </w:instrText>
      </w:r>
      <w:r>
        <w:fldChar w:fldCharType="separate"/>
      </w:r>
      <w:r>
        <w:t>31</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_Toc26281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第四章 </w:t>
      </w:r>
      <w:r>
        <w:rPr>
          <w:rFonts w:hint="eastAsia" w:asciiTheme="minorEastAsia" w:hAnsiTheme="minorEastAsia" w:eastAsiaTheme="minorEastAsia" w:cstheme="minorEastAsia"/>
          <w:szCs w:val="36"/>
        </w:rPr>
        <w:t>竞争性磋商采购评定办法</w:t>
      </w:r>
      <w:r>
        <w:tab/>
      </w:r>
      <w:r>
        <w:fldChar w:fldCharType="begin"/>
      </w:r>
      <w:r>
        <w:instrText xml:space="preserve"> PAGEREF _Toc26281 \h </w:instrText>
      </w:r>
      <w:r>
        <w:fldChar w:fldCharType="separate"/>
      </w:r>
      <w:r>
        <w:t>34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_Toc14722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一、评定办法前附表</w:t>
      </w:r>
      <w:r>
        <w:tab/>
      </w:r>
      <w:r>
        <w:fldChar w:fldCharType="begin"/>
      </w:r>
      <w:r>
        <w:instrText xml:space="preserve"> PAGEREF _Toc14722 \h </w:instrText>
      </w:r>
      <w:r>
        <w:fldChar w:fldCharType="separate"/>
      </w:r>
      <w:r>
        <w:t>34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_Toc1927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二、计算办法</w:t>
      </w:r>
      <w:r>
        <w:tab/>
      </w:r>
      <w:r>
        <w:fldChar w:fldCharType="begin"/>
      </w:r>
      <w:r>
        <w:instrText xml:space="preserve"> PAGEREF _Toc1927 \h </w:instrText>
      </w:r>
      <w:r>
        <w:fldChar w:fldCharType="separate"/>
      </w:r>
      <w:r>
        <w:t>37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_Toc7304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三、评分细则</w:t>
      </w:r>
      <w:r>
        <w:tab/>
      </w:r>
      <w:r>
        <w:fldChar w:fldCharType="begin"/>
      </w:r>
      <w:r>
        <w:instrText xml:space="preserve"> PAGEREF _Toc7304 \h </w:instrText>
      </w:r>
      <w:r>
        <w:fldChar w:fldCharType="separate"/>
      </w:r>
      <w:r>
        <w:t>38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_Toc4308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四、评定办法</w:t>
      </w:r>
      <w:r>
        <w:tab/>
      </w:r>
      <w:r>
        <w:fldChar w:fldCharType="begin"/>
      </w:r>
      <w:r>
        <w:instrText xml:space="preserve"> PAGEREF _Toc4308 \h </w:instrText>
      </w:r>
      <w:r>
        <w:fldChar w:fldCharType="separate"/>
      </w:r>
      <w:r>
        <w:t>40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_Toc775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zCs w:val="21"/>
        </w:rPr>
        <w:t>五、磋商及评审步骤</w:t>
      </w:r>
      <w:r>
        <w:tab/>
      </w:r>
      <w:r>
        <w:fldChar w:fldCharType="begin"/>
      </w:r>
      <w:r>
        <w:instrText xml:space="preserve"> PAGEREF _Toc775 \h </w:instrText>
      </w:r>
      <w:r>
        <w:fldChar w:fldCharType="separate"/>
      </w:r>
      <w:r>
        <w:t>41</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_Toc30997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kern w:val="0"/>
          <w:szCs w:val="36"/>
        </w:rPr>
        <w:t xml:space="preserve">第五章 </w:t>
      </w:r>
      <w:r>
        <w:rPr>
          <w:rFonts w:hint="eastAsia" w:asciiTheme="minorEastAsia" w:hAnsiTheme="minorEastAsia" w:eastAsiaTheme="minorEastAsia" w:cstheme="minorEastAsia"/>
          <w:szCs w:val="36"/>
        </w:rPr>
        <w:t>合同书格式</w:t>
      </w:r>
      <w:r>
        <w:tab/>
      </w:r>
      <w:r>
        <w:fldChar w:fldCharType="begin"/>
      </w:r>
      <w:r>
        <w:instrText xml:space="preserve"> PAGEREF _Toc30997 \h </w:instrText>
      </w:r>
      <w:r>
        <w:fldChar w:fldCharType="separate"/>
      </w:r>
      <w:r>
        <w:t>43</w:t>
      </w:r>
      <w:r>
        <w:fldChar w:fldCharType="end"/>
      </w:r>
      <w:r>
        <w:rPr>
          <w:rFonts w:hint="eastAsia" w:asciiTheme="minorEastAsia" w:hAnsiTheme="minorEastAsia" w:eastAsiaTheme="minorEastAsia" w:cstheme="minorEastAsia"/>
          <w:szCs w:val="21"/>
        </w:rPr>
        <w:fldChar w:fldCharType="end"/>
      </w:r>
    </w:p>
    <w:p>
      <w:pPr>
        <w:pStyle w:val="20"/>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_Toc4991 </w:instrText>
      </w:r>
      <w:r>
        <w:rPr>
          <w:rFonts w:hint="eastAsia" w:asciiTheme="minorEastAsia" w:hAnsiTheme="minorEastAsia" w:eastAsiaTheme="minorEastAsia" w:cstheme="minorEastAsia"/>
          <w:szCs w:val="21"/>
        </w:rPr>
        <w:fldChar w:fldCharType="separate"/>
      </w:r>
      <w:r>
        <w:rPr>
          <w:rFonts w:hint="default" w:asciiTheme="minorEastAsia" w:hAnsiTheme="minorEastAsia" w:eastAsiaTheme="minorEastAsia" w:cstheme="minorEastAsia"/>
          <w:szCs w:val="36"/>
        </w:rPr>
        <w:t xml:space="preserve">第六章 </w:t>
      </w:r>
      <w:r>
        <w:rPr>
          <w:rFonts w:hint="eastAsia" w:asciiTheme="minorEastAsia" w:hAnsiTheme="minorEastAsia" w:eastAsiaTheme="minorEastAsia" w:cstheme="minorEastAsia"/>
          <w:szCs w:val="36"/>
        </w:rPr>
        <w:t>竞争性磋商响应文件格式</w:t>
      </w:r>
      <w:r>
        <w:tab/>
      </w:r>
      <w:r>
        <w:fldChar w:fldCharType="begin"/>
      </w:r>
      <w:r>
        <w:instrText xml:space="preserve"> PAGEREF _Toc4991 \h </w:instrText>
      </w:r>
      <w:r>
        <w:fldChar w:fldCharType="separate"/>
      </w:r>
      <w:r>
        <w:t>47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_Toc29261 </w:instrText>
      </w:r>
      <w:r>
        <w:rPr>
          <w:rFonts w:hint="eastAsia" w:asciiTheme="minorEastAsia" w:hAnsiTheme="minorEastAsia" w:eastAsiaTheme="minorEastAsia" w:cstheme="minorEastAsia"/>
          <w:szCs w:val="21"/>
        </w:rPr>
        <w:fldChar w:fldCharType="separate"/>
      </w:r>
      <w:r>
        <w:rPr>
          <w:rFonts w:hint="eastAsia" w:ascii="宋体" w:hAnsi="宋体" w:cs="宋体"/>
          <w:szCs w:val="21"/>
        </w:rPr>
        <w:t>一、评分标准索引表</w:t>
      </w:r>
      <w:r>
        <w:tab/>
      </w:r>
      <w:r>
        <w:fldChar w:fldCharType="begin"/>
      </w:r>
      <w:r>
        <w:instrText xml:space="preserve"> PAGEREF _Toc29261 \h </w:instrText>
      </w:r>
      <w:r>
        <w:fldChar w:fldCharType="separate"/>
      </w:r>
      <w:r>
        <w:t>48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_Toc3570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二、磋商书</w:t>
      </w:r>
      <w:r>
        <w:tab/>
      </w:r>
      <w:r>
        <w:fldChar w:fldCharType="begin"/>
      </w:r>
      <w:r>
        <w:instrText xml:space="preserve"> PAGEREF _Toc3570 \h </w:instrText>
      </w:r>
      <w:r>
        <w:fldChar w:fldCharType="separate"/>
      </w:r>
      <w:r>
        <w:t>49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_Toc3140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三、法定代表人授权书</w:t>
      </w:r>
      <w:r>
        <w:tab/>
      </w:r>
      <w:r>
        <w:fldChar w:fldCharType="begin"/>
      </w:r>
      <w:r>
        <w:instrText xml:space="preserve"> PAGEREF _Toc3140 \h </w:instrText>
      </w:r>
      <w:r>
        <w:fldChar w:fldCharType="separate"/>
      </w:r>
      <w:r>
        <w:t>50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_Toc28987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四、</w:t>
      </w:r>
      <w:r>
        <w:rPr>
          <w:rFonts w:hint="eastAsia" w:asciiTheme="minorEastAsia" w:hAnsiTheme="minorEastAsia" w:eastAsiaTheme="minorEastAsia" w:cstheme="minorEastAsia"/>
          <w:bCs/>
          <w:szCs w:val="21"/>
        </w:rPr>
        <w:t>法定代表人身份证明书</w:t>
      </w:r>
      <w:r>
        <w:tab/>
      </w:r>
      <w:r>
        <w:fldChar w:fldCharType="begin"/>
      </w:r>
      <w:r>
        <w:instrText xml:space="preserve"> PAGEREF _Toc28987 \h </w:instrText>
      </w:r>
      <w:r>
        <w:fldChar w:fldCharType="separate"/>
      </w:r>
      <w:r>
        <w:t>51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_Toc26496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五、报价一览表</w:t>
      </w:r>
      <w:r>
        <w:tab/>
      </w:r>
      <w:r>
        <w:fldChar w:fldCharType="begin"/>
      </w:r>
      <w:r>
        <w:instrText xml:space="preserve"> PAGEREF _Toc26496 \h </w:instrText>
      </w:r>
      <w:r>
        <w:fldChar w:fldCharType="separate"/>
      </w:r>
      <w:r>
        <w:t>52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_Toc1634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六、报价费用构成表</w:t>
      </w:r>
      <w:r>
        <w:tab/>
      </w:r>
      <w:r>
        <w:fldChar w:fldCharType="begin"/>
      </w:r>
      <w:r>
        <w:instrText xml:space="preserve"> PAGEREF _Toc1634 \h </w:instrText>
      </w:r>
      <w:r>
        <w:fldChar w:fldCharType="separate"/>
      </w:r>
      <w:r>
        <w:t>53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_Toc4378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七、耗材清单</w:t>
      </w:r>
      <w:r>
        <w:tab/>
      </w:r>
      <w:r>
        <w:fldChar w:fldCharType="begin"/>
      </w:r>
      <w:r>
        <w:instrText xml:space="preserve"> PAGEREF _Toc4378 \h </w:instrText>
      </w:r>
      <w:r>
        <w:fldChar w:fldCharType="separate"/>
      </w:r>
      <w:r>
        <w:t>54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_Toc13703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八、拟投入设备/备件、工具情况</w:t>
      </w:r>
      <w:r>
        <w:tab/>
      </w:r>
      <w:r>
        <w:fldChar w:fldCharType="begin"/>
      </w:r>
      <w:r>
        <w:instrText xml:space="preserve"> PAGEREF _Toc13703 \h </w:instrText>
      </w:r>
      <w:r>
        <w:fldChar w:fldCharType="separate"/>
      </w:r>
      <w:r>
        <w:t>55</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_Toc19061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九、缴纳保证金的银行凭证（如有）</w:t>
      </w:r>
      <w:r>
        <w:tab/>
      </w:r>
      <w:r>
        <w:fldChar w:fldCharType="begin"/>
      </w:r>
      <w:r>
        <w:instrText xml:space="preserve"> PAGEREF _Toc19061 \h </w:instrText>
      </w:r>
      <w:r>
        <w:fldChar w:fldCharType="separate"/>
      </w:r>
      <w:r>
        <w:t>56</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_Toc21818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十、偏离说明表</w:t>
      </w:r>
      <w:r>
        <w:tab/>
      </w:r>
      <w:r>
        <w:fldChar w:fldCharType="begin"/>
      </w:r>
      <w:r>
        <w:instrText xml:space="preserve"> PAGEREF _Toc21818 \h </w:instrText>
      </w:r>
      <w:r>
        <w:fldChar w:fldCharType="separate"/>
      </w:r>
      <w:r>
        <w:t>57</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_Toc10164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rPr>
        <w:t>十一、</w:t>
      </w:r>
      <w:r>
        <w:rPr>
          <w:rFonts w:hint="eastAsia" w:asciiTheme="minorEastAsia" w:hAnsiTheme="minorEastAsia" w:eastAsiaTheme="minorEastAsia" w:cstheme="minorEastAsia"/>
          <w:bCs/>
          <w:szCs w:val="21"/>
        </w:rPr>
        <w:t xml:space="preserve">类似业绩一览表 </w:t>
      </w:r>
      <w:r>
        <w:tab/>
      </w:r>
      <w:r>
        <w:fldChar w:fldCharType="begin"/>
      </w:r>
      <w:r>
        <w:instrText xml:space="preserve"> PAGEREF _Toc10164 \h </w:instrText>
      </w:r>
      <w:r>
        <w:fldChar w:fldCharType="separate"/>
      </w:r>
      <w:r>
        <w:t>58</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_Toc10652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zCs w:val="21"/>
        </w:rPr>
        <w:t>十二、拟投入项目组人员一览表</w:t>
      </w:r>
      <w:r>
        <w:tab/>
      </w:r>
      <w:r>
        <w:fldChar w:fldCharType="begin"/>
      </w:r>
      <w:r>
        <w:instrText xml:space="preserve"> PAGEREF _Toc10652 \h </w:instrText>
      </w:r>
      <w:r>
        <w:fldChar w:fldCharType="separate"/>
      </w:r>
      <w:r>
        <w:t>59</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_Toc722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十三、</w:t>
      </w:r>
      <w:r>
        <w:rPr>
          <w:rFonts w:hint="eastAsia" w:asciiTheme="minorEastAsia" w:hAnsiTheme="minorEastAsia" w:eastAsiaTheme="minorEastAsia" w:cstheme="minorEastAsia"/>
          <w:bCs/>
          <w:szCs w:val="21"/>
        </w:rPr>
        <w:t>供应商的资格声明</w:t>
      </w:r>
      <w:r>
        <w:tab/>
      </w:r>
      <w:r>
        <w:fldChar w:fldCharType="begin"/>
      </w:r>
      <w:r>
        <w:instrText xml:space="preserve"> PAGEREF _Toc722 \h </w:instrText>
      </w:r>
      <w:r>
        <w:fldChar w:fldCharType="separate"/>
      </w:r>
      <w:r>
        <w:t>60</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_Toc14741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十四、</w:t>
      </w:r>
      <w:r>
        <w:rPr>
          <w:rFonts w:hint="eastAsia" w:asciiTheme="minorEastAsia" w:hAnsiTheme="minorEastAsia" w:eastAsiaTheme="minorEastAsia" w:cstheme="minorEastAsia"/>
          <w:bCs/>
          <w:szCs w:val="21"/>
        </w:rPr>
        <w:t>资格证明文件</w:t>
      </w:r>
      <w:r>
        <w:tab/>
      </w:r>
      <w:r>
        <w:fldChar w:fldCharType="begin"/>
      </w:r>
      <w:r>
        <w:instrText xml:space="preserve"> PAGEREF _Toc14741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_Toc28810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kern w:val="0"/>
          <w:szCs w:val="21"/>
        </w:rPr>
        <w:t>十五、报价技术文件</w:t>
      </w:r>
      <w:r>
        <w:tab/>
      </w:r>
      <w:r>
        <w:fldChar w:fldCharType="begin"/>
      </w:r>
      <w:r>
        <w:instrText xml:space="preserve"> PAGEREF _Toc28810 \h </w:instrText>
      </w:r>
      <w:r>
        <w:fldChar w:fldCharType="separate"/>
      </w:r>
      <w:r>
        <w:t>61</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_Toc4767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十六、</w:t>
      </w:r>
      <w:r>
        <w:rPr>
          <w:rFonts w:hint="eastAsia" w:asciiTheme="minorEastAsia" w:hAnsiTheme="minorEastAsia" w:eastAsiaTheme="minorEastAsia" w:cstheme="minorEastAsia"/>
          <w:lang w:val="zh-CN"/>
        </w:rPr>
        <w:t>中小企业声明函（</w:t>
      </w:r>
      <w:r>
        <w:rPr>
          <w:rFonts w:hint="eastAsia" w:asciiTheme="minorEastAsia" w:hAnsiTheme="minorEastAsia" w:eastAsiaTheme="minorEastAsia" w:cstheme="minorEastAsia"/>
        </w:rPr>
        <w:t>货物</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_Toc4767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_Toc3443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十七、</w:t>
      </w:r>
      <w:r>
        <w:rPr>
          <w:rFonts w:hint="eastAsia" w:asciiTheme="minorEastAsia" w:hAnsiTheme="minorEastAsia" w:eastAsiaTheme="minorEastAsia" w:cstheme="minorEastAsia"/>
          <w:bCs/>
          <w:lang w:val="zh-CN"/>
        </w:rPr>
        <w:t>监狱企业证</w:t>
      </w:r>
      <w:r>
        <w:rPr>
          <w:rFonts w:hint="eastAsia" w:asciiTheme="minorEastAsia" w:hAnsiTheme="minorEastAsia" w:eastAsiaTheme="minorEastAsia" w:cstheme="minorEastAsia"/>
          <w:lang w:val="zh-CN"/>
        </w:rPr>
        <w:t>明文</w:t>
      </w:r>
      <w:r>
        <w:rPr>
          <w:rFonts w:hint="eastAsia" w:asciiTheme="minorEastAsia" w:hAnsiTheme="minorEastAsia" w:eastAsiaTheme="minorEastAsia" w:cstheme="minorEastAsia"/>
        </w:rPr>
        <w:t>件</w:t>
      </w:r>
      <w:r>
        <w:rPr>
          <w:rFonts w:hint="eastAsia" w:asciiTheme="minorEastAsia" w:hAnsiTheme="minorEastAsia" w:eastAsiaTheme="minorEastAsia" w:cstheme="minorEastAsia"/>
          <w:lang w:val="zh-CN"/>
        </w:rPr>
        <w:t>（若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_Toc3443 \h </w:instrText>
      </w:r>
      <w:r>
        <w:fldChar w:fldCharType="separate"/>
      </w:r>
      <w:r>
        <w:t>62</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_Toc6130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spacing w:val="6"/>
          <w:szCs w:val="21"/>
        </w:rPr>
        <w:t xml:space="preserve"> </w:t>
      </w:r>
      <w:r>
        <w:rPr>
          <w:rFonts w:hint="eastAsia" w:asciiTheme="minorEastAsia" w:hAnsiTheme="minorEastAsia" w:eastAsiaTheme="minorEastAsia" w:cstheme="minorEastAsia"/>
        </w:rPr>
        <w:t>十八、</w:t>
      </w:r>
      <w:r>
        <w:rPr>
          <w:rFonts w:hint="eastAsia" w:asciiTheme="minorEastAsia" w:hAnsiTheme="minorEastAsia" w:eastAsiaTheme="minorEastAsia" w:cstheme="minorEastAsia"/>
          <w:lang w:val="zh-CN"/>
        </w:rPr>
        <w:t>残疾人福利性单位声明函（若</w:t>
      </w:r>
      <w:r>
        <w:rPr>
          <w:rFonts w:hint="eastAsia" w:asciiTheme="minorEastAsia" w:hAnsiTheme="minorEastAsia" w:eastAsiaTheme="minorEastAsia" w:cstheme="minorEastAsia"/>
        </w:rPr>
        <w:t>符合</w:t>
      </w:r>
      <w:r>
        <w:rPr>
          <w:rFonts w:hint="eastAsia" w:asciiTheme="minorEastAsia" w:hAnsiTheme="minorEastAsia" w:eastAsiaTheme="minorEastAsia" w:cstheme="minorEastAsia"/>
          <w:lang w:val="zh-CN"/>
        </w:rPr>
        <w:t>）</w:t>
      </w:r>
      <w:r>
        <w:tab/>
      </w:r>
      <w:r>
        <w:fldChar w:fldCharType="begin"/>
      </w:r>
      <w:r>
        <w:instrText xml:space="preserve"> PAGEREF _Toc6130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_Toc27893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rPr>
        <w:t>十九、节能环保产品证明材料（若符合）</w:t>
      </w:r>
      <w:r>
        <w:tab/>
      </w:r>
      <w:r>
        <w:fldChar w:fldCharType="begin"/>
      </w:r>
      <w:r>
        <w:instrText xml:space="preserve"> PAGEREF _Toc27893 \h </w:instrText>
      </w:r>
      <w:r>
        <w:fldChar w:fldCharType="separate"/>
      </w:r>
      <w:r>
        <w:t>63</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_Toc8218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bCs/>
          <w:spacing w:val="6"/>
          <w:szCs w:val="21"/>
        </w:rPr>
        <w:t>二十、</w:t>
      </w:r>
      <w:r>
        <w:rPr>
          <w:rFonts w:hint="eastAsia" w:asciiTheme="minorEastAsia" w:hAnsiTheme="minorEastAsia" w:eastAsiaTheme="minorEastAsia" w:cstheme="minorEastAsia"/>
        </w:rPr>
        <w:t>无重大违法记录声明</w:t>
      </w:r>
      <w:r>
        <w:tab/>
      </w:r>
      <w:r>
        <w:fldChar w:fldCharType="begin"/>
      </w:r>
      <w:r>
        <w:instrText xml:space="preserve"> PAGEREF _Toc8218 \h </w:instrText>
      </w:r>
      <w:r>
        <w:fldChar w:fldCharType="separate"/>
      </w:r>
      <w:r>
        <w:t>64</w:t>
      </w:r>
      <w:r>
        <w:fldChar w:fldCharType="end"/>
      </w:r>
      <w:r>
        <w:rPr>
          <w:rFonts w:hint="eastAsia" w:asciiTheme="minorEastAsia" w:hAnsiTheme="minorEastAsia" w:eastAsiaTheme="minorEastAsia" w:cstheme="minorEastAsia"/>
          <w:szCs w:val="21"/>
        </w:rPr>
        <w:fldChar w:fldCharType="end"/>
      </w:r>
    </w:p>
    <w:p>
      <w:pPr>
        <w:pStyle w:val="22"/>
        <w:keepNext w:val="0"/>
        <w:keepLines w:val="0"/>
        <w:pageBreakBefore w:val="0"/>
        <w:widowControl w:val="0"/>
        <w:tabs>
          <w:tab w:val="right" w:leader="dot" w:pos="9072"/>
        </w:tabs>
        <w:kinsoku/>
        <w:wordWrap/>
        <w:overflowPunct/>
        <w:topLinePunct w:val="0"/>
        <w:autoSpaceDE/>
        <w:autoSpaceDN/>
        <w:bidi w:val="0"/>
        <w:adjustRightInd/>
        <w:snapToGrid/>
        <w:spacing w:line="300" w:lineRule="auto"/>
        <w:textAlignment w:val="auto"/>
      </w:pPr>
      <w:r>
        <w:rPr>
          <w:rFonts w:hint="eastAsia" w:asciiTheme="minorEastAsia" w:hAnsiTheme="minorEastAsia" w:eastAsiaTheme="minorEastAsia" w:cstheme="minorEastAsia"/>
          <w:szCs w:val="21"/>
        </w:rPr>
        <w:fldChar w:fldCharType="begin"/>
      </w:r>
      <w:r>
        <w:rPr>
          <w:rFonts w:hint="eastAsia" w:asciiTheme="minorEastAsia" w:hAnsiTheme="minorEastAsia" w:eastAsiaTheme="minorEastAsia" w:cstheme="minorEastAsia"/>
          <w:szCs w:val="21"/>
        </w:rPr>
        <w:instrText xml:space="preserve"> HYPERLINK \l _Toc268 </w:instrText>
      </w:r>
      <w:r>
        <w:rPr>
          <w:rFonts w:hint="eastAsia" w:asciiTheme="minorEastAsia" w:hAnsiTheme="minorEastAsia" w:eastAsiaTheme="minorEastAsia" w:cstheme="minorEastAsia"/>
          <w:szCs w:val="21"/>
        </w:rPr>
        <w:fldChar w:fldCharType="separate"/>
      </w:r>
      <w:r>
        <w:rPr>
          <w:rFonts w:hint="eastAsia" w:asciiTheme="minorEastAsia" w:hAnsiTheme="minorEastAsia" w:eastAsiaTheme="minorEastAsia" w:cstheme="minorEastAsia"/>
          <w:kern w:val="0"/>
          <w:szCs w:val="21"/>
          <w:shd w:val="clear" w:color="auto" w:fill="FFFFFF"/>
        </w:rPr>
        <w:t xml:space="preserve"> </w:t>
      </w:r>
      <w:r>
        <w:rPr>
          <w:rFonts w:hint="eastAsia" w:asciiTheme="minorEastAsia" w:hAnsiTheme="minorEastAsia" w:eastAsiaTheme="minorEastAsia" w:cstheme="minorEastAsia"/>
          <w:bCs/>
          <w:kern w:val="0"/>
          <w:szCs w:val="21"/>
          <w:shd w:val="clear" w:color="auto" w:fill="FFFFFF"/>
        </w:rPr>
        <w:t xml:space="preserve">二十一、磋商供应商认为应该提交的其它文件（格式自拟） </w:t>
      </w:r>
      <w:r>
        <w:tab/>
      </w:r>
      <w:r>
        <w:fldChar w:fldCharType="begin"/>
      </w:r>
      <w:r>
        <w:instrText xml:space="preserve"> PAGEREF _Toc268 \h </w:instrText>
      </w:r>
      <w:r>
        <w:fldChar w:fldCharType="separate"/>
      </w:r>
      <w:r>
        <w:t>65</w:t>
      </w:r>
      <w:r>
        <w:fldChar w:fldCharType="end"/>
      </w:r>
      <w:r>
        <w:rPr>
          <w:rFonts w:hint="eastAsia" w:asciiTheme="minorEastAsia" w:hAnsiTheme="minorEastAsia" w:eastAsiaTheme="minorEastAsia" w:cstheme="minorEastAsia"/>
          <w:szCs w:val="21"/>
        </w:rPr>
        <w:fldChar w:fldCharType="end"/>
      </w:r>
    </w:p>
    <w:p>
      <w:pPr>
        <w:keepNext w:val="0"/>
        <w:keepLines w:val="0"/>
        <w:pageBreakBefore w:val="0"/>
        <w:widowControl w:val="0"/>
        <w:kinsoku/>
        <w:wordWrap/>
        <w:overflowPunct/>
        <w:topLinePunct w:val="0"/>
        <w:autoSpaceDE/>
        <w:autoSpaceDN/>
        <w:bidi w:val="0"/>
        <w:adjustRightInd/>
        <w:snapToGrid/>
        <w:spacing w:line="300" w:lineRule="auto"/>
        <w:jc w:val="left"/>
        <w:textAlignment w:val="auto"/>
        <w:rPr>
          <w:rFonts w:asciiTheme="minorEastAsia" w:hAnsiTheme="minorEastAsia" w:eastAsiaTheme="minorEastAsia" w:cstheme="minorEastAsia"/>
          <w:szCs w:val="21"/>
        </w:rPr>
        <w:sectPr>
          <w:headerReference r:id="rId3" w:type="default"/>
          <w:footerReference r:id="rId5" w:type="default"/>
          <w:headerReference r:id="rId4" w:type="even"/>
          <w:footerReference r:id="rId6" w:type="even"/>
          <w:type w:val="continuous"/>
          <w:pgSz w:w="11906" w:h="16838"/>
          <w:pgMar w:top="1417" w:right="1417" w:bottom="1417" w:left="1417" w:header="851" w:footer="992" w:gutter="0"/>
          <w:pgNumType w:fmt="numberInDash"/>
          <w:cols w:space="720" w:num="1"/>
          <w:docGrid w:type="lines" w:linePitch="312" w:charSpace="0"/>
        </w:sectPr>
      </w:pPr>
      <w:r>
        <w:rPr>
          <w:rFonts w:hint="eastAsia" w:asciiTheme="minorEastAsia" w:hAnsiTheme="minorEastAsia" w:eastAsiaTheme="minorEastAsia" w:cstheme="minorEastAsia"/>
          <w:szCs w:val="21"/>
        </w:rPr>
        <w:fldChar w:fldCharType="end"/>
      </w:r>
    </w:p>
    <w:p>
      <w:pPr>
        <w:numPr>
          <w:ilvl w:val="0"/>
          <w:numId w:val="5"/>
        </w:numPr>
        <w:spacing w:line="360" w:lineRule="auto"/>
        <w:jc w:val="center"/>
        <w:outlineLvl w:val="0"/>
        <w:rPr>
          <w:b/>
          <w:bCs/>
          <w:sz w:val="24"/>
        </w:rPr>
      </w:pPr>
      <w:bookmarkStart w:id="0" w:name="_Toc29326"/>
      <w:bookmarkStart w:id="1" w:name="_Toc6866"/>
      <w:r>
        <w:rPr>
          <w:rFonts w:hint="eastAsia" w:ascii="宋体" w:hAnsi="宋体" w:cs="宋体"/>
          <w:b/>
          <w:sz w:val="36"/>
          <w:szCs w:val="36"/>
        </w:rPr>
        <w:t>竞争性磋商公告</w:t>
      </w:r>
      <w:bookmarkEnd w:id="0"/>
      <w:bookmarkEnd w:id="1"/>
      <w:bookmarkStart w:id="2" w:name="_Toc152045512"/>
      <w:bookmarkStart w:id="3" w:name="_Toc144974480"/>
      <w:bookmarkStart w:id="4" w:name="_Toc524908844"/>
      <w:bookmarkStart w:id="5" w:name="_Toc152042288"/>
      <w:bookmarkStart w:id="6" w:name="_Toc9976"/>
      <w:bookmarkStart w:id="7" w:name="_Toc179632528"/>
    </w:p>
    <w:bookmarkEnd w:id="2"/>
    <w:bookmarkEnd w:id="3"/>
    <w:bookmarkEnd w:id="4"/>
    <w:bookmarkEnd w:id="5"/>
    <w:bookmarkEnd w:id="6"/>
    <w:bookmarkEnd w:id="7"/>
    <w:p>
      <w:pPr>
        <w:pBdr>
          <w:top w:val="single" w:color="auto" w:sz="4" w:space="1"/>
          <w:left w:val="single" w:color="auto" w:sz="4" w:space="4"/>
          <w:bottom w:val="single" w:color="auto" w:sz="4" w:space="1"/>
          <w:right w:val="single" w:color="auto" w:sz="4" w:space="4"/>
        </w:pBdr>
        <w:spacing w:line="360" w:lineRule="auto"/>
        <w:jc w:val="left"/>
        <w:rPr>
          <w:rFonts w:ascii="宋体" w:hAnsi="宋体" w:cs="宋体"/>
          <w:color w:val="000000"/>
          <w:szCs w:val="21"/>
        </w:rPr>
      </w:pPr>
      <w:r>
        <w:rPr>
          <w:rFonts w:hint="eastAsia" w:ascii="宋体" w:hAnsi="宋体" w:cs="宋体"/>
          <w:b/>
          <w:bCs/>
          <w:color w:val="000000"/>
          <w:szCs w:val="21"/>
        </w:rPr>
        <w:t>项目概况</w:t>
      </w:r>
    </w:p>
    <w:p>
      <w:pPr>
        <w:pBdr>
          <w:top w:val="single" w:color="auto" w:sz="4" w:space="1"/>
          <w:left w:val="single" w:color="auto" w:sz="4" w:space="4"/>
          <w:bottom w:val="single" w:color="auto" w:sz="4" w:space="1"/>
          <w:right w:val="single" w:color="auto" w:sz="4" w:space="4"/>
        </w:pBdr>
        <w:spacing w:line="360" w:lineRule="auto"/>
        <w:ind w:firstLine="420" w:firstLineChars="200"/>
        <w:jc w:val="left"/>
        <w:rPr>
          <w:rFonts w:ascii="宋体" w:hAnsi="宋体" w:cs="宋体"/>
          <w:color w:val="000000"/>
          <w:szCs w:val="21"/>
        </w:rPr>
      </w:pPr>
      <w:r>
        <w:rPr>
          <w:rFonts w:hint="eastAsia" w:ascii="宋体" w:hAnsi="宋体" w:cs="宋体"/>
          <w:szCs w:val="21"/>
          <w:u w:val="single"/>
          <w:lang w:eastAsia="zh-CN"/>
        </w:rPr>
        <w:t>湖北工业大学南区门禁系统改造并网升级</w:t>
      </w:r>
      <w:r>
        <w:rPr>
          <w:rFonts w:hint="eastAsia" w:ascii="宋体" w:hAnsi="宋体" w:cs="宋体"/>
          <w:szCs w:val="21"/>
        </w:rPr>
        <w:t>采购项目的潜在供应商应在</w:t>
      </w:r>
      <w:r>
        <w:rPr>
          <w:rFonts w:hint="eastAsia" w:ascii="宋体" w:hAnsi="宋体" w:cs="宋体"/>
          <w:szCs w:val="21"/>
          <w:u w:val="single"/>
        </w:rPr>
        <w:t xml:space="preserve"> 线上 </w:t>
      </w:r>
      <w:r>
        <w:rPr>
          <w:rFonts w:hint="eastAsia" w:ascii="宋体" w:hAnsi="宋体" w:cs="宋体"/>
          <w:szCs w:val="21"/>
        </w:rPr>
        <w:t>获取采购</w:t>
      </w:r>
      <w:r>
        <w:rPr>
          <w:rFonts w:hint="eastAsia" w:ascii="宋体" w:hAnsi="宋体" w:cs="宋体"/>
          <w:color w:val="000000"/>
          <w:szCs w:val="21"/>
        </w:rPr>
        <w:t>文件，并于</w:t>
      </w:r>
      <w:r>
        <w:rPr>
          <w:rFonts w:hint="eastAsia" w:ascii="宋体" w:hAnsi="宋体" w:cs="宋体"/>
          <w:color w:val="auto"/>
          <w:szCs w:val="21"/>
          <w:u w:val="single"/>
        </w:rPr>
        <w:t>2022年</w:t>
      </w:r>
      <w:r>
        <w:rPr>
          <w:rFonts w:hint="eastAsia" w:ascii="宋体" w:hAnsi="宋体" w:cs="宋体"/>
          <w:color w:val="auto"/>
          <w:szCs w:val="21"/>
          <w:u w:val="single"/>
          <w:lang w:val="en-US" w:eastAsia="zh-CN"/>
        </w:rPr>
        <w:t>08</w:t>
      </w:r>
      <w:r>
        <w:rPr>
          <w:rFonts w:hint="eastAsia" w:ascii="宋体" w:hAnsi="宋体" w:cs="宋体"/>
          <w:color w:val="auto"/>
          <w:szCs w:val="21"/>
          <w:u w:val="single"/>
        </w:rPr>
        <w:t>月</w:t>
      </w:r>
      <w:r>
        <w:rPr>
          <w:rFonts w:hint="eastAsia" w:ascii="宋体" w:hAnsi="宋体" w:cs="宋体"/>
          <w:color w:val="auto"/>
          <w:szCs w:val="21"/>
          <w:u w:val="single"/>
          <w:lang w:val="en-US" w:eastAsia="zh-CN"/>
        </w:rPr>
        <w:t>05</w:t>
      </w:r>
      <w:r>
        <w:rPr>
          <w:rFonts w:hint="eastAsia" w:ascii="宋体" w:hAnsi="宋体" w:cs="宋体"/>
          <w:color w:val="auto"/>
          <w:szCs w:val="21"/>
          <w:u w:val="single"/>
        </w:rPr>
        <w:t>日</w:t>
      </w:r>
      <w:r>
        <w:rPr>
          <w:rFonts w:hint="eastAsia" w:ascii="宋体" w:hAnsi="宋体" w:cs="宋体"/>
          <w:color w:val="auto"/>
          <w:szCs w:val="21"/>
          <w:u w:val="single"/>
          <w:lang w:val="en-US" w:eastAsia="zh-CN"/>
        </w:rPr>
        <w:t>09</w:t>
      </w:r>
      <w:r>
        <w:rPr>
          <w:rFonts w:hint="eastAsia" w:ascii="宋体" w:hAnsi="宋体" w:cs="宋体"/>
          <w:color w:val="auto"/>
          <w:szCs w:val="21"/>
          <w:u w:val="single"/>
        </w:rPr>
        <w:t>点</w:t>
      </w:r>
      <w:r>
        <w:rPr>
          <w:rFonts w:hint="eastAsia" w:ascii="宋体" w:hAnsi="宋体" w:cs="宋体"/>
          <w:color w:val="auto"/>
          <w:szCs w:val="21"/>
          <w:u w:val="single"/>
          <w:lang w:val="en-US" w:eastAsia="zh-CN"/>
        </w:rPr>
        <w:t>30</w:t>
      </w:r>
      <w:r>
        <w:rPr>
          <w:rFonts w:hint="eastAsia" w:ascii="宋体" w:hAnsi="宋体" w:cs="宋体"/>
          <w:color w:val="auto"/>
          <w:szCs w:val="21"/>
          <w:u w:val="single"/>
        </w:rPr>
        <w:t>分</w:t>
      </w:r>
      <w:r>
        <w:rPr>
          <w:rFonts w:hint="eastAsia" w:ascii="宋体" w:hAnsi="宋体" w:cs="宋体"/>
          <w:color w:val="000000"/>
          <w:szCs w:val="21"/>
        </w:rPr>
        <w:t>（北京时间）前递交响应文件。</w:t>
      </w:r>
    </w:p>
    <w:p>
      <w:pPr>
        <w:pStyle w:val="4"/>
        <w:numPr>
          <w:ilvl w:val="0"/>
          <w:numId w:val="6"/>
        </w:numPr>
        <w:spacing w:line="360" w:lineRule="auto"/>
        <w:jc w:val="left"/>
        <w:rPr>
          <w:rFonts w:ascii="宋体" w:hAnsi="宋体" w:eastAsia="宋体" w:cs="宋体"/>
          <w:color w:val="000000"/>
          <w:sz w:val="21"/>
          <w:szCs w:val="21"/>
        </w:rPr>
      </w:pPr>
      <w:bookmarkStart w:id="8" w:name="_Toc27494"/>
      <w:r>
        <w:rPr>
          <w:rFonts w:hint="eastAsia" w:ascii="宋体" w:hAnsi="宋体" w:eastAsia="宋体" w:cs="宋体"/>
          <w:color w:val="000000"/>
          <w:sz w:val="21"/>
          <w:szCs w:val="21"/>
        </w:rPr>
        <w:t>项目基本情况</w:t>
      </w:r>
      <w:bookmarkEnd w:id="8"/>
    </w:p>
    <w:p>
      <w:pPr>
        <w:spacing w:line="360" w:lineRule="auto"/>
        <w:jc w:val="left"/>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rPr>
        <w:t>1.项目编号：</w:t>
      </w:r>
      <w:r>
        <w:rPr>
          <w:rFonts w:hint="eastAsia" w:asciiTheme="minorEastAsia" w:hAnsiTheme="minorEastAsia" w:eastAsiaTheme="minorEastAsia" w:cstheme="minorEastAsia"/>
          <w:szCs w:val="21"/>
          <w:lang w:eastAsia="zh-CN"/>
        </w:rPr>
        <w:t>HGDXW22-054/ZJZB-202207-198</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2.采购计划备案号：</w:t>
      </w:r>
      <w:r>
        <w:rPr>
          <w:rFonts w:hint="eastAsia" w:asciiTheme="minorEastAsia" w:hAnsiTheme="minorEastAsia" w:eastAsiaTheme="minorEastAsia" w:cstheme="minorEastAsia"/>
          <w:szCs w:val="21"/>
          <w:lang w:val="en-US" w:eastAsia="zh-CN"/>
        </w:rPr>
        <w:t>/</w:t>
      </w:r>
      <w:r>
        <w:rPr>
          <w:rFonts w:hint="eastAsia" w:asciiTheme="minorEastAsia" w:hAnsiTheme="minorEastAsia" w:eastAsiaTheme="minorEastAsia" w:cstheme="minorEastAsia"/>
          <w:szCs w:val="21"/>
        </w:rPr>
        <w:t xml:space="preserve"> </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3.项目名称：</w:t>
      </w:r>
      <w:r>
        <w:rPr>
          <w:rFonts w:hint="eastAsia" w:asciiTheme="minorEastAsia" w:hAnsiTheme="minorEastAsia" w:eastAsiaTheme="minorEastAsia" w:cstheme="minorEastAsia"/>
          <w:szCs w:val="21"/>
          <w:lang w:eastAsia="zh-CN"/>
        </w:rPr>
        <w:t>湖北工业大学南区门禁系统改造并网升级</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4.采购方式：竞争性磋商</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5.预算金额：人民币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eastAsia="zh-CN"/>
        </w:rPr>
        <w:t>32</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万元</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6.最高限价：人民币</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u w:val="single"/>
          <w:lang w:eastAsia="zh-CN"/>
        </w:rPr>
        <w:t>32</w:t>
      </w:r>
      <w:r>
        <w:rPr>
          <w:rFonts w:hint="eastAsia" w:asciiTheme="minorEastAsia" w:hAnsiTheme="minorEastAsia" w:eastAsiaTheme="minorEastAsia" w:cstheme="minorEastAsia"/>
          <w:szCs w:val="21"/>
          <w:u w:val="single"/>
        </w:rPr>
        <w:t xml:space="preserve"> </w:t>
      </w:r>
      <w:r>
        <w:rPr>
          <w:rFonts w:hint="eastAsia" w:asciiTheme="minorEastAsia" w:hAnsiTheme="minorEastAsia" w:eastAsiaTheme="minorEastAsia" w:cstheme="minorEastAsia"/>
          <w:szCs w:val="21"/>
        </w:rPr>
        <w:t>万元</w:t>
      </w:r>
    </w:p>
    <w:p>
      <w:pPr>
        <w:spacing w:line="360" w:lineRule="auto"/>
        <w:jc w:val="left"/>
        <w:rPr>
          <w:rFonts w:asciiTheme="minorEastAsia" w:hAnsiTheme="minorEastAsia" w:eastAsiaTheme="minorEastAsia" w:cstheme="minorEastAsia"/>
          <w:color w:val="auto"/>
          <w:szCs w:val="21"/>
          <w:highlight w:val="yellow"/>
        </w:rPr>
      </w:pPr>
      <w:r>
        <w:rPr>
          <w:rFonts w:hint="eastAsia" w:asciiTheme="minorEastAsia" w:hAnsiTheme="minorEastAsia" w:eastAsiaTheme="minorEastAsia" w:cstheme="minorEastAsia"/>
          <w:color w:val="000000"/>
          <w:szCs w:val="21"/>
        </w:rPr>
        <w:t>7.采购需求：</w:t>
      </w:r>
      <w:r>
        <w:rPr>
          <w:rFonts w:hint="eastAsia" w:asciiTheme="minorEastAsia" w:hAnsiTheme="minorEastAsia" w:eastAsiaTheme="minorEastAsia" w:cstheme="minorEastAsia"/>
          <w:color w:val="auto"/>
          <w:szCs w:val="21"/>
          <w:highlight w:val="none"/>
        </w:rPr>
        <w:t>包含</w:t>
      </w:r>
      <w:r>
        <w:rPr>
          <w:rFonts w:hint="eastAsia" w:asciiTheme="minorEastAsia" w:hAnsiTheme="minorEastAsia" w:eastAsiaTheme="minorEastAsia" w:cstheme="minorEastAsia"/>
          <w:color w:val="auto"/>
          <w:szCs w:val="21"/>
          <w:highlight w:val="none"/>
          <w:lang w:val="en-US" w:eastAsia="zh-CN"/>
        </w:rPr>
        <w:t>专用综合平台管理软件</w:t>
      </w:r>
      <w:r>
        <w:rPr>
          <w:rFonts w:hint="eastAsia" w:asciiTheme="minorEastAsia" w:hAnsiTheme="minorEastAsia" w:eastAsiaTheme="minorEastAsia" w:cstheme="minorEastAsia"/>
          <w:color w:val="auto"/>
          <w:szCs w:val="21"/>
          <w:highlight w:val="none"/>
        </w:rPr>
        <w:t>、</w:t>
      </w:r>
      <w:r>
        <w:rPr>
          <w:rFonts w:hint="eastAsia" w:asciiTheme="minorEastAsia" w:hAnsiTheme="minorEastAsia" w:eastAsiaTheme="minorEastAsia" w:cstheme="minorEastAsia"/>
          <w:color w:val="auto"/>
          <w:szCs w:val="21"/>
          <w:highlight w:val="none"/>
          <w:lang w:val="en-US" w:eastAsia="zh-CN"/>
        </w:rPr>
        <w:t>系统配置工作台、管理系统工作台、平台发布、系统接入、高速道闸、专用管理服务器、超灵敏车辆探测器</w:t>
      </w:r>
      <w:r>
        <w:rPr>
          <w:rFonts w:hint="eastAsia" w:asciiTheme="minorEastAsia" w:hAnsiTheme="minorEastAsia" w:eastAsiaTheme="minorEastAsia" w:cstheme="minorEastAsia"/>
          <w:color w:val="auto"/>
          <w:szCs w:val="21"/>
          <w:highlight w:val="none"/>
        </w:rPr>
        <w:t>等；</w:t>
      </w:r>
      <w:r>
        <w:rPr>
          <w:rFonts w:hint="eastAsia" w:asciiTheme="minorEastAsia" w:hAnsiTheme="minorEastAsia" w:eastAsiaTheme="minorEastAsia" w:cstheme="minorEastAsia"/>
          <w:color w:val="auto"/>
          <w:szCs w:val="21"/>
        </w:rPr>
        <w:t xml:space="preserve"> (详见采购文件第三章“项目采购需求”）</w:t>
      </w:r>
    </w:p>
    <w:p>
      <w:pPr>
        <w:spacing w:line="360" w:lineRule="auto"/>
        <w:ind w:firstLine="420" w:firstLineChars="200"/>
        <w:jc w:val="left"/>
        <w:rPr>
          <w:rFonts w:ascii="宋体" w:hAnsi="宋体" w:cs="宋体"/>
          <w:szCs w:val="21"/>
        </w:rPr>
      </w:pPr>
      <w:r>
        <w:rPr>
          <w:rFonts w:hint="eastAsia" w:ascii="宋体" w:hAnsi="宋体" w:cs="宋体"/>
          <w:szCs w:val="21"/>
        </w:rPr>
        <w:t>（1）类别：货物</w:t>
      </w:r>
    </w:p>
    <w:p>
      <w:pPr>
        <w:spacing w:line="360" w:lineRule="auto"/>
        <w:ind w:firstLine="420" w:firstLineChars="200"/>
        <w:jc w:val="left"/>
        <w:rPr>
          <w:rFonts w:ascii="宋体" w:hAnsi="宋体" w:cs="宋体"/>
          <w:szCs w:val="21"/>
        </w:rPr>
      </w:pPr>
      <w:r>
        <w:rPr>
          <w:rFonts w:hint="eastAsia" w:ascii="宋体" w:hAnsi="宋体" w:cs="宋体"/>
          <w:szCs w:val="21"/>
        </w:rPr>
        <w:t>（2）质量标准：达到国家或行业颁布的其他现行各项技术标准和验收规范规定</w:t>
      </w:r>
    </w:p>
    <w:p>
      <w:pPr>
        <w:spacing w:line="360" w:lineRule="auto"/>
        <w:ind w:firstLine="420" w:firstLineChars="200"/>
        <w:jc w:val="left"/>
        <w:rPr>
          <w:rFonts w:ascii="宋体" w:hAnsi="宋体" w:cs="宋体"/>
          <w:szCs w:val="21"/>
        </w:rPr>
      </w:pPr>
      <w:r>
        <w:rPr>
          <w:rFonts w:hint="eastAsia" w:ascii="宋体" w:hAnsi="宋体" w:cs="宋体"/>
          <w:szCs w:val="21"/>
        </w:rPr>
        <w:t>（3）其他：供应商参加竞标的报价超过该包采购最高限价的，该包竞标无效；供应商报价须包含该采购需求的全部内容。</w:t>
      </w:r>
    </w:p>
    <w:p>
      <w:pPr>
        <w:spacing w:line="360" w:lineRule="auto"/>
        <w:jc w:val="left"/>
        <w:rPr>
          <w:rFonts w:ascii="宋体" w:hAnsi="宋体" w:cs="宋体"/>
          <w:strike/>
          <w:szCs w:val="21"/>
        </w:rPr>
      </w:pPr>
      <w:r>
        <w:rPr>
          <w:rFonts w:hint="eastAsia" w:ascii="宋体" w:hAnsi="宋体" w:cs="宋体"/>
          <w:szCs w:val="21"/>
        </w:rPr>
        <w:t>8.合同履行期限：</w:t>
      </w:r>
      <w:r>
        <w:rPr>
          <w:rFonts w:hint="eastAsia" w:ascii="宋体" w:hAnsi="宋体" w:cs="宋体"/>
          <w:color w:val="auto"/>
          <w:szCs w:val="21"/>
          <w:u w:val="single"/>
        </w:rPr>
        <w:t>交货期</w:t>
      </w:r>
      <w:r>
        <w:rPr>
          <w:rFonts w:hint="eastAsia" w:ascii="宋体" w:hAnsi="宋体" w:cs="宋体"/>
          <w:color w:val="auto"/>
          <w:szCs w:val="21"/>
          <w:u w:val="single"/>
          <w:lang w:eastAsia="zh-CN"/>
        </w:rPr>
        <w:t>（工期）</w:t>
      </w:r>
      <w:r>
        <w:rPr>
          <w:rFonts w:hint="eastAsia" w:ascii="宋体" w:hAnsi="宋体" w:cs="宋体"/>
          <w:color w:val="auto"/>
          <w:szCs w:val="21"/>
          <w:u w:val="single"/>
        </w:rPr>
        <w:t>：自签订合同之日起</w:t>
      </w:r>
      <w:r>
        <w:rPr>
          <w:rFonts w:hint="eastAsia" w:ascii="宋体" w:hAnsi="宋体" w:cs="宋体"/>
          <w:color w:val="auto"/>
          <w:szCs w:val="21"/>
          <w:u w:val="single"/>
          <w:lang w:val="en-US" w:eastAsia="zh-CN"/>
        </w:rPr>
        <w:t>15</w:t>
      </w:r>
      <w:r>
        <w:rPr>
          <w:rFonts w:hint="eastAsia" w:ascii="宋体" w:hAnsi="宋体" w:cs="宋体"/>
          <w:color w:val="auto"/>
          <w:szCs w:val="21"/>
          <w:u w:val="single"/>
        </w:rPr>
        <w:t>个日历天内完成供货、安装、调试工作。质保期/保修期：验收合格之日起</w:t>
      </w:r>
      <w:r>
        <w:rPr>
          <w:rFonts w:hint="eastAsia" w:ascii="宋体" w:hAnsi="宋体" w:cs="宋体"/>
          <w:color w:val="auto"/>
          <w:szCs w:val="21"/>
          <w:u w:val="single"/>
          <w:lang w:val="en-US" w:eastAsia="zh-CN"/>
        </w:rPr>
        <w:t>二</w:t>
      </w:r>
      <w:r>
        <w:rPr>
          <w:rFonts w:hint="eastAsia" w:ascii="宋体" w:hAnsi="宋体" w:cs="宋体"/>
          <w:color w:val="auto"/>
          <w:szCs w:val="21"/>
          <w:u w:val="single"/>
        </w:rPr>
        <w:t>年。</w:t>
      </w:r>
    </w:p>
    <w:p>
      <w:pPr>
        <w:spacing w:line="360" w:lineRule="auto"/>
        <w:jc w:val="left"/>
        <w:rPr>
          <w:rFonts w:ascii="宋体" w:hAnsi="宋体" w:cs="宋体"/>
          <w:szCs w:val="21"/>
          <w:highlight w:val="yellow"/>
        </w:rPr>
      </w:pPr>
      <w:r>
        <w:rPr>
          <w:rFonts w:hint="eastAsia" w:ascii="宋体" w:hAnsi="宋体" w:cs="宋体"/>
          <w:szCs w:val="21"/>
        </w:rPr>
        <w:t>9.本项目（是/否）接受联合体投标：否</w:t>
      </w:r>
    </w:p>
    <w:p>
      <w:pPr>
        <w:spacing w:line="360" w:lineRule="auto"/>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szCs w:val="21"/>
        </w:rPr>
        <w:t>10.是否可采购进口产品</w:t>
      </w:r>
      <w:r>
        <w:rPr>
          <w:rFonts w:hint="eastAsia" w:asciiTheme="minorEastAsia" w:hAnsiTheme="minorEastAsia" w:eastAsiaTheme="minorEastAsia" w:cstheme="minorEastAsia"/>
          <w:color w:val="auto"/>
          <w:szCs w:val="21"/>
        </w:rPr>
        <w:t>：否</w:t>
      </w:r>
    </w:p>
    <w:p>
      <w:pPr>
        <w:spacing w:line="360" w:lineRule="auto"/>
        <w:jc w:val="left"/>
        <w:rPr>
          <w:rFonts w:hint="eastAsia" w:ascii="宋体" w:hAnsi="宋体" w:cs="宋体" w:eastAsiaTheme="minorEastAsia"/>
          <w:color w:val="auto"/>
          <w:szCs w:val="21"/>
          <w:highlight w:val="yellow"/>
          <w:lang w:eastAsia="zh-CN"/>
        </w:rPr>
      </w:pPr>
      <w:r>
        <w:rPr>
          <w:rFonts w:hint="eastAsia" w:asciiTheme="minorEastAsia" w:hAnsiTheme="minorEastAsia" w:eastAsiaTheme="minorEastAsia" w:cstheme="minorEastAsia"/>
          <w:color w:val="auto"/>
          <w:szCs w:val="21"/>
        </w:rPr>
        <w:t>11.本项目（是/否）专门面向中小微企业：</w:t>
      </w:r>
      <w:r>
        <w:rPr>
          <w:rFonts w:hint="eastAsia" w:asciiTheme="minorEastAsia" w:hAnsiTheme="minorEastAsia" w:eastAsiaTheme="minorEastAsia" w:cstheme="minorEastAsia"/>
          <w:color w:val="auto"/>
          <w:szCs w:val="21"/>
          <w:lang w:eastAsia="zh-CN"/>
        </w:rPr>
        <w:t>否</w:t>
      </w:r>
    </w:p>
    <w:p>
      <w:pPr>
        <w:pStyle w:val="4"/>
        <w:numPr>
          <w:ilvl w:val="0"/>
          <w:numId w:val="6"/>
        </w:numPr>
        <w:spacing w:line="360" w:lineRule="auto"/>
        <w:jc w:val="left"/>
        <w:rPr>
          <w:rFonts w:ascii="宋体" w:hAnsi="宋体" w:eastAsia="宋体" w:cs="宋体"/>
          <w:sz w:val="21"/>
          <w:szCs w:val="21"/>
        </w:rPr>
      </w:pPr>
      <w:bookmarkStart w:id="9" w:name="_Toc32692"/>
      <w:r>
        <w:rPr>
          <w:rFonts w:hint="eastAsia" w:ascii="宋体" w:hAnsi="宋体" w:eastAsia="宋体" w:cs="宋体"/>
          <w:sz w:val="21"/>
          <w:szCs w:val="21"/>
        </w:rPr>
        <w:t>申请人的资格要求</w:t>
      </w:r>
      <w:bookmarkEnd w:id="9"/>
    </w:p>
    <w:p>
      <w:pPr>
        <w:spacing w:line="360" w:lineRule="auto"/>
        <w:ind w:firstLine="420" w:firstLineChars="200"/>
        <w:jc w:val="left"/>
        <w:rPr>
          <w:rFonts w:ascii="宋体" w:hAnsi="宋体" w:cs="宋体"/>
          <w:szCs w:val="21"/>
        </w:rPr>
      </w:pPr>
      <w:r>
        <w:rPr>
          <w:rFonts w:hint="eastAsia" w:ascii="宋体" w:hAnsi="宋体" w:cs="宋体"/>
          <w:szCs w:val="21"/>
        </w:rPr>
        <w:t>1.满足《中华人民共和国政府采购法》第二十二条规定；</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（1）具有独立承担民事责任的能力；</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（2）具有良好的商业信誉和健全的财务会计制度；</w:t>
      </w:r>
    </w:p>
    <w:p>
      <w:pPr>
        <w:spacing w:line="360" w:lineRule="auto"/>
        <w:ind w:firstLine="420" w:firstLineChars="200"/>
        <w:jc w:val="left"/>
        <w:rPr>
          <w:rFonts w:asciiTheme="minorEastAsia" w:hAnsiTheme="minorEastAsia" w:eastAsiaTheme="minorEastAsia" w:cstheme="minorEastAsia"/>
          <w:color w:val="000000"/>
          <w:szCs w:val="21"/>
        </w:rPr>
      </w:pPr>
      <w:r>
        <w:rPr>
          <w:rFonts w:hint="eastAsia" w:asciiTheme="minorEastAsia" w:hAnsiTheme="minorEastAsia" w:eastAsiaTheme="minorEastAsia" w:cstheme="minorEastAsia"/>
          <w:color w:val="000000"/>
          <w:szCs w:val="21"/>
        </w:rPr>
        <w:t>（3）具有履行合同所必需的设备和专业技术能力；</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（4）有依</w:t>
      </w:r>
      <w:r>
        <w:rPr>
          <w:rFonts w:hint="eastAsia" w:asciiTheme="minorEastAsia" w:hAnsiTheme="minorEastAsia" w:eastAsiaTheme="minorEastAsia" w:cstheme="minorEastAsia"/>
          <w:szCs w:val="21"/>
        </w:rPr>
        <w:t>法缴纳税收和社会保障资金的良好记录；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（5）</w:t>
      </w:r>
      <w:r>
        <w:rPr>
          <w:rFonts w:hint="eastAsia" w:asciiTheme="minorEastAsia" w:hAnsiTheme="minorEastAsia" w:eastAsiaTheme="minorEastAsia" w:cstheme="minorEastAsia"/>
          <w:szCs w:val="21"/>
        </w:rPr>
        <w:t>参加政府采购活动前三年内，在经营活动中没有重大违法记录；</w:t>
      </w:r>
    </w:p>
    <w:p>
      <w:pPr>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color w:val="000000"/>
          <w:szCs w:val="21"/>
        </w:rPr>
        <w:t>（6）</w:t>
      </w:r>
      <w:r>
        <w:rPr>
          <w:rFonts w:hint="eastAsia" w:asciiTheme="minorEastAsia" w:hAnsiTheme="minorEastAsia" w:eastAsiaTheme="minorEastAsia" w:cstheme="minorEastAsia"/>
          <w:szCs w:val="21"/>
        </w:rPr>
        <w:t>法律、行政法规规定的其他条件；</w:t>
      </w:r>
    </w:p>
    <w:p>
      <w:pPr>
        <w:spacing w:line="360" w:lineRule="auto"/>
        <w:ind w:firstLine="420" w:firstLineChars="200"/>
        <w:jc w:val="left"/>
        <w:rPr>
          <w:rFonts w:ascii="宋体" w:hAnsi="宋体" w:cs="宋体"/>
          <w:szCs w:val="21"/>
        </w:rPr>
      </w:pPr>
      <w:r>
        <w:rPr>
          <w:rFonts w:hint="eastAsia" w:ascii="宋体" w:hAnsi="宋体" w:cs="宋体"/>
          <w:szCs w:val="21"/>
        </w:rPr>
        <w:t>2.单位负责人为同一人或者存在直接控股、管理关系的不同供应商，不得参加本项目同一合同项下的政府采购活动。</w:t>
      </w:r>
    </w:p>
    <w:p>
      <w:pPr>
        <w:spacing w:line="360" w:lineRule="auto"/>
        <w:ind w:firstLine="420" w:firstLineChars="200"/>
        <w:jc w:val="left"/>
        <w:rPr>
          <w:rFonts w:ascii="宋体" w:hAnsi="宋体" w:cs="宋体"/>
          <w:szCs w:val="21"/>
        </w:rPr>
      </w:pPr>
      <w:r>
        <w:rPr>
          <w:rFonts w:hint="eastAsia" w:ascii="宋体" w:hAnsi="宋体" w:cs="宋体"/>
          <w:szCs w:val="21"/>
        </w:rPr>
        <w:t>3.为本采购项目提供整体设计、规范编制或者项目管理、监理、检测等服务的，不得再参加本项目的其他招标采购活动。</w:t>
      </w:r>
    </w:p>
    <w:p>
      <w:pPr>
        <w:spacing w:line="360" w:lineRule="auto"/>
        <w:ind w:firstLine="420" w:firstLineChars="200"/>
        <w:jc w:val="left"/>
        <w:rPr>
          <w:rFonts w:ascii="宋体" w:hAnsi="宋体" w:cs="宋体"/>
          <w:szCs w:val="21"/>
        </w:rPr>
      </w:pPr>
      <w:r>
        <w:rPr>
          <w:rFonts w:hint="eastAsia" w:ascii="宋体" w:hAnsi="宋体" w:cs="宋体"/>
          <w:szCs w:val="21"/>
        </w:rPr>
        <w:t>4.未被列入失信被执行人、重大税收违法案件当事人名单，未被列入政府采购严重违法失信行为记录名单。</w:t>
      </w:r>
    </w:p>
    <w:p>
      <w:pPr>
        <w:spacing w:line="360" w:lineRule="auto"/>
        <w:ind w:firstLine="420" w:firstLineChars="200"/>
        <w:jc w:val="left"/>
        <w:rPr>
          <w:rFonts w:ascii="宋体" w:hAnsi="宋体" w:cs="宋体"/>
          <w:szCs w:val="21"/>
        </w:rPr>
      </w:pPr>
      <w:r>
        <w:rPr>
          <w:rFonts w:hint="eastAsia" w:ascii="宋体" w:hAnsi="宋体" w:cs="宋体"/>
          <w:szCs w:val="21"/>
        </w:rPr>
        <w:t>5.落实政府采购政策需满足的资格要求：</w:t>
      </w:r>
      <w:r>
        <w:rPr>
          <w:rFonts w:hint="eastAsia" w:ascii="宋体" w:hAnsi="宋体" w:cs="宋体"/>
          <w:color w:val="auto"/>
          <w:szCs w:val="21"/>
        </w:rPr>
        <w:t>本项目整体非专门面向中小企业，即小微企业参与本项目可享受政府采购中小企业扶持政策，本项目企业划分标准所属行业为“批发业”。</w:t>
      </w:r>
    </w:p>
    <w:p>
      <w:pPr>
        <w:spacing w:line="360" w:lineRule="auto"/>
        <w:ind w:firstLine="422" w:firstLineChars="200"/>
        <w:jc w:val="left"/>
        <w:rPr>
          <w:rFonts w:ascii="宋体" w:hAnsi="宋体" w:cs="宋体"/>
          <w:b/>
          <w:bCs/>
          <w:szCs w:val="21"/>
        </w:rPr>
      </w:pPr>
      <w:r>
        <w:rPr>
          <w:rFonts w:hint="eastAsia" w:ascii="宋体" w:hAnsi="宋体" w:cs="宋体"/>
          <w:b/>
          <w:bCs/>
          <w:szCs w:val="21"/>
        </w:rPr>
        <w:t>6.本项目的特定资格要求：无</w:t>
      </w:r>
    </w:p>
    <w:p>
      <w:pPr>
        <w:pStyle w:val="4"/>
        <w:numPr>
          <w:ilvl w:val="0"/>
          <w:numId w:val="6"/>
        </w:numPr>
        <w:spacing w:line="360" w:lineRule="auto"/>
        <w:jc w:val="left"/>
        <w:rPr>
          <w:rFonts w:ascii="宋体" w:hAnsi="宋体" w:eastAsia="宋体" w:cs="宋体"/>
          <w:sz w:val="21"/>
          <w:szCs w:val="21"/>
        </w:rPr>
      </w:pPr>
      <w:bookmarkStart w:id="10" w:name="_Toc16441"/>
      <w:bookmarkStart w:id="11" w:name="_Toc334539185"/>
      <w:r>
        <w:rPr>
          <w:rFonts w:hint="eastAsia" w:ascii="宋体" w:hAnsi="宋体" w:eastAsia="宋体" w:cs="宋体"/>
          <w:sz w:val="21"/>
          <w:szCs w:val="21"/>
        </w:rPr>
        <w:t>获取采购文件</w:t>
      </w:r>
      <w:bookmarkEnd w:id="10"/>
    </w:p>
    <w:p>
      <w:pPr>
        <w:spacing w:line="360" w:lineRule="auto"/>
        <w:ind w:firstLine="420" w:firstLineChars="200"/>
        <w:jc w:val="left"/>
        <w:rPr>
          <w:rFonts w:ascii="宋体" w:hAnsi="宋体" w:cs="宋体"/>
          <w:szCs w:val="21"/>
        </w:rPr>
      </w:pPr>
      <w:r>
        <w:rPr>
          <w:rFonts w:hint="eastAsia" w:ascii="宋体" w:hAnsi="宋体" w:cs="宋体"/>
          <w:szCs w:val="21"/>
        </w:rPr>
        <w:t>时间：</w:t>
      </w:r>
      <w:r>
        <w:rPr>
          <w:rFonts w:hint="eastAsia" w:ascii="宋体" w:hAnsi="宋体" w:cs="宋体"/>
          <w:color w:val="auto"/>
          <w:szCs w:val="21"/>
          <w:u w:val="single"/>
        </w:rPr>
        <w:t>2022年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21</w:t>
      </w:r>
      <w:r>
        <w:rPr>
          <w:rFonts w:hint="eastAsia" w:ascii="宋体" w:hAnsi="宋体" w:cs="宋体"/>
          <w:color w:val="auto"/>
          <w:szCs w:val="21"/>
          <w:u w:val="single"/>
        </w:rPr>
        <w:t>日至2022年</w:t>
      </w:r>
      <w:r>
        <w:rPr>
          <w:rFonts w:hint="eastAsia" w:ascii="宋体" w:hAnsi="宋体" w:cs="宋体"/>
          <w:color w:val="auto"/>
          <w:szCs w:val="21"/>
          <w:u w:val="single"/>
          <w:lang w:val="en-US" w:eastAsia="zh-CN"/>
        </w:rPr>
        <w:t>7</w:t>
      </w:r>
      <w:r>
        <w:rPr>
          <w:rFonts w:hint="eastAsia" w:ascii="宋体" w:hAnsi="宋体" w:cs="宋体"/>
          <w:color w:val="auto"/>
          <w:szCs w:val="21"/>
          <w:u w:val="single"/>
        </w:rPr>
        <w:t>月</w:t>
      </w:r>
      <w:r>
        <w:rPr>
          <w:rFonts w:hint="eastAsia" w:ascii="宋体" w:hAnsi="宋体" w:cs="宋体"/>
          <w:color w:val="auto"/>
          <w:szCs w:val="21"/>
          <w:u w:val="single"/>
          <w:lang w:val="en-US" w:eastAsia="zh-CN"/>
        </w:rPr>
        <w:t>27</w:t>
      </w:r>
      <w:r>
        <w:rPr>
          <w:rFonts w:hint="eastAsia" w:ascii="宋体" w:hAnsi="宋体" w:cs="宋体"/>
          <w:color w:val="auto"/>
          <w:szCs w:val="21"/>
          <w:u w:val="single"/>
        </w:rPr>
        <w:t>日</w:t>
      </w:r>
      <w:r>
        <w:rPr>
          <w:rFonts w:hint="eastAsia" w:ascii="宋体" w:hAnsi="宋体" w:cs="宋体"/>
          <w:szCs w:val="21"/>
        </w:rPr>
        <w:t>，每天上午09:00至12:00，下午14:30至17:00（北京时间，法定节假日除外）</w:t>
      </w:r>
    </w:p>
    <w:p>
      <w:pPr>
        <w:spacing w:line="360" w:lineRule="auto"/>
        <w:ind w:firstLine="420" w:firstLineChars="200"/>
        <w:jc w:val="left"/>
        <w:rPr>
          <w:rFonts w:ascii="宋体" w:hAnsi="宋体" w:cs="宋体"/>
          <w:szCs w:val="21"/>
        </w:rPr>
      </w:pPr>
      <w:r>
        <w:rPr>
          <w:rFonts w:hint="eastAsia" w:ascii="宋体" w:hAnsi="宋体" w:cs="宋体"/>
          <w:szCs w:val="21"/>
        </w:rPr>
        <w:t>地点：线上获取；；</w:t>
      </w:r>
    </w:p>
    <w:bookmarkEnd w:id="11"/>
    <w:p>
      <w:pPr>
        <w:spacing w:line="360" w:lineRule="auto"/>
        <w:ind w:firstLine="420" w:firstLineChars="200"/>
        <w:jc w:val="left"/>
        <w:rPr>
          <w:rFonts w:ascii="宋体" w:hAnsi="宋体" w:cs="宋体"/>
          <w:szCs w:val="21"/>
        </w:rPr>
      </w:pPr>
      <w:r>
        <w:rPr>
          <w:rFonts w:hint="eastAsia" w:ascii="宋体" w:hAnsi="宋体" w:cs="宋体"/>
          <w:szCs w:val="21"/>
        </w:rPr>
        <w:t>线上获取：因疫情原因，采取网上获取文件的方式，请各供应商将以下附件资料加盖公章扫描后传至2102252595@qq.com（邮件主题名称必须备注所投项目名称及公司全称，否则不予受理），以邮箱显示收到的时间为准，递交资料后请联系代理机构工作人员经确认后获取采购文件。不办理邮寄。</w:t>
      </w:r>
    </w:p>
    <w:p>
      <w:pPr>
        <w:spacing w:line="360" w:lineRule="auto"/>
        <w:ind w:firstLine="420" w:firstLineChars="200"/>
        <w:jc w:val="left"/>
        <w:rPr>
          <w:rFonts w:ascii="宋体" w:hAnsi="宋体" w:cs="宋体"/>
          <w:szCs w:val="21"/>
        </w:rPr>
      </w:pPr>
      <w:r>
        <w:rPr>
          <w:rFonts w:hint="eastAsia" w:ascii="宋体" w:hAnsi="宋体" w:cs="宋体"/>
          <w:szCs w:val="21"/>
        </w:rPr>
        <w:t>售价：</w:t>
      </w:r>
      <w:r>
        <w:rPr>
          <w:rFonts w:hint="eastAsia" w:ascii="宋体" w:hAnsi="宋体" w:cs="宋体"/>
          <w:szCs w:val="21"/>
          <w:lang w:val="en-US" w:eastAsia="zh-CN"/>
        </w:rPr>
        <w:t>400</w:t>
      </w:r>
      <w:r>
        <w:rPr>
          <w:rFonts w:hint="eastAsia" w:ascii="宋体" w:hAnsi="宋体" w:cs="宋体"/>
          <w:szCs w:val="21"/>
        </w:rPr>
        <w:t>(元)；</w:t>
      </w:r>
    </w:p>
    <w:p>
      <w:pPr>
        <w:pStyle w:val="4"/>
        <w:numPr>
          <w:ilvl w:val="0"/>
          <w:numId w:val="6"/>
        </w:numPr>
        <w:spacing w:line="360" w:lineRule="auto"/>
        <w:jc w:val="left"/>
        <w:rPr>
          <w:rFonts w:ascii="宋体" w:hAnsi="宋体" w:eastAsia="宋体" w:cs="宋体"/>
          <w:sz w:val="21"/>
          <w:szCs w:val="21"/>
        </w:rPr>
      </w:pPr>
      <w:bookmarkStart w:id="12" w:name="_Toc22671"/>
      <w:r>
        <w:rPr>
          <w:rFonts w:hint="eastAsia" w:ascii="宋体" w:hAnsi="宋体" w:eastAsia="宋体" w:cs="宋体"/>
          <w:sz w:val="21"/>
          <w:szCs w:val="21"/>
        </w:rPr>
        <w:t>响应文件提交</w:t>
      </w:r>
      <w:bookmarkEnd w:id="12"/>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开始时间：2022年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05</w:t>
      </w:r>
      <w:r>
        <w:rPr>
          <w:rFonts w:hint="eastAsia" w:asciiTheme="minorEastAsia" w:hAnsiTheme="minorEastAsia" w:eastAsiaTheme="minorEastAsia" w:cstheme="minorEastAsia"/>
          <w:color w:val="auto"/>
          <w:szCs w:val="21"/>
        </w:rPr>
        <w:t>日</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点</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分（北京时间）</w:t>
      </w:r>
    </w:p>
    <w:p>
      <w:pPr>
        <w:spacing w:line="360" w:lineRule="auto"/>
        <w:ind w:firstLine="420" w:firstLineChars="20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截止时间：2022年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05</w:t>
      </w:r>
      <w:r>
        <w:rPr>
          <w:rFonts w:hint="eastAsia" w:asciiTheme="minorEastAsia" w:hAnsiTheme="minorEastAsia" w:eastAsiaTheme="minorEastAsia" w:cstheme="minorEastAsia"/>
          <w:color w:val="auto"/>
          <w:szCs w:val="21"/>
        </w:rPr>
        <w:t>日</w:t>
      </w:r>
      <w:r>
        <w:rPr>
          <w:rFonts w:hint="eastAsia" w:asciiTheme="minorEastAsia" w:hAnsiTheme="minorEastAsia" w:eastAsiaTheme="minorEastAsia" w:cstheme="minorEastAsia"/>
          <w:color w:val="auto"/>
          <w:szCs w:val="21"/>
          <w:lang w:val="en-US" w:eastAsia="zh-CN"/>
        </w:rPr>
        <w:t>09</w:t>
      </w:r>
      <w:r>
        <w:rPr>
          <w:rFonts w:hint="eastAsia" w:asciiTheme="minorEastAsia" w:hAnsiTheme="minorEastAsia" w:eastAsiaTheme="minorEastAsia" w:cstheme="minorEastAsia"/>
          <w:color w:val="auto"/>
          <w:szCs w:val="21"/>
        </w:rPr>
        <w:t>点</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分（北京时间）</w:t>
      </w:r>
    </w:p>
    <w:p>
      <w:pPr>
        <w:spacing w:line="360" w:lineRule="auto"/>
        <w:ind w:firstLine="420" w:firstLineChars="200"/>
        <w:jc w:val="left"/>
        <w:rPr>
          <w:rFonts w:ascii="宋体" w:hAnsi="宋体" w:cs="宋体"/>
          <w:szCs w:val="21"/>
        </w:rPr>
      </w:pPr>
      <w:r>
        <w:rPr>
          <w:rFonts w:hint="eastAsia" w:asciiTheme="minorEastAsia" w:hAnsiTheme="minorEastAsia" w:eastAsiaTheme="minorEastAsia" w:cstheme="minorEastAsia"/>
          <w:szCs w:val="21"/>
        </w:rPr>
        <w:t>地点：武昌区中北路岳家嘴立交山河企业大厦4806室，凡是获取了磋商文件且已回复确定参加竞标的潜在供应商，于竞标当日临时放弃竞标的，应及时以电话告知形式通知采购代理机构。</w:t>
      </w:r>
    </w:p>
    <w:p>
      <w:pPr>
        <w:pStyle w:val="4"/>
        <w:numPr>
          <w:ilvl w:val="0"/>
          <w:numId w:val="6"/>
        </w:numPr>
        <w:spacing w:line="360" w:lineRule="auto"/>
        <w:jc w:val="left"/>
        <w:rPr>
          <w:rFonts w:eastAsia="宋体"/>
          <w:sz w:val="21"/>
          <w:szCs w:val="21"/>
        </w:rPr>
      </w:pPr>
      <w:bookmarkStart w:id="13" w:name="_Toc19282"/>
      <w:r>
        <w:rPr>
          <w:rFonts w:hint="eastAsia" w:ascii="宋体" w:hAnsi="宋体" w:eastAsia="宋体" w:cs="宋体"/>
          <w:sz w:val="21"/>
          <w:szCs w:val="21"/>
        </w:rPr>
        <w:t>开启</w:t>
      </w:r>
      <w:bookmarkEnd w:id="13"/>
    </w:p>
    <w:p>
      <w:pPr>
        <w:spacing w:line="360" w:lineRule="auto"/>
        <w:ind w:firstLine="420" w:firstLineChars="200"/>
        <w:jc w:val="left"/>
        <w:rPr>
          <w:color w:val="auto"/>
          <w:szCs w:val="21"/>
        </w:rPr>
      </w:pPr>
      <w:r>
        <w:rPr>
          <w:rFonts w:hint="eastAsia" w:ascii="宋体" w:hAnsi="宋体" w:cs="宋体"/>
          <w:color w:val="auto"/>
          <w:szCs w:val="21"/>
        </w:rPr>
        <w:t>时间：</w:t>
      </w:r>
      <w:r>
        <w:rPr>
          <w:rFonts w:hint="eastAsia" w:asciiTheme="minorEastAsia" w:hAnsiTheme="minorEastAsia" w:eastAsiaTheme="minorEastAsia" w:cstheme="minorEastAsia"/>
          <w:color w:val="auto"/>
          <w:szCs w:val="21"/>
        </w:rPr>
        <w:t>2022年</w:t>
      </w:r>
      <w:r>
        <w:rPr>
          <w:rFonts w:hint="eastAsia" w:asciiTheme="minorEastAsia" w:hAnsiTheme="minorEastAsia" w:eastAsiaTheme="minorEastAsia" w:cstheme="minorEastAsia"/>
          <w:color w:val="auto"/>
          <w:szCs w:val="21"/>
          <w:lang w:val="en-US" w:eastAsia="zh-CN"/>
        </w:rPr>
        <w:t>08</w:t>
      </w:r>
      <w:r>
        <w:rPr>
          <w:rFonts w:hint="eastAsia" w:asciiTheme="minorEastAsia" w:hAnsiTheme="minorEastAsia" w:eastAsiaTheme="minorEastAsia" w:cstheme="minorEastAsia"/>
          <w:color w:val="auto"/>
          <w:szCs w:val="21"/>
        </w:rPr>
        <w:t>月</w:t>
      </w:r>
      <w:r>
        <w:rPr>
          <w:rFonts w:hint="eastAsia" w:asciiTheme="minorEastAsia" w:hAnsiTheme="minorEastAsia" w:eastAsiaTheme="minorEastAsia" w:cstheme="minorEastAsia"/>
          <w:color w:val="auto"/>
          <w:szCs w:val="21"/>
          <w:lang w:val="en-US" w:eastAsia="zh-CN"/>
        </w:rPr>
        <w:t>05</w:t>
      </w:r>
      <w:r>
        <w:rPr>
          <w:rFonts w:hint="eastAsia" w:asciiTheme="minorEastAsia" w:hAnsiTheme="minorEastAsia" w:eastAsiaTheme="minorEastAsia" w:cstheme="minorEastAsia"/>
          <w:color w:val="auto"/>
          <w:szCs w:val="21"/>
        </w:rPr>
        <w:t>日</w:t>
      </w:r>
      <w:r>
        <w:rPr>
          <w:rFonts w:hint="eastAsia" w:asciiTheme="minorEastAsia" w:hAnsiTheme="minorEastAsia" w:eastAsiaTheme="minorEastAsia" w:cstheme="minorEastAsia"/>
          <w:color w:val="auto"/>
          <w:szCs w:val="21"/>
          <w:lang w:val="en-US" w:eastAsia="zh-CN"/>
        </w:rPr>
        <w:t>09</w:t>
      </w:r>
      <w:r>
        <w:rPr>
          <w:rFonts w:hint="eastAsia" w:asciiTheme="minorEastAsia" w:hAnsiTheme="minorEastAsia" w:eastAsiaTheme="minorEastAsia" w:cstheme="minorEastAsia"/>
          <w:color w:val="auto"/>
          <w:szCs w:val="21"/>
        </w:rPr>
        <w:t>点</w:t>
      </w:r>
      <w:r>
        <w:rPr>
          <w:rFonts w:hint="eastAsia" w:asciiTheme="minorEastAsia" w:hAnsiTheme="minorEastAsia" w:eastAsiaTheme="minorEastAsia" w:cstheme="minorEastAsia"/>
          <w:color w:val="auto"/>
          <w:szCs w:val="21"/>
          <w:lang w:val="en-US" w:eastAsia="zh-CN"/>
        </w:rPr>
        <w:t>30</w:t>
      </w:r>
      <w:r>
        <w:rPr>
          <w:rFonts w:hint="eastAsia" w:asciiTheme="minorEastAsia" w:hAnsiTheme="minorEastAsia" w:eastAsiaTheme="minorEastAsia" w:cstheme="minorEastAsia"/>
          <w:color w:val="auto"/>
          <w:szCs w:val="21"/>
        </w:rPr>
        <w:t>分</w:t>
      </w:r>
      <w:r>
        <w:rPr>
          <w:rFonts w:hint="eastAsia" w:ascii="宋体" w:hAnsi="宋体" w:cs="宋体"/>
          <w:color w:val="auto"/>
          <w:szCs w:val="21"/>
        </w:rPr>
        <w:t>（北京时间）</w:t>
      </w:r>
    </w:p>
    <w:p>
      <w:pPr>
        <w:pStyle w:val="4"/>
        <w:numPr>
          <w:ilvl w:val="0"/>
          <w:numId w:val="6"/>
        </w:numPr>
        <w:spacing w:line="360" w:lineRule="auto"/>
        <w:jc w:val="left"/>
        <w:rPr>
          <w:rFonts w:ascii="宋体" w:hAnsi="宋体" w:eastAsia="宋体" w:cs="宋体"/>
          <w:sz w:val="21"/>
          <w:szCs w:val="21"/>
        </w:rPr>
      </w:pPr>
      <w:bookmarkStart w:id="14" w:name="_Toc9065"/>
      <w:r>
        <w:rPr>
          <w:rFonts w:hint="eastAsia" w:ascii="宋体" w:hAnsi="宋体" w:eastAsia="宋体" w:cs="宋体"/>
          <w:sz w:val="21"/>
          <w:szCs w:val="21"/>
        </w:rPr>
        <w:t>公告期限</w:t>
      </w:r>
      <w:bookmarkEnd w:id="14"/>
    </w:p>
    <w:p>
      <w:pPr>
        <w:spacing w:line="360" w:lineRule="auto"/>
        <w:ind w:firstLine="420" w:firstLineChars="200"/>
        <w:jc w:val="left"/>
        <w:rPr>
          <w:rFonts w:ascii="宋体" w:hAnsi="宋体" w:cs="宋体"/>
          <w:szCs w:val="21"/>
        </w:rPr>
      </w:pPr>
      <w:bookmarkStart w:id="15" w:name="_Toc320898024"/>
      <w:bookmarkStart w:id="16" w:name="_Toc6021"/>
      <w:bookmarkStart w:id="17" w:name="_Toc276368888"/>
      <w:bookmarkStart w:id="18" w:name="_Toc334539188"/>
      <w:bookmarkStart w:id="19" w:name="_Toc317262251"/>
      <w:bookmarkStart w:id="20" w:name="_Toc259607751"/>
      <w:r>
        <w:rPr>
          <w:rFonts w:hint="eastAsia" w:ascii="宋体" w:hAnsi="宋体" w:cs="宋体"/>
          <w:szCs w:val="21"/>
        </w:rPr>
        <w:t>自本公告发布之日起3个工作日</w:t>
      </w:r>
    </w:p>
    <w:bookmarkEnd w:id="15"/>
    <w:bookmarkEnd w:id="16"/>
    <w:bookmarkEnd w:id="17"/>
    <w:bookmarkEnd w:id="18"/>
    <w:bookmarkEnd w:id="19"/>
    <w:bookmarkEnd w:id="20"/>
    <w:p>
      <w:pPr>
        <w:pStyle w:val="4"/>
        <w:numPr>
          <w:ilvl w:val="0"/>
          <w:numId w:val="6"/>
        </w:numPr>
        <w:spacing w:line="360" w:lineRule="auto"/>
        <w:jc w:val="left"/>
        <w:rPr>
          <w:rFonts w:ascii="宋体" w:hAnsi="宋体" w:eastAsia="宋体" w:cs="宋体"/>
          <w:sz w:val="21"/>
          <w:szCs w:val="21"/>
        </w:rPr>
      </w:pPr>
      <w:bookmarkStart w:id="21" w:name="_Toc7923"/>
      <w:r>
        <w:rPr>
          <w:rFonts w:hint="eastAsia" w:ascii="宋体" w:hAnsi="宋体" w:eastAsia="宋体" w:cs="宋体"/>
          <w:sz w:val="21"/>
          <w:szCs w:val="21"/>
        </w:rPr>
        <w:t>其他补充事宜</w:t>
      </w:r>
      <w:bookmarkEnd w:id="21"/>
    </w:p>
    <w:p>
      <w:pPr>
        <w:spacing w:line="360" w:lineRule="auto"/>
        <w:ind w:firstLine="420" w:firstLineChars="200"/>
        <w:jc w:val="left"/>
        <w:rPr>
          <w:rFonts w:ascii="宋体" w:hAnsi="宋体" w:cs="宋体"/>
          <w:szCs w:val="21"/>
        </w:rPr>
      </w:pPr>
      <w:bookmarkStart w:id="22" w:name="_Toc259028279"/>
      <w:r>
        <w:rPr>
          <w:rFonts w:hint="eastAsia" w:ascii="宋体" w:hAnsi="宋体" w:cs="宋体"/>
          <w:szCs w:val="21"/>
        </w:rPr>
        <w:t>1.</w:t>
      </w:r>
      <w:r>
        <w:rPr>
          <w:rFonts w:hint="eastAsia" w:asciiTheme="minorEastAsia" w:hAnsiTheme="minorEastAsia" w:eastAsiaTheme="minorEastAsia" w:cstheme="minorEastAsia"/>
          <w:szCs w:val="21"/>
        </w:rPr>
        <w:t>本项目资金性质为：</w:t>
      </w:r>
      <w:r>
        <w:rPr>
          <w:rFonts w:hint="eastAsia" w:asciiTheme="minorEastAsia" w:hAnsiTheme="minorEastAsia" w:eastAsiaTheme="minorEastAsia" w:cstheme="minorEastAsia"/>
          <w:szCs w:val="21"/>
          <w:lang w:eastAsia="zh-CN"/>
        </w:rPr>
        <w:t>自筹</w:t>
      </w:r>
      <w:bookmarkStart w:id="241" w:name="_GoBack"/>
      <w:bookmarkEnd w:id="241"/>
      <w:r>
        <w:rPr>
          <w:rFonts w:hint="eastAsia" w:asciiTheme="minorEastAsia" w:hAnsiTheme="minorEastAsia" w:eastAsiaTheme="minorEastAsia" w:cstheme="minorEastAsia"/>
          <w:szCs w:val="21"/>
        </w:rPr>
        <w:t>资金</w:t>
      </w:r>
    </w:p>
    <w:p>
      <w:pPr>
        <w:spacing w:line="360" w:lineRule="auto"/>
        <w:ind w:firstLine="420" w:firstLineChars="200"/>
        <w:jc w:val="left"/>
        <w:rPr>
          <w:rFonts w:hint="eastAsia" w:ascii="宋体" w:hAnsi="宋体" w:cs="宋体"/>
          <w:szCs w:val="21"/>
        </w:rPr>
      </w:pPr>
      <w:r>
        <w:rPr>
          <w:rFonts w:hint="eastAsia" w:ascii="宋体" w:hAnsi="宋体" w:cs="宋体"/>
          <w:szCs w:val="21"/>
        </w:rPr>
        <w:t>2.供应商如需查询技术要求可到我处查阅采购文件第三章相关内容。</w:t>
      </w:r>
    </w:p>
    <w:p>
      <w:pPr>
        <w:spacing w:line="360" w:lineRule="auto"/>
        <w:ind w:firstLine="420" w:firstLineChars="200"/>
        <w:jc w:val="left"/>
        <w:rPr>
          <w:rFonts w:ascii="宋体" w:hAnsi="宋体" w:cs="宋体"/>
          <w:szCs w:val="21"/>
        </w:rPr>
      </w:pPr>
      <w:r>
        <w:rPr>
          <w:rFonts w:hint="eastAsia" w:ascii="宋体" w:hAnsi="宋体" w:cs="宋体"/>
          <w:szCs w:val="21"/>
        </w:rPr>
        <w:t>3.本项目将在以下网站发布所有信息，请参加本项目竞标的供应商密切关注。</w:t>
      </w:r>
    </w:p>
    <w:p>
      <w:pPr>
        <w:spacing w:line="360" w:lineRule="auto"/>
        <w:ind w:firstLine="420" w:firstLineChars="200"/>
        <w:jc w:val="left"/>
        <w:rPr>
          <w:rFonts w:ascii="宋体" w:hAnsi="宋体" w:cs="宋体"/>
          <w:szCs w:val="21"/>
        </w:rPr>
      </w:pPr>
      <w:r>
        <w:rPr>
          <w:rFonts w:hint="eastAsia" w:ascii="宋体" w:hAnsi="宋体" w:cs="宋体"/>
          <w:szCs w:val="21"/>
        </w:rPr>
        <w:t>（1）《中国政府采购网》（网址：</w:t>
      </w:r>
      <w:r>
        <w:rPr>
          <w:rFonts w:hint="eastAsia" w:ascii="宋体" w:hAnsi="宋体" w:cs="宋体"/>
          <w:szCs w:val="21"/>
        </w:rPr>
        <w:fldChar w:fldCharType="begin"/>
      </w:r>
      <w:r>
        <w:rPr>
          <w:rFonts w:hint="eastAsia" w:ascii="宋体" w:hAnsi="宋体" w:cs="宋体"/>
          <w:szCs w:val="21"/>
        </w:rPr>
        <w:instrText xml:space="preserve"> HYPERLINK "http://www.ccgp.gov.cn/）" </w:instrText>
      </w:r>
      <w:r>
        <w:rPr>
          <w:rFonts w:hint="eastAsia" w:ascii="宋体" w:hAnsi="宋体" w:cs="宋体"/>
          <w:szCs w:val="21"/>
        </w:rPr>
        <w:fldChar w:fldCharType="separate"/>
      </w:r>
      <w:r>
        <w:rPr>
          <w:rFonts w:hint="eastAsia" w:ascii="宋体" w:hAnsi="宋体" w:cs="宋体"/>
          <w:szCs w:val="21"/>
        </w:rPr>
        <w:t>http://www.ccgp.gov.cn/）</w:t>
      </w:r>
      <w:r>
        <w:rPr>
          <w:rFonts w:hint="eastAsia" w:ascii="宋体" w:hAnsi="宋体" w:cs="宋体"/>
          <w:szCs w:val="21"/>
        </w:rPr>
        <w:fldChar w:fldCharType="end"/>
      </w:r>
    </w:p>
    <w:p>
      <w:pPr>
        <w:spacing w:line="360" w:lineRule="auto"/>
        <w:ind w:firstLine="420" w:firstLineChars="200"/>
        <w:jc w:val="left"/>
        <w:rPr>
          <w:rFonts w:ascii="宋体" w:hAnsi="宋体" w:cs="宋体"/>
          <w:szCs w:val="21"/>
        </w:rPr>
      </w:pPr>
      <w:r>
        <w:rPr>
          <w:rFonts w:hint="eastAsia" w:ascii="宋体" w:hAnsi="宋体" w:cs="宋体"/>
          <w:szCs w:val="21"/>
        </w:rPr>
        <w:t>（2）《湖北工业大学》（网址：http://tend.hbut.edu.cn/index.chtml）</w:t>
      </w:r>
    </w:p>
    <w:bookmarkEnd w:id="22"/>
    <w:p>
      <w:pPr>
        <w:pStyle w:val="4"/>
        <w:numPr>
          <w:ilvl w:val="0"/>
          <w:numId w:val="6"/>
        </w:numPr>
        <w:spacing w:line="360" w:lineRule="auto"/>
        <w:jc w:val="left"/>
        <w:rPr>
          <w:rFonts w:ascii="宋体" w:hAnsi="宋体" w:eastAsia="宋体" w:cs="宋体"/>
          <w:sz w:val="21"/>
          <w:szCs w:val="21"/>
        </w:rPr>
      </w:pPr>
      <w:bookmarkStart w:id="23" w:name="_Toc8728"/>
      <w:r>
        <w:rPr>
          <w:rFonts w:hint="eastAsia" w:ascii="宋体" w:hAnsi="宋体" w:eastAsia="宋体" w:cs="宋体"/>
          <w:sz w:val="21"/>
          <w:szCs w:val="21"/>
        </w:rPr>
        <w:t>凡对本次采购提出询问，请按以下方式联系</w:t>
      </w:r>
      <w:bookmarkEnd w:id="23"/>
    </w:p>
    <w:p>
      <w:pPr>
        <w:spacing w:line="360" w:lineRule="auto"/>
        <w:ind w:firstLine="420" w:firstLineChars="200"/>
        <w:jc w:val="left"/>
        <w:rPr>
          <w:rFonts w:ascii="宋体" w:hAnsi="宋体" w:cs="宋体"/>
          <w:szCs w:val="21"/>
        </w:rPr>
      </w:pPr>
      <w:r>
        <w:rPr>
          <w:rFonts w:hint="eastAsia" w:ascii="宋体" w:hAnsi="宋体" w:cs="宋体"/>
          <w:szCs w:val="21"/>
        </w:rPr>
        <w:t>1.采购人信息</w:t>
      </w:r>
    </w:p>
    <w:p>
      <w:pPr>
        <w:spacing w:line="360" w:lineRule="auto"/>
        <w:ind w:firstLine="420" w:firstLineChars="200"/>
        <w:jc w:val="left"/>
        <w:rPr>
          <w:rFonts w:ascii="宋体" w:hAnsi="宋体" w:cs="宋体"/>
          <w:szCs w:val="21"/>
        </w:rPr>
      </w:pPr>
      <w:r>
        <w:rPr>
          <w:rFonts w:hint="eastAsia" w:ascii="宋体" w:hAnsi="宋体" w:cs="宋体"/>
          <w:szCs w:val="21"/>
        </w:rPr>
        <w:t>名 称：湖北工业大学　　　　　　　　　　　　</w:t>
      </w:r>
    </w:p>
    <w:p>
      <w:pPr>
        <w:spacing w:line="360" w:lineRule="auto"/>
        <w:ind w:firstLine="420" w:firstLineChars="200"/>
        <w:jc w:val="left"/>
        <w:rPr>
          <w:rFonts w:ascii="宋体" w:hAnsi="宋体" w:cs="宋体"/>
          <w:szCs w:val="21"/>
        </w:rPr>
      </w:pPr>
      <w:r>
        <w:rPr>
          <w:rFonts w:hint="eastAsia" w:ascii="宋体" w:hAnsi="宋体" w:cs="宋体"/>
          <w:szCs w:val="21"/>
        </w:rPr>
        <w:t>地 址：湖北省武汉市洪山区南李路28号　　　　　　　　　　　　</w:t>
      </w:r>
    </w:p>
    <w:p>
      <w:pPr>
        <w:spacing w:line="360" w:lineRule="auto"/>
        <w:ind w:firstLine="420" w:firstLineChars="200"/>
        <w:jc w:val="left"/>
        <w:rPr>
          <w:rFonts w:ascii="宋体" w:hAnsi="宋体" w:cs="宋体"/>
          <w:szCs w:val="21"/>
        </w:rPr>
      </w:pPr>
      <w:r>
        <w:rPr>
          <w:rFonts w:hint="eastAsia" w:ascii="宋体" w:hAnsi="宋体" w:cs="宋体"/>
          <w:szCs w:val="21"/>
        </w:rPr>
        <w:t xml:space="preserve">联系方式：王老师、027-59750213　　　　　　　　　　　 </w:t>
      </w:r>
    </w:p>
    <w:p>
      <w:pPr>
        <w:spacing w:line="360" w:lineRule="auto"/>
        <w:ind w:firstLine="420" w:firstLineChars="200"/>
        <w:jc w:val="left"/>
        <w:rPr>
          <w:rFonts w:ascii="宋体" w:hAnsi="宋体" w:cs="宋体"/>
          <w:szCs w:val="21"/>
        </w:rPr>
      </w:pPr>
      <w:r>
        <w:rPr>
          <w:rFonts w:hint="eastAsia" w:ascii="宋体" w:hAnsi="宋体" w:cs="宋体"/>
          <w:szCs w:val="21"/>
        </w:rPr>
        <w:t>2.采购代理机构信息</w:t>
      </w:r>
    </w:p>
    <w:p>
      <w:pPr>
        <w:spacing w:line="360" w:lineRule="auto"/>
        <w:ind w:firstLine="420" w:firstLineChars="200"/>
        <w:jc w:val="left"/>
        <w:rPr>
          <w:rFonts w:ascii="宋体" w:hAnsi="宋体" w:cs="宋体"/>
          <w:szCs w:val="21"/>
        </w:rPr>
      </w:pPr>
      <w:r>
        <w:rPr>
          <w:rFonts w:hint="eastAsia" w:ascii="宋体" w:hAnsi="宋体" w:cs="宋体"/>
          <w:szCs w:val="21"/>
        </w:rPr>
        <w:t>名  称：中经国际招标集团有限公司　　　　　　　　　　　　</w:t>
      </w:r>
    </w:p>
    <w:p>
      <w:pPr>
        <w:spacing w:line="360" w:lineRule="auto"/>
        <w:ind w:firstLine="420" w:firstLineChars="200"/>
        <w:jc w:val="left"/>
        <w:rPr>
          <w:rFonts w:ascii="宋体" w:hAnsi="宋体" w:cs="宋体"/>
          <w:szCs w:val="21"/>
        </w:rPr>
      </w:pPr>
      <w:r>
        <w:rPr>
          <w:rFonts w:hint="eastAsia" w:ascii="宋体" w:hAnsi="宋体" w:cs="宋体"/>
          <w:szCs w:val="21"/>
        </w:rPr>
        <w:t>地　址：武昌区中北路岳家嘴立交山河企业大厦48楼4805、4806室　　　　　　　　　　　　</w:t>
      </w:r>
    </w:p>
    <w:p>
      <w:pPr>
        <w:spacing w:line="360" w:lineRule="auto"/>
        <w:ind w:firstLine="420" w:firstLineChars="200"/>
        <w:jc w:val="left"/>
        <w:rPr>
          <w:rFonts w:ascii="宋体" w:hAnsi="宋体" w:cs="宋体"/>
          <w:szCs w:val="21"/>
        </w:rPr>
      </w:pPr>
      <w:r>
        <w:rPr>
          <w:rFonts w:hint="eastAsia" w:ascii="宋体" w:hAnsi="宋体" w:cs="宋体"/>
          <w:szCs w:val="21"/>
        </w:rPr>
        <w:t>联系方式：027-87820788　　　　　　　　　　　　</w:t>
      </w:r>
    </w:p>
    <w:p>
      <w:pPr>
        <w:spacing w:line="360" w:lineRule="auto"/>
        <w:ind w:firstLine="420" w:firstLineChars="200"/>
        <w:jc w:val="left"/>
        <w:rPr>
          <w:rFonts w:ascii="宋体" w:hAnsi="宋体" w:cs="宋体"/>
          <w:szCs w:val="21"/>
        </w:rPr>
      </w:pPr>
      <w:r>
        <w:rPr>
          <w:rFonts w:hint="eastAsia" w:ascii="宋体" w:hAnsi="宋体" w:cs="宋体"/>
          <w:szCs w:val="21"/>
        </w:rPr>
        <w:t>3.项目联系方式</w:t>
      </w:r>
    </w:p>
    <w:p>
      <w:pPr>
        <w:spacing w:line="360" w:lineRule="auto"/>
        <w:ind w:firstLine="420" w:firstLineChars="200"/>
        <w:jc w:val="left"/>
        <w:rPr>
          <w:rFonts w:ascii="宋体" w:hAnsi="宋体" w:cs="宋体"/>
          <w:szCs w:val="21"/>
        </w:rPr>
      </w:pPr>
      <w:r>
        <w:rPr>
          <w:rFonts w:hint="eastAsia" w:ascii="宋体" w:hAnsi="宋体" w:cs="宋体"/>
          <w:szCs w:val="21"/>
        </w:rPr>
        <w:t>项目联系人：应翠翠</w:t>
      </w:r>
    </w:p>
    <w:p>
      <w:pPr>
        <w:spacing w:line="360" w:lineRule="auto"/>
        <w:ind w:firstLine="420" w:firstLineChars="200"/>
        <w:jc w:val="left"/>
        <w:rPr>
          <w:rFonts w:asciiTheme="minorEastAsia" w:hAnsiTheme="minorEastAsia" w:eastAsiaTheme="minorEastAsia" w:cstheme="minorEastAsia"/>
          <w:szCs w:val="21"/>
        </w:rPr>
      </w:pPr>
      <w:r>
        <w:rPr>
          <w:rFonts w:hint="eastAsia" w:ascii="宋体" w:hAnsi="宋体" w:cs="宋体"/>
          <w:szCs w:val="21"/>
        </w:rPr>
        <w:t>电    　话：027-87820788　　</w:t>
      </w:r>
    </w:p>
    <w:p>
      <w:pPr>
        <w:pStyle w:val="4"/>
        <w:numPr>
          <w:ilvl w:val="0"/>
          <w:numId w:val="6"/>
        </w:numPr>
        <w:spacing w:line="440" w:lineRule="exact"/>
        <w:jc w:val="left"/>
        <w:rPr>
          <w:rFonts w:asciiTheme="minorEastAsia" w:hAnsiTheme="minorEastAsia" w:eastAsiaTheme="minorEastAsia" w:cstheme="minorEastAsia"/>
          <w:sz w:val="21"/>
          <w:szCs w:val="21"/>
        </w:rPr>
      </w:pPr>
      <w:bookmarkStart w:id="24" w:name="_Toc29645"/>
      <w:r>
        <w:rPr>
          <w:rFonts w:hint="eastAsia" w:asciiTheme="minorEastAsia" w:hAnsiTheme="minorEastAsia" w:eastAsiaTheme="minorEastAsia" w:cstheme="minorEastAsia"/>
          <w:sz w:val="21"/>
          <w:szCs w:val="21"/>
        </w:rPr>
        <w:t>注意事项</w:t>
      </w:r>
      <w:bookmarkEnd w:id="24"/>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1.供应商在获取本项目竞争性磋商文件前须仔细阅读资格要求内容，并按磋商文件规定要求在响应文件中递交合格有效的资格证明文件，资格审查资料不合格将导致竞标失败。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供应商对自己所提供的资格证明材料的真实性负责，无论何时，如发现供应商提供虚假的材料，将按照《中华人民共和国政府采购法》及本项目竞争性磋商文件的有关规定进行严肃处理，并在相关网站上进行通报。</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请供应商仔细阅读本磋商文件的全部条文，对于文件中存在的任何含糊、遗漏、相互矛盾之处，或是对于采购范围的界定和采购内容的要求不清楚，认为存在歧义的，供应商应按本文件规定的时限向采购代理机构寻求书面澄清；未提出澄清要求的，则认同为完全理解本文件要求并接受采购人或采购代理机构可能作出的任何最终解释。</w:t>
      </w:r>
    </w:p>
    <w:p>
      <w:pPr>
        <w:spacing w:line="440" w:lineRule="exact"/>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关于本项目磋商文件有关内容的澄清、修改及变更等通知将通过书面形式经邮箱通知各供应商同时电话或短信告知，若采购人或采购代理机构未收到回复，视为收悉，并默认通知内容。若因供应商自身原因接收消息不及时，导致竞标受影响，其后果自行承担。</w:t>
      </w:r>
    </w:p>
    <w:p>
      <w:pPr>
        <w:spacing w:line="440" w:lineRule="exact"/>
        <w:jc w:val="righ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中经国际招标集团有限公司</w:t>
      </w:r>
    </w:p>
    <w:p>
      <w:pPr>
        <w:spacing w:line="440" w:lineRule="exact"/>
        <w:jc w:val="right"/>
        <w:rPr>
          <w:rFonts w:asciiTheme="minorEastAsia" w:hAnsiTheme="minorEastAsia" w:eastAsiaTheme="minorEastAsia" w:cstheme="minorEastAsia"/>
        </w:rPr>
      </w:pPr>
      <w:r>
        <w:rPr>
          <w:rFonts w:hint="eastAsia" w:asciiTheme="minorEastAsia" w:hAnsiTheme="minorEastAsia" w:eastAsiaTheme="minorEastAsia" w:cstheme="minorEastAsia"/>
          <w:color w:val="auto"/>
          <w:szCs w:val="21"/>
        </w:rPr>
        <w:t xml:space="preserve"> 2022年7月</w:t>
      </w:r>
      <w:r>
        <w:rPr>
          <w:rFonts w:hint="eastAsia" w:asciiTheme="minorEastAsia" w:hAnsiTheme="minorEastAsia" w:eastAsiaTheme="minorEastAsia" w:cstheme="minorEastAsia"/>
          <w:color w:val="auto"/>
          <w:szCs w:val="21"/>
          <w:lang w:val="en-US" w:eastAsia="zh-CN"/>
        </w:rPr>
        <w:t>20</w:t>
      </w:r>
      <w:r>
        <w:rPr>
          <w:rFonts w:hint="eastAsia" w:asciiTheme="minorEastAsia" w:hAnsiTheme="minorEastAsia" w:eastAsiaTheme="minorEastAsia" w:cstheme="minorEastAsia"/>
          <w:color w:val="auto"/>
          <w:szCs w:val="21"/>
        </w:rPr>
        <w:t>日</w:t>
      </w:r>
    </w:p>
    <w:p>
      <w:pPr>
        <w:numPr>
          <w:ilvl w:val="0"/>
          <w:numId w:val="4"/>
        </w:numPr>
        <w:jc w:val="center"/>
        <w:rPr>
          <w:rFonts w:asciiTheme="minorEastAsia" w:hAnsiTheme="minorEastAsia" w:eastAsiaTheme="minorEastAsia" w:cstheme="minorEastAsia"/>
          <w:sz w:val="32"/>
          <w:szCs w:val="32"/>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 w:val="32"/>
          <w:szCs w:val="32"/>
        </w:rPr>
      </w:pPr>
      <w:bookmarkStart w:id="25" w:name="_Toc30709"/>
      <w:r>
        <w:rPr>
          <w:rFonts w:hint="eastAsia" w:asciiTheme="minorEastAsia" w:hAnsiTheme="minorEastAsia" w:eastAsiaTheme="minorEastAsia" w:cstheme="minorEastAsia"/>
          <w:sz w:val="36"/>
          <w:szCs w:val="36"/>
        </w:rPr>
        <w:t>供应商须知</w:t>
      </w:r>
      <w:bookmarkEnd w:id="25"/>
    </w:p>
    <w:p>
      <w:pPr>
        <w:autoSpaceDE w:val="0"/>
        <w:autoSpaceDN w:val="0"/>
        <w:adjustRightInd w:val="0"/>
        <w:spacing w:line="360" w:lineRule="auto"/>
        <w:jc w:val="center"/>
        <w:outlineLvl w:val="1"/>
        <w:rPr>
          <w:rFonts w:asciiTheme="minorEastAsia" w:hAnsiTheme="minorEastAsia" w:eastAsiaTheme="minorEastAsia" w:cstheme="minorEastAsia"/>
          <w:b/>
          <w:szCs w:val="21"/>
          <w:lang w:val="zh-CN"/>
        </w:rPr>
      </w:pPr>
      <w:bookmarkStart w:id="26" w:name="_Toc8085"/>
      <w:r>
        <w:rPr>
          <w:rFonts w:hint="eastAsia" w:asciiTheme="minorEastAsia" w:hAnsiTheme="minorEastAsia" w:eastAsiaTheme="minorEastAsia" w:cstheme="minorEastAsia"/>
          <w:b/>
          <w:szCs w:val="21"/>
        </w:rPr>
        <w:t>《供应商须知前附表》</w:t>
      </w:r>
      <w:bookmarkEnd w:id="26"/>
    </w:p>
    <w:p>
      <w:pPr>
        <w:autoSpaceDE w:val="0"/>
        <w:autoSpaceDN w:val="0"/>
        <w:adjustRightInd w:val="0"/>
        <w:spacing w:line="360" w:lineRule="auto"/>
        <w:ind w:firstLine="420" w:firstLineChars="20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磋商供应商应仔细阅读竞争性磋商采购文件的第二章“供应商须知”，下面所列资料是对“供应商须知”的具体补充和说明。</w:t>
      </w:r>
      <w:r>
        <w:rPr>
          <w:rFonts w:hint="eastAsia" w:asciiTheme="minorEastAsia" w:hAnsiTheme="minorEastAsia" w:eastAsiaTheme="minorEastAsia" w:cstheme="minorEastAsia"/>
          <w:szCs w:val="21"/>
          <w:lang w:val="zh-CN"/>
        </w:rPr>
        <w:t>如有矛盾，应以本表为准。</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814"/>
        <w:gridCol w:w="2127"/>
        <w:gridCol w:w="6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tblHeader/>
          <w:jc w:val="center"/>
        </w:trPr>
        <w:tc>
          <w:tcPr>
            <w:tcW w:w="814"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条款号</w:t>
            </w:r>
          </w:p>
        </w:tc>
        <w:tc>
          <w:tcPr>
            <w:tcW w:w="2127"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lang w:val="zh-CN"/>
              </w:rPr>
            </w:pPr>
            <w:r>
              <w:rPr>
                <w:rFonts w:hint="eastAsia" w:asciiTheme="minorEastAsia" w:hAnsiTheme="minorEastAsia" w:eastAsiaTheme="minorEastAsia" w:cstheme="minorEastAsia"/>
                <w:b/>
                <w:szCs w:val="21"/>
                <w:lang w:val="zh-CN"/>
              </w:rPr>
              <w:t>条款名称</w:t>
            </w:r>
          </w:p>
        </w:tc>
        <w:tc>
          <w:tcPr>
            <w:tcW w:w="6130" w:type="dxa"/>
            <w:shd w:val="clear" w:color="auto" w:fill="F1F1F1"/>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lang w:val="zh-CN"/>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76"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2.1</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cs="宋体"/>
                <w:kern w:val="2"/>
                <w:sz w:val="21"/>
                <w:szCs w:val="21"/>
                <w:lang w:val="zh-CN"/>
              </w:rPr>
              <w:t>采购人</w:t>
            </w:r>
          </w:p>
        </w:tc>
        <w:tc>
          <w:tcPr>
            <w:tcW w:w="6130" w:type="dxa"/>
            <w:vAlign w:val="center"/>
          </w:tcPr>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宋体" w:hAnsi="宋体" w:cs="宋体"/>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w:t>
            </w:r>
          </w:p>
        </w:tc>
        <w:tc>
          <w:tcPr>
            <w:tcW w:w="2127" w:type="dxa"/>
            <w:vAlign w:val="center"/>
          </w:tcPr>
          <w:p>
            <w:pPr>
              <w:pStyle w:val="24"/>
              <w:widowControl w:val="0"/>
              <w:autoSpaceDE w:val="0"/>
              <w:autoSpaceDN w:val="0"/>
              <w:adjustRightInd w:val="0"/>
              <w:spacing w:before="0" w:beforeAutospacing="0" w:after="0" w:afterAutospacing="0"/>
              <w:jc w:val="center"/>
              <w:rPr>
                <w:rFonts w:hint="default" w:asciiTheme="minorEastAsia" w:hAnsiTheme="minorEastAsia" w:eastAsiaTheme="minorEastAsia" w:cstheme="minorEastAsia"/>
                <w:color w:val="FF0000"/>
                <w:kern w:val="2"/>
                <w:sz w:val="21"/>
                <w:szCs w:val="21"/>
                <w:lang w:val="zh-CN"/>
              </w:rPr>
            </w:pPr>
            <w:r>
              <w:rPr>
                <w:rFonts w:cs="宋体"/>
                <w:kern w:val="2"/>
                <w:sz w:val="21"/>
                <w:szCs w:val="21"/>
                <w:lang w:val="zh-CN"/>
              </w:rPr>
              <w:t>监管部门</w:t>
            </w:r>
          </w:p>
        </w:tc>
        <w:tc>
          <w:tcPr>
            <w:tcW w:w="6130" w:type="dxa"/>
            <w:vAlign w:val="center"/>
          </w:tcPr>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宋体" w:hAnsi="宋体" w:cs="宋体"/>
                <w:szCs w:val="21"/>
                <w:lang w:val="zh-CN"/>
              </w:rPr>
              <w:t>湖北工业大学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采购代理机构</w:t>
            </w:r>
          </w:p>
        </w:tc>
        <w:tc>
          <w:tcPr>
            <w:tcW w:w="6130"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中经国际招标集团有限公司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2.5</w:t>
            </w:r>
          </w:p>
        </w:tc>
        <w:tc>
          <w:tcPr>
            <w:tcW w:w="2127"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磋商供应商</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sz w:val="21"/>
                <w:szCs w:val="21"/>
                <w:lang w:val="zh-CN"/>
              </w:rPr>
              <w:t>详见</w:t>
            </w:r>
            <w:r>
              <w:rPr>
                <w:rFonts w:asciiTheme="minorEastAsia" w:hAnsiTheme="minorEastAsia" w:eastAsiaTheme="minorEastAsia" w:cstheme="minorEastAsia"/>
                <w:sz w:val="21"/>
                <w:szCs w:val="21"/>
              </w:rPr>
              <w:t>第一章第二款相关要求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4.2</w:t>
            </w:r>
          </w:p>
        </w:tc>
        <w:tc>
          <w:tcPr>
            <w:tcW w:w="2127" w:type="dxa"/>
            <w:vAlign w:val="center"/>
          </w:tcPr>
          <w:p>
            <w:pPr>
              <w:autoSpaceDE w:val="0"/>
              <w:autoSpaceDN w:val="0"/>
              <w:adjustRightInd w:val="0"/>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招标代理服务费</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根据国家发展与改革委员会办公厅发改办价格【2003】857号文的规定，经与采购人协商，由成交供应商按国家发展计划委员会计价格【2002】1980号文规定的取费标准80%向采购代理机构支付招标代理服务费。招标代理服务费由成交供应商在领取成交通知书的同时，向采购代理机构支付。详见成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6.2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提疑、</w:t>
            </w:r>
            <w:r>
              <w:rPr>
                <w:rFonts w:hint="eastAsia" w:asciiTheme="minorEastAsia" w:hAnsiTheme="minorEastAsia" w:eastAsiaTheme="minorEastAsia" w:cstheme="minorEastAsia"/>
                <w:snapToGrid w:val="0"/>
                <w:kern w:val="0"/>
                <w:szCs w:val="21"/>
              </w:rPr>
              <w:t>质疑</w:t>
            </w:r>
            <w:r>
              <w:rPr>
                <w:rFonts w:hint="eastAsia" w:asciiTheme="minorEastAsia" w:hAnsiTheme="minorEastAsia" w:eastAsiaTheme="minorEastAsia" w:cstheme="minorEastAsia"/>
                <w:snapToGrid w:val="0"/>
                <w:kern w:val="0"/>
                <w:szCs w:val="21"/>
                <w:lang w:val="zh-CN"/>
              </w:rPr>
              <w:t>截止时间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供应商认为磋商文件、磋商过程和成交结果使自己的权益受到损害</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的，可以在知道或者应知其权益受到损害之日起7个工作日内，以</w:t>
            </w:r>
          </w:p>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sz w:val="21"/>
                <w:szCs w:val="21"/>
                <w:lang w:val="zh-CN"/>
              </w:rPr>
            </w:pPr>
            <w:r>
              <w:rPr>
                <w:rFonts w:asciiTheme="minorEastAsia" w:hAnsiTheme="minorEastAsia" w:eastAsiaTheme="minorEastAsia" w:cstheme="minorEastAsia"/>
                <w:sz w:val="21"/>
                <w:szCs w:val="21"/>
                <w:lang w:val="zh-CN"/>
              </w:rPr>
              <w:t>书面形式向采购人或采购代理机构提出。供应商在法定质疑期内应一次性提出针对同一采购程序环节的质疑事项。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24"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rPr>
            </w:pPr>
            <w:r>
              <w:rPr>
                <w:rFonts w:asciiTheme="minorEastAsia" w:hAnsiTheme="minorEastAsia" w:eastAsiaTheme="minorEastAsia" w:cstheme="minorEastAsia"/>
                <w:kern w:val="2"/>
                <w:sz w:val="21"/>
                <w:szCs w:val="21"/>
              </w:rPr>
              <w:t>7.1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供应商确认收到磋商</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文件澄清或者修改的</w:t>
            </w:r>
          </w:p>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时间</w:t>
            </w:r>
          </w:p>
        </w:tc>
        <w:tc>
          <w:tcPr>
            <w:tcW w:w="6130" w:type="dxa"/>
            <w:vAlign w:val="center"/>
          </w:tcPr>
          <w:p>
            <w:pPr>
              <w:pStyle w:val="24"/>
              <w:widowControl w:val="0"/>
              <w:autoSpaceDE w:val="0"/>
              <w:autoSpaceDN w:val="0"/>
              <w:adjustRightInd w:val="0"/>
              <w:spacing w:before="31" w:beforeLines="10" w:beforeAutospacing="0" w:after="31" w:afterLines="10" w:afterAutospacing="0"/>
              <w:ind w:right="21" w:rightChars="10"/>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在收到相应修改文件后24小时内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10.4</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对多</w:t>
            </w:r>
            <w:r>
              <w:rPr>
                <w:rFonts w:hint="eastAsia" w:asciiTheme="minorEastAsia" w:hAnsiTheme="minorEastAsia" w:eastAsiaTheme="minorEastAsia" w:cstheme="minorEastAsia"/>
                <w:snapToGrid w:val="0"/>
                <w:kern w:val="0"/>
                <w:szCs w:val="21"/>
              </w:rPr>
              <w:t>包</w:t>
            </w:r>
            <w:r>
              <w:rPr>
                <w:rFonts w:hint="eastAsia" w:asciiTheme="minorEastAsia" w:hAnsiTheme="minorEastAsia" w:eastAsiaTheme="minorEastAsia" w:cstheme="minorEastAsia"/>
                <w:snapToGrid w:val="0"/>
                <w:kern w:val="0"/>
                <w:szCs w:val="21"/>
                <w:lang w:val="zh-CN"/>
              </w:rPr>
              <w:t>采购的规定</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w:t>
            </w:r>
            <w:r>
              <w:rPr>
                <w:rFonts w:hint="eastAsia" w:asciiTheme="minorEastAsia" w:hAnsiTheme="minorEastAsia" w:eastAsiaTheme="minorEastAsia" w:cstheme="minorEastAsia"/>
                <w:szCs w:val="21"/>
              </w:rPr>
              <w:t>第一章第一款相关要求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12.1</w:t>
            </w:r>
          </w:p>
        </w:tc>
        <w:tc>
          <w:tcPr>
            <w:tcW w:w="2127" w:type="dxa"/>
            <w:vAlign w:val="center"/>
          </w:tcPr>
          <w:p>
            <w:pPr>
              <w:autoSpaceDE w:val="0"/>
              <w:autoSpaceDN w:val="0"/>
              <w:adjustRightInd w:val="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备选方案</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备选方案。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联合体磋商</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本次采购  </w:t>
            </w:r>
            <w:r>
              <w:rPr>
                <w:rFonts w:hint="eastAsia" w:asciiTheme="minorEastAsia" w:hAnsiTheme="minorEastAsia" w:eastAsiaTheme="minorEastAsia" w:cstheme="minorEastAsia"/>
                <w:szCs w:val="21"/>
                <w:u w:val="single"/>
                <w:lang w:val="zh-CN"/>
              </w:rPr>
              <w:t>不接受</w:t>
            </w:r>
            <w:r>
              <w:rPr>
                <w:rFonts w:hint="eastAsia" w:asciiTheme="minorEastAsia" w:hAnsiTheme="minorEastAsia" w:eastAsiaTheme="minorEastAsia" w:cstheme="minorEastAsia"/>
                <w:szCs w:val="21"/>
                <w:lang w:val="zh-CN"/>
              </w:rPr>
              <w:t xml:space="preserve"> 联合体报价。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14.1</w:t>
            </w:r>
          </w:p>
        </w:tc>
        <w:tc>
          <w:tcPr>
            <w:tcW w:w="2127" w:type="dxa"/>
            <w:vAlign w:val="center"/>
          </w:tcPr>
          <w:p>
            <w:pPr>
              <w:autoSpaceDE w:val="0"/>
              <w:autoSpaceDN w:val="0"/>
              <w:adjustRightInd w:val="0"/>
              <w:jc w:val="center"/>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应提交的其它资格证明文件</w:t>
            </w:r>
          </w:p>
          <w:p>
            <w:pPr>
              <w:autoSpaceDE w:val="0"/>
              <w:autoSpaceDN w:val="0"/>
              <w:adjustRightInd w:val="0"/>
              <w:jc w:val="center"/>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b/>
                <w:bCs/>
                <w:szCs w:val="21"/>
                <w:highlight w:val="lightGray"/>
                <w:lang w:val="zh-CN"/>
              </w:rPr>
              <w:t>（实质性</w:t>
            </w:r>
            <w:r>
              <w:rPr>
                <w:rFonts w:hint="eastAsia" w:asciiTheme="minorEastAsia" w:hAnsiTheme="minorEastAsia" w:eastAsiaTheme="minorEastAsia" w:cstheme="minorEastAsia"/>
                <w:b/>
                <w:bCs/>
                <w:szCs w:val="21"/>
                <w:highlight w:val="lightGray"/>
              </w:rPr>
              <w:t>内容</w:t>
            </w:r>
            <w:r>
              <w:rPr>
                <w:rFonts w:hint="eastAsia" w:asciiTheme="minorEastAsia" w:hAnsiTheme="minorEastAsia" w:eastAsiaTheme="minorEastAsia" w:cstheme="minorEastAsia"/>
                <w:b/>
                <w:bCs/>
                <w:szCs w:val="21"/>
                <w:highlight w:val="lightGray"/>
                <w:lang w:val="zh-CN"/>
              </w:rPr>
              <w:t>要求）</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w:t>
            </w:r>
            <w:r>
              <w:rPr>
                <w:rFonts w:hint="eastAsia" w:asciiTheme="minorEastAsia" w:hAnsiTheme="minorEastAsia" w:eastAsiaTheme="minorEastAsia" w:cstheme="minorEastAsia"/>
                <w:szCs w:val="21"/>
              </w:rPr>
              <w:t>竞争性磋商</w:t>
            </w:r>
            <w:r>
              <w:rPr>
                <w:rFonts w:hint="eastAsia" w:asciiTheme="minorEastAsia" w:hAnsiTheme="minorEastAsia" w:eastAsiaTheme="minorEastAsia" w:cstheme="minorEastAsia"/>
                <w:szCs w:val="21"/>
                <w:lang w:val="zh-CN"/>
              </w:rPr>
              <w:t>公告》第二款“资格要求”，须提供的证明文件包括但不限于：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1</w:t>
            </w:r>
            <w:r>
              <w:rPr>
                <w:rFonts w:hint="eastAsia" w:asciiTheme="minorEastAsia" w:hAnsiTheme="minorEastAsia" w:eastAsiaTheme="minorEastAsia" w:cstheme="minorEastAsia"/>
                <w:szCs w:val="21"/>
                <w:lang w:val="zh-CN"/>
              </w:rPr>
              <w:t>）具有独立承担民事责任的能力；</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营业执照等证明文件或自然人的身份证明（如供应商是企业 （包括合伙企业），应提供在工商部门注册的有效“企业法人营业执照”或“营业执照”；如供应商是事业单位，应提供有效的“事业单位法人证书”；供应商是非企业专业服务机构的，应提供执业许可证等证明文件；如供应商是个体工商户，应提供有效的“个体工商户营业执照”；如供应商是自然人，应提供有效的自然人身份证明）。</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2</w:t>
            </w:r>
            <w:r>
              <w:rPr>
                <w:rFonts w:hint="eastAsia" w:asciiTheme="minorEastAsia" w:hAnsiTheme="minorEastAsia" w:eastAsiaTheme="minorEastAsia" w:cstheme="minorEastAsia"/>
                <w:szCs w:val="21"/>
                <w:lang w:val="zh-CN"/>
              </w:rPr>
              <w:t>）具有良好的商业信誉和健全的财务会计制度；</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良好的商业信誉证明材料（自拟），财务会计制度指上一年度经第三方审计的财务报告，部分其他组织和自然人，没有财务报告，</w:t>
            </w:r>
            <w:r>
              <w:rPr>
                <w:rFonts w:hint="eastAsia" w:asciiTheme="minorEastAsia" w:hAnsiTheme="minorEastAsia" w:eastAsiaTheme="minorEastAsia" w:cstheme="minorEastAsia"/>
                <w:szCs w:val="21"/>
              </w:rPr>
              <w:t>可以</w:t>
            </w:r>
            <w:r>
              <w:rPr>
                <w:rFonts w:hint="eastAsia" w:asciiTheme="minorEastAsia" w:hAnsiTheme="minorEastAsia" w:eastAsiaTheme="minorEastAsia" w:cstheme="minorEastAsia"/>
                <w:szCs w:val="21"/>
                <w:lang w:val="zh-CN"/>
              </w:rPr>
              <w:t>提供银行出具的资信证明（银行资信证明应能说明该供应商与银行之间业务往来正常，企业信誉良好等。银行出具的单纯的存款证明不能视作银行资信证明。下同）。成立不足一年的可提供存款证明即可。由财政部门认可的政府采购专业担保机构对供应商进行资信审查后出具投标担保函的，可以不用提供</w:t>
            </w:r>
            <w:r>
              <w:rPr>
                <w:rFonts w:hint="eastAsia" w:asciiTheme="minorEastAsia" w:hAnsiTheme="minorEastAsia" w:eastAsiaTheme="minorEastAsia" w:cstheme="minorEastAsia"/>
                <w:szCs w:val="21"/>
              </w:rPr>
              <w:t>财务会计制度对应的相关内容</w:t>
            </w:r>
            <w:r>
              <w:rPr>
                <w:rFonts w:hint="eastAsia" w:asciiTheme="minorEastAsia" w:hAnsiTheme="minorEastAsia" w:eastAsiaTheme="minorEastAsia" w:cstheme="minorEastAsia"/>
                <w:szCs w:val="21"/>
                <w:lang w:val="zh-CN"/>
              </w:rPr>
              <w:t>。</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3</w:t>
            </w:r>
            <w:r>
              <w:rPr>
                <w:rFonts w:hint="eastAsia" w:asciiTheme="minorEastAsia" w:hAnsiTheme="minorEastAsia" w:eastAsiaTheme="minorEastAsia" w:cstheme="minorEastAsia"/>
                <w:szCs w:val="21"/>
                <w:lang w:val="zh-CN"/>
              </w:rPr>
              <w:t>）具有履行合同所必需的设备和专业技术能力的证明材料；（自拟）</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4</w:t>
            </w:r>
            <w:r>
              <w:rPr>
                <w:rFonts w:hint="eastAsia" w:asciiTheme="minorEastAsia" w:hAnsiTheme="minorEastAsia" w:eastAsiaTheme="minorEastAsia" w:cstheme="minorEastAsia"/>
                <w:szCs w:val="21"/>
                <w:lang w:val="zh-CN"/>
              </w:rPr>
              <w:t>）具有依法缴纳税收和社会保障资金的良好记录：1）供应商依法缴纳税收的证明材料：递交响应文件截止时间往前推算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缴纳税收的凭据（完税证明、缴款书、银行代扣（代缴）转账凭证等均可）；2）供应商依法缴纳社会保障资金的证明材料：递交响应文件截止时间往前推算</w:t>
            </w:r>
            <w:r>
              <w:rPr>
                <w:rFonts w:hint="eastAsia" w:asciiTheme="minorEastAsia" w:hAnsiTheme="minorEastAsia" w:eastAsiaTheme="minorEastAsia" w:cstheme="minorEastAsia"/>
                <w:szCs w:val="21"/>
              </w:rPr>
              <w:t>六个月</w:t>
            </w:r>
            <w:r>
              <w:rPr>
                <w:rFonts w:hint="eastAsia" w:asciiTheme="minorEastAsia" w:hAnsiTheme="minorEastAsia" w:eastAsiaTheme="minorEastAsia" w:cstheme="minorEastAsia"/>
                <w:szCs w:val="21"/>
                <w:lang w:val="zh-CN"/>
              </w:rPr>
              <w:t>以来</w:t>
            </w:r>
            <w:r>
              <w:rPr>
                <w:rFonts w:hint="eastAsia" w:asciiTheme="minorEastAsia" w:hAnsiTheme="minorEastAsia" w:eastAsiaTheme="minorEastAsia" w:cstheme="minorEastAsia"/>
                <w:szCs w:val="21"/>
              </w:rPr>
              <w:t>任意一个月</w:t>
            </w:r>
            <w:r>
              <w:rPr>
                <w:rFonts w:hint="eastAsia" w:asciiTheme="minorEastAsia" w:hAnsiTheme="minorEastAsia" w:eastAsiaTheme="minorEastAsia" w:cstheme="minorEastAsia"/>
                <w:szCs w:val="21"/>
                <w:lang w:val="zh-CN"/>
              </w:rPr>
              <w:t>缴纳社会保险的凭据（专用发票或社会保险缴纳清单）；3）供应商为其他组织或自然人的，也需要按此项规定提供缴纳税收的凭据和缴纳社会保险的凭据；4）递交响应文件截止时间当月成立但因税务机关原因导致其尚未依法缴纳税收的供应商，提供依法缴纳税收承诺书原件（格式自拟），该承诺书视同税收缴纳凭据。5）递交响应文件截止时间当月成立但因社会保障资金管理机关原因导致其尚未依法缴纳社会保障资金的供应商，提供依法缴纳社会保障资金承诺书原件（格式自拟），该承诺书视同社会保险凭据。6）依法免税或不需要缴纳社会保障资金的供应商，应提供相应文件证明其依法免税或不需要缴纳社会保障资金。</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w:t>
            </w:r>
            <w:r>
              <w:rPr>
                <w:rFonts w:hint="eastAsia" w:asciiTheme="minorEastAsia" w:hAnsiTheme="minorEastAsia" w:eastAsiaTheme="minorEastAsia" w:cstheme="minorEastAsia"/>
                <w:szCs w:val="21"/>
              </w:rPr>
              <w:t>5</w:t>
            </w:r>
            <w:r>
              <w:rPr>
                <w:rFonts w:hint="eastAsia" w:asciiTheme="minorEastAsia" w:hAnsiTheme="minorEastAsia" w:eastAsiaTheme="minorEastAsia" w:cstheme="minorEastAsia"/>
                <w:szCs w:val="21"/>
                <w:lang w:val="zh-CN"/>
              </w:rPr>
              <w:t>）参加政府采购活动前三年内，在经营活动中没有重大违法记录；（提供书面声明）（重大违法记录是指供应商因违法经营受到刑事处罚或者责令停产停业、吊销许可证或者执照、较大数额罚款等行政处罚）</w:t>
            </w:r>
          </w:p>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w:t>
            </w:r>
            <w:r>
              <w:rPr>
                <w:rFonts w:hint="eastAsia" w:asciiTheme="minorEastAsia" w:hAnsiTheme="minorEastAsia" w:eastAsiaTheme="minorEastAsia" w:cstheme="minorEastAsia"/>
                <w:b/>
                <w:bCs/>
                <w:szCs w:val="21"/>
              </w:rPr>
              <w:t>6</w:t>
            </w:r>
            <w:r>
              <w:rPr>
                <w:rFonts w:hint="eastAsia" w:asciiTheme="minorEastAsia" w:hAnsiTheme="minorEastAsia" w:eastAsiaTheme="minorEastAsia" w:cstheme="minorEastAsia"/>
                <w:b/>
                <w:bCs/>
                <w:szCs w:val="21"/>
                <w:lang w:val="zh-CN"/>
              </w:rPr>
              <w:t>）符合本文件第一章第二款资格要求的所有证明资料。</w:t>
            </w:r>
          </w:p>
          <w:p>
            <w:pPr>
              <w:autoSpaceDE w:val="0"/>
              <w:autoSpaceDN w:val="0"/>
              <w:adjustRightInd w:val="0"/>
              <w:jc w:val="left"/>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lang w:val="zh-CN"/>
              </w:rPr>
              <w:t>注：除上述要求的资格证明文件外，如国家法律法规对市场准入有要求的还应提交相关资格证明文件。所有证书、证明文件包括按要求提供的官网截图必须是真实可查证的，须注明资料来源。资格证明文件应为原件清晰的扫描件），副本可用正本的复印件。所有证明材料须清晰可辨认，如因证明材料模糊无法辨认，缺页、漏页导致无法进行评审认定的，责任由供应商自负。如发现弄虚作假将按照有关规定严肃处理。证明材料仅限于投标单位本身，参股或控股单位及独立法人子公司的材料不能作为证明材料，但投标单位兼并的企业的材料可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15.1</w:t>
            </w:r>
          </w:p>
        </w:tc>
        <w:tc>
          <w:tcPr>
            <w:tcW w:w="2127" w:type="dxa"/>
            <w:vAlign w:val="center"/>
          </w:tcPr>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证明响应内容符合竞争性磋商采购文件要求的文件和竞争性磋商采购文件规定的其他资料</w:t>
            </w:r>
          </w:p>
        </w:tc>
        <w:tc>
          <w:tcPr>
            <w:tcW w:w="6130" w:type="dxa"/>
            <w:vAlign w:val="center"/>
          </w:tcPr>
          <w:p>
            <w:pPr>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证明满足磋商文件第三章中技术要求及商务要求的所有相关规定的相关内容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27"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16.1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磋商保证金金额、递交方式、时间及接受磋商保证金的帐户信息</w:t>
            </w: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ind w:right="256" w:rightChars="12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17.1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kern w:val="0"/>
                <w:szCs w:val="21"/>
              </w:rPr>
              <w:t>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lang w:val="zh-CN"/>
              </w:rPr>
              <w:t>18.1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竞争性磋商响应文件正、副本数量</w:t>
            </w:r>
          </w:p>
        </w:tc>
        <w:tc>
          <w:tcPr>
            <w:tcW w:w="6130" w:type="dxa"/>
            <w:vAlign w:val="center"/>
          </w:tcPr>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（1）响应文件纸质版：正本</w:t>
            </w:r>
            <w:r>
              <w:rPr>
                <w:rFonts w:hint="eastAsia" w:asciiTheme="minorEastAsia" w:hAnsiTheme="minorEastAsia" w:eastAsiaTheme="minorEastAsia" w:cstheme="minorEastAsia"/>
                <w:szCs w:val="21"/>
                <w:u w:val="single"/>
              </w:rPr>
              <w:t xml:space="preserve"> 壹 </w:t>
            </w:r>
            <w:r>
              <w:rPr>
                <w:rFonts w:hint="eastAsia" w:asciiTheme="minorEastAsia" w:hAnsiTheme="minorEastAsia" w:eastAsiaTheme="minorEastAsia" w:cstheme="minorEastAsia"/>
                <w:szCs w:val="21"/>
              </w:rPr>
              <w:t>份（需为彩色打印件），副本</w:t>
            </w:r>
            <w:r>
              <w:rPr>
                <w:rFonts w:hint="eastAsia" w:asciiTheme="minorEastAsia" w:hAnsiTheme="minorEastAsia" w:eastAsiaTheme="minorEastAsia" w:cstheme="minorEastAsia"/>
                <w:szCs w:val="21"/>
                <w:u w:val="single"/>
              </w:rPr>
              <w:t xml:space="preserve"> 贰 </w:t>
            </w:r>
            <w:r>
              <w:rPr>
                <w:rFonts w:hint="eastAsia" w:asciiTheme="minorEastAsia" w:hAnsiTheme="minorEastAsia" w:eastAsiaTheme="minorEastAsia" w:cstheme="minorEastAsia"/>
                <w:szCs w:val="21"/>
              </w:rPr>
              <w:t>份；</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（2）响应文件电子版：</w:t>
            </w:r>
          </w:p>
          <w:p>
            <w:pPr>
              <w:autoSpaceDE w:val="0"/>
              <w:autoSpaceDN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□不要求</w:t>
            </w:r>
          </w:p>
          <w:p>
            <w:pPr>
              <w:autoSpaceDE w:val="0"/>
              <w:autoSpaceDN w:val="0"/>
              <w:snapToGri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☑要求，响应文件电子版内容：</w:t>
            </w:r>
            <w:r>
              <w:rPr>
                <w:rFonts w:hint="eastAsia" w:asciiTheme="minorEastAsia" w:hAnsiTheme="minorEastAsia" w:eastAsiaTheme="minorEastAsia" w:cstheme="minorEastAsia"/>
                <w:szCs w:val="21"/>
                <w:u w:val="single"/>
              </w:rPr>
              <w:t>与正本保持一致</w:t>
            </w:r>
          </w:p>
          <w:p>
            <w:pPr>
              <w:autoSpaceDE w:val="0"/>
              <w:autoSpaceDN w:val="0"/>
              <w:snapToGrid w:val="0"/>
              <w:ind w:firstLine="843" w:firstLineChars="4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shd w:val="clear" w:color="auto" w:fill="FFFFFF"/>
              </w:rPr>
              <w:t>响应文件电子版格式：</w:t>
            </w:r>
            <w:r>
              <w:rPr>
                <w:rFonts w:hint="eastAsia" w:asciiTheme="minorEastAsia" w:hAnsiTheme="minorEastAsia" w:eastAsiaTheme="minorEastAsia" w:cstheme="minorEastAsia"/>
                <w:b/>
                <w:bCs/>
                <w:szCs w:val="21"/>
              </w:rPr>
              <w:t>WORD格式和加</w:t>
            </w:r>
            <w:r>
              <w:rPr>
                <w:rFonts w:hint="eastAsia" w:asciiTheme="minorEastAsia" w:hAnsiTheme="minorEastAsia" w:eastAsiaTheme="minorEastAsia" w:cstheme="minorEastAsia"/>
                <w:b/>
                <w:bCs/>
                <w:szCs w:val="21"/>
                <w:u w:val="single"/>
              </w:rPr>
              <w:t>盖公章后的PDF扫描件格式，如不满足作废标处理。</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响应文件电子版形式：</w:t>
            </w:r>
            <w:r>
              <w:rPr>
                <w:rFonts w:hint="eastAsia" w:asciiTheme="minorEastAsia" w:hAnsiTheme="minorEastAsia" w:eastAsiaTheme="minorEastAsia" w:cstheme="minorEastAsia"/>
                <w:szCs w:val="21"/>
                <w:u w:val="single"/>
              </w:rPr>
              <w:t xml:space="preserve"> U盘1份，需贴标签并注明公司名称；</w:t>
            </w:r>
          </w:p>
          <w:p>
            <w:pPr>
              <w:autoSpaceDE w:val="0"/>
              <w:autoSpaceDN w:val="0"/>
              <w:adjustRightInd w:val="0"/>
              <w:jc w:val="lef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（3）手持法定代表人授权委托书（或法定代表人身份证明书）；</w:t>
            </w:r>
          </w:p>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所有响应文件概不退还，响应文件按包分开制作，分开密封。</w:t>
            </w:r>
          </w:p>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纸质响应文件应采用胶粘方</w:t>
            </w:r>
            <w:r>
              <w:rPr>
                <w:rFonts w:hint="eastAsia" w:asciiTheme="minorEastAsia" w:hAnsiTheme="minorEastAsia" w:eastAsiaTheme="minorEastAsia" w:cstheme="minorEastAsia"/>
                <w:szCs w:val="21"/>
                <w:lang w:val="zh-CN"/>
              </w:rPr>
              <w:t>式装订,装订应牢固、不易拆散和换页。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2" w:hRule="atLeast"/>
          <w:jc w:val="center"/>
        </w:trPr>
        <w:tc>
          <w:tcPr>
            <w:tcW w:w="814" w:type="dxa"/>
            <w:vAlign w:val="center"/>
          </w:tcPr>
          <w:p>
            <w:pPr>
              <w:pStyle w:val="24"/>
              <w:widowControl w:val="0"/>
              <w:autoSpaceDE w:val="0"/>
              <w:autoSpaceDN w:val="0"/>
              <w:adjustRightInd w:val="0"/>
              <w:spacing w:before="31" w:beforeLines="10" w:beforeAutospacing="0" w:after="31" w:afterLines="10" w:afterAutospacing="0"/>
              <w:ind w:left="21" w:leftChars="10" w:right="21" w:rightChars="10"/>
              <w:jc w:val="center"/>
              <w:rPr>
                <w:rFonts w:hint="default" w:asciiTheme="minorEastAsia" w:hAnsiTheme="minorEastAsia" w:eastAsiaTheme="minorEastAsia" w:cstheme="minorEastAsia"/>
                <w:kern w:val="2"/>
                <w:sz w:val="21"/>
                <w:szCs w:val="21"/>
                <w:lang w:val="zh-CN"/>
              </w:rPr>
            </w:pPr>
            <w:r>
              <w:rPr>
                <w:rFonts w:asciiTheme="minorEastAsia" w:hAnsiTheme="minorEastAsia" w:eastAsiaTheme="minorEastAsia" w:cstheme="minorEastAsia"/>
                <w:kern w:val="2"/>
                <w:sz w:val="21"/>
                <w:szCs w:val="21"/>
              </w:rPr>
              <w:t>19.1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竞争性磋商响应文件的密封和标记</w:t>
            </w:r>
          </w:p>
        </w:tc>
        <w:tc>
          <w:tcPr>
            <w:tcW w:w="6130" w:type="dxa"/>
            <w:vAlign w:val="center"/>
          </w:tcPr>
          <w:p>
            <w:pPr>
              <w:autoSpaceDE w:val="0"/>
              <w:autoSpaceDN w:val="0"/>
              <w:adjustRightIn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本条款细化为：响应文件正本需逐页加盖供应商单位公章，不得使用单位其他专用章代替。因签字盖章问题导致的响应材料被否决或竞标受影响的情况，其后果供应商自行承担。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19.3</w:t>
            </w:r>
          </w:p>
        </w:tc>
        <w:tc>
          <w:tcPr>
            <w:tcW w:w="2127" w:type="dxa"/>
            <w:vAlign w:val="center"/>
          </w:tcPr>
          <w:p>
            <w:pPr>
              <w:autoSpaceDE w:val="0"/>
              <w:autoSpaceDN w:val="0"/>
              <w:adjustRightInd w:val="0"/>
              <w:jc w:val="center"/>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样品</w:t>
            </w:r>
          </w:p>
          <w:p>
            <w:pPr>
              <w:autoSpaceDE w:val="0"/>
              <w:autoSpaceDN w:val="0"/>
              <w:adjustRightInd w:val="0"/>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bCs/>
                <w:snapToGrid w:val="0"/>
                <w:kern w:val="0"/>
                <w:szCs w:val="21"/>
                <w:lang w:val="zh-CN"/>
              </w:rPr>
              <w:t>（</w:t>
            </w:r>
            <w:r>
              <w:rPr>
                <w:rFonts w:hint="eastAsia" w:asciiTheme="minorEastAsia" w:hAnsiTheme="minorEastAsia" w:eastAsiaTheme="minorEastAsia" w:cstheme="minorEastAsia"/>
                <w:b/>
                <w:bCs/>
                <w:snapToGrid w:val="0"/>
                <w:kern w:val="0"/>
                <w:szCs w:val="21"/>
              </w:rPr>
              <w:t>本项目不适用</w:t>
            </w:r>
            <w:r>
              <w:rPr>
                <w:rFonts w:hint="eastAsia" w:asciiTheme="minorEastAsia" w:hAnsiTheme="minorEastAsia" w:eastAsiaTheme="minorEastAsia" w:cstheme="minorEastAsia"/>
                <w:b/>
                <w:bCs/>
                <w:snapToGrid w:val="0"/>
                <w:kern w:val="0"/>
                <w:szCs w:val="21"/>
                <w:lang w:val="zh-CN"/>
              </w:rPr>
              <w:t>）</w:t>
            </w:r>
          </w:p>
        </w:tc>
        <w:tc>
          <w:tcPr>
            <w:tcW w:w="6130" w:type="dxa"/>
            <w:vAlign w:val="center"/>
          </w:tcPr>
          <w:p>
            <w:pPr>
              <w:autoSpaceDE w:val="0"/>
              <w:autoSpaceDN w:val="0"/>
              <w:adjustRightInd w:val="0"/>
              <w:jc w:val="left"/>
              <w:rPr>
                <w:rFonts w:asciiTheme="minorEastAsia" w:hAnsiTheme="minorEastAsia" w:eastAsiaTheme="minorEastAsia" w:cstheme="minorEastAsia"/>
                <w:kern w:val="0"/>
                <w:szCs w:val="21"/>
                <w:lang w:val="zh-CN"/>
              </w:rPr>
            </w:pPr>
            <w:r>
              <w:rPr>
                <w:rFonts w:hint="eastAsia" w:asciiTheme="minorEastAsia" w:hAnsiTheme="minorEastAsia" w:eastAsiaTheme="minorEastAsia" w:cstheme="minorEastAsia"/>
                <w:kern w:val="0"/>
                <w:szCs w:val="21"/>
                <w:lang w:val="zh-CN"/>
              </w:rPr>
              <w:t>提交样品的相关规定：要求在磋商时提交样品的，应在样品上标明磋商供应商名称</w:t>
            </w:r>
            <w:r>
              <w:rPr>
                <w:rFonts w:hint="eastAsia" w:asciiTheme="minorEastAsia" w:hAnsiTheme="minorEastAsia" w:eastAsiaTheme="minorEastAsia" w:cstheme="minorEastAsia"/>
                <w:snapToGrid w:val="0"/>
                <w:kern w:val="0"/>
                <w:szCs w:val="21"/>
                <w:lang w:val="zh-CN"/>
              </w:rPr>
              <w:t>（</w:t>
            </w:r>
            <w:r>
              <w:rPr>
                <w:rFonts w:hint="eastAsia" w:asciiTheme="minorEastAsia" w:hAnsiTheme="minorEastAsia" w:eastAsiaTheme="minorEastAsia" w:cstheme="minorEastAsia"/>
                <w:snapToGrid w:val="0"/>
                <w:kern w:val="0"/>
                <w:szCs w:val="21"/>
              </w:rPr>
              <w:t>或不标明供应商名称提交</w:t>
            </w:r>
            <w:r>
              <w:rPr>
                <w:rFonts w:hint="eastAsia" w:asciiTheme="minorEastAsia" w:hAnsiTheme="minorEastAsia" w:eastAsiaTheme="minorEastAsia" w:cstheme="minorEastAsia"/>
                <w:snapToGrid w:val="0"/>
                <w:kern w:val="0"/>
                <w:szCs w:val="21"/>
                <w:lang w:val="zh-CN"/>
              </w:rPr>
              <w:t>）</w:t>
            </w:r>
            <w:r>
              <w:rPr>
                <w:rFonts w:hint="eastAsia" w:asciiTheme="minorEastAsia" w:hAnsiTheme="minorEastAsia" w:eastAsiaTheme="minorEastAsia" w:cstheme="minorEastAsia"/>
                <w:kern w:val="0"/>
                <w:szCs w:val="21"/>
                <w:lang w:val="zh-CN"/>
              </w:rPr>
              <w:t>。</w:t>
            </w:r>
            <w:r>
              <w:rPr>
                <w:rFonts w:hint="eastAsia" w:asciiTheme="minorEastAsia" w:hAnsiTheme="minorEastAsia" w:eastAsiaTheme="minorEastAsia" w:cstheme="minorEastAsia"/>
                <w:kern w:val="0"/>
                <w:szCs w:val="21"/>
                <w:lang w:val="zh-CN"/>
              </w:rPr>
              <w:br w:type="textWrapping"/>
            </w:r>
            <w:r>
              <w:rPr>
                <w:rFonts w:hint="eastAsia" w:asciiTheme="minorEastAsia" w:hAnsiTheme="minorEastAsia" w:eastAsiaTheme="minorEastAsia" w:cstheme="minorEastAsia"/>
                <w:kern w:val="0"/>
                <w:szCs w:val="21"/>
                <w:lang w:val="zh-CN"/>
              </w:rPr>
              <w:t>退还样品的相关规定：</w:t>
            </w:r>
            <w:r>
              <w:rPr>
                <w:rFonts w:hint="eastAsia" w:asciiTheme="minorEastAsia" w:hAnsiTheme="minorEastAsia" w:eastAsiaTheme="minorEastAsia" w:cstheme="minorEastAsia"/>
                <w:kern w:val="0"/>
                <w:szCs w:val="21"/>
              </w:rPr>
              <w:t>未成交供应商在成交公告发布之日起5个工作日内退还，具体电话通知。成交供应商样品移交采购人作为验收依据，不予退还。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20.1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响应文件送达地点及递交截止时间</w:t>
            </w:r>
          </w:p>
        </w:tc>
        <w:tc>
          <w:tcPr>
            <w:tcW w:w="6130" w:type="dxa"/>
            <w:vAlign w:val="center"/>
          </w:tcPr>
          <w:p>
            <w:pPr>
              <w:autoSpaceDE w:val="0"/>
              <w:autoSpaceDN w:val="0"/>
              <w:adjustRightInd w:val="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详见第一章第四款相关要求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磋商小组人数</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3人或3人以上单数组成，其中采购人代表不超过成员总数的三分之一，外聘专家在省政府采购专家库中随机抽取。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24.1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b/>
                <w:bCs/>
                <w:snapToGrid w:val="0"/>
                <w:kern w:val="0"/>
                <w:szCs w:val="21"/>
              </w:rPr>
            </w:pPr>
            <w:r>
              <w:rPr>
                <w:rFonts w:hint="eastAsia" w:asciiTheme="minorEastAsia" w:hAnsiTheme="minorEastAsia" w:eastAsiaTheme="minorEastAsia" w:cstheme="minorEastAsia"/>
                <w:b/>
                <w:bCs/>
                <w:snapToGrid w:val="0"/>
                <w:kern w:val="0"/>
                <w:szCs w:val="21"/>
              </w:rPr>
              <w:t>磋商代表</w:t>
            </w:r>
          </w:p>
        </w:tc>
        <w:tc>
          <w:tcPr>
            <w:tcW w:w="6130" w:type="dxa"/>
            <w:vAlign w:val="center"/>
          </w:tcPr>
          <w:p>
            <w:pPr>
              <w:autoSpaceDE w:val="0"/>
              <w:autoSpaceDN w:val="0"/>
              <w:adjustRightInd w:val="0"/>
              <w:jc w:val="left"/>
              <w:rPr>
                <w:rFonts w:asciiTheme="minorEastAsia" w:hAnsiTheme="minorEastAsia" w:eastAsiaTheme="minorEastAsia" w:cstheme="minorEastAsia"/>
                <w:b/>
                <w:bCs/>
                <w:szCs w:val="21"/>
                <w:lang w:val="zh-CN"/>
              </w:rPr>
            </w:pPr>
            <w:r>
              <w:rPr>
                <w:rFonts w:hint="eastAsia" w:asciiTheme="minorEastAsia" w:hAnsiTheme="minorEastAsia" w:eastAsiaTheme="minorEastAsia" w:cstheme="minorEastAsia"/>
                <w:b/>
                <w:bCs/>
                <w:szCs w:val="21"/>
                <w:lang w:val="zh-CN"/>
              </w:rPr>
              <w:t>建议供应商拟派出席磋商会议的磋商代表为熟知本项目的技术人员或商务负责人等能</w:t>
            </w:r>
            <w:r>
              <w:rPr>
                <w:rFonts w:hint="eastAsia" w:asciiTheme="minorEastAsia" w:hAnsiTheme="minorEastAsia" w:eastAsiaTheme="minorEastAsia" w:cstheme="minorEastAsia"/>
                <w:b/>
                <w:bCs/>
                <w:szCs w:val="21"/>
              </w:rPr>
              <w:t>为磋商小组详细介绍供应商公司情况及项目了解情况的人员，</w:t>
            </w:r>
            <w:r>
              <w:rPr>
                <w:rFonts w:hint="eastAsia" w:asciiTheme="minorEastAsia" w:hAnsiTheme="minorEastAsia" w:eastAsiaTheme="minorEastAsia" w:cstheme="minorEastAsia"/>
                <w:b/>
                <w:bCs/>
                <w:szCs w:val="21"/>
                <w:lang w:val="zh-CN"/>
              </w:rPr>
              <w:t>以便在评审过程中进行可能出现的答疑或澄清。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提交最后报价供应商的确定方式</w:t>
            </w:r>
          </w:p>
        </w:tc>
        <w:tc>
          <w:tcPr>
            <w:tcW w:w="6130" w:type="dxa"/>
            <w:vAlign w:val="center"/>
          </w:tcPr>
          <w:p>
            <w:pPr>
              <w:autoSpaceDE w:val="0"/>
              <w:autoSpaceDN w:val="0"/>
              <w:adjustRightInd w:val="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采购代理机构将竞争性磋商第二轮报价表（磋商承诺书）发放至所有通过了资格审查及符合性审查的磋商供应商，磋商供应商应在指定的时间内提交满足要求的最后报价，</w:t>
            </w:r>
            <w:r>
              <w:rPr>
                <w:rFonts w:hint="eastAsia" w:asciiTheme="minorEastAsia" w:hAnsiTheme="minorEastAsia" w:eastAsiaTheme="minorEastAsia" w:cstheme="minorEastAsia"/>
                <w:snapToGrid w:val="0"/>
                <w:kern w:val="0"/>
                <w:szCs w:val="21"/>
              </w:rPr>
              <w:t>在指定地点以</w:t>
            </w:r>
            <w:r>
              <w:rPr>
                <w:rFonts w:hint="eastAsia" w:asciiTheme="minorEastAsia" w:hAnsiTheme="minorEastAsia" w:eastAsiaTheme="minorEastAsia" w:cstheme="minorEastAsia"/>
                <w:snapToGrid w:val="0"/>
                <w:kern w:val="0"/>
                <w:szCs w:val="21"/>
                <w:lang w:val="zh-CN"/>
              </w:rPr>
              <w:t>密封</w:t>
            </w:r>
            <w:r>
              <w:rPr>
                <w:rFonts w:hint="eastAsia" w:asciiTheme="minorEastAsia" w:hAnsiTheme="minorEastAsia" w:eastAsiaTheme="minorEastAsia" w:cstheme="minorEastAsia"/>
                <w:snapToGrid w:val="0"/>
                <w:kern w:val="0"/>
                <w:szCs w:val="21"/>
              </w:rPr>
              <w:t>等形式</w:t>
            </w:r>
            <w:r>
              <w:rPr>
                <w:rFonts w:hint="eastAsia" w:asciiTheme="minorEastAsia" w:hAnsiTheme="minorEastAsia" w:eastAsiaTheme="minorEastAsia" w:cstheme="minorEastAsia"/>
                <w:snapToGrid w:val="0"/>
                <w:kern w:val="0"/>
                <w:szCs w:val="21"/>
                <w:lang w:val="zh-CN"/>
              </w:rPr>
              <w:t>递交</w:t>
            </w:r>
            <w:r>
              <w:rPr>
                <w:rFonts w:hint="eastAsia" w:asciiTheme="minorEastAsia" w:hAnsiTheme="minorEastAsia" w:eastAsiaTheme="minorEastAsia" w:cstheme="minorEastAsia"/>
                <w:snapToGrid w:val="0"/>
                <w:kern w:val="0"/>
                <w:szCs w:val="21"/>
              </w:rPr>
              <w:t>给采购代理机构指定现场工作人员或</w:t>
            </w:r>
            <w:r>
              <w:rPr>
                <w:rFonts w:hint="eastAsia" w:asciiTheme="minorEastAsia" w:hAnsiTheme="minorEastAsia" w:eastAsiaTheme="minorEastAsia" w:cstheme="minorEastAsia"/>
                <w:snapToGrid w:val="0"/>
                <w:kern w:val="0"/>
                <w:szCs w:val="21"/>
                <w:lang w:val="zh-CN"/>
              </w:rPr>
              <w:t>磋商小组。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27.3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推荐成交候选</w:t>
            </w:r>
            <w:r>
              <w:rPr>
                <w:rFonts w:hint="eastAsia" w:asciiTheme="minorEastAsia" w:hAnsiTheme="minorEastAsia" w:eastAsiaTheme="minorEastAsia" w:cstheme="minorEastAsia"/>
                <w:snapToGrid w:val="0"/>
                <w:kern w:val="0"/>
                <w:szCs w:val="21"/>
              </w:rPr>
              <w:t>供应商</w:t>
            </w:r>
            <w:r>
              <w:rPr>
                <w:rFonts w:hint="eastAsia" w:asciiTheme="minorEastAsia" w:hAnsiTheme="minorEastAsia" w:eastAsiaTheme="minorEastAsia" w:cstheme="minorEastAsia"/>
                <w:snapToGrid w:val="0"/>
                <w:kern w:val="0"/>
                <w:szCs w:val="21"/>
                <w:lang w:val="zh-CN"/>
              </w:rPr>
              <w:t>数量</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本项目推荐</w:t>
            </w:r>
            <w:r>
              <w:rPr>
                <w:rFonts w:hint="eastAsia" w:asciiTheme="minorEastAsia" w:hAnsiTheme="minorEastAsia" w:eastAsiaTheme="minorEastAsia" w:cstheme="minorEastAsia"/>
                <w:bCs/>
                <w:kern w:val="44"/>
                <w:szCs w:val="21"/>
                <w:u w:val="single"/>
              </w:rPr>
              <w:t>3</w:t>
            </w:r>
            <w:r>
              <w:rPr>
                <w:rFonts w:hint="eastAsia" w:asciiTheme="minorEastAsia" w:hAnsiTheme="minorEastAsia" w:eastAsiaTheme="minorEastAsia" w:cstheme="minorEastAsia"/>
                <w:bCs/>
                <w:kern w:val="44"/>
                <w:szCs w:val="21"/>
              </w:rPr>
              <w:t>名成交候选供应商。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28.5</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成交通知书的领取</w:t>
            </w:r>
            <w:r>
              <w:rPr>
                <w:rFonts w:hint="eastAsia" w:asciiTheme="minorEastAsia" w:hAnsiTheme="minorEastAsia" w:eastAsiaTheme="minorEastAsia" w:cstheme="minorEastAsia"/>
                <w:snapToGrid w:val="0"/>
                <w:kern w:val="0"/>
                <w:szCs w:val="21"/>
              </w:rPr>
              <w:t>时</w:t>
            </w:r>
            <w:r>
              <w:rPr>
                <w:rFonts w:hint="eastAsia" w:asciiTheme="minorEastAsia" w:hAnsiTheme="minorEastAsia" w:eastAsiaTheme="minorEastAsia" w:cstheme="minorEastAsia"/>
                <w:snapToGrid w:val="0"/>
                <w:kern w:val="0"/>
                <w:szCs w:val="21"/>
                <w:lang w:val="zh-CN"/>
              </w:rPr>
              <w:t>间</w:t>
            </w:r>
          </w:p>
        </w:tc>
        <w:tc>
          <w:tcPr>
            <w:tcW w:w="6130" w:type="dxa"/>
            <w:vAlign w:val="center"/>
          </w:tcPr>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成交通知书与成交结果公告同时发出，成交供应商在成交结果公告</w:t>
            </w:r>
          </w:p>
          <w:p>
            <w:pPr>
              <w:autoSpaceDE w:val="0"/>
              <w:autoSpaceDN w:val="0"/>
              <w:adjustRightInd w:val="0"/>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发布以后即可联系采购代理机构领取。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9071" w:type="dxa"/>
            <w:gridSpan w:val="3"/>
            <w:vAlign w:val="center"/>
          </w:tcPr>
          <w:p>
            <w:pPr>
              <w:autoSpaceDE w:val="0"/>
              <w:autoSpaceDN w:val="0"/>
              <w:adjustRightInd w:val="0"/>
              <w:snapToGrid w:val="0"/>
              <w:spacing w:before="31" w:beforeLines="10" w:after="31" w:afterLines="10"/>
              <w:ind w:right="21" w:rightChars="10"/>
              <w:jc w:val="center"/>
              <w:rPr>
                <w:rFonts w:asciiTheme="minorEastAsia" w:hAnsiTheme="minorEastAsia" w:eastAsiaTheme="minorEastAsia" w:cstheme="minorEastAsia"/>
                <w:color w:val="FF0000"/>
                <w:szCs w:val="21"/>
                <w:lang w:val="zh-CN"/>
              </w:rPr>
            </w:pPr>
            <w:r>
              <w:rPr>
                <w:rFonts w:hint="eastAsia" w:asciiTheme="minorEastAsia" w:hAnsiTheme="minorEastAsia" w:eastAsiaTheme="minorEastAsia" w:cstheme="minorEastAsia"/>
                <w:b/>
                <w:bCs/>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报价方式</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本项目竞标报价为“交钥匙”价。竞标报价应包括完成该项目的货物</w:t>
            </w:r>
            <w:r>
              <w:rPr>
                <w:rFonts w:hint="eastAsia" w:asciiTheme="minorEastAsia" w:hAnsiTheme="minorEastAsia" w:eastAsiaTheme="minorEastAsia" w:cstheme="minorEastAsia"/>
                <w:szCs w:val="21"/>
              </w:rPr>
              <w:t>本身</w:t>
            </w:r>
            <w:r>
              <w:rPr>
                <w:rFonts w:hint="eastAsia" w:asciiTheme="minorEastAsia" w:hAnsiTheme="minorEastAsia" w:eastAsiaTheme="minorEastAsia" w:cstheme="minorEastAsia"/>
                <w:szCs w:val="21"/>
                <w:lang w:val="zh-CN"/>
              </w:rPr>
              <w:t>、包装、人工、运输、仓储、保险、各种税费、专利技术及质保期间等一切服务费用及其他售后服务等全部相关工作。合同签订后采购人未提出增加工作内容的情况下，合同价不得调整。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各供应商按此要求进行报价，同时在合同实施过程中还将发生的其它费用</w:t>
            </w:r>
            <w:r>
              <w:rPr>
                <w:rFonts w:hint="eastAsia" w:asciiTheme="minorEastAsia" w:hAnsiTheme="minorEastAsia" w:eastAsiaTheme="minorEastAsia" w:cstheme="minorEastAsia"/>
                <w:szCs w:val="21"/>
              </w:rPr>
              <w:t>也</w:t>
            </w:r>
            <w:r>
              <w:rPr>
                <w:rFonts w:hint="eastAsia" w:asciiTheme="minorEastAsia" w:hAnsiTheme="minorEastAsia" w:eastAsiaTheme="minorEastAsia" w:cstheme="minorEastAsia"/>
                <w:szCs w:val="21"/>
                <w:lang w:val="zh-CN"/>
              </w:rPr>
              <w:t>应包含在总价中，对在合同实施过程中可能发生的其它费用（如：增加耗材、材料涨价、人工、运输成本增加等因素），</w:t>
            </w:r>
            <w:r>
              <w:rPr>
                <w:rFonts w:hint="eastAsia" w:asciiTheme="minorEastAsia" w:hAnsiTheme="minorEastAsia" w:eastAsiaTheme="minorEastAsia" w:cstheme="minorEastAsia"/>
                <w:szCs w:val="21"/>
              </w:rPr>
              <w:t>采购人</w:t>
            </w:r>
            <w:r>
              <w:rPr>
                <w:rFonts w:hint="eastAsia" w:asciiTheme="minorEastAsia" w:hAnsiTheme="minorEastAsia" w:eastAsiaTheme="minorEastAsia" w:cstheme="minorEastAsia"/>
                <w:szCs w:val="21"/>
                <w:lang w:val="zh-CN"/>
              </w:rPr>
              <w:t>概不负责。</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zh-CN"/>
              </w:rPr>
              <w:t>对于</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文件未列明，而</w:t>
            </w: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szCs w:val="21"/>
                <w:lang w:val="zh-CN"/>
              </w:rPr>
              <w:t>供应商认为</w:t>
            </w:r>
            <w:r>
              <w:rPr>
                <w:rFonts w:hint="eastAsia" w:asciiTheme="minorEastAsia" w:hAnsiTheme="minorEastAsia" w:eastAsiaTheme="minorEastAsia" w:cstheme="minorEastAsia"/>
                <w:szCs w:val="21"/>
              </w:rPr>
              <w:t>必须</w:t>
            </w:r>
            <w:r>
              <w:rPr>
                <w:rFonts w:hint="eastAsia" w:asciiTheme="minorEastAsia" w:hAnsiTheme="minorEastAsia" w:eastAsiaTheme="minorEastAsia" w:cstheme="minorEastAsia"/>
                <w:szCs w:val="21"/>
                <w:lang w:val="zh-CN"/>
              </w:rPr>
              <w:t>的费用也需列入总报价。在合同实施时，采购人将不予支付</w:t>
            </w:r>
            <w:r>
              <w:rPr>
                <w:rFonts w:hint="eastAsia" w:asciiTheme="minorEastAsia" w:hAnsiTheme="minorEastAsia" w:eastAsiaTheme="minorEastAsia" w:cstheme="minorEastAsia"/>
                <w:szCs w:val="21"/>
              </w:rPr>
              <w:t>成交</w:t>
            </w:r>
            <w:r>
              <w:rPr>
                <w:rFonts w:hint="eastAsia" w:asciiTheme="minorEastAsia" w:hAnsiTheme="minorEastAsia" w:eastAsiaTheme="minorEastAsia" w:cstheme="minorEastAsia"/>
                <w:szCs w:val="21"/>
                <w:lang w:val="zh-CN"/>
              </w:rPr>
              <w:t>供应商没有列入的项目费用，并认为此项目的费用已包括在投标总报价中。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踏勘现场</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☑采购人不组织统一踏勘，请各供应商自行踏勘现场；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□组织，踏勘时间：</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踏勘集中地点：</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踏勘联系人：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（1）供应商承担踏勘现场所发生的自身费用；</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（2）供应商应承担踏勘现场的责任和风险。</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（3）采购人在踏勘现场中介绍的项目背景及项目现场和相关的周边环境情况，供应商在编制响应文件时参考，采购人和采购代理机构不对供应商据此作出的判断和决策负责。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是否接受进口产品</w:t>
            </w:r>
          </w:p>
        </w:tc>
        <w:tc>
          <w:tcPr>
            <w:tcW w:w="6130" w:type="dxa"/>
            <w:vAlign w:val="center"/>
          </w:tcPr>
          <w:p>
            <w:pPr>
              <w:autoSpaceDE w:val="0"/>
              <w:autoSpaceDN w:val="0"/>
              <w:adjustRightInd w:val="0"/>
              <w:snapToGrid w:val="0"/>
              <w:spacing w:before="31" w:beforeLines="10" w:after="31" w:afterLines="10"/>
              <w:ind w:right="21" w:rightChars="10"/>
              <w:jc w:val="left"/>
              <w:rPr>
                <w:u w:val="single"/>
              </w:rPr>
            </w:pPr>
            <w:r>
              <w:rPr>
                <w:rFonts w:hint="eastAsia"/>
              </w:rPr>
              <w:t>☑不接受；□接受；</w:t>
            </w:r>
            <w:r>
              <w:rPr>
                <w:rFonts w:hint="eastAsia"/>
              </w:rPr>
              <w:br w:type="textWrapping"/>
            </w:r>
            <w:r>
              <w:rPr>
                <w:rFonts w:hint="eastAsia"/>
              </w:rPr>
              <w:t>经财政部门审核同意购买的进口产品为：</w:t>
            </w:r>
            <w:r>
              <w:rPr>
                <w:rFonts w:hint="eastAsia"/>
                <w:u w:val="single"/>
              </w:rPr>
              <w:t>         </w:t>
            </w:r>
          </w:p>
          <w:p>
            <w:pPr>
              <w:pStyle w:val="10"/>
            </w:pPr>
            <w:r>
              <w:rPr>
                <w:rFonts w:hint="eastAsia"/>
              </w:rPr>
              <w:t>备注：财政部门审核同意购买进口产品的，应当在采购文件中明确规定可以采购进口产品，但如果因信息不对称等原因，仍有满足需求的国内产品要求参与采购竞争的，采购人及其委托的采购代理机构不得对其加以限制，应当按照公平竞争原则实施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 w:hRule="atLeast"/>
          <w:jc w:val="center"/>
        </w:trPr>
        <w:tc>
          <w:tcPr>
            <w:tcW w:w="814"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127" w:type="dxa"/>
            <w:vAlign w:val="center"/>
          </w:tcPr>
          <w:p>
            <w:pPr>
              <w:autoSpaceDE w:val="0"/>
              <w:autoSpaceDN w:val="0"/>
              <w:adjustRightInd w:val="0"/>
              <w:spacing w:before="31" w:beforeLines="10" w:after="31" w:afterLines="10"/>
              <w:ind w:left="21" w:leftChars="10" w:right="21" w:rightChars="10"/>
              <w:jc w:val="cente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核心产品</w:t>
            </w:r>
          </w:p>
        </w:tc>
        <w:tc>
          <w:tcPr>
            <w:tcW w:w="6130" w:type="dxa"/>
            <w:vAlign w:val="center"/>
          </w:tcPr>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b/>
                <w:bCs/>
                <w:color w:val="auto"/>
                <w:szCs w:val="21"/>
                <w:u w:val="single"/>
              </w:rPr>
            </w:pPr>
            <w:r>
              <w:rPr>
                <w:rFonts w:hint="eastAsia" w:asciiTheme="minorEastAsia" w:hAnsiTheme="minorEastAsia" w:eastAsiaTheme="minorEastAsia" w:cstheme="minorEastAsia"/>
                <w:b/>
                <w:bCs/>
                <w:color w:val="auto"/>
                <w:szCs w:val="21"/>
              </w:rPr>
              <w:t>本项目核心产品：</w:t>
            </w:r>
            <w:r>
              <w:rPr>
                <w:rFonts w:hint="eastAsia"/>
                <w:b/>
                <w:bCs/>
                <w:color w:val="auto"/>
                <w:u w:val="single"/>
              </w:rPr>
              <w:t>  专用综合平台管理软件</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提供相同品牌核心产品且通过资格审查、符合性审查的不同供应商参加同一合同项下竞标的，按一家供应商计算，评审后得分最高的同品牌供应商获得成交供应商推荐资格；评审得分相同的，采取随机抽取方式确定，其他同品牌供应商不作为中标候选人。</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（2）若核心产品不止 1 个，各供应商所投任一核心产品的品牌相同，则按一家供应商计算。</w:t>
            </w:r>
          </w:p>
        </w:tc>
      </w:tr>
    </w:tbl>
    <w:p>
      <w:pPr>
        <w:spacing w:line="360" w:lineRule="auto"/>
        <w:outlineLvl w:val="1"/>
        <w:rPr>
          <w:rFonts w:asciiTheme="minorEastAsia" w:hAnsiTheme="minorEastAsia" w:eastAsiaTheme="minorEastAsia" w:cstheme="minorEastAsia"/>
          <w:b/>
          <w:szCs w:val="21"/>
        </w:rPr>
      </w:pPr>
      <w:bookmarkStart w:id="27" w:name="_Toc27799"/>
      <w:r>
        <w:rPr>
          <w:rFonts w:hint="eastAsia" w:asciiTheme="minorEastAsia" w:hAnsiTheme="minorEastAsia" w:eastAsiaTheme="minorEastAsia" w:cstheme="minorEastAsia"/>
          <w:b/>
          <w:szCs w:val="21"/>
        </w:rPr>
        <w:t>供应商须知</w:t>
      </w:r>
      <w:bookmarkEnd w:id="27"/>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28" w:name="_Toc22879"/>
      <w:r>
        <w:rPr>
          <w:rFonts w:hint="eastAsia" w:asciiTheme="minorEastAsia" w:hAnsiTheme="minorEastAsia" w:eastAsiaTheme="minorEastAsia" w:cstheme="minorEastAsia"/>
          <w:b/>
          <w:szCs w:val="21"/>
        </w:rPr>
        <w:t>总则</w:t>
      </w:r>
      <w:bookmarkEnd w:id="28"/>
    </w:p>
    <w:p>
      <w:pPr>
        <w:numPr>
          <w:ilvl w:val="0"/>
          <w:numId w:val="8"/>
        </w:numPr>
        <w:spacing w:line="360" w:lineRule="auto"/>
        <w:ind w:hanging="540"/>
        <w:outlineLvl w:val="1"/>
        <w:rPr>
          <w:rFonts w:asciiTheme="minorEastAsia" w:hAnsiTheme="minorEastAsia" w:eastAsiaTheme="minorEastAsia" w:cstheme="minorEastAsia"/>
          <w:b/>
          <w:szCs w:val="21"/>
        </w:rPr>
      </w:pPr>
      <w:bookmarkStart w:id="29" w:name="_Toc27243"/>
      <w:bookmarkStart w:id="30" w:name="_Toc31055"/>
      <w:r>
        <w:rPr>
          <w:rFonts w:hint="eastAsia" w:asciiTheme="minorEastAsia" w:hAnsiTheme="minorEastAsia" w:eastAsiaTheme="minorEastAsia" w:cstheme="minorEastAsia"/>
          <w:b/>
          <w:szCs w:val="21"/>
        </w:rPr>
        <w:t>适用法律及范围</w:t>
      </w:r>
      <w:bookmarkEnd w:id="29"/>
      <w:bookmarkEnd w:id="30"/>
    </w:p>
    <w:p>
      <w:pPr>
        <w:numPr>
          <w:ilvl w:val="1"/>
          <w:numId w:val="9"/>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本竞争性磋商采购文件仅适用于本次竞争性磋商中所述的项目的采购。</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1" w:name="_Toc402"/>
      <w:bookmarkStart w:id="32" w:name="_Toc30547"/>
      <w:r>
        <w:rPr>
          <w:rFonts w:hint="eastAsia" w:asciiTheme="minorEastAsia" w:hAnsiTheme="minorEastAsia" w:eastAsiaTheme="minorEastAsia" w:cstheme="minorEastAsia"/>
          <w:b/>
          <w:szCs w:val="21"/>
        </w:rPr>
        <w:t>定义</w:t>
      </w:r>
      <w:bookmarkEnd w:id="31"/>
      <w:bookmarkEnd w:id="32"/>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“采购人”：本次磋商的采购人见《供应商须知前附表》。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“监管部门”：本次磋商的监管部门见《供应商须知前附表》。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“采购代理机构”：本次磋商的采购代理机构见《供应商须知前附表》。</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“供应商”是指获取本竞争性磋商采购文件的法人、其他组织或者自然人。</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“磋商供应商”是指</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符合</w:t>
      </w:r>
      <w:r>
        <w:rPr>
          <w:rFonts w:hint="eastAsia" w:asciiTheme="minorEastAsia" w:hAnsiTheme="minorEastAsia" w:eastAsiaTheme="minorEastAsia" w:cstheme="minorEastAsia"/>
          <w:szCs w:val="21"/>
        </w:rPr>
        <w:t>具备《中华人民共和国政府采购法》第二十二条规定的条件；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符合《供应商须知前附表》的相应条件；</w:t>
      </w:r>
    </w:p>
    <w:p>
      <w:pPr>
        <w:numPr>
          <w:ilvl w:val="3"/>
          <w:numId w:val="8"/>
        </w:numPr>
        <w:tabs>
          <w:tab w:val="left" w:pos="0"/>
          <w:tab w:val="clear" w:pos="2040"/>
        </w:tabs>
        <w:spacing w:line="360" w:lineRule="auto"/>
        <w:ind w:left="0" w:firstLine="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通过竞争性磋商采购评定办法中初步审核的供应商。</w:t>
      </w:r>
    </w:p>
    <w:p>
      <w:pPr>
        <w:numPr>
          <w:ilvl w:val="1"/>
          <w:numId w:val="10"/>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“成交供应商”</w:t>
      </w:r>
      <w:r>
        <w:rPr>
          <w:rFonts w:hint="eastAsia" w:asciiTheme="minorEastAsia" w:hAnsiTheme="minorEastAsia" w:eastAsiaTheme="minorEastAsia" w:cstheme="minorEastAsia"/>
          <w:snapToGrid w:val="0"/>
          <w:kern w:val="0"/>
          <w:szCs w:val="21"/>
          <w:lang w:val="zh-CN"/>
        </w:rPr>
        <w:t xml:space="preserve"> 是指经磋商小组评审推荐，采购人授予合同的供应商。</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3" w:name="_Toc30503"/>
      <w:bookmarkStart w:id="34" w:name="_Toc8132"/>
      <w:r>
        <w:rPr>
          <w:rFonts w:hint="eastAsia" w:asciiTheme="minorEastAsia" w:hAnsiTheme="minorEastAsia" w:eastAsiaTheme="minorEastAsia" w:cstheme="minorEastAsia"/>
          <w:b/>
          <w:snapToGrid w:val="0"/>
          <w:kern w:val="0"/>
          <w:szCs w:val="21"/>
          <w:lang w:val="zh-CN"/>
        </w:rPr>
        <w:t>工程、货物及服务</w:t>
      </w:r>
      <w:bookmarkEnd w:id="33"/>
      <w:bookmarkEnd w:id="34"/>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“工程”是指建设工程，包括建筑物和构筑物的新建、改建、扩建及其相关的装修、拆除、修缮等。</w:t>
      </w:r>
    </w:p>
    <w:p>
      <w:pPr>
        <w:numPr>
          <w:ilvl w:val="1"/>
          <w:numId w:val="11"/>
        </w:numPr>
        <w:tabs>
          <w:tab w:val="left" w:pos="525"/>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“货物”是指各种形态和种类的物品，包括原材料、燃料、设备、产品等。</w:t>
      </w:r>
    </w:p>
    <w:p>
      <w:pPr>
        <w:numPr>
          <w:ilvl w:val="1"/>
          <w:numId w:val="11"/>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“服务”是指除货物（指各种形态和种类的物品，包括原材料、燃料、设备、产品等）和工程（指建设工程，包括建筑物和构筑物的新建、改建、扩建及其相关的装修、拆除、修缮等）以外的其他政府采购对象。</w:t>
      </w:r>
    </w:p>
    <w:p>
      <w:pPr>
        <w:numPr>
          <w:ilvl w:val="0"/>
          <w:numId w:val="8"/>
        </w:numPr>
        <w:spacing w:line="360" w:lineRule="auto"/>
        <w:ind w:hanging="540"/>
        <w:outlineLvl w:val="1"/>
        <w:rPr>
          <w:rFonts w:asciiTheme="minorEastAsia" w:hAnsiTheme="minorEastAsia" w:eastAsiaTheme="minorEastAsia" w:cstheme="minorEastAsia"/>
          <w:b/>
          <w:szCs w:val="21"/>
        </w:rPr>
      </w:pPr>
      <w:bookmarkStart w:id="35" w:name="_Toc9974"/>
      <w:bookmarkStart w:id="36" w:name="_Toc4782"/>
      <w:r>
        <w:rPr>
          <w:rFonts w:hint="eastAsia" w:asciiTheme="minorEastAsia" w:hAnsiTheme="minorEastAsia" w:eastAsiaTheme="minorEastAsia" w:cstheme="minorEastAsia"/>
          <w:b/>
          <w:szCs w:val="21"/>
        </w:rPr>
        <w:t>费用</w:t>
      </w:r>
      <w:bookmarkEnd w:id="35"/>
      <w:bookmarkEnd w:id="36"/>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供应商应承担所有与准备和参加磋商有关的费用，不论磋商的结果如何，采购人和采购代理机构均无义务和责任承担这些费用。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招标代理服务费：成交供应商须在收到成交通知书时向采购代理机构支付招标代理服务费。服务费支付标准和方法详见《供应商须知前附表》。</w:t>
      </w:r>
    </w:p>
    <w:p>
      <w:pPr>
        <w:numPr>
          <w:ilvl w:val="1"/>
          <w:numId w:val="12"/>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国家计委计价格[2002]1980 号规定标准收费：</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3"/>
        <w:gridCol w:w="2255"/>
        <w:gridCol w:w="2255"/>
        <w:gridCol w:w="22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中标金额（万元）</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货物</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100以下</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100-500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500-1000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0.8%</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0.45%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1000-5000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5000-10000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10000-100000</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2523"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100000以上</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c>
          <w:tcPr>
            <w:tcW w:w="2255" w:type="dxa"/>
          </w:tcPr>
          <w:p>
            <w:pPr>
              <w:autoSpaceDE w:val="0"/>
              <w:autoSpaceDN w:val="0"/>
              <w:snapToGrid w:val="0"/>
              <w:spacing w:line="480" w:lineRule="exact"/>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0.01%</w:t>
            </w:r>
          </w:p>
        </w:tc>
      </w:tr>
    </w:tbl>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注：招标代理服务收费按差额定率累进法计算。例如：某货物招标代理业务中标金额为6000万元，计算招标代理服务收费额如下：</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0---100：100×1.500％=15000.000元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100---500：400×1.100％=44000.000元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500---1000：500×0.800％=40000.000元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1000---5000：4000×0.500％=200000.000元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5000---6000：1000×0.250％=25000.000元</w:t>
      </w:r>
    </w:p>
    <w:p>
      <w:pPr>
        <w:tabs>
          <w:tab w:val="left" w:pos="540"/>
        </w:tabs>
        <w:spacing w:line="360" w:lineRule="auto"/>
        <w:rPr>
          <w:rFonts w:asciiTheme="minorEastAsia" w:hAnsiTheme="minorEastAsia" w:eastAsiaTheme="minorEastAsia" w:cstheme="minorEastAsia"/>
          <w:snapToGrid w:val="0"/>
          <w:kern w:val="0"/>
          <w:szCs w:val="21"/>
        </w:rPr>
      </w:pPr>
      <w:r>
        <w:rPr>
          <w:rFonts w:hint="eastAsia" w:asciiTheme="minorEastAsia" w:hAnsiTheme="minorEastAsia" w:eastAsiaTheme="minorEastAsia" w:cstheme="minorEastAsia"/>
          <w:snapToGrid w:val="0"/>
          <w:kern w:val="0"/>
          <w:szCs w:val="21"/>
        </w:rPr>
        <w:t>合计收费=324000.000元</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37" w:name="_Toc14873"/>
      <w:r>
        <w:rPr>
          <w:rFonts w:hint="eastAsia" w:asciiTheme="minorEastAsia" w:hAnsiTheme="minorEastAsia" w:eastAsiaTheme="minorEastAsia" w:cstheme="minorEastAsia"/>
          <w:b/>
          <w:szCs w:val="21"/>
        </w:rPr>
        <w:t>竞争性磋商采购文件</w:t>
      </w:r>
      <w:bookmarkEnd w:id="37"/>
    </w:p>
    <w:p>
      <w:pPr>
        <w:numPr>
          <w:ilvl w:val="0"/>
          <w:numId w:val="8"/>
        </w:numPr>
        <w:spacing w:line="360" w:lineRule="auto"/>
        <w:ind w:hanging="540"/>
        <w:outlineLvl w:val="1"/>
        <w:rPr>
          <w:rFonts w:asciiTheme="minorEastAsia" w:hAnsiTheme="minorEastAsia" w:eastAsiaTheme="minorEastAsia" w:cstheme="minorEastAsia"/>
          <w:b/>
          <w:szCs w:val="21"/>
        </w:rPr>
      </w:pPr>
      <w:bookmarkStart w:id="38" w:name="_Toc18767"/>
      <w:bookmarkStart w:id="39" w:name="_Toc4547"/>
      <w:r>
        <w:rPr>
          <w:rFonts w:hint="eastAsia" w:asciiTheme="minorEastAsia" w:hAnsiTheme="minorEastAsia" w:eastAsiaTheme="minorEastAsia" w:cstheme="minorEastAsia"/>
          <w:b/>
          <w:szCs w:val="21"/>
        </w:rPr>
        <w:t>竞争性磋商采购文件的构成</w:t>
      </w:r>
      <w:bookmarkEnd w:id="38"/>
      <w:bookmarkEnd w:id="39"/>
    </w:p>
    <w:p>
      <w:pPr>
        <w:numPr>
          <w:ilvl w:val="1"/>
          <w:numId w:val="13"/>
        </w:numPr>
        <w:tabs>
          <w:tab w:val="left" w:pos="540"/>
          <w:tab w:val="clear" w:pos="36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本竞争性磋商采购文件包括：</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磋商公告</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供应商须知</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采购需求</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竞争性磋商采购评定办法</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合同书格式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竞争性磋商响应文件格式</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采购过程中由采购代理机构发出的澄清和修正文件</w:t>
      </w:r>
    </w:p>
    <w:p>
      <w:pPr>
        <w:numPr>
          <w:ilvl w:val="3"/>
          <w:numId w:val="8"/>
        </w:numPr>
        <w:tabs>
          <w:tab w:val="left" w:pos="540"/>
          <w:tab w:val="clear" w:pos="2040"/>
        </w:tabs>
        <w:spacing w:line="360" w:lineRule="auto"/>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磋商小组在磋商过程中发出的对本磋商文件的实质性变动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0" w:name="_Toc29700"/>
      <w:bookmarkStart w:id="41" w:name="_Toc14714"/>
      <w:r>
        <w:rPr>
          <w:rFonts w:hint="eastAsia" w:asciiTheme="minorEastAsia" w:hAnsiTheme="minorEastAsia" w:eastAsiaTheme="minorEastAsia" w:cstheme="minorEastAsia"/>
          <w:b/>
          <w:snapToGrid w:val="0"/>
          <w:kern w:val="0"/>
          <w:szCs w:val="21"/>
          <w:lang w:val="zh-CN"/>
        </w:rPr>
        <w:t>竞争性磋商采购文件的澄清</w:t>
      </w:r>
      <w:bookmarkEnd w:id="40"/>
      <w:bookmarkEnd w:id="41"/>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供应商获取竞争性磋商采购文件后，应认真检查，如发现页数不全、附件缺失、印刷模糊等，应通知采购代理机构补全或更换，否则风险自负。</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要求对本竞争性磋商采购文件进行澄清的，应以书面形式（包括信函、电报、传真等可以有形地表现所载内容的形式，下同）在提疑截止时间以前向采购代理机构或采购人提出，提疑截止时间见《供应商须知前附表》。</w:t>
      </w:r>
    </w:p>
    <w:p>
      <w:pPr>
        <w:autoSpaceDE w:val="0"/>
        <w:autoSpaceDN w:val="0"/>
        <w:adjustRightInd w:val="0"/>
        <w:spacing w:line="360" w:lineRule="auto"/>
        <w:ind w:left="540" w:leftChars="257"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采购代理机构对于符合澄清要求的，将以书面形式给所有接收磋商文件的供应商予以答复(答复中不包括问题的来源)，供应商收到答复后应在24小时内以书面形式向采购代理机构予以确认。</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供应商在规定的时间内未对竞争性磋商采购文件澄清或提出疑问的，采购代理机构将视其为同意。</w:t>
      </w:r>
    </w:p>
    <w:p>
      <w:pPr>
        <w:numPr>
          <w:ilvl w:val="1"/>
          <w:numId w:val="14"/>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澄清的内容是本竞争性磋商采购文件的组成部分，当竞争性磋商采购文件</w:t>
      </w:r>
      <w:r>
        <w:rPr>
          <w:rFonts w:hint="eastAsia" w:asciiTheme="minorEastAsia" w:hAnsiTheme="minorEastAsia" w:eastAsiaTheme="minorEastAsia" w:cstheme="minorEastAsia"/>
          <w:szCs w:val="21"/>
        </w:rPr>
        <w:t>、澄清文件对同一内容的表述不一致时，以最后发出的书面文件为准。</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2" w:name="_Toc17662"/>
      <w:bookmarkStart w:id="43" w:name="_Toc31761"/>
      <w:r>
        <w:rPr>
          <w:rFonts w:hint="eastAsia" w:asciiTheme="minorEastAsia" w:hAnsiTheme="minorEastAsia" w:eastAsiaTheme="minorEastAsia" w:cstheme="minorEastAsia"/>
          <w:b/>
          <w:snapToGrid w:val="0"/>
          <w:kern w:val="0"/>
          <w:szCs w:val="21"/>
          <w:lang w:val="zh-CN"/>
        </w:rPr>
        <w:t>竞争性磋商采购文件的修改</w:t>
      </w:r>
      <w:bookmarkEnd w:id="42"/>
      <w:bookmarkEnd w:id="43"/>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提交首次响应文件截止之日前，采购人、采购代理机构可以对本竞争性磋商采购文件进行必要的修改，修改的内容是磋商文件的组成部分，采购代理机构将以书面形式通知所有接受磋商文件的供应商，供应商在收到上述通知后，应在24小时内以书面形式向采购代理机构予以确认。</w:t>
      </w:r>
    </w:p>
    <w:p>
      <w:pPr>
        <w:numPr>
          <w:ilvl w:val="1"/>
          <w:numId w:val="15"/>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当磋商文件、修改文件对同一内容的表述不一致时，以最后发出的书面文件为准。</w:t>
      </w:r>
    </w:p>
    <w:p>
      <w:pPr>
        <w:numPr>
          <w:ilvl w:val="1"/>
          <w:numId w:val="15"/>
        </w:numPr>
        <w:tabs>
          <w:tab w:val="left" w:pos="525"/>
          <w:tab w:val="clear" w:pos="360"/>
        </w:tabs>
        <w:autoSpaceDE w:val="0"/>
        <w:autoSpaceDN w:val="0"/>
        <w:adjustRightInd w:val="0"/>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修改的内容可能影响响应文件编制的，修改文件应当在提交首次响应文件截止之日</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个工作日前发出，不足</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个工作日的，采购人、采购代理机构将顺延提交首次响应文件截止之日。</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44" w:name="_Toc11799"/>
      <w:r>
        <w:rPr>
          <w:rFonts w:hint="eastAsia" w:asciiTheme="minorEastAsia" w:hAnsiTheme="minorEastAsia" w:eastAsiaTheme="minorEastAsia" w:cstheme="minorEastAsia"/>
          <w:b/>
          <w:szCs w:val="21"/>
        </w:rPr>
        <w:t>竞争性磋商响应文件</w:t>
      </w:r>
      <w:bookmarkEnd w:id="44"/>
    </w:p>
    <w:p>
      <w:pPr>
        <w:numPr>
          <w:ilvl w:val="0"/>
          <w:numId w:val="8"/>
        </w:numPr>
        <w:spacing w:line="360" w:lineRule="auto"/>
        <w:ind w:hanging="540"/>
        <w:outlineLvl w:val="1"/>
        <w:rPr>
          <w:rFonts w:asciiTheme="minorEastAsia" w:hAnsiTheme="minorEastAsia" w:eastAsiaTheme="minorEastAsia" w:cstheme="minorEastAsia"/>
          <w:snapToGrid w:val="0"/>
          <w:kern w:val="0"/>
          <w:szCs w:val="21"/>
          <w:lang w:val="zh-CN"/>
        </w:rPr>
      </w:pPr>
      <w:bookmarkStart w:id="45" w:name="_Toc30987"/>
      <w:bookmarkStart w:id="46" w:name="_Toc12496"/>
      <w:r>
        <w:rPr>
          <w:rFonts w:hint="eastAsia" w:asciiTheme="minorEastAsia" w:hAnsiTheme="minorEastAsia" w:eastAsiaTheme="minorEastAsia" w:cstheme="minorEastAsia"/>
          <w:b/>
          <w:snapToGrid w:val="0"/>
          <w:kern w:val="0"/>
          <w:szCs w:val="21"/>
          <w:lang w:val="zh-CN"/>
        </w:rPr>
        <w:t>语言和计量单位</w:t>
      </w:r>
      <w:bookmarkEnd w:id="45"/>
      <w:bookmarkEnd w:id="46"/>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竞争性磋商响应文件以及供应商与采购代理机构或采购人就有关磋商的所有来往信函、电报、传真等均应使用中文。供应商提交的支持文件或印刷的文献可以用另一种语言，但相应内容应附有中文翻译本，在解释竞争性磋商响应文件时以中文翻译本为准。</w:t>
      </w:r>
    </w:p>
    <w:p>
      <w:pPr>
        <w:numPr>
          <w:ilvl w:val="1"/>
          <w:numId w:val="16"/>
        </w:numPr>
        <w:tabs>
          <w:tab w:val="left" w:pos="540"/>
          <w:tab w:val="clear" w:pos="360"/>
        </w:tabs>
        <w:spacing w:line="360" w:lineRule="auto"/>
        <w:ind w:left="540" w:hanging="540"/>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snapToGrid w:val="0"/>
          <w:kern w:val="0"/>
          <w:szCs w:val="21"/>
          <w:lang w:val="zh-CN"/>
        </w:rPr>
        <w:t>除非竞争性磋商采购文件中另有规定，计量单位均采用中华人民共和国法定的计量单位。</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7" w:name="_Toc32272"/>
      <w:bookmarkStart w:id="48" w:name="_Toc3015"/>
      <w:r>
        <w:rPr>
          <w:rFonts w:hint="eastAsia" w:asciiTheme="minorEastAsia" w:hAnsiTheme="minorEastAsia" w:eastAsiaTheme="minorEastAsia" w:cstheme="minorEastAsia"/>
          <w:b/>
          <w:snapToGrid w:val="0"/>
          <w:kern w:val="0"/>
          <w:szCs w:val="21"/>
          <w:lang w:val="zh-CN"/>
        </w:rPr>
        <w:t>竞争性磋商响应文件的构成</w:t>
      </w:r>
      <w:bookmarkEnd w:id="47"/>
      <w:bookmarkEnd w:id="48"/>
    </w:p>
    <w:p>
      <w:pPr>
        <w:numPr>
          <w:ilvl w:val="1"/>
          <w:numId w:val="17"/>
        </w:numPr>
        <w:tabs>
          <w:tab w:val="left" w:pos="525"/>
          <w:tab w:val="clear" w:pos="360"/>
        </w:tabs>
        <w:autoSpaceDE w:val="0"/>
        <w:autoSpaceDN w:val="0"/>
        <w:adjustRightInd w:val="0"/>
        <w:spacing w:line="360" w:lineRule="auto"/>
        <w:ind w:left="0" w:firstLine="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供应商编制的竞争性磋商响应</w:t>
      </w:r>
      <w:r>
        <w:rPr>
          <w:rFonts w:hint="eastAsia" w:asciiTheme="minorEastAsia" w:hAnsiTheme="minorEastAsia" w:eastAsiaTheme="minorEastAsia" w:cstheme="minorEastAsia"/>
          <w:snapToGrid w:val="0"/>
          <w:kern w:val="0"/>
          <w:szCs w:val="21"/>
        </w:rPr>
        <w:t>文</w:t>
      </w:r>
      <w:r>
        <w:rPr>
          <w:rFonts w:hint="eastAsia" w:asciiTheme="minorEastAsia" w:hAnsiTheme="minorEastAsia" w:eastAsiaTheme="minorEastAsia" w:cstheme="minorEastAsia"/>
          <w:snapToGrid w:val="0"/>
          <w:kern w:val="0"/>
          <w:szCs w:val="21"/>
          <w:lang w:val="zh-CN"/>
        </w:rPr>
        <w:t>件应包括的内容详见本文件第六章要求。</w:t>
      </w:r>
    </w:p>
    <w:p>
      <w:p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Cs/>
          <w:szCs w:val="21"/>
        </w:rPr>
        <w:t>注：响应文件目录及内容每页须顺序编写页码。</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49" w:name="_Toc25217"/>
      <w:bookmarkStart w:id="50" w:name="_Toc14836"/>
      <w:r>
        <w:rPr>
          <w:rFonts w:hint="eastAsia" w:asciiTheme="minorEastAsia" w:hAnsiTheme="minorEastAsia" w:eastAsiaTheme="minorEastAsia" w:cstheme="minorEastAsia"/>
          <w:b/>
          <w:snapToGrid w:val="0"/>
          <w:kern w:val="0"/>
          <w:szCs w:val="21"/>
          <w:lang w:val="zh-CN"/>
        </w:rPr>
        <w:t>竞争性磋商响应文件的编制</w:t>
      </w:r>
      <w:bookmarkEnd w:id="49"/>
      <w:bookmarkEnd w:id="50"/>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供应商应当按照本采购文件的要求编制响应文件，并对其提交的响应文件及全部资料的真实性、合法性承担法律责任，并接受采购代理机构对其中任何资料进一步核实的要求。</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供应商应认真阅读本采购文件中的所有内容，并对本采购文件提出的要求和条件作出实质性响应。如供应商没有按照本采购文件的要求提交全部资料，或者没有对本采购文件在各方面都做出实质性响应的，其响应文件将被视为无效文件。 </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完整地按本采购文件的要求提交所有资料并按要求的格式填写规定的所有内容，无相应内容可填项的，应填写“无”、“未测试”、“没有相应指标”等明确的回答文字。如未规定格式的，相关格式由供应商自定。</w:t>
      </w:r>
    </w:p>
    <w:p>
      <w:pPr>
        <w:numPr>
          <w:ilvl w:val="1"/>
          <w:numId w:val="18"/>
        </w:numPr>
        <w:tabs>
          <w:tab w:val="left" w:pos="540"/>
          <w:tab w:val="clear" w:pos="36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供应商在编制响应文件时应注意本次采购对多包采购的规定，多包采购的规定见《供应商须知前附表》。</w:t>
      </w:r>
    </w:p>
    <w:p>
      <w:pPr>
        <w:numPr>
          <w:ilvl w:val="0"/>
          <w:numId w:val="8"/>
        </w:numPr>
        <w:spacing w:line="360" w:lineRule="auto"/>
        <w:ind w:hanging="540"/>
        <w:outlineLvl w:val="1"/>
        <w:rPr>
          <w:rFonts w:asciiTheme="minorEastAsia" w:hAnsiTheme="minorEastAsia" w:eastAsiaTheme="minorEastAsia" w:cstheme="minorEastAsia"/>
          <w:b/>
          <w:snapToGrid w:val="0"/>
          <w:kern w:val="0"/>
          <w:szCs w:val="21"/>
          <w:lang w:val="zh-CN"/>
        </w:rPr>
      </w:pPr>
      <w:bookmarkStart w:id="51" w:name="_Toc30950"/>
      <w:bookmarkStart w:id="52" w:name="_Toc24544"/>
      <w:r>
        <w:rPr>
          <w:rFonts w:hint="eastAsia" w:asciiTheme="minorEastAsia" w:hAnsiTheme="minorEastAsia" w:eastAsiaTheme="minorEastAsia" w:cstheme="minorEastAsia"/>
          <w:b/>
          <w:snapToGrid w:val="0"/>
          <w:kern w:val="0"/>
          <w:szCs w:val="21"/>
          <w:lang w:val="zh-CN"/>
        </w:rPr>
        <w:t>磋商报价</w:t>
      </w:r>
      <w:bookmarkEnd w:id="51"/>
      <w:bookmarkEnd w:id="52"/>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磋商报价包括磋商供应商在首次提交的响应文件中的报价、磋商过程中的报价和最后报价。磋商供应商的报价均应以人民币报价。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按照本采购文件规定的采购需求及合同条款进行报价，并按竞争性磋商采购文件确定的格式报出。报价中不得包含竞争性磋商采购文件要求以外的内容，否则，在评审时不予核减。报价中也不得缺漏竞争性磋商采购文件所要求的内容，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供应商应根据本磋商文件的规定和要求、市场价格水平及其走势、</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供应商的管理水平、</w:t>
      </w:r>
      <w:r>
        <w:rPr>
          <w:rFonts w:hint="eastAsia" w:asciiTheme="minorEastAsia" w:hAnsiTheme="minorEastAsia" w:eastAsiaTheme="minorEastAsia" w:cstheme="minorEastAsia"/>
          <w:snapToGrid w:val="0"/>
          <w:kern w:val="0"/>
          <w:szCs w:val="21"/>
          <w:lang w:val="zh-CN"/>
        </w:rPr>
        <w:t>磋商</w:t>
      </w:r>
      <w:r>
        <w:rPr>
          <w:rFonts w:hint="eastAsia" w:asciiTheme="minorEastAsia" w:hAnsiTheme="minorEastAsia" w:eastAsiaTheme="minorEastAsia" w:cstheme="minorEastAsia"/>
          <w:szCs w:val="21"/>
        </w:rPr>
        <w:t>供应商的</w:t>
      </w:r>
      <w:r>
        <w:rPr>
          <w:rFonts w:hint="eastAsia" w:asciiTheme="minorEastAsia" w:hAnsiTheme="minorEastAsia" w:eastAsiaTheme="minorEastAsia" w:cstheme="minorEastAsia"/>
          <w:snapToGrid w:val="0"/>
          <w:kern w:val="0"/>
          <w:szCs w:val="21"/>
          <w:lang w:val="zh-CN"/>
        </w:rPr>
        <w:t>方案</w:t>
      </w:r>
      <w:r>
        <w:rPr>
          <w:rFonts w:hint="eastAsia" w:asciiTheme="minorEastAsia" w:hAnsiTheme="minorEastAsia" w:eastAsiaTheme="minorEastAsia" w:cstheme="minorEastAsia"/>
          <w:szCs w:val="21"/>
        </w:rPr>
        <w:t>和由这些因素决定的磋商供应商之于本项目的成本水平等提出自己的报价。</w:t>
      </w:r>
      <w:r>
        <w:rPr>
          <w:rFonts w:hint="eastAsia" w:asciiTheme="minorEastAsia" w:hAnsiTheme="minorEastAsia" w:eastAsiaTheme="minorEastAsia" w:cstheme="minorEastAsia"/>
          <w:snapToGrid w:val="0"/>
          <w:kern w:val="0"/>
          <w:szCs w:val="21"/>
          <w:lang w:val="zh-CN"/>
        </w:rPr>
        <w:t>报价应包含完成本采购文件采购需求全部内容的所有费用，所有根据本采购文件或其它原因应由磋商供应商支付的税款和其他应缴纳的费用都应包括在报价中。</w:t>
      </w:r>
      <w:r>
        <w:rPr>
          <w:rFonts w:hint="eastAsia" w:asciiTheme="minorEastAsia" w:hAnsiTheme="minorEastAsia" w:eastAsiaTheme="minorEastAsia" w:cstheme="minorEastAsia"/>
          <w:szCs w:val="21"/>
        </w:rPr>
        <w:t>但磋商供应商不得以低于其成本的价格进行报价。</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供应商在响应文件中</w:t>
      </w:r>
      <w:r>
        <w:rPr>
          <w:rFonts w:hint="eastAsia" w:asciiTheme="minorEastAsia" w:hAnsiTheme="minorEastAsia" w:eastAsiaTheme="minorEastAsia" w:cstheme="minorEastAsia"/>
          <w:snapToGrid w:val="0"/>
          <w:kern w:val="0"/>
          <w:szCs w:val="21"/>
          <w:lang w:val="zh-CN"/>
        </w:rPr>
        <w:t>注明免费的项目将视为包含在报价中。</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每一种采购内容只允许有一个报价，否则其响应文件将被视为无效文件。</w:t>
      </w:r>
    </w:p>
    <w:p>
      <w:pPr>
        <w:numPr>
          <w:ilvl w:val="1"/>
          <w:numId w:val="1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成交供应商的报价在合同执行过程中是固定不变的，不得以任何理由予以变更。</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3" w:name="_Toc6176"/>
      <w:bookmarkStart w:id="54" w:name="_Toc2960"/>
      <w:r>
        <w:rPr>
          <w:rFonts w:hint="eastAsia" w:asciiTheme="minorEastAsia" w:hAnsiTheme="minorEastAsia" w:eastAsiaTheme="minorEastAsia" w:cstheme="minorEastAsia"/>
          <w:b/>
          <w:snapToGrid w:val="0"/>
          <w:kern w:val="0"/>
          <w:szCs w:val="21"/>
          <w:lang w:val="zh-CN"/>
        </w:rPr>
        <w:t>备选方案</w:t>
      </w:r>
      <w:bookmarkEnd w:id="53"/>
      <w:bookmarkEnd w:id="54"/>
    </w:p>
    <w:p>
      <w:pPr>
        <w:numPr>
          <w:ilvl w:val="1"/>
          <w:numId w:val="20"/>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是否允许备选方案见《供应商须知前附表》。不允许有备选方案的，若在响应文件中提交了备选方案，其响应文件将被视为无效文件。 </w:t>
      </w:r>
    </w:p>
    <w:p>
      <w:pPr>
        <w:numPr>
          <w:ilvl w:val="0"/>
          <w:numId w:val="8"/>
        </w:numPr>
        <w:tabs>
          <w:tab w:val="left" w:pos="864"/>
        </w:tabs>
        <w:spacing w:line="360" w:lineRule="auto"/>
        <w:ind w:hanging="540"/>
        <w:outlineLvl w:val="1"/>
        <w:rPr>
          <w:rFonts w:asciiTheme="minorEastAsia" w:hAnsiTheme="minorEastAsia" w:eastAsiaTheme="minorEastAsia" w:cstheme="minorEastAsia"/>
          <w:b/>
          <w:snapToGrid w:val="0"/>
          <w:kern w:val="0"/>
          <w:szCs w:val="21"/>
          <w:lang w:val="zh-CN"/>
        </w:rPr>
      </w:pPr>
      <w:bookmarkStart w:id="55" w:name="_Toc3324"/>
      <w:bookmarkStart w:id="56" w:name="_Toc8511"/>
      <w:r>
        <w:rPr>
          <w:rFonts w:hint="eastAsia" w:asciiTheme="minorEastAsia" w:hAnsiTheme="minorEastAsia" w:eastAsiaTheme="minorEastAsia" w:cstheme="minorEastAsia"/>
          <w:b/>
          <w:snapToGrid w:val="0"/>
          <w:kern w:val="0"/>
          <w:szCs w:val="21"/>
          <w:lang w:val="zh-CN"/>
        </w:rPr>
        <w:t>联合体</w:t>
      </w:r>
      <w:bookmarkEnd w:id="55"/>
      <w:bookmarkEnd w:id="56"/>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 xml:space="preserve">本次采购是否允许联合体参加详见《供应商须知前附表》。 </w:t>
      </w:r>
    </w:p>
    <w:p>
      <w:pPr>
        <w:numPr>
          <w:ilvl w:val="1"/>
          <w:numId w:val="21"/>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本次采购允许联合体报价的，联合体各方不得再单独或者与其他供应商另外组成联合体参加本项目的报价。</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7" w:name="_Toc2434"/>
      <w:bookmarkStart w:id="58" w:name="_Toc671"/>
      <w:r>
        <w:rPr>
          <w:rFonts w:hint="eastAsia" w:asciiTheme="minorEastAsia" w:hAnsiTheme="minorEastAsia" w:eastAsiaTheme="minorEastAsia" w:cstheme="minorEastAsia"/>
          <w:b/>
          <w:snapToGrid w:val="0"/>
          <w:kern w:val="0"/>
          <w:szCs w:val="21"/>
          <w:lang w:val="zh-CN"/>
        </w:rPr>
        <w:t>供应商资格证明文件</w:t>
      </w:r>
      <w:bookmarkEnd w:id="57"/>
      <w:bookmarkEnd w:id="58"/>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供应商应在响应文件提交证明其有资格参加磋商的证明文件，证明文件应包括下列文件：</w:t>
      </w:r>
    </w:p>
    <w:p>
      <w:pPr>
        <w:numPr>
          <w:ilvl w:val="3"/>
          <w:numId w:val="23"/>
        </w:numPr>
        <w:tabs>
          <w:tab w:val="left" w:pos="540"/>
          <w:tab w:val="clear" w:pos="20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采购文件要求供应商应提交的其它资格证明文件，应提交的资格证明文件（</w:t>
      </w:r>
      <w:r>
        <w:rPr>
          <w:rFonts w:hint="eastAsia" w:asciiTheme="minorEastAsia" w:hAnsiTheme="minorEastAsia" w:eastAsiaTheme="minorEastAsia" w:cstheme="minorEastAsia"/>
          <w:snapToGrid w:val="0"/>
          <w:kern w:val="0"/>
          <w:szCs w:val="21"/>
        </w:rPr>
        <w:t>实质性要求</w:t>
      </w:r>
      <w:r>
        <w:rPr>
          <w:rFonts w:hint="eastAsia" w:asciiTheme="minorEastAsia" w:hAnsiTheme="minorEastAsia" w:eastAsiaTheme="minorEastAsia" w:cstheme="minorEastAsia"/>
          <w:snapToGrid w:val="0"/>
          <w:kern w:val="0"/>
          <w:szCs w:val="21"/>
          <w:lang w:val="zh-CN"/>
        </w:rPr>
        <w:t>）见《供应商须知前附表》。</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除本须知14.1要求的资格证明文件外，如国家法律法规对市场准入有要求的还应提交相关资格证明文件。</w:t>
      </w:r>
    </w:p>
    <w:p>
      <w:pPr>
        <w:numPr>
          <w:ilvl w:val="1"/>
          <w:numId w:val="22"/>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证明材料仅限于磋商供应商单位本身，母公司、股东单位和子公司的材料不能作为证明材料，但磋商供应商单位兼并的企业的材料可作为证明材料。必须</w:t>
      </w:r>
      <w:r>
        <w:rPr>
          <w:rFonts w:hint="eastAsia" w:asciiTheme="minorEastAsia" w:hAnsiTheme="minorEastAsia" w:eastAsiaTheme="minorEastAsia" w:cstheme="minorEastAsia"/>
          <w:snapToGrid w:val="0"/>
          <w:kern w:val="0"/>
          <w:szCs w:val="21"/>
        </w:rPr>
        <w:t>每页</w:t>
      </w:r>
      <w:r>
        <w:rPr>
          <w:rFonts w:hint="eastAsia" w:asciiTheme="minorEastAsia" w:hAnsiTheme="minorEastAsia" w:eastAsiaTheme="minorEastAsia" w:cstheme="minorEastAsia"/>
          <w:snapToGrid w:val="0"/>
          <w:kern w:val="0"/>
          <w:szCs w:val="21"/>
          <w:lang w:val="zh-CN"/>
        </w:rPr>
        <w:t>加盖单位印章，</w:t>
      </w:r>
      <w:r>
        <w:rPr>
          <w:rFonts w:hint="eastAsia" w:asciiTheme="minorEastAsia" w:hAnsiTheme="minorEastAsia" w:eastAsiaTheme="minorEastAsia" w:cstheme="minorEastAsia"/>
          <w:snapToGrid w:val="0"/>
          <w:kern w:val="0"/>
          <w:szCs w:val="21"/>
        </w:rPr>
        <w:t>否则做废标处理</w:t>
      </w:r>
      <w:r>
        <w:rPr>
          <w:rFonts w:hint="eastAsia" w:asciiTheme="minorEastAsia" w:hAnsiTheme="minorEastAsia" w:eastAsiaTheme="minorEastAsia" w:cstheme="minorEastAsia"/>
          <w:snapToGrid w:val="0"/>
          <w:kern w:val="0"/>
          <w:szCs w:val="21"/>
          <w:lang w:val="zh-CN"/>
        </w:rPr>
        <w:t>。</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59" w:name="_Toc9935"/>
      <w:bookmarkStart w:id="60" w:name="_Toc5355"/>
      <w:r>
        <w:rPr>
          <w:rFonts w:hint="eastAsia" w:asciiTheme="minorEastAsia" w:hAnsiTheme="minorEastAsia" w:eastAsiaTheme="minorEastAsia" w:cstheme="minorEastAsia"/>
          <w:b/>
          <w:snapToGrid w:val="0"/>
          <w:kern w:val="0"/>
          <w:szCs w:val="21"/>
          <w:lang w:val="zh-CN"/>
        </w:rPr>
        <w:t>证明报价内容、服务合格性和符合竞争性磋商采购文件规定的文件</w:t>
      </w:r>
      <w:bookmarkEnd w:id="59"/>
      <w:bookmarkEnd w:id="60"/>
    </w:p>
    <w:p>
      <w:pPr>
        <w:numPr>
          <w:ilvl w:val="1"/>
          <w:numId w:val="24"/>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证明报价内容符合竞争性磋商采购文件要求的文件和竞争性磋商采购文件规定的其他资料，具体要求见《供应商须知前附表》。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1" w:name="_Toc27068"/>
      <w:bookmarkStart w:id="62" w:name="_Toc8624"/>
      <w:r>
        <w:rPr>
          <w:rFonts w:hint="eastAsia" w:asciiTheme="minorEastAsia" w:hAnsiTheme="minorEastAsia" w:eastAsiaTheme="minorEastAsia" w:cstheme="minorEastAsia"/>
          <w:b/>
          <w:snapToGrid w:val="0"/>
          <w:kern w:val="0"/>
          <w:szCs w:val="21"/>
          <w:lang w:val="zh-CN"/>
        </w:rPr>
        <w:t>磋商保证金</w:t>
      </w:r>
      <w:bookmarkEnd w:id="61"/>
      <w:bookmarkEnd w:id="62"/>
    </w:p>
    <w:p>
      <w:pPr>
        <w:numPr>
          <w:ilvl w:val="1"/>
          <w:numId w:val="25"/>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本采购文件是否要求递交磋商保证金及保证金金额、递交方式、递交时间、接受保证金的帐户信息等详见《供应商须知前附表》。</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本采购文件要求递交磋商保证金的，磋商保证金作为竞争性磋商响应文件的组成部分，</w:t>
      </w:r>
      <w:r>
        <w:rPr>
          <w:rFonts w:hint="eastAsia" w:asciiTheme="minorEastAsia" w:hAnsiTheme="minorEastAsia" w:eastAsiaTheme="minorEastAsia" w:cstheme="minorEastAsia"/>
          <w:szCs w:val="21"/>
          <w:lang w:val="zh-CN"/>
        </w:rPr>
        <w:t>以到账为准。</w:t>
      </w:r>
      <w:r>
        <w:rPr>
          <w:rFonts w:hint="eastAsia" w:asciiTheme="minorEastAsia" w:hAnsiTheme="minorEastAsia" w:eastAsiaTheme="minorEastAsia" w:cstheme="minorEastAsia"/>
          <w:snapToGrid w:val="0"/>
          <w:kern w:val="0"/>
          <w:szCs w:val="21"/>
          <w:lang w:val="zh-CN"/>
        </w:rPr>
        <w:t>凡未按规定递交磋商保证金的报价，其响应文件将被视为无效文件。</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磋商保证金有效时间：磋商保证金的有效期与本次磋商有效期一致。</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供应商为联合体的，应由联合体中牵头人缴纳保证金，其缴纳的保证金对联合体各方均具有约束力。</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保证金的退还：未成交的磋商供应商，其磋商保证金在成交通知书发出后5个工作日内不计利息原额退还，成交供应商的磋商保证金，在成交供应商与采购人签订合同后5个工作日内不计利息原额退还。</w:t>
      </w:r>
    </w:p>
    <w:p>
      <w:pPr>
        <w:numPr>
          <w:ilvl w:val="1"/>
          <w:numId w:val="25"/>
        </w:numPr>
        <w:tabs>
          <w:tab w:val="left" w:pos="540"/>
          <w:tab w:val="clear" w:pos="60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有下列情形之一的，磋商保证金将不予退还:</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供应商在提交响应文件截止时间后撤回响应文件的；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供应商在响应文件中提供虚假材料的；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除因不可抗力或磋商文件认可的情形以外，成交供应商不与采购人签订合同的；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供应商与采购人、其他供应商或者采购代理机构恶意串通的；</w:t>
      </w:r>
    </w:p>
    <w:p>
      <w:pPr>
        <w:numPr>
          <w:ilvl w:val="0"/>
          <w:numId w:val="26"/>
        </w:numPr>
        <w:tabs>
          <w:tab w:val="left" w:pos="525"/>
          <w:tab w:val="clear" w:pos="2040"/>
        </w:tabs>
        <w:autoSpaceDE w:val="0"/>
        <w:autoSpaceDN w:val="0"/>
        <w:adjustRightInd w:val="0"/>
        <w:spacing w:line="360" w:lineRule="auto"/>
        <w:ind w:left="540" w:hanging="539" w:hangingChars="257"/>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本采购文件规定的其他情形。</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3" w:name="_Toc5668"/>
      <w:bookmarkStart w:id="64" w:name="_Toc15253"/>
      <w:r>
        <w:rPr>
          <w:rFonts w:hint="eastAsia" w:asciiTheme="minorEastAsia" w:hAnsiTheme="minorEastAsia" w:eastAsiaTheme="minorEastAsia" w:cstheme="minorEastAsia"/>
          <w:b/>
          <w:snapToGrid w:val="0"/>
          <w:kern w:val="0"/>
          <w:szCs w:val="21"/>
          <w:lang w:val="zh-CN"/>
        </w:rPr>
        <w:t>磋商有效期</w:t>
      </w:r>
      <w:bookmarkEnd w:id="63"/>
      <w:bookmarkEnd w:id="64"/>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磋商有效期从磋商结束之日起计算，本次采购磋商有效期见《供应商须知前附表》，磋商供应商承诺的磋商有效期不足的，其响应文件将被视为无效文件。</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特殊情况下，在原磋商有效期截止之前，采购代理机构或采购人可要求供应商延长磋商有效期。需要延长磋商有效期时，采购代理机构或采购人将以书面形式通知所有磋商供应商，供应商应以书面形式答复是否同意延长磋商有效期。供应商同意延长的，其磋商保证金有效期相应延长，但不得要求或被允许修改或撤销其响应文件；供应商拒绝延长的，其响应文件在原磋商有效期满后将不再有效，供应商有权收回其投标保证金。</w:t>
      </w:r>
    </w:p>
    <w:p>
      <w:pPr>
        <w:numPr>
          <w:ilvl w:val="1"/>
          <w:numId w:val="27"/>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供应商同意延长磋商有效期的，不得要求或被允许修改或撤销其竞争性磋商响应文件；供应商拒绝延长的，其响应文件失效，但供应商有权收回其磋商保证金。</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5" w:name="_Toc19385"/>
      <w:bookmarkStart w:id="66" w:name="_Toc8272"/>
      <w:r>
        <w:rPr>
          <w:rFonts w:hint="eastAsia" w:asciiTheme="minorEastAsia" w:hAnsiTheme="minorEastAsia" w:eastAsiaTheme="minorEastAsia" w:cstheme="minorEastAsia"/>
          <w:b/>
          <w:snapToGrid w:val="0"/>
          <w:kern w:val="0"/>
          <w:szCs w:val="21"/>
          <w:lang w:val="zh-CN"/>
        </w:rPr>
        <w:t>竞争性磋商响应文件的装订、签署和数量</w:t>
      </w:r>
      <w:bookmarkEnd w:id="65"/>
      <w:bookmarkEnd w:id="66"/>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供应商提交的响应文件应包括正本、副本、完整的电子文档及单独提供的法定代表人授权委托书（或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。本次磋商供应商提交响应文件正、副本和电子文档的数量见《供应商须知前附表》。</w:t>
      </w:r>
    </w:p>
    <w:p>
      <w:pPr>
        <w:autoSpaceDE w:val="0"/>
        <w:autoSpaceDN w:val="0"/>
        <w:adjustRightInd w:val="0"/>
        <w:spacing w:line="360" w:lineRule="auto"/>
        <w:ind w:left="630" w:leftChars="300" w:firstLine="92" w:firstLineChars="44"/>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每套响应文件须清楚地标明“正本”、“副本”，响应文件的副本可采用正本的复印件，若副本与正本不符，以正本为准；如单独提供的法定代表人授权委托书（或</w:t>
      </w:r>
      <w:r>
        <w:rPr>
          <w:rFonts w:hint="eastAsia" w:asciiTheme="minorEastAsia" w:hAnsiTheme="minorEastAsia" w:eastAsiaTheme="minorEastAsia" w:cstheme="minorEastAsia"/>
          <w:szCs w:val="21"/>
        </w:rPr>
        <w:t>法定代表人身份证明书）</w:t>
      </w:r>
      <w:r>
        <w:rPr>
          <w:rFonts w:hint="eastAsia" w:asciiTheme="minorEastAsia" w:hAnsiTheme="minorEastAsia" w:eastAsiaTheme="minorEastAsia" w:cstheme="minorEastAsia"/>
          <w:snapToGrid w:val="0"/>
          <w:kern w:val="0"/>
          <w:szCs w:val="21"/>
          <w:lang w:val="zh-CN"/>
        </w:rPr>
        <w:t>与响应文件正本不符，以正本为准。电子文档与纸质文件不符，以纸质文件为准。</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正本需打印或用不褪色墨水书写，并由法定代表人或授权代表签字并加盖公章。由授权代表签字的，响应文件中应提交《法定代表人授权书》。供应商为自然人的，由供应商本人签字并附身份证明。</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竞争性磋商响应文件中的任何行间插字、涂改和增删，必须由法定代表人或授权代表在旁边签字才有效。</w:t>
      </w:r>
    </w:p>
    <w:p>
      <w:pPr>
        <w:numPr>
          <w:ilvl w:val="1"/>
          <w:numId w:val="28"/>
        </w:numPr>
        <w:tabs>
          <w:tab w:val="left" w:pos="525"/>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响应文件应当采用不可拆卸的方法的装订，对未经装订的竞争性磋商响应文件可能发生的文件散落或缺损及由此产生的后果由磋商供应商承担。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67" w:name="_Toc26249"/>
      <w:r>
        <w:rPr>
          <w:rFonts w:hint="eastAsia" w:asciiTheme="minorEastAsia" w:hAnsiTheme="minorEastAsia" w:eastAsiaTheme="minorEastAsia" w:cstheme="minorEastAsia"/>
          <w:b/>
          <w:szCs w:val="21"/>
        </w:rPr>
        <w:t>竞争性磋商响应文件的递交</w:t>
      </w:r>
      <w:bookmarkEnd w:id="67"/>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68" w:name="_Toc27305"/>
      <w:bookmarkStart w:id="69" w:name="_Toc18004"/>
      <w:r>
        <w:rPr>
          <w:rFonts w:hint="eastAsia" w:asciiTheme="minorEastAsia" w:hAnsiTheme="minorEastAsia" w:eastAsiaTheme="minorEastAsia" w:cstheme="minorEastAsia"/>
          <w:b/>
          <w:szCs w:val="21"/>
        </w:rPr>
        <w:t>竞争性磋商响应文件</w:t>
      </w:r>
      <w:r>
        <w:rPr>
          <w:rFonts w:hint="eastAsia" w:asciiTheme="minorEastAsia" w:hAnsiTheme="minorEastAsia" w:eastAsiaTheme="minorEastAsia" w:cstheme="minorEastAsia"/>
          <w:b/>
          <w:snapToGrid w:val="0"/>
          <w:kern w:val="0"/>
          <w:szCs w:val="21"/>
          <w:lang w:val="zh-CN"/>
        </w:rPr>
        <w:t>的密封和标记</w:t>
      </w:r>
      <w:bookmarkEnd w:id="68"/>
      <w:bookmarkEnd w:id="69"/>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响应文件的正本、所有副本和电子文档必须密封，</w:t>
      </w:r>
      <w:r>
        <w:rPr>
          <w:rFonts w:hint="eastAsia" w:asciiTheme="minorEastAsia" w:hAnsiTheme="minorEastAsia" w:eastAsiaTheme="minorEastAsia" w:cstheme="minorEastAsia"/>
          <w:snapToGrid w:val="0"/>
          <w:kern w:val="0"/>
          <w:szCs w:val="21"/>
        </w:rPr>
        <w:t>并在每一页以及骑缝处</w:t>
      </w:r>
      <w:r>
        <w:rPr>
          <w:rFonts w:hint="eastAsia" w:asciiTheme="minorEastAsia" w:hAnsiTheme="minorEastAsia" w:eastAsiaTheme="minorEastAsia" w:cstheme="minorEastAsia"/>
          <w:snapToGrid w:val="0"/>
          <w:kern w:val="0"/>
          <w:szCs w:val="21"/>
          <w:lang w:val="zh-CN"/>
        </w:rPr>
        <w:t>加盖供应商公章</w:t>
      </w:r>
      <w:r>
        <w:rPr>
          <w:rFonts w:hint="eastAsia" w:asciiTheme="minorEastAsia" w:hAnsiTheme="minorEastAsia" w:eastAsiaTheme="minorEastAsia" w:cstheme="minorEastAsia"/>
          <w:snapToGrid w:val="0"/>
          <w:kern w:val="0"/>
          <w:szCs w:val="21"/>
        </w:rPr>
        <w:t>后</w:t>
      </w:r>
      <w:r>
        <w:rPr>
          <w:rFonts w:hint="eastAsia" w:asciiTheme="minorEastAsia" w:hAnsiTheme="minorEastAsia" w:eastAsiaTheme="minorEastAsia" w:cstheme="minorEastAsia"/>
          <w:snapToGrid w:val="0"/>
          <w:kern w:val="0"/>
          <w:szCs w:val="21"/>
          <w:lang w:val="zh-CN"/>
        </w:rPr>
        <w:t>递交，包装上应注明</w:t>
      </w:r>
      <w:r>
        <w:rPr>
          <w:rFonts w:hint="eastAsia" w:asciiTheme="minorEastAsia" w:hAnsiTheme="minorEastAsia" w:eastAsiaTheme="minorEastAsia" w:cstheme="minorEastAsia"/>
          <w:snapToGrid w:val="0"/>
          <w:kern w:val="0"/>
          <w:szCs w:val="21"/>
        </w:rPr>
        <w:t>项目</w:t>
      </w:r>
      <w:r>
        <w:rPr>
          <w:rFonts w:hint="eastAsia" w:asciiTheme="minorEastAsia" w:hAnsiTheme="minorEastAsia" w:eastAsiaTheme="minorEastAsia" w:cstheme="minorEastAsia"/>
          <w:snapToGrid w:val="0"/>
          <w:kern w:val="0"/>
          <w:szCs w:val="21"/>
          <w:lang w:val="zh-CN"/>
        </w:rPr>
        <w:t>编号、项目名称、包号、供应商名称及“</w:t>
      </w:r>
      <w:r>
        <w:rPr>
          <w:rFonts w:hint="eastAsia" w:asciiTheme="minorEastAsia" w:hAnsiTheme="minorEastAsia" w:eastAsiaTheme="minorEastAsia" w:cstheme="minorEastAsia"/>
          <w:snapToGrid w:val="0"/>
          <w:kern w:val="0"/>
          <w:szCs w:val="21"/>
          <w:u w:val="single"/>
          <w:lang w:val="zh-CN"/>
        </w:rPr>
        <w:t xml:space="preserve">  （磋商</w:t>
      </w:r>
      <w:r>
        <w:rPr>
          <w:rFonts w:hint="eastAsia" w:asciiTheme="minorEastAsia" w:hAnsiTheme="minorEastAsia" w:eastAsiaTheme="minorEastAsia" w:cstheme="minorEastAsia"/>
          <w:snapToGrid w:val="0"/>
          <w:kern w:val="0"/>
          <w:szCs w:val="21"/>
          <w:u w:val="single"/>
        </w:rPr>
        <w:t>截止</w:t>
      </w:r>
      <w:r>
        <w:rPr>
          <w:rFonts w:hint="eastAsia" w:asciiTheme="minorEastAsia" w:hAnsiTheme="minorEastAsia" w:eastAsiaTheme="minorEastAsia" w:cstheme="minorEastAsia"/>
          <w:snapToGrid w:val="0"/>
          <w:kern w:val="0"/>
          <w:szCs w:val="21"/>
          <w:u w:val="single"/>
          <w:lang w:val="zh-CN"/>
        </w:rPr>
        <w:t>时间）  前</w:t>
      </w:r>
      <w:r>
        <w:rPr>
          <w:rFonts w:hint="eastAsia" w:asciiTheme="minorEastAsia" w:hAnsiTheme="minorEastAsia" w:eastAsiaTheme="minorEastAsia" w:cstheme="minorEastAsia"/>
          <w:snapToGrid w:val="0"/>
          <w:kern w:val="0"/>
          <w:szCs w:val="21"/>
          <w:lang w:val="zh-CN"/>
        </w:rPr>
        <w:t>不得启封”的字样。</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未按要求密封和加写标记的响应文件为无效文件，采购人、采购代理机构将拒收。</w:t>
      </w:r>
    </w:p>
    <w:p>
      <w:pPr>
        <w:numPr>
          <w:ilvl w:val="1"/>
          <w:numId w:val="29"/>
        </w:numPr>
        <w:tabs>
          <w:tab w:val="left" w:pos="540"/>
          <w:tab w:val="clear" w:pos="465"/>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要求在磋商时提交样品的，是否在样品上标明磋商供应商名称，有关提交及退还样品的相关规定。见《供应商须知前附表》。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0" w:name="_Toc17857"/>
      <w:bookmarkStart w:id="71" w:name="_Toc8300"/>
      <w:r>
        <w:rPr>
          <w:rFonts w:hint="eastAsia" w:asciiTheme="minorEastAsia" w:hAnsiTheme="minorEastAsia" w:eastAsiaTheme="minorEastAsia" w:cstheme="minorEastAsia"/>
          <w:b/>
          <w:snapToGrid w:val="0"/>
          <w:kern w:val="0"/>
          <w:szCs w:val="21"/>
          <w:lang w:val="zh-CN"/>
        </w:rPr>
        <w:t>竞争性磋商响应文件的送达地点及截止时间</w:t>
      </w:r>
      <w:bookmarkEnd w:id="70"/>
      <w:bookmarkEnd w:id="71"/>
    </w:p>
    <w:p>
      <w:pPr>
        <w:autoSpaceDE w:val="0"/>
        <w:autoSpaceDN w:val="0"/>
        <w:adjustRightInd w:val="0"/>
        <w:spacing w:line="360" w:lineRule="auto"/>
        <w:ind w:left="539" w:hanging="539"/>
        <w:jc w:val="left"/>
        <w:rPr>
          <w:rFonts w:asciiTheme="minorEastAsia" w:hAnsiTheme="minorEastAsia" w:eastAsiaTheme="minorEastAsia" w:cstheme="minorEastAsia"/>
          <w:b/>
          <w:snapToGrid w:val="0"/>
          <w:kern w:val="0"/>
          <w:szCs w:val="21"/>
          <w:lang w:val="zh-CN"/>
        </w:rPr>
      </w:pPr>
      <w:r>
        <w:rPr>
          <w:rFonts w:hint="eastAsia" w:asciiTheme="minorEastAsia" w:hAnsiTheme="minorEastAsia" w:eastAsiaTheme="minorEastAsia" w:cstheme="minorEastAsia"/>
          <w:b/>
          <w:snapToGrid w:val="0"/>
          <w:kern w:val="0"/>
          <w:szCs w:val="21"/>
          <w:lang w:val="zh-CN"/>
        </w:rPr>
        <w:t>20.1</w:t>
      </w:r>
      <w:r>
        <w:rPr>
          <w:rFonts w:hint="eastAsia" w:asciiTheme="minorEastAsia" w:hAnsiTheme="minorEastAsia" w:eastAsiaTheme="minorEastAsia" w:cstheme="minorEastAsia"/>
          <w:snapToGrid w:val="0"/>
          <w:kern w:val="0"/>
          <w:szCs w:val="21"/>
          <w:lang w:val="zh-CN"/>
        </w:rPr>
        <w:t>截止时间是</w:t>
      </w:r>
      <w:r>
        <w:rPr>
          <w:rFonts w:hint="eastAsia" w:asciiTheme="minorEastAsia" w:hAnsiTheme="minorEastAsia" w:eastAsiaTheme="minorEastAsia" w:cstheme="minorEastAsia"/>
          <w:b/>
          <w:snapToGrid w:val="0"/>
          <w:kern w:val="0"/>
          <w:szCs w:val="21"/>
          <w:lang w:val="zh-CN"/>
        </w:rPr>
        <w:t>竞争性磋商文件</w:t>
      </w:r>
      <w:r>
        <w:rPr>
          <w:rFonts w:hint="eastAsia" w:asciiTheme="minorEastAsia" w:hAnsiTheme="minorEastAsia" w:eastAsiaTheme="minorEastAsia" w:cstheme="minorEastAsia"/>
          <w:snapToGrid w:val="0"/>
          <w:kern w:val="0"/>
          <w:szCs w:val="21"/>
          <w:lang w:val="zh-CN"/>
        </w:rPr>
        <w:t>中规定的首次送达、提交响应文件的最后时间。本次磋商响应文件的送达地点及截止时间见《供应商须知前附表》。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2" w:name="_Toc31376"/>
      <w:bookmarkStart w:id="73" w:name="_Toc18217"/>
      <w:r>
        <w:rPr>
          <w:rFonts w:hint="eastAsia" w:asciiTheme="minorEastAsia" w:hAnsiTheme="minorEastAsia" w:eastAsiaTheme="minorEastAsia" w:cstheme="minorEastAsia"/>
          <w:b/>
          <w:snapToGrid w:val="0"/>
          <w:kern w:val="0"/>
          <w:szCs w:val="21"/>
          <w:lang w:val="zh-CN"/>
        </w:rPr>
        <w:t>迟交的竞争性磋商响应文件</w:t>
      </w:r>
      <w:bookmarkEnd w:id="72"/>
      <w:bookmarkEnd w:id="73"/>
    </w:p>
    <w:p>
      <w:pPr>
        <w:numPr>
          <w:ilvl w:val="1"/>
          <w:numId w:val="30"/>
        </w:numPr>
        <w:tabs>
          <w:tab w:val="left" w:pos="540"/>
          <w:tab w:val="clear" w:pos="48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在本次磋商递交响应文件的截止时间以后送达的响应文件，不论何种原因，采购代理机构将拒收。</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4" w:name="_Toc3991"/>
      <w:bookmarkStart w:id="75" w:name="_Toc31760"/>
      <w:r>
        <w:rPr>
          <w:rFonts w:hint="eastAsia" w:asciiTheme="minorEastAsia" w:hAnsiTheme="minorEastAsia" w:eastAsiaTheme="minorEastAsia" w:cstheme="minorEastAsia"/>
          <w:b/>
          <w:snapToGrid w:val="0"/>
          <w:kern w:val="0"/>
          <w:szCs w:val="21"/>
          <w:lang w:val="zh-CN"/>
        </w:rPr>
        <w:t>竞争性磋商响应文件的补充、修改或者撤回</w:t>
      </w:r>
      <w:bookmarkEnd w:id="74"/>
      <w:bookmarkEnd w:id="75"/>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在</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响应文件截止时间前，供应商可以对</w:t>
      </w:r>
      <w:r>
        <w:rPr>
          <w:rFonts w:hint="eastAsia" w:asciiTheme="minorEastAsia" w:hAnsiTheme="minorEastAsia" w:eastAsiaTheme="minorEastAsia" w:cstheme="minorEastAsia"/>
          <w:snapToGrid w:val="0"/>
          <w:kern w:val="0"/>
          <w:szCs w:val="21"/>
        </w:rPr>
        <w:t>已</w:t>
      </w:r>
      <w:r>
        <w:rPr>
          <w:rFonts w:hint="eastAsia" w:asciiTheme="minorEastAsia" w:hAnsiTheme="minorEastAsia" w:eastAsiaTheme="minorEastAsia" w:cstheme="minorEastAsia"/>
          <w:snapToGrid w:val="0"/>
          <w:kern w:val="0"/>
          <w:szCs w:val="21"/>
          <w:lang w:val="zh-CN"/>
        </w:rPr>
        <w:t>提交的响应文件进行补充、修改或者撤回。供应商需要补充、修改或者撤回响应文件时，应以书面形式通知采购人、采购代理机构。补充、修改的内容是响应文件的组成部分，补充、修改的内容与响应文件不一致的，以补充、修改的内容为准。</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从</w:t>
      </w:r>
      <w:r>
        <w:rPr>
          <w:rFonts w:hint="eastAsia" w:asciiTheme="minorEastAsia" w:hAnsiTheme="minorEastAsia" w:eastAsiaTheme="minorEastAsia" w:cstheme="minorEastAsia"/>
          <w:snapToGrid w:val="0"/>
          <w:kern w:val="0"/>
          <w:szCs w:val="21"/>
        </w:rPr>
        <w:t>提交</w:t>
      </w:r>
      <w:r>
        <w:rPr>
          <w:rFonts w:hint="eastAsia" w:asciiTheme="minorEastAsia" w:hAnsiTheme="minorEastAsia" w:eastAsiaTheme="minorEastAsia" w:cstheme="minorEastAsia"/>
          <w:snapToGrid w:val="0"/>
          <w:kern w:val="0"/>
          <w:szCs w:val="21"/>
          <w:lang w:val="zh-CN"/>
        </w:rPr>
        <w:t>响应文件截止时间至磋商有效期期满这段时间，供应商不得修改或</w:t>
      </w:r>
      <w:r>
        <w:rPr>
          <w:rFonts w:hint="eastAsia" w:asciiTheme="minorEastAsia" w:hAnsiTheme="minorEastAsia" w:eastAsiaTheme="minorEastAsia" w:cstheme="minorEastAsia"/>
          <w:snapToGrid w:val="0"/>
          <w:kern w:val="0"/>
          <w:szCs w:val="21"/>
        </w:rPr>
        <w:t>撤销</w:t>
      </w:r>
      <w:r>
        <w:rPr>
          <w:rFonts w:hint="eastAsia" w:asciiTheme="minorEastAsia" w:hAnsiTheme="minorEastAsia" w:eastAsiaTheme="minorEastAsia" w:cstheme="minorEastAsia"/>
          <w:snapToGrid w:val="0"/>
          <w:kern w:val="0"/>
          <w:szCs w:val="21"/>
          <w:lang w:val="zh-CN"/>
        </w:rPr>
        <w:t>其响应文件，否则其磋商保证金将不予以退还。</w:t>
      </w:r>
    </w:p>
    <w:p>
      <w:pPr>
        <w:numPr>
          <w:ilvl w:val="1"/>
          <w:numId w:val="31"/>
        </w:numPr>
        <w:tabs>
          <w:tab w:val="left" w:pos="540"/>
        </w:tabs>
        <w:autoSpaceDE w:val="0"/>
        <w:autoSpaceDN w:val="0"/>
        <w:adjustRightInd w:val="0"/>
        <w:spacing w:line="360" w:lineRule="auto"/>
        <w:ind w:left="540" w:hanging="54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供应商所提交的响应文件在磋商结束后，无论成交与否都不退还。</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76" w:name="_Toc11595"/>
      <w:r>
        <w:rPr>
          <w:rFonts w:hint="eastAsia" w:asciiTheme="minorEastAsia" w:hAnsiTheme="minorEastAsia" w:eastAsiaTheme="minorEastAsia" w:cstheme="minorEastAsia"/>
          <w:b/>
          <w:szCs w:val="21"/>
        </w:rPr>
        <w:t>磋商程序及步骤</w:t>
      </w:r>
      <w:bookmarkEnd w:id="76"/>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7" w:name="_Toc10346"/>
      <w:bookmarkStart w:id="78" w:name="_Toc22624"/>
      <w:r>
        <w:rPr>
          <w:rFonts w:hint="eastAsia" w:asciiTheme="minorEastAsia" w:hAnsiTheme="minorEastAsia" w:eastAsiaTheme="minorEastAsia" w:cstheme="minorEastAsia"/>
          <w:b/>
        </w:rPr>
        <w:t>竞争性磋商小组</w:t>
      </w:r>
      <w:bookmarkEnd w:id="77"/>
      <w:bookmarkEnd w:id="78"/>
    </w:p>
    <w:p>
      <w:pPr>
        <w:tabs>
          <w:tab w:val="left" w:pos="540"/>
        </w:tabs>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bCs/>
          <w:szCs w:val="21"/>
        </w:rPr>
        <w:t>23.1 采购人</w:t>
      </w:r>
      <w:r>
        <w:rPr>
          <w:rFonts w:hint="eastAsia" w:asciiTheme="minorEastAsia" w:hAnsiTheme="minorEastAsia" w:eastAsiaTheme="minorEastAsia" w:cstheme="minorEastAsia"/>
        </w:rPr>
        <w:t>依照《中华人民共和国政府采购法》、《中华人民共和国政府采购法实施条例》、《政府采购竞争性磋商采购方式管理暂行办法》及现行法律规定组建磋商小组</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磋商小组由采购人代表和评审专家共3人或3人以上单数组成</w:t>
      </w:r>
      <w:r>
        <w:rPr>
          <w:rFonts w:hint="eastAsia" w:asciiTheme="minorEastAsia" w:hAnsiTheme="minorEastAsia" w:eastAsiaTheme="minorEastAsia" w:cstheme="minorEastAsia"/>
          <w:szCs w:val="21"/>
        </w:rPr>
        <w:t>。</w:t>
      </w:r>
      <w:r>
        <w:rPr>
          <w:rFonts w:hint="eastAsia" w:asciiTheme="minorEastAsia" w:hAnsiTheme="minorEastAsia" w:eastAsiaTheme="minorEastAsia" w:cstheme="minorEastAsia"/>
        </w:rPr>
        <w:t>磋商小组人数详见《供应商须知前附表》。</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23.2 磋商小组中的评审专家人数不少于磋商小组成员总数的2/3。除本采购文件另有规定，评审专家将从政府采购评审专家库中随机抽取。 </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23.3 磋商小组所有成员按事先抽取的磋商顺序，集中与单一供应商分别进行磋商，并给予所有参加磋商的供应商平等的磋商机会。</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snapToGrid w:val="0"/>
          <w:kern w:val="0"/>
          <w:szCs w:val="21"/>
          <w:lang w:val="zh-CN"/>
        </w:rPr>
      </w:pPr>
      <w:bookmarkStart w:id="79" w:name="_Toc20173"/>
      <w:bookmarkStart w:id="80" w:name="_Toc21483"/>
      <w:r>
        <w:rPr>
          <w:rFonts w:hint="eastAsia" w:asciiTheme="minorEastAsia" w:hAnsiTheme="minorEastAsia" w:eastAsiaTheme="minorEastAsia" w:cstheme="minorEastAsia"/>
          <w:b/>
        </w:rPr>
        <w:t>磋商代表</w:t>
      </w:r>
      <w:bookmarkEnd w:id="79"/>
      <w:bookmarkEnd w:id="80"/>
    </w:p>
    <w:p>
      <w:pPr>
        <w:tabs>
          <w:tab w:val="left" w:pos="864"/>
          <w:tab w:val="left" w:pos="1080"/>
        </w:tabs>
        <w:spacing w:line="360" w:lineRule="auto"/>
        <w:ind w:left="539" w:hanging="539"/>
        <w:jc w:val="left"/>
        <w:rPr>
          <w:rFonts w:asciiTheme="minorEastAsia" w:hAnsiTheme="minorEastAsia" w:eastAsiaTheme="minorEastAsia" w:cstheme="minorEastAsia"/>
          <w:szCs w:val="21"/>
        </w:rPr>
      </w:pPr>
      <w:bookmarkStart w:id="81" w:name="_Toc32662"/>
      <w:bookmarkStart w:id="82" w:name="_Toc9967"/>
      <w:r>
        <w:rPr>
          <w:rFonts w:hint="eastAsia" w:asciiTheme="minorEastAsia" w:hAnsiTheme="minorEastAsia" w:eastAsiaTheme="minorEastAsia" w:cstheme="minorEastAsia"/>
          <w:b/>
        </w:rPr>
        <w:t xml:space="preserve">24.1 </w:t>
      </w:r>
      <w:r>
        <w:rPr>
          <w:rFonts w:hint="eastAsia" w:asciiTheme="minorEastAsia" w:hAnsiTheme="minorEastAsia" w:eastAsiaTheme="minorEastAsia" w:cstheme="minorEastAsia"/>
          <w:szCs w:val="21"/>
        </w:rPr>
        <w:t>磋商供应商法定代表人或授权代表应携带本人身份证明参加磋商，授权代表参加磋商的，还应携带法定代表人授权书原件。磋商代表经磋商小组核对身份后，方可参加磋商。</w:t>
      </w:r>
      <w:bookmarkEnd w:id="81"/>
      <w:bookmarkEnd w:id="82"/>
      <w:r>
        <w:rPr>
          <w:rFonts w:hint="eastAsia" w:asciiTheme="minorEastAsia" w:hAnsiTheme="minorEastAsia" w:eastAsiaTheme="minorEastAsia" w:cstheme="minorEastAsia"/>
          <w:szCs w:val="21"/>
        </w:rPr>
        <w:t>磋商代表的其他要求见《供应商须知前附表》。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83" w:name="_Toc5905"/>
      <w:r>
        <w:rPr>
          <w:rFonts w:hint="eastAsia" w:asciiTheme="minorEastAsia" w:hAnsiTheme="minorEastAsia" w:eastAsiaTheme="minorEastAsia" w:cstheme="minorEastAsia"/>
          <w:b/>
        </w:rPr>
        <w:t>资格审查和符合性审查</w:t>
      </w:r>
      <w:bookmarkEnd w:id="83"/>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25.1在正式磋商前，本磋商文件第四章规定的程序和方法，对供应商进行资格性审查和符合性审查，通过资格性审查和符合性审查，实质性响应磋商文件的供应商方可进入磋商程序。</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84" w:name="_Toc17390"/>
      <w:r>
        <w:rPr>
          <w:rFonts w:hint="eastAsia" w:asciiTheme="minorEastAsia" w:hAnsiTheme="minorEastAsia" w:eastAsiaTheme="minorEastAsia" w:cstheme="minorEastAsia"/>
          <w:b/>
        </w:rPr>
        <w:t>磋商</w:t>
      </w:r>
      <w:bookmarkEnd w:id="84"/>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szCs w:val="21"/>
        </w:rPr>
        <w:t>26.1磋商小组将根据本磋商文件第四章规定的程序和方法与供应商进行磋商。在磋商中，磋商的任何一方不得透露与磋商有关的其他磋商供应商的技</w:t>
      </w:r>
      <w:r>
        <w:rPr>
          <w:rFonts w:hint="eastAsia" w:asciiTheme="minorEastAsia" w:hAnsiTheme="minorEastAsia" w:eastAsiaTheme="minorEastAsia" w:cstheme="minorEastAsia"/>
        </w:rPr>
        <w:t>术资料、价格和其他信息。</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26.2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磋商供应商，</w:t>
      </w:r>
      <w:r>
        <w:rPr>
          <w:rFonts w:hint="eastAsia" w:asciiTheme="minorEastAsia" w:hAnsiTheme="minorEastAsia" w:eastAsiaTheme="minorEastAsia" w:cstheme="minorEastAsia"/>
          <w:szCs w:val="21"/>
        </w:rPr>
        <w:t>并提供必要的修正时间。</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26.3供应商应当按照磋商文件的变动情况和磋商小组的要求重新提交响应文件，</w:t>
      </w:r>
      <w:r>
        <w:rPr>
          <w:rFonts w:hint="eastAsia" w:asciiTheme="minorEastAsia" w:hAnsiTheme="minorEastAsia" w:eastAsiaTheme="minorEastAsia" w:cstheme="minorEastAsia"/>
          <w:szCs w:val="21"/>
        </w:rPr>
        <w:t>对原响应文件进行技术、商务、价格修正，重新提交的响应文件应实质性响应本磋商文件及</w:t>
      </w:r>
      <w:r>
        <w:rPr>
          <w:rFonts w:hint="eastAsia" w:asciiTheme="minorEastAsia" w:hAnsiTheme="minorEastAsia" w:eastAsiaTheme="minorEastAsia" w:cstheme="minorEastAsia"/>
        </w:rPr>
        <w:t>对磋商文件作出的实质性变动，</w:t>
      </w:r>
      <w:r>
        <w:rPr>
          <w:rFonts w:hint="eastAsia" w:asciiTheme="minorEastAsia" w:hAnsiTheme="minorEastAsia" w:eastAsiaTheme="minorEastAsia" w:cstheme="minorEastAsia"/>
          <w:szCs w:val="21"/>
        </w:rPr>
        <w:t>并按本采购文件的规定进行签署。重新提交的响应文件与原响应文件不一致的，以重新提交的响应文件为准。不按要求签署或逾时不提交响应文件的，视同放弃磋商，放弃磋商的</w:t>
      </w:r>
      <w:r>
        <w:rPr>
          <w:rFonts w:hint="eastAsia" w:asciiTheme="minorEastAsia" w:hAnsiTheme="minorEastAsia" w:eastAsiaTheme="minorEastAsia" w:cstheme="minorEastAsia"/>
        </w:rPr>
        <w:t>供应商的磋商保证金将在成交通知书发放后的五个工作日内退还。</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26.4  竞标报价有算术错误的，磋商小组按照以下原则对磋商报价进行修正，修正的价格经供应商书面确认后具有约束力。供应商不接受修正价格的，磋商小组应当否决其竞标。</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（1）响应文件中的大写金额与小写金额不一致的，以大写金额为准；</w:t>
      </w:r>
    </w:p>
    <w:p>
      <w:pPr>
        <w:spacing w:line="360" w:lineRule="auto"/>
        <w:ind w:left="539" w:hanging="539"/>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（2）总价金额与根据单价计算出的结果不一致的，以单价金额为准修正总价，但单价金额小数点有明显错误的除外。</w:t>
      </w:r>
    </w:p>
    <w:p>
      <w:pPr>
        <w:tabs>
          <w:tab w:val="left" w:pos="540"/>
        </w:tabs>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26.5最后报价</w:t>
      </w:r>
    </w:p>
    <w:p>
      <w:pPr>
        <w:spacing w:line="360" w:lineRule="auto"/>
        <w:ind w:left="420" w:leftChars="200" w:firstLine="115" w:firstLineChars="55"/>
        <w:jc w:val="left"/>
        <w:rPr>
          <w:rFonts w:asciiTheme="minorEastAsia" w:hAnsiTheme="minorEastAsia" w:eastAsiaTheme="minorEastAsia" w:cstheme="minorEastAsia"/>
        </w:rPr>
      </w:pPr>
      <w:r>
        <w:rPr>
          <w:rFonts w:hint="eastAsia" w:asciiTheme="minorEastAsia" w:hAnsiTheme="minorEastAsia" w:eastAsiaTheme="minorEastAsia" w:cstheme="minorEastAsia"/>
          <w:bCs/>
          <w:kern w:val="44"/>
          <w:szCs w:val="21"/>
        </w:rPr>
        <w:t>采购代理机构将已确定条件的最后报价书发放至所有磋商供应商，要求磋商供应商在指定的时间内提交满足要求的最后报价，密封递交磋商小组。所有磋商供应商递交最后报价后，磋商小组将记录所有磋商供应商的最终价格。</w:t>
      </w:r>
      <w:r>
        <w:rPr>
          <w:rFonts w:hint="eastAsia" w:asciiTheme="minorEastAsia" w:hAnsiTheme="minorEastAsia" w:eastAsiaTheme="minorEastAsia" w:cstheme="minorEastAsia"/>
        </w:rPr>
        <w:t>最后报价为本次竞争性磋商不可变动的最终价格。</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磋商文件能够详细列明采购标的的技术、服务要求的，磋商结束后，磋商小组应当要求所有继续参加磋商的供应商在规定时间内提交最后报价，提交最后报价的供应商不得少于3家。</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pPr>
        <w:spacing w:line="360" w:lineRule="auto"/>
        <w:ind w:left="535" w:leftChars="200" w:hanging="115" w:hangingChars="55"/>
        <w:jc w:val="left"/>
        <w:rPr>
          <w:rFonts w:asciiTheme="minorEastAsia" w:hAnsiTheme="minorEastAsia" w:eastAsiaTheme="minorEastAsia" w:cstheme="minorEastAsia"/>
        </w:rPr>
      </w:pPr>
      <w:r>
        <w:rPr>
          <w:rFonts w:hint="eastAsia" w:asciiTheme="minorEastAsia" w:hAnsiTheme="minorEastAsia" w:eastAsiaTheme="minorEastAsia" w:cstheme="minorEastAsia"/>
        </w:rPr>
        <w:t>本采购项目提交最后报价供应商的确定方式详见《供应商须知前附表》。</w:t>
      </w:r>
    </w:p>
    <w:p>
      <w:pPr>
        <w:spacing w:line="360" w:lineRule="auto"/>
        <w:ind w:left="539" w:hanging="539"/>
        <w:jc w:val="left"/>
        <w:rPr>
          <w:rFonts w:asciiTheme="minorEastAsia" w:hAnsiTheme="minorEastAsia" w:eastAsiaTheme="minorEastAsia" w:cstheme="minorEastAsia"/>
        </w:rPr>
      </w:pPr>
      <w:r>
        <w:rPr>
          <w:rFonts w:hint="eastAsia" w:asciiTheme="minorEastAsia" w:hAnsiTheme="minorEastAsia" w:eastAsiaTheme="minorEastAsia" w:cstheme="minorEastAsia"/>
        </w:rPr>
        <w:t>26.6</w:t>
      </w:r>
      <w:r>
        <w:rPr>
          <w:rFonts w:hint="eastAsia" w:asciiTheme="minorEastAsia" w:hAnsiTheme="minorEastAsia" w:eastAsiaTheme="minorEastAsia" w:cstheme="minorEastAsia"/>
          <w:bCs/>
          <w:kern w:val="44"/>
          <w:szCs w:val="21"/>
        </w:rPr>
        <w:t>如有需要，磋商小组可进行多轮磋商，直至最终确定竞争性磋商采购文件采购需求中的技术、服务要求以及合同草案条款。如竞争性磋商采购文件无需修改，可直接要求磋商供应商</w:t>
      </w:r>
      <w:r>
        <w:rPr>
          <w:rFonts w:hint="eastAsia" w:asciiTheme="minorEastAsia" w:hAnsiTheme="minorEastAsia" w:eastAsiaTheme="minorEastAsia" w:cstheme="minorEastAsia"/>
        </w:rPr>
        <w:t>提交最后报价</w:t>
      </w:r>
      <w:r>
        <w:rPr>
          <w:rFonts w:hint="eastAsia" w:asciiTheme="minorEastAsia" w:hAnsiTheme="minorEastAsia" w:eastAsiaTheme="minorEastAsia" w:cstheme="minorEastAsia"/>
          <w:bCs/>
          <w:kern w:val="44"/>
          <w:szCs w:val="21"/>
        </w:rPr>
        <w:t>。</w:t>
      </w:r>
    </w:p>
    <w:p>
      <w:pPr>
        <w:spacing w:line="360" w:lineRule="auto"/>
        <w:ind w:left="539" w:hanging="539"/>
        <w:jc w:val="left"/>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rPr>
        <w:t>26.7</w:t>
      </w:r>
      <w:r>
        <w:rPr>
          <w:rFonts w:hint="eastAsia" w:asciiTheme="minorEastAsia" w:hAnsiTheme="minorEastAsia" w:eastAsiaTheme="minorEastAsia" w:cstheme="minorEastAsia"/>
          <w:bCs/>
          <w:kern w:val="44"/>
          <w:szCs w:val="21"/>
        </w:rPr>
        <w:t xml:space="preserve"> 磋商小组审核完最终报价后，根据竞争性磋商采购文件规定的评定办法推荐成交候选人或根据采购人的书面授权直接确定成交供应商。</w:t>
      </w:r>
    </w:p>
    <w:p>
      <w:pPr>
        <w:spacing w:line="360" w:lineRule="auto"/>
        <w:rPr>
          <w:rFonts w:asciiTheme="minorEastAsia" w:hAnsiTheme="minorEastAsia" w:eastAsiaTheme="minorEastAsia" w:cstheme="minorEastAsia"/>
          <w:bCs/>
          <w:kern w:val="44"/>
          <w:szCs w:val="21"/>
        </w:rPr>
      </w:pPr>
      <w:r>
        <w:rPr>
          <w:rFonts w:hint="eastAsia" w:asciiTheme="minorEastAsia" w:hAnsiTheme="minorEastAsia" w:eastAsiaTheme="minorEastAsia" w:cstheme="minorEastAsia"/>
          <w:bCs/>
          <w:kern w:val="44"/>
          <w:szCs w:val="21"/>
        </w:rPr>
        <w:t>26.8采购代理机构对磋商过程和重要磋商内容进行记录，磋商双方在记录上签字确认。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5" w:name="_Toc17550"/>
      <w:r>
        <w:rPr>
          <w:rFonts w:hint="eastAsia" w:asciiTheme="minorEastAsia" w:hAnsiTheme="minorEastAsia" w:eastAsiaTheme="minorEastAsia" w:cstheme="minorEastAsia"/>
          <w:b/>
          <w:lang w:val="zh-CN"/>
        </w:rPr>
        <w:t>保密</w:t>
      </w:r>
      <w:bookmarkEnd w:id="85"/>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凡是属于审查、澄清、评价和比较的有关资料以及授标意向等，采购人、采购代理机构、监管人员、</w:t>
      </w:r>
      <w:r>
        <w:rPr>
          <w:rFonts w:hint="eastAsia" w:asciiTheme="minorEastAsia" w:hAnsiTheme="minorEastAsia" w:eastAsiaTheme="minorEastAsia" w:cstheme="minorEastAsia"/>
          <w:bCs/>
          <w:kern w:val="44"/>
          <w:szCs w:val="21"/>
        </w:rPr>
        <w:t>磋商小组</w:t>
      </w:r>
      <w:r>
        <w:rPr>
          <w:rFonts w:hint="eastAsia" w:asciiTheme="minorEastAsia" w:hAnsiTheme="minorEastAsia" w:eastAsiaTheme="minorEastAsia" w:cstheme="minorEastAsia"/>
          <w:snapToGrid w:val="0"/>
          <w:kern w:val="0"/>
          <w:szCs w:val="21"/>
          <w:lang w:val="zh-CN"/>
        </w:rPr>
        <w:t>及有关工作人员均不得向供应商或其它无关的人员透露。</w:t>
      </w:r>
    </w:p>
    <w:p>
      <w:pPr>
        <w:numPr>
          <w:ilvl w:val="1"/>
          <w:numId w:val="32"/>
        </w:numPr>
        <w:autoSpaceDE w:val="0"/>
        <w:autoSpaceDN w:val="0"/>
        <w:adjustRightInd w:val="0"/>
        <w:spacing w:line="360" w:lineRule="auto"/>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项目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本项目具体评审因素的量化指标详见第</w:t>
      </w:r>
      <w:r>
        <w:rPr>
          <w:rFonts w:hint="eastAsia" w:asciiTheme="minorEastAsia" w:hAnsiTheme="minorEastAsia" w:eastAsiaTheme="minorEastAsia" w:cstheme="minorEastAsia"/>
          <w:snapToGrid w:val="0"/>
          <w:kern w:val="0"/>
          <w:szCs w:val="21"/>
        </w:rPr>
        <w:t>四</w:t>
      </w:r>
      <w:r>
        <w:rPr>
          <w:rFonts w:hint="eastAsia" w:asciiTheme="minorEastAsia" w:hAnsiTheme="minorEastAsia" w:eastAsiaTheme="minorEastAsia" w:cstheme="minorEastAsia"/>
          <w:snapToGrid w:val="0"/>
          <w:kern w:val="0"/>
          <w:szCs w:val="21"/>
          <w:lang w:val="zh-CN"/>
        </w:rPr>
        <w:t>章“</w:t>
      </w:r>
      <w:r>
        <w:rPr>
          <w:rFonts w:hint="eastAsia" w:asciiTheme="minorEastAsia" w:hAnsiTheme="minorEastAsia" w:eastAsiaTheme="minorEastAsia" w:cstheme="minorEastAsia"/>
          <w:snapToGrid w:val="0"/>
          <w:kern w:val="0"/>
          <w:szCs w:val="21"/>
        </w:rPr>
        <w:t>评定办法</w:t>
      </w:r>
      <w:r>
        <w:rPr>
          <w:rFonts w:hint="eastAsia" w:asciiTheme="minorEastAsia" w:hAnsiTheme="minorEastAsia" w:eastAsiaTheme="minorEastAsia" w:cstheme="minorEastAsia"/>
          <w:snapToGrid w:val="0"/>
          <w:kern w:val="0"/>
          <w:szCs w:val="21"/>
          <w:lang w:val="zh-CN"/>
        </w:rPr>
        <w:t>”。</w:t>
      </w:r>
    </w:p>
    <w:p>
      <w:pPr>
        <w:numPr>
          <w:ilvl w:val="1"/>
          <w:numId w:val="32"/>
        </w:numPr>
        <w:autoSpaceDE w:val="0"/>
        <w:autoSpaceDN w:val="0"/>
        <w:adjustRightInd w:val="0"/>
        <w:spacing w:line="360" w:lineRule="auto"/>
        <w:jc w:val="left"/>
        <w:rPr>
          <w:lang w:val="zh-CN"/>
        </w:rPr>
      </w:pPr>
      <w:r>
        <w:rPr>
          <w:rFonts w:hint="eastAsia" w:asciiTheme="minorEastAsia" w:hAnsiTheme="minorEastAsia" w:eastAsiaTheme="minorEastAsia" w:cstheme="minorEastAsia"/>
          <w:snapToGrid w:val="0"/>
          <w:kern w:val="0"/>
          <w:szCs w:val="21"/>
          <w:lang w:val="zh-CN"/>
        </w:rPr>
        <w:t>磋商小组根据综合评分情况，按照评审得分由高到低的顺序及《供应商须知前附表》规定的数量推荐成交候选供应商，并编写评审报告。评审报告应当有磋商小组全体成员签字认可。</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rPr>
      </w:pPr>
      <w:bookmarkStart w:id="86" w:name="_Toc9335"/>
      <w:bookmarkStart w:id="87" w:name="_Toc15936"/>
      <w:r>
        <w:rPr>
          <w:rFonts w:hint="eastAsia" w:asciiTheme="minorEastAsia" w:hAnsiTheme="minorEastAsia" w:eastAsiaTheme="minorEastAsia" w:cstheme="minorEastAsia"/>
          <w:b/>
          <w:szCs w:val="21"/>
        </w:rPr>
        <w:t>成交与签订合同</w:t>
      </w:r>
      <w:bookmarkEnd w:id="86"/>
      <w:bookmarkEnd w:id="87"/>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88" w:name="_Toc14605"/>
      <w:bookmarkStart w:id="89" w:name="_Toc21514"/>
      <w:r>
        <w:rPr>
          <w:rFonts w:hint="eastAsia" w:asciiTheme="minorEastAsia" w:hAnsiTheme="minorEastAsia" w:eastAsiaTheme="minorEastAsia" w:cstheme="minorEastAsia"/>
          <w:b/>
          <w:lang w:val="zh-CN"/>
        </w:rPr>
        <w:t>合同授予标准</w:t>
      </w:r>
      <w:bookmarkEnd w:id="88"/>
      <w:bookmarkEnd w:id="89"/>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28.1采购人将把合同授予排名</w:t>
      </w:r>
      <w:r>
        <w:rPr>
          <w:rFonts w:hint="eastAsia" w:asciiTheme="minorEastAsia" w:hAnsiTheme="minorEastAsia" w:eastAsiaTheme="minorEastAsia" w:cstheme="minorEastAsia"/>
          <w:iCs/>
          <w:snapToGrid w:val="0"/>
          <w:kern w:val="0"/>
          <w:szCs w:val="21"/>
        </w:rPr>
        <w:t>推荐数量</w:t>
      </w:r>
      <w:r>
        <w:rPr>
          <w:rFonts w:hint="eastAsia" w:asciiTheme="minorEastAsia" w:hAnsiTheme="minorEastAsia" w:eastAsiaTheme="minorEastAsia" w:cstheme="minorEastAsia"/>
          <w:iCs/>
          <w:snapToGrid w:val="0"/>
          <w:kern w:val="0"/>
          <w:szCs w:val="21"/>
          <w:lang w:val="zh-CN"/>
        </w:rPr>
        <w:t>的供应商，特殊情况按本须知29.3的规定执行。</w:t>
      </w:r>
    </w:p>
    <w:p>
      <w:pPr>
        <w:spacing w:line="360" w:lineRule="auto"/>
        <w:ind w:left="630" w:hanging="630" w:hangingChars="300"/>
        <w:jc w:val="left"/>
        <w:rPr>
          <w:rFonts w:ascii="宋体" w:hAnsi="宋体" w:cs="宋体"/>
          <w:szCs w:val="21"/>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2  </w:t>
      </w:r>
      <w:r>
        <w:rPr>
          <w:rFonts w:hint="eastAsia" w:asciiTheme="minorEastAsia" w:hAnsiTheme="minorEastAsia" w:eastAsiaTheme="minorEastAsia" w:cstheme="minorEastAsia"/>
          <w:iCs/>
          <w:snapToGrid w:val="0"/>
          <w:kern w:val="0"/>
          <w:szCs w:val="21"/>
          <w:lang w:val="zh-CN"/>
        </w:rPr>
        <w:t>采购代理机构应当在评审结束后2个工作日内将评审报告送采购人确认。</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3  </w:t>
      </w:r>
      <w:r>
        <w:rPr>
          <w:rFonts w:hint="eastAsia" w:asciiTheme="minorEastAsia" w:hAnsiTheme="minorEastAsia" w:eastAsiaTheme="minorEastAsia" w:cstheme="minorEastAsia"/>
          <w:snapToGrid w:val="0"/>
          <w:kern w:val="0"/>
          <w:szCs w:val="21"/>
          <w:lang w:val="zh-CN"/>
        </w:rPr>
        <w:t xml:space="preserve">采购人应当在收到评审报告后5个工作日内，从评审报告提出的成交候选供应商中，按照推荐排序确定成交供应商，也可以书面授权磋商小组直接确定成交供应商。采购人逾期未确定成交供应商且不提出异议的，视为确定评审报告提出的排序第一的供应商为成交供应商。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4  </w:t>
      </w:r>
      <w:r>
        <w:rPr>
          <w:rFonts w:hint="eastAsia" w:asciiTheme="minorEastAsia" w:hAnsiTheme="minorEastAsia" w:eastAsiaTheme="minorEastAsia" w:cstheme="minorEastAsia"/>
          <w:iCs/>
          <w:snapToGrid w:val="0"/>
          <w:kern w:val="0"/>
          <w:szCs w:val="21"/>
          <w:lang w:val="zh-CN"/>
        </w:rPr>
        <w:t xml:space="preserve">采购人或者采购代理机构应当在成交供应商确定后2个工作日内，在省级以上财政部门指定的政府采购信息发布媒体上公告成交结果，同时向成交供应商发出成交通知书，并将磋商文件随成交结果同时公告。 </w:t>
      </w:r>
    </w:p>
    <w:p>
      <w:pPr>
        <w:autoSpaceDE w:val="0"/>
        <w:autoSpaceDN w:val="0"/>
        <w:adjustRightInd w:val="0"/>
        <w:spacing w:line="360" w:lineRule="auto"/>
        <w:ind w:left="630" w:hanging="630" w:hangingChars="300"/>
        <w:jc w:val="left"/>
        <w:rPr>
          <w:rFonts w:asciiTheme="minorEastAsia" w:hAnsiTheme="minorEastAsia" w:eastAsiaTheme="minorEastAsia" w:cstheme="minorEastAsia"/>
          <w:iCs/>
          <w:snapToGrid w:val="0"/>
          <w:kern w:val="0"/>
          <w:szCs w:val="21"/>
          <w:lang w:val="zh-CN"/>
        </w:rPr>
      </w:pPr>
      <w:r>
        <w:rPr>
          <w:rFonts w:hint="eastAsia" w:asciiTheme="minorEastAsia" w:hAnsiTheme="minorEastAsia" w:eastAsiaTheme="minorEastAsia" w:cstheme="minorEastAsia"/>
          <w:iCs/>
          <w:snapToGrid w:val="0"/>
          <w:kern w:val="0"/>
          <w:szCs w:val="21"/>
          <w:lang w:val="zh-CN"/>
        </w:rPr>
        <w:t>28.</w:t>
      </w:r>
      <w:r>
        <w:rPr>
          <w:rFonts w:hint="eastAsia" w:asciiTheme="minorEastAsia" w:hAnsiTheme="minorEastAsia" w:eastAsiaTheme="minorEastAsia" w:cstheme="minorEastAsia"/>
          <w:iCs/>
          <w:snapToGrid w:val="0"/>
          <w:kern w:val="0"/>
          <w:szCs w:val="21"/>
        </w:rPr>
        <w:t xml:space="preserve">5  </w:t>
      </w:r>
      <w:r>
        <w:rPr>
          <w:rFonts w:hint="eastAsia" w:asciiTheme="minorEastAsia" w:hAnsiTheme="minorEastAsia" w:eastAsiaTheme="minorEastAsia" w:cstheme="minorEastAsia"/>
          <w:iCs/>
          <w:snapToGrid w:val="0"/>
          <w:kern w:val="0"/>
          <w:szCs w:val="21"/>
          <w:lang w:val="zh-CN"/>
        </w:rPr>
        <w:t>成交通知书的领取时间详见《供应商须知前附表》。</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0" w:name="_Toc15727"/>
      <w:bookmarkStart w:id="91" w:name="_Toc4426"/>
      <w:r>
        <w:rPr>
          <w:rFonts w:hint="eastAsia" w:asciiTheme="minorEastAsia" w:hAnsiTheme="minorEastAsia" w:eastAsiaTheme="minorEastAsia" w:cstheme="minorEastAsia"/>
          <w:b/>
          <w:lang w:val="zh-CN"/>
        </w:rPr>
        <w:t>签订合同</w:t>
      </w:r>
      <w:bookmarkEnd w:id="90"/>
      <w:bookmarkEnd w:id="91"/>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29.1 竞争性磋商采购文件对履约保证金有规定的，成交供应商应按规定在签订合同前缴纳履约保证金。</w:t>
      </w:r>
    </w:p>
    <w:p>
      <w:pPr>
        <w:tabs>
          <w:tab w:val="left" w:pos="426"/>
        </w:tabs>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snapToGrid w:val="0"/>
          <w:szCs w:val="21"/>
          <w:lang w:val="zh-CN"/>
        </w:rPr>
        <w:t>29.2 采购人与成交供应商应当在成交通知书发出之日起30日内，按照采购文件确定的合同文本以及采购标的、规格型号、采购金额、采购数量、技术和服务要求等事项签订政府采购合同。</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采购人应当自政府采购合同签订之日起2个工作日内，将政府采购合同在省级以上人民政府指定的媒体上公告，但政府采购合同中涉及国家秘密、商业秘密的内容除外。</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29.3  </w:t>
      </w:r>
      <w:r>
        <w:rPr>
          <w:rFonts w:hint="eastAsia" w:asciiTheme="minorEastAsia" w:hAnsiTheme="minorEastAsia" w:eastAsiaTheme="minorEastAsia" w:cstheme="minorEastAsia"/>
          <w:lang w:val="zh-CN"/>
        </w:rPr>
        <w:t>成交供应商拒绝与采购人签订合同的，采购人可以按照评审报告推荐的中标候选人名单排序，确定下一候选人为成交供应商，也可以重新开展政府采购活动。</w:t>
      </w:r>
    </w:p>
    <w:p>
      <w:pPr>
        <w:autoSpaceDE w:val="0"/>
        <w:autoSpaceDN w:val="0"/>
        <w:adjustRightInd w:val="0"/>
        <w:spacing w:line="360" w:lineRule="auto"/>
        <w:ind w:left="630" w:hanging="630" w:hanging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29.4  </w:t>
      </w:r>
      <w:r>
        <w:rPr>
          <w:rFonts w:hint="eastAsia" w:asciiTheme="minorEastAsia" w:hAnsiTheme="minorEastAsia" w:eastAsiaTheme="minorEastAsia" w:cstheme="minorEastAsia"/>
          <w:snapToGrid w:val="0"/>
          <w:kern w:val="0"/>
          <w:szCs w:val="21"/>
          <w:lang w:val="zh-CN"/>
        </w:rPr>
        <w:t>签订政府采购合同后7个工作日内，采购人应将政府采购合同副本报同级政府采购监管部门备案。</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29.5 采购代理机构将配合采购人与成交供应商签订政府采购合同。采购人与成交供应商应按竞争性磋商采购文件要求和成交供应商的竞争性磋商响应文件承诺订立书面合同，不得超出竞争性磋商采购文件和成交供应商竞争性磋商响应文件的范围，也不得再行订立背离合同实质性内容的其他协议。</w:t>
      </w:r>
    </w:p>
    <w:p>
      <w:pPr>
        <w:tabs>
          <w:tab w:val="left" w:pos="540"/>
        </w:tabs>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szCs w:val="21"/>
          <w:lang w:val="zh-CN"/>
        </w:rPr>
        <w:t>29.6 除不可抗力等因素外，成交通知书发出后，采购人改变成交结果，或者成交供应商拒绝签订政府采购合同的，应当承担相应的法律责任。</w:t>
      </w:r>
    </w:p>
    <w:p>
      <w:pPr>
        <w:autoSpaceDE w:val="0"/>
        <w:autoSpaceDN w:val="0"/>
        <w:adjustRightInd w:val="0"/>
        <w:spacing w:line="360" w:lineRule="auto"/>
        <w:ind w:left="630" w:leftChars="300"/>
        <w:jc w:val="left"/>
        <w:rPr>
          <w:rFonts w:asciiTheme="minorEastAsia" w:hAnsiTheme="minorEastAsia" w:eastAsiaTheme="minorEastAsia" w:cstheme="minorEastAsia"/>
        </w:rPr>
      </w:pPr>
      <w:r>
        <w:rPr>
          <w:rFonts w:hint="eastAsia" w:asciiTheme="minorEastAsia" w:hAnsiTheme="minorEastAsia" w:eastAsiaTheme="minorEastAsia" w:cstheme="minorEastAsia"/>
        </w:rPr>
        <w:t>成交供应商拒绝签订政府采购合同的，采购人可以按照《政府采购竞争性磋商采购方式管理暂行办法》第三十三条规定的原则确定其他供应商作为成交供应商并签订政府采购合同，也可以重新开展采购活动。拒绝签订政府采购合同的成交供应商不得参加对该项目重新开展的采购活动。</w:t>
      </w:r>
    </w:p>
    <w:p>
      <w:pPr>
        <w:numPr>
          <w:ilvl w:val="1"/>
          <w:numId w:val="7"/>
        </w:numPr>
        <w:tabs>
          <w:tab w:val="left" w:pos="540"/>
          <w:tab w:val="clear" w:pos="840"/>
        </w:tabs>
        <w:spacing w:line="360" w:lineRule="auto"/>
        <w:ind w:left="632" w:hanging="632" w:hangingChars="300"/>
        <w:jc w:val="left"/>
        <w:rPr>
          <w:rFonts w:asciiTheme="minorEastAsia" w:hAnsiTheme="minorEastAsia" w:eastAsiaTheme="minorEastAsia" w:cstheme="minorEastAsia"/>
          <w:b/>
          <w:szCs w:val="21"/>
          <w:lang w:val="zh-CN"/>
        </w:rPr>
      </w:pPr>
      <w:bookmarkStart w:id="92" w:name="_Toc4883"/>
      <w:bookmarkStart w:id="93" w:name="_Toc13988"/>
      <w:bookmarkStart w:id="94" w:name="_Toc14510"/>
      <w:r>
        <w:rPr>
          <w:rFonts w:hint="eastAsia" w:asciiTheme="minorEastAsia" w:hAnsiTheme="minorEastAsia" w:eastAsiaTheme="minorEastAsia" w:cstheme="minorEastAsia"/>
          <w:b/>
          <w:szCs w:val="21"/>
          <w:lang w:val="zh-CN"/>
        </w:rPr>
        <w:t>质疑和投诉</w:t>
      </w:r>
      <w:bookmarkEnd w:id="92"/>
      <w:bookmarkEnd w:id="93"/>
      <w:bookmarkEnd w:id="94"/>
    </w:p>
    <w:p>
      <w:pPr>
        <w:numPr>
          <w:ilvl w:val="0"/>
          <w:numId w:val="8"/>
        </w:numPr>
        <w:tabs>
          <w:tab w:val="left" w:pos="864"/>
          <w:tab w:val="left" w:pos="1080"/>
        </w:tabs>
        <w:spacing w:line="360" w:lineRule="auto"/>
        <w:ind w:left="632" w:hanging="632" w:hangingChars="300"/>
        <w:jc w:val="left"/>
        <w:rPr>
          <w:rFonts w:asciiTheme="minorEastAsia" w:hAnsiTheme="minorEastAsia" w:eastAsiaTheme="minorEastAsia" w:cstheme="minorEastAsia"/>
          <w:b/>
          <w:lang w:val="zh-CN"/>
        </w:rPr>
      </w:pPr>
      <w:r>
        <w:rPr>
          <w:rFonts w:hint="eastAsia" w:asciiTheme="minorEastAsia" w:hAnsiTheme="minorEastAsia" w:eastAsiaTheme="minorEastAsia" w:cstheme="minorEastAsia"/>
          <w:b/>
          <w:lang w:val="zh-CN"/>
        </w:rPr>
        <w:t>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1供应商认为磋商文件、磋商过程和成交结果使自己的权益受到损害的，可以在知道或者应知其权益受到损害之日起7个工作日内，以书面形式向采购人或采购代理机构提出质疑。我公司受理项目质疑部门为业务部,联系人：张梦；联系电话：027-87820788。供应商在法定质疑期内应一次性提出针对同一采购程序环节的质疑。</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0</w:t>
      </w:r>
      <w:r>
        <w:rPr>
          <w:rFonts w:hint="eastAsia" w:ascii="宋体" w:hAnsi="宋体" w:cs="宋体"/>
          <w:snapToGrid w:val="0"/>
          <w:kern w:val="0"/>
          <w:szCs w:val="21"/>
          <w:lang w:val="zh-CN"/>
        </w:rPr>
        <w:t>.2质疑书应当包括下列主要内容：</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（2）被质疑人的名称、地址、联系人及联系电话等；</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（3）质疑项目名称及编号、质疑事项和明确的请求；</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（4）质疑事项的事实根据、法律依据及其他必要的证明材料；质疑人提供的证明材料属于其他供应商投标（响应）文件未公开内容的，应当提供书面材料证明其合法来源；</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（5）提出质疑的日期；</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（6）质疑人的署名及签章（质疑人为自然人的，应当由本人签字；质疑人为法人或者其他组织的，应当由法定代表人或者主要负责人签字盖章并加盖公章）；</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（7）法人授权委托书（质疑人或法人委托代理人办理质疑事务的，应当提供授权委托书，授权委托书应当载明委托代理的具体权限和事项）。</w:t>
      </w:r>
    </w:p>
    <w:p>
      <w:pPr>
        <w:autoSpaceDE w:val="0"/>
        <w:autoSpaceDN w:val="0"/>
        <w:adjustRightInd w:val="0"/>
        <w:spacing w:line="360" w:lineRule="auto"/>
        <w:ind w:left="630" w:leftChars="300"/>
        <w:jc w:val="left"/>
        <w:rPr>
          <w:rFonts w:ascii="宋体" w:hAnsi="宋体" w:cs="宋体"/>
          <w:snapToGrid w:val="0"/>
          <w:kern w:val="0"/>
          <w:szCs w:val="21"/>
          <w:lang w:val="zh-CN"/>
        </w:rPr>
      </w:pPr>
      <w:r>
        <w:rPr>
          <w:rFonts w:hint="eastAsia" w:ascii="宋体" w:hAnsi="宋体" w:cs="宋体"/>
          <w:snapToGrid w:val="0"/>
          <w:kern w:val="0"/>
          <w:szCs w:val="21"/>
          <w:lang w:val="zh-CN"/>
        </w:rPr>
        <w:t>质疑书不符合上述要求的，采购人或代理机构应书面告知具体事项，质疑人应当按要求进行修改或补充，并在质疑有效期限内提交。</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5" w:name="_Toc20387"/>
      <w:bookmarkStart w:id="96" w:name="_Toc28100"/>
      <w:r>
        <w:rPr>
          <w:rFonts w:hint="eastAsia" w:asciiTheme="minorEastAsia" w:hAnsiTheme="minorEastAsia" w:eastAsiaTheme="minorEastAsia" w:cstheme="minorEastAsia"/>
          <w:b/>
          <w:lang w:val="zh-CN"/>
        </w:rPr>
        <w:t>质疑回复</w:t>
      </w:r>
      <w:bookmarkEnd w:id="95"/>
      <w:bookmarkEnd w:id="96"/>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.1采购人或采购代理机构应当在收到供应商的书面质疑后7个工作日内作出答复，并以书面形式通知质疑供应商和其他有关供应商，但答复的内容不得涉及商业秘密。</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1</w:t>
      </w:r>
      <w:r>
        <w:rPr>
          <w:rFonts w:hint="eastAsia" w:ascii="宋体" w:hAnsi="宋体" w:cs="宋体"/>
          <w:snapToGrid w:val="0"/>
          <w:kern w:val="0"/>
          <w:szCs w:val="21"/>
          <w:lang w:val="zh-CN"/>
        </w:rPr>
        <w:t>.2质疑答复应当包括下列内容：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（1）质疑人的名称、地址、联系人及联系电话；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（2）采购人或采购代理机构（委托项目一并列出）的名称、地址、联系人及联系电话；</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（3）受理质疑的日期、质疑项目名称及编号、质疑事项；</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（4）质疑事项答复的具体情况及事实根据、法律依据；</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（5）告知质疑人依法投诉的权利和投诉方式；</w:t>
      </w:r>
    </w:p>
    <w:p>
      <w:pPr>
        <w:autoSpaceDE w:val="0"/>
        <w:autoSpaceDN w:val="0"/>
        <w:adjustRightInd w:val="0"/>
        <w:spacing w:line="360" w:lineRule="auto"/>
        <w:jc w:val="left"/>
        <w:rPr>
          <w:rFonts w:ascii="宋体" w:hAnsi="宋体" w:cs="宋体"/>
          <w:snapToGrid w:val="0"/>
          <w:kern w:val="0"/>
          <w:szCs w:val="21"/>
          <w:lang w:val="zh-CN"/>
        </w:rPr>
      </w:pPr>
      <w:r>
        <w:rPr>
          <w:rFonts w:hint="eastAsia" w:ascii="宋体" w:hAnsi="宋体" w:cs="宋体"/>
          <w:snapToGrid w:val="0"/>
          <w:kern w:val="0"/>
          <w:szCs w:val="21"/>
          <w:lang w:val="zh-CN"/>
        </w:rPr>
        <w:t>（6）质疑答复日期。</w:t>
      </w:r>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lang w:val="zh-CN"/>
        </w:rPr>
      </w:pPr>
      <w:bookmarkStart w:id="97" w:name="_Toc459"/>
      <w:bookmarkStart w:id="98" w:name="_Toc29493"/>
      <w:r>
        <w:rPr>
          <w:rFonts w:hint="eastAsia" w:asciiTheme="minorEastAsia" w:hAnsiTheme="minorEastAsia" w:eastAsiaTheme="minorEastAsia" w:cstheme="minorEastAsia"/>
          <w:b/>
          <w:lang w:val="zh-CN"/>
        </w:rPr>
        <w:t>投诉</w:t>
      </w:r>
      <w:bookmarkEnd w:id="97"/>
      <w:bookmarkEnd w:id="98"/>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1质疑供应商对采购人、采购代理机构的答复不满意或者采购人、采购代理机构未在规定的时间内作出答复的，可以在答复期满后15个工作日内向同级政府采购监督管理部门投诉。供应商投诉应当有明确的请求和必要的证明材料，且投诉的事项不得超出已质疑事项的范围。</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2</w:t>
      </w:r>
      <w:r>
        <w:rPr>
          <w:rFonts w:hint="eastAsia" w:ascii="宋体" w:hAnsi="宋体" w:cs="宋体"/>
          <w:snapToGrid w:val="0"/>
          <w:kern w:val="0"/>
          <w:szCs w:val="21"/>
          <w:lang w:val="zh-CN"/>
        </w:rPr>
        <w:t>.2政府采购监督管理部门应当在收到投诉后30个工作日内，对投诉事项作出处理决定，并以书面形式通知投诉人和与投诉事项有关的当事人。财政部门处理投诉事项，需要检验、检测、鉴定、专家评审以及需要投诉人补正材料的，所需时间不计算在投诉处理期限内。</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99" w:name="_Toc28705"/>
      <w:bookmarkStart w:id="100" w:name="_Toc30010"/>
      <w:bookmarkStart w:id="101" w:name="_Toc5571"/>
      <w:bookmarkStart w:id="102" w:name="_Toc29425"/>
      <w:bookmarkStart w:id="103" w:name="_Toc14767"/>
      <w:r>
        <w:rPr>
          <w:rFonts w:hint="eastAsia" w:asciiTheme="minorEastAsia" w:hAnsiTheme="minorEastAsia" w:eastAsiaTheme="minorEastAsia" w:cstheme="minorEastAsia"/>
          <w:b/>
          <w:szCs w:val="21"/>
          <w:lang w:val="zh-CN"/>
        </w:rPr>
        <w:t>政策</w:t>
      </w:r>
      <w:bookmarkEnd w:id="99"/>
      <w:bookmarkEnd w:id="100"/>
      <w:bookmarkEnd w:id="101"/>
      <w:bookmarkEnd w:id="102"/>
      <w:bookmarkEnd w:id="103"/>
    </w:p>
    <w:p>
      <w:pPr>
        <w:numPr>
          <w:ilvl w:val="0"/>
          <w:numId w:val="8"/>
        </w:numPr>
        <w:tabs>
          <w:tab w:val="left" w:pos="864"/>
          <w:tab w:val="left" w:pos="1080"/>
        </w:tabs>
        <w:spacing w:line="360" w:lineRule="auto"/>
        <w:ind w:hanging="540"/>
        <w:outlineLvl w:val="1"/>
        <w:rPr>
          <w:rFonts w:asciiTheme="minorEastAsia" w:hAnsiTheme="minorEastAsia" w:eastAsiaTheme="minorEastAsia" w:cstheme="minorEastAsia"/>
          <w:b/>
        </w:rPr>
      </w:pPr>
      <w:bookmarkStart w:id="104" w:name="_Toc28842"/>
      <w:bookmarkStart w:id="105" w:name="_Toc24961"/>
      <w:r>
        <w:rPr>
          <w:rFonts w:hint="eastAsia" w:asciiTheme="minorEastAsia" w:hAnsiTheme="minorEastAsia" w:eastAsiaTheme="minorEastAsia" w:cstheme="minorEastAsia"/>
          <w:b/>
        </w:rPr>
        <w:t>政府采购政策</w:t>
      </w:r>
      <w:bookmarkEnd w:id="104"/>
      <w:bookmarkEnd w:id="105"/>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.1</w:t>
      </w:r>
      <w:r>
        <w:rPr>
          <w:rFonts w:hint="eastAsia" w:ascii="宋体" w:hAnsi="宋体" w:cs="宋体"/>
          <w:snapToGrid w:val="0"/>
          <w:spacing w:val="-2"/>
          <w:kern w:val="0"/>
          <w:szCs w:val="21"/>
          <w:lang w:val="zh-CN"/>
        </w:rPr>
        <w:t>除非“供应商须知前附表”中有特殊规定，本项目所采购的货物</w:t>
      </w:r>
      <w:r>
        <w:rPr>
          <w:rFonts w:hint="eastAsia" w:ascii="宋体" w:hAnsi="宋体" w:cs="宋体"/>
          <w:snapToGrid w:val="0"/>
          <w:spacing w:val="-2"/>
          <w:kern w:val="0"/>
          <w:szCs w:val="21"/>
        </w:rPr>
        <w:t>或服务或工程</w:t>
      </w:r>
      <w:r>
        <w:rPr>
          <w:rFonts w:hint="eastAsia" w:ascii="宋体" w:hAnsi="宋体" w:cs="宋体"/>
          <w:snapToGrid w:val="0"/>
          <w:spacing w:val="-2"/>
          <w:kern w:val="0"/>
          <w:szCs w:val="21"/>
          <w:lang w:val="zh-CN"/>
        </w:rPr>
        <w:t>应当为中华人民共和国境内提供。</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.2为促进中小企业发展，本项目供应商如符合工信部联企业【</w:t>
      </w:r>
      <w:r>
        <w:rPr>
          <w:rFonts w:hint="eastAsia" w:ascii="宋体" w:hAnsi="宋体" w:cs="宋体"/>
          <w:snapToGrid w:val="0"/>
          <w:kern w:val="0"/>
          <w:szCs w:val="21"/>
        </w:rPr>
        <w:t>2011</w:t>
      </w:r>
      <w:r>
        <w:rPr>
          <w:rFonts w:hint="eastAsia" w:ascii="宋体" w:hAnsi="宋体" w:cs="宋体"/>
          <w:snapToGrid w:val="0"/>
          <w:kern w:val="0"/>
          <w:szCs w:val="21"/>
          <w:lang w:val="zh-CN"/>
        </w:rPr>
        <w:t>】300号文中对中小企业划型标准的，可按照“评定办法前附表”中相关规定，对产品的价格给予一定比例的扣除，用扣除后的价格参与评审。具体扣除比例详见“评定办法前附表”。</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33.3  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rPr>
        <w:t>33.4  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p>
      <w:pPr>
        <w:autoSpaceDE w:val="0"/>
        <w:autoSpaceDN w:val="0"/>
        <w:adjustRightInd w:val="0"/>
        <w:spacing w:line="360" w:lineRule="auto"/>
        <w:ind w:left="630" w:hanging="630" w:hangingChars="300"/>
        <w:jc w:val="left"/>
        <w:rPr>
          <w:rFonts w:ascii="宋体" w:hAnsi="宋体" w:cs="宋体"/>
          <w:snapToGrid w:val="0"/>
          <w:kern w:val="0"/>
          <w:szCs w:val="21"/>
        </w:rPr>
      </w:pPr>
      <w:r>
        <w:rPr>
          <w:rFonts w:hint="eastAsia" w:ascii="宋体" w:hAnsi="宋体" w:cs="宋体"/>
          <w:snapToGrid w:val="0"/>
          <w:kern w:val="0"/>
          <w:szCs w:val="21"/>
          <w:lang w:val="zh-CN"/>
        </w:rPr>
        <w:t>3</w:t>
      </w:r>
      <w:r>
        <w:rPr>
          <w:rFonts w:hint="eastAsia" w:ascii="宋体" w:hAnsi="宋体" w:cs="宋体"/>
          <w:snapToGrid w:val="0"/>
          <w:kern w:val="0"/>
          <w:szCs w:val="21"/>
        </w:rPr>
        <w:t>3</w:t>
      </w:r>
      <w:r>
        <w:rPr>
          <w:rFonts w:hint="eastAsia" w:ascii="宋体" w:hAnsi="宋体" w:cs="宋体"/>
          <w:snapToGrid w:val="0"/>
          <w:kern w:val="0"/>
          <w:szCs w:val="21"/>
          <w:lang w:val="zh-CN"/>
        </w:rPr>
        <w:t>.</w:t>
      </w:r>
      <w:r>
        <w:rPr>
          <w:rFonts w:hint="eastAsia" w:ascii="宋体" w:hAnsi="宋体" w:cs="宋体"/>
          <w:snapToGrid w:val="0"/>
          <w:kern w:val="0"/>
          <w:szCs w:val="21"/>
        </w:rPr>
        <w:t>5  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spacing w:line="360" w:lineRule="auto"/>
        <w:ind w:left="630" w:hanging="630" w:hangingChars="300"/>
        <w:jc w:val="left"/>
        <w:rPr>
          <w:rFonts w:ascii="宋体" w:hAnsi="宋体" w:cs="宋体"/>
          <w:snapToGrid w:val="0"/>
          <w:kern w:val="0"/>
          <w:szCs w:val="21"/>
          <w:lang w:val="zh-CN"/>
        </w:rPr>
      </w:pPr>
      <w:r>
        <w:rPr>
          <w:rFonts w:hint="eastAsia" w:ascii="宋体" w:hAnsi="宋体" w:cs="宋体"/>
          <w:snapToGrid w:val="0"/>
          <w:kern w:val="0"/>
          <w:szCs w:val="21"/>
          <w:lang w:val="zh-CN"/>
        </w:rPr>
        <w:t>33.</w:t>
      </w:r>
      <w:r>
        <w:rPr>
          <w:rFonts w:hint="eastAsia" w:ascii="宋体" w:hAnsi="宋体" w:cs="宋体"/>
          <w:snapToGrid w:val="0"/>
          <w:kern w:val="0"/>
          <w:szCs w:val="21"/>
        </w:rPr>
        <w:t xml:space="preserve">6  </w:t>
      </w:r>
      <w:r>
        <w:rPr>
          <w:rFonts w:hint="eastAsia" w:ascii="宋体" w:hAnsi="宋体" w:cs="宋体"/>
          <w:snapToGrid w:val="0"/>
          <w:kern w:val="0"/>
          <w:szCs w:val="21"/>
          <w:lang w:val="zh-CN"/>
        </w:rPr>
        <w:t>上述政府采购政策优惠须经磋商小组评审后执行，未提供单独分项报价或证明资料不全的不给予价格扣除。</w:t>
      </w:r>
    </w:p>
    <w:p>
      <w:pPr>
        <w:autoSpaceDE w:val="0"/>
        <w:autoSpaceDN w:val="0"/>
        <w:adjustRightInd w:val="0"/>
        <w:spacing w:line="360" w:lineRule="auto"/>
        <w:ind w:left="630" w:leftChars="300"/>
        <w:jc w:val="left"/>
        <w:rPr>
          <w:b/>
          <w:bCs/>
          <w:lang w:val="zh-CN"/>
        </w:rPr>
      </w:pPr>
      <w:r>
        <w:rPr>
          <w:rFonts w:hint="eastAsia" w:ascii="宋体" w:hAnsi="宋体" w:cs="宋体"/>
          <w:b/>
          <w:bCs/>
          <w:snapToGrid w:val="0"/>
          <w:kern w:val="0"/>
          <w:szCs w:val="21"/>
          <w:lang w:val="zh-CN"/>
        </w:rPr>
        <w:t>供应商应当对《中小企业声明函》、监狱企业证明文件、《残疾人福利性单位声明函》的真实性负责，上述材料与事实不符的，依照《政府采购法》第七十七条第一款的规定，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6" w:name="_Toc12983"/>
      <w:bookmarkStart w:id="107" w:name="_Toc25296"/>
      <w:r>
        <w:rPr>
          <w:rFonts w:hint="eastAsia" w:asciiTheme="minorEastAsia" w:hAnsiTheme="minorEastAsia" w:eastAsiaTheme="minorEastAsia" w:cstheme="minorEastAsia"/>
          <w:b/>
          <w:szCs w:val="21"/>
          <w:lang w:val="zh-CN"/>
        </w:rPr>
        <w:t>其他要求</w:t>
      </w:r>
      <w:bookmarkEnd w:id="106"/>
      <w:bookmarkEnd w:id="107"/>
    </w:p>
    <w:p>
      <w:pPr>
        <w:autoSpaceDE w:val="0"/>
        <w:autoSpaceDN w:val="0"/>
        <w:adjustRightInd w:val="0"/>
        <w:spacing w:line="360" w:lineRule="auto"/>
        <w:ind w:firstLine="420" w:firstLineChars="2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见《供应商须知前附表》。</w:t>
      </w:r>
    </w:p>
    <w:p>
      <w:pPr>
        <w:numPr>
          <w:ilvl w:val="1"/>
          <w:numId w:val="7"/>
        </w:numPr>
        <w:tabs>
          <w:tab w:val="left" w:pos="540"/>
          <w:tab w:val="clear" w:pos="840"/>
        </w:tabs>
        <w:spacing w:line="360" w:lineRule="auto"/>
        <w:ind w:left="540" w:hanging="540"/>
        <w:outlineLvl w:val="1"/>
        <w:rPr>
          <w:rFonts w:asciiTheme="minorEastAsia" w:hAnsiTheme="minorEastAsia" w:eastAsiaTheme="minorEastAsia" w:cstheme="minorEastAsia"/>
          <w:b/>
          <w:szCs w:val="21"/>
          <w:lang w:val="zh-CN"/>
        </w:rPr>
      </w:pPr>
      <w:bookmarkStart w:id="108" w:name="_Toc30166"/>
      <w:bookmarkStart w:id="109" w:name="_Toc28137"/>
      <w:r>
        <w:rPr>
          <w:rFonts w:hint="eastAsia" w:asciiTheme="minorEastAsia" w:hAnsiTheme="minorEastAsia" w:eastAsiaTheme="minorEastAsia" w:cstheme="minorEastAsia"/>
          <w:b/>
          <w:szCs w:val="21"/>
          <w:lang w:val="zh-CN"/>
        </w:rPr>
        <w:t>适用法律</w:t>
      </w:r>
      <w:bookmarkEnd w:id="108"/>
      <w:bookmarkEnd w:id="109"/>
    </w:p>
    <w:p>
      <w:pPr>
        <w:autoSpaceDE w:val="0"/>
        <w:autoSpaceDN w:val="0"/>
        <w:adjustRightInd w:val="0"/>
        <w:spacing w:line="360" w:lineRule="auto"/>
        <w:ind w:left="630" w:leftChars="300"/>
        <w:jc w:val="left"/>
        <w:rPr>
          <w:rFonts w:hint="eastAsia"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eastAsia="zh-CN"/>
        </w:rPr>
        <w:t>采购人或者采购代理机构和供应商的一切采购活动均适用于《湖北工业大学招标管理办法》等校级相关规章制度的规定。采购人另有要求时，可参照执行《中华人民共和国政府采购法》、《中华人民共和国政府采购实施条例》、《政府采购竞争性磋商采购方式管理办法》等相关规定。</w:t>
      </w:r>
    </w:p>
    <w:p>
      <w:pPr>
        <w:autoSpaceDE w:val="0"/>
        <w:autoSpaceDN w:val="0"/>
        <w:adjustRightInd w:val="0"/>
        <w:spacing w:line="360" w:lineRule="auto"/>
        <w:ind w:left="630" w:left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b/>
          <w:bCs/>
          <w:snapToGrid w:val="0"/>
          <w:kern w:val="0"/>
          <w:szCs w:val="21"/>
          <w:lang w:val="zh-CN"/>
        </w:rPr>
        <w:t>补充说明：</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除本采购文件另有规定外，采购文件中出现的类似于“近三年”或“前三年”、“近五年”或“前五年”均指递交响应文件时间以前 3 年或前 5 年，以此类推。如：递交响应文件时间为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 12 月 1 日至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11 月 30 日。</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关于提交经审计的财务报告的年份要求：递交响应文件时间如在当年 6 月 30 日以前，</w:t>
      </w:r>
      <w:r>
        <w:rPr>
          <w:rFonts w:hint="eastAsia" w:asciiTheme="minorEastAsia" w:hAnsiTheme="minorEastAsia" w:eastAsiaTheme="minorEastAsia" w:cstheme="minorEastAsia"/>
          <w:snapToGrid w:val="0"/>
          <w:kern w:val="0"/>
          <w:szCs w:val="21"/>
        </w:rPr>
        <w:t>则</w:t>
      </w:r>
      <w:r>
        <w:rPr>
          <w:rFonts w:hint="eastAsia" w:asciiTheme="minorEastAsia" w:hAnsiTheme="minorEastAsia" w:eastAsiaTheme="minorEastAsia" w:cstheme="minorEastAsia"/>
          <w:snapToGrid w:val="0"/>
          <w:kern w:val="0"/>
          <w:szCs w:val="21"/>
          <w:lang w:val="zh-CN"/>
        </w:rPr>
        <w:t>近三年指上上个年度往前推算的三年，如递交响应文件时间为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6 月 9 日，则“近三年”</w:t>
      </w:r>
      <w:r>
        <w:rPr>
          <w:rFonts w:hint="eastAsia" w:asciiTheme="minorEastAsia" w:hAnsiTheme="minorEastAsia" w:eastAsiaTheme="minorEastAsia" w:cstheme="minorEastAsia"/>
          <w:snapToGrid w:val="0"/>
          <w:kern w:val="0"/>
          <w:szCs w:val="21"/>
        </w:rPr>
        <w:t>是</w:t>
      </w:r>
      <w:r>
        <w:rPr>
          <w:rFonts w:hint="eastAsia" w:asciiTheme="minorEastAsia" w:hAnsiTheme="minorEastAsia" w:eastAsiaTheme="minorEastAsia" w:cstheme="minorEastAsia"/>
          <w:snapToGrid w:val="0"/>
          <w:kern w:val="0"/>
          <w:szCs w:val="21"/>
          <w:lang w:val="zh-CN"/>
        </w:rPr>
        <w:t>指 201</w:t>
      </w:r>
      <w:r>
        <w:rPr>
          <w:rFonts w:hint="eastAsia" w:asciiTheme="minorEastAsia" w:hAnsiTheme="minorEastAsia" w:eastAsiaTheme="minorEastAsia" w:cstheme="minorEastAsia"/>
          <w:snapToGrid w:val="0"/>
          <w:kern w:val="0"/>
          <w:szCs w:val="21"/>
        </w:rPr>
        <w:t>5</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年度。递交响应文件时间如在当年 6 月 30 日以后，则近三年是指上个年度往前推算的 3 年，如递交响应文件时间为 201</w:t>
      </w:r>
      <w:r>
        <w:rPr>
          <w:rFonts w:hint="eastAsia" w:asciiTheme="minorEastAsia" w:hAnsiTheme="minorEastAsia" w:eastAsiaTheme="minorEastAsia" w:cstheme="minorEastAsia"/>
          <w:snapToGrid w:val="0"/>
          <w:kern w:val="0"/>
          <w:szCs w:val="21"/>
        </w:rPr>
        <w:t>9</w:t>
      </w:r>
      <w:r>
        <w:rPr>
          <w:rFonts w:hint="eastAsia" w:asciiTheme="minorEastAsia" w:hAnsiTheme="minorEastAsia" w:eastAsiaTheme="minorEastAsia" w:cstheme="minorEastAsia"/>
          <w:snapToGrid w:val="0"/>
          <w:kern w:val="0"/>
          <w:szCs w:val="21"/>
          <w:lang w:val="zh-CN"/>
        </w:rPr>
        <w:t>年 12 月 1 日，则“近三年”是指 201</w:t>
      </w:r>
      <w:r>
        <w:rPr>
          <w:rFonts w:hint="eastAsia" w:asciiTheme="minorEastAsia" w:hAnsiTheme="minorEastAsia" w:eastAsiaTheme="minorEastAsia" w:cstheme="minorEastAsia"/>
          <w:snapToGrid w:val="0"/>
          <w:kern w:val="0"/>
          <w:szCs w:val="21"/>
        </w:rPr>
        <w:t>6</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7</w:t>
      </w:r>
      <w:r>
        <w:rPr>
          <w:rFonts w:hint="eastAsia" w:asciiTheme="minorEastAsia" w:hAnsiTheme="minorEastAsia" w:eastAsiaTheme="minorEastAsia" w:cstheme="minorEastAsia"/>
          <w:snapToGrid w:val="0"/>
          <w:kern w:val="0"/>
          <w:szCs w:val="21"/>
          <w:lang w:val="zh-CN"/>
        </w:rPr>
        <w:t>年度、201</w:t>
      </w:r>
      <w:r>
        <w:rPr>
          <w:rFonts w:hint="eastAsia" w:asciiTheme="minorEastAsia" w:hAnsiTheme="minorEastAsia" w:eastAsiaTheme="minorEastAsia" w:cstheme="minorEastAsia"/>
          <w:snapToGrid w:val="0"/>
          <w:kern w:val="0"/>
          <w:szCs w:val="21"/>
        </w:rPr>
        <w:t>8</w:t>
      </w:r>
      <w:r>
        <w:rPr>
          <w:rFonts w:hint="eastAsia" w:asciiTheme="minorEastAsia" w:hAnsiTheme="minorEastAsia" w:eastAsiaTheme="minorEastAsia" w:cstheme="minorEastAsia"/>
          <w:snapToGrid w:val="0"/>
          <w:kern w:val="0"/>
          <w:szCs w:val="21"/>
          <w:lang w:val="zh-CN"/>
        </w:rPr>
        <w:t>年度。</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本采购文件所称的“以上”、“以下”、“内”、“以内”，均包括本数；所称的“不足”，不包括本数。</w:t>
      </w:r>
    </w:p>
    <w:p>
      <w:pPr>
        <w:numPr>
          <w:ilvl w:val="0"/>
          <w:numId w:val="33"/>
        </w:numPr>
        <w:autoSpaceDE w:val="0"/>
        <w:autoSpaceDN w:val="0"/>
        <w:adjustRightInd w:val="0"/>
        <w:spacing w:line="360" w:lineRule="auto"/>
        <w:ind w:left="630" w:hanging="630" w:hangingChars="300"/>
        <w:jc w:val="left"/>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napToGrid w:val="0"/>
          <w:kern w:val="0"/>
          <w:szCs w:val="21"/>
          <w:lang w:val="zh-CN"/>
        </w:rPr>
        <w:t>成立时间不足应提交财务报告年份要求的，按成立时间起算。</w:t>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r>
        <w:rPr>
          <w:rFonts w:hint="eastAsia" w:asciiTheme="minorEastAsia" w:hAnsiTheme="minorEastAsia" w:eastAsiaTheme="minorEastAsia" w:cstheme="minorEastAsia"/>
          <w:snapToGrid w:val="0"/>
          <w:kern w:val="0"/>
          <w:szCs w:val="21"/>
          <w:lang w:val="zh-CN"/>
        </w:rPr>
        <w:br w:type="textWrapping"/>
      </w:r>
    </w:p>
    <w:p>
      <w:pPr>
        <w:numPr>
          <w:ilvl w:val="0"/>
          <w:numId w:val="4"/>
        </w:numPr>
        <w:jc w:val="center"/>
        <w:outlineLvl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br w:type="page"/>
      </w:r>
      <w:bookmarkStart w:id="110" w:name="_Toc8164"/>
      <w:r>
        <w:rPr>
          <w:rFonts w:hint="eastAsia" w:asciiTheme="minorEastAsia" w:hAnsiTheme="minorEastAsia" w:eastAsiaTheme="minorEastAsia" w:cstheme="minorEastAsia"/>
          <w:b/>
          <w:bCs/>
          <w:sz w:val="36"/>
          <w:szCs w:val="36"/>
        </w:rPr>
        <w:t>采购需求</w:t>
      </w:r>
      <w:bookmarkEnd w:id="110"/>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1" w:name="_Toc16493"/>
      <w:r>
        <w:rPr>
          <w:rFonts w:hint="eastAsia" w:asciiTheme="minorEastAsia" w:hAnsiTheme="minorEastAsia" w:eastAsiaTheme="minorEastAsia" w:cstheme="minorEastAsia"/>
          <w:b/>
          <w:bCs/>
          <w:sz w:val="24"/>
        </w:rPr>
        <w:t>一、</w:t>
      </w:r>
      <w:bookmarkEnd w:id="111"/>
      <w:r>
        <w:rPr>
          <w:rFonts w:hint="eastAsia" w:asciiTheme="minorEastAsia" w:hAnsiTheme="minorEastAsia" w:eastAsiaTheme="minorEastAsia" w:cstheme="minorEastAsia"/>
          <w:b/>
          <w:bCs/>
          <w:sz w:val="24"/>
          <w:lang w:val="en-US" w:eastAsia="zh-CN"/>
        </w:rPr>
        <w:t>项目概述及简介</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计划将湖北工业大学南住宅区停车门禁系统建设成为本部与社区跨网最合理，系统集成高，五年不落后的具有前瞻性的系统。实现功能完善、管理方便、使用成本低的目标。硬件要求质量好、稳定性高，软件要求功能完善，能按甲方的要求免费进行多次的二次开发，并融入至现有的停车系统、收费综合管理平台进行统一管理投标单位提供书面承诺，需具备开发能力证明等，虚假应标，项目功能无法实现的，将不予通过验收，所有损失，投标单位自行负责。</w:t>
      </w:r>
      <w:r>
        <w:rPr>
          <w:rFonts w:hint="eastAsia" w:asciiTheme="minorEastAsia" w:hAnsiTheme="minorEastAsia" w:eastAsiaTheme="minorEastAsia" w:cstheme="minorEastAsia"/>
          <w:b/>
          <w:bCs/>
          <w:szCs w:val="21"/>
          <w:lang w:val="en-US" w:eastAsia="zh-CN"/>
        </w:rPr>
        <w:t>（提供承诺书、格式自拟）</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2.湖北工业大学南门南住宅区（南区）主要干道上建设交通管制系统，并在湖工本部接入停车子系统对接部分车辆进行出入管控（本部车辆自动同步至南住宅区），有效提高教工车辆录入互通，改善收费方式及水平，同时为违停、手持终端抓拍系统预留接口，实现一个管理平台进行统一管理，实现统一授权等功能，如需增加设备及软件供应商一并考虑并计入总价。 </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3.可在指定时间段内对指定区域自动对教职工开放，其它时间不允许外来车辆出入，支持自定义时间段限行，高峰时间段过后，自动解除限行策略，也可设置特定车辆进入。 </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4.整个系统采用防控级别设备，开放型系统架构，可具备接入公安系统、第三方平台系统等要求。 </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5.语音提示系统，车辆离场时提示进出场欢迎类信息、车辆信息，车辆在校园内超速违法信息，如有违规，进口提示黑名单车辆等信息。车辆出场时如在校内有超速违法，则优先显示车辆在校园内违法信息，并通过语音提示系统同步播放（根据需要可关闭或开启）。 </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6.在教工专用停车场建设自动道闸一体机设备，出入口、安全岛等，实现无人值守，将新设备的停车数据平滑接入综合管理系统，并对新建的安全岛进行全新的刷漆翻新。 </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本次项目升级改造老旧停车场进出系统，智能停车系统秉承“一库通、一网通、一牌通”等设计建设原则，意在打通南住宅区与湖工本部的数据实现“互联互通互控”，设计一套账、一个平台设计，减少教工、教师、学生、退休教工等少跑路，简化流程的理念思路建设，对平台进行提档升级、互通互控等。</w:t>
      </w:r>
    </w:p>
    <w:p>
      <w:pPr>
        <w:autoSpaceDE w:val="0"/>
        <w:autoSpaceDN w:val="0"/>
        <w:adjustRightInd w:val="0"/>
        <w:spacing w:line="360" w:lineRule="auto"/>
        <w:ind w:firstLine="422"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b/>
          <w:bCs/>
          <w:szCs w:val="21"/>
          <w:lang w:val="en-US" w:eastAsia="zh-CN"/>
        </w:rPr>
        <w:t>8.项目包含：系统研发设计，数据对接、建设方需</w:t>
      </w:r>
      <w:r>
        <w:rPr>
          <w:rFonts w:hint="eastAsia" w:asciiTheme="minorEastAsia" w:hAnsiTheme="minorEastAsia" w:eastAsiaTheme="minorEastAsia" w:cstheme="minorEastAsia"/>
          <w:b/>
          <w:bCs/>
          <w:color w:val="auto"/>
          <w:szCs w:val="21"/>
          <w:lang w:val="en-US" w:eastAsia="zh-CN"/>
        </w:rPr>
        <w:t>附带设计方案（</w:t>
      </w:r>
      <w:r>
        <w:rPr>
          <w:rFonts w:hint="eastAsia" w:ascii="宋体" w:hAnsi="宋体" w:eastAsia="宋体" w:cs="宋体"/>
          <w:b/>
          <w:bCs/>
          <w:color w:val="auto"/>
          <w:szCs w:val="21"/>
        </w:rPr>
        <w:t>包含但不限于</w:t>
      </w:r>
      <w:r>
        <w:rPr>
          <w:rFonts w:hint="eastAsia" w:asciiTheme="minorEastAsia" w:hAnsiTheme="minorEastAsia" w:eastAsiaTheme="minorEastAsia" w:cstheme="minorEastAsia"/>
          <w:b/>
          <w:bCs/>
          <w:color w:val="auto"/>
          <w:kern w:val="0"/>
          <w:sz w:val="21"/>
          <w:szCs w:val="21"/>
          <w:lang w:val="en-US" w:eastAsia="zh-CN" w:bidi="ar-SA"/>
        </w:rPr>
        <w:t>提供校园门禁网络拓扑图、施工布线图、车辆出入口道闸示意图等</w:t>
      </w:r>
      <w:r>
        <w:rPr>
          <w:rFonts w:hint="eastAsia" w:asciiTheme="minorEastAsia" w:hAnsiTheme="minorEastAsia" w:eastAsiaTheme="minorEastAsia" w:cstheme="minorEastAsia"/>
          <w:b/>
          <w:bCs/>
          <w:color w:val="auto"/>
          <w:szCs w:val="21"/>
          <w:lang w:val="en-US" w:eastAsia="zh-CN"/>
        </w:rPr>
        <w:t>）、建设</w:t>
      </w:r>
      <w:r>
        <w:rPr>
          <w:rFonts w:hint="eastAsia" w:asciiTheme="minorEastAsia" w:hAnsiTheme="minorEastAsia" w:eastAsiaTheme="minorEastAsia" w:cstheme="minorEastAsia"/>
          <w:b/>
          <w:bCs/>
          <w:szCs w:val="21"/>
          <w:lang w:val="en-US" w:eastAsia="zh-CN"/>
        </w:rPr>
        <w:t>一套通行系统且账务分离的机制、安装、调试、培训、维护、建设完成后对账、先行后付费等工作。</w:t>
      </w:r>
    </w:p>
    <w:p>
      <w:pPr>
        <w:autoSpaceDE w:val="0"/>
        <w:autoSpaceDN w:val="0"/>
        <w:adjustRightInd w:val="0"/>
        <w:spacing w:line="360" w:lineRule="auto"/>
        <w:outlineLvl w:val="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二</w:t>
      </w: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b/>
          <w:bCs/>
          <w:sz w:val="24"/>
          <w:lang w:val="en-US" w:eastAsia="zh-CN"/>
        </w:rPr>
        <w:t>设计要求</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1.智能停车管理系统必须能够提供完善的通用方案接入套件；</w:t>
      </w:r>
    </w:p>
    <w:p>
      <w:pPr>
        <w:autoSpaceDE w:val="0"/>
        <w:autoSpaceDN w:val="0"/>
        <w:adjustRightInd w:val="0"/>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 xml:space="preserve">     采用一体式设计，支持兼容湖北工业大学本部系统数据。</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设计一套可靠的网络、业务交互、数据库服务，必须能够提供系统安全保障的解决方案，必须提供完善的账户管理方案，系统的信息配置、支持云端本地共存等功能，同时支持人行通道与车型通道互通可支持接入健康码数据接口。</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智能停车管理系统：采用支持固定车、临时车、黑名单车辆、进行实时管控，支持疫情防控管理，无人值守管理情况下来访车辆自助预约，到访后自动进出等要求，支持微信、支付宝/云闪付等主流支付方式，自动进入到学校或南住宅区财务指定账户。</w:t>
      </w:r>
    </w:p>
    <w:p>
      <w:pPr>
        <w:autoSpaceDE w:val="0"/>
        <w:autoSpaceDN w:val="0"/>
        <w:adjustRightInd w:val="0"/>
        <w:spacing w:line="360" w:lineRule="auto"/>
        <w:ind w:firstLine="422"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b/>
          <w:bCs/>
          <w:szCs w:val="21"/>
          <w:lang w:val="en-US" w:eastAsia="zh-CN"/>
        </w:rPr>
        <w:t>※</w:t>
      </w:r>
      <w:r>
        <w:rPr>
          <w:rFonts w:hint="eastAsia" w:asciiTheme="minorEastAsia" w:hAnsiTheme="minorEastAsia" w:eastAsiaTheme="minorEastAsia" w:cstheme="minorEastAsia"/>
          <w:szCs w:val="21"/>
          <w:lang w:val="en-US" w:eastAsia="zh-CN"/>
        </w:rPr>
        <w:t>3.南住宅区由于外来人员较多，南住宅区停车系统内的车辆进入湖北工业大学本部停车场内进行收费，本部车辆进入南住宅区停车场实现自动免费放行，当在本部停车场内交年费的商户信息，车辆自动同步到南住宅区停车场内，无需额外办理任何手续，同时支持双账户查账模式。</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4.系统数据能导出数据库并保存在指定地址，需要时能由在指定地址保存的数据及时恢复（数据库数据内容包括：车辆进出信息、固定车辆信息、人员信息、测速系统信息、车辆出场缴费信息）。</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5.支持断点续传,当网络出现异常时，将每个通道车辆进出数据存放于客户端，网络恢复正常后，客户端存放的临时数据自动上传至服务器前端并跳出提示框，提示网络故障或服务器异常等字样。</w:t>
      </w:r>
    </w:p>
    <w:p>
      <w:pPr>
        <w:autoSpaceDE w:val="0"/>
        <w:autoSpaceDN w:val="0"/>
        <w:adjustRightInd w:val="0"/>
        <w:spacing w:line="360" w:lineRule="auto"/>
        <w:ind w:firstLine="422"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b/>
          <w:bCs/>
          <w:szCs w:val="21"/>
          <w:lang w:val="en-US" w:eastAsia="zh-CN"/>
        </w:rPr>
        <w:t>※</w:t>
      </w:r>
      <w:r>
        <w:rPr>
          <w:rFonts w:hint="eastAsia" w:asciiTheme="minorEastAsia" w:hAnsiTheme="minorEastAsia" w:eastAsiaTheme="minorEastAsia" w:cstheme="minorEastAsia"/>
          <w:szCs w:val="21"/>
          <w:lang w:val="en-US" w:eastAsia="zh-CN"/>
        </w:rPr>
        <w:t>6.各系统软件对接要求，校区内超速黑名单车辆无法进入南住宅区，进出口LCD或LCD屏支持显示自定义语音，同时支持超速白名单设置。</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7.查询功能：用户信息查询、内部车辆查询、设备信息查询、出入记录查询、特殊车辆进出查询；</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8.统计功能：车辆出入统计、收费日报统计、收费月报统计、收费年报统计、交接班收费统计、黑名单统计、访客车统计。</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9.车辆入口配置室外语音播报个性化提醒功能，能够播报欢迎类信息。</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10.各出口配置可自定义内容的LCD显示屏和室外语音播报功能，播放提示类信息。包括播放欢迎类信息、车辆在校园内超速违法类信息，显示屏与语音播报系统联动，显示屏显示内容与语音播放内容一致。</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11.整个系统按设备所处位置及系统结构可分为：前端系统、传输系统和管理中心三部分组成。</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（1）前端系统：前端系统由高速挡车器、车辆检测器、显示系统、车牌识别抓拍、地感线圈等组成。</w:t>
      </w:r>
    </w:p>
    <w:p>
      <w:pPr>
        <w:autoSpaceDE w:val="0"/>
        <w:autoSpaceDN w:val="0"/>
        <w:adjustRightInd w:val="0"/>
        <w:spacing w:line="360" w:lineRule="auto"/>
        <w:ind w:firstLine="630" w:firstLineChars="3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前端系统要求：稳定可靠，能在恶劣环境下稳定工作；布局合理，整洁美观；网络故障时能脱机运行；供电故障时能手动操作。</w:t>
      </w:r>
    </w:p>
    <w:p>
      <w:pPr>
        <w:autoSpaceDE w:val="0"/>
        <w:autoSpaceDN w:val="0"/>
        <w:adjustRightInd w:val="0"/>
        <w:spacing w:line="360" w:lineRule="auto"/>
        <w:ind w:firstLine="420" w:firstLineChars="200"/>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（2）传输系统：传输系统由室外传输光缆、网络交换机等组成</w:t>
      </w:r>
    </w:p>
    <w:p>
      <w:pPr>
        <w:autoSpaceDE w:val="0"/>
        <w:autoSpaceDN w:val="0"/>
        <w:adjustRightInd w:val="0"/>
        <w:spacing w:line="360" w:lineRule="auto"/>
        <w:rPr>
          <w:rFonts w:hint="eastAsia"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lang w:val="en-US" w:eastAsia="zh-CN"/>
        </w:rPr>
        <w:t>传输系统要求：采用专用网络。光缆施工利用现有地下管道，个别地段采用直埋方式，直埋深度不少于30cm。交换机要求千兆传输接口，具有良好的网络管理控制功能。</w:t>
      </w:r>
    </w:p>
    <w:p>
      <w:pPr>
        <w:numPr>
          <w:ilvl w:val="0"/>
          <w:numId w:val="34"/>
        </w:numPr>
        <w:autoSpaceDE w:val="0"/>
        <w:autoSpaceDN w:val="0"/>
        <w:adjustRightInd w:val="0"/>
        <w:spacing w:line="360" w:lineRule="auto"/>
        <w:ind w:firstLine="420" w:firstLineChars="200"/>
        <w:rPr>
          <w:rFonts w:hint="eastAsia" w:ascii="宋体" w:hAnsi="宋体" w:eastAsia="宋体" w:cs="宋体"/>
          <w:b/>
          <w:bCs/>
          <w:sz w:val="28"/>
          <w:szCs w:val="36"/>
          <w:lang w:val="en-US" w:eastAsia="zh-CN"/>
        </w:rPr>
      </w:pPr>
      <w:r>
        <w:rPr>
          <w:rFonts w:hint="eastAsia" w:asciiTheme="minorEastAsia" w:hAnsiTheme="minorEastAsia" w:eastAsiaTheme="minorEastAsia" w:cstheme="minorEastAsia"/>
          <w:szCs w:val="21"/>
          <w:lang w:val="en-US" w:eastAsia="zh-CN"/>
        </w:rPr>
        <w:t>管理中心：数据服务器、车辆管理软件、外网映射管理系统、预约管理系统、在线支付管理系统、网络交换设备等组成。</w:t>
      </w:r>
    </w:p>
    <w:p>
      <w:pPr>
        <w:autoSpaceDE w:val="0"/>
        <w:autoSpaceDN w:val="0"/>
        <w:adjustRightInd w:val="0"/>
        <w:spacing w:line="360" w:lineRule="auto"/>
        <w:ind w:firstLine="422" w:firstLineChars="200"/>
        <w:rPr>
          <w:rFonts w:hint="eastAsia" w:asciiTheme="minorEastAsia" w:hAnsiTheme="minorEastAsia" w:eastAsiaTheme="minorEastAsia" w:cstheme="minorEastAsia"/>
          <w:b/>
          <w:bCs/>
          <w:szCs w:val="21"/>
          <w:lang w:val="en-US" w:eastAsia="zh-CN"/>
        </w:rPr>
      </w:pPr>
      <w:r>
        <w:rPr>
          <w:rFonts w:hint="eastAsia" w:asciiTheme="minorEastAsia" w:hAnsiTheme="minorEastAsia" w:eastAsiaTheme="minorEastAsia" w:cstheme="minorEastAsia"/>
          <w:b/>
          <w:bCs/>
          <w:szCs w:val="21"/>
          <w:lang w:val="en-US" w:eastAsia="zh-CN"/>
        </w:rPr>
        <w:t>注:带※项为系统重要功能设计要求，投标供应商成交后如未实现功能视未虚假应标，采购人有权终止后续流程，并启动相关法律程序追究成交供应商责任。成交供应商承担由此产生的相关费用，并赔偿由此给采购人造成的损失。功能验证过程产生的费用，由成交供应商承担。</w:t>
      </w:r>
    </w:p>
    <w:p>
      <w:pPr>
        <w:bidi w:val="0"/>
        <w:rPr>
          <w:rFonts w:hint="eastAsia"/>
          <w:lang w:eastAsia="zh-CN"/>
        </w:rPr>
      </w:pPr>
    </w:p>
    <w:p>
      <w:pPr>
        <w:autoSpaceDE w:val="0"/>
        <w:autoSpaceDN w:val="0"/>
        <w:adjustRightInd w:val="0"/>
        <w:spacing w:line="360" w:lineRule="auto"/>
        <w:outlineLvl w:val="1"/>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三</w:t>
      </w:r>
      <w:r>
        <w:rPr>
          <w:rFonts w:hint="eastAsia" w:asciiTheme="minorEastAsia" w:hAnsiTheme="minorEastAsia" w:eastAsiaTheme="minorEastAsia" w:cstheme="minorEastAsia"/>
          <w:b/>
          <w:bCs/>
          <w:sz w:val="24"/>
        </w:rPr>
        <w:t>、</w:t>
      </w:r>
      <w:r>
        <w:rPr>
          <w:rFonts w:hint="eastAsia" w:asciiTheme="minorEastAsia" w:hAnsiTheme="minorEastAsia" w:eastAsiaTheme="minorEastAsia" w:cstheme="minorEastAsia"/>
          <w:b/>
          <w:bCs/>
          <w:sz w:val="24"/>
          <w:lang w:val="en-US" w:eastAsia="zh-CN"/>
        </w:rPr>
        <w:t>设备清单</w:t>
      </w:r>
    </w:p>
    <w:tbl>
      <w:tblPr>
        <w:tblStyle w:val="26"/>
        <w:tblW w:w="505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1"/>
        <w:gridCol w:w="1188"/>
        <w:gridCol w:w="1120"/>
        <w:gridCol w:w="4962"/>
        <w:gridCol w:w="737"/>
        <w:gridCol w:w="73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4"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kern w:val="0"/>
                <w:sz w:val="21"/>
                <w:szCs w:val="21"/>
                <w:u w:val="none"/>
                <w:lang w:val="en-US" w:eastAsia="zh-CN" w:bidi="ar"/>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序号</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分类名称</w:t>
            </w:r>
          </w:p>
        </w:tc>
        <w:tc>
          <w:tcPr>
            <w:tcW w:w="5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产品模块</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规格参数</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单位</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000000"/>
                <w:sz w:val="21"/>
                <w:szCs w:val="21"/>
                <w:u w:val="none"/>
              </w:rPr>
            </w:pPr>
            <w:r>
              <w:rPr>
                <w:rFonts w:hint="eastAsia" w:asciiTheme="minorEastAsia" w:hAnsiTheme="minorEastAsia" w:eastAsiaTheme="minorEastAsia" w:cstheme="minorEastAsia"/>
                <w:b/>
                <w:bCs/>
                <w:i w:val="0"/>
                <w:iCs w:val="0"/>
                <w:color w:val="000000"/>
                <w:kern w:val="0"/>
                <w:sz w:val="21"/>
                <w:szCs w:val="21"/>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41"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专用综合平台管理软件</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车场综合接入业务</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line="240" w:lineRule="auto"/>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r>
              <w:rPr>
                <w:rFonts w:hint="eastAsia" w:asciiTheme="minorEastAsia" w:hAnsiTheme="minorEastAsia" w:eastAsiaTheme="minorEastAsia" w:cstheme="minorEastAsia"/>
                <w:sz w:val="21"/>
                <w:szCs w:val="21"/>
                <w:lang w:val="en-US" w:eastAsia="zh-CN"/>
              </w:rPr>
              <w:t>1、</w:t>
            </w:r>
            <w:r>
              <w:rPr>
                <w:rFonts w:hint="eastAsia" w:asciiTheme="minorEastAsia" w:hAnsiTheme="minorEastAsia" w:eastAsiaTheme="minorEastAsia" w:cstheme="minorEastAsia"/>
                <w:color w:val="000000"/>
                <w:sz w:val="21"/>
                <w:szCs w:val="21"/>
                <w:u w:val="none"/>
                <w:lang w:val="en-US" w:eastAsia="zh-CN" w:bidi="ar"/>
              </w:rPr>
              <w:t>车场管理、车场设置、记录查询、财务管理、测速管理、通行预约管理、在线车场监控、设备管理、信息发布；</w:t>
            </w:r>
            <w:r>
              <w:rPr>
                <w:rFonts w:hint="eastAsia" w:asciiTheme="minorEastAsia" w:hAnsiTheme="minorEastAsia" w:eastAsiaTheme="minorEastAsia" w:cstheme="minorEastAsia"/>
                <w:sz w:val="21"/>
                <w:szCs w:val="21"/>
                <w:lang w:val="en-US" w:eastAsia="zh-CN"/>
              </w:rPr>
              <w:br w:type="textWrapping"/>
            </w:r>
            <w:r>
              <w:rPr>
                <w:rFonts w:hint="eastAsia" w:asciiTheme="minorEastAsia" w:hAnsiTheme="minorEastAsia" w:eastAsiaTheme="minorEastAsia" w:cstheme="minorEastAsia"/>
                <w:sz w:val="21"/>
                <w:szCs w:val="21"/>
                <w:lang w:val="en-US" w:eastAsia="zh-CN"/>
              </w:rPr>
              <w:t>★2、实现对商户的管理、流水查询、商</w:t>
            </w:r>
            <w:r>
              <w:rPr>
                <w:rFonts w:hint="eastAsia" w:asciiTheme="minorEastAsia" w:hAnsiTheme="minorEastAsia" w:eastAsiaTheme="minorEastAsia" w:cstheme="minorEastAsia"/>
                <w:color w:val="000000"/>
                <w:sz w:val="21"/>
                <w:szCs w:val="21"/>
                <w:u w:val="none"/>
                <w:lang w:val="en-US" w:eastAsia="zh-CN" w:bidi="ar"/>
              </w:rPr>
              <w:t>户转账、密码重置等，档案信息的修改和查询，未开户档案修改等操作。</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★3、可在线修改证件号、姓名、身份等档案信息；导入的用户档案信息，在还未开户时，发现档案有问题，可以对档案进行修改。同时支持上传车户信息和证明材料归档。</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可按照证件号、姓名、部门、身份证号、开户日期、年级、身份等参数进行查询已经开过户的档案信息。车场前端设备管理、设备连接、设备认证与授权、网关接入等核心功能；支持批量操作，提供REST API接口和WEB界面</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系统配置工作台</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系统工具</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系统工具、表单构建、系统管理、数据管理、数据备份、第三方对接管理、字典参数管理、日志管理，查询接口分类信息列表、添加接口分类信息、修改接口分类信息、删除接口分类信息，操作员信息列表查询、添加操作员信息、修改操作员信息、删除操作员信息，角色信息列表查询、添加角色信息、修改角色信息、删除角色信息，设备实时状态；提供WEB设备监控界面，也可为稽核平台等应用提供监控数据接口。</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管理系统工作台</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配置工具</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进出报表、通道报表、操作员报表、微信报表、支付宝报表、日志系统报表、管理员报表、先跑后付费支付分报表。</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15" w:hRule="atLeast"/>
          <w:jc w:val="center"/>
        </w:trPr>
        <w:tc>
          <w:tcPr>
            <w:tcW w:w="346" w:type="pct"/>
            <w:vMerge w:val="restart"/>
            <w:tcBorders>
              <w:top w:val="single" w:color="000000" w:sz="4" w:space="0"/>
              <w:left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c>
          <w:tcPr>
            <w:tcW w:w="63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平台发布</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信息发布</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r>
              <w:rPr>
                <w:rFonts w:hint="eastAsia" w:asciiTheme="minorEastAsia" w:hAnsiTheme="minorEastAsia" w:eastAsiaTheme="minorEastAsia" w:cstheme="minorEastAsia"/>
                <w:color w:val="000000"/>
                <w:sz w:val="21"/>
                <w:szCs w:val="21"/>
                <w:u w:val="none"/>
                <w:lang w:val="en-US" w:eastAsia="zh-CN" w:bidi="ar"/>
              </w:rPr>
              <w:t>1、消息管理平台，是通过数据交换触发方式，将指定数据以消息的形式，推送到信息发布系统如短信平台、微信平台、移动app、出入口显示屏等系统，简化信息系统与信息发布系统的接口，用以规范化管理消息及为消息发布和推送提供服务。</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2、方便用户可以实时查询学校、南住宅区相关的消息记录，实时掌握个人的进行通行等情况。可以实时的将校内的各种通知公告、重要新闻、以及平台的各种消息提示及平台的使用帮助等信息推送到移动端，默认包含5000条短信通知。</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80" w:hRule="atLeast"/>
          <w:jc w:val="center"/>
        </w:trPr>
        <w:tc>
          <w:tcPr>
            <w:tcW w:w="346" w:type="pct"/>
            <w:vMerge w:val="continue"/>
            <w:tcBorders>
              <w:left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6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扫码支付平台</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color w:val="000000"/>
                <w:sz w:val="21"/>
                <w:szCs w:val="21"/>
                <w:u w:val="none"/>
                <w:lang w:val="en-US" w:eastAsia="zh-CN" w:bidi="ar"/>
              </w:rPr>
              <w:t>1、支持订单查询、支付结算、多平台联动管理，平台与本地自动收费效验，保证无错账，可实时远程查看支付订单。</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 xml:space="preserve"> ★2、支付商户接入，任意收费模式均可接入使用，支付可免收手续费，实现对收费设备的管理、设备与商户的绑定、解绑、参数设置等功能，同时支持代收付业务。</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★3、</w:t>
            </w:r>
            <w:r>
              <w:rPr>
                <w:rFonts w:hint="eastAsia" w:asciiTheme="minorEastAsia" w:hAnsiTheme="minorEastAsia" w:eastAsiaTheme="minorEastAsia" w:cstheme="minorEastAsia"/>
                <w:b/>
                <w:bCs/>
                <w:color w:val="000000"/>
                <w:sz w:val="21"/>
                <w:szCs w:val="21"/>
                <w:u w:val="none"/>
                <w:lang w:val="en-US" w:eastAsia="zh-CN" w:bidi="ar"/>
              </w:rPr>
              <w:t>支持先出场后付费体验，车主在开通服务后即可享受先离场后系统自动扣费功能，大大提供通行速度及效率（提供软件截图）。</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80" w:hRule="atLeast"/>
          <w:jc w:val="center"/>
        </w:trPr>
        <w:tc>
          <w:tcPr>
            <w:tcW w:w="346" w:type="pct"/>
            <w:vMerge w:val="continue"/>
            <w:tcBorders>
              <w:left w:val="single" w:color="000000" w:sz="4" w:space="0"/>
              <w:bottom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63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Theme="minorEastAsia" w:hAnsiTheme="minorEastAsia" w:eastAsiaTheme="minorEastAsia" w:cstheme="minorEastAsia"/>
                <w:i w:val="0"/>
                <w:iCs w:val="0"/>
                <w:color w:val="000000"/>
                <w:sz w:val="21"/>
                <w:szCs w:val="21"/>
                <w:u w:val="none"/>
              </w:rPr>
            </w:pP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电子接待卷系统</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r>
              <w:rPr>
                <w:rFonts w:hint="eastAsia" w:asciiTheme="minorEastAsia" w:hAnsiTheme="minorEastAsia" w:eastAsiaTheme="minorEastAsia" w:cstheme="minorEastAsia"/>
                <w:color w:val="000000"/>
                <w:sz w:val="21"/>
                <w:szCs w:val="21"/>
                <w:u w:val="none"/>
                <w:lang w:val="en-US" w:eastAsia="zh-CN" w:bidi="ar"/>
              </w:rPr>
              <w:t>1、开发电子接待卷系统，来访人员可以在无人值守的情况下自助使用接待卷进行进出，同时支持被扫、主扫、系统自动抵扣等三种模式。也可以使用电子接待卷进行挂账进出。</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★2、支持第三方发票自助开发接口，需要可申请开通，此项电子发票接口需根据需求单独开发</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5</w:t>
            </w:r>
          </w:p>
        </w:tc>
        <w:tc>
          <w:tcPr>
            <w:tcW w:w="63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系统接入</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研发对接</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r>
              <w:rPr>
                <w:rFonts w:hint="eastAsia" w:asciiTheme="minorEastAsia" w:hAnsiTheme="minorEastAsia" w:eastAsiaTheme="minorEastAsia" w:cstheme="minorEastAsia"/>
                <w:color w:val="000000"/>
                <w:sz w:val="21"/>
                <w:szCs w:val="21"/>
                <w:u w:val="none"/>
                <w:lang w:val="en-US" w:eastAsia="zh-CN" w:bidi="ar"/>
              </w:rPr>
              <w:t>1、开放系统接口，可使微信公众号预约进场（审批制）：提交入校申请-审批通过-进校自动起杆-（收费或免费），特需提供黑白名单的增删改查接口。(预约车接口）</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2、为应对智慧校园的全面兴起，需一款云端设置板块，为以后需求的扩展性考虑为保证数据读取一致性，需保证湖北工业大学本地数据实时互通，缴费车辆自动进入南住宅区系统内，自由通行，对南住宅区车辆进入湖工的商户车实行自动判别，进入实施收费，湖北工业大学车辆进入南住宅区自动免费不在需要人工手动输入，实现互联网在线管理。</w:t>
            </w:r>
            <w:r>
              <w:rPr>
                <w:rFonts w:hint="eastAsia" w:asciiTheme="minorEastAsia" w:hAnsiTheme="minorEastAsia" w:eastAsiaTheme="minorEastAsia" w:cstheme="minorEastAsia"/>
                <w:color w:val="000000"/>
                <w:sz w:val="21"/>
                <w:szCs w:val="21"/>
                <w:u w:val="none"/>
                <w:lang w:val="en-US" w:eastAsia="zh-CN" w:bidi="ar"/>
              </w:rPr>
              <w:br w:type="textWrapping"/>
            </w:r>
            <w:r>
              <w:rPr>
                <w:rFonts w:hint="eastAsia" w:asciiTheme="minorEastAsia" w:hAnsiTheme="minorEastAsia" w:eastAsiaTheme="minorEastAsia" w:cstheme="minorEastAsia"/>
                <w:color w:val="000000"/>
                <w:sz w:val="21"/>
                <w:szCs w:val="21"/>
                <w:u w:val="none"/>
                <w:lang w:val="en-US" w:eastAsia="zh-CN" w:bidi="ar"/>
              </w:rPr>
              <w:t>★3、能读取各种记录，提供记录接口，如收费记录、停车记录，是否是违章车、条件查询（比如固定车起始结束日期、停车场类型、院系等）等</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2"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6</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高速道闸</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核心电机</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1.★杆长≤3米，起落速度0.6-1秒，速度可调，可设置起落速度不同，起快落慢</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2.★防砸车砸人功能，遇阻反弹技术（灵敏度可调节）</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3.★一体化机箱设计</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4.变频运行柔和、零件损坏少、故障率低、使用寿命长</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5.配置制动装置，到位缓冲减速，运行到位控制更平稳，延长使用寿命</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6.新型减震装置，减震效果更好、终生免更换</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7.★自动模式下闸机可依据车流量变化自动变速</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8.全新限位技术、限位免调试、运行更平稳、控制更精准</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9.★断电记忆功能，防止人为断电开闸；</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10.线控、遥控开闸记忆显示</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11、频率范围：20KHz—170KHz，三级灵敏度可调反应时间≤100毫秒，自动飘移补偿，线圈电感80uH—300uH（包含连接线）</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7</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专用管理服务器</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管理服务</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2U单路标准机架式服务器</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CPU：1颗 (16核，2.4GHz)</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内存2*16G DDR4，16根内存插槽，最大支持扩展至2TB内存，硬盘：2块1T 7.2K 3.5英寸SATA盘</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可选支持12块3.5寸(兼容2.5寸)热插拔SAS/SATA硬盘，可选支持2块后置2.5寸热插拔SAS/SATA硬盘</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可选支持4块NVME U.2热插拔硬盘</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支持1个M.2插槽</w:t>
            </w:r>
            <w:r>
              <w:rPr>
                <w:rFonts w:hint="eastAsia" w:asciiTheme="minorEastAsia" w:hAnsiTheme="minorEastAsia" w:eastAsiaTheme="minorEastAsia" w:cstheme="minorEastAsia"/>
                <w:i w:val="0"/>
                <w:iCs w:val="0"/>
                <w:color w:val="000000"/>
                <w:kern w:val="0"/>
                <w:sz w:val="21"/>
                <w:szCs w:val="21"/>
                <w:u w:val="none"/>
                <w:lang w:val="en-US" w:eastAsia="zh-CN" w:bidi="ar"/>
              </w:rPr>
              <w:br w:type="textWrapping"/>
            </w:r>
            <w:r>
              <w:rPr>
                <w:rFonts w:hint="eastAsia" w:asciiTheme="minorEastAsia" w:hAnsiTheme="minorEastAsia" w:eastAsiaTheme="minorEastAsia" w:cstheme="minorEastAsia"/>
                <w:i w:val="0"/>
                <w:iCs w:val="0"/>
                <w:color w:val="000000"/>
                <w:kern w:val="0"/>
                <w:sz w:val="21"/>
                <w:szCs w:val="21"/>
                <w:u w:val="none"/>
                <w:lang w:val="en-US" w:eastAsia="zh-CN" w:bidi="ar"/>
              </w:rPr>
              <w:t>支持1个TF插槽</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8</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超灵敏车辆探测器</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双路环形检测，高度过车检测，灵敏度可自由调节，支持大小车同时检测</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9</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智能控制器</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r>
              <w:rPr>
                <w:rFonts w:hint="eastAsia" w:asciiTheme="minorEastAsia" w:hAnsiTheme="minorEastAsia" w:eastAsiaTheme="minorEastAsia" w:cstheme="minorEastAsia"/>
                <w:color w:val="000000"/>
                <w:sz w:val="21"/>
                <w:szCs w:val="21"/>
                <w:u w:val="none"/>
                <w:lang w:val="en-US" w:eastAsia="zh-CN" w:bidi="ar"/>
              </w:rPr>
              <w:t>可支持各种语音自由设计，对进出类型可自定义设置，可同时控制多种显示屏，也可以实施对遥控器的记录进行开发。</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块</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专用识别前端软件</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核心服务平台的前置服务，作为消息的转发和转换的前端，可提示黑名单、访客车、临时车自定义配置，也可以设置在云端远程管理等。</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数字车牌识别一体机</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传感器300W 1/2.8 星光级 CMOS 分辨率 ≥1920*1080 低照度 0.01LUX（补白光）0-1ms 或者自定义 亮度、对比度、饱和度、图像翻转、曝光时间等 支持 2D/3D 降噪 1 路 10/100Mbps 自适应 RJ45 口 4 路（仅支持开关量）1 路 TF 卡槽，最大支持 128G 容量 1 路 RESET 复位按钮 运行温度：-20℃~70℃ 10/70 共模 4KV，差模 2KV 标配 LCD 灯板（4 颗亮度可调 LCD 灯珠，功耗≤6W），LCD18.5寸大屏显示</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6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12</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车场进出口在线监控</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满足车辆进出监控，事件回放，车辆进出10秒短视频自动回放，支持进出通道自动回放，匹配车辆进出记录，同时可支持对违规车辆进行预警，同屏显示、信息发布展示违章车辆，存储质量要求≥400万像素。</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13</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不锈钢岗亭翻修</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破损位置进行修理</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14</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客户端工控机</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 I5 ， 内存≥8GB 满足停车前端运行</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台</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15</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安全岛翻新、新建</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高5公分，下沉5公分，保持地面牢固，C20混泥土灌注</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座</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16</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显示器</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 23寸</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17</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接入交换机</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≥8口，支持≥100M传输</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18</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电源线</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≥1.0 外皮防水、防漏电</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19</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强电供电电源线</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≥2.5外皮防水、防漏电</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20</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屏蔽超六类线</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≥0.58 线长≥305</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箱</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21</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信号电缆</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kern w:val="0"/>
                <w:sz w:val="21"/>
                <w:szCs w:val="21"/>
                <w:u w:val="none"/>
                <w:lang w:val="en-US" w:eastAsia="zh-CN" w:bidi="ar"/>
              </w:rPr>
              <w:t>≥0.75，支持485信号传输</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米</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5"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22</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交通标识：分界线、文字、箭头等</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订制标识牌，付款码设计，印刷防雨板</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23</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直径20/32PE管</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rPr>
            </w:pPr>
            <w:r>
              <w:rPr>
                <w:rFonts w:hint="eastAsia" w:asciiTheme="minorEastAsia" w:hAnsiTheme="minorEastAsia" w:eastAsiaTheme="minorEastAsia" w:cstheme="minorEastAsia"/>
                <w:i w:val="0"/>
                <w:iCs w:val="0"/>
                <w:color w:val="000000"/>
                <w:kern w:val="0"/>
                <w:sz w:val="21"/>
                <w:szCs w:val="21"/>
                <w:u w:val="none"/>
                <w:lang w:val="en-US" w:eastAsia="zh-CN" w:bidi="ar"/>
              </w:rPr>
              <w:t xml:space="preserve">≥2.0 线管 </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24</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挖沟穿放及恢复</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埋线不低于30CM 深度</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25</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管配件</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五金件、水晶头、弯管配件</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26</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光纤熔接及配件</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老旧光纤熔纤</w:t>
            </w:r>
          </w:p>
        </w:tc>
        <w:tc>
          <w:tcPr>
            <w:tcW w:w="3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项</w:t>
            </w:r>
          </w:p>
        </w:tc>
        <w:tc>
          <w:tcPr>
            <w:tcW w:w="39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27</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系统集成及辅件</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完成本部对接，实现一网通、一库通、一牌通</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套</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28</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监控支架</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eastAsia"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I型吊装支架：15cm I型吊装支</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个</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34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0"/>
                <w:sz w:val="21"/>
                <w:szCs w:val="21"/>
                <w:u w:val="none"/>
                <w:lang w:val="en-US" w:eastAsia="zh-CN" w:bidi="ar"/>
              </w:rPr>
            </w:pPr>
            <w:r>
              <w:rPr>
                <w:rFonts w:hint="eastAsia" w:asciiTheme="minorEastAsia" w:hAnsiTheme="minorEastAsia" w:eastAsiaTheme="minorEastAsia" w:cstheme="minorEastAsia"/>
                <w:i w:val="0"/>
                <w:iCs w:val="0"/>
                <w:color w:val="000000"/>
                <w:kern w:val="0"/>
                <w:sz w:val="21"/>
                <w:szCs w:val="21"/>
                <w:u w:val="none"/>
                <w:lang w:val="en-US" w:eastAsia="zh-CN" w:bidi="ar"/>
              </w:rPr>
              <w:t>29</w:t>
            </w:r>
          </w:p>
        </w:tc>
        <w:tc>
          <w:tcPr>
            <w:tcW w:w="63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21"/>
                <w:szCs w:val="21"/>
                <w:u w:val="none"/>
              </w:rPr>
            </w:pPr>
            <w:r>
              <w:rPr>
                <w:rFonts w:hint="eastAsia" w:asciiTheme="minorEastAsia" w:hAnsiTheme="minorEastAsia" w:eastAsiaTheme="minorEastAsia" w:cstheme="minorEastAsia"/>
                <w:i w:val="0"/>
                <w:iCs w:val="0"/>
                <w:color w:val="auto"/>
                <w:kern w:val="0"/>
                <w:sz w:val="21"/>
                <w:szCs w:val="21"/>
                <w:u w:val="none"/>
                <w:lang w:val="en-US" w:eastAsia="zh-CN" w:bidi="ar"/>
              </w:rPr>
              <w:t>安装调试</w:t>
            </w:r>
          </w:p>
        </w:tc>
        <w:tc>
          <w:tcPr>
            <w:tcW w:w="59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w:t>
            </w:r>
          </w:p>
        </w:tc>
        <w:tc>
          <w:tcPr>
            <w:tcW w:w="2641"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left"/>
              <w:rPr>
                <w:rFonts w:hint="default" w:asciiTheme="minorEastAsia" w:hAnsiTheme="minorEastAsia" w:eastAsiaTheme="minorEastAsia" w:cstheme="minorEastAsia"/>
                <w:i w:val="0"/>
                <w:iCs w:val="0"/>
                <w:color w:val="000000"/>
                <w:sz w:val="21"/>
                <w:szCs w:val="21"/>
                <w:u w:val="none"/>
                <w:lang w:val="en-US" w:eastAsia="zh-CN"/>
              </w:rPr>
            </w:pPr>
            <w:r>
              <w:rPr>
                <w:rFonts w:hint="eastAsia" w:asciiTheme="minorEastAsia" w:hAnsiTheme="minorEastAsia" w:eastAsiaTheme="minorEastAsia" w:cstheme="minorEastAsia"/>
                <w:i w:val="0"/>
                <w:iCs w:val="0"/>
                <w:color w:val="000000"/>
                <w:sz w:val="21"/>
                <w:szCs w:val="21"/>
                <w:u w:val="none"/>
                <w:lang w:val="en-US" w:eastAsia="zh-CN"/>
              </w:rPr>
              <w:t>完成整个场景的调试、安装、测试、上线使用</w:t>
            </w:r>
          </w:p>
        </w:tc>
        <w:tc>
          <w:tcPr>
            <w:tcW w:w="3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批</w:t>
            </w:r>
          </w:p>
        </w:tc>
        <w:tc>
          <w:tcPr>
            <w:tcW w:w="39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kern w:val="0"/>
                <w:sz w:val="21"/>
                <w:szCs w:val="21"/>
                <w:u w:val="none"/>
                <w:lang w:val="en-US" w:eastAsia="zh-CN" w:bidi="ar"/>
              </w:rPr>
              <w:t>1</w:t>
            </w:r>
          </w:p>
        </w:tc>
      </w:tr>
    </w:tbl>
    <w:p>
      <w:pPr>
        <w:pStyle w:val="12"/>
        <w:rPr>
          <w:rFonts w:asciiTheme="minorEastAsia" w:hAnsiTheme="minorEastAsia" w:eastAsiaTheme="minorEastAsia" w:cstheme="minorEastAsia"/>
          <w:szCs w:val="21"/>
        </w:rPr>
      </w:pPr>
    </w:p>
    <w:p>
      <w:pPr>
        <w:pStyle w:val="12"/>
        <w:rPr>
          <w:rFonts w:asciiTheme="minorEastAsia" w:hAnsiTheme="minorEastAsia" w:eastAsiaTheme="minorEastAsia" w:cstheme="minorEastAsia"/>
          <w:szCs w:val="21"/>
        </w:rPr>
      </w:pPr>
    </w:p>
    <w:p>
      <w:pPr>
        <w:autoSpaceDE w:val="0"/>
        <w:autoSpaceDN w:val="0"/>
        <w:adjustRightInd w:val="0"/>
        <w:spacing w:line="360" w:lineRule="auto"/>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rPr>
        <w:t>注：</w:t>
      </w:r>
      <w:r>
        <w:rPr>
          <w:rFonts w:hint="eastAsia" w:asciiTheme="minorEastAsia" w:hAnsiTheme="minorEastAsia" w:eastAsiaTheme="minorEastAsia" w:cstheme="minorEastAsia"/>
          <w:color w:val="auto"/>
          <w:szCs w:val="21"/>
          <w:lang w:val="en-US" w:eastAsia="zh-CN"/>
        </w:rPr>
        <w:t>1.以上清单需求表中如出现固定尺寸及重量等量化数值的均可认为参考，允许略有误差，但供应商竞标报价的产品必须符合采购人实际使用功能及质量要求，并提供相应技术参数证明其符合采购需求或优于采购需求，否则可视其为不满足采购需求。</w:t>
      </w:r>
    </w:p>
    <w:p>
      <w:pPr>
        <w:numPr>
          <w:ilvl w:val="0"/>
          <w:numId w:val="0"/>
        </w:num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lang w:val="en-US" w:eastAsia="zh-CN"/>
        </w:rPr>
        <w:t>2.</w:t>
      </w:r>
      <w:r>
        <w:rPr>
          <w:rFonts w:hint="eastAsia" w:asciiTheme="minorEastAsia" w:hAnsiTheme="minorEastAsia" w:eastAsiaTheme="minorEastAsia" w:cstheme="minorEastAsia"/>
          <w:szCs w:val="21"/>
        </w:rPr>
        <w:t>如涉及固定厂家品牌或规格型号的均可认为推荐，并不要求其唯一性，供应商可提供同等质量标准或更高标准产品，并提供相应技术参数证明其符合采购需求或优于采购需求，否则可视其为不满足采购需求。</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lang w:val="en-US" w:eastAsia="zh-CN"/>
        </w:rPr>
        <w:t>3</w:t>
      </w:r>
      <w:r>
        <w:rPr>
          <w:rFonts w:hint="eastAsia" w:asciiTheme="minorEastAsia" w:hAnsiTheme="minorEastAsia" w:eastAsiaTheme="minorEastAsia" w:cstheme="minorEastAsia"/>
          <w:szCs w:val="21"/>
        </w:rPr>
        <w:t>.本项目磋商文件中标注“▲”的条款不允许负偏离，负偏离视为无效响应文件。</w:t>
      </w:r>
    </w:p>
    <w:p>
      <w:pPr>
        <w:bidi w:val="0"/>
      </w:pPr>
    </w:p>
    <w:p>
      <w:pPr>
        <w:autoSpaceDE w:val="0"/>
        <w:autoSpaceDN w:val="0"/>
        <w:adjustRightInd w:val="0"/>
        <w:spacing w:line="360" w:lineRule="auto"/>
      </w:pPr>
      <w:r>
        <w:rPr>
          <w:rFonts w:hint="eastAsia" w:asciiTheme="minorEastAsia" w:hAnsiTheme="minorEastAsia" w:eastAsiaTheme="minorEastAsia" w:cstheme="minorEastAsia"/>
          <w:szCs w:val="21"/>
        </w:rPr>
        <w:br w:type="textWrapping"/>
      </w:r>
    </w:p>
    <w:p>
      <w:pPr>
        <w:autoSpaceDE w:val="0"/>
        <w:autoSpaceDN w:val="0"/>
        <w:adjustRightInd w:val="0"/>
        <w:spacing w:line="360" w:lineRule="auto"/>
        <w:outlineLvl w:val="1"/>
        <w:rPr>
          <w:rFonts w:asciiTheme="minorEastAsia" w:hAnsiTheme="minorEastAsia" w:eastAsiaTheme="minorEastAsia" w:cstheme="minorEastAsia"/>
          <w:b/>
          <w:bCs/>
          <w:sz w:val="24"/>
        </w:rPr>
      </w:pPr>
      <w:bookmarkStart w:id="112" w:name="_Toc22503"/>
      <w:r>
        <w:rPr>
          <w:rFonts w:hint="eastAsia" w:asciiTheme="minorEastAsia" w:hAnsiTheme="minorEastAsia" w:eastAsiaTheme="minorEastAsia" w:cstheme="minorEastAsia"/>
          <w:b/>
          <w:bCs/>
          <w:sz w:val="24"/>
          <w:lang w:eastAsia="zh-CN"/>
        </w:rPr>
        <w:t>四</w:t>
      </w:r>
      <w:r>
        <w:rPr>
          <w:rFonts w:hint="eastAsia" w:asciiTheme="minorEastAsia" w:hAnsiTheme="minorEastAsia" w:eastAsiaTheme="minorEastAsia" w:cstheme="minorEastAsia"/>
          <w:b/>
          <w:bCs/>
          <w:sz w:val="24"/>
        </w:rPr>
        <w:t>、商务需求</w:t>
      </w:r>
      <w:bookmarkEnd w:id="112"/>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1.违约责任：</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1.1 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1.2 若乙方未能在规定时间前完成本合同全部货物（含配套系统，配件备件）安装调试并达到验收标准，甲方可中止本合同，并由乙方承担由此给甲方造成的一切损失。</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1.3 乙方交付甲方的全部货物（含配套系统，配件备件）及工程中使用的材料必须有合法的进货渠道，且符合协议和投标书中的质量约定，否则由乙方承担一切责任。</w:t>
      </w:r>
    </w:p>
    <w:p>
      <w:pPr>
        <w:autoSpaceDE w:val="0"/>
        <w:autoSpaceDN w:val="0"/>
        <w:adjustRightInd w:val="0"/>
        <w:spacing w:line="360" w:lineRule="auto"/>
        <w:ind w:firstLine="420" w:firstLineChars="200"/>
        <w:rPr>
          <w:rFonts w:asciiTheme="minorEastAsia" w:hAnsiTheme="minorEastAsia" w:eastAsiaTheme="minorEastAsia" w:cstheme="minorEastAsia"/>
          <w:color w:val="auto"/>
          <w:szCs w:val="21"/>
        </w:rPr>
      </w:pPr>
      <w:r>
        <w:rPr>
          <w:rFonts w:hint="eastAsia" w:ascii="宋体" w:hAnsi="宋体" w:cs="宋体"/>
          <w:color w:val="auto"/>
          <w:szCs w:val="21"/>
        </w:rPr>
        <w:t>1.4乙方保证本合同协议项下产品的权利无瑕疵，包括产品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5%向甲方支付违约金。</w:t>
      </w:r>
      <w:r>
        <w:rPr>
          <w:rFonts w:hint="eastAsia" w:ascii="宋体" w:hAnsi="宋体" w:cs="宋体"/>
          <w:color w:val="auto"/>
          <w:szCs w:val="21"/>
        </w:rPr>
        <w:br w:type="textWrapping"/>
      </w:r>
      <w:r>
        <w:rPr>
          <w:rFonts w:hint="eastAsia" w:asciiTheme="minorEastAsia" w:hAnsiTheme="minorEastAsia" w:eastAsiaTheme="minorEastAsia" w:cstheme="minorEastAsia"/>
          <w:color w:val="auto"/>
          <w:szCs w:val="21"/>
        </w:rPr>
        <w:t>2.产品质量要求：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2.1投标人在招标及中标后，所提供的设备，必须是合同规定厂家制造的，是全新未曾使用过的原装出厂的合格设备。</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2.2本次采购项目的质量必须完全满足中华人民共和国国家质量标准及现行规范要求，投标人应根据企业实际能力在投标文件中对项目质量予以承诺，中标后在合同中加以确认。</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2.3投标人在招标及中标后，发生侵犯专利权的行为时，其侵权责任与招标人无关，应由中标人承担相应的责任，并不得影响招标人的利益。</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3.产品进场安装、调试及验收：</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3.1中标人负责本项目办理运输和保险，将货物运抵现场。有关运输和保险的一切费用由乙方承担。</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3.2中标人负责调试和试运行的结果必须符合采购人的技术要求，同时也应达到行业有关技术规范的要求。</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3.3验收标准以相关行业标准及合同确定的标准为准。</w:t>
      </w:r>
    </w:p>
    <w:p>
      <w:pPr>
        <w:spacing w:line="360" w:lineRule="auto"/>
        <w:ind w:firstLine="420" w:firstLineChars="200"/>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3.4中标人须安排具备相应资质的人员负责合同中全部货物（含配套系统、配件备件）安装调试等相关工作，负责监督安装调试和搬运人员按照安全规范进行安装调试和现场管理，保证安装调试及现场安全。若发生人员伤亡事故，乙方必须承担所有法律和经济责任，甲方概不负责；若发生设备损坏丢失、线路及设备毁损等财产损失安全事故，乙方必须承担经济赔偿。</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4.售后服务要求：</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4.1质保期、保修期内因国产货物（含配套系统、配件备件）质量或安装调试原因引起的全部维修费用（包括更换零配件的费用）均由乙方承担。</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4.2质保期、保修期外，乙方应定期回访，发现问题及时通知甲方，国产货物（含配套系统、配件备件）维修零配件以优惠价给甲方（免收人工及差旅费）。</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4.3确保所采购货物和服务无质量问题，能满足质保期的要求。完成出厂检验、设备安装、系统调试、备品备件的配备、技术升级、培训（培训目的、培训场所、培训方式、培训人数、培训教材等），详细说明售后服务机构、服务人员、质量保证期（包括起止时间、缺陷处理）、故障响应和解决、应急保障以及质量保证期后需要提供的服务等。</w:t>
      </w:r>
    </w:p>
    <w:p>
      <w:pPr>
        <w:autoSpaceDE w:val="0"/>
        <w:autoSpaceDN w:val="0"/>
        <w:adjustRightInd w:val="0"/>
        <w:spacing w:line="360" w:lineRule="auto"/>
        <w:ind w:firstLine="420" w:firstLineChars="200"/>
        <w:jc w:val="left"/>
        <w:rPr>
          <w:rFonts w:ascii="宋体" w:hAnsi="宋体" w:cs="宋体"/>
          <w:color w:val="auto"/>
          <w:szCs w:val="21"/>
        </w:rPr>
      </w:pPr>
      <w:r>
        <w:rPr>
          <w:rFonts w:hint="eastAsia" w:ascii="宋体" w:hAnsi="宋体" w:cs="宋体"/>
          <w:color w:val="auto"/>
          <w:szCs w:val="21"/>
        </w:rPr>
        <w:t>4.4售后服务效率要求：售后处理速度不超过24小时。</w:t>
      </w:r>
    </w:p>
    <w:p>
      <w:pPr>
        <w:pStyle w:val="1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5.实施人员要求：</w:t>
      </w:r>
      <w:r>
        <w:rPr>
          <w:rFonts w:hint="eastAsia" w:ascii="宋体" w:hAnsi="宋体" w:cs="宋体"/>
          <w:color w:val="auto"/>
          <w:szCs w:val="21"/>
        </w:rPr>
        <w:t>按本项目情况配置齐全的实施人员，且分工明确。</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6.培训要求：成交供应商必须为用户单位人员（技术人员等）免费提供现场安装培训，并到达实际操作合格要求。</w:t>
      </w:r>
    </w:p>
    <w:p>
      <w:pPr>
        <w:pStyle w:val="10"/>
        <w:spacing w:line="360" w:lineRule="auto"/>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7.交货地点：采购人指定地点。</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8.履约保证金：</w:t>
      </w:r>
      <w:r>
        <w:rPr>
          <w:rFonts w:hint="eastAsia" w:ascii="宋体" w:hAnsi="宋体" w:cs="宋体"/>
          <w:color w:val="auto"/>
          <w:szCs w:val="21"/>
        </w:rPr>
        <w:t>乙方需向甲方支付合同金额的5%作为履约保证金；签订合同前5个工作日递交，以支票、汇票、本票或者金融机构、担保机构出具的保函等非现金形式提交。</w:t>
      </w:r>
    </w:p>
    <w:p>
      <w:pPr>
        <w:autoSpaceDE w:val="0"/>
        <w:autoSpaceDN w:val="0"/>
        <w:adjustRightInd w:val="0"/>
        <w:spacing w:line="360" w:lineRule="auto"/>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9.付款方式：</w:t>
      </w:r>
    </w:p>
    <w:p>
      <w:pPr>
        <w:spacing w:line="360" w:lineRule="auto"/>
        <w:ind w:firstLine="420" w:firstLineChars="200"/>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9.1乙方</w:t>
      </w:r>
      <w:r>
        <w:rPr>
          <w:rFonts w:hint="eastAsia" w:asciiTheme="minorEastAsia" w:hAnsiTheme="minorEastAsia" w:eastAsiaTheme="minorEastAsia" w:cstheme="minorEastAsia"/>
          <w:color w:val="auto"/>
          <w:kern w:val="0"/>
          <w:szCs w:val="21"/>
        </w:rPr>
        <w:t>须提供增值税专用发票。</w:t>
      </w:r>
    </w:p>
    <w:p>
      <w:pPr>
        <w:autoSpaceDE w:val="0"/>
        <w:autoSpaceDN w:val="0"/>
        <w:adjustRightInd w:val="0"/>
        <w:spacing w:line="36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color w:val="auto"/>
          <w:szCs w:val="21"/>
        </w:rPr>
        <w:t>9.2安装调试及经甲方验收合格并收到乙方发票后15个工作日内，甲方向乙方支付合同总金额的100%，履约保证金自动转为质保金。质保期满后，如无质量及售后服务等问题及其他违约事项，采购人向乙方无息退还质量保证金。</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color w:val="auto"/>
          <w:szCs w:val="21"/>
        </w:rPr>
        <w:t>10.其它：供应商需针对本项目提供相关交货验收方案（交货期保障措施、验收组织流程等）、安装调试方案（安装调试步骤及措施等）、应急方案（设备故障应急处置等）、质量管控措施（质量目标、质量管理制度、质量保证措施等）、售后方案（服务标准和应急维修时间安排、质保期满后的承诺、其它服务承诺等）等本项目评审因素要求的相关材料。其他未尽事宜由成交供应商和采购人按合同进行约定。</w:t>
      </w:r>
      <w:r>
        <w:rPr>
          <w:rFonts w:hint="eastAsia" w:asciiTheme="minorEastAsia" w:hAnsiTheme="minorEastAsia" w:eastAsiaTheme="minorEastAsia" w:cstheme="minorEastAsia"/>
          <w:color w:val="auto"/>
          <w:szCs w:val="21"/>
        </w:rPr>
        <w:br w:type="textWrapping"/>
      </w:r>
      <w:r>
        <w:rPr>
          <w:rFonts w:hint="eastAsia" w:asciiTheme="minorEastAsia" w:hAnsiTheme="minorEastAsia" w:eastAsiaTheme="minorEastAsia" w:cstheme="minorEastAsia"/>
          <w:szCs w:val="21"/>
        </w:rPr>
        <w:t>注：</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（1）资格审查因素等证明材料须提供网上图片或查询方式以供磋商小组核查，响应文件内附相关证书真彩扫描件。</w:t>
      </w:r>
    </w:p>
    <w:p>
      <w:pPr>
        <w:autoSpaceDE w:val="0"/>
        <w:autoSpaceDN w:val="0"/>
        <w:adjustRightInd w:val="0"/>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t>（2）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 w:val="36"/>
          <w:szCs w:val="36"/>
        </w:rPr>
        <w:br w:type="page"/>
      </w:r>
    </w:p>
    <w:p>
      <w:pPr>
        <w:pStyle w:val="3"/>
        <w:numPr>
          <w:ilvl w:val="0"/>
          <w:numId w:val="4"/>
        </w:numPr>
        <w:jc w:val="center"/>
        <w:rPr>
          <w:rFonts w:asciiTheme="minorEastAsia" w:hAnsiTheme="minorEastAsia" w:eastAsiaTheme="minorEastAsia" w:cstheme="minorEastAsia"/>
          <w:szCs w:val="21"/>
        </w:rPr>
      </w:pPr>
      <w:bookmarkStart w:id="113" w:name="_Toc26281"/>
      <w:r>
        <w:rPr>
          <w:rFonts w:hint="eastAsia" w:asciiTheme="minorEastAsia" w:hAnsiTheme="minorEastAsia" w:eastAsiaTheme="minorEastAsia" w:cstheme="minorEastAsia"/>
          <w:sz w:val="36"/>
          <w:szCs w:val="36"/>
        </w:rPr>
        <w:t>竞争性磋商采购评定办法</w:t>
      </w:r>
      <w:bookmarkEnd w:id="113"/>
    </w:p>
    <w:p>
      <w:pPr>
        <w:spacing w:line="360" w:lineRule="auto"/>
        <w:outlineLvl w:val="1"/>
        <w:rPr>
          <w:rFonts w:asciiTheme="minorEastAsia" w:hAnsiTheme="minorEastAsia" w:eastAsiaTheme="minorEastAsia" w:cstheme="minorEastAsia"/>
          <w:b/>
          <w:szCs w:val="21"/>
        </w:rPr>
      </w:pPr>
      <w:bookmarkStart w:id="114" w:name="_Toc14722"/>
      <w:r>
        <w:rPr>
          <w:rFonts w:hint="eastAsia" w:asciiTheme="minorEastAsia" w:hAnsiTheme="minorEastAsia" w:eastAsiaTheme="minorEastAsia" w:cstheme="minorEastAsia"/>
          <w:b/>
          <w:szCs w:val="21"/>
        </w:rPr>
        <w:t>一、评定办法前附表</w:t>
      </w:r>
      <w:bookmarkEnd w:id="114"/>
    </w:p>
    <w:tbl>
      <w:tblPr>
        <w:tblStyle w:val="26"/>
        <w:tblW w:w="93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0"/>
        <w:gridCol w:w="851"/>
        <w:gridCol w:w="2268"/>
        <w:gridCol w:w="5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tblHeader/>
          <w:jc w:val="center"/>
        </w:trPr>
        <w:tc>
          <w:tcPr>
            <w:tcW w:w="1531" w:type="dxa"/>
            <w:gridSpan w:val="2"/>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条款号</w:t>
            </w:r>
          </w:p>
        </w:tc>
        <w:tc>
          <w:tcPr>
            <w:tcW w:w="2268"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评审因素</w:t>
            </w:r>
          </w:p>
        </w:tc>
        <w:tc>
          <w:tcPr>
            <w:tcW w:w="5563"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28"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1.1</w:t>
            </w:r>
          </w:p>
        </w:tc>
        <w:tc>
          <w:tcPr>
            <w:tcW w:w="851"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szCs w:val="21"/>
              </w:rPr>
              <w:t>资格性审查标准</w:t>
            </w: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color w:val="000000"/>
                <w:szCs w:val="21"/>
              </w:rPr>
              <w:t>满足《中华人民共和国政府采购法》第二十二条规定</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（1）具有独立承担民事责任的能力；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（2）具有良好的商业信誉和健全的财务会计制度；</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（3）具有履行合同所必需的设备和专业技术能力；</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（4）有依法缴纳税收和社会保障资金的良好记录；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（5）参加政府采购活动前三年内，在经营活动中没有重大违法记录；</w:t>
            </w:r>
          </w:p>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（6）法律、行政法规规定的其他条件；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46"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restart"/>
            <w:vAlign w:val="center"/>
          </w:tcPr>
          <w:p>
            <w:pPr>
              <w:widowControl/>
              <w:spacing w:line="280" w:lineRule="exact"/>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禁止性情形</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单位负责人为同一人或者存在直接控股、管理关系的不同供应商，不得参加本项目同一合同项下的政府采购活动。</w:t>
            </w:r>
            <w:r>
              <w:rPr>
                <w:rFonts w:hint="eastAsia" w:asciiTheme="minorEastAsia" w:hAnsiTheme="minorEastAsia" w:eastAsiaTheme="minorEastAsia" w:cstheme="minorEastAsia"/>
                <w:color w:val="000000"/>
                <w:szCs w:val="21"/>
              </w:rPr>
              <w:t>（按在采购代理机构获取文件的顺次序选择供应商参加本项目）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61"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为本采购项目提供整体设计、规范编制或者项目管理、监理、检测等服务的，不得再参加本项目的其他招标采购活动。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Merge w:val="continue"/>
            <w:vAlign w:val="center"/>
          </w:tcPr>
          <w:p>
            <w:pPr>
              <w:widowControl/>
              <w:spacing w:line="280" w:lineRule="exact"/>
              <w:jc w:val="center"/>
              <w:rPr>
                <w:rFonts w:asciiTheme="minorEastAsia" w:hAnsiTheme="minorEastAsia" w:eastAsiaTheme="minorEastAsia" w:cstheme="minorEastAsia"/>
                <w:szCs w:val="21"/>
                <w:lang w:val="zh-CN"/>
              </w:rPr>
            </w:pP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未被列入失信被执行人、重大税收违法案件当事人名单（链接：https://www.creditchina.gov.cn/），未被列入政府采购严重违法失信行为记录名单（链接：http://www.ccgp.gov.cn/search/cr/）。</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 xml:space="preserve">以递交响应文件截止之日，采购代理机构现场网络查询并打印存档。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spacing w:line="280" w:lineRule="exact"/>
              <w:jc w:val="center"/>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rPr>
              <w:t>落实政府采购政策需满足的资格要求</w:t>
            </w:r>
          </w:p>
        </w:tc>
        <w:tc>
          <w:tcPr>
            <w:tcW w:w="5563" w:type="dxa"/>
            <w:vAlign w:val="center"/>
          </w:tcPr>
          <w:p>
            <w:pPr>
              <w:autoSpaceDE w:val="0"/>
              <w:autoSpaceDN w:val="0"/>
              <w:jc w:val="left"/>
              <w:rPr>
                <w:rFonts w:hint="eastAsia" w:eastAsia="宋体"/>
                <w:color w:val="auto"/>
                <w:highlight w:val="none"/>
                <w:lang w:val="en-US" w:eastAsia="zh-CN"/>
              </w:rPr>
            </w:pPr>
            <w:r>
              <w:rPr>
                <w:rFonts w:hint="eastAsia"/>
                <w:color w:val="auto"/>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color w:val="000000"/>
                <w:szCs w:val="21"/>
              </w:rPr>
              <w:t>特定资格要求</w:t>
            </w:r>
          </w:p>
        </w:tc>
        <w:tc>
          <w:tcPr>
            <w:tcW w:w="5563" w:type="dxa"/>
            <w:vAlign w:val="center"/>
          </w:tcPr>
          <w:p>
            <w:pPr>
              <w:autoSpaceDE w:val="0"/>
              <w:autoSpaceDN w:val="0"/>
              <w:adjustRightInd w:val="0"/>
              <w:spacing w:line="360" w:lineRule="auto"/>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rPr>
              <w:t xml:space="preserve">符合本采购文件第一章第二款第六条要求，并提供合格有效的证明材料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restart"/>
            <w:vAlign w:val="center"/>
          </w:tcPr>
          <w:p>
            <w:pPr>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1.2</w:t>
            </w:r>
          </w:p>
        </w:tc>
        <w:tc>
          <w:tcPr>
            <w:tcW w:w="851" w:type="dxa"/>
            <w:vMerge w:val="restart"/>
            <w:vAlign w:val="center"/>
          </w:tcPr>
          <w:p>
            <w:pPr>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w:t>
            </w:r>
          </w:p>
          <w:p>
            <w:pPr>
              <w:jc w:val="center"/>
              <w:rPr>
                <w:rFonts w:asciiTheme="minorEastAsia" w:hAnsiTheme="minorEastAsia" w:eastAsiaTheme="minorEastAsia" w:cstheme="minorEastAsia"/>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磋商保证金（如有）</w:t>
            </w:r>
          </w:p>
        </w:tc>
        <w:tc>
          <w:tcPr>
            <w:tcW w:w="5563" w:type="dxa"/>
            <w:vAlign w:val="center"/>
          </w:tcPr>
          <w:p>
            <w:pPr>
              <w:widowControl/>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供应商是否按照磋商文件提交投标保证金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磋商报价是否符合磋商文件要求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kern w:val="0"/>
                <w:szCs w:val="21"/>
              </w:rPr>
              <w:t>磋商书签字盖章</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是否有法定代表人或其委托代理人签字并加盖单位公章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磋商有效期是否满足竞争性磋商采购文件要求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restart"/>
            <w:vAlign w:val="center"/>
          </w:tcPr>
          <w:p>
            <w:pPr>
              <w:widowControl/>
              <w:jc w:val="center"/>
              <w:rPr>
                <w:rFonts w:asciiTheme="minorEastAsia" w:hAnsiTheme="minorEastAsia" w:eastAsiaTheme="minorEastAsia" w:cstheme="minorEastAsia"/>
                <w:kern w:val="0"/>
                <w:szCs w:val="21"/>
                <w:highlight w:val="none"/>
              </w:rPr>
            </w:pPr>
            <w:r>
              <w:rPr>
                <w:rFonts w:hint="eastAsia" w:asciiTheme="minorEastAsia" w:hAnsiTheme="minorEastAsia" w:eastAsiaTheme="minorEastAsia" w:cstheme="minorEastAsia"/>
                <w:kern w:val="0"/>
                <w:szCs w:val="21"/>
                <w:highlight w:val="none"/>
              </w:rPr>
              <w:t>采购需求响应</w:t>
            </w:r>
          </w:p>
        </w:tc>
        <w:tc>
          <w:tcPr>
            <w:tcW w:w="5563" w:type="dxa"/>
            <w:vAlign w:val="center"/>
          </w:tcPr>
          <w:p>
            <w:pPr>
              <w:widowControl/>
              <w:rPr>
                <w:rFonts w:asciiTheme="minorEastAsia" w:hAnsiTheme="minorEastAsia" w:eastAsiaTheme="minorEastAsia" w:cstheme="minorEastAsia"/>
                <w:kern w:val="0"/>
                <w:szCs w:val="21"/>
                <w:highlight w:val="none"/>
              </w:rPr>
            </w:pPr>
            <w:r>
              <w:rPr>
                <w:rFonts w:hint="eastAsia" w:ascii="宋体" w:hAnsi="宋体" w:cs="宋体"/>
                <w:kern w:val="0"/>
                <w:szCs w:val="21"/>
                <w:highlight w:val="none"/>
                <w:shd w:val="clear" w:color="auto" w:fill="FFFFFF"/>
              </w:rPr>
              <w:t>带“▲”号条款（如有）是否实质性响应磋商文件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Merge w:val="continue"/>
            <w:vAlign w:val="center"/>
          </w:tcPr>
          <w:p>
            <w:pPr>
              <w:widowControl/>
              <w:jc w:val="center"/>
              <w:rPr>
                <w:rFonts w:asciiTheme="minorEastAsia" w:hAnsiTheme="minorEastAsia" w:eastAsiaTheme="minorEastAsia" w:cstheme="minorEastAsia"/>
                <w:kern w:val="0"/>
                <w:szCs w:val="21"/>
              </w:rPr>
            </w:pP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是否有提出采购人不能接受的合同条件的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82"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autoSpaceDE w:val="0"/>
              <w:autoSpaceDN w:val="0"/>
              <w:adjustRightInd w:val="0"/>
              <w:snapToGrid w:val="0"/>
              <w:jc w:val="center"/>
              <w:rPr>
                <w:rFonts w:ascii="宋体" w:hAnsi="宋体"/>
                <w:szCs w:val="21"/>
              </w:rPr>
            </w:pPr>
            <w:r>
              <w:rPr>
                <w:rFonts w:hint="eastAsia" w:ascii="宋体" w:hAnsi="宋体"/>
                <w:szCs w:val="21"/>
              </w:rPr>
              <w:t>其他要求（一）</w:t>
            </w:r>
          </w:p>
        </w:tc>
        <w:tc>
          <w:tcPr>
            <w:tcW w:w="5563" w:type="dxa"/>
            <w:vAlign w:val="center"/>
          </w:tcPr>
          <w:p>
            <w:pPr>
              <w:autoSpaceDE w:val="0"/>
              <w:autoSpaceDN w:val="0"/>
              <w:adjustRightInd w:val="0"/>
              <w:snapToGrid w:val="0"/>
              <w:rPr>
                <w:rFonts w:ascii="宋体" w:hAnsi="宋体"/>
                <w:szCs w:val="21"/>
              </w:rPr>
            </w:pPr>
            <w:r>
              <w:rPr>
                <w:rFonts w:hint="eastAsia" w:ascii="宋体" w:hAnsi="宋体"/>
                <w:szCs w:val="21"/>
              </w:rPr>
              <w:t>供应商未有下列任一情形：</w:t>
            </w:r>
          </w:p>
          <w:p>
            <w:pPr>
              <w:autoSpaceDE w:val="0"/>
              <w:autoSpaceDN w:val="0"/>
              <w:adjustRightInd w:val="0"/>
              <w:snapToGrid w:val="0"/>
              <w:rPr>
                <w:rFonts w:ascii="宋体" w:hAnsi="宋体"/>
                <w:szCs w:val="21"/>
              </w:rPr>
            </w:pPr>
            <w:r>
              <w:rPr>
                <w:rFonts w:hint="eastAsia" w:ascii="宋体" w:hAnsi="宋体"/>
                <w:szCs w:val="21"/>
              </w:rPr>
              <w:t>（1）不同供应商的响应文件由同一单位或者个人编制；</w:t>
            </w:r>
          </w:p>
          <w:p>
            <w:pPr>
              <w:autoSpaceDE w:val="0"/>
              <w:autoSpaceDN w:val="0"/>
              <w:adjustRightInd w:val="0"/>
              <w:snapToGrid w:val="0"/>
              <w:rPr>
                <w:rFonts w:ascii="宋体" w:hAnsi="宋体"/>
                <w:szCs w:val="21"/>
              </w:rPr>
            </w:pPr>
            <w:r>
              <w:rPr>
                <w:rFonts w:hint="eastAsia" w:ascii="宋体" w:hAnsi="宋体"/>
                <w:szCs w:val="21"/>
              </w:rPr>
              <w:t>（2）不同供应商委托同一单位或者个人办理投标事宜；</w:t>
            </w:r>
          </w:p>
          <w:p>
            <w:pPr>
              <w:autoSpaceDE w:val="0"/>
              <w:autoSpaceDN w:val="0"/>
              <w:adjustRightInd w:val="0"/>
              <w:snapToGrid w:val="0"/>
              <w:rPr>
                <w:rFonts w:ascii="宋体" w:hAnsi="宋体"/>
                <w:szCs w:val="21"/>
              </w:rPr>
            </w:pPr>
            <w:r>
              <w:rPr>
                <w:rFonts w:hint="eastAsia" w:ascii="宋体" w:hAnsi="宋体"/>
                <w:szCs w:val="21"/>
              </w:rPr>
              <w:t>（3）不同供应商的响应文件载明的项目管理成员或者联系人员为同一人；</w:t>
            </w:r>
          </w:p>
          <w:p>
            <w:pPr>
              <w:autoSpaceDE w:val="0"/>
              <w:autoSpaceDN w:val="0"/>
              <w:adjustRightInd w:val="0"/>
              <w:snapToGrid w:val="0"/>
              <w:rPr>
                <w:rFonts w:ascii="宋体" w:hAnsi="宋体"/>
                <w:szCs w:val="21"/>
              </w:rPr>
            </w:pPr>
            <w:r>
              <w:rPr>
                <w:rFonts w:hint="eastAsia" w:ascii="宋体" w:hAnsi="宋体"/>
                <w:szCs w:val="21"/>
              </w:rPr>
              <w:t>（4）不同供应商的响应文件异常一致或者投标报价呈规律性差异；</w:t>
            </w:r>
          </w:p>
          <w:p>
            <w:pPr>
              <w:autoSpaceDE w:val="0"/>
              <w:autoSpaceDN w:val="0"/>
              <w:adjustRightInd w:val="0"/>
              <w:snapToGrid w:val="0"/>
              <w:rPr>
                <w:rFonts w:ascii="宋体" w:hAnsi="宋体"/>
                <w:szCs w:val="21"/>
              </w:rPr>
            </w:pPr>
            <w:r>
              <w:rPr>
                <w:rFonts w:hint="eastAsia" w:ascii="宋体" w:hAnsi="宋体"/>
                <w:szCs w:val="21"/>
              </w:rPr>
              <w:t>（5）不同供应商的响应文件相互混装。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其他要求（二）</w:t>
            </w:r>
          </w:p>
        </w:tc>
        <w:tc>
          <w:tcPr>
            <w:tcW w:w="5563" w:type="dxa"/>
            <w:vAlign w:val="center"/>
          </w:tcPr>
          <w:p>
            <w:pPr>
              <w:widowControl/>
              <w:rPr>
                <w:rFonts w:asciiTheme="minorEastAsia" w:hAnsiTheme="minorEastAsia" w:eastAsiaTheme="minorEastAsia" w:cstheme="minorEastAsia"/>
                <w:kern w:val="0"/>
                <w:szCs w:val="21"/>
              </w:rPr>
            </w:pPr>
            <w:r>
              <w:rPr>
                <w:rFonts w:hint="eastAsia" w:ascii="宋体" w:hAnsi="宋体" w:cs="宋体"/>
                <w:kern w:val="0"/>
                <w:szCs w:val="21"/>
              </w:rPr>
              <w:t>磋商文件中规定被视为无效投标其它条款的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33" w:hRule="atLeast"/>
          <w:jc w:val="center"/>
        </w:trPr>
        <w:tc>
          <w:tcPr>
            <w:tcW w:w="680" w:type="dxa"/>
            <w:vMerge w:val="continue"/>
            <w:vAlign w:val="center"/>
          </w:tcPr>
          <w:p>
            <w:pPr>
              <w:widowControl/>
              <w:jc w:val="center"/>
              <w:rPr>
                <w:rFonts w:asciiTheme="minorEastAsia" w:hAnsiTheme="minorEastAsia" w:eastAsiaTheme="minorEastAsia" w:cstheme="minorEastAsia"/>
                <w:bCs/>
                <w:kern w:val="0"/>
                <w:szCs w:val="21"/>
              </w:rPr>
            </w:pPr>
          </w:p>
        </w:tc>
        <w:tc>
          <w:tcPr>
            <w:tcW w:w="851" w:type="dxa"/>
            <w:vMerge w:val="continue"/>
            <w:vAlign w:val="center"/>
          </w:tcPr>
          <w:p>
            <w:pPr>
              <w:widowControl/>
              <w:jc w:val="center"/>
              <w:rPr>
                <w:rFonts w:asciiTheme="minorEastAsia" w:hAnsiTheme="minorEastAsia" w:eastAsiaTheme="minorEastAsia" w:cstheme="minorEastAsia"/>
                <w:bCs/>
                <w:kern w:val="0"/>
                <w:szCs w:val="21"/>
              </w:rPr>
            </w:pPr>
          </w:p>
        </w:tc>
        <w:tc>
          <w:tcPr>
            <w:tcW w:w="2268" w:type="dxa"/>
            <w:vAlign w:val="center"/>
          </w:tcPr>
          <w:p>
            <w:pPr>
              <w:widowControl/>
              <w:spacing w:line="360" w:lineRule="auto"/>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其他要求（三）（如有）</w:t>
            </w:r>
          </w:p>
        </w:tc>
        <w:tc>
          <w:tcPr>
            <w:tcW w:w="5563" w:type="dxa"/>
            <w:vAlign w:val="center"/>
          </w:tcPr>
          <w:p>
            <w:pPr>
              <w:widowControl/>
              <w:spacing w:line="360" w:lineRule="auto"/>
              <w:rPr>
                <w:rFonts w:ascii="宋体" w:hAnsi="宋体" w:cs="宋体"/>
                <w:kern w:val="0"/>
                <w:szCs w:val="21"/>
              </w:rPr>
            </w:pPr>
            <w:r>
              <w:rPr>
                <w:rFonts w:hint="eastAsia" w:ascii="宋体" w:hAnsi="宋体" w:cs="宋体"/>
                <w:kern w:val="0"/>
                <w:szCs w:val="21"/>
              </w:rPr>
              <w:t>澄清、说明或者补正等材料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25" w:hRule="atLeast"/>
          <w:jc w:val="center"/>
        </w:trPr>
        <w:tc>
          <w:tcPr>
            <w:tcW w:w="680"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2</w:t>
            </w:r>
          </w:p>
        </w:tc>
        <w:tc>
          <w:tcPr>
            <w:tcW w:w="851" w:type="dxa"/>
            <w:vMerge w:val="restart"/>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确定磋商供应商进行最后报价</w:t>
            </w: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磋商文件能完整、明确列明采购需求，无需要供应商提供最终设计方案或者解决方案的</w:t>
            </w:r>
          </w:p>
        </w:tc>
        <w:tc>
          <w:tcPr>
            <w:tcW w:w="5563" w:type="dxa"/>
            <w:vAlign w:val="center"/>
          </w:tcPr>
          <w:p>
            <w:pPr>
              <w:widowControl/>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在磋商结束后，磋商小组向所有通过资格性和符合性审查的磋商供应商发出报价书，并要求其在规定时间内提交最后报价。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85" w:hRule="atLeast"/>
          <w:jc w:val="center"/>
        </w:trPr>
        <w:tc>
          <w:tcPr>
            <w:tcW w:w="680" w:type="dxa"/>
            <w:vMerge w:val="continue"/>
            <w:vAlign w:val="center"/>
          </w:tcPr>
          <w:p>
            <w:pPr>
              <w:widowControl/>
              <w:jc w:val="center"/>
              <w:rPr>
                <w:rFonts w:asciiTheme="minorEastAsia" w:hAnsiTheme="minorEastAsia" w:eastAsiaTheme="minorEastAsia" w:cstheme="minorEastAsia"/>
                <w:kern w:val="0"/>
                <w:szCs w:val="21"/>
              </w:rPr>
            </w:pPr>
          </w:p>
        </w:tc>
        <w:tc>
          <w:tcPr>
            <w:tcW w:w="851" w:type="dxa"/>
            <w:vMerge w:val="continue"/>
            <w:vAlign w:val="center"/>
          </w:tcPr>
          <w:p>
            <w:pPr>
              <w:widowControl/>
              <w:jc w:val="center"/>
              <w:rPr>
                <w:rFonts w:asciiTheme="minorEastAsia" w:hAnsiTheme="minorEastAsia" w:eastAsiaTheme="minorEastAsia" w:cstheme="minorEastAsia"/>
                <w:kern w:val="0"/>
                <w:szCs w:val="21"/>
              </w:rPr>
            </w:pPr>
          </w:p>
        </w:tc>
        <w:tc>
          <w:tcPr>
            <w:tcW w:w="2268"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磋商文件不能完整、明确列明采购需求，需要由供应商提供最终设计方案或者解决方案的</w:t>
            </w:r>
          </w:p>
        </w:tc>
        <w:tc>
          <w:tcPr>
            <w:tcW w:w="5563" w:type="dxa"/>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在磋商结束后，磋商小组应当按照少数服从多数的原则投票推荐供应商的设计方案或者解决方案，并要求其在规定时间内提交最后报价。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3</w:t>
            </w:r>
          </w:p>
        </w:tc>
        <w:tc>
          <w:tcPr>
            <w:tcW w:w="851" w:type="dxa"/>
            <w:vAlign w:val="center"/>
          </w:tcPr>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评定</w:t>
            </w:r>
          </w:p>
          <w:p>
            <w:pPr>
              <w:widowControl/>
              <w:jc w:val="center"/>
              <w:rPr>
                <w:rFonts w:asciiTheme="minorEastAsia" w:hAnsiTheme="minorEastAsia" w:eastAsiaTheme="minorEastAsia" w:cstheme="minorEastAsia"/>
                <w:bCs/>
                <w:kern w:val="0"/>
                <w:szCs w:val="21"/>
              </w:rPr>
            </w:pPr>
            <w:r>
              <w:rPr>
                <w:rFonts w:hint="eastAsia" w:asciiTheme="minorEastAsia" w:hAnsiTheme="minorEastAsia" w:eastAsiaTheme="minorEastAsia" w:cstheme="minorEastAsia"/>
                <w:bCs/>
                <w:kern w:val="0"/>
                <w:szCs w:val="21"/>
              </w:rPr>
              <w:t>办法</w:t>
            </w:r>
          </w:p>
        </w:tc>
        <w:tc>
          <w:tcPr>
            <w:tcW w:w="2268"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kern w:val="0"/>
                <w:szCs w:val="21"/>
              </w:rPr>
              <w:t>综合评分法</w:t>
            </w:r>
          </w:p>
        </w:tc>
        <w:tc>
          <w:tcPr>
            <w:tcW w:w="5563" w:type="dxa"/>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各供应商的最终得分为各评委所评定分数的算术平均值。磋商小组将根据供应商最终得分由高到低的照顺序推荐3名成交候选人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74" w:hRule="atLeast"/>
          <w:jc w:val="center"/>
        </w:trPr>
        <w:tc>
          <w:tcPr>
            <w:tcW w:w="680"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4</w:t>
            </w:r>
          </w:p>
        </w:tc>
        <w:tc>
          <w:tcPr>
            <w:tcW w:w="851" w:type="dxa"/>
            <w:vAlign w:val="center"/>
          </w:tcPr>
          <w:p>
            <w:pPr>
              <w:widowControl/>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w:t>
            </w:r>
          </w:p>
        </w:tc>
        <w:tc>
          <w:tcPr>
            <w:tcW w:w="2268" w:type="dxa"/>
            <w:vAlign w:val="center"/>
          </w:tcPr>
          <w:p>
            <w:pPr>
              <w:jc w:val="center"/>
              <w:rPr>
                <w:rFonts w:asciiTheme="minorEastAsia" w:hAnsiTheme="minorEastAsia" w:eastAsiaTheme="minorEastAsia" w:cstheme="minorEastAsia"/>
                <w:bCs/>
                <w:color w:val="auto"/>
                <w:kern w:val="0"/>
                <w:szCs w:val="21"/>
              </w:rPr>
            </w:pPr>
            <w:r>
              <w:rPr>
                <w:rFonts w:hint="eastAsia" w:asciiTheme="minorEastAsia" w:hAnsiTheme="minorEastAsia" w:eastAsiaTheme="minorEastAsia" w:cstheme="minorEastAsia"/>
                <w:bCs/>
                <w:color w:val="auto"/>
                <w:kern w:val="0"/>
                <w:szCs w:val="21"/>
              </w:rPr>
              <w:t>核心产品相同品牌处理原则</w:t>
            </w:r>
          </w:p>
        </w:tc>
        <w:tc>
          <w:tcPr>
            <w:tcW w:w="5563" w:type="dxa"/>
            <w:vAlign w:val="center"/>
          </w:tcPr>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提供相同品牌核心产品且通过资格审查、符合性审查的不同供应商参加同一合同项下竞标的，按一家供应商计算，评审后得分最高的同品牌供应商获得成交候选供应商推荐资格；评审得分相同的，由采购人确定或者采购人委托磋商小组以投票方式确定一个供应商获得成交候选供应商推荐资格，其他同品牌供应商不作为成交候选供应商。 </w:t>
            </w:r>
          </w:p>
          <w:p>
            <w:pPr>
              <w:autoSpaceDE w:val="0"/>
              <w:autoSpaceDN w:val="0"/>
              <w:adjustRightInd w:val="0"/>
              <w:snapToGrid w:val="0"/>
              <w:spacing w:before="31" w:beforeLines="10" w:after="31" w:afterLines="10"/>
              <w:ind w:right="21" w:rightChars="10"/>
              <w:jc w:val="left"/>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非单一产品采购项目，采购人可以不明确核心产品，也可以根据采购项目技术构成、产品价格比重等合理确定一个核心产品，并以“核心产品”在磋商文件中标注。若核心产品不止1个，各供应商所投任一核心产品的品牌相同，则按一家供应商计算。</w:t>
            </w:r>
          </w:p>
          <w:p>
            <w:pPr>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多家供应商提供的核心产品品牌相同的，按上述规定处理。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16" w:hRule="atLeast"/>
          <w:jc w:val="center"/>
        </w:trPr>
        <w:tc>
          <w:tcPr>
            <w:tcW w:w="9362" w:type="dxa"/>
            <w:gridSpan w:val="4"/>
            <w:vAlign w:val="center"/>
          </w:tcPr>
          <w:p>
            <w:pPr>
              <w:widowControl/>
              <w:pBdr>
                <w:between w:val="single" w:color="auto" w:sz="4" w:space="0"/>
              </w:pBd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
                <w:kern w:val="0"/>
                <w:szCs w:val="21"/>
              </w:rPr>
              <w:t>政策支持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所属行业及</w:t>
            </w:r>
          </w:p>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划型标准</w:t>
            </w:r>
          </w:p>
        </w:tc>
        <w:tc>
          <w:tcPr>
            <w:tcW w:w="7831" w:type="dxa"/>
            <w:gridSpan w:val="2"/>
            <w:vAlign w:val="center"/>
          </w:tcPr>
          <w:p>
            <w:pPr>
              <w:widowControl/>
              <w:rPr>
                <w:rFonts w:asciiTheme="minorEastAsia" w:hAnsiTheme="minorEastAsia" w:eastAsiaTheme="minorEastAsia" w:cstheme="minorEastAsia"/>
                <w:color w:val="auto"/>
                <w:kern w:val="0"/>
                <w:szCs w:val="21"/>
              </w:rPr>
            </w:pPr>
            <w:r>
              <w:rPr>
                <w:rFonts w:hint="eastAsia" w:asciiTheme="minorEastAsia" w:hAnsiTheme="minorEastAsia" w:eastAsiaTheme="minorEastAsia" w:cstheme="minorEastAsia"/>
                <w:kern w:val="0"/>
                <w:szCs w:val="21"/>
              </w:rPr>
              <w:t>类型</w:t>
            </w:r>
            <w:r>
              <w:rPr>
                <w:rFonts w:hint="eastAsia" w:asciiTheme="minorEastAsia" w:hAnsiTheme="minorEastAsia" w:eastAsiaTheme="minorEastAsia" w:cstheme="minorEastAsia"/>
                <w:color w:val="auto"/>
                <w:kern w:val="0"/>
                <w:szCs w:val="21"/>
              </w:rPr>
              <w:t>：</w:t>
            </w:r>
            <w:r>
              <w:rPr>
                <w:rFonts w:hint="eastAsia" w:ascii="宋体" w:hAnsi="宋体" w:cs="宋体"/>
                <w:color w:val="auto"/>
                <w:szCs w:val="21"/>
              </w:rPr>
              <w:t>批发业</w:t>
            </w:r>
          </w:p>
          <w:p>
            <w:pPr>
              <w:widowControl/>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小型：从业人员</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营业收入资产总额</w:t>
            </w:r>
            <w:r>
              <w:rPr>
                <w:rFonts w:hint="eastAsia" w:asciiTheme="minorEastAsia" w:hAnsiTheme="minorEastAsia" w:eastAsiaTheme="minorEastAsia" w:cstheme="minorEastAsia"/>
                <w:kern w:val="0"/>
                <w:szCs w:val="21"/>
                <w:u w:val="single"/>
              </w:rPr>
              <w:t xml:space="preserve">     </w:t>
            </w:r>
          </w:p>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微型：从业人员</w:t>
            </w:r>
            <w:r>
              <w:rPr>
                <w:rFonts w:hint="eastAsia" w:asciiTheme="minorEastAsia" w:hAnsiTheme="minorEastAsia" w:eastAsiaTheme="minorEastAsia" w:cstheme="minorEastAsia"/>
                <w:kern w:val="0"/>
                <w:szCs w:val="21"/>
                <w:u w:val="single"/>
              </w:rPr>
              <w:tab/>
            </w:r>
            <w:r>
              <w:rPr>
                <w:rFonts w:hint="eastAsia" w:asciiTheme="minorEastAsia" w:hAnsiTheme="minorEastAsia" w:eastAsiaTheme="minorEastAsia" w:cstheme="minorEastAsia"/>
                <w:kern w:val="0"/>
                <w:szCs w:val="21"/>
              </w:rPr>
              <w:t>营业收入资产总额</w:t>
            </w:r>
            <w:r>
              <w:rPr>
                <w:rFonts w:hint="eastAsia" w:asciiTheme="minorEastAsia" w:hAnsiTheme="minorEastAsia" w:eastAsiaTheme="minorEastAsia" w:cstheme="minorEastAsia"/>
                <w:kern w:val="0"/>
                <w:szCs w:val="21"/>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中小企业</w:t>
            </w:r>
          </w:p>
        </w:tc>
        <w:tc>
          <w:tcPr>
            <w:tcW w:w="7831" w:type="dxa"/>
            <w:gridSpan w:val="2"/>
            <w:vAlign w:val="center"/>
          </w:tcPr>
          <w:p>
            <w:pPr>
              <w:widowControl/>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如符合工信部联企业【2011】300号文中对中小企业划型标准的， 可提供本单位的 《中小企业声明函》（格式见第六章）。磋商小组将根据财库【2020】46号文《政府采购促进中小企业发展管理办法》及其它相关规定在评定时对小型和微型企业产品的价格给予10%的扣除后的价格参与评审（适用于非专门面向中小企业、监狱企业、残疾人福利性的项目）。大中型企业与小型、微型企业组成联合体共同参加非专门面向中小企业的政府采购活动，且联合体协议中约定小型、微型企业的协议合同金额占到联合体协议合同总金额30%以上的，给予联合体4%的价格扣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5"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监狱企业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关于政府采购支持监狱企业发展有关问题的通知》（财库【2014】68号）的规定，在政府采购活动中，监狱企业视同小型、微型企业，享受预留份额、评审中价格扣除等政府采购促进中小企业发展的政府采购政策。监狱企业参加政府采购活动时，应当提供由省级以上监狱管理局、戒毒管理局（含新疆生产建设兵团）出具的属于监狱企业的证明文件，材料不全的不予折扣。经磋商小组审核确认供应商属于监狱企业的，在评定时视同中小企业，价格给予10%的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37" w:hRule="atLeast"/>
          <w:jc w:val="center"/>
        </w:trPr>
        <w:tc>
          <w:tcPr>
            <w:tcW w:w="1531" w:type="dxa"/>
            <w:gridSpan w:val="2"/>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促进残疾人</w:t>
            </w:r>
          </w:p>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就业</w:t>
            </w:r>
          </w:p>
        </w:tc>
        <w:tc>
          <w:tcPr>
            <w:tcW w:w="7831" w:type="dxa"/>
            <w:gridSpan w:val="2"/>
            <w:vAlign w:val="center"/>
          </w:tcPr>
          <w:p>
            <w:pPr>
              <w:widowControl/>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按照《三部门联合发布关于促进残疾人就业政府采购政策的通知》（财库【2017】141 号）的规定，在政府采购活动中，残疾人福利性单位视同小型、微型企业，享受预留份额、评审中价格扣除等促进中小企业发展的政府采购政策。符合条件的残疾人福利性单位在参加政府采购活动时，应当提供财库【2017】141号文规定的《残疾人福利性单位声明函》（格式见第六章），并对声明的真实性负责，未提供声明函的不予折扣。经磋商小组审核确认供应商符合残疾人福利性单位条件的，在评定时视同中小企业。残疾人福利性单位属于小型、微型企业的，不重复享受政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20" w:hRule="atLeast"/>
          <w:jc w:val="center"/>
        </w:trPr>
        <w:tc>
          <w:tcPr>
            <w:tcW w:w="1531" w:type="dxa"/>
            <w:gridSpan w:val="2"/>
            <w:vAlign w:val="center"/>
          </w:tcPr>
          <w:p>
            <w:pPr>
              <w:autoSpaceDE w:val="0"/>
              <w:autoSpaceDN w:val="0"/>
              <w:adjustRightInd w:val="0"/>
              <w:jc w:val="center"/>
              <w:rPr>
                <w:rFonts w:ascii="宋体" w:hAnsi="宋体" w:cs="宋体"/>
                <w:snapToGrid w:val="0"/>
                <w:kern w:val="0"/>
                <w:szCs w:val="21"/>
                <w:lang w:val="zh-CN"/>
              </w:rPr>
            </w:pPr>
          </w:p>
          <w:p>
            <w:pPr>
              <w:autoSpaceDE w:val="0"/>
              <w:autoSpaceDN w:val="0"/>
              <w:adjustRightInd w:val="0"/>
              <w:jc w:val="center"/>
              <w:rPr>
                <w:rFonts w:asciiTheme="minorEastAsia" w:hAnsiTheme="minorEastAsia" w:cstheme="minorEastAsia"/>
                <w:kern w:val="0"/>
                <w:szCs w:val="21"/>
              </w:rPr>
            </w:pPr>
            <w:r>
              <w:rPr>
                <w:rFonts w:hint="eastAsia" w:ascii="宋体" w:hAnsi="宋体" w:cs="宋体"/>
                <w:snapToGrid w:val="0"/>
                <w:kern w:val="0"/>
                <w:szCs w:val="21"/>
                <w:lang w:val="zh-CN"/>
              </w:rPr>
              <w:t>节能</w:t>
            </w:r>
            <w:r>
              <w:rPr>
                <w:rFonts w:hint="eastAsia" w:ascii="宋体" w:hAnsi="宋体" w:cs="宋体"/>
                <w:snapToGrid w:val="0"/>
                <w:kern w:val="0"/>
                <w:szCs w:val="21"/>
              </w:rPr>
              <w:t>环保</w:t>
            </w:r>
          </w:p>
        </w:tc>
        <w:tc>
          <w:tcPr>
            <w:tcW w:w="7831" w:type="dxa"/>
            <w:gridSpan w:val="2"/>
            <w:vAlign w:val="center"/>
          </w:tcPr>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按照《财政部 发展改革委 生态环境部 市场监管总局 关于调整优化节能产品、环境标志产品政府采购执行机制的通知》（财库〔2019〕9 号）/《关于印发环境标志产品政府采购品目清单的通知》（财库〔2019〕18 号）/《关于印发节能产品政府采购品目清单的通知》（财库〔2019〕19 号）/《市场监管总局关于发布参与实施政府采购节能产品、环境标志产品认证机构名录的公告》（2019 年第 16 号）文件执行。</w:t>
            </w:r>
          </w:p>
          <w:p>
            <w:pPr>
              <w:autoSpaceDE w:val="0"/>
              <w:autoSpaceDN w:val="0"/>
              <w:adjustRightInd w:val="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如供应商投标产品符合以上文件的政策支持，须提供产品认证证书（合格有效时间内的）或节能产品查（http://www、ccgp、gov、cn/search/jnqdchaxun、htm）/环境标志产品查询（http://www、ccgp、gov、cn/search/hbqdchaxun、htm）查询结果截图。经磋商小组审核确认供应商投标产品符合以上政府采购政策的，给予该项竞标产品所占价格的1%的价格扣除，用扣除后的价格参与评审。上述政府采购政策优惠须经磋商小组评审后执行，未提供单独分项报价或证明资料不全的不给予价格扣除。同一项目包内的节能产品价格扣除只对属于节能产品政府清单内的非强制类产品进行，强制类产品已作为竞标时强制性要求不再给予价格扣除。同时被认证为节能产品和环境标志产品的不重复享受价格扣除。</w:t>
            </w:r>
          </w:p>
        </w:tc>
      </w:tr>
    </w:tbl>
    <w:p>
      <w:pPr>
        <w:spacing w:line="360" w:lineRule="auto"/>
        <w:outlineLvl w:val="1"/>
        <w:rPr>
          <w:rFonts w:asciiTheme="minorEastAsia" w:hAnsiTheme="minorEastAsia" w:eastAsiaTheme="minorEastAsia" w:cstheme="minorEastAsia"/>
          <w:b/>
          <w:szCs w:val="21"/>
        </w:rPr>
      </w:pPr>
      <w:bookmarkStart w:id="115" w:name="_Toc1927"/>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br w:type="textWrapping"/>
      </w:r>
      <w:r>
        <w:rPr>
          <w:rFonts w:hint="eastAsia" w:asciiTheme="minorEastAsia" w:hAnsiTheme="minorEastAsia" w:eastAsiaTheme="minorEastAsia" w:cstheme="minorEastAsia"/>
          <w:b/>
          <w:szCs w:val="21"/>
        </w:rPr>
        <w:t>二、计算办法</w:t>
      </w:r>
      <w:bookmarkEnd w:id="115"/>
    </w:p>
    <w:tbl>
      <w:tblPr>
        <w:tblStyle w:val="26"/>
        <w:tblW w:w="92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2940"/>
        <w:gridCol w:w="6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82"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分值构成(总分100分)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4"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评标基准价计算方法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满足采购文件要求且报价最低的竞标报价为评标基准价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评分因素</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技术部分评分标准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85"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商务部分评分标准</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详见评分细则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16"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竞标报价评分标准</w:t>
            </w:r>
          </w:p>
        </w:tc>
        <w:tc>
          <w:tcPr>
            <w:tcW w:w="6322" w:type="dxa"/>
            <w:vAlign w:val="center"/>
          </w:tcPr>
          <w:p>
            <w:pPr>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低价优先法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条款内容</w:t>
            </w:r>
          </w:p>
        </w:tc>
        <w:tc>
          <w:tcPr>
            <w:tcW w:w="6322" w:type="dxa"/>
            <w:vAlign w:val="center"/>
          </w:tcPr>
          <w:p>
            <w:pPr>
              <w:widowControl/>
              <w:jc w:val="center"/>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各供应商的最终得分计算办法</w:t>
            </w:r>
          </w:p>
        </w:tc>
        <w:tc>
          <w:tcPr>
            <w:tcW w:w="6322"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rPr>
              <w:t>所有评委评分的算术平均值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 w:hRule="atLeast"/>
          <w:jc w:val="center"/>
        </w:trPr>
        <w:tc>
          <w:tcPr>
            <w:tcW w:w="2940" w:type="dxa"/>
            <w:vAlign w:val="center"/>
          </w:tcPr>
          <w:p>
            <w:pPr>
              <w:widowControl/>
              <w:jc w:val="center"/>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szCs w:val="21"/>
              </w:rPr>
              <w:t>供应商最后得分相同时对供应商进行排序的方法</w:t>
            </w:r>
          </w:p>
        </w:tc>
        <w:tc>
          <w:tcPr>
            <w:tcW w:w="6322" w:type="dxa"/>
            <w:vAlign w:val="center"/>
          </w:tcPr>
          <w:p>
            <w:pPr>
              <w:widowControl/>
              <w:jc w:val="center"/>
              <w:rPr>
                <w:rFonts w:asciiTheme="minorEastAsia" w:hAnsiTheme="minorEastAsia" w:eastAsiaTheme="minorEastAsia" w:cstheme="minorEastAsia"/>
                <w:snapToGrid w:val="0"/>
                <w:kern w:val="0"/>
                <w:szCs w:val="21"/>
                <w:lang w:val="zh-CN"/>
              </w:rPr>
            </w:pPr>
            <w:r>
              <w:rPr>
                <w:rFonts w:hint="eastAsia" w:asciiTheme="minorEastAsia" w:hAnsiTheme="minorEastAsia" w:eastAsiaTheme="minorEastAsia" w:cstheme="minorEastAsia"/>
                <w:szCs w:val="21"/>
              </w:rPr>
              <w:t>得分相同的供应商，按竞标报价由低到高顺序排列。得分且报价相同的，按技术指标优劣顺序排列。</w:t>
            </w:r>
          </w:p>
        </w:tc>
      </w:tr>
    </w:tbl>
    <w:p>
      <w:pPr>
        <w:bidi w:val="0"/>
        <w:rPr>
          <w:rFonts w:hint="eastAsia"/>
        </w:rPr>
      </w:pPr>
      <w:bookmarkStart w:id="116" w:name="_Toc15867"/>
      <w:bookmarkStart w:id="117" w:name="_Toc8676"/>
      <w:bookmarkStart w:id="118" w:name="_Toc17585"/>
      <w:r>
        <w:rPr>
          <w:rFonts w:hint="eastAsia"/>
        </w:rPr>
        <w:br w:type="textWrapping"/>
      </w:r>
      <w:bookmarkEnd w:id="116"/>
      <w:bookmarkEnd w:id="117"/>
      <w:bookmarkEnd w:id="118"/>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pPr>
        <w:pStyle w:val="20"/>
        <w:outlineLvl w:val="1"/>
        <w:rPr>
          <w:rStyle w:val="39"/>
        </w:rPr>
      </w:pPr>
      <w:bookmarkStart w:id="119" w:name="_Toc7304"/>
      <w:r>
        <w:rPr>
          <w:rFonts w:hint="eastAsia" w:asciiTheme="minorEastAsia" w:hAnsiTheme="minorEastAsia" w:eastAsiaTheme="minorEastAsia" w:cstheme="minorEastAsia"/>
          <w:b/>
          <w:szCs w:val="21"/>
        </w:rPr>
        <w:t>三、评分细则</w:t>
      </w:r>
      <w:bookmarkEnd w:id="119"/>
    </w:p>
    <w:tbl>
      <w:tblPr>
        <w:tblStyle w:val="2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7"/>
        <w:gridCol w:w="882"/>
        <w:gridCol w:w="7306"/>
        <w:gridCol w:w="6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noWrap w:val="0"/>
            <w:vAlign w:val="center"/>
          </w:tcPr>
          <w:p>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项目</w:t>
            </w:r>
          </w:p>
        </w:tc>
        <w:tc>
          <w:tcPr>
            <w:tcW w:w="882" w:type="dxa"/>
            <w:noWrap w:val="0"/>
            <w:vAlign w:val="center"/>
          </w:tcPr>
          <w:p>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评分项目</w:t>
            </w:r>
          </w:p>
        </w:tc>
        <w:tc>
          <w:tcPr>
            <w:tcW w:w="7306" w:type="dxa"/>
            <w:noWrap w:val="0"/>
            <w:vAlign w:val="center"/>
          </w:tcPr>
          <w:p>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评分标准</w:t>
            </w:r>
          </w:p>
        </w:tc>
        <w:tc>
          <w:tcPr>
            <w:tcW w:w="673" w:type="dxa"/>
            <w:noWrap w:val="0"/>
            <w:vAlign w:val="center"/>
          </w:tcPr>
          <w:p>
            <w:pPr>
              <w:jc w:val="center"/>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价格</w:t>
            </w:r>
          </w:p>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评议</w:t>
            </w:r>
          </w:p>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35</w:t>
            </w:r>
            <w:r>
              <w:rPr>
                <w:rFonts w:hint="eastAsia" w:asciiTheme="minorEastAsia" w:hAnsiTheme="minorEastAsia" w:eastAsiaTheme="minorEastAsia" w:cstheme="minorEastAsia"/>
                <w:color w:val="auto"/>
                <w:sz w:val="21"/>
                <w:szCs w:val="21"/>
              </w:rPr>
              <w:t>分</w:t>
            </w:r>
          </w:p>
        </w:tc>
        <w:tc>
          <w:tcPr>
            <w:tcW w:w="882" w:type="dxa"/>
            <w:noWrap w:val="0"/>
            <w:vAlign w:val="center"/>
          </w:tcPr>
          <w:p>
            <w:pPr>
              <w:adjustRightInd w:val="0"/>
              <w:snapToGrid w:val="0"/>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报价得分</w:t>
            </w:r>
          </w:p>
        </w:tc>
        <w:tc>
          <w:tcPr>
            <w:tcW w:w="7306" w:type="dxa"/>
            <w:noWrap w:val="0"/>
            <w:vAlign w:val="top"/>
          </w:tcPr>
          <w:p>
            <w:pPr>
              <w:keepNext w:val="0"/>
              <w:keepLines w:val="0"/>
              <w:pageBreakBefore w:val="0"/>
              <w:widowControl/>
              <w:kinsoku/>
              <w:wordWrap/>
              <w:overflowPunct/>
              <w:topLinePunct w:val="0"/>
              <w:bidi w:val="0"/>
              <w:snapToGrid/>
              <w:spacing w:line="312" w:lineRule="auto"/>
              <w:jc w:val="left"/>
              <w:textAlignment w:val="center"/>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1、报价采用低价优先法计算，即满足</w:t>
            </w:r>
            <w:r>
              <w:rPr>
                <w:rFonts w:hint="eastAsia" w:asciiTheme="minorEastAsia" w:hAnsiTheme="minorEastAsia" w:eastAsiaTheme="minorEastAsia" w:cstheme="minorEastAsia"/>
                <w:color w:val="auto"/>
                <w:sz w:val="21"/>
                <w:szCs w:val="21"/>
                <w:lang w:val="en-US" w:eastAsia="zh-CN"/>
              </w:rPr>
              <w:t>磋商</w:t>
            </w:r>
            <w:r>
              <w:rPr>
                <w:rFonts w:hint="eastAsia" w:asciiTheme="minorEastAsia" w:hAnsiTheme="minorEastAsia" w:eastAsiaTheme="minorEastAsia" w:cstheme="minorEastAsia"/>
                <w:color w:val="auto"/>
                <w:sz w:val="21"/>
                <w:szCs w:val="21"/>
              </w:rPr>
              <w:t>采购文件要求且报价最低的报价为磋商基准价，其报价分为满分</w:t>
            </w:r>
            <w:r>
              <w:rPr>
                <w:rFonts w:hint="eastAsia" w:asciiTheme="minorEastAsia" w:hAnsiTheme="minorEastAsia" w:eastAsiaTheme="minorEastAsia" w:cstheme="minorEastAsia"/>
                <w:color w:val="auto"/>
                <w:sz w:val="21"/>
                <w:szCs w:val="21"/>
                <w:lang w:val="en-US" w:eastAsia="zh-CN"/>
              </w:rPr>
              <w:t>35</w:t>
            </w:r>
            <w:r>
              <w:rPr>
                <w:rFonts w:hint="eastAsia" w:asciiTheme="minorEastAsia" w:hAnsiTheme="minorEastAsia" w:eastAsiaTheme="minorEastAsia" w:cstheme="minorEastAsia"/>
                <w:color w:val="auto"/>
                <w:sz w:val="21"/>
                <w:szCs w:val="21"/>
              </w:rPr>
              <w:t>分</w:t>
            </w:r>
            <w:r>
              <w:rPr>
                <w:rFonts w:hint="eastAsia" w:asciiTheme="minorEastAsia" w:hAnsiTheme="minorEastAsia" w:eastAsiaTheme="minorEastAsia" w:cstheme="minorEastAsia"/>
                <w:color w:val="auto"/>
                <w:sz w:val="21"/>
                <w:szCs w:val="21"/>
                <w:lang w:eastAsia="zh-CN"/>
              </w:rPr>
              <w:t>；</w:t>
            </w:r>
          </w:p>
          <w:p>
            <w:pPr>
              <w:keepNext w:val="0"/>
              <w:keepLines w:val="0"/>
              <w:pageBreakBefore w:val="0"/>
              <w:widowControl/>
              <w:kinsoku/>
              <w:wordWrap/>
              <w:overflowPunct/>
              <w:topLinePunct w:val="0"/>
              <w:bidi w:val="0"/>
              <w:snapToGrid/>
              <w:spacing w:line="312" w:lineRule="auto"/>
              <w:jc w:val="left"/>
              <w:textAlignment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2、其他供应商的报价分按照下列公式计算：</w:t>
            </w:r>
          </w:p>
          <w:p>
            <w:pPr>
              <w:keepNext w:val="0"/>
              <w:keepLines w:val="0"/>
              <w:pageBreakBefore w:val="0"/>
              <w:widowControl/>
              <w:kinsoku/>
              <w:wordWrap/>
              <w:overflowPunct/>
              <w:topLinePunct w:val="0"/>
              <w:bidi w:val="0"/>
              <w:snapToGrid/>
              <w:spacing w:line="312" w:lineRule="auto"/>
              <w:jc w:val="left"/>
              <w:textAlignment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rPr>
              <w:t>报价分=（磋商基准价/磋商报价）×</w:t>
            </w:r>
            <w:r>
              <w:rPr>
                <w:rFonts w:hint="eastAsia" w:asciiTheme="minorEastAsia" w:hAnsiTheme="minorEastAsia" w:eastAsiaTheme="minorEastAsia" w:cstheme="minorEastAsia"/>
                <w:color w:val="auto"/>
                <w:sz w:val="21"/>
                <w:szCs w:val="21"/>
                <w:lang w:val="en-US" w:eastAsia="zh-CN"/>
              </w:rPr>
              <w:t>35</w:t>
            </w:r>
          </w:p>
          <w:p>
            <w:pPr>
              <w:keepNext w:val="0"/>
              <w:keepLines w:val="0"/>
              <w:pageBreakBefore w:val="0"/>
              <w:widowControl/>
              <w:kinsoku/>
              <w:wordWrap/>
              <w:overflowPunct/>
              <w:topLinePunct w:val="0"/>
              <w:bidi w:val="0"/>
              <w:snapToGrid/>
              <w:spacing w:line="312" w:lineRule="auto"/>
              <w:jc w:val="left"/>
              <w:textAlignment w:val="center"/>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rPr>
              <w:t>备注：</w:t>
            </w:r>
            <w:r>
              <w:rPr>
                <w:rFonts w:hint="eastAsia" w:asciiTheme="minorEastAsia" w:hAnsiTheme="minorEastAsia" w:eastAsiaTheme="minorEastAsia" w:cstheme="minorEastAsia"/>
                <w:b/>
                <w:bCs/>
                <w:color w:val="auto"/>
                <w:sz w:val="21"/>
                <w:szCs w:val="21"/>
                <w:lang w:val="en-US" w:eastAsia="zh-CN"/>
              </w:rPr>
              <w:t>1、</w:t>
            </w:r>
            <w:r>
              <w:rPr>
                <w:rFonts w:hint="eastAsia" w:asciiTheme="minorEastAsia" w:hAnsiTheme="minorEastAsia" w:eastAsiaTheme="minorEastAsia" w:cstheme="minorEastAsia"/>
                <w:b/>
                <w:bCs/>
                <w:color w:val="auto"/>
                <w:sz w:val="21"/>
                <w:szCs w:val="21"/>
              </w:rPr>
              <w:t>如发现供应商的最后报价明显低于其他通过资格审查及符合性审查的供应商的最后报价，磋商小组认为有可能影响项目实施及服务质量或者不能诚信履约的，可启用澄清程序，有权要求供应商在合理的时间内出具最后报价的合理分析，供应商不能合理说明或者不能提供相关证明材料的，磋商小组可认定该供应商以低于成本报价竞标，有权将其报价作无效处理。</w:t>
            </w:r>
          </w:p>
          <w:p>
            <w:pPr>
              <w:keepNext w:val="0"/>
              <w:keepLines w:val="0"/>
              <w:pageBreakBefore w:val="0"/>
              <w:kinsoku/>
              <w:wordWrap/>
              <w:overflowPunct/>
              <w:topLinePunct w:val="0"/>
              <w:bidi w:val="0"/>
              <w:spacing w:line="312"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bCs/>
                <w:color w:val="auto"/>
                <w:sz w:val="21"/>
                <w:szCs w:val="21"/>
                <w:lang w:val="en-US" w:eastAsia="zh-CN"/>
              </w:rPr>
              <w:t>2、</w:t>
            </w:r>
            <w:r>
              <w:rPr>
                <w:rFonts w:hint="eastAsia" w:asciiTheme="minorEastAsia" w:hAnsiTheme="minorEastAsia" w:eastAsiaTheme="minorEastAsia" w:cstheme="minorEastAsia"/>
                <w:b/>
                <w:bCs/>
                <w:color w:val="auto"/>
                <w:sz w:val="21"/>
                <w:szCs w:val="21"/>
              </w:rPr>
              <w:t>符合本磋商文件第</w:t>
            </w:r>
            <w:r>
              <w:rPr>
                <w:rFonts w:hint="eastAsia" w:asciiTheme="minorEastAsia" w:hAnsiTheme="minorEastAsia" w:eastAsiaTheme="minorEastAsia" w:cstheme="minorEastAsia"/>
                <w:b/>
                <w:bCs/>
                <w:color w:val="auto"/>
                <w:sz w:val="21"/>
                <w:szCs w:val="21"/>
                <w:lang w:val="en-US" w:eastAsia="zh-CN"/>
              </w:rPr>
              <w:t>四</w:t>
            </w:r>
            <w:r>
              <w:rPr>
                <w:rFonts w:hint="eastAsia" w:asciiTheme="minorEastAsia" w:hAnsiTheme="minorEastAsia" w:eastAsiaTheme="minorEastAsia" w:cstheme="minorEastAsia"/>
                <w:b/>
                <w:bCs/>
                <w:color w:val="auto"/>
                <w:sz w:val="21"/>
                <w:szCs w:val="21"/>
              </w:rPr>
              <w:t>章“政策支持”</w:t>
            </w:r>
            <w:r>
              <w:rPr>
                <w:rFonts w:hint="eastAsia" w:asciiTheme="minorEastAsia" w:hAnsiTheme="minorEastAsia" w:eastAsiaTheme="minorEastAsia" w:cstheme="minorEastAsia"/>
                <w:b/>
                <w:bCs/>
                <w:color w:val="auto"/>
                <w:sz w:val="21"/>
                <w:szCs w:val="21"/>
                <w:lang w:val="en-US" w:eastAsia="zh-CN"/>
              </w:rPr>
              <w:t>条件</w:t>
            </w:r>
            <w:r>
              <w:rPr>
                <w:rFonts w:hint="eastAsia" w:asciiTheme="minorEastAsia" w:hAnsiTheme="minorEastAsia" w:eastAsiaTheme="minorEastAsia" w:cstheme="minorEastAsia"/>
                <w:b/>
                <w:bCs/>
                <w:color w:val="auto"/>
                <w:sz w:val="21"/>
                <w:szCs w:val="21"/>
              </w:rPr>
              <w:t>的，在评审时予以价格扣除，用扣除后的价格参与评审。</w:t>
            </w:r>
          </w:p>
        </w:tc>
        <w:tc>
          <w:tcPr>
            <w:tcW w:w="673" w:type="dxa"/>
            <w:noWrap w:val="0"/>
            <w:vAlign w:val="center"/>
          </w:tcPr>
          <w:p>
            <w:pPr>
              <w:jc w:val="center"/>
              <w:rPr>
                <w:rFonts w:hint="eastAsia" w:asciiTheme="minorEastAsia" w:hAnsiTheme="minorEastAsia" w:eastAsiaTheme="minorEastAsia" w:cstheme="minorEastAsia"/>
                <w:b/>
                <w:bCs/>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35</w:t>
            </w:r>
            <w:r>
              <w:rPr>
                <w:rFonts w:hint="eastAsia" w:asciiTheme="minorEastAsia" w:hAnsiTheme="minorEastAsia" w:eastAsiaTheme="minorEastAsia" w:cstheme="minorEastAsia"/>
                <w:color w:val="auto"/>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trPr>
        <w:tc>
          <w:tcPr>
            <w:tcW w:w="0" w:type="auto"/>
            <w:vMerge w:val="restart"/>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商务</w:t>
            </w:r>
          </w:p>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评议</w:t>
            </w:r>
            <w:r>
              <w:rPr>
                <w:rFonts w:hint="eastAsia" w:asciiTheme="minorEastAsia" w:hAnsiTheme="minorEastAsia" w:eastAsiaTheme="minorEastAsia" w:cstheme="minorEastAsia"/>
                <w:color w:val="auto"/>
                <w:sz w:val="21"/>
                <w:szCs w:val="21"/>
                <w:lang w:val="en-US" w:eastAsia="zh-CN"/>
              </w:rPr>
              <w:t>15</w:t>
            </w:r>
            <w:r>
              <w:rPr>
                <w:rFonts w:hint="eastAsia" w:asciiTheme="minorEastAsia" w:hAnsiTheme="minorEastAsia" w:eastAsiaTheme="minorEastAsia" w:cstheme="minorEastAsia"/>
                <w:color w:val="auto"/>
                <w:sz w:val="21"/>
                <w:szCs w:val="21"/>
              </w:rPr>
              <w:t>分</w:t>
            </w:r>
          </w:p>
        </w:tc>
        <w:tc>
          <w:tcPr>
            <w:tcW w:w="882" w:type="dxa"/>
            <w:noWrap w:val="0"/>
            <w:vAlign w:val="center"/>
          </w:tcPr>
          <w:p>
            <w:pPr>
              <w:adjustRightInd w:val="0"/>
              <w:snapToGrid w:val="0"/>
              <w:jc w:val="center"/>
              <w:rPr>
                <w:rFonts w:hint="eastAsia" w:asciiTheme="minorEastAsia" w:hAnsiTheme="minorEastAsia" w:eastAsiaTheme="minorEastAsia" w:cstheme="minorEastAsia"/>
                <w:color w:val="auto"/>
                <w:spacing w:val="-6"/>
                <w:kern w:val="2"/>
                <w:sz w:val="21"/>
                <w:szCs w:val="21"/>
                <w:lang w:val="en-US" w:eastAsia="zh-CN" w:bidi="ar-SA"/>
              </w:rPr>
            </w:pPr>
            <w:r>
              <w:rPr>
                <w:rFonts w:hint="eastAsia" w:ascii="宋体" w:hAnsi="宋体" w:eastAsia="宋体" w:cs="宋体"/>
                <w:color w:val="auto"/>
                <w:spacing w:val="-6"/>
                <w:kern w:val="0"/>
                <w:sz w:val="21"/>
                <w:szCs w:val="21"/>
                <w:highlight w:val="none"/>
              </w:rPr>
              <w:t>类似业绩</w:t>
            </w:r>
          </w:p>
        </w:tc>
        <w:tc>
          <w:tcPr>
            <w:tcW w:w="7306" w:type="dxa"/>
            <w:tcBorders>
              <w:bottom w:val="single" w:color="auto" w:sz="4" w:space="0"/>
            </w:tcBorders>
            <w:noWrap w:val="0"/>
            <w:vAlign w:val="center"/>
          </w:tcPr>
          <w:p>
            <w:pPr>
              <w:keepNext w:val="0"/>
              <w:keepLines w:val="0"/>
              <w:pageBreakBefore w:val="0"/>
              <w:widowControl w:val="0"/>
              <w:tabs>
                <w:tab w:val="left" w:pos="1265"/>
              </w:tabs>
              <w:kinsoku/>
              <w:wordWrap/>
              <w:overflowPunct/>
              <w:topLinePunct w:val="0"/>
              <w:bidi w:val="0"/>
              <w:spacing w:line="312" w:lineRule="auto"/>
              <w:jc w:val="left"/>
              <w:rPr>
                <w:rFonts w:hint="eastAsia" w:asciiTheme="minorEastAsia" w:hAnsiTheme="minorEastAsia" w:eastAsiaTheme="minorEastAsia" w:cstheme="minorEastAsia"/>
                <w:color w:val="auto"/>
                <w:kern w:val="2"/>
                <w:sz w:val="21"/>
                <w:szCs w:val="21"/>
                <w:lang w:val="en-US" w:eastAsia="zh-CN" w:bidi="ar-SA"/>
              </w:rPr>
            </w:pPr>
            <w:r>
              <w:rPr>
                <w:rFonts w:hint="eastAsia" w:ascii="宋体" w:hAnsi="宋体" w:eastAsia="宋体" w:cs="宋体"/>
                <w:color w:val="auto"/>
                <w:sz w:val="21"/>
                <w:szCs w:val="21"/>
                <w:highlight w:val="none"/>
              </w:rPr>
              <w:t>近三年（磋商截止时间往前推算36个月）</w:t>
            </w:r>
            <w:r>
              <w:rPr>
                <w:rFonts w:hint="eastAsia" w:ascii="宋体" w:hAnsi="宋体" w:eastAsia="宋体" w:cs="宋体"/>
                <w:color w:val="auto"/>
                <w:kern w:val="0"/>
                <w:szCs w:val="21"/>
              </w:rPr>
              <w:t>承担的类似项目业绩</w:t>
            </w:r>
            <w:r>
              <w:rPr>
                <w:rFonts w:hint="eastAsia" w:ascii="宋体" w:hAnsi="宋体" w:eastAsia="宋体" w:cs="宋体"/>
                <w:color w:val="auto"/>
                <w:sz w:val="21"/>
                <w:szCs w:val="21"/>
                <w:highlight w:val="none"/>
              </w:rPr>
              <w:t>，每个得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分，最多得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Theme="minorEastAsia" w:hAnsiTheme="minorEastAsia" w:eastAsiaTheme="minorEastAsia" w:cstheme="minorEastAsia"/>
                <w:color w:val="auto"/>
                <w:kern w:val="2"/>
                <w:sz w:val="21"/>
                <w:szCs w:val="21"/>
                <w:lang w:val="en-US" w:eastAsia="zh-CN" w:bidi="ar-SA"/>
              </w:rPr>
              <w:t>提供中标通知书及合同或中标公告网站截图及合同，未提供或提供不全不得分</w:t>
            </w:r>
            <w:r>
              <w:rPr>
                <w:rFonts w:hint="eastAsia" w:ascii="宋体" w:hAnsi="宋体" w:eastAsia="宋体" w:cs="宋体"/>
                <w:color w:val="auto"/>
                <w:sz w:val="21"/>
                <w:szCs w:val="21"/>
                <w:highlight w:val="none"/>
                <w:lang w:eastAsia="zh-CN"/>
              </w:rPr>
              <w:t>，</w:t>
            </w:r>
            <w:r>
              <w:rPr>
                <w:rFonts w:hint="eastAsia" w:asciiTheme="minorEastAsia" w:hAnsiTheme="minorEastAsia" w:eastAsiaTheme="minorEastAsia" w:cstheme="minorEastAsia"/>
                <w:color w:val="auto"/>
                <w:kern w:val="2"/>
                <w:sz w:val="21"/>
                <w:szCs w:val="21"/>
                <w:lang w:val="en-US" w:eastAsia="zh-CN" w:bidi="ar-SA"/>
              </w:rPr>
              <w:t>合同复印模糊或关键内容不全者不计分）。</w:t>
            </w:r>
          </w:p>
        </w:tc>
        <w:tc>
          <w:tcPr>
            <w:tcW w:w="673" w:type="dxa"/>
            <w:noWrap w:val="0"/>
            <w:vAlign w:val="center"/>
          </w:tcPr>
          <w:p>
            <w:pPr>
              <w:adjustRightInd w:val="0"/>
              <w:snapToGrid w:val="0"/>
              <w:jc w:val="center"/>
              <w:rPr>
                <w:rFonts w:hint="default"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pacing w:val="-6"/>
                <w:sz w:val="21"/>
                <w:szCs w:val="21"/>
                <w:lang w:val="en-US" w:eastAsia="zh-CN"/>
              </w:rPr>
              <w:t>5</w:t>
            </w:r>
            <w:r>
              <w:rPr>
                <w:rFonts w:hint="eastAsia" w:asciiTheme="minorEastAsia" w:hAnsiTheme="minorEastAsia" w:eastAsiaTheme="minorEastAsia" w:cstheme="minorEastAsia"/>
                <w:color w:val="auto"/>
                <w:spacing w:val="-6"/>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vMerge w:val="restart"/>
            <w:noWrap w:val="0"/>
            <w:vAlign w:val="center"/>
          </w:tcPr>
          <w:p>
            <w:pPr>
              <w:adjustRightInd w:val="0"/>
              <w:snapToGrid w:val="0"/>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z w:val="21"/>
                <w:szCs w:val="21"/>
                <w:lang w:eastAsia="zh-CN"/>
              </w:rPr>
              <w:t>人员配备</w:t>
            </w:r>
          </w:p>
        </w:tc>
        <w:tc>
          <w:tcPr>
            <w:tcW w:w="7306" w:type="dxa"/>
            <w:tcBorders>
              <w:top w:val="single" w:color="auto" w:sz="4" w:space="0"/>
            </w:tcBorders>
            <w:noWrap w:val="0"/>
            <w:vAlign w:val="center"/>
          </w:tcPr>
          <w:p>
            <w:pPr>
              <w:keepNext w:val="0"/>
              <w:keepLines w:val="0"/>
              <w:pageBreakBefore w:val="0"/>
              <w:widowControl w:val="0"/>
              <w:tabs>
                <w:tab w:val="left" w:pos="1265"/>
              </w:tabs>
              <w:kinsoku/>
              <w:wordWrap/>
              <w:overflowPunct/>
              <w:topLinePunct w:val="0"/>
              <w:bidi w:val="0"/>
              <w:spacing w:line="312" w:lineRule="auto"/>
              <w:jc w:val="left"/>
              <w:rPr>
                <w:rFonts w:hint="default"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供应商在本项目拟派技术员具有信息系统管理相关中级及以上工程师证书的，一个得4分，无证书或不符合的，得0分。最高得8分。</w:t>
            </w:r>
          </w:p>
        </w:tc>
        <w:tc>
          <w:tcPr>
            <w:tcW w:w="673" w:type="dxa"/>
            <w:tcBorders>
              <w:top w:val="single" w:color="auto" w:sz="4" w:space="0"/>
            </w:tcBorders>
            <w:noWrap w:val="0"/>
            <w:vAlign w:val="center"/>
          </w:tcPr>
          <w:p>
            <w:pPr>
              <w:adjustRightInd w:val="0"/>
              <w:snapToGrid w:val="0"/>
              <w:jc w:val="center"/>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pacing w:val="-6"/>
                <w:sz w:val="21"/>
                <w:szCs w:val="21"/>
                <w:lang w:val="en-US" w:eastAsia="zh-CN"/>
              </w:rPr>
              <w:t>8</w:t>
            </w:r>
            <w:r>
              <w:rPr>
                <w:rFonts w:hint="eastAsia" w:asciiTheme="minorEastAsia" w:hAnsiTheme="minorEastAsia" w:eastAsiaTheme="minorEastAsia" w:cstheme="minorEastAsia"/>
                <w:color w:val="auto"/>
                <w:spacing w:val="-6"/>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vMerge w:val="continue"/>
            <w:noWrap w:val="0"/>
            <w:vAlign w:val="center"/>
          </w:tcPr>
          <w:p>
            <w:pPr>
              <w:adjustRightInd w:val="0"/>
              <w:snapToGrid w:val="0"/>
              <w:jc w:val="center"/>
              <w:rPr>
                <w:rFonts w:hint="eastAsia" w:asciiTheme="minorEastAsia" w:hAnsiTheme="minorEastAsia" w:eastAsiaTheme="minorEastAsia" w:cstheme="minorEastAsia"/>
                <w:color w:val="auto"/>
                <w:spacing w:val="-6"/>
                <w:sz w:val="21"/>
                <w:szCs w:val="21"/>
              </w:rPr>
            </w:pPr>
          </w:p>
        </w:tc>
        <w:tc>
          <w:tcPr>
            <w:tcW w:w="7306" w:type="dxa"/>
            <w:tcBorders>
              <w:top w:val="single" w:color="auto" w:sz="4" w:space="0"/>
            </w:tcBorders>
            <w:noWrap w:val="0"/>
            <w:vAlign w:val="center"/>
          </w:tcPr>
          <w:p>
            <w:pPr>
              <w:keepNext w:val="0"/>
              <w:keepLines w:val="0"/>
              <w:pageBreakBefore w:val="0"/>
              <w:widowControl w:val="0"/>
              <w:tabs>
                <w:tab w:val="left" w:pos="1265"/>
              </w:tabs>
              <w:kinsoku/>
              <w:wordWrap/>
              <w:overflowPunct/>
              <w:topLinePunct w:val="0"/>
              <w:bidi w:val="0"/>
              <w:spacing w:line="312" w:lineRule="auto"/>
              <w:jc w:val="left"/>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kern w:val="2"/>
                <w:sz w:val="21"/>
                <w:szCs w:val="21"/>
                <w:lang w:val="en-US" w:eastAsia="zh-CN" w:bidi="ar-SA"/>
              </w:rPr>
              <w:t>供应商在本项目拟派的项目经理</w:t>
            </w:r>
            <w:r>
              <w:rPr>
                <w:rFonts w:hint="eastAsia" w:ascii="宋体" w:hAnsi="宋体" w:eastAsia="宋体" w:cs="宋体"/>
                <w:color w:val="auto"/>
                <w:sz w:val="21"/>
                <w:szCs w:val="21"/>
                <w:highlight w:val="none"/>
              </w:rPr>
              <w:t>近</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rPr>
              <w:t>年（磋商截止时间往前推算36个月）</w:t>
            </w:r>
            <w:r>
              <w:rPr>
                <w:rFonts w:hint="eastAsia" w:asciiTheme="minorEastAsia" w:hAnsiTheme="minorEastAsia" w:eastAsiaTheme="minorEastAsia" w:cstheme="minorEastAsia"/>
                <w:color w:val="auto"/>
                <w:kern w:val="2"/>
                <w:sz w:val="21"/>
                <w:szCs w:val="21"/>
                <w:lang w:val="en-US" w:eastAsia="zh-CN" w:bidi="ar-SA"/>
              </w:rPr>
              <w:t>主持过类似项目</w:t>
            </w:r>
            <w:r>
              <w:rPr>
                <w:rFonts w:hint="eastAsia" w:ascii="宋体" w:hAnsi="宋体" w:eastAsia="宋体" w:cs="宋体"/>
                <w:color w:val="auto"/>
                <w:kern w:val="0"/>
                <w:szCs w:val="21"/>
              </w:rPr>
              <w:t>业绩</w:t>
            </w:r>
            <w:r>
              <w:rPr>
                <w:rFonts w:hint="eastAsia" w:asciiTheme="minorEastAsia" w:hAnsiTheme="minorEastAsia" w:eastAsiaTheme="minorEastAsia" w:cstheme="minorEastAsia"/>
                <w:color w:val="auto"/>
                <w:kern w:val="2"/>
                <w:sz w:val="21"/>
                <w:szCs w:val="21"/>
                <w:lang w:val="en-US" w:eastAsia="zh-CN" w:bidi="ar-SA"/>
              </w:rPr>
              <w:t>的，</w:t>
            </w:r>
            <w:r>
              <w:rPr>
                <w:rFonts w:hint="eastAsia" w:ascii="宋体" w:hAnsi="宋体" w:eastAsia="宋体" w:cs="宋体"/>
                <w:color w:val="auto"/>
                <w:sz w:val="21"/>
                <w:szCs w:val="21"/>
                <w:highlight w:val="none"/>
              </w:rPr>
              <w:t>每个得</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分，最多得</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。（提供合同扫描件及能清楚显示为项目经理业绩，否则不得分）</w:t>
            </w:r>
          </w:p>
        </w:tc>
        <w:tc>
          <w:tcPr>
            <w:tcW w:w="673" w:type="dxa"/>
            <w:tcBorders>
              <w:top w:val="single" w:color="auto" w:sz="4" w:space="0"/>
            </w:tcBorders>
            <w:noWrap w:val="0"/>
            <w:vAlign w:val="center"/>
          </w:tcPr>
          <w:p>
            <w:pPr>
              <w:adjustRightInd w:val="0"/>
              <w:snapToGrid w:val="0"/>
              <w:jc w:val="center"/>
              <w:rPr>
                <w:rFonts w:hint="eastAsia" w:asciiTheme="minorEastAsia" w:hAnsiTheme="minorEastAsia" w:eastAsiaTheme="minorEastAsia" w:cstheme="minorEastAsia"/>
                <w:color w:val="auto"/>
                <w:kern w:val="2"/>
                <w:sz w:val="21"/>
                <w:szCs w:val="21"/>
                <w:lang w:val="en-US" w:eastAsia="zh-CN" w:bidi="ar-SA"/>
              </w:rPr>
            </w:pPr>
            <w:r>
              <w:rPr>
                <w:rFonts w:hint="eastAsia" w:asciiTheme="minorEastAsia" w:hAnsiTheme="minorEastAsia" w:eastAsiaTheme="minorEastAsia" w:cstheme="minorEastAsia"/>
                <w:color w:val="auto"/>
                <w:spacing w:val="-6"/>
                <w:sz w:val="21"/>
                <w:szCs w:val="21"/>
                <w:lang w:val="en-US" w:eastAsia="zh-CN"/>
              </w:rPr>
              <w:t>2</w:t>
            </w:r>
            <w:r>
              <w:rPr>
                <w:rFonts w:hint="eastAsia" w:asciiTheme="minorEastAsia" w:hAnsiTheme="minorEastAsia" w:eastAsiaTheme="minorEastAsia" w:cstheme="minorEastAsia"/>
                <w:color w:val="auto"/>
                <w:spacing w:val="-6"/>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restart"/>
            <w:tcBorders>
              <w:top w:val="single" w:color="auto" w:sz="4" w:space="0"/>
            </w:tcBorders>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技术</w:t>
            </w:r>
          </w:p>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评议</w:t>
            </w:r>
            <w:r>
              <w:rPr>
                <w:rFonts w:hint="eastAsia" w:asciiTheme="minorEastAsia" w:hAnsiTheme="minorEastAsia" w:eastAsiaTheme="minorEastAsia" w:cstheme="minorEastAsia"/>
                <w:color w:val="auto"/>
                <w:sz w:val="21"/>
                <w:szCs w:val="21"/>
                <w:lang w:val="en-US" w:eastAsia="zh-CN"/>
              </w:rPr>
              <w:t>50</w:t>
            </w:r>
            <w:r>
              <w:rPr>
                <w:rFonts w:hint="eastAsia" w:asciiTheme="minorEastAsia" w:hAnsiTheme="minorEastAsia" w:eastAsiaTheme="minorEastAsia" w:cstheme="minorEastAsia"/>
                <w:color w:val="auto"/>
                <w:sz w:val="21"/>
                <w:szCs w:val="21"/>
              </w:rPr>
              <w:t>分</w:t>
            </w:r>
          </w:p>
        </w:tc>
        <w:tc>
          <w:tcPr>
            <w:tcW w:w="882" w:type="dxa"/>
            <w:tcBorders>
              <w:bottom w:val="single" w:color="auto" w:sz="4" w:space="0"/>
            </w:tcBorders>
            <w:noWrap w:val="0"/>
            <w:vAlign w:val="center"/>
          </w:tcPr>
          <w:p>
            <w:pPr>
              <w:jc w:val="center"/>
              <w:rPr>
                <w:rFonts w:hint="eastAsia" w:asciiTheme="minorEastAsia" w:hAnsiTheme="minorEastAsia" w:eastAsiaTheme="minorEastAsia" w:cstheme="minorEastAsia"/>
                <w:color w:val="auto"/>
                <w:spacing w:val="-6"/>
                <w:sz w:val="21"/>
                <w:szCs w:val="21"/>
              </w:rPr>
            </w:pPr>
            <w:r>
              <w:rPr>
                <w:rFonts w:hint="eastAsia" w:ascii="宋体" w:hAnsi="宋体" w:eastAsia="宋体" w:cs="宋体"/>
                <w:color w:val="auto"/>
                <w:szCs w:val="21"/>
              </w:rPr>
              <w:t>技术响应</w:t>
            </w:r>
          </w:p>
        </w:tc>
        <w:tc>
          <w:tcPr>
            <w:tcW w:w="7306" w:type="dxa"/>
            <w:tcBorders>
              <w:bottom w:val="single" w:color="auto" w:sz="4" w:space="0"/>
            </w:tcBorders>
            <w:noWrap w:val="0"/>
            <w:vAlign w:val="center"/>
          </w:tcPr>
          <w:p>
            <w:pPr>
              <w:keepNext w:val="0"/>
              <w:keepLines w:val="0"/>
              <w:pageBreakBefore w:val="0"/>
              <w:kinsoku/>
              <w:wordWrap/>
              <w:overflowPunct/>
              <w:topLinePunct w:val="0"/>
              <w:autoSpaceDE w:val="0"/>
              <w:autoSpaceDN w:val="0"/>
              <w:bidi w:val="0"/>
              <w:adjustRightInd w:val="0"/>
              <w:snapToGrid w:val="0"/>
              <w:spacing w:line="312" w:lineRule="auto"/>
              <w:ind w:right="71"/>
              <w:rPr>
                <w:rFonts w:hint="eastAsia" w:asciiTheme="minorEastAsia" w:hAnsiTheme="minorEastAsia" w:eastAsiaTheme="minorEastAsia" w:cstheme="minorEastAsia"/>
                <w:color w:val="auto"/>
                <w:kern w:val="0"/>
                <w:sz w:val="21"/>
                <w:szCs w:val="21"/>
              </w:rPr>
            </w:pPr>
            <w:r>
              <w:rPr>
                <w:rFonts w:hint="eastAsia" w:ascii="宋体" w:hAnsi="宋体" w:eastAsia="宋体" w:cs="宋体"/>
                <w:color w:val="auto"/>
                <w:szCs w:val="21"/>
              </w:rPr>
              <w:t>设备技术性能及参数完全满足</w:t>
            </w:r>
            <w:r>
              <w:rPr>
                <w:rFonts w:hint="eastAsia" w:ascii="宋体" w:hAnsi="宋体" w:eastAsia="宋体" w:cs="宋体"/>
                <w:color w:val="auto"/>
                <w:szCs w:val="21"/>
                <w:lang w:eastAsia="zh-CN"/>
              </w:rPr>
              <w:t>采购需求</w:t>
            </w:r>
            <w:r>
              <w:rPr>
                <w:rFonts w:hint="eastAsia" w:ascii="宋体" w:hAnsi="宋体" w:eastAsia="宋体" w:cs="宋体"/>
                <w:color w:val="auto"/>
                <w:szCs w:val="21"/>
              </w:rPr>
              <w:t>要求的得</w:t>
            </w:r>
            <w:r>
              <w:rPr>
                <w:rFonts w:hint="eastAsia" w:ascii="宋体" w:hAnsi="宋体" w:cs="宋体"/>
                <w:color w:val="auto"/>
                <w:szCs w:val="21"/>
                <w:lang w:val="en-US" w:eastAsia="zh-CN"/>
              </w:rPr>
              <w:t>25</w:t>
            </w:r>
            <w:r>
              <w:rPr>
                <w:rFonts w:hint="eastAsia" w:ascii="宋体" w:hAnsi="宋体" w:eastAsia="宋体" w:cs="宋体"/>
                <w:color w:val="auto"/>
                <w:szCs w:val="21"/>
              </w:rPr>
              <w:t>分，具体由磋商小组根据供应商的响应文件中产品情况、《技术响应、偏离说明表》等有关资料打分。其中：完全满足招标技术参数要求的得</w:t>
            </w:r>
            <w:r>
              <w:rPr>
                <w:rFonts w:hint="eastAsia" w:ascii="宋体" w:hAnsi="宋体" w:cs="宋体"/>
                <w:color w:val="auto"/>
                <w:szCs w:val="21"/>
                <w:lang w:val="en-US" w:eastAsia="zh-CN"/>
              </w:rPr>
              <w:t>25</w:t>
            </w:r>
            <w:r>
              <w:rPr>
                <w:rFonts w:hint="eastAsia" w:ascii="宋体" w:hAnsi="宋体" w:eastAsia="宋体" w:cs="宋体"/>
                <w:color w:val="auto"/>
                <w:szCs w:val="21"/>
              </w:rPr>
              <w:t>分；在此基础上，标注 “</w:t>
            </w:r>
            <w:r>
              <w:rPr>
                <w:rFonts w:hint="eastAsia" w:asciiTheme="minorEastAsia" w:hAnsiTheme="minorEastAsia" w:eastAsiaTheme="minorEastAsia" w:cstheme="minorEastAsia"/>
                <w:color w:val="auto"/>
                <w:kern w:val="0"/>
                <w:sz w:val="21"/>
                <w:szCs w:val="21"/>
              </w:rPr>
              <w:t>★</w:t>
            </w:r>
            <w:r>
              <w:rPr>
                <w:rFonts w:hint="eastAsia" w:ascii="宋体" w:hAnsi="宋体" w:eastAsia="宋体" w:cs="宋体"/>
                <w:color w:val="auto"/>
                <w:szCs w:val="21"/>
              </w:rPr>
              <w:t>”的内容为重要条款，一项不满足扣</w:t>
            </w:r>
            <w:r>
              <w:rPr>
                <w:rFonts w:hint="eastAsia" w:ascii="宋体" w:hAnsi="宋体" w:cs="宋体"/>
                <w:color w:val="auto"/>
                <w:szCs w:val="21"/>
                <w:lang w:val="en-US" w:eastAsia="zh-CN"/>
              </w:rPr>
              <w:t>5</w:t>
            </w:r>
            <w:r>
              <w:rPr>
                <w:rFonts w:hint="eastAsia" w:ascii="宋体" w:hAnsi="宋体" w:eastAsia="宋体" w:cs="宋体"/>
                <w:color w:val="auto"/>
                <w:szCs w:val="21"/>
              </w:rPr>
              <w:t>分；未标注“</w:t>
            </w:r>
            <w:r>
              <w:rPr>
                <w:rFonts w:hint="eastAsia" w:asciiTheme="minorEastAsia" w:hAnsiTheme="minorEastAsia" w:eastAsiaTheme="minorEastAsia" w:cstheme="minorEastAsia"/>
                <w:color w:val="auto"/>
                <w:kern w:val="0"/>
                <w:sz w:val="21"/>
                <w:szCs w:val="21"/>
              </w:rPr>
              <w:t>★</w:t>
            </w:r>
            <w:r>
              <w:rPr>
                <w:rFonts w:hint="eastAsia" w:ascii="宋体" w:hAnsi="宋体" w:eastAsia="宋体" w:cs="宋体"/>
                <w:color w:val="auto"/>
                <w:szCs w:val="21"/>
              </w:rPr>
              <w:t>”的内容有一项不符合的则每项扣</w:t>
            </w:r>
            <w:r>
              <w:rPr>
                <w:rFonts w:hint="eastAsia" w:ascii="宋体" w:hAnsi="宋体" w:cs="宋体"/>
                <w:color w:val="auto"/>
                <w:szCs w:val="21"/>
                <w:lang w:val="en-US" w:eastAsia="zh-CN"/>
              </w:rPr>
              <w:t>2</w:t>
            </w:r>
            <w:r>
              <w:rPr>
                <w:rFonts w:hint="eastAsia" w:ascii="宋体" w:hAnsi="宋体" w:eastAsia="宋体" w:cs="宋体"/>
                <w:color w:val="auto"/>
                <w:szCs w:val="21"/>
              </w:rPr>
              <w:t>分；扣完为止。</w:t>
            </w:r>
          </w:p>
          <w:p>
            <w:pPr>
              <w:keepNext w:val="0"/>
              <w:keepLines w:val="0"/>
              <w:pageBreakBefore w:val="0"/>
              <w:kinsoku/>
              <w:wordWrap/>
              <w:overflowPunct/>
              <w:topLinePunct w:val="0"/>
              <w:autoSpaceDE w:val="0"/>
              <w:autoSpaceDN w:val="0"/>
              <w:bidi w:val="0"/>
              <w:adjustRightInd w:val="0"/>
              <w:snapToGrid w:val="0"/>
              <w:spacing w:line="312" w:lineRule="auto"/>
              <w:ind w:right="71"/>
              <w:rPr>
                <w:rFonts w:hint="eastAsia" w:asciiTheme="minorEastAsia" w:hAnsiTheme="minorEastAsia" w:eastAsiaTheme="minorEastAsia" w:cstheme="minorEastAsia"/>
                <w:color w:val="auto"/>
                <w:kern w:val="0"/>
                <w:sz w:val="21"/>
                <w:szCs w:val="21"/>
              </w:rPr>
            </w:pPr>
            <w:r>
              <w:rPr>
                <w:rFonts w:hint="eastAsia" w:ascii="宋体" w:hAnsi="宋体" w:eastAsia="宋体" w:cs="宋体"/>
                <w:b w:val="0"/>
                <w:bCs w:val="0"/>
                <w:color w:val="auto"/>
                <w:sz w:val="21"/>
                <w:szCs w:val="21"/>
                <w:highlight w:val="none"/>
              </w:rPr>
              <w:t>备注：标注“</w:t>
            </w:r>
            <w:r>
              <w:rPr>
                <w:rFonts w:hint="eastAsia" w:asciiTheme="minorEastAsia" w:hAnsiTheme="minorEastAsia" w:eastAsiaTheme="minorEastAsia" w:cstheme="minorEastAsia"/>
                <w:b w:val="0"/>
                <w:bCs w:val="0"/>
                <w:color w:val="auto"/>
                <w:kern w:val="0"/>
                <w:sz w:val="21"/>
                <w:szCs w:val="21"/>
              </w:rPr>
              <w:t>★</w:t>
            </w:r>
            <w:r>
              <w:rPr>
                <w:rFonts w:hint="eastAsia" w:ascii="宋体" w:hAnsi="宋体" w:eastAsia="宋体" w:cs="宋体"/>
                <w:b w:val="0"/>
                <w:bCs w:val="0"/>
                <w:color w:val="auto"/>
                <w:sz w:val="21"/>
                <w:szCs w:val="21"/>
                <w:highlight w:val="none"/>
              </w:rPr>
              <w:t>”的重要条款以提供的技术参数</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原厂确认并盖章</w:t>
            </w:r>
            <w:r>
              <w:rPr>
                <w:rFonts w:hint="eastAsia" w:ascii="宋体" w:hAnsi="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或原厂出具的产品宣传彩页</w:t>
            </w:r>
            <w:r>
              <w:rPr>
                <w:rFonts w:hint="eastAsia" w:ascii="宋体" w:hAnsi="宋体" w:cs="宋体"/>
                <w:b w:val="0"/>
                <w:bCs w:val="0"/>
                <w:color w:val="auto"/>
                <w:sz w:val="21"/>
                <w:szCs w:val="21"/>
                <w:highlight w:val="none"/>
                <w:lang w:val="en-US" w:eastAsia="zh-CN"/>
              </w:rPr>
              <w:t>或官网参数查询截图</w:t>
            </w:r>
            <w:r>
              <w:rPr>
                <w:rFonts w:hint="eastAsia" w:ascii="宋体" w:hAnsi="宋体" w:eastAsia="宋体" w:cs="宋体"/>
                <w:b w:val="0"/>
                <w:bCs w:val="0"/>
                <w:color w:val="auto"/>
                <w:sz w:val="21"/>
                <w:szCs w:val="21"/>
                <w:highlight w:val="none"/>
              </w:rPr>
              <w:t>资料为准</w:t>
            </w:r>
            <w:r>
              <w:rPr>
                <w:rFonts w:hint="eastAsia" w:ascii="宋体" w:hAnsi="宋体" w:cs="宋体"/>
                <w:b w:val="0"/>
                <w:bCs w:val="0"/>
                <w:color w:val="auto"/>
                <w:sz w:val="21"/>
                <w:szCs w:val="21"/>
                <w:highlight w:val="none"/>
                <w:lang w:val="en-US" w:eastAsia="zh-CN"/>
              </w:rPr>
              <w:t>。</w:t>
            </w:r>
          </w:p>
        </w:tc>
        <w:tc>
          <w:tcPr>
            <w:tcW w:w="673" w:type="dxa"/>
            <w:tcBorders>
              <w:bottom w:val="single" w:color="auto" w:sz="4" w:space="0"/>
            </w:tcBorders>
            <w:noWrap w:val="0"/>
            <w:vAlign w:val="center"/>
          </w:tcPr>
          <w:p>
            <w:pPr>
              <w:ind w:left="-4" w:leftChars="-2" w:firstLine="2" w:firstLineChars="1"/>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bCs/>
                <w:caps/>
                <w:color w:val="auto"/>
                <w:sz w:val="21"/>
                <w:szCs w:val="21"/>
                <w:lang w:val="en-US" w:eastAsia="zh-CN"/>
              </w:rPr>
              <w:t>25</w:t>
            </w:r>
            <w:r>
              <w:rPr>
                <w:rFonts w:hint="eastAsia" w:asciiTheme="minorEastAsia" w:hAnsiTheme="minorEastAsia" w:eastAsiaTheme="minorEastAsia" w:cstheme="minorEastAsia"/>
                <w:bCs/>
                <w:caps/>
                <w:color w:val="auto"/>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vMerge w:val="restart"/>
            <w:noWrap w:val="0"/>
            <w:vAlign w:val="center"/>
          </w:tcPr>
          <w:p>
            <w:pPr>
              <w:jc w:val="center"/>
              <w:rPr>
                <w:rFonts w:hint="eastAsia" w:ascii="宋体" w:hAnsi="宋体" w:eastAsia="宋体" w:cs="宋体"/>
                <w:color w:val="auto"/>
                <w:szCs w:val="21"/>
              </w:rPr>
            </w:pPr>
            <w:r>
              <w:rPr>
                <w:rFonts w:hint="eastAsia" w:asciiTheme="minorEastAsia" w:hAnsiTheme="minorEastAsia" w:eastAsiaTheme="minorEastAsia" w:cstheme="minorEastAsia"/>
                <w:color w:val="auto"/>
                <w:sz w:val="21"/>
                <w:szCs w:val="21"/>
                <w:lang w:eastAsia="zh-CN"/>
              </w:rPr>
              <w:t>项目设计</w:t>
            </w:r>
          </w:p>
        </w:tc>
        <w:tc>
          <w:tcPr>
            <w:tcW w:w="7306" w:type="dxa"/>
            <w:tcBorders>
              <w:bottom w:val="single" w:color="auto" w:sz="4" w:space="0"/>
            </w:tcBorders>
            <w:noWrap w:val="0"/>
            <w:vAlign w:val="center"/>
          </w:tcPr>
          <w:p>
            <w:pPr>
              <w:keepNext w:val="0"/>
              <w:keepLines w:val="0"/>
              <w:pageBreakBefore w:val="0"/>
              <w:widowControl w:val="0"/>
              <w:numPr>
                <w:ilvl w:val="0"/>
                <w:numId w:val="0"/>
              </w:numPr>
              <w:tabs>
                <w:tab w:val="left" w:pos="1265"/>
              </w:tabs>
              <w:kinsoku/>
              <w:wordWrap/>
              <w:overflowPunct/>
              <w:topLinePunct w:val="0"/>
              <w:bidi w:val="0"/>
              <w:spacing w:line="312"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供应商对该项目工期计划、实施关键时间节点、实施计划编制等进行评分。</w:t>
            </w:r>
          </w:p>
          <w:p>
            <w:pPr>
              <w:keepNext w:val="0"/>
              <w:keepLines w:val="0"/>
              <w:pageBreakBefore w:val="0"/>
              <w:widowControl w:val="0"/>
              <w:tabs>
                <w:tab w:val="left" w:pos="1265"/>
              </w:tabs>
              <w:kinsoku/>
              <w:wordWrap/>
              <w:overflowPunct/>
              <w:topLinePunct w:val="0"/>
              <w:bidi w:val="0"/>
              <w:spacing w:line="312"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科学、合理、可实施性强，得2分；</w:t>
            </w:r>
          </w:p>
          <w:p>
            <w:pPr>
              <w:keepNext w:val="0"/>
              <w:keepLines w:val="0"/>
              <w:pageBreakBefore w:val="0"/>
              <w:kinsoku/>
              <w:wordWrap/>
              <w:overflowPunct/>
              <w:topLinePunct w:val="0"/>
              <w:autoSpaceDE w:val="0"/>
              <w:autoSpaceDN w:val="0"/>
              <w:bidi w:val="0"/>
              <w:adjustRightInd w:val="0"/>
              <w:snapToGrid/>
              <w:spacing w:line="240" w:lineRule="auto"/>
              <w:ind w:right="71" w:rightChars="34"/>
              <w:rPr>
                <w:rFonts w:hint="eastAsia" w:ascii="宋体" w:hAnsi="宋体" w:eastAsia="宋体" w:cs="宋体"/>
                <w:color w:val="auto"/>
                <w:highlight w:val="none"/>
              </w:rPr>
            </w:pPr>
            <w:r>
              <w:rPr>
                <w:rFonts w:hint="eastAsia" w:ascii="宋体" w:hAnsi="宋体" w:eastAsia="宋体" w:cs="宋体"/>
                <w:color w:val="auto"/>
                <w:highlight w:val="none"/>
              </w:rPr>
              <w:t>合理，可行，</w:t>
            </w:r>
            <w:r>
              <w:rPr>
                <w:rFonts w:hint="eastAsia" w:ascii="宋体" w:hAnsi="宋体" w:eastAsia="宋体" w:cs="宋体"/>
                <w:color w:val="auto"/>
                <w:highlight w:val="none"/>
                <w:lang w:eastAsia="zh-CN"/>
              </w:rPr>
              <w:t>得</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w:t>
            </w:r>
          </w:p>
          <w:p>
            <w:pPr>
              <w:keepNext w:val="0"/>
              <w:keepLines w:val="0"/>
              <w:pageBreakBefore w:val="0"/>
              <w:kinsoku/>
              <w:wordWrap/>
              <w:overflowPunct/>
              <w:topLinePunct w:val="0"/>
              <w:autoSpaceDE w:val="0"/>
              <w:autoSpaceDN w:val="0"/>
              <w:bidi w:val="0"/>
              <w:adjustRightInd w:val="0"/>
              <w:snapToGrid/>
              <w:spacing w:line="240" w:lineRule="auto"/>
              <w:ind w:right="71" w:rightChars="34"/>
              <w:rPr>
                <w:rFonts w:hint="eastAsia" w:ascii="宋体" w:hAnsi="宋体" w:eastAsia="宋体" w:cs="宋体"/>
                <w:color w:val="auto"/>
                <w:highlight w:val="none"/>
              </w:rPr>
            </w:pPr>
            <w:r>
              <w:rPr>
                <w:rFonts w:hint="eastAsia" w:ascii="宋体" w:hAnsi="宋体" w:eastAsia="宋体" w:cs="宋体"/>
                <w:color w:val="auto"/>
                <w:highlight w:val="none"/>
              </w:rPr>
              <w:t>欠合理，基本可行，</w:t>
            </w:r>
            <w:r>
              <w:rPr>
                <w:rFonts w:hint="eastAsia" w:ascii="宋体" w:hAnsi="宋体" w:eastAsia="宋体" w:cs="宋体"/>
                <w:color w:val="auto"/>
                <w:highlight w:val="none"/>
                <w:lang w:eastAsia="zh-CN"/>
              </w:rPr>
              <w:t>得</w:t>
            </w:r>
            <w:r>
              <w:rPr>
                <w:rFonts w:hint="eastAsia" w:ascii="宋体" w:hAnsi="宋体" w:eastAsia="宋体" w:cs="宋体"/>
                <w:color w:val="auto"/>
                <w:highlight w:val="none"/>
                <w:lang w:val="en-US" w:eastAsia="zh-CN"/>
              </w:rPr>
              <w:t>0.5</w:t>
            </w:r>
            <w:r>
              <w:rPr>
                <w:rFonts w:hint="eastAsia" w:ascii="宋体" w:hAnsi="宋体" w:eastAsia="宋体" w:cs="宋体"/>
                <w:color w:val="auto"/>
                <w:highlight w:val="none"/>
              </w:rPr>
              <w:t>分；</w:t>
            </w:r>
          </w:p>
          <w:p>
            <w:pPr>
              <w:keepNext w:val="0"/>
              <w:keepLines w:val="0"/>
              <w:pageBreakBefore w:val="0"/>
              <w:widowControl w:val="0"/>
              <w:tabs>
                <w:tab w:val="left" w:pos="1265"/>
              </w:tabs>
              <w:kinsoku/>
              <w:wordWrap/>
              <w:overflowPunct/>
              <w:topLinePunct w:val="0"/>
              <w:bidi w:val="0"/>
              <w:spacing w:line="312"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highlight w:val="none"/>
              </w:rPr>
              <w:t>不可行或未提供，</w:t>
            </w:r>
            <w:r>
              <w:rPr>
                <w:rFonts w:hint="eastAsia" w:ascii="宋体" w:hAnsi="宋体" w:eastAsia="宋体" w:cs="宋体"/>
                <w:color w:val="auto"/>
                <w:highlight w:val="none"/>
                <w:lang w:eastAsia="zh-CN"/>
              </w:rPr>
              <w:t>得</w:t>
            </w:r>
            <w:r>
              <w:rPr>
                <w:rFonts w:hint="eastAsia" w:ascii="宋体" w:hAnsi="宋体" w:eastAsia="宋体" w:cs="宋体"/>
                <w:color w:val="auto"/>
                <w:highlight w:val="none"/>
              </w:rPr>
              <w:t>0 分。</w:t>
            </w:r>
          </w:p>
        </w:tc>
        <w:tc>
          <w:tcPr>
            <w:tcW w:w="673" w:type="dxa"/>
            <w:tcBorders>
              <w:bottom w:val="single" w:color="auto" w:sz="4" w:space="0"/>
            </w:tcBorders>
            <w:noWrap w:val="0"/>
            <w:vAlign w:val="center"/>
          </w:tcPr>
          <w:p>
            <w:pPr>
              <w:adjustRightInd w:val="0"/>
              <w:snapToGrid w:val="0"/>
              <w:jc w:val="center"/>
              <w:rPr>
                <w:rFonts w:hint="eastAsia" w:asciiTheme="minorEastAsia" w:hAnsiTheme="minorEastAsia" w:eastAsiaTheme="minorEastAsia" w:cstheme="minorEastAsia"/>
                <w:bCs/>
                <w:caps/>
                <w:color w:val="auto"/>
                <w:sz w:val="21"/>
                <w:szCs w:val="21"/>
                <w:lang w:val="en-US" w:eastAsia="zh-CN"/>
              </w:rPr>
            </w:pPr>
            <w:r>
              <w:rPr>
                <w:rFonts w:hint="eastAsia" w:asciiTheme="minorEastAsia" w:hAnsiTheme="minorEastAsia" w:eastAsiaTheme="minorEastAsia" w:cstheme="minorEastAsia"/>
                <w:color w:val="auto"/>
                <w:kern w:val="2"/>
                <w:sz w:val="21"/>
                <w:szCs w:val="21"/>
                <w:lang w:val="en-US" w:eastAsia="zh-CN" w:bidi="ar-SA"/>
              </w:rPr>
              <w:t>2分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vMerge w:val="continue"/>
            <w:tcBorders>
              <w:bottom w:val="single" w:color="auto" w:sz="4" w:space="0"/>
            </w:tcBorders>
            <w:noWrap w:val="0"/>
            <w:vAlign w:val="center"/>
          </w:tcPr>
          <w:p>
            <w:pPr>
              <w:jc w:val="center"/>
              <w:rPr>
                <w:rFonts w:hint="eastAsia" w:ascii="宋体" w:hAnsi="宋体" w:eastAsia="宋体" w:cs="宋体"/>
                <w:color w:val="auto"/>
                <w:szCs w:val="21"/>
              </w:rPr>
            </w:pPr>
          </w:p>
        </w:tc>
        <w:tc>
          <w:tcPr>
            <w:tcW w:w="7306" w:type="dxa"/>
            <w:tcBorders>
              <w:bottom w:val="single" w:color="auto" w:sz="4" w:space="0"/>
            </w:tcBorders>
            <w:noWrap w:val="0"/>
            <w:vAlign w:val="center"/>
          </w:tcPr>
          <w:p>
            <w:pPr>
              <w:keepNext w:val="0"/>
              <w:keepLines w:val="0"/>
              <w:pageBreakBefore w:val="0"/>
              <w:widowControl w:val="0"/>
              <w:tabs>
                <w:tab w:val="left" w:pos="1265"/>
              </w:tabs>
              <w:kinsoku/>
              <w:wordWrap/>
              <w:overflowPunct/>
              <w:topLinePunct w:val="0"/>
              <w:bidi w:val="0"/>
              <w:spacing w:line="312" w:lineRule="auto"/>
              <w:jc w:val="left"/>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bidi="ar-SA"/>
              </w:rPr>
              <w:t>根据供应商针对本项目提供的图纸设计（提供校园图纸、校园门禁网络走向拓扑图、施工布线图、车辆出入口道闸示意图等）进行评分。</w:t>
            </w:r>
          </w:p>
          <w:p>
            <w:pPr>
              <w:keepNext w:val="0"/>
              <w:keepLines w:val="0"/>
              <w:pageBreakBefore w:val="0"/>
              <w:widowControl w:val="0"/>
              <w:tabs>
                <w:tab w:val="left" w:pos="1265"/>
              </w:tabs>
              <w:kinsoku/>
              <w:wordWrap/>
              <w:overflowPunct/>
              <w:topLinePunct w:val="0"/>
              <w:bidi w:val="0"/>
              <w:spacing w:line="312" w:lineRule="auto"/>
              <w:jc w:val="left"/>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科学、合理、可实施性强，得3分；</w:t>
            </w:r>
          </w:p>
          <w:p>
            <w:pPr>
              <w:keepNext w:val="0"/>
              <w:keepLines w:val="0"/>
              <w:pageBreakBefore w:val="0"/>
              <w:kinsoku/>
              <w:wordWrap/>
              <w:overflowPunct/>
              <w:topLinePunct w:val="0"/>
              <w:autoSpaceDE w:val="0"/>
              <w:autoSpaceDN w:val="0"/>
              <w:bidi w:val="0"/>
              <w:adjustRightInd w:val="0"/>
              <w:snapToGrid/>
              <w:spacing w:line="240" w:lineRule="auto"/>
              <w:ind w:right="71" w:rightChars="34"/>
              <w:rPr>
                <w:rFonts w:hint="eastAsia" w:ascii="宋体" w:hAnsi="宋体" w:eastAsia="宋体" w:cs="宋体"/>
                <w:color w:val="auto"/>
                <w:highlight w:val="none"/>
              </w:rPr>
            </w:pPr>
            <w:r>
              <w:rPr>
                <w:rFonts w:hint="eastAsia" w:ascii="宋体" w:hAnsi="宋体" w:eastAsia="宋体" w:cs="宋体"/>
                <w:color w:val="auto"/>
                <w:highlight w:val="none"/>
              </w:rPr>
              <w:t>合理，可行，</w:t>
            </w:r>
            <w:r>
              <w:rPr>
                <w:rFonts w:hint="eastAsia" w:ascii="宋体" w:hAnsi="宋体" w:eastAsia="宋体" w:cs="宋体"/>
                <w:color w:val="auto"/>
                <w:highlight w:val="none"/>
                <w:lang w:eastAsia="zh-CN"/>
              </w:rPr>
              <w:t>得</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分；</w:t>
            </w:r>
          </w:p>
          <w:p>
            <w:pPr>
              <w:keepNext w:val="0"/>
              <w:keepLines w:val="0"/>
              <w:pageBreakBefore w:val="0"/>
              <w:kinsoku/>
              <w:wordWrap/>
              <w:overflowPunct/>
              <w:topLinePunct w:val="0"/>
              <w:autoSpaceDE w:val="0"/>
              <w:autoSpaceDN w:val="0"/>
              <w:bidi w:val="0"/>
              <w:adjustRightInd w:val="0"/>
              <w:snapToGrid/>
              <w:spacing w:line="240" w:lineRule="auto"/>
              <w:ind w:right="71" w:rightChars="34"/>
              <w:rPr>
                <w:rFonts w:hint="eastAsia" w:ascii="宋体" w:hAnsi="宋体" w:eastAsia="宋体" w:cs="宋体"/>
                <w:color w:val="auto"/>
                <w:highlight w:val="none"/>
              </w:rPr>
            </w:pPr>
            <w:r>
              <w:rPr>
                <w:rFonts w:hint="eastAsia" w:ascii="宋体" w:hAnsi="宋体" w:eastAsia="宋体" w:cs="宋体"/>
                <w:color w:val="auto"/>
                <w:highlight w:val="none"/>
              </w:rPr>
              <w:t>欠合理，基本可行，</w:t>
            </w:r>
            <w:r>
              <w:rPr>
                <w:rFonts w:hint="eastAsia" w:ascii="宋体" w:hAnsi="宋体" w:eastAsia="宋体" w:cs="宋体"/>
                <w:color w:val="auto"/>
                <w:highlight w:val="none"/>
                <w:lang w:eastAsia="zh-CN"/>
              </w:rPr>
              <w:t>得</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分；</w:t>
            </w:r>
          </w:p>
          <w:p>
            <w:pPr>
              <w:keepNext w:val="0"/>
              <w:keepLines w:val="0"/>
              <w:pageBreakBefore w:val="0"/>
              <w:widowControl w:val="0"/>
              <w:tabs>
                <w:tab w:val="left" w:pos="1265"/>
              </w:tabs>
              <w:kinsoku/>
              <w:wordWrap/>
              <w:overflowPunct/>
              <w:topLinePunct w:val="0"/>
              <w:bidi w:val="0"/>
              <w:spacing w:line="312" w:lineRule="auto"/>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highlight w:val="none"/>
              </w:rPr>
              <w:t>不可行或未提供，</w:t>
            </w:r>
            <w:r>
              <w:rPr>
                <w:rFonts w:hint="eastAsia" w:ascii="宋体" w:hAnsi="宋体" w:eastAsia="宋体" w:cs="宋体"/>
                <w:color w:val="auto"/>
                <w:highlight w:val="none"/>
                <w:lang w:eastAsia="zh-CN"/>
              </w:rPr>
              <w:t>得</w:t>
            </w:r>
            <w:r>
              <w:rPr>
                <w:rFonts w:hint="eastAsia" w:ascii="宋体" w:hAnsi="宋体" w:eastAsia="宋体" w:cs="宋体"/>
                <w:color w:val="auto"/>
                <w:highlight w:val="none"/>
              </w:rPr>
              <w:t>0 分。</w:t>
            </w:r>
          </w:p>
        </w:tc>
        <w:tc>
          <w:tcPr>
            <w:tcW w:w="673" w:type="dxa"/>
            <w:tcBorders>
              <w:bottom w:val="single" w:color="auto" w:sz="4" w:space="0"/>
            </w:tcBorders>
            <w:noWrap w:val="0"/>
            <w:vAlign w:val="center"/>
          </w:tcPr>
          <w:p>
            <w:pPr>
              <w:keepNext w:val="0"/>
              <w:keepLines w:val="0"/>
              <w:pageBreakBefore w:val="0"/>
              <w:widowControl w:val="0"/>
              <w:tabs>
                <w:tab w:val="left" w:pos="1265"/>
              </w:tabs>
              <w:kinsoku/>
              <w:wordWrap/>
              <w:overflowPunct/>
              <w:topLinePunct w:val="0"/>
              <w:bidi w:val="0"/>
              <w:spacing w:line="312" w:lineRule="auto"/>
              <w:jc w:val="left"/>
              <w:rPr>
                <w:rFonts w:hint="eastAsia" w:asciiTheme="minorEastAsia" w:hAnsiTheme="minorEastAsia" w:eastAsiaTheme="minorEastAsia" w:cstheme="minorEastAsia"/>
                <w:bCs/>
                <w:caps/>
                <w:color w:val="auto"/>
                <w:sz w:val="21"/>
                <w:szCs w:val="21"/>
                <w:lang w:val="en-US" w:eastAsia="zh-CN"/>
              </w:rPr>
            </w:pPr>
            <w:r>
              <w:rPr>
                <w:rFonts w:hint="eastAsia" w:asciiTheme="minorEastAsia" w:hAnsiTheme="minorEastAsia" w:eastAsiaTheme="minorEastAsia" w:cstheme="minorEastAsia"/>
                <w:color w:val="auto"/>
                <w:kern w:val="2"/>
                <w:sz w:val="21"/>
                <w:szCs w:val="21"/>
                <w:lang w:val="en-US" w:eastAsia="zh-CN" w:bidi="ar-SA"/>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tcBorders>
              <w:bottom w:val="single" w:color="auto" w:sz="4" w:space="0"/>
            </w:tcBorders>
            <w:noWrap w:val="0"/>
            <w:vAlign w:val="center"/>
          </w:tcPr>
          <w:p>
            <w:pPr>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系统对接</w:t>
            </w:r>
          </w:p>
        </w:tc>
        <w:tc>
          <w:tcPr>
            <w:tcW w:w="7306" w:type="dxa"/>
            <w:tcBorders>
              <w:bottom w:val="single" w:color="auto" w:sz="4" w:space="0"/>
            </w:tcBorders>
            <w:noWrap w:val="0"/>
            <w:vAlign w:val="center"/>
          </w:tcPr>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车辆道闸出口</w:t>
            </w:r>
            <w:r>
              <w:rPr>
                <w:rFonts w:hint="eastAsia" w:asciiTheme="minorEastAsia" w:hAnsiTheme="minorEastAsia" w:eastAsiaTheme="minorEastAsia" w:cstheme="minorEastAsia"/>
                <w:color w:val="auto"/>
                <w:sz w:val="21"/>
                <w:szCs w:val="21"/>
                <w:lang w:val="en-US" w:eastAsia="zh-CN"/>
              </w:rPr>
              <w:t>系统必须对接本部系统实现“互联互通互控”功能（提供承诺书），</w:t>
            </w:r>
            <w:r>
              <w:rPr>
                <w:rFonts w:hint="eastAsia" w:asciiTheme="minorEastAsia" w:hAnsiTheme="minorEastAsia" w:eastAsiaTheme="minorEastAsia" w:cstheme="minorEastAsia"/>
                <w:color w:val="auto"/>
                <w:sz w:val="21"/>
                <w:szCs w:val="21"/>
              </w:rPr>
              <w:t>LCD显示屏可优先显示</w:t>
            </w:r>
            <w:r>
              <w:rPr>
                <w:rFonts w:hint="eastAsia" w:asciiTheme="minorEastAsia" w:hAnsiTheme="minorEastAsia" w:eastAsiaTheme="minorEastAsia" w:cstheme="minorEastAsia"/>
                <w:color w:val="auto"/>
                <w:sz w:val="21"/>
                <w:szCs w:val="21"/>
                <w:lang w:val="en-US" w:eastAsia="zh-CN"/>
              </w:rPr>
              <w:t>违章车辆禁止入校字样</w:t>
            </w:r>
            <w:r>
              <w:rPr>
                <w:rFonts w:hint="eastAsia" w:asciiTheme="minorEastAsia" w:hAnsiTheme="minorEastAsia" w:eastAsiaTheme="minorEastAsia" w:cstheme="minorEastAsia"/>
                <w:color w:val="auto"/>
                <w:sz w:val="21"/>
                <w:szCs w:val="21"/>
              </w:rPr>
              <w:t>（提供</w:t>
            </w:r>
            <w:r>
              <w:rPr>
                <w:rFonts w:hint="eastAsia" w:asciiTheme="minorEastAsia" w:hAnsiTheme="minorEastAsia" w:eastAsiaTheme="minorEastAsia" w:cstheme="minorEastAsia"/>
                <w:color w:val="auto"/>
                <w:sz w:val="21"/>
                <w:szCs w:val="21"/>
                <w:lang w:eastAsia="zh-CN"/>
              </w:rPr>
              <w:t>承诺书，</w:t>
            </w:r>
            <w:r>
              <w:rPr>
                <w:rFonts w:hint="eastAsia" w:asciiTheme="minorEastAsia" w:hAnsiTheme="minorEastAsia" w:eastAsiaTheme="minorEastAsia" w:cstheme="minorEastAsia"/>
                <w:color w:val="auto"/>
                <w:sz w:val="21"/>
                <w:szCs w:val="21"/>
                <w:lang w:val="en-US" w:eastAsia="zh-CN"/>
              </w:rPr>
              <w:t>同时提供界面确认截图</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根据提供的</w:t>
            </w:r>
            <w:r>
              <w:rPr>
                <w:rFonts w:hint="eastAsia" w:asciiTheme="minorEastAsia" w:hAnsiTheme="minorEastAsia" w:eastAsiaTheme="minorEastAsia" w:cstheme="minorEastAsia"/>
                <w:color w:val="auto"/>
                <w:sz w:val="21"/>
                <w:szCs w:val="21"/>
              </w:rPr>
              <w:t>方案设计</w:t>
            </w:r>
            <w:r>
              <w:rPr>
                <w:rFonts w:hint="eastAsia" w:asciiTheme="minorEastAsia" w:hAnsiTheme="minorEastAsia" w:eastAsiaTheme="minorEastAsia" w:cstheme="minorEastAsia"/>
                <w:color w:val="auto"/>
                <w:sz w:val="21"/>
                <w:szCs w:val="21"/>
                <w:lang w:eastAsia="zh-CN"/>
              </w:rPr>
              <w:t>及</w:t>
            </w:r>
            <w:r>
              <w:rPr>
                <w:rFonts w:hint="eastAsia" w:asciiTheme="minorEastAsia" w:hAnsiTheme="minorEastAsia" w:eastAsiaTheme="minorEastAsia" w:cstheme="minorEastAsia"/>
                <w:color w:val="auto"/>
                <w:sz w:val="21"/>
                <w:szCs w:val="21"/>
              </w:rPr>
              <w:t>承诺文件</w:t>
            </w:r>
            <w:r>
              <w:rPr>
                <w:rFonts w:hint="eastAsia" w:asciiTheme="minorEastAsia" w:hAnsiTheme="minorEastAsia" w:eastAsiaTheme="minorEastAsia" w:cstheme="minorEastAsia"/>
                <w:color w:val="auto"/>
                <w:sz w:val="21"/>
                <w:szCs w:val="21"/>
                <w:lang w:eastAsia="zh-CN"/>
              </w:rPr>
              <w:t>进行评分。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科学、合理、可实施性强，得3分；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合理，可行，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欠合理，基本可行，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不可行或未提供，</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rPr>
              <w:t>0 分。</w:t>
            </w:r>
          </w:p>
        </w:tc>
        <w:tc>
          <w:tcPr>
            <w:tcW w:w="673" w:type="dxa"/>
            <w:tcBorders>
              <w:bottom w:val="single" w:color="auto" w:sz="4" w:space="0"/>
            </w:tcBorders>
            <w:noWrap w:val="0"/>
            <w:vAlign w:val="center"/>
          </w:tcPr>
          <w:p>
            <w:pPr>
              <w:ind w:left="-4" w:leftChars="-2" w:firstLine="2" w:firstLineChars="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aps/>
                <w:color w:val="auto"/>
                <w:sz w:val="21"/>
                <w:szCs w:val="21"/>
                <w:lang w:val="en-US" w:eastAsia="zh-CN"/>
              </w:rPr>
              <w:t>3</w:t>
            </w:r>
            <w:r>
              <w:rPr>
                <w:rFonts w:hint="eastAsia" w:asciiTheme="minorEastAsia" w:hAnsiTheme="minorEastAsia" w:eastAsiaTheme="minorEastAsia" w:cstheme="minorEastAsia"/>
                <w:bCs/>
                <w:caps/>
                <w:color w:val="auto"/>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tcBorders>
              <w:top w:val="single" w:color="auto" w:sz="4" w:space="0"/>
            </w:tcBorders>
            <w:noWrap w:val="0"/>
            <w:vAlign w:val="center"/>
          </w:tcPr>
          <w:p>
            <w:pPr>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先行后付费</w:t>
            </w:r>
          </w:p>
        </w:tc>
        <w:tc>
          <w:tcPr>
            <w:tcW w:w="7306" w:type="dxa"/>
            <w:tcBorders>
              <w:top w:val="single" w:color="auto" w:sz="4" w:space="0"/>
              <w:bottom w:val="single" w:color="auto" w:sz="4" w:space="0"/>
            </w:tcBorders>
            <w:noWrap w:val="0"/>
            <w:vAlign w:val="center"/>
          </w:tcPr>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rPr>
              <w:t>能够根据车辆道闸出口LCD显示屏显示</w:t>
            </w:r>
            <w:r>
              <w:rPr>
                <w:rFonts w:hint="eastAsia" w:asciiTheme="minorEastAsia" w:hAnsiTheme="minorEastAsia" w:eastAsiaTheme="minorEastAsia" w:cstheme="minorEastAsia"/>
                <w:color w:val="auto"/>
                <w:sz w:val="21"/>
                <w:szCs w:val="21"/>
                <w:lang w:val="en-US" w:eastAsia="zh-CN"/>
              </w:rPr>
              <w:t>签约</w:t>
            </w:r>
            <w:r>
              <w:rPr>
                <w:rFonts w:hint="eastAsia" w:asciiTheme="minorEastAsia" w:hAnsiTheme="minorEastAsia" w:eastAsiaTheme="minorEastAsia" w:cstheme="minorEastAsia"/>
                <w:color w:val="auto"/>
                <w:sz w:val="21"/>
                <w:szCs w:val="21"/>
              </w:rPr>
              <w:t>内容，同步播报车辆</w:t>
            </w:r>
            <w:r>
              <w:rPr>
                <w:rFonts w:hint="eastAsia" w:asciiTheme="minorEastAsia" w:hAnsiTheme="minorEastAsia" w:eastAsiaTheme="minorEastAsia" w:cstheme="minorEastAsia"/>
                <w:color w:val="auto"/>
                <w:sz w:val="21"/>
                <w:szCs w:val="21"/>
                <w:lang w:val="en-US" w:eastAsia="zh-CN"/>
              </w:rPr>
              <w:t>状态，可支持先行后付费（提供源码和方案说明，同时提供界面开启截图）</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lang w:eastAsia="zh-CN"/>
              </w:rPr>
              <w:t>根据提供的方案进行评分。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科学、合理、可实施性强，得3分；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合理，可行，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欠合理，基本可行，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不可行或未提供，</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rPr>
              <w:t>0 分。</w:t>
            </w:r>
          </w:p>
        </w:tc>
        <w:tc>
          <w:tcPr>
            <w:tcW w:w="673" w:type="dxa"/>
            <w:tcBorders>
              <w:top w:val="single" w:color="auto" w:sz="4" w:space="0"/>
              <w:bottom w:val="single" w:color="auto" w:sz="4" w:space="0"/>
            </w:tcBorders>
            <w:noWrap w:val="0"/>
            <w:vAlign w:val="center"/>
          </w:tcPr>
          <w:p>
            <w:pPr>
              <w:ind w:left="-4" w:leftChars="-2" w:firstLine="2" w:firstLineChars="1"/>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Cs/>
                <w:caps/>
                <w:color w:val="auto"/>
                <w:sz w:val="21"/>
                <w:szCs w:val="21"/>
                <w:lang w:val="en-US" w:eastAsia="zh-CN"/>
              </w:rPr>
              <w:t>3</w:t>
            </w:r>
            <w:r>
              <w:rPr>
                <w:rFonts w:hint="eastAsia" w:asciiTheme="minorEastAsia" w:hAnsiTheme="minorEastAsia" w:eastAsiaTheme="minorEastAsia" w:cstheme="minorEastAsia"/>
                <w:bCs/>
                <w:caps/>
                <w:color w:val="auto"/>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tcBorders>
              <w:top w:val="single" w:color="auto" w:sz="4" w:space="0"/>
            </w:tcBorders>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扫码支付云平台</w:t>
            </w:r>
          </w:p>
        </w:tc>
        <w:tc>
          <w:tcPr>
            <w:tcW w:w="7306" w:type="dxa"/>
            <w:tcBorders>
              <w:top w:val="single" w:color="auto" w:sz="4" w:space="0"/>
              <w:bottom w:val="single" w:color="auto" w:sz="4" w:space="0"/>
            </w:tcBorders>
            <w:noWrap w:val="0"/>
            <w:vAlign w:val="center"/>
          </w:tcPr>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lang w:eastAsia="zh-CN"/>
              </w:rPr>
            </w:pPr>
            <w:r>
              <w:rPr>
                <w:rFonts w:hint="eastAsia" w:asciiTheme="minorEastAsia" w:hAnsiTheme="minorEastAsia" w:eastAsiaTheme="minorEastAsia" w:cstheme="minorEastAsia"/>
                <w:color w:val="auto"/>
                <w:sz w:val="21"/>
                <w:szCs w:val="21"/>
                <w:lang w:val="en-US" w:eastAsia="zh-CN"/>
              </w:rPr>
              <w:t>支持</w:t>
            </w:r>
            <w:r>
              <w:rPr>
                <w:rFonts w:hint="eastAsia" w:asciiTheme="minorEastAsia" w:hAnsiTheme="minorEastAsia" w:eastAsiaTheme="minorEastAsia" w:cstheme="minorEastAsia"/>
                <w:color w:val="auto"/>
                <w:sz w:val="21"/>
                <w:szCs w:val="21"/>
              </w:rPr>
              <w:t>微信、支付宝扫码支付，且车主扫码后，无需输入车牌号，直接交费出场</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lang w:val="en-US" w:eastAsia="zh-CN"/>
              </w:rPr>
              <w:t>支持预约进校</w:t>
            </w:r>
            <w:r>
              <w:rPr>
                <w:rFonts w:hint="eastAsia" w:asciiTheme="minorEastAsia" w:hAnsiTheme="minorEastAsia" w:eastAsiaTheme="minorEastAsia" w:cstheme="minorEastAsia"/>
                <w:color w:val="auto"/>
                <w:sz w:val="21"/>
                <w:szCs w:val="21"/>
              </w:rPr>
              <w:t>（提供证明文件</w:t>
            </w:r>
            <w:r>
              <w:rPr>
                <w:rFonts w:hint="eastAsia" w:asciiTheme="minorEastAsia" w:hAnsiTheme="minorEastAsia" w:eastAsiaTheme="minorEastAsia" w:cstheme="minorEastAsia"/>
                <w:color w:val="auto"/>
                <w:sz w:val="21"/>
                <w:szCs w:val="21"/>
                <w:lang w:val="en-US" w:eastAsia="zh-CN"/>
              </w:rPr>
              <w:t>及小程序截图</w:t>
            </w:r>
            <w:r>
              <w:rPr>
                <w:rFonts w:hint="eastAsia" w:asciiTheme="minorEastAsia" w:hAnsiTheme="minorEastAsia" w:eastAsiaTheme="minorEastAsia" w:cstheme="minorEastAsia"/>
                <w:color w:val="auto"/>
                <w:sz w:val="21"/>
                <w:szCs w:val="21"/>
              </w:rPr>
              <w:t>），收费数据能存放在本地。</w:t>
            </w:r>
            <w:r>
              <w:rPr>
                <w:rFonts w:hint="eastAsia" w:asciiTheme="minorEastAsia" w:hAnsiTheme="minorEastAsia" w:eastAsiaTheme="minorEastAsia" w:cstheme="minorEastAsia"/>
                <w:color w:val="auto"/>
                <w:sz w:val="21"/>
                <w:szCs w:val="21"/>
                <w:lang w:eastAsia="zh-CN"/>
              </w:rPr>
              <w:t>根据提供的方案设计进行评分。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科学、合理、可实施性强，得3分；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合理，可行，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欠合理，基本可行，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不可行或未提供，</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rPr>
              <w:t>0 分。</w:t>
            </w:r>
          </w:p>
        </w:tc>
        <w:tc>
          <w:tcPr>
            <w:tcW w:w="673" w:type="dxa"/>
            <w:tcBorders>
              <w:top w:val="single" w:color="auto" w:sz="4" w:space="0"/>
              <w:bottom w:val="single" w:color="auto" w:sz="4" w:space="0"/>
            </w:tcBorders>
            <w:noWrap w:val="0"/>
            <w:vAlign w:val="center"/>
          </w:tcPr>
          <w:p>
            <w:pPr>
              <w:ind w:left="-4" w:leftChars="-2" w:firstLine="2" w:firstLineChars="1"/>
              <w:jc w:val="center"/>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Cs/>
                <w:caps/>
                <w:color w:val="auto"/>
                <w:sz w:val="21"/>
                <w:szCs w:val="21"/>
                <w:lang w:val="en-US" w:eastAsia="zh-CN"/>
              </w:rPr>
              <w:t>3</w:t>
            </w:r>
            <w:r>
              <w:rPr>
                <w:rFonts w:hint="eastAsia" w:asciiTheme="minorEastAsia" w:hAnsiTheme="minorEastAsia" w:eastAsiaTheme="minorEastAsia" w:cstheme="minorEastAsia"/>
                <w:bCs/>
                <w:caps/>
                <w:color w:val="auto"/>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noWrap w:val="0"/>
            <w:vAlign w:val="center"/>
          </w:tcPr>
          <w:p>
            <w:pPr>
              <w:adjustRightInd w:val="0"/>
              <w:snapToGrid w:val="0"/>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6"/>
                <w:sz w:val="21"/>
                <w:szCs w:val="21"/>
              </w:rPr>
              <w:t>软件开发能力</w:t>
            </w:r>
          </w:p>
        </w:tc>
        <w:tc>
          <w:tcPr>
            <w:tcW w:w="7306" w:type="dxa"/>
            <w:noWrap w:val="0"/>
            <w:vAlign w:val="center"/>
          </w:tcPr>
          <w:p>
            <w:pPr>
              <w:keepNext w:val="0"/>
              <w:keepLines w:val="0"/>
              <w:pageBreakBefore w:val="0"/>
              <w:kinsoku/>
              <w:wordWrap/>
              <w:overflowPunct/>
              <w:topLinePunct w:val="0"/>
              <w:autoSpaceDE w:val="0"/>
              <w:autoSpaceDN w:val="0"/>
              <w:bidi w:val="0"/>
              <w:adjustRightInd w:val="0"/>
              <w:snapToGrid w:val="0"/>
              <w:spacing w:line="312" w:lineRule="auto"/>
              <w:ind w:right="71"/>
              <w:rPr>
                <w:rFonts w:hint="eastAsia" w:asciiTheme="minorEastAsia" w:hAnsiTheme="minorEastAsia" w:eastAsiaTheme="minorEastAsia" w:cstheme="minorEastAsia"/>
                <w:color w:val="auto"/>
                <w:kern w:val="0"/>
                <w:sz w:val="21"/>
                <w:szCs w:val="21"/>
                <w:lang w:eastAsia="zh-CN"/>
              </w:rPr>
            </w:pPr>
            <w:r>
              <w:rPr>
                <w:rFonts w:hint="eastAsia" w:asciiTheme="minorEastAsia" w:hAnsiTheme="minorEastAsia" w:eastAsiaTheme="minorEastAsia" w:cstheme="minorEastAsia"/>
                <w:color w:val="auto"/>
                <w:kern w:val="0"/>
                <w:sz w:val="21"/>
                <w:szCs w:val="21"/>
              </w:rPr>
              <w:t>投标</w:t>
            </w:r>
            <w:r>
              <w:rPr>
                <w:rFonts w:hint="eastAsia" w:asciiTheme="minorEastAsia" w:hAnsiTheme="minorEastAsia" w:eastAsiaTheme="minorEastAsia" w:cstheme="minorEastAsia"/>
                <w:color w:val="auto"/>
                <w:kern w:val="0"/>
                <w:sz w:val="21"/>
                <w:szCs w:val="21"/>
                <w:lang w:eastAsia="zh-CN"/>
              </w:rPr>
              <w:t>供应商</w:t>
            </w:r>
            <w:r>
              <w:rPr>
                <w:rFonts w:hint="eastAsia" w:asciiTheme="minorEastAsia" w:hAnsiTheme="minorEastAsia" w:eastAsiaTheme="minorEastAsia" w:cstheme="minorEastAsia"/>
                <w:color w:val="auto"/>
                <w:kern w:val="0"/>
                <w:sz w:val="21"/>
                <w:szCs w:val="21"/>
              </w:rPr>
              <w:t>对车辆管理系统软件在质保期内根据使用方需求进行免费二次开发（提供开发能力证明</w:t>
            </w:r>
            <w:r>
              <w:rPr>
                <w:rFonts w:hint="eastAsia" w:asciiTheme="minorEastAsia" w:hAnsiTheme="minorEastAsia" w:eastAsiaTheme="minorEastAsia" w:cstheme="minorEastAsia"/>
                <w:color w:val="auto"/>
                <w:kern w:val="0"/>
                <w:sz w:val="21"/>
                <w:szCs w:val="21"/>
                <w:lang w:eastAsia="zh-CN"/>
              </w:rPr>
              <w:t>（</w:t>
            </w:r>
            <w:r>
              <w:rPr>
                <w:rFonts w:hint="eastAsia" w:asciiTheme="minorEastAsia" w:hAnsiTheme="minorEastAsia" w:eastAsiaTheme="minorEastAsia" w:cstheme="minorEastAsia"/>
                <w:color w:val="auto"/>
                <w:kern w:val="0"/>
                <w:sz w:val="21"/>
                <w:szCs w:val="21"/>
                <w:lang w:val="en-US" w:eastAsia="zh-CN"/>
              </w:rPr>
              <w:t>停车识别软件著作权</w:t>
            </w:r>
            <w:r>
              <w:rPr>
                <w:rFonts w:hint="eastAsia" w:asciiTheme="minorEastAsia" w:hAnsiTheme="minorEastAsia" w:eastAsiaTheme="minorEastAsia" w:cstheme="minorEastAsia"/>
                <w:color w:val="auto"/>
                <w:kern w:val="0"/>
                <w:sz w:val="21"/>
                <w:szCs w:val="21"/>
                <w:lang w:eastAsia="zh-CN"/>
              </w:rPr>
              <w:t>）</w:t>
            </w:r>
            <w:r>
              <w:rPr>
                <w:rFonts w:hint="eastAsia" w:asciiTheme="minorEastAsia" w:hAnsiTheme="minorEastAsia" w:eastAsiaTheme="minorEastAsia" w:cstheme="minorEastAsia"/>
                <w:color w:val="auto"/>
                <w:kern w:val="0"/>
                <w:sz w:val="21"/>
                <w:szCs w:val="21"/>
              </w:rPr>
              <w:t>及开发内容方案，并加盖公司公章）。</w:t>
            </w:r>
            <w:r>
              <w:rPr>
                <w:rFonts w:hint="eastAsia" w:asciiTheme="minorEastAsia" w:hAnsiTheme="minorEastAsia" w:eastAsiaTheme="minorEastAsia" w:cstheme="minorEastAsia"/>
                <w:color w:val="auto"/>
                <w:kern w:val="0"/>
                <w:sz w:val="21"/>
                <w:szCs w:val="21"/>
                <w:lang w:eastAsia="zh-CN"/>
              </w:rPr>
              <w:t>根据提供的</w:t>
            </w:r>
            <w:r>
              <w:rPr>
                <w:rFonts w:hint="eastAsia" w:asciiTheme="minorEastAsia" w:hAnsiTheme="minorEastAsia" w:eastAsiaTheme="minorEastAsia" w:cstheme="minorEastAsia"/>
                <w:color w:val="auto"/>
                <w:kern w:val="0"/>
                <w:sz w:val="21"/>
                <w:szCs w:val="21"/>
              </w:rPr>
              <w:t>开发能力证明及开发内容方案</w:t>
            </w:r>
            <w:r>
              <w:rPr>
                <w:rFonts w:hint="eastAsia" w:asciiTheme="minorEastAsia" w:hAnsiTheme="minorEastAsia" w:eastAsiaTheme="minorEastAsia" w:cstheme="minorEastAsia"/>
                <w:color w:val="auto"/>
                <w:kern w:val="0"/>
                <w:sz w:val="21"/>
                <w:szCs w:val="21"/>
                <w:lang w:eastAsia="zh-CN"/>
              </w:rPr>
              <w:t>进行评分。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科学、合理、可实施性强，得4分；</w:t>
            </w:r>
          </w:p>
          <w:p>
            <w:pPr>
              <w:keepNext w:val="0"/>
              <w:keepLines w:val="0"/>
              <w:pageBreakBefore w:val="0"/>
              <w:kinsoku/>
              <w:wordWrap/>
              <w:overflowPunct/>
              <w:topLinePunct w:val="0"/>
              <w:bidi w:val="0"/>
              <w:spacing w:line="312" w:lineRule="auto"/>
              <w:ind w:left="-4" w:leftChars="-2" w:firstLine="2" w:firstLineChars="1"/>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kern w:val="0"/>
                <w:sz w:val="21"/>
                <w:szCs w:val="21"/>
                <w:lang w:eastAsia="zh-CN"/>
              </w:rPr>
              <w:t>方案</w:t>
            </w:r>
            <w:r>
              <w:rPr>
                <w:rFonts w:hint="eastAsia" w:asciiTheme="minorEastAsia" w:hAnsiTheme="minorEastAsia" w:eastAsiaTheme="minorEastAsia" w:cstheme="minorEastAsia"/>
                <w:color w:val="auto"/>
                <w:sz w:val="21"/>
                <w:szCs w:val="21"/>
              </w:rPr>
              <w:t>合理，基本可行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2</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bidi w:val="0"/>
              <w:spacing w:line="312" w:lineRule="auto"/>
              <w:ind w:left="-4" w:leftChars="-2" w:firstLine="2" w:firstLineChars="1"/>
              <w:rPr>
                <w:rFonts w:hint="eastAsia"/>
                <w:color w:val="auto"/>
              </w:rPr>
            </w:pPr>
            <w:r>
              <w:rPr>
                <w:rFonts w:hint="eastAsia" w:asciiTheme="minorEastAsia" w:hAnsiTheme="minorEastAsia" w:eastAsiaTheme="minorEastAsia" w:cstheme="minorEastAsia"/>
                <w:color w:val="auto"/>
                <w:sz w:val="21"/>
                <w:szCs w:val="21"/>
              </w:rPr>
              <w:t>欠合理，基本可行，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分；</w:t>
            </w:r>
          </w:p>
          <w:p>
            <w:pPr>
              <w:keepNext w:val="0"/>
              <w:keepLines w:val="0"/>
              <w:pageBreakBefore w:val="0"/>
              <w:kinsoku/>
              <w:wordWrap/>
              <w:overflowPunct/>
              <w:topLinePunct w:val="0"/>
              <w:autoSpaceDE w:val="0"/>
              <w:autoSpaceDN w:val="0"/>
              <w:bidi w:val="0"/>
              <w:adjustRightInd w:val="0"/>
              <w:snapToGrid w:val="0"/>
              <w:spacing w:line="312" w:lineRule="auto"/>
              <w:ind w:right="71"/>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z w:val="21"/>
                <w:szCs w:val="21"/>
              </w:rPr>
              <w:t>不可行或未提供，</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rPr>
              <w:t>0 分。</w:t>
            </w:r>
          </w:p>
        </w:tc>
        <w:tc>
          <w:tcPr>
            <w:tcW w:w="673" w:type="dxa"/>
            <w:noWrap w:val="0"/>
            <w:vAlign w:val="center"/>
          </w:tcPr>
          <w:p>
            <w:pPr>
              <w:adjustRightInd w:val="0"/>
              <w:snapToGrid w:val="0"/>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6"/>
                <w:sz w:val="21"/>
                <w:szCs w:val="21"/>
                <w:lang w:val="en-US" w:eastAsia="zh-CN"/>
              </w:rPr>
              <w:t>4</w:t>
            </w:r>
            <w:r>
              <w:rPr>
                <w:rFonts w:hint="eastAsia" w:asciiTheme="minorEastAsia" w:hAnsiTheme="minorEastAsia" w:eastAsiaTheme="minorEastAsia" w:cstheme="minorEastAsia"/>
                <w:color w:val="auto"/>
                <w:spacing w:val="-6"/>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noWrap w:val="0"/>
            <w:vAlign w:val="center"/>
          </w:tcPr>
          <w:p>
            <w:pPr>
              <w:jc w:val="center"/>
              <w:rPr>
                <w:rFonts w:hint="eastAsia" w:asciiTheme="minorEastAsia" w:hAnsiTheme="minorEastAsia" w:eastAsiaTheme="minorEastAsia" w:cstheme="minorEastAsia"/>
                <w:color w:val="auto"/>
                <w:sz w:val="21"/>
                <w:szCs w:val="21"/>
              </w:rPr>
            </w:pPr>
          </w:p>
        </w:tc>
        <w:tc>
          <w:tcPr>
            <w:tcW w:w="882" w:type="dxa"/>
            <w:noWrap w:val="0"/>
            <w:vAlign w:val="center"/>
          </w:tcPr>
          <w:p>
            <w:pPr>
              <w:adjustRightInd w:val="0"/>
              <w:snapToGrid w:val="0"/>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rPr>
              <w:t>项目团队</w:t>
            </w:r>
          </w:p>
        </w:tc>
        <w:tc>
          <w:tcPr>
            <w:tcW w:w="7306" w:type="dxa"/>
            <w:noWrap w:val="0"/>
            <w:vAlign w:val="center"/>
          </w:tcPr>
          <w:p>
            <w:pPr>
              <w:jc w:val="left"/>
              <w:rPr>
                <w:rFonts w:hint="eastAsia" w:ascii="宋体" w:hAnsi="宋体" w:eastAsia="宋体" w:cs="宋体"/>
                <w:color w:val="auto"/>
                <w:szCs w:val="21"/>
                <w:lang w:eastAsia="zh-CN"/>
              </w:rPr>
            </w:pPr>
            <w:r>
              <w:rPr>
                <w:rFonts w:hint="eastAsia" w:ascii="宋体" w:hAnsi="宋体" w:eastAsia="宋体" w:cs="宋体"/>
                <w:color w:val="auto"/>
                <w:szCs w:val="21"/>
              </w:rPr>
              <w:t>根据供应商拟派项目团队</w:t>
            </w:r>
            <w:r>
              <w:rPr>
                <w:rFonts w:hint="eastAsia" w:ascii="宋体" w:hAnsi="宋体" w:eastAsia="宋体" w:cs="宋体"/>
                <w:color w:val="auto"/>
                <w:szCs w:val="21"/>
                <w:lang w:eastAsia="zh-CN"/>
              </w:rPr>
              <w:t>方案（包含但不限于</w:t>
            </w:r>
            <w:r>
              <w:rPr>
                <w:rFonts w:hint="eastAsia" w:ascii="宋体" w:hAnsi="宋体" w:eastAsia="宋体" w:cs="宋体"/>
                <w:color w:val="auto"/>
                <w:szCs w:val="21"/>
              </w:rPr>
              <w:t>人员</w:t>
            </w:r>
            <w:r>
              <w:rPr>
                <w:rFonts w:hint="eastAsia" w:ascii="宋体" w:hAnsi="宋体" w:eastAsia="宋体" w:cs="宋体"/>
                <w:color w:val="auto"/>
                <w:szCs w:val="21"/>
                <w:lang w:eastAsia="zh-CN"/>
              </w:rPr>
              <w:t>结构配备、岗位设置、专业能力证书等）进行评分。</w:t>
            </w:r>
          </w:p>
          <w:p>
            <w:pPr>
              <w:jc w:val="left"/>
              <w:rPr>
                <w:rFonts w:hint="eastAsia" w:ascii="宋体" w:hAnsi="宋体" w:eastAsia="宋体" w:cs="宋体"/>
                <w:color w:val="auto"/>
                <w:szCs w:val="21"/>
                <w:lang w:val="en-US" w:eastAsia="zh-CN"/>
              </w:rPr>
            </w:pPr>
            <w:r>
              <w:rPr>
                <w:rFonts w:hint="eastAsia" w:ascii="宋体" w:hAnsi="宋体" w:eastAsia="宋体" w:cs="宋体"/>
                <w:color w:val="auto"/>
                <w:szCs w:val="21"/>
                <w:lang w:eastAsia="zh-CN"/>
              </w:rPr>
              <w:t>方案</w:t>
            </w:r>
            <w:r>
              <w:rPr>
                <w:rFonts w:hint="eastAsia" w:ascii="宋体" w:hAnsi="宋体" w:eastAsia="宋体" w:cs="宋体"/>
                <w:color w:val="auto"/>
                <w:szCs w:val="21"/>
                <w:lang w:val="en-US" w:eastAsia="zh-CN"/>
              </w:rPr>
              <w:t>科学、合理、针对性强，得</w:t>
            </w:r>
            <w:r>
              <w:rPr>
                <w:rFonts w:hint="eastAsia" w:ascii="宋体" w:hAnsi="宋体" w:cs="宋体"/>
                <w:color w:val="auto"/>
                <w:szCs w:val="21"/>
                <w:lang w:val="en-US" w:eastAsia="zh-CN"/>
              </w:rPr>
              <w:t>3</w:t>
            </w:r>
            <w:r>
              <w:rPr>
                <w:rFonts w:hint="eastAsia" w:ascii="宋体" w:hAnsi="宋体" w:eastAsia="宋体" w:cs="宋体"/>
                <w:color w:val="auto"/>
                <w:szCs w:val="21"/>
                <w:lang w:val="en-US" w:eastAsia="zh-CN"/>
              </w:rPr>
              <w:t>分；</w:t>
            </w:r>
          </w:p>
          <w:p>
            <w:pPr>
              <w:jc w:val="left"/>
              <w:rPr>
                <w:rFonts w:hint="eastAsia" w:ascii="宋体" w:hAnsi="宋体" w:eastAsia="宋体" w:cs="宋体"/>
                <w:color w:val="auto"/>
                <w:szCs w:val="21"/>
              </w:rPr>
            </w:pPr>
            <w:r>
              <w:rPr>
                <w:rFonts w:hint="eastAsia" w:ascii="宋体" w:hAnsi="宋体" w:eastAsia="宋体" w:cs="宋体"/>
                <w:color w:val="auto"/>
                <w:szCs w:val="21"/>
                <w:lang w:eastAsia="zh-CN"/>
              </w:rPr>
              <w:t>方案</w:t>
            </w:r>
            <w:r>
              <w:rPr>
                <w:rFonts w:hint="eastAsia" w:ascii="宋体" w:hAnsi="宋体" w:eastAsia="宋体" w:cs="宋体"/>
                <w:color w:val="auto"/>
                <w:szCs w:val="21"/>
              </w:rPr>
              <w:t>合理，基本可行</w:t>
            </w:r>
            <w:r>
              <w:rPr>
                <w:rFonts w:hint="eastAsia" w:ascii="宋体" w:hAnsi="宋体" w:eastAsia="宋体" w:cs="宋体"/>
                <w:color w:val="auto"/>
                <w:szCs w:val="21"/>
                <w:lang w:eastAsia="zh-CN"/>
              </w:rPr>
              <w:t>，得</w:t>
            </w:r>
            <w:r>
              <w:rPr>
                <w:rFonts w:hint="eastAsia" w:ascii="宋体" w:hAnsi="宋体" w:cs="宋体"/>
                <w:color w:val="auto"/>
                <w:szCs w:val="21"/>
                <w:lang w:val="en-US" w:eastAsia="zh-CN"/>
              </w:rPr>
              <w:t>2</w:t>
            </w:r>
            <w:r>
              <w:rPr>
                <w:rFonts w:hint="eastAsia" w:ascii="宋体" w:hAnsi="宋体" w:eastAsia="宋体" w:cs="宋体"/>
                <w:color w:val="auto"/>
                <w:szCs w:val="21"/>
              </w:rPr>
              <w:t>分；</w:t>
            </w:r>
          </w:p>
          <w:p>
            <w:pPr>
              <w:keepNext w:val="0"/>
              <w:keepLines w:val="0"/>
              <w:pageBreakBefore w:val="0"/>
              <w:kinsoku/>
              <w:wordWrap/>
              <w:overflowPunct/>
              <w:topLinePunct w:val="0"/>
              <w:bidi w:val="0"/>
              <w:spacing w:line="312" w:lineRule="auto"/>
              <w:ind w:left="-4" w:leftChars="-2" w:firstLine="2" w:firstLineChars="1"/>
              <w:rPr>
                <w:rFonts w:hint="eastAsia"/>
                <w:color w:val="auto"/>
              </w:rPr>
            </w:pPr>
            <w:r>
              <w:rPr>
                <w:rFonts w:hint="eastAsia" w:asciiTheme="minorEastAsia" w:hAnsiTheme="minorEastAsia" w:eastAsiaTheme="minorEastAsia" w:cstheme="minorEastAsia"/>
                <w:color w:val="auto"/>
                <w:sz w:val="21"/>
                <w:szCs w:val="21"/>
              </w:rPr>
              <w:t>欠合理，基本可行，</w:t>
            </w:r>
            <w:r>
              <w:rPr>
                <w:rFonts w:hint="eastAsia" w:asciiTheme="minorEastAsia" w:hAnsiTheme="minorEastAsia" w:eastAsiaTheme="minorEastAsia" w:cstheme="minorEastAsia"/>
                <w:color w:val="auto"/>
                <w:sz w:val="21"/>
                <w:szCs w:val="21"/>
                <w:lang w:eastAsia="zh-CN"/>
              </w:rPr>
              <w:t>得</w:t>
            </w:r>
            <w:r>
              <w:rPr>
                <w:rFonts w:hint="eastAsia" w:asciiTheme="minorEastAsia" w:hAnsiTheme="minorEastAsia" w:eastAsiaTheme="minorEastAsia" w:cstheme="minorEastAsia"/>
                <w:color w:val="auto"/>
                <w:sz w:val="21"/>
                <w:szCs w:val="21"/>
                <w:lang w:val="en-US" w:eastAsia="zh-CN"/>
              </w:rPr>
              <w:t>1</w:t>
            </w:r>
            <w:r>
              <w:rPr>
                <w:rFonts w:hint="eastAsia" w:asciiTheme="minorEastAsia" w:hAnsiTheme="minorEastAsia" w:eastAsiaTheme="minorEastAsia" w:cstheme="minorEastAsia"/>
                <w:color w:val="auto"/>
                <w:sz w:val="21"/>
                <w:szCs w:val="21"/>
              </w:rPr>
              <w:t>分；</w:t>
            </w:r>
          </w:p>
          <w:p>
            <w:pPr>
              <w:jc w:val="left"/>
              <w:rPr>
                <w:rFonts w:hint="eastAsia" w:ascii="宋体" w:hAnsi="宋体" w:eastAsia="宋体" w:cs="宋体"/>
                <w:color w:val="auto"/>
                <w:szCs w:val="21"/>
              </w:rPr>
            </w:pPr>
            <w:r>
              <w:rPr>
                <w:rFonts w:hint="eastAsia" w:ascii="宋体" w:hAnsi="宋体" w:eastAsia="宋体" w:cs="宋体"/>
                <w:color w:val="auto"/>
                <w:szCs w:val="21"/>
              </w:rPr>
              <w:t>不可行或未提供，</w:t>
            </w:r>
            <w:r>
              <w:rPr>
                <w:rFonts w:hint="eastAsia" w:ascii="宋体" w:hAnsi="宋体" w:eastAsia="宋体" w:cs="宋体"/>
                <w:color w:val="auto"/>
                <w:szCs w:val="21"/>
                <w:lang w:eastAsia="zh-CN"/>
              </w:rPr>
              <w:t>得</w:t>
            </w:r>
            <w:r>
              <w:rPr>
                <w:rFonts w:hint="eastAsia" w:ascii="宋体" w:hAnsi="宋体" w:eastAsia="宋体" w:cs="宋体"/>
                <w:color w:val="auto"/>
                <w:szCs w:val="21"/>
              </w:rPr>
              <w:t>0 分。</w:t>
            </w:r>
          </w:p>
        </w:tc>
        <w:tc>
          <w:tcPr>
            <w:tcW w:w="673" w:type="dxa"/>
            <w:noWrap w:val="0"/>
            <w:vAlign w:val="center"/>
          </w:tcPr>
          <w:p>
            <w:pPr>
              <w:adjustRightInd w:val="0"/>
              <w:snapToGrid w:val="0"/>
              <w:jc w:val="center"/>
              <w:rPr>
                <w:rFonts w:hint="eastAsia" w:asciiTheme="minorEastAsia" w:hAnsiTheme="minorEastAsia" w:eastAsiaTheme="minorEastAsia" w:cstheme="minorEastAsia"/>
                <w:color w:val="auto"/>
                <w:kern w:val="0"/>
                <w:sz w:val="21"/>
                <w:szCs w:val="21"/>
              </w:rPr>
            </w:pPr>
            <w:r>
              <w:rPr>
                <w:rFonts w:hint="eastAsia" w:asciiTheme="minorEastAsia" w:hAnsiTheme="minorEastAsia" w:eastAsiaTheme="minorEastAsia" w:cstheme="minorEastAsia"/>
                <w:color w:val="auto"/>
                <w:spacing w:val="-6"/>
                <w:sz w:val="21"/>
                <w:szCs w:val="21"/>
                <w:lang w:val="en-US" w:eastAsia="zh-CN"/>
              </w:rPr>
              <w:t>3分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0" w:type="auto"/>
            <w:vMerge w:val="continue"/>
            <w:tcBorders>
              <w:bottom w:val="single" w:color="auto" w:sz="4" w:space="0"/>
            </w:tcBorders>
            <w:noWrap w:val="0"/>
            <w:vAlign w:val="center"/>
          </w:tcPr>
          <w:p>
            <w:pPr>
              <w:jc w:val="center"/>
              <w:rPr>
                <w:rFonts w:hint="eastAsia" w:asciiTheme="minorEastAsia" w:hAnsiTheme="minorEastAsia" w:eastAsiaTheme="minorEastAsia" w:cstheme="minorEastAsia"/>
                <w:color w:val="auto"/>
                <w:sz w:val="21"/>
                <w:szCs w:val="21"/>
              </w:rPr>
            </w:pPr>
          </w:p>
        </w:tc>
        <w:tc>
          <w:tcPr>
            <w:tcW w:w="882" w:type="dxa"/>
            <w:noWrap w:val="0"/>
            <w:vAlign w:val="center"/>
          </w:tcPr>
          <w:p>
            <w:pPr>
              <w:adjustRightInd w:val="0"/>
              <w:snapToGrid w:val="0"/>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rPr>
              <w:t>售后服务和保障措施</w:t>
            </w:r>
          </w:p>
        </w:tc>
        <w:tc>
          <w:tcPr>
            <w:tcW w:w="7306" w:type="dxa"/>
            <w:noWrap w:val="0"/>
            <w:vAlign w:val="center"/>
          </w:tcPr>
          <w:p>
            <w:pPr>
              <w:jc w:val="left"/>
              <w:rPr>
                <w:rFonts w:ascii="Times New Roman" w:hAnsi="Times New Roman" w:eastAsia="宋体" w:cs="Times New Roman"/>
                <w:color w:val="auto"/>
              </w:rPr>
            </w:pPr>
            <w:r>
              <w:rPr>
                <w:rFonts w:hint="eastAsia" w:ascii="宋体" w:hAnsi="宋体" w:eastAsia="宋体" w:cs="宋体"/>
                <w:color w:val="auto"/>
                <w:szCs w:val="21"/>
              </w:rPr>
              <w:t>根据投标人提供本项目的售后</w:t>
            </w:r>
            <w:r>
              <w:rPr>
                <w:rFonts w:hint="eastAsia" w:ascii="宋体" w:hAnsi="宋体" w:eastAsia="宋体" w:cs="宋体"/>
                <w:color w:val="auto"/>
                <w:szCs w:val="21"/>
                <w:lang w:eastAsia="zh-CN"/>
              </w:rPr>
              <w:t>服务</w:t>
            </w:r>
            <w:r>
              <w:rPr>
                <w:rFonts w:hint="eastAsia" w:ascii="宋体" w:hAnsi="宋体" w:eastAsia="宋体" w:cs="宋体"/>
                <w:color w:val="auto"/>
                <w:szCs w:val="21"/>
              </w:rPr>
              <w:t>方案</w:t>
            </w:r>
            <w:r>
              <w:rPr>
                <w:rFonts w:hint="eastAsia" w:ascii="宋体" w:hAnsi="宋体" w:eastAsia="宋体" w:cs="宋体"/>
                <w:color w:val="auto"/>
                <w:szCs w:val="21"/>
                <w:lang w:eastAsia="zh-CN"/>
              </w:rPr>
              <w:t>和保障措施</w:t>
            </w:r>
            <w:r>
              <w:rPr>
                <w:rFonts w:hint="eastAsia" w:ascii="宋体" w:hAnsi="宋体" w:eastAsia="宋体" w:cs="宋体"/>
                <w:color w:val="auto"/>
                <w:szCs w:val="21"/>
              </w:rPr>
              <w:t>（包含但不限于：</w:t>
            </w:r>
            <w:r>
              <w:rPr>
                <w:rFonts w:hint="eastAsia" w:ascii="Times New Roman" w:hAnsi="Times New Roman" w:eastAsia="宋体" w:cs="Times New Roman"/>
                <w:color w:val="auto"/>
              </w:rPr>
              <w:t>售后服务机构、售后人员数量、服务能力、故障响应</w:t>
            </w:r>
            <w:r>
              <w:rPr>
                <w:rFonts w:hint="eastAsia" w:cs="Times New Roman"/>
                <w:color w:val="auto"/>
                <w:lang w:eastAsia="zh-CN"/>
              </w:rPr>
              <w:t>及</w:t>
            </w:r>
            <w:r>
              <w:rPr>
                <w:rFonts w:hint="eastAsia" w:ascii="Times New Roman" w:hAnsi="Times New Roman" w:eastAsia="宋体" w:cs="Times New Roman"/>
                <w:color w:val="auto"/>
              </w:rPr>
              <w:t>修复时间</w:t>
            </w:r>
            <w:r>
              <w:rPr>
                <w:rFonts w:hint="eastAsia" w:cs="Times New Roman"/>
                <w:color w:val="auto"/>
                <w:lang w:eastAsia="zh-CN"/>
              </w:rPr>
              <w:t>、</w:t>
            </w:r>
            <w:r>
              <w:rPr>
                <w:rFonts w:hint="eastAsia" w:ascii="Times New Roman" w:hAnsi="Times New Roman" w:eastAsia="宋体" w:cs="Times New Roman"/>
                <w:color w:val="auto"/>
              </w:rPr>
              <w:t>应急预案</w:t>
            </w:r>
            <w:r>
              <w:rPr>
                <w:rFonts w:hint="eastAsia" w:cs="Times New Roman"/>
                <w:color w:val="auto"/>
                <w:lang w:eastAsia="zh-CN"/>
              </w:rPr>
              <w:t>等</w:t>
            </w:r>
            <w:r>
              <w:rPr>
                <w:rFonts w:hint="eastAsia" w:ascii="Times New Roman" w:hAnsi="Times New Roman" w:eastAsia="宋体" w:cs="Times New Roman"/>
                <w:color w:val="auto"/>
              </w:rPr>
              <w:t>）进行评分。</w:t>
            </w:r>
          </w:p>
          <w:p>
            <w:pPr>
              <w:jc w:val="left"/>
              <w:rPr>
                <w:rFonts w:ascii="宋体" w:hAnsi="宋体" w:eastAsia="宋体" w:cs="宋体"/>
                <w:color w:val="auto"/>
                <w:szCs w:val="21"/>
              </w:rPr>
            </w:pPr>
            <w:r>
              <w:rPr>
                <w:rFonts w:hint="eastAsia" w:ascii="宋体" w:hAnsi="宋体" w:eastAsia="宋体" w:cs="宋体"/>
                <w:color w:val="auto"/>
                <w:szCs w:val="21"/>
              </w:rPr>
              <w:t>方案切实可行，内容完备，合理、针对性强的，得</w:t>
            </w:r>
            <w:r>
              <w:rPr>
                <w:rFonts w:hint="eastAsia" w:ascii="宋体" w:hAnsi="宋体" w:cs="宋体"/>
                <w:color w:val="auto"/>
                <w:szCs w:val="21"/>
                <w:lang w:val="en-US" w:eastAsia="zh-CN"/>
              </w:rPr>
              <w:t>4</w:t>
            </w:r>
            <w:r>
              <w:rPr>
                <w:rFonts w:hint="eastAsia" w:ascii="宋体" w:hAnsi="宋体" w:eastAsia="宋体" w:cs="宋体"/>
                <w:color w:val="auto"/>
                <w:szCs w:val="21"/>
              </w:rPr>
              <w:t>分；</w:t>
            </w:r>
          </w:p>
          <w:p>
            <w:pPr>
              <w:jc w:val="left"/>
              <w:rPr>
                <w:rFonts w:ascii="宋体" w:hAnsi="宋体" w:eastAsia="宋体" w:cs="宋体"/>
                <w:color w:val="auto"/>
                <w:szCs w:val="21"/>
              </w:rPr>
            </w:pPr>
            <w:r>
              <w:rPr>
                <w:rFonts w:hint="eastAsia" w:ascii="宋体" w:hAnsi="宋体" w:eastAsia="宋体" w:cs="宋体"/>
                <w:color w:val="auto"/>
                <w:szCs w:val="21"/>
              </w:rPr>
              <w:t>完整、合理、基本可行的，得</w:t>
            </w:r>
            <w:r>
              <w:rPr>
                <w:rFonts w:hint="eastAsia" w:ascii="宋体" w:hAnsi="宋体" w:cs="宋体"/>
                <w:color w:val="auto"/>
                <w:szCs w:val="21"/>
                <w:lang w:val="en-US" w:eastAsia="zh-CN"/>
              </w:rPr>
              <w:t>3</w:t>
            </w:r>
            <w:r>
              <w:rPr>
                <w:rFonts w:hint="eastAsia" w:ascii="宋体" w:hAnsi="宋体" w:eastAsia="宋体" w:cs="宋体"/>
                <w:color w:val="auto"/>
                <w:szCs w:val="21"/>
              </w:rPr>
              <w:t>分，</w:t>
            </w:r>
          </w:p>
          <w:p>
            <w:pPr>
              <w:rPr>
                <w:rFonts w:hint="eastAsia"/>
                <w:color w:val="auto"/>
              </w:rPr>
            </w:pPr>
            <w:r>
              <w:rPr>
                <w:rFonts w:hint="eastAsia" w:ascii="宋体" w:hAnsi="宋体" w:eastAsia="宋体" w:cs="宋体"/>
                <w:color w:val="auto"/>
                <w:szCs w:val="21"/>
              </w:rPr>
              <w:t>不可行</w:t>
            </w:r>
            <w:r>
              <w:rPr>
                <w:rFonts w:hint="eastAsia" w:ascii="宋体" w:hAnsi="宋体" w:cs="宋体"/>
                <w:color w:val="auto"/>
                <w:szCs w:val="21"/>
                <w:lang w:eastAsia="zh-CN"/>
              </w:rPr>
              <w:t>或未提供，</w:t>
            </w:r>
            <w:r>
              <w:rPr>
                <w:rFonts w:hint="eastAsia" w:ascii="宋体" w:hAnsi="宋体" w:eastAsia="宋体" w:cs="宋体"/>
                <w:color w:val="auto"/>
                <w:szCs w:val="21"/>
              </w:rPr>
              <w:t>得</w:t>
            </w:r>
            <w:r>
              <w:rPr>
                <w:rFonts w:hint="eastAsia" w:ascii="宋体" w:hAnsi="宋体" w:cs="宋体"/>
                <w:color w:val="auto"/>
                <w:szCs w:val="21"/>
                <w:lang w:val="en-US" w:eastAsia="zh-CN"/>
              </w:rPr>
              <w:t>0</w:t>
            </w:r>
            <w:r>
              <w:rPr>
                <w:rFonts w:hint="eastAsia" w:ascii="宋体" w:hAnsi="宋体" w:eastAsia="宋体" w:cs="宋体"/>
                <w:color w:val="auto"/>
                <w:szCs w:val="21"/>
              </w:rPr>
              <w:t>分。</w:t>
            </w:r>
          </w:p>
        </w:tc>
        <w:tc>
          <w:tcPr>
            <w:tcW w:w="673" w:type="dxa"/>
            <w:noWrap w:val="0"/>
            <w:vAlign w:val="center"/>
          </w:tcPr>
          <w:p>
            <w:pPr>
              <w:adjustRightInd w:val="0"/>
              <w:snapToGrid w:val="0"/>
              <w:jc w:val="center"/>
              <w:rPr>
                <w:rFonts w:hint="eastAsia" w:asciiTheme="minorEastAsia" w:hAnsiTheme="minorEastAsia" w:eastAsiaTheme="minorEastAsia" w:cstheme="minorEastAsia"/>
                <w:color w:val="auto"/>
                <w:spacing w:val="-6"/>
                <w:sz w:val="21"/>
                <w:szCs w:val="21"/>
              </w:rPr>
            </w:pPr>
            <w:r>
              <w:rPr>
                <w:rFonts w:hint="eastAsia" w:asciiTheme="minorEastAsia" w:hAnsiTheme="minorEastAsia" w:eastAsiaTheme="minorEastAsia" w:cstheme="minorEastAsia"/>
                <w:color w:val="auto"/>
                <w:spacing w:val="-6"/>
                <w:sz w:val="21"/>
                <w:szCs w:val="21"/>
                <w:lang w:val="en-US" w:eastAsia="zh-CN"/>
              </w:rPr>
              <w:t>4</w:t>
            </w:r>
            <w:r>
              <w:rPr>
                <w:rFonts w:hint="eastAsia" w:asciiTheme="minorEastAsia" w:hAnsiTheme="minorEastAsia" w:eastAsiaTheme="minorEastAsia" w:cstheme="minorEastAsia"/>
                <w:color w:val="auto"/>
                <w:spacing w:val="-6"/>
                <w:sz w:val="21"/>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615" w:type="dxa"/>
            <w:gridSpan w:val="3"/>
            <w:tcBorders>
              <w:top w:val="single" w:color="auto" w:sz="4" w:space="0"/>
            </w:tcBorders>
            <w:noWrap w:val="0"/>
            <w:vAlign w:val="center"/>
          </w:tcPr>
          <w:p>
            <w:pPr>
              <w:jc w:val="center"/>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总分</w:t>
            </w:r>
          </w:p>
        </w:tc>
        <w:tc>
          <w:tcPr>
            <w:tcW w:w="673" w:type="dxa"/>
            <w:noWrap w:val="0"/>
            <w:vAlign w:val="center"/>
          </w:tcPr>
          <w:p>
            <w:pPr>
              <w:jc w:val="center"/>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100分</w:t>
            </w:r>
          </w:p>
        </w:tc>
      </w:tr>
    </w:tbl>
    <w:p>
      <w:pPr>
        <w:spacing w:line="360" w:lineRule="auto"/>
        <w:rPr>
          <w:rFonts w:hint="eastAsia" w:asciiTheme="minorEastAsia" w:hAnsiTheme="minorEastAsia" w:eastAsiaTheme="minorEastAsia" w:cstheme="minorEastAsia"/>
          <w:b/>
          <w:szCs w:val="21"/>
        </w:rPr>
      </w:pPr>
    </w:p>
    <w:p>
      <w:pPr>
        <w:spacing w:line="360" w:lineRule="auto"/>
        <w:rPr>
          <w:rFonts w:hint="eastAsia" w:asciiTheme="minorEastAsia" w:hAnsiTheme="minorEastAsia" w:eastAsiaTheme="minorEastAsia" w:cstheme="minorEastAsia"/>
          <w:b/>
          <w:szCs w:val="21"/>
        </w:rPr>
      </w:pPr>
    </w:p>
    <w:p>
      <w:pPr>
        <w:spacing w:line="360" w:lineRule="auto"/>
        <w:rPr>
          <w:rFonts w:asciiTheme="minorEastAsia" w:hAnsiTheme="minorEastAsia" w:eastAsiaTheme="minorEastAsia" w:cstheme="minorEastAsia"/>
          <w:b/>
          <w:szCs w:val="21"/>
        </w:rPr>
        <w:sectPr>
          <w:footerReference r:id="rId7" w:type="default"/>
          <w:pgSz w:w="11906" w:h="16838"/>
          <w:pgMar w:top="1417" w:right="1417" w:bottom="1417" w:left="1417" w:header="851" w:footer="992" w:gutter="0"/>
          <w:cols w:space="720" w:num="1"/>
          <w:docGrid w:type="lines" w:linePitch="312" w:charSpace="0"/>
        </w:sectPr>
      </w:pPr>
      <w:r>
        <w:rPr>
          <w:rFonts w:hint="eastAsia" w:asciiTheme="minorEastAsia" w:hAnsiTheme="minorEastAsia" w:eastAsiaTheme="minorEastAsia" w:cstheme="minorEastAsia"/>
          <w:b/>
          <w:szCs w:val="21"/>
        </w:rPr>
        <w:t>注：上述类似业绩证明材料是否具有类似性以及其符合性均由磋商小组判定，如果资料不全或经磋商小组认定不具有类似性的，该项业绩不计分，并由磋商小组在评审报告中记录详细原因。</w:t>
      </w:r>
    </w:p>
    <w:p>
      <w:pPr>
        <w:spacing w:line="360" w:lineRule="auto"/>
        <w:outlineLvl w:val="1"/>
        <w:rPr>
          <w:rFonts w:asciiTheme="minorEastAsia" w:hAnsiTheme="minorEastAsia" w:eastAsiaTheme="minorEastAsia" w:cstheme="minorEastAsia"/>
          <w:b/>
          <w:szCs w:val="21"/>
        </w:rPr>
      </w:pPr>
      <w:bookmarkStart w:id="120" w:name="_Toc4308"/>
      <w:r>
        <w:rPr>
          <w:rFonts w:hint="eastAsia" w:asciiTheme="minorEastAsia" w:hAnsiTheme="minorEastAsia" w:eastAsiaTheme="minorEastAsia" w:cstheme="minorEastAsia"/>
          <w:b/>
          <w:szCs w:val="21"/>
        </w:rPr>
        <w:t>四、评定办法</w:t>
      </w:r>
      <w:bookmarkEnd w:id="120"/>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初步审查标准</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资格性审查标准：见评定办法前附表。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符合性审查标准：见评定办法前附表。</w:t>
      </w:r>
    </w:p>
    <w:p>
      <w:pPr>
        <w:numPr>
          <w:ilvl w:val="1"/>
          <w:numId w:val="36"/>
        </w:numPr>
        <w:tabs>
          <w:tab w:val="left" w:pos="540"/>
          <w:tab w:val="clear" w:pos="36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确定磋商供应商进行最后报价：见评定方法前附表。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评定方法：见评定办法前附表。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2.1 分值构成</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2.2 评标基准价计算</w:t>
      </w:r>
    </w:p>
    <w:p>
      <w:pPr>
        <w:spacing w:line="360" w:lineRule="auto"/>
        <w:ind w:firstLine="840" w:firstLineChars="4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评标基准价计算方法：见评标办法前附表。</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2.3 评分标准</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（1）技术部分评分标准：见评标办法前附表；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（2）商务部分评分标准：见评标办法前附表；</w:t>
      </w:r>
    </w:p>
    <w:p>
      <w:pPr>
        <w:spacing w:line="360" w:lineRule="auto"/>
        <w:ind w:firstLine="718" w:firstLineChars="342"/>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（3）竞标报价评分标准：见评标办法前附表。</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评定结果</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napToGrid w:val="0"/>
          <w:kern w:val="0"/>
          <w:szCs w:val="21"/>
          <w:lang w:val="zh-CN"/>
        </w:rPr>
        <w:t>3.1磋商小组严格按照本章要求对最终报价进行评定。</w:t>
      </w:r>
    </w:p>
    <w:p>
      <w:pPr>
        <w:tabs>
          <w:tab w:val="left" w:pos="540"/>
        </w:tabs>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3.2完成评定后，</w:t>
      </w:r>
      <w:r>
        <w:rPr>
          <w:rFonts w:hint="eastAsia" w:asciiTheme="minorEastAsia" w:hAnsiTheme="minorEastAsia" w:eastAsiaTheme="minorEastAsia" w:cstheme="minorEastAsia"/>
          <w:snapToGrid w:val="0"/>
          <w:kern w:val="0"/>
          <w:szCs w:val="21"/>
          <w:lang w:val="zh-CN"/>
        </w:rPr>
        <w:t>磋商小组</w:t>
      </w:r>
      <w:r>
        <w:rPr>
          <w:rFonts w:hint="eastAsia" w:asciiTheme="minorEastAsia" w:hAnsiTheme="minorEastAsia" w:eastAsiaTheme="minorEastAsia" w:cstheme="minorEastAsia"/>
          <w:szCs w:val="21"/>
        </w:rPr>
        <w:t>须在评审结果推荐意见上共同签字。</w:t>
      </w:r>
    </w:p>
    <w:p>
      <w:pPr>
        <w:spacing w:line="360" w:lineRule="auto"/>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rPr>
        <w:t>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pPr>
        <w:numPr>
          <w:ilvl w:val="3"/>
          <w:numId w:val="35"/>
        </w:numPr>
        <w:tabs>
          <w:tab w:val="left" w:pos="540"/>
        </w:tabs>
        <w:spacing w:line="360" w:lineRule="auto"/>
        <w:ind w:left="540" w:hanging="54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其它</w:t>
      </w:r>
    </w:p>
    <w:p>
      <w:pPr>
        <w:spacing w:line="360" w:lineRule="auto"/>
        <w:ind w:firstLine="420"/>
        <w:jc w:val="left"/>
        <w:rPr>
          <w:rFonts w:asciiTheme="minorEastAsia" w:hAnsiTheme="minorEastAsia" w:eastAsiaTheme="minorEastAsia" w:cstheme="minorEastAsia"/>
        </w:rPr>
      </w:pPr>
      <w:r>
        <w:rPr>
          <w:rFonts w:hint="eastAsia" w:asciiTheme="minorEastAsia" w:hAnsiTheme="minorEastAsia" w:eastAsiaTheme="minorEastAsia" w:cstheme="minorEastAsia"/>
        </w:rPr>
        <w:t>磋商供应商的最终报价均超过了政府采购预算，采购人不能支付的，磋商活动终止；终止后，采购人需要采取调整采购预算或项目配置标准等，或采取其他采购方式的，应当在采购活动开始前获得政府采购监督管理部门批准。</w:t>
      </w:r>
    </w:p>
    <w:p/>
    <w:p/>
    <w:p/>
    <w:p/>
    <w:p>
      <w:pPr>
        <w:spacing w:line="360" w:lineRule="auto"/>
        <w:outlineLvl w:val="1"/>
        <w:rPr>
          <w:rFonts w:asciiTheme="minorEastAsia" w:hAnsiTheme="minorEastAsia" w:eastAsiaTheme="minorEastAsia" w:cstheme="minorEastAsia"/>
          <w:b/>
          <w:szCs w:val="21"/>
        </w:rPr>
      </w:pPr>
      <w:bookmarkStart w:id="121" w:name="_Toc775"/>
      <w:r>
        <w:rPr>
          <w:rFonts w:hint="eastAsia" w:asciiTheme="minorEastAsia" w:hAnsiTheme="minorEastAsia" w:eastAsiaTheme="minorEastAsia" w:cstheme="minorEastAsia"/>
          <w:b/>
          <w:szCs w:val="21"/>
        </w:rPr>
        <w:t>五、磋商及评审步骤</w:t>
      </w:r>
      <w:bookmarkEnd w:id="121"/>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磋商及评审步骤分别依次为磋商小组对供应商及其响应文件的资格和符合性检查、磋商小组同供应商的磋商及供应商的最后报价、详细评审。</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1.验证委托代理人身份、响应文件密封检查</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主持人按以下程序进行：</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① 宣布会场纪律。</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② 公布在响应文件递交截止时间前递交响应文件的供应商名称，并点名确认供应商的委托代理人是否到场（验证委托代理人身份证原件）。</w:t>
      </w:r>
    </w:p>
    <w:p>
      <w:pPr>
        <w:spacing w:line="360" w:lineRule="auto"/>
        <w:ind w:firstLine="420" w:firstLineChars="200"/>
        <w:rPr>
          <w:rFonts w:asciiTheme="minorEastAsia" w:hAnsiTheme="minorEastAsia" w:eastAsiaTheme="minorEastAsia" w:cstheme="minorEastAsia"/>
          <w:b/>
          <w:szCs w:val="28"/>
        </w:rPr>
      </w:pPr>
      <w:r>
        <w:rPr>
          <w:rFonts w:hint="eastAsia" w:asciiTheme="minorEastAsia" w:hAnsiTheme="minorEastAsia" w:eastAsiaTheme="minorEastAsia" w:cstheme="minorEastAsia"/>
          <w:szCs w:val="28"/>
        </w:rPr>
        <w:t>③ 检查响应文件密封情况。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2.资格和符合性审查</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2.1磋商小组审查每份响应文件是否实质上响应了采购文件的要求。磋商小组决定其是否响应只根据响应文件本身的内容，而不依据外部的证据，但响应文件有不真实不正确的内容时除外。</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为贯彻落实财政部关于促进政府采购公平竞争优化营商环境的通知（财库[2019]38号）及其他优化营商环境等政策要求，响应文件中出现的对履约服务质量不造成实质性影响的其他形式性等内容，磋商小组也可以以书面形式要求供应商作出必要的澄清、说明或者补正。</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2.3只有通过了资格和符合性审查的供应商才能进入详细评审阶段。</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3.供应商的澄清</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3.1磋商小组要求供应商澄清、说明或者更正响应文件将以书面形式作出。供应商的澄清、说明或者更正应当由法定代表人或其授权代表签字或者加盖公章。</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4.磋商及最后报价</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4.1磋商小组所有成员应当集中与单一供应商分别进行磋商，并按照磋商会随机抽签的顺序给予所有参加磋商的供应商平等的磋商机会。</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4.2</w:t>
      </w:r>
      <w:r>
        <w:rPr>
          <w:rFonts w:hint="eastAsia" w:asciiTheme="minorEastAsia" w:hAnsiTheme="minorEastAsia" w:eastAsiaTheme="minorEastAsia" w:cstheme="minorEastAsia"/>
          <w:b/>
          <w:szCs w:val="28"/>
        </w:rPr>
        <w:t>在磋商过程中，若磋商小组无法联系上供应商代表或者供应商代表在接到磋商小组通知后15分钟内不能抵达磋商会现场的，视为该供应商自动退出磋商。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4.3</w:t>
      </w:r>
      <w:r>
        <w:rPr>
          <w:rFonts w:hint="eastAsia" w:asciiTheme="minorEastAsia" w:hAnsiTheme="minorEastAsia" w:eastAsiaTheme="minorEastAsia" w:cstheme="minorEastAsia"/>
          <w:b/>
          <w:szCs w:val="28"/>
        </w:rPr>
        <w:t>磋商小组在与供应商磋商之前，应首先对参与磋商的供应商代表的身份进行核验，未按采购文件要求提供身份证原件或经核验的供应商代表身份与证明文件（法定代表人身份证明或法定代表人授权委托书）或身份证不符的，磋商小组有权拒绝该供应商参加磋商。</w:t>
      </w:r>
    </w:p>
    <w:p>
      <w:pPr>
        <w:spacing w:line="360" w:lineRule="auto"/>
        <w:ind w:left="420" w:leftChars="200"/>
        <w:jc w:val="left"/>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4.4在磋商过程中，磋商小组可以根据采购文件和磋商情况实质性变动采购需求中的技术、服务要求以及合同草案条款，但不得变动采购文件中的其他内容。实质性变动的内容，经采购人代表确认后，将作为采购文件的有效组成部分，磋商小组应当及时以书面形式同时通知所有参加磋商的供应商。</w:t>
      </w:r>
    </w:p>
    <w:p>
      <w:pPr>
        <w:spacing w:line="360" w:lineRule="auto"/>
        <w:ind w:left="420" w:leftChars="200"/>
        <w:jc w:val="left"/>
        <w:rPr>
          <w:rFonts w:asciiTheme="minorEastAsia" w:hAnsiTheme="minorEastAsia" w:eastAsiaTheme="minorEastAsia" w:cstheme="minorEastAsia"/>
          <w:bCs/>
          <w:szCs w:val="28"/>
        </w:rPr>
      </w:pPr>
      <w:r>
        <w:rPr>
          <w:rFonts w:hint="eastAsia" w:asciiTheme="minorEastAsia" w:hAnsiTheme="minorEastAsia" w:eastAsiaTheme="minorEastAsia" w:cstheme="minorEastAsia"/>
          <w:szCs w:val="28"/>
        </w:rPr>
        <w:t>4.5磋商结束后，磋商小组将要求所有实质性响应的供应商在规定时间内提交最后报价，最后报价是供应商响应文件的有效组成部分。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bCs/>
          <w:szCs w:val="28"/>
        </w:rPr>
        <w:t>4.6</w:t>
      </w:r>
      <w:r>
        <w:rPr>
          <w:rFonts w:hint="eastAsia" w:asciiTheme="minorEastAsia" w:hAnsiTheme="minorEastAsia" w:eastAsiaTheme="minorEastAsia" w:cstheme="minorEastAsia"/>
          <w:szCs w:val="28"/>
        </w:rPr>
        <w:t>已提交响应文件的供应商，在提交最后报价之前，可以根据磋商情况退出磋商。</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4.7符合下列情形，在采购过程中符合要求的供应商可以为2家：</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（1）政府购买服务项目（含政府和社会资本合作项目）；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（2）市场竞争不充分的科研项目，以及需要扶持的科技成果转化项目。</w:t>
      </w:r>
    </w:p>
    <w:p>
      <w:pPr>
        <w:spacing w:line="360" w:lineRule="auto"/>
        <w:ind w:firstLine="420" w:firstLine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5.详细评审</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5.1经磋商确定最终采购需求和提交最后报价的供应商后，由磋商小组采用综合评分法对提交最后报价的供应商的响应文件和最后报价进行综合评分。具体详见“评分细则”。</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5.2评审时，磋商小组各成员应当独立对每个有效响应的文件进行评价、打分，然后汇总每个供应商每项评分因素的得分。</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 xml:space="preserve">5.3采购代理机构负责对各磋商小组成员的总分进行复核和汇总。各项统计结果均精确到小数点后两位。 </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5.4磋商小组应当根据综合评分情况，按照评审得分由高到低顺序（评审得分相同的，按照最后报价由低到高的顺序确定，评审得分且最后报价相同的，按照技术指标优劣顺序确定）推荐3名成交候选供应商，并编写评审报告。</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5.5在评审期间，供应商不得干扰和阻碍评审工作，供应商不得向磋商小组询问评审情况，任何影响和干扰评审工作的行为都可能导致被取消本次评审的资格，并承担相应的法律责任。</w:t>
      </w:r>
    </w:p>
    <w:p>
      <w:pPr>
        <w:spacing w:line="360" w:lineRule="auto"/>
        <w:ind w:left="420" w:leftChars="200"/>
        <w:rPr>
          <w:rFonts w:asciiTheme="minorEastAsia" w:hAnsiTheme="minorEastAsia" w:eastAsiaTheme="minorEastAsia" w:cstheme="minorEastAsia"/>
          <w:szCs w:val="28"/>
        </w:rPr>
      </w:pPr>
      <w:r>
        <w:rPr>
          <w:rFonts w:hint="eastAsia" w:asciiTheme="minorEastAsia" w:hAnsiTheme="minorEastAsia" w:eastAsiaTheme="minorEastAsia" w:cstheme="minorEastAsia"/>
          <w:szCs w:val="28"/>
        </w:rPr>
        <w:t>5.6在评审过程中，磋商小组不得与供应商私下交换意见，从采购工作开始，直到授予供应商合同止，凡是属于审查、澄清、评价和比较响应文件的有关资料以及授标意向等，均不得向供应商或其他无关的人员透露。否则，磋商小组应承担法律、法规责任。</w:t>
      </w:r>
      <w:r>
        <w:rPr>
          <w:rFonts w:hint="eastAsia" w:asciiTheme="minorEastAsia" w:hAnsiTheme="minorEastAsia" w:eastAsiaTheme="minorEastAsia" w:cstheme="minorEastAsia"/>
          <w:szCs w:val="28"/>
        </w:rPr>
        <w:br w:type="textWrapping"/>
      </w:r>
    </w:p>
    <w:p>
      <w:pPr>
        <w:spacing w:line="360" w:lineRule="auto"/>
        <w:ind w:left="420" w:leftChars="200"/>
        <w:rPr>
          <w:rFonts w:asciiTheme="minorEastAsia" w:hAnsiTheme="minorEastAsia" w:eastAsiaTheme="minorEastAsia" w:cstheme="minorEastAsia"/>
          <w:szCs w:val="28"/>
        </w:rPr>
      </w:pPr>
    </w:p>
    <w:p>
      <w:pPr>
        <w:spacing w:line="360" w:lineRule="auto"/>
        <w:ind w:left="420" w:leftChars="200"/>
        <w:rPr>
          <w:rFonts w:asciiTheme="minorEastAsia" w:hAnsiTheme="minorEastAsia" w:eastAsiaTheme="minorEastAsia" w:cstheme="minorEastAsia"/>
          <w:szCs w:val="28"/>
        </w:rPr>
      </w:pPr>
    </w:p>
    <w:p>
      <w:pPr>
        <w:pStyle w:val="3"/>
        <w:numPr>
          <w:ilvl w:val="0"/>
          <w:numId w:val="4"/>
        </w:numPr>
        <w:spacing w:line="240" w:lineRule="auto"/>
        <w:jc w:val="center"/>
        <w:rPr>
          <w:rFonts w:asciiTheme="minorEastAsia" w:hAnsiTheme="minorEastAsia" w:eastAsiaTheme="minorEastAsia" w:cstheme="minorEastAsia"/>
          <w:b w:val="0"/>
          <w:kern w:val="0"/>
          <w:szCs w:val="21"/>
        </w:rPr>
        <w:sectPr>
          <w:pgSz w:w="11906" w:h="16838"/>
          <w:pgMar w:top="1417" w:right="1417" w:bottom="1417" w:left="1417" w:header="851" w:footer="992" w:gutter="0"/>
          <w:cols w:space="720" w:num="1"/>
          <w:docGrid w:type="lines" w:linePitch="312" w:charSpace="0"/>
        </w:sectPr>
      </w:pPr>
      <w:bookmarkStart w:id="122" w:name="_Toc211783328"/>
      <w:bookmarkStart w:id="123" w:name="_Toc318643471"/>
    </w:p>
    <w:p>
      <w:pPr>
        <w:pStyle w:val="3"/>
        <w:numPr>
          <w:ilvl w:val="0"/>
          <w:numId w:val="4"/>
        </w:numPr>
        <w:spacing w:line="240" w:lineRule="auto"/>
        <w:jc w:val="center"/>
        <w:rPr>
          <w:rFonts w:asciiTheme="minorEastAsia" w:hAnsiTheme="minorEastAsia" w:eastAsiaTheme="minorEastAsia" w:cstheme="minorEastAsia"/>
          <w:b w:val="0"/>
          <w:kern w:val="0"/>
          <w:szCs w:val="21"/>
        </w:rPr>
      </w:pPr>
      <w:bookmarkStart w:id="124" w:name="_Toc30997"/>
      <w:r>
        <w:rPr>
          <w:rFonts w:hint="eastAsia" w:asciiTheme="minorEastAsia" w:hAnsiTheme="minorEastAsia" w:eastAsiaTheme="minorEastAsia" w:cstheme="minorEastAsia"/>
          <w:sz w:val="36"/>
          <w:szCs w:val="36"/>
        </w:rPr>
        <w:t>合同书</w:t>
      </w:r>
      <w:bookmarkEnd w:id="122"/>
      <w:bookmarkEnd w:id="123"/>
      <w:r>
        <w:rPr>
          <w:rFonts w:hint="eastAsia" w:asciiTheme="minorEastAsia" w:hAnsiTheme="minorEastAsia" w:eastAsiaTheme="minorEastAsia" w:cstheme="minorEastAsia"/>
          <w:sz w:val="36"/>
          <w:szCs w:val="36"/>
        </w:rPr>
        <w:t>格式</w:t>
      </w:r>
      <w:bookmarkEnd w:id="124"/>
    </w:p>
    <w:p>
      <w:pPr>
        <w:spacing w:line="360"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合同号：</w:t>
      </w:r>
    </w:p>
    <w:p>
      <w:pPr>
        <w:spacing w:line="360" w:lineRule="auto"/>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 xml:space="preserve">项目编号：                                                                                            </w:t>
      </w:r>
    </w:p>
    <w:p>
      <w:pPr>
        <w:spacing w:line="360" w:lineRule="auto"/>
        <w:ind w:firstLine="4080" w:firstLineChars="1700"/>
        <w:rPr>
          <w:rFonts w:asciiTheme="minorEastAsia" w:hAnsiTheme="minorEastAsia" w:eastAsiaTheme="minorEastAsia" w:cstheme="minorEastAsia"/>
          <w:sz w:val="24"/>
          <w:u w:val="single"/>
        </w:rPr>
      </w:pP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购货单位：</w:t>
      </w:r>
      <w:r>
        <w:rPr>
          <w:rFonts w:hint="eastAsia" w:asciiTheme="minorEastAsia" w:hAnsiTheme="minorEastAsia" w:eastAsiaTheme="minorEastAsia" w:cstheme="minorEastAsia"/>
          <w:b/>
          <w:sz w:val="24"/>
          <w:u w:val="single"/>
        </w:rPr>
        <w:t>湖北工业大学</w:t>
      </w:r>
      <w:r>
        <w:rPr>
          <w:rFonts w:hint="eastAsia" w:asciiTheme="minorEastAsia" w:hAnsiTheme="minorEastAsia" w:eastAsiaTheme="minorEastAsia" w:cstheme="minorEastAsia"/>
          <w:b/>
          <w:sz w:val="24"/>
        </w:rPr>
        <w:t>（以下简称甲方）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住所：武汉市洪山区南李路28号</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法定代表人：彭育园</w:t>
      </w:r>
    </w:p>
    <w:p>
      <w:pPr>
        <w:spacing w:line="360" w:lineRule="auto"/>
        <w:rPr>
          <w:rFonts w:asciiTheme="minorEastAsia" w:hAnsiTheme="minorEastAsia" w:eastAsiaTheme="minorEastAsia" w:cstheme="minorEastAsia"/>
          <w:b/>
          <w:sz w:val="24"/>
        </w:rPr>
      </w:pP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供货单位：（以下简称乙方）</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住所：</w:t>
      </w:r>
    </w:p>
    <w:p>
      <w:pPr>
        <w:spacing w:line="360" w:lineRule="auto"/>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法定代表人：</w:t>
      </w:r>
    </w:p>
    <w:p>
      <w:pPr>
        <w:spacing w:line="360" w:lineRule="auto"/>
        <w:rPr>
          <w:rFonts w:asciiTheme="minorEastAsia" w:hAnsiTheme="minorEastAsia" w:eastAsiaTheme="minorEastAsia" w:cstheme="minorEastAsia"/>
          <w:b/>
          <w:sz w:val="24"/>
        </w:rPr>
      </w:pPr>
    </w:p>
    <w:p>
      <w:pPr>
        <w:spacing w:after="120"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甲乙双方根据《中华人民共和国民法典》相关规定，为增强双方的责任，经甲乙双方协商一致，特订立本合同，以资甲乙双方共同遵守。</w:t>
      </w:r>
    </w:p>
    <w:p>
      <w:pPr>
        <w:spacing w:line="360" w:lineRule="auto"/>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一、货物名称、规格、配置、数量及价格如下</w:t>
      </w:r>
      <w:r>
        <w:rPr>
          <w:rFonts w:hint="eastAsia" w:asciiTheme="minorEastAsia" w:hAnsiTheme="minorEastAsia" w:eastAsiaTheme="minorEastAsia" w:cstheme="minorEastAsia"/>
          <w:b/>
          <w:bCs/>
          <w:sz w:val="24"/>
        </w:rPr>
        <w:t>:</w:t>
      </w:r>
    </w:p>
    <w:tbl>
      <w:tblPr>
        <w:tblStyle w:val="26"/>
        <w:tblW w:w="95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369"/>
        <w:gridCol w:w="806"/>
        <w:gridCol w:w="705"/>
        <w:gridCol w:w="2700"/>
        <w:gridCol w:w="720"/>
        <w:gridCol w:w="1301"/>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bCs/>
                <w:snapToGrid w:val="0"/>
                <w:kern w:val="0"/>
                <w:sz w:val="24"/>
              </w:rPr>
            </w:pPr>
          </w:p>
        </w:tc>
        <w:tc>
          <w:tcPr>
            <w:tcW w:w="1369"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sz w:val="24"/>
              </w:rPr>
              <w:t>货物</w:t>
            </w:r>
            <w:r>
              <w:rPr>
                <w:rFonts w:hint="eastAsia" w:asciiTheme="minorEastAsia" w:hAnsiTheme="minorEastAsia" w:eastAsiaTheme="minorEastAsia" w:cstheme="minorEastAsia"/>
                <w:b/>
                <w:bCs/>
                <w:snapToGrid w:val="0"/>
                <w:kern w:val="0"/>
                <w:sz w:val="24"/>
              </w:rPr>
              <w:t>名称</w:t>
            </w: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品牌</w:t>
            </w: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型号</w:t>
            </w:r>
          </w:p>
        </w:tc>
        <w:tc>
          <w:tcPr>
            <w:tcW w:w="270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配置/技术参数</w:t>
            </w:r>
          </w:p>
        </w:tc>
        <w:tc>
          <w:tcPr>
            <w:tcW w:w="72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数量</w:t>
            </w:r>
          </w:p>
        </w:tc>
        <w:tc>
          <w:tcPr>
            <w:tcW w:w="1301"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单价（元）</w:t>
            </w:r>
          </w:p>
        </w:tc>
        <w:tc>
          <w:tcPr>
            <w:tcW w:w="144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b/>
                <w:bCs/>
                <w:snapToGrid w:val="0"/>
                <w:kern w:val="0"/>
                <w:sz w:val="24"/>
              </w:rPr>
            </w:pPr>
            <w:r>
              <w:rPr>
                <w:rFonts w:hint="eastAsia" w:asciiTheme="minorEastAsia" w:hAnsiTheme="minorEastAsia" w:eastAsiaTheme="minorEastAsia" w:cstheme="minorEastAsia"/>
                <w:b/>
                <w:bCs/>
                <w:snapToGrid w:val="0"/>
                <w:kern w:val="0"/>
                <w:sz w:val="24"/>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1369"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806"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c>
          <w:tcPr>
            <w:tcW w:w="720" w:type="dxa"/>
            <w:vAlign w:val="center"/>
          </w:tcPr>
          <w:p>
            <w:pPr>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c>
          <w:tcPr>
            <w:tcW w:w="1440" w:type="dxa"/>
            <w:vAlign w:val="center"/>
          </w:tcPr>
          <w:p>
            <w:pPr>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720"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1301"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c>
          <w:tcPr>
            <w:tcW w:w="1440" w:type="dxa"/>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snapToGrid w:val="0"/>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69"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806"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705" w:type="dxa"/>
            <w:vAlign w:val="center"/>
          </w:tcPr>
          <w:p>
            <w:pPr>
              <w:kinsoku w:val="0"/>
              <w:overflowPunct w:val="0"/>
              <w:autoSpaceDE w:val="0"/>
              <w:autoSpaceDN w:val="0"/>
              <w:adjustRightInd w:val="0"/>
              <w:snapToGrid w:val="0"/>
              <w:spacing w:line="360" w:lineRule="auto"/>
              <w:jc w:val="center"/>
              <w:rPr>
                <w:rFonts w:asciiTheme="minorEastAsia" w:hAnsiTheme="minorEastAsia" w:eastAsiaTheme="minorEastAsia" w:cstheme="minorEastAsia"/>
                <w:snapToGrid w:val="0"/>
                <w:kern w:val="0"/>
                <w:sz w:val="24"/>
              </w:rPr>
            </w:pPr>
          </w:p>
        </w:tc>
        <w:tc>
          <w:tcPr>
            <w:tcW w:w="2700"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c>
          <w:tcPr>
            <w:tcW w:w="720" w:type="dxa"/>
            <w:vAlign w:val="center"/>
          </w:tcPr>
          <w:p>
            <w:pPr>
              <w:kinsoku w:val="0"/>
              <w:overflowPunct w:val="0"/>
              <w:autoSpaceDE w:val="0"/>
              <w:autoSpaceDN w:val="0"/>
              <w:adjustRightInd w:val="0"/>
              <w:snapToGrid w:val="0"/>
              <w:spacing w:line="360" w:lineRule="auto"/>
              <w:jc w:val="center"/>
              <w:rPr>
                <w:rStyle w:val="29"/>
                <w:rFonts w:asciiTheme="minorEastAsia" w:hAnsiTheme="minorEastAsia" w:eastAsiaTheme="minorEastAsia" w:cstheme="minorEastAsia"/>
                <w:b w:val="0"/>
                <w:bCs w:val="0"/>
                <w:snapToGrid w:val="0"/>
                <w:kern w:val="0"/>
              </w:rPr>
            </w:pPr>
          </w:p>
        </w:tc>
        <w:tc>
          <w:tcPr>
            <w:tcW w:w="1301"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c>
          <w:tcPr>
            <w:tcW w:w="1440" w:type="dxa"/>
            <w:vAlign w:val="center"/>
          </w:tcPr>
          <w:p>
            <w:pPr>
              <w:kinsoku w:val="0"/>
              <w:overflowPunct w:val="0"/>
              <w:autoSpaceDE w:val="0"/>
              <w:autoSpaceDN w:val="0"/>
              <w:adjustRightInd w:val="0"/>
              <w:snapToGrid w:val="0"/>
              <w:spacing w:line="360" w:lineRule="auto"/>
              <w:rPr>
                <w:rStyle w:val="29"/>
                <w:rFonts w:asciiTheme="minorEastAsia" w:hAnsiTheme="minorEastAsia" w:eastAsiaTheme="minorEastAsia" w:cstheme="minorEastAsia"/>
                <w:b w:val="0"/>
                <w:bCs w:val="0"/>
                <w:snapToGrid w:val="0"/>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9581" w:type="dxa"/>
            <w:gridSpan w:val="8"/>
            <w:vAlign w:val="center"/>
          </w:tcPr>
          <w:p>
            <w:pPr>
              <w:kinsoku w:val="0"/>
              <w:overflowPunct w:val="0"/>
              <w:autoSpaceDE w:val="0"/>
              <w:autoSpaceDN w:val="0"/>
              <w:adjustRightInd w:val="0"/>
              <w:snapToGrid w:val="0"/>
              <w:spacing w:line="360" w:lineRule="auto"/>
              <w:rPr>
                <w:rFonts w:asciiTheme="minorEastAsia" w:hAnsiTheme="minorEastAsia" w:eastAsiaTheme="minorEastAsia" w:cstheme="minorEastAsia"/>
                <w:b/>
                <w:kern w:val="0"/>
                <w:sz w:val="24"/>
              </w:rPr>
            </w:pPr>
            <w:r>
              <w:rPr>
                <w:rFonts w:hint="eastAsia" w:asciiTheme="minorEastAsia" w:hAnsiTheme="minorEastAsia" w:eastAsiaTheme="minorEastAsia" w:cstheme="minorEastAsia"/>
                <w:snapToGrid w:val="0"/>
                <w:kern w:val="0"/>
                <w:sz w:val="24"/>
              </w:rPr>
              <w:t>合计</w:t>
            </w:r>
            <w:r>
              <w:rPr>
                <w:rFonts w:hint="eastAsia" w:asciiTheme="minorEastAsia" w:hAnsiTheme="minorEastAsia" w:eastAsiaTheme="minorEastAsia" w:cstheme="minorEastAsia"/>
                <w:b/>
                <w:sz w:val="24"/>
              </w:rPr>
              <w:t xml:space="preserve">（人民币）:          </w:t>
            </w:r>
            <w:r>
              <w:rPr>
                <w:rFonts w:hint="eastAsia" w:asciiTheme="minorEastAsia" w:hAnsiTheme="minorEastAsia" w:eastAsiaTheme="minorEastAsia" w:cstheme="minorEastAsia"/>
                <w:b/>
                <w:kern w:val="0"/>
                <w:sz w:val="24"/>
              </w:rPr>
              <w:t>元整（￥：    元）</w:t>
            </w:r>
          </w:p>
        </w:tc>
      </w:tr>
    </w:tbl>
    <w:p>
      <w:pPr>
        <w:spacing w:line="360" w:lineRule="auto"/>
        <w:ind w:left="359" w:leftChars="171"/>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技术负责人（签字）：      部门负责人（签字）：</w:t>
      </w:r>
    </w:p>
    <w:p>
      <w:pPr>
        <w:spacing w:line="360" w:lineRule="auto"/>
        <w:ind w:firstLine="482"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二、合同总金额（人民币）:          </w:t>
      </w:r>
      <w:r>
        <w:rPr>
          <w:rFonts w:hint="eastAsia" w:asciiTheme="minorEastAsia" w:hAnsiTheme="minorEastAsia" w:eastAsiaTheme="minorEastAsia" w:cstheme="minorEastAsia"/>
          <w:b/>
          <w:kern w:val="0"/>
          <w:sz w:val="24"/>
        </w:rPr>
        <w:t>元整（￥：  元）</w:t>
      </w:r>
      <w:r>
        <w:rPr>
          <w:rFonts w:hint="eastAsia" w:asciiTheme="minorEastAsia" w:hAnsiTheme="minorEastAsia" w:eastAsiaTheme="minorEastAsia" w:cstheme="minorEastAsia"/>
          <w:b/>
          <w:sz w:val="24"/>
        </w:rPr>
        <w:t>。含增值税、运费、安装调试费等，甲方无需支付其他费用。</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三、交货：</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1.交货时间：乙方应在20  年 月  日前完成全部货物（含配套系统、配件备件）的安装调试工作。</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2.交货地点：甲方指定地点。</w:t>
      </w:r>
    </w:p>
    <w:p>
      <w:pPr>
        <w:spacing w:line="360" w:lineRule="auto"/>
        <w:ind w:left="359" w:leftChars="171"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3.交货方式：乙方负责安排运输到甲方指定地点。</w:t>
      </w:r>
      <w:r>
        <w:rPr>
          <w:rFonts w:hint="eastAsia" w:asciiTheme="minorEastAsia" w:hAnsiTheme="minorEastAsia" w:eastAsiaTheme="minorEastAsia" w:cstheme="minorEastAsia"/>
          <w:bCs/>
          <w:sz w:val="24"/>
        </w:rPr>
        <w:t>乙方承担</w:t>
      </w:r>
      <w:r>
        <w:rPr>
          <w:rFonts w:hint="eastAsia" w:asciiTheme="minorEastAsia" w:hAnsiTheme="minorEastAsia" w:eastAsiaTheme="minorEastAsia" w:cstheme="minorEastAsia"/>
          <w:sz w:val="24"/>
        </w:rPr>
        <w:t>货物（含配套系统、配件备件）</w:t>
      </w:r>
      <w:r>
        <w:rPr>
          <w:rFonts w:hint="eastAsia" w:asciiTheme="minorEastAsia" w:hAnsiTheme="minorEastAsia" w:eastAsiaTheme="minorEastAsia" w:cstheme="minorEastAsia"/>
          <w:bCs/>
          <w:sz w:val="24"/>
        </w:rPr>
        <w:t>交付甲方前的一切费用及风险（本条款所指交付是乙方将货物</w:t>
      </w:r>
      <w:r>
        <w:rPr>
          <w:rFonts w:hint="eastAsia" w:asciiTheme="minorEastAsia" w:hAnsiTheme="minorEastAsia" w:eastAsiaTheme="minorEastAsia" w:cstheme="minorEastAsia"/>
          <w:sz w:val="24"/>
        </w:rPr>
        <w:t>（含配套系统、配件备件）</w:t>
      </w:r>
      <w:r>
        <w:rPr>
          <w:rFonts w:hint="eastAsia" w:asciiTheme="minorEastAsia" w:hAnsiTheme="minorEastAsia" w:eastAsiaTheme="minorEastAsia" w:cstheme="minorEastAsia"/>
          <w:bCs/>
          <w:sz w:val="24"/>
        </w:rPr>
        <w:t>运送至甲方指定地点，并经甲方验收合格并出具验收合格证明后视为交付）。</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4.乙方所提供货物（含配套系统、配件备件）必须为全新无瑕疵。</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5.交货时，乙方应将货物（含配套系统、配件备件）的产品说明书、使用说明书，出厂合格证、用户手册、保修手册等单证交付给甲方，前述单证未交付完整的，视为未完全交货。</w:t>
      </w:r>
    </w:p>
    <w:p>
      <w:pPr>
        <w:spacing w:line="360" w:lineRule="auto"/>
        <w:ind w:firstLine="720"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6.如果乙方提供货物（含配套系统、配件备件）属于国家或上级部门相关法律法规管制的，则乙方应当提供相关证明并协助甲方办理相关手续。</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四、合同验收</w:t>
      </w:r>
    </w:p>
    <w:p>
      <w:pPr>
        <w:spacing w:line="360" w:lineRule="auto"/>
        <w:ind w:firstLine="723" w:firstLineChars="300"/>
        <w:rPr>
          <w:rFonts w:asciiTheme="minorEastAsia" w:hAnsiTheme="minorEastAsia" w:eastAsiaTheme="minorEastAsia" w:cstheme="minorEastAsia"/>
          <w:sz w:val="24"/>
        </w:rPr>
      </w:pPr>
      <w:r>
        <w:rPr>
          <w:rFonts w:hint="eastAsia" w:asciiTheme="minorEastAsia" w:hAnsiTheme="minorEastAsia" w:eastAsiaTheme="minorEastAsia" w:cstheme="minorEastAsia"/>
          <w:b/>
          <w:sz w:val="24"/>
        </w:rPr>
        <w:t>1. 验收标准：</w:t>
      </w:r>
      <w:r>
        <w:rPr>
          <w:rFonts w:hint="eastAsia" w:asciiTheme="minorEastAsia" w:hAnsiTheme="minorEastAsia" w:eastAsiaTheme="minorEastAsia" w:cstheme="minorEastAsia"/>
          <w:sz w:val="24"/>
        </w:rPr>
        <w:t>本合同相关约定、国家相关规范和标准、招标文件、响应文件及磋商报告相关要求、相关技术文件验收。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2.验收方式：合同内全部货物（含配套系统、配件备件）整体验收。</w:t>
      </w:r>
    </w:p>
    <w:p>
      <w:pPr>
        <w:spacing w:line="360" w:lineRule="auto"/>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3.验收组织：甲方组织技术人员验收。（含配套系统、配件备件）质量验收合格的，甲方签署验收报告，验收不合格的，甲方向乙方出具书面质量异议意见。 </w:t>
      </w:r>
    </w:p>
    <w:p>
      <w:pPr>
        <w:spacing w:line="360" w:lineRule="auto"/>
        <w:ind w:left="36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4..甲方完成验收并不免除乙方对（含配套系统、配件备件）质量应当承担的责任。          </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五、付款方式：</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1.本合同正式签订前，乙方需向甲方支付合同金额的5%即人民币    元整（小写：￥    元）作为履约保证金；</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 全部货物（含配套系统、配件备件）经甲方验收合格后十五个工作日内，甲方向乙方支付全额货款即人民币    元整（小写：￥    元），上述履约保证金转为质保金，</w:t>
      </w:r>
      <w:r>
        <w:rPr>
          <w:rFonts w:hint="eastAsia" w:asciiTheme="minorEastAsia" w:hAnsiTheme="minorEastAsia" w:eastAsiaTheme="minorEastAsia" w:cstheme="minorEastAsia"/>
          <w:bCs/>
          <w:sz w:val="24"/>
        </w:rPr>
        <w:t>产品验收合格满</w:t>
      </w:r>
      <w:r>
        <w:rPr>
          <w:rFonts w:hint="eastAsia" w:asciiTheme="minorEastAsia" w:hAnsiTheme="minorEastAsia" w:eastAsiaTheme="minorEastAsia" w:cstheme="minorEastAsia"/>
          <w:sz w:val="24"/>
        </w:rPr>
        <w:t>年后，若无质量问题甲方将质保金全额无息退还给乙方；</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３.国产货物（含配套系统、配件备件）须提供增值税专用发票。</w:t>
      </w:r>
    </w:p>
    <w:p>
      <w:pPr>
        <w:spacing w:line="360" w:lineRule="auto"/>
        <w:ind w:firstLine="482"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
          <w:sz w:val="24"/>
        </w:rPr>
        <w:t>七、售后服务</w:t>
      </w:r>
      <w:r>
        <w:rPr>
          <w:rFonts w:hint="eastAsia" w:asciiTheme="minorEastAsia" w:hAnsiTheme="minorEastAsia" w:eastAsiaTheme="minorEastAsia" w:cstheme="minorEastAsia"/>
          <w:b/>
          <w:bCs/>
          <w:sz w:val="24"/>
        </w:rPr>
        <w:t xml:space="preserve"> （</w:t>
      </w:r>
      <w:r>
        <w:rPr>
          <w:rFonts w:hint="eastAsia" w:asciiTheme="minorEastAsia" w:hAnsiTheme="minorEastAsia" w:eastAsiaTheme="minorEastAsia" w:cstheme="minorEastAsia"/>
          <w:bCs/>
          <w:sz w:val="24"/>
        </w:rPr>
        <w:t>根据具体项目的响应文件填写</w:t>
      </w:r>
      <w:r>
        <w:rPr>
          <w:rFonts w:hint="eastAsia" w:asciiTheme="minorEastAsia" w:hAnsiTheme="minorEastAsia" w:eastAsiaTheme="minorEastAsia" w:cstheme="minorEastAsia"/>
          <w:b/>
          <w:bCs/>
          <w:sz w:val="24"/>
        </w:rPr>
        <w:t>）</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w:t>
      </w:r>
      <w:r>
        <w:rPr>
          <w:rFonts w:hint="eastAsia" w:asciiTheme="minorEastAsia" w:hAnsiTheme="minorEastAsia" w:eastAsiaTheme="minorEastAsia" w:cstheme="minorEastAsia"/>
          <w:sz w:val="24"/>
        </w:rPr>
        <w:t xml:space="preserve"> 国产货物（含配套系统、配件备件）</w:t>
      </w:r>
      <w:r>
        <w:rPr>
          <w:rFonts w:hint="eastAsia" w:asciiTheme="minorEastAsia" w:hAnsiTheme="minorEastAsia" w:eastAsiaTheme="minorEastAsia" w:cstheme="minorEastAsia"/>
          <w:bCs/>
          <w:sz w:val="24"/>
        </w:rPr>
        <w:t>验收合格之日起质保期    年，并提供售后服务    年。</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2.质保期、保修期内因</w:t>
      </w:r>
      <w:r>
        <w:rPr>
          <w:rFonts w:hint="eastAsia" w:asciiTheme="minorEastAsia" w:hAnsiTheme="minorEastAsia" w:eastAsiaTheme="minorEastAsia" w:cstheme="minorEastAsia"/>
          <w:sz w:val="24"/>
        </w:rPr>
        <w:t>国产货物（含配套系统、配件备件）</w:t>
      </w:r>
      <w:r>
        <w:rPr>
          <w:rFonts w:hint="eastAsia" w:asciiTheme="minorEastAsia" w:hAnsiTheme="minorEastAsia" w:eastAsiaTheme="minorEastAsia" w:cstheme="minorEastAsia"/>
          <w:bCs/>
          <w:sz w:val="24"/>
        </w:rPr>
        <w:t>质量或安装调试原因引起的全部维修费用（包括更换零配件的费用）均由乙方承担。</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3.质保期、保修期外，乙方应定期回访，发现问题及时通知甲方，</w:t>
      </w:r>
      <w:r>
        <w:rPr>
          <w:rFonts w:hint="eastAsia" w:asciiTheme="minorEastAsia" w:hAnsiTheme="minorEastAsia" w:eastAsiaTheme="minorEastAsia" w:cstheme="minorEastAsia"/>
          <w:sz w:val="24"/>
        </w:rPr>
        <w:t>国产货物（含配套系统、配件备件）</w:t>
      </w:r>
      <w:r>
        <w:rPr>
          <w:rFonts w:hint="eastAsia" w:asciiTheme="minorEastAsia" w:hAnsiTheme="minorEastAsia" w:eastAsiaTheme="minorEastAsia" w:cstheme="minorEastAsia"/>
          <w:bCs/>
          <w:sz w:val="24"/>
        </w:rPr>
        <w:t>维修零配件以优惠价给甲方（免收人工及差旅费）。</w:t>
      </w:r>
    </w:p>
    <w:p>
      <w:pPr>
        <w:spacing w:line="360" w:lineRule="auto"/>
        <w:ind w:left="479" w:leftChars="228"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4.维修时，乙方接到甲方故障通知后在24小时之内上门服务，小型故障在3天内解决，大故障在15天内解决，若乙方怠于履行维修义务，则甲方有权委托第三人维修，所产生的所有费用由乙方承担。</w:t>
      </w:r>
    </w:p>
    <w:p>
      <w:pPr>
        <w:spacing w:line="360" w:lineRule="auto"/>
        <w:ind w:firstLine="361" w:firstLineChars="15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八、安装调试和搬运安全</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1.乙方须严格按照相关安全规范负责合同中全部货物（含配套系统、配件备件）安装调试、搬运和施工现场管理工作，并严守安装调试、搬运和施工现场各项安全规定。</w:t>
      </w:r>
    </w:p>
    <w:p>
      <w:pPr>
        <w:spacing w:line="360" w:lineRule="auto"/>
        <w:ind w:left="360"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乙方须安排具备相应资质的人员负责合同中全部货物（含配套系统、配件备件）安装调试、搬运和施工现场管安全管理工作，负责监督安装调试和搬运人员按照安全规范进行安装调试、搬运和施工现场管理，保证安装调试、搬运和施工现场安全。若发生人员伤亡事故，乙方必须承担所有法律和经济责任，甲方概不负责；若发生房屋损坏、设备损坏丢失、线路及设备毁损等财产损失安全事故，乙方必须承担经济赔偿。</w:t>
      </w:r>
    </w:p>
    <w:p>
      <w:pPr>
        <w:spacing w:line="360" w:lineRule="auto"/>
        <w:ind w:left="479" w:leftChars="172" w:hanging="118" w:hangingChars="49"/>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九、违约责任</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若乙方未能按合同所规定的交货时间前完成本合同全部货物（含配套系统、配件备件）安装调试并达到验收标准，每延迟一天，按合同总额的千分之一向甲方交纳违约金，违约金缴纳总额不超过合同总金额的百分之五。</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2．若乙方未能在20  年  月  日前完成本合同全部货物（含配套系统、配件备件）安装调试并达到验收标准，甲方可中止本合同，并由乙方承担由此给甲方造成的一切损失。</w:t>
      </w:r>
    </w:p>
    <w:p>
      <w:pPr>
        <w:spacing w:line="360" w:lineRule="auto"/>
        <w:ind w:left="540" w:leftChars="257"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3.若甲方未按本合同规定的付款方式规定逾期付款（甲方付款时间以甲方向银行提供付款凭证时间为准），每延迟一天，按合同总额的千分之一向乙方交纳违约金，违约金缴纳总额不超过合同总金额的百分之五。</w:t>
      </w:r>
    </w:p>
    <w:p>
      <w:pPr>
        <w:spacing w:line="360" w:lineRule="auto"/>
        <w:ind w:left="540" w:leftChars="257"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4．乙方交付甲方的全部货物（含配套系统、配件备件）及施工过程中使用的材料必须有合法的进货渠道，且符合合同和投标书中的质量约定，否则由乙方承担一切责任。</w:t>
      </w:r>
    </w:p>
    <w:p>
      <w:pPr>
        <w:spacing w:line="360" w:lineRule="auto"/>
        <w:ind w:left="540" w:leftChars="257"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5. 乙方保证本合同项内</w:t>
      </w:r>
      <w:r>
        <w:rPr>
          <w:rFonts w:hint="eastAsia" w:asciiTheme="minorEastAsia" w:hAnsiTheme="minorEastAsia" w:eastAsiaTheme="minorEastAsia" w:cstheme="minorEastAsia"/>
          <w:sz w:val="24"/>
        </w:rPr>
        <w:t>全部货物（含配套系统、配件备件）</w:t>
      </w:r>
      <w:r>
        <w:rPr>
          <w:rFonts w:hint="eastAsia" w:asciiTheme="minorEastAsia" w:hAnsiTheme="minorEastAsia" w:eastAsiaTheme="minorEastAsia" w:cstheme="minorEastAsia"/>
          <w:bCs/>
          <w:sz w:val="24"/>
        </w:rPr>
        <w:t>的权利无瑕疵，包括</w:t>
      </w:r>
      <w:r>
        <w:rPr>
          <w:rFonts w:hint="eastAsia" w:asciiTheme="minorEastAsia" w:hAnsiTheme="minorEastAsia" w:eastAsiaTheme="minorEastAsia" w:cstheme="minorEastAsia"/>
          <w:sz w:val="24"/>
        </w:rPr>
        <w:t>全部货物（含配套系统、配件备件）</w:t>
      </w:r>
      <w:r>
        <w:rPr>
          <w:rFonts w:hint="eastAsia" w:asciiTheme="minorEastAsia" w:hAnsiTheme="minorEastAsia" w:eastAsiaTheme="minorEastAsia" w:cstheme="minorEastAsia"/>
          <w:bCs/>
          <w:sz w:val="24"/>
        </w:rPr>
        <w:t>所有权及知识产权等权利无瑕疵。如任何第三方经法院（或仲裁机构）裁决有权对上述货物主张权利或国家机关依法对货物进行没收查处的，乙方除应在接到甲方全额返还已收货款通知五日内返还甲方全额返还已收货款外，还应按合同总价的</w:t>
      </w:r>
      <w:r>
        <w:rPr>
          <w:rFonts w:hint="eastAsia" w:asciiTheme="minorEastAsia" w:hAnsiTheme="minorEastAsia" w:eastAsiaTheme="minorEastAsia" w:cstheme="minorEastAsia"/>
          <w:sz w:val="24"/>
        </w:rPr>
        <w:t>5%</w:t>
      </w:r>
      <w:r>
        <w:rPr>
          <w:rFonts w:hint="eastAsia" w:asciiTheme="minorEastAsia" w:hAnsiTheme="minorEastAsia" w:eastAsiaTheme="minorEastAsia" w:cstheme="minorEastAsia"/>
          <w:bCs/>
          <w:sz w:val="24"/>
        </w:rPr>
        <w:t>向甲方支付违约金。</w:t>
      </w:r>
    </w:p>
    <w:p>
      <w:pPr>
        <w:spacing w:line="360" w:lineRule="auto"/>
        <w:ind w:firstLine="482" w:firstLineChars="200"/>
        <w:rPr>
          <w:rFonts w:asciiTheme="minorEastAsia" w:hAnsiTheme="minorEastAsia" w:eastAsiaTheme="minorEastAsia" w:cstheme="minorEastAsia"/>
          <w:b/>
          <w:bCs/>
          <w:sz w:val="24"/>
        </w:rPr>
      </w:pPr>
      <w:r>
        <w:rPr>
          <w:rFonts w:hint="eastAsia" w:asciiTheme="minorEastAsia" w:hAnsiTheme="minorEastAsia" w:eastAsiaTheme="minorEastAsia" w:cstheme="minorEastAsia"/>
          <w:b/>
          <w:sz w:val="24"/>
        </w:rPr>
        <w:t>十、在履行本合同过程中，如发生争议，双方应友好协商解决，如协商不能解决，双方同意由武汉仲裁委员会仲裁或向武汉市洪山区人民法院起诉。本合同的任何变更、修改、补充须双方代表签署书面文件方为有效，补充文件为本合同不可分割的组成部分，同时具备法律效力。</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十一、本合同一式柒份，甲方持陆份，乙方持壹份,具有同等法律效力。</w:t>
      </w:r>
    </w:p>
    <w:p>
      <w:pPr>
        <w:spacing w:line="360" w:lineRule="auto"/>
        <w:ind w:firstLine="482" w:firstLineChars="200"/>
        <w:rPr>
          <w:rFonts w:asciiTheme="minorEastAsia" w:hAnsiTheme="minorEastAsia" w:eastAsiaTheme="minorEastAsia" w:cstheme="minorEastAsia"/>
          <w:b/>
          <w:sz w:val="24"/>
        </w:rPr>
      </w:pPr>
      <w:r>
        <w:rPr>
          <w:rFonts w:hint="eastAsia" w:asciiTheme="minorEastAsia" w:hAnsiTheme="minorEastAsia" w:eastAsiaTheme="minorEastAsia" w:cstheme="minorEastAsia"/>
          <w:b/>
          <w:sz w:val="24"/>
        </w:rPr>
        <w:t>十二、本合同自双方签字并盖章之日起生效。</w:t>
      </w:r>
    </w:p>
    <w:p>
      <w:pPr>
        <w:spacing w:line="360" w:lineRule="auto"/>
        <w:ind w:left="-178" w:leftChars="-85" w:right="-359" w:rightChars="-171" w:firstLine="144" w:firstLineChars="60"/>
        <w:rPr>
          <w:rFonts w:asciiTheme="minorEastAsia" w:hAnsiTheme="minorEastAsia" w:eastAsiaTheme="minorEastAsia" w:cstheme="minorEastAsia"/>
          <w:sz w:val="24"/>
        </w:rPr>
      </w:pPr>
    </w:p>
    <w:p>
      <w:pPr>
        <w:spacing w:line="360" w:lineRule="auto"/>
        <w:ind w:left="178" w:leftChars="85" w:right="-359" w:rightChars="-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甲 方（盖章）：</w:t>
      </w:r>
      <w:r>
        <w:rPr>
          <w:rFonts w:hint="eastAsia" w:asciiTheme="minorEastAsia" w:hAnsiTheme="minorEastAsia" w:eastAsiaTheme="minorEastAsia" w:cstheme="minorEastAsia"/>
          <w:b/>
          <w:bCs/>
          <w:sz w:val="24"/>
        </w:rPr>
        <w:t xml:space="preserve">湖北工业大学                </w:t>
      </w:r>
      <w:r>
        <w:rPr>
          <w:rFonts w:hint="eastAsia" w:asciiTheme="minorEastAsia" w:hAnsiTheme="minorEastAsia" w:eastAsiaTheme="minorEastAsia" w:cstheme="minorEastAsia"/>
          <w:sz w:val="24"/>
        </w:rPr>
        <w:t>乙 方（盖章）：</w:t>
      </w:r>
    </w:p>
    <w:p>
      <w:pPr>
        <w:spacing w:line="360" w:lineRule="auto"/>
        <w:ind w:left="178" w:leftChars="85" w:right="-178" w:rightChars="-85"/>
        <w:rPr>
          <w:rFonts w:asciiTheme="minorEastAsia" w:hAnsiTheme="minorEastAsia" w:eastAsiaTheme="minorEastAsia" w:cstheme="minorEastAsia"/>
          <w:sz w:val="24"/>
        </w:rPr>
      </w:pPr>
    </w:p>
    <w:p>
      <w:pPr>
        <w:spacing w:line="360" w:lineRule="auto"/>
        <w:ind w:left="178" w:leftChars="85" w:right="-178" w:rightChars="-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部门（单位）主要负责人（签名）：</w:t>
      </w:r>
    </w:p>
    <w:p>
      <w:pPr>
        <w:spacing w:line="360" w:lineRule="auto"/>
        <w:ind w:left="178" w:leftChars="85" w:right="-178" w:rightChars="-85"/>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法人或授权代表（签名）：                   法人或授权代表（签名）：</w:t>
      </w:r>
    </w:p>
    <w:p>
      <w:pPr>
        <w:spacing w:line="360" w:lineRule="auto"/>
        <w:ind w:left="178" w:leftChars="85" w:right="-171"/>
        <w:rPr>
          <w:rFonts w:asciiTheme="minorEastAsia" w:hAnsiTheme="minorEastAsia" w:eastAsiaTheme="minorEastAsia" w:cstheme="minorEastAsia"/>
          <w:sz w:val="24"/>
        </w:rPr>
      </w:pPr>
    </w:p>
    <w:p>
      <w:pPr>
        <w:spacing w:line="360" w:lineRule="auto"/>
        <w:ind w:left="178" w:leftChars="85" w:right="-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联系方式：02759750213                    联系方式：</w:t>
      </w:r>
    </w:p>
    <w:p>
      <w:pPr>
        <w:spacing w:line="360" w:lineRule="auto"/>
        <w:ind w:left="178" w:leftChars="85" w:right="-171"/>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开户银行：</w:t>
      </w:r>
    </w:p>
    <w:p>
      <w:pPr>
        <w:spacing w:line="360" w:lineRule="auto"/>
        <w:ind w:left="178" w:leftChars="85" w:right="-171"/>
        <w:rPr>
          <w:rFonts w:asciiTheme="minorEastAsia" w:hAnsiTheme="minorEastAsia" w:eastAsiaTheme="minorEastAsia" w:cstheme="minorEastAsia"/>
          <w:snapToGrid w:val="0"/>
          <w:kern w:val="0"/>
          <w:sz w:val="24"/>
        </w:rPr>
      </w:pPr>
      <w:r>
        <w:rPr>
          <w:rFonts w:hint="eastAsia" w:asciiTheme="minorEastAsia" w:hAnsiTheme="minorEastAsia" w:eastAsiaTheme="minorEastAsia" w:cstheme="minorEastAsia"/>
          <w:sz w:val="24"/>
        </w:rPr>
        <w:t xml:space="preserve">                                         银行账号：</w:t>
      </w:r>
    </w:p>
    <w:p>
      <w:pPr>
        <w:spacing w:line="360" w:lineRule="auto"/>
        <w:ind w:left="178" w:leftChars="85" w:right="-171"/>
        <w:rPr>
          <w:rFonts w:asciiTheme="minorEastAsia" w:hAnsiTheme="minorEastAsia" w:eastAsiaTheme="minorEastAsia" w:cstheme="minorEastAsia"/>
          <w:sz w:val="24"/>
        </w:rPr>
      </w:pPr>
    </w:p>
    <w:p>
      <w:pPr>
        <w:spacing w:line="360" w:lineRule="auto"/>
        <w:ind w:left="178" w:leftChars="85"/>
        <w:jc w:val="left"/>
        <w:rPr>
          <w:rFonts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日  期： 二○   年   月    日         日   期：二○   年   月   日</w:t>
      </w:r>
    </w:p>
    <w:p>
      <w:pPr>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br w:type="page"/>
      </w:r>
    </w:p>
    <w:p>
      <w:pPr>
        <w:pStyle w:val="3"/>
        <w:numPr>
          <w:ilvl w:val="0"/>
          <w:numId w:val="4"/>
        </w:numPr>
        <w:jc w:val="center"/>
        <w:rPr>
          <w:rFonts w:asciiTheme="minorEastAsia" w:hAnsiTheme="minorEastAsia" w:eastAsiaTheme="minorEastAsia" w:cstheme="minorEastAsia"/>
          <w:sz w:val="36"/>
          <w:szCs w:val="36"/>
        </w:rPr>
      </w:pPr>
      <w:bookmarkStart w:id="125" w:name="_Toc4991"/>
      <w:r>
        <w:rPr>
          <w:rFonts w:hint="eastAsia" w:asciiTheme="minorEastAsia" w:hAnsiTheme="minorEastAsia" w:eastAsiaTheme="minorEastAsia" w:cstheme="minorEastAsia"/>
          <w:sz w:val="36"/>
          <w:szCs w:val="36"/>
        </w:rPr>
        <w:t>竞争性磋商响应文件格式</w:t>
      </w:r>
      <w:bookmarkEnd w:id="125"/>
    </w:p>
    <w:p>
      <w:pPr>
        <w:autoSpaceDE w:val="0"/>
        <w:autoSpaceDN w:val="0"/>
        <w:adjustRightInd w:val="0"/>
        <w:rPr>
          <w:rFonts w:asciiTheme="minorEastAsia" w:hAnsiTheme="minorEastAsia" w:eastAsiaTheme="minorEastAsia" w:cstheme="minorEastAsia"/>
        </w:rPr>
      </w:pPr>
      <w:r>
        <w:rPr>
          <w:rFonts w:hint="eastAsia" w:asciiTheme="minorEastAsia" w:hAnsiTheme="minorEastAsia" w:eastAsiaTheme="minorEastAsia" w:cstheme="minorEastAsia"/>
        </w:rPr>
        <w:t>封面：</w:t>
      </w:r>
    </w:p>
    <w:p>
      <w:pPr>
        <w:autoSpaceDE w:val="0"/>
        <w:autoSpaceDN w:val="0"/>
        <w:adjustRightInd w:val="0"/>
        <w:rPr>
          <w:rFonts w:asciiTheme="minorEastAsia" w:hAnsiTheme="minorEastAsia" w:eastAsiaTheme="minorEastAsia" w:cstheme="minorEastAsia"/>
        </w:rPr>
      </w:pPr>
    </w:p>
    <w:p>
      <w:pPr>
        <w:autoSpaceDE w:val="0"/>
        <w:autoSpaceDN w:val="0"/>
        <w:adjustRightInd w:val="0"/>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rPr>
      </w:pPr>
    </w:p>
    <w:p>
      <w:pPr>
        <w:autoSpaceDE w:val="0"/>
        <w:autoSpaceDN w:val="0"/>
        <w:adjustRightInd w:val="0"/>
        <w:jc w:val="center"/>
        <w:rPr>
          <w:rFonts w:asciiTheme="minorEastAsia" w:hAnsiTheme="minorEastAsia" w:eastAsiaTheme="minorEastAsia" w:cstheme="minorEastAsia"/>
          <w:b/>
          <w:sz w:val="84"/>
          <w:szCs w:val="84"/>
        </w:rPr>
      </w:pPr>
      <w:r>
        <w:rPr>
          <w:rFonts w:hint="eastAsia" w:asciiTheme="minorEastAsia" w:hAnsiTheme="minorEastAsia" w:eastAsiaTheme="minorEastAsia" w:cstheme="minorEastAsia"/>
          <w:b/>
          <w:sz w:val="84"/>
          <w:szCs w:val="84"/>
        </w:rPr>
        <w:t>响 应 文 件</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（正本/副本）</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项目编号：</w:t>
      </w:r>
    </w:p>
    <w:p>
      <w:pPr>
        <w:tabs>
          <w:tab w:val="left" w:pos="7230"/>
        </w:tabs>
        <w:ind w:firstLine="1190" w:firstLineChars="395"/>
        <w:rPr>
          <w:rFonts w:asciiTheme="minorEastAsia" w:hAnsiTheme="minorEastAsia" w:eastAsiaTheme="minorEastAsia" w:cstheme="minorEastAsia"/>
          <w:b/>
          <w:bCs/>
          <w:sz w:val="30"/>
          <w:szCs w:val="30"/>
          <w:u w:val="single"/>
        </w:rPr>
      </w:pPr>
      <w:r>
        <w:rPr>
          <w:rFonts w:hint="eastAsia" w:asciiTheme="minorEastAsia" w:hAnsiTheme="minorEastAsia" w:eastAsiaTheme="minorEastAsia" w:cstheme="minorEastAsia"/>
          <w:b/>
          <w:bCs/>
          <w:sz w:val="30"/>
          <w:szCs w:val="30"/>
        </w:rPr>
        <w:t>项目名称：</w:t>
      </w:r>
    </w:p>
    <w:p>
      <w:pPr>
        <w:autoSpaceDE w:val="0"/>
        <w:autoSpaceDN w:val="0"/>
        <w:adjustRightInd w:val="0"/>
        <w:ind w:firstLine="1190" w:firstLineChars="395"/>
        <w:rPr>
          <w:rFonts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rPr>
        <w:t xml:space="preserve"> </w:t>
      </w: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rPr>
          <w:rFonts w:asciiTheme="minorEastAsia" w:hAnsiTheme="minorEastAsia" w:eastAsiaTheme="minorEastAsia" w:cstheme="minorEastAsia"/>
          <w:szCs w:val="21"/>
        </w:rPr>
      </w:pPr>
    </w:p>
    <w:p>
      <w:pPr>
        <w:autoSpaceDE w:val="0"/>
        <w:autoSpaceDN w:val="0"/>
        <w:adjustRightInd w:val="0"/>
        <w:spacing w:line="360" w:lineRule="auto"/>
        <w:ind w:firstLine="1260" w:firstLineChars="450"/>
        <w:rPr>
          <w:rFonts w:asciiTheme="minorEastAsia" w:hAnsiTheme="minorEastAsia" w:eastAsiaTheme="minorEastAsia" w:cstheme="minorEastAsia"/>
          <w:b/>
          <w:bCs/>
          <w:sz w:val="32"/>
          <w:u w:val="single"/>
        </w:rPr>
      </w:pPr>
      <w:r>
        <w:rPr>
          <w:rFonts w:hint="eastAsia" w:asciiTheme="minorEastAsia" w:hAnsiTheme="minorEastAsia" w:eastAsiaTheme="minorEastAsia" w:cstheme="minorEastAsia"/>
          <w:sz w:val="28"/>
          <w:szCs w:val="28"/>
        </w:rPr>
        <w:t>磋商供应商名称（盖章）：</w:t>
      </w:r>
      <w:bookmarkStart w:id="126" w:name="_Toc5751"/>
      <w:bookmarkStart w:id="127" w:name="_Toc23858"/>
    </w:p>
    <w:p>
      <w:pPr>
        <w:autoSpaceDE w:val="0"/>
        <w:autoSpaceDN w:val="0"/>
        <w:adjustRightInd w:val="0"/>
        <w:spacing w:line="360" w:lineRule="auto"/>
        <w:ind w:firstLine="1260" w:firstLineChars="45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日          期：年月日</w:t>
      </w:r>
    </w:p>
    <w:bookmarkEnd w:id="126"/>
    <w:bookmarkEnd w:id="127"/>
    <w:p>
      <w:pPr>
        <w:autoSpaceDE w:val="0"/>
        <w:autoSpaceDN w:val="0"/>
        <w:adjustRightInd w:val="0"/>
        <w:spacing w:line="360" w:lineRule="auto"/>
        <w:jc w:val="center"/>
        <w:rPr>
          <w:rFonts w:asciiTheme="minorEastAsia" w:hAnsiTheme="minorEastAsia" w:eastAsiaTheme="minorEastAsia" w:cstheme="minorEastAsia"/>
          <w:b/>
          <w:bCs/>
          <w:sz w:val="24"/>
        </w:rPr>
      </w:pPr>
      <w:bookmarkStart w:id="128" w:name="_Toc360174584"/>
      <w:bookmarkStart w:id="129" w:name="_Toc264644272"/>
      <w:bookmarkStart w:id="130" w:name="_Toc533330957"/>
      <w:bookmarkStart w:id="131" w:name="_Toc211783342"/>
      <w:bookmarkStart w:id="132" w:name="_Toc11320441"/>
      <w:bookmarkStart w:id="133" w:name="_Toc533331084"/>
      <w:r>
        <w:rPr>
          <w:rFonts w:hint="eastAsia" w:asciiTheme="minorEastAsia" w:hAnsiTheme="minorEastAsia" w:eastAsiaTheme="minorEastAsia" w:cstheme="minorEastAsia"/>
          <w:b/>
          <w:bCs/>
          <w:sz w:val="24"/>
        </w:rPr>
        <w:br w:type="page"/>
      </w:r>
      <w:r>
        <w:rPr>
          <w:rFonts w:hint="eastAsia" w:asciiTheme="minorEastAsia" w:hAnsiTheme="minorEastAsia" w:eastAsiaTheme="minorEastAsia" w:cstheme="minorEastAsia"/>
          <w:b/>
          <w:bCs/>
          <w:sz w:val="24"/>
        </w:rPr>
        <w:t>响应文件目录</w:t>
      </w:r>
      <w:bookmarkEnd w:id="128"/>
      <w:bookmarkEnd w:id="129"/>
    </w:p>
    <w:p>
      <w:pPr>
        <w:autoSpaceDE w:val="0"/>
        <w:autoSpaceDN w:val="0"/>
        <w:adjustRightInd w:val="0"/>
        <w:rPr>
          <w:rFonts w:asciiTheme="minorEastAsia" w:hAnsiTheme="minorEastAsia" w:eastAsiaTheme="minorEastAsia" w:cstheme="minorEastAsia"/>
          <w:b/>
          <w:bCs/>
          <w:szCs w:val="21"/>
        </w:rPr>
      </w:pPr>
    </w:p>
    <w:p>
      <w:pPr>
        <w:autoSpaceDE w:val="0"/>
        <w:autoSpaceDN w:val="0"/>
        <w:adjustRightInd w:val="0"/>
        <w:spacing w:line="360" w:lineRule="auto"/>
        <w:rPr>
          <w:rFonts w:ascii="宋体" w:hAnsi="宋体" w:cs="宋体"/>
          <w:b/>
          <w:szCs w:val="21"/>
        </w:rPr>
      </w:pPr>
      <w:r>
        <w:rPr>
          <w:rFonts w:hint="eastAsia" w:ascii="宋体" w:hAnsi="宋体" w:cs="宋体"/>
          <w:b/>
          <w:szCs w:val="21"/>
        </w:rPr>
        <w:t>注：响应文件目录及内容每页须顺序编写页码。</w:t>
      </w:r>
    </w:p>
    <w:p>
      <w:pPr>
        <w:autoSpaceDE w:val="0"/>
        <w:autoSpaceDN w:val="0"/>
        <w:adjustRightInd w:val="0"/>
        <w:spacing w:line="360" w:lineRule="auto"/>
        <w:jc w:val="center"/>
        <w:outlineLvl w:val="1"/>
        <w:rPr>
          <w:rFonts w:ascii="宋体" w:hAnsi="宋体" w:cs="宋体"/>
          <w:b/>
          <w:szCs w:val="21"/>
        </w:rPr>
      </w:pPr>
      <w:bookmarkStart w:id="134" w:name="_Toc29261"/>
      <w:r>
        <w:rPr>
          <w:rFonts w:hint="eastAsia" w:ascii="宋体" w:hAnsi="宋体" w:cs="宋体"/>
          <w:b/>
          <w:szCs w:val="21"/>
        </w:rPr>
        <w:br w:type="textWrapping"/>
      </w:r>
      <w:r>
        <w:rPr>
          <w:rFonts w:hint="eastAsia" w:ascii="宋体" w:hAnsi="宋体" w:cs="宋体"/>
          <w:b/>
          <w:szCs w:val="21"/>
        </w:rPr>
        <w:t>一、评分标准索引表</w:t>
      </w:r>
      <w:bookmarkEnd w:id="134"/>
    </w:p>
    <w:tbl>
      <w:tblPr>
        <w:tblStyle w:val="26"/>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87"/>
        <w:gridCol w:w="1285"/>
        <w:gridCol w:w="5358"/>
        <w:gridCol w:w="825"/>
        <w:gridCol w:w="11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87" w:hRule="atLeast"/>
        </w:trPr>
        <w:tc>
          <w:tcPr>
            <w:tcW w:w="687"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类别</w:t>
            </w:r>
          </w:p>
        </w:tc>
        <w:tc>
          <w:tcPr>
            <w:tcW w:w="1285"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评审因素</w:t>
            </w:r>
          </w:p>
        </w:tc>
        <w:tc>
          <w:tcPr>
            <w:tcW w:w="5358" w:type="dxa"/>
            <w:tcBorders>
              <w:top w:val="single" w:color="auto" w:sz="12" w:space="0"/>
            </w:tcBorders>
            <w:vAlign w:val="center"/>
          </w:tcPr>
          <w:p>
            <w:pPr>
              <w:spacing w:line="360" w:lineRule="auto"/>
              <w:jc w:val="center"/>
              <w:rPr>
                <w:rFonts w:ascii="宋体" w:hAnsi="宋体" w:cs="宋体"/>
                <w:b/>
                <w:bCs/>
                <w:spacing w:val="-6"/>
                <w:szCs w:val="21"/>
              </w:rPr>
            </w:pPr>
            <w:r>
              <w:rPr>
                <w:rFonts w:hint="eastAsia" w:ascii="宋体" w:hAnsi="宋体" w:cs="宋体"/>
                <w:b/>
                <w:bCs/>
                <w:szCs w:val="21"/>
              </w:rPr>
              <w:t>评审标准</w:t>
            </w:r>
          </w:p>
        </w:tc>
        <w:tc>
          <w:tcPr>
            <w:tcW w:w="825"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分值</w:t>
            </w:r>
          </w:p>
        </w:tc>
        <w:tc>
          <w:tcPr>
            <w:tcW w:w="1133" w:type="dxa"/>
            <w:tcBorders>
              <w:top w:val="single" w:color="auto" w:sz="12" w:space="0"/>
            </w:tcBorders>
            <w:vAlign w:val="center"/>
          </w:tcPr>
          <w:p>
            <w:pPr>
              <w:spacing w:line="360" w:lineRule="auto"/>
              <w:jc w:val="center"/>
              <w:rPr>
                <w:rFonts w:ascii="宋体" w:hAnsi="宋体" w:cs="宋体"/>
                <w:b/>
                <w:bCs/>
                <w:szCs w:val="21"/>
              </w:rPr>
            </w:pPr>
            <w:r>
              <w:rPr>
                <w:rFonts w:hint="eastAsia" w:ascii="宋体" w:hAnsi="宋体" w:cs="宋体"/>
                <w:b/>
                <w:bCs/>
                <w:szCs w:val="21"/>
              </w:rPr>
              <w:t>对应页码</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118" w:hRule="atLeast"/>
        </w:trPr>
        <w:tc>
          <w:tcPr>
            <w:tcW w:w="687" w:type="dxa"/>
            <w:vAlign w:val="center"/>
          </w:tcPr>
          <w:p>
            <w:pPr>
              <w:widowControl/>
              <w:spacing w:line="360" w:lineRule="auto"/>
              <w:jc w:val="center"/>
              <w:textAlignment w:val="center"/>
              <w:rPr>
                <w:rFonts w:ascii="宋体" w:hAnsi="宋体" w:cs="宋体"/>
                <w:spacing w:val="-6"/>
                <w:szCs w:val="21"/>
              </w:rPr>
            </w:pPr>
          </w:p>
        </w:tc>
        <w:tc>
          <w:tcPr>
            <w:tcW w:w="1285" w:type="dxa"/>
            <w:vAlign w:val="center"/>
          </w:tcPr>
          <w:p>
            <w:pPr>
              <w:widowControl/>
              <w:spacing w:line="360" w:lineRule="auto"/>
              <w:jc w:val="center"/>
              <w:textAlignment w:val="center"/>
              <w:rPr>
                <w:rFonts w:ascii="宋体" w:hAnsi="宋体" w:cs="宋体"/>
                <w:spacing w:val="-6"/>
                <w:szCs w:val="21"/>
              </w:rPr>
            </w:pPr>
          </w:p>
        </w:tc>
        <w:tc>
          <w:tcPr>
            <w:tcW w:w="5358" w:type="dxa"/>
            <w:vAlign w:val="center"/>
          </w:tcPr>
          <w:p>
            <w:pPr>
              <w:widowControl/>
              <w:spacing w:line="360" w:lineRule="auto"/>
              <w:jc w:val="left"/>
              <w:textAlignment w:val="center"/>
              <w:rPr>
                <w:rFonts w:ascii="宋体" w:hAnsi="宋体" w:cs="宋体"/>
                <w:szCs w:val="21"/>
              </w:rPr>
            </w:pPr>
          </w:p>
        </w:tc>
        <w:tc>
          <w:tcPr>
            <w:tcW w:w="825" w:type="dxa"/>
            <w:vAlign w:val="center"/>
          </w:tcPr>
          <w:p>
            <w:pPr>
              <w:widowControl/>
              <w:spacing w:line="360" w:lineRule="auto"/>
              <w:jc w:val="center"/>
              <w:textAlignment w:val="center"/>
              <w:rPr>
                <w:rFonts w:ascii="宋体" w:hAnsi="宋体" w:cs="宋体"/>
                <w:szCs w:val="21"/>
              </w:rPr>
            </w:pPr>
          </w:p>
        </w:tc>
        <w:tc>
          <w:tcPr>
            <w:tcW w:w="1133" w:type="dxa"/>
            <w:vAlign w:val="center"/>
          </w:tcPr>
          <w:p>
            <w:pPr>
              <w:widowControl/>
              <w:spacing w:line="360" w:lineRule="auto"/>
              <w:jc w:val="center"/>
              <w:textAlignment w:val="center"/>
              <w:rPr>
                <w:rFonts w:ascii="宋体" w:hAnsi="宋体" w:cs="宋体"/>
                <w:color w:val="FF0000"/>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color w:val="000000"/>
                <w:spacing w:val="-6"/>
                <w:szCs w:val="21"/>
              </w:rPr>
            </w:pPr>
          </w:p>
        </w:tc>
        <w:tc>
          <w:tcPr>
            <w:tcW w:w="5358"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825" w:type="dxa"/>
            <w:vAlign w:val="center"/>
          </w:tcPr>
          <w:p>
            <w:pPr>
              <w:autoSpaceDE w:val="0"/>
              <w:autoSpaceDN w:val="0"/>
              <w:adjustRightInd w:val="0"/>
              <w:spacing w:line="360" w:lineRule="auto"/>
              <w:ind w:right="71" w:rightChars="34"/>
              <w:rPr>
                <w:rFonts w:ascii="宋体" w:hAnsi="宋体" w:cs="宋体"/>
                <w:color w:val="000000"/>
                <w:spacing w:val="-6"/>
                <w:szCs w:val="21"/>
              </w:rPr>
            </w:pPr>
          </w:p>
        </w:tc>
        <w:tc>
          <w:tcPr>
            <w:tcW w:w="1133" w:type="dxa"/>
            <w:vAlign w:val="center"/>
          </w:tcPr>
          <w:p>
            <w:pPr>
              <w:autoSpaceDE w:val="0"/>
              <w:autoSpaceDN w:val="0"/>
              <w:adjustRightInd w:val="0"/>
              <w:spacing w:line="360" w:lineRule="auto"/>
              <w:ind w:right="71" w:rightChars="34"/>
              <w:rPr>
                <w:rFonts w:ascii="宋体" w:hAnsi="宋体" w:cs="宋体"/>
                <w:color w:val="000000"/>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bottom w:val="single" w:color="auto" w:sz="4" w:space="0"/>
            </w:tcBorders>
            <w:vAlign w:val="center"/>
          </w:tcPr>
          <w:p>
            <w:pPr>
              <w:spacing w:line="360" w:lineRule="auto"/>
              <w:rPr>
                <w:rFonts w:ascii="宋体" w:hAnsi="宋体" w:cs="宋体"/>
                <w:spacing w:val="-6"/>
                <w:kern w:val="0"/>
                <w:szCs w:val="21"/>
              </w:rPr>
            </w:pPr>
          </w:p>
        </w:tc>
        <w:tc>
          <w:tcPr>
            <w:tcW w:w="5358"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bottom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tcBorders>
              <w:top w:val="single" w:color="auto" w:sz="4" w:space="0"/>
            </w:tcBorders>
            <w:vAlign w:val="center"/>
          </w:tcPr>
          <w:p>
            <w:pPr>
              <w:spacing w:line="360" w:lineRule="auto"/>
              <w:rPr>
                <w:rFonts w:ascii="宋体" w:hAnsi="宋体" w:cs="宋体"/>
                <w:spacing w:val="-6"/>
                <w:kern w:val="0"/>
                <w:szCs w:val="21"/>
              </w:rPr>
            </w:pPr>
          </w:p>
        </w:tc>
        <w:tc>
          <w:tcPr>
            <w:tcW w:w="5358"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825"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c>
          <w:tcPr>
            <w:tcW w:w="1133" w:type="dxa"/>
            <w:tcBorders>
              <w:top w:val="single" w:color="auto" w:sz="4" w:space="0"/>
            </w:tcBorders>
            <w:vAlign w:val="center"/>
          </w:tcPr>
          <w:p>
            <w:pPr>
              <w:autoSpaceDE w:val="0"/>
              <w:autoSpaceDN w:val="0"/>
              <w:adjustRightInd w:val="0"/>
              <w:spacing w:line="360" w:lineRule="auto"/>
              <w:ind w:right="71" w:rightChars="34"/>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restart"/>
            <w:vAlign w:val="center"/>
          </w:tcPr>
          <w:p>
            <w:pPr>
              <w:spacing w:line="360" w:lineRule="auto"/>
              <w:jc w:val="center"/>
              <w:rPr>
                <w:rFonts w:ascii="宋体" w:hAnsi="宋体" w:cs="宋体"/>
                <w:spacing w:val="-6"/>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ind w:left="-4" w:leftChars="-2" w:firstLine="2" w:firstLineChars="1"/>
              <w:rPr>
                <w:rFonts w:ascii="宋体" w:hAnsi="宋体" w:cs="宋体"/>
                <w:szCs w:val="21"/>
              </w:rPr>
            </w:pPr>
          </w:p>
        </w:tc>
        <w:tc>
          <w:tcPr>
            <w:tcW w:w="1285" w:type="dxa"/>
            <w:vAlign w:val="center"/>
          </w:tcPr>
          <w:p>
            <w:pPr>
              <w:spacing w:line="360" w:lineRule="auto"/>
              <w:ind w:left="-4" w:leftChars="-2" w:firstLine="2" w:firstLineChars="1"/>
              <w:rPr>
                <w:rFonts w:ascii="宋体" w:hAnsi="宋体" w:cs="宋体"/>
                <w:szCs w:val="21"/>
              </w:rPr>
            </w:pPr>
          </w:p>
        </w:tc>
        <w:tc>
          <w:tcPr>
            <w:tcW w:w="5358" w:type="dxa"/>
            <w:vAlign w:val="center"/>
          </w:tcPr>
          <w:p>
            <w:pPr>
              <w:spacing w:line="360" w:lineRule="auto"/>
              <w:ind w:left="-4" w:leftChars="-2" w:firstLine="2" w:firstLineChars="1"/>
              <w:rPr>
                <w:rFonts w:ascii="宋体" w:hAnsi="宋体" w:cs="宋体"/>
                <w:szCs w:val="21"/>
              </w:rPr>
            </w:pPr>
          </w:p>
        </w:tc>
        <w:tc>
          <w:tcPr>
            <w:tcW w:w="825" w:type="dxa"/>
            <w:vAlign w:val="center"/>
          </w:tcPr>
          <w:p>
            <w:pPr>
              <w:spacing w:line="360" w:lineRule="auto"/>
              <w:ind w:left="-4" w:leftChars="-2" w:firstLine="2" w:firstLineChars="1"/>
              <w:rPr>
                <w:rFonts w:ascii="宋体" w:hAnsi="宋体" w:cs="宋体"/>
                <w:szCs w:val="21"/>
              </w:rPr>
            </w:pPr>
          </w:p>
        </w:tc>
        <w:tc>
          <w:tcPr>
            <w:tcW w:w="1133" w:type="dxa"/>
            <w:vAlign w:val="center"/>
          </w:tcPr>
          <w:p>
            <w:pPr>
              <w:spacing w:line="360" w:lineRule="auto"/>
              <w:ind w:left="-4" w:leftChars="-2" w:firstLine="2" w:firstLineChars="1"/>
              <w:rPr>
                <w:rFonts w:ascii="宋体" w:hAnsi="宋体" w:cs="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kern w:val="0"/>
                <w:szCs w:val="21"/>
              </w:rPr>
            </w:pPr>
          </w:p>
        </w:tc>
        <w:tc>
          <w:tcPr>
            <w:tcW w:w="5358" w:type="dxa"/>
            <w:vAlign w:val="center"/>
          </w:tcPr>
          <w:p>
            <w:pPr>
              <w:autoSpaceDE w:val="0"/>
              <w:autoSpaceDN w:val="0"/>
              <w:adjustRightInd w:val="0"/>
              <w:spacing w:line="360" w:lineRule="auto"/>
              <w:rPr>
                <w:rFonts w:ascii="宋体" w:hAnsi="宋体" w:cs="宋体"/>
                <w:spacing w:val="-6"/>
                <w:kern w:val="0"/>
                <w:szCs w:val="21"/>
              </w:rPr>
            </w:pPr>
          </w:p>
        </w:tc>
        <w:tc>
          <w:tcPr>
            <w:tcW w:w="825" w:type="dxa"/>
            <w:vAlign w:val="center"/>
          </w:tcPr>
          <w:p>
            <w:pPr>
              <w:autoSpaceDE w:val="0"/>
              <w:autoSpaceDN w:val="0"/>
              <w:adjustRightInd w:val="0"/>
              <w:spacing w:line="360" w:lineRule="auto"/>
              <w:rPr>
                <w:rFonts w:ascii="宋体" w:hAnsi="宋体" w:cs="宋体"/>
                <w:spacing w:val="-6"/>
                <w:kern w:val="0"/>
                <w:szCs w:val="21"/>
              </w:rPr>
            </w:pPr>
          </w:p>
        </w:tc>
        <w:tc>
          <w:tcPr>
            <w:tcW w:w="1133" w:type="dxa"/>
            <w:vAlign w:val="center"/>
          </w:tcPr>
          <w:p>
            <w:pPr>
              <w:autoSpaceDE w:val="0"/>
              <w:autoSpaceDN w:val="0"/>
              <w:adjustRightInd w:val="0"/>
              <w:spacing w:line="360" w:lineRule="auto"/>
              <w:rPr>
                <w:rFonts w:ascii="宋体" w:hAnsi="宋体" w:cs="宋体"/>
                <w:spacing w:val="-6"/>
                <w:kern w:val="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ind w:left="-4" w:leftChars="-2" w:firstLine="1" w:firstLineChars="1"/>
              <w:rPr>
                <w:rFonts w:ascii="宋体" w:hAnsi="宋体" w:cs="宋体"/>
                <w:spacing w:val="-6"/>
                <w:szCs w:val="21"/>
              </w:rPr>
            </w:pPr>
          </w:p>
        </w:tc>
        <w:tc>
          <w:tcPr>
            <w:tcW w:w="825" w:type="dxa"/>
            <w:vAlign w:val="center"/>
          </w:tcPr>
          <w:p>
            <w:pPr>
              <w:spacing w:line="360" w:lineRule="auto"/>
              <w:ind w:left="-4" w:leftChars="-2" w:firstLine="1" w:firstLineChars="1"/>
              <w:rPr>
                <w:rFonts w:ascii="宋体" w:hAnsi="宋体" w:cs="宋体"/>
                <w:spacing w:val="-6"/>
                <w:szCs w:val="21"/>
              </w:rPr>
            </w:pPr>
          </w:p>
        </w:tc>
        <w:tc>
          <w:tcPr>
            <w:tcW w:w="1133" w:type="dxa"/>
            <w:vAlign w:val="center"/>
          </w:tcPr>
          <w:p>
            <w:pPr>
              <w:spacing w:line="360" w:lineRule="auto"/>
              <w:ind w:left="-4" w:leftChars="-2" w:firstLine="1" w:firstLineChars="1"/>
              <w:rPr>
                <w:rFonts w:ascii="宋体" w:hAnsi="宋体" w:cs="宋体"/>
                <w:spacing w:val="-6"/>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07" w:hRule="atLeast"/>
        </w:trPr>
        <w:tc>
          <w:tcPr>
            <w:tcW w:w="687" w:type="dxa"/>
            <w:vMerge w:val="continue"/>
            <w:vAlign w:val="center"/>
          </w:tcPr>
          <w:p>
            <w:pPr>
              <w:spacing w:line="360" w:lineRule="auto"/>
              <w:rPr>
                <w:rFonts w:ascii="宋体" w:hAnsi="宋体" w:cs="宋体"/>
                <w:szCs w:val="21"/>
              </w:rPr>
            </w:pPr>
          </w:p>
        </w:tc>
        <w:tc>
          <w:tcPr>
            <w:tcW w:w="1285" w:type="dxa"/>
            <w:vAlign w:val="center"/>
          </w:tcPr>
          <w:p>
            <w:pPr>
              <w:spacing w:line="360" w:lineRule="auto"/>
              <w:rPr>
                <w:rFonts w:ascii="宋体" w:hAnsi="宋体" w:cs="宋体"/>
                <w:spacing w:val="-6"/>
                <w:szCs w:val="21"/>
              </w:rPr>
            </w:pPr>
          </w:p>
        </w:tc>
        <w:tc>
          <w:tcPr>
            <w:tcW w:w="5358" w:type="dxa"/>
            <w:vAlign w:val="center"/>
          </w:tcPr>
          <w:p>
            <w:pPr>
              <w:spacing w:line="360" w:lineRule="auto"/>
              <w:rPr>
                <w:rFonts w:ascii="宋体" w:hAnsi="宋体" w:cs="宋体"/>
                <w:spacing w:val="-6"/>
                <w:szCs w:val="21"/>
              </w:rPr>
            </w:pPr>
          </w:p>
        </w:tc>
        <w:tc>
          <w:tcPr>
            <w:tcW w:w="825" w:type="dxa"/>
            <w:vAlign w:val="center"/>
          </w:tcPr>
          <w:p>
            <w:pPr>
              <w:spacing w:line="360" w:lineRule="auto"/>
              <w:rPr>
                <w:rFonts w:ascii="宋体" w:hAnsi="宋体" w:cs="宋体"/>
                <w:spacing w:val="-6"/>
                <w:szCs w:val="21"/>
              </w:rPr>
            </w:pPr>
          </w:p>
        </w:tc>
        <w:tc>
          <w:tcPr>
            <w:tcW w:w="1133" w:type="dxa"/>
            <w:vAlign w:val="center"/>
          </w:tcPr>
          <w:p>
            <w:pPr>
              <w:spacing w:line="360" w:lineRule="auto"/>
              <w:rPr>
                <w:rFonts w:ascii="宋体" w:hAnsi="宋体" w:cs="宋体"/>
                <w:spacing w:val="-6"/>
                <w:szCs w:val="21"/>
              </w:rPr>
            </w:pPr>
          </w:p>
        </w:tc>
      </w:tr>
    </w:tbl>
    <w:p>
      <w:pPr>
        <w:autoSpaceDE w:val="0"/>
        <w:autoSpaceDN w:val="0"/>
        <w:adjustRightInd w:val="0"/>
        <w:spacing w:line="480" w:lineRule="auto"/>
        <w:rPr>
          <w:rFonts w:asciiTheme="minorEastAsia" w:hAnsiTheme="minorEastAsia" w:eastAsiaTheme="minorEastAsia" w:cstheme="minorEastAsia"/>
          <w:b/>
        </w:rPr>
      </w:pPr>
    </w:p>
    <w:p>
      <w:pPr>
        <w:adjustRightInd w:val="0"/>
        <w:snapToGrid w:val="0"/>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
        </w:rPr>
        <w:br w:type="textWrapping"/>
      </w:r>
    </w:p>
    <w:p>
      <w:pPr>
        <w:adjustRightInd w:val="0"/>
        <w:snapToGrid w:val="0"/>
        <w:spacing w:line="480" w:lineRule="auto"/>
        <w:jc w:val="center"/>
        <w:outlineLvl w:val="1"/>
        <w:rPr>
          <w:rFonts w:asciiTheme="minorEastAsia" w:hAnsiTheme="minorEastAsia" w:eastAsiaTheme="minorEastAsia" w:cstheme="minorEastAsia"/>
          <w:b/>
        </w:rPr>
      </w:pPr>
      <w:bookmarkStart w:id="135" w:name="_Toc479184125"/>
      <w:bookmarkStart w:id="136" w:name="_Toc30144"/>
      <w:bookmarkStart w:id="137" w:name="_Toc3570"/>
      <w:bookmarkStart w:id="138" w:name="_Toc15789"/>
      <w:r>
        <w:rPr>
          <w:rFonts w:hint="eastAsia" w:asciiTheme="minorEastAsia" w:hAnsiTheme="minorEastAsia" w:eastAsiaTheme="minorEastAsia" w:cstheme="minorEastAsia"/>
          <w:b/>
        </w:rPr>
        <w:t>二、磋商书</w:t>
      </w:r>
      <w:bookmarkEnd w:id="135"/>
      <w:bookmarkEnd w:id="136"/>
      <w:bookmarkEnd w:id="137"/>
      <w:bookmarkEnd w:id="138"/>
    </w:p>
    <w:p>
      <w:pPr>
        <w:pStyle w:val="20"/>
        <w:rPr>
          <w:rFonts w:asciiTheme="minorEastAsia" w:hAnsiTheme="minorEastAsia" w:eastAsiaTheme="minorEastAsia" w:cstheme="minorEastAsia"/>
          <w:b/>
          <w:szCs w:val="21"/>
        </w:rPr>
      </w:pPr>
    </w:p>
    <w:p>
      <w:pPr>
        <w:autoSpaceDE w:val="0"/>
        <w:autoSpaceDN w:val="0"/>
        <w:adjustRightInd w:val="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bCs/>
          <w:szCs w:val="21"/>
          <w:u w:val="single"/>
        </w:rPr>
        <w:t>（政府采购代理机构）：</w:t>
      </w:r>
    </w:p>
    <w:p>
      <w:pPr>
        <w:autoSpaceDE w:val="0"/>
        <w:autoSpaceDN w:val="0"/>
        <w:adjustRightInd w:val="0"/>
        <w:ind w:left="2" w:firstLine="462" w:firstLineChars="2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依据贵方（项目名称/项目编号）项目第包货物的磋商邀请，我方代表（姓名、职务）经正式授权并代表供应商（供应商的名称、地址）提交下述文件正本一份，副本份。</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竞争性磋商响应文件；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资格证明文件；</w:t>
      </w:r>
    </w:p>
    <w:p>
      <w:pPr>
        <w:numPr>
          <w:ilvl w:val="1"/>
          <w:numId w:val="37"/>
        </w:numPr>
        <w:tabs>
          <w:tab w:val="left" w:pos="840"/>
          <w:tab w:val="clear" w:pos="360"/>
        </w:tabs>
        <w:autoSpaceDE w:val="0"/>
        <w:autoSpaceDN w:val="0"/>
        <w:adjustRightInd w:val="0"/>
        <w:ind w:left="840" w:hanging="42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按采购的规定递交元（人民币大写）的保证金（如有）。</w:t>
      </w:r>
    </w:p>
    <w:p>
      <w:pPr>
        <w:autoSpaceDE w:val="0"/>
        <w:autoSpaceDN w:val="0"/>
        <w:adjustRightInd w:val="0"/>
        <w:ind w:firstLine="422" w:firstLineChars="200"/>
        <w:rPr>
          <w:rFonts w:asciiTheme="minorEastAsia" w:hAnsiTheme="minorEastAsia" w:eastAsiaTheme="minorEastAsia" w:cstheme="minorEastAsia"/>
          <w:b/>
          <w:bCs/>
          <w:kern w:val="0"/>
          <w:szCs w:val="21"/>
        </w:rPr>
      </w:pPr>
      <w:r>
        <w:rPr>
          <w:rFonts w:hint="eastAsia" w:asciiTheme="minorEastAsia" w:hAnsiTheme="minorEastAsia" w:eastAsiaTheme="minorEastAsia" w:cstheme="minorEastAsia"/>
          <w:b/>
          <w:bCs/>
          <w:kern w:val="0"/>
          <w:szCs w:val="21"/>
        </w:rPr>
        <w:t>并进行如下承诺声明：</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lang w:val="zh-CN"/>
        </w:rPr>
        <w:t>我公司在参加本次政府采购活动前</w:t>
      </w:r>
      <w:r>
        <w:rPr>
          <w:rFonts w:hint="eastAsia" w:asciiTheme="minorEastAsia" w:hAnsiTheme="minorEastAsia" w:eastAsiaTheme="minorEastAsia" w:cstheme="minorEastAsia"/>
          <w:kern w:val="0"/>
          <w:szCs w:val="21"/>
        </w:rPr>
        <w:t>3年内在经营活动中没有重大违法记录；</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我公司在本响应文件中所提供的全部资格证明文件均真实有效，我方承诺对其真实性负责并承担相应后果；</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我公司在本响应文件中所响应的内容均将成为签订合同的依据，并承诺按响应内容提供相应服务；</w:t>
      </w:r>
    </w:p>
    <w:p>
      <w:pPr>
        <w:numPr>
          <w:ilvl w:val="0"/>
          <w:numId w:val="38"/>
        </w:numPr>
        <w:tabs>
          <w:tab w:val="left" w:pos="840"/>
        </w:tabs>
        <w:autoSpaceDE w:val="0"/>
        <w:autoSpaceDN w:val="0"/>
        <w:adjustRightInd w:val="0"/>
        <w:ind w:firstLine="420" w:firstLine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重要声明：</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kern w:val="0"/>
          <w:szCs w:val="21"/>
        </w:rPr>
        <w:t>4.1</w:t>
      </w:r>
      <w:r>
        <w:rPr>
          <w:rFonts w:hint="eastAsia" w:asciiTheme="minorEastAsia" w:hAnsiTheme="minorEastAsia" w:eastAsiaTheme="minorEastAsia" w:cstheme="minorEastAsia"/>
        </w:rPr>
        <w:t>与我方单位负责人为同一人的其他单位名称：□无；□有，具体单位名称为：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4.2与我方存在控股、管理关系的其他单位的名称：□无；□有，具体单位名称为：</w:t>
      </w:r>
      <w:r>
        <w:rPr>
          <w:rFonts w:hint="eastAsia" w:asciiTheme="minorEastAsia" w:hAnsiTheme="minorEastAsia" w:eastAsiaTheme="minorEastAsia" w:cstheme="minorEastAsia"/>
          <w:u w:val="single"/>
        </w:rPr>
        <w:t>     </w:t>
      </w:r>
    </w:p>
    <w:p>
      <w:pPr>
        <w:tabs>
          <w:tab w:val="left" w:pos="840"/>
        </w:tabs>
        <w:autoSpaceDE w:val="0"/>
        <w:autoSpaceDN w:val="0"/>
        <w:adjustRightInd w:val="0"/>
        <w:ind w:left="420" w:leftChars="200"/>
        <w:rPr>
          <w:rFonts w:asciiTheme="minorEastAsia" w:hAnsiTheme="minorEastAsia" w:eastAsiaTheme="minorEastAsia" w:cstheme="minorEastAsia"/>
        </w:rPr>
      </w:pPr>
      <w:r>
        <w:rPr>
          <w:rFonts w:hint="eastAsia" w:asciiTheme="minorEastAsia" w:hAnsiTheme="minorEastAsia" w:eastAsiaTheme="minorEastAsia" w:cstheme="minorEastAsia"/>
        </w:rPr>
        <w:t>4.3参与本项目采购活动前，是否为本项目前期准备提供过整体设计、规范编制或者项目管理、监理、检测等服务：□否；□是，已提供的具体服务内容为：</w:t>
      </w:r>
      <w:r>
        <w:rPr>
          <w:rFonts w:hint="eastAsia" w:asciiTheme="minorEastAsia" w:hAnsiTheme="minorEastAsia" w:eastAsiaTheme="minorEastAsia" w:cstheme="minorEastAsia"/>
          <w:u w:val="single"/>
        </w:rPr>
        <w:t>     </w:t>
      </w:r>
    </w:p>
    <w:p>
      <w:r>
        <w:rPr>
          <w:rFonts w:hint="eastAsia" w:asciiTheme="minorEastAsia" w:hAnsiTheme="minorEastAsia" w:eastAsiaTheme="minorEastAsia" w:cstheme="minorEastAsia"/>
          <w:b/>
          <w:bCs/>
        </w:rPr>
        <w:t>（备注：以上3项声明，必须如实选择，选中项用√表示，未选中项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pPr>
        <w:autoSpaceDE w:val="0"/>
        <w:autoSpaceDN w:val="0"/>
        <w:adjustRightInd w:val="0"/>
        <w:ind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在此，我方宣布同意如下：</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所附《报价一览表》中规定的应提交和交付的货物报价总价为</w:t>
      </w:r>
      <w:r>
        <w:rPr>
          <w:rFonts w:hint="eastAsia" w:asciiTheme="minorEastAsia" w:hAnsiTheme="minorEastAsia" w:eastAsiaTheme="minorEastAsia" w:cstheme="minorEastAsia"/>
          <w:kern w:val="0"/>
          <w:szCs w:val="21"/>
          <w:u w:val="single"/>
        </w:rPr>
        <w:t>（注明币种，并用文字和数字表示的报价总价）</w:t>
      </w:r>
      <w:r>
        <w:rPr>
          <w:rFonts w:hint="eastAsia" w:asciiTheme="minorEastAsia" w:hAnsiTheme="minorEastAsia" w:eastAsiaTheme="minorEastAsia" w:cstheme="minorEastAsia"/>
          <w:kern w:val="0"/>
          <w:szCs w:val="21"/>
        </w:rPr>
        <w:t>。</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将按竞争性磋商采购文件的约定履行合同责任和义务。</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已详细审查全部竞争性磋商采购文件，包括</w:t>
      </w:r>
      <w:r>
        <w:rPr>
          <w:rFonts w:hint="eastAsia" w:asciiTheme="minorEastAsia" w:hAnsiTheme="minorEastAsia" w:eastAsiaTheme="minorEastAsia" w:cstheme="minorEastAsia"/>
          <w:kern w:val="0"/>
          <w:szCs w:val="21"/>
          <w:u w:val="single"/>
        </w:rPr>
        <w:t>（补充文件等）</w:t>
      </w:r>
      <w:r>
        <w:rPr>
          <w:rFonts w:hint="eastAsia" w:asciiTheme="minorEastAsia" w:hAnsiTheme="minorEastAsia" w:eastAsiaTheme="minorEastAsia" w:cstheme="minorEastAsia"/>
          <w:kern w:val="0"/>
          <w:szCs w:val="21"/>
        </w:rPr>
        <w:t>，对此无异议。</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本竞争性磋商响应文件的有效期自磋商截止时间起共</w:t>
      </w:r>
      <w:r>
        <w:rPr>
          <w:rFonts w:hint="eastAsia" w:asciiTheme="minorEastAsia" w:hAnsiTheme="minorEastAsia" w:eastAsiaTheme="minorEastAsia" w:cstheme="minorEastAsia"/>
          <w:kern w:val="0"/>
          <w:szCs w:val="21"/>
          <w:u w:val="single"/>
        </w:rPr>
        <w:t xml:space="preserve">  90  </w:t>
      </w:r>
      <w:r>
        <w:rPr>
          <w:rFonts w:hint="eastAsia" w:asciiTheme="minorEastAsia" w:hAnsiTheme="minorEastAsia" w:eastAsiaTheme="minorEastAsia" w:cstheme="minorEastAsia"/>
          <w:kern w:val="0"/>
          <w:szCs w:val="21"/>
        </w:rPr>
        <w:t>日历天。</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接收竞争性磋商采购文件中关于没收保证金的约定。</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同意提供按照贵方可能要求的与其报价有关的一切数据或资料。</w:t>
      </w:r>
    </w:p>
    <w:p>
      <w:pPr>
        <w:numPr>
          <w:ilvl w:val="6"/>
          <w:numId w:val="39"/>
        </w:numPr>
        <w:tabs>
          <w:tab w:val="left" w:pos="840"/>
        </w:tabs>
        <w:autoSpaceDE w:val="0"/>
        <w:autoSpaceDN w:val="0"/>
        <w:adjustRightInd w:val="0"/>
        <w:ind w:left="0" w:firstLine="420" w:firstLineChars="2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与本报价有关的一切正式往来信函请寄：。</w:t>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t xml:space="preserve">    8.  我公司若有幸成为本项目的成交供应商，则我公司承诺按照采购文件及成交结果公告规定的方式、时间和金额向采购代理机构交纳成交服务费。</w:t>
      </w:r>
    </w:p>
    <w:p>
      <w:pPr>
        <w:autoSpaceDE w:val="0"/>
        <w:autoSpaceDN w:val="0"/>
        <w:adjustRightInd w:val="0"/>
        <w:ind w:firstLine="420" w:firstLineChars="200"/>
        <w:jc w:val="left"/>
        <w:rPr>
          <w:rFonts w:asciiTheme="minorEastAsia" w:hAnsiTheme="minorEastAsia" w:eastAsiaTheme="minorEastAsia" w:cstheme="minorEastAsia"/>
          <w:kern w:val="0"/>
          <w:szCs w:val="21"/>
        </w:rPr>
      </w:pP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    应    商：（盖章）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通  讯  地  址：</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传        　真：</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话：</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电  子  函  件：</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授权代表（签字）：</w:t>
      </w:r>
    </w:p>
    <w:p>
      <w:pPr>
        <w:autoSpaceDE w:val="0"/>
        <w:autoSpaceDN w:val="0"/>
        <w:adjustRightInd w:val="0"/>
        <w:ind w:firstLine="420" w:firstLineChars="200"/>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日         期：</w:t>
      </w:r>
    </w:p>
    <w:p>
      <w:pPr>
        <w:tabs>
          <w:tab w:val="left" w:pos="540"/>
        </w:tabs>
        <w:autoSpaceDE w:val="0"/>
        <w:autoSpaceDN w:val="0"/>
        <w:adjustRightInd w:val="0"/>
        <w:jc w:val="center"/>
        <w:outlineLvl w:val="1"/>
        <w:rPr>
          <w:rFonts w:asciiTheme="minorEastAsia" w:hAnsiTheme="minorEastAsia" w:eastAsiaTheme="minorEastAsia" w:cstheme="minorEastAsia"/>
          <w:b/>
        </w:rPr>
      </w:pPr>
      <w:bookmarkStart w:id="139" w:name="_Toc479184126"/>
      <w:bookmarkStart w:id="140" w:name="_Toc13969"/>
      <w:bookmarkStart w:id="141" w:name="_Toc3140"/>
      <w:bookmarkStart w:id="142" w:name="_Toc24205"/>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br w:type="textWrapping"/>
      </w:r>
      <w:r>
        <w:rPr>
          <w:rFonts w:hint="eastAsia" w:asciiTheme="minorEastAsia" w:hAnsiTheme="minorEastAsia" w:eastAsiaTheme="minorEastAsia" w:cstheme="minorEastAsia"/>
          <w:b/>
        </w:rPr>
        <w:t>三、法定代表人授权书</w:t>
      </w:r>
      <w:bookmarkEnd w:id="139"/>
      <w:bookmarkEnd w:id="140"/>
      <w:bookmarkEnd w:id="141"/>
      <w:bookmarkEnd w:id="142"/>
    </w:p>
    <w:p>
      <w:pPr>
        <w:rPr>
          <w:rFonts w:asciiTheme="minorEastAsia" w:hAnsiTheme="minorEastAsia" w:eastAsiaTheme="minorEastAsia" w:cstheme="minorEastAsia"/>
          <w:kern w:val="0"/>
          <w:szCs w:val="21"/>
        </w:rPr>
      </w:pPr>
    </w:p>
    <w:p>
      <w:pPr>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兹授权</w:t>
      </w:r>
      <w:r>
        <w:rPr>
          <w:rFonts w:hint="eastAsia" w:asciiTheme="minorEastAsia" w:hAnsiTheme="minorEastAsia" w:eastAsiaTheme="minorEastAsia" w:cstheme="minorEastAsia"/>
          <w:kern w:val="0"/>
          <w:szCs w:val="21"/>
          <w:u w:val="single"/>
        </w:rPr>
        <w:t xml:space="preserve">　　　   </w:t>
      </w:r>
      <w:r>
        <w:rPr>
          <w:rFonts w:hint="eastAsia" w:asciiTheme="minorEastAsia" w:hAnsiTheme="minorEastAsia" w:eastAsiaTheme="minorEastAsia" w:cstheme="minorEastAsia"/>
          <w:kern w:val="0"/>
          <w:szCs w:val="21"/>
        </w:rPr>
        <w:t>同志为我公司参加贵单位组织的</w:t>
      </w:r>
      <w:r>
        <w:rPr>
          <w:rFonts w:hint="eastAsia" w:asciiTheme="minorEastAsia" w:hAnsiTheme="minorEastAsia" w:eastAsiaTheme="minorEastAsia" w:cstheme="minorEastAsia"/>
          <w:kern w:val="0"/>
          <w:szCs w:val="21"/>
          <w:u w:val="single"/>
        </w:rPr>
        <w:t>（项目名称）</w:t>
      </w:r>
      <w:r>
        <w:rPr>
          <w:rFonts w:hint="eastAsia" w:asciiTheme="minorEastAsia" w:hAnsiTheme="minorEastAsia" w:eastAsiaTheme="minorEastAsia" w:cstheme="minorEastAsia"/>
          <w:kern w:val="0"/>
          <w:szCs w:val="21"/>
        </w:rPr>
        <w:t>采购活动的供应商代表人（磋商代表），全权代表我公司处理在该项目采购活动中的一切事宜。代理期限从年 月日起至年 月日止。</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授权单位（盖章）：</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 xml:space="preserve">签发日期：年 月日         </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附：</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u w:val="single"/>
        </w:rPr>
      </w:pPr>
      <w:r>
        <w:rPr>
          <w:rFonts w:hint="eastAsia" w:asciiTheme="minorEastAsia" w:hAnsiTheme="minorEastAsia" w:eastAsiaTheme="minorEastAsia" w:cstheme="minorEastAsia"/>
          <w:kern w:val="0"/>
          <w:szCs w:val="21"/>
        </w:rPr>
        <w:t>授权代表职务：</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w:t>
      </w:r>
    </w:p>
    <w:p>
      <w:pPr>
        <w:autoSpaceDE w:val="0"/>
        <w:autoSpaceDN w:val="0"/>
        <w:adjustRightInd w:val="0"/>
        <w:spacing w:line="360" w:lineRule="auto"/>
        <w:ind w:firstLine="697"/>
        <w:jc w:val="left"/>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授权代表身份证号码：</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4" w:hRule="atLeast"/>
          <w:jc w:val="center"/>
        </w:trPr>
        <w:tc>
          <w:tcPr>
            <w:tcW w:w="9071" w:type="dxa"/>
          </w:tcPr>
          <w:p>
            <w:pPr>
              <w:autoSpaceDE w:val="0"/>
              <w:autoSpaceDN w:val="0"/>
              <w:adjustRightInd w:val="0"/>
              <w:spacing w:line="360" w:lineRule="auto"/>
              <w:jc w:val="left"/>
            </w:pPr>
            <w:r>
              <w:rPr>
                <w:rFonts w:hint="eastAsia"/>
              </w:rPr>
              <w:t>授权代表身份证正反面（真彩扫描件）：</w:t>
            </w:r>
          </w:p>
          <w:p>
            <w:pPr>
              <w:autoSpaceDE w:val="0"/>
              <w:autoSpaceDN w:val="0"/>
              <w:adjustRightInd w:val="0"/>
              <w:spacing w:line="360" w:lineRule="auto"/>
              <w:jc w:val="left"/>
            </w:pPr>
            <w:r>
              <w:rPr>
                <w:rFonts w:hint="eastAsia"/>
              </w:rPr>
              <w:t>法定代表人身份证正反面（真彩扫描件）：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071" w:type="dxa"/>
          </w:tcPr>
          <w:p>
            <w:pPr>
              <w:autoSpaceDE w:val="0"/>
              <w:autoSpaceDN w:val="0"/>
              <w:adjustRightInd w:val="0"/>
              <w:spacing w:line="360" w:lineRule="auto"/>
              <w:jc w:val="left"/>
            </w:pPr>
            <w:r>
              <w:rPr>
                <w:rFonts w:hint="eastAsia"/>
                <w:b/>
                <w:bCs/>
              </w:rPr>
              <w:t>注：如法定代表人直接参加磋商并签署响应文件，无须提供本授权书。</w:t>
            </w:r>
          </w:p>
        </w:tc>
      </w:tr>
    </w:tbl>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43" w:name="_Toc360120184"/>
      <w:bookmarkStart w:id="144" w:name="_Toc479184127"/>
      <w:bookmarkStart w:id="145" w:name="_Toc29904"/>
      <w:bookmarkStart w:id="146" w:name="_Toc30245"/>
      <w:bookmarkStart w:id="147" w:name="_Toc432149008"/>
      <w:bookmarkStart w:id="148" w:name="_Toc424832832"/>
      <w:bookmarkStart w:id="149" w:name="_Toc30476"/>
      <w:bookmarkStart w:id="150" w:name="_Toc28987"/>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br w:type="textWrapping"/>
      </w:r>
      <w:r>
        <w:rPr>
          <w:rFonts w:hint="eastAsia" w:asciiTheme="minorEastAsia" w:hAnsiTheme="minorEastAsia" w:eastAsiaTheme="minorEastAsia" w:cstheme="minorEastAsia"/>
          <w:b/>
          <w:bCs/>
          <w:kern w:val="0"/>
          <w:szCs w:val="21"/>
        </w:rPr>
        <w:t>四、</w:t>
      </w:r>
      <w:r>
        <w:rPr>
          <w:rFonts w:hint="eastAsia" w:asciiTheme="minorEastAsia" w:hAnsiTheme="minorEastAsia" w:eastAsiaTheme="minorEastAsia" w:cstheme="minorEastAsia"/>
          <w:b/>
          <w:bCs/>
          <w:szCs w:val="21"/>
        </w:rPr>
        <w:t>法定代表人身份证明书</w:t>
      </w:r>
      <w:bookmarkEnd w:id="143"/>
      <w:bookmarkEnd w:id="144"/>
      <w:bookmarkEnd w:id="145"/>
      <w:bookmarkEnd w:id="146"/>
      <w:bookmarkEnd w:id="147"/>
      <w:bookmarkEnd w:id="148"/>
      <w:bookmarkEnd w:id="149"/>
      <w:bookmarkEnd w:id="150"/>
    </w:p>
    <w:p>
      <w:pPr>
        <w:spacing w:line="360" w:lineRule="auto"/>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兹证明（姓名）</w:t>
      </w:r>
      <w:r>
        <w:rPr>
          <w:rFonts w:hint="eastAsia" w:asciiTheme="minorEastAsia" w:hAnsiTheme="minorEastAsia" w:eastAsiaTheme="minorEastAsia" w:cstheme="minorEastAsia"/>
          <w:szCs w:val="21"/>
        </w:rPr>
        <w:t>在我单位任职务</w:t>
      </w:r>
      <w:r>
        <w:rPr>
          <w:rFonts w:hint="eastAsia" w:asciiTheme="minorEastAsia" w:hAnsiTheme="minorEastAsia" w:eastAsiaTheme="minorEastAsia" w:cstheme="minorEastAsia"/>
          <w:kern w:val="0"/>
          <w:szCs w:val="21"/>
        </w:rPr>
        <w:t>，系（供应商）的法定代表人。</w:t>
      </w:r>
    </w:p>
    <w:p>
      <w:pPr>
        <w:spacing w:line="360" w:lineRule="auto"/>
        <w:ind w:firstLine="630" w:firstLineChars="300"/>
        <w:rPr>
          <w:rFonts w:asciiTheme="minorEastAsia" w:hAnsiTheme="minorEastAsia" w:eastAsiaTheme="minorEastAsia" w:cstheme="minorEastAsia"/>
          <w:kern w:val="0"/>
          <w:szCs w:val="21"/>
        </w:rPr>
      </w:pP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供应商（盖章）：</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法定代表人（签字或盖章）：</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性别：年龄：</w:t>
      </w:r>
    </w:p>
    <w:p>
      <w:pPr>
        <w:spacing w:line="360" w:lineRule="auto"/>
        <w:ind w:firstLine="630" w:firstLineChars="30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身份证号码：</w:t>
      </w:r>
    </w:p>
    <w:p>
      <w:pPr>
        <w:spacing w:line="360" w:lineRule="auto"/>
        <w:ind w:firstLine="5985" w:firstLineChars="2850"/>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年月日</w:t>
      </w: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p>
      <w:pPr>
        <w:autoSpaceDE w:val="0"/>
        <w:autoSpaceDN w:val="0"/>
        <w:adjustRightInd w:val="0"/>
        <w:spacing w:line="360" w:lineRule="auto"/>
        <w:rPr>
          <w:rFonts w:asciiTheme="minorEastAsia" w:hAnsiTheme="minorEastAsia" w:eastAsiaTheme="minorEastAsia" w:cstheme="minorEastAsia"/>
          <w:kern w:val="0"/>
          <w:szCs w:val="21"/>
        </w:rPr>
      </w:pP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5" w:hRule="atLeast"/>
          <w:jc w:val="center"/>
        </w:trPr>
        <w:tc>
          <w:tcPr>
            <w:tcW w:w="9071" w:type="dxa"/>
          </w:tcPr>
          <w:p>
            <w:pPr>
              <w:spacing w:line="360" w:lineRule="auto"/>
              <w:rPr>
                <w:rFonts w:asciiTheme="minorEastAsia" w:hAnsiTheme="minorEastAsia" w:eastAsiaTheme="minorEastAsia" w:cstheme="minorEastAsia"/>
                <w:kern w:val="0"/>
                <w:szCs w:val="21"/>
              </w:rPr>
            </w:pPr>
          </w:p>
          <w:p>
            <w:pPr>
              <w:spacing w:line="360" w:lineRule="auto"/>
              <w:rPr>
                <w:rFonts w:asciiTheme="minorEastAsia" w:hAnsiTheme="minorEastAsia" w:eastAsiaTheme="minorEastAsia" w:cstheme="minorEastAsia"/>
                <w:kern w:val="0"/>
                <w:szCs w:val="21"/>
              </w:rPr>
            </w:pPr>
            <w:r>
              <w:rPr>
                <w:rFonts w:hint="eastAsia"/>
              </w:rPr>
              <w:t>法定代表人身份证正反面（真彩扫描件）：</w:t>
            </w:r>
          </w:p>
        </w:tc>
      </w:tr>
    </w:tbl>
    <w:p>
      <w:pPr>
        <w:spacing w:line="360" w:lineRule="auto"/>
        <w:rPr>
          <w:rFonts w:asciiTheme="minorEastAsia" w:hAnsiTheme="minorEastAsia" w:eastAsiaTheme="minorEastAsia" w:cstheme="minorEastAsia"/>
          <w:kern w:val="0"/>
          <w:szCs w:val="21"/>
        </w:rPr>
      </w:pPr>
      <w:r>
        <w:rPr>
          <w:rFonts w:hint="eastAsia" w:asciiTheme="minorEastAsia" w:hAnsiTheme="minorEastAsia" w:eastAsiaTheme="minorEastAsia" w:cstheme="minorEastAsia"/>
          <w:kern w:val="0"/>
          <w:szCs w:val="21"/>
        </w:rPr>
        <w:t>注：本表适用于供应商不授权代理人，而由法定代表人直接参加磋商并签署响应文件的情况；</w:t>
      </w:r>
    </w:p>
    <w:p>
      <w:pPr>
        <w:rPr>
          <w:rFonts w:asciiTheme="minorEastAsia" w:hAnsiTheme="minorEastAsia" w:eastAsiaTheme="minorEastAsia" w:cstheme="minorEastAsia"/>
          <w:b/>
          <w:kern w:val="0"/>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bCs/>
          <w:szCs w:val="21"/>
        </w:rPr>
      </w:pPr>
    </w:p>
    <w:p>
      <w:pPr>
        <w:tabs>
          <w:tab w:val="left" w:pos="3969"/>
        </w:tabs>
        <w:spacing w:line="500" w:lineRule="exac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bookmarkStart w:id="151" w:name="_Toc422466732"/>
      <w:bookmarkStart w:id="152" w:name="_Toc432149006"/>
      <w:r>
        <w:rPr>
          <w:rFonts w:hint="eastAsia" w:asciiTheme="minorEastAsia" w:hAnsiTheme="minorEastAsia" w:eastAsiaTheme="minorEastAsia" w:cstheme="minorEastAsia"/>
          <w:b/>
          <w:bCs/>
          <w:sz w:val="24"/>
        </w:rPr>
        <w:br w:type="page"/>
      </w:r>
      <w:bookmarkStart w:id="153" w:name="_Toc4741"/>
      <w:bookmarkStart w:id="154" w:name="_Toc479184128"/>
      <w:bookmarkStart w:id="155" w:name="_Toc4301"/>
      <w:bookmarkStart w:id="156" w:name="_Toc26496"/>
      <w:r>
        <w:rPr>
          <w:rFonts w:hint="eastAsia" w:asciiTheme="minorEastAsia" w:hAnsiTheme="minorEastAsia" w:eastAsiaTheme="minorEastAsia" w:cstheme="minorEastAsia"/>
          <w:b/>
          <w:bCs/>
          <w:szCs w:val="21"/>
        </w:rPr>
        <w:t>五、报价一览表</w:t>
      </w:r>
      <w:bookmarkEnd w:id="151"/>
      <w:bookmarkEnd w:id="152"/>
      <w:bookmarkEnd w:id="153"/>
      <w:bookmarkEnd w:id="154"/>
      <w:bookmarkEnd w:id="155"/>
      <w:bookmarkEnd w:id="156"/>
    </w:p>
    <w:p>
      <w:pPr>
        <w:adjustRightInd w:val="0"/>
        <w:snapToGrid w:val="0"/>
        <w:ind w:left="-88" w:leftChars="-42"/>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858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18"/>
        <w:gridCol w:w="61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供应商名称</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宋体" w:hAnsi="宋体"/>
                <w:szCs w:val="21"/>
              </w:rPr>
              <w:t>供应商地址</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竞标报价</w:t>
            </w:r>
          </w:p>
        </w:tc>
        <w:tc>
          <w:tcPr>
            <w:tcW w:w="6166" w:type="dxa"/>
            <w:tcBorders>
              <w:top w:val="single" w:color="auto" w:sz="4" w:space="0"/>
              <w:left w:val="single" w:color="auto" w:sz="4" w:space="0"/>
              <w:bottom w:val="single" w:color="auto" w:sz="4" w:space="0"/>
              <w:right w:val="single" w:color="auto" w:sz="4" w:space="0"/>
            </w:tcBorders>
            <w:vAlign w:val="center"/>
          </w:tcPr>
          <w:p>
            <w:pPr>
              <w:jc w:val="left"/>
              <w:rPr>
                <w:rFonts w:asciiTheme="minorEastAsia" w:hAnsiTheme="minorEastAsia" w:eastAsiaTheme="minorEastAsia" w:cstheme="minorEastAsia"/>
                <w:color w:val="FF0000"/>
                <w:szCs w:val="21"/>
              </w:rPr>
            </w:pPr>
            <w:r>
              <w:rPr>
                <w:rFonts w:hint="eastAsia" w:asciiTheme="minorEastAsia" w:hAnsiTheme="minorEastAsia" w:eastAsiaTheme="minorEastAsia" w:cstheme="minorEastAsia"/>
                <w:color w:val="FF0000"/>
                <w:szCs w:val="21"/>
                <w:u w:val="single"/>
              </w:rPr>
              <w:t xml:space="preserve">大写：      </w:t>
            </w:r>
            <w:r>
              <w:rPr>
                <w:rFonts w:hint="eastAsia" w:asciiTheme="minorEastAsia" w:hAnsiTheme="minorEastAsia" w:eastAsiaTheme="minorEastAsia" w:cstheme="minorEastAsia"/>
                <w:color w:val="FF0000"/>
                <w:szCs w:val="21"/>
              </w:rPr>
              <w:br w:type="textWrapping"/>
            </w:r>
            <w:r>
              <w:rPr>
                <w:rFonts w:hint="eastAsia" w:asciiTheme="minorEastAsia" w:hAnsiTheme="minorEastAsia" w:eastAsiaTheme="minorEastAsia" w:cstheme="minorEastAsia"/>
                <w:color w:val="FF0000"/>
                <w:szCs w:val="21"/>
                <w:u w:val="single"/>
              </w:rPr>
              <w:t xml:space="preserve">小写：      </w:t>
            </w:r>
            <w:r>
              <w:rPr>
                <w:rFonts w:hint="eastAsia" w:asciiTheme="minorEastAsia" w:hAnsiTheme="minorEastAsia" w:eastAsiaTheme="minorEastAsia" w:cstheme="minorEastAsia"/>
                <w:color w:val="FF0000"/>
                <w:szCs w:val="21"/>
              </w:rPr>
              <w:t>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主要产品概况</w:t>
            </w:r>
          </w:p>
          <w:p>
            <w:pPr>
              <w:rPr>
                <w:rFonts w:hint="eastAsia" w:asciiTheme="minorEastAsia" w:hAnsiTheme="minorEastAsia" w:eastAsiaTheme="minorEastAsia" w:cstheme="minorEastAsia"/>
                <w:szCs w:val="21"/>
                <w:lang w:eastAsia="zh-CN"/>
              </w:rPr>
            </w:pPr>
            <w:r>
              <w:rPr>
                <w:rFonts w:hint="eastAsia" w:asciiTheme="minorEastAsia" w:hAnsiTheme="minorEastAsia" w:eastAsiaTheme="minorEastAsia" w:cstheme="minorEastAsia"/>
                <w:szCs w:val="21"/>
                <w:lang w:eastAsia="zh-CN"/>
              </w:rPr>
              <w:t>（核心产品）</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bCs/>
                <w:color w:val="auto"/>
                <w:szCs w:val="21"/>
              </w:rPr>
            </w:pPr>
            <w:r>
              <w:rPr>
                <w:rFonts w:hint="eastAsia" w:asciiTheme="minorEastAsia" w:hAnsiTheme="minorEastAsia" w:eastAsiaTheme="minorEastAsia" w:cstheme="minorEastAsia"/>
                <w:bCs/>
                <w:color w:val="auto"/>
                <w:szCs w:val="21"/>
              </w:rPr>
              <w:t>请填写本项目</w:t>
            </w:r>
            <w:r>
              <w:rPr>
                <w:rFonts w:hint="eastAsia" w:asciiTheme="minorEastAsia" w:hAnsiTheme="minorEastAsia" w:eastAsiaTheme="minorEastAsia" w:cstheme="minorEastAsia"/>
                <w:color w:val="auto"/>
                <w:szCs w:val="21"/>
                <w:lang w:eastAsia="zh-CN"/>
              </w:rPr>
              <w:t>（核心产品）</w:t>
            </w:r>
            <w:r>
              <w:rPr>
                <w:rFonts w:hint="eastAsia" w:asciiTheme="minorEastAsia" w:hAnsiTheme="minorEastAsia" w:eastAsiaTheme="minorEastAsia" w:cstheme="minorEastAsia"/>
                <w:bCs/>
                <w:color w:val="auto"/>
                <w:szCs w:val="21"/>
              </w:rPr>
              <w:t>的品牌、规格型号和制造商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交货期</w:t>
            </w:r>
          </w:p>
        </w:tc>
        <w:tc>
          <w:tcPr>
            <w:tcW w:w="6166" w:type="dxa"/>
            <w:tcBorders>
              <w:top w:val="single" w:color="auto" w:sz="4" w:space="0"/>
              <w:left w:val="single" w:color="auto" w:sz="4" w:space="0"/>
              <w:bottom w:val="single" w:color="auto" w:sz="4" w:space="0"/>
              <w:right w:val="single" w:color="auto" w:sz="4" w:space="0"/>
            </w:tcBorders>
            <w:vAlign w:val="center"/>
          </w:tcPr>
          <w:p>
            <w:pPr>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质保期/保修期</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优惠声明</w:t>
            </w:r>
          </w:p>
        </w:tc>
        <w:tc>
          <w:tcPr>
            <w:tcW w:w="6166" w:type="dxa"/>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eastAsiaTheme="minorEastAsia" w:cstheme="minorEastAsia"/>
                <w:szCs w:val="21"/>
              </w:rPr>
            </w:pP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 xml:space="preserve">有；      </w:t>
            </w:r>
            <w:r>
              <w:rPr>
                <w:rFonts w:asciiTheme="minorEastAsia" w:hAnsiTheme="minorEastAsia" w:eastAsiaTheme="minorEastAsia" w:cstheme="minorEastAsia"/>
                <w:szCs w:val="21"/>
              </w:rPr>
              <w:t>□</w:t>
            </w:r>
            <w:r>
              <w:rPr>
                <w:rFonts w:hint="eastAsia" w:asciiTheme="minorEastAsia" w:hAnsiTheme="minorEastAsia" w:eastAsiaTheme="minorEastAsia" w:cstheme="minorEastAsia"/>
                <w:szCs w:val="21"/>
              </w:rPr>
              <w:t>无；</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3" w:hRule="atLeast"/>
        </w:trPr>
        <w:tc>
          <w:tcPr>
            <w:tcW w:w="2418" w:type="dxa"/>
            <w:tcBorders>
              <w:top w:val="single" w:color="auto" w:sz="4" w:space="0"/>
              <w:left w:val="single" w:color="auto" w:sz="4" w:space="0"/>
              <w:bottom w:val="single" w:color="auto" w:sz="4" w:space="0"/>
              <w:right w:val="single" w:color="auto" w:sz="4" w:space="0"/>
            </w:tcBorders>
            <w:vAlign w:val="center"/>
          </w:tcPr>
          <w:p>
            <w:r>
              <w:rPr>
                <w:rFonts w:hint="eastAsia" w:asciiTheme="minorEastAsia" w:hAnsiTheme="minorEastAsia" w:eastAsiaTheme="minorEastAsia" w:cstheme="minorEastAsia"/>
                <w:szCs w:val="21"/>
              </w:rPr>
              <w:t>备注</w:t>
            </w:r>
          </w:p>
        </w:tc>
        <w:tc>
          <w:tcPr>
            <w:tcW w:w="6166" w:type="dxa"/>
            <w:tcBorders>
              <w:top w:val="single" w:color="auto" w:sz="4" w:space="0"/>
              <w:left w:val="single" w:color="auto" w:sz="4" w:space="0"/>
              <w:bottom w:val="single" w:color="auto" w:sz="4" w:space="0"/>
              <w:right w:val="single" w:color="auto" w:sz="4" w:space="0"/>
            </w:tcBorders>
            <w:vAlign w:val="center"/>
          </w:tcPr>
          <w:p>
            <w:pPr>
              <w:pStyle w:val="8"/>
            </w:pPr>
            <w:r>
              <w:rPr>
                <w:rFonts w:hint="eastAsia" w:asciiTheme="minorEastAsia" w:hAnsiTheme="minorEastAsia" w:eastAsiaTheme="minorEastAsia" w:cstheme="minorEastAsia"/>
                <w:szCs w:val="21"/>
              </w:rPr>
              <w:t>如有优惠声明，</w:t>
            </w:r>
            <w:r>
              <w:rPr>
                <w:rFonts w:asciiTheme="minorEastAsia" w:hAnsiTheme="minorEastAsia" w:eastAsiaTheme="minorEastAsia" w:cstheme="minorEastAsia"/>
                <w:szCs w:val="21"/>
              </w:rPr>
              <w:t>优惠声明</w:t>
            </w:r>
            <w:r>
              <w:rPr>
                <w:rFonts w:hint="eastAsia" w:asciiTheme="minorEastAsia" w:hAnsiTheme="minorEastAsia" w:eastAsiaTheme="minorEastAsia" w:cstheme="minorEastAsia"/>
                <w:szCs w:val="21"/>
              </w:rPr>
              <w:t>后的价格必须与竞标报价一致。</w:t>
            </w:r>
          </w:p>
        </w:tc>
      </w:tr>
    </w:tbl>
    <w:p>
      <w:pPr>
        <w:spacing w:line="360" w:lineRule="auto"/>
        <w:ind w:firstLine="525" w:firstLineChars="25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r>
        <w:rPr>
          <w:rFonts w:hint="eastAsia" w:asciiTheme="minorEastAsia" w:hAnsiTheme="minorEastAsia" w:eastAsiaTheme="minorEastAsia" w:cstheme="minorEastAsia"/>
          <w:bCs/>
          <w:szCs w:val="21"/>
        </w:rPr>
        <w:t>：</w:t>
      </w:r>
      <w:r>
        <w:rPr>
          <w:rFonts w:hint="eastAsia" w:asciiTheme="minorEastAsia" w:hAnsiTheme="minorEastAsia" w:eastAsiaTheme="minorEastAsia" w:cstheme="minorEastAsia"/>
          <w:szCs w:val="21"/>
        </w:rPr>
        <w:t>价格应按照“供应商须知” 的要求报价。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szCs w:val="21"/>
          <w:u w:val="single"/>
        </w:rPr>
      </w:pPr>
      <w:bookmarkStart w:id="157" w:name="_Toc460258117"/>
      <w:bookmarkStart w:id="158" w:name="_Toc259028723"/>
      <w:bookmarkStart w:id="159" w:name="_Toc424832831"/>
      <w:bookmarkStart w:id="160" w:name="_Toc432149007"/>
      <w:r>
        <w:rPr>
          <w:rFonts w:hint="eastAsia" w:asciiTheme="minorEastAsia" w:hAnsiTheme="minorEastAsia" w:eastAsiaTheme="minorEastAsia" w:cstheme="minorEastAsia"/>
          <w:b/>
          <w:bCs/>
          <w:sz w:val="24"/>
        </w:rPr>
        <w:br w:type="page"/>
      </w:r>
      <w:bookmarkStart w:id="161" w:name="_Toc479184129"/>
      <w:bookmarkStart w:id="162" w:name="_Toc1079"/>
      <w:bookmarkStart w:id="163" w:name="_Toc18559"/>
      <w:bookmarkStart w:id="164" w:name="_Toc1634"/>
      <w:r>
        <w:rPr>
          <w:rFonts w:hint="eastAsia" w:asciiTheme="minorEastAsia" w:hAnsiTheme="minorEastAsia" w:eastAsiaTheme="minorEastAsia" w:cstheme="minorEastAsia"/>
          <w:b/>
          <w:bCs/>
          <w:szCs w:val="21"/>
        </w:rPr>
        <w:t>六、</w:t>
      </w:r>
      <w:bookmarkEnd w:id="157"/>
      <w:bookmarkEnd w:id="158"/>
      <w:bookmarkEnd w:id="161"/>
      <w:bookmarkEnd w:id="162"/>
      <w:bookmarkEnd w:id="163"/>
      <w:r>
        <w:rPr>
          <w:rFonts w:hint="eastAsia" w:asciiTheme="minorEastAsia" w:hAnsiTheme="minorEastAsia" w:eastAsiaTheme="minorEastAsia" w:cstheme="minorEastAsia"/>
          <w:b/>
          <w:bCs/>
          <w:szCs w:val="21"/>
        </w:rPr>
        <w:t>报价费用构成表</w:t>
      </w:r>
      <w:bookmarkEnd w:id="164"/>
    </w:p>
    <w:p>
      <w:pPr>
        <w:adjustRightInd w:val="0"/>
        <w:snapToGrid w:val="0"/>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项目名称：</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78"/>
        <w:gridCol w:w="1875"/>
        <w:gridCol w:w="1428"/>
        <w:gridCol w:w="741"/>
        <w:gridCol w:w="828"/>
        <w:gridCol w:w="736"/>
        <w:gridCol w:w="727"/>
        <w:gridCol w:w="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名称</w:t>
            </w:r>
          </w:p>
        </w:tc>
        <w:tc>
          <w:tcPr>
            <w:tcW w:w="1875"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规格型号（如有）</w:t>
            </w:r>
          </w:p>
        </w:tc>
        <w:tc>
          <w:tcPr>
            <w:tcW w:w="14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制造商名称（如有）</w:t>
            </w:r>
          </w:p>
        </w:tc>
        <w:tc>
          <w:tcPr>
            <w:tcW w:w="741"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产地</w:t>
            </w:r>
          </w:p>
        </w:tc>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736"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w:t>
            </w:r>
          </w:p>
        </w:tc>
        <w:tc>
          <w:tcPr>
            <w:tcW w:w="727"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w:t>
            </w:r>
          </w:p>
        </w:tc>
        <w:tc>
          <w:tcPr>
            <w:tcW w:w="719"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1378" w:type="dxa"/>
            <w:vAlign w:val="center"/>
          </w:tcPr>
          <w:p>
            <w:pPr>
              <w:adjustRightInd w:val="0"/>
              <w:snapToGrid w:val="0"/>
              <w:jc w:val="center"/>
              <w:rPr>
                <w:rFonts w:asciiTheme="minorEastAsia" w:hAnsiTheme="minorEastAsia" w:eastAsiaTheme="minorEastAsia" w:cstheme="minorEastAsia"/>
                <w:szCs w:val="21"/>
              </w:rPr>
            </w:pP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2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78" w:type="dxa"/>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875" w:type="dxa"/>
            <w:vAlign w:val="center"/>
          </w:tcPr>
          <w:p>
            <w:pPr>
              <w:adjustRightInd w:val="0"/>
              <w:snapToGrid w:val="0"/>
              <w:jc w:val="center"/>
              <w:rPr>
                <w:rFonts w:asciiTheme="minorEastAsia" w:hAnsiTheme="minorEastAsia" w:eastAsiaTheme="minorEastAsia" w:cstheme="minorEastAsia"/>
                <w:szCs w:val="21"/>
              </w:rPr>
            </w:pPr>
          </w:p>
        </w:tc>
        <w:tc>
          <w:tcPr>
            <w:tcW w:w="1428" w:type="dxa"/>
            <w:vAlign w:val="center"/>
          </w:tcPr>
          <w:p>
            <w:pPr>
              <w:adjustRightInd w:val="0"/>
              <w:snapToGrid w:val="0"/>
              <w:jc w:val="center"/>
              <w:rPr>
                <w:rFonts w:asciiTheme="minorEastAsia" w:hAnsiTheme="minorEastAsia" w:eastAsiaTheme="minorEastAsia" w:cstheme="minorEastAsia"/>
                <w:szCs w:val="21"/>
              </w:rPr>
            </w:pP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509" w:type="dxa"/>
            <w:gridSpan w:val="4"/>
            <w:vAlign w:val="center"/>
          </w:tcPr>
          <w:p>
            <w:pPr>
              <w:adjustRightInd w:val="0"/>
              <w:snapToGrid w:val="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总计</w:t>
            </w:r>
          </w:p>
        </w:tc>
        <w:tc>
          <w:tcPr>
            <w:tcW w:w="741" w:type="dxa"/>
            <w:vAlign w:val="center"/>
          </w:tcPr>
          <w:p>
            <w:pPr>
              <w:adjustRightInd w:val="0"/>
              <w:snapToGrid w:val="0"/>
              <w:jc w:val="center"/>
              <w:rPr>
                <w:rFonts w:asciiTheme="minorEastAsia" w:hAnsiTheme="minorEastAsia" w:eastAsiaTheme="minorEastAsia" w:cstheme="minorEastAsia"/>
                <w:szCs w:val="21"/>
              </w:rPr>
            </w:pPr>
          </w:p>
        </w:tc>
        <w:tc>
          <w:tcPr>
            <w:tcW w:w="828" w:type="dxa"/>
            <w:vAlign w:val="center"/>
          </w:tcPr>
          <w:p>
            <w:pPr>
              <w:adjustRightInd w:val="0"/>
              <w:snapToGrid w:val="0"/>
              <w:jc w:val="center"/>
              <w:rPr>
                <w:rFonts w:asciiTheme="minorEastAsia" w:hAnsiTheme="minorEastAsia" w:eastAsiaTheme="minorEastAsia" w:cstheme="minorEastAsia"/>
                <w:szCs w:val="21"/>
              </w:rPr>
            </w:pPr>
          </w:p>
        </w:tc>
        <w:tc>
          <w:tcPr>
            <w:tcW w:w="736" w:type="dxa"/>
            <w:vAlign w:val="center"/>
          </w:tcPr>
          <w:p>
            <w:pPr>
              <w:adjustRightInd w:val="0"/>
              <w:snapToGrid w:val="0"/>
              <w:jc w:val="center"/>
              <w:rPr>
                <w:rFonts w:asciiTheme="minorEastAsia" w:hAnsiTheme="minorEastAsia" w:eastAsiaTheme="minorEastAsia" w:cstheme="minorEastAsia"/>
                <w:szCs w:val="21"/>
              </w:rPr>
            </w:pPr>
          </w:p>
        </w:tc>
        <w:tc>
          <w:tcPr>
            <w:tcW w:w="727" w:type="dxa"/>
            <w:vAlign w:val="center"/>
          </w:tcPr>
          <w:p>
            <w:pPr>
              <w:adjustRightInd w:val="0"/>
              <w:snapToGrid w:val="0"/>
              <w:jc w:val="center"/>
              <w:rPr>
                <w:rFonts w:asciiTheme="minorEastAsia" w:hAnsiTheme="minorEastAsia" w:eastAsiaTheme="minorEastAsia" w:cstheme="minorEastAsia"/>
                <w:szCs w:val="21"/>
              </w:rPr>
            </w:pPr>
          </w:p>
        </w:tc>
        <w:tc>
          <w:tcPr>
            <w:tcW w:w="719" w:type="dxa"/>
            <w:vAlign w:val="center"/>
          </w:tcPr>
          <w:p>
            <w:pPr>
              <w:adjustRightInd w:val="0"/>
              <w:snapToGrid w:val="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所有价格按照“供应商须知”要求执行。</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分项报价总计价格必须与《报价一览表》报价一致。</w:t>
      </w:r>
    </w:p>
    <w:p>
      <w:pPr>
        <w:numPr>
          <w:ilvl w:val="0"/>
          <w:numId w:val="40"/>
        </w:num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如果不提供详细的报价费用构成可能将被视为没有实质性响应磋商文件。</w:t>
      </w:r>
    </w:p>
    <w:p>
      <w:pPr>
        <w:numPr>
          <w:ilvl w:val="0"/>
          <w:numId w:val="40"/>
        </w:numPr>
        <w:adjustRightInd w:val="0"/>
        <w:snapToGrid w:val="0"/>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针对产地一栏，请供应商熟读《政府采购进口产品管理办法》，如实慎重填写；</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4.1国产设备请填写“中国”，国内生产的国外品牌请填写“中国”；</w:t>
      </w:r>
      <w:r>
        <w:rPr>
          <w:rFonts w:hint="eastAsia" w:asciiTheme="minorEastAsia" w:hAnsiTheme="minorEastAsia" w:eastAsiaTheme="minorEastAsia" w:cstheme="minorEastAsia"/>
          <w:b/>
          <w:bCs/>
          <w:szCs w:val="21"/>
        </w:rPr>
        <w:br w:type="textWrapping"/>
      </w:r>
      <w:r>
        <w:rPr>
          <w:rFonts w:hint="eastAsia" w:asciiTheme="minorEastAsia" w:hAnsiTheme="minorEastAsia" w:eastAsiaTheme="minorEastAsia" w:cstheme="minorEastAsia"/>
          <w:b/>
          <w:bCs/>
          <w:szCs w:val="21"/>
        </w:rPr>
        <w:t>4.2原装进口设备请填写具体生产国名称，如“美国”等，设备经过报关等手续才能供货的视同进口设备，产地请填写“进口”，并附相关说明或材料佐证其为进口设备；</w:t>
      </w:r>
    </w:p>
    <w:p>
      <w:pPr>
        <w:adjustRightInd w:val="0"/>
        <w:snapToGrid w:val="0"/>
        <w:spacing w:line="360" w:lineRule="auto"/>
        <w:ind w:left="-88" w:leftChars="-42"/>
        <w:rPr>
          <w:rFonts w:asciiTheme="minorEastAsia" w:hAnsiTheme="minorEastAsia" w:eastAsiaTheme="minorEastAsia" w:cstheme="minorEastAsia"/>
          <w:b/>
          <w:bCs/>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spacing w:line="360" w:lineRule="auto"/>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5" w:name="_Toc4378"/>
      <w:bookmarkStart w:id="166" w:name="_Toc28656"/>
      <w:bookmarkStart w:id="167" w:name="_Toc479184130"/>
      <w:bookmarkStart w:id="168" w:name="_Toc26825"/>
      <w:r>
        <w:rPr>
          <w:rFonts w:hint="eastAsia" w:asciiTheme="minorEastAsia" w:hAnsiTheme="minorEastAsia" w:eastAsiaTheme="minorEastAsia" w:cstheme="minorEastAsia"/>
          <w:b/>
          <w:bCs/>
          <w:szCs w:val="21"/>
        </w:rPr>
        <w:t>七、耗材清单</w:t>
      </w:r>
      <w:bookmarkEnd w:id="165"/>
      <w:bookmarkEnd w:id="166"/>
      <w:bookmarkEnd w:id="167"/>
      <w:bookmarkEnd w:id="168"/>
    </w:p>
    <w:p>
      <w:pPr>
        <w:adjustRightInd w:val="0"/>
        <w:snapToGrid w:val="0"/>
        <w:rPr>
          <w:rFonts w:asciiTheme="minorEastAsia" w:hAnsiTheme="minorEastAsia" w:eastAsiaTheme="minorEastAsia" w:cstheme="minorEastAsia"/>
          <w:b/>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耗材名称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
      <w:pPr>
        <w:tabs>
          <w:tab w:val="left" w:pos="540"/>
        </w:tabs>
        <w:autoSpaceDE w:val="0"/>
        <w:autoSpaceDN w:val="0"/>
        <w:adjustRightInd w:val="0"/>
        <w:spacing w:line="360" w:lineRule="auto"/>
        <w:jc w:val="left"/>
        <w:rPr>
          <w:rFonts w:asciiTheme="minorEastAsia" w:hAnsiTheme="minorEastAsia" w:eastAsiaTheme="minorEastAsia" w:cstheme="minorEastAsia"/>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69" w:name="_Toc7535"/>
      <w:bookmarkStart w:id="170" w:name="_Toc479184131"/>
      <w:bookmarkStart w:id="171" w:name="_Toc32726"/>
      <w:bookmarkStart w:id="172" w:name="_Toc13703"/>
      <w:r>
        <w:rPr>
          <w:rFonts w:hint="eastAsia" w:asciiTheme="minorEastAsia" w:hAnsiTheme="minorEastAsia" w:eastAsiaTheme="minorEastAsia" w:cstheme="minorEastAsia"/>
          <w:b/>
          <w:bCs/>
          <w:szCs w:val="21"/>
        </w:rPr>
        <w:t>八、拟投入设备/备件、工具情况</w:t>
      </w:r>
      <w:bookmarkEnd w:id="169"/>
      <w:bookmarkEnd w:id="170"/>
      <w:bookmarkEnd w:id="171"/>
      <w:bookmarkEnd w:id="172"/>
    </w:p>
    <w:p>
      <w:pPr>
        <w:spacing w:line="360" w:lineRule="auto"/>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2295"/>
        <w:gridCol w:w="1512"/>
        <w:gridCol w:w="1512"/>
        <w:gridCol w:w="1513"/>
        <w:gridCol w:w="709"/>
        <w:gridCol w:w="9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295"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设备</w:t>
            </w:r>
            <w:r>
              <w:rPr>
                <w:rFonts w:hint="eastAsia" w:asciiTheme="minorEastAsia" w:hAnsiTheme="minorEastAsia" w:eastAsiaTheme="minorEastAsia" w:cstheme="minorEastAsia"/>
                <w:b/>
                <w:bCs/>
                <w:szCs w:val="21"/>
              </w:rPr>
              <w:t>/备件</w:t>
            </w:r>
            <w:r>
              <w:rPr>
                <w:rFonts w:hint="eastAsia" w:asciiTheme="minorEastAsia" w:hAnsiTheme="minorEastAsia" w:eastAsiaTheme="minorEastAsia" w:cstheme="minorEastAsia"/>
                <w:b/>
                <w:szCs w:val="21"/>
              </w:rPr>
              <w:t>名称</w:t>
            </w:r>
          </w:p>
        </w:tc>
        <w:tc>
          <w:tcPr>
            <w:tcW w:w="1512"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规格型号</w:t>
            </w:r>
          </w:p>
        </w:tc>
        <w:tc>
          <w:tcPr>
            <w:tcW w:w="1512"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制造商名称</w:t>
            </w:r>
          </w:p>
        </w:tc>
        <w:tc>
          <w:tcPr>
            <w:tcW w:w="1513" w:type="dxa"/>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产地</w:t>
            </w:r>
          </w:p>
        </w:tc>
        <w:tc>
          <w:tcPr>
            <w:tcW w:w="709"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数量</w:t>
            </w:r>
          </w:p>
        </w:tc>
        <w:tc>
          <w:tcPr>
            <w:tcW w:w="958" w:type="dxa"/>
            <w:vAlign w:val="center"/>
          </w:tcPr>
          <w:p>
            <w:pPr>
              <w:widowControl/>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left"/>
              <w:rPr>
                <w:rFonts w:asciiTheme="minorEastAsia" w:hAnsiTheme="minorEastAsia" w:eastAsiaTheme="minorEastAsia" w:cstheme="minorEastAsia"/>
                <w:kern w:val="0"/>
                <w:szCs w:val="21"/>
              </w:rPr>
            </w:pPr>
          </w:p>
        </w:tc>
        <w:tc>
          <w:tcPr>
            <w:tcW w:w="1512" w:type="dxa"/>
          </w:tcPr>
          <w:p>
            <w:pPr>
              <w:widowControl/>
              <w:jc w:val="center"/>
              <w:rPr>
                <w:rFonts w:asciiTheme="minorEastAsia" w:hAnsiTheme="minorEastAsia" w:eastAsiaTheme="minorEastAsia" w:cstheme="minorEastAsia"/>
                <w:szCs w:val="21"/>
              </w:rPr>
            </w:pPr>
          </w:p>
        </w:tc>
        <w:tc>
          <w:tcPr>
            <w:tcW w:w="1513" w:type="dxa"/>
          </w:tcPr>
          <w:p>
            <w:pPr>
              <w:widowControl/>
              <w:jc w:val="center"/>
              <w:rPr>
                <w:rFonts w:asciiTheme="minorEastAsia" w:hAnsiTheme="minorEastAsia" w:eastAsiaTheme="minorEastAsia" w:cstheme="minorEastAsia"/>
                <w:szCs w:val="21"/>
              </w:rPr>
            </w:pPr>
          </w:p>
        </w:tc>
        <w:tc>
          <w:tcPr>
            <w:tcW w:w="709" w:type="dxa"/>
            <w:vAlign w:val="center"/>
          </w:tcPr>
          <w:p>
            <w:pPr>
              <w:widowControl/>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10</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11</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12</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89" w:type="dxa"/>
            <w:vAlign w:val="center"/>
          </w:tcPr>
          <w:p>
            <w:pPr>
              <w:widowControl/>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295" w:type="dxa"/>
            <w:vAlign w:val="center"/>
          </w:tcPr>
          <w:p>
            <w:pPr>
              <w:widowControl/>
              <w:jc w:val="center"/>
              <w:rPr>
                <w:rFonts w:asciiTheme="minorEastAsia" w:hAnsiTheme="minorEastAsia" w:eastAsiaTheme="minorEastAsia" w:cstheme="minorEastAsia"/>
                <w:szCs w:val="21"/>
              </w:rPr>
            </w:pPr>
          </w:p>
        </w:tc>
        <w:tc>
          <w:tcPr>
            <w:tcW w:w="1512" w:type="dxa"/>
            <w:vAlign w:val="center"/>
          </w:tcPr>
          <w:p>
            <w:pPr>
              <w:widowControl/>
              <w:jc w:val="center"/>
              <w:rPr>
                <w:rFonts w:asciiTheme="minorEastAsia" w:hAnsiTheme="minorEastAsia" w:eastAsiaTheme="minorEastAsia" w:cstheme="minorEastAsia"/>
                <w:szCs w:val="21"/>
              </w:rPr>
            </w:pPr>
          </w:p>
        </w:tc>
        <w:tc>
          <w:tcPr>
            <w:tcW w:w="1512" w:type="dxa"/>
          </w:tcPr>
          <w:p>
            <w:pPr>
              <w:jc w:val="center"/>
              <w:rPr>
                <w:rFonts w:asciiTheme="minorEastAsia" w:hAnsiTheme="minorEastAsia" w:eastAsiaTheme="minorEastAsia" w:cstheme="minorEastAsia"/>
                <w:szCs w:val="21"/>
              </w:rPr>
            </w:pPr>
          </w:p>
        </w:tc>
        <w:tc>
          <w:tcPr>
            <w:tcW w:w="1513" w:type="dxa"/>
          </w:tcPr>
          <w:p>
            <w:pPr>
              <w:jc w:val="center"/>
              <w:rPr>
                <w:rFonts w:asciiTheme="minorEastAsia" w:hAnsiTheme="minorEastAsia" w:eastAsiaTheme="minorEastAsia" w:cstheme="minorEastAsia"/>
                <w:szCs w:val="21"/>
              </w:rPr>
            </w:pPr>
          </w:p>
        </w:tc>
        <w:tc>
          <w:tcPr>
            <w:tcW w:w="709" w:type="dxa"/>
            <w:vAlign w:val="center"/>
          </w:tcPr>
          <w:p>
            <w:pPr>
              <w:jc w:val="center"/>
              <w:rPr>
                <w:rFonts w:asciiTheme="minorEastAsia" w:hAnsiTheme="minorEastAsia" w:eastAsiaTheme="minorEastAsia" w:cstheme="minorEastAsia"/>
                <w:szCs w:val="21"/>
              </w:rPr>
            </w:pPr>
          </w:p>
        </w:tc>
        <w:tc>
          <w:tcPr>
            <w:tcW w:w="958" w:type="dxa"/>
            <w:vAlign w:val="center"/>
          </w:tcPr>
          <w:p>
            <w:pPr>
              <w:widowControl/>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p>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时                 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szCs w:val="21"/>
        </w:rPr>
        <w:br w:type="page"/>
      </w:r>
      <w:bookmarkStart w:id="173" w:name="_Toc27053"/>
      <w:bookmarkStart w:id="174" w:name="_Toc10449"/>
      <w:bookmarkStart w:id="175" w:name="_Toc450827818"/>
      <w:bookmarkStart w:id="176" w:name="_Toc479184132"/>
      <w:bookmarkStart w:id="177" w:name="_Toc19061"/>
      <w:r>
        <w:rPr>
          <w:rFonts w:hint="eastAsia" w:asciiTheme="minorEastAsia" w:hAnsiTheme="minorEastAsia" w:eastAsiaTheme="minorEastAsia" w:cstheme="minorEastAsia"/>
          <w:b/>
          <w:bCs/>
          <w:szCs w:val="21"/>
        </w:rPr>
        <w:t>九、缴纳保证金的银行凭证</w:t>
      </w:r>
      <w:bookmarkEnd w:id="173"/>
      <w:bookmarkEnd w:id="174"/>
      <w:bookmarkEnd w:id="175"/>
      <w:bookmarkEnd w:id="176"/>
      <w:r>
        <w:rPr>
          <w:rFonts w:hint="eastAsia" w:asciiTheme="minorEastAsia" w:hAnsiTheme="minorEastAsia" w:eastAsiaTheme="minorEastAsia" w:cstheme="minorEastAsia"/>
          <w:b/>
          <w:bCs/>
          <w:szCs w:val="21"/>
        </w:rPr>
        <w:t>（如有）</w:t>
      </w:r>
      <w:bookmarkEnd w:id="177"/>
    </w:p>
    <w:p>
      <w:pPr>
        <w:spacing w:line="360" w:lineRule="auto"/>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r>
        <w:rPr>
          <w:rFonts w:hint="eastAsia" w:asciiTheme="minorEastAsia" w:hAnsiTheme="minorEastAsia" w:eastAsiaTheme="minorEastAsia" w:cstheme="minorEastAsia"/>
          <w:bCs/>
          <w:szCs w:val="21"/>
        </w:rPr>
        <w:tab/>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中经国际招标集团有限公司：</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t xml:space="preserve">                       (供应商全称)</w:t>
      </w:r>
      <w:r>
        <w:rPr>
          <w:rFonts w:hint="eastAsia" w:asciiTheme="minorEastAsia" w:hAnsiTheme="minorEastAsia" w:eastAsiaTheme="minorEastAsia" w:cstheme="minorEastAsia"/>
          <w:bCs/>
          <w:szCs w:val="21"/>
        </w:rPr>
        <w:t xml:space="preserve"> 参加贵方组织的，采购编号为的采购活动。</w:t>
      </w:r>
      <w:r>
        <w:rPr>
          <w:rFonts w:hint="eastAsia" w:asciiTheme="minorEastAsia" w:hAnsiTheme="minorEastAsia" w:eastAsiaTheme="minorEastAsia" w:cstheme="minorEastAsia"/>
          <w:szCs w:val="21"/>
        </w:rPr>
        <w:t>按竞争性磋商文件的规定，已递交人民币</w:t>
      </w:r>
      <w:r>
        <w:rPr>
          <w:rFonts w:hint="eastAsia" w:asciiTheme="minorEastAsia" w:hAnsiTheme="minorEastAsia" w:eastAsiaTheme="minorEastAsia" w:cstheme="minorEastAsia"/>
          <w:szCs w:val="21"/>
          <w:u w:val="single"/>
        </w:rPr>
        <w:t xml:space="preserve">（大写）  　　 </w:t>
      </w:r>
      <w:r>
        <w:rPr>
          <w:rFonts w:hint="eastAsia" w:asciiTheme="minorEastAsia" w:hAnsiTheme="minorEastAsia" w:eastAsiaTheme="minorEastAsia" w:cstheme="minorEastAsia"/>
          <w:szCs w:val="21"/>
        </w:rPr>
        <w:t xml:space="preserve"> 元的保证金。</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 应 商 名 称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供应商开户银行：</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供应商银行账号：</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磋商供应商法定代表人（签字）：</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磋商供应商名称（盖章）：</w:t>
      </w:r>
    </w:p>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时                 间：年月日</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bl>
      <w:tblPr>
        <w:tblStyle w:val="26"/>
        <w:tblW w:w="88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87" w:hRule="atLeast"/>
        </w:trPr>
        <w:tc>
          <w:tcPr>
            <w:tcW w:w="8820" w:type="dxa"/>
          </w:tcPr>
          <w:p>
            <w:pPr>
              <w:spacing w:line="360" w:lineRule="auto"/>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粘贴转账或电汇银行凭证（复印件）</w:t>
            </w: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bCs/>
                <w:szCs w:val="21"/>
              </w:rPr>
            </w:pPr>
          </w:p>
        </w:tc>
      </w:tr>
    </w:tbl>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注： 请供应商认真填写银行信息，并要求与粘贴转账或电汇银行凭证的相关信息一致，采购代理机构将依据此凭证信息退还保证金。</w:t>
      </w:r>
    </w:p>
    <w:bookmarkEnd w:id="159"/>
    <w:bookmarkEnd w:id="160"/>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78" w:name="_Toc28200"/>
      <w:bookmarkStart w:id="179" w:name="_Toc432149012"/>
      <w:bookmarkStart w:id="180" w:name="_Toc479184133"/>
      <w:bookmarkStart w:id="181" w:name="_Toc422466736"/>
      <w:bookmarkStart w:id="182" w:name="_Toc21818"/>
      <w:bookmarkStart w:id="183" w:name="_Toc1591"/>
      <w:r>
        <w:rPr>
          <w:rFonts w:hint="eastAsia" w:asciiTheme="minorEastAsia" w:hAnsiTheme="minorEastAsia" w:eastAsiaTheme="minorEastAsia" w:cstheme="minorEastAsia"/>
          <w:b/>
          <w:bCs/>
          <w:szCs w:val="21"/>
        </w:rPr>
        <w:t>十、偏离说明表</w:t>
      </w:r>
      <w:bookmarkEnd w:id="178"/>
      <w:bookmarkEnd w:id="179"/>
      <w:bookmarkEnd w:id="180"/>
      <w:bookmarkEnd w:id="181"/>
      <w:bookmarkEnd w:id="182"/>
      <w:bookmarkEnd w:id="183"/>
    </w:p>
    <w:p>
      <w:pPr>
        <w:adjustRightInd w:val="0"/>
        <w:snapToGrid w:val="0"/>
        <w:rPr>
          <w:rFonts w:asciiTheme="minorEastAsia" w:hAnsiTheme="minorEastAsia" w:eastAsiaTheme="minorEastAsia" w:cstheme="minorEastAsia"/>
          <w:szCs w:val="21"/>
        </w:rPr>
      </w:pPr>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2874"/>
        <w:gridCol w:w="3449"/>
        <w:gridCol w:w="1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序号</w:t>
            </w:r>
          </w:p>
        </w:tc>
        <w:tc>
          <w:tcPr>
            <w:tcW w:w="2874"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采购需求</w:t>
            </w:r>
          </w:p>
        </w:tc>
        <w:tc>
          <w:tcPr>
            <w:tcW w:w="3449"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报价响应</w:t>
            </w:r>
          </w:p>
        </w:tc>
        <w:tc>
          <w:tcPr>
            <w:tcW w:w="1675" w:type="dxa"/>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技术需求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商务需求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C0C0C0"/>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资格性要求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9071" w:type="dxa"/>
            <w:gridSpan w:val="4"/>
            <w:shd w:val="clear" w:color="auto" w:fill="D7D7D7" w:themeFill="background1" w:themeFillShade="D8"/>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b/>
                <w:szCs w:val="21"/>
                <w:shd w:val="clear" w:color="auto" w:fill="D7D7D7" w:themeFill="background1" w:themeFillShade="D8"/>
              </w:rPr>
              <w:t>符合性要求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 w:hRule="atLeast"/>
          <w:jc w:val="center"/>
        </w:trPr>
        <w:tc>
          <w:tcPr>
            <w:tcW w:w="1073"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287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344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675"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供应商应对竞争性磋商采购文件的各项要求，逐条说明竞争性磋商响应文件做出的实质性响应，并申明竞争性磋商响应文件的偏离和例外。优于竞争性磋商采购文件要求的为正偏离，不满足的为负偏离。</w:t>
      </w:r>
    </w:p>
    <w:p>
      <w:pPr>
        <w:numPr>
          <w:ilvl w:val="7"/>
          <w:numId w:val="41"/>
        </w:numPr>
        <w:tabs>
          <w:tab w:val="left" w:pos="540"/>
        </w:tabs>
        <w:adjustRightInd w:val="0"/>
        <w:snapToGrid w:val="0"/>
        <w:ind w:left="540" w:hanging="540"/>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对有具体参数要求的指标，磋商供应商必须提供所投产品的具体参数值。如果仅注明“符合”，“满足”或简单复制竞争性磋商采购文件要求，将可能导致报价被拒绝。</w:t>
      </w:r>
    </w:p>
    <w:p>
      <w:pPr>
        <w:adjustRightInd w:val="0"/>
        <w:snapToGrid w:val="0"/>
        <w:ind w:firstLine="420"/>
        <w:rPr>
          <w:rFonts w:asciiTheme="minorEastAsia" w:hAnsiTheme="minorEastAsia" w:eastAsiaTheme="minorEastAsia" w:cstheme="minorEastAsia"/>
          <w:szCs w:val="21"/>
        </w:rPr>
      </w:pPr>
    </w:p>
    <w:p>
      <w:pPr>
        <w:adjustRightInd w:val="0"/>
        <w:snapToGrid w:val="0"/>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rPr>
          <w:rFonts w:asciiTheme="minorEastAsia" w:hAnsiTheme="minorEastAsia" w:eastAsiaTheme="minorEastAsia" w:cstheme="minorEastAsia"/>
          <w:b/>
          <w:kern w:val="0"/>
          <w:szCs w:val="21"/>
        </w:rPr>
      </w:pP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kern w:val="0"/>
          <w:szCs w:val="21"/>
        </w:rPr>
        <w:br w:type="page"/>
      </w:r>
      <w:bookmarkStart w:id="184" w:name="_Toc28283"/>
      <w:bookmarkStart w:id="185" w:name="_Toc32060"/>
      <w:bookmarkStart w:id="186" w:name="_Toc362935521"/>
      <w:bookmarkStart w:id="187" w:name="_Toc432149013"/>
      <w:bookmarkStart w:id="188" w:name="_Toc479184134"/>
      <w:bookmarkStart w:id="189" w:name="_Toc10164"/>
      <w:r>
        <w:rPr>
          <w:rFonts w:hint="eastAsia" w:asciiTheme="minorEastAsia" w:hAnsiTheme="minorEastAsia" w:eastAsiaTheme="minorEastAsia" w:cstheme="minorEastAsia"/>
          <w:b/>
          <w:kern w:val="0"/>
          <w:szCs w:val="21"/>
        </w:rPr>
        <w:t>十一、</w:t>
      </w:r>
      <w:r>
        <w:rPr>
          <w:rFonts w:hint="eastAsia" w:asciiTheme="minorEastAsia" w:hAnsiTheme="minorEastAsia" w:eastAsiaTheme="minorEastAsia" w:cstheme="minorEastAsia"/>
          <w:b/>
          <w:bCs/>
          <w:szCs w:val="21"/>
        </w:rPr>
        <w:t>类似业绩一览表</w:t>
      </w:r>
      <w:bookmarkEnd w:id="184"/>
      <w:bookmarkEnd w:id="185"/>
      <w:bookmarkEnd w:id="186"/>
      <w:bookmarkEnd w:id="187"/>
      <w:bookmarkEnd w:id="188"/>
      <w:r>
        <w:rPr>
          <w:rFonts w:hint="eastAsia" w:asciiTheme="minorEastAsia" w:hAnsiTheme="minorEastAsia" w:eastAsiaTheme="minorEastAsia" w:cstheme="minorEastAsia"/>
          <w:b/>
          <w:bCs/>
          <w:szCs w:val="21"/>
        </w:rPr>
        <w:br w:type="textWrapping"/>
      </w:r>
      <w:bookmarkEnd w:id="189"/>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项目编号：</w:t>
      </w:r>
    </w:p>
    <w:tbl>
      <w:tblPr>
        <w:tblStyle w:val="26"/>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2"/>
        <w:gridCol w:w="1330"/>
        <w:gridCol w:w="771"/>
        <w:gridCol w:w="964"/>
        <w:gridCol w:w="768"/>
        <w:gridCol w:w="756"/>
        <w:gridCol w:w="1176"/>
        <w:gridCol w:w="1212"/>
        <w:gridCol w:w="1019"/>
        <w:gridCol w:w="5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序号</w:t>
            </w:r>
          </w:p>
        </w:tc>
        <w:tc>
          <w:tcPr>
            <w:tcW w:w="1330"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项目名称</w:t>
            </w:r>
          </w:p>
        </w:tc>
        <w:tc>
          <w:tcPr>
            <w:tcW w:w="771"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w:t>
            </w:r>
          </w:p>
        </w:tc>
        <w:tc>
          <w:tcPr>
            <w:tcW w:w="964"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spacing w:val="-6"/>
                <w:szCs w:val="21"/>
              </w:rPr>
              <w:t>合同签订</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t>时间</w:t>
            </w:r>
          </w:p>
        </w:tc>
        <w:tc>
          <w:tcPr>
            <w:tcW w:w="768"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合同金额</w:t>
            </w:r>
          </w:p>
        </w:tc>
        <w:tc>
          <w:tcPr>
            <w:tcW w:w="75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1176"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业主单位联系人及电话</w:t>
            </w:r>
          </w:p>
        </w:tc>
        <w:tc>
          <w:tcPr>
            <w:tcW w:w="121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中标公告网页链接（如有）</w:t>
            </w:r>
          </w:p>
        </w:tc>
        <w:tc>
          <w:tcPr>
            <w:tcW w:w="101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是否投</w:t>
            </w: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入使用</w:t>
            </w:r>
          </w:p>
        </w:tc>
        <w:tc>
          <w:tcPr>
            <w:tcW w:w="599"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642" w:type="dxa"/>
            <w:vAlign w:val="center"/>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30"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71"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964"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68"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75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176"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212"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101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c>
          <w:tcPr>
            <w:tcW w:w="599" w:type="dxa"/>
          </w:tcPr>
          <w:p>
            <w:pPr>
              <w:adjustRightInd w:val="0"/>
              <w:snapToGrid w:val="0"/>
              <w:spacing w:before="31" w:beforeLines="10" w:after="31" w:afterLines="10"/>
              <w:ind w:left="21" w:leftChars="10" w:right="21" w:rightChars="10"/>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1.附磋商供应商承担类似项目的情况填入本表中，提供业绩合同等评分标准要求的相关证明材料。 无证明材料的内容评审时将不予考虑。</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2.公开竞标成交的类似业绩，还应提供成交/中标公告网页链接。</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3.经查实存在虚假信息（服务单位联系人与实际不符或合同金额不符等）将被取消资格。</w:t>
      </w:r>
    </w:p>
    <w:p>
      <w:pPr>
        <w:spacing w:line="360" w:lineRule="auto"/>
        <w:rPr>
          <w:rFonts w:asciiTheme="minorEastAsia" w:hAnsiTheme="minorEastAsia" w:eastAsiaTheme="minorEastAsia" w:cstheme="minorEastAsia"/>
          <w:szCs w:val="21"/>
        </w:rPr>
      </w:pPr>
      <w:bookmarkStart w:id="190" w:name="_Toc460258118"/>
      <w:bookmarkStart w:id="191" w:name="_Toc454806053"/>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b/>
          <w:bCs/>
          <w:sz w:val="24"/>
        </w:rPr>
        <w:br w:type="textWrapping"/>
      </w: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 w:val="24"/>
        </w:rPr>
        <w:br w:type="page"/>
      </w:r>
      <w:bookmarkStart w:id="192" w:name="_Toc10652"/>
      <w:bookmarkStart w:id="193" w:name="_Toc4834"/>
      <w:bookmarkStart w:id="194" w:name="_Toc479184135"/>
      <w:bookmarkStart w:id="195" w:name="_Toc30455"/>
      <w:r>
        <w:rPr>
          <w:rFonts w:hint="eastAsia" w:asciiTheme="minorEastAsia" w:hAnsiTheme="minorEastAsia" w:eastAsiaTheme="minorEastAsia" w:cstheme="minorEastAsia"/>
          <w:b/>
          <w:bCs/>
          <w:szCs w:val="21"/>
        </w:rPr>
        <w:t>十二、拟投入项目组人员一览表</w:t>
      </w:r>
      <w:bookmarkEnd w:id="190"/>
      <w:bookmarkEnd w:id="191"/>
      <w:bookmarkEnd w:id="192"/>
      <w:bookmarkEnd w:id="193"/>
      <w:bookmarkEnd w:id="194"/>
      <w:bookmarkEnd w:id="195"/>
    </w:p>
    <w:p>
      <w:pPr>
        <w:adjustRightInd w:val="0"/>
        <w:snapToGrid w:val="0"/>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adjustRightInd w:val="0"/>
        <w:snapToGrid w:val="0"/>
        <w:spacing w:line="360" w:lineRule="auto"/>
        <w:ind w:left="-181" w:leftChars="-86" w:firstLine="180" w:firstLineChars="86"/>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834"/>
        <w:gridCol w:w="2208"/>
        <w:gridCol w:w="850"/>
        <w:gridCol w:w="693"/>
        <w:gridCol w:w="877"/>
        <w:gridCol w:w="877"/>
        <w:gridCol w:w="1383"/>
        <w:gridCol w:w="7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姓名</w:t>
            </w: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在本项目中担当职位</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年龄</w:t>
            </w: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学历</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职务</w:t>
            </w: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职称</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从业经历</w:t>
            </w: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项目负责人</w:t>
            </w: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83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2208"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5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9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7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710"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说明：附拟投入项目组人员身份证、劳动合同、社保证明、</w:t>
      </w:r>
      <w:r>
        <w:rPr>
          <w:rFonts w:hint="eastAsia"/>
        </w:rPr>
        <w:t>职称证书、学历证书</w:t>
      </w:r>
      <w:r>
        <w:rPr>
          <w:rFonts w:hint="eastAsia" w:asciiTheme="minorEastAsia" w:hAnsiTheme="minorEastAsia" w:eastAsiaTheme="minorEastAsia" w:cstheme="minorEastAsia"/>
          <w:szCs w:val="21"/>
        </w:rPr>
        <w:t>等评分标准要求的其他相关证明材料。无证明材料的内容评审时将不予考虑。</w:t>
      </w:r>
    </w:p>
    <w:p>
      <w:pPr>
        <w:spacing w:line="360" w:lineRule="auto"/>
        <w:rPr>
          <w:rFonts w:asciiTheme="minorEastAsia" w:hAnsiTheme="minorEastAsia" w:eastAsiaTheme="minorEastAsia" w:cstheme="minorEastAsia"/>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kern w:val="0"/>
          <w:szCs w:val="21"/>
        </w:rPr>
        <w:br w:type="textWrapping"/>
      </w: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196" w:name="_Toc422466737"/>
      <w:bookmarkStart w:id="197" w:name="_Toc479184136"/>
      <w:bookmarkStart w:id="198" w:name="_Toc432149014"/>
      <w:bookmarkStart w:id="199" w:name="_Toc722"/>
      <w:bookmarkStart w:id="200" w:name="_Toc10429"/>
      <w:bookmarkStart w:id="201" w:name="_Toc26838"/>
      <w:r>
        <w:rPr>
          <w:rFonts w:hint="eastAsia" w:asciiTheme="minorEastAsia" w:hAnsiTheme="minorEastAsia" w:eastAsiaTheme="minorEastAsia" w:cstheme="minorEastAsia"/>
          <w:b/>
          <w:bCs/>
          <w:kern w:val="0"/>
          <w:szCs w:val="21"/>
        </w:rPr>
        <w:t>十三、</w:t>
      </w:r>
      <w:r>
        <w:rPr>
          <w:rFonts w:hint="eastAsia" w:asciiTheme="minorEastAsia" w:hAnsiTheme="minorEastAsia" w:eastAsiaTheme="minorEastAsia" w:cstheme="minorEastAsia"/>
          <w:b/>
          <w:bCs/>
          <w:szCs w:val="21"/>
        </w:rPr>
        <w:t>供应商的资格声明</w:t>
      </w:r>
      <w:bookmarkEnd w:id="196"/>
      <w:bookmarkEnd w:id="197"/>
      <w:bookmarkEnd w:id="198"/>
      <w:bookmarkEnd w:id="199"/>
      <w:bookmarkEnd w:id="200"/>
      <w:bookmarkEnd w:id="201"/>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1.名称及基本情况：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（1）供应商名称：</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（2）地址： 邮箱：</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电话： 传真：</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（3）成立或注册日期：</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（4）公司性质：</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（5）法定代表人或主要负责人：</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（6）员工人数：</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（7）注册资本：</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（8）实收资本：</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（9）上年末资产负债率：</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1）固定资产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   原值：   净值：</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2）流动资产：</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3）长期负债：</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4）短期负债：</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2．与报价服务内容有关的情况：</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（1）供应商提供此响应服务内容的经验（包括年限、项目业主、额定能力、商业运营的起始日期等）；</w:t>
      </w: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（2）服务网点分布（可另行附表）：</w:t>
      </w:r>
    </w:p>
    <w:tbl>
      <w:tblPr>
        <w:tblStyle w:val="26"/>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7"/>
        <w:gridCol w:w="1737"/>
        <w:gridCol w:w="2269"/>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服务网点名称和地址</w:t>
            </w:r>
          </w:p>
        </w:tc>
        <w:tc>
          <w:tcPr>
            <w:tcW w:w="1737"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主要服务范围</w:t>
            </w:r>
          </w:p>
        </w:tc>
        <w:tc>
          <w:tcPr>
            <w:tcW w:w="2269"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服务人员数</w:t>
            </w:r>
          </w:p>
        </w:tc>
        <w:tc>
          <w:tcPr>
            <w:tcW w:w="2268" w:type="dxa"/>
            <w:vAlign w:val="center"/>
          </w:tcPr>
          <w:p>
            <w:pPr>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内部等级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 w:hRule="atLeast"/>
          <w:jc w:val="center"/>
        </w:trPr>
        <w:tc>
          <w:tcPr>
            <w:tcW w:w="2797" w:type="dxa"/>
            <w:vAlign w:val="center"/>
          </w:tcPr>
          <w:p>
            <w:pPr>
              <w:spacing w:line="360" w:lineRule="auto"/>
              <w:jc w:val="center"/>
              <w:rPr>
                <w:rFonts w:asciiTheme="minorEastAsia" w:hAnsiTheme="minorEastAsia" w:eastAsiaTheme="minorEastAsia" w:cstheme="minorEastAsia"/>
                <w:szCs w:val="21"/>
              </w:rPr>
            </w:pPr>
          </w:p>
        </w:tc>
        <w:tc>
          <w:tcPr>
            <w:tcW w:w="1737" w:type="dxa"/>
            <w:vAlign w:val="center"/>
          </w:tcPr>
          <w:p>
            <w:pPr>
              <w:spacing w:line="360" w:lineRule="auto"/>
              <w:jc w:val="center"/>
              <w:rPr>
                <w:rFonts w:asciiTheme="minorEastAsia" w:hAnsiTheme="minorEastAsia" w:eastAsiaTheme="minorEastAsia" w:cstheme="minorEastAsia"/>
                <w:szCs w:val="21"/>
              </w:rPr>
            </w:pPr>
          </w:p>
        </w:tc>
        <w:tc>
          <w:tcPr>
            <w:tcW w:w="2269" w:type="dxa"/>
            <w:vAlign w:val="center"/>
          </w:tcPr>
          <w:p>
            <w:pPr>
              <w:spacing w:line="360" w:lineRule="auto"/>
              <w:jc w:val="center"/>
              <w:rPr>
                <w:rFonts w:asciiTheme="minorEastAsia" w:hAnsiTheme="minorEastAsia" w:eastAsiaTheme="minorEastAsia" w:cstheme="minorEastAsia"/>
                <w:szCs w:val="21"/>
              </w:rPr>
            </w:pPr>
          </w:p>
        </w:tc>
        <w:tc>
          <w:tcPr>
            <w:tcW w:w="2268" w:type="dxa"/>
            <w:vAlign w:val="center"/>
          </w:tcPr>
          <w:p>
            <w:pPr>
              <w:spacing w:line="360" w:lineRule="auto"/>
              <w:jc w:val="center"/>
              <w:rPr>
                <w:rFonts w:asciiTheme="minorEastAsia" w:hAnsiTheme="minorEastAsia" w:eastAsiaTheme="minorEastAsia" w:cstheme="minorEastAsia"/>
                <w:szCs w:val="21"/>
              </w:rPr>
            </w:pPr>
          </w:p>
        </w:tc>
      </w:tr>
    </w:tbl>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3．供应商认为需要声明的其他情况：</w:t>
      </w:r>
    </w:p>
    <w:p>
      <w:pPr>
        <w:ind w:firstLine="210" w:firstLineChars="1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兹证明上述声明是真实的、正确的，并提供了全部能提供的资料和数据，我们同意遵照</w:t>
      </w:r>
      <w:r>
        <w:rPr>
          <w:rFonts w:hint="eastAsia" w:asciiTheme="minorEastAsia" w:hAnsiTheme="minorEastAsia" w:eastAsiaTheme="minorEastAsia" w:cstheme="minorEastAsia"/>
          <w:bCs/>
          <w:szCs w:val="21"/>
          <w:u w:val="single"/>
        </w:rPr>
        <w:t>采购代理机构</w:t>
      </w:r>
      <w:r>
        <w:rPr>
          <w:rFonts w:hint="eastAsia" w:asciiTheme="minorEastAsia" w:hAnsiTheme="minorEastAsia" w:eastAsiaTheme="minorEastAsia" w:cstheme="minorEastAsia"/>
          <w:bCs/>
          <w:szCs w:val="21"/>
        </w:rPr>
        <w:t>要求出示的有关证明文件。</w:t>
      </w:r>
    </w:p>
    <w:p>
      <w:pPr>
        <w:spacing w:line="360" w:lineRule="auto"/>
        <w:ind w:firstLine="210" w:firstLineChars="100"/>
        <w:rPr>
          <w:rFonts w:asciiTheme="minorEastAsia" w:hAnsiTheme="minorEastAsia" w:eastAsiaTheme="minorEastAsia" w:cstheme="minorEastAsia"/>
          <w:bCs/>
          <w:szCs w:val="21"/>
        </w:rPr>
      </w:pP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传      真：</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szCs w:val="21"/>
        </w:rPr>
      </w:pPr>
      <w:r>
        <w:rPr>
          <w:rFonts w:hint="eastAsia" w:asciiTheme="minorEastAsia" w:hAnsiTheme="minorEastAsia" w:eastAsiaTheme="minorEastAsia" w:cstheme="minorEastAsia"/>
          <w:kern w:val="0"/>
          <w:szCs w:val="21"/>
        </w:rPr>
        <w:br w:type="page"/>
      </w:r>
      <w:bookmarkStart w:id="202" w:name="_Toc17527"/>
      <w:bookmarkStart w:id="203" w:name="_Toc479184137"/>
      <w:bookmarkStart w:id="204" w:name="_Toc259028731"/>
      <w:bookmarkStart w:id="205" w:name="_Toc450827823"/>
      <w:bookmarkStart w:id="206" w:name="_Toc14741"/>
      <w:bookmarkStart w:id="207" w:name="_Toc17331"/>
      <w:r>
        <w:rPr>
          <w:rFonts w:hint="eastAsia" w:asciiTheme="minorEastAsia" w:hAnsiTheme="minorEastAsia" w:eastAsiaTheme="minorEastAsia" w:cstheme="minorEastAsia"/>
          <w:b/>
          <w:bCs/>
          <w:kern w:val="0"/>
          <w:szCs w:val="21"/>
        </w:rPr>
        <w:t>十四、</w:t>
      </w:r>
      <w:r>
        <w:rPr>
          <w:rFonts w:hint="eastAsia" w:asciiTheme="minorEastAsia" w:hAnsiTheme="minorEastAsia" w:eastAsiaTheme="minorEastAsia" w:cstheme="minorEastAsia"/>
          <w:b/>
          <w:bCs/>
          <w:szCs w:val="21"/>
        </w:rPr>
        <w:t>资格证明文件</w:t>
      </w:r>
      <w:bookmarkEnd w:id="202"/>
      <w:bookmarkEnd w:id="203"/>
      <w:bookmarkEnd w:id="204"/>
      <w:bookmarkEnd w:id="205"/>
      <w:bookmarkEnd w:id="206"/>
      <w:bookmarkEnd w:id="207"/>
    </w:p>
    <w:p>
      <w:pPr>
        <w:rPr>
          <w:rFonts w:asciiTheme="minorEastAsia" w:hAnsiTheme="minorEastAsia" w:eastAsiaTheme="minorEastAsia" w:cstheme="minorEastAsia"/>
          <w:szCs w:val="21"/>
        </w:rPr>
      </w:pPr>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提供第一章第二款资格要求的资格证明文件的真彩扫描件，详见第二章供应商须知前附表14.1条款内容。</w:t>
      </w:r>
    </w:p>
    <w:p>
      <w:pPr>
        <w:rPr>
          <w:rFonts w:asciiTheme="minorEastAsia" w:hAnsiTheme="minorEastAsia" w:eastAsiaTheme="minorEastAsia" w:cstheme="minorEastAsia"/>
          <w:szCs w:val="21"/>
        </w:rPr>
      </w:pPr>
    </w:p>
    <w:p>
      <w:pPr>
        <w:adjustRightInd w:val="0"/>
        <w:snapToGrid w:val="0"/>
        <w:spacing w:line="360" w:lineRule="auto"/>
        <w:ind w:left="-88" w:leftChars="-42"/>
        <w:jc w:val="center"/>
        <w:rPr>
          <w:rFonts w:asciiTheme="minorEastAsia" w:hAnsiTheme="minorEastAsia" w:eastAsiaTheme="minorEastAsia" w:cstheme="minorEastAsia"/>
          <w:szCs w:val="21"/>
        </w:rPr>
      </w:pP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p>
    <w:p>
      <w:pPr>
        <w:spacing w:line="360" w:lineRule="auto"/>
        <w:ind w:left="168" w:leftChars="80"/>
        <w:jc w:val="center"/>
        <w:rPr>
          <w:rFonts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br w:type="textWrapping"/>
      </w:r>
      <w:r>
        <w:rPr>
          <w:rFonts w:hint="eastAsia" w:asciiTheme="minorEastAsia" w:hAnsiTheme="minorEastAsia" w:eastAsiaTheme="minorEastAsia" w:cstheme="minorEastAsia"/>
          <w:bCs/>
          <w:szCs w:val="21"/>
        </w:rPr>
        <w:br w:type="textWrapping"/>
      </w:r>
      <w:bookmarkStart w:id="208" w:name="_Toc32187"/>
      <w:bookmarkStart w:id="209" w:name="_Toc290207179"/>
      <w:bookmarkStart w:id="210" w:name="_Toc18555"/>
      <w:bookmarkStart w:id="211" w:name="_Toc358447587"/>
      <w:bookmarkStart w:id="212" w:name="_Toc5793"/>
      <w:bookmarkStart w:id="213" w:name="_Toc364868916"/>
      <w:bookmarkStart w:id="214" w:name="_Toc427239751"/>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bCs/>
          <w:kern w:val="0"/>
          <w:szCs w:val="21"/>
        </w:rPr>
      </w:pPr>
      <w:bookmarkStart w:id="215" w:name="_Toc28810"/>
      <w:r>
        <w:rPr>
          <w:rFonts w:hint="eastAsia" w:asciiTheme="minorEastAsia" w:hAnsiTheme="minorEastAsia" w:eastAsiaTheme="minorEastAsia" w:cstheme="minorEastAsia"/>
          <w:b/>
          <w:bCs/>
          <w:kern w:val="0"/>
          <w:szCs w:val="21"/>
        </w:rPr>
        <w:t>十五、</w:t>
      </w:r>
      <w:bookmarkEnd w:id="208"/>
      <w:bookmarkEnd w:id="209"/>
      <w:bookmarkEnd w:id="210"/>
      <w:bookmarkEnd w:id="211"/>
      <w:bookmarkEnd w:id="212"/>
      <w:bookmarkEnd w:id="213"/>
      <w:bookmarkEnd w:id="214"/>
      <w:bookmarkStart w:id="216" w:name="_Toc27229"/>
      <w:bookmarkStart w:id="217" w:name="_Toc29785"/>
      <w:bookmarkStart w:id="218" w:name="_Toc460258123"/>
      <w:bookmarkStart w:id="219" w:name="_Toc479184138"/>
      <w:r>
        <w:rPr>
          <w:rFonts w:hint="eastAsia" w:asciiTheme="minorEastAsia" w:hAnsiTheme="minorEastAsia" w:eastAsiaTheme="minorEastAsia" w:cstheme="minorEastAsia"/>
          <w:b/>
          <w:bCs/>
          <w:kern w:val="0"/>
          <w:szCs w:val="21"/>
        </w:rPr>
        <w:t>报价技术文件</w:t>
      </w:r>
      <w:bookmarkEnd w:id="215"/>
      <w:bookmarkEnd w:id="216"/>
      <w:bookmarkEnd w:id="217"/>
      <w:bookmarkEnd w:id="218"/>
      <w:bookmarkEnd w:id="219"/>
    </w:p>
    <w:p>
      <w:pPr>
        <w:rPr>
          <w:rFonts w:asciiTheme="minorEastAsia" w:hAnsiTheme="minorEastAsia" w:eastAsiaTheme="minorEastAsia" w:cstheme="minorEastAsia"/>
          <w:szCs w:val="21"/>
        </w:rPr>
      </w:pPr>
    </w:p>
    <w:p>
      <w:pPr>
        <w:pStyle w:val="102"/>
        <w:spacing w:line="360" w:lineRule="auto"/>
        <w:ind w:firstLine="420" w:firstLineChars="20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由供应商自行编制，目录清晰、内容详尽、易于理解和评审并富有建设性的技术方案将在评审时具有优势。</w:t>
      </w:r>
    </w:p>
    <w:p>
      <w:pPr>
        <w:adjustRightInd w:val="0"/>
        <w:snapToGrid w:val="0"/>
        <w:spacing w:line="360" w:lineRule="auto"/>
        <w:ind w:left="-88" w:leftChars="-42" w:firstLine="422" w:firstLineChars="200"/>
        <w:jc w:val="left"/>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以下内容仅供参考，格式自拟。</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项目概况及对本项目总体要求的理解</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项目实施方案</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项目重点及难点解析</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质量控制措施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进度控制措施</w:t>
      </w:r>
    </w:p>
    <w:p>
      <w:pPr>
        <w:numPr>
          <w:ilvl w:val="1"/>
          <w:numId w:val="42"/>
        </w:numPr>
        <w:tabs>
          <w:tab w:val="left" w:pos="640"/>
          <w:tab w:val="clear" w:pos="0"/>
        </w:tabs>
        <w:spacing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对本项目的合理化建议</w:t>
      </w:r>
    </w:p>
    <w:p>
      <w:pPr>
        <w:tabs>
          <w:tab w:val="left" w:pos="540"/>
        </w:tabs>
        <w:autoSpaceDE w:val="0"/>
        <w:autoSpaceDN w:val="0"/>
        <w:adjustRightInd w:val="0"/>
        <w:spacing w:line="360" w:lineRule="auto"/>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rPr>
        <w:br w:type="page"/>
      </w:r>
      <w:bookmarkStart w:id="220" w:name="_Toc8098"/>
      <w:bookmarkStart w:id="221" w:name="_Toc12119"/>
      <w:bookmarkStart w:id="222" w:name="_Toc355802499"/>
      <w:bookmarkStart w:id="223" w:name="_Toc479184140"/>
      <w:bookmarkStart w:id="224" w:name="_Toc356836516"/>
      <w:bookmarkStart w:id="225" w:name="_Toc432149016"/>
      <w:bookmarkStart w:id="226" w:name="_Toc22465"/>
      <w:bookmarkStart w:id="227" w:name="_Toc2101"/>
      <w:bookmarkStart w:id="228" w:name="_Toc422466739"/>
      <w:bookmarkStart w:id="229" w:name="_Toc4767"/>
      <w:r>
        <w:rPr>
          <w:rFonts w:hint="eastAsia" w:asciiTheme="minorEastAsia" w:hAnsiTheme="minorEastAsia" w:eastAsiaTheme="minorEastAsia" w:cstheme="minorEastAsia"/>
          <w:b/>
        </w:rPr>
        <w:t>十六、</w:t>
      </w:r>
      <w:bookmarkEnd w:id="220"/>
      <w:bookmarkEnd w:id="221"/>
      <w:bookmarkEnd w:id="222"/>
      <w:bookmarkEnd w:id="223"/>
      <w:bookmarkEnd w:id="224"/>
      <w:bookmarkEnd w:id="225"/>
      <w:bookmarkEnd w:id="226"/>
      <w:bookmarkEnd w:id="227"/>
      <w:bookmarkEnd w:id="228"/>
      <w:r>
        <w:rPr>
          <w:rFonts w:hint="eastAsia" w:asciiTheme="minorEastAsia" w:hAnsiTheme="minorEastAsia" w:eastAsiaTheme="minorEastAsia" w:cstheme="minorEastAsia"/>
          <w:b/>
          <w:lang w:val="zh-CN"/>
        </w:rPr>
        <w:t>中小企业声明函（</w:t>
      </w:r>
      <w:r>
        <w:rPr>
          <w:rFonts w:hint="eastAsia" w:asciiTheme="minorEastAsia" w:hAnsiTheme="minorEastAsia" w:eastAsiaTheme="minorEastAsia" w:cstheme="minorEastAsia"/>
          <w:b/>
        </w:rPr>
        <w:t>货物</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29"/>
    </w:p>
    <w:p>
      <w:pPr>
        <w:spacing w:line="360" w:lineRule="auto"/>
        <w:ind w:firstLine="420" w:firstLineChars="200"/>
        <w:jc w:val="center"/>
        <w:rPr>
          <w:rFonts w:ascii="宋体" w:hAnsi="宋体" w:cs="宋体"/>
          <w:szCs w:val="21"/>
        </w:rPr>
      </w:pPr>
      <w:r>
        <w:rPr>
          <w:rFonts w:ascii="宋体" w:hAnsi="宋体" w:cs="宋体"/>
          <w:szCs w:val="21"/>
        </w:rPr>
        <w:t>中小企业声明函（</w:t>
      </w:r>
      <w:r>
        <w:rPr>
          <w:rFonts w:hint="eastAsia" w:ascii="宋体" w:hAnsi="宋体" w:cs="宋体"/>
          <w:szCs w:val="21"/>
        </w:rPr>
        <w:t>货物</w:t>
      </w:r>
      <w:r>
        <w:rPr>
          <w:rFonts w:ascii="宋体" w:hAnsi="宋体" w:cs="宋体"/>
          <w:szCs w:val="21"/>
        </w:rPr>
        <w:t>）</w:t>
      </w:r>
    </w:p>
    <w:p>
      <w:pPr>
        <w:spacing w:line="360" w:lineRule="auto"/>
        <w:ind w:firstLine="420" w:firstLineChars="200"/>
        <w:rPr>
          <w:rFonts w:ascii="宋体" w:hAnsi="宋体" w:cs="宋体"/>
          <w:szCs w:val="21"/>
        </w:rPr>
      </w:pPr>
      <w:r>
        <w:rPr>
          <w:rFonts w:ascii="宋体" w:hAnsi="宋体" w:cs="宋体"/>
          <w:szCs w:val="21"/>
        </w:rPr>
        <w:t>本公司（联合体）郑重声明，根据《政府采购促进中小企业发展管理办法》（财库﹝2020﹞</w:t>
      </w:r>
      <w:r>
        <w:rPr>
          <w:rFonts w:hint="eastAsia" w:ascii="宋体" w:hAnsi="宋体" w:cs="宋体"/>
          <w:szCs w:val="21"/>
        </w:rPr>
        <w:t>46</w:t>
      </w:r>
      <w:r>
        <w:rPr>
          <w:rFonts w:ascii="宋体" w:hAnsi="宋体" w:cs="宋体"/>
          <w:szCs w:val="21"/>
        </w:rPr>
        <w:t>号）的规定，本公司 （联合体）参加</w:t>
      </w:r>
      <w:r>
        <w:rPr>
          <w:rFonts w:ascii="宋体" w:hAnsi="宋体" w:cs="宋体"/>
          <w:szCs w:val="21"/>
          <w:u w:val="single"/>
        </w:rPr>
        <w:t>（单位名称）</w:t>
      </w:r>
      <w:r>
        <w:rPr>
          <w:rFonts w:ascii="宋体" w:hAnsi="宋体" w:cs="宋体"/>
          <w:szCs w:val="21"/>
        </w:rPr>
        <w:t>的</w:t>
      </w:r>
      <w:r>
        <w:rPr>
          <w:rFonts w:ascii="宋体" w:hAnsi="宋体" w:cs="宋体"/>
          <w:szCs w:val="21"/>
          <w:u w:val="single"/>
        </w:rPr>
        <w:t>（项目名称）</w:t>
      </w:r>
      <w:r>
        <w:rPr>
          <w:rFonts w:ascii="宋体" w:hAnsi="宋体" w:cs="宋体"/>
          <w:szCs w:val="21"/>
        </w:rPr>
        <w:t xml:space="preserve">采购活动，提供的货物全部由符合政策要求的中小企业制造。相关企业（含联合体中的中小企业、签订分包意向协议的中小企业） 的具体情况如下： </w:t>
      </w:r>
      <w:r>
        <w:rPr>
          <w:rFonts w:ascii="宋体" w:hAnsi="宋体" w:cs="宋体"/>
          <w:szCs w:val="21"/>
        </w:rPr>
        <w:br w:type="textWrapping"/>
      </w:r>
      <w:r>
        <w:rPr>
          <w:rFonts w:ascii="宋体" w:hAnsi="宋体" w:cs="宋体"/>
          <w:szCs w:val="21"/>
        </w:rPr>
        <w:t xml:space="preserve">1. </w:t>
      </w:r>
      <w:r>
        <w:rPr>
          <w:rFonts w:ascii="宋体" w:hAnsi="宋体" w:cs="宋体"/>
          <w:szCs w:val="21"/>
          <w:u w:val="single"/>
        </w:rPr>
        <w:t>（</w:t>
      </w:r>
      <w:r>
        <w:rPr>
          <w:rFonts w:hint="eastAsia" w:ascii="宋体" w:hAnsi="宋体" w:cs="宋体"/>
          <w:color w:val="2A20DC"/>
          <w:szCs w:val="21"/>
          <w:u w:val="single"/>
          <w:lang w:val="en-US" w:eastAsia="zh-CN"/>
        </w:rPr>
        <w:t xml:space="preserve">       </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 xml:space="preserve"> 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br w:type="textWrapping"/>
      </w:r>
      <w:r>
        <w:rPr>
          <w:rFonts w:ascii="宋体" w:hAnsi="宋体" w:cs="宋体"/>
          <w:szCs w:val="21"/>
        </w:rPr>
        <w:t xml:space="preserve">2. </w:t>
      </w:r>
      <w:r>
        <w:rPr>
          <w:rFonts w:ascii="宋体" w:hAnsi="宋体" w:cs="宋体"/>
          <w:szCs w:val="21"/>
          <w:u w:val="single"/>
        </w:rPr>
        <w:t>（</w:t>
      </w:r>
      <w:r>
        <w:rPr>
          <w:rFonts w:hint="eastAsia" w:ascii="宋体" w:hAnsi="宋体" w:cs="宋体"/>
          <w:color w:val="2A20DC"/>
          <w:szCs w:val="21"/>
          <w:u w:val="single"/>
          <w:lang w:val="en-US" w:eastAsia="zh-CN"/>
        </w:rPr>
        <w:t xml:space="preserve">      </w:t>
      </w:r>
      <w:r>
        <w:rPr>
          <w:rFonts w:ascii="宋体" w:hAnsi="宋体" w:cs="宋体"/>
          <w:szCs w:val="21"/>
          <w:u w:val="single"/>
        </w:rPr>
        <w:t>）</w:t>
      </w:r>
      <w:r>
        <w:rPr>
          <w:rFonts w:ascii="宋体" w:hAnsi="宋体" w:cs="宋体"/>
          <w:szCs w:val="21"/>
        </w:rPr>
        <w:t xml:space="preserve"> ，属于</w:t>
      </w:r>
      <w:r>
        <w:rPr>
          <w:rFonts w:ascii="宋体" w:hAnsi="宋体" w:cs="宋体"/>
          <w:szCs w:val="21"/>
          <w:u w:val="single"/>
        </w:rPr>
        <w:t>（采购文件中明确的所属行业）</w:t>
      </w:r>
      <w:r>
        <w:rPr>
          <w:rFonts w:ascii="宋体" w:hAnsi="宋体" w:cs="宋体"/>
          <w:szCs w:val="21"/>
        </w:rPr>
        <w:t>行业；制造商为</w:t>
      </w:r>
      <w:r>
        <w:rPr>
          <w:rFonts w:ascii="宋体" w:hAnsi="宋体" w:cs="宋体"/>
          <w:szCs w:val="21"/>
          <w:u w:val="single"/>
        </w:rPr>
        <w:t>（企业名称）</w:t>
      </w:r>
      <w:r>
        <w:rPr>
          <w:rFonts w:ascii="宋体" w:hAnsi="宋体" w:cs="宋体"/>
          <w:szCs w:val="21"/>
        </w:rPr>
        <w:t>，从业人员人，营业收入为万元，资产总额为万元，属于</w:t>
      </w:r>
      <w:r>
        <w:rPr>
          <w:rFonts w:ascii="宋体" w:hAnsi="宋体" w:cs="宋体"/>
          <w:szCs w:val="21"/>
          <w:u w:val="single"/>
        </w:rPr>
        <w:t>（中型企业、小型企业、微型企业）</w:t>
      </w:r>
      <w:r>
        <w:rPr>
          <w:rFonts w:ascii="宋体" w:hAnsi="宋体" w:cs="宋体"/>
          <w:szCs w:val="21"/>
        </w:rPr>
        <w:t xml:space="preserve">； </w:t>
      </w:r>
      <w:r>
        <w:rPr>
          <w:rFonts w:ascii="宋体" w:hAnsi="宋体" w:cs="宋体"/>
          <w:szCs w:val="21"/>
        </w:rPr>
        <w:br w:type="textWrapping"/>
      </w:r>
      <w:r>
        <w:rPr>
          <w:rFonts w:ascii="宋体" w:hAnsi="宋体" w:cs="宋体"/>
          <w:szCs w:val="21"/>
        </w:rPr>
        <w:t xml:space="preserve">…… </w:t>
      </w:r>
      <w:r>
        <w:rPr>
          <w:rFonts w:ascii="宋体" w:hAnsi="宋体" w:cs="宋体"/>
          <w:szCs w:val="21"/>
        </w:rPr>
        <w:br w:type="textWrapping"/>
      </w:r>
      <w:r>
        <w:rPr>
          <w:rFonts w:ascii="宋体" w:hAnsi="宋体" w:cs="宋体"/>
          <w:szCs w:val="21"/>
        </w:rPr>
        <w:t xml:space="preserve">以上企业，不属于大企业的分支机构，不存在控股股东为大企业的情形，也不存在与大企业的负责人为同一人的情形。 </w:t>
      </w:r>
      <w:r>
        <w:rPr>
          <w:rFonts w:ascii="宋体" w:hAnsi="宋体" w:cs="宋体"/>
          <w:szCs w:val="21"/>
        </w:rPr>
        <w:br w:type="textWrapping"/>
      </w:r>
      <w:r>
        <w:rPr>
          <w:rFonts w:ascii="宋体" w:hAnsi="宋体" w:cs="宋体"/>
          <w:szCs w:val="21"/>
        </w:rPr>
        <w:t xml:space="preserve">本企业对上述声明内容的真实性负责。如有虚假，将依法承担相应责任。 </w:t>
      </w:r>
    </w:p>
    <w:p>
      <w:pPr>
        <w:spacing w:line="360" w:lineRule="auto"/>
        <w:ind w:firstLine="6930" w:firstLineChars="3300"/>
        <w:rPr>
          <w:rFonts w:ascii="宋体" w:hAnsi="宋体" w:cs="宋体"/>
          <w:szCs w:val="21"/>
        </w:rPr>
      </w:pPr>
      <w:r>
        <w:rPr>
          <w:rFonts w:ascii="宋体" w:hAnsi="宋体" w:cs="宋体"/>
          <w:szCs w:val="21"/>
        </w:rPr>
        <w:t xml:space="preserve">企业名称（盖章）： </w:t>
      </w:r>
    </w:p>
    <w:p>
      <w:pPr>
        <w:spacing w:line="360" w:lineRule="auto"/>
        <w:ind w:firstLine="420" w:firstLineChars="200"/>
        <w:jc w:val="center"/>
        <w:rPr>
          <w:rFonts w:ascii="宋体" w:hAnsi="宋体" w:cs="宋体"/>
          <w:szCs w:val="21"/>
        </w:rPr>
      </w:pPr>
      <w:r>
        <w:rPr>
          <w:rFonts w:ascii="宋体" w:hAnsi="宋体" w:cs="宋体"/>
          <w:szCs w:val="21"/>
        </w:rPr>
        <w:t>日 期：</w:t>
      </w: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rPr>
          <w:rFonts w:ascii="宋体" w:hAnsi="宋体" w:cs="宋体"/>
          <w:szCs w:val="21"/>
        </w:rPr>
      </w:pPr>
    </w:p>
    <w:p>
      <w:pPr>
        <w:spacing w:line="360" w:lineRule="auto"/>
        <w:ind w:firstLine="420" w:firstLineChars="200"/>
      </w:pPr>
      <w:r>
        <w:rPr>
          <w:rFonts w:ascii="宋体" w:hAnsi="宋体" w:cs="宋体"/>
          <w:szCs w:val="21"/>
        </w:rPr>
        <w:t>从业人员、营业收入、资产总额填报上一年度数据，无上一年度数据的新成立企业可不填报。</w:t>
      </w:r>
    </w:p>
    <w:p>
      <w:pPr>
        <w:spacing w:line="360" w:lineRule="auto"/>
        <w:ind w:firstLine="444" w:firstLineChars="200"/>
        <w:rPr>
          <w:rFonts w:asciiTheme="minorEastAsia" w:hAnsiTheme="minorEastAsia" w:eastAsiaTheme="minorEastAsia" w:cstheme="minorEastAsia"/>
          <w:spacing w:val="6"/>
          <w:szCs w:val="21"/>
        </w:rPr>
      </w:pPr>
    </w:p>
    <w:p>
      <w:pPr>
        <w:spacing w:line="360" w:lineRule="auto"/>
        <w:ind w:firstLine="444"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p>
    <w:p>
      <w:pPr>
        <w:spacing w:line="360" w:lineRule="auto"/>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spacing w:line="360" w:lineRule="auto"/>
        <w:rPr>
          <w:rFonts w:asciiTheme="minorEastAsia" w:hAnsiTheme="minorEastAsia" w:eastAsiaTheme="minorEastAsia" w:cstheme="minorEastAsia"/>
          <w:spacing w:val="6"/>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r>
        <w:rPr>
          <w:rFonts w:hint="eastAsia" w:asciiTheme="minorEastAsia" w:hAnsiTheme="minorEastAsia" w:eastAsiaTheme="minorEastAsia" w:cstheme="minorEastAsia"/>
          <w:szCs w:val="21"/>
        </w:rPr>
        <w:br w:type="textWrapping"/>
      </w:r>
    </w:p>
    <w:bookmarkEnd w:id="130"/>
    <w:bookmarkEnd w:id="131"/>
    <w:bookmarkEnd w:id="132"/>
    <w:bookmarkEnd w:id="133"/>
    <w:p>
      <w:pPr>
        <w:rPr>
          <w:rFonts w:hint="eastAsia" w:asciiTheme="minorEastAsia" w:hAnsiTheme="minorEastAsia" w:eastAsiaTheme="minorEastAsia" w:cstheme="minorEastAsia"/>
          <w:b/>
          <w:bCs/>
          <w:spacing w:val="6"/>
          <w:szCs w:val="21"/>
        </w:rPr>
      </w:pPr>
      <w:bookmarkStart w:id="230" w:name="_Toc3443"/>
      <w:bookmarkStart w:id="231" w:name="_Toc30406"/>
      <w:bookmarkStart w:id="232" w:name="_Toc479184141"/>
      <w:bookmarkStart w:id="233" w:name="_Toc476839034"/>
      <w:bookmarkStart w:id="234" w:name="_Toc7229"/>
      <w:bookmarkStart w:id="235" w:name="_Toc4320"/>
      <w:r>
        <w:rPr>
          <w:rFonts w:hint="eastAsia" w:asciiTheme="minorEastAsia" w:hAnsiTheme="minorEastAsia" w:eastAsiaTheme="minorEastAsia" w:cstheme="minorEastAsia"/>
          <w:b/>
          <w:bCs/>
          <w:spacing w:val="6"/>
          <w:szCs w:val="21"/>
        </w:rPr>
        <w:br w:type="page"/>
      </w:r>
    </w:p>
    <w:p>
      <w:pPr>
        <w:adjustRightInd w:val="0"/>
        <w:snapToGrid w:val="0"/>
        <w:jc w:val="center"/>
        <w:outlineLvl w:val="1"/>
        <w:rPr>
          <w:rFonts w:asciiTheme="minorEastAsia" w:hAnsiTheme="minorEastAsia" w:eastAsiaTheme="minorEastAsia" w:cstheme="minorEastAsia"/>
          <w:b/>
        </w:rPr>
      </w:pPr>
      <w:r>
        <w:rPr>
          <w:rFonts w:hint="eastAsia" w:asciiTheme="minorEastAsia" w:hAnsiTheme="minorEastAsia" w:eastAsiaTheme="minorEastAsia" w:cstheme="minorEastAsia"/>
          <w:b/>
          <w:bCs/>
          <w:spacing w:val="6"/>
          <w:szCs w:val="21"/>
        </w:rPr>
        <w:t>十七、</w:t>
      </w:r>
      <w:r>
        <w:rPr>
          <w:rFonts w:hint="eastAsia" w:asciiTheme="minorEastAsia" w:hAnsiTheme="minorEastAsia" w:eastAsiaTheme="minorEastAsia" w:cstheme="minorEastAsia"/>
          <w:b/>
          <w:bCs/>
          <w:lang w:val="zh-CN"/>
        </w:rPr>
        <w:t>监狱企业证</w:t>
      </w:r>
      <w:r>
        <w:rPr>
          <w:rFonts w:hint="eastAsia" w:asciiTheme="minorEastAsia" w:hAnsiTheme="minorEastAsia" w:eastAsiaTheme="minorEastAsia" w:cstheme="minorEastAsia"/>
          <w:b/>
          <w:lang w:val="zh-CN"/>
        </w:rPr>
        <w:t>明文</w:t>
      </w:r>
      <w:r>
        <w:rPr>
          <w:rFonts w:hint="eastAsia" w:asciiTheme="minorEastAsia" w:hAnsiTheme="minorEastAsia" w:eastAsiaTheme="minorEastAsia" w:cstheme="minorEastAsia"/>
          <w:b/>
        </w:rPr>
        <w:t>件</w:t>
      </w:r>
      <w:r>
        <w:rPr>
          <w:rFonts w:hint="eastAsia" w:asciiTheme="minorEastAsia" w:hAnsiTheme="minorEastAsia" w:eastAsiaTheme="minorEastAsia" w:cstheme="minorEastAsia"/>
          <w:b/>
          <w:lang w:val="zh-CN"/>
        </w:rPr>
        <w:t>（若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0"/>
    </w:p>
    <w:p>
      <w:pPr>
        <w:rPr>
          <w:rFonts w:asciiTheme="minorEastAsia" w:hAnsiTheme="minorEastAsia" w:eastAsiaTheme="minorEastAsia" w:cstheme="minorEastAsia"/>
          <w:szCs w:val="21"/>
        </w:rPr>
      </w:pP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pacing w:val="6"/>
          <w:szCs w:val="21"/>
        </w:rPr>
        <w:t>供应商如是监狱企业，提供相关证明文件。</w:t>
      </w:r>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szCs w:val="21"/>
        </w:rPr>
        <w:t>磋商供应商授权代表（签字）：</w:t>
      </w:r>
    </w:p>
    <w:p>
      <w:pPr>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磋商</w:t>
      </w:r>
      <w:r>
        <w:rPr>
          <w:rFonts w:hint="eastAsia" w:asciiTheme="minorEastAsia" w:hAnsiTheme="minorEastAsia" w:eastAsiaTheme="minorEastAsia" w:cstheme="minorEastAsia"/>
          <w:bCs/>
          <w:szCs w:val="21"/>
        </w:rPr>
        <w:t>供应商</w:t>
      </w:r>
      <w:r>
        <w:rPr>
          <w:rFonts w:hint="eastAsia" w:asciiTheme="minorEastAsia" w:hAnsiTheme="minorEastAsia" w:eastAsiaTheme="minorEastAsia" w:cstheme="minorEastAsia"/>
          <w:szCs w:val="21"/>
        </w:rPr>
        <w:t>名称（盖章 ）：</w:t>
      </w:r>
    </w:p>
    <w:p>
      <w:pPr>
        <w:adjustRightInd w:val="0"/>
        <w:snapToGrid w:val="0"/>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rPr>
        <w:t xml:space="preserve">时                 </w:t>
      </w:r>
      <w:r>
        <w:rPr>
          <w:rFonts w:hint="eastAsia" w:asciiTheme="minorEastAsia" w:hAnsiTheme="minorEastAsia" w:eastAsiaTheme="minorEastAsia" w:cstheme="minorEastAsia"/>
          <w:szCs w:val="21"/>
        </w:rPr>
        <w:t>间：年月日</w:t>
      </w:r>
    </w:p>
    <w:p/>
    <w:p>
      <w:pPr>
        <w:adjustRightInd w:val="0"/>
        <w:snapToGrid w:val="0"/>
        <w:jc w:val="center"/>
        <w:outlineLvl w:val="1"/>
        <w:rPr>
          <w:rFonts w:asciiTheme="minorEastAsia" w:hAnsiTheme="minorEastAsia" w:eastAsiaTheme="minorEastAsia" w:cstheme="minorEastAsia"/>
          <w:b/>
          <w:lang w:val="zh-CN"/>
        </w:rPr>
      </w:pPr>
      <w:bookmarkStart w:id="236" w:name="_Toc6130"/>
      <w:r>
        <w:rPr>
          <w:rFonts w:hint="eastAsia" w:asciiTheme="minorEastAsia" w:hAnsiTheme="minorEastAsia" w:eastAsiaTheme="minorEastAsia" w:cstheme="minorEastAsia"/>
          <w:spacing w:val="6"/>
          <w:szCs w:val="21"/>
        </w:rPr>
        <w:br w:type="textWrapping"/>
      </w:r>
      <w:r>
        <w:rPr>
          <w:rFonts w:hint="eastAsia" w:asciiTheme="minorEastAsia" w:hAnsiTheme="minorEastAsia" w:eastAsiaTheme="minorEastAsia" w:cstheme="minorEastAsia"/>
          <w:b/>
        </w:rPr>
        <w:t>十八、</w:t>
      </w:r>
      <w:r>
        <w:rPr>
          <w:rFonts w:hint="eastAsia" w:asciiTheme="minorEastAsia" w:hAnsiTheme="minorEastAsia" w:eastAsiaTheme="minorEastAsia" w:cstheme="minorEastAsia"/>
          <w:b/>
          <w:lang w:val="zh-CN"/>
        </w:rPr>
        <w:t>残疾人福利性单位声明函（若</w:t>
      </w:r>
      <w:r>
        <w:rPr>
          <w:rFonts w:hint="eastAsia" w:asciiTheme="minorEastAsia" w:hAnsiTheme="minorEastAsia" w:eastAsiaTheme="minorEastAsia" w:cstheme="minorEastAsia"/>
          <w:b/>
        </w:rPr>
        <w:t>符合</w:t>
      </w:r>
      <w:r>
        <w:rPr>
          <w:rFonts w:hint="eastAsia" w:asciiTheme="minorEastAsia" w:hAnsiTheme="minorEastAsia" w:eastAsiaTheme="minorEastAsia" w:cstheme="minorEastAsia"/>
          <w:b/>
          <w:lang w:val="zh-CN"/>
        </w:rPr>
        <w:t>）</w:t>
      </w:r>
      <w:bookmarkEnd w:id="236"/>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郑重声明，根据《财政部民政部中国残疾人联合会关于促进残疾人就业政府采购政策的通知》（财库〔2017〕141号）的规定，本单位为符合条件的残疾人福利性单位（详见“残疾人福利性单位应当满足的条件”）。</w:t>
      </w:r>
    </w:p>
    <w:p>
      <w:pPr>
        <w:pStyle w:val="14"/>
        <w:ind w:firstLine="415" w:firstLineChars="198"/>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本单位授权</w:t>
      </w:r>
      <w:r>
        <w:rPr>
          <w:rFonts w:hint="eastAsia" w:asciiTheme="minorEastAsia" w:hAnsiTheme="minorEastAsia" w:eastAsiaTheme="minorEastAsia" w:cstheme="minorEastAsia"/>
          <w:color w:val="auto"/>
          <w:sz w:val="21"/>
          <w:u w:val="single"/>
        </w:rPr>
        <w:t xml:space="preserve">     （供应商） </w:t>
      </w:r>
      <w:r>
        <w:rPr>
          <w:rFonts w:hint="eastAsia" w:asciiTheme="minorEastAsia" w:hAnsiTheme="minorEastAsia" w:eastAsiaTheme="minorEastAsia" w:cstheme="minorEastAsia"/>
          <w:color w:val="auto"/>
          <w:sz w:val="21"/>
        </w:rPr>
        <w:t>参加</w:t>
      </w:r>
      <w:r>
        <w:rPr>
          <w:rFonts w:hint="eastAsia" w:asciiTheme="minorEastAsia" w:hAnsiTheme="minorEastAsia" w:eastAsiaTheme="minorEastAsia" w:cstheme="minorEastAsia"/>
          <w:color w:val="auto"/>
          <w:sz w:val="21"/>
          <w:u w:val="single"/>
        </w:rPr>
        <w:t xml:space="preserve">     （采购人）</w:t>
      </w:r>
      <w:r>
        <w:rPr>
          <w:rFonts w:hint="eastAsia" w:asciiTheme="minorEastAsia" w:hAnsiTheme="minorEastAsia" w:eastAsiaTheme="minorEastAsia" w:cstheme="minorEastAsia"/>
          <w:color w:val="auto"/>
          <w:sz w:val="21"/>
        </w:rPr>
        <w:t>的</w:t>
      </w:r>
      <w:r>
        <w:rPr>
          <w:rFonts w:hint="eastAsia" w:asciiTheme="minorEastAsia" w:hAnsiTheme="minorEastAsia" w:eastAsiaTheme="minorEastAsia" w:cstheme="minorEastAsia"/>
          <w:color w:val="auto"/>
          <w:sz w:val="21"/>
          <w:u w:val="single"/>
        </w:rPr>
        <w:t>    </w:t>
      </w:r>
      <w:r>
        <w:rPr>
          <w:rFonts w:hint="eastAsia" w:asciiTheme="minorEastAsia" w:hAnsiTheme="minorEastAsia" w:eastAsiaTheme="minorEastAsia" w:cstheme="minorEastAsia"/>
          <w:color w:val="auto"/>
          <w:sz w:val="21"/>
        </w:rPr>
        <w:t>项目（项目编号：_____）采购活动提供本单位制造的货物（由本单位承担工程/提供服务）。或者提供其他残疾人福利性单位制造的货物（不包括使用非残疾人福利性单位注册商标的货物）。</w:t>
      </w:r>
    </w:p>
    <w:p>
      <w:pPr>
        <w:ind w:firstLine="420" w:firstLineChars="200"/>
        <w:rPr>
          <w:rFonts w:asciiTheme="minorEastAsia" w:hAnsiTheme="minorEastAsia" w:eastAsiaTheme="minorEastAsia" w:cstheme="minorEastAsia"/>
          <w:bCs/>
          <w:szCs w:val="21"/>
        </w:rPr>
      </w:pPr>
      <w:r>
        <w:rPr>
          <w:rFonts w:hint="eastAsia" w:asciiTheme="minorEastAsia" w:hAnsiTheme="minorEastAsia" w:eastAsiaTheme="minorEastAsia" w:cstheme="minorEastAsia"/>
          <w:szCs w:val="21"/>
        </w:rPr>
        <w:t>本单位对上述声明的真实性负责。如有虚假，将依法承担相应责任。</w:t>
      </w:r>
    </w:p>
    <w:p>
      <w:pPr>
        <w:pStyle w:val="14"/>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bCs/>
          <w:color w:val="auto"/>
          <w:sz w:val="21"/>
        </w:rPr>
        <w:t>说明：</w:t>
      </w:r>
      <w:r>
        <w:rPr>
          <w:rFonts w:hint="eastAsia" w:asciiTheme="minorEastAsia" w:hAnsiTheme="minorEastAsia" w:eastAsiaTheme="minorEastAsia" w:cstheme="minorEastAsia"/>
          <w:color w:val="auto"/>
          <w:sz w:val="21"/>
        </w:rPr>
        <w:t>1、供应商所投货物为自己制造的，也应按本声明函格式填写。</w:t>
      </w:r>
    </w:p>
    <w:p>
      <w:pPr>
        <w:pStyle w:val="14"/>
        <w:ind w:left="1033" w:leftChars="342" w:hanging="315" w:hangingChars="150"/>
        <w:jc w:val="left"/>
        <w:rPr>
          <w:rFonts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1"/>
        </w:rPr>
        <w:t>2、组成联合体的大中型企业和其他自然人、法人或者其他组织，与残疾人福利性单位之间不得存在投资关系。</w:t>
      </w:r>
    </w:p>
    <w:p>
      <w:pPr>
        <w:pStyle w:val="14"/>
        <w:ind w:left="1033" w:leftChars="342" w:hanging="315" w:hangingChars="150"/>
        <w:jc w:val="left"/>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1"/>
        </w:rPr>
        <w:t>3、如以联合体方式参与本项目响应的供应商，则应由联合体双方签字盖章。</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制造商法定代表人（签字）：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时                 间：           年          月          日</w:t>
      </w:r>
      <w:r>
        <w:rPr>
          <w:rFonts w:hint="eastAsia" w:asciiTheme="minorEastAsia" w:hAnsiTheme="minorEastAsia" w:eastAsiaTheme="minorEastAsia" w:cstheme="minorEastAsia"/>
          <w:szCs w:val="21"/>
          <w:lang w:val="zh-CN"/>
        </w:rPr>
        <w:br w:type="textWrapping"/>
      </w:r>
      <w:r>
        <w:rPr>
          <w:rFonts w:hint="eastAsia" w:asciiTheme="minorEastAsia" w:hAnsiTheme="minorEastAsia" w:eastAsiaTheme="minorEastAsia" w:cstheme="minorEastAsia"/>
          <w:szCs w:val="21"/>
          <w:lang w:val="zh-CN"/>
        </w:rPr>
        <w:t>备注：享受政府采购支持政策的残疾人福利性单位应当同时满足以下条件：</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安置的残疾人占本单位在职职工人数的比例不低于 25%（含 25%），并且安置的残疾人人数不少于 10 人（含 10 人）；</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依法与安置的每位残疾人签订了一年以上（含一年）的劳动合同或服务协议；</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为安置的每位残疾人按月足额缴纳了基本养老保险、基本医疗保险、失业保险、工伤保险和生育保险等社会保险费；</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通过银行等金融机构向安置的每位残疾人，按月支付了不低于单位所在区县适用的经省级人民政府批准的月最低工资标准的工资；</w:t>
      </w:r>
    </w:p>
    <w:p>
      <w:pPr>
        <w:numPr>
          <w:ilvl w:val="0"/>
          <w:numId w:val="43"/>
        </w:numPr>
        <w:spacing w:before="100" w:beforeAutospacing="1" w:after="100" w:afterAutospacing="1"/>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提供本单位制造的货物、承担的工程或者服务（以下简称产品），或者提供其他残疾人福利性单位制造的货物（不包括使用非残疾人福利性单位注册商标的货物）。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360" w:lineRule="auto"/>
        <w:jc w:val="center"/>
        <w:outlineLvl w:val="1"/>
        <w:rPr>
          <w:rFonts w:asciiTheme="minorEastAsia" w:hAnsiTheme="minorEastAsia" w:eastAsiaTheme="minorEastAsia" w:cstheme="minorEastAsia"/>
          <w:bCs/>
          <w:szCs w:val="21"/>
          <w:u w:val="single"/>
        </w:rPr>
      </w:pPr>
      <w:bookmarkStart w:id="237" w:name="_Toc27893"/>
      <w:r>
        <w:rPr>
          <w:rFonts w:hint="eastAsia" w:asciiTheme="minorEastAsia" w:hAnsiTheme="minorEastAsia" w:eastAsiaTheme="minorEastAsia" w:cstheme="minorEastAsia"/>
          <w:b/>
        </w:rPr>
        <w:t>十九、节能环保产品证明材料（若符合）</w:t>
      </w:r>
      <w:bookmarkEnd w:id="237"/>
    </w:p>
    <w:p>
      <w:pPr>
        <w:adjustRightInd w:val="0"/>
        <w:snapToGrid w:val="0"/>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项目名称：                         </w:t>
      </w:r>
    </w:p>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项目编号：</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t>（1）节能产品：</w:t>
      </w:r>
    </w:p>
    <w:tbl>
      <w:tblPr>
        <w:tblStyle w:val="26"/>
        <w:tblW w:w="92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1109"/>
        <w:gridCol w:w="1370"/>
        <w:gridCol w:w="639"/>
        <w:gridCol w:w="639"/>
        <w:gridCol w:w="639"/>
        <w:gridCol w:w="1383"/>
        <w:gridCol w:w="1304"/>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属强制采购或优先采购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0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10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70"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63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4"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4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jc w:val="lef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（2）环保产品：</w:t>
      </w:r>
    </w:p>
    <w:tbl>
      <w:tblPr>
        <w:tblStyle w:val="2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1306"/>
        <w:gridCol w:w="1613"/>
        <w:gridCol w:w="849"/>
        <w:gridCol w:w="849"/>
        <w:gridCol w:w="849"/>
        <w:gridCol w:w="1487"/>
        <w:gridCol w:w="13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序号</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设备名称</w:t>
            </w: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制造商名称</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品牌</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型号</w:t>
            </w: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数量</w:t>
            </w: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单价（万元）</w:t>
            </w: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总价（万元）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46" w:type="dxa"/>
            <w:vAlign w:val="center"/>
          </w:tcPr>
          <w:p>
            <w:pPr>
              <w:adjustRightInd w:val="0"/>
              <w:snapToGrid w:val="0"/>
              <w:spacing w:line="360" w:lineRule="auto"/>
              <w:jc w:val="center"/>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w:t>
            </w:r>
          </w:p>
        </w:tc>
        <w:tc>
          <w:tcPr>
            <w:tcW w:w="1306"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613"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849"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487" w:type="dxa"/>
            <w:vAlign w:val="center"/>
          </w:tcPr>
          <w:p>
            <w:pPr>
              <w:adjustRightInd w:val="0"/>
              <w:snapToGrid w:val="0"/>
              <w:spacing w:line="360" w:lineRule="auto"/>
              <w:jc w:val="center"/>
              <w:rPr>
                <w:rFonts w:asciiTheme="minorEastAsia" w:hAnsiTheme="minorEastAsia" w:eastAsiaTheme="minorEastAsia" w:cstheme="minorEastAsia"/>
                <w:szCs w:val="21"/>
              </w:rPr>
            </w:pPr>
          </w:p>
        </w:tc>
        <w:tc>
          <w:tcPr>
            <w:tcW w:w="1389" w:type="dxa"/>
            <w:vAlign w:val="center"/>
          </w:tcPr>
          <w:p>
            <w:pPr>
              <w:adjustRightInd w:val="0"/>
              <w:snapToGrid w:val="0"/>
              <w:spacing w:line="360" w:lineRule="auto"/>
              <w:jc w:val="center"/>
              <w:rPr>
                <w:rFonts w:asciiTheme="minorEastAsia" w:hAnsiTheme="minorEastAsia" w:eastAsiaTheme="minorEastAsia" w:cstheme="minorEastAsia"/>
                <w:szCs w:val="21"/>
              </w:rPr>
            </w:pPr>
          </w:p>
        </w:tc>
      </w:tr>
    </w:tbl>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rPr>
        <w:t>注：供应商所提供产品如为节能环保产品，则应按本磋商文件第四章“政策支持”提供相关证明材料，并将节能、环保产品分别列入上表中，未填写本表或未提供有效认证证书的不给予价格扣除。</w:t>
      </w:r>
      <w:r>
        <w:rPr>
          <w:rFonts w:hint="eastAsia" w:asciiTheme="minorEastAsia" w:hAnsiTheme="minorEastAsia" w:eastAsiaTheme="minorEastAsia" w:cstheme="minorEastAsia"/>
          <w:szCs w:val="21"/>
        </w:rPr>
        <w:br w:type="textWrapping"/>
      </w:r>
      <w:r>
        <w:rPr>
          <w:rFonts w:hint="eastAsia" w:asciiTheme="minorEastAsia" w:hAnsiTheme="minorEastAsia" w:eastAsiaTheme="minorEastAsia" w:cstheme="minorEastAsia"/>
          <w:szCs w:val="21"/>
        </w:rPr>
        <w:br w:type="textWrapping"/>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before="100" w:beforeAutospacing="1" w:after="100" w:afterAutospacing="1" w:line="360" w:lineRule="auto"/>
        <w:rPr>
          <w:rFonts w:asciiTheme="minorEastAsia" w:hAnsiTheme="minorEastAsia" w:eastAsiaTheme="minorEastAsia" w:cstheme="minorEastAsia"/>
          <w:bCs/>
          <w:szCs w:val="21"/>
          <w:u w:val="single"/>
        </w:rPr>
      </w:pPr>
      <w:r>
        <w:rPr>
          <w:rFonts w:hint="eastAsia" w:asciiTheme="minorEastAsia" w:hAnsiTheme="minorEastAsia" w:eastAsiaTheme="minorEastAsia" w:cstheme="minorEastAsia"/>
          <w:szCs w:val="21"/>
          <w:lang w:val="zh-CN"/>
        </w:rPr>
        <w:t>时                 间：           年          月          日</w:t>
      </w:r>
    </w:p>
    <w:p>
      <w:pPr>
        <w:spacing w:before="100" w:beforeAutospacing="1" w:after="100" w:afterAutospacing="1" w:line="36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bCs/>
          <w:szCs w:val="21"/>
          <w:u w:val="single"/>
        </w:rPr>
        <w:br w:type="textWrapping"/>
      </w:r>
    </w:p>
    <w:p>
      <w:pPr>
        <w:adjustRightInd w:val="0"/>
        <w:snapToGrid w:val="0"/>
        <w:spacing w:line="360" w:lineRule="auto"/>
        <w:jc w:val="center"/>
        <w:outlineLvl w:val="1"/>
        <w:rPr>
          <w:rFonts w:asciiTheme="minorEastAsia" w:hAnsiTheme="minorEastAsia" w:eastAsiaTheme="minorEastAsia" w:cstheme="minorEastAsia"/>
          <w:b/>
        </w:rPr>
      </w:pPr>
      <w:bookmarkStart w:id="238" w:name="_Toc8218"/>
      <w:r>
        <w:rPr>
          <w:rFonts w:hint="eastAsia" w:asciiTheme="minorEastAsia" w:hAnsiTheme="minorEastAsia" w:eastAsiaTheme="minorEastAsia" w:cstheme="minorEastAsia"/>
          <w:b/>
          <w:bCs/>
          <w:spacing w:val="6"/>
          <w:szCs w:val="21"/>
        </w:rPr>
        <w:t>二十、</w:t>
      </w:r>
      <w:r>
        <w:rPr>
          <w:rFonts w:hint="eastAsia" w:asciiTheme="minorEastAsia" w:hAnsiTheme="minorEastAsia" w:eastAsiaTheme="minorEastAsia" w:cstheme="minorEastAsia"/>
          <w:b/>
        </w:rPr>
        <w:t>无重大违法记录声明</w:t>
      </w:r>
      <w:bookmarkEnd w:id="231"/>
      <w:bookmarkEnd w:id="232"/>
      <w:bookmarkEnd w:id="233"/>
      <w:bookmarkEnd w:id="234"/>
      <w:bookmarkEnd w:id="235"/>
      <w:bookmarkEnd w:id="238"/>
    </w:p>
    <w:p>
      <w:pPr>
        <w:spacing w:line="480" w:lineRule="auto"/>
        <w:jc w:val="center"/>
        <w:rPr>
          <w:rFonts w:asciiTheme="minorEastAsia" w:hAnsiTheme="minorEastAsia" w:eastAsiaTheme="minorEastAsia" w:cstheme="minorEastAsia"/>
          <w:b/>
          <w:bCs/>
          <w:kern w:val="0"/>
          <w:sz w:val="24"/>
        </w:rPr>
      </w:pPr>
      <w:r>
        <w:rPr>
          <w:rFonts w:hint="eastAsia" w:asciiTheme="minorEastAsia" w:hAnsiTheme="minorEastAsia" w:eastAsiaTheme="minorEastAsia" w:cstheme="minorEastAsia"/>
          <w:b/>
          <w:bCs/>
          <w:kern w:val="0"/>
          <w:sz w:val="24"/>
        </w:rPr>
        <w:t>（磋商供应商应在此基础上，根据本单位实际情况进行声明）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采购人和采购代理机构：</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rPr>
        <w:t>我方在此声明，我方在参加本</w:t>
      </w:r>
      <w:r>
        <w:rPr>
          <w:rFonts w:hint="eastAsia" w:asciiTheme="minorEastAsia" w:hAnsiTheme="minorEastAsia" w:eastAsiaTheme="minorEastAsia" w:cstheme="minorEastAsia"/>
          <w:kern w:val="0"/>
          <w:szCs w:val="21"/>
          <w:shd w:val="clear" w:color="auto" w:fill="FFFFFF"/>
        </w:rPr>
        <w:t>次政府采购活动前三年内，在经营活动中没有以下重大违法记录：</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1.我方因违法经营被追究过刑事责任；</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2.我方因违法经营被责令停产停业、吊销许可证或者执照；</w:t>
      </w:r>
    </w:p>
    <w:p>
      <w:pPr>
        <w:spacing w:line="48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3.我方因违法经营被处以较大数额罚款等行政处罚；</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4.不良经济纠纷记录和违法行为。</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随本声明附上我方参加本次政府采购活动前3年内发生的诉讼及仲裁情况表以及相关的法律证明文件供贵方核验。我方保证上述信息的完整、客观、真实、准确，并愿意承担我方因提供虚假材料谋骗取中标、成交所引起的一切法律后果。</w:t>
      </w:r>
    </w:p>
    <w:p>
      <w:pPr>
        <w:spacing w:line="480" w:lineRule="auto"/>
        <w:ind w:firstLine="420" w:firstLineChars="200"/>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特此声明！</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line="480" w:lineRule="auto"/>
        <w:rPr>
          <w:rFonts w:asciiTheme="minorEastAsia" w:hAnsiTheme="minorEastAsia" w:eastAsiaTheme="minorEastAsia" w:cstheme="minorEastAsia"/>
          <w:szCs w:val="21"/>
        </w:rPr>
      </w:pPr>
      <w:r>
        <w:rPr>
          <w:rFonts w:hint="eastAsia" w:asciiTheme="minorEastAsia" w:hAnsiTheme="minorEastAsia" w:eastAsiaTheme="minorEastAsia" w:cstheme="minorEastAsia"/>
          <w:kern w:val="0"/>
          <w:szCs w:val="21"/>
          <w:shd w:val="clear" w:color="auto" w:fill="FFFFFF"/>
        </w:rPr>
        <w:t>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磋商供应商法定代表人（签字）：</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磋商供应商授权代表（签字）：                        </w:t>
      </w:r>
    </w:p>
    <w:p>
      <w:pPr>
        <w:spacing w:before="100" w:beforeAutospacing="1" w:after="100" w:afterAutospacing="1"/>
        <w:jc w:val="left"/>
        <w:rPr>
          <w:rFonts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磋商供应商名称（</w:t>
      </w:r>
      <w:r>
        <w:rPr>
          <w:rFonts w:hint="eastAsia" w:asciiTheme="minorEastAsia" w:hAnsiTheme="minorEastAsia" w:eastAsiaTheme="minorEastAsia" w:cstheme="minorEastAsia"/>
          <w:szCs w:val="21"/>
        </w:rPr>
        <w:t>盖章</w:t>
      </w:r>
      <w:r>
        <w:rPr>
          <w:rFonts w:hint="eastAsia" w:asciiTheme="minorEastAsia" w:hAnsiTheme="minorEastAsia" w:eastAsiaTheme="minorEastAsia" w:cstheme="minorEastAsia"/>
          <w:szCs w:val="21"/>
          <w:lang w:val="zh-CN"/>
        </w:rPr>
        <w:t xml:space="preserve">）：                                     </w:t>
      </w:r>
    </w:p>
    <w:p>
      <w:pPr>
        <w:spacing w:line="360" w:lineRule="auto"/>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szCs w:val="21"/>
          <w:lang w:val="zh-CN"/>
        </w:rPr>
        <w:t>时                 间：           年          月          日</w:t>
      </w:r>
    </w:p>
    <w:p>
      <w:pPr>
        <w:spacing w:line="360" w:lineRule="auto"/>
        <w:ind w:firstLine="420" w:firstLineChars="200"/>
        <w:rPr>
          <w:rFonts w:asciiTheme="minorEastAsia" w:hAnsiTheme="minorEastAsia" w:eastAsiaTheme="minorEastAsia" w:cstheme="minorEastAsia"/>
          <w:kern w:val="0"/>
          <w:szCs w:val="21"/>
          <w:shd w:val="clear" w:color="auto" w:fill="FFFFFF"/>
        </w:rPr>
      </w:pPr>
      <w:r>
        <w:rPr>
          <w:rFonts w:hint="eastAsia" w:asciiTheme="minorEastAsia" w:hAnsiTheme="minorEastAsia" w:eastAsiaTheme="minorEastAsia" w:cstheme="minorEastAsia"/>
          <w:kern w:val="0"/>
          <w:szCs w:val="21"/>
          <w:shd w:val="clear" w:color="auto" w:fill="FFFFFF"/>
        </w:rPr>
        <w:t>注：发生的诉讼和仲裁情况仅限于供应商败诉的，且与经营活动有关的案件，不包括调解结案的案件。与经营活动有关，但尚未裁决或终审判决的案件请单独另附《情况说明》（说明内容：案件当事人、基本案情）。</w:t>
      </w:r>
      <w:r>
        <w:rPr>
          <w:rFonts w:hint="eastAsia" w:asciiTheme="minorEastAsia" w:hAnsiTheme="minorEastAsia" w:eastAsiaTheme="minorEastAsia" w:cstheme="minorEastAsia"/>
          <w:kern w:val="0"/>
          <w:szCs w:val="21"/>
          <w:shd w:val="clear" w:color="auto" w:fill="FFFFFF"/>
        </w:rPr>
        <w:br w:type="textWrapping"/>
      </w:r>
    </w:p>
    <w:p>
      <w:pPr>
        <w:jc w:val="center"/>
        <w:outlineLvl w:val="1"/>
        <w:rPr>
          <w:rFonts w:asciiTheme="minorEastAsia" w:hAnsiTheme="minorEastAsia" w:eastAsiaTheme="minorEastAsia" w:cstheme="minorEastAsia"/>
          <w:spacing w:val="6"/>
          <w:szCs w:val="21"/>
        </w:rPr>
      </w:pPr>
      <w:bookmarkStart w:id="239" w:name="_Toc10829"/>
      <w:bookmarkStart w:id="240" w:name="_Toc268"/>
      <w:r>
        <w:rPr>
          <w:rFonts w:hint="eastAsia" w:asciiTheme="minorEastAsia" w:hAnsiTheme="minorEastAsia" w:eastAsiaTheme="minorEastAsia" w:cstheme="minorEastAsia"/>
          <w:kern w:val="0"/>
          <w:szCs w:val="21"/>
          <w:shd w:val="clear" w:color="auto" w:fill="FFFFFF"/>
        </w:rPr>
        <w:br w:type="textWrapping"/>
      </w:r>
      <w:r>
        <w:rPr>
          <w:rFonts w:hint="eastAsia" w:asciiTheme="minorEastAsia" w:hAnsiTheme="minorEastAsia" w:eastAsiaTheme="minorEastAsia" w:cstheme="minorEastAsia"/>
          <w:b/>
          <w:bCs/>
          <w:kern w:val="0"/>
          <w:szCs w:val="21"/>
          <w:shd w:val="clear" w:color="auto" w:fill="FFFFFF"/>
        </w:rPr>
        <w:t>二十一、磋商供应商认为应该提交的其它文件（格式自拟）</w:t>
      </w:r>
      <w:bookmarkEnd w:id="239"/>
      <w:r>
        <w:rPr>
          <w:rFonts w:hint="eastAsia" w:asciiTheme="minorEastAsia" w:hAnsiTheme="minorEastAsia" w:eastAsiaTheme="minorEastAsia" w:cstheme="minorEastAsia"/>
          <w:b/>
          <w:bCs/>
          <w:kern w:val="0"/>
          <w:szCs w:val="21"/>
          <w:shd w:val="clear" w:color="auto" w:fill="FFFFFF"/>
        </w:rPr>
        <w:br w:type="textWrapping"/>
      </w:r>
      <w:bookmarkEnd w:id="240"/>
    </w:p>
    <w:tbl>
      <w:tblPr>
        <w:tblStyle w:val="26"/>
        <w:tblW w:w="5484" w:type="pct"/>
        <w:tblInd w:w="-466" w:type="dxa"/>
        <w:tblLayout w:type="fixed"/>
        <w:tblCellMar>
          <w:top w:w="0" w:type="dxa"/>
          <w:left w:w="0" w:type="dxa"/>
          <w:bottom w:w="0" w:type="dxa"/>
          <w:right w:w="0" w:type="dxa"/>
        </w:tblCellMar>
      </w:tblPr>
      <w:tblGrid>
        <w:gridCol w:w="1163"/>
        <w:gridCol w:w="662"/>
        <w:gridCol w:w="760"/>
        <w:gridCol w:w="819"/>
        <w:gridCol w:w="665"/>
        <w:gridCol w:w="783"/>
        <w:gridCol w:w="783"/>
        <w:gridCol w:w="657"/>
        <w:gridCol w:w="767"/>
        <w:gridCol w:w="747"/>
        <w:gridCol w:w="793"/>
        <w:gridCol w:w="685"/>
        <w:gridCol w:w="699"/>
      </w:tblGrid>
      <w:tr>
        <w:tblPrEx>
          <w:tblCellMar>
            <w:top w:w="0" w:type="dxa"/>
            <w:left w:w="0" w:type="dxa"/>
            <w:bottom w:w="0" w:type="dxa"/>
            <w:right w:w="0" w:type="dxa"/>
          </w:tblCellMar>
        </w:tblPrEx>
        <w:trPr>
          <w:trHeight w:val="720" w:hRule="atLeast"/>
          <w:tblHeader/>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widowControl/>
              <w:jc w:val="center"/>
              <w:textAlignment w:val="center"/>
              <w:rPr>
                <w:rFonts w:ascii="黑体" w:hAnsi="宋体" w:eastAsia="黑体" w:cs="黑体"/>
                <w:b/>
                <w:sz w:val="40"/>
                <w:szCs w:val="40"/>
              </w:rPr>
            </w:pPr>
            <w:r>
              <w:rPr>
                <w:rFonts w:hint="eastAsia" w:ascii="黑体" w:hAnsi="宋体" w:eastAsia="黑体" w:cs="黑体"/>
                <w:b/>
                <w:kern w:val="0"/>
                <w:sz w:val="40"/>
                <w:szCs w:val="40"/>
              </w:rPr>
              <w:t>中小企业划型标准规定（工信部联企业[2011]300号）</w:t>
            </w:r>
          </w:p>
        </w:tc>
      </w:tr>
      <w:tr>
        <w:tblPrEx>
          <w:tblCellMar>
            <w:top w:w="0" w:type="dxa"/>
            <w:left w:w="0" w:type="dxa"/>
            <w:bottom w:w="0" w:type="dxa"/>
            <w:right w:w="0" w:type="dxa"/>
          </w:tblCellMar>
        </w:tblPrEx>
        <w:trPr>
          <w:trHeight w:val="270" w:hRule="atLeast"/>
          <w:tblHeader/>
        </w:trPr>
        <w:tc>
          <w:tcPr>
            <w:tcW w:w="583" w:type="pct"/>
            <w:vMerge w:val="restart"/>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行业</w:t>
            </w:r>
          </w:p>
        </w:tc>
        <w:tc>
          <w:tcPr>
            <w:tcW w:w="1123"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中小微型企业（</w:t>
            </w:r>
            <w:r>
              <w:rPr>
                <w:rFonts w:hint="eastAsia" w:ascii="宋体" w:hAnsi="宋体" w:cs="宋体"/>
                <w:b/>
                <w:kern w:val="0"/>
                <w:szCs w:val="21"/>
              </w:rPr>
              <w:t>或</w:t>
            </w:r>
            <w:r>
              <w:rPr>
                <w:rFonts w:hint="eastAsia" w:ascii="宋体" w:hAnsi="宋体" w:cs="宋体"/>
                <w:kern w:val="0"/>
                <w:szCs w:val="21"/>
              </w:rPr>
              <w:t>）</w:t>
            </w:r>
          </w:p>
        </w:tc>
        <w:tc>
          <w:tcPr>
            <w:tcW w:w="111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中型企业（</w:t>
            </w:r>
            <w:r>
              <w:rPr>
                <w:rFonts w:hint="eastAsia" w:ascii="宋体" w:hAnsi="宋体" w:cs="宋体"/>
                <w:b/>
                <w:kern w:val="0"/>
                <w:szCs w:val="21"/>
              </w:rPr>
              <w:t>且</w:t>
            </w:r>
            <w:r>
              <w:rPr>
                <w:rFonts w:hint="eastAsia" w:ascii="宋体" w:hAnsi="宋体" w:cs="宋体"/>
                <w:kern w:val="0"/>
                <w:szCs w:val="21"/>
              </w:rPr>
              <w:t>）</w:t>
            </w:r>
          </w:p>
        </w:tc>
        <w:tc>
          <w:tcPr>
            <w:tcW w:w="1087"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小型企业（</w:t>
            </w:r>
            <w:r>
              <w:rPr>
                <w:rFonts w:hint="eastAsia" w:ascii="宋体" w:hAnsi="宋体" w:cs="宋体"/>
                <w:b/>
                <w:kern w:val="0"/>
                <w:szCs w:val="21"/>
              </w:rPr>
              <w:t>且</w:t>
            </w:r>
            <w:r>
              <w:rPr>
                <w:rFonts w:hint="eastAsia" w:ascii="宋体" w:hAnsi="宋体" w:cs="宋体"/>
                <w:kern w:val="0"/>
                <w:szCs w:val="21"/>
              </w:rPr>
              <w:t>）</w:t>
            </w:r>
          </w:p>
        </w:tc>
        <w:tc>
          <w:tcPr>
            <w:tcW w:w="1088" w:type="pct"/>
            <w:gridSpan w:val="3"/>
            <w:tcBorders>
              <w:top w:val="single" w:color="000000" w:sz="8"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微型企业（</w:t>
            </w:r>
            <w:r>
              <w:rPr>
                <w:rFonts w:hint="eastAsia" w:ascii="宋体" w:hAnsi="宋体" w:cs="宋体"/>
                <w:b/>
                <w:kern w:val="0"/>
                <w:szCs w:val="21"/>
              </w:rPr>
              <w:t>或</w:t>
            </w:r>
            <w:r>
              <w:rPr>
                <w:rFonts w:hint="eastAsia" w:ascii="宋体" w:hAnsi="宋体" w:cs="宋体"/>
                <w:kern w:val="0"/>
                <w:szCs w:val="21"/>
              </w:rPr>
              <w:t>）</w:t>
            </w:r>
          </w:p>
        </w:tc>
      </w:tr>
      <w:tr>
        <w:tblPrEx>
          <w:tblCellMar>
            <w:top w:w="0" w:type="dxa"/>
            <w:left w:w="0" w:type="dxa"/>
            <w:bottom w:w="0" w:type="dxa"/>
            <w:right w:w="0" w:type="dxa"/>
          </w:tblCellMar>
        </w:tblPrEx>
        <w:trPr>
          <w:trHeight w:val="270" w:hRule="atLeast"/>
          <w:tblHeader/>
        </w:trPr>
        <w:tc>
          <w:tcPr>
            <w:tcW w:w="583" w:type="pct"/>
            <w:vMerge w:val="continue"/>
            <w:tcBorders>
              <w:top w:val="single" w:color="000000" w:sz="8"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cs="宋体"/>
                <w:szCs w:val="21"/>
              </w:rPr>
            </w:pP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从业人员</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营业收入</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center"/>
              <w:textAlignment w:val="center"/>
              <w:rPr>
                <w:rFonts w:ascii="宋体" w:hAnsi="宋体" w:cs="宋体"/>
                <w:szCs w:val="21"/>
              </w:rPr>
            </w:pPr>
            <w:r>
              <w:rPr>
                <w:rFonts w:hint="eastAsia" w:ascii="宋体" w:hAnsi="宋体" w:cs="宋体"/>
                <w:kern w:val="0"/>
                <w:szCs w:val="21"/>
              </w:rPr>
              <w:t>资产总额</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农、林、牧、渔业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工业（包括采矿业，制造业，电力、热力、燃气及水生产和供应业）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建筑业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80000万元以下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80000万元以下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6000万元及以上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批发业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40000万元以下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零售业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交通运输业（不含铁路运输业）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仓储业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邮政业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住宿业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餐饮业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信息传输业（包括电信、互联网和相关服务）</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软件和信息技术服务业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房地产开发经营</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200000万元以下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2000万元以下</w:t>
            </w: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物业管理</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5000万元以下</w:t>
            </w: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1000万元及以上</w:t>
            </w: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500万元及以上</w:t>
            </w: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500万元以下</w:t>
            </w: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420" w:hRule="atLeast"/>
        </w:trPr>
        <w:tc>
          <w:tcPr>
            <w:tcW w:w="583" w:type="pct"/>
            <w:tcBorders>
              <w:top w:val="single" w:color="000000" w:sz="4" w:space="0"/>
              <w:left w:val="single" w:color="000000" w:sz="8"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租赁和商务服务业</w:t>
            </w:r>
          </w:p>
        </w:tc>
        <w:tc>
          <w:tcPr>
            <w:tcW w:w="33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120000万元以下</w:t>
            </w:r>
          </w:p>
        </w:tc>
        <w:tc>
          <w:tcPr>
            <w:tcW w:w="33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8000万元及以上</w:t>
            </w:r>
          </w:p>
        </w:tc>
        <w:tc>
          <w:tcPr>
            <w:tcW w:w="32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100万元及以上</w:t>
            </w:r>
          </w:p>
        </w:tc>
        <w:tc>
          <w:tcPr>
            <w:tcW w:w="39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4" w:space="0"/>
              <w:right w:val="single" w:color="000000" w:sz="8"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100万元以下</w:t>
            </w:r>
          </w:p>
        </w:tc>
      </w:tr>
      <w:tr>
        <w:tblPrEx>
          <w:tblCellMar>
            <w:top w:w="0" w:type="dxa"/>
            <w:left w:w="0" w:type="dxa"/>
            <w:bottom w:w="0" w:type="dxa"/>
            <w:right w:w="0" w:type="dxa"/>
          </w:tblCellMar>
        </w:tblPrEx>
        <w:trPr>
          <w:trHeight w:val="1065" w:hRule="atLeast"/>
        </w:trPr>
        <w:tc>
          <w:tcPr>
            <w:tcW w:w="583" w:type="pct"/>
            <w:tcBorders>
              <w:top w:val="single" w:color="000000" w:sz="4" w:space="0"/>
              <w:left w:val="single" w:color="000000" w:sz="8"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其他未列明行业（包括科学研究和技术服务业，水利、环境和公共设施管理业，居民服务、修理和其他服务业，社会工作，文化、体育和娱乐业等）</w:t>
            </w:r>
          </w:p>
        </w:tc>
        <w:tc>
          <w:tcPr>
            <w:tcW w:w="33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300人以下</w:t>
            </w:r>
          </w:p>
        </w:tc>
        <w:tc>
          <w:tcPr>
            <w:tcW w:w="38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40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3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100人及以上</w:t>
            </w:r>
          </w:p>
        </w:tc>
        <w:tc>
          <w:tcPr>
            <w:tcW w:w="392"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1"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29"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10人及以上</w:t>
            </w:r>
          </w:p>
        </w:tc>
        <w:tc>
          <w:tcPr>
            <w:tcW w:w="384"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7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97"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widowControl/>
              <w:jc w:val="left"/>
              <w:textAlignment w:val="center"/>
              <w:rPr>
                <w:rFonts w:ascii="宋体" w:hAnsi="宋体" w:cs="宋体"/>
                <w:szCs w:val="21"/>
              </w:rPr>
            </w:pPr>
            <w:r>
              <w:rPr>
                <w:rFonts w:hint="eastAsia" w:ascii="宋体" w:hAnsi="宋体" w:cs="宋体"/>
                <w:kern w:val="0"/>
                <w:szCs w:val="21"/>
              </w:rPr>
              <w:t>10人以下</w:t>
            </w:r>
          </w:p>
        </w:tc>
        <w:tc>
          <w:tcPr>
            <w:tcW w:w="343" w:type="pct"/>
            <w:tcBorders>
              <w:top w:val="single" w:color="000000" w:sz="4" w:space="0"/>
              <w:left w:val="single" w:color="000000" w:sz="4" w:space="0"/>
              <w:bottom w:val="single" w:color="000000" w:sz="8" w:space="0"/>
              <w:right w:val="single" w:color="000000" w:sz="4" w:space="0"/>
            </w:tcBorders>
            <w:shd w:val="clear" w:color="auto" w:fill="auto"/>
            <w:tcMar>
              <w:top w:w="15" w:type="dxa"/>
              <w:left w:w="15" w:type="dxa"/>
              <w:right w:w="15" w:type="dxa"/>
            </w:tcMar>
            <w:vAlign w:val="center"/>
          </w:tcPr>
          <w:p>
            <w:pPr>
              <w:rPr>
                <w:rFonts w:ascii="宋体" w:hAnsi="宋体" w:cs="宋体"/>
                <w:szCs w:val="21"/>
              </w:rPr>
            </w:pPr>
          </w:p>
        </w:tc>
        <w:tc>
          <w:tcPr>
            <w:tcW w:w="347" w:type="pct"/>
            <w:tcBorders>
              <w:top w:val="single" w:color="000000" w:sz="4" w:space="0"/>
              <w:left w:val="single" w:color="000000" w:sz="4" w:space="0"/>
              <w:bottom w:val="single" w:color="000000" w:sz="8" w:space="0"/>
              <w:right w:val="single" w:color="000000" w:sz="8" w:space="0"/>
            </w:tcBorders>
            <w:shd w:val="clear" w:color="auto" w:fill="auto"/>
            <w:tcMar>
              <w:top w:w="15" w:type="dxa"/>
              <w:left w:w="15" w:type="dxa"/>
              <w:right w:w="15" w:type="dxa"/>
            </w:tcMar>
            <w:vAlign w:val="center"/>
          </w:tcPr>
          <w:p>
            <w:pPr>
              <w:rPr>
                <w:rFonts w:ascii="宋体" w:hAnsi="宋体" w:cs="宋体"/>
                <w:szCs w:val="21"/>
              </w:rPr>
            </w:pP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szCs w:val="21"/>
              </w:rPr>
            </w:pPr>
            <w:r>
              <w:rPr>
                <w:rFonts w:hint="eastAsia" w:ascii="宋体" w:hAnsi="宋体" w:cs="宋体"/>
                <w:kern w:val="0"/>
                <w:szCs w:val="21"/>
              </w:rPr>
              <w:t>本规定适用于在中华人民共和国境内依法设立的各类所有制和各种组织形式的企业。</w:t>
            </w:r>
            <w:r>
              <w:rPr>
                <w:rFonts w:hint="eastAsia" w:ascii="宋体" w:hAnsi="宋体" w:cs="宋体"/>
                <w:b/>
                <w:kern w:val="0"/>
                <w:szCs w:val="21"/>
              </w:rPr>
              <w:t>个体工商户</w:t>
            </w:r>
            <w:r>
              <w:rPr>
                <w:rFonts w:hint="eastAsia" w:ascii="宋体" w:hAnsi="宋体" w:cs="宋体"/>
                <w:kern w:val="0"/>
                <w:szCs w:val="21"/>
              </w:rPr>
              <w:t>和本规定以外的行业，参照本规定进行划型。</w:t>
            </w:r>
          </w:p>
        </w:tc>
      </w:tr>
      <w:tr>
        <w:tblPrEx>
          <w:tblCellMar>
            <w:top w:w="0" w:type="dxa"/>
            <w:left w:w="0" w:type="dxa"/>
            <w:bottom w:w="0" w:type="dxa"/>
            <w:right w:w="0" w:type="dxa"/>
          </w:tblCellMar>
        </w:tblPrEx>
        <w:trPr>
          <w:trHeight w:val="270" w:hRule="atLeast"/>
        </w:trPr>
        <w:tc>
          <w:tcPr>
            <w:tcW w:w="5000" w:type="pct"/>
            <w:gridSpan w:val="13"/>
            <w:tcBorders>
              <w:top w:val="nil"/>
              <w:left w:val="nil"/>
              <w:bottom w:val="nil"/>
              <w:right w:val="nil"/>
            </w:tcBorders>
            <w:shd w:val="clear" w:color="auto" w:fill="auto"/>
            <w:noWrap/>
            <w:tcMar>
              <w:top w:w="15" w:type="dxa"/>
              <w:left w:w="15" w:type="dxa"/>
              <w:right w:w="15" w:type="dxa"/>
            </w:tcMar>
            <w:vAlign w:val="center"/>
          </w:tcPr>
          <w:p>
            <w:pPr>
              <w:rPr>
                <w:rFonts w:ascii="宋体" w:hAnsi="宋体" w:cs="宋体"/>
                <w:color w:val="000000"/>
                <w:szCs w:val="21"/>
              </w:rPr>
            </w:pPr>
            <w:r>
              <w:rPr>
                <w:rFonts w:hint="eastAsia" w:ascii="宋体" w:hAnsi="宋体" w:cs="宋体"/>
                <w:color w:val="000000"/>
                <w:kern w:val="0"/>
                <w:szCs w:val="21"/>
              </w:rPr>
              <w:t>本规定的中型企业标准上限即为大型企业标准的下限，国家统计部门据此制定大中小微型企业的统计分类。国务院有关部门据此进行相关数据分析，不得制定与本规定不一致的企业划型标准。</w:t>
            </w:r>
          </w:p>
        </w:tc>
      </w:tr>
    </w:tbl>
    <w:p>
      <w:pPr>
        <w:jc w:val="center"/>
        <w:outlineLvl w:val="1"/>
        <w:rPr>
          <w:rFonts w:asciiTheme="minorEastAsia" w:hAnsiTheme="minorEastAsia" w:eastAsiaTheme="minorEastAsia" w:cstheme="minorEastAsia"/>
          <w:spacing w:val="6"/>
          <w:szCs w:val="21"/>
        </w:rPr>
      </w:pPr>
    </w:p>
    <w:sectPr>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AFF" w:usb1="C0007841" w:usb2="00000009" w:usb3="00000000" w:csb0="400001FF" w:csb1="FFFF0000"/>
  </w:font>
  <w:font w:name="宋体">
    <w:panose1 w:val="02010600030101010101"/>
    <w:charset w:val="80"/>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10006FF" w:usb1="4000205B" w:usb2="00000010" w:usb3="00000000" w:csb0="2000019F" w:csb1="00000000"/>
  </w:font>
  <w:font w:name="font-weight : 400">
    <w:altName w:val="Courier New"/>
    <w:panose1 w:val="00000000000000000000"/>
    <w:charset w:val="00"/>
    <w:family w:val="auto"/>
    <w:pitch w:val="default"/>
    <w:sig w:usb0="00000000" w:usb1="00000000" w:usb2="00000000" w:usb3="00000000" w:csb0="00040001" w:csb1="00000000"/>
  </w:font>
  <w:font w:name="MS Shell Dlg">
    <w:altName w:val="Microsoft Sans Serif"/>
    <w:panose1 w:val="020B0604020202020204"/>
    <w:charset w:val="00"/>
    <w:family w:val="swiss"/>
    <w:pitch w:val="default"/>
    <w:sig w:usb0="00000000" w:usb1="00000000" w:usb2="00000029" w:usb3="00000000" w:csb0="000101FF" w:csb1="00000000"/>
  </w:font>
  <w:font w:name="Microsoft Sans Serif">
    <w:panose1 w:val="020B0604020202020204"/>
    <w:charset w:val="00"/>
    <w:family w:val="auto"/>
    <w:pitch w:val="default"/>
    <w:sig w:usb0="E1002AFF" w:usb1="C0000002" w:usb2="00000008" w:usb3="00000000" w:csb0="200101FF" w:csb1="2028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right" w:y="1"/>
      <w:rPr>
        <w:rStyle w:val="30"/>
      </w:rPr>
    </w:pPr>
    <w:r>
      <w:fldChar w:fldCharType="begin"/>
    </w:r>
    <w:r>
      <w:rPr>
        <w:rStyle w:val="30"/>
      </w:rPr>
      <w:instrText xml:space="preserve">PAGE  </w:instrTex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center"/>
    </w:pPr>
    <w:r>
      <w:fldChar w:fldCharType="begin"/>
    </w:r>
    <w:r>
      <w:instrText xml:space="preserve"> PAGE   \* MERGEFORMAT </w:instrText>
    </w:r>
    <w:r>
      <w:fldChar w:fldCharType="separate"/>
    </w:r>
    <w:r>
      <w:rPr>
        <w:lang w:val="zh-CN"/>
      </w:rPr>
      <w:t>37</w:t>
    </w:r>
    <w:r>
      <w:rPr>
        <w:lang w:val="zh-CN"/>
      </w:rPr>
      <w:fldChar w:fldCharType="end"/>
    </w:r>
  </w:p>
  <w:p>
    <w:pPr>
      <w:pStyle w:val="18"/>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Pr>
    <w:r>
      <w:pict>
        <v:shape id="PowerPlusWaterMarkObject2" o:spid="_x0000_s2049" o:spt="136" type="#_x0000_t136" style="position:absolute;left:0pt;height:200.25pt;width:600.75pt;mso-position-horizontal:center;mso-position-horizontal-relative:page;mso-position-vertical:center;mso-position-vertical-relative:page;rotation:20643840f;z-index:-251657216;mso-width-relative:page;mso-height-relative:page;" fillcolor="#FF0000" filled="t" stroked="f" coordsize="21600,21600" o:allowincell="f">
          <v:path/>
          <v:fill on="t" opacity="32768f" focussize="0,0"/>
          <v:stroke on="f"/>
          <v:imagedata o:title=""/>
          <o:lock v:ext="edit" text="f"/>
          <v:textpath on="t" fitshape="t" fitpath="t" trim="t" xscale="f" string="第一稿" style="font-family:宋体;font-size:96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6997BC"/>
    <w:multiLevelType w:val="singleLevel"/>
    <w:tmpl w:val="DC6997BC"/>
    <w:lvl w:ilvl="0" w:tentative="0">
      <w:start w:val="3"/>
      <w:numFmt w:val="decimal"/>
      <w:suff w:val="nothing"/>
      <w:lvlText w:val="（%1）"/>
      <w:lvlJc w:val="left"/>
    </w:lvl>
  </w:abstractNum>
  <w:abstractNum w:abstractNumId="1">
    <w:nsid w:val="0000000C"/>
    <w:multiLevelType w:val="multilevel"/>
    <w:tmpl w:val="0000000C"/>
    <w:lvl w:ilvl="0" w:tentative="0">
      <w:start w:val="1"/>
      <w:numFmt w:val="japaneseCounting"/>
      <w:lvlText w:val="第%1章"/>
      <w:lvlJc w:val="left"/>
      <w:pPr>
        <w:tabs>
          <w:tab w:val="left" w:pos="1605"/>
        </w:tabs>
        <w:ind w:left="1605" w:hanging="960"/>
      </w:pPr>
      <w:rPr>
        <w:rFonts w:hint="eastAsia"/>
      </w:rPr>
    </w:lvl>
    <w:lvl w:ilvl="1" w:tentative="0">
      <w:start w:val="1"/>
      <w:numFmt w:val="japaneseCounting"/>
      <w:lvlText w:val="%2、"/>
      <w:lvlJc w:val="left"/>
      <w:pPr>
        <w:tabs>
          <w:tab w:val="left" w:pos="1365"/>
        </w:tabs>
        <w:ind w:left="1365" w:hanging="525"/>
      </w:pPr>
      <w:rPr>
        <w:rFonts w:hint="default"/>
      </w:rPr>
    </w:lvl>
    <w:lvl w:ilvl="2" w:tentative="0">
      <w:start w:val="1"/>
      <w:numFmt w:val="lowerRoman"/>
      <w:lvlText w:val="%3."/>
      <w:lvlJc w:val="right"/>
      <w:pPr>
        <w:tabs>
          <w:tab w:val="left" w:pos="1905"/>
        </w:tabs>
        <w:ind w:left="1905" w:hanging="420"/>
      </w:pPr>
    </w:lvl>
    <w:lvl w:ilvl="3" w:tentative="0">
      <w:start w:val="1"/>
      <w:numFmt w:val="decimal"/>
      <w:lvlText w:val="%4."/>
      <w:lvlJc w:val="left"/>
      <w:pPr>
        <w:tabs>
          <w:tab w:val="left" w:pos="2325"/>
        </w:tabs>
        <w:ind w:left="2325" w:hanging="420"/>
      </w:pPr>
    </w:lvl>
    <w:lvl w:ilvl="4" w:tentative="0">
      <w:start w:val="1"/>
      <w:numFmt w:val="lowerLetter"/>
      <w:lvlText w:val="%5)"/>
      <w:lvlJc w:val="left"/>
      <w:pPr>
        <w:tabs>
          <w:tab w:val="left" w:pos="2745"/>
        </w:tabs>
        <w:ind w:left="2745" w:hanging="420"/>
      </w:pPr>
    </w:lvl>
    <w:lvl w:ilvl="5" w:tentative="0">
      <w:start w:val="1"/>
      <w:numFmt w:val="lowerRoman"/>
      <w:lvlText w:val="%6."/>
      <w:lvlJc w:val="right"/>
      <w:pPr>
        <w:tabs>
          <w:tab w:val="left" w:pos="3165"/>
        </w:tabs>
        <w:ind w:left="3165" w:hanging="420"/>
      </w:pPr>
    </w:lvl>
    <w:lvl w:ilvl="6" w:tentative="0">
      <w:start w:val="1"/>
      <w:numFmt w:val="decimal"/>
      <w:lvlText w:val="%7."/>
      <w:lvlJc w:val="left"/>
      <w:pPr>
        <w:tabs>
          <w:tab w:val="left" w:pos="420"/>
        </w:tabs>
        <w:ind w:left="420" w:hanging="420"/>
      </w:pPr>
    </w:lvl>
    <w:lvl w:ilvl="7" w:tentative="0">
      <w:start w:val="1"/>
      <w:numFmt w:val="lowerLetter"/>
      <w:lvlText w:val="%8)"/>
      <w:lvlJc w:val="left"/>
      <w:pPr>
        <w:tabs>
          <w:tab w:val="left" w:pos="4005"/>
        </w:tabs>
        <w:ind w:left="4005" w:hanging="420"/>
      </w:pPr>
    </w:lvl>
    <w:lvl w:ilvl="8" w:tentative="0">
      <w:start w:val="1"/>
      <w:numFmt w:val="lowerRoman"/>
      <w:lvlText w:val="%9."/>
      <w:lvlJc w:val="right"/>
      <w:pPr>
        <w:tabs>
          <w:tab w:val="left" w:pos="4425"/>
        </w:tabs>
        <w:ind w:left="4425" w:hanging="420"/>
      </w:pPr>
    </w:lvl>
  </w:abstractNum>
  <w:abstractNum w:abstractNumId="2">
    <w:nsid w:val="00F67C5B"/>
    <w:multiLevelType w:val="multilevel"/>
    <w:tmpl w:val="00F67C5B"/>
    <w:lvl w:ilvl="0" w:tentative="0">
      <w:start w:val="8"/>
      <w:numFmt w:val="decimal"/>
      <w:lvlText w:val="%1"/>
      <w:lvlJc w:val="left"/>
      <w:pPr>
        <w:tabs>
          <w:tab w:val="left" w:pos="360"/>
        </w:tabs>
        <w:ind w:left="360" w:hanging="360"/>
      </w:pPr>
      <w:rPr>
        <w:rFonts w:hint="default"/>
        <w:b/>
      </w:rPr>
    </w:lvl>
    <w:lvl w:ilvl="1" w:tentative="0">
      <w:start w:val="1"/>
      <w:numFmt w:val="decimal"/>
      <w:lvlText w:val="%1.%2"/>
      <w:lvlJc w:val="left"/>
      <w:pPr>
        <w:tabs>
          <w:tab w:val="left" w:pos="360"/>
        </w:tabs>
        <w:ind w:left="360" w:hanging="360"/>
      </w:pPr>
      <w:rPr>
        <w:rFonts w:hint="default"/>
        <w:b w:val="0"/>
      </w:rPr>
    </w:lvl>
    <w:lvl w:ilvl="2" w:tentative="0">
      <w:start w:val="1"/>
      <w:numFmt w:val="decimal"/>
      <w:lvlText w:val="%1.%2.%3"/>
      <w:lvlJc w:val="left"/>
      <w:pPr>
        <w:tabs>
          <w:tab w:val="left" w:pos="720"/>
        </w:tabs>
        <w:ind w:left="720" w:hanging="720"/>
      </w:pPr>
      <w:rPr>
        <w:rFonts w:hint="default"/>
        <w:b/>
      </w:rPr>
    </w:lvl>
    <w:lvl w:ilvl="3" w:tentative="0">
      <w:start w:val="1"/>
      <w:numFmt w:val="decimal"/>
      <w:lvlText w:val="%1.%2.%3.%4"/>
      <w:lvlJc w:val="left"/>
      <w:pPr>
        <w:tabs>
          <w:tab w:val="left" w:pos="1080"/>
        </w:tabs>
        <w:ind w:left="1080" w:hanging="1080"/>
      </w:pPr>
      <w:rPr>
        <w:rFonts w:hint="default"/>
        <w:b/>
      </w:rPr>
    </w:lvl>
    <w:lvl w:ilvl="4" w:tentative="0">
      <w:start w:val="1"/>
      <w:numFmt w:val="decimal"/>
      <w:lvlText w:val="%1.%2.%3.%4.%5"/>
      <w:lvlJc w:val="left"/>
      <w:pPr>
        <w:tabs>
          <w:tab w:val="left" w:pos="1080"/>
        </w:tabs>
        <w:ind w:left="1080" w:hanging="1080"/>
      </w:pPr>
      <w:rPr>
        <w:rFonts w:hint="default"/>
        <w:b/>
      </w:rPr>
    </w:lvl>
    <w:lvl w:ilvl="5" w:tentative="0">
      <w:start w:val="1"/>
      <w:numFmt w:val="decimal"/>
      <w:lvlText w:val="%1.%2.%3.%4.%5.%6"/>
      <w:lvlJc w:val="left"/>
      <w:pPr>
        <w:tabs>
          <w:tab w:val="left" w:pos="1440"/>
        </w:tabs>
        <w:ind w:left="1440" w:hanging="1440"/>
      </w:pPr>
      <w:rPr>
        <w:rFonts w:hint="default"/>
        <w:b/>
      </w:rPr>
    </w:lvl>
    <w:lvl w:ilvl="6" w:tentative="0">
      <w:start w:val="1"/>
      <w:numFmt w:val="decimal"/>
      <w:lvlText w:val="%1.%2.%3.%4.%5.%6.%7"/>
      <w:lvlJc w:val="left"/>
      <w:pPr>
        <w:tabs>
          <w:tab w:val="left" w:pos="1440"/>
        </w:tabs>
        <w:ind w:left="1440" w:hanging="1440"/>
      </w:pPr>
      <w:rPr>
        <w:rFonts w:hint="default"/>
        <w:b/>
      </w:rPr>
    </w:lvl>
    <w:lvl w:ilvl="7" w:tentative="0">
      <w:start w:val="1"/>
      <w:numFmt w:val="decimal"/>
      <w:lvlText w:val="%1.%2.%3.%4.%5.%6.%7.%8"/>
      <w:lvlJc w:val="left"/>
      <w:pPr>
        <w:tabs>
          <w:tab w:val="left" w:pos="1800"/>
        </w:tabs>
        <w:ind w:left="1800" w:hanging="1800"/>
      </w:pPr>
      <w:rPr>
        <w:rFonts w:hint="default"/>
        <w:b/>
      </w:rPr>
    </w:lvl>
    <w:lvl w:ilvl="8" w:tentative="0">
      <w:start w:val="1"/>
      <w:numFmt w:val="decimal"/>
      <w:lvlText w:val="%1.%2.%3.%4.%5.%6.%7.%8.%9"/>
      <w:lvlJc w:val="left"/>
      <w:pPr>
        <w:tabs>
          <w:tab w:val="left" w:pos="1800"/>
        </w:tabs>
        <w:ind w:left="1800" w:hanging="1800"/>
      </w:pPr>
      <w:rPr>
        <w:rFonts w:hint="default"/>
        <w:b/>
      </w:rPr>
    </w:lvl>
  </w:abstractNum>
  <w:abstractNum w:abstractNumId="3">
    <w:nsid w:val="044F5BAD"/>
    <w:multiLevelType w:val="singleLevel"/>
    <w:tmpl w:val="044F5BAD"/>
    <w:lvl w:ilvl="0" w:tentative="0">
      <w:start w:val="1"/>
      <w:numFmt w:val="decimal"/>
      <w:suff w:val="nothing"/>
      <w:lvlText w:val="（%1）"/>
      <w:lvlJc w:val="left"/>
    </w:lvl>
  </w:abstractNum>
  <w:abstractNum w:abstractNumId="4">
    <w:nsid w:val="06F92C31"/>
    <w:multiLevelType w:val="multilevel"/>
    <w:tmpl w:val="06F92C31"/>
    <w:lvl w:ilvl="0" w:tentative="0">
      <w:start w:val="10"/>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5">
    <w:nsid w:val="10152ABE"/>
    <w:multiLevelType w:val="multilevel"/>
    <w:tmpl w:val="10152ABE"/>
    <w:lvl w:ilvl="0" w:tentative="0">
      <w:start w:val="1"/>
      <w:numFmt w:val="decimal"/>
      <w:lvlText w:val="%1）"/>
      <w:lvlJc w:val="left"/>
      <w:pPr>
        <w:tabs>
          <w:tab w:val="left" w:pos="780"/>
        </w:tabs>
        <w:ind w:left="780" w:hanging="360"/>
      </w:pPr>
      <w:rPr>
        <w:rFonts w:hint="default"/>
      </w:rPr>
    </w:lvl>
    <w:lvl w:ilvl="1" w:tentative="0">
      <w:start w:val="1"/>
      <w:numFmt w:val="decimal"/>
      <w:lvlText w:val="%2、"/>
      <w:lvlJc w:val="left"/>
      <w:pPr>
        <w:tabs>
          <w:tab w:val="left" w:pos="0"/>
        </w:tabs>
        <w:ind w:left="0" w:firstLine="0"/>
      </w:pPr>
      <w:rPr>
        <w:rFonts w:hint="default"/>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11726340"/>
    <w:multiLevelType w:val="multilevel"/>
    <w:tmpl w:val="11726340"/>
    <w:lvl w:ilvl="0" w:tentative="0">
      <w:start w:val="15"/>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7">
    <w:nsid w:val="118D7FF0"/>
    <w:multiLevelType w:val="multilevel"/>
    <w:tmpl w:val="118D7FF0"/>
    <w:lvl w:ilvl="0" w:tentative="0">
      <w:start w:val="1"/>
      <w:numFmt w:val="chineseCountingThousand"/>
      <w:lvlText w:val="%1、"/>
      <w:lvlJc w:val="left"/>
      <w:pPr>
        <w:tabs>
          <w:tab w:val="left" w:pos="425"/>
        </w:tabs>
        <w:ind w:left="425" w:firstLine="0"/>
      </w:pPr>
      <w:rPr>
        <w:rFonts w:hint="default"/>
      </w:rPr>
    </w:lvl>
    <w:lvl w:ilvl="1" w:tentative="0">
      <w:start w:val="1"/>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040"/>
        </w:tabs>
        <w:ind w:left="2040" w:hanging="360"/>
      </w:pPr>
      <w:rPr>
        <w:rFonts w:hint="default"/>
      </w:rPr>
    </w:lvl>
    <w:lvl w:ilvl="5" w:tentative="0">
      <w:start w:val="1"/>
      <w:numFmt w:val="lowerLetter"/>
      <w:lvlText w:val="%6）"/>
      <w:lvlJc w:val="left"/>
      <w:pPr>
        <w:tabs>
          <w:tab w:val="left" w:pos="2460"/>
        </w:tabs>
        <w:ind w:left="2460" w:hanging="360"/>
      </w:pPr>
      <w:rPr>
        <w:rFonts w:hint="default" w:ascii="宋体" w:hAnsi="宋体"/>
      </w:r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156E5987"/>
    <w:multiLevelType w:val="multilevel"/>
    <w:tmpl w:val="156E5987"/>
    <w:lvl w:ilvl="0" w:tentative="0">
      <w:start w:val="19"/>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9">
    <w:nsid w:val="15907297"/>
    <w:multiLevelType w:val="multilevel"/>
    <w:tmpl w:val="15907297"/>
    <w:lvl w:ilvl="0" w:tentative="0">
      <w:start w:val="1"/>
      <w:numFmt w:val="decimal"/>
      <w:pStyle w:val="84"/>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pStyle w:val="96"/>
      <w:lvlText w:val="%1.%2.%3"/>
      <w:lvlJc w:val="left"/>
      <w:pPr>
        <w:tabs>
          <w:tab w:val="left" w:pos="720"/>
        </w:tabs>
        <w:ind w:left="720" w:hanging="153"/>
      </w:pPr>
      <w:rPr>
        <w:rFonts w:hint="eastAsia"/>
      </w:rPr>
    </w:lvl>
    <w:lvl w:ilvl="3" w:tentative="0">
      <w:start w:val="1"/>
      <w:numFmt w:val="decimal"/>
      <w:pStyle w:val="83"/>
      <w:lvlText w:val="%1.%2.%3.%4"/>
      <w:lvlJc w:val="left"/>
      <w:pPr>
        <w:tabs>
          <w:tab w:val="left" w:pos="864"/>
        </w:tabs>
        <w:ind w:left="864" w:hanging="13"/>
      </w:pPr>
      <w:rPr>
        <w:rFonts w:hint="eastAsia"/>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0">
    <w:nsid w:val="159114E6"/>
    <w:multiLevelType w:val="multilevel"/>
    <w:tmpl w:val="159114E6"/>
    <w:lvl w:ilvl="0" w:tentative="0">
      <w:start w:val="14"/>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1">
    <w:nsid w:val="179B3BE8"/>
    <w:multiLevelType w:val="multilevel"/>
    <w:tmpl w:val="179B3BE8"/>
    <w:lvl w:ilvl="0" w:tentative="0">
      <w:start w:val="1"/>
      <w:numFmt w:val="chineseCountingThousand"/>
      <w:lvlText w:val="%1、"/>
      <w:lvlJc w:val="left"/>
      <w:pPr>
        <w:ind w:left="420" w:hanging="420"/>
      </w:p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97549D3"/>
    <w:multiLevelType w:val="multilevel"/>
    <w:tmpl w:val="197549D3"/>
    <w:lvl w:ilvl="0" w:tentative="0">
      <w:start w:val="1"/>
      <w:numFmt w:val="japaneseCounting"/>
      <w:lvlText w:val="第%1章"/>
      <w:lvlJc w:val="left"/>
      <w:pPr>
        <w:tabs>
          <w:tab w:val="left" w:pos="1305"/>
        </w:tabs>
        <w:ind w:left="1305" w:hanging="1305"/>
      </w:pPr>
      <w:rPr>
        <w:rFonts w:hint="default"/>
        <w:b/>
        <w:sz w:val="36"/>
        <w:szCs w:val="36"/>
      </w:rPr>
    </w:lvl>
    <w:lvl w:ilvl="1" w:tentative="0">
      <w:start w:val="1"/>
      <w:numFmt w:val="japaneseCounting"/>
      <w:lvlText w:val="%2、"/>
      <w:lvlJc w:val="left"/>
      <w:pPr>
        <w:tabs>
          <w:tab w:val="left" w:pos="840"/>
        </w:tabs>
        <w:ind w:left="840" w:hanging="420"/>
      </w:pPr>
      <w:rPr>
        <w:rFonts w:hint="default"/>
        <w:b/>
        <w:sz w:val="21"/>
        <w:szCs w:val="21"/>
      </w:rPr>
    </w:lvl>
    <w:lvl w:ilvl="2" w:tentative="0">
      <w:start w:val="6"/>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1C8005C7"/>
    <w:multiLevelType w:val="multilevel"/>
    <w:tmpl w:val="1C8005C7"/>
    <w:lvl w:ilvl="0" w:tentative="0">
      <w:start w:val="1"/>
      <w:numFmt w:val="decimal"/>
      <w:lvlText w:val="%1、"/>
      <w:lvlJc w:val="left"/>
      <w:pPr>
        <w:tabs>
          <w:tab w:val="left" w:pos="540"/>
        </w:tabs>
        <w:ind w:left="540" w:hanging="360"/>
      </w:pPr>
      <w:rPr>
        <w:rFonts w:hint="default"/>
        <w:b/>
      </w:rPr>
    </w:lvl>
    <w:lvl w:ilvl="1" w:tentative="0">
      <w:start w:val="1"/>
      <w:numFmt w:val="decimal"/>
      <w:lvlText w:val="（%2）"/>
      <w:lvlJc w:val="left"/>
      <w:pPr>
        <w:tabs>
          <w:tab w:val="left" w:pos="1094"/>
        </w:tabs>
        <w:ind w:left="1094" w:hanging="674"/>
      </w:pPr>
      <w:rPr>
        <w:rFonts w:hint="default"/>
      </w:rPr>
    </w:lvl>
    <w:lvl w:ilvl="2" w:tentative="0">
      <w:start w:val="1"/>
      <w:numFmt w:val="lowerLetter"/>
      <w:lvlText w:val="%3）"/>
      <w:lvlJc w:val="left"/>
      <w:pPr>
        <w:tabs>
          <w:tab w:val="left" w:pos="1620"/>
        </w:tabs>
        <w:ind w:left="1620" w:hanging="360"/>
      </w:pPr>
      <w:rPr>
        <w:rFonts w:hint="default"/>
        <w:b w:val="0"/>
      </w:rPr>
    </w:lvl>
    <w:lvl w:ilvl="3" w:tentative="0">
      <w:start w:val="1"/>
      <w:numFmt w:val="decimal"/>
      <w:lvlText w:val="%4）"/>
      <w:lvlJc w:val="left"/>
      <w:pPr>
        <w:tabs>
          <w:tab w:val="left" w:pos="2040"/>
        </w:tabs>
        <w:ind w:left="2040" w:hanging="360"/>
      </w:pPr>
      <w:rPr>
        <w:rFonts w:hint="default"/>
      </w:rPr>
    </w:lvl>
    <w:lvl w:ilvl="4" w:tentative="0">
      <w:start w:val="1"/>
      <w:numFmt w:val="decimal"/>
      <w:lvlText w:val="%5."/>
      <w:lvlJc w:val="left"/>
      <w:pPr>
        <w:tabs>
          <w:tab w:val="left" w:pos="2460"/>
        </w:tabs>
        <w:ind w:left="2460" w:hanging="360"/>
      </w:pPr>
      <w:rPr>
        <w:rFonts w:hint="default"/>
        <w:b/>
        <w:sz w:val="24"/>
        <w:szCs w:val="24"/>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4">
    <w:nsid w:val="20BA2AF0"/>
    <w:multiLevelType w:val="singleLevel"/>
    <w:tmpl w:val="20BA2AF0"/>
    <w:lvl w:ilvl="0" w:tentative="0">
      <w:start w:val="1"/>
      <w:numFmt w:val="decimal"/>
      <w:suff w:val="space"/>
      <w:lvlText w:val="%1）"/>
      <w:lvlJc w:val="left"/>
    </w:lvl>
  </w:abstractNum>
  <w:abstractNum w:abstractNumId="15">
    <w:nsid w:val="22D913E6"/>
    <w:multiLevelType w:val="multilevel"/>
    <w:tmpl w:val="22D913E6"/>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16">
    <w:nsid w:val="277F6DC9"/>
    <w:multiLevelType w:val="multilevel"/>
    <w:tmpl w:val="277F6DC9"/>
    <w:lvl w:ilvl="0" w:tentative="0">
      <w:start w:val="1"/>
      <w:numFmt w:val="decimal"/>
      <w:lvlText w:val="%1."/>
      <w:lvlJc w:val="left"/>
      <w:pPr>
        <w:tabs>
          <w:tab w:val="left" w:pos="990"/>
        </w:tabs>
        <w:ind w:left="990" w:hanging="360"/>
      </w:pPr>
      <w:rPr>
        <w:rFonts w:hint="default"/>
      </w:r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7">
    <w:nsid w:val="2AA957BB"/>
    <w:multiLevelType w:val="multilevel"/>
    <w:tmpl w:val="2AA957BB"/>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292"/>
      </w:pPr>
      <w:rPr>
        <w:rFonts w:hint="eastAsia"/>
      </w:rPr>
    </w:lvl>
    <w:lvl w:ilvl="2" w:tentative="0">
      <w:start w:val="1"/>
      <w:numFmt w:val="decimal"/>
      <w:lvlText w:val="%1.%2.%3"/>
      <w:lvlJc w:val="left"/>
      <w:pPr>
        <w:tabs>
          <w:tab w:val="left" w:pos="720"/>
        </w:tabs>
        <w:ind w:left="720" w:hanging="153"/>
      </w:pPr>
      <w:rPr>
        <w:rFonts w:hint="eastAsia"/>
      </w:rPr>
    </w:lvl>
    <w:lvl w:ilvl="3" w:tentative="0">
      <w:start w:val="1"/>
      <w:numFmt w:val="bullet"/>
      <w:pStyle w:val="90"/>
      <w:lvlText w:val=""/>
      <w:lvlJc w:val="left"/>
      <w:pPr>
        <w:tabs>
          <w:tab w:val="left" w:pos="1271"/>
        </w:tabs>
        <w:ind w:left="1271" w:hanging="420"/>
      </w:pPr>
      <w:rPr>
        <w:rFonts w:hint="default" w:ascii="Wingdings" w:hAnsi="Wingdings"/>
      </w:rPr>
    </w:lvl>
    <w:lvl w:ilvl="4" w:tentative="0">
      <w:start w:val="1"/>
      <w:numFmt w:val="decimal"/>
      <w:lvlText w:val="%1.%2.%3.%4.%5"/>
      <w:lvlJc w:val="left"/>
      <w:pPr>
        <w:tabs>
          <w:tab w:val="left" w:pos="1008"/>
        </w:tabs>
        <w:ind w:left="1008" w:firstLine="126"/>
      </w:pPr>
      <w:rPr>
        <w:rFonts w:hint="eastAsia"/>
        <w:b/>
      </w:rPr>
    </w:lvl>
    <w:lvl w:ilvl="5" w:tentative="0">
      <w:start w:val="1"/>
      <w:numFmt w:val="decimal"/>
      <w:lvlText w:val="%1.%2.%3.%4.%5.%6"/>
      <w:lvlJc w:val="left"/>
      <w:pPr>
        <w:tabs>
          <w:tab w:val="left" w:pos="1152"/>
        </w:tabs>
        <w:ind w:left="1152" w:firstLine="266"/>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8">
    <w:nsid w:val="2C7A7351"/>
    <w:multiLevelType w:val="multilevel"/>
    <w:tmpl w:val="2C7A7351"/>
    <w:lvl w:ilvl="0" w:tentative="0">
      <w:start w:val="21"/>
      <w:numFmt w:val="decimal"/>
      <w:lvlText w:val="%1"/>
      <w:lvlJc w:val="left"/>
      <w:pPr>
        <w:tabs>
          <w:tab w:val="left" w:pos="480"/>
        </w:tabs>
        <w:ind w:left="480" w:hanging="480"/>
      </w:pPr>
      <w:rPr>
        <w:rFonts w:hint="default"/>
      </w:rPr>
    </w:lvl>
    <w:lvl w:ilvl="1" w:tentative="0">
      <w:start w:val="1"/>
      <w:numFmt w:val="decimal"/>
      <w:lvlText w:val="%1.%2"/>
      <w:lvlJc w:val="left"/>
      <w:pPr>
        <w:tabs>
          <w:tab w:val="left" w:pos="480"/>
        </w:tabs>
        <w:ind w:left="48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19">
    <w:nsid w:val="2F576453"/>
    <w:multiLevelType w:val="multilevel"/>
    <w:tmpl w:val="2F576453"/>
    <w:lvl w:ilvl="0" w:tentative="0">
      <w:start w:val="12"/>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0">
    <w:nsid w:val="35135A59"/>
    <w:multiLevelType w:val="multilevel"/>
    <w:tmpl w:val="35135A59"/>
    <w:lvl w:ilvl="0" w:tentative="0">
      <w:start w:val="1"/>
      <w:numFmt w:val="japaneseCounting"/>
      <w:lvlText w:val="第%1章"/>
      <w:lvlJc w:val="left"/>
      <w:pPr>
        <w:tabs>
          <w:tab w:val="left" w:pos="3615"/>
        </w:tabs>
        <w:ind w:left="3615" w:hanging="1455"/>
      </w:pPr>
      <w:rPr>
        <w:rFonts w:hint="default"/>
        <w:b/>
      </w:rPr>
    </w:lvl>
    <w:lvl w:ilvl="1" w:tentative="0">
      <w:start w:val="1"/>
      <w:numFmt w:val="decimal"/>
      <w:lvlText w:val="%2、"/>
      <w:lvlJc w:val="left"/>
      <w:pPr>
        <w:tabs>
          <w:tab w:val="left" w:pos="360"/>
        </w:tabs>
        <w:ind w:left="360" w:hanging="360"/>
      </w:pPr>
      <w:rPr>
        <w:rFonts w:hint="default"/>
      </w:rPr>
    </w:lvl>
    <w:lvl w:ilvl="2" w:tentative="0">
      <w:start w:val="1"/>
      <w:numFmt w:val="lowerRoman"/>
      <w:lvlText w:val="%3."/>
      <w:lvlJc w:val="right"/>
      <w:pPr>
        <w:tabs>
          <w:tab w:val="left" w:pos="3420"/>
        </w:tabs>
        <w:ind w:left="3420" w:hanging="420"/>
      </w:pPr>
    </w:lvl>
    <w:lvl w:ilvl="3" w:tentative="0">
      <w:start w:val="1"/>
      <w:numFmt w:val="japaneseCounting"/>
      <w:lvlText w:val="%4、"/>
      <w:lvlJc w:val="left"/>
      <w:pPr>
        <w:tabs>
          <w:tab w:val="left" w:pos="3840"/>
        </w:tabs>
        <w:ind w:left="3840" w:hanging="420"/>
      </w:pPr>
      <w:rPr>
        <w:rFonts w:hint="default"/>
      </w:rPr>
    </w:lvl>
    <w:lvl w:ilvl="4" w:tentative="0">
      <w:start w:val="1"/>
      <w:numFmt w:val="japaneseCounting"/>
      <w:lvlText w:val="（%5）"/>
      <w:lvlJc w:val="left"/>
      <w:pPr>
        <w:tabs>
          <w:tab w:val="left" w:pos="4560"/>
        </w:tabs>
        <w:ind w:left="4560" w:hanging="720"/>
      </w:pPr>
      <w:rPr>
        <w:rFonts w:hint="default"/>
      </w:rPr>
    </w:lvl>
    <w:lvl w:ilvl="5" w:tentative="0">
      <w:start w:val="1"/>
      <w:numFmt w:val="decimal"/>
      <w:lvlText w:val="%6）"/>
      <w:lvlJc w:val="left"/>
      <w:pPr>
        <w:tabs>
          <w:tab w:val="left" w:pos="4605"/>
        </w:tabs>
        <w:ind w:left="4605" w:hanging="345"/>
      </w:pPr>
      <w:rPr>
        <w:rFonts w:hint="default"/>
      </w:rPr>
    </w:lvl>
    <w:lvl w:ilvl="6" w:tentative="0">
      <w:start w:val="1"/>
      <w:numFmt w:val="decimal"/>
      <w:lvlText w:val="%7．"/>
      <w:lvlJc w:val="left"/>
      <w:pPr>
        <w:tabs>
          <w:tab w:val="left" w:pos="5040"/>
        </w:tabs>
        <w:ind w:left="5040" w:hanging="360"/>
      </w:pPr>
      <w:rPr>
        <w:rFonts w:hint="default"/>
      </w:rPr>
    </w:lvl>
    <w:lvl w:ilvl="7" w:tentative="0">
      <w:start w:val="1"/>
      <w:numFmt w:val="decimal"/>
      <w:lvlText w:val="%8."/>
      <w:lvlJc w:val="left"/>
      <w:pPr>
        <w:tabs>
          <w:tab w:val="left" w:pos="5460"/>
        </w:tabs>
        <w:ind w:left="5460" w:hanging="360"/>
      </w:pPr>
      <w:rPr>
        <w:rFonts w:hint="default"/>
      </w:rPr>
    </w:lvl>
    <w:lvl w:ilvl="8" w:tentative="0">
      <w:start w:val="1"/>
      <w:numFmt w:val="lowerRoman"/>
      <w:lvlText w:val="%9."/>
      <w:lvlJc w:val="right"/>
      <w:pPr>
        <w:tabs>
          <w:tab w:val="left" w:pos="5940"/>
        </w:tabs>
        <w:ind w:left="5940" w:hanging="420"/>
      </w:pPr>
    </w:lvl>
  </w:abstractNum>
  <w:abstractNum w:abstractNumId="21">
    <w:nsid w:val="359C51AA"/>
    <w:multiLevelType w:val="multilevel"/>
    <w:tmpl w:val="359C51AA"/>
    <w:lvl w:ilvl="0" w:tentative="0">
      <w:start w:val="18"/>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2">
    <w:nsid w:val="44274878"/>
    <w:multiLevelType w:val="multilevel"/>
    <w:tmpl w:val="44274878"/>
    <w:lvl w:ilvl="0" w:tentative="0">
      <w:start w:val="27"/>
      <w:numFmt w:val="decimal"/>
      <w:lvlText w:val="%1"/>
      <w:lvlJc w:val="left"/>
      <w:pPr>
        <w:ind w:left="360" w:hanging="360"/>
      </w:pPr>
      <w:rPr>
        <w:rFonts w:hint="default"/>
      </w:rPr>
    </w:lvl>
    <w:lvl w:ilvl="1" w:tentative="0">
      <w:start w:val="1"/>
      <w:numFmt w:val="decimal"/>
      <w:isLgl/>
      <w:lvlText w:val="%1.%2"/>
      <w:lvlJc w:val="left"/>
      <w:pPr>
        <w:ind w:left="510" w:hanging="510"/>
      </w:pPr>
      <w:rPr>
        <w:rFonts w:hint="default"/>
      </w:rPr>
    </w:lvl>
    <w:lvl w:ilvl="2" w:tentative="0">
      <w:start w:val="1"/>
      <w:numFmt w:val="decimal"/>
      <w:isLgl/>
      <w:lvlText w:val="%1.%2.%3"/>
      <w:lvlJc w:val="left"/>
      <w:pPr>
        <w:ind w:left="510" w:hanging="510"/>
      </w:pPr>
      <w:rPr>
        <w:rFonts w:hint="default"/>
      </w:rPr>
    </w:lvl>
    <w:lvl w:ilvl="3" w:tentative="0">
      <w:start w:val="1"/>
      <w:numFmt w:val="decimal"/>
      <w:isLgl/>
      <w:lvlText w:val="%1.%2.%3.%4"/>
      <w:lvlJc w:val="left"/>
      <w:pPr>
        <w:ind w:left="510" w:hanging="510"/>
      </w:pPr>
      <w:rPr>
        <w:rFonts w:hint="default"/>
      </w:rPr>
    </w:lvl>
    <w:lvl w:ilvl="4" w:tentative="0">
      <w:start w:val="1"/>
      <w:numFmt w:val="decimal"/>
      <w:isLgl/>
      <w:lvlText w:val="%1.%2.%3.%4.%5"/>
      <w:lvlJc w:val="left"/>
      <w:pPr>
        <w:ind w:left="510" w:hanging="510"/>
      </w:pPr>
      <w:rPr>
        <w:rFonts w:hint="default"/>
      </w:rPr>
    </w:lvl>
    <w:lvl w:ilvl="5" w:tentative="0">
      <w:start w:val="1"/>
      <w:numFmt w:val="decimal"/>
      <w:isLgl/>
      <w:lvlText w:val="%1.%2.%3.%4.%5.%6"/>
      <w:lvlJc w:val="left"/>
      <w:pPr>
        <w:ind w:left="510" w:hanging="510"/>
      </w:pPr>
      <w:rPr>
        <w:rFonts w:hint="default"/>
      </w:rPr>
    </w:lvl>
    <w:lvl w:ilvl="6" w:tentative="0">
      <w:start w:val="1"/>
      <w:numFmt w:val="decimal"/>
      <w:isLgl/>
      <w:lvlText w:val="%1.%2.%3.%4.%5.%6.%7"/>
      <w:lvlJc w:val="left"/>
      <w:pPr>
        <w:ind w:left="510" w:hanging="510"/>
      </w:pPr>
      <w:rPr>
        <w:rFonts w:hint="default"/>
      </w:rPr>
    </w:lvl>
    <w:lvl w:ilvl="7" w:tentative="0">
      <w:start w:val="1"/>
      <w:numFmt w:val="decimal"/>
      <w:isLgl/>
      <w:lvlText w:val="%1.%2.%3.%4.%5.%6.%7.%8"/>
      <w:lvlJc w:val="left"/>
      <w:pPr>
        <w:ind w:left="510" w:hanging="510"/>
      </w:pPr>
      <w:rPr>
        <w:rFonts w:hint="default"/>
      </w:rPr>
    </w:lvl>
    <w:lvl w:ilvl="8" w:tentative="0">
      <w:start w:val="1"/>
      <w:numFmt w:val="decimal"/>
      <w:isLgl/>
      <w:lvlText w:val="%1.%2.%3.%4.%5.%6.%7.%8.%9"/>
      <w:lvlJc w:val="left"/>
      <w:pPr>
        <w:ind w:left="510" w:hanging="510"/>
      </w:pPr>
      <w:rPr>
        <w:rFonts w:hint="default"/>
      </w:rPr>
    </w:lvl>
  </w:abstractNum>
  <w:abstractNum w:abstractNumId="23">
    <w:nsid w:val="46450AAB"/>
    <w:multiLevelType w:val="multilevel"/>
    <w:tmpl w:val="46450AAB"/>
    <w:lvl w:ilvl="0" w:tentative="0">
      <w:start w:val="11"/>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4">
    <w:nsid w:val="46C95EB7"/>
    <w:multiLevelType w:val="multilevel"/>
    <w:tmpl w:val="46C95EB7"/>
    <w:lvl w:ilvl="0" w:tentative="0">
      <w:start w:val="1"/>
      <w:numFmt w:val="decimal"/>
      <w:lvlText w:val="%1、"/>
      <w:lvlJc w:val="left"/>
      <w:pPr>
        <w:tabs>
          <w:tab w:val="left" w:pos="1305"/>
        </w:tabs>
        <w:ind w:left="1305" w:hanging="360"/>
      </w:pPr>
      <w:rPr>
        <w:rFonts w:hint="default"/>
      </w:rPr>
    </w:lvl>
    <w:lvl w:ilvl="1" w:tentative="0">
      <w:start w:val="1"/>
      <w:numFmt w:val="japaneseCounting"/>
      <w:lvlText w:val="%2、"/>
      <w:lvlJc w:val="left"/>
      <w:pPr>
        <w:tabs>
          <w:tab w:val="left" w:pos="1305"/>
        </w:tabs>
        <w:ind w:left="1305" w:hanging="465"/>
      </w:pPr>
      <w:rPr>
        <w:rFonts w:hint="default" w:cs="黑体"/>
      </w:rPr>
    </w:lvl>
    <w:lvl w:ilvl="2" w:tentative="0">
      <w:start w:val="1"/>
      <w:numFmt w:val="decimal"/>
      <w:lvlText w:val="%3)"/>
      <w:lvlJc w:val="left"/>
      <w:pPr>
        <w:tabs>
          <w:tab w:val="left" w:pos="1500"/>
        </w:tabs>
        <w:ind w:left="1500" w:hanging="240"/>
      </w:pPr>
      <w:rPr>
        <w:rFonts w:hint="default"/>
      </w:rPr>
    </w:lvl>
    <w:lvl w:ilvl="3" w:tentative="0">
      <w:start w:val="1"/>
      <w:numFmt w:val="decimal"/>
      <w:lvlText w:val="%4）"/>
      <w:lvlJc w:val="left"/>
      <w:pPr>
        <w:tabs>
          <w:tab w:val="left" w:pos="2040"/>
        </w:tabs>
        <w:ind w:left="2040" w:hanging="360"/>
      </w:pPr>
      <w:rPr>
        <w:rFonts w:hint="default"/>
      </w:rPr>
    </w:lvl>
    <w:lvl w:ilvl="4" w:tentative="0">
      <w:start w:val="4"/>
      <w:numFmt w:val="decimal"/>
      <w:lvlText w:val="%5．"/>
      <w:lvlJc w:val="left"/>
      <w:pPr>
        <w:tabs>
          <w:tab w:val="left" w:pos="2460"/>
        </w:tabs>
        <w:ind w:left="2460" w:hanging="360"/>
      </w:pPr>
      <w:rPr>
        <w:rFonts w:hint="default"/>
      </w:r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5">
    <w:nsid w:val="48D858E8"/>
    <w:multiLevelType w:val="multilevel"/>
    <w:tmpl w:val="48D858E8"/>
    <w:lvl w:ilvl="0" w:tentative="0">
      <w:start w:val="4"/>
      <w:numFmt w:val="decimal"/>
      <w:lvlText w:val="%1"/>
      <w:lvlJc w:val="left"/>
      <w:pPr>
        <w:tabs>
          <w:tab w:val="left" w:pos="360"/>
        </w:tabs>
        <w:ind w:left="360" w:hanging="360"/>
      </w:pPr>
      <w:rPr>
        <w:rFonts w:hint="default" w:cs="Times New Roman"/>
      </w:rPr>
    </w:lvl>
    <w:lvl w:ilvl="1" w:tentative="0">
      <w:start w:val="1"/>
      <w:numFmt w:val="decimal"/>
      <w:lvlText w:val="%1.%2"/>
      <w:lvlJc w:val="left"/>
      <w:pPr>
        <w:tabs>
          <w:tab w:val="left" w:pos="360"/>
        </w:tabs>
        <w:ind w:left="360" w:hanging="360"/>
      </w:pPr>
      <w:rPr>
        <w:rFonts w:hint="default" w:cs="Times New Roman"/>
      </w:rPr>
    </w:lvl>
    <w:lvl w:ilvl="2" w:tentative="0">
      <w:start w:val="1"/>
      <w:numFmt w:val="decimal"/>
      <w:lvlText w:val="%1.%2.%3"/>
      <w:lvlJc w:val="left"/>
      <w:pPr>
        <w:tabs>
          <w:tab w:val="left" w:pos="720"/>
        </w:tabs>
        <w:ind w:left="720" w:hanging="720"/>
      </w:pPr>
      <w:rPr>
        <w:rFonts w:hint="default" w:cs="Times New Roman"/>
      </w:rPr>
    </w:lvl>
    <w:lvl w:ilvl="3" w:tentative="0">
      <w:start w:val="1"/>
      <w:numFmt w:val="decimal"/>
      <w:lvlText w:val="%1.%2.%3.%4"/>
      <w:lvlJc w:val="left"/>
      <w:pPr>
        <w:tabs>
          <w:tab w:val="left" w:pos="1080"/>
        </w:tabs>
        <w:ind w:left="1080" w:hanging="1080"/>
      </w:pPr>
      <w:rPr>
        <w:rFonts w:hint="default" w:cs="Times New Roman"/>
      </w:rPr>
    </w:lvl>
    <w:lvl w:ilvl="4" w:tentative="0">
      <w:start w:val="1"/>
      <w:numFmt w:val="decimal"/>
      <w:lvlText w:val="%1.%2.%3.%4.%5"/>
      <w:lvlJc w:val="left"/>
      <w:pPr>
        <w:tabs>
          <w:tab w:val="left" w:pos="1080"/>
        </w:tabs>
        <w:ind w:left="1080" w:hanging="1080"/>
      </w:pPr>
      <w:rPr>
        <w:rFonts w:hint="default" w:cs="Times New Roman"/>
      </w:rPr>
    </w:lvl>
    <w:lvl w:ilvl="5" w:tentative="0">
      <w:start w:val="1"/>
      <w:numFmt w:val="decimal"/>
      <w:lvlText w:val="%1.%2.%3.%4.%5.%6"/>
      <w:lvlJc w:val="left"/>
      <w:pPr>
        <w:tabs>
          <w:tab w:val="left" w:pos="1440"/>
        </w:tabs>
        <w:ind w:left="1440" w:hanging="1440"/>
      </w:pPr>
      <w:rPr>
        <w:rFonts w:hint="default" w:cs="Times New Roman"/>
      </w:rPr>
    </w:lvl>
    <w:lvl w:ilvl="6" w:tentative="0">
      <w:start w:val="1"/>
      <w:numFmt w:val="decimal"/>
      <w:lvlText w:val="%1.%2.%3.%4.%5.%6.%7"/>
      <w:lvlJc w:val="left"/>
      <w:pPr>
        <w:tabs>
          <w:tab w:val="left" w:pos="1440"/>
        </w:tabs>
        <w:ind w:left="1440" w:hanging="1440"/>
      </w:pPr>
      <w:rPr>
        <w:rFonts w:hint="default" w:cs="Times New Roman"/>
      </w:rPr>
    </w:lvl>
    <w:lvl w:ilvl="7" w:tentative="0">
      <w:start w:val="1"/>
      <w:numFmt w:val="decimal"/>
      <w:lvlText w:val="%1.%2.%3.%4.%5.%6.%7.%8"/>
      <w:lvlJc w:val="left"/>
      <w:pPr>
        <w:tabs>
          <w:tab w:val="left" w:pos="1800"/>
        </w:tabs>
        <w:ind w:left="1800" w:hanging="1800"/>
      </w:pPr>
      <w:rPr>
        <w:rFonts w:hint="default" w:cs="Times New Roman"/>
      </w:rPr>
    </w:lvl>
    <w:lvl w:ilvl="8" w:tentative="0">
      <w:start w:val="1"/>
      <w:numFmt w:val="decimal"/>
      <w:lvlText w:val="%1.%2.%3.%4.%5.%6.%7.%8.%9"/>
      <w:lvlJc w:val="left"/>
      <w:pPr>
        <w:tabs>
          <w:tab w:val="left" w:pos="1800"/>
        </w:tabs>
        <w:ind w:left="1800" w:hanging="1800"/>
      </w:pPr>
      <w:rPr>
        <w:rFonts w:hint="default" w:cs="Times New Roman"/>
      </w:rPr>
    </w:lvl>
  </w:abstractNum>
  <w:abstractNum w:abstractNumId="26">
    <w:nsid w:val="4B331C36"/>
    <w:multiLevelType w:val="multilevel"/>
    <w:tmpl w:val="4B331C36"/>
    <w:lvl w:ilvl="0" w:tentative="0">
      <w:start w:val="1"/>
      <w:numFmt w:val="japaneseCounting"/>
      <w:pStyle w:val="95"/>
      <w:lvlText w:val="第%1章"/>
      <w:lvlJc w:val="left"/>
      <w:pPr>
        <w:tabs>
          <w:tab w:val="left" w:pos="1275"/>
        </w:tabs>
        <w:ind w:left="1275" w:hanging="1275"/>
      </w:pPr>
      <w:rPr>
        <w:rFonts w:hint="default"/>
        <w:b/>
        <w:sz w:val="36"/>
        <w:szCs w:val="36"/>
      </w:rPr>
    </w:lvl>
    <w:lvl w:ilvl="1" w:tentative="0">
      <w:start w:val="1"/>
      <w:numFmt w:val="japaneseCounting"/>
      <w:lvlText w:val="%2、"/>
      <w:lvlJc w:val="left"/>
      <w:pPr>
        <w:tabs>
          <w:tab w:val="left" w:pos="420"/>
        </w:tabs>
        <w:ind w:left="420" w:hanging="420"/>
      </w:pPr>
      <w:rPr>
        <w:rFonts w:hint="default"/>
        <w:sz w:val="21"/>
        <w:szCs w:val="21"/>
      </w:rPr>
    </w:lvl>
    <w:lvl w:ilvl="2" w:tentative="0">
      <w:start w:val="1"/>
      <w:numFmt w:val="decimal"/>
      <w:lvlText w:val="%3、"/>
      <w:lvlJc w:val="left"/>
      <w:pPr>
        <w:tabs>
          <w:tab w:val="left" w:pos="420"/>
        </w:tabs>
        <w:ind w:left="0" w:firstLine="420"/>
      </w:pPr>
      <w:rPr>
        <w:rFonts w:hint="default"/>
        <w:b w:val="0"/>
        <w:sz w:val="21"/>
        <w:szCs w:val="21"/>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7">
    <w:nsid w:val="4F7C056F"/>
    <w:multiLevelType w:val="multilevel"/>
    <w:tmpl w:val="4F7C056F"/>
    <w:lvl w:ilvl="0" w:tentative="0">
      <w:start w:val="17"/>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28">
    <w:nsid w:val="54D12799"/>
    <w:multiLevelType w:val="multilevel"/>
    <w:tmpl w:val="54D12799"/>
    <w:lvl w:ilvl="0" w:tentative="0">
      <w:start w:val="5"/>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29">
    <w:nsid w:val="552E1C8E"/>
    <w:multiLevelType w:val="singleLevel"/>
    <w:tmpl w:val="552E1C8E"/>
    <w:lvl w:ilvl="0" w:tentative="0">
      <w:start w:val="1"/>
      <w:numFmt w:val="decimal"/>
      <w:suff w:val="nothing"/>
      <w:lvlText w:val="%1．"/>
      <w:lvlJc w:val="left"/>
      <w:pPr>
        <w:ind w:left="0" w:firstLine="400"/>
      </w:pPr>
      <w:rPr>
        <w:rFonts w:hint="default"/>
      </w:rPr>
    </w:lvl>
  </w:abstractNum>
  <w:abstractNum w:abstractNumId="30">
    <w:nsid w:val="5E076C81"/>
    <w:multiLevelType w:val="multilevel"/>
    <w:tmpl w:val="5E076C81"/>
    <w:lvl w:ilvl="0" w:tentative="0">
      <w:start w:val="6"/>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1">
    <w:nsid w:val="5F4F21DF"/>
    <w:multiLevelType w:val="multilevel"/>
    <w:tmpl w:val="5F4F21DF"/>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2">
    <w:nsid w:val="6065484F"/>
    <w:multiLevelType w:val="multilevel"/>
    <w:tmpl w:val="6065484F"/>
    <w:lvl w:ilvl="0" w:tentative="0">
      <w:start w:val="7"/>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3">
    <w:nsid w:val="615413D2"/>
    <w:multiLevelType w:val="multilevel"/>
    <w:tmpl w:val="615413D2"/>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34">
    <w:nsid w:val="68C50813"/>
    <w:multiLevelType w:val="multilevel"/>
    <w:tmpl w:val="68C50813"/>
    <w:lvl w:ilvl="0" w:tentative="0">
      <w:start w:val="9"/>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5">
    <w:nsid w:val="6CEA2025"/>
    <w:multiLevelType w:val="multilevel"/>
    <w:tmpl w:val="6CEA2025"/>
    <w:lvl w:ilvl="0" w:tentative="0">
      <w:start w:val="1"/>
      <w:numFmt w:val="none"/>
      <w:pStyle w:val="72"/>
      <w:suff w:val="nothing"/>
      <w:lvlText w:val="%1"/>
      <w:lvlJc w:val="left"/>
      <w:pPr>
        <w:ind w:left="0" w:firstLine="0"/>
      </w:pPr>
      <w:rPr>
        <w:rFonts w:hint="default" w:ascii="Times New Roman" w:hAnsi="Times New Roman"/>
        <w:b/>
        <w:i w:val="0"/>
        <w:sz w:val="21"/>
      </w:rPr>
    </w:lvl>
    <w:lvl w:ilvl="1" w:tentative="0">
      <w:start w:val="1"/>
      <w:numFmt w:val="decimal"/>
      <w:pStyle w:val="75"/>
      <w:suff w:val="nothing"/>
      <w:lvlText w:val="%1%2　"/>
      <w:lvlJc w:val="left"/>
      <w:pPr>
        <w:ind w:left="180" w:firstLine="0"/>
      </w:pPr>
      <w:rPr>
        <w:rFonts w:hint="eastAsia" w:ascii="黑体" w:hAnsi="Times New Roman" w:eastAsia="黑体"/>
        <w:b/>
        <w:i w:val="0"/>
        <w:sz w:val="24"/>
        <w:szCs w:val="24"/>
      </w:rPr>
    </w:lvl>
    <w:lvl w:ilvl="2" w:tentative="0">
      <w:start w:val="1"/>
      <w:numFmt w:val="decimal"/>
      <w:pStyle w:val="81"/>
      <w:suff w:val="nothing"/>
      <w:lvlText w:val="%1%2.%3　"/>
      <w:lvlJc w:val="left"/>
      <w:pPr>
        <w:ind w:left="720" w:firstLine="0"/>
      </w:pPr>
      <w:rPr>
        <w:rFonts w:hint="eastAsia" w:ascii="黑体" w:hAnsi="Times New Roman" w:eastAsia="黑体"/>
        <w:b w:val="0"/>
        <w:i w:val="0"/>
        <w:sz w:val="21"/>
      </w:rPr>
    </w:lvl>
    <w:lvl w:ilvl="3" w:tentative="0">
      <w:start w:val="1"/>
      <w:numFmt w:val="decimal"/>
      <w:pStyle w:val="80"/>
      <w:suff w:val="nothing"/>
      <w:lvlText w:val="%1%2.4.%4　"/>
      <w:lvlJc w:val="left"/>
      <w:pPr>
        <w:ind w:left="420" w:firstLine="0"/>
      </w:pPr>
      <w:rPr>
        <w:rFonts w:hint="eastAsia" w:ascii="黑体" w:hAnsi="Times New Roman" w:eastAsia="黑体"/>
        <w:b w:val="0"/>
        <w:i w:val="0"/>
        <w:sz w:val="21"/>
      </w:rPr>
    </w:lvl>
    <w:lvl w:ilvl="4" w:tentative="0">
      <w:start w:val="1"/>
      <w:numFmt w:val="decimal"/>
      <w:pStyle w:val="87"/>
      <w:suff w:val="nothing"/>
      <w:lvlText w:val="5.%12.5.%5　"/>
      <w:lvlJc w:val="left"/>
      <w:pPr>
        <w:ind w:left="420" w:firstLine="0"/>
      </w:pPr>
      <w:rPr>
        <w:rFonts w:hint="eastAsia" w:ascii="黑体" w:hAnsi="Times New Roman" w:eastAsia="黑体"/>
        <w:b w:val="0"/>
        <w:i w:val="0"/>
        <w:sz w:val="21"/>
      </w:rPr>
    </w:lvl>
    <w:lvl w:ilvl="5" w:tentative="0">
      <w:start w:val="1"/>
      <w:numFmt w:val="decimal"/>
      <w:pStyle w:val="93"/>
      <w:suff w:val="nothing"/>
      <w:lvlText w:val="%1%2.%3.%4.%5.%6　"/>
      <w:lvlJc w:val="left"/>
      <w:pPr>
        <w:ind w:left="0" w:firstLine="0"/>
      </w:pPr>
      <w:rPr>
        <w:rFonts w:hint="eastAsia" w:ascii="黑体" w:hAnsi="Times New Roman" w:eastAsia="黑体"/>
        <w:b w:val="0"/>
        <w:i w:val="0"/>
        <w:sz w:val="21"/>
      </w:rPr>
    </w:lvl>
    <w:lvl w:ilvl="6" w:tentative="0">
      <w:start w:val="1"/>
      <w:numFmt w:val="decimal"/>
      <w:pStyle w:val="9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6">
    <w:nsid w:val="6F113A89"/>
    <w:multiLevelType w:val="multilevel"/>
    <w:tmpl w:val="6F113A89"/>
    <w:lvl w:ilvl="0" w:tentative="0">
      <w:start w:val="16"/>
      <w:numFmt w:val="decimal"/>
      <w:lvlText w:val="%1"/>
      <w:lvlJc w:val="left"/>
      <w:pPr>
        <w:tabs>
          <w:tab w:val="left" w:pos="600"/>
        </w:tabs>
        <w:ind w:left="600" w:hanging="600"/>
      </w:pPr>
      <w:rPr>
        <w:rFonts w:hint="default"/>
      </w:rPr>
    </w:lvl>
    <w:lvl w:ilvl="1" w:tentative="0">
      <w:start w:val="1"/>
      <w:numFmt w:val="decimal"/>
      <w:lvlText w:val="%1.%2"/>
      <w:lvlJc w:val="left"/>
      <w:pPr>
        <w:tabs>
          <w:tab w:val="left" w:pos="600"/>
        </w:tabs>
        <w:ind w:left="600" w:hanging="600"/>
      </w:pPr>
      <w:rPr>
        <w:rFonts w:hint="default"/>
      </w:rPr>
    </w:lvl>
    <w:lvl w:ilvl="2" w:tentative="0">
      <w:start w:val="1"/>
      <w:numFmt w:val="decimal"/>
      <w:lvlText w:val="%1.%2.%3"/>
      <w:lvlJc w:val="left"/>
      <w:pPr>
        <w:tabs>
          <w:tab w:val="left" w:pos="600"/>
        </w:tabs>
        <w:ind w:left="600" w:hanging="600"/>
      </w:pPr>
      <w:rPr>
        <w:rFonts w:hint="default"/>
      </w:rPr>
    </w:lvl>
    <w:lvl w:ilvl="3" w:tentative="0">
      <w:start w:val="1"/>
      <w:numFmt w:val="decimal"/>
      <w:lvlText w:val="%1.%2.%3.%4"/>
      <w:lvlJc w:val="left"/>
      <w:pPr>
        <w:tabs>
          <w:tab w:val="left" w:pos="600"/>
        </w:tabs>
        <w:ind w:left="600" w:hanging="600"/>
      </w:pPr>
      <w:rPr>
        <w:rFonts w:hint="default"/>
      </w:rPr>
    </w:lvl>
    <w:lvl w:ilvl="4" w:tentative="0">
      <w:start w:val="1"/>
      <w:numFmt w:val="decimal"/>
      <w:lvlText w:val="%1.%2.%3.%4.%5"/>
      <w:lvlJc w:val="left"/>
      <w:pPr>
        <w:tabs>
          <w:tab w:val="left" w:pos="600"/>
        </w:tabs>
        <w:ind w:left="600" w:hanging="600"/>
      </w:pPr>
      <w:rPr>
        <w:rFonts w:hint="default"/>
      </w:rPr>
    </w:lvl>
    <w:lvl w:ilvl="5" w:tentative="0">
      <w:start w:val="1"/>
      <w:numFmt w:val="decimal"/>
      <w:lvlText w:val="%1.%2.%3.%4.%5.%6"/>
      <w:lvlJc w:val="left"/>
      <w:pPr>
        <w:tabs>
          <w:tab w:val="left" w:pos="600"/>
        </w:tabs>
        <w:ind w:left="600" w:hanging="600"/>
      </w:pPr>
      <w:rPr>
        <w:rFonts w:hint="default"/>
      </w:rPr>
    </w:lvl>
    <w:lvl w:ilvl="6" w:tentative="0">
      <w:start w:val="1"/>
      <w:numFmt w:val="decimal"/>
      <w:lvlText w:val="%1.%2.%3.%4.%5.%6.%7"/>
      <w:lvlJc w:val="left"/>
      <w:pPr>
        <w:tabs>
          <w:tab w:val="left" w:pos="600"/>
        </w:tabs>
        <w:ind w:left="600" w:hanging="600"/>
      </w:pPr>
      <w:rPr>
        <w:rFonts w:hint="default"/>
      </w:rPr>
    </w:lvl>
    <w:lvl w:ilvl="7" w:tentative="0">
      <w:start w:val="1"/>
      <w:numFmt w:val="decimal"/>
      <w:lvlText w:val="%1.%2.%3.%4.%5.%6.%7.%8"/>
      <w:lvlJc w:val="left"/>
      <w:pPr>
        <w:tabs>
          <w:tab w:val="left" w:pos="600"/>
        </w:tabs>
        <w:ind w:left="600" w:hanging="600"/>
      </w:pPr>
      <w:rPr>
        <w:rFonts w:hint="default"/>
      </w:rPr>
    </w:lvl>
    <w:lvl w:ilvl="8" w:tentative="0">
      <w:start w:val="1"/>
      <w:numFmt w:val="decimal"/>
      <w:lvlText w:val="%1.%2.%3.%4.%5.%6.%7.%8.%9"/>
      <w:lvlJc w:val="left"/>
      <w:pPr>
        <w:tabs>
          <w:tab w:val="left" w:pos="600"/>
        </w:tabs>
        <w:ind w:left="600" w:hanging="600"/>
      </w:pPr>
      <w:rPr>
        <w:rFonts w:hint="default"/>
      </w:rPr>
    </w:lvl>
  </w:abstractNum>
  <w:abstractNum w:abstractNumId="37">
    <w:nsid w:val="715F29F2"/>
    <w:multiLevelType w:val="multilevel"/>
    <w:tmpl w:val="715F29F2"/>
    <w:lvl w:ilvl="0" w:tentative="0">
      <w:start w:val="13"/>
      <w:numFmt w:val="decimal"/>
      <w:lvlText w:val="%1"/>
      <w:lvlJc w:val="left"/>
      <w:pPr>
        <w:tabs>
          <w:tab w:val="left" w:pos="465"/>
        </w:tabs>
        <w:ind w:left="465" w:hanging="465"/>
      </w:pPr>
      <w:rPr>
        <w:rFonts w:hint="default"/>
      </w:rPr>
    </w:lvl>
    <w:lvl w:ilvl="1" w:tentative="0">
      <w:start w:val="1"/>
      <w:numFmt w:val="decimal"/>
      <w:lvlText w:val="%1.%2"/>
      <w:lvlJc w:val="left"/>
      <w:pPr>
        <w:tabs>
          <w:tab w:val="left" w:pos="465"/>
        </w:tabs>
        <w:ind w:left="465" w:hanging="465"/>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38">
    <w:nsid w:val="76195D75"/>
    <w:multiLevelType w:val="multilevel"/>
    <w:tmpl w:val="76195D75"/>
    <w:lvl w:ilvl="0" w:tentative="0">
      <w:start w:val="28"/>
      <w:numFmt w:val="decimal"/>
      <w:lvlText w:val="%1、"/>
      <w:lvlJc w:val="left"/>
      <w:pPr>
        <w:ind w:left="465" w:hanging="46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762D7317"/>
    <w:multiLevelType w:val="multilevel"/>
    <w:tmpl w:val="762D7317"/>
    <w:lvl w:ilvl="0" w:tentative="0">
      <w:start w:val="22"/>
      <w:numFmt w:val="decimal"/>
      <w:lvlText w:val="%1"/>
      <w:lvlJc w:val="left"/>
      <w:pPr>
        <w:tabs>
          <w:tab w:val="left" w:pos="480"/>
        </w:tabs>
        <w:ind w:left="480" w:hanging="480"/>
      </w:pPr>
      <w:rPr>
        <w:rFonts w:hint="default"/>
      </w:rPr>
    </w:lvl>
    <w:lvl w:ilvl="1" w:tentative="0">
      <w:start w:val="1"/>
      <w:numFmt w:val="decimal"/>
      <w:lvlText w:val="%1.%2"/>
      <w:lvlJc w:val="left"/>
      <w:pPr>
        <w:tabs>
          <w:tab w:val="left" w:pos="840"/>
        </w:tabs>
        <w:ind w:left="840" w:hanging="480"/>
      </w:pPr>
      <w:rPr>
        <w:rFonts w:hint="default"/>
        <w:b w:val="0"/>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800"/>
        </w:tabs>
        <w:ind w:left="1800" w:hanging="180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2160"/>
        </w:tabs>
        <w:ind w:left="2160" w:hanging="2160"/>
      </w:pPr>
      <w:rPr>
        <w:rFonts w:hint="default"/>
      </w:rPr>
    </w:lvl>
  </w:abstractNum>
  <w:abstractNum w:abstractNumId="40">
    <w:nsid w:val="7D1440D7"/>
    <w:multiLevelType w:val="multilevel"/>
    <w:tmpl w:val="7D1440D7"/>
    <w:lvl w:ilvl="0" w:tentative="0">
      <w:start w:val="1"/>
      <w:numFmt w:val="decimal"/>
      <w:lvlText w:val="%1）"/>
      <w:lvlJc w:val="left"/>
      <w:pPr>
        <w:tabs>
          <w:tab w:val="left" w:pos="2040"/>
        </w:tabs>
        <w:ind w:left="2040" w:hanging="360"/>
      </w:pPr>
      <w:rPr>
        <w:rFonts w:hint="default"/>
      </w:rPr>
    </w:lvl>
    <w:lvl w:ilvl="1" w:tentative="0">
      <w:start w:val="3"/>
      <w:numFmt w:val="japaneseCounting"/>
      <w:lvlText w:val="%2、"/>
      <w:lvlJc w:val="left"/>
      <w:pPr>
        <w:tabs>
          <w:tab w:val="left" w:pos="840"/>
        </w:tabs>
        <w:ind w:left="840" w:hanging="420"/>
      </w:pPr>
      <w:rPr>
        <w:rFonts w:hint="default"/>
      </w:rPr>
    </w:lvl>
    <w:lvl w:ilvl="2" w:tentative="0">
      <w:start w:val="1"/>
      <w:numFmt w:val="decimal"/>
      <w:lvlText w:val="%3."/>
      <w:lvlJc w:val="left"/>
      <w:pPr>
        <w:tabs>
          <w:tab w:val="left" w:pos="1200"/>
        </w:tabs>
        <w:ind w:left="1200" w:hanging="360"/>
      </w:pPr>
      <w:rPr>
        <w:rFonts w:hint="eastAsia" w:ascii="宋体" w:hAnsi="宋体" w:eastAsia="宋体" w:cs="Times New Roman"/>
      </w:rPr>
    </w:lvl>
    <w:lvl w:ilvl="3" w:tentative="0">
      <w:start w:val="1"/>
      <w:numFmt w:val="decimal"/>
      <w:lvlText w:val="%4、"/>
      <w:lvlJc w:val="left"/>
      <w:pPr>
        <w:tabs>
          <w:tab w:val="left" w:pos="1620"/>
        </w:tabs>
        <w:ind w:left="1620" w:hanging="360"/>
      </w:pPr>
      <w:rPr>
        <w:rFonts w:hint="default"/>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rPr>
        <w:b w:val="0"/>
        <w:sz w:val="21"/>
        <w:szCs w:val="21"/>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1">
    <w:nsid w:val="7F03740D"/>
    <w:multiLevelType w:val="multilevel"/>
    <w:tmpl w:val="7F03740D"/>
    <w:lvl w:ilvl="0" w:tentative="0">
      <w:start w:val="2"/>
      <w:numFmt w:val="decimal"/>
      <w:lvlText w:val="%1"/>
      <w:lvlJc w:val="left"/>
      <w:pPr>
        <w:tabs>
          <w:tab w:val="left" w:pos="360"/>
        </w:tabs>
        <w:ind w:left="360" w:hanging="360"/>
      </w:pPr>
      <w:rPr>
        <w:rFonts w:hint="default"/>
      </w:rPr>
    </w:lvl>
    <w:lvl w:ilvl="1" w:tentative="0">
      <w:start w:val="1"/>
      <w:numFmt w:val="decimal"/>
      <w:lvlText w:val="%1.%2"/>
      <w:lvlJc w:val="left"/>
      <w:pPr>
        <w:tabs>
          <w:tab w:val="left" w:pos="360"/>
        </w:tabs>
        <w:ind w:left="360" w:hanging="36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080"/>
        </w:tabs>
        <w:ind w:left="1080" w:hanging="1080"/>
      </w:pPr>
      <w:rPr>
        <w:rFonts w:hint="default"/>
      </w:rPr>
    </w:lvl>
    <w:lvl w:ilvl="5" w:tentative="0">
      <w:start w:val="1"/>
      <w:numFmt w:val="decimal"/>
      <w:lvlText w:val="%1.%2.%3.%4.%5.%6"/>
      <w:lvlJc w:val="left"/>
      <w:pPr>
        <w:tabs>
          <w:tab w:val="left" w:pos="1440"/>
        </w:tabs>
        <w:ind w:left="1440" w:hanging="1440"/>
      </w:pPr>
      <w:rPr>
        <w:rFonts w:hint="default"/>
      </w:rPr>
    </w:lvl>
    <w:lvl w:ilvl="6" w:tentative="0">
      <w:start w:val="1"/>
      <w:numFmt w:val="decimal"/>
      <w:lvlText w:val="%1.%2.%3.%4.%5.%6.%7"/>
      <w:lvlJc w:val="left"/>
      <w:pPr>
        <w:tabs>
          <w:tab w:val="left" w:pos="1440"/>
        </w:tabs>
        <w:ind w:left="1440" w:hanging="1440"/>
      </w:pPr>
      <w:rPr>
        <w:rFonts w:hint="default"/>
      </w:rPr>
    </w:lvl>
    <w:lvl w:ilvl="7" w:tentative="0">
      <w:start w:val="1"/>
      <w:numFmt w:val="decimal"/>
      <w:lvlText w:val="%1.%2.%3.%4.%5.%6.%7.%8"/>
      <w:lvlJc w:val="left"/>
      <w:pPr>
        <w:tabs>
          <w:tab w:val="left" w:pos="1800"/>
        </w:tabs>
        <w:ind w:left="1800" w:hanging="1800"/>
      </w:pPr>
      <w:rPr>
        <w:rFonts w:hint="default"/>
      </w:rPr>
    </w:lvl>
    <w:lvl w:ilvl="8" w:tentative="0">
      <w:start w:val="1"/>
      <w:numFmt w:val="decimal"/>
      <w:lvlText w:val="%1.%2.%3.%4.%5.%6.%7.%8.%9"/>
      <w:lvlJc w:val="left"/>
      <w:pPr>
        <w:tabs>
          <w:tab w:val="left" w:pos="1800"/>
        </w:tabs>
        <w:ind w:left="1800" w:hanging="1800"/>
      </w:pPr>
      <w:rPr>
        <w:rFonts w:hint="default"/>
      </w:rPr>
    </w:lvl>
  </w:abstractNum>
  <w:abstractNum w:abstractNumId="42">
    <w:nsid w:val="7FC50114"/>
    <w:multiLevelType w:val="multilevel"/>
    <w:tmpl w:val="7FC50114"/>
    <w:lvl w:ilvl="0" w:tentative="0">
      <w:start w:val="3"/>
      <w:numFmt w:val="decimal"/>
      <w:lvlText w:val="%1"/>
      <w:lvlJc w:val="left"/>
      <w:pPr>
        <w:tabs>
          <w:tab w:val="left" w:pos="360"/>
        </w:tabs>
        <w:ind w:left="360" w:hanging="360"/>
      </w:pPr>
      <w:rPr>
        <w:rFonts w:hint="default" w:cs="宋体"/>
      </w:rPr>
    </w:lvl>
    <w:lvl w:ilvl="1" w:tentative="0">
      <w:start w:val="1"/>
      <w:numFmt w:val="decimal"/>
      <w:lvlText w:val="%1.%2"/>
      <w:lvlJc w:val="left"/>
      <w:pPr>
        <w:tabs>
          <w:tab w:val="left" w:pos="360"/>
        </w:tabs>
        <w:ind w:left="360" w:hanging="360"/>
      </w:pPr>
      <w:rPr>
        <w:rFonts w:hint="default" w:cs="宋体"/>
      </w:rPr>
    </w:lvl>
    <w:lvl w:ilvl="2" w:tentative="0">
      <w:start w:val="1"/>
      <w:numFmt w:val="decimal"/>
      <w:lvlText w:val="%1.%2.%3"/>
      <w:lvlJc w:val="left"/>
      <w:pPr>
        <w:tabs>
          <w:tab w:val="left" w:pos="720"/>
        </w:tabs>
        <w:ind w:left="720" w:hanging="720"/>
      </w:pPr>
      <w:rPr>
        <w:rFonts w:hint="default" w:cs="宋体"/>
      </w:rPr>
    </w:lvl>
    <w:lvl w:ilvl="3" w:tentative="0">
      <w:start w:val="1"/>
      <w:numFmt w:val="decimal"/>
      <w:lvlText w:val="%1.%2.%3.%4"/>
      <w:lvlJc w:val="left"/>
      <w:pPr>
        <w:tabs>
          <w:tab w:val="left" w:pos="1080"/>
        </w:tabs>
        <w:ind w:left="1080" w:hanging="1080"/>
      </w:pPr>
      <w:rPr>
        <w:rFonts w:hint="default" w:cs="宋体"/>
      </w:rPr>
    </w:lvl>
    <w:lvl w:ilvl="4" w:tentative="0">
      <w:start w:val="1"/>
      <w:numFmt w:val="decimal"/>
      <w:lvlText w:val="%1.%2.%3.%4.%5"/>
      <w:lvlJc w:val="left"/>
      <w:pPr>
        <w:tabs>
          <w:tab w:val="left" w:pos="1080"/>
        </w:tabs>
        <w:ind w:left="1080" w:hanging="1080"/>
      </w:pPr>
      <w:rPr>
        <w:rFonts w:hint="default" w:cs="宋体"/>
      </w:rPr>
    </w:lvl>
    <w:lvl w:ilvl="5" w:tentative="0">
      <w:start w:val="1"/>
      <w:numFmt w:val="decimal"/>
      <w:lvlText w:val="%1.%2.%3.%4.%5.%6"/>
      <w:lvlJc w:val="left"/>
      <w:pPr>
        <w:tabs>
          <w:tab w:val="left" w:pos="1440"/>
        </w:tabs>
        <w:ind w:left="1440" w:hanging="1440"/>
      </w:pPr>
      <w:rPr>
        <w:rFonts w:hint="default" w:cs="宋体"/>
      </w:rPr>
    </w:lvl>
    <w:lvl w:ilvl="6" w:tentative="0">
      <w:start w:val="1"/>
      <w:numFmt w:val="decimal"/>
      <w:lvlText w:val="%1.%2.%3.%4.%5.%6.%7"/>
      <w:lvlJc w:val="left"/>
      <w:pPr>
        <w:tabs>
          <w:tab w:val="left" w:pos="1440"/>
        </w:tabs>
        <w:ind w:left="1440" w:hanging="1440"/>
      </w:pPr>
      <w:rPr>
        <w:rFonts w:hint="default" w:cs="宋体"/>
      </w:rPr>
    </w:lvl>
    <w:lvl w:ilvl="7" w:tentative="0">
      <w:start w:val="1"/>
      <w:numFmt w:val="decimal"/>
      <w:lvlText w:val="%1.%2.%3.%4.%5.%6.%7.%8"/>
      <w:lvlJc w:val="left"/>
      <w:pPr>
        <w:tabs>
          <w:tab w:val="left" w:pos="1800"/>
        </w:tabs>
        <w:ind w:left="1800" w:hanging="1800"/>
      </w:pPr>
      <w:rPr>
        <w:rFonts w:hint="default" w:cs="宋体"/>
      </w:rPr>
    </w:lvl>
    <w:lvl w:ilvl="8" w:tentative="0">
      <w:start w:val="1"/>
      <w:numFmt w:val="decimal"/>
      <w:lvlText w:val="%1.%2.%3.%4.%5.%6.%7.%8.%9"/>
      <w:lvlJc w:val="left"/>
      <w:pPr>
        <w:tabs>
          <w:tab w:val="left" w:pos="1800"/>
        </w:tabs>
        <w:ind w:left="1800" w:hanging="1800"/>
      </w:pPr>
      <w:rPr>
        <w:rFonts w:hint="default" w:cs="宋体"/>
      </w:rPr>
    </w:lvl>
  </w:abstractNum>
  <w:num w:numId="1">
    <w:abstractNumId w:val="35"/>
  </w:num>
  <w:num w:numId="2">
    <w:abstractNumId w:val="9"/>
  </w:num>
  <w:num w:numId="3">
    <w:abstractNumId w:val="17"/>
  </w:num>
  <w:num w:numId="4">
    <w:abstractNumId w:val="26"/>
  </w:num>
  <w:num w:numId="5">
    <w:abstractNumId w:val="12"/>
  </w:num>
  <w:num w:numId="6">
    <w:abstractNumId w:val="11"/>
  </w:num>
  <w:num w:numId="7">
    <w:abstractNumId w:val="7"/>
  </w:num>
  <w:num w:numId="8">
    <w:abstractNumId w:val="13"/>
  </w:num>
  <w:num w:numId="9">
    <w:abstractNumId w:val="31"/>
  </w:num>
  <w:num w:numId="10">
    <w:abstractNumId w:val="41"/>
  </w:num>
  <w:num w:numId="11">
    <w:abstractNumId w:val="42"/>
  </w:num>
  <w:num w:numId="12">
    <w:abstractNumId w:val="25"/>
  </w:num>
  <w:num w:numId="13">
    <w:abstractNumId w:val="28"/>
  </w:num>
  <w:num w:numId="14">
    <w:abstractNumId w:val="30"/>
  </w:num>
  <w:num w:numId="15">
    <w:abstractNumId w:val="32"/>
  </w:num>
  <w:num w:numId="16">
    <w:abstractNumId w:val="2"/>
  </w:num>
  <w:num w:numId="17">
    <w:abstractNumId w:val="34"/>
  </w:num>
  <w:num w:numId="18">
    <w:abstractNumId w:val="4"/>
  </w:num>
  <w:num w:numId="19">
    <w:abstractNumId w:val="23"/>
  </w:num>
  <w:num w:numId="20">
    <w:abstractNumId w:val="19"/>
  </w:num>
  <w:num w:numId="21">
    <w:abstractNumId w:val="37"/>
  </w:num>
  <w:num w:numId="22">
    <w:abstractNumId w:val="10"/>
  </w:num>
  <w:num w:numId="23">
    <w:abstractNumId w:val="24"/>
  </w:num>
  <w:num w:numId="24">
    <w:abstractNumId w:val="6"/>
  </w:num>
  <w:num w:numId="25">
    <w:abstractNumId w:val="36"/>
  </w:num>
  <w:num w:numId="26">
    <w:abstractNumId w:val="40"/>
  </w:num>
  <w:num w:numId="27">
    <w:abstractNumId w:val="27"/>
  </w:num>
  <w:num w:numId="28">
    <w:abstractNumId w:val="21"/>
  </w:num>
  <w:num w:numId="29">
    <w:abstractNumId w:val="8"/>
  </w:num>
  <w:num w:numId="30">
    <w:abstractNumId w:val="18"/>
  </w:num>
  <w:num w:numId="31">
    <w:abstractNumId w:val="39"/>
  </w:num>
  <w:num w:numId="32">
    <w:abstractNumId w:val="22"/>
  </w:num>
  <w:num w:numId="33">
    <w:abstractNumId w:val="14"/>
  </w:num>
  <w:num w:numId="34">
    <w:abstractNumId w:val="0"/>
  </w:num>
  <w:num w:numId="35">
    <w:abstractNumId w:val="38"/>
  </w:num>
  <w:num w:numId="36">
    <w:abstractNumId w:val="33"/>
  </w:num>
  <w:num w:numId="37">
    <w:abstractNumId w:val="15"/>
  </w:num>
  <w:num w:numId="38">
    <w:abstractNumId w:val="29"/>
  </w:num>
  <w:num w:numId="39">
    <w:abstractNumId w:val="1"/>
  </w:num>
  <w:num w:numId="40">
    <w:abstractNumId w:val="16"/>
  </w:num>
  <w:num w:numId="41">
    <w:abstractNumId w:val="20"/>
  </w:num>
  <w:num w:numId="42">
    <w:abstractNumId w:val="5"/>
  </w:num>
  <w:num w:numId="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TE4N2M1ZTgyYTVmMTM3ZTYyMzBkOTkxNDIwNDViMWMifQ=="/>
  </w:docVars>
  <w:rsids>
    <w:rsidRoot w:val="00D01E68"/>
    <w:rsid w:val="000033B9"/>
    <w:rsid w:val="000047AE"/>
    <w:rsid w:val="00004A24"/>
    <w:rsid w:val="00004EFB"/>
    <w:rsid w:val="00007E56"/>
    <w:rsid w:val="0001587C"/>
    <w:rsid w:val="00015F4D"/>
    <w:rsid w:val="000215F4"/>
    <w:rsid w:val="00022666"/>
    <w:rsid w:val="00023392"/>
    <w:rsid w:val="000239A8"/>
    <w:rsid w:val="00024103"/>
    <w:rsid w:val="000253AD"/>
    <w:rsid w:val="0002669A"/>
    <w:rsid w:val="00026B7C"/>
    <w:rsid w:val="00026C24"/>
    <w:rsid w:val="00027066"/>
    <w:rsid w:val="0003059B"/>
    <w:rsid w:val="0003259A"/>
    <w:rsid w:val="0003403B"/>
    <w:rsid w:val="00034188"/>
    <w:rsid w:val="00034401"/>
    <w:rsid w:val="00034C37"/>
    <w:rsid w:val="00034DD0"/>
    <w:rsid w:val="00036612"/>
    <w:rsid w:val="00040CD1"/>
    <w:rsid w:val="00041FF2"/>
    <w:rsid w:val="00042D58"/>
    <w:rsid w:val="00043B68"/>
    <w:rsid w:val="00044766"/>
    <w:rsid w:val="00045299"/>
    <w:rsid w:val="00047217"/>
    <w:rsid w:val="00052BAD"/>
    <w:rsid w:val="00054956"/>
    <w:rsid w:val="000601EB"/>
    <w:rsid w:val="00060505"/>
    <w:rsid w:val="00061770"/>
    <w:rsid w:val="000637D5"/>
    <w:rsid w:val="00064234"/>
    <w:rsid w:val="00064EC5"/>
    <w:rsid w:val="00065B60"/>
    <w:rsid w:val="00066D4A"/>
    <w:rsid w:val="0006772A"/>
    <w:rsid w:val="0007168B"/>
    <w:rsid w:val="00073173"/>
    <w:rsid w:val="000738DC"/>
    <w:rsid w:val="000740E4"/>
    <w:rsid w:val="0007591B"/>
    <w:rsid w:val="000764B9"/>
    <w:rsid w:val="000808FD"/>
    <w:rsid w:val="00083858"/>
    <w:rsid w:val="00084E33"/>
    <w:rsid w:val="0008685D"/>
    <w:rsid w:val="000874D5"/>
    <w:rsid w:val="0008753B"/>
    <w:rsid w:val="000879E8"/>
    <w:rsid w:val="00087F0E"/>
    <w:rsid w:val="000927C7"/>
    <w:rsid w:val="000935C0"/>
    <w:rsid w:val="0009702B"/>
    <w:rsid w:val="00097DC4"/>
    <w:rsid w:val="000A08A5"/>
    <w:rsid w:val="000A0A7B"/>
    <w:rsid w:val="000A1233"/>
    <w:rsid w:val="000A20A7"/>
    <w:rsid w:val="000A3F65"/>
    <w:rsid w:val="000A50F6"/>
    <w:rsid w:val="000A54F4"/>
    <w:rsid w:val="000A6C98"/>
    <w:rsid w:val="000A7BB4"/>
    <w:rsid w:val="000B0404"/>
    <w:rsid w:val="000B0E4B"/>
    <w:rsid w:val="000B1147"/>
    <w:rsid w:val="000B1258"/>
    <w:rsid w:val="000B1404"/>
    <w:rsid w:val="000B25DE"/>
    <w:rsid w:val="000B27B8"/>
    <w:rsid w:val="000B3274"/>
    <w:rsid w:val="000B4D1A"/>
    <w:rsid w:val="000B6702"/>
    <w:rsid w:val="000C005A"/>
    <w:rsid w:val="000C114A"/>
    <w:rsid w:val="000C2471"/>
    <w:rsid w:val="000C2993"/>
    <w:rsid w:val="000C3488"/>
    <w:rsid w:val="000C3DA3"/>
    <w:rsid w:val="000C420C"/>
    <w:rsid w:val="000C6D16"/>
    <w:rsid w:val="000C7ACA"/>
    <w:rsid w:val="000D017D"/>
    <w:rsid w:val="000D0DD2"/>
    <w:rsid w:val="000D3FD9"/>
    <w:rsid w:val="000D51A3"/>
    <w:rsid w:val="000D680D"/>
    <w:rsid w:val="000D75EB"/>
    <w:rsid w:val="000E044D"/>
    <w:rsid w:val="000E1552"/>
    <w:rsid w:val="000E1D32"/>
    <w:rsid w:val="000E2E3B"/>
    <w:rsid w:val="000E4823"/>
    <w:rsid w:val="000F09C3"/>
    <w:rsid w:val="000F25D9"/>
    <w:rsid w:val="000F2A59"/>
    <w:rsid w:val="000F661F"/>
    <w:rsid w:val="00100A0F"/>
    <w:rsid w:val="00101897"/>
    <w:rsid w:val="001025BD"/>
    <w:rsid w:val="00102981"/>
    <w:rsid w:val="00102DF0"/>
    <w:rsid w:val="00104978"/>
    <w:rsid w:val="001074B3"/>
    <w:rsid w:val="0010789F"/>
    <w:rsid w:val="001141C4"/>
    <w:rsid w:val="00114D60"/>
    <w:rsid w:val="001163B1"/>
    <w:rsid w:val="00116C7E"/>
    <w:rsid w:val="00124AA6"/>
    <w:rsid w:val="00125943"/>
    <w:rsid w:val="00127C5B"/>
    <w:rsid w:val="00134B30"/>
    <w:rsid w:val="00134FD7"/>
    <w:rsid w:val="0013620B"/>
    <w:rsid w:val="001408A8"/>
    <w:rsid w:val="00142545"/>
    <w:rsid w:val="0014282F"/>
    <w:rsid w:val="0014397E"/>
    <w:rsid w:val="001449C7"/>
    <w:rsid w:val="00145432"/>
    <w:rsid w:val="001478B2"/>
    <w:rsid w:val="00150976"/>
    <w:rsid w:val="00150BBE"/>
    <w:rsid w:val="00150C35"/>
    <w:rsid w:val="00151409"/>
    <w:rsid w:val="00151CA6"/>
    <w:rsid w:val="00152ED9"/>
    <w:rsid w:val="00152FC8"/>
    <w:rsid w:val="00155948"/>
    <w:rsid w:val="001627D3"/>
    <w:rsid w:val="00162FE0"/>
    <w:rsid w:val="0016373B"/>
    <w:rsid w:val="00170342"/>
    <w:rsid w:val="00172C43"/>
    <w:rsid w:val="00173A77"/>
    <w:rsid w:val="0017427A"/>
    <w:rsid w:val="001744CA"/>
    <w:rsid w:val="001749AF"/>
    <w:rsid w:val="00175CFD"/>
    <w:rsid w:val="00175F5F"/>
    <w:rsid w:val="001777D8"/>
    <w:rsid w:val="0018039E"/>
    <w:rsid w:val="00181E47"/>
    <w:rsid w:val="001839B5"/>
    <w:rsid w:val="00185050"/>
    <w:rsid w:val="00185F86"/>
    <w:rsid w:val="00186CF1"/>
    <w:rsid w:val="00187F0E"/>
    <w:rsid w:val="00191399"/>
    <w:rsid w:val="00192611"/>
    <w:rsid w:val="001930D2"/>
    <w:rsid w:val="00194A27"/>
    <w:rsid w:val="00197EF1"/>
    <w:rsid w:val="001A02ED"/>
    <w:rsid w:val="001A1937"/>
    <w:rsid w:val="001A263A"/>
    <w:rsid w:val="001A2EB5"/>
    <w:rsid w:val="001A36FE"/>
    <w:rsid w:val="001A3E2E"/>
    <w:rsid w:val="001A4886"/>
    <w:rsid w:val="001A4FEF"/>
    <w:rsid w:val="001B0296"/>
    <w:rsid w:val="001B07C7"/>
    <w:rsid w:val="001B07DE"/>
    <w:rsid w:val="001B1154"/>
    <w:rsid w:val="001B20B0"/>
    <w:rsid w:val="001B727F"/>
    <w:rsid w:val="001B78A1"/>
    <w:rsid w:val="001C1736"/>
    <w:rsid w:val="001C1DA4"/>
    <w:rsid w:val="001C33E7"/>
    <w:rsid w:val="001C3B5D"/>
    <w:rsid w:val="001C4413"/>
    <w:rsid w:val="001C5A5B"/>
    <w:rsid w:val="001C6428"/>
    <w:rsid w:val="001C6B84"/>
    <w:rsid w:val="001D4194"/>
    <w:rsid w:val="001D4319"/>
    <w:rsid w:val="001D572B"/>
    <w:rsid w:val="001D7585"/>
    <w:rsid w:val="001E0C05"/>
    <w:rsid w:val="001E3837"/>
    <w:rsid w:val="001E3E08"/>
    <w:rsid w:val="001E3F69"/>
    <w:rsid w:val="001E56C2"/>
    <w:rsid w:val="001E63BF"/>
    <w:rsid w:val="001E744E"/>
    <w:rsid w:val="001F0E30"/>
    <w:rsid w:val="001F0E43"/>
    <w:rsid w:val="001F15DC"/>
    <w:rsid w:val="001F4124"/>
    <w:rsid w:val="001F44D4"/>
    <w:rsid w:val="001F6F7C"/>
    <w:rsid w:val="00202287"/>
    <w:rsid w:val="00203024"/>
    <w:rsid w:val="00204550"/>
    <w:rsid w:val="00205017"/>
    <w:rsid w:val="00205438"/>
    <w:rsid w:val="002062AF"/>
    <w:rsid w:val="002063F0"/>
    <w:rsid w:val="00207D04"/>
    <w:rsid w:val="00207DD9"/>
    <w:rsid w:val="00211F1C"/>
    <w:rsid w:val="00213D50"/>
    <w:rsid w:val="00220C09"/>
    <w:rsid w:val="00225358"/>
    <w:rsid w:val="002261E6"/>
    <w:rsid w:val="00226DC3"/>
    <w:rsid w:val="00227ED9"/>
    <w:rsid w:val="00230501"/>
    <w:rsid w:val="002339D1"/>
    <w:rsid w:val="00233ACA"/>
    <w:rsid w:val="00235704"/>
    <w:rsid w:val="002359B0"/>
    <w:rsid w:val="00235C97"/>
    <w:rsid w:val="00235F58"/>
    <w:rsid w:val="00235F62"/>
    <w:rsid w:val="00240060"/>
    <w:rsid w:val="00243A8A"/>
    <w:rsid w:val="00247965"/>
    <w:rsid w:val="002509F0"/>
    <w:rsid w:val="00251B5C"/>
    <w:rsid w:val="002530F4"/>
    <w:rsid w:val="00253653"/>
    <w:rsid w:val="00253BAC"/>
    <w:rsid w:val="0025542B"/>
    <w:rsid w:val="0025626F"/>
    <w:rsid w:val="00256A91"/>
    <w:rsid w:val="002603F9"/>
    <w:rsid w:val="002623C9"/>
    <w:rsid w:val="0026428F"/>
    <w:rsid w:val="002646B0"/>
    <w:rsid w:val="00265C3F"/>
    <w:rsid w:val="00265D42"/>
    <w:rsid w:val="00267586"/>
    <w:rsid w:val="00267DB6"/>
    <w:rsid w:val="00270533"/>
    <w:rsid w:val="00271F95"/>
    <w:rsid w:val="002729C3"/>
    <w:rsid w:val="00273196"/>
    <w:rsid w:val="0027335E"/>
    <w:rsid w:val="002739FC"/>
    <w:rsid w:val="00273FBB"/>
    <w:rsid w:val="0027522F"/>
    <w:rsid w:val="002759DC"/>
    <w:rsid w:val="00280409"/>
    <w:rsid w:val="00281E10"/>
    <w:rsid w:val="002852EB"/>
    <w:rsid w:val="002861D3"/>
    <w:rsid w:val="00287848"/>
    <w:rsid w:val="00290E4C"/>
    <w:rsid w:val="00293D8B"/>
    <w:rsid w:val="002942BF"/>
    <w:rsid w:val="0029782F"/>
    <w:rsid w:val="0029786C"/>
    <w:rsid w:val="002A2523"/>
    <w:rsid w:val="002A4287"/>
    <w:rsid w:val="002A4B44"/>
    <w:rsid w:val="002A5FE4"/>
    <w:rsid w:val="002A6048"/>
    <w:rsid w:val="002A6253"/>
    <w:rsid w:val="002A62EA"/>
    <w:rsid w:val="002A647B"/>
    <w:rsid w:val="002A64F2"/>
    <w:rsid w:val="002A7BA2"/>
    <w:rsid w:val="002B0C1F"/>
    <w:rsid w:val="002B18B4"/>
    <w:rsid w:val="002B1B84"/>
    <w:rsid w:val="002B1F08"/>
    <w:rsid w:val="002B2E16"/>
    <w:rsid w:val="002B4AA4"/>
    <w:rsid w:val="002B4E54"/>
    <w:rsid w:val="002B58F7"/>
    <w:rsid w:val="002C151B"/>
    <w:rsid w:val="002C1964"/>
    <w:rsid w:val="002C2691"/>
    <w:rsid w:val="002C2825"/>
    <w:rsid w:val="002C41E4"/>
    <w:rsid w:val="002C461D"/>
    <w:rsid w:val="002C4CD2"/>
    <w:rsid w:val="002C5671"/>
    <w:rsid w:val="002C57F2"/>
    <w:rsid w:val="002C62DA"/>
    <w:rsid w:val="002D44D6"/>
    <w:rsid w:val="002D4D2D"/>
    <w:rsid w:val="002D682B"/>
    <w:rsid w:val="002D78B4"/>
    <w:rsid w:val="002D79E1"/>
    <w:rsid w:val="002E034F"/>
    <w:rsid w:val="002E03D7"/>
    <w:rsid w:val="002E3B90"/>
    <w:rsid w:val="002E5B25"/>
    <w:rsid w:val="002E621E"/>
    <w:rsid w:val="002E6941"/>
    <w:rsid w:val="002E7568"/>
    <w:rsid w:val="002E7BCB"/>
    <w:rsid w:val="002F04D7"/>
    <w:rsid w:val="002F4524"/>
    <w:rsid w:val="002F4F9A"/>
    <w:rsid w:val="002F71F9"/>
    <w:rsid w:val="00300A17"/>
    <w:rsid w:val="00300DE8"/>
    <w:rsid w:val="00301075"/>
    <w:rsid w:val="00303733"/>
    <w:rsid w:val="00304C84"/>
    <w:rsid w:val="00306010"/>
    <w:rsid w:val="00306DBB"/>
    <w:rsid w:val="003072A8"/>
    <w:rsid w:val="00307CF7"/>
    <w:rsid w:val="00310E92"/>
    <w:rsid w:val="0031173B"/>
    <w:rsid w:val="00311C3E"/>
    <w:rsid w:val="003120D8"/>
    <w:rsid w:val="00312B4A"/>
    <w:rsid w:val="003219E3"/>
    <w:rsid w:val="00323623"/>
    <w:rsid w:val="00326087"/>
    <w:rsid w:val="0032719C"/>
    <w:rsid w:val="003278E1"/>
    <w:rsid w:val="00330A2D"/>
    <w:rsid w:val="00330B2E"/>
    <w:rsid w:val="00330B59"/>
    <w:rsid w:val="003328A4"/>
    <w:rsid w:val="00332C49"/>
    <w:rsid w:val="00333FA6"/>
    <w:rsid w:val="00335AF3"/>
    <w:rsid w:val="00337E74"/>
    <w:rsid w:val="00340003"/>
    <w:rsid w:val="00340409"/>
    <w:rsid w:val="00341769"/>
    <w:rsid w:val="00342802"/>
    <w:rsid w:val="003433E3"/>
    <w:rsid w:val="00343E09"/>
    <w:rsid w:val="003469C4"/>
    <w:rsid w:val="00346C9E"/>
    <w:rsid w:val="0034708C"/>
    <w:rsid w:val="0035254D"/>
    <w:rsid w:val="0035442F"/>
    <w:rsid w:val="003544F2"/>
    <w:rsid w:val="00360437"/>
    <w:rsid w:val="003614ED"/>
    <w:rsid w:val="0036151C"/>
    <w:rsid w:val="003636FC"/>
    <w:rsid w:val="00363B0E"/>
    <w:rsid w:val="0036524C"/>
    <w:rsid w:val="00365CE5"/>
    <w:rsid w:val="00366A63"/>
    <w:rsid w:val="00371F39"/>
    <w:rsid w:val="00371F92"/>
    <w:rsid w:val="00374C54"/>
    <w:rsid w:val="00377473"/>
    <w:rsid w:val="0037775F"/>
    <w:rsid w:val="003804FB"/>
    <w:rsid w:val="00382FC0"/>
    <w:rsid w:val="00383978"/>
    <w:rsid w:val="00384AB1"/>
    <w:rsid w:val="00385E6D"/>
    <w:rsid w:val="003861E9"/>
    <w:rsid w:val="003911FB"/>
    <w:rsid w:val="00392E5E"/>
    <w:rsid w:val="003939DC"/>
    <w:rsid w:val="00395273"/>
    <w:rsid w:val="0039777F"/>
    <w:rsid w:val="003A0645"/>
    <w:rsid w:val="003A0D8F"/>
    <w:rsid w:val="003A345A"/>
    <w:rsid w:val="003A3569"/>
    <w:rsid w:val="003A3BED"/>
    <w:rsid w:val="003A40C4"/>
    <w:rsid w:val="003A53FA"/>
    <w:rsid w:val="003A6DDF"/>
    <w:rsid w:val="003B229A"/>
    <w:rsid w:val="003B2550"/>
    <w:rsid w:val="003B2851"/>
    <w:rsid w:val="003B2E90"/>
    <w:rsid w:val="003B3303"/>
    <w:rsid w:val="003C0602"/>
    <w:rsid w:val="003C09A4"/>
    <w:rsid w:val="003C25C8"/>
    <w:rsid w:val="003C26BA"/>
    <w:rsid w:val="003C347E"/>
    <w:rsid w:val="003C40BC"/>
    <w:rsid w:val="003D2108"/>
    <w:rsid w:val="003D3DE1"/>
    <w:rsid w:val="003D43F4"/>
    <w:rsid w:val="003D4CCD"/>
    <w:rsid w:val="003E1DFB"/>
    <w:rsid w:val="003E3023"/>
    <w:rsid w:val="003E434A"/>
    <w:rsid w:val="003E5FD1"/>
    <w:rsid w:val="003F2162"/>
    <w:rsid w:val="003F2483"/>
    <w:rsid w:val="003F5780"/>
    <w:rsid w:val="003F5C2F"/>
    <w:rsid w:val="003F61E2"/>
    <w:rsid w:val="003F6EBF"/>
    <w:rsid w:val="0040035B"/>
    <w:rsid w:val="00400767"/>
    <w:rsid w:val="00400FF3"/>
    <w:rsid w:val="00401592"/>
    <w:rsid w:val="00401B39"/>
    <w:rsid w:val="00401F8D"/>
    <w:rsid w:val="00403EC7"/>
    <w:rsid w:val="00404737"/>
    <w:rsid w:val="00404AC0"/>
    <w:rsid w:val="0040715A"/>
    <w:rsid w:val="0041082C"/>
    <w:rsid w:val="00412EE9"/>
    <w:rsid w:val="00413598"/>
    <w:rsid w:val="00414D62"/>
    <w:rsid w:val="004151E7"/>
    <w:rsid w:val="0041672A"/>
    <w:rsid w:val="004168C6"/>
    <w:rsid w:val="00421282"/>
    <w:rsid w:val="004212E6"/>
    <w:rsid w:val="00421300"/>
    <w:rsid w:val="004225F2"/>
    <w:rsid w:val="00423062"/>
    <w:rsid w:val="00425599"/>
    <w:rsid w:val="00426AE9"/>
    <w:rsid w:val="004317F4"/>
    <w:rsid w:val="00431F70"/>
    <w:rsid w:val="004330C5"/>
    <w:rsid w:val="00435FDF"/>
    <w:rsid w:val="004417F5"/>
    <w:rsid w:val="00441812"/>
    <w:rsid w:val="00444B91"/>
    <w:rsid w:val="00444D72"/>
    <w:rsid w:val="00450A56"/>
    <w:rsid w:val="004529FE"/>
    <w:rsid w:val="00453191"/>
    <w:rsid w:val="004536D3"/>
    <w:rsid w:val="00454F59"/>
    <w:rsid w:val="004574D4"/>
    <w:rsid w:val="00460CF7"/>
    <w:rsid w:val="00462FA9"/>
    <w:rsid w:val="0046424E"/>
    <w:rsid w:val="004650B1"/>
    <w:rsid w:val="004654A9"/>
    <w:rsid w:val="00466CD9"/>
    <w:rsid w:val="00470049"/>
    <w:rsid w:val="00471C4F"/>
    <w:rsid w:val="00473C97"/>
    <w:rsid w:val="00474CAA"/>
    <w:rsid w:val="00475D91"/>
    <w:rsid w:val="00476316"/>
    <w:rsid w:val="004813F2"/>
    <w:rsid w:val="004840EA"/>
    <w:rsid w:val="004866AA"/>
    <w:rsid w:val="004877AD"/>
    <w:rsid w:val="00487B13"/>
    <w:rsid w:val="00487CDF"/>
    <w:rsid w:val="0049128D"/>
    <w:rsid w:val="00491BD8"/>
    <w:rsid w:val="0049242C"/>
    <w:rsid w:val="00492661"/>
    <w:rsid w:val="00494B84"/>
    <w:rsid w:val="004962D7"/>
    <w:rsid w:val="00497E9A"/>
    <w:rsid w:val="004A07F3"/>
    <w:rsid w:val="004A0A22"/>
    <w:rsid w:val="004A23AB"/>
    <w:rsid w:val="004A26B9"/>
    <w:rsid w:val="004A3BF6"/>
    <w:rsid w:val="004A3EC8"/>
    <w:rsid w:val="004A4250"/>
    <w:rsid w:val="004A4EB1"/>
    <w:rsid w:val="004A51E7"/>
    <w:rsid w:val="004A5714"/>
    <w:rsid w:val="004A583E"/>
    <w:rsid w:val="004A7813"/>
    <w:rsid w:val="004A7E77"/>
    <w:rsid w:val="004B1E35"/>
    <w:rsid w:val="004B27A4"/>
    <w:rsid w:val="004B3A16"/>
    <w:rsid w:val="004B3E63"/>
    <w:rsid w:val="004B4034"/>
    <w:rsid w:val="004B43E3"/>
    <w:rsid w:val="004B5BE2"/>
    <w:rsid w:val="004B673B"/>
    <w:rsid w:val="004B69BD"/>
    <w:rsid w:val="004B6BF2"/>
    <w:rsid w:val="004B7C76"/>
    <w:rsid w:val="004C01B4"/>
    <w:rsid w:val="004C36E8"/>
    <w:rsid w:val="004C3992"/>
    <w:rsid w:val="004C5ABD"/>
    <w:rsid w:val="004C7CF4"/>
    <w:rsid w:val="004D2C5A"/>
    <w:rsid w:val="004D3E0A"/>
    <w:rsid w:val="004D4E37"/>
    <w:rsid w:val="004D64B3"/>
    <w:rsid w:val="004D667C"/>
    <w:rsid w:val="004D674E"/>
    <w:rsid w:val="004D7E2E"/>
    <w:rsid w:val="004E0CE5"/>
    <w:rsid w:val="004E1FCE"/>
    <w:rsid w:val="004E5B0B"/>
    <w:rsid w:val="004E68F9"/>
    <w:rsid w:val="004F1700"/>
    <w:rsid w:val="004F1836"/>
    <w:rsid w:val="004F1C14"/>
    <w:rsid w:val="004F3520"/>
    <w:rsid w:val="004F463B"/>
    <w:rsid w:val="004F4AE7"/>
    <w:rsid w:val="004F4ED7"/>
    <w:rsid w:val="004F5FEC"/>
    <w:rsid w:val="004F62B8"/>
    <w:rsid w:val="0050076B"/>
    <w:rsid w:val="00502D31"/>
    <w:rsid w:val="00502FE2"/>
    <w:rsid w:val="00503A40"/>
    <w:rsid w:val="00503DBA"/>
    <w:rsid w:val="00504F72"/>
    <w:rsid w:val="00506AFD"/>
    <w:rsid w:val="00510CC0"/>
    <w:rsid w:val="00512066"/>
    <w:rsid w:val="00512E41"/>
    <w:rsid w:val="00513F7B"/>
    <w:rsid w:val="00514311"/>
    <w:rsid w:val="005149E1"/>
    <w:rsid w:val="00521C3F"/>
    <w:rsid w:val="00523722"/>
    <w:rsid w:val="00525EA0"/>
    <w:rsid w:val="0052675A"/>
    <w:rsid w:val="00530AC1"/>
    <w:rsid w:val="00530AEB"/>
    <w:rsid w:val="00531BAA"/>
    <w:rsid w:val="0053207C"/>
    <w:rsid w:val="00534A40"/>
    <w:rsid w:val="00535705"/>
    <w:rsid w:val="005366C2"/>
    <w:rsid w:val="00536974"/>
    <w:rsid w:val="00543F14"/>
    <w:rsid w:val="005522F1"/>
    <w:rsid w:val="005535DE"/>
    <w:rsid w:val="005538A7"/>
    <w:rsid w:val="0055465D"/>
    <w:rsid w:val="00554B6C"/>
    <w:rsid w:val="00554CD6"/>
    <w:rsid w:val="00555455"/>
    <w:rsid w:val="00555470"/>
    <w:rsid w:val="0055601F"/>
    <w:rsid w:val="00557813"/>
    <w:rsid w:val="00561D16"/>
    <w:rsid w:val="00564205"/>
    <w:rsid w:val="00567C36"/>
    <w:rsid w:val="00567F98"/>
    <w:rsid w:val="00570148"/>
    <w:rsid w:val="00570D42"/>
    <w:rsid w:val="00571337"/>
    <w:rsid w:val="00572087"/>
    <w:rsid w:val="00572729"/>
    <w:rsid w:val="00572851"/>
    <w:rsid w:val="00572CBA"/>
    <w:rsid w:val="00572F28"/>
    <w:rsid w:val="005730AB"/>
    <w:rsid w:val="0057497A"/>
    <w:rsid w:val="00575D74"/>
    <w:rsid w:val="00576EB0"/>
    <w:rsid w:val="00576FD7"/>
    <w:rsid w:val="00577616"/>
    <w:rsid w:val="00580693"/>
    <w:rsid w:val="005809F8"/>
    <w:rsid w:val="0058131F"/>
    <w:rsid w:val="005829E5"/>
    <w:rsid w:val="00583E5E"/>
    <w:rsid w:val="00590C4F"/>
    <w:rsid w:val="005913E3"/>
    <w:rsid w:val="005945E8"/>
    <w:rsid w:val="00595EB3"/>
    <w:rsid w:val="00596FB7"/>
    <w:rsid w:val="0059796C"/>
    <w:rsid w:val="005A07C7"/>
    <w:rsid w:val="005A1094"/>
    <w:rsid w:val="005A158B"/>
    <w:rsid w:val="005A18A8"/>
    <w:rsid w:val="005A5010"/>
    <w:rsid w:val="005A66DA"/>
    <w:rsid w:val="005B1331"/>
    <w:rsid w:val="005B34C8"/>
    <w:rsid w:val="005B3A1F"/>
    <w:rsid w:val="005B6422"/>
    <w:rsid w:val="005B6680"/>
    <w:rsid w:val="005B674D"/>
    <w:rsid w:val="005C1616"/>
    <w:rsid w:val="005C1B3A"/>
    <w:rsid w:val="005C4110"/>
    <w:rsid w:val="005C4B6B"/>
    <w:rsid w:val="005D08DC"/>
    <w:rsid w:val="005D2929"/>
    <w:rsid w:val="005D4A76"/>
    <w:rsid w:val="005D7313"/>
    <w:rsid w:val="005E02CE"/>
    <w:rsid w:val="005E1654"/>
    <w:rsid w:val="005E2A51"/>
    <w:rsid w:val="005E34B3"/>
    <w:rsid w:val="005E466A"/>
    <w:rsid w:val="005E6B54"/>
    <w:rsid w:val="005E754F"/>
    <w:rsid w:val="005F0A04"/>
    <w:rsid w:val="005F1228"/>
    <w:rsid w:val="005F33C9"/>
    <w:rsid w:val="005F3D99"/>
    <w:rsid w:val="005F5ED3"/>
    <w:rsid w:val="006001B3"/>
    <w:rsid w:val="00601AE5"/>
    <w:rsid w:val="0060350F"/>
    <w:rsid w:val="00603B97"/>
    <w:rsid w:val="00604B0F"/>
    <w:rsid w:val="00604C27"/>
    <w:rsid w:val="00605E39"/>
    <w:rsid w:val="00610024"/>
    <w:rsid w:val="00610A77"/>
    <w:rsid w:val="006134CF"/>
    <w:rsid w:val="00613E47"/>
    <w:rsid w:val="006146CA"/>
    <w:rsid w:val="00614F81"/>
    <w:rsid w:val="0061537F"/>
    <w:rsid w:val="006156F7"/>
    <w:rsid w:val="006158ED"/>
    <w:rsid w:val="006160A3"/>
    <w:rsid w:val="00616747"/>
    <w:rsid w:val="00617325"/>
    <w:rsid w:val="006177F7"/>
    <w:rsid w:val="00620887"/>
    <w:rsid w:val="0062159F"/>
    <w:rsid w:val="00623215"/>
    <w:rsid w:val="00624015"/>
    <w:rsid w:val="00624ABD"/>
    <w:rsid w:val="006256B1"/>
    <w:rsid w:val="006260DB"/>
    <w:rsid w:val="00626356"/>
    <w:rsid w:val="0062642C"/>
    <w:rsid w:val="00626EA7"/>
    <w:rsid w:val="00634D15"/>
    <w:rsid w:val="006351F3"/>
    <w:rsid w:val="00636117"/>
    <w:rsid w:val="00641E86"/>
    <w:rsid w:val="0064217E"/>
    <w:rsid w:val="00642979"/>
    <w:rsid w:val="00645283"/>
    <w:rsid w:val="006459D5"/>
    <w:rsid w:val="00646657"/>
    <w:rsid w:val="00646713"/>
    <w:rsid w:val="006477EE"/>
    <w:rsid w:val="00650533"/>
    <w:rsid w:val="00650FBC"/>
    <w:rsid w:val="0065141E"/>
    <w:rsid w:val="00653135"/>
    <w:rsid w:val="006536A2"/>
    <w:rsid w:val="006545B0"/>
    <w:rsid w:val="00654CED"/>
    <w:rsid w:val="00660348"/>
    <w:rsid w:val="006604C1"/>
    <w:rsid w:val="0066378A"/>
    <w:rsid w:val="006674BB"/>
    <w:rsid w:val="00667F16"/>
    <w:rsid w:val="00670FAB"/>
    <w:rsid w:val="00671072"/>
    <w:rsid w:val="00671594"/>
    <w:rsid w:val="0067167B"/>
    <w:rsid w:val="00671E63"/>
    <w:rsid w:val="006762CB"/>
    <w:rsid w:val="0067778A"/>
    <w:rsid w:val="006808BD"/>
    <w:rsid w:val="0068114C"/>
    <w:rsid w:val="00682105"/>
    <w:rsid w:val="0068216D"/>
    <w:rsid w:val="00682453"/>
    <w:rsid w:val="0068470E"/>
    <w:rsid w:val="00685219"/>
    <w:rsid w:val="0068527F"/>
    <w:rsid w:val="00685D09"/>
    <w:rsid w:val="006870B3"/>
    <w:rsid w:val="006879A5"/>
    <w:rsid w:val="00692797"/>
    <w:rsid w:val="00692D08"/>
    <w:rsid w:val="006938E5"/>
    <w:rsid w:val="00693DC5"/>
    <w:rsid w:val="00694BD6"/>
    <w:rsid w:val="006979DD"/>
    <w:rsid w:val="006979ED"/>
    <w:rsid w:val="006A04CE"/>
    <w:rsid w:val="006A06C3"/>
    <w:rsid w:val="006A197B"/>
    <w:rsid w:val="006A24E0"/>
    <w:rsid w:val="006A349B"/>
    <w:rsid w:val="006A4EB4"/>
    <w:rsid w:val="006B070B"/>
    <w:rsid w:val="006B1662"/>
    <w:rsid w:val="006B212E"/>
    <w:rsid w:val="006B3A4C"/>
    <w:rsid w:val="006B411E"/>
    <w:rsid w:val="006B42FC"/>
    <w:rsid w:val="006B4EC8"/>
    <w:rsid w:val="006B5102"/>
    <w:rsid w:val="006B5ABE"/>
    <w:rsid w:val="006C0618"/>
    <w:rsid w:val="006C11E1"/>
    <w:rsid w:val="006C1B17"/>
    <w:rsid w:val="006C1FBB"/>
    <w:rsid w:val="006C5486"/>
    <w:rsid w:val="006C6067"/>
    <w:rsid w:val="006C667E"/>
    <w:rsid w:val="006D001D"/>
    <w:rsid w:val="006D04DA"/>
    <w:rsid w:val="006D171A"/>
    <w:rsid w:val="006D1ABC"/>
    <w:rsid w:val="006D46BF"/>
    <w:rsid w:val="006D4C38"/>
    <w:rsid w:val="006D65EF"/>
    <w:rsid w:val="006D7C32"/>
    <w:rsid w:val="006E08C5"/>
    <w:rsid w:val="006E0B77"/>
    <w:rsid w:val="006E2B1D"/>
    <w:rsid w:val="006E3DDC"/>
    <w:rsid w:val="006E4106"/>
    <w:rsid w:val="006E43A8"/>
    <w:rsid w:val="006E506B"/>
    <w:rsid w:val="006E5F4F"/>
    <w:rsid w:val="006E6948"/>
    <w:rsid w:val="006E7106"/>
    <w:rsid w:val="006E7519"/>
    <w:rsid w:val="006F04AD"/>
    <w:rsid w:val="006F1B49"/>
    <w:rsid w:val="006F571B"/>
    <w:rsid w:val="006F7746"/>
    <w:rsid w:val="0070076E"/>
    <w:rsid w:val="007018B6"/>
    <w:rsid w:val="00702B2E"/>
    <w:rsid w:val="007031A3"/>
    <w:rsid w:val="00703AC7"/>
    <w:rsid w:val="007053FF"/>
    <w:rsid w:val="007060C5"/>
    <w:rsid w:val="00707CF9"/>
    <w:rsid w:val="00707D6D"/>
    <w:rsid w:val="00707DBC"/>
    <w:rsid w:val="00714FB9"/>
    <w:rsid w:val="00717640"/>
    <w:rsid w:val="0072062D"/>
    <w:rsid w:val="007242CF"/>
    <w:rsid w:val="007245AA"/>
    <w:rsid w:val="00725281"/>
    <w:rsid w:val="0072778E"/>
    <w:rsid w:val="00727E0F"/>
    <w:rsid w:val="00731178"/>
    <w:rsid w:val="007312BC"/>
    <w:rsid w:val="0073210B"/>
    <w:rsid w:val="00732911"/>
    <w:rsid w:val="00737A9A"/>
    <w:rsid w:val="0074030C"/>
    <w:rsid w:val="007440C9"/>
    <w:rsid w:val="00744474"/>
    <w:rsid w:val="00744AF1"/>
    <w:rsid w:val="00745998"/>
    <w:rsid w:val="0074606E"/>
    <w:rsid w:val="00746605"/>
    <w:rsid w:val="00747D48"/>
    <w:rsid w:val="00750AD7"/>
    <w:rsid w:val="00752756"/>
    <w:rsid w:val="00753955"/>
    <w:rsid w:val="007540A6"/>
    <w:rsid w:val="00755C30"/>
    <w:rsid w:val="0075697C"/>
    <w:rsid w:val="00756CDD"/>
    <w:rsid w:val="00757482"/>
    <w:rsid w:val="00760970"/>
    <w:rsid w:val="00763507"/>
    <w:rsid w:val="00763BB1"/>
    <w:rsid w:val="00767104"/>
    <w:rsid w:val="007671A0"/>
    <w:rsid w:val="007704EF"/>
    <w:rsid w:val="00770A6C"/>
    <w:rsid w:val="007749F0"/>
    <w:rsid w:val="00775959"/>
    <w:rsid w:val="00776424"/>
    <w:rsid w:val="00776942"/>
    <w:rsid w:val="00777BD3"/>
    <w:rsid w:val="00777FB3"/>
    <w:rsid w:val="007804D2"/>
    <w:rsid w:val="00780BC2"/>
    <w:rsid w:val="00781507"/>
    <w:rsid w:val="00781ABE"/>
    <w:rsid w:val="007836C9"/>
    <w:rsid w:val="00785C0A"/>
    <w:rsid w:val="007864D7"/>
    <w:rsid w:val="00791159"/>
    <w:rsid w:val="00791934"/>
    <w:rsid w:val="0079516C"/>
    <w:rsid w:val="00797750"/>
    <w:rsid w:val="007A196A"/>
    <w:rsid w:val="007A25EF"/>
    <w:rsid w:val="007A294B"/>
    <w:rsid w:val="007B3F0C"/>
    <w:rsid w:val="007B3F75"/>
    <w:rsid w:val="007B6DA5"/>
    <w:rsid w:val="007B732F"/>
    <w:rsid w:val="007C0895"/>
    <w:rsid w:val="007C1124"/>
    <w:rsid w:val="007C1383"/>
    <w:rsid w:val="007C1FED"/>
    <w:rsid w:val="007C31C0"/>
    <w:rsid w:val="007C3714"/>
    <w:rsid w:val="007C48B8"/>
    <w:rsid w:val="007C5ABA"/>
    <w:rsid w:val="007D050F"/>
    <w:rsid w:val="007D21B0"/>
    <w:rsid w:val="007D24DD"/>
    <w:rsid w:val="007D3CB1"/>
    <w:rsid w:val="007D45A7"/>
    <w:rsid w:val="007D6D18"/>
    <w:rsid w:val="007D72D3"/>
    <w:rsid w:val="007E5890"/>
    <w:rsid w:val="007F1C25"/>
    <w:rsid w:val="007F3188"/>
    <w:rsid w:val="007F3E56"/>
    <w:rsid w:val="007F41A7"/>
    <w:rsid w:val="007F626E"/>
    <w:rsid w:val="007F63EE"/>
    <w:rsid w:val="007F6D9D"/>
    <w:rsid w:val="007F79E9"/>
    <w:rsid w:val="007F7E37"/>
    <w:rsid w:val="00801928"/>
    <w:rsid w:val="00801FC4"/>
    <w:rsid w:val="00802723"/>
    <w:rsid w:val="00802A21"/>
    <w:rsid w:val="008030F0"/>
    <w:rsid w:val="008041E8"/>
    <w:rsid w:val="00806D9B"/>
    <w:rsid w:val="00810B21"/>
    <w:rsid w:val="0081277D"/>
    <w:rsid w:val="00814014"/>
    <w:rsid w:val="008144BF"/>
    <w:rsid w:val="00815C7B"/>
    <w:rsid w:val="00816A3A"/>
    <w:rsid w:val="00817FDB"/>
    <w:rsid w:val="00820BF3"/>
    <w:rsid w:val="00821774"/>
    <w:rsid w:val="008219F7"/>
    <w:rsid w:val="00826289"/>
    <w:rsid w:val="00827143"/>
    <w:rsid w:val="00827B66"/>
    <w:rsid w:val="00827F6B"/>
    <w:rsid w:val="00830F70"/>
    <w:rsid w:val="00832C0C"/>
    <w:rsid w:val="00832EEC"/>
    <w:rsid w:val="00833768"/>
    <w:rsid w:val="00833D7A"/>
    <w:rsid w:val="00835BF5"/>
    <w:rsid w:val="008364C2"/>
    <w:rsid w:val="00843EAB"/>
    <w:rsid w:val="008441E4"/>
    <w:rsid w:val="0084442E"/>
    <w:rsid w:val="00845552"/>
    <w:rsid w:val="00847218"/>
    <w:rsid w:val="00850D24"/>
    <w:rsid w:val="00852233"/>
    <w:rsid w:val="00861300"/>
    <w:rsid w:val="00862348"/>
    <w:rsid w:val="00862913"/>
    <w:rsid w:val="00862D43"/>
    <w:rsid w:val="00863138"/>
    <w:rsid w:val="00863E09"/>
    <w:rsid w:val="0086480A"/>
    <w:rsid w:val="00865A89"/>
    <w:rsid w:val="0087020A"/>
    <w:rsid w:val="008725A7"/>
    <w:rsid w:val="00872D36"/>
    <w:rsid w:val="00872DBC"/>
    <w:rsid w:val="00873E1E"/>
    <w:rsid w:val="00874A3A"/>
    <w:rsid w:val="00875DC5"/>
    <w:rsid w:val="00876041"/>
    <w:rsid w:val="00877518"/>
    <w:rsid w:val="00880645"/>
    <w:rsid w:val="00880C2C"/>
    <w:rsid w:val="00880D52"/>
    <w:rsid w:val="00883BAD"/>
    <w:rsid w:val="00885A85"/>
    <w:rsid w:val="00886B49"/>
    <w:rsid w:val="00886EA3"/>
    <w:rsid w:val="00887DFA"/>
    <w:rsid w:val="008907B5"/>
    <w:rsid w:val="00891535"/>
    <w:rsid w:val="00891902"/>
    <w:rsid w:val="0089246F"/>
    <w:rsid w:val="00892800"/>
    <w:rsid w:val="0089307F"/>
    <w:rsid w:val="0089324E"/>
    <w:rsid w:val="008933B5"/>
    <w:rsid w:val="00894B51"/>
    <w:rsid w:val="00895994"/>
    <w:rsid w:val="008966B7"/>
    <w:rsid w:val="00896C4D"/>
    <w:rsid w:val="008A01C7"/>
    <w:rsid w:val="008A0C04"/>
    <w:rsid w:val="008A2560"/>
    <w:rsid w:val="008A4F3B"/>
    <w:rsid w:val="008A5126"/>
    <w:rsid w:val="008A66AC"/>
    <w:rsid w:val="008B0B14"/>
    <w:rsid w:val="008B134A"/>
    <w:rsid w:val="008B1B48"/>
    <w:rsid w:val="008B32F6"/>
    <w:rsid w:val="008B3BC4"/>
    <w:rsid w:val="008B3FB6"/>
    <w:rsid w:val="008B5DEC"/>
    <w:rsid w:val="008B6D40"/>
    <w:rsid w:val="008B7299"/>
    <w:rsid w:val="008C044F"/>
    <w:rsid w:val="008C0B33"/>
    <w:rsid w:val="008C100A"/>
    <w:rsid w:val="008C2D08"/>
    <w:rsid w:val="008C4638"/>
    <w:rsid w:val="008C468D"/>
    <w:rsid w:val="008C72B6"/>
    <w:rsid w:val="008C7F35"/>
    <w:rsid w:val="008D01C5"/>
    <w:rsid w:val="008D08F5"/>
    <w:rsid w:val="008D2364"/>
    <w:rsid w:val="008D2BF3"/>
    <w:rsid w:val="008D5E9E"/>
    <w:rsid w:val="008D61BC"/>
    <w:rsid w:val="008D75BB"/>
    <w:rsid w:val="008E0380"/>
    <w:rsid w:val="008E2D0E"/>
    <w:rsid w:val="008E3209"/>
    <w:rsid w:val="008E413B"/>
    <w:rsid w:val="008E6EBC"/>
    <w:rsid w:val="008F489B"/>
    <w:rsid w:val="008F499F"/>
    <w:rsid w:val="008F4F52"/>
    <w:rsid w:val="008F51E2"/>
    <w:rsid w:val="008F5B8F"/>
    <w:rsid w:val="008F644C"/>
    <w:rsid w:val="008F7222"/>
    <w:rsid w:val="008F73EC"/>
    <w:rsid w:val="008F7D97"/>
    <w:rsid w:val="008F7DFE"/>
    <w:rsid w:val="00902321"/>
    <w:rsid w:val="00902F8F"/>
    <w:rsid w:val="00904A42"/>
    <w:rsid w:val="00907076"/>
    <w:rsid w:val="00910EA0"/>
    <w:rsid w:val="00912F2B"/>
    <w:rsid w:val="00913D05"/>
    <w:rsid w:val="0091414C"/>
    <w:rsid w:val="00914B20"/>
    <w:rsid w:val="00914BE7"/>
    <w:rsid w:val="009178A6"/>
    <w:rsid w:val="00917C1E"/>
    <w:rsid w:val="00917FB4"/>
    <w:rsid w:val="009210FA"/>
    <w:rsid w:val="00921BFC"/>
    <w:rsid w:val="00922766"/>
    <w:rsid w:val="00923012"/>
    <w:rsid w:val="00923501"/>
    <w:rsid w:val="00926F06"/>
    <w:rsid w:val="00927AB7"/>
    <w:rsid w:val="009303EC"/>
    <w:rsid w:val="009306DA"/>
    <w:rsid w:val="00931FDE"/>
    <w:rsid w:val="009328A8"/>
    <w:rsid w:val="0093528A"/>
    <w:rsid w:val="00936267"/>
    <w:rsid w:val="009374DA"/>
    <w:rsid w:val="00937BA0"/>
    <w:rsid w:val="00937E5A"/>
    <w:rsid w:val="00940072"/>
    <w:rsid w:val="00940CF1"/>
    <w:rsid w:val="00943458"/>
    <w:rsid w:val="009436EA"/>
    <w:rsid w:val="00943A5C"/>
    <w:rsid w:val="0094405F"/>
    <w:rsid w:val="00944249"/>
    <w:rsid w:val="009455B4"/>
    <w:rsid w:val="009470FB"/>
    <w:rsid w:val="00952E9A"/>
    <w:rsid w:val="00954B96"/>
    <w:rsid w:val="0095669C"/>
    <w:rsid w:val="0095783C"/>
    <w:rsid w:val="00961751"/>
    <w:rsid w:val="009636A9"/>
    <w:rsid w:val="0096405B"/>
    <w:rsid w:val="00964CB2"/>
    <w:rsid w:val="00964E1C"/>
    <w:rsid w:val="00965D07"/>
    <w:rsid w:val="00965D33"/>
    <w:rsid w:val="00966EF1"/>
    <w:rsid w:val="00967882"/>
    <w:rsid w:val="0096794D"/>
    <w:rsid w:val="00967DC1"/>
    <w:rsid w:val="00970B31"/>
    <w:rsid w:val="009715EF"/>
    <w:rsid w:val="009733BE"/>
    <w:rsid w:val="00975060"/>
    <w:rsid w:val="009755FA"/>
    <w:rsid w:val="009824B0"/>
    <w:rsid w:val="00982DA0"/>
    <w:rsid w:val="00983222"/>
    <w:rsid w:val="00983DAD"/>
    <w:rsid w:val="00984980"/>
    <w:rsid w:val="00985BD5"/>
    <w:rsid w:val="00985D2D"/>
    <w:rsid w:val="009864A9"/>
    <w:rsid w:val="0098656F"/>
    <w:rsid w:val="00990834"/>
    <w:rsid w:val="009908BA"/>
    <w:rsid w:val="00991CB9"/>
    <w:rsid w:val="009928DA"/>
    <w:rsid w:val="00992BB0"/>
    <w:rsid w:val="009938D0"/>
    <w:rsid w:val="00995CC4"/>
    <w:rsid w:val="0099610A"/>
    <w:rsid w:val="00996BC0"/>
    <w:rsid w:val="009A0565"/>
    <w:rsid w:val="009A15EA"/>
    <w:rsid w:val="009A27C5"/>
    <w:rsid w:val="009A3164"/>
    <w:rsid w:val="009A4BE1"/>
    <w:rsid w:val="009A768D"/>
    <w:rsid w:val="009A7B8A"/>
    <w:rsid w:val="009A7F27"/>
    <w:rsid w:val="009B1812"/>
    <w:rsid w:val="009B1C94"/>
    <w:rsid w:val="009B354A"/>
    <w:rsid w:val="009B4F95"/>
    <w:rsid w:val="009B5055"/>
    <w:rsid w:val="009B54B9"/>
    <w:rsid w:val="009B7DF7"/>
    <w:rsid w:val="009C09E4"/>
    <w:rsid w:val="009C0F8B"/>
    <w:rsid w:val="009C7765"/>
    <w:rsid w:val="009C7D28"/>
    <w:rsid w:val="009D2759"/>
    <w:rsid w:val="009D28E3"/>
    <w:rsid w:val="009D3663"/>
    <w:rsid w:val="009D4ED9"/>
    <w:rsid w:val="009D500A"/>
    <w:rsid w:val="009D614A"/>
    <w:rsid w:val="009D6F8C"/>
    <w:rsid w:val="009D750F"/>
    <w:rsid w:val="009E0D84"/>
    <w:rsid w:val="009E282B"/>
    <w:rsid w:val="009E2EED"/>
    <w:rsid w:val="009E42F9"/>
    <w:rsid w:val="009E493A"/>
    <w:rsid w:val="009E5351"/>
    <w:rsid w:val="009E6358"/>
    <w:rsid w:val="009E7F9E"/>
    <w:rsid w:val="009F038F"/>
    <w:rsid w:val="009F066C"/>
    <w:rsid w:val="009F185E"/>
    <w:rsid w:val="009F1F76"/>
    <w:rsid w:val="009F269D"/>
    <w:rsid w:val="009F2D80"/>
    <w:rsid w:val="009F4F0D"/>
    <w:rsid w:val="009F7DF3"/>
    <w:rsid w:val="00A00F87"/>
    <w:rsid w:val="00A00F93"/>
    <w:rsid w:val="00A023CA"/>
    <w:rsid w:val="00A02467"/>
    <w:rsid w:val="00A02FF4"/>
    <w:rsid w:val="00A04D12"/>
    <w:rsid w:val="00A065EA"/>
    <w:rsid w:val="00A06C3E"/>
    <w:rsid w:val="00A10636"/>
    <w:rsid w:val="00A10E37"/>
    <w:rsid w:val="00A11896"/>
    <w:rsid w:val="00A12E3B"/>
    <w:rsid w:val="00A15BC6"/>
    <w:rsid w:val="00A163B5"/>
    <w:rsid w:val="00A20CD5"/>
    <w:rsid w:val="00A219B2"/>
    <w:rsid w:val="00A21C3F"/>
    <w:rsid w:val="00A2303A"/>
    <w:rsid w:val="00A248D1"/>
    <w:rsid w:val="00A24E6E"/>
    <w:rsid w:val="00A25B12"/>
    <w:rsid w:val="00A275D2"/>
    <w:rsid w:val="00A27D50"/>
    <w:rsid w:val="00A307DD"/>
    <w:rsid w:val="00A31DDE"/>
    <w:rsid w:val="00A3507B"/>
    <w:rsid w:val="00A37517"/>
    <w:rsid w:val="00A37624"/>
    <w:rsid w:val="00A3762D"/>
    <w:rsid w:val="00A407B6"/>
    <w:rsid w:val="00A41A05"/>
    <w:rsid w:val="00A41BC5"/>
    <w:rsid w:val="00A42929"/>
    <w:rsid w:val="00A43083"/>
    <w:rsid w:val="00A442B8"/>
    <w:rsid w:val="00A468C1"/>
    <w:rsid w:val="00A47FB8"/>
    <w:rsid w:val="00A47FE4"/>
    <w:rsid w:val="00A523FE"/>
    <w:rsid w:val="00A525FE"/>
    <w:rsid w:val="00A528E9"/>
    <w:rsid w:val="00A536B2"/>
    <w:rsid w:val="00A53EE5"/>
    <w:rsid w:val="00A54301"/>
    <w:rsid w:val="00A57C3F"/>
    <w:rsid w:val="00A60CC2"/>
    <w:rsid w:val="00A61805"/>
    <w:rsid w:val="00A61E5C"/>
    <w:rsid w:val="00A64C1E"/>
    <w:rsid w:val="00A66DDD"/>
    <w:rsid w:val="00A676D7"/>
    <w:rsid w:val="00A67C90"/>
    <w:rsid w:val="00A7003F"/>
    <w:rsid w:val="00A705D2"/>
    <w:rsid w:val="00A729CB"/>
    <w:rsid w:val="00A75944"/>
    <w:rsid w:val="00A822B8"/>
    <w:rsid w:val="00A84B6B"/>
    <w:rsid w:val="00A901B3"/>
    <w:rsid w:val="00A908A8"/>
    <w:rsid w:val="00A90A4B"/>
    <w:rsid w:val="00A91316"/>
    <w:rsid w:val="00A92D14"/>
    <w:rsid w:val="00A930B3"/>
    <w:rsid w:val="00A93E19"/>
    <w:rsid w:val="00A9510F"/>
    <w:rsid w:val="00A96B78"/>
    <w:rsid w:val="00AA2694"/>
    <w:rsid w:val="00AA415B"/>
    <w:rsid w:val="00AA4552"/>
    <w:rsid w:val="00AA5C52"/>
    <w:rsid w:val="00AA679C"/>
    <w:rsid w:val="00AB0731"/>
    <w:rsid w:val="00AB1663"/>
    <w:rsid w:val="00AB4505"/>
    <w:rsid w:val="00AB550D"/>
    <w:rsid w:val="00AB6072"/>
    <w:rsid w:val="00AC0904"/>
    <w:rsid w:val="00AC28BC"/>
    <w:rsid w:val="00AC2FB0"/>
    <w:rsid w:val="00AC40BD"/>
    <w:rsid w:val="00AC48C4"/>
    <w:rsid w:val="00AC5864"/>
    <w:rsid w:val="00AC5D4F"/>
    <w:rsid w:val="00AC715E"/>
    <w:rsid w:val="00AD0673"/>
    <w:rsid w:val="00AD1AC0"/>
    <w:rsid w:val="00AD304E"/>
    <w:rsid w:val="00AD39B1"/>
    <w:rsid w:val="00AD40D0"/>
    <w:rsid w:val="00AD4583"/>
    <w:rsid w:val="00AD5216"/>
    <w:rsid w:val="00AD6354"/>
    <w:rsid w:val="00AE0801"/>
    <w:rsid w:val="00AE1389"/>
    <w:rsid w:val="00AE26A8"/>
    <w:rsid w:val="00AE4551"/>
    <w:rsid w:val="00AE4812"/>
    <w:rsid w:val="00AE57C7"/>
    <w:rsid w:val="00AF01E1"/>
    <w:rsid w:val="00AF146D"/>
    <w:rsid w:val="00AF18C1"/>
    <w:rsid w:val="00AF29C6"/>
    <w:rsid w:val="00AF2F47"/>
    <w:rsid w:val="00AF34B1"/>
    <w:rsid w:val="00AF547E"/>
    <w:rsid w:val="00AF6159"/>
    <w:rsid w:val="00AF6971"/>
    <w:rsid w:val="00AF7C72"/>
    <w:rsid w:val="00B01171"/>
    <w:rsid w:val="00B01DFC"/>
    <w:rsid w:val="00B04E90"/>
    <w:rsid w:val="00B06876"/>
    <w:rsid w:val="00B069E1"/>
    <w:rsid w:val="00B06D52"/>
    <w:rsid w:val="00B06F27"/>
    <w:rsid w:val="00B0722E"/>
    <w:rsid w:val="00B1009C"/>
    <w:rsid w:val="00B11429"/>
    <w:rsid w:val="00B14B9C"/>
    <w:rsid w:val="00B155E2"/>
    <w:rsid w:val="00B16B10"/>
    <w:rsid w:val="00B1701C"/>
    <w:rsid w:val="00B20A90"/>
    <w:rsid w:val="00B20EFC"/>
    <w:rsid w:val="00B22A37"/>
    <w:rsid w:val="00B23DE2"/>
    <w:rsid w:val="00B249F9"/>
    <w:rsid w:val="00B24FDF"/>
    <w:rsid w:val="00B26B04"/>
    <w:rsid w:val="00B27230"/>
    <w:rsid w:val="00B27F30"/>
    <w:rsid w:val="00B3268D"/>
    <w:rsid w:val="00B32A0B"/>
    <w:rsid w:val="00B34544"/>
    <w:rsid w:val="00B34AFF"/>
    <w:rsid w:val="00B34DA8"/>
    <w:rsid w:val="00B4076D"/>
    <w:rsid w:val="00B41659"/>
    <w:rsid w:val="00B424D0"/>
    <w:rsid w:val="00B44FCC"/>
    <w:rsid w:val="00B4537B"/>
    <w:rsid w:val="00B479C6"/>
    <w:rsid w:val="00B50799"/>
    <w:rsid w:val="00B50D1C"/>
    <w:rsid w:val="00B5371E"/>
    <w:rsid w:val="00B568EE"/>
    <w:rsid w:val="00B56F4C"/>
    <w:rsid w:val="00B62002"/>
    <w:rsid w:val="00B6448A"/>
    <w:rsid w:val="00B64578"/>
    <w:rsid w:val="00B65773"/>
    <w:rsid w:val="00B67CB7"/>
    <w:rsid w:val="00B70006"/>
    <w:rsid w:val="00B703A6"/>
    <w:rsid w:val="00B717D9"/>
    <w:rsid w:val="00B72D8D"/>
    <w:rsid w:val="00B7432A"/>
    <w:rsid w:val="00B75CE4"/>
    <w:rsid w:val="00B82552"/>
    <w:rsid w:val="00B847BC"/>
    <w:rsid w:val="00B87D2A"/>
    <w:rsid w:val="00B90642"/>
    <w:rsid w:val="00B9095A"/>
    <w:rsid w:val="00B91BCA"/>
    <w:rsid w:val="00B91DF7"/>
    <w:rsid w:val="00B92730"/>
    <w:rsid w:val="00B93231"/>
    <w:rsid w:val="00B93373"/>
    <w:rsid w:val="00BA00F1"/>
    <w:rsid w:val="00BA19BA"/>
    <w:rsid w:val="00BA22CD"/>
    <w:rsid w:val="00BA26AC"/>
    <w:rsid w:val="00BA4CC2"/>
    <w:rsid w:val="00BA57A4"/>
    <w:rsid w:val="00BA5C3D"/>
    <w:rsid w:val="00BB06BE"/>
    <w:rsid w:val="00BB163F"/>
    <w:rsid w:val="00BB28F5"/>
    <w:rsid w:val="00BB54AE"/>
    <w:rsid w:val="00BB5CCC"/>
    <w:rsid w:val="00BB6214"/>
    <w:rsid w:val="00BB674D"/>
    <w:rsid w:val="00BB6FAD"/>
    <w:rsid w:val="00BB70AE"/>
    <w:rsid w:val="00BB7148"/>
    <w:rsid w:val="00BB7A84"/>
    <w:rsid w:val="00BB7C5A"/>
    <w:rsid w:val="00BC0580"/>
    <w:rsid w:val="00BC2936"/>
    <w:rsid w:val="00BC2D2F"/>
    <w:rsid w:val="00BC3058"/>
    <w:rsid w:val="00BC4BC5"/>
    <w:rsid w:val="00BC618C"/>
    <w:rsid w:val="00BC668D"/>
    <w:rsid w:val="00BD0880"/>
    <w:rsid w:val="00BD41A3"/>
    <w:rsid w:val="00BD47E4"/>
    <w:rsid w:val="00BD6E58"/>
    <w:rsid w:val="00BE011D"/>
    <w:rsid w:val="00BE1CE7"/>
    <w:rsid w:val="00BE4909"/>
    <w:rsid w:val="00BE62F1"/>
    <w:rsid w:val="00BE6845"/>
    <w:rsid w:val="00BF02ED"/>
    <w:rsid w:val="00BF150C"/>
    <w:rsid w:val="00BF1EC8"/>
    <w:rsid w:val="00BF314E"/>
    <w:rsid w:val="00BF3507"/>
    <w:rsid w:val="00BF3723"/>
    <w:rsid w:val="00BF45E3"/>
    <w:rsid w:val="00BF4615"/>
    <w:rsid w:val="00BF47EA"/>
    <w:rsid w:val="00BF6183"/>
    <w:rsid w:val="00BF700F"/>
    <w:rsid w:val="00C02FDF"/>
    <w:rsid w:val="00C05D13"/>
    <w:rsid w:val="00C06A5E"/>
    <w:rsid w:val="00C07810"/>
    <w:rsid w:val="00C07DF7"/>
    <w:rsid w:val="00C110CF"/>
    <w:rsid w:val="00C1247A"/>
    <w:rsid w:val="00C128BA"/>
    <w:rsid w:val="00C12B4F"/>
    <w:rsid w:val="00C135B6"/>
    <w:rsid w:val="00C13671"/>
    <w:rsid w:val="00C13C97"/>
    <w:rsid w:val="00C14851"/>
    <w:rsid w:val="00C1499B"/>
    <w:rsid w:val="00C14CEA"/>
    <w:rsid w:val="00C1588A"/>
    <w:rsid w:val="00C163FC"/>
    <w:rsid w:val="00C16FED"/>
    <w:rsid w:val="00C21B3A"/>
    <w:rsid w:val="00C22576"/>
    <w:rsid w:val="00C2315C"/>
    <w:rsid w:val="00C240F4"/>
    <w:rsid w:val="00C24558"/>
    <w:rsid w:val="00C245ED"/>
    <w:rsid w:val="00C2619E"/>
    <w:rsid w:val="00C30F01"/>
    <w:rsid w:val="00C30FAA"/>
    <w:rsid w:val="00C310AB"/>
    <w:rsid w:val="00C33951"/>
    <w:rsid w:val="00C35D3B"/>
    <w:rsid w:val="00C4054B"/>
    <w:rsid w:val="00C41365"/>
    <w:rsid w:val="00C4455F"/>
    <w:rsid w:val="00C44DAC"/>
    <w:rsid w:val="00C466ED"/>
    <w:rsid w:val="00C47BA5"/>
    <w:rsid w:val="00C51480"/>
    <w:rsid w:val="00C51981"/>
    <w:rsid w:val="00C52068"/>
    <w:rsid w:val="00C522D0"/>
    <w:rsid w:val="00C53D0A"/>
    <w:rsid w:val="00C56227"/>
    <w:rsid w:val="00C576BB"/>
    <w:rsid w:val="00C64E40"/>
    <w:rsid w:val="00C655F9"/>
    <w:rsid w:val="00C67B1C"/>
    <w:rsid w:val="00C70B7D"/>
    <w:rsid w:val="00C71F13"/>
    <w:rsid w:val="00C74990"/>
    <w:rsid w:val="00C755C2"/>
    <w:rsid w:val="00C756CA"/>
    <w:rsid w:val="00C76323"/>
    <w:rsid w:val="00C7768B"/>
    <w:rsid w:val="00C77D8A"/>
    <w:rsid w:val="00C83AA7"/>
    <w:rsid w:val="00C843FB"/>
    <w:rsid w:val="00C84AA3"/>
    <w:rsid w:val="00C84FB0"/>
    <w:rsid w:val="00C919FC"/>
    <w:rsid w:val="00C948C2"/>
    <w:rsid w:val="00C958B5"/>
    <w:rsid w:val="00CA0315"/>
    <w:rsid w:val="00CA19E3"/>
    <w:rsid w:val="00CA36F9"/>
    <w:rsid w:val="00CA3F1A"/>
    <w:rsid w:val="00CA4173"/>
    <w:rsid w:val="00CA4B87"/>
    <w:rsid w:val="00CA4FDC"/>
    <w:rsid w:val="00CA53F1"/>
    <w:rsid w:val="00CA5F9D"/>
    <w:rsid w:val="00CA6032"/>
    <w:rsid w:val="00CA6C52"/>
    <w:rsid w:val="00CB0AFF"/>
    <w:rsid w:val="00CB1770"/>
    <w:rsid w:val="00CB2D84"/>
    <w:rsid w:val="00CC11C4"/>
    <w:rsid w:val="00CC19CF"/>
    <w:rsid w:val="00CC1D01"/>
    <w:rsid w:val="00CC253A"/>
    <w:rsid w:val="00CC3BB3"/>
    <w:rsid w:val="00CC4DD4"/>
    <w:rsid w:val="00CC4DED"/>
    <w:rsid w:val="00CC78BB"/>
    <w:rsid w:val="00CD2DA3"/>
    <w:rsid w:val="00CD4654"/>
    <w:rsid w:val="00CD6CDB"/>
    <w:rsid w:val="00CE00BF"/>
    <w:rsid w:val="00CE12C1"/>
    <w:rsid w:val="00CE22DA"/>
    <w:rsid w:val="00CE3138"/>
    <w:rsid w:val="00CE6BBD"/>
    <w:rsid w:val="00CF1554"/>
    <w:rsid w:val="00CF176D"/>
    <w:rsid w:val="00CF39DE"/>
    <w:rsid w:val="00CF4E4F"/>
    <w:rsid w:val="00D01E68"/>
    <w:rsid w:val="00D024A3"/>
    <w:rsid w:val="00D02874"/>
    <w:rsid w:val="00D02A08"/>
    <w:rsid w:val="00D031CC"/>
    <w:rsid w:val="00D04A2A"/>
    <w:rsid w:val="00D06401"/>
    <w:rsid w:val="00D06F60"/>
    <w:rsid w:val="00D07EC6"/>
    <w:rsid w:val="00D1073A"/>
    <w:rsid w:val="00D10941"/>
    <w:rsid w:val="00D1359D"/>
    <w:rsid w:val="00D179CB"/>
    <w:rsid w:val="00D25C8B"/>
    <w:rsid w:val="00D26C1D"/>
    <w:rsid w:val="00D27170"/>
    <w:rsid w:val="00D32097"/>
    <w:rsid w:val="00D32C0C"/>
    <w:rsid w:val="00D33089"/>
    <w:rsid w:val="00D330C2"/>
    <w:rsid w:val="00D35313"/>
    <w:rsid w:val="00D35E91"/>
    <w:rsid w:val="00D366D3"/>
    <w:rsid w:val="00D370EF"/>
    <w:rsid w:val="00D41830"/>
    <w:rsid w:val="00D420DA"/>
    <w:rsid w:val="00D4244C"/>
    <w:rsid w:val="00D4482B"/>
    <w:rsid w:val="00D4634F"/>
    <w:rsid w:val="00D4649B"/>
    <w:rsid w:val="00D46A99"/>
    <w:rsid w:val="00D50289"/>
    <w:rsid w:val="00D502DF"/>
    <w:rsid w:val="00D50355"/>
    <w:rsid w:val="00D50991"/>
    <w:rsid w:val="00D54F4C"/>
    <w:rsid w:val="00D61731"/>
    <w:rsid w:val="00D62FB1"/>
    <w:rsid w:val="00D63289"/>
    <w:rsid w:val="00D6386B"/>
    <w:rsid w:val="00D63A65"/>
    <w:rsid w:val="00D64B1C"/>
    <w:rsid w:val="00D65F11"/>
    <w:rsid w:val="00D66BEF"/>
    <w:rsid w:val="00D66E0A"/>
    <w:rsid w:val="00D66F5B"/>
    <w:rsid w:val="00D7026D"/>
    <w:rsid w:val="00D71C30"/>
    <w:rsid w:val="00D73CDA"/>
    <w:rsid w:val="00D756AA"/>
    <w:rsid w:val="00D77C2D"/>
    <w:rsid w:val="00D81D88"/>
    <w:rsid w:val="00D8219D"/>
    <w:rsid w:val="00D825A8"/>
    <w:rsid w:val="00D82972"/>
    <w:rsid w:val="00D8513D"/>
    <w:rsid w:val="00D85781"/>
    <w:rsid w:val="00D879D3"/>
    <w:rsid w:val="00D90B34"/>
    <w:rsid w:val="00D91609"/>
    <w:rsid w:val="00D91C67"/>
    <w:rsid w:val="00D949F2"/>
    <w:rsid w:val="00D95270"/>
    <w:rsid w:val="00D95A49"/>
    <w:rsid w:val="00D9785E"/>
    <w:rsid w:val="00D97C18"/>
    <w:rsid w:val="00DA19F6"/>
    <w:rsid w:val="00DA2121"/>
    <w:rsid w:val="00DA2BAA"/>
    <w:rsid w:val="00DA2F10"/>
    <w:rsid w:val="00DA31EC"/>
    <w:rsid w:val="00DA795E"/>
    <w:rsid w:val="00DA7C01"/>
    <w:rsid w:val="00DB10CA"/>
    <w:rsid w:val="00DB2349"/>
    <w:rsid w:val="00DB2409"/>
    <w:rsid w:val="00DB3B8E"/>
    <w:rsid w:val="00DB4103"/>
    <w:rsid w:val="00DB443D"/>
    <w:rsid w:val="00DB4916"/>
    <w:rsid w:val="00DB4EEE"/>
    <w:rsid w:val="00DC1E5E"/>
    <w:rsid w:val="00DC40FB"/>
    <w:rsid w:val="00DC5D82"/>
    <w:rsid w:val="00DD285D"/>
    <w:rsid w:val="00DD4BB1"/>
    <w:rsid w:val="00DD582D"/>
    <w:rsid w:val="00DD6384"/>
    <w:rsid w:val="00DD779B"/>
    <w:rsid w:val="00DE1100"/>
    <w:rsid w:val="00DE41DA"/>
    <w:rsid w:val="00DE4C70"/>
    <w:rsid w:val="00DE516F"/>
    <w:rsid w:val="00DE553E"/>
    <w:rsid w:val="00DE6326"/>
    <w:rsid w:val="00DE704E"/>
    <w:rsid w:val="00DE72B2"/>
    <w:rsid w:val="00DE7D72"/>
    <w:rsid w:val="00DF05BA"/>
    <w:rsid w:val="00DF06F1"/>
    <w:rsid w:val="00DF2072"/>
    <w:rsid w:val="00DF3162"/>
    <w:rsid w:val="00DF4B93"/>
    <w:rsid w:val="00DF54EC"/>
    <w:rsid w:val="00DF563A"/>
    <w:rsid w:val="00DF57A2"/>
    <w:rsid w:val="00DF6CB9"/>
    <w:rsid w:val="00E00598"/>
    <w:rsid w:val="00E00A1F"/>
    <w:rsid w:val="00E04828"/>
    <w:rsid w:val="00E05138"/>
    <w:rsid w:val="00E06085"/>
    <w:rsid w:val="00E07F13"/>
    <w:rsid w:val="00E10C23"/>
    <w:rsid w:val="00E12CBE"/>
    <w:rsid w:val="00E12F48"/>
    <w:rsid w:val="00E14589"/>
    <w:rsid w:val="00E1504F"/>
    <w:rsid w:val="00E1565A"/>
    <w:rsid w:val="00E15853"/>
    <w:rsid w:val="00E169DC"/>
    <w:rsid w:val="00E17A1F"/>
    <w:rsid w:val="00E17C70"/>
    <w:rsid w:val="00E20141"/>
    <w:rsid w:val="00E2064E"/>
    <w:rsid w:val="00E20EA7"/>
    <w:rsid w:val="00E21BB1"/>
    <w:rsid w:val="00E23640"/>
    <w:rsid w:val="00E25E48"/>
    <w:rsid w:val="00E26C6A"/>
    <w:rsid w:val="00E31B9F"/>
    <w:rsid w:val="00E32C81"/>
    <w:rsid w:val="00E3476B"/>
    <w:rsid w:val="00E34992"/>
    <w:rsid w:val="00E34F15"/>
    <w:rsid w:val="00E3719A"/>
    <w:rsid w:val="00E4297C"/>
    <w:rsid w:val="00E43371"/>
    <w:rsid w:val="00E4351C"/>
    <w:rsid w:val="00E46EAE"/>
    <w:rsid w:val="00E47233"/>
    <w:rsid w:val="00E509F9"/>
    <w:rsid w:val="00E531C6"/>
    <w:rsid w:val="00E55EEF"/>
    <w:rsid w:val="00E56639"/>
    <w:rsid w:val="00E61628"/>
    <w:rsid w:val="00E631C0"/>
    <w:rsid w:val="00E636F3"/>
    <w:rsid w:val="00E65FB3"/>
    <w:rsid w:val="00E6677A"/>
    <w:rsid w:val="00E66884"/>
    <w:rsid w:val="00E675E5"/>
    <w:rsid w:val="00E6778C"/>
    <w:rsid w:val="00E70299"/>
    <w:rsid w:val="00E70F2F"/>
    <w:rsid w:val="00E7183C"/>
    <w:rsid w:val="00E7288B"/>
    <w:rsid w:val="00E73F70"/>
    <w:rsid w:val="00E76991"/>
    <w:rsid w:val="00E76CF7"/>
    <w:rsid w:val="00E801B1"/>
    <w:rsid w:val="00E805C4"/>
    <w:rsid w:val="00E8197B"/>
    <w:rsid w:val="00E83105"/>
    <w:rsid w:val="00E85D3B"/>
    <w:rsid w:val="00E87ADE"/>
    <w:rsid w:val="00E90FED"/>
    <w:rsid w:val="00E9230C"/>
    <w:rsid w:val="00E95F06"/>
    <w:rsid w:val="00E971DA"/>
    <w:rsid w:val="00EA096A"/>
    <w:rsid w:val="00EA0E26"/>
    <w:rsid w:val="00EA1449"/>
    <w:rsid w:val="00EA1636"/>
    <w:rsid w:val="00EA220B"/>
    <w:rsid w:val="00EA23BB"/>
    <w:rsid w:val="00EA6092"/>
    <w:rsid w:val="00EA7517"/>
    <w:rsid w:val="00EA7BC9"/>
    <w:rsid w:val="00EB103B"/>
    <w:rsid w:val="00EB287E"/>
    <w:rsid w:val="00EB553B"/>
    <w:rsid w:val="00EB5BFE"/>
    <w:rsid w:val="00EB7491"/>
    <w:rsid w:val="00EC0F99"/>
    <w:rsid w:val="00EC25B9"/>
    <w:rsid w:val="00EC4122"/>
    <w:rsid w:val="00EC61CE"/>
    <w:rsid w:val="00EC7ECD"/>
    <w:rsid w:val="00ED18AC"/>
    <w:rsid w:val="00ED298B"/>
    <w:rsid w:val="00ED5833"/>
    <w:rsid w:val="00ED59A7"/>
    <w:rsid w:val="00ED670D"/>
    <w:rsid w:val="00EE0C22"/>
    <w:rsid w:val="00EE7D80"/>
    <w:rsid w:val="00EF024D"/>
    <w:rsid w:val="00EF0400"/>
    <w:rsid w:val="00EF0960"/>
    <w:rsid w:val="00EF2BD1"/>
    <w:rsid w:val="00EF2BEE"/>
    <w:rsid w:val="00EF488E"/>
    <w:rsid w:val="00EF4F43"/>
    <w:rsid w:val="00EF5EB5"/>
    <w:rsid w:val="00EF5FCA"/>
    <w:rsid w:val="00EF605C"/>
    <w:rsid w:val="00EF7EEC"/>
    <w:rsid w:val="00F00AD9"/>
    <w:rsid w:val="00F04722"/>
    <w:rsid w:val="00F05F22"/>
    <w:rsid w:val="00F06418"/>
    <w:rsid w:val="00F072E6"/>
    <w:rsid w:val="00F07C47"/>
    <w:rsid w:val="00F11779"/>
    <w:rsid w:val="00F140BD"/>
    <w:rsid w:val="00F15112"/>
    <w:rsid w:val="00F23168"/>
    <w:rsid w:val="00F245B7"/>
    <w:rsid w:val="00F2575A"/>
    <w:rsid w:val="00F26A21"/>
    <w:rsid w:val="00F30ABF"/>
    <w:rsid w:val="00F30DCE"/>
    <w:rsid w:val="00F31A10"/>
    <w:rsid w:val="00F32776"/>
    <w:rsid w:val="00F32D0E"/>
    <w:rsid w:val="00F343EB"/>
    <w:rsid w:val="00F35E25"/>
    <w:rsid w:val="00F364D0"/>
    <w:rsid w:val="00F36871"/>
    <w:rsid w:val="00F40477"/>
    <w:rsid w:val="00F44260"/>
    <w:rsid w:val="00F449B9"/>
    <w:rsid w:val="00F449BD"/>
    <w:rsid w:val="00F507A1"/>
    <w:rsid w:val="00F53FEA"/>
    <w:rsid w:val="00F55C2D"/>
    <w:rsid w:val="00F56FF4"/>
    <w:rsid w:val="00F61558"/>
    <w:rsid w:val="00F62592"/>
    <w:rsid w:val="00F67C5A"/>
    <w:rsid w:val="00F73460"/>
    <w:rsid w:val="00F73F5B"/>
    <w:rsid w:val="00F74ADE"/>
    <w:rsid w:val="00F75A0B"/>
    <w:rsid w:val="00F80D96"/>
    <w:rsid w:val="00F81BC8"/>
    <w:rsid w:val="00F81D39"/>
    <w:rsid w:val="00F84475"/>
    <w:rsid w:val="00F85698"/>
    <w:rsid w:val="00F85CFD"/>
    <w:rsid w:val="00F860CA"/>
    <w:rsid w:val="00F86A96"/>
    <w:rsid w:val="00F8753D"/>
    <w:rsid w:val="00F87816"/>
    <w:rsid w:val="00F9150F"/>
    <w:rsid w:val="00F91DE5"/>
    <w:rsid w:val="00F942E1"/>
    <w:rsid w:val="00F95689"/>
    <w:rsid w:val="00F956B3"/>
    <w:rsid w:val="00F95BCA"/>
    <w:rsid w:val="00F964A8"/>
    <w:rsid w:val="00F972CC"/>
    <w:rsid w:val="00F97F5E"/>
    <w:rsid w:val="00FA056A"/>
    <w:rsid w:val="00FA0573"/>
    <w:rsid w:val="00FA21AC"/>
    <w:rsid w:val="00FA31E9"/>
    <w:rsid w:val="00FA32BF"/>
    <w:rsid w:val="00FA5904"/>
    <w:rsid w:val="00FA618E"/>
    <w:rsid w:val="00FA6954"/>
    <w:rsid w:val="00FB1014"/>
    <w:rsid w:val="00FB3003"/>
    <w:rsid w:val="00FB3077"/>
    <w:rsid w:val="00FB378E"/>
    <w:rsid w:val="00FB5396"/>
    <w:rsid w:val="00FB6B63"/>
    <w:rsid w:val="00FC1687"/>
    <w:rsid w:val="00FC2B18"/>
    <w:rsid w:val="00FD04E5"/>
    <w:rsid w:val="00FD2069"/>
    <w:rsid w:val="00FD3749"/>
    <w:rsid w:val="00FD3A95"/>
    <w:rsid w:val="00FD48D9"/>
    <w:rsid w:val="00FD570D"/>
    <w:rsid w:val="00FD5DD2"/>
    <w:rsid w:val="00FE1606"/>
    <w:rsid w:val="00FE49F6"/>
    <w:rsid w:val="00FE4FCC"/>
    <w:rsid w:val="00FE5911"/>
    <w:rsid w:val="00FE74DB"/>
    <w:rsid w:val="00FE7B3D"/>
    <w:rsid w:val="00FF0B24"/>
    <w:rsid w:val="00FF14B0"/>
    <w:rsid w:val="00FF2088"/>
    <w:rsid w:val="00FF2ECB"/>
    <w:rsid w:val="00FF33F6"/>
    <w:rsid w:val="00FF349E"/>
    <w:rsid w:val="00FF3CAB"/>
    <w:rsid w:val="00FF3F80"/>
    <w:rsid w:val="00FF45DF"/>
    <w:rsid w:val="010B1330"/>
    <w:rsid w:val="01461ACD"/>
    <w:rsid w:val="01675BA9"/>
    <w:rsid w:val="01757860"/>
    <w:rsid w:val="018D0205"/>
    <w:rsid w:val="01C12A88"/>
    <w:rsid w:val="01CC76EC"/>
    <w:rsid w:val="01D07706"/>
    <w:rsid w:val="0221271C"/>
    <w:rsid w:val="022D649C"/>
    <w:rsid w:val="02351774"/>
    <w:rsid w:val="023A6ECB"/>
    <w:rsid w:val="02420646"/>
    <w:rsid w:val="027E66A7"/>
    <w:rsid w:val="028223A8"/>
    <w:rsid w:val="02A9706C"/>
    <w:rsid w:val="02AF6599"/>
    <w:rsid w:val="02B07B6F"/>
    <w:rsid w:val="02DE374B"/>
    <w:rsid w:val="03044359"/>
    <w:rsid w:val="03173665"/>
    <w:rsid w:val="031C67BA"/>
    <w:rsid w:val="03226F55"/>
    <w:rsid w:val="03442A09"/>
    <w:rsid w:val="03492D3A"/>
    <w:rsid w:val="03511571"/>
    <w:rsid w:val="035E37BC"/>
    <w:rsid w:val="03715197"/>
    <w:rsid w:val="03A25185"/>
    <w:rsid w:val="03A92E0C"/>
    <w:rsid w:val="03A93F07"/>
    <w:rsid w:val="03DD17F0"/>
    <w:rsid w:val="03F730D5"/>
    <w:rsid w:val="040E2332"/>
    <w:rsid w:val="040E4213"/>
    <w:rsid w:val="04137380"/>
    <w:rsid w:val="04160294"/>
    <w:rsid w:val="0421064D"/>
    <w:rsid w:val="0424709F"/>
    <w:rsid w:val="04273734"/>
    <w:rsid w:val="042C6AE4"/>
    <w:rsid w:val="0439748C"/>
    <w:rsid w:val="045F4428"/>
    <w:rsid w:val="04663DEE"/>
    <w:rsid w:val="048B6224"/>
    <w:rsid w:val="049C3EF3"/>
    <w:rsid w:val="04BC1BA0"/>
    <w:rsid w:val="04C45905"/>
    <w:rsid w:val="04CC4566"/>
    <w:rsid w:val="04E52637"/>
    <w:rsid w:val="04FD23FC"/>
    <w:rsid w:val="05005426"/>
    <w:rsid w:val="055A38B5"/>
    <w:rsid w:val="056A185A"/>
    <w:rsid w:val="059C5F8E"/>
    <w:rsid w:val="05AD5736"/>
    <w:rsid w:val="05BB241B"/>
    <w:rsid w:val="05CA2818"/>
    <w:rsid w:val="05CF4780"/>
    <w:rsid w:val="05FA06DD"/>
    <w:rsid w:val="06023A8F"/>
    <w:rsid w:val="0611621E"/>
    <w:rsid w:val="063F258E"/>
    <w:rsid w:val="064D59E4"/>
    <w:rsid w:val="065044F8"/>
    <w:rsid w:val="0653482B"/>
    <w:rsid w:val="06934DBE"/>
    <w:rsid w:val="06B7286F"/>
    <w:rsid w:val="06BF75C9"/>
    <w:rsid w:val="06C116BD"/>
    <w:rsid w:val="06C767F8"/>
    <w:rsid w:val="06EA2FBD"/>
    <w:rsid w:val="06ED1770"/>
    <w:rsid w:val="06FE4AAE"/>
    <w:rsid w:val="070157D1"/>
    <w:rsid w:val="07117CDC"/>
    <w:rsid w:val="072A2DEB"/>
    <w:rsid w:val="07354BE2"/>
    <w:rsid w:val="073C35BC"/>
    <w:rsid w:val="073C402C"/>
    <w:rsid w:val="07506DDE"/>
    <w:rsid w:val="078360F1"/>
    <w:rsid w:val="079555F7"/>
    <w:rsid w:val="07AA21A6"/>
    <w:rsid w:val="07B323DD"/>
    <w:rsid w:val="07CB1191"/>
    <w:rsid w:val="07D33E7D"/>
    <w:rsid w:val="07DA2552"/>
    <w:rsid w:val="07E61182"/>
    <w:rsid w:val="07F876CF"/>
    <w:rsid w:val="07FA3FC0"/>
    <w:rsid w:val="08376BE0"/>
    <w:rsid w:val="08424D1E"/>
    <w:rsid w:val="08483779"/>
    <w:rsid w:val="085D5FC0"/>
    <w:rsid w:val="0886626A"/>
    <w:rsid w:val="08912C45"/>
    <w:rsid w:val="08A60ACF"/>
    <w:rsid w:val="08AD0CF8"/>
    <w:rsid w:val="08AD503B"/>
    <w:rsid w:val="08B604BF"/>
    <w:rsid w:val="08C76CFD"/>
    <w:rsid w:val="08E340CC"/>
    <w:rsid w:val="08E95B0E"/>
    <w:rsid w:val="090C54BE"/>
    <w:rsid w:val="090C7B69"/>
    <w:rsid w:val="09271627"/>
    <w:rsid w:val="092936B1"/>
    <w:rsid w:val="096A4BCE"/>
    <w:rsid w:val="09710521"/>
    <w:rsid w:val="097513F5"/>
    <w:rsid w:val="098226D8"/>
    <w:rsid w:val="09894939"/>
    <w:rsid w:val="09A02CD8"/>
    <w:rsid w:val="09D771B0"/>
    <w:rsid w:val="09DA500D"/>
    <w:rsid w:val="0A165448"/>
    <w:rsid w:val="0A3F61A5"/>
    <w:rsid w:val="0A502EA2"/>
    <w:rsid w:val="0A5758F7"/>
    <w:rsid w:val="0A67144A"/>
    <w:rsid w:val="0A71618F"/>
    <w:rsid w:val="0A7E1671"/>
    <w:rsid w:val="0AB610B3"/>
    <w:rsid w:val="0AC16F66"/>
    <w:rsid w:val="0AE86D78"/>
    <w:rsid w:val="0AEF5AEE"/>
    <w:rsid w:val="0B435CD5"/>
    <w:rsid w:val="0B456825"/>
    <w:rsid w:val="0B4B17AC"/>
    <w:rsid w:val="0B4C1B40"/>
    <w:rsid w:val="0B4F5787"/>
    <w:rsid w:val="0B625354"/>
    <w:rsid w:val="0B6438A9"/>
    <w:rsid w:val="0BB80799"/>
    <w:rsid w:val="0BC22757"/>
    <w:rsid w:val="0BD0342B"/>
    <w:rsid w:val="0BE3070D"/>
    <w:rsid w:val="0BE659E2"/>
    <w:rsid w:val="0BE9473D"/>
    <w:rsid w:val="0BE94FBA"/>
    <w:rsid w:val="0C367BBD"/>
    <w:rsid w:val="0C3C4113"/>
    <w:rsid w:val="0C4225D4"/>
    <w:rsid w:val="0C49239C"/>
    <w:rsid w:val="0C4E57C8"/>
    <w:rsid w:val="0C7336D0"/>
    <w:rsid w:val="0CC36F40"/>
    <w:rsid w:val="0CCE2CF7"/>
    <w:rsid w:val="0CE75800"/>
    <w:rsid w:val="0CF0134E"/>
    <w:rsid w:val="0CF02600"/>
    <w:rsid w:val="0D162766"/>
    <w:rsid w:val="0D251429"/>
    <w:rsid w:val="0D30615A"/>
    <w:rsid w:val="0D4A590E"/>
    <w:rsid w:val="0D4C5E85"/>
    <w:rsid w:val="0D50445B"/>
    <w:rsid w:val="0D7807F1"/>
    <w:rsid w:val="0D895A46"/>
    <w:rsid w:val="0D9A6FA7"/>
    <w:rsid w:val="0D9B67EB"/>
    <w:rsid w:val="0DA45AD2"/>
    <w:rsid w:val="0DE86CEC"/>
    <w:rsid w:val="0E0541B5"/>
    <w:rsid w:val="0E057004"/>
    <w:rsid w:val="0E0A51BD"/>
    <w:rsid w:val="0E141CA7"/>
    <w:rsid w:val="0E1D6D0A"/>
    <w:rsid w:val="0E21730E"/>
    <w:rsid w:val="0E386D2E"/>
    <w:rsid w:val="0E3C23BE"/>
    <w:rsid w:val="0E3D1DE5"/>
    <w:rsid w:val="0E3F3BA6"/>
    <w:rsid w:val="0E442D5B"/>
    <w:rsid w:val="0E4E7B59"/>
    <w:rsid w:val="0E6E5960"/>
    <w:rsid w:val="0E9A5ED4"/>
    <w:rsid w:val="0EAB7B80"/>
    <w:rsid w:val="0EAE4301"/>
    <w:rsid w:val="0EC83871"/>
    <w:rsid w:val="0ED27024"/>
    <w:rsid w:val="0ED94F19"/>
    <w:rsid w:val="0EDC5EDB"/>
    <w:rsid w:val="0F0A381F"/>
    <w:rsid w:val="0F1B0DB7"/>
    <w:rsid w:val="0F3425BB"/>
    <w:rsid w:val="0F5A5FCA"/>
    <w:rsid w:val="0F6C7EA7"/>
    <w:rsid w:val="0F72752D"/>
    <w:rsid w:val="0FA03F81"/>
    <w:rsid w:val="0FB0647D"/>
    <w:rsid w:val="0FC5121F"/>
    <w:rsid w:val="0FC52200"/>
    <w:rsid w:val="0FC57219"/>
    <w:rsid w:val="0FCD54FE"/>
    <w:rsid w:val="0FF11896"/>
    <w:rsid w:val="0FF743B8"/>
    <w:rsid w:val="104114BC"/>
    <w:rsid w:val="104F21E7"/>
    <w:rsid w:val="10522A43"/>
    <w:rsid w:val="105950B7"/>
    <w:rsid w:val="10681B45"/>
    <w:rsid w:val="10C05C14"/>
    <w:rsid w:val="10D545EB"/>
    <w:rsid w:val="10E51E7E"/>
    <w:rsid w:val="110045E6"/>
    <w:rsid w:val="110937B1"/>
    <w:rsid w:val="1109548A"/>
    <w:rsid w:val="110E4212"/>
    <w:rsid w:val="11156035"/>
    <w:rsid w:val="111F2499"/>
    <w:rsid w:val="11296D36"/>
    <w:rsid w:val="1146103D"/>
    <w:rsid w:val="11665A0D"/>
    <w:rsid w:val="116C7384"/>
    <w:rsid w:val="117E53FE"/>
    <w:rsid w:val="11BB0D42"/>
    <w:rsid w:val="12181B43"/>
    <w:rsid w:val="12305D0B"/>
    <w:rsid w:val="1247677B"/>
    <w:rsid w:val="124B307E"/>
    <w:rsid w:val="125375BF"/>
    <w:rsid w:val="12595354"/>
    <w:rsid w:val="12676ACE"/>
    <w:rsid w:val="12855147"/>
    <w:rsid w:val="128C79F5"/>
    <w:rsid w:val="12987FD1"/>
    <w:rsid w:val="12BA29FC"/>
    <w:rsid w:val="12D57C7C"/>
    <w:rsid w:val="12DB7D9F"/>
    <w:rsid w:val="12DE2F04"/>
    <w:rsid w:val="12F453F7"/>
    <w:rsid w:val="135A65CD"/>
    <w:rsid w:val="13681291"/>
    <w:rsid w:val="13813AD9"/>
    <w:rsid w:val="13877EBC"/>
    <w:rsid w:val="139A72A6"/>
    <w:rsid w:val="13C344C1"/>
    <w:rsid w:val="13D75C16"/>
    <w:rsid w:val="141A71FC"/>
    <w:rsid w:val="14393E39"/>
    <w:rsid w:val="1439492C"/>
    <w:rsid w:val="144E282E"/>
    <w:rsid w:val="147E1BD0"/>
    <w:rsid w:val="148B16AC"/>
    <w:rsid w:val="14905D77"/>
    <w:rsid w:val="14C13D98"/>
    <w:rsid w:val="14C818C6"/>
    <w:rsid w:val="14D17473"/>
    <w:rsid w:val="14D2285A"/>
    <w:rsid w:val="14F848F0"/>
    <w:rsid w:val="152D2F19"/>
    <w:rsid w:val="1533008F"/>
    <w:rsid w:val="153D3401"/>
    <w:rsid w:val="155142E7"/>
    <w:rsid w:val="15855A36"/>
    <w:rsid w:val="158E06A1"/>
    <w:rsid w:val="15932B1E"/>
    <w:rsid w:val="15A213FF"/>
    <w:rsid w:val="15AF36C0"/>
    <w:rsid w:val="15CA175D"/>
    <w:rsid w:val="15D73E4B"/>
    <w:rsid w:val="15EE7CEF"/>
    <w:rsid w:val="160D691C"/>
    <w:rsid w:val="16333435"/>
    <w:rsid w:val="16391530"/>
    <w:rsid w:val="16550678"/>
    <w:rsid w:val="16565924"/>
    <w:rsid w:val="166C136C"/>
    <w:rsid w:val="168C0198"/>
    <w:rsid w:val="168D3A3C"/>
    <w:rsid w:val="169237EC"/>
    <w:rsid w:val="16C6539F"/>
    <w:rsid w:val="16C83962"/>
    <w:rsid w:val="16ED23AA"/>
    <w:rsid w:val="17195883"/>
    <w:rsid w:val="173E2364"/>
    <w:rsid w:val="173E4E07"/>
    <w:rsid w:val="1761710C"/>
    <w:rsid w:val="176B01E9"/>
    <w:rsid w:val="17812612"/>
    <w:rsid w:val="1789592C"/>
    <w:rsid w:val="178D35C8"/>
    <w:rsid w:val="17933C9F"/>
    <w:rsid w:val="17991E91"/>
    <w:rsid w:val="17B13E29"/>
    <w:rsid w:val="17D67A38"/>
    <w:rsid w:val="17DB1463"/>
    <w:rsid w:val="17E97C5D"/>
    <w:rsid w:val="17ED5B45"/>
    <w:rsid w:val="18260DD1"/>
    <w:rsid w:val="182656C2"/>
    <w:rsid w:val="182E7A85"/>
    <w:rsid w:val="18303541"/>
    <w:rsid w:val="183735E3"/>
    <w:rsid w:val="18403BFF"/>
    <w:rsid w:val="18485D36"/>
    <w:rsid w:val="18744310"/>
    <w:rsid w:val="188B54B9"/>
    <w:rsid w:val="189448FE"/>
    <w:rsid w:val="189F530B"/>
    <w:rsid w:val="18A12DFD"/>
    <w:rsid w:val="18A922F3"/>
    <w:rsid w:val="18B137E8"/>
    <w:rsid w:val="18BB2661"/>
    <w:rsid w:val="18D46399"/>
    <w:rsid w:val="18F56002"/>
    <w:rsid w:val="192F50C9"/>
    <w:rsid w:val="19633F03"/>
    <w:rsid w:val="196F047E"/>
    <w:rsid w:val="19943641"/>
    <w:rsid w:val="199E02FC"/>
    <w:rsid w:val="19BA1CE3"/>
    <w:rsid w:val="19DF55C2"/>
    <w:rsid w:val="19F10645"/>
    <w:rsid w:val="1A0C61A8"/>
    <w:rsid w:val="1A132F57"/>
    <w:rsid w:val="1A2D1950"/>
    <w:rsid w:val="1A300E03"/>
    <w:rsid w:val="1A5F760F"/>
    <w:rsid w:val="1A6F3E95"/>
    <w:rsid w:val="1A6F6E85"/>
    <w:rsid w:val="1AD22ED2"/>
    <w:rsid w:val="1AD51B88"/>
    <w:rsid w:val="1AD87250"/>
    <w:rsid w:val="1AE61761"/>
    <w:rsid w:val="1B2058A0"/>
    <w:rsid w:val="1B2D037E"/>
    <w:rsid w:val="1B566A66"/>
    <w:rsid w:val="1B8565CF"/>
    <w:rsid w:val="1B9104B0"/>
    <w:rsid w:val="1BA96293"/>
    <w:rsid w:val="1BAC363D"/>
    <w:rsid w:val="1BD60F79"/>
    <w:rsid w:val="1C075926"/>
    <w:rsid w:val="1C0C60A0"/>
    <w:rsid w:val="1C1A7CF9"/>
    <w:rsid w:val="1C261B3D"/>
    <w:rsid w:val="1C2A710A"/>
    <w:rsid w:val="1C41527E"/>
    <w:rsid w:val="1C49412F"/>
    <w:rsid w:val="1C4A5FD5"/>
    <w:rsid w:val="1C4D3DCD"/>
    <w:rsid w:val="1C4F5FC4"/>
    <w:rsid w:val="1C64078D"/>
    <w:rsid w:val="1C81524F"/>
    <w:rsid w:val="1CA121A3"/>
    <w:rsid w:val="1CBC49D7"/>
    <w:rsid w:val="1CDF257F"/>
    <w:rsid w:val="1CE40841"/>
    <w:rsid w:val="1CF405AE"/>
    <w:rsid w:val="1CFB22F4"/>
    <w:rsid w:val="1D014450"/>
    <w:rsid w:val="1D2A2C86"/>
    <w:rsid w:val="1D2A6659"/>
    <w:rsid w:val="1D41310E"/>
    <w:rsid w:val="1D426DC5"/>
    <w:rsid w:val="1D4377C2"/>
    <w:rsid w:val="1D54682E"/>
    <w:rsid w:val="1D575B51"/>
    <w:rsid w:val="1D786280"/>
    <w:rsid w:val="1D83301E"/>
    <w:rsid w:val="1D836FC7"/>
    <w:rsid w:val="1D956BB8"/>
    <w:rsid w:val="1D9F4A19"/>
    <w:rsid w:val="1DA05599"/>
    <w:rsid w:val="1DAB519B"/>
    <w:rsid w:val="1DC65420"/>
    <w:rsid w:val="1DC94DC3"/>
    <w:rsid w:val="1DD04ECF"/>
    <w:rsid w:val="1E0649A4"/>
    <w:rsid w:val="1E144E53"/>
    <w:rsid w:val="1E474E6F"/>
    <w:rsid w:val="1E6843C7"/>
    <w:rsid w:val="1E84688B"/>
    <w:rsid w:val="1EA60FCA"/>
    <w:rsid w:val="1EA87417"/>
    <w:rsid w:val="1ED70A99"/>
    <w:rsid w:val="1EE16D63"/>
    <w:rsid w:val="1F1072F4"/>
    <w:rsid w:val="1F181D4B"/>
    <w:rsid w:val="1F35766F"/>
    <w:rsid w:val="1F65672E"/>
    <w:rsid w:val="1F6B4880"/>
    <w:rsid w:val="1F6D18D3"/>
    <w:rsid w:val="1F7222CF"/>
    <w:rsid w:val="1F855EC8"/>
    <w:rsid w:val="1F865B87"/>
    <w:rsid w:val="1F8D0E35"/>
    <w:rsid w:val="1FB611E4"/>
    <w:rsid w:val="1FBA2E91"/>
    <w:rsid w:val="1FC02D54"/>
    <w:rsid w:val="1FD92D82"/>
    <w:rsid w:val="1FEE1F52"/>
    <w:rsid w:val="20313878"/>
    <w:rsid w:val="207471CF"/>
    <w:rsid w:val="20950348"/>
    <w:rsid w:val="20981E88"/>
    <w:rsid w:val="20A06A24"/>
    <w:rsid w:val="20A10137"/>
    <w:rsid w:val="20A76189"/>
    <w:rsid w:val="20B97750"/>
    <w:rsid w:val="20BD2343"/>
    <w:rsid w:val="20C125E5"/>
    <w:rsid w:val="20EC5CA4"/>
    <w:rsid w:val="20F77EBA"/>
    <w:rsid w:val="20FE0571"/>
    <w:rsid w:val="21040EE9"/>
    <w:rsid w:val="212F48FD"/>
    <w:rsid w:val="21592DC8"/>
    <w:rsid w:val="216135E4"/>
    <w:rsid w:val="218E60D2"/>
    <w:rsid w:val="21A32365"/>
    <w:rsid w:val="21B23C30"/>
    <w:rsid w:val="21D5663A"/>
    <w:rsid w:val="21FF37BF"/>
    <w:rsid w:val="220D5F91"/>
    <w:rsid w:val="220F017A"/>
    <w:rsid w:val="223A4047"/>
    <w:rsid w:val="223D6488"/>
    <w:rsid w:val="224F423C"/>
    <w:rsid w:val="22590C76"/>
    <w:rsid w:val="227710AB"/>
    <w:rsid w:val="229B4E78"/>
    <w:rsid w:val="22C77F82"/>
    <w:rsid w:val="22D24D9C"/>
    <w:rsid w:val="22E50F21"/>
    <w:rsid w:val="22F1211F"/>
    <w:rsid w:val="22F562BD"/>
    <w:rsid w:val="23054BAA"/>
    <w:rsid w:val="231C3AC6"/>
    <w:rsid w:val="23261385"/>
    <w:rsid w:val="233970A1"/>
    <w:rsid w:val="2390118C"/>
    <w:rsid w:val="23A33225"/>
    <w:rsid w:val="23A3458B"/>
    <w:rsid w:val="23A83880"/>
    <w:rsid w:val="23AC3B0D"/>
    <w:rsid w:val="23AC7B00"/>
    <w:rsid w:val="23AE3EA4"/>
    <w:rsid w:val="23BD797B"/>
    <w:rsid w:val="23C71028"/>
    <w:rsid w:val="23CC13DF"/>
    <w:rsid w:val="2400212D"/>
    <w:rsid w:val="240E23DD"/>
    <w:rsid w:val="241374BB"/>
    <w:rsid w:val="241B46A2"/>
    <w:rsid w:val="241C0641"/>
    <w:rsid w:val="24210897"/>
    <w:rsid w:val="242E0AC8"/>
    <w:rsid w:val="24474E0A"/>
    <w:rsid w:val="244E4AD0"/>
    <w:rsid w:val="246B4679"/>
    <w:rsid w:val="248A767B"/>
    <w:rsid w:val="249900C5"/>
    <w:rsid w:val="24BF7D42"/>
    <w:rsid w:val="252F0844"/>
    <w:rsid w:val="255802BB"/>
    <w:rsid w:val="255D2F2A"/>
    <w:rsid w:val="256C5A3D"/>
    <w:rsid w:val="257963F1"/>
    <w:rsid w:val="257D2B89"/>
    <w:rsid w:val="25A7402B"/>
    <w:rsid w:val="25D966A6"/>
    <w:rsid w:val="25FE15DC"/>
    <w:rsid w:val="25FF1757"/>
    <w:rsid w:val="261B41BF"/>
    <w:rsid w:val="26272FA3"/>
    <w:rsid w:val="262E57BC"/>
    <w:rsid w:val="264B7E90"/>
    <w:rsid w:val="26571428"/>
    <w:rsid w:val="26653EC4"/>
    <w:rsid w:val="26806C09"/>
    <w:rsid w:val="26863962"/>
    <w:rsid w:val="268F15B2"/>
    <w:rsid w:val="26983FA4"/>
    <w:rsid w:val="26FA6E39"/>
    <w:rsid w:val="271E4603"/>
    <w:rsid w:val="27264DFC"/>
    <w:rsid w:val="272A0710"/>
    <w:rsid w:val="272D636F"/>
    <w:rsid w:val="27555997"/>
    <w:rsid w:val="276E4B45"/>
    <w:rsid w:val="277E0E1B"/>
    <w:rsid w:val="27C13C20"/>
    <w:rsid w:val="27E47883"/>
    <w:rsid w:val="2807271F"/>
    <w:rsid w:val="28120519"/>
    <w:rsid w:val="281327C3"/>
    <w:rsid w:val="28151112"/>
    <w:rsid w:val="28195AAE"/>
    <w:rsid w:val="28323569"/>
    <w:rsid w:val="28326E12"/>
    <w:rsid w:val="28504863"/>
    <w:rsid w:val="28523075"/>
    <w:rsid w:val="28674296"/>
    <w:rsid w:val="287013AF"/>
    <w:rsid w:val="28934004"/>
    <w:rsid w:val="28943CBF"/>
    <w:rsid w:val="28A96082"/>
    <w:rsid w:val="28B9246E"/>
    <w:rsid w:val="28E2397E"/>
    <w:rsid w:val="28E96526"/>
    <w:rsid w:val="28F77A34"/>
    <w:rsid w:val="28FB2B17"/>
    <w:rsid w:val="2905469E"/>
    <w:rsid w:val="29213FAC"/>
    <w:rsid w:val="292C4C71"/>
    <w:rsid w:val="294019F3"/>
    <w:rsid w:val="295C30A0"/>
    <w:rsid w:val="295F6F3A"/>
    <w:rsid w:val="2978542E"/>
    <w:rsid w:val="298168E8"/>
    <w:rsid w:val="29880DC9"/>
    <w:rsid w:val="299658C8"/>
    <w:rsid w:val="299D2129"/>
    <w:rsid w:val="29B07321"/>
    <w:rsid w:val="29C74336"/>
    <w:rsid w:val="29FF6BE7"/>
    <w:rsid w:val="2A0C4705"/>
    <w:rsid w:val="2A104C01"/>
    <w:rsid w:val="2A2219FF"/>
    <w:rsid w:val="2A2649D3"/>
    <w:rsid w:val="2A2F0453"/>
    <w:rsid w:val="2A375CB0"/>
    <w:rsid w:val="2A4F7A8E"/>
    <w:rsid w:val="2A5C693A"/>
    <w:rsid w:val="2A783A41"/>
    <w:rsid w:val="2A7C052B"/>
    <w:rsid w:val="2A9D1044"/>
    <w:rsid w:val="2AA14EFF"/>
    <w:rsid w:val="2AC52B69"/>
    <w:rsid w:val="2AE42B9F"/>
    <w:rsid w:val="2AFA4FF0"/>
    <w:rsid w:val="2AFF35D3"/>
    <w:rsid w:val="2B0A651F"/>
    <w:rsid w:val="2B132D50"/>
    <w:rsid w:val="2B4604CF"/>
    <w:rsid w:val="2B6076B4"/>
    <w:rsid w:val="2B617D56"/>
    <w:rsid w:val="2B631EFF"/>
    <w:rsid w:val="2B6E542D"/>
    <w:rsid w:val="2B8A774D"/>
    <w:rsid w:val="2B924EA7"/>
    <w:rsid w:val="2BAC408F"/>
    <w:rsid w:val="2BDD0A2E"/>
    <w:rsid w:val="2BEA5119"/>
    <w:rsid w:val="2BEB27E3"/>
    <w:rsid w:val="2BEB2E9D"/>
    <w:rsid w:val="2BF61207"/>
    <w:rsid w:val="2C1713D1"/>
    <w:rsid w:val="2C2E6F83"/>
    <w:rsid w:val="2C620007"/>
    <w:rsid w:val="2CA8063D"/>
    <w:rsid w:val="2CD367CC"/>
    <w:rsid w:val="2CDD2B9E"/>
    <w:rsid w:val="2D09394F"/>
    <w:rsid w:val="2D1C132F"/>
    <w:rsid w:val="2D51298D"/>
    <w:rsid w:val="2D6345E9"/>
    <w:rsid w:val="2D7E4209"/>
    <w:rsid w:val="2D8F2096"/>
    <w:rsid w:val="2D9B288E"/>
    <w:rsid w:val="2DBD42B5"/>
    <w:rsid w:val="2DCB5DC1"/>
    <w:rsid w:val="2DCD61C9"/>
    <w:rsid w:val="2DCE5309"/>
    <w:rsid w:val="2DE2242A"/>
    <w:rsid w:val="2E0E5DA3"/>
    <w:rsid w:val="2E4225F7"/>
    <w:rsid w:val="2E463849"/>
    <w:rsid w:val="2E5A5340"/>
    <w:rsid w:val="2E6E73D5"/>
    <w:rsid w:val="2E81141D"/>
    <w:rsid w:val="2E9A7ADA"/>
    <w:rsid w:val="2EC2396D"/>
    <w:rsid w:val="2EF80558"/>
    <w:rsid w:val="2F1B0798"/>
    <w:rsid w:val="2F4F0438"/>
    <w:rsid w:val="2F506BFB"/>
    <w:rsid w:val="2F7E2CC0"/>
    <w:rsid w:val="2F871ABC"/>
    <w:rsid w:val="2F921764"/>
    <w:rsid w:val="2F98405A"/>
    <w:rsid w:val="2FAF32EB"/>
    <w:rsid w:val="2FD11EB8"/>
    <w:rsid w:val="2FE1749B"/>
    <w:rsid w:val="303606F3"/>
    <w:rsid w:val="303D5772"/>
    <w:rsid w:val="303E2207"/>
    <w:rsid w:val="30533443"/>
    <w:rsid w:val="306E40F7"/>
    <w:rsid w:val="306F4499"/>
    <w:rsid w:val="30B15581"/>
    <w:rsid w:val="30B93848"/>
    <w:rsid w:val="30BB37BA"/>
    <w:rsid w:val="30BE1DE8"/>
    <w:rsid w:val="31253510"/>
    <w:rsid w:val="313177AD"/>
    <w:rsid w:val="31341EAD"/>
    <w:rsid w:val="313712DD"/>
    <w:rsid w:val="313A5932"/>
    <w:rsid w:val="31423CC5"/>
    <w:rsid w:val="31570161"/>
    <w:rsid w:val="3157256E"/>
    <w:rsid w:val="3160159B"/>
    <w:rsid w:val="316102EA"/>
    <w:rsid w:val="31665B97"/>
    <w:rsid w:val="31711EF3"/>
    <w:rsid w:val="31854B7E"/>
    <w:rsid w:val="31DB5204"/>
    <w:rsid w:val="31E53BD8"/>
    <w:rsid w:val="31E86EE4"/>
    <w:rsid w:val="31F00167"/>
    <w:rsid w:val="31FD6157"/>
    <w:rsid w:val="32171B71"/>
    <w:rsid w:val="322B53E9"/>
    <w:rsid w:val="32353B94"/>
    <w:rsid w:val="323C0624"/>
    <w:rsid w:val="32915ABA"/>
    <w:rsid w:val="329C1497"/>
    <w:rsid w:val="32D72576"/>
    <w:rsid w:val="32D93319"/>
    <w:rsid w:val="32E04086"/>
    <w:rsid w:val="32F96A45"/>
    <w:rsid w:val="330D0307"/>
    <w:rsid w:val="331D384C"/>
    <w:rsid w:val="332C3D97"/>
    <w:rsid w:val="3360351F"/>
    <w:rsid w:val="33620CB2"/>
    <w:rsid w:val="33777078"/>
    <w:rsid w:val="338E62A6"/>
    <w:rsid w:val="33982E2E"/>
    <w:rsid w:val="33B17CDB"/>
    <w:rsid w:val="33E04B57"/>
    <w:rsid w:val="33FA7456"/>
    <w:rsid w:val="34024883"/>
    <w:rsid w:val="342C6E98"/>
    <w:rsid w:val="344F7140"/>
    <w:rsid w:val="345214F8"/>
    <w:rsid w:val="34714E70"/>
    <w:rsid w:val="34755DB1"/>
    <w:rsid w:val="34935876"/>
    <w:rsid w:val="349E0FB2"/>
    <w:rsid w:val="34A96A1A"/>
    <w:rsid w:val="34AA4FD7"/>
    <w:rsid w:val="34B370D1"/>
    <w:rsid w:val="34CA52FD"/>
    <w:rsid w:val="34E622D6"/>
    <w:rsid w:val="35073B82"/>
    <w:rsid w:val="3518700F"/>
    <w:rsid w:val="352F2FF3"/>
    <w:rsid w:val="35375748"/>
    <w:rsid w:val="35486C73"/>
    <w:rsid w:val="35944047"/>
    <w:rsid w:val="359E09BB"/>
    <w:rsid w:val="361A4DE1"/>
    <w:rsid w:val="361F592F"/>
    <w:rsid w:val="362F79EA"/>
    <w:rsid w:val="36516B14"/>
    <w:rsid w:val="36556C85"/>
    <w:rsid w:val="365B1C96"/>
    <w:rsid w:val="36603459"/>
    <w:rsid w:val="366D2C19"/>
    <w:rsid w:val="3675230B"/>
    <w:rsid w:val="36766F5C"/>
    <w:rsid w:val="36777C43"/>
    <w:rsid w:val="367E7A3F"/>
    <w:rsid w:val="36C1347A"/>
    <w:rsid w:val="36C31B41"/>
    <w:rsid w:val="36C532A1"/>
    <w:rsid w:val="36CE234D"/>
    <w:rsid w:val="36D347D3"/>
    <w:rsid w:val="36DA50A9"/>
    <w:rsid w:val="36F46372"/>
    <w:rsid w:val="372F4949"/>
    <w:rsid w:val="3736228A"/>
    <w:rsid w:val="37671725"/>
    <w:rsid w:val="376F122C"/>
    <w:rsid w:val="37865624"/>
    <w:rsid w:val="3798526A"/>
    <w:rsid w:val="37B72EB1"/>
    <w:rsid w:val="37C1607A"/>
    <w:rsid w:val="37C42A0D"/>
    <w:rsid w:val="37C806F3"/>
    <w:rsid w:val="37C85C3C"/>
    <w:rsid w:val="37CF1603"/>
    <w:rsid w:val="38585500"/>
    <w:rsid w:val="385D1C71"/>
    <w:rsid w:val="386038B3"/>
    <w:rsid w:val="38684A38"/>
    <w:rsid w:val="388E1434"/>
    <w:rsid w:val="38BA5460"/>
    <w:rsid w:val="38C62FF5"/>
    <w:rsid w:val="38D62476"/>
    <w:rsid w:val="38E27127"/>
    <w:rsid w:val="38FD3AC5"/>
    <w:rsid w:val="39027E88"/>
    <w:rsid w:val="39075875"/>
    <w:rsid w:val="391904A1"/>
    <w:rsid w:val="391C718D"/>
    <w:rsid w:val="394D30B0"/>
    <w:rsid w:val="394F6067"/>
    <w:rsid w:val="39624091"/>
    <w:rsid w:val="39687274"/>
    <w:rsid w:val="397C6037"/>
    <w:rsid w:val="39847B53"/>
    <w:rsid w:val="3995069E"/>
    <w:rsid w:val="39D43B66"/>
    <w:rsid w:val="39E220A4"/>
    <w:rsid w:val="39EC03FA"/>
    <w:rsid w:val="3A1D058F"/>
    <w:rsid w:val="3A1E303B"/>
    <w:rsid w:val="3A1F74C9"/>
    <w:rsid w:val="3A2A1F54"/>
    <w:rsid w:val="3A2C12A6"/>
    <w:rsid w:val="3A2D40D1"/>
    <w:rsid w:val="3A314B02"/>
    <w:rsid w:val="3A487E89"/>
    <w:rsid w:val="3A5C2602"/>
    <w:rsid w:val="3A79657B"/>
    <w:rsid w:val="3A8B77C7"/>
    <w:rsid w:val="3A8F7DE5"/>
    <w:rsid w:val="3A9A32EA"/>
    <w:rsid w:val="3ACD391F"/>
    <w:rsid w:val="3AEF7B93"/>
    <w:rsid w:val="3B026D00"/>
    <w:rsid w:val="3B1471CB"/>
    <w:rsid w:val="3B1A0639"/>
    <w:rsid w:val="3B3836C7"/>
    <w:rsid w:val="3B5F2B46"/>
    <w:rsid w:val="3B655681"/>
    <w:rsid w:val="3B6C4553"/>
    <w:rsid w:val="3B6F3ABC"/>
    <w:rsid w:val="3B7527F4"/>
    <w:rsid w:val="3B7754EB"/>
    <w:rsid w:val="3BAA143A"/>
    <w:rsid w:val="3BAC7D85"/>
    <w:rsid w:val="3BC378A6"/>
    <w:rsid w:val="3BD60406"/>
    <w:rsid w:val="3BDC08FD"/>
    <w:rsid w:val="3BE42ECD"/>
    <w:rsid w:val="3BFE1CAB"/>
    <w:rsid w:val="3C0F2C31"/>
    <w:rsid w:val="3C10260E"/>
    <w:rsid w:val="3C177780"/>
    <w:rsid w:val="3C21415B"/>
    <w:rsid w:val="3C274A05"/>
    <w:rsid w:val="3C43437F"/>
    <w:rsid w:val="3C491F3C"/>
    <w:rsid w:val="3C4F746D"/>
    <w:rsid w:val="3C6A66D6"/>
    <w:rsid w:val="3C731D72"/>
    <w:rsid w:val="3C7511AE"/>
    <w:rsid w:val="3CA977D2"/>
    <w:rsid w:val="3CBF0958"/>
    <w:rsid w:val="3CC733AF"/>
    <w:rsid w:val="3CCB1880"/>
    <w:rsid w:val="3CD72551"/>
    <w:rsid w:val="3CDC71EC"/>
    <w:rsid w:val="3CF04FFB"/>
    <w:rsid w:val="3CF76813"/>
    <w:rsid w:val="3CFC6063"/>
    <w:rsid w:val="3D1319B5"/>
    <w:rsid w:val="3D260CA6"/>
    <w:rsid w:val="3D3D73C9"/>
    <w:rsid w:val="3D520CCB"/>
    <w:rsid w:val="3D5C6974"/>
    <w:rsid w:val="3D5E6367"/>
    <w:rsid w:val="3D6678B0"/>
    <w:rsid w:val="3D772181"/>
    <w:rsid w:val="3D7E4729"/>
    <w:rsid w:val="3D823D30"/>
    <w:rsid w:val="3DAE2599"/>
    <w:rsid w:val="3DCE6FB3"/>
    <w:rsid w:val="3DD16176"/>
    <w:rsid w:val="3E104E3F"/>
    <w:rsid w:val="3E1D6E9C"/>
    <w:rsid w:val="3E3C0191"/>
    <w:rsid w:val="3E3D161F"/>
    <w:rsid w:val="3E4A1BED"/>
    <w:rsid w:val="3E56070B"/>
    <w:rsid w:val="3E662345"/>
    <w:rsid w:val="3E82228B"/>
    <w:rsid w:val="3E8242C1"/>
    <w:rsid w:val="3EB33AF3"/>
    <w:rsid w:val="3EE139B6"/>
    <w:rsid w:val="3EFD0DF6"/>
    <w:rsid w:val="3EFE49C6"/>
    <w:rsid w:val="3F0A5B5C"/>
    <w:rsid w:val="3F1A0890"/>
    <w:rsid w:val="3F3F5846"/>
    <w:rsid w:val="3F71500B"/>
    <w:rsid w:val="3F7B33F8"/>
    <w:rsid w:val="3F801023"/>
    <w:rsid w:val="3F8064EB"/>
    <w:rsid w:val="3F950FB5"/>
    <w:rsid w:val="3F982DCA"/>
    <w:rsid w:val="3FCB5632"/>
    <w:rsid w:val="3FD12D26"/>
    <w:rsid w:val="3FDE4917"/>
    <w:rsid w:val="3FE2412F"/>
    <w:rsid w:val="401F727C"/>
    <w:rsid w:val="402F3ADF"/>
    <w:rsid w:val="40306F5A"/>
    <w:rsid w:val="40476BB3"/>
    <w:rsid w:val="40546FB6"/>
    <w:rsid w:val="40554803"/>
    <w:rsid w:val="407A60D5"/>
    <w:rsid w:val="407D4F24"/>
    <w:rsid w:val="408B6A39"/>
    <w:rsid w:val="409060CF"/>
    <w:rsid w:val="40961808"/>
    <w:rsid w:val="40AB4DEE"/>
    <w:rsid w:val="40D24BBE"/>
    <w:rsid w:val="40EC4043"/>
    <w:rsid w:val="41166469"/>
    <w:rsid w:val="412008E0"/>
    <w:rsid w:val="413A6D3B"/>
    <w:rsid w:val="41515AC7"/>
    <w:rsid w:val="41537690"/>
    <w:rsid w:val="41902B9F"/>
    <w:rsid w:val="41C02331"/>
    <w:rsid w:val="41C13A63"/>
    <w:rsid w:val="41C67037"/>
    <w:rsid w:val="41D229E1"/>
    <w:rsid w:val="41EC6E94"/>
    <w:rsid w:val="41F72149"/>
    <w:rsid w:val="41F778D1"/>
    <w:rsid w:val="4228585D"/>
    <w:rsid w:val="42415ACC"/>
    <w:rsid w:val="427D539F"/>
    <w:rsid w:val="42991E30"/>
    <w:rsid w:val="42CC19F4"/>
    <w:rsid w:val="42CE0B28"/>
    <w:rsid w:val="42CF6367"/>
    <w:rsid w:val="42D36FBC"/>
    <w:rsid w:val="42DE1CCC"/>
    <w:rsid w:val="4308546B"/>
    <w:rsid w:val="431D1A44"/>
    <w:rsid w:val="43263445"/>
    <w:rsid w:val="433A587E"/>
    <w:rsid w:val="434157E3"/>
    <w:rsid w:val="43494860"/>
    <w:rsid w:val="434D380E"/>
    <w:rsid w:val="436907EE"/>
    <w:rsid w:val="43934189"/>
    <w:rsid w:val="439D4850"/>
    <w:rsid w:val="43C27232"/>
    <w:rsid w:val="43ED069F"/>
    <w:rsid w:val="442A6E5A"/>
    <w:rsid w:val="44356E29"/>
    <w:rsid w:val="4449347D"/>
    <w:rsid w:val="445C4B8F"/>
    <w:rsid w:val="447C2A1B"/>
    <w:rsid w:val="447F5CBE"/>
    <w:rsid w:val="44833851"/>
    <w:rsid w:val="4496365E"/>
    <w:rsid w:val="44982752"/>
    <w:rsid w:val="44BF6F86"/>
    <w:rsid w:val="44C45031"/>
    <w:rsid w:val="44D53AB2"/>
    <w:rsid w:val="44DA00B4"/>
    <w:rsid w:val="44F27B0D"/>
    <w:rsid w:val="45151583"/>
    <w:rsid w:val="45174CA4"/>
    <w:rsid w:val="45485BDE"/>
    <w:rsid w:val="457D4A3F"/>
    <w:rsid w:val="4582194C"/>
    <w:rsid w:val="458571EC"/>
    <w:rsid w:val="45945C30"/>
    <w:rsid w:val="459F2306"/>
    <w:rsid w:val="45A832FE"/>
    <w:rsid w:val="45AB6174"/>
    <w:rsid w:val="45BA63E5"/>
    <w:rsid w:val="45CC5EDC"/>
    <w:rsid w:val="45DD7F0D"/>
    <w:rsid w:val="45F73D47"/>
    <w:rsid w:val="462D2575"/>
    <w:rsid w:val="46467FD8"/>
    <w:rsid w:val="46601D33"/>
    <w:rsid w:val="4666746C"/>
    <w:rsid w:val="467505FA"/>
    <w:rsid w:val="467B6008"/>
    <w:rsid w:val="468720BA"/>
    <w:rsid w:val="46895AFC"/>
    <w:rsid w:val="468E6A9E"/>
    <w:rsid w:val="46916381"/>
    <w:rsid w:val="469E5A7D"/>
    <w:rsid w:val="46BC623F"/>
    <w:rsid w:val="46D855B9"/>
    <w:rsid w:val="470D2C74"/>
    <w:rsid w:val="47176AEE"/>
    <w:rsid w:val="47236E19"/>
    <w:rsid w:val="477570F1"/>
    <w:rsid w:val="477A2FD0"/>
    <w:rsid w:val="47AD33FA"/>
    <w:rsid w:val="47B41AAA"/>
    <w:rsid w:val="47CD38AD"/>
    <w:rsid w:val="47D66741"/>
    <w:rsid w:val="47DB16D8"/>
    <w:rsid w:val="4816693B"/>
    <w:rsid w:val="481726F3"/>
    <w:rsid w:val="48416760"/>
    <w:rsid w:val="48466F81"/>
    <w:rsid w:val="48486B18"/>
    <w:rsid w:val="484D02A2"/>
    <w:rsid w:val="486B647A"/>
    <w:rsid w:val="48816806"/>
    <w:rsid w:val="48896934"/>
    <w:rsid w:val="489B48B9"/>
    <w:rsid w:val="48C12AEC"/>
    <w:rsid w:val="48D072A1"/>
    <w:rsid w:val="48D1341D"/>
    <w:rsid w:val="48D63F90"/>
    <w:rsid w:val="48E0279A"/>
    <w:rsid w:val="48E64C8E"/>
    <w:rsid w:val="48FA7B87"/>
    <w:rsid w:val="49023E07"/>
    <w:rsid w:val="4919356E"/>
    <w:rsid w:val="492A7740"/>
    <w:rsid w:val="49300AA7"/>
    <w:rsid w:val="49391CB0"/>
    <w:rsid w:val="493C3A20"/>
    <w:rsid w:val="49401E21"/>
    <w:rsid w:val="49526EB9"/>
    <w:rsid w:val="495E7463"/>
    <w:rsid w:val="49684311"/>
    <w:rsid w:val="496D00AD"/>
    <w:rsid w:val="49742114"/>
    <w:rsid w:val="49754CB4"/>
    <w:rsid w:val="49777AB0"/>
    <w:rsid w:val="49921F0F"/>
    <w:rsid w:val="49CE6B8E"/>
    <w:rsid w:val="49D72FF3"/>
    <w:rsid w:val="49E0102B"/>
    <w:rsid w:val="4A2945F2"/>
    <w:rsid w:val="4A474151"/>
    <w:rsid w:val="4A615154"/>
    <w:rsid w:val="4A951DA3"/>
    <w:rsid w:val="4A96607C"/>
    <w:rsid w:val="4AA91ED6"/>
    <w:rsid w:val="4AB92E92"/>
    <w:rsid w:val="4B076156"/>
    <w:rsid w:val="4B2134B8"/>
    <w:rsid w:val="4B24233C"/>
    <w:rsid w:val="4B330A0B"/>
    <w:rsid w:val="4B3756CC"/>
    <w:rsid w:val="4B494971"/>
    <w:rsid w:val="4B5E55F9"/>
    <w:rsid w:val="4B685D82"/>
    <w:rsid w:val="4B7B4674"/>
    <w:rsid w:val="4B7C663B"/>
    <w:rsid w:val="4B812078"/>
    <w:rsid w:val="4BF71347"/>
    <w:rsid w:val="4BF97932"/>
    <w:rsid w:val="4C107D48"/>
    <w:rsid w:val="4C141E75"/>
    <w:rsid w:val="4C2A4039"/>
    <w:rsid w:val="4C567D89"/>
    <w:rsid w:val="4C6949FE"/>
    <w:rsid w:val="4C736F36"/>
    <w:rsid w:val="4CAE60E3"/>
    <w:rsid w:val="4CB42F5B"/>
    <w:rsid w:val="4CCA2D58"/>
    <w:rsid w:val="4CD3619C"/>
    <w:rsid w:val="4CEB7EA7"/>
    <w:rsid w:val="4CEE1D13"/>
    <w:rsid w:val="4D032DA9"/>
    <w:rsid w:val="4D0C6DBE"/>
    <w:rsid w:val="4D25615C"/>
    <w:rsid w:val="4D321566"/>
    <w:rsid w:val="4D36054D"/>
    <w:rsid w:val="4D41137F"/>
    <w:rsid w:val="4D4D3B7A"/>
    <w:rsid w:val="4D524AEA"/>
    <w:rsid w:val="4D5724F7"/>
    <w:rsid w:val="4D757452"/>
    <w:rsid w:val="4D8C3F82"/>
    <w:rsid w:val="4DBC14B8"/>
    <w:rsid w:val="4DC10516"/>
    <w:rsid w:val="4DD1783D"/>
    <w:rsid w:val="4DE936C7"/>
    <w:rsid w:val="4DF23555"/>
    <w:rsid w:val="4E050D4C"/>
    <w:rsid w:val="4E06569E"/>
    <w:rsid w:val="4E093792"/>
    <w:rsid w:val="4E173610"/>
    <w:rsid w:val="4E1D26B7"/>
    <w:rsid w:val="4E1D3A0D"/>
    <w:rsid w:val="4E1F052C"/>
    <w:rsid w:val="4E451D41"/>
    <w:rsid w:val="4E7A454C"/>
    <w:rsid w:val="4E820B4C"/>
    <w:rsid w:val="4E85341C"/>
    <w:rsid w:val="4E93713A"/>
    <w:rsid w:val="4E9B7B12"/>
    <w:rsid w:val="4EC47712"/>
    <w:rsid w:val="4EDD3C61"/>
    <w:rsid w:val="4EE43E79"/>
    <w:rsid w:val="4EF1457F"/>
    <w:rsid w:val="4F1576D8"/>
    <w:rsid w:val="4F2C40A0"/>
    <w:rsid w:val="4F2E29BF"/>
    <w:rsid w:val="4F2F3B98"/>
    <w:rsid w:val="4F380B7A"/>
    <w:rsid w:val="4F424B82"/>
    <w:rsid w:val="4F4B0CB3"/>
    <w:rsid w:val="4F4F0EBF"/>
    <w:rsid w:val="4F586D8F"/>
    <w:rsid w:val="4F6F170E"/>
    <w:rsid w:val="4F8C4B40"/>
    <w:rsid w:val="4FAA5CD5"/>
    <w:rsid w:val="4FBD187E"/>
    <w:rsid w:val="4FC56067"/>
    <w:rsid w:val="4FD11AC0"/>
    <w:rsid w:val="4FEA4E33"/>
    <w:rsid w:val="502F75EB"/>
    <w:rsid w:val="50400243"/>
    <w:rsid w:val="50494336"/>
    <w:rsid w:val="50784012"/>
    <w:rsid w:val="50813C12"/>
    <w:rsid w:val="5087463E"/>
    <w:rsid w:val="508825A3"/>
    <w:rsid w:val="50A11680"/>
    <w:rsid w:val="50B77550"/>
    <w:rsid w:val="50C773AE"/>
    <w:rsid w:val="50CD6602"/>
    <w:rsid w:val="50E6022F"/>
    <w:rsid w:val="510D0F23"/>
    <w:rsid w:val="51197B59"/>
    <w:rsid w:val="516105A3"/>
    <w:rsid w:val="51615030"/>
    <w:rsid w:val="51627812"/>
    <w:rsid w:val="516C6A46"/>
    <w:rsid w:val="51B372C9"/>
    <w:rsid w:val="51C136D4"/>
    <w:rsid w:val="51D33F6D"/>
    <w:rsid w:val="51DB1448"/>
    <w:rsid w:val="51F85506"/>
    <w:rsid w:val="52045DB4"/>
    <w:rsid w:val="522C275E"/>
    <w:rsid w:val="524C13A2"/>
    <w:rsid w:val="529000F6"/>
    <w:rsid w:val="5296149A"/>
    <w:rsid w:val="52A65672"/>
    <w:rsid w:val="52BA4073"/>
    <w:rsid w:val="52C13B4A"/>
    <w:rsid w:val="52CA2507"/>
    <w:rsid w:val="52CD7B31"/>
    <w:rsid w:val="52D32A37"/>
    <w:rsid w:val="52D576F4"/>
    <w:rsid w:val="52DF170A"/>
    <w:rsid w:val="52E25B6D"/>
    <w:rsid w:val="52F362FB"/>
    <w:rsid w:val="52F4161A"/>
    <w:rsid w:val="52F965A5"/>
    <w:rsid w:val="53081AD8"/>
    <w:rsid w:val="53235275"/>
    <w:rsid w:val="53240623"/>
    <w:rsid w:val="53321C03"/>
    <w:rsid w:val="533415F9"/>
    <w:rsid w:val="534823B8"/>
    <w:rsid w:val="535657D0"/>
    <w:rsid w:val="535868CC"/>
    <w:rsid w:val="53597EDB"/>
    <w:rsid w:val="536D787A"/>
    <w:rsid w:val="538D066D"/>
    <w:rsid w:val="53934B1D"/>
    <w:rsid w:val="53A2278E"/>
    <w:rsid w:val="53CB788B"/>
    <w:rsid w:val="53E32E36"/>
    <w:rsid w:val="53EC7F6A"/>
    <w:rsid w:val="54203B94"/>
    <w:rsid w:val="5424233E"/>
    <w:rsid w:val="542A3DC2"/>
    <w:rsid w:val="542C299E"/>
    <w:rsid w:val="543527D7"/>
    <w:rsid w:val="543642C1"/>
    <w:rsid w:val="5461235D"/>
    <w:rsid w:val="54667BA2"/>
    <w:rsid w:val="547E7555"/>
    <w:rsid w:val="54806F19"/>
    <w:rsid w:val="54A01FAE"/>
    <w:rsid w:val="54A478E7"/>
    <w:rsid w:val="54A57E45"/>
    <w:rsid w:val="54AC3148"/>
    <w:rsid w:val="54C0256E"/>
    <w:rsid w:val="54C334B7"/>
    <w:rsid w:val="54D4667D"/>
    <w:rsid w:val="54D55C56"/>
    <w:rsid w:val="54D809B5"/>
    <w:rsid w:val="54EC389B"/>
    <w:rsid w:val="54F847D9"/>
    <w:rsid w:val="55126190"/>
    <w:rsid w:val="555F3833"/>
    <w:rsid w:val="55667780"/>
    <w:rsid w:val="556E493A"/>
    <w:rsid w:val="55725F14"/>
    <w:rsid w:val="558836E0"/>
    <w:rsid w:val="55941D63"/>
    <w:rsid w:val="559C0CE1"/>
    <w:rsid w:val="55B42D88"/>
    <w:rsid w:val="55D11119"/>
    <w:rsid w:val="55DB1F79"/>
    <w:rsid w:val="55F65474"/>
    <w:rsid w:val="560A42BD"/>
    <w:rsid w:val="560C1D89"/>
    <w:rsid w:val="562E6F08"/>
    <w:rsid w:val="56353B20"/>
    <w:rsid w:val="563A6A4D"/>
    <w:rsid w:val="56443B98"/>
    <w:rsid w:val="56453A77"/>
    <w:rsid w:val="56502273"/>
    <w:rsid w:val="5671259A"/>
    <w:rsid w:val="56757259"/>
    <w:rsid w:val="568B7EB7"/>
    <w:rsid w:val="56BC078F"/>
    <w:rsid w:val="56CB4BCB"/>
    <w:rsid w:val="56EC33E9"/>
    <w:rsid w:val="56FB75FE"/>
    <w:rsid w:val="572F42F6"/>
    <w:rsid w:val="57391A95"/>
    <w:rsid w:val="573F3C9E"/>
    <w:rsid w:val="574028CB"/>
    <w:rsid w:val="574C52C4"/>
    <w:rsid w:val="57526FDB"/>
    <w:rsid w:val="57572F35"/>
    <w:rsid w:val="575B33A4"/>
    <w:rsid w:val="57674A5D"/>
    <w:rsid w:val="57694E9D"/>
    <w:rsid w:val="579775E1"/>
    <w:rsid w:val="57982E6E"/>
    <w:rsid w:val="57C90530"/>
    <w:rsid w:val="57CE0836"/>
    <w:rsid w:val="582F44F7"/>
    <w:rsid w:val="58350045"/>
    <w:rsid w:val="583F27F2"/>
    <w:rsid w:val="58455B6D"/>
    <w:rsid w:val="584D29B0"/>
    <w:rsid w:val="584F7C49"/>
    <w:rsid w:val="5862192B"/>
    <w:rsid w:val="5888302C"/>
    <w:rsid w:val="5889129A"/>
    <w:rsid w:val="588C748F"/>
    <w:rsid w:val="58904143"/>
    <w:rsid w:val="58A70AE5"/>
    <w:rsid w:val="58AD528C"/>
    <w:rsid w:val="58B31955"/>
    <w:rsid w:val="58BA45A1"/>
    <w:rsid w:val="58D83656"/>
    <w:rsid w:val="591A2923"/>
    <w:rsid w:val="594F6915"/>
    <w:rsid w:val="59737A65"/>
    <w:rsid w:val="59842DF4"/>
    <w:rsid w:val="59947CE9"/>
    <w:rsid w:val="59A0359A"/>
    <w:rsid w:val="59E52D9A"/>
    <w:rsid w:val="5A300449"/>
    <w:rsid w:val="5A482DEE"/>
    <w:rsid w:val="5A55295D"/>
    <w:rsid w:val="5A6C5533"/>
    <w:rsid w:val="5A7E104A"/>
    <w:rsid w:val="5A8208A0"/>
    <w:rsid w:val="5A861FD5"/>
    <w:rsid w:val="5AE3253A"/>
    <w:rsid w:val="5AEA30C9"/>
    <w:rsid w:val="5AEA3475"/>
    <w:rsid w:val="5AF54C6B"/>
    <w:rsid w:val="5B087B94"/>
    <w:rsid w:val="5B0C2FBE"/>
    <w:rsid w:val="5B0E3E89"/>
    <w:rsid w:val="5B124740"/>
    <w:rsid w:val="5B31434D"/>
    <w:rsid w:val="5B3A10B7"/>
    <w:rsid w:val="5B3F60FF"/>
    <w:rsid w:val="5B3F66E7"/>
    <w:rsid w:val="5B872AE6"/>
    <w:rsid w:val="5BA5048F"/>
    <w:rsid w:val="5BA77753"/>
    <w:rsid w:val="5BB3627B"/>
    <w:rsid w:val="5BB60E53"/>
    <w:rsid w:val="5BC025EF"/>
    <w:rsid w:val="5BC76675"/>
    <w:rsid w:val="5C077640"/>
    <w:rsid w:val="5C0A0115"/>
    <w:rsid w:val="5C1203C7"/>
    <w:rsid w:val="5C1F35AE"/>
    <w:rsid w:val="5C3905BF"/>
    <w:rsid w:val="5C4763DE"/>
    <w:rsid w:val="5C66397A"/>
    <w:rsid w:val="5C7349B6"/>
    <w:rsid w:val="5C7834CB"/>
    <w:rsid w:val="5C824C05"/>
    <w:rsid w:val="5C8725EE"/>
    <w:rsid w:val="5CB0251A"/>
    <w:rsid w:val="5CB97030"/>
    <w:rsid w:val="5CC97332"/>
    <w:rsid w:val="5CD21B5F"/>
    <w:rsid w:val="5D073AE3"/>
    <w:rsid w:val="5D187049"/>
    <w:rsid w:val="5D1D2427"/>
    <w:rsid w:val="5D756277"/>
    <w:rsid w:val="5D760215"/>
    <w:rsid w:val="5D7D3B34"/>
    <w:rsid w:val="5D955FBD"/>
    <w:rsid w:val="5DA352B8"/>
    <w:rsid w:val="5DA62524"/>
    <w:rsid w:val="5DAC3919"/>
    <w:rsid w:val="5DB36259"/>
    <w:rsid w:val="5DBD33B2"/>
    <w:rsid w:val="5DC223CB"/>
    <w:rsid w:val="5DE66B5A"/>
    <w:rsid w:val="5DF66637"/>
    <w:rsid w:val="5DFF6858"/>
    <w:rsid w:val="5E0F2B0E"/>
    <w:rsid w:val="5E185132"/>
    <w:rsid w:val="5E21523D"/>
    <w:rsid w:val="5E2A0167"/>
    <w:rsid w:val="5E4C36FE"/>
    <w:rsid w:val="5E5D68E8"/>
    <w:rsid w:val="5E802A96"/>
    <w:rsid w:val="5E9074FF"/>
    <w:rsid w:val="5EA1094E"/>
    <w:rsid w:val="5EAD0273"/>
    <w:rsid w:val="5EAE1AF2"/>
    <w:rsid w:val="5EB62A77"/>
    <w:rsid w:val="5EB80355"/>
    <w:rsid w:val="5EBB2226"/>
    <w:rsid w:val="5EBE5F24"/>
    <w:rsid w:val="5EF07004"/>
    <w:rsid w:val="5F0E1E9A"/>
    <w:rsid w:val="5F860C23"/>
    <w:rsid w:val="5F882EE8"/>
    <w:rsid w:val="5F9A6465"/>
    <w:rsid w:val="5F9B3C0D"/>
    <w:rsid w:val="5FC44411"/>
    <w:rsid w:val="5FE426E2"/>
    <w:rsid w:val="605C4EB2"/>
    <w:rsid w:val="605C7AA6"/>
    <w:rsid w:val="605F132B"/>
    <w:rsid w:val="60803E89"/>
    <w:rsid w:val="608510A4"/>
    <w:rsid w:val="608762FF"/>
    <w:rsid w:val="609E1C45"/>
    <w:rsid w:val="60B74397"/>
    <w:rsid w:val="60BD4FD1"/>
    <w:rsid w:val="60C23FA5"/>
    <w:rsid w:val="60CA3399"/>
    <w:rsid w:val="60D507D0"/>
    <w:rsid w:val="60E07610"/>
    <w:rsid w:val="60EA1511"/>
    <w:rsid w:val="60EB6C34"/>
    <w:rsid w:val="60FD5C7B"/>
    <w:rsid w:val="610C1CA3"/>
    <w:rsid w:val="612501A6"/>
    <w:rsid w:val="613D7E7B"/>
    <w:rsid w:val="61425C7D"/>
    <w:rsid w:val="617162E9"/>
    <w:rsid w:val="618D2E68"/>
    <w:rsid w:val="61A52BAA"/>
    <w:rsid w:val="61C36FD5"/>
    <w:rsid w:val="61CF1360"/>
    <w:rsid w:val="61FA0AE4"/>
    <w:rsid w:val="621D7EC3"/>
    <w:rsid w:val="62221C10"/>
    <w:rsid w:val="623438BB"/>
    <w:rsid w:val="62352B2C"/>
    <w:rsid w:val="624B10F0"/>
    <w:rsid w:val="624F3E48"/>
    <w:rsid w:val="62516C98"/>
    <w:rsid w:val="62635981"/>
    <w:rsid w:val="629B3E75"/>
    <w:rsid w:val="629B5D43"/>
    <w:rsid w:val="62A36D1F"/>
    <w:rsid w:val="62A40365"/>
    <w:rsid w:val="62A469A9"/>
    <w:rsid w:val="62A92FF1"/>
    <w:rsid w:val="62B90FFE"/>
    <w:rsid w:val="62E10186"/>
    <w:rsid w:val="62E35D87"/>
    <w:rsid w:val="62F6018D"/>
    <w:rsid w:val="63016E3A"/>
    <w:rsid w:val="63034141"/>
    <w:rsid w:val="63045E00"/>
    <w:rsid w:val="630A731B"/>
    <w:rsid w:val="631A3570"/>
    <w:rsid w:val="63386B48"/>
    <w:rsid w:val="633A3FE7"/>
    <w:rsid w:val="63410B16"/>
    <w:rsid w:val="63562840"/>
    <w:rsid w:val="637141EC"/>
    <w:rsid w:val="63805B1F"/>
    <w:rsid w:val="63834973"/>
    <w:rsid w:val="638F3DC7"/>
    <w:rsid w:val="6397194C"/>
    <w:rsid w:val="63AB4D19"/>
    <w:rsid w:val="63DA4B5E"/>
    <w:rsid w:val="63DE2C24"/>
    <w:rsid w:val="64273E62"/>
    <w:rsid w:val="642E2892"/>
    <w:rsid w:val="643B736C"/>
    <w:rsid w:val="64AD7C37"/>
    <w:rsid w:val="64B0399F"/>
    <w:rsid w:val="64B05758"/>
    <w:rsid w:val="64BE4B0D"/>
    <w:rsid w:val="64C23E7D"/>
    <w:rsid w:val="6503274D"/>
    <w:rsid w:val="65075A96"/>
    <w:rsid w:val="650E600B"/>
    <w:rsid w:val="650F0C7B"/>
    <w:rsid w:val="651541F8"/>
    <w:rsid w:val="652B691A"/>
    <w:rsid w:val="65361C1A"/>
    <w:rsid w:val="654B0A3D"/>
    <w:rsid w:val="65B221E6"/>
    <w:rsid w:val="65BB5F2E"/>
    <w:rsid w:val="65E939D5"/>
    <w:rsid w:val="66426031"/>
    <w:rsid w:val="66593B74"/>
    <w:rsid w:val="665D2DD8"/>
    <w:rsid w:val="66651C8A"/>
    <w:rsid w:val="66675176"/>
    <w:rsid w:val="669F2C65"/>
    <w:rsid w:val="66BE6B53"/>
    <w:rsid w:val="66C55FD8"/>
    <w:rsid w:val="66C96C89"/>
    <w:rsid w:val="66D333AF"/>
    <w:rsid w:val="67023742"/>
    <w:rsid w:val="67192A34"/>
    <w:rsid w:val="674A4927"/>
    <w:rsid w:val="6760233B"/>
    <w:rsid w:val="677243C5"/>
    <w:rsid w:val="678568CD"/>
    <w:rsid w:val="67904A3A"/>
    <w:rsid w:val="67A24F14"/>
    <w:rsid w:val="67BB4EAD"/>
    <w:rsid w:val="67E453F6"/>
    <w:rsid w:val="67F130F8"/>
    <w:rsid w:val="67F84AFE"/>
    <w:rsid w:val="680878A3"/>
    <w:rsid w:val="68340476"/>
    <w:rsid w:val="68366D6B"/>
    <w:rsid w:val="68375AD4"/>
    <w:rsid w:val="683870E8"/>
    <w:rsid w:val="68457681"/>
    <w:rsid w:val="684977D5"/>
    <w:rsid w:val="68552C50"/>
    <w:rsid w:val="685D34E7"/>
    <w:rsid w:val="686A1EFF"/>
    <w:rsid w:val="68721717"/>
    <w:rsid w:val="68726648"/>
    <w:rsid w:val="68A8123A"/>
    <w:rsid w:val="68B84F4C"/>
    <w:rsid w:val="68F23DC7"/>
    <w:rsid w:val="68FB1468"/>
    <w:rsid w:val="69055229"/>
    <w:rsid w:val="6929374C"/>
    <w:rsid w:val="692F20BB"/>
    <w:rsid w:val="69784C3F"/>
    <w:rsid w:val="699C2688"/>
    <w:rsid w:val="69C1095D"/>
    <w:rsid w:val="6A0138F7"/>
    <w:rsid w:val="6A1E155A"/>
    <w:rsid w:val="6A682BD4"/>
    <w:rsid w:val="6A7B5447"/>
    <w:rsid w:val="6AB3617C"/>
    <w:rsid w:val="6AC32E21"/>
    <w:rsid w:val="6ACB0C53"/>
    <w:rsid w:val="6AD14E1A"/>
    <w:rsid w:val="6ADB012D"/>
    <w:rsid w:val="6AE258AE"/>
    <w:rsid w:val="6AE3748E"/>
    <w:rsid w:val="6AE83C5F"/>
    <w:rsid w:val="6AF53FAE"/>
    <w:rsid w:val="6AF67BFA"/>
    <w:rsid w:val="6B012062"/>
    <w:rsid w:val="6B1C3EC6"/>
    <w:rsid w:val="6B3F4C28"/>
    <w:rsid w:val="6B574638"/>
    <w:rsid w:val="6B5F5B98"/>
    <w:rsid w:val="6B615C8D"/>
    <w:rsid w:val="6B67068F"/>
    <w:rsid w:val="6B6E2E8D"/>
    <w:rsid w:val="6B977A86"/>
    <w:rsid w:val="6BAB6FBB"/>
    <w:rsid w:val="6BB568D4"/>
    <w:rsid w:val="6BDF720E"/>
    <w:rsid w:val="6BDF79C7"/>
    <w:rsid w:val="6BE146ED"/>
    <w:rsid w:val="6C0B074D"/>
    <w:rsid w:val="6C0C59DE"/>
    <w:rsid w:val="6C1458EF"/>
    <w:rsid w:val="6C231806"/>
    <w:rsid w:val="6C275F8B"/>
    <w:rsid w:val="6C2C76C9"/>
    <w:rsid w:val="6C3B15FF"/>
    <w:rsid w:val="6C3B431E"/>
    <w:rsid w:val="6C3E5116"/>
    <w:rsid w:val="6C4A65DC"/>
    <w:rsid w:val="6C725FD7"/>
    <w:rsid w:val="6C8379F5"/>
    <w:rsid w:val="6C852D02"/>
    <w:rsid w:val="6CA37694"/>
    <w:rsid w:val="6CA43460"/>
    <w:rsid w:val="6CEA2C90"/>
    <w:rsid w:val="6CFA5C74"/>
    <w:rsid w:val="6D272DFD"/>
    <w:rsid w:val="6D2C4A68"/>
    <w:rsid w:val="6D3B2E78"/>
    <w:rsid w:val="6D3C3AC0"/>
    <w:rsid w:val="6D410335"/>
    <w:rsid w:val="6D4305C3"/>
    <w:rsid w:val="6D48445E"/>
    <w:rsid w:val="6D4A0EB4"/>
    <w:rsid w:val="6D500B73"/>
    <w:rsid w:val="6D666AA6"/>
    <w:rsid w:val="6D687043"/>
    <w:rsid w:val="6D7D6DC8"/>
    <w:rsid w:val="6D885EAB"/>
    <w:rsid w:val="6D953F0C"/>
    <w:rsid w:val="6DB67EBB"/>
    <w:rsid w:val="6DEF52E3"/>
    <w:rsid w:val="6E0E6A1E"/>
    <w:rsid w:val="6E2D763E"/>
    <w:rsid w:val="6E420FB1"/>
    <w:rsid w:val="6E6B46D3"/>
    <w:rsid w:val="6E8E3A5E"/>
    <w:rsid w:val="6E941D46"/>
    <w:rsid w:val="6E953983"/>
    <w:rsid w:val="6E95768E"/>
    <w:rsid w:val="6EA14900"/>
    <w:rsid w:val="6EB27AA3"/>
    <w:rsid w:val="6EBD1CFE"/>
    <w:rsid w:val="6EF9461D"/>
    <w:rsid w:val="6F1348E9"/>
    <w:rsid w:val="6F2A01FE"/>
    <w:rsid w:val="6F2A71A4"/>
    <w:rsid w:val="6F3464F3"/>
    <w:rsid w:val="6F5D1EE4"/>
    <w:rsid w:val="6F802AAD"/>
    <w:rsid w:val="6F9415EA"/>
    <w:rsid w:val="6FB72F84"/>
    <w:rsid w:val="6FCA5E7C"/>
    <w:rsid w:val="6FE11F22"/>
    <w:rsid w:val="6FE3419F"/>
    <w:rsid w:val="6FF778F1"/>
    <w:rsid w:val="700346D4"/>
    <w:rsid w:val="700972F0"/>
    <w:rsid w:val="70287F2C"/>
    <w:rsid w:val="702A37EF"/>
    <w:rsid w:val="703E3D2A"/>
    <w:rsid w:val="704E172D"/>
    <w:rsid w:val="70AF69EB"/>
    <w:rsid w:val="70C667BE"/>
    <w:rsid w:val="70DE2249"/>
    <w:rsid w:val="70F97D93"/>
    <w:rsid w:val="710E13DA"/>
    <w:rsid w:val="71181113"/>
    <w:rsid w:val="711D7CA6"/>
    <w:rsid w:val="71226ACC"/>
    <w:rsid w:val="71227E63"/>
    <w:rsid w:val="71614B6B"/>
    <w:rsid w:val="718D2905"/>
    <w:rsid w:val="719909D2"/>
    <w:rsid w:val="719B61D4"/>
    <w:rsid w:val="71A10922"/>
    <w:rsid w:val="71D214DD"/>
    <w:rsid w:val="71E107C1"/>
    <w:rsid w:val="71F62920"/>
    <w:rsid w:val="72091DAA"/>
    <w:rsid w:val="72267D97"/>
    <w:rsid w:val="723734D4"/>
    <w:rsid w:val="724E29D1"/>
    <w:rsid w:val="728564F5"/>
    <w:rsid w:val="728B7ACE"/>
    <w:rsid w:val="728E70EC"/>
    <w:rsid w:val="729701CD"/>
    <w:rsid w:val="72AB431D"/>
    <w:rsid w:val="72DA09BB"/>
    <w:rsid w:val="72E745EF"/>
    <w:rsid w:val="72E97F76"/>
    <w:rsid w:val="72FA735C"/>
    <w:rsid w:val="73031A5D"/>
    <w:rsid w:val="730E0485"/>
    <w:rsid w:val="730E4D7D"/>
    <w:rsid w:val="731466EF"/>
    <w:rsid w:val="73212A01"/>
    <w:rsid w:val="73322FF0"/>
    <w:rsid w:val="733712FB"/>
    <w:rsid w:val="73460FB0"/>
    <w:rsid w:val="73513F28"/>
    <w:rsid w:val="735A7119"/>
    <w:rsid w:val="736127BE"/>
    <w:rsid w:val="739E0038"/>
    <w:rsid w:val="73B34591"/>
    <w:rsid w:val="73D850A2"/>
    <w:rsid w:val="73DE7F6C"/>
    <w:rsid w:val="73E365CE"/>
    <w:rsid w:val="73E64B1D"/>
    <w:rsid w:val="740735EA"/>
    <w:rsid w:val="7408106C"/>
    <w:rsid w:val="7412351E"/>
    <w:rsid w:val="74130252"/>
    <w:rsid w:val="741E5FE0"/>
    <w:rsid w:val="749F2D9C"/>
    <w:rsid w:val="74BB4279"/>
    <w:rsid w:val="74BE4E97"/>
    <w:rsid w:val="74D504C8"/>
    <w:rsid w:val="74F679F1"/>
    <w:rsid w:val="74F841F7"/>
    <w:rsid w:val="75003D28"/>
    <w:rsid w:val="750445F2"/>
    <w:rsid w:val="751D637E"/>
    <w:rsid w:val="751F2555"/>
    <w:rsid w:val="753504B8"/>
    <w:rsid w:val="75466A74"/>
    <w:rsid w:val="757F267E"/>
    <w:rsid w:val="758418D8"/>
    <w:rsid w:val="75A17528"/>
    <w:rsid w:val="75AA6AC3"/>
    <w:rsid w:val="75B60D82"/>
    <w:rsid w:val="75B749A9"/>
    <w:rsid w:val="75CB1443"/>
    <w:rsid w:val="75CD3F16"/>
    <w:rsid w:val="75EA5BFB"/>
    <w:rsid w:val="761730D6"/>
    <w:rsid w:val="761A34DA"/>
    <w:rsid w:val="76781DCD"/>
    <w:rsid w:val="76AC673B"/>
    <w:rsid w:val="76AE24B4"/>
    <w:rsid w:val="76D84698"/>
    <w:rsid w:val="76F36118"/>
    <w:rsid w:val="775865D7"/>
    <w:rsid w:val="775A33B3"/>
    <w:rsid w:val="775B4584"/>
    <w:rsid w:val="776234AF"/>
    <w:rsid w:val="776D12AE"/>
    <w:rsid w:val="776F6C29"/>
    <w:rsid w:val="77895532"/>
    <w:rsid w:val="77AD0FE0"/>
    <w:rsid w:val="77BE7384"/>
    <w:rsid w:val="780F37EC"/>
    <w:rsid w:val="787A6E12"/>
    <w:rsid w:val="78821B50"/>
    <w:rsid w:val="788E2A2A"/>
    <w:rsid w:val="78C511C6"/>
    <w:rsid w:val="78C52EE0"/>
    <w:rsid w:val="78D23C9C"/>
    <w:rsid w:val="7913610A"/>
    <w:rsid w:val="791A167A"/>
    <w:rsid w:val="794D119C"/>
    <w:rsid w:val="79625A84"/>
    <w:rsid w:val="796B6F7E"/>
    <w:rsid w:val="79935707"/>
    <w:rsid w:val="799A2128"/>
    <w:rsid w:val="79C001D9"/>
    <w:rsid w:val="79C0552F"/>
    <w:rsid w:val="79C30D65"/>
    <w:rsid w:val="79CC3295"/>
    <w:rsid w:val="79D37E29"/>
    <w:rsid w:val="7A0B1561"/>
    <w:rsid w:val="7A25258A"/>
    <w:rsid w:val="7A2C646D"/>
    <w:rsid w:val="7A3E3B4E"/>
    <w:rsid w:val="7A441CE6"/>
    <w:rsid w:val="7A55546C"/>
    <w:rsid w:val="7A743686"/>
    <w:rsid w:val="7A824E2E"/>
    <w:rsid w:val="7A911DBA"/>
    <w:rsid w:val="7A9E7BE0"/>
    <w:rsid w:val="7AFF6437"/>
    <w:rsid w:val="7B021BF1"/>
    <w:rsid w:val="7B3F689A"/>
    <w:rsid w:val="7B4950F7"/>
    <w:rsid w:val="7B794768"/>
    <w:rsid w:val="7B9F2862"/>
    <w:rsid w:val="7BA9751C"/>
    <w:rsid w:val="7BAB44F6"/>
    <w:rsid w:val="7BB856C6"/>
    <w:rsid w:val="7BBB27D3"/>
    <w:rsid w:val="7BC24A45"/>
    <w:rsid w:val="7BC60866"/>
    <w:rsid w:val="7BD52A90"/>
    <w:rsid w:val="7BF91224"/>
    <w:rsid w:val="7C076616"/>
    <w:rsid w:val="7C0D60AB"/>
    <w:rsid w:val="7C295DFC"/>
    <w:rsid w:val="7C4B37FA"/>
    <w:rsid w:val="7C58255B"/>
    <w:rsid w:val="7C5B5FF8"/>
    <w:rsid w:val="7C910DB6"/>
    <w:rsid w:val="7C9E490F"/>
    <w:rsid w:val="7CF03F88"/>
    <w:rsid w:val="7CF73786"/>
    <w:rsid w:val="7D091FF0"/>
    <w:rsid w:val="7D4C6AE0"/>
    <w:rsid w:val="7D573168"/>
    <w:rsid w:val="7D5E51C4"/>
    <w:rsid w:val="7D7525FB"/>
    <w:rsid w:val="7DC111D1"/>
    <w:rsid w:val="7DC43A43"/>
    <w:rsid w:val="7DC74225"/>
    <w:rsid w:val="7DDA69EF"/>
    <w:rsid w:val="7DDD18D5"/>
    <w:rsid w:val="7E6C26A2"/>
    <w:rsid w:val="7EB35583"/>
    <w:rsid w:val="7EB5276C"/>
    <w:rsid w:val="7EBC57D7"/>
    <w:rsid w:val="7ED0794B"/>
    <w:rsid w:val="7ED70A6F"/>
    <w:rsid w:val="7EE20D78"/>
    <w:rsid w:val="7EFF38D3"/>
    <w:rsid w:val="7F3206AA"/>
    <w:rsid w:val="7F5E6382"/>
    <w:rsid w:val="7F5F2553"/>
    <w:rsid w:val="7F6968B8"/>
    <w:rsid w:val="7F6B1176"/>
    <w:rsid w:val="7F89742A"/>
    <w:rsid w:val="7F9B22D0"/>
    <w:rsid w:val="7F9F74D0"/>
    <w:rsid w:val="7FA200C0"/>
    <w:rsid w:val="7FA23B7F"/>
    <w:rsid w:val="7FBE60DA"/>
    <w:rsid w:val="7FBF3588"/>
    <w:rsid w:val="7FDE4F4F"/>
    <w:rsid w:val="7FEB69A3"/>
    <w:rsid w:val="7FFB014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iPriority="39" w:semiHidden="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qFormat="1" w:unhideWhenUsed="0" w:uiPriority="0" w:semiHidden="0" w:name="HTML Cite"/>
    <w:lsdException w:qFormat="1"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103"/>
    <w:qFormat/>
    <w:uiPriority w:val="0"/>
    <w:pPr>
      <w:keepNext/>
      <w:keepLines/>
      <w:spacing w:before="260" w:after="260" w:line="416" w:lineRule="auto"/>
      <w:outlineLvl w:val="1"/>
    </w:pPr>
    <w:rPr>
      <w:rFonts w:ascii="Arial" w:hAnsi="Arial" w:eastAsia="黑体"/>
      <w:b/>
      <w:bCs/>
      <w:sz w:val="32"/>
      <w:szCs w:val="32"/>
    </w:rPr>
  </w:style>
  <w:style w:type="paragraph" w:styleId="5">
    <w:name w:val="heading 3"/>
    <w:basedOn w:val="1"/>
    <w:next w:val="1"/>
    <w:link w:val="37"/>
    <w:qFormat/>
    <w:uiPriority w:val="0"/>
    <w:pPr>
      <w:keepNext/>
      <w:keepLines/>
      <w:spacing w:before="260" w:after="260" w:line="416" w:lineRule="auto"/>
      <w:outlineLvl w:val="2"/>
    </w:pPr>
    <w:rPr>
      <w:b/>
      <w:bCs/>
      <w:sz w:val="32"/>
      <w:szCs w:val="32"/>
    </w:rPr>
  </w:style>
  <w:style w:type="paragraph" w:styleId="2">
    <w:name w:val="heading 4"/>
    <w:basedOn w:val="1"/>
    <w:next w:val="1"/>
    <w:qFormat/>
    <w:uiPriority w:val="0"/>
    <w:pPr>
      <w:keepNext/>
      <w:keepLines/>
      <w:spacing w:before="280" w:after="290" w:line="376" w:lineRule="auto"/>
      <w:outlineLvl w:val="3"/>
    </w:pPr>
    <w:rPr>
      <w:rFonts w:ascii="Cambria" w:hAnsi="Cambria"/>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ind w:firstLine="420"/>
    </w:pPr>
    <w:rPr>
      <w:szCs w:val="20"/>
    </w:rPr>
  </w:style>
  <w:style w:type="paragraph" w:styleId="7">
    <w:name w:val="Document Map"/>
    <w:basedOn w:val="1"/>
    <w:link w:val="41"/>
    <w:qFormat/>
    <w:uiPriority w:val="0"/>
    <w:rPr>
      <w:rFonts w:ascii="宋体" w:hAnsi="Tahoma"/>
      <w:sz w:val="18"/>
      <w:szCs w:val="18"/>
    </w:rPr>
  </w:style>
  <w:style w:type="paragraph" w:styleId="8">
    <w:name w:val="annotation text"/>
    <w:basedOn w:val="1"/>
    <w:link w:val="69"/>
    <w:semiHidden/>
    <w:qFormat/>
    <w:uiPriority w:val="99"/>
    <w:pPr>
      <w:jc w:val="left"/>
    </w:pPr>
    <w:rPr>
      <w:rFonts w:ascii="Tahoma" w:hAnsi="Tahoma"/>
    </w:rPr>
  </w:style>
  <w:style w:type="paragraph" w:styleId="9">
    <w:name w:val="Body Text 3"/>
    <w:basedOn w:val="1"/>
    <w:qFormat/>
    <w:uiPriority w:val="0"/>
    <w:rPr>
      <w:kern w:val="0"/>
      <w:sz w:val="16"/>
      <w:szCs w:val="16"/>
    </w:rPr>
  </w:style>
  <w:style w:type="paragraph" w:styleId="10">
    <w:name w:val="Body Text"/>
    <w:basedOn w:val="1"/>
    <w:next w:val="1"/>
    <w:qFormat/>
    <w:uiPriority w:val="0"/>
    <w:pPr>
      <w:spacing w:after="120"/>
    </w:pPr>
  </w:style>
  <w:style w:type="paragraph" w:styleId="11">
    <w:name w:val="Body Text Indent"/>
    <w:basedOn w:val="1"/>
    <w:qFormat/>
    <w:uiPriority w:val="0"/>
    <w:pPr>
      <w:spacing w:after="120"/>
      <w:ind w:left="420" w:leftChars="200"/>
    </w:pPr>
  </w:style>
  <w:style w:type="paragraph" w:styleId="12">
    <w:name w:val="Block Text"/>
    <w:basedOn w:val="1"/>
    <w:qFormat/>
    <w:uiPriority w:val="0"/>
    <w:pPr>
      <w:autoSpaceDE w:val="0"/>
      <w:autoSpaceDN w:val="0"/>
      <w:adjustRightInd w:val="0"/>
      <w:spacing w:line="500" w:lineRule="exact"/>
      <w:ind w:left="391" w:right="246"/>
    </w:pPr>
    <w:rPr>
      <w:rFonts w:ascii="仿宋_GB2312" w:eastAsia="仿宋_GB2312"/>
      <w:kern w:val="0"/>
      <w:sz w:val="24"/>
    </w:rPr>
  </w:style>
  <w:style w:type="paragraph" w:styleId="13">
    <w:name w:val="toc 3"/>
    <w:basedOn w:val="1"/>
    <w:next w:val="1"/>
    <w:unhideWhenUsed/>
    <w:qFormat/>
    <w:uiPriority w:val="39"/>
    <w:pPr>
      <w:ind w:left="840" w:leftChars="400"/>
    </w:pPr>
    <w:rPr>
      <w:sz w:val="28"/>
    </w:rPr>
  </w:style>
  <w:style w:type="paragraph" w:styleId="14">
    <w:name w:val="Plain Text"/>
    <w:basedOn w:val="1"/>
    <w:qFormat/>
    <w:uiPriority w:val="0"/>
    <w:rPr>
      <w:rFonts w:ascii="宋体" w:hAnsi="Courier New" w:eastAsia="楷体_GB2312"/>
      <w:snapToGrid w:val="0"/>
      <w:color w:val="000000"/>
      <w:kern w:val="0"/>
      <w:sz w:val="32"/>
      <w:szCs w:val="21"/>
    </w:rPr>
  </w:style>
  <w:style w:type="paragraph" w:styleId="15">
    <w:name w:val="Date"/>
    <w:basedOn w:val="1"/>
    <w:next w:val="1"/>
    <w:qFormat/>
    <w:uiPriority w:val="0"/>
    <w:rPr>
      <w:rFonts w:ascii="楷体_GB2312" w:eastAsia="楷体_GB2312"/>
      <w:color w:val="000000"/>
      <w:kern w:val="0"/>
      <w:sz w:val="32"/>
      <w:szCs w:val="32"/>
    </w:rPr>
  </w:style>
  <w:style w:type="paragraph" w:styleId="16">
    <w:name w:val="Body Text Indent 2"/>
    <w:basedOn w:val="1"/>
    <w:qFormat/>
    <w:uiPriority w:val="0"/>
    <w:pPr>
      <w:autoSpaceDE w:val="0"/>
      <w:autoSpaceDN w:val="0"/>
      <w:adjustRightInd w:val="0"/>
      <w:spacing w:line="489" w:lineRule="atLeast"/>
      <w:ind w:firstLine="709"/>
      <w:jc w:val="left"/>
    </w:pPr>
    <w:rPr>
      <w:rFonts w:ascii="华文仿宋" w:hAnsi="华文仿宋" w:eastAsia="华文仿宋"/>
      <w:color w:val="000000"/>
      <w:kern w:val="0"/>
      <w:sz w:val="32"/>
      <w:szCs w:val="32"/>
    </w:rPr>
  </w:style>
  <w:style w:type="paragraph" w:styleId="17">
    <w:name w:val="Balloon Text"/>
    <w:basedOn w:val="1"/>
    <w:unhideWhenUsed/>
    <w:qFormat/>
    <w:uiPriority w:val="0"/>
    <w:rPr>
      <w:sz w:val="18"/>
      <w:szCs w:val="18"/>
    </w:rPr>
  </w:style>
  <w:style w:type="paragraph" w:styleId="18">
    <w:name w:val="footer"/>
    <w:basedOn w:val="1"/>
    <w:link w:val="63"/>
    <w:qFormat/>
    <w:uiPriority w:val="99"/>
    <w:pPr>
      <w:tabs>
        <w:tab w:val="center" w:pos="4153"/>
        <w:tab w:val="right" w:pos="8306"/>
      </w:tabs>
      <w:snapToGrid w:val="0"/>
      <w:jc w:val="left"/>
    </w:pPr>
    <w:rPr>
      <w:rFonts w:ascii="Tahoma" w:hAnsi="Tahoma"/>
      <w:sz w:val="18"/>
      <w:szCs w:val="18"/>
    </w:rPr>
  </w:style>
  <w:style w:type="paragraph" w:styleId="19">
    <w:name w:val="header"/>
    <w:basedOn w:val="1"/>
    <w:next w:val="12"/>
    <w:qFormat/>
    <w:uiPriority w:val="0"/>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style>
  <w:style w:type="paragraph" w:styleId="21">
    <w:name w:val="Body Text Indent 3"/>
    <w:basedOn w:val="1"/>
    <w:qFormat/>
    <w:uiPriority w:val="0"/>
    <w:pPr>
      <w:ind w:left="359" w:leftChars="171" w:firstLine="554" w:firstLineChars="198"/>
    </w:pPr>
    <w:rPr>
      <w:sz w:val="28"/>
      <w:szCs w:val="20"/>
    </w:rPr>
  </w:style>
  <w:style w:type="paragraph" w:styleId="22">
    <w:name w:val="toc 2"/>
    <w:basedOn w:val="1"/>
    <w:next w:val="1"/>
    <w:qFormat/>
    <w:uiPriority w:val="39"/>
    <w:pPr>
      <w:ind w:left="420" w:leftChars="200"/>
    </w:pPr>
  </w:style>
  <w:style w:type="paragraph" w:styleId="23">
    <w:name w:val="Body Text 2"/>
    <w:basedOn w:val="1"/>
    <w:qFormat/>
    <w:uiPriority w:val="0"/>
    <w:pPr>
      <w:spacing w:after="120" w:line="480" w:lineRule="auto"/>
    </w:pPr>
  </w:style>
  <w:style w:type="paragraph" w:styleId="24">
    <w:name w:val="Normal (Web)"/>
    <w:basedOn w:val="1"/>
    <w:qFormat/>
    <w:uiPriority w:val="99"/>
    <w:pPr>
      <w:widowControl/>
      <w:spacing w:before="100" w:beforeAutospacing="1" w:after="100" w:afterAutospacing="1"/>
      <w:jc w:val="left"/>
    </w:pPr>
    <w:rPr>
      <w:rFonts w:hint="eastAsia" w:ascii="宋体" w:hAnsi="宋体"/>
      <w:kern w:val="0"/>
      <w:sz w:val="24"/>
    </w:rPr>
  </w:style>
  <w:style w:type="paragraph" w:styleId="25">
    <w:name w:val="annotation subject"/>
    <w:basedOn w:val="8"/>
    <w:next w:val="8"/>
    <w:link w:val="67"/>
    <w:qFormat/>
    <w:uiPriority w:val="0"/>
    <w:rPr>
      <w:b/>
      <w:bCs/>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rPr>
      <w:rFonts w:ascii="Tahoma" w:hAnsi="Tahoma"/>
      <w:b/>
      <w:bCs/>
      <w:sz w:val="24"/>
    </w:rPr>
  </w:style>
  <w:style w:type="character" w:styleId="30">
    <w:name w:val="page number"/>
    <w:basedOn w:val="28"/>
    <w:qFormat/>
    <w:uiPriority w:val="0"/>
  </w:style>
  <w:style w:type="character" w:styleId="31">
    <w:name w:val="FollowedHyperlink"/>
    <w:qFormat/>
    <w:uiPriority w:val="0"/>
    <w:rPr>
      <w:rFonts w:ascii="Tahoma" w:hAnsi="Tahoma"/>
      <w:color w:val="000000"/>
      <w:sz w:val="18"/>
      <w:szCs w:val="18"/>
      <w:u w:val="none"/>
    </w:rPr>
  </w:style>
  <w:style w:type="character" w:styleId="32">
    <w:name w:val="Emphasis"/>
    <w:basedOn w:val="28"/>
    <w:qFormat/>
    <w:uiPriority w:val="0"/>
    <w:rPr>
      <w:color w:val="D73130"/>
      <w:sz w:val="24"/>
      <w:szCs w:val="24"/>
    </w:rPr>
  </w:style>
  <w:style w:type="character" w:styleId="33">
    <w:name w:val="Hyperlink"/>
    <w:qFormat/>
    <w:uiPriority w:val="99"/>
    <w:rPr>
      <w:rFonts w:ascii="Tahoma" w:hAnsi="Tahoma"/>
      <w:color w:val="0000FF"/>
      <w:sz w:val="24"/>
      <w:u w:val="single"/>
    </w:rPr>
  </w:style>
  <w:style w:type="character" w:styleId="34">
    <w:name w:val="HTML Code"/>
    <w:basedOn w:val="28"/>
    <w:semiHidden/>
    <w:unhideWhenUsed/>
    <w:qFormat/>
    <w:uiPriority w:val="0"/>
    <w:rPr>
      <w:rFonts w:ascii="Courier New" w:hAnsi="Courier New"/>
      <w:sz w:val="20"/>
    </w:rPr>
  </w:style>
  <w:style w:type="character" w:styleId="35">
    <w:name w:val="annotation reference"/>
    <w:unhideWhenUsed/>
    <w:qFormat/>
    <w:uiPriority w:val="99"/>
    <w:rPr>
      <w:rFonts w:ascii="Tahoma" w:hAnsi="Tahoma"/>
      <w:sz w:val="21"/>
      <w:szCs w:val="21"/>
    </w:rPr>
  </w:style>
  <w:style w:type="character" w:styleId="36">
    <w:name w:val="HTML Cite"/>
    <w:basedOn w:val="28"/>
    <w:qFormat/>
    <w:uiPriority w:val="0"/>
    <w:rPr>
      <w:sz w:val="24"/>
      <w:szCs w:val="24"/>
    </w:rPr>
  </w:style>
  <w:style w:type="character" w:customStyle="1" w:styleId="37">
    <w:name w:val="标题 3 Char"/>
    <w:link w:val="5"/>
    <w:qFormat/>
    <w:uiPriority w:val="0"/>
    <w:rPr>
      <w:b/>
      <w:bCs/>
      <w:sz w:val="32"/>
      <w:szCs w:val="32"/>
    </w:rPr>
  </w:style>
  <w:style w:type="character" w:customStyle="1" w:styleId="38">
    <w:name w:val="标题 2 Char"/>
    <w:qFormat/>
    <w:uiPriority w:val="0"/>
    <w:rPr>
      <w:rFonts w:ascii="Arial" w:hAnsi="Arial" w:eastAsia="黑体"/>
      <w:b/>
      <w:bCs/>
      <w:kern w:val="2"/>
      <w:sz w:val="32"/>
      <w:szCs w:val="32"/>
      <w:lang w:val="en-US" w:eastAsia="zh-CN" w:bidi="ar-SA"/>
    </w:rPr>
  </w:style>
  <w:style w:type="character" w:customStyle="1" w:styleId="39">
    <w:name w:val="标题 1 Char"/>
    <w:link w:val="3"/>
    <w:qFormat/>
    <w:uiPriority w:val="0"/>
    <w:rPr>
      <w:b/>
      <w:bCs/>
      <w:kern w:val="44"/>
      <w:sz w:val="44"/>
      <w:szCs w:val="44"/>
    </w:rPr>
  </w:style>
  <w:style w:type="character" w:customStyle="1" w:styleId="40">
    <w:name w:val="cfdate"/>
    <w:basedOn w:val="28"/>
    <w:qFormat/>
    <w:uiPriority w:val="0"/>
    <w:rPr>
      <w:color w:val="333333"/>
      <w:sz w:val="18"/>
      <w:szCs w:val="18"/>
    </w:rPr>
  </w:style>
  <w:style w:type="character" w:customStyle="1" w:styleId="41">
    <w:name w:val="文档结构图 Char"/>
    <w:link w:val="7"/>
    <w:qFormat/>
    <w:uiPriority w:val="0"/>
    <w:rPr>
      <w:rFonts w:ascii="宋体" w:hAnsi="Tahoma"/>
      <w:kern w:val="2"/>
      <w:sz w:val="18"/>
      <w:szCs w:val="18"/>
    </w:rPr>
  </w:style>
  <w:style w:type="character" w:customStyle="1" w:styleId="42">
    <w:name w:val="copyright"/>
    <w:basedOn w:val="28"/>
    <w:qFormat/>
    <w:uiPriority w:val="0"/>
  </w:style>
  <w:style w:type="character" w:customStyle="1" w:styleId="43">
    <w:name w:val="Char Char6"/>
    <w:qFormat/>
    <w:uiPriority w:val="0"/>
    <w:rPr>
      <w:rFonts w:ascii="Tahoma" w:hAnsi="Tahoma" w:eastAsia="宋体"/>
      <w:b/>
      <w:bCs/>
      <w:kern w:val="2"/>
      <w:sz w:val="32"/>
      <w:szCs w:val="32"/>
      <w:lang w:val="en-US" w:eastAsia="zh-CN" w:bidi="ar-SA"/>
    </w:rPr>
  </w:style>
  <w:style w:type="character" w:customStyle="1" w:styleId="44">
    <w:name w:val="qxdate"/>
    <w:basedOn w:val="28"/>
    <w:qFormat/>
    <w:uiPriority w:val="0"/>
    <w:rPr>
      <w:color w:val="333333"/>
      <w:sz w:val="18"/>
      <w:szCs w:val="18"/>
    </w:rPr>
  </w:style>
  <w:style w:type="character" w:customStyle="1" w:styleId="45">
    <w:name w:val="gjfg"/>
    <w:basedOn w:val="28"/>
    <w:qFormat/>
    <w:uiPriority w:val="0"/>
  </w:style>
  <w:style w:type="character" w:customStyle="1" w:styleId="46">
    <w:name w:val="Char Char3"/>
    <w:semiHidden/>
    <w:qFormat/>
    <w:uiPriority w:val="0"/>
    <w:rPr>
      <w:rFonts w:ascii="Tahoma" w:hAnsi="Tahoma" w:eastAsia="宋体"/>
      <w:kern w:val="2"/>
      <w:sz w:val="18"/>
      <w:szCs w:val="18"/>
      <w:lang w:val="en-US" w:eastAsia="zh-CN" w:bidi="ar-SA"/>
    </w:rPr>
  </w:style>
  <w:style w:type="character" w:customStyle="1" w:styleId="47">
    <w:name w:val="普通文字 Char2"/>
    <w:qFormat/>
    <w:uiPriority w:val="0"/>
    <w:rPr>
      <w:rFonts w:ascii="宋体" w:hAnsi="Courier New" w:eastAsia="楷体_GB2312"/>
      <w:snapToGrid w:val="0"/>
      <w:color w:val="000000"/>
      <w:sz w:val="32"/>
      <w:szCs w:val="21"/>
      <w:lang w:val="en-US" w:eastAsia="zh-CN" w:bidi="ar-SA"/>
    </w:rPr>
  </w:style>
  <w:style w:type="character" w:customStyle="1" w:styleId="48">
    <w:name w:val="Char Char4"/>
    <w:qFormat/>
    <w:uiPriority w:val="0"/>
    <w:rPr>
      <w:rFonts w:ascii="Tahoma" w:hAnsi="Tahoma" w:eastAsia="宋体"/>
      <w:kern w:val="2"/>
      <w:sz w:val="18"/>
      <w:szCs w:val="18"/>
      <w:lang w:val="en-US" w:eastAsia="zh-CN" w:bidi="ar-SA"/>
    </w:rPr>
  </w:style>
  <w:style w:type="character" w:customStyle="1" w:styleId="49">
    <w:name w:val="font51"/>
    <w:qFormat/>
    <w:uiPriority w:val="0"/>
    <w:rPr>
      <w:rFonts w:hint="eastAsia" w:ascii="宋体" w:hAnsi="宋体" w:eastAsia="宋体" w:cs="宋体"/>
      <w:color w:val="000000"/>
      <w:sz w:val="21"/>
      <w:szCs w:val="21"/>
      <w:u w:val="none"/>
    </w:rPr>
  </w:style>
  <w:style w:type="character" w:customStyle="1" w:styleId="50">
    <w:name w:val="Char Char1"/>
    <w:semiHidden/>
    <w:qFormat/>
    <w:uiPriority w:val="0"/>
    <w:rPr>
      <w:rFonts w:ascii="Tahoma" w:hAnsi="Tahoma" w:eastAsia="宋体"/>
      <w:kern w:val="2"/>
      <w:sz w:val="28"/>
      <w:lang w:val="en-US" w:eastAsia="zh-CN" w:bidi="ar-SA"/>
    </w:rPr>
  </w:style>
  <w:style w:type="character" w:customStyle="1" w:styleId="51">
    <w:name w:val="profont1"/>
    <w:qFormat/>
    <w:uiPriority w:val="0"/>
    <w:rPr>
      <w:rFonts w:hint="default" w:ascii="Verdana" w:hAnsi="Verdana"/>
      <w:b/>
      <w:bCs/>
      <w:color w:val="333333"/>
      <w:sz w:val="24"/>
      <w:szCs w:val="24"/>
      <w:u w:val="none"/>
    </w:rPr>
  </w:style>
  <w:style w:type="character" w:customStyle="1" w:styleId="52">
    <w:name w:val="Char Char5"/>
    <w:qFormat/>
    <w:uiPriority w:val="0"/>
    <w:rPr>
      <w:rFonts w:ascii="Tahoma" w:hAnsi="Tahoma" w:eastAsia="宋体"/>
      <w:kern w:val="2"/>
      <w:sz w:val="18"/>
      <w:szCs w:val="18"/>
      <w:lang w:val="en-US" w:eastAsia="zh-CN" w:bidi="ar-SA"/>
    </w:rPr>
  </w:style>
  <w:style w:type="character" w:customStyle="1" w:styleId="53">
    <w:name w:val="标题 1.1 Char1"/>
    <w:qFormat/>
    <w:uiPriority w:val="0"/>
    <w:rPr>
      <w:rFonts w:ascii="Arial" w:hAnsi="Arial" w:eastAsia="黑体"/>
      <w:b/>
      <w:bCs/>
      <w:kern w:val="2"/>
      <w:sz w:val="32"/>
      <w:szCs w:val="32"/>
      <w:lang w:val="en-US" w:eastAsia="zh-CN" w:bidi="ar-SA"/>
    </w:rPr>
  </w:style>
  <w:style w:type="character" w:customStyle="1" w:styleId="54">
    <w:name w:val="font01"/>
    <w:qFormat/>
    <w:uiPriority w:val="0"/>
    <w:rPr>
      <w:rFonts w:hint="eastAsia" w:ascii="宋体" w:hAnsi="宋体" w:eastAsia="宋体" w:cs="宋体"/>
      <w:color w:val="000000"/>
      <w:sz w:val="24"/>
      <w:szCs w:val="24"/>
      <w:u w:val="none"/>
    </w:rPr>
  </w:style>
  <w:style w:type="character" w:customStyle="1" w:styleId="55">
    <w:name w:val="font11"/>
    <w:qFormat/>
    <w:uiPriority w:val="0"/>
    <w:rPr>
      <w:rFonts w:hint="eastAsia" w:ascii="宋体" w:hAnsi="宋体" w:eastAsia="宋体" w:cs="宋体"/>
      <w:b/>
      <w:color w:val="000000"/>
      <w:sz w:val="24"/>
      <w:szCs w:val="24"/>
      <w:u w:val="none"/>
    </w:rPr>
  </w:style>
  <w:style w:type="character" w:customStyle="1" w:styleId="56">
    <w:name w:val="Char Char"/>
    <w:qFormat/>
    <w:uiPriority w:val="0"/>
    <w:rPr>
      <w:rFonts w:ascii="Tahoma" w:hAnsi="Tahoma"/>
      <w:kern w:val="2"/>
      <w:sz w:val="21"/>
      <w:szCs w:val="24"/>
    </w:rPr>
  </w:style>
  <w:style w:type="character" w:customStyle="1" w:styleId="57">
    <w:name w:val="style111"/>
    <w:qFormat/>
    <w:uiPriority w:val="0"/>
    <w:rPr>
      <w:rFonts w:ascii="Tahoma" w:hAnsi="Tahoma"/>
      <w:sz w:val="22"/>
      <w:szCs w:val="22"/>
    </w:rPr>
  </w:style>
  <w:style w:type="character" w:customStyle="1" w:styleId="58">
    <w:name w:val="displayarti"/>
    <w:basedOn w:val="28"/>
    <w:qFormat/>
    <w:uiPriority w:val="0"/>
    <w:rPr>
      <w:color w:val="FFFFFF"/>
      <w:shd w:val="clear" w:color="auto" w:fill="A00000"/>
    </w:rPr>
  </w:style>
  <w:style w:type="character" w:customStyle="1" w:styleId="59">
    <w:name w:val="Char Char7"/>
    <w:qFormat/>
    <w:uiPriority w:val="0"/>
    <w:rPr>
      <w:rFonts w:ascii="Tahoma" w:hAnsi="Tahoma" w:eastAsia="宋体"/>
      <w:b/>
      <w:bCs/>
      <w:kern w:val="44"/>
      <w:sz w:val="44"/>
      <w:szCs w:val="44"/>
      <w:lang w:val="en-US" w:eastAsia="zh-CN" w:bidi="ar-SA"/>
    </w:rPr>
  </w:style>
  <w:style w:type="character" w:customStyle="1" w:styleId="60">
    <w:name w:val="font31"/>
    <w:qFormat/>
    <w:uiPriority w:val="0"/>
    <w:rPr>
      <w:rFonts w:hint="eastAsia" w:ascii="宋体" w:hAnsi="宋体" w:eastAsia="宋体" w:cs="宋体"/>
      <w:color w:val="000000"/>
      <w:sz w:val="21"/>
      <w:szCs w:val="21"/>
      <w:u w:val="none"/>
    </w:rPr>
  </w:style>
  <w:style w:type="character" w:customStyle="1" w:styleId="61">
    <w:name w:val="Char Char2"/>
    <w:qFormat/>
    <w:uiPriority w:val="0"/>
    <w:rPr>
      <w:rFonts w:ascii="华文仿宋" w:hAnsi="华文仿宋" w:eastAsia="华文仿宋"/>
      <w:color w:val="000000"/>
      <w:sz w:val="32"/>
      <w:szCs w:val="32"/>
      <w:lang w:val="en-US" w:eastAsia="zh-CN" w:bidi="ar-SA"/>
    </w:rPr>
  </w:style>
  <w:style w:type="character" w:customStyle="1" w:styleId="62">
    <w:name w:val="style51"/>
    <w:qFormat/>
    <w:uiPriority w:val="0"/>
    <w:rPr>
      <w:rFonts w:ascii="Tahoma" w:hAnsi="Tahoma"/>
      <w:b/>
      <w:bCs/>
      <w:color w:val="814107"/>
      <w:sz w:val="21"/>
      <w:szCs w:val="21"/>
    </w:rPr>
  </w:style>
  <w:style w:type="character" w:customStyle="1" w:styleId="63">
    <w:name w:val="页脚 Char"/>
    <w:link w:val="18"/>
    <w:qFormat/>
    <w:uiPriority w:val="99"/>
    <w:rPr>
      <w:rFonts w:ascii="Tahoma" w:hAnsi="Tahoma"/>
      <w:kern w:val="2"/>
      <w:sz w:val="18"/>
      <w:szCs w:val="18"/>
    </w:rPr>
  </w:style>
  <w:style w:type="character" w:customStyle="1" w:styleId="64">
    <w:name w:val="标题 1.1 Char"/>
    <w:qFormat/>
    <w:uiPriority w:val="0"/>
    <w:rPr>
      <w:rFonts w:ascii="仿宋_GB2312" w:hAnsi="Arial" w:eastAsia="仿宋_GB2312" w:cs="Arial"/>
      <w:b/>
      <w:bCs/>
      <w:kern w:val="2"/>
      <w:sz w:val="24"/>
      <w:szCs w:val="24"/>
      <w:lang w:val="en-US" w:eastAsia="zh-CN" w:bidi="ar-SA"/>
    </w:rPr>
  </w:style>
  <w:style w:type="character" w:customStyle="1" w:styleId="65">
    <w:name w:val="普通文字 Char1"/>
    <w:qFormat/>
    <w:uiPriority w:val="0"/>
    <w:rPr>
      <w:rFonts w:ascii="宋体" w:hAnsi="Courier New" w:eastAsia="宋体"/>
      <w:kern w:val="2"/>
      <w:sz w:val="21"/>
      <w:szCs w:val="21"/>
      <w:lang w:val="en-US" w:eastAsia="zh-CN" w:bidi="ar-SA"/>
    </w:rPr>
  </w:style>
  <w:style w:type="character" w:customStyle="1" w:styleId="66">
    <w:name w:val="font41"/>
    <w:qFormat/>
    <w:uiPriority w:val="0"/>
    <w:rPr>
      <w:rFonts w:ascii="font-weight : 400" w:hAnsi="font-weight : 400" w:eastAsia="font-weight : 400" w:cs="font-weight : 400"/>
      <w:color w:val="000000"/>
      <w:sz w:val="21"/>
      <w:szCs w:val="21"/>
      <w:u w:val="none"/>
    </w:rPr>
  </w:style>
  <w:style w:type="character" w:customStyle="1" w:styleId="67">
    <w:name w:val="批注主题 Char"/>
    <w:link w:val="25"/>
    <w:qFormat/>
    <w:uiPriority w:val="0"/>
    <w:rPr>
      <w:rFonts w:ascii="Tahoma" w:hAnsi="Tahoma"/>
      <w:b/>
      <w:bCs/>
      <w:kern w:val="2"/>
      <w:sz w:val="21"/>
      <w:szCs w:val="24"/>
    </w:rPr>
  </w:style>
  <w:style w:type="character" w:customStyle="1" w:styleId="68">
    <w:name w:val="redfilefwwh"/>
    <w:basedOn w:val="28"/>
    <w:qFormat/>
    <w:uiPriority w:val="0"/>
    <w:rPr>
      <w:color w:val="BA2636"/>
      <w:sz w:val="18"/>
      <w:szCs w:val="18"/>
    </w:rPr>
  </w:style>
  <w:style w:type="character" w:customStyle="1" w:styleId="69">
    <w:name w:val="批注文字 Char"/>
    <w:link w:val="8"/>
    <w:semiHidden/>
    <w:qFormat/>
    <w:uiPriority w:val="99"/>
    <w:rPr>
      <w:rFonts w:ascii="Tahoma" w:hAnsi="Tahoma"/>
      <w:kern w:val="2"/>
      <w:sz w:val="21"/>
      <w:szCs w:val="24"/>
    </w:rPr>
  </w:style>
  <w:style w:type="character" w:customStyle="1" w:styleId="70">
    <w:name w:val="redfilenumber"/>
    <w:basedOn w:val="28"/>
    <w:qFormat/>
    <w:uiPriority w:val="0"/>
    <w:rPr>
      <w:color w:val="BA2636"/>
      <w:sz w:val="18"/>
      <w:szCs w:val="18"/>
    </w:rPr>
  </w:style>
  <w:style w:type="paragraph" w:customStyle="1" w:styleId="71">
    <w:name w:val="Char1 Char Char Char"/>
    <w:basedOn w:val="1"/>
    <w:qFormat/>
    <w:uiPriority w:val="0"/>
    <w:pPr>
      <w:adjustRightInd w:val="0"/>
      <w:spacing w:line="360" w:lineRule="auto"/>
    </w:pPr>
    <w:rPr>
      <w:kern w:val="0"/>
      <w:sz w:val="24"/>
      <w:szCs w:val="20"/>
    </w:rPr>
  </w:style>
  <w:style w:type="paragraph" w:customStyle="1" w:styleId="72">
    <w:name w:val="前言、引言标题"/>
    <w:next w:val="1"/>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3">
    <w:name w:val="_Style 2"/>
    <w:basedOn w:val="1"/>
    <w:qFormat/>
    <w:uiPriority w:val="34"/>
    <w:pPr>
      <w:ind w:firstLine="420" w:firstLineChars="200"/>
    </w:pPr>
  </w:style>
  <w:style w:type="paragraph" w:customStyle="1" w:styleId="74">
    <w:name w:val="Char Char Char Char Char Char"/>
    <w:basedOn w:val="1"/>
    <w:qFormat/>
    <w:uiPriority w:val="0"/>
    <w:rPr>
      <w:rFonts w:ascii="Tahoma" w:hAnsi="Tahoma"/>
      <w:sz w:val="24"/>
    </w:rPr>
  </w:style>
  <w:style w:type="paragraph" w:customStyle="1" w:styleId="75">
    <w:name w:val="章标题"/>
    <w:next w:val="1"/>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76">
    <w:name w:val="Char Char Char"/>
    <w:basedOn w:val="1"/>
    <w:qFormat/>
    <w:uiPriority w:val="0"/>
    <w:rPr>
      <w:rFonts w:ascii="Tahoma" w:hAnsi="Tahoma"/>
      <w:sz w:val="24"/>
      <w:szCs w:val="20"/>
    </w:rPr>
  </w:style>
  <w:style w:type="paragraph" w:customStyle="1" w:styleId="77">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78">
    <w:name w:val="样式 宋体 三号 加粗 居中 行距: 最小值 12 磅"/>
    <w:basedOn w:val="1"/>
    <w:qFormat/>
    <w:uiPriority w:val="0"/>
    <w:pPr>
      <w:spacing w:line="240" w:lineRule="atLeast"/>
      <w:jc w:val="center"/>
    </w:pPr>
    <w:rPr>
      <w:rFonts w:ascii="宋体" w:hAnsi="宋体" w:cs="宋体"/>
      <w:b/>
      <w:bCs/>
      <w:szCs w:val="20"/>
    </w:rPr>
  </w:style>
  <w:style w:type="paragraph" w:customStyle="1" w:styleId="79">
    <w:name w:val="普通(网站)1"/>
    <w:basedOn w:val="1"/>
    <w:qFormat/>
    <w:uiPriority w:val="0"/>
    <w:pPr>
      <w:widowControl/>
      <w:spacing w:before="100" w:beforeAutospacing="1" w:after="100" w:afterAutospacing="1"/>
      <w:jc w:val="left"/>
    </w:pPr>
    <w:rPr>
      <w:rFonts w:ascii="宋体" w:hAnsi="宋体" w:cs="宋体"/>
      <w:kern w:val="0"/>
      <w:sz w:val="24"/>
    </w:rPr>
  </w:style>
  <w:style w:type="paragraph" w:customStyle="1" w:styleId="80">
    <w:name w:val="二级条标题"/>
    <w:basedOn w:val="81"/>
    <w:next w:val="1"/>
    <w:qFormat/>
    <w:uiPriority w:val="0"/>
    <w:pPr>
      <w:numPr>
        <w:ilvl w:val="3"/>
      </w:numPr>
      <w:outlineLvl w:val="3"/>
    </w:pPr>
  </w:style>
  <w:style w:type="paragraph" w:customStyle="1" w:styleId="81">
    <w:name w:val="一级条标题"/>
    <w:basedOn w:val="75"/>
    <w:next w:val="1"/>
    <w:qFormat/>
    <w:uiPriority w:val="0"/>
    <w:pPr>
      <w:numPr>
        <w:ilvl w:val="2"/>
      </w:numPr>
      <w:spacing w:beforeLines="0" w:afterLines="0"/>
      <w:outlineLvl w:val="2"/>
    </w:pPr>
  </w:style>
  <w:style w:type="paragraph" w:customStyle="1" w:styleId="82">
    <w:name w:val="Char Char Char1"/>
    <w:basedOn w:val="1"/>
    <w:qFormat/>
    <w:uiPriority w:val="0"/>
    <w:rPr>
      <w:rFonts w:ascii="Tahoma" w:hAnsi="Tahoma"/>
      <w:sz w:val="24"/>
      <w:szCs w:val="20"/>
    </w:rPr>
  </w:style>
  <w:style w:type="paragraph" w:customStyle="1" w:styleId="83">
    <w:name w:val="样式5"/>
    <w:basedOn w:val="84"/>
    <w:qFormat/>
    <w:uiPriority w:val="0"/>
    <w:pPr>
      <w:numPr>
        <w:ilvl w:val="3"/>
      </w:numPr>
      <w:tabs>
        <w:tab w:val="left" w:pos="432"/>
      </w:tabs>
      <w:spacing w:before="156"/>
    </w:pPr>
  </w:style>
  <w:style w:type="paragraph" w:customStyle="1" w:styleId="84">
    <w:name w:val="样式4"/>
    <w:basedOn w:val="1"/>
    <w:qFormat/>
    <w:uiPriority w:val="0"/>
    <w:pPr>
      <w:numPr>
        <w:ilvl w:val="0"/>
        <w:numId w:val="2"/>
      </w:numPr>
      <w:spacing w:beforeLines="50"/>
      <w:outlineLvl w:val="2"/>
    </w:pPr>
    <w:rPr>
      <w:rFonts w:ascii="宋体" w:hAnsi="宋体" w:cs="MS Shell Dlg"/>
      <w:b/>
      <w:kern w:val="0"/>
      <w:szCs w:val="21"/>
    </w:rPr>
  </w:style>
  <w:style w:type="paragraph" w:customStyle="1" w:styleId="85">
    <w:name w:val="Char"/>
    <w:basedOn w:val="1"/>
    <w:qFormat/>
    <w:uiPriority w:val="0"/>
    <w:pPr>
      <w:adjustRightInd w:val="0"/>
      <w:spacing w:line="360" w:lineRule="auto"/>
    </w:pPr>
    <w:rPr>
      <w:kern w:val="0"/>
      <w:sz w:val="24"/>
      <w:szCs w:val="20"/>
    </w:rPr>
  </w:style>
  <w:style w:type="paragraph" w:customStyle="1" w:styleId="86">
    <w:name w:val="Char1"/>
    <w:basedOn w:val="1"/>
    <w:qFormat/>
    <w:uiPriority w:val="0"/>
    <w:pPr>
      <w:adjustRightInd w:val="0"/>
      <w:spacing w:line="360" w:lineRule="auto"/>
    </w:pPr>
    <w:rPr>
      <w:kern w:val="0"/>
      <w:sz w:val="24"/>
      <w:szCs w:val="20"/>
    </w:rPr>
  </w:style>
  <w:style w:type="paragraph" w:customStyle="1" w:styleId="87">
    <w:name w:val="三级条标题"/>
    <w:basedOn w:val="80"/>
    <w:next w:val="1"/>
    <w:qFormat/>
    <w:uiPriority w:val="0"/>
    <w:pPr>
      <w:numPr>
        <w:ilvl w:val="4"/>
      </w:numPr>
      <w:outlineLvl w:val="4"/>
    </w:pPr>
  </w:style>
  <w:style w:type="paragraph" w:customStyle="1" w:styleId="88">
    <w:name w:val="Char Char8"/>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9">
    <w:name w:val="Char Char Char Char Char Char Char"/>
    <w:basedOn w:val="1"/>
    <w:qFormat/>
    <w:uiPriority w:val="0"/>
    <w:rPr>
      <w:rFonts w:ascii="Tahoma" w:hAnsi="Tahoma" w:cs="Arial"/>
      <w:szCs w:val="21"/>
    </w:rPr>
  </w:style>
  <w:style w:type="paragraph" w:customStyle="1" w:styleId="90">
    <w:name w:val="样式8"/>
    <w:basedOn w:val="1"/>
    <w:qFormat/>
    <w:uiPriority w:val="0"/>
    <w:pPr>
      <w:numPr>
        <w:ilvl w:val="3"/>
        <w:numId w:val="3"/>
      </w:numPr>
      <w:tabs>
        <w:tab w:val="left" w:pos="1838"/>
        <w:tab w:val="clear" w:pos="1271"/>
      </w:tabs>
      <w:ind w:left="1838"/>
      <w:outlineLvl w:val="2"/>
    </w:pPr>
    <w:rPr>
      <w:rFonts w:ascii="宋体" w:hAnsi="宋体" w:cs="MS Shell Dlg"/>
      <w:kern w:val="0"/>
      <w:szCs w:val="21"/>
    </w:rPr>
  </w:style>
  <w:style w:type="paragraph" w:customStyle="1" w:styleId="91">
    <w:name w:val="px12black"/>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2">
    <w:name w:val="五级条标题"/>
    <w:basedOn w:val="93"/>
    <w:next w:val="1"/>
    <w:qFormat/>
    <w:uiPriority w:val="0"/>
    <w:pPr>
      <w:numPr>
        <w:ilvl w:val="6"/>
      </w:numPr>
      <w:outlineLvl w:val="6"/>
    </w:pPr>
  </w:style>
  <w:style w:type="paragraph" w:customStyle="1" w:styleId="93">
    <w:name w:val="四级条标题"/>
    <w:basedOn w:val="87"/>
    <w:next w:val="1"/>
    <w:qFormat/>
    <w:uiPriority w:val="0"/>
    <w:pPr>
      <w:numPr>
        <w:ilvl w:val="5"/>
      </w:numPr>
      <w:outlineLvl w:val="5"/>
    </w:pPr>
  </w:style>
  <w:style w:type="paragraph" w:customStyle="1" w:styleId="94">
    <w:name w:val="Normal Indent1"/>
    <w:basedOn w:val="1"/>
    <w:qFormat/>
    <w:uiPriority w:val="99"/>
    <w:pPr>
      <w:autoSpaceDE w:val="0"/>
      <w:autoSpaceDN w:val="0"/>
      <w:adjustRightInd w:val="0"/>
      <w:ind w:firstLine="420"/>
    </w:pPr>
    <w:rPr>
      <w:kern w:val="0"/>
      <w:szCs w:val="21"/>
    </w:rPr>
  </w:style>
  <w:style w:type="paragraph" w:customStyle="1" w:styleId="95">
    <w:name w:val="样式1"/>
    <w:basedOn w:val="1"/>
    <w:qFormat/>
    <w:uiPriority w:val="0"/>
    <w:pPr>
      <w:numPr>
        <w:ilvl w:val="0"/>
        <w:numId w:val="4"/>
      </w:numPr>
      <w:adjustRightInd w:val="0"/>
      <w:textAlignment w:val="baseline"/>
    </w:pPr>
    <w:rPr>
      <w:rFonts w:ascii="宋体" w:hAnsi="宋体"/>
      <w:kern w:val="0"/>
      <w:szCs w:val="21"/>
    </w:rPr>
  </w:style>
  <w:style w:type="paragraph" w:customStyle="1" w:styleId="96">
    <w:name w:val="样式6"/>
    <w:basedOn w:val="84"/>
    <w:qFormat/>
    <w:uiPriority w:val="0"/>
    <w:pPr>
      <w:numPr>
        <w:ilvl w:val="2"/>
      </w:numPr>
      <w:tabs>
        <w:tab w:val="clear" w:pos="432"/>
      </w:tabs>
      <w:spacing w:before="156"/>
      <w:outlineLvl w:val="4"/>
    </w:pPr>
    <w:rPr>
      <w:rFonts w:ascii="MS Shell Dlg" w:hAnsi="MS Shell Dlg"/>
    </w:rPr>
  </w:style>
  <w:style w:type="paragraph" w:styleId="97">
    <w:name w:val="List Paragraph"/>
    <w:basedOn w:val="1"/>
    <w:qFormat/>
    <w:uiPriority w:val="34"/>
    <w:pPr>
      <w:ind w:firstLine="420" w:firstLineChars="200"/>
    </w:pPr>
    <w:rPr>
      <w:sz w:val="28"/>
    </w:rPr>
  </w:style>
  <w:style w:type="paragraph" w:customStyle="1" w:styleId="98">
    <w:name w:val="列出段落1"/>
    <w:basedOn w:val="1"/>
    <w:qFormat/>
    <w:uiPriority w:val="0"/>
    <w:pPr>
      <w:ind w:firstLine="420" w:firstLineChars="200"/>
    </w:pPr>
    <w:rPr>
      <w:rFonts w:ascii="Calibri" w:hAnsi="Calibri"/>
      <w:kern w:val="0"/>
      <w:sz w:val="20"/>
      <w:szCs w:val="20"/>
    </w:rPr>
  </w:style>
  <w:style w:type="paragraph" w:customStyle="1" w:styleId="99">
    <w:name w:val="样式 标题 2 + Times New Roman 四号 非加粗 段前: 5 磅 段后: 0 磅 行距: 固定值 20..."/>
    <w:basedOn w:val="4"/>
    <w:qFormat/>
    <w:uiPriority w:val="0"/>
    <w:pPr>
      <w:spacing w:before="100" w:after="0" w:line="400" w:lineRule="exact"/>
    </w:pPr>
    <w:rPr>
      <w:rFonts w:ascii="Times New Roman" w:hAnsi="Times New Roman" w:cs="宋体"/>
      <w:b w:val="0"/>
      <w:bCs w:val="0"/>
      <w:sz w:val="28"/>
      <w:szCs w:val="20"/>
    </w:rPr>
  </w:style>
  <w:style w:type="paragraph" w:customStyle="1" w:styleId="100">
    <w:name w:val="Table Paragraph"/>
    <w:basedOn w:val="1"/>
    <w:unhideWhenUsed/>
    <w:qFormat/>
    <w:uiPriority w:val="1"/>
    <w:rPr>
      <w:rFonts w:hint="eastAsia"/>
      <w:sz w:val="24"/>
    </w:rPr>
  </w:style>
  <w:style w:type="paragraph" w:customStyle="1" w:styleId="101">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paragraph" w:customStyle="1" w:styleId="102">
    <w:name w:val="正文_0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3">
    <w:name w:val="标题 2 Char1"/>
    <w:link w:val="4"/>
    <w:qFormat/>
    <w:uiPriority w:val="0"/>
    <w:rPr>
      <w:rFonts w:ascii="Arial" w:hAnsi="Arial" w:eastAsia="黑体"/>
      <w:b/>
      <w:bCs/>
      <w:sz w:val="32"/>
      <w:szCs w:val="32"/>
    </w:rPr>
  </w:style>
  <w:style w:type="character" w:customStyle="1" w:styleId="104">
    <w:name w:val="label"/>
    <w:basedOn w:val="28"/>
    <w:qFormat/>
    <w:uiPriority w:val="0"/>
    <w:rPr>
      <w:color w:val="999999"/>
    </w:rPr>
  </w:style>
  <w:style w:type="character" w:customStyle="1" w:styleId="105">
    <w:name w:val="hover10"/>
    <w:basedOn w:val="28"/>
    <w:qFormat/>
    <w:uiPriority w:val="0"/>
  </w:style>
  <w:style w:type="character" w:customStyle="1" w:styleId="106">
    <w:name w:val="layui-laypage-curr"/>
    <w:basedOn w:val="28"/>
    <w:qFormat/>
    <w:uiPriority w:val="0"/>
  </w:style>
  <w:style w:type="paragraph" w:customStyle="1" w:styleId="107">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08">
    <w:name w:val="page_next"/>
    <w:basedOn w:val="28"/>
    <w:qFormat/>
    <w:uiPriority w:val="0"/>
  </w:style>
  <w:style w:type="character" w:customStyle="1" w:styleId="109">
    <w:name w:val="page_prev"/>
    <w:basedOn w:val="28"/>
    <w:qFormat/>
    <w:uiPriority w:val="0"/>
  </w:style>
  <w:style w:type="character" w:customStyle="1" w:styleId="110">
    <w:name w:val="hover9"/>
    <w:basedOn w:val="28"/>
    <w:qFormat/>
    <w:uiPriority w:val="0"/>
    <w:rPr>
      <w:color w:val="FFFFFF"/>
    </w:rPr>
  </w:style>
  <w:style w:type="character" w:customStyle="1" w:styleId="111">
    <w:name w:val="active2"/>
    <w:basedOn w:val="28"/>
    <w:qFormat/>
    <w:uiPriority w:val="0"/>
    <w:rPr>
      <w:color w:val="FFFFFF"/>
    </w:rPr>
  </w:style>
  <w:style w:type="character" w:customStyle="1" w:styleId="112">
    <w:name w:val="hover36"/>
    <w:basedOn w:val="28"/>
    <w:qFormat/>
    <w:uiPriority w:val="0"/>
    <w:rPr>
      <w:color w:val="FFFFFF"/>
    </w:rPr>
  </w:style>
  <w:style w:type="character" w:customStyle="1" w:styleId="113">
    <w:name w:val="first-child"/>
    <w:basedOn w:val="28"/>
    <w:qFormat/>
    <w:uiPriority w:val="0"/>
  </w:style>
  <w:style w:type="character" w:customStyle="1" w:styleId="114">
    <w:name w:val="hover11"/>
    <w:basedOn w:val="28"/>
    <w:qFormat/>
    <w:uiPriority w:val="0"/>
  </w:style>
  <w:style w:type="character" w:customStyle="1" w:styleId="115">
    <w:name w:val="layui-this2"/>
    <w:basedOn w:val="28"/>
    <w:qFormat/>
    <w:uiPriority w:val="0"/>
    <w:rPr>
      <w:bdr w:val="single" w:color="EEEEEE" w:sz="6" w:space="0"/>
      <w:shd w:val="clear" w:fill="FFFFFF"/>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2.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7B27AA1-DC5F-436E-B588-CEBA7FEE2BD4}">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39487</Words>
  <Characters>41362</Characters>
  <Lines>333</Lines>
  <Paragraphs>93</Paragraphs>
  <TotalTime>13</TotalTime>
  <ScaleCrop>false</ScaleCrop>
  <LinksUpToDate>false</LinksUpToDate>
  <CharactersWithSpaces>43150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2018-07-02T23:53:00Z</dcterms:created>
  <dc:creator>风之客</dc:creator>
  <cp:lastModifiedBy>ying</cp:lastModifiedBy>
  <cp:lastPrinted>2022-07-08T02:50:00Z</cp:lastPrinted>
  <dcterms:modified xsi:type="dcterms:W3CDTF">2022-08-05T03:31:18Z</dcterms:modified>
  <dc:title>湖 北  招 标</dc:title>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0893775613E244AFB9EB63BD0AF6EFDD</vt:lpwstr>
  </property>
</Properties>
</file>