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30"/>
          <w:szCs w:val="30"/>
        </w:rPr>
        <w:drawing>
          <wp:anchor distT="0" distB="0" distL="114300" distR="114300" simplePos="0" relativeHeight="251660288" behindDoc="0" locked="0" layoutInCell="1" allowOverlap="1">
            <wp:simplePos x="0" y="0"/>
            <wp:positionH relativeFrom="column">
              <wp:posOffset>11430</wp:posOffset>
            </wp:positionH>
            <wp:positionV relativeFrom="paragraph">
              <wp:posOffset>62865</wp:posOffset>
            </wp:positionV>
            <wp:extent cx="1222375" cy="784860"/>
            <wp:effectExtent l="0" t="0" r="15875" b="15240"/>
            <wp:wrapSquare wrapText="bothSides"/>
            <wp:docPr id="3" name="图片 5" descr="背景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背景墙"/>
                    <pic:cNvPicPr>
                      <a:picLocks noChangeAspect="1" noChangeArrowheads="1"/>
                    </pic:cNvPicPr>
                  </pic:nvPicPr>
                  <pic:blipFill>
                    <a:blip r:embed="rId9" cstate="print"/>
                    <a:srcRect/>
                    <a:stretch>
                      <a:fillRect/>
                    </a:stretch>
                  </pic:blipFill>
                  <pic:spPr>
                    <a:xfrm>
                      <a:off x="0" y="0"/>
                      <a:ext cx="1222375" cy="784860"/>
                    </a:xfrm>
                    <a:prstGeom prst="rect">
                      <a:avLst/>
                    </a:prstGeom>
                    <a:noFill/>
                    <a:ln w="9525" cmpd="sng">
                      <a:noFill/>
                      <a:miter lim="800000"/>
                      <a:headEnd/>
                      <a:tailEnd/>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p>
    <w:p>
      <w:pPr>
        <w:pStyle w:val="12"/>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2"/>
        <w:kinsoku w:val="0"/>
        <w:overflowPunct w:val="0"/>
        <w:rPr>
          <w:rFonts w:asciiTheme="minorEastAsia" w:hAnsiTheme="minorEastAsia" w:eastAsiaTheme="minorEastAsia" w:cstheme="minorEastAsia"/>
          <w:sz w:val="20"/>
        </w:rPr>
      </w:pPr>
    </w:p>
    <w:p>
      <w:pPr>
        <w:pStyle w:val="12"/>
        <w:kinsoku w:val="0"/>
        <w:overflowPunct w:val="0"/>
        <w:jc w:val="center"/>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spacing w:before="2" w:after="1"/>
        <w:rPr>
          <w:rFonts w:asciiTheme="minorEastAsia" w:hAnsiTheme="minorEastAsia" w:eastAsiaTheme="minorEastAsia" w:cstheme="minorEastAsia"/>
          <w:sz w:val="11"/>
        </w:rPr>
      </w:pPr>
    </w:p>
    <w:tbl>
      <w:tblPr>
        <w:tblStyle w:val="26"/>
        <w:tblW w:w="8146" w:type="dxa"/>
        <w:tblInd w:w="690" w:type="dxa"/>
        <w:tblLayout w:type="fixed"/>
        <w:tblCellMar>
          <w:top w:w="0" w:type="dxa"/>
          <w:left w:w="0" w:type="dxa"/>
          <w:bottom w:w="0" w:type="dxa"/>
          <w:right w:w="0" w:type="dxa"/>
        </w:tblCellMar>
      </w:tblPr>
      <w:tblGrid>
        <w:gridCol w:w="2093"/>
        <w:gridCol w:w="6053"/>
      </w:tblGrid>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line="320"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预算执行计划：</w:t>
            </w:r>
          </w:p>
        </w:tc>
        <w:tc>
          <w:tcPr>
            <w:tcW w:w="6053" w:type="dxa"/>
            <w:tcBorders>
              <w:top w:val="nil"/>
              <w:left w:val="nil"/>
              <w:bottom w:val="nil"/>
              <w:right w:val="nil"/>
              <w:tl2br w:val="nil"/>
              <w:tr2bl w:val="nil"/>
            </w:tcBorders>
            <w:vAlign w:val="center"/>
          </w:tcPr>
          <w:p>
            <w:pPr>
              <w:pStyle w:val="95"/>
              <w:kinsoku w:val="0"/>
              <w:overflowPunct w:val="0"/>
              <w:spacing w:line="320"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before="122"/>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 目  编 号：</w:t>
            </w:r>
          </w:p>
        </w:tc>
        <w:tc>
          <w:tcPr>
            <w:tcW w:w="6053" w:type="dxa"/>
            <w:tcBorders>
              <w:top w:val="nil"/>
              <w:left w:val="nil"/>
              <w:bottom w:val="nil"/>
              <w:right w:val="nil"/>
              <w:tl2br w:val="nil"/>
              <w:tr2bl w:val="nil"/>
            </w:tcBorders>
            <w:vAlign w:val="center"/>
          </w:tcPr>
          <w:p>
            <w:pPr>
              <w:pStyle w:val="95"/>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HGDXW21-066 /ZJZB-202108-238</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before="123"/>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 目  名 称：</w:t>
            </w:r>
          </w:p>
        </w:tc>
        <w:tc>
          <w:tcPr>
            <w:tcW w:w="6053" w:type="dxa"/>
            <w:tcBorders>
              <w:top w:val="nil"/>
              <w:left w:val="nil"/>
              <w:bottom w:val="nil"/>
              <w:right w:val="nil"/>
              <w:tl2br w:val="nil"/>
              <w:tr2bl w:val="nil"/>
            </w:tcBorders>
            <w:vAlign w:val="center"/>
          </w:tcPr>
          <w:p>
            <w:pPr>
              <w:pStyle w:val="95"/>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湖北工业大学材化学院学科建设进口设备采购项目（二）</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方 式：</w:t>
            </w:r>
          </w:p>
        </w:tc>
        <w:tc>
          <w:tcPr>
            <w:tcW w:w="6053" w:type="dxa"/>
            <w:tcBorders>
              <w:top w:val="nil"/>
              <w:left w:val="nil"/>
              <w:bottom w:val="nil"/>
              <w:right w:val="nil"/>
              <w:tl2br w:val="nil"/>
              <w:tr2bl w:val="nil"/>
            </w:tcBorders>
            <w:vAlign w:val="center"/>
          </w:tcPr>
          <w:p>
            <w:pPr>
              <w:pStyle w:val="95"/>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093"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类 别：</w:t>
            </w:r>
          </w:p>
        </w:tc>
        <w:tc>
          <w:tcPr>
            <w:tcW w:w="6053" w:type="dxa"/>
            <w:tcBorders>
              <w:top w:val="nil"/>
              <w:left w:val="nil"/>
              <w:bottom w:val="nil"/>
              <w:right w:val="nil"/>
              <w:tl2br w:val="nil"/>
              <w:tr2bl w:val="nil"/>
            </w:tcBorders>
            <w:vAlign w:val="center"/>
          </w:tcPr>
          <w:p>
            <w:pPr>
              <w:pStyle w:val="95"/>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rPr>
          <w:rFonts w:asciiTheme="minorEastAsia" w:hAnsiTheme="minorEastAsia" w:eastAsiaTheme="minorEastAsia" w:cstheme="minorEastAsia"/>
          <w:sz w:val="20"/>
        </w:rPr>
      </w:pPr>
    </w:p>
    <w:p>
      <w:pPr>
        <w:pStyle w:val="12"/>
        <w:kinsoku w:val="0"/>
        <w:overflowPunct w:val="0"/>
        <w:spacing w:before="4"/>
        <w:rPr>
          <w:rFonts w:asciiTheme="minorEastAsia" w:hAnsiTheme="minorEastAsia" w:eastAsiaTheme="minorEastAsia" w:cstheme="minorEastAsia"/>
          <w:sz w:val="20"/>
        </w:rPr>
      </w:pPr>
    </w:p>
    <w:tbl>
      <w:tblPr>
        <w:tblStyle w:val="26"/>
        <w:tblW w:w="8123" w:type="dxa"/>
        <w:tblInd w:w="713" w:type="dxa"/>
        <w:tblLayout w:type="fixed"/>
        <w:tblCellMar>
          <w:top w:w="0" w:type="dxa"/>
          <w:left w:w="0" w:type="dxa"/>
          <w:bottom w:w="0" w:type="dxa"/>
          <w:right w:w="0" w:type="dxa"/>
        </w:tblCellMar>
      </w:tblPr>
      <w:tblGrid>
        <w:gridCol w:w="2041"/>
        <w:gridCol w:w="6082"/>
      </w:tblGrid>
      <w:tr>
        <w:tblPrEx>
          <w:tblCellMar>
            <w:top w:w="0" w:type="dxa"/>
            <w:left w:w="0" w:type="dxa"/>
            <w:bottom w:w="0" w:type="dxa"/>
            <w:right w:w="0" w:type="dxa"/>
          </w:tblCellMar>
        </w:tblPrEx>
        <w:trPr>
          <w:trHeight w:val="441" w:hRule="atLeast"/>
        </w:trPr>
        <w:tc>
          <w:tcPr>
            <w:tcW w:w="2041"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82"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41"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82"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中经国际招标集团有限公司</w:t>
            </w:r>
          </w:p>
        </w:tc>
      </w:tr>
      <w:tr>
        <w:tblPrEx>
          <w:tblCellMar>
            <w:top w:w="0" w:type="dxa"/>
            <w:left w:w="0" w:type="dxa"/>
            <w:bottom w:w="0" w:type="dxa"/>
            <w:right w:w="0" w:type="dxa"/>
          </w:tblCellMar>
        </w:tblPrEx>
        <w:trPr>
          <w:trHeight w:val="442" w:hRule="atLeast"/>
        </w:trPr>
        <w:tc>
          <w:tcPr>
            <w:tcW w:w="2041"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 ：</w:t>
            </w:r>
          </w:p>
        </w:tc>
        <w:tc>
          <w:tcPr>
            <w:tcW w:w="6082" w:type="dxa"/>
            <w:tcBorders>
              <w:top w:val="nil"/>
              <w:left w:val="nil"/>
              <w:bottom w:val="nil"/>
              <w:right w:val="nil"/>
              <w:tl2br w:val="nil"/>
              <w:tr2bl w:val="nil"/>
            </w:tcBorders>
            <w:vAlign w:val="center"/>
          </w:tcPr>
          <w:p>
            <w:pPr>
              <w:pStyle w:val="95"/>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2021年</w:t>
            </w:r>
            <w:r>
              <w:rPr>
                <w:rFonts w:hint="eastAsia" w:asciiTheme="minorEastAsia" w:hAnsiTheme="minorEastAsia" w:eastAsiaTheme="minorEastAsia" w:cstheme="minorEastAsia"/>
                <w:b/>
                <w:sz w:val="28"/>
                <w:lang w:val="en-US" w:eastAsia="zh-CN"/>
              </w:rPr>
              <w:t>9</w:t>
            </w:r>
            <w:r>
              <w:rPr>
                <w:rFonts w:asciiTheme="minorEastAsia" w:hAnsiTheme="minorEastAsia" w:eastAsiaTheme="minorEastAsia" w:cstheme="minorEastAsia"/>
                <w:b/>
                <w:sz w:val="28"/>
              </w:rPr>
              <w:t>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0"/>
        <w:tabs>
          <w:tab w:val="right" w:leader="dot" w:pos="9072"/>
        </w:tabs>
        <w:rPr>
          <w:rFonts w:asciiTheme="minorEastAsia" w:hAnsiTheme="minorEastAsia" w:eastAsiaTheme="minorEastAsia"/>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fldChar w:fldCharType="begin"/>
      </w:r>
      <w:r>
        <w:instrText xml:space="preserve"> HYPERLINK \l "_Toc2158" </w:instrText>
      </w:r>
      <w:r>
        <w:fldChar w:fldCharType="separate"/>
      </w:r>
      <w:r>
        <w:rPr>
          <w:rFonts w:asciiTheme="minorEastAsia" w:hAnsiTheme="minorEastAsia" w:eastAsiaTheme="minorEastAsia"/>
          <w:bCs/>
          <w:szCs w:val="36"/>
        </w:rPr>
        <w:t xml:space="preserve">第一章 </w:t>
      </w:r>
      <w:r>
        <w:rPr>
          <w:rFonts w:hint="eastAsia" w:cs="宋体" w:asciiTheme="minorEastAsia" w:hAnsiTheme="minorEastAsia" w:eastAsiaTheme="minorEastAsia"/>
          <w:szCs w:val="36"/>
        </w:rPr>
        <w:t>竞争性磋商公告</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_Toc2158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"_Toc26346" </w:instrText>
      </w:r>
      <w:r>
        <w:fldChar w:fldCharType="separate"/>
      </w:r>
      <w:r>
        <w:rPr>
          <w:rFonts w:cs="宋体" w:asciiTheme="minorEastAsia" w:hAnsiTheme="minorEastAsia" w:eastAsiaTheme="minorEastAsia"/>
          <w:szCs w:val="21"/>
        </w:rPr>
        <w:t>一、</w:t>
      </w:r>
      <w:r>
        <w:rPr>
          <w:rFonts w:hint="eastAsia" w:cs="宋体" w:asciiTheme="minorEastAsia" w:hAnsiTheme="minorEastAsia" w:eastAsiaTheme="minorEastAsia"/>
          <w:szCs w:val="21"/>
        </w:rPr>
        <w:t>项目基本情况</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_Toc26346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"_Toc15326" </w:instrText>
      </w:r>
      <w:r>
        <w:fldChar w:fldCharType="separate"/>
      </w:r>
      <w:r>
        <w:rPr>
          <w:rFonts w:cs="宋体" w:asciiTheme="minorEastAsia" w:hAnsiTheme="minorEastAsia" w:eastAsiaTheme="minorEastAsia"/>
          <w:szCs w:val="21"/>
        </w:rPr>
        <w:t>二、</w:t>
      </w:r>
      <w:r>
        <w:rPr>
          <w:rFonts w:hint="eastAsia" w:cs="宋体" w:asciiTheme="minorEastAsia" w:hAnsiTheme="minorEastAsia" w:eastAsiaTheme="minorEastAsia"/>
          <w:szCs w:val="21"/>
        </w:rPr>
        <w:t>申请人的资格要求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_Toc15326 \h </w:instrText>
      </w:r>
      <w:r>
        <w:rPr>
          <w:rFonts w:asciiTheme="minorEastAsia" w:hAnsiTheme="minorEastAsia" w:eastAsiaTheme="minorEastAsia"/>
        </w:rPr>
        <w:fldChar w:fldCharType="separate"/>
      </w:r>
      <w:r>
        <w:rPr>
          <w:rFonts w:asciiTheme="minorEastAsia" w:hAnsiTheme="minorEastAsia" w:eastAsiaTheme="minorEastAsia"/>
        </w:rPr>
        <w:t>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"_Toc19765" </w:instrText>
      </w:r>
      <w:r>
        <w:fldChar w:fldCharType="separate"/>
      </w:r>
      <w:r>
        <w:rPr>
          <w:rFonts w:cs="宋体" w:asciiTheme="minorEastAsia" w:hAnsiTheme="minorEastAsia" w:eastAsiaTheme="minorEastAsia"/>
          <w:szCs w:val="21"/>
        </w:rPr>
        <w:t>三、</w:t>
      </w:r>
      <w:r>
        <w:rPr>
          <w:rFonts w:hint="eastAsia" w:cs="宋体" w:asciiTheme="minorEastAsia" w:hAnsiTheme="minorEastAsia" w:eastAsiaTheme="minorEastAsia"/>
          <w:szCs w:val="21"/>
        </w:rPr>
        <w:t>获取采购文件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_Toc19765 \h </w:instrText>
      </w:r>
      <w:r>
        <w:rPr>
          <w:rFonts w:asciiTheme="minorEastAsia" w:hAnsiTheme="minorEastAsia" w:eastAsiaTheme="minorEastAsia"/>
        </w:rPr>
        <w:fldChar w:fldCharType="separate"/>
      </w:r>
      <w:r>
        <w:rPr>
          <w:rFonts w:asciiTheme="minorEastAsia" w:hAnsiTheme="minorEastAsia" w:eastAsiaTheme="minorEastAsia"/>
        </w:rPr>
        <w:t>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"_Toc1096" </w:instrText>
      </w:r>
      <w:r>
        <w:fldChar w:fldCharType="separate"/>
      </w:r>
      <w:r>
        <w:rPr>
          <w:rFonts w:cs="宋体" w:asciiTheme="minorEastAsia" w:hAnsiTheme="minorEastAsia" w:eastAsiaTheme="minorEastAsia"/>
          <w:szCs w:val="21"/>
        </w:rPr>
        <w:t>四、</w:t>
      </w:r>
      <w:r>
        <w:rPr>
          <w:rFonts w:hint="eastAsia" w:cs="宋体" w:asciiTheme="minorEastAsia" w:hAnsiTheme="minorEastAsia" w:eastAsiaTheme="minorEastAsia"/>
          <w:szCs w:val="21"/>
        </w:rPr>
        <w:t>响应文件提交</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_Toc1096 \h </w:instrText>
      </w:r>
      <w:r>
        <w:rPr>
          <w:rFonts w:asciiTheme="minorEastAsia" w:hAnsiTheme="minorEastAsia" w:eastAsiaTheme="minorEastAsia"/>
        </w:rPr>
        <w:fldChar w:fldCharType="separate"/>
      </w:r>
      <w:r>
        <w:rPr>
          <w:rFonts w:asciiTheme="minorEastAsia" w:hAnsiTheme="minorEastAsia" w:eastAsiaTheme="minorEastAsia"/>
        </w:rPr>
        <w:t>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"_Toc2747" </w:instrText>
      </w:r>
      <w:r>
        <w:fldChar w:fldCharType="separate"/>
      </w:r>
      <w:r>
        <w:rPr>
          <w:rFonts w:asciiTheme="minorEastAsia" w:hAnsiTheme="minorEastAsia" w:eastAsiaTheme="minorEastAsia"/>
          <w:szCs w:val="21"/>
        </w:rPr>
        <w:t>五、</w:t>
      </w:r>
      <w:r>
        <w:rPr>
          <w:rFonts w:hint="eastAsia" w:cs="宋体" w:asciiTheme="minorEastAsia" w:hAnsiTheme="minorEastAsia" w:eastAsiaTheme="minorEastAsia"/>
          <w:szCs w:val="21"/>
        </w:rPr>
        <w:t>开启</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_Toc2747 \h </w:instrText>
      </w:r>
      <w:r>
        <w:rPr>
          <w:rFonts w:asciiTheme="minorEastAsia" w:hAnsiTheme="minorEastAsia" w:eastAsiaTheme="minorEastAsia"/>
        </w:rPr>
        <w:fldChar w:fldCharType="separate"/>
      </w:r>
      <w:r>
        <w:rPr>
          <w:rFonts w:asciiTheme="minorEastAsia" w:hAnsiTheme="minorEastAsia" w:eastAsiaTheme="minorEastAsia"/>
        </w:rPr>
        <w:t>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"_Toc28043" </w:instrText>
      </w:r>
      <w:r>
        <w:fldChar w:fldCharType="separate"/>
      </w:r>
      <w:r>
        <w:rPr>
          <w:rFonts w:cs="宋体" w:asciiTheme="minorEastAsia" w:hAnsiTheme="minorEastAsia" w:eastAsiaTheme="minorEastAsia"/>
          <w:szCs w:val="21"/>
        </w:rPr>
        <w:t>六、</w:t>
      </w:r>
      <w:r>
        <w:rPr>
          <w:rFonts w:hint="eastAsia" w:cs="宋体" w:asciiTheme="minorEastAsia" w:hAnsiTheme="minorEastAsia" w:eastAsiaTheme="minorEastAsia"/>
          <w:szCs w:val="21"/>
        </w:rPr>
        <w:t>公告期限</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_Toc28043 \h </w:instrText>
      </w:r>
      <w:r>
        <w:rPr>
          <w:rFonts w:asciiTheme="minorEastAsia" w:hAnsiTheme="minorEastAsia" w:eastAsiaTheme="minorEastAsia"/>
        </w:rPr>
        <w:fldChar w:fldCharType="separate"/>
      </w:r>
      <w:r>
        <w:rPr>
          <w:rFonts w:asciiTheme="minorEastAsia" w:hAnsiTheme="minorEastAsia" w:eastAsiaTheme="minorEastAsia"/>
        </w:rPr>
        <w:t>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"_Toc14092" </w:instrText>
      </w:r>
      <w:r>
        <w:fldChar w:fldCharType="separate"/>
      </w:r>
      <w:r>
        <w:rPr>
          <w:rFonts w:cs="宋体" w:asciiTheme="minorEastAsia" w:hAnsiTheme="minorEastAsia" w:eastAsiaTheme="minorEastAsia"/>
          <w:szCs w:val="21"/>
        </w:rPr>
        <w:t>七、</w:t>
      </w:r>
      <w:r>
        <w:rPr>
          <w:rFonts w:hint="eastAsia" w:cs="宋体" w:asciiTheme="minorEastAsia" w:hAnsiTheme="minorEastAsia" w:eastAsiaTheme="minorEastAsia"/>
          <w:szCs w:val="21"/>
        </w:rPr>
        <w:t>其他补充事宜</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_Toc14092 \h </w:instrText>
      </w:r>
      <w:r>
        <w:rPr>
          <w:rFonts w:asciiTheme="minorEastAsia" w:hAnsiTheme="minorEastAsia" w:eastAsiaTheme="minorEastAsia"/>
        </w:rPr>
        <w:fldChar w:fldCharType="separate"/>
      </w:r>
      <w:r>
        <w:rPr>
          <w:rFonts w:asciiTheme="minorEastAsia" w:hAnsiTheme="minorEastAsia" w:eastAsiaTheme="minorEastAsia"/>
        </w:rPr>
        <w:t>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"_Toc18279" </w:instrText>
      </w:r>
      <w:r>
        <w:fldChar w:fldCharType="separate"/>
      </w:r>
      <w:r>
        <w:rPr>
          <w:rFonts w:cs="宋体" w:asciiTheme="minorEastAsia" w:hAnsiTheme="minorEastAsia" w:eastAsiaTheme="minorEastAsia"/>
          <w:szCs w:val="21"/>
        </w:rPr>
        <w:t>八、</w:t>
      </w:r>
      <w:r>
        <w:rPr>
          <w:rFonts w:hint="eastAsia" w:cs="宋体" w:asciiTheme="minorEastAsia" w:hAnsiTheme="minorEastAsia" w:eastAsiaTheme="minorEastAsia"/>
          <w:szCs w:val="21"/>
        </w:rPr>
        <w:t>凡对本次采购提出询问，请按以下方式联系</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_Toc18279 \h </w:instrText>
      </w:r>
      <w:r>
        <w:rPr>
          <w:rFonts w:asciiTheme="minorEastAsia" w:hAnsiTheme="minorEastAsia" w:eastAsiaTheme="minorEastAsia"/>
        </w:rPr>
        <w:fldChar w:fldCharType="separate"/>
      </w:r>
      <w:r>
        <w:rPr>
          <w:rFonts w:asciiTheme="minorEastAsia" w:hAnsiTheme="minorEastAsia" w:eastAsiaTheme="minorEastAsia"/>
        </w:rPr>
        <w:t>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"_Toc18350" </w:instrText>
      </w:r>
      <w:r>
        <w:fldChar w:fldCharType="separate"/>
      </w:r>
      <w:r>
        <w:rPr>
          <w:rFonts w:asciiTheme="minorEastAsia" w:hAnsiTheme="minorEastAsia" w:eastAsiaTheme="minorEastAsia" w:cstheme="minorEastAsia"/>
          <w:szCs w:val="21"/>
        </w:rPr>
        <w:t xml:space="preserve">九、 </w:t>
      </w:r>
      <w:r>
        <w:rPr>
          <w:rFonts w:hint="eastAsia" w:asciiTheme="minorEastAsia" w:hAnsiTheme="minorEastAsia" w:eastAsiaTheme="minorEastAsia" w:cstheme="minorEastAsia"/>
          <w:szCs w:val="21"/>
        </w:rPr>
        <w:t>注意事项</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_Toc18350 \h </w:instrText>
      </w:r>
      <w:r>
        <w:rPr>
          <w:rFonts w:asciiTheme="minorEastAsia" w:hAnsiTheme="minorEastAsia" w:eastAsiaTheme="minorEastAsia"/>
        </w:rPr>
        <w:fldChar w:fldCharType="separate"/>
      </w:r>
      <w:r>
        <w:rPr>
          <w:rFonts w:asciiTheme="minorEastAsia" w:hAnsiTheme="minorEastAsia" w:eastAsiaTheme="minorEastAsia"/>
        </w:rPr>
        <w:t>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0"/>
        <w:tabs>
          <w:tab w:val="right" w:leader="dot" w:pos="9072"/>
        </w:tabs>
        <w:rPr>
          <w:rFonts w:asciiTheme="minorEastAsia" w:hAnsiTheme="minorEastAsia" w:eastAsiaTheme="minorEastAsia"/>
        </w:rPr>
      </w:pPr>
      <w:r>
        <w:fldChar w:fldCharType="begin"/>
      </w:r>
      <w:r>
        <w:instrText xml:space="preserve"> HYPERLINK \l "_Toc2816" </w:instrText>
      </w:r>
      <w:r>
        <w:fldChar w:fldCharType="separate"/>
      </w:r>
      <w:r>
        <w:rPr>
          <w:rFonts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_Toc2816 \h </w:instrText>
      </w:r>
      <w:r>
        <w:rPr>
          <w:rFonts w:asciiTheme="minorEastAsia" w:hAnsiTheme="minorEastAsia" w:eastAsiaTheme="minorEastAsia"/>
        </w:rPr>
        <w:fldChar w:fldCharType="separate"/>
      </w:r>
      <w:r>
        <w:rPr>
          <w:rFonts w:asciiTheme="minorEastAsia" w:hAnsiTheme="minorEastAsia" w:eastAsiaTheme="minorEastAsia"/>
        </w:rPr>
        <w:t>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"_Toc11271" </w:instrText>
      </w:r>
      <w:r>
        <w:fldChar w:fldCharType="separate"/>
      </w:r>
      <w:r>
        <w:rPr>
          <w:rFonts w:hint="eastAsia" w:asciiTheme="minorEastAsia" w:hAnsiTheme="minorEastAsia" w:eastAsiaTheme="minorEastAsia" w:cstheme="minorEastAsia"/>
          <w:szCs w:val="21"/>
        </w:rPr>
        <w:t>《供应商须知前附表》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_Toc11271 \h </w:instrText>
      </w:r>
      <w:r>
        <w:rPr>
          <w:rFonts w:asciiTheme="minorEastAsia" w:hAnsiTheme="minorEastAsia" w:eastAsiaTheme="minorEastAsia"/>
        </w:rPr>
        <w:fldChar w:fldCharType="separate"/>
      </w:r>
      <w:r>
        <w:rPr>
          <w:rFonts w:asciiTheme="minorEastAsia" w:hAnsiTheme="minorEastAsia" w:eastAsiaTheme="minorEastAsia"/>
        </w:rPr>
        <w:t>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"_Toc8626" </w:instrText>
      </w:r>
      <w:r>
        <w:fldChar w:fldCharType="separate"/>
      </w:r>
      <w:r>
        <w:rPr>
          <w:rFonts w:hint="eastAsia" w:asciiTheme="minorEastAsia" w:hAnsiTheme="minorEastAsia" w:eastAsiaTheme="minorEastAsia" w:cstheme="minorEastAsia"/>
          <w:szCs w:val="21"/>
        </w:rPr>
        <w:t>供应商须知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_Toc8626 \h </w:instrText>
      </w:r>
      <w:r>
        <w:rPr>
          <w:rFonts w:asciiTheme="minorEastAsia" w:hAnsiTheme="minorEastAsia" w:eastAsiaTheme="minorEastAsia"/>
        </w:rPr>
        <w:fldChar w:fldCharType="separate"/>
      </w:r>
      <w:r>
        <w:rPr>
          <w:rFonts w:asciiTheme="minorEastAsia" w:hAnsiTheme="minorEastAsia" w:eastAsiaTheme="minorEastAsia"/>
        </w:rPr>
        <w:t>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"_Toc10592" </w:instrText>
      </w:r>
      <w:r>
        <w:fldChar w:fldCharType="separate"/>
      </w:r>
      <w:r>
        <w:rPr>
          <w:rFonts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_Toc10592 \h </w:instrText>
      </w:r>
      <w:r>
        <w:rPr>
          <w:rFonts w:asciiTheme="minorEastAsia" w:hAnsiTheme="minorEastAsia" w:eastAsiaTheme="minorEastAsia"/>
        </w:rPr>
        <w:fldChar w:fldCharType="separate"/>
      </w:r>
      <w:r>
        <w:rPr>
          <w:rFonts w:asciiTheme="minorEastAsia" w:hAnsiTheme="minorEastAsia" w:eastAsiaTheme="minorEastAsia"/>
        </w:rPr>
        <w:t>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"_Toc16247" </w:instrText>
      </w:r>
      <w:r>
        <w:fldChar w:fldCharType="separate"/>
      </w:r>
      <w:r>
        <w:rPr>
          <w:rFonts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_Toc16247 \h </w:instrText>
      </w:r>
      <w:r>
        <w:rPr>
          <w:rFonts w:asciiTheme="minorEastAsia" w:hAnsiTheme="minorEastAsia" w:eastAsiaTheme="minorEastAsia"/>
        </w:rPr>
        <w:fldChar w:fldCharType="separate"/>
      </w:r>
      <w:r>
        <w:rPr>
          <w:rFonts w:asciiTheme="minorEastAsia" w:hAnsiTheme="minorEastAsia" w:eastAsiaTheme="minorEastAsia"/>
        </w:rPr>
        <w:t>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"_Toc67" </w:instrText>
      </w:r>
      <w:r>
        <w:fldChar w:fldCharType="separate"/>
      </w:r>
      <w:r>
        <w:rPr>
          <w:rFonts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_Toc67 \h </w:instrText>
      </w:r>
      <w:r>
        <w:rPr>
          <w:rFonts w:asciiTheme="minorEastAsia" w:hAnsiTheme="minorEastAsia" w:eastAsiaTheme="minorEastAsia"/>
        </w:rPr>
        <w:fldChar w:fldCharType="separate"/>
      </w:r>
      <w:r>
        <w:rPr>
          <w:rFonts w:asciiTheme="minorEastAsia" w:hAnsiTheme="minorEastAsia" w:eastAsiaTheme="minorEastAsia"/>
        </w:rPr>
        <w:t>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"_Toc21853" </w:instrText>
      </w:r>
      <w:r>
        <w:fldChar w:fldCharType="separate"/>
      </w:r>
      <w:r>
        <w:rPr>
          <w:rFonts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_Toc21853 \h </w:instrText>
      </w:r>
      <w:r>
        <w:rPr>
          <w:rFonts w:asciiTheme="minorEastAsia" w:hAnsiTheme="minorEastAsia" w:eastAsiaTheme="minorEastAsia"/>
        </w:rPr>
        <w:fldChar w:fldCharType="separate"/>
      </w:r>
      <w:r>
        <w:rPr>
          <w:rFonts w:asciiTheme="minorEastAsia" w:hAnsiTheme="minorEastAsia" w:eastAsiaTheme="minorEastAsia"/>
        </w:rPr>
        <w:t>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"_Toc28033" </w:instrText>
      </w:r>
      <w:r>
        <w:fldChar w:fldCharType="separate"/>
      </w:r>
      <w:r>
        <w:rPr>
          <w:rFonts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_Toc28033 \h </w:instrText>
      </w:r>
      <w:r>
        <w:rPr>
          <w:rFonts w:asciiTheme="minorEastAsia" w:hAnsiTheme="minorEastAsia" w:eastAsiaTheme="minorEastAsia"/>
        </w:rPr>
        <w:fldChar w:fldCharType="separate"/>
      </w:r>
      <w:r>
        <w:rPr>
          <w:rFonts w:asciiTheme="minorEastAsia" w:hAnsiTheme="minorEastAsia" w:eastAsiaTheme="minorEastAsia"/>
        </w:rPr>
        <w:t>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"_Toc1259" </w:instrText>
      </w:r>
      <w:r>
        <w:fldChar w:fldCharType="separate"/>
      </w:r>
      <w:r>
        <w:rPr>
          <w:rFonts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_Toc1259 \h </w:instrText>
      </w:r>
      <w:r>
        <w:rPr>
          <w:rFonts w:asciiTheme="minorEastAsia" w:hAnsiTheme="minorEastAsia" w:eastAsiaTheme="minorEastAsia"/>
        </w:rPr>
        <w:fldChar w:fldCharType="separate"/>
      </w:r>
      <w:r>
        <w:rPr>
          <w:rFonts w:asciiTheme="minorEastAsia" w:hAnsiTheme="minorEastAsia" w:eastAsiaTheme="minorEastAsia"/>
        </w:rPr>
        <w:t>10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"_Toc27806" </w:instrText>
      </w:r>
      <w:r>
        <w:fldChar w:fldCharType="separate"/>
      </w:r>
      <w:r>
        <w:rPr>
          <w:rFonts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_Toc27806 \h </w:instrText>
      </w:r>
      <w:r>
        <w:rPr>
          <w:rFonts w:asciiTheme="minorEastAsia" w:hAnsiTheme="minorEastAsia" w:eastAsiaTheme="minorEastAsia"/>
        </w:rPr>
        <w:fldChar w:fldCharType="separate"/>
      </w:r>
      <w:r>
        <w:rPr>
          <w:rFonts w:asciiTheme="minorEastAsia" w:hAnsiTheme="minorEastAsia" w:eastAsiaTheme="minorEastAsia"/>
        </w:rPr>
        <w:t>10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"_Toc864" </w:instrText>
      </w:r>
      <w:r>
        <w:fldChar w:fldCharType="separate"/>
      </w:r>
      <w:r>
        <w:rPr>
          <w:rFonts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_Toc864 \h </w:instrText>
      </w:r>
      <w:r>
        <w:rPr>
          <w:rFonts w:asciiTheme="minorEastAsia" w:hAnsiTheme="minorEastAsia" w:eastAsiaTheme="minorEastAsia"/>
        </w:rPr>
        <w:fldChar w:fldCharType="separate"/>
      </w:r>
      <w:r>
        <w:rPr>
          <w:rFonts w:asciiTheme="minorEastAsia" w:hAnsiTheme="minorEastAsia" w:eastAsiaTheme="minorEastAsia"/>
        </w:rPr>
        <w:t>10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"_Toc3708" </w:instrText>
      </w:r>
      <w:r>
        <w:fldChar w:fldCharType="separate"/>
      </w:r>
      <w:r>
        <w:rPr>
          <w:rFonts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_Toc3708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"_Toc5166" </w:instrText>
      </w:r>
      <w:r>
        <w:fldChar w:fldCharType="separate"/>
      </w:r>
      <w:r>
        <w:rPr>
          <w:rFonts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_Toc5166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"_Toc3705" </w:instrText>
      </w:r>
      <w:r>
        <w:fldChar w:fldCharType="separate"/>
      </w:r>
      <w:r>
        <w:rPr>
          <w:rFonts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_Toc3705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"_Toc15400" </w:instrText>
      </w:r>
      <w:r>
        <w:fldChar w:fldCharType="separate"/>
      </w:r>
      <w:r>
        <w:rPr>
          <w:rFonts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_Toc15400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"_Toc24922" </w:instrText>
      </w:r>
      <w:r>
        <w:fldChar w:fldCharType="separate"/>
      </w:r>
      <w:r>
        <w:rPr>
          <w:rFonts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_Toc24922 \h </w:instrText>
      </w:r>
      <w:r>
        <w:rPr>
          <w:rFonts w:asciiTheme="minorEastAsia" w:hAnsiTheme="minorEastAsia" w:eastAsiaTheme="minorEastAsia"/>
        </w:rPr>
        <w:fldChar w:fldCharType="separate"/>
      </w:r>
      <w:r>
        <w:rPr>
          <w:rFonts w:asciiTheme="minorEastAsia" w:hAnsiTheme="minorEastAsia" w:eastAsiaTheme="minorEastAsia"/>
        </w:rPr>
        <w:t>11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"_Toc6966" </w:instrText>
      </w:r>
      <w:r>
        <w:fldChar w:fldCharType="separate"/>
      </w:r>
      <w:r>
        <w:rPr>
          <w:rFonts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_Toc6966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"_Toc5308" </w:instrText>
      </w:r>
      <w:r>
        <w:fldChar w:fldCharType="separate"/>
      </w:r>
      <w:r>
        <w:rPr>
          <w:rFonts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_Toc5308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"_Toc2188" </w:instrText>
      </w:r>
      <w:r>
        <w:fldChar w:fldCharType="separate"/>
      </w:r>
      <w:r>
        <w:rPr>
          <w:rFonts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_Toc2188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"_Toc19171" </w:instrText>
      </w:r>
      <w:r>
        <w:fldChar w:fldCharType="separate"/>
      </w:r>
      <w:r>
        <w:rPr>
          <w:rFonts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_Toc19171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"_Toc11703" </w:instrText>
      </w:r>
      <w:r>
        <w:fldChar w:fldCharType="separate"/>
      </w:r>
      <w:r>
        <w:rPr>
          <w:rFonts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_Toc11703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"_Toc15899" </w:instrText>
      </w:r>
      <w:r>
        <w:fldChar w:fldCharType="separate"/>
      </w:r>
      <w:r>
        <w:rPr>
          <w:rFonts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_Toc15899 \h </w:instrText>
      </w:r>
      <w:r>
        <w:rPr>
          <w:rFonts w:asciiTheme="minorEastAsia" w:hAnsiTheme="minorEastAsia" w:eastAsiaTheme="minorEastAsia"/>
        </w:rPr>
        <w:fldChar w:fldCharType="separate"/>
      </w:r>
      <w:r>
        <w:rPr>
          <w:rFonts w:asciiTheme="minorEastAsia" w:hAnsiTheme="minorEastAsia" w:eastAsiaTheme="minorEastAsia"/>
        </w:rPr>
        <w:t>13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"_Toc32514" </w:instrText>
      </w:r>
      <w:r>
        <w:fldChar w:fldCharType="separate"/>
      </w:r>
      <w:r>
        <w:rPr>
          <w:rFonts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_Toc32514 \h </w:instrText>
      </w:r>
      <w:r>
        <w:rPr>
          <w:rFonts w:asciiTheme="minorEastAsia" w:hAnsiTheme="minorEastAsia" w:eastAsiaTheme="minorEastAsia"/>
        </w:rPr>
        <w:fldChar w:fldCharType="separate"/>
      </w:r>
      <w:r>
        <w:rPr>
          <w:rFonts w:asciiTheme="minorEastAsia" w:hAnsiTheme="minorEastAsia" w:eastAsiaTheme="minorEastAsia"/>
        </w:rPr>
        <w:t>14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"_Toc20487" </w:instrText>
      </w:r>
      <w:r>
        <w:fldChar w:fldCharType="separate"/>
      </w:r>
      <w:r>
        <w:rPr>
          <w:rFonts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_Toc20487 \h </w:instrText>
      </w:r>
      <w:r>
        <w:rPr>
          <w:rFonts w:asciiTheme="minorEastAsia" w:hAnsiTheme="minorEastAsia" w:eastAsiaTheme="minorEastAsia"/>
        </w:rPr>
        <w:fldChar w:fldCharType="separate"/>
      </w:r>
      <w:r>
        <w:rPr>
          <w:rFonts w:asciiTheme="minorEastAsia" w:hAnsiTheme="minorEastAsia" w:eastAsiaTheme="minorEastAsia"/>
        </w:rPr>
        <w:t>14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"_Toc9208" </w:instrText>
      </w:r>
      <w:r>
        <w:fldChar w:fldCharType="separate"/>
      </w:r>
      <w:r>
        <w:rPr>
          <w:rFonts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_Toc9208 \h </w:instrText>
      </w:r>
      <w:r>
        <w:rPr>
          <w:rFonts w:asciiTheme="minorEastAsia" w:hAnsiTheme="minorEastAsia" w:eastAsiaTheme="minorEastAsia"/>
        </w:rPr>
        <w:fldChar w:fldCharType="separate"/>
      </w:r>
      <w:r>
        <w:rPr>
          <w:rFonts w:asciiTheme="minorEastAsia" w:hAnsiTheme="minorEastAsia" w:eastAsiaTheme="minorEastAsia"/>
        </w:rPr>
        <w:t>14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"_Toc3224" </w:instrText>
      </w:r>
      <w:r>
        <w:fldChar w:fldCharType="separate"/>
      </w:r>
      <w:r>
        <w:rPr>
          <w:rFonts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_Toc3224 \h </w:instrText>
      </w:r>
      <w:r>
        <w:rPr>
          <w:rFonts w:asciiTheme="minorEastAsia" w:hAnsiTheme="minorEastAsia" w:eastAsiaTheme="minorEastAsia"/>
        </w:rPr>
        <w:fldChar w:fldCharType="separate"/>
      </w:r>
      <w:r>
        <w:rPr>
          <w:rFonts w:asciiTheme="minorEastAsia" w:hAnsiTheme="minorEastAsia" w:eastAsiaTheme="minorEastAsia"/>
        </w:rPr>
        <w:t>14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"_Toc14611" </w:instrText>
      </w:r>
      <w:r>
        <w:fldChar w:fldCharType="separate"/>
      </w:r>
      <w:r>
        <w:rPr>
          <w:rFonts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_Toc14611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"_Toc1405" </w:instrText>
      </w:r>
      <w:r>
        <w:fldChar w:fldCharType="separate"/>
      </w:r>
      <w:r>
        <w:rPr>
          <w:rFonts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_Toc1405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"_Toc23519" </w:instrText>
      </w:r>
      <w:r>
        <w:fldChar w:fldCharType="separate"/>
      </w:r>
      <w:r>
        <w:rPr>
          <w:rFonts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_Toc23519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"_Toc21065" </w:instrText>
      </w:r>
      <w:r>
        <w:fldChar w:fldCharType="separate"/>
      </w:r>
      <w:r>
        <w:rPr>
          <w:rFonts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_Toc21065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"_Toc15628" </w:instrText>
      </w:r>
      <w:r>
        <w:fldChar w:fldCharType="separate"/>
      </w:r>
      <w:r>
        <w:rPr>
          <w:rFonts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_Toc15628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"_Toc8874" </w:instrText>
      </w:r>
      <w:r>
        <w:fldChar w:fldCharType="separate"/>
      </w:r>
      <w:r>
        <w:rPr>
          <w:rFonts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_Toc8874 \h </w:instrText>
      </w:r>
      <w:r>
        <w:rPr>
          <w:rFonts w:asciiTheme="minorEastAsia" w:hAnsiTheme="minorEastAsia" w:eastAsiaTheme="minorEastAsia"/>
        </w:rPr>
        <w:fldChar w:fldCharType="separate"/>
      </w:r>
      <w:r>
        <w:rPr>
          <w:rFonts w:asciiTheme="minorEastAsia" w:hAnsiTheme="minorEastAsia" w:eastAsiaTheme="minorEastAsia"/>
        </w:rPr>
        <w:t>15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"_Toc4173" </w:instrText>
      </w:r>
      <w:r>
        <w:fldChar w:fldCharType="separate"/>
      </w:r>
      <w:r>
        <w:rPr>
          <w:rFonts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_Toc4173 \h </w:instrText>
      </w:r>
      <w:r>
        <w:rPr>
          <w:rFonts w:asciiTheme="minorEastAsia" w:hAnsiTheme="minorEastAsia" w:eastAsiaTheme="minorEastAsia"/>
        </w:rPr>
        <w:fldChar w:fldCharType="separate"/>
      </w:r>
      <w:r>
        <w:rPr>
          <w:rFonts w:asciiTheme="minorEastAsia" w:hAnsiTheme="minorEastAsia" w:eastAsiaTheme="minorEastAsia"/>
        </w:rPr>
        <w:t>16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"_Toc31580" </w:instrText>
      </w:r>
      <w:r>
        <w:fldChar w:fldCharType="separate"/>
      </w:r>
      <w:r>
        <w:rPr>
          <w:rFonts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_Toc31580 \h </w:instrText>
      </w:r>
      <w:r>
        <w:rPr>
          <w:rFonts w:asciiTheme="minorEastAsia" w:hAnsiTheme="minorEastAsia" w:eastAsiaTheme="minorEastAsia"/>
        </w:rPr>
        <w:fldChar w:fldCharType="separate"/>
      </w:r>
      <w:r>
        <w:rPr>
          <w:rFonts w:asciiTheme="minorEastAsia" w:hAnsiTheme="minorEastAsia" w:eastAsiaTheme="minorEastAsia"/>
        </w:rPr>
        <w:t>16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"_Toc12279" </w:instrText>
      </w:r>
      <w:r>
        <w:fldChar w:fldCharType="separate"/>
      </w:r>
      <w:r>
        <w:rPr>
          <w:rFonts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_Toc12279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"_Toc15300" </w:instrText>
      </w:r>
      <w:r>
        <w:fldChar w:fldCharType="separate"/>
      </w:r>
      <w:r>
        <w:rPr>
          <w:rFonts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_Toc15300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"_Toc15026" </w:instrText>
      </w:r>
      <w:r>
        <w:fldChar w:fldCharType="separate"/>
      </w:r>
      <w:r>
        <w:rPr>
          <w:rFonts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_Toc15026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"_Toc14680" </w:instrText>
      </w:r>
      <w:r>
        <w:fldChar w:fldCharType="separate"/>
      </w:r>
      <w:r>
        <w:rPr>
          <w:rFonts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_Toc14680 \h </w:instrText>
      </w:r>
      <w:r>
        <w:rPr>
          <w:rFonts w:asciiTheme="minorEastAsia" w:hAnsiTheme="minorEastAsia" w:eastAsiaTheme="minorEastAsia"/>
        </w:rPr>
        <w:fldChar w:fldCharType="separate"/>
      </w:r>
      <w:r>
        <w:rPr>
          <w:rFonts w:asciiTheme="minorEastAsia" w:hAnsiTheme="minorEastAsia" w:eastAsiaTheme="minorEastAsia"/>
        </w:rPr>
        <w:t>17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"_Toc25545" </w:instrText>
      </w:r>
      <w:r>
        <w:fldChar w:fldCharType="separate"/>
      </w:r>
      <w:r>
        <w:rPr>
          <w:rFonts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_Toc25545 \h </w:instrText>
      </w:r>
      <w:r>
        <w:rPr>
          <w:rFonts w:asciiTheme="minorEastAsia" w:hAnsiTheme="minorEastAsia" w:eastAsiaTheme="minorEastAsia"/>
        </w:rPr>
        <w:fldChar w:fldCharType="separate"/>
      </w:r>
      <w:r>
        <w:rPr>
          <w:rFonts w:asciiTheme="minorEastAsia" w:hAnsiTheme="minorEastAsia" w:eastAsiaTheme="minorEastAsia"/>
        </w:rPr>
        <w:t>19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"_Toc26423" </w:instrText>
      </w:r>
      <w:r>
        <w:fldChar w:fldCharType="separate"/>
      </w:r>
      <w:r>
        <w:rPr>
          <w:rFonts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_Toc26423 \h </w:instrText>
      </w:r>
      <w:r>
        <w:rPr>
          <w:rFonts w:asciiTheme="minorEastAsia" w:hAnsiTheme="minorEastAsia" w:eastAsiaTheme="minorEastAsia"/>
        </w:rPr>
        <w:fldChar w:fldCharType="separate"/>
      </w:r>
      <w:r>
        <w:rPr>
          <w:rFonts w:asciiTheme="minorEastAsia" w:hAnsiTheme="minorEastAsia" w:eastAsiaTheme="minorEastAsia"/>
        </w:rPr>
        <w:t>19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"_Toc13016" </w:instrText>
      </w:r>
      <w:r>
        <w:fldChar w:fldCharType="separate"/>
      </w:r>
      <w:r>
        <w:rPr>
          <w:rFonts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_Toc13016 \h </w:instrText>
      </w:r>
      <w:r>
        <w:rPr>
          <w:rFonts w:asciiTheme="minorEastAsia" w:hAnsiTheme="minorEastAsia" w:eastAsiaTheme="minorEastAsia"/>
        </w:rPr>
        <w:fldChar w:fldCharType="separate"/>
      </w:r>
      <w:r>
        <w:rPr>
          <w:rFonts w:asciiTheme="minorEastAsia" w:hAnsiTheme="minorEastAsia" w:eastAsiaTheme="minorEastAsia"/>
        </w:rPr>
        <w:t>19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"_Toc29605" </w:instrText>
      </w:r>
      <w:r>
        <w:fldChar w:fldCharType="separate"/>
      </w:r>
      <w:r>
        <w:rPr>
          <w:rFonts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_Toc29605 \h </w:instrText>
      </w:r>
      <w:r>
        <w:rPr>
          <w:rFonts w:asciiTheme="minorEastAsia" w:hAnsiTheme="minorEastAsia" w:eastAsiaTheme="minorEastAsia"/>
        </w:rPr>
        <w:fldChar w:fldCharType="separate"/>
      </w:r>
      <w:r>
        <w:rPr>
          <w:rFonts w:asciiTheme="minorEastAsia" w:hAnsiTheme="minorEastAsia" w:eastAsiaTheme="minorEastAsia"/>
        </w:rPr>
        <w:t>19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"_Toc5597" </w:instrText>
      </w:r>
      <w:r>
        <w:fldChar w:fldCharType="separate"/>
      </w:r>
      <w:r>
        <w:rPr>
          <w:rFonts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_Toc5597 \h </w:instrText>
      </w:r>
      <w:r>
        <w:rPr>
          <w:rFonts w:asciiTheme="minorEastAsia" w:hAnsiTheme="minorEastAsia" w:eastAsiaTheme="minorEastAsia"/>
        </w:rPr>
        <w:fldChar w:fldCharType="separate"/>
      </w:r>
      <w:r>
        <w:rPr>
          <w:rFonts w:asciiTheme="minorEastAsia" w:hAnsiTheme="minorEastAsia" w:eastAsiaTheme="minorEastAsia"/>
        </w:rPr>
        <w:t>20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"_Toc21064" </w:instrText>
      </w:r>
      <w:r>
        <w:fldChar w:fldCharType="separate"/>
      </w:r>
      <w:r>
        <w:rPr>
          <w:rFonts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_Toc21064 \h </w:instrText>
      </w:r>
      <w:r>
        <w:rPr>
          <w:rFonts w:asciiTheme="minorEastAsia" w:hAnsiTheme="minorEastAsia" w:eastAsiaTheme="minorEastAsia"/>
        </w:rPr>
        <w:fldChar w:fldCharType="separate"/>
      </w:r>
      <w:r>
        <w:rPr>
          <w:rFonts w:asciiTheme="minorEastAsia" w:hAnsiTheme="minorEastAsia" w:eastAsiaTheme="minorEastAsia"/>
        </w:rPr>
        <w:t>20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0"/>
        <w:tabs>
          <w:tab w:val="right" w:leader="dot" w:pos="9072"/>
        </w:tabs>
        <w:rPr>
          <w:rFonts w:asciiTheme="minorEastAsia" w:hAnsiTheme="minorEastAsia" w:eastAsiaTheme="minorEastAsia"/>
        </w:rPr>
      </w:pPr>
      <w:r>
        <w:fldChar w:fldCharType="begin"/>
      </w:r>
      <w:r>
        <w:instrText xml:space="preserve"> HYPERLINK \l "_Toc259" </w:instrText>
      </w:r>
      <w:r>
        <w:fldChar w:fldCharType="separate"/>
      </w:r>
      <w:r>
        <w:rPr>
          <w:rFonts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_Toc259 \h </w:instrText>
      </w:r>
      <w:r>
        <w:rPr>
          <w:rFonts w:asciiTheme="minorEastAsia" w:hAnsiTheme="minorEastAsia" w:eastAsiaTheme="minorEastAsia"/>
        </w:rPr>
        <w:fldChar w:fldCharType="separate"/>
      </w:r>
      <w:r>
        <w:rPr>
          <w:rFonts w:asciiTheme="minorEastAsia" w:hAnsiTheme="minorEastAsia" w:eastAsiaTheme="minorEastAsia"/>
        </w:rPr>
        <w:t>22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"_Toc8527" </w:instrText>
      </w:r>
      <w:r>
        <w:fldChar w:fldCharType="separate"/>
      </w:r>
      <w:r>
        <w:rPr>
          <w:rFonts w:hint="eastAsia" w:asciiTheme="minorEastAsia" w:hAnsiTheme="minorEastAsia" w:eastAsiaTheme="minorEastAsia" w:cstheme="minorEastAsia"/>
          <w:bCs/>
        </w:rPr>
        <w:t>一、技术需求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_Toc8527 \h </w:instrText>
      </w:r>
      <w:r>
        <w:rPr>
          <w:rFonts w:asciiTheme="minorEastAsia" w:hAnsiTheme="minorEastAsia" w:eastAsiaTheme="minorEastAsia"/>
        </w:rPr>
        <w:fldChar w:fldCharType="separate"/>
      </w:r>
      <w:r>
        <w:rPr>
          <w:rFonts w:asciiTheme="minorEastAsia" w:hAnsiTheme="minorEastAsia" w:eastAsiaTheme="minorEastAsia"/>
        </w:rPr>
        <w:t>22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"_Toc29089" </w:instrText>
      </w:r>
      <w:r>
        <w:fldChar w:fldCharType="separate"/>
      </w:r>
      <w:r>
        <w:rPr>
          <w:rFonts w:hint="eastAsia" w:asciiTheme="minorEastAsia" w:hAnsiTheme="minorEastAsia" w:eastAsiaTheme="minorEastAsia" w:cstheme="minorEastAsia"/>
          <w:bCs/>
        </w:rPr>
        <w:t>二、商务需求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_Toc29089 \h </w:instrText>
      </w:r>
      <w:r>
        <w:rPr>
          <w:rFonts w:asciiTheme="minorEastAsia" w:hAnsiTheme="minorEastAsia" w:eastAsiaTheme="minorEastAsia"/>
        </w:rPr>
        <w:fldChar w:fldCharType="separate"/>
      </w:r>
      <w:r>
        <w:rPr>
          <w:rFonts w:asciiTheme="minorEastAsia" w:hAnsiTheme="minorEastAsia" w:eastAsiaTheme="minorEastAsia"/>
        </w:rPr>
        <w:t>24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0"/>
        <w:tabs>
          <w:tab w:val="right" w:leader="dot" w:pos="9072"/>
        </w:tabs>
        <w:rPr>
          <w:rFonts w:asciiTheme="minorEastAsia" w:hAnsiTheme="minorEastAsia" w:eastAsiaTheme="minorEastAsia"/>
        </w:rPr>
      </w:pPr>
      <w:r>
        <w:fldChar w:fldCharType="begin"/>
      </w:r>
      <w:r>
        <w:instrText xml:space="preserve"> HYPERLINK \l "_Toc2296" </w:instrText>
      </w:r>
      <w:r>
        <w:fldChar w:fldCharType="separate"/>
      </w:r>
      <w:r>
        <w:rPr>
          <w:rFonts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_Toc2296 \h </w:instrText>
      </w:r>
      <w:r>
        <w:rPr>
          <w:rFonts w:asciiTheme="minorEastAsia" w:hAnsiTheme="minorEastAsia" w:eastAsiaTheme="minorEastAsia"/>
        </w:rPr>
        <w:fldChar w:fldCharType="separate"/>
      </w:r>
      <w:r>
        <w:rPr>
          <w:rFonts w:asciiTheme="minorEastAsia" w:hAnsiTheme="minorEastAsia" w:eastAsiaTheme="minorEastAsia"/>
        </w:rPr>
        <w:t>27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"_Toc5692" </w:instrText>
      </w:r>
      <w:r>
        <w:fldChar w:fldCharType="separate"/>
      </w:r>
      <w:r>
        <w:rPr>
          <w:rFonts w:hint="eastAsia" w:asciiTheme="minorEastAsia" w:hAnsiTheme="minorEastAsia" w:eastAsiaTheme="minorEastAsia" w:cstheme="minorEastAsia"/>
          <w:szCs w:val="21"/>
        </w:rPr>
        <w:t>一、评定办法前附表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_Toc5692 \h </w:instrText>
      </w:r>
      <w:r>
        <w:rPr>
          <w:rFonts w:asciiTheme="minorEastAsia" w:hAnsiTheme="minorEastAsia" w:eastAsiaTheme="minorEastAsia"/>
        </w:rPr>
        <w:fldChar w:fldCharType="separate"/>
      </w:r>
      <w:r>
        <w:rPr>
          <w:rFonts w:asciiTheme="minorEastAsia" w:hAnsiTheme="minorEastAsia" w:eastAsiaTheme="minorEastAsia"/>
        </w:rPr>
        <w:t>27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"_Toc28679" </w:instrText>
      </w:r>
      <w:r>
        <w:fldChar w:fldCharType="separate"/>
      </w:r>
      <w:r>
        <w:rPr>
          <w:rFonts w:hint="eastAsia" w:asciiTheme="minorEastAsia" w:hAnsiTheme="minorEastAsia" w:eastAsiaTheme="minorEastAsia" w:cstheme="minorEastAsia"/>
          <w:szCs w:val="21"/>
        </w:rPr>
        <w:t>二、计算办法</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_Toc28679 \h </w:instrText>
      </w:r>
      <w:r>
        <w:rPr>
          <w:rFonts w:asciiTheme="minorEastAsia" w:hAnsiTheme="minorEastAsia" w:eastAsiaTheme="minorEastAsia"/>
        </w:rPr>
        <w:fldChar w:fldCharType="separate"/>
      </w:r>
      <w:r>
        <w:rPr>
          <w:rFonts w:asciiTheme="minorEastAsia" w:hAnsiTheme="minorEastAsia" w:eastAsiaTheme="minorEastAsia"/>
        </w:rPr>
        <w:t>30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"_Toc29995" </w:instrText>
      </w:r>
      <w:r>
        <w:fldChar w:fldCharType="separate"/>
      </w:r>
      <w:r>
        <w:rPr>
          <w:rFonts w:hint="eastAsia" w:asciiTheme="minorEastAsia" w:hAnsiTheme="minorEastAsia" w:eastAsiaTheme="minorEastAsia" w:cstheme="minorEastAsia"/>
          <w:szCs w:val="21"/>
        </w:rPr>
        <w:t>三、评分细则</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_Toc29995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"_Toc24298" </w:instrText>
      </w:r>
      <w:r>
        <w:fldChar w:fldCharType="separate"/>
      </w:r>
      <w:r>
        <w:rPr>
          <w:rFonts w:hint="eastAsia" w:asciiTheme="minorEastAsia" w:hAnsiTheme="minorEastAsia" w:eastAsiaTheme="minorEastAsia" w:cstheme="minorEastAsia"/>
          <w:szCs w:val="21"/>
        </w:rPr>
        <w:t>四、评定办法</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_Toc24298 \h </w:instrText>
      </w:r>
      <w:r>
        <w:rPr>
          <w:rFonts w:asciiTheme="minorEastAsia" w:hAnsiTheme="minorEastAsia" w:eastAsiaTheme="minorEastAsia"/>
        </w:rPr>
        <w:fldChar w:fldCharType="separate"/>
      </w:r>
      <w:r>
        <w:rPr>
          <w:rFonts w:asciiTheme="minorEastAsia" w:hAnsiTheme="minorEastAsia" w:eastAsiaTheme="minorEastAsia"/>
        </w:rPr>
        <w:t>33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"_Toc23659" </w:instrText>
      </w:r>
      <w:r>
        <w:fldChar w:fldCharType="separate"/>
      </w:r>
      <w:r>
        <w:rPr>
          <w:rFonts w:hint="eastAsia" w:asciiTheme="minorEastAsia" w:hAnsiTheme="minorEastAsia" w:eastAsiaTheme="minorEastAsia" w:cstheme="minorEastAsia"/>
          <w:szCs w:val="21"/>
        </w:rPr>
        <w:t>五、磋商及评审步骤</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_Toc23659 \h </w:instrText>
      </w:r>
      <w:r>
        <w:rPr>
          <w:rFonts w:asciiTheme="minorEastAsia" w:hAnsiTheme="minorEastAsia" w:eastAsiaTheme="minorEastAsia"/>
        </w:rPr>
        <w:fldChar w:fldCharType="separate"/>
      </w:r>
      <w:r>
        <w:rPr>
          <w:rFonts w:asciiTheme="minorEastAsia" w:hAnsiTheme="minorEastAsia" w:eastAsiaTheme="minorEastAsia"/>
        </w:rPr>
        <w:t>34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0"/>
        <w:tabs>
          <w:tab w:val="right" w:leader="dot" w:pos="9072"/>
        </w:tabs>
        <w:rPr>
          <w:rFonts w:asciiTheme="minorEastAsia" w:hAnsiTheme="minorEastAsia" w:eastAsiaTheme="minorEastAsia"/>
        </w:rPr>
      </w:pPr>
      <w:r>
        <w:fldChar w:fldCharType="begin"/>
      </w:r>
      <w:r>
        <w:instrText xml:space="preserve"> HYPERLINK \l "_Toc22793" </w:instrText>
      </w:r>
      <w:r>
        <w:fldChar w:fldCharType="separate"/>
      </w:r>
      <w:r>
        <w:rPr>
          <w:rFonts w:cs="宋体" w:asciiTheme="minorEastAsia" w:hAnsiTheme="minorEastAsia" w:eastAsiaTheme="minorEastAsia"/>
          <w:szCs w:val="36"/>
        </w:rPr>
        <w:t xml:space="preserve">第五章 </w:t>
      </w:r>
      <w:r>
        <w:rPr>
          <w:rFonts w:hint="eastAsia" w:asciiTheme="minorEastAsia" w:hAnsiTheme="minorEastAsia" w:eastAsiaTheme="minorEastAsia" w:cstheme="minorEastAsia"/>
          <w:szCs w:val="36"/>
        </w:rPr>
        <w:t>合同书格式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_Toc22793 \h </w:instrText>
      </w:r>
      <w:r>
        <w:rPr>
          <w:rFonts w:asciiTheme="minorEastAsia" w:hAnsiTheme="minorEastAsia" w:eastAsiaTheme="minorEastAsia"/>
        </w:rPr>
        <w:fldChar w:fldCharType="separate"/>
      </w:r>
      <w:r>
        <w:rPr>
          <w:rFonts w:asciiTheme="minorEastAsia" w:hAnsiTheme="minorEastAsia" w:eastAsiaTheme="minorEastAsia"/>
        </w:rPr>
        <w:t>36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0"/>
        <w:tabs>
          <w:tab w:val="right" w:leader="dot" w:pos="9072"/>
        </w:tabs>
        <w:rPr>
          <w:rFonts w:asciiTheme="minorEastAsia" w:hAnsiTheme="minorEastAsia" w:eastAsiaTheme="minorEastAsia"/>
        </w:rPr>
      </w:pPr>
      <w:r>
        <w:fldChar w:fldCharType="begin"/>
      </w:r>
      <w:r>
        <w:instrText xml:space="preserve"> HYPERLINK \l "_Toc25506" </w:instrText>
      </w:r>
      <w:r>
        <w:fldChar w:fldCharType="separate"/>
      </w:r>
      <w:r>
        <w:rPr>
          <w:rFonts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_Toc25506 \h </w:instrText>
      </w:r>
      <w:r>
        <w:rPr>
          <w:rFonts w:asciiTheme="minorEastAsia" w:hAnsiTheme="minorEastAsia" w:eastAsiaTheme="minorEastAsia"/>
        </w:rPr>
        <w:fldChar w:fldCharType="separate"/>
      </w:r>
      <w:r>
        <w:rPr>
          <w:rFonts w:asciiTheme="minorEastAsia" w:hAnsiTheme="minorEastAsia" w:eastAsiaTheme="minorEastAsia"/>
        </w:rPr>
        <w:t>39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"_Toc8071" </w:instrText>
      </w:r>
      <w:r>
        <w:fldChar w:fldCharType="separate"/>
      </w:r>
      <w:r>
        <w:rPr>
          <w:rFonts w:hint="eastAsia" w:cs="宋体" w:asciiTheme="minorEastAsia" w:hAnsiTheme="minorEastAsia" w:eastAsiaTheme="minorEastAsia"/>
          <w:szCs w:val="21"/>
        </w:rPr>
        <w:t>一、评分标准索引表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_Toc8071 \h </w:instrText>
      </w:r>
      <w:r>
        <w:rPr>
          <w:rFonts w:asciiTheme="minorEastAsia" w:hAnsiTheme="minorEastAsia" w:eastAsiaTheme="minorEastAsia"/>
        </w:rPr>
        <w:fldChar w:fldCharType="separate"/>
      </w:r>
      <w:r>
        <w:rPr>
          <w:rFonts w:asciiTheme="minorEastAsia" w:hAnsiTheme="minorEastAsia" w:eastAsiaTheme="minorEastAsia"/>
        </w:rPr>
        <w:t>40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"_Toc25724" </w:instrText>
      </w:r>
      <w:r>
        <w:fldChar w:fldCharType="separate"/>
      </w:r>
      <w:r>
        <w:rPr>
          <w:rFonts w:hint="eastAsia" w:asciiTheme="minorEastAsia" w:hAnsiTheme="minorEastAsia" w:eastAsiaTheme="minorEastAsia" w:cstheme="minorEastAsia"/>
        </w:rPr>
        <w:t>二、磋商书</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_Toc25724 \h </w:instrText>
      </w:r>
      <w:r>
        <w:rPr>
          <w:rFonts w:asciiTheme="minorEastAsia" w:hAnsiTheme="minorEastAsia" w:eastAsiaTheme="minorEastAsia"/>
        </w:rPr>
        <w:fldChar w:fldCharType="separate"/>
      </w:r>
      <w:r>
        <w:rPr>
          <w:rFonts w:asciiTheme="minorEastAsia" w:hAnsiTheme="minorEastAsia" w:eastAsiaTheme="minorEastAsia"/>
        </w:rPr>
        <w:t>41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"_Toc18597" </w:instrText>
      </w:r>
      <w:r>
        <w:fldChar w:fldCharType="separate"/>
      </w:r>
      <w:r>
        <w:rPr>
          <w:rFonts w:hint="eastAsia" w:asciiTheme="minorEastAsia" w:hAnsiTheme="minorEastAsia" w:eastAsiaTheme="minorEastAsia" w:cstheme="minorEastAsia"/>
        </w:rPr>
        <w:t>三、法定代表人授权书</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_Toc18597 \h </w:instrText>
      </w:r>
      <w:r>
        <w:rPr>
          <w:rFonts w:asciiTheme="minorEastAsia" w:hAnsiTheme="minorEastAsia" w:eastAsiaTheme="minorEastAsia"/>
        </w:rPr>
        <w:fldChar w:fldCharType="separate"/>
      </w:r>
      <w:r>
        <w:rPr>
          <w:rFonts w:asciiTheme="minorEastAsia" w:hAnsiTheme="minorEastAsia" w:eastAsiaTheme="minorEastAsia"/>
        </w:rPr>
        <w:t>42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"_Toc27712" </w:instrText>
      </w:r>
      <w: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_Toc27712 \h </w:instrText>
      </w:r>
      <w:r>
        <w:rPr>
          <w:rFonts w:asciiTheme="minorEastAsia" w:hAnsiTheme="minorEastAsia" w:eastAsiaTheme="minorEastAsia"/>
        </w:rPr>
        <w:fldChar w:fldCharType="separate"/>
      </w:r>
      <w:r>
        <w:rPr>
          <w:rFonts w:asciiTheme="minorEastAsia" w:hAnsiTheme="minorEastAsia" w:eastAsiaTheme="minorEastAsia"/>
        </w:rPr>
        <w:t>43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"_Toc5531" </w:instrText>
      </w:r>
      <w:r>
        <w:fldChar w:fldCharType="separate"/>
      </w:r>
      <w:r>
        <w:rPr>
          <w:rFonts w:hint="eastAsia" w:asciiTheme="minorEastAsia" w:hAnsiTheme="minorEastAsia" w:eastAsiaTheme="minorEastAsia" w:cstheme="minorEastAsia"/>
          <w:bCs/>
          <w:szCs w:val="21"/>
        </w:rPr>
        <w:t>五、报价一览表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_Toc5531 \h </w:instrText>
      </w:r>
      <w:r>
        <w:rPr>
          <w:rFonts w:asciiTheme="minorEastAsia" w:hAnsiTheme="minorEastAsia" w:eastAsiaTheme="minorEastAsia"/>
        </w:rPr>
        <w:fldChar w:fldCharType="separate"/>
      </w:r>
      <w:r>
        <w:rPr>
          <w:rFonts w:asciiTheme="minorEastAsia" w:hAnsiTheme="minorEastAsia" w:eastAsiaTheme="minorEastAsia"/>
        </w:rPr>
        <w:t>44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"_Toc4020" </w:instrText>
      </w:r>
      <w:r>
        <w:fldChar w:fldCharType="separate"/>
      </w:r>
      <w:r>
        <w:rPr>
          <w:rFonts w:hint="eastAsia" w:asciiTheme="minorEastAsia" w:hAnsiTheme="minorEastAsia" w:eastAsiaTheme="minorEastAsia" w:cstheme="minorEastAsia"/>
          <w:bCs/>
          <w:szCs w:val="21"/>
        </w:rPr>
        <w:t>六、报价费用构成表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_Toc4020 \h </w:instrText>
      </w:r>
      <w:r>
        <w:rPr>
          <w:rFonts w:asciiTheme="minorEastAsia" w:hAnsiTheme="minorEastAsia" w:eastAsiaTheme="minorEastAsia"/>
        </w:rPr>
        <w:fldChar w:fldCharType="separate"/>
      </w:r>
      <w:r>
        <w:rPr>
          <w:rFonts w:asciiTheme="minorEastAsia" w:hAnsiTheme="minorEastAsia" w:eastAsiaTheme="minorEastAsia"/>
        </w:rPr>
        <w:t>45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"_Toc26332" </w:instrText>
      </w:r>
      <w:r>
        <w:fldChar w:fldCharType="separate"/>
      </w:r>
      <w:r>
        <w:rPr>
          <w:rFonts w:hint="eastAsia" w:asciiTheme="minorEastAsia" w:hAnsiTheme="minorEastAsia" w:eastAsiaTheme="minorEastAsia" w:cstheme="minorEastAsia"/>
          <w:bCs/>
          <w:szCs w:val="21"/>
        </w:rPr>
        <w:t>七、耗材清单</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_Toc26332 \h </w:instrText>
      </w:r>
      <w:r>
        <w:rPr>
          <w:rFonts w:asciiTheme="minorEastAsia" w:hAnsiTheme="minorEastAsia" w:eastAsiaTheme="minorEastAsia"/>
        </w:rPr>
        <w:fldChar w:fldCharType="separate"/>
      </w:r>
      <w:r>
        <w:rPr>
          <w:rFonts w:asciiTheme="minorEastAsia" w:hAnsiTheme="minorEastAsia" w:eastAsiaTheme="minorEastAsia"/>
        </w:rPr>
        <w:t>46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"_Toc22839" </w:instrText>
      </w:r>
      <w:r>
        <w:fldChar w:fldCharType="separate"/>
      </w:r>
      <w:r>
        <w:rPr>
          <w:rFonts w:hint="eastAsia" w:asciiTheme="minorEastAsia" w:hAnsiTheme="minorEastAsia" w:eastAsiaTheme="minorEastAsia" w:cstheme="minorEastAsia"/>
          <w:bCs/>
          <w:szCs w:val="21"/>
        </w:rPr>
        <w:t>八、拟投入设备/备件、工具情况</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_Toc22839 \h </w:instrText>
      </w:r>
      <w:r>
        <w:rPr>
          <w:rFonts w:asciiTheme="minorEastAsia" w:hAnsiTheme="minorEastAsia" w:eastAsiaTheme="minorEastAsia"/>
        </w:rPr>
        <w:fldChar w:fldCharType="separate"/>
      </w:r>
      <w:r>
        <w:rPr>
          <w:rFonts w:asciiTheme="minorEastAsia" w:hAnsiTheme="minorEastAsia" w:eastAsiaTheme="minorEastAsia"/>
        </w:rPr>
        <w:t>47</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"_Toc542" </w:instrText>
      </w:r>
      <w:r>
        <w:fldChar w:fldCharType="separate"/>
      </w:r>
      <w:r>
        <w:rPr>
          <w:rFonts w:hint="eastAsia" w:asciiTheme="minorEastAsia" w:hAnsiTheme="minorEastAsia" w:eastAsiaTheme="minorEastAsia" w:cstheme="minorEastAsia"/>
          <w:bCs/>
          <w:szCs w:val="21"/>
        </w:rPr>
        <w:t>九、缴纳保证金的银行凭证（如有）</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_Toc542 \h </w:instrText>
      </w:r>
      <w:r>
        <w:rPr>
          <w:rFonts w:asciiTheme="minorEastAsia" w:hAnsiTheme="minorEastAsia" w:eastAsiaTheme="minorEastAsia"/>
        </w:rPr>
        <w:fldChar w:fldCharType="separate"/>
      </w:r>
      <w:r>
        <w:rPr>
          <w:rFonts w:asciiTheme="minorEastAsia" w:hAnsiTheme="minorEastAsia" w:eastAsiaTheme="minorEastAsia"/>
        </w:rPr>
        <w:t>48</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"_Toc4403" </w:instrText>
      </w:r>
      <w:r>
        <w:fldChar w:fldCharType="separate"/>
      </w:r>
      <w:r>
        <w:rPr>
          <w:rFonts w:hint="eastAsia" w:asciiTheme="minorEastAsia" w:hAnsiTheme="minorEastAsia" w:eastAsiaTheme="minorEastAsia" w:cstheme="minorEastAsia"/>
          <w:bCs/>
          <w:szCs w:val="21"/>
        </w:rPr>
        <w:t>十、偏离说明表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_Toc4403 \h </w:instrText>
      </w:r>
      <w:r>
        <w:rPr>
          <w:rFonts w:asciiTheme="minorEastAsia" w:hAnsiTheme="minorEastAsia" w:eastAsiaTheme="minorEastAsia"/>
        </w:rPr>
        <w:fldChar w:fldCharType="separate"/>
      </w:r>
      <w:r>
        <w:rPr>
          <w:rFonts w:asciiTheme="minorEastAsia" w:hAnsiTheme="minorEastAsia" w:eastAsiaTheme="minorEastAsia"/>
        </w:rPr>
        <w:t>49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"_Toc27009" </w:instrText>
      </w:r>
      <w: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_Toc27009 \h </w:instrText>
      </w:r>
      <w:r>
        <w:rPr>
          <w:rFonts w:asciiTheme="minorEastAsia" w:hAnsiTheme="minorEastAsia" w:eastAsiaTheme="minorEastAsia"/>
        </w:rPr>
        <w:fldChar w:fldCharType="separate"/>
      </w:r>
      <w:r>
        <w:rPr>
          <w:rFonts w:asciiTheme="minorEastAsia" w:hAnsiTheme="minorEastAsia" w:eastAsiaTheme="minorEastAsia"/>
        </w:rPr>
        <w:t>50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"_Toc10021" </w:instrText>
      </w:r>
      <w:r>
        <w:fldChar w:fldCharType="separate"/>
      </w:r>
      <w:r>
        <w:rPr>
          <w:rFonts w:hint="eastAsia" w:asciiTheme="minorEastAsia" w:hAnsiTheme="minorEastAsia" w:eastAsiaTheme="minorEastAsia" w:cstheme="minorEastAsia"/>
          <w:bCs/>
          <w:szCs w:val="21"/>
        </w:rPr>
        <w:t>十二、拟投入项目组人员一览表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_Toc10021 \h </w:instrText>
      </w:r>
      <w:r>
        <w:rPr>
          <w:rFonts w:asciiTheme="minorEastAsia" w:hAnsiTheme="minorEastAsia" w:eastAsiaTheme="minorEastAsia"/>
        </w:rPr>
        <w:fldChar w:fldCharType="separate"/>
      </w:r>
      <w:r>
        <w:rPr>
          <w:rFonts w:asciiTheme="minorEastAsia" w:hAnsiTheme="minorEastAsia" w:eastAsiaTheme="minorEastAsia"/>
        </w:rPr>
        <w:t>51</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"_Toc21764" </w:instrText>
      </w:r>
      <w: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_Toc21764 \h </w:instrText>
      </w:r>
      <w:r>
        <w:rPr>
          <w:rFonts w:asciiTheme="minorEastAsia" w:hAnsiTheme="minorEastAsia" w:eastAsiaTheme="minorEastAsia"/>
        </w:rPr>
        <w:fldChar w:fldCharType="separate"/>
      </w:r>
      <w:r>
        <w:rPr>
          <w:rFonts w:asciiTheme="minorEastAsia" w:hAnsiTheme="minorEastAsia" w:eastAsiaTheme="minorEastAsia"/>
        </w:rPr>
        <w:t>52</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"_Toc10162" </w:instrText>
      </w:r>
      <w: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_Toc10162 \h </w:instrText>
      </w:r>
      <w:r>
        <w:rPr>
          <w:rFonts w:asciiTheme="minorEastAsia" w:hAnsiTheme="minorEastAsia" w:eastAsiaTheme="minorEastAsia"/>
        </w:rPr>
        <w:fldChar w:fldCharType="separate"/>
      </w:r>
      <w:r>
        <w:rPr>
          <w:rFonts w:asciiTheme="minorEastAsia" w:hAnsiTheme="minorEastAsia" w:eastAsiaTheme="minorEastAsia"/>
        </w:rPr>
        <w:t>53</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"_Toc10423" </w:instrText>
      </w:r>
      <w:r>
        <w:fldChar w:fldCharType="separate"/>
      </w:r>
      <w:r>
        <w:rPr>
          <w:rFonts w:hint="eastAsia" w:asciiTheme="minorEastAsia" w:hAnsiTheme="minorEastAsia" w:eastAsiaTheme="minorEastAsia" w:cstheme="minorEastAsia"/>
          <w:bCs/>
          <w:kern w:val="0"/>
          <w:szCs w:val="21"/>
        </w:rPr>
        <w:t>十五、报价技术文件</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_Toc10423 \h </w:instrText>
      </w:r>
      <w:r>
        <w:rPr>
          <w:rFonts w:asciiTheme="minorEastAsia" w:hAnsiTheme="minorEastAsia" w:eastAsiaTheme="minorEastAsia"/>
        </w:rPr>
        <w:fldChar w:fldCharType="separate"/>
      </w:r>
      <w:r>
        <w:rPr>
          <w:rFonts w:asciiTheme="minorEastAsia" w:hAnsiTheme="minorEastAsia" w:eastAsiaTheme="minorEastAsia"/>
        </w:rPr>
        <w:t>54</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"_Toc20651" </w:instrText>
      </w:r>
      <w: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_Toc20651 \h </w:instrText>
      </w:r>
      <w:r>
        <w:rPr>
          <w:rFonts w:asciiTheme="minorEastAsia" w:hAnsiTheme="minorEastAsia" w:eastAsiaTheme="minorEastAsia"/>
        </w:rPr>
        <w:fldChar w:fldCharType="separate"/>
      </w:r>
      <w:r>
        <w:rPr>
          <w:rFonts w:asciiTheme="minorEastAsia" w:hAnsiTheme="minorEastAsia" w:eastAsiaTheme="minorEastAsia"/>
        </w:rPr>
        <w:t>55</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"_Toc21821" </w:instrText>
      </w:r>
      <w: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_Toc21821 \h </w:instrText>
      </w:r>
      <w:r>
        <w:rPr>
          <w:rFonts w:asciiTheme="minorEastAsia" w:hAnsiTheme="minorEastAsia" w:eastAsiaTheme="minorEastAsia"/>
        </w:rPr>
        <w:fldChar w:fldCharType="separate"/>
      </w:r>
      <w:r>
        <w:rPr>
          <w:rFonts w:asciiTheme="minorEastAsia" w:hAnsiTheme="minorEastAsia" w:eastAsiaTheme="minorEastAsia"/>
        </w:rPr>
        <w:t>56</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"_Toc6636" </w:instrText>
      </w:r>
      <w:r>
        <w:fldChar w:fldCharType="separate"/>
      </w:r>
      <w:r>
        <w:rPr>
          <w:rFonts w:hint="eastAsia" w:asciiTheme="minorEastAsia" w:hAnsiTheme="minorEastAsia" w:eastAsiaTheme="minorEastAsia" w:cstheme="minorEastAsia"/>
          <w:spacing w:val="6"/>
          <w:szCs w:val="21"/>
        </w:rPr>
        <w:t xml:space="preserve"> </w:t>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_Toc6636 \h </w:instrText>
      </w:r>
      <w:r>
        <w:rPr>
          <w:rFonts w:asciiTheme="minorEastAsia" w:hAnsiTheme="minorEastAsia" w:eastAsiaTheme="minorEastAsia"/>
        </w:rPr>
        <w:fldChar w:fldCharType="separate"/>
      </w:r>
      <w:r>
        <w:rPr>
          <w:rFonts w:asciiTheme="minorEastAsia" w:hAnsiTheme="minorEastAsia" w:eastAsiaTheme="minorEastAsia"/>
        </w:rPr>
        <w:t>58</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"_Toc15773" </w:instrText>
      </w:r>
      <w:r>
        <w:fldChar w:fldCharType="separate"/>
      </w:r>
      <w:r>
        <w:rPr>
          <w:rFonts w:hint="eastAsia" w:asciiTheme="minorEastAsia" w:hAnsiTheme="minorEastAsia" w:eastAsiaTheme="minorEastAsia" w:cstheme="minorEastAsia"/>
        </w:rPr>
        <w:t>十九、节能环保产品证明材料（若符合）</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_Toc15773 \h </w:instrText>
      </w:r>
      <w:r>
        <w:rPr>
          <w:rFonts w:asciiTheme="minorEastAsia" w:hAnsiTheme="minorEastAsia" w:eastAsiaTheme="minorEastAsia"/>
        </w:rPr>
        <w:fldChar w:fldCharType="separate"/>
      </w:r>
      <w:r>
        <w:rPr>
          <w:rFonts w:asciiTheme="minorEastAsia" w:hAnsiTheme="minorEastAsia" w:eastAsiaTheme="minorEastAsia"/>
        </w:rPr>
        <w:t>59</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"_Toc635" </w:instrText>
      </w:r>
      <w: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_Toc635 \h </w:instrText>
      </w:r>
      <w:r>
        <w:rPr>
          <w:rFonts w:asciiTheme="minorEastAsia" w:hAnsiTheme="minorEastAsia" w:eastAsiaTheme="minorEastAsia"/>
        </w:rPr>
        <w:fldChar w:fldCharType="separate"/>
      </w:r>
      <w:r>
        <w:rPr>
          <w:rFonts w:asciiTheme="minorEastAsia" w:hAnsiTheme="minorEastAsia" w:eastAsiaTheme="minorEastAsia"/>
        </w:rPr>
        <w:t>60</w:t>
      </w:r>
      <w:r>
        <w:rPr>
          <w:rFonts w:asciiTheme="minorEastAsia" w:hAnsiTheme="minorEastAsia" w:eastAsiaTheme="minorEastAsia"/>
        </w:rPr>
        <w:fldChar w:fldCharType="end"/>
      </w:r>
      <w:r>
        <w:rPr>
          <w:rFonts w:asciiTheme="minorEastAsia" w:hAnsiTheme="minorEastAsia" w:eastAsiaTheme="minorEastAsia"/>
        </w:rPr>
        <w:fldChar w:fldCharType="end"/>
      </w:r>
    </w:p>
    <w:p>
      <w:pPr>
        <w:pStyle w:val="22"/>
        <w:tabs>
          <w:tab w:val="right" w:leader="dot" w:pos="9072"/>
        </w:tabs>
        <w:rPr>
          <w:rFonts w:asciiTheme="minorEastAsia" w:hAnsiTheme="minorEastAsia" w:eastAsiaTheme="minorEastAsia"/>
        </w:rPr>
      </w:pPr>
      <w:r>
        <w:fldChar w:fldCharType="begin"/>
      </w:r>
      <w:r>
        <w:instrText xml:space="preserve"> HYPERLINK \l "_Toc21630" </w:instrText>
      </w:r>
      <w:r>
        <w:fldChar w:fldCharType="separate"/>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_Toc21630 \h </w:instrText>
      </w:r>
      <w:r>
        <w:rPr>
          <w:rFonts w:asciiTheme="minorEastAsia" w:hAnsiTheme="minorEastAsia" w:eastAsiaTheme="minorEastAsia"/>
        </w:rPr>
        <w:fldChar w:fldCharType="separate"/>
      </w:r>
      <w:r>
        <w:rPr>
          <w:rFonts w:asciiTheme="minorEastAsia" w:hAnsiTheme="minorEastAsia" w:eastAsiaTheme="minorEastAsia"/>
        </w:rPr>
        <w:t>60</w:t>
      </w:r>
      <w:r>
        <w:rPr>
          <w:rFonts w:asciiTheme="minorEastAsia" w:hAnsiTheme="minorEastAsia" w:eastAsiaTheme="minorEastAsia"/>
        </w:rPr>
        <w:fldChar w:fldCharType="end"/>
      </w:r>
      <w:r>
        <w:rPr>
          <w:rFonts w:asciiTheme="minorEastAsia" w:hAnsiTheme="minorEastAsia" w:eastAsiaTheme="minorEastAsia"/>
        </w:rPr>
        <w:fldChar w:fldCharType="end"/>
      </w:r>
    </w:p>
    <w:p>
      <w:pPr>
        <w:spacing w:line="36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numPr>
          <w:ilvl w:val="0"/>
          <w:numId w:val="5"/>
        </w:numPr>
        <w:spacing w:line="360" w:lineRule="auto"/>
        <w:jc w:val="center"/>
        <w:outlineLvl w:val="0"/>
        <w:rPr>
          <w:rFonts w:asciiTheme="minorEastAsia" w:hAnsiTheme="minorEastAsia" w:eastAsiaTheme="minorEastAsia"/>
          <w:b/>
          <w:bCs/>
          <w:sz w:val="24"/>
        </w:rPr>
      </w:pPr>
      <w:bookmarkStart w:id="0" w:name="_Toc6866"/>
      <w:bookmarkStart w:id="1" w:name="_Toc2158"/>
      <w:bookmarkStart w:id="2" w:name="_Toc25194"/>
      <w:r>
        <w:rPr>
          <w:rFonts w:hint="eastAsia" w:cs="宋体" w:asciiTheme="minorEastAsia" w:hAnsiTheme="minorEastAsia" w:eastAsiaTheme="minorEastAsia"/>
          <w:b/>
          <w:sz w:val="36"/>
          <w:szCs w:val="36"/>
        </w:rPr>
        <w:t>竞争性磋商公告</w:t>
      </w:r>
      <w:bookmarkEnd w:id="0"/>
      <w:bookmarkEnd w:id="1"/>
      <w:bookmarkEnd w:id="2"/>
      <w:bookmarkStart w:id="3" w:name="_Toc524908844"/>
      <w:bookmarkStart w:id="4" w:name="_Toc9976"/>
      <w:bookmarkStart w:id="5" w:name="_Toc152042288"/>
      <w:bookmarkStart w:id="6" w:name="_Toc144974480"/>
      <w:bookmarkStart w:id="7" w:name="_Toc152045512"/>
      <w:bookmarkStart w:id="8" w:name="_Toc179632528"/>
    </w:p>
    <w:bookmarkEnd w:id="3"/>
    <w:bookmarkEnd w:id="4"/>
    <w:bookmarkEnd w:id="5"/>
    <w:bookmarkEnd w:id="6"/>
    <w:bookmarkEnd w:id="7"/>
    <w:bookmarkEnd w:id="8"/>
    <w:p>
      <w:pPr>
        <w:pBdr>
          <w:top w:val="single" w:color="auto" w:sz="4" w:space="1"/>
          <w:left w:val="single" w:color="auto" w:sz="4" w:space="4"/>
          <w:bottom w:val="single" w:color="auto" w:sz="4" w:space="1"/>
          <w:right w:val="single" w:color="auto" w:sz="4" w:space="4"/>
        </w:pBdr>
        <w:spacing w:line="360" w:lineRule="auto"/>
        <w:jc w:val="left"/>
        <w:rPr>
          <w:rFonts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湖北工业大学材化学院学科建设进口设备采购项目（二）</w:t>
      </w:r>
      <w:r>
        <w:rPr>
          <w:rFonts w:hint="eastAsia" w:cs="宋体" w:asciiTheme="minorEastAsia" w:hAnsiTheme="minorEastAsia" w:eastAsiaTheme="minorEastAsia"/>
          <w:szCs w:val="21"/>
        </w:rPr>
        <w:t>的潜在供应商应在</w:t>
      </w:r>
      <w:r>
        <w:rPr>
          <w:rFonts w:hint="eastAsia" w:cs="宋体" w:asciiTheme="minorEastAsia" w:hAnsiTheme="minorEastAsia" w:eastAsiaTheme="minorEastAsia"/>
          <w:color w:val="000000"/>
          <w:szCs w:val="21"/>
          <w:u w:val="single"/>
        </w:rPr>
        <w:t>中经国际招标集团有限公司（武昌区中北路岳家嘴立交山河企业大厦48楼480</w:t>
      </w:r>
      <w:r>
        <w:rPr>
          <w:rFonts w:hint="eastAsia" w:cs="宋体" w:asciiTheme="minorEastAsia" w:hAnsiTheme="minorEastAsia" w:eastAsiaTheme="minorEastAsia"/>
          <w:szCs w:val="21"/>
          <w:u w:val="single"/>
        </w:rPr>
        <w:t>5室）</w:t>
      </w:r>
      <w:r>
        <w:rPr>
          <w:rFonts w:hint="eastAsia" w:cs="宋体" w:asciiTheme="minorEastAsia" w:hAnsiTheme="minorEastAsia" w:eastAsiaTheme="minorEastAsia"/>
          <w:szCs w:val="21"/>
        </w:rPr>
        <w:t>获取采购</w:t>
      </w:r>
      <w:r>
        <w:rPr>
          <w:rFonts w:hint="eastAsia" w:cs="宋体" w:asciiTheme="minorEastAsia" w:hAnsiTheme="minorEastAsia" w:eastAsiaTheme="minorEastAsia"/>
          <w:color w:val="000000"/>
          <w:szCs w:val="21"/>
        </w:rPr>
        <w:t>文件</w:t>
      </w:r>
      <w:r>
        <w:rPr>
          <w:rFonts w:hint="eastAsia" w:cs="宋体" w:asciiTheme="minorEastAsia" w:hAnsiTheme="minorEastAsia" w:eastAsiaTheme="minorEastAsia"/>
          <w:szCs w:val="21"/>
        </w:rPr>
        <w:t>，并于</w:t>
      </w:r>
      <w:r>
        <w:rPr>
          <w:rFonts w:hint="eastAsia" w:cs="宋体" w:asciiTheme="minorEastAsia" w:hAnsiTheme="minorEastAsia" w:eastAsiaTheme="minorEastAsia"/>
          <w:szCs w:val="21"/>
          <w:u w:val="single"/>
        </w:rPr>
        <w:t>2021年</w:t>
      </w:r>
      <w:r>
        <w:rPr>
          <w:rFonts w:hint="eastAsia" w:cs="宋体" w:asciiTheme="minorEastAsia" w:hAnsiTheme="minorEastAsia" w:eastAsiaTheme="minorEastAsia"/>
          <w:szCs w:val="21"/>
          <w:u w:val="single"/>
          <w:lang w:val="en-US" w:eastAsia="zh-CN"/>
        </w:rPr>
        <w:t>9</w:t>
      </w:r>
      <w:r>
        <w:rPr>
          <w:rFonts w:hint="eastAsia" w:cs="宋体" w:asciiTheme="minorEastAsia" w:hAnsiTheme="minorEastAsia" w:eastAsiaTheme="minorEastAsia"/>
          <w:szCs w:val="21"/>
          <w:u w:val="single"/>
        </w:rPr>
        <w:t>月</w:t>
      </w:r>
      <w:r>
        <w:rPr>
          <w:rFonts w:hint="eastAsia" w:cs="宋体" w:asciiTheme="minorEastAsia" w:hAnsiTheme="minorEastAsia" w:eastAsiaTheme="minorEastAsia"/>
          <w:szCs w:val="21"/>
          <w:u w:val="single"/>
          <w:lang w:val="en-US" w:eastAsia="zh-CN"/>
        </w:rPr>
        <w:t>30</w:t>
      </w:r>
      <w:r>
        <w:rPr>
          <w:rFonts w:hint="eastAsia" w:cs="宋体" w:asciiTheme="minorEastAsia" w:hAnsiTheme="minorEastAsia" w:eastAsiaTheme="minorEastAsia"/>
          <w:szCs w:val="21"/>
          <w:u w:val="single"/>
        </w:rPr>
        <w:t>日</w:t>
      </w:r>
      <w:r>
        <w:rPr>
          <w:rFonts w:hint="eastAsia" w:cs="宋体" w:asciiTheme="minorEastAsia" w:hAnsiTheme="minorEastAsia" w:eastAsiaTheme="minorEastAsia"/>
          <w:szCs w:val="21"/>
          <w:u w:val="single"/>
          <w:lang w:val="en-US" w:eastAsia="zh-CN"/>
        </w:rPr>
        <w:t>09</w:t>
      </w:r>
      <w:r>
        <w:rPr>
          <w:rFonts w:hint="eastAsia" w:cs="宋体" w:asciiTheme="minorEastAsia" w:hAnsiTheme="minorEastAsia" w:eastAsiaTheme="minorEastAsia"/>
          <w:szCs w:val="21"/>
          <w:u w:val="single"/>
        </w:rPr>
        <w:t>点</w:t>
      </w:r>
      <w:r>
        <w:rPr>
          <w:rFonts w:hint="eastAsia" w:cs="宋体" w:asciiTheme="minorEastAsia" w:hAnsiTheme="minorEastAsia" w:eastAsiaTheme="minorEastAsia"/>
          <w:szCs w:val="21"/>
          <w:u w:val="single"/>
          <w:lang w:val="en-US" w:eastAsia="zh-CN"/>
        </w:rPr>
        <w:t>30</w:t>
      </w:r>
      <w:r>
        <w:rPr>
          <w:rFonts w:hint="eastAsia" w:cs="宋体" w:asciiTheme="minorEastAsia" w:hAnsiTheme="minorEastAsia" w:eastAsiaTheme="minorEastAsia"/>
          <w:szCs w:val="21"/>
          <w:u w:val="single"/>
        </w:rPr>
        <w:t>分</w:t>
      </w:r>
      <w:r>
        <w:rPr>
          <w:rFonts w:hint="eastAsia" w:cs="宋体" w:asciiTheme="minorEastAsia" w:hAnsiTheme="minorEastAsia" w:eastAsiaTheme="minorEastAsia"/>
          <w:color w:val="000000"/>
          <w:szCs w:val="21"/>
        </w:rPr>
        <w:t>（北京时间）前递交响应文件。</w:t>
      </w:r>
    </w:p>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bookmarkStart w:id="9" w:name="_Toc29388"/>
      <w:bookmarkStart w:id="10" w:name="_Toc26346"/>
      <w:r>
        <w:rPr>
          <w:rFonts w:hint="eastAsia" w:cs="宋体" w:asciiTheme="minorEastAsia" w:hAnsiTheme="minorEastAsia" w:eastAsiaTheme="minorEastAsia"/>
          <w:color w:val="000000"/>
          <w:sz w:val="21"/>
          <w:szCs w:val="21"/>
        </w:rPr>
        <w:t>项目基本情况</w:t>
      </w:r>
      <w:bookmarkEnd w:id="9"/>
      <w:bookmarkEnd w:id="10"/>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1.项目编号：HGDXW21-066/</w:t>
      </w:r>
      <w:r>
        <w:rPr>
          <w:rFonts w:asciiTheme="minorEastAsia" w:hAnsiTheme="minorEastAsia" w:eastAsiaTheme="minorEastAsia" w:cstheme="minorEastAsia"/>
          <w:szCs w:val="21"/>
        </w:rPr>
        <w:t xml:space="preserve"> ZJZB-202108-238</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2.采购计划备案号：/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3.项目名称：</w:t>
      </w:r>
      <w:r>
        <w:rPr>
          <w:rFonts w:hint="eastAsia" w:cs="宋体" w:asciiTheme="minorEastAsia" w:hAnsiTheme="minorEastAsia" w:eastAsiaTheme="minorEastAsia"/>
          <w:color w:val="000000"/>
          <w:szCs w:val="21"/>
        </w:rPr>
        <w:t>湖北工业大学</w:t>
      </w:r>
      <w:r>
        <w:rPr>
          <w:rFonts w:hint="eastAsia" w:asciiTheme="minorEastAsia" w:hAnsiTheme="minorEastAsia" w:eastAsiaTheme="minorEastAsia" w:cstheme="minorEastAsia"/>
          <w:szCs w:val="21"/>
        </w:rPr>
        <w:t>材化学院学科建设进口设备采购项目（二）</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5.预算金额：人民币</w:t>
      </w:r>
      <w:r>
        <w:rPr>
          <w:rFonts w:asciiTheme="minorEastAsia" w:hAnsiTheme="minorEastAsia" w:eastAsiaTheme="minorEastAsia" w:cstheme="minorEastAsia"/>
          <w:szCs w:val="21"/>
          <w:u w:val="single"/>
        </w:rPr>
        <w:t>40.00</w:t>
      </w:r>
      <w:r>
        <w:rPr>
          <w:rFonts w:hint="eastAsia" w:asciiTheme="minorEastAsia" w:hAnsiTheme="minorEastAsia" w:eastAsiaTheme="minorEastAsia" w:cstheme="minorEastAsia"/>
          <w:szCs w:val="21"/>
        </w:rPr>
        <w:t>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6.最高限价：人民币</w:t>
      </w:r>
      <w:r>
        <w:rPr>
          <w:rFonts w:asciiTheme="minorEastAsia" w:hAnsiTheme="minorEastAsia" w:eastAsiaTheme="minorEastAsia" w:cstheme="minorEastAsia"/>
          <w:szCs w:val="21"/>
          <w:u w:val="single"/>
        </w:rPr>
        <w:t>40.00</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7.采购需求：</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（1）采购内容：采购金相显微镜1台 详见(详见采购文件第三章“项目采购需求”）</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（2</w:t>
      </w:r>
      <w:r>
        <w:rPr>
          <w:rFonts w:hint="eastAsia" w:cs="宋体" w:asciiTheme="minorEastAsia" w:hAnsiTheme="minorEastAsia" w:eastAsiaTheme="minorEastAsia"/>
          <w:szCs w:val="21"/>
        </w:rPr>
        <w:t>）类别：货物</w:t>
      </w:r>
    </w:p>
    <w:p>
      <w:pPr>
        <w:spacing w:line="360" w:lineRule="auto"/>
        <w:ind w:firstLine="420" w:firstLineChars="200"/>
        <w:jc w:val="left"/>
        <w:rPr>
          <w:rFonts w:asciiTheme="minorEastAsia" w:hAnsiTheme="minorEastAsia" w:eastAsiaTheme="minorEastAsia" w:cstheme="minorEastAsia"/>
          <w:szCs w:val="21"/>
        </w:rPr>
      </w:pPr>
      <w:r>
        <w:rPr>
          <w:rFonts w:hint="eastAsia" w:cs="宋体" w:asciiTheme="minorEastAsia" w:hAnsiTheme="minorEastAsia" w:eastAsiaTheme="minorEastAsia"/>
          <w:szCs w:val="21"/>
        </w:rPr>
        <w:t>（3）交货期：</w:t>
      </w:r>
      <w:r>
        <w:rPr>
          <w:rFonts w:hint="eastAsia" w:asciiTheme="minorEastAsia" w:hAnsiTheme="minorEastAsia" w:eastAsiaTheme="minorEastAsia"/>
        </w:rPr>
        <w:t>进口设备在合同签订后90日历天内供货</w:t>
      </w:r>
    </w:p>
    <w:p>
      <w:pPr>
        <w:spacing w:line="360" w:lineRule="auto"/>
        <w:ind w:firstLine="420" w:firstLineChars="200"/>
        <w:jc w:val="left"/>
        <w:rPr>
          <w:rFonts w:hint="eastAsia" w:asciiTheme="minorEastAsia" w:hAnsiTheme="minorEastAsia" w:eastAsiaTheme="minorEastAsia" w:cstheme="minorEastAsia"/>
          <w:szCs w:val="21"/>
        </w:rPr>
      </w:pPr>
      <w:r>
        <w:rPr>
          <w:rFonts w:hint="eastAsia" w:cs="宋体" w:asciiTheme="minorEastAsia" w:hAnsiTheme="minorEastAsia" w:eastAsiaTheme="minorEastAsia"/>
          <w:szCs w:val="21"/>
        </w:rPr>
        <w:t>（4）质保期/保修期：</w:t>
      </w:r>
      <w:r>
        <w:rPr>
          <w:rFonts w:hint="eastAsia" w:asciiTheme="minorEastAsia" w:hAnsiTheme="minorEastAsia" w:eastAsiaTheme="minorEastAsia" w:cstheme="minorEastAsia"/>
          <w:szCs w:val="21"/>
        </w:rPr>
        <w:t>自产品最终验收合格双方签字并交付使用之日起算质保期五年。</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（5）质量标准：达到国家或行业颁布的其他现行各项技术标准和验收规范规定。</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（6）其他：供应商参加竞标的报价超过该包采购最高限价的，该包竞标无效；供应商报价须包含该采购需求的全部内容。本项目已办理进口产品论证，拟采购进口设备；</w:t>
      </w:r>
    </w:p>
    <w:p>
      <w:pPr>
        <w:spacing w:line="360" w:lineRule="auto"/>
        <w:jc w:val="left"/>
        <w:rPr>
          <w:rFonts w:cs="宋体" w:asciiTheme="minorEastAsia" w:hAnsiTheme="minorEastAsia" w:eastAsiaTheme="minorEastAsia"/>
          <w:strike/>
          <w:szCs w:val="21"/>
        </w:rPr>
      </w:pPr>
      <w:r>
        <w:rPr>
          <w:rFonts w:hint="eastAsia" w:cs="宋体" w:asciiTheme="minorEastAsia" w:hAnsiTheme="minorEastAsia" w:eastAsiaTheme="minorEastAsia"/>
          <w:szCs w:val="21"/>
        </w:rPr>
        <w:t>8.合同履行期限：</w:t>
      </w:r>
      <w:r>
        <w:rPr>
          <w:rFonts w:hint="eastAsia" w:cs="宋体" w:asciiTheme="minorEastAsia" w:hAnsiTheme="minorEastAsia" w:eastAsiaTheme="minorEastAsia"/>
          <w:szCs w:val="21"/>
          <w:u w:val="single"/>
        </w:rPr>
        <w:t>见交货期；</w:t>
      </w:r>
    </w:p>
    <w:p>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10.是否可采购进口产品：是</w:t>
      </w:r>
    </w:p>
    <w:p>
      <w:pPr>
        <w:spacing w:line="360" w:lineRule="auto"/>
        <w:jc w:val="left"/>
        <w:rPr>
          <w:rFonts w:cs="宋体" w:asciiTheme="minorEastAsia" w:hAnsiTheme="minorEastAsia" w:eastAsiaTheme="minorEastAsia"/>
          <w:szCs w:val="21"/>
        </w:rPr>
      </w:pPr>
      <w:r>
        <w:rPr>
          <w:rFonts w:hint="eastAsia" w:asciiTheme="minorEastAsia" w:hAnsiTheme="minorEastAsia" w:eastAsiaTheme="minorEastAsia" w:cstheme="minorEastAsia"/>
          <w:szCs w:val="21"/>
        </w:rPr>
        <w:t>11.本项目（是/否）专门面向中小微企业：否</w:t>
      </w:r>
    </w:p>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bookmarkStart w:id="11" w:name="_Toc15326"/>
      <w:bookmarkStart w:id="12" w:name="_Toc32323"/>
      <w:r>
        <w:rPr>
          <w:rFonts w:hint="eastAsia" w:cs="宋体" w:asciiTheme="minorEastAsia" w:hAnsiTheme="minorEastAsia" w:eastAsiaTheme="minorEastAsia"/>
          <w:color w:val="000000"/>
          <w:sz w:val="21"/>
          <w:szCs w:val="21"/>
        </w:rPr>
        <w:t>申请人的资格要求</w:t>
      </w:r>
      <w:bookmarkEnd w:id="11"/>
      <w:bookmarkEnd w:id="12"/>
    </w:p>
    <w:p>
      <w:pPr>
        <w:numPr>
          <w:ilvl w:val="0"/>
          <w:numId w:val="7"/>
        </w:num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为本采购项目提供整体设计、规范编制或者项目管理、监理、检测等服务的，不得再参加本项目的其他招标采购活动。</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未被列入失信被执行人、重大税收违法案件当事人名单，未被列入政府采购严重违法失信行为记录名单。</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    5.落实政府采购政策需满足的资格要求：本项目整体非专门面向中小企业，即小微企业参与本项目可享受政府采购中小企业扶持政策，本项目企业划分标准所属行业为“</w:t>
      </w:r>
      <w:r>
        <w:rPr>
          <w:rFonts w:hint="eastAsia" w:cs="宋体" w:asciiTheme="minorEastAsia" w:hAnsiTheme="minorEastAsia" w:eastAsiaTheme="minorEastAsia"/>
          <w:kern w:val="0"/>
          <w:szCs w:val="21"/>
          <w:lang w:bidi="ar"/>
        </w:rPr>
        <w:t>批发业</w:t>
      </w:r>
      <w:r>
        <w:rPr>
          <w:rFonts w:hint="eastAsia" w:asciiTheme="minorEastAsia" w:hAnsiTheme="minorEastAsia" w:eastAsiaTheme="minorEastAsia" w:cstheme="minorEastAsia"/>
          <w:szCs w:val="21"/>
        </w:rPr>
        <w:t>”。</w:t>
      </w:r>
    </w:p>
    <w:p>
      <w:pPr>
        <w:spacing w:line="360" w:lineRule="auto"/>
        <w:ind w:left="420" w:leftChars="200"/>
        <w:jc w:val="left"/>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6.本项目的特定资格要求：无</w:t>
      </w:r>
    </w:p>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bookmarkStart w:id="13" w:name="_Toc19765"/>
      <w:bookmarkStart w:id="14" w:name="_Toc31037"/>
      <w:bookmarkStart w:id="15" w:name="_Toc334539185"/>
      <w:r>
        <w:rPr>
          <w:rFonts w:hint="eastAsia" w:cs="宋体" w:asciiTheme="minorEastAsia" w:hAnsiTheme="minorEastAsia" w:eastAsiaTheme="minorEastAsia"/>
          <w:color w:val="000000"/>
          <w:sz w:val="21"/>
          <w:szCs w:val="21"/>
        </w:rPr>
        <w:t>获取采购文件</w:t>
      </w:r>
      <w:bookmarkEnd w:id="13"/>
      <w:bookmarkEnd w:id="14"/>
    </w:p>
    <w:bookmarkEnd w:id="15"/>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时间：</w:t>
      </w:r>
      <w:r>
        <w:rPr>
          <w:rFonts w:hint="eastAsia" w:ascii="宋体" w:hAnsi="宋体" w:cs="宋体"/>
          <w:sz w:val="21"/>
          <w:szCs w:val="21"/>
          <w:u w:val="single"/>
          <w:lang w:val="en-US" w:eastAsia="zh-CN"/>
        </w:rPr>
        <w:t>2021</w:t>
      </w:r>
      <w:r>
        <w:rPr>
          <w:rFonts w:hint="eastAsia" w:ascii="宋体" w:hAnsi="宋体" w:eastAsia="宋体" w:cs="宋体"/>
          <w:sz w:val="21"/>
          <w:szCs w:val="21"/>
          <w:u w:val="single"/>
        </w:rPr>
        <w:t>年</w:t>
      </w:r>
      <w:r>
        <w:rPr>
          <w:rFonts w:hint="eastAsia" w:ascii="宋体" w:hAnsi="宋体" w:cs="宋体"/>
          <w:sz w:val="21"/>
          <w:szCs w:val="21"/>
          <w:u w:val="single"/>
          <w:lang w:val="en-US" w:eastAsia="zh-CN"/>
        </w:rPr>
        <w:t>9</w:t>
      </w:r>
      <w:r>
        <w:rPr>
          <w:rFonts w:hint="eastAsia" w:ascii="宋体" w:hAnsi="宋体" w:eastAsia="宋体" w:cs="宋体"/>
          <w:sz w:val="21"/>
          <w:szCs w:val="21"/>
          <w:u w:val="single"/>
        </w:rPr>
        <w:t>月</w:t>
      </w:r>
      <w:r>
        <w:rPr>
          <w:rFonts w:hint="eastAsia" w:ascii="宋体" w:hAnsi="宋体" w:cs="宋体"/>
          <w:sz w:val="21"/>
          <w:szCs w:val="21"/>
          <w:u w:val="single"/>
          <w:lang w:val="en-US" w:eastAsia="zh-CN"/>
        </w:rPr>
        <w:t>18</w:t>
      </w:r>
      <w:r>
        <w:rPr>
          <w:rFonts w:hint="eastAsia" w:ascii="宋体" w:hAnsi="宋体" w:eastAsia="宋体" w:cs="宋体"/>
          <w:sz w:val="21"/>
          <w:szCs w:val="21"/>
          <w:u w:val="single"/>
        </w:rPr>
        <w:t>日至</w:t>
      </w:r>
      <w:r>
        <w:rPr>
          <w:rFonts w:hint="eastAsia" w:ascii="宋体" w:hAnsi="宋体" w:cs="宋体"/>
          <w:sz w:val="21"/>
          <w:szCs w:val="21"/>
          <w:u w:val="single"/>
          <w:lang w:val="en-US" w:eastAsia="zh-CN"/>
        </w:rPr>
        <w:t>2021</w:t>
      </w:r>
      <w:r>
        <w:rPr>
          <w:rFonts w:hint="eastAsia" w:ascii="宋体" w:hAnsi="宋体" w:eastAsia="宋体" w:cs="宋体"/>
          <w:sz w:val="21"/>
          <w:szCs w:val="21"/>
          <w:u w:val="single"/>
        </w:rPr>
        <w:t>年</w:t>
      </w:r>
      <w:r>
        <w:rPr>
          <w:rFonts w:hint="eastAsia" w:ascii="宋体" w:hAnsi="宋体" w:cs="宋体"/>
          <w:sz w:val="21"/>
          <w:szCs w:val="21"/>
          <w:u w:val="single"/>
          <w:lang w:val="en-US" w:eastAsia="zh-CN"/>
        </w:rPr>
        <w:t>9</w:t>
      </w:r>
      <w:r>
        <w:rPr>
          <w:rFonts w:hint="eastAsia" w:ascii="宋体" w:hAnsi="宋体" w:eastAsia="宋体" w:cs="宋体"/>
          <w:sz w:val="21"/>
          <w:szCs w:val="21"/>
          <w:u w:val="single"/>
        </w:rPr>
        <w:t>月</w:t>
      </w:r>
      <w:r>
        <w:rPr>
          <w:rFonts w:hint="eastAsia" w:ascii="宋体" w:hAnsi="宋体" w:cs="宋体"/>
          <w:sz w:val="21"/>
          <w:szCs w:val="21"/>
          <w:u w:val="single"/>
          <w:lang w:val="en-US" w:eastAsia="zh-CN"/>
        </w:rPr>
        <w:t>26</w:t>
      </w:r>
      <w:r>
        <w:rPr>
          <w:rFonts w:hint="eastAsia" w:ascii="宋体" w:hAnsi="宋体" w:eastAsia="宋体" w:cs="宋体"/>
          <w:sz w:val="21"/>
          <w:szCs w:val="21"/>
          <w:u w:val="single"/>
        </w:rPr>
        <w:t>日</w:t>
      </w:r>
      <w:r>
        <w:rPr>
          <w:rFonts w:hint="eastAsia" w:ascii="宋体" w:hAnsi="宋体" w:eastAsia="宋体" w:cs="宋体"/>
          <w:sz w:val="21"/>
          <w:szCs w:val="21"/>
        </w:rPr>
        <w:t>，每天上午</w:t>
      </w:r>
      <w:r>
        <w:rPr>
          <w:rFonts w:hint="eastAsia" w:ascii="宋体" w:hAnsi="宋体" w:eastAsia="宋体" w:cs="宋体"/>
          <w:sz w:val="21"/>
          <w:szCs w:val="21"/>
          <w:lang w:val="en-US" w:eastAsia="zh-CN"/>
        </w:rPr>
        <w:t>09:00</w:t>
      </w:r>
      <w:r>
        <w:rPr>
          <w:rFonts w:hint="eastAsia" w:ascii="宋体" w:hAnsi="宋体" w:eastAsia="宋体" w:cs="宋体"/>
          <w:sz w:val="21"/>
          <w:szCs w:val="21"/>
        </w:rPr>
        <w:t>至</w:t>
      </w:r>
      <w:r>
        <w:rPr>
          <w:rFonts w:hint="eastAsia" w:ascii="宋体" w:hAnsi="宋体" w:eastAsia="宋体" w:cs="宋体"/>
          <w:sz w:val="21"/>
          <w:szCs w:val="21"/>
          <w:lang w:val="en-US" w:eastAsia="zh-CN"/>
        </w:rPr>
        <w:t>12:00</w:t>
      </w:r>
      <w:r>
        <w:rPr>
          <w:rFonts w:hint="eastAsia" w:ascii="宋体" w:hAnsi="宋体" w:eastAsia="宋体" w:cs="宋体"/>
          <w:sz w:val="21"/>
          <w:szCs w:val="21"/>
        </w:rPr>
        <w:t>，下午</w:t>
      </w:r>
      <w:r>
        <w:rPr>
          <w:rFonts w:hint="eastAsia" w:ascii="宋体" w:hAnsi="宋体" w:eastAsia="宋体" w:cs="宋体"/>
          <w:sz w:val="21"/>
          <w:szCs w:val="21"/>
          <w:lang w:val="en-US" w:eastAsia="zh-CN"/>
        </w:rPr>
        <w:t>14:30</w:t>
      </w:r>
      <w:r>
        <w:rPr>
          <w:rFonts w:hint="eastAsia" w:ascii="宋体" w:hAnsi="宋体" w:eastAsia="宋体" w:cs="宋体"/>
          <w:sz w:val="21"/>
          <w:szCs w:val="21"/>
        </w:rPr>
        <w:t>至</w:t>
      </w:r>
      <w:r>
        <w:rPr>
          <w:rFonts w:hint="eastAsia" w:ascii="宋体" w:hAnsi="宋体" w:eastAsia="宋体" w:cs="宋体"/>
          <w:sz w:val="21"/>
          <w:szCs w:val="21"/>
          <w:lang w:val="en-US" w:eastAsia="zh-CN"/>
        </w:rPr>
        <w:t>17:00</w:t>
      </w:r>
      <w:r>
        <w:rPr>
          <w:rFonts w:hint="eastAsia" w:ascii="宋体" w:hAnsi="宋体" w:eastAsia="宋体" w:cs="宋体"/>
          <w:sz w:val="21"/>
          <w:szCs w:val="21"/>
        </w:rPr>
        <w:t>（北京时间，法定节假日除外）</w:t>
      </w:r>
    </w:p>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地点：武昌区中北路岳家嘴立交山河企业大厦</w:t>
      </w:r>
      <w:r>
        <w:rPr>
          <w:rFonts w:hint="eastAsia" w:ascii="宋体" w:hAnsi="宋体" w:eastAsia="宋体" w:cs="宋体"/>
          <w:sz w:val="21"/>
          <w:szCs w:val="21"/>
          <w:lang w:val="en-US" w:eastAsia="zh-CN"/>
        </w:rPr>
        <w:t>48楼</w:t>
      </w:r>
      <w:r>
        <w:rPr>
          <w:rFonts w:hint="eastAsia" w:ascii="宋体" w:hAnsi="宋体" w:eastAsia="宋体" w:cs="宋体"/>
          <w:sz w:val="21"/>
          <w:szCs w:val="21"/>
        </w:rPr>
        <w:t>4805室；</w:t>
      </w:r>
    </w:p>
    <w:p>
      <w:pPr>
        <w:spacing w:line="360" w:lineRule="auto"/>
        <w:ind w:firstLine="420" w:firstLineChars="200"/>
        <w:jc w:val="left"/>
        <w:rPr>
          <w:rFonts w:cs="宋体" w:asciiTheme="minorEastAsia" w:hAnsiTheme="minorEastAsia" w:eastAsiaTheme="minorEastAsia"/>
          <w:szCs w:val="21"/>
        </w:rPr>
      </w:pPr>
      <w:r>
        <w:rPr>
          <w:rFonts w:hint="eastAsia" w:ascii="宋体" w:hAnsi="宋体" w:eastAsia="宋体" w:cs="宋体"/>
          <w:b w:val="0"/>
          <w:bCs w:val="0"/>
          <w:color w:val="auto"/>
          <w:sz w:val="21"/>
          <w:szCs w:val="21"/>
          <w:lang w:val="en-US" w:eastAsia="zh-CN"/>
        </w:rPr>
        <w:t>线上获取：因疫情原因，采取网上获取文件的方式，请各供应商将以下附件资料加盖公章扫描后传至2102252595@qq.com（邮件主题名称必须备注所投项目名称及公司姓名，否则不予受理），以邮箱显示收到的时间为准，递交资料后请联系代理机构工作人员支付磋商文件费用并确认后获取磋商文件。采购文件售后不退，不办理邮寄；</w:t>
      </w:r>
      <w:r>
        <w:rPr>
          <w:rFonts w:hint="eastAsia" w:ascii="宋体" w:hAnsi="宋体" w:eastAsia="宋体" w:cs="宋体"/>
          <w:b w:val="0"/>
          <w:bCs w:val="0"/>
          <w:color w:val="auto"/>
          <w:sz w:val="21"/>
          <w:szCs w:val="21"/>
          <w:lang w:val="en-US" w:eastAsia="zh-CN"/>
        </w:rPr>
        <w:br w:type="textWrapping"/>
      </w:r>
      <w:r>
        <w:rPr>
          <w:rFonts w:hint="eastAsia" w:ascii="宋体" w:hAnsi="宋体" w:eastAsia="宋体" w:cs="宋体"/>
          <w:b/>
          <w:bCs/>
          <w:color w:val="auto"/>
          <w:sz w:val="21"/>
          <w:szCs w:val="21"/>
          <w:lang w:val="en-US" w:eastAsia="zh-CN"/>
        </w:rPr>
        <w:t xml:space="preserve">  </w:t>
      </w:r>
      <w:r>
        <w:rPr>
          <w:rFonts w:hint="eastAsia" w:ascii="宋体" w:hAnsi="宋体" w:cs="宋体"/>
          <w:b/>
          <w:bCs/>
          <w:color w:val="auto"/>
          <w:sz w:val="21"/>
          <w:szCs w:val="21"/>
          <w:lang w:val="en-US" w:eastAsia="zh-CN"/>
        </w:rPr>
        <w:t xml:space="preserve">  </w:t>
      </w:r>
      <w:r>
        <w:rPr>
          <w:rFonts w:hint="eastAsia" w:ascii="宋体" w:hAnsi="宋体" w:eastAsia="宋体" w:cs="宋体"/>
          <w:sz w:val="21"/>
          <w:szCs w:val="21"/>
          <w:lang w:val="en-US" w:eastAsia="zh-CN"/>
        </w:rPr>
        <w:t>售价：</w:t>
      </w:r>
      <w:r>
        <w:rPr>
          <w:rFonts w:hint="eastAsia" w:ascii="宋体" w:hAnsi="宋体" w:eastAsia="宋体" w:cs="宋体"/>
          <w:color w:val="auto"/>
          <w:sz w:val="21"/>
          <w:szCs w:val="21"/>
          <w:lang w:val="en-US" w:eastAsia="zh-CN"/>
        </w:rPr>
        <w:t>400</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元</w:t>
      </w:r>
      <w:r>
        <w:rPr>
          <w:rFonts w:hint="eastAsia" w:ascii="宋体" w:hAnsi="宋体" w:cs="宋体"/>
          <w:color w:val="auto"/>
          <w:sz w:val="21"/>
          <w:szCs w:val="21"/>
          <w:lang w:val="en-US" w:eastAsia="zh-CN"/>
        </w:rPr>
        <w:t>）</w:t>
      </w:r>
      <w:r>
        <w:rPr>
          <w:rFonts w:hint="eastAsia" w:ascii="宋体" w:hAnsi="宋体" w:eastAsia="宋体" w:cs="宋体"/>
          <w:sz w:val="21"/>
          <w:szCs w:val="21"/>
          <w:lang w:val="en-US" w:eastAsia="zh-CN"/>
        </w:rPr>
        <w:t>；</w:t>
      </w:r>
    </w:p>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bookmarkStart w:id="16" w:name="_Toc1096"/>
      <w:bookmarkStart w:id="17" w:name="_Toc30368"/>
      <w:r>
        <w:rPr>
          <w:rFonts w:hint="eastAsia" w:cs="宋体" w:asciiTheme="minorEastAsia" w:hAnsiTheme="minorEastAsia" w:eastAsiaTheme="minorEastAsia"/>
          <w:color w:val="000000"/>
          <w:sz w:val="21"/>
          <w:szCs w:val="21"/>
        </w:rPr>
        <w:t>响应文件提交</w:t>
      </w:r>
      <w:bookmarkEnd w:id="16"/>
      <w:bookmarkEnd w:id="17"/>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开始时间：2021年</w:t>
      </w: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30</w:t>
      </w:r>
      <w:r>
        <w:rPr>
          <w:rFonts w:hint="eastAsia" w:asciiTheme="minorEastAsia" w:hAnsiTheme="minorEastAsia" w:eastAsiaTheme="minorEastAsia" w:cstheme="minorEastAsia"/>
          <w:szCs w:val="21"/>
        </w:rPr>
        <w:t>日08点30分（北京时间）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cs="宋体" w:asciiTheme="minorEastAsia" w:hAnsiTheme="minorEastAsia" w:eastAsiaTheme="minorEastAsia"/>
          <w:szCs w:val="21"/>
          <w:u w:val="none"/>
        </w:rPr>
        <w:t>2021年</w:t>
      </w:r>
      <w:r>
        <w:rPr>
          <w:rFonts w:hint="eastAsia" w:cs="宋体" w:asciiTheme="minorEastAsia" w:hAnsiTheme="minorEastAsia" w:eastAsiaTheme="minorEastAsia"/>
          <w:szCs w:val="21"/>
          <w:u w:val="none"/>
          <w:lang w:val="en-US" w:eastAsia="zh-CN"/>
        </w:rPr>
        <w:t>9</w:t>
      </w:r>
      <w:r>
        <w:rPr>
          <w:rFonts w:hint="eastAsia" w:cs="宋体" w:asciiTheme="minorEastAsia" w:hAnsiTheme="minorEastAsia" w:eastAsiaTheme="minorEastAsia"/>
          <w:szCs w:val="21"/>
          <w:u w:val="none"/>
        </w:rPr>
        <w:t>月</w:t>
      </w:r>
      <w:r>
        <w:rPr>
          <w:rFonts w:hint="eastAsia" w:cs="宋体" w:asciiTheme="minorEastAsia" w:hAnsiTheme="minorEastAsia" w:eastAsiaTheme="minorEastAsia"/>
          <w:szCs w:val="21"/>
          <w:u w:val="none"/>
          <w:lang w:val="en-US" w:eastAsia="zh-CN"/>
        </w:rPr>
        <w:t>30</w:t>
      </w:r>
      <w:r>
        <w:rPr>
          <w:rFonts w:hint="eastAsia" w:cs="宋体" w:asciiTheme="minorEastAsia" w:hAnsiTheme="minorEastAsia" w:eastAsiaTheme="minorEastAsia"/>
          <w:szCs w:val="21"/>
          <w:u w:val="none"/>
        </w:rPr>
        <w:t>日</w:t>
      </w:r>
      <w:r>
        <w:rPr>
          <w:rFonts w:hint="eastAsia" w:cs="宋体" w:asciiTheme="minorEastAsia" w:hAnsiTheme="minorEastAsia" w:eastAsiaTheme="minorEastAsia"/>
          <w:szCs w:val="21"/>
          <w:u w:val="none"/>
          <w:lang w:val="en-US" w:eastAsia="zh-CN"/>
        </w:rPr>
        <w:t>09</w:t>
      </w:r>
      <w:r>
        <w:rPr>
          <w:rFonts w:hint="eastAsia" w:cs="宋体" w:asciiTheme="minorEastAsia" w:hAnsiTheme="minorEastAsia" w:eastAsiaTheme="minorEastAsia"/>
          <w:szCs w:val="21"/>
          <w:u w:val="none"/>
        </w:rPr>
        <w:t>点</w:t>
      </w:r>
      <w:r>
        <w:rPr>
          <w:rFonts w:hint="eastAsia" w:cs="宋体" w:asciiTheme="minorEastAsia" w:hAnsiTheme="minorEastAsia" w:eastAsiaTheme="minorEastAsia"/>
          <w:szCs w:val="21"/>
          <w:u w:val="none"/>
          <w:lang w:val="en-US" w:eastAsia="zh-CN"/>
        </w:rPr>
        <w:t>30</w:t>
      </w:r>
      <w:r>
        <w:rPr>
          <w:rFonts w:hint="eastAsia" w:cs="宋体" w:asciiTheme="minorEastAsia" w:hAnsiTheme="minorEastAsia" w:eastAsiaTheme="minorEastAsia"/>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cs="宋体" w:asciiTheme="minorEastAsia" w:hAnsiTheme="minorEastAsia" w:eastAsiaTheme="minorEastAsia"/>
          <w:szCs w:val="21"/>
        </w:rPr>
      </w:pPr>
      <w:r>
        <w:rPr>
          <w:rFonts w:hint="eastAsia" w:asciiTheme="minorEastAsia" w:hAnsiTheme="minorEastAsia" w:eastAsiaTheme="minorEastAsia" w:cstheme="minorEastAsia"/>
          <w:szCs w:val="21"/>
        </w:rPr>
        <w:t>地点：武昌区中北路岳家嘴立交山河企业大厦4806室，凡是购买了磋商文件且已回复确定参加竞标的潜在供应商，于竞标当日临时放弃竞标的，应及时以电话告知形式通知采购代理机构。</w:t>
      </w:r>
    </w:p>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bookmarkStart w:id="18" w:name="_Toc8237"/>
      <w:bookmarkStart w:id="19" w:name="_Toc2747"/>
      <w:r>
        <w:rPr>
          <w:rFonts w:hint="eastAsia" w:cs="宋体" w:asciiTheme="minorEastAsia" w:hAnsiTheme="minorEastAsia" w:eastAsiaTheme="minorEastAsia"/>
          <w:color w:val="000000"/>
          <w:sz w:val="21"/>
          <w:szCs w:val="21"/>
        </w:rPr>
        <w:t>开启</w:t>
      </w:r>
      <w:bookmarkEnd w:id="18"/>
      <w:bookmarkEnd w:id="19"/>
    </w:p>
    <w:p>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时间：2021年</w:t>
      </w:r>
      <w:r>
        <w:rPr>
          <w:rFonts w:hint="eastAsia" w:cs="宋体" w:asciiTheme="minorEastAsia" w:hAnsiTheme="minorEastAsia" w:eastAsiaTheme="minorEastAsia"/>
          <w:szCs w:val="21"/>
          <w:lang w:val="en-US" w:eastAsia="zh-CN"/>
        </w:rPr>
        <w:t>9</w:t>
      </w:r>
      <w:r>
        <w:rPr>
          <w:rFonts w:hint="eastAsia" w:cs="宋体" w:asciiTheme="minorEastAsia" w:hAnsiTheme="minorEastAsia" w:eastAsiaTheme="minorEastAsia"/>
          <w:szCs w:val="21"/>
        </w:rPr>
        <w:t>月</w:t>
      </w:r>
      <w:r>
        <w:rPr>
          <w:rFonts w:hint="eastAsia" w:cs="宋体" w:asciiTheme="minorEastAsia" w:hAnsiTheme="minorEastAsia" w:eastAsiaTheme="minorEastAsia"/>
          <w:szCs w:val="21"/>
          <w:lang w:val="en-US" w:eastAsia="zh-CN"/>
        </w:rPr>
        <w:t>30</w:t>
      </w:r>
      <w:r>
        <w:rPr>
          <w:rFonts w:hint="eastAsia" w:cs="宋体" w:asciiTheme="minorEastAsia" w:hAnsiTheme="minorEastAsia" w:eastAsiaTheme="minorEastAsia"/>
          <w:szCs w:val="21"/>
        </w:rPr>
        <w:t>日</w:t>
      </w:r>
      <w:r>
        <w:rPr>
          <w:rFonts w:hint="eastAsia" w:cs="宋体" w:asciiTheme="minorEastAsia" w:hAnsiTheme="minorEastAsia" w:eastAsiaTheme="minorEastAsia"/>
          <w:szCs w:val="21"/>
          <w:lang w:val="en-US" w:eastAsia="zh-CN"/>
        </w:rPr>
        <w:t>09</w:t>
      </w:r>
      <w:r>
        <w:rPr>
          <w:rFonts w:hint="eastAsia" w:cs="宋体" w:asciiTheme="minorEastAsia" w:hAnsiTheme="minorEastAsia" w:eastAsiaTheme="minorEastAsia"/>
          <w:szCs w:val="21"/>
        </w:rPr>
        <w:t>点</w:t>
      </w:r>
      <w:r>
        <w:rPr>
          <w:rFonts w:hint="eastAsia" w:cs="宋体" w:asciiTheme="minorEastAsia" w:hAnsiTheme="minorEastAsia" w:eastAsiaTheme="minorEastAsia"/>
          <w:szCs w:val="21"/>
          <w:lang w:val="en-US" w:eastAsia="zh-CN"/>
        </w:rPr>
        <w:t>30</w:t>
      </w:r>
      <w:r>
        <w:rPr>
          <w:rFonts w:hint="eastAsia" w:cs="宋体" w:asciiTheme="minorEastAsia" w:hAnsiTheme="minorEastAsia" w:eastAsiaTheme="minorEastAsia"/>
          <w:szCs w:val="21"/>
        </w:rPr>
        <w:t>分（北京时间）</w:t>
      </w:r>
    </w:p>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bookmarkStart w:id="20" w:name="_Toc28043"/>
      <w:bookmarkStart w:id="21" w:name="_Toc14422"/>
      <w:r>
        <w:rPr>
          <w:rFonts w:hint="eastAsia" w:cs="宋体" w:asciiTheme="minorEastAsia" w:hAnsiTheme="minorEastAsia" w:eastAsiaTheme="minorEastAsia"/>
          <w:color w:val="000000"/>
          <w:sz w:val="21"/>
          <w:szCs w:val="21"/>
        </w:rPr>
        <w:t>公告期限</w:t>
      </w:r>
      <w:bookmarkEnd w:id="20"/>
      <w:bookmarkEnd w:id="21"/>
    </w:p>
    <w:p>
      <w:pPr>
        <w:spacing w:line="360" w:lineRule="auto"/>
        <w:ind w:firstLine="420" w:firstLineChars="200"/>
        <w:jc w:val="left"/>
        <w:rPr>
          <w:rFonts w:cs="宋体" w:asciiTheme="minorEastAsia" w:hAnsiTheme="minorEastAsia" w:eastAsiaTheme="minorEastAsia"/>
          <w:szCs w:val="21"/>
        </w:rPr>
      </w:pPr>
      <w:bookmarkStart w:id="22" w:name="_Toc320898024"/>
      <w:bookmarkStart w:id="23" w:name="_Toc276368888"/>
      <w:bookmarkStart w:id="24" w:name="_Toc317262251"/>
      <w:bookmarkStart w:id="25" w:name="_Toc6021"/>
      <w:bookmarkStart w:id="26" w:name="_Toc334539188"/>
      <w:bookmarkStart w:id="27" w:name="_Toc259607751"/>
      <w:r>
        <w:rPr>
          <w:rFonts w:hint="eastAsia" w:cs="宋体" w:asciiTheme="minorEastAsia" w:hAnsiTheme="minorEastAsia" w:eastAsiaTheme="minorEastAsia"/>
          <w:szCs w:val="21"/>
        </w:rPr>
        <w:t>自本公告发布之日起3个工作日</w:t>
      </w:r>
    </w:p>
    <w:bookmarkEnd w:id="22"/>
    <w:bookmarkEnd w:id="23"/>
    <w:bookmarkEnd w:id="24"/>
    <w:bookmarkEnd w:id="25"/>
    <w:bookmarkEnd w:id="26"/>
    <w:bookmarkEnd w:id="27"/>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bookmarkStart w:id="28" w:name="_Toc925"/>
      <w:bookmarkStart w:id="29" w:name="_Toc14092"/>
      <w:r>
        <w:rPr>
          <w:rFonts w:hint="eastAsia" w:cs="宋体" w:asciiTheme="minorEastAsia" w:hAnsiTheme="minorEastAsia" w:eastAsiaTheme="minorEastAsia"/>
          <w:color w:val="000000"/>
          <w:sz w:val="21"/>
          <w:szCs w:val="21"/>
        </w:rPr>
        <w:t>其他补充事宜</w:t>
      </w:r>
      <w:bookmarkEnd w:id="28"/>
      <w:bookmarkEnd w:id="29"/>
    </w:p>
    <w:p>
      <w:pPr>
        <w:spacing w:line="360" w:lineRule="auto"/>
        <w:ind w:firstLine="420" w:firstLineChars="200"/>
        <w:jc w:val="left"/>
        <w:rPr>
          <w:rFonts w:cs="宋体" w:asciiTheme="minorEastAsia" w:hAnsiTheme="minorEastAsia" w:eastAsiaTheme="minorEastAsia"/>
          <w:szCs w:val="21"/>
        </w:rPr>
      </w:pPr>
      <w:bookmarkStart w:id="30" w:name="_Toc259028279"/>
      <w:r>
        <w:rPr>
          <w:rFonts w:hint="eastAsia" w:cs="宋体" w:asciiTheme="minorEastAsia" w:hAnsiTheme="minorEastAsia" w:eastAsiaTheme="minorEastAsia"/>
          <w:szCs w:val="21"/>
        </w:rPr>
        <w:t>1.</w:t>
      </w:r>
      <w:r>
        <w:rPr>
          <w:rFonts w:hint="eastAsia" w:asciiTheme="minorEastAsia" w:hAnsiTheme="minorEastAsia" w:eastAsiaTheme="minorEastAsia" w:cstheme="minorEastAsia"/>
          <w:szCs w:val="21"/>
        </w:rPr>
        <w:t>本项目资金</w:t>
      </w:r>
      <w:r>
        <w:rPr>
          <w:rFonts w:hint="eastAsia" w:cs="宋体" w:asciiTheme="minorEastAsia" w:hAnsiTheme="minorEastAsia" w:eastAsiaTheme="minorEastAsia"/>
          <w:szCs w:val="21"/>
        </w:rPr>
        <w:t>性质</w:t>
      </w:r>
      <w:r>
        <w:rPr>
          <w:rFonts w:hint="eastAsia" w:asciiTheme="minorEastAsia" w:hAnsiTheme="minorEastAsia" w:eastAsiaTheme="minorEastAsia" w:cstheme="minorEastAsia"/>
          <w:szCs w:val="21"/>
        </w:rPr>
        <w:t>为：自筹资金</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2.供应商如需查询技术要求可到我处查阅采购文件第三章相关内容。</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3.本项目将在以下网站发布所有信息，请参加本项目竞标的供应商密切关注。</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（1</w:t>
      </w:r>
      <w:r>
        <w:rPr>
          <w:rFonts w:hint="eastAsia" w:asciiTheme="minorEastAsia" w:hAnsiTheme="minorEastAsia" w:eastAsiaTheme="minorEastAsia"/>
        </w:rPr>
        <w:t>）《中经国际招标集团有限公司官网》（网址：http://www.ceitcl.com/）</w:t>
      </w:r>
    </w:p>
    <w:p>
      <w:pPr>
        <w:spacing w:line="360" w:lineRule="auto"/>
        <w:ind w:firstLine="420" w:firstLineChars="200"/>
        <w:jc w:val="left"/>
        <w:rPr>
          <w:rFonts w:hint="eastAsia" w:asciiTheme="minorEastAsia" w:hAnsiTheme="minorEastAsia" w:eastAsiaTheme="minorEastAsia" w:cstheme="minorEastAsia"/>
          <w:szCs w:val="21"/>
        </w:rPr>
      </w:pPr>
      <w:r>
        <w:rPr>
          <w:rFonts w:hint="eastAsia" w:cs="宋体" w:asciiTheme="minorEastAsia" w:hAnsiTheme="minorEastAsia" w:eastAsiaTheme="minorEastAsia"/>
          <w:szCs w:val="21"/>
        </w:rPr>
        <w:t>（2）</w:t>
      </w:r>
      <w:r>
        <w:rPr>
          <w:rFonts w:hint="eastAsia" w:asciiTheme="minorEastAsia" w:hAnsiTheme="minorEastAsia" w:eastAsiaTheme="minorEastAsia" w:cstheme="minorEastAsia"/>
          <w:szCs w:val="21"/>
        </w:rPr>
        <w:t xml:space="preserve">《湖北工业大学采招网》（网址： </w:t>
      </w:r>
      <w:r>
        <w:fldChar w:fldCharType="begin"/>
      </w:r>
      <w:r>
        <w:instrText xml:space="preserve"> HYPERLINK "http://tend.hbut.edu.cn/index.chtml" </w:instrText>
      </w:r>
      <w:r>
        <w:fldChar w:fldCharType="separate"/>
      </w:r>
      <w:r>
        <w:rPr>
          <w:rFonts w:hint="eastAsia" w:asciiTheme="minorEastAsia" w:hAnsiTheme="minorEastAsia" w:eastAsiaTheme="minorEastAsia" w:cstheme="minorEastAsia"/>
          <w:szCs w:val="21"/>
        </w:rPr>
        <w:t>http://tend.hbut.edu.cn/index.chtml</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w:t>
      </w:r>
    </w:p>
    <w:p>
      <w:pPr>
        <w:spacing w:line="360" w:lineRule="auto"/>
        <w:ind w:firstLine="420" w:firstLineChars="200"/>
        <w:jc w:val="left"/>
        <w:rPr>
          <w:rFonts w:hint="eastAsia"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4.防疫要求：</w:t>
      </w:r>
      <w:r>
        <w:rPr>
          <w:rFonts w:hint="eastAsia" w:cs="宋体" w:asciiTheme="minorEastAsia" w:hAnsiTheme="minorEastAsia" w:eastAsiaTheme="minorEastAsia"/>
          <w:szCs w:val="21"/>
          <w:lang w:val="en-US" w:eastAsia="zh-CN"/>
        </w:rPr>
        <w:br w:type="textWrapping"/>
      </w:r>
      <w:r>
        <w:rPr>
          <w:rFonts w:hint="eastAsia" w:cs="宋体" w:asciiTheme="minorEastAsia" w:hAnsiTheme="minorEastAsia" w:eastAsiaTheme="minorEastAsia"/>
          <w:szCs w:val="21"/>
          <w:lang w:val="en-US" w:eastAsia="zh-CN"/>
        </w:rPr>
        <w:t xml:space="preserve">    (1)投标人（中高风险区）可将投标文件邮寄至我司，投标文件的接受时效以代理公司签收时间为准，截止时间同现场递交时间，过时或快递有破损不予签收。因快递延误导致的未在截止时间前签收的风险因素，投标人自行承担。</w:t>
      </w:r>
      <w:r>
        <w:rPr>
          <w:rFonts w:hint="eastAsia" w:cs="宋体" w:asciiTheme="minorEastAsia" w:hAnsiTheme="minorEastAsia" w:eastAsiaTheme="minorEastAsia"/>
          <w:szCs w:val="21"/>
          <w:lang w:val="en-US" w:eastAsia="zh-CN"/>
        </w:rPr>
        <w:br w:type="textWrapping"/>
      </w:r>
      <w:r>
        <w:rPr>
          <w:rFonts w:hint="eastAsia" w:cs="宋体" w:asciiTheme="minorEastAsia" w:hAnsiTheme="minorEastAsia" w:eastAsiaTheme="minorEastAsia"/>
          <w:szCs w:val="21"/>
          <w:lang w:val="en-US" w:eastAsia="zh-CN"/>
        </w:rPr>
        <w:t xml:space="preserve">    (2)现场递交投标文件的，递交投标文件的代表须出示健康码且为绿码方可进入我司。代表须戴好口罩、间隔1米排队递交投标文件，请投标人预留足够的排队时间。</w:t>
      </w:r>
      <w:r>
        <w:rPr>
          <w:rFonts w:hint="eastAsia" w:cs="宋体" w:asciiTheme="minorEastAsia" w:hAnsiTheme="minorEastAsia" w:eastAsiaTheme="minorEastAsia"/>
          <w:szCs w:val="21"/>
          <w:lang w:val="en-US" w:eastAsia="zh-CN"/>
        </w:rPr>
        <w:br w:type="textWrapping"/>
      </w:r>
      <w:r>
        <w:rPr>
          <w:rFonts w:hint="eastAsia" w:cs="宋体" w:asciiTheme="minorEastAsia" w:hAnsiTheme="minorEastAsia" w:eastAsiaTheme="minorEastAsia"/>
          <w:szCs w:val="21"/>
          <w:lang w:val="en-US" w:eastAsia="zh-CN"/>
        </w:rPr>
        <w:t xml:space="preserve">    (3)有疫情接触史、按湖北省健康码“红码”、“黄码”管理的人员、个人行程码提示14天内到过疫情中高风险地区的、近期有发热、咳嗽等新型冠状病毒感染疑似症状的人员均不能进行报名及投标等事宜，如有隐瞒行为，将依法依规追责；</w:t>
      </w:r>
      <w:r>
        <w:rPr>
          <w:rFonts w:hint="eastAsia" w:cs="宋体" w:asciiTheme="minorEastAsia" w:hAnsiTheme="minorEastAsia" w:eastAsiaTheme="minorEastAsia"/>
          <w:szCs w:val="21"/>
          <w:lang w:val="en-US" w:eastAsia="zh-CN"/>
        </w:rPr>
        <w:br w:type="textWrapping"/>
      </w:r>
      <w:r>
        <w:rPr>
          <w:rFonts w:hint="eastAsia" w:cs="宋体" w:asciiTheme="minorEastAsia" w:hAnsiTheme="minorEastAsia" w:eastAsiaTheme="minorEastAsia"/>
          <w:szCs w:val="21"/>
          <w:lang w:val="en-US" w:eastAsia="zh-CN"/>
        </w:rPr>
        <w:t xml:space="preserve">    (4)参与政府采购活动要严格落实“四必”防控措施（口罩必戴、体温必测、健康码必扫、大数据行程卡必出示）并做好个人防护措施，服从现场工作人员的管理和安排。</w:t>
      </w:r>
    </w:p>
    <w:bookmarkEnd w:id="30"/>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bookmarkStart w:id="31" w:name="_Toc12269"/>
      <w:bookmarkStart w:id="32" w:name="_Toc18279"/>
      <w:r>
        <w:rPr>
          <w:rFonts w:hint="eastAsia" w:cs="宋体" w:asciiTheme="minorEastAsia" w:hAnsiTheme="minorEastAsia" w:eastAsiaTheme="minorEastAsia"/>
          <w:color w:val="000000"/>
          <w:sz w:val="21"/>
          <w:szCs w:val="21"/>
        </w:rPr>
        <w:t>凡对本次采购提出询问，请按以下方式联系</w:t>
      </w:r>
      <w:bookmarkEnd w:id="31"/>
      <w:bookmarkEnd w:id="32"/>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1.采购人信息</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名 称：</w:t>
      </w:r>
      <w:r>
        <w:rPr>
          <w:rFonts w:hint="eastAsia" w:asciiTheme="minorEastAsia" w:hAnsiTheme="minorEastAsia" w:eastAsiaTheme="minorEastAsia" w:cstheme="minorEastAsia"/>
          <w:szCs w:val="21"/>
        </w:rPr>
        <w:t>湖北工业大学</w:t>
      </w:r>
      <w:r>
        <w:rPr>
          <w:rFonts w:hint="eastAsia" w:cs="宋体" w:asciiTheme="minorEastAsia" w:hAnsiTheme="minorEastAsia" w:eastAsiaTheme="minorEastAsia"/>
          <w:szCs w:val="21"/>
        </w:rPr>
        <w:t>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地 址：</w:t>
      </w:r>
      <w:r>
        <w:rPr>
          <w:rFonts w:hint="eastAsia" w:asciiTheme="minorEastAsia" w:hAnsiTheme="minorEastAsia" w:eastAsiaTheme="minorEastAsia" w:cstheme="minorEastAsia"/>
          <w:szCs w:val="21"/>
        </w:rPr>
        <w:t>湖北省武汉市洪山区南李路28号</w:t>
      </w:r>
      <w:r>
        <w:rPr>
          <w:rFonts w:hint="eastAsia" w:cs="宋体" w:asciiTheme="minorEastAsia" w:hAnsiTheme="minorEastAsia" w:eastAsiaTheme="minorEastAsia"/>
          <w:szCs w:val="21"/>
        </w:rPr>
        <w:t>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联系方式：</w:t>
      </w:r>
      <w:r>
        <w:rPr>
          <w:rFonts w:hint="eastAsia" w:cs="宋体" w:asciiTheme="minorEastAsia" w:hAnsiTheme="minorEastAsia" w:eastAsiaTheme="minorEastAsia"/>
          <w:szCs w:val="21"/>
          <w:lang w:eastAsia="zh-CN"/>
        </w:rPr>
        <w:t>石老师、</w:t>
      </w:r>
      <w:r>
        <w:rPr>
          <w:rFonts w:hint="eastAsia" w:asciiTheme="minorEastAsia" w:hAnsiTheme="minorEastAsia" w:eastAsiaTheme="minorEastAsia" w:cstheme="minorEastAsia"/>
          <w:szCs w:val="21"/>
        </w:rPr>
        <w:t>027-597502</w:t>
      </w:r>
      <w:r>
        <w:rPr>
          <w:rFonts w:hint="eastAsia" w:asciiTheme="minorEastAsia" w:hAnsiTheme="minorEastAsia" w:eastAsiaTheme="minorEastAsia" w:cstheme="minorEastAsia"/>
          <w:szCs w:val="21"/>
          <w:lang w:val="en-US" w:eastAsia="zh-CN"/>
        </w:rPr>
        <w:t>23</w:t>
      </w:r>
      <w:r>
        <w:rPr>
          <w:rFonts w:hint="eastAsia" w:cs="宋体" w:asciiTheme="minorEastAsia" w:hAnsiTheme="minorEastAsia" w:eastAsiaTheme="minorEastAsia"/>
          <w:szCs w:val="21"/>
        </w:rPr>
        <w:t xml:space="preserve">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2.采购代理机构信息</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名  称：中经国际招标集团有限公司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地　址：武昌区中北路岳家嘴立交山河企业大厦48楼4805、4806室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联系方式：027-87820788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3.项目联系方式</w:t>
      </w:r>
    </w:p>
    <w:p>
      <w:pPr>
        <w:spacing w:line="360" w:lineRule="auto"/>
        <w:ind w:firstLine="420" w:firstLineChars="20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项目联系人：张梦、</w:t>
      </w:r>
      <w:r>
        <w:rPr>
          <w:rFonts w:hint="eastAsia" w:cs="宋体" w:asciiTheme="minorEastAsia" w:hAnsiTheme="minorEastAsia" w:eastAsiaTheme="minorEastAsia"/>
          <w:szCs w:val="21"/>
          <w:lang w:eastAsia="zh-CN"/>
        </w:rPr>
        <w:t>应翠翠</w:t>
      </w:r>
    </w:p>
    <w:p>
      <w:pPr>
        <w:spacing w:line="360" w:lineRule="auto"/>
        <w:ind w:firstLine="420" w:firstLineChars="200"/>
        <w:jc w:val="left"/>
        <w:rPr>
          <w:rFonts w:asciiTheme="minorEastAsia" w:hAnsiTheme="minorEastAsia" w:eastAsiaTheme="minorEastAsia" w:cstheme="minorEastAsia"/>
          <w:szCs w:val="21"/>
        </w:rPr>
      </w:pPr>
      <w:r>
        <w:rPr>
          <w:rFonts w:hint="eastAsia" w:cs="宋体" w:asciiTheme="minorEastAsia" w:hAnsiTheme="minorEastAsia" w:eastAsiaTheme="minorEastAsia"/>
          <w:szCs w:val="21"/>
        </w:rPr>
        <w:t>电    　话：027-87820788　　</w:t>
      </w:r>
    </w:p>
    <w:p>
      <w:pPr>
        <w:pStyle w:val="5"/>
        <w:numPr>
          <w:ilvl w:val="0"/>
          <w:numId w:val="6"/>
        </w:numPr>
        <w:spacing w:before="140" w:after="140" w:line="360" w:lineRule="auto"/>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w:t>
      </w:r>
      <w:bookmarkStart w:id="33" w:name="_Toc18350"/>
      <w:bookmarkStart w:id="34" w:name="_Toc25662"/>
      <w:r>
        <w:rPr>
          <w:rFonts w:hint="eastAsia" w:cs="宋体" w:asciiTheme="minorEastAsia" w:hAnsiTheme="minorEastAsia" w:eastAsiaTheme="minorEastAsia"/>
          <w:color w:val="000000"/>
          <w:sz w:val="21"/>
          <w:szCs w:val="21"/>
        </w:rPr>
        <w:t>注意事项</w:t>
      </w:r>
      <w:bookmarkEnd w:id="33"/>
      <w:bookmarkEnd w:id="34"/>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1.供应商在获取本项目竞争性磋商文件前须仔细阅读资格要求内容，并按磋商文件规定要求在响应文件中递交合格有效的资格证明文件，资格审查资料不合格将导致竞标失败。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对自己所提供的资格证明材料的真实性负责，无论何时，如发现供应商提供虚假的材料，将按照《中华人民共和国政府采购法》及本项目竞争性磋商文件的有关规定进行严肃处理，并在相关网站上进行通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请供应商仔细阅读本磋商文件的全部条文，对于文件中存在的任何含糊、遗漏、相互矛盾之处，或是对于采购范围的界定和采购内容的要求不清楚，认为存在歧义的，供应商应按本文件规定的时限向采购代理机构寻求书面澄清；未提出澄清要求的，则认同为完全理解本文件要求并接受采购人或采购代理机构可能作出的任何最终解释。</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关于本项目磋商文件有关内容的澄清、修改及变更等通知将通过书面形式经邮箱通知各供应商同时电话或短信告知，若采购人或采购代理机构未收到回复，视为收悉，并默认通知内容。若因供应商自身原因接收消息不及时，导致竞标受影响，其后果自行承担。</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中经国际招标集团有限公司</w:t>
      </w:r>
    </w:p>
    <w:p>
      <w:pPr>
        <w:spacing w:line="44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                                                                    2021年</w:t>
      </w: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17</w:t>
      </w:r>
      <w:r>
        <w:rPr>
          <w:rFonts w:hint="eastAsia" w:asciiTheme="minorEastAsia" w:hAnsiTheme="minorEastAsia" w:eastAsiaTheme="minorEastAsia" w:cstheme="minorEastAsia"/>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bookmarkStart w:id="324" w:name="_GoBack"/>
      <w:bookmarkEnd w:id="324"/>
    </w:p>
    <w:p>
      <w:pPr>
        <w:pStyle w:val="4"/>
        <w:numPr>
          <w:ilvl w:val="0"/>
          <w:numId w:val="4"/>
        </w:numPr>
        <w:jc w:val="center"/>
        <w:rPr>
          <w:rFonts w:asciiTheme="minorEastAsia" w:hAnsiTheme="minorEastAsia" w:eastAsiaTheme="minorEastAsia" w:cstheme="minorEastAsia"/>
          <w:sz w:val="32"/>
          <w:szCs w:val="32"/>
        </w:rPr>
      </w:pPr>
      <w:bookmarkStart w:id="35" w:name="_Toc2816"/>
      <w:bookmarkStart w:id="36" w:name="_Toc12411"/>
      <w:r>
        <w:rPr>
          <w:rFonts w:hint="eastAsia" w:asciiTheme="minorEastAsia" w:hAnsiTheme="minorEastAsia" w:eastAsiaTheme="minorEastAsia" w:cstheme="minorEastAsia"/>
          <w:sz w:val="36"/>
          <w:szCs w:val="36"/>
        </w:rPr>
        <w:t>供应商须知</w:t>
      </w:r>
      <w:bookmarkEnd w:id="35"/>
      <w:bookmarkEnd w:id="36"/>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37" w:name="_Toc4456"/>
      <w:bookmarkStart w:id="38" w:name="_Toc11271"/>
      <w:r>
        <w:rPr>
          <w:rFonts w:hint="eastAsia" w:asciiTheme="minorEastAsia" w:hAnsiTheme="minorEastAsia" w:eastAsiaTheme="minorEastAsia" w:cstheme="minorEastAsia"/>
          <w:b/>
          <w:szCs w:val="21"/>
        </w:rPr>
        <w:t>《供应商须知前附表》</w:t>
      </w:r>
      <w:bookmarkEnd w:id="37"/>
      <w:bookmarkEnd w:id="38"/>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268"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采购人</w:t>
            </w:r>
          </w:p>
        </w:tc>
        <w:tc>
          <w:tcPr>
            <w:tcW w:w="6268" w:type="dxa"/>
            <w:vAlign w:val="center"/>
          </w:tcPr>
          <w:p>
            <w:pPr>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监管部门</w:t>
            </w:r>
          </w:p>
        </w:tc>
        <w:tc>
          <w:tcPr>
            <w:tcW w:w="6268"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268"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中经国际招标集团有限公司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268"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268"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中标人按国家发展计划委员会计价格【2002】1980号文规定的取费标准的80%向采购代理机构支付招标代理服务费。招标代理服务费由中标人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268"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供应商认为磋商文件、磋商过程和成交结果使自己的权益受到损害的，可以在知道或者应知其权益受到损害之日起7个工作日内，以书面形式向采购人或采购代理机构提出。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98"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268"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268"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268"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268"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lang w:val="zh-CN"/>
              </w:rPr>
              <w:t>应提交的其它资格证明文件（实质性要求）</w:t>
            </w:r>
          </w:p>
        </w:tc>
        <w:tc>
          <w:tcPr>
            <w:tcW w:w="6268"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至少</w:t>
            </w:r>
            <w:r>
              <w:rPr>
                <w:rFonts w:hint="eastAsia" w:asciiTheme="minorEastAsia" w:hAnsiTheme="minorEastAsia" w:eastAsiaTheme="minorEastAsia" w:cstheme="minorEastAsia"/>
                <w:szCs w:val="21"/>
                <w:lang w:val="zh-CN"/>
              </w:rPr>
              <w:t>任意连续三个月缴纳税收的凭据（完税证明、缴款书、银行代扣（代缴）转账凭证等均可）；2）供应商依法缴纳社会保障资金的证明材料：递交响应文件截止时间往前推算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至少</w:t>
            </w:r>
            <w:r>
              <w:rPr>
                <w:rFonts w:hint="eastAsia" w:asciiTheme="minorEastAsia" w:hAnsiTheme="minorEastAsia" w:eastAsiaTheme="minorEastAsia" w:cstheme="minorEastAsia"/>
                <w:szCs w:val="21"/>
                <w:lang w:val="zh-CN"/>
              </w:rPr>
              <w:t>任意连续三个月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71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268"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268"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金    额：/</w:t>
            </w:r>
          </w:p>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户    名：中经国际招标集团有限公司湖北分公司</w:t>
            </w:r>
          </w:p>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开户银行：中国农业银行股份有限公司武汉岳家嘴支行</w:t>
            </w:r>
          </w:p>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帐    号：17053001040009288</w:t>
            </w:r>
          </w:p>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r>
              <w:rPr>
                <w:rFonts w:hint="eastAsia" w:asciiTheme="minorEastAsia" w:hAnsiTheme="minorEastAsia" w:eastAsiaTheme="minorEastAsia"/>
              </w:rPr>
              <w:fldChar w:fldCharType="begin"/>
            </w:r>
            <w:r>
              <w:rPr>
                <w:rFonts w:asciiTheme="minorEastAsia" w:hAnsiTheme="minorEastAsia" w:eastAsiaTheme="minorEastAsia"/>
              </w:rPr>
              <w:instrText xml:space="preserve"> HYPERLINK "mailto:投标人交纳投标保证金必须从投标人的基本帐户以支票、汇票、本票、电汇或者金融机构、担保机构出具的保函等非现金形式一次性汇至中经国际招标集团有限公司湖北分公司专用账户,截止时间为递交响应文件截止时间。成交供应商签订合同后须将合同扫描件（PDF版）发送至2102252595@qq.com邮箱备案后方可退还保证金。" </w:instrText>
            </w:r>
            <w:r>
              <w:rPr>
                <w:rFonts w:hint="eastAsia" w:asciiTheme="minorEastAsia" w:hAnsiTheme="minorEastAsia" w:eastAsiaTheme="minorEastAsia"/>
              </w:rPr>
              <w:fldChar w:fldCharType="separate"/>
            </w:r>
            <w:r>
              <w:rPr>
                <w:rFonts w:hint="eastAsia" w:asciiTheme="minorEastAsia" w:hAnsiTheme="minorEastAsia" w:eastAsiaTheme="minorEastAsia" w:cstheme="minorEastAsia"/>
                <w:szCs w:val="21"/>
              </w:rPr>
              <w:t>供应商缴纳投标保证金必须从供应商的基本帐户以支票、汇票、本票、电汇或者金融机构、担保机构出具的保函等非现金形式一次性汇至中经国际招标集团有限公司湖北分公司专用账户,截止时间为递交响应文件截止时间，以采购代理公司银行到账信息为准。成交供应商签订合同后须将合同扫描件（PDF版）发送至2102252595@qq.com邮箱备案后方可退还保证金。</w:t>
            </w:r>
            <w:r>
              <w:rPr>
                <w:rFonts w:hint="eastAsia" w:asciiTheme="minorEastAsia" w:hAnsiTheme="minorEastAsia" w:eastAsiaTheme="minorEastAsia" w:cstheme="minorEastAsia"/>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268"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268"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sym w:font="Wingdings 2" w:char="0052"/>
            </w: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rPr>
              <w:t>响应文件电子版格式：</w:t>
            </w:r>
            <w:r>
              <w:rPr>
                <w:rFonts w:hint="eastAsia" w:asciiTheme="minorEastAsia" w:hAnsiTheme="minorEastAsia" w:eastAsiaTheme="minorEastAsia" w:cstheme="minorEastAsia"/>
                <w:szCs w:val="21"/>
              </w:rPr>
              <w:t>WORD格式和加</w:t>
            </w:r>
            <w:r>
              <w:rPr>
                <w:rFonts w:hint="eastAsia" w:asciiTheme="minorEastAsia" w:hAnsiTheme="minorEastAsia" w:eastAsiaTheme="minorEastAsia" w:cstheme="minorEastAsia"/>
                <w:szCs w:val="21"/>
                <w:u w:val="single"/>
              </w:rPr>
              <w:t>盖公章后的PDF扫描件格式；</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（3）手持一份法定代表人授权委托书（或法定代表人身份证明书）；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所有响应文件概不退还，响应文件按包号分开制作，分开密封。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268"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268"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268"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268"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3人或3人以上单数组成，其中采购人代表不超过成员总数的三分之一，外聘专家在省政府采购专家库中随机抽取。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1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268"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268"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5"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268"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268"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209"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4"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268" w:type="dxa"/>
            <w:vAlign w:val="center"/>
          </w:tcPr>
          <w:p>
            <w:pPr>
              <w:autoSpaceDE w:val="0"/>
              <w:autoSpaceDN w:val="0"/>
              <w:adjustRightInd w:val="0"/>
              <w:snapToGrid w:val="0"/>
              <w:spacing w:before="31" w:beforeLines="10" w:after="31" w:afterLines="10"/>
              <w:ind w:right="21" w:rightChars="10"/>
              <w:jc w:val="lef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lang w:val="en-US" w:eastAsia="zh-CN"/>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lang w:val="en-US" w:eastAsia="zh-CN"/>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lang w:val="en-US" w:eastAsia="zh-CN"/>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lang w:val="en-US" w:eastAsia="zh-CN"/>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lang w:val="en-US" w:eastAsia="zh-CN"/>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lang w:val="en-US" w:eastAsia="zh-CN"/>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lang w:val="en-US" w:eastAsia="zh-CN"/>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268"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ascii="Segoe UI Emoji" w:hAnsi="Segoe UI Emoji" w:cs="Segoe UI Emoji" w:eastAsiaTheme="minorEastAsia"/>
                <w:szCs w:val="21"/>
              </w:rPr>
              <w:t>☑</w:t>
            </w:r>
            <w:r>
              <w:rPr>
                <w:rFonts w:hint="eastAsia" w:ascii="宋体" w:hAnsi="宋体" w:cs="宋体"/>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bl>
    <w:p>
      <w:pPr>
        <w:rPr>
          <w:rFonts w:asciiTheme="minorEastAsia" w:hAnsiTheme="minorEastAsia" w:eastAsiaTheme="minorEastAsia" w:cstheme="minorEastAsia"/>
          <w:b/>
          <w:szCs w:val="21"/>
        </w:rPr>
      </w:pPr>
      <w:bookmarkStart w:id="39" w:name="_Toc23075"/>
      <w:r>
        <w:rPr>
          <w:rFonts w:hint="eastAsia" w:asciiTheme="minorEastAsia" w:hAnsiTheme="minorEastAsia" w:eastAsiaTheme="minorEastAsia" w:cstheme="minorEastAsia"/>
          <w:b/>
          <w:szCs w:val="21"/>
        </w:rPr>
        <w:br w:type="page"/>
      </w:r>
    </w:p>
    <w:p>
      <w:pPr>
        <w:spacing w:line="360" w:lineRule="auto"/>
        <w:outlineLvl w:val="1"/>
        <w:rPr>
          <w:rFonts w:asciiTheme="minorEastAsia" w:hAnsiTheme="minorEastAsia" w:eastAsiaTheme="minorEastAsia" w:cstheme="minorEastAsia"/>
          <w:b/>
          <w:szCs w:val="21"/>
        </w:rPr>
      </w:pPr>
      <w:bookmarkStart w:id="40" w:name="_Toc8626"/>
      <w:r>
        <w:rPr>
          <w:rFonts w:hint="eastAsia" w:asciiTheme="minorEastAsia" w:hAnsiTheme="minorEastAsia" w:eastAsiaTheme="minorEastAsia" w:cstheme="minorEastAsia"/>
          <w:b/>
          <w:szCs w:val="21"/>
        </w:rPr>
        <w:t>供应商须知</w:t>
      </w:r>
      <w:bookmarkEnd w:id="39"/>
      <w:bookmarkEnd w:id="40"/>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1" w:name="_Toc10592"/>
      <w:bookmarkStart w:id="42" w:name="_Toc18457"/>
      <w:r>
        <w:rPr>
          <w:rFonts w:hint="eastAsia" w:asciiTheme="minorEastAsia" w:hAnsiTheme="minorEastAsia" w:eastAsiaTheme="minorEastAsia" w:cstheme="minorEastAsia"/>
          <w:b/>
          <w:szCs w:val="21"/>
        </w:rPr>
        <w:t>总则</w:t>
      </w:r>
      <w:bookmarkEnd w:id="41"/>
      <w:bookmarkEnd w:id="42"/>
    </w:p>
    <w:p>
      <w:pPr>
        <w:numPr>
          <w:ilvl w:val="0"/>
          <w:numId w:val="9"/>
        </w:numPr>
        <w:spacing w:line="360" w:lineRule="auto"/>
        <w:ind w:hanging="540"/>
        <w:outlineLvl w:val="1"/>
        <w:rPr>
          <w:rFonts w:asciiTheme="minorEastAsia" w:hAnsiTheme="minorEastAsia" w:eastAsiaTheme="minorEastAsia" w:cstheme="minorEastAsia"/>
          <w:b/>
          <w:szCs w:val="21"/>
        </w:rPr>
      </w:pPr>
      <w:bookmarkStart w:id="43" w:name="_Toc17841"/>
      <w:bookmarkStart w:id="44" w:name="_Toc27243"/>
      <w:bookmarkStart w:id="45" w:name="_Toc16247"/>
      <w:r>
        <w:rPr>
          <w:rFonts w:hint="eastAsia" w:asciiTheme="minorEastAsia" w:hAnsiTheme="minorEastAsia" w:eastAsiaTheme="minorEastAsia" w:cstheme="minorEastAsia"/>
          <w:b/>
          <w:szCs w:val="21"/>
        </w:rPr>
        <w:t>适用法律及范围</w:t>
      </w:r>
      <w:bookmarkEnd w:id="43"/>
      <w:bookmarkEnd w:id="44"/>
      <w:bookmarkEnd w:id="45"/>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46" w:name="_Toc30547"/>
      <w:bookmarkStart w:id="47" w:name="_Toc67"/>
      <w:bookmarkStart w:id="48" w:name="_Toc22187"/>
      <w:r>
        <w:rPr>
          <w:rFonts w:hint="eastAsia" w:asciiTheme="minorEastAsia" w:hAnsiTheme="minorEastAsia" w:eastAsiaTheme="minorEastAsia" w:cstheme="minorEastAsia"/>
          <w:b/>
          <w:szCs w:val="21"/>
        </w:rPr>
        <w:t>定义</w:t>
      </w:r>
      <w:bookmarkEnd w:id="46"/>
      <w:bookmarkEnd w:id="47"/>
      <w:bookmarkEnd w:id="48"/>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49" w:name="_Toc21853"/>
      <w:bookmarkStart w:id="50" w:name="_Toc30503"/>
      <w:bookmarkStart w:id="51" w:name="_Toc9707"/>
      <w:r>
        <w:rPr>
          <w:rFonts w:hint="eastAsia" w:asciiTheme="minorEastAsia" w:hAnsiTheme="minorEastAsia" w:eastAsiaTheme="minorEastAsia" w:cstheme="minorEastAsia"/>
          <w:b/>
          <w:snapToGrid w:val="0"/>
          <w:kern w:val="0"/>
          <w:szCs w:val="21"/>
          <w:lang w:val="zh-CN"/>
        </w:rPr>
        <w:t>工程、货物及服务</w:t>
      </w:r>
      <w:bookmarkEnd w:id="49"/>
      <w:bookmarkEnd w:id="50"/>
      <w:bookmarkEnd w:id="51"/>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52" w:name="_Toc28033"/>
      <w:bookmarkStart w:id="53" w:name="_Toc4948"/>
      <w:bookmarkStart w:id="54" w:name="_Toc9974"/>
      <w:r>
        <w:rPr>
          <w:rFonts w:hint="eastAsia" w:asciiTheme="minorEastAsia" w:hAnsiTheme="minorEastAsia" w:eastAsiaTheme="minorEastAsia" w:cstheme="minorEastAsia"/>
          <w:b/>
          <w:szCs w:val="21"/>
        </w:rPr>
        <w:t>费用</w:t>
      </w:r>
      <w:bookmarkEnd w:id="52"/>
      <w:bookmarkEnd w:id="53"/>
      <w:bookmarkEnd w:id="54"/>
      <w:r>
        <w:rPr>
          <w:rFonts w:hint="eastAsia" w:asciiTheme="minorEastAsia" w:hAnsiTheme="minorEastAsia" w:eastAsiaTheme="minorEastAsia" w:cstheme="minorEastAsia"/>
          <w:b/>
          <w:szCs w:val="21"/>
        </w:rPr>
        <w:t xml:space="preserve">  </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268"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268"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268"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268"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268"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268"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268"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268"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276" w:lineRule="auto"/>
        <w:ind w:left="420" w:hanging="420" w:hangingChars="20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276" w:lineRule="auto"/>
        <w:ind w:firstLine="420" w:firstLineChars="20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276" w:lineRule="auto"/>
        <w:ind w:firstLine="420" w:firstLineChars="20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276" w:lineRule="auto"/>
        <w:ind w:firstLine="420" w:firstLineChars="20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276" w:lineRule="auto"/>
        <w:ind w:firstLine="420" w:firstLineChars="20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276" w:lineRule="auto"/>
        <w:ind w:firstLine="420" w:firstLineChars="20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276" w:lineRule="auto"/>
        <w:ind w:firstLine="420" w:firstLineChars="20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55" w:name="_Toc1259"/>
      <w:bookmarkStart w:id="56" w:name="_Toc21644"/>
      <w:r>
        <w:rPr>
          <w:rFonts w:hint="eastAsia" w:asciiTheme="minorEastAsia" w:hAnsiTheme="minorEastAsia" w:eastAsiaTheme="minorEastAsia" w:cstheme="minorEastAsia"/>
          <w:b/>
          <w:szCs w:val="21"/>
        </w:rPr>
        <w:t>竞争性磋商采购文件</w:t>
      </w:r>
      <w:bookmarkEnd w:id="55"/>
      <w:bookmarkEnd w:id="56"/>
    </w:p>
    <w:p>
      <w:pPr>
        <w:numPr>
          <w:ilvl w:val="0"/>
          <w:numId w:val="9"/>
        </w:numPr>
        <w:spacing w:line="360" w:lineRule="auto"/>
        <w:ind w:hanging="540"/>
        <w:outlineLvl w:val="1"/>
        <w:rPr>
          <w:rFonts w:asciiTheme="minorEastAsia" w:hAnsiTheme="minorEastAsia" w:eastAsiaTheme="minorEastAsia" w:cstheme="minorEastAsia"/>
          <w:b/>
          <w:szCs w:val="21"/>
        </w:rPr>
      </w:pPr>
      <w:bookmarkStart w:id="57" w:name="_Toc25534"/>
      <w:bookmarkStart w:id="58" w:name="_Toc4547"/>
      <w:bookmarkStart w:id="59" w:name="_Toc27806"/>
      <w:r>
        <w:rPr>
          <w:rFonts w:hint="eastAsia" w:asciiTheme="minorEastAsia" w:hAnsiTheme="minorEastAsia" w:eastAsiaTheme="minorEastAsia" w:cstheme="minorEastAsia"/>
          <w:b/>
          <w:szCs w:val="21"/>
        </w:rPr>
        <w:t>竞争性磋商采购文件的构成</w:t>
      </w:r>
      <w:bookmarkEnd w:id="57"/>
      <w:bookmarkEnd w:id="58"/>
      <w:bookmarkEnd w:id="59"/>
    </w:p>
    <w:p>
      <w:pPr>
        <w:numPr>
          <w:ilvl w:val="1"/>
          <w:numId w:val="14"/>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60" w:name="_Toc12297"/>
      <w:bookmarkStart w:id="61" w:name="_Toc29700"/>
      <w:bookmarkStart w:id="62" w:name="_Toc864"/>
      <w:r>
        <w:rPr>
          <w:rFonts w:hint="eastAsia" w:asciiTheme="minorEastAsia" w:hAnsiTheme="minorEastAsia" w:eastAsiaTheme="minorEastAsia" w:cstheme="minorEastAsia"/>
          <w:b/>
          <w:snapToGrid w:val="0"/>
          <w:kern w:val="0"/>
          <w:szCs w:val="21"/>
          <w:lang w:val="zh-CN"/>
        </w:rPr>
        <w:t>竞争性磋商采购文件的澄清</w:t>
      </w:r>
      <w:bookmarkEnd w:id="60"/>
      <w:bookmarkEnd w:id="61"/>
      <w:bookmarkEnd w:id="62"/>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63" w:name="_Toc3708"/>
      <w:bookmarkStart w:id="64" w:name="_Toc31761"/>
      <w:bookmarkStart w:id="65" w:name="_Toc17968"/>
      <w:r>
        <w:rPr>
          <w:rFonts w:hint="eastAsia" w:asciiTheme="minorEastAsia" w:hAnsiTheme="minorEastAsia" w:eastAsiaTheme="minorEastAsia" w:cstheme="minorEastAsia"/>
          <w:b/>
          <w:snapToGrid w:val="0"/>
          <w:kern w:val="0"/>
          <w:szCs w:val="21"/>
          <w:lang w:val="zh-CN"/>
        </w:rPr>
        <w:t>竞争性磋商采购文件的修改</w:t>
      </w:r>
      <w:bookmarkEnd w:id="63"/>
      <w:bookmarkEnd w:id="64"/>
      <w:bookmarkEnd w:id="65"/>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6"/>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6" w:name="_Toc5166"/>
      <w:bookmarkStart w:id="67" w:name="_Toc6290"/>
      <w:r>
        <w:rPr>
          <w:rFonts w:hint="eastAsia" w:asciiTheme="minorEastAsia" w:hAnsiTheme="minorEastAsia" w:eastAsiaTheme="minorEastAsia" w:cstheme="minorEastAsia"/>
          <w:b/>
          <w:szCs w:val="21"/>
        </w:rPr>
        <w:t>竞争性磋商响应文件</w:t>
      </w:r>
      <w:bookmarkEnd w:id="66"/>
      <w:bookmarkEnd w:id="67"/>
    </w:p>
    <w:p>
      <w:pPr>
        <w:numPr>
          <w:ilvl w:val="0"/>
          <w:numId w:val="9"/>
        </w:numPr>
        <w:spacing w:line="360" w:lineRule="auto"/>
        <w:ind w:hanging="540"/>
        <w:outlineLvl w:val="1"/>
        <w:rPr>
          <w:rFonts w:asciiTheme="minorEastAsia" w:hAnsiTheme="minorEastAsia" w:eastAsiaTheme="minorEastAsia" w:cstheme="minorEastAsia"/>
          <w:snapToGrid w:val="0"/>
          <w:kern w:val="0"/>
          <w:szCs w:val="21"/>
          <w:lang w:val="zh-CN"/>
        </w:rPr>
      </w:pPr>
      <w:bookmarkStart w:id="68" w:name="_Toc3705"/>
      <w:bookmarkStart w:id="69" w:name="_Toc4380"/>
      <w:bookmarkStart w:id="70" w:name="_Toc30987"/>
      <w:r>
        <w:rPr>
          <w:rFonts w:hint="eastAsia" w:asciiTheme="minorEastAsia" w:hAnsiTheme="minorEastAsia" w:eastAsiaTheme="minorEastAsia" w:cstheme="minorEastAsia"/>
          <w:b/>
          <w:snapToGrid w:val="0"/>
          <w:kern w:val="0"/>
          <w:szCs w:val="21"/>
          <w:lang w:val="zh-CN"/>
        </w:rPr>
        <w:t>语言和计量单位</w:t>
      </w:r>
      <w:bookmarkEnd w:id="68"/>
      <w:bookmarkEnd w:id="69"/>
      <w:bookmarkEnd w:id="70"/>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71" w:name="_Toc3554"/>
      <w:bookmarkStart w:id="72" w:name="_Toc32272"/>
      <w:bookmarkStart w:id="73" w:name="_Toc15400"/>
      <w:r>
        <w:rPr>
          <w:rFonts w:hint="eastAsia" w:asciiTheme="minorEastAsia" w:hAnsiTheme="minorEastAsia" w:eastAsiaTheme="minorEastAsia" w:cstheme="minorEastAsia"/>
          <w:b/>
          <w:snapToGrid w:val="0"/>
          <w:kern w:val="0"/>
          <w:szCs w:val="21"/>
          <w:lang w:val="zh-CN"/>
        </w:rPr>
        <w:t>竞争性磋商响应文件的构成</w:t>
      </w:r>
      <w:bookmarkEnd w:id="71"/>
      <w:bookmarkEnd w:id="72"/>
      <w:bookmarkEnd w:id="73"/>
    </w:p>
    <w:p>
      <w:pPr>
        <w:numPr>
          <w:ilvl w:val="1"/>
          <w:numId w:val="18"/>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74" w:name="_Toc24922"/>
      <w:bookmarkStart w:id="75" w:name="_Toc1043"/>
      <w:bookmarkStart w:id="76" w:name="_Toc25217"/>
      <w:r>
        <w:rPr>
          <w:rFonts w:hint="eastAsia" w:asciiTheme="minorEastAsia" w:hAnsiTheme="minorEastAsia" w:eastAsiaTheme="minorEastAsia" w:cstheme="minorEastAsia"/>
          <w:b/>
          <w:snapToGrid w:val="0"/>
          <w:kern w:val="0"/>
          <w:szCs w:val="21"/>
          <w:lang w:val="zh-CN"/>
        </w:rPr>
        <w:t>竞争性磋商响应文件的编制</w:t>
      </w:r>
      <w:bookmarkEnd w:id="74"/>
      <w:bookmarkEnd w:id="75"/>
      <w:bookmarkEnd w:id="76"/>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77" w:name="_Toc15588"/>
      <w:bookmarkStart w:id="78" w:name="_Toc24544"/>
      <w:bookmarkStart w:id="79" w:name="_Toc6966"/>
      <w:r>
        <w:rPr>
          <w:rFonts w:hint="eastAsia" w:asciiTheme="minorEastAsia" w:hAnsiTheme="minorEastAsia" w:eastAsiaTheme="minorEastAsia" w:cstheme="minorEastAsia"/>
          <w:b/>
          <w:snapToGrid w:val="0"/>
          <w:kern w:val="0"/>
          <w:szCs w:val="21"/>
          <w:lang w:val="zh-CN"/>
        </w:rPr>
        <w:t>磋商报价</w:t>
      </w:r>
      <w:bookmarkEnd w:id="77"/>
      <w:bookmarkEnd w:id="78"/>
      <w:bookmarkEnd w:id="79"/>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80" w:name="_Toc23921"/>
      <w:bookmarkStart w:id="81" w:name="_Toc5308"/>
      <w:bookmarkStart w:id="82" w:name="_Toc6176"/>
      <w:r>
        <w:rPr>
          <w:rFonts w:hint="eastAsia" w:asciiTheme="minorEastAsia" w:hAnsiTheme="minorEastAsia" w:eastAsiaTheme="minorEastAsia" w:cstheme="minorEastAsia"/>
          <w:b/>
          <w:snapToGrid w:val="0"/>
          <w:kern w:val="0"/>
          <w:szCs w:val="21"/>
          <w:lang w:val="zh-CN"/>
        </w:rPr>
        <w:t>备选方案</w:t>
      </w:r>
      <w:bookmarkEnd w:id="80"/>
      <w:bookmarkEnd w:id="81"/>
      <w:bookmarkEnd w:id="82"/>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83" w:name="_Toc827"/>
      <w:bookmarkStart w:id="84" w:name="_Toc3324"/>
      <w:bookmarkStart w:id="85" w:name="_Toc2188"/>
      <w:r>
        <w:rPr>
          <w:rFonts w:hint="eastAsia" w:asciiTheme="minorEastAsia" w:hAnsiTheme="minorEastAsia" w:eastAsiaTheme="minorEastAsia" w:cstheme="minorEastAsia"/>
          <w:b/>
          <w:snapToGrid w:val="0"/>
          <w:kern w:val="0"/>
          <w:szCs w:val="21"/>
          <w:lang w:val="zh-CN"/>
        </w:rPr>
        <w:t>联合体</w:t>
      </w:r>
      <w:bookmarkEnd w:id="83"/>
      <w:bookmarkEnd w:id="84"/>
      <w:bookmarkEnd w:id="85"/>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86" w:name="_Toc19171"/>
      <w:bookmarkStart w:id="87" w:name="_Toc569"/>
      <w:bookmarkStart w:id="88" w:name="_Toc2434"/>
      <w:r>
        <w:rPr>
          <w:rFonts w:hint="eastAsia" w:asciiTheme="minorEastAsia" w:hAnsiTheme="minorEastAsia" w:eastAsiaTheme="minorEastAsia" w:cstheme="minorEastAsia"/>
          <w:b/>
          <w:snapToGrid w:val="0"/>
          <w:kern w:val="0"/>
          <w:szCs w:val="21"/>
          <w:lang w:val="zh-CN"/>
        </w:rPr>
        <w:t>供应商资格证明文件</w:t>
      </w:r>
      <w:bookmarkEnd w:id="86"/>
      <w:bookmarkEnd w:id="87"/>
      <w:bookmarkEnd w:id="88"/>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4"/>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89" w:name="_Toc9935"/>
      <w:bookmarkStart w:id="90" w:name="_Toc11703"/>
      <w:bookmarkStart w:id="91" w:name="_Toc24609"/>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89"/>
      <w:bookmarkEnd w:id="90"/>
      <w:bookmarkEnd w:id="91"/>
    </w:p>
    <w:p>
      <w:pPr>
        <w:numPr>
          <w:ilvl w:val="1"/>
          <w:numId w:val="25"/>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92" w:name="_Toc29173"/>
      <w:bookmarkStart w:id="93" w:name="_Toc27068"/>
      <w:bookmarkStart w:id="94" w:name="_Toc15899"/>
      <w:r>
        <w:rPr>
          <w:rFonts w:hint="eastAsia" w:asciiTheme="minorEastAsia" w:hAnsiTheme="minorEastAsia" w:eastAsiaTheme="minorEastAsia" w:cstheme="minorEastAsia"/>
          <w:b/>
          <w:snapToGrid w:val="0"/>
          <w:kern w:val="0"/>
          <w:szCs w:val="21"/>
          <w:lang w:val="zh-CN"/>
        </w:rPr>
        <w:t>磋商保证金</w:t>
      </w:r>
      <w:bookmarkEnd w:id="92"/>
      <w:bookmarkEnd w:id="93"/>
      <w:bookmarkEnd w:id="94"/>
    </w:p>
    <w:p>
      <w:pPr>
        <w:numPr>
          <w:ilvl w:val="1"/>
          <w:numId w:val="26"/>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7"/>
        </w:numPr>
        <w:tabs>
          <w:tab w:val="left" w:pos="525"/>
          <w:tab w:val="clear" w:pos="2040"/>
        </w:tabs>
        <w:autoSpaceDE w:val="0"/>
        <w:autoSpaceDN w:val="0"/>
        <w:adjustRightInd w:val="0"/>
        <w:spacing w:line="360" w:lineRule="auto"/>
        <w:ind w:left="537" w:leftChars="200" w:hanging="117" w:hangingChars="56"/>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7"/>
        </w:numPr>
        <w:tabs>
          <w:tab w:val="left" w:pos="525"/>
          <w:tab w:val="clear" w:pos="2040"/>
        </w:tabs>
        <w:autoSpaceDE w:val="0"/>
        <w:autoSpaceDN w:val="0"/>
        <w:adjustRightInd w:val="0"/>
        <w:spacing w:line="360" w:lineRule="auto"/>
        <w:ind w:left="537" w:leftChars="200" w:hanging="117" w:hangingChars="56"/>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7"/>
        </w:numPr>
        <w:tabs>
          <w:tab w:val="left" w:pos="525"/>
          <w:tab w:val="clear" w:pos="2040"/>
        </w:tabs>
        <w:autoSpaceDE w:val="0"/>
        <w:autoSpaceDN w:val="0"/>
        <w:adjustRightInd w:val="0"/>
        <w:spacing w:line="360" w:lineRule="auto"/>
        <w:ind w:left="537" w:leftChars="200" w:hanging="117" w:hangingChars="56"/>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7"/>
        </w:numPr>
        <w:tabs>
          <w:tab w:val="left" w:pos="525"/>
          <w:tab w:val="clear" w:pos="2040"/>
        </w:tabs>
        <w:autoSpaceDE w:val="0"/>
        <w:autoSpaceDN w:val="0"/>
        <w:adjustRightInd w:val="0"/>
        <w:spacing w:line="360" w:lineRule="auto"/>
        <w:ind w:left="537" w:leftChars="200" w:hanging="117" w:hangingChars="56"/>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7"/>
        </w:numPr>
        <w:tabs>
          <w:tab w:val="left" w:pos="525"/>
          <w:tab w:val="clear" w:pos="2040"/>
        </w:tabs>
        <w:autoSpaceDE w:val="0"/>
        <w:autoSpaceDN w:val="0"/>
        <w:adjustRightInd w:val="0"/>
        <w:spacing w:line="360" w:lineRule="auto"/>
        <w:ind w:left="537" w:leftChars="200" w:hanging="117" w:hangingChars="56"/>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95" w:name="_Toc32514"/>
      <w:bookmarkStart w:id="96" w:name="_Toc5668"/>
      <w:bookmarkStart w:id="97" w:name="_Toc17731"/>
      <w:r>
        <w:rPr>
          <w:rFonts w:hint="eastAsia" w:asciiTheme="minorEastAsia" w:hAnsiTheme="minorEastAsia" w:eastAsiaTheme="minorEastAsia" w:cstheme="minorEastAsia"/>
          <w:b/>
          <w:snapToGrid w:val="0"/>
          <w:kern w:val="0"/>
          <w:szCs w:val="21"/>
          <w:lang w:val="zh-CN"/>
        </w:rPr>
        <w:t>磋商有效期</w:t>
      </w:r>
      <w:bookmarkEnd w:id="95"/>
      <w:bookmarkEnd w:id="96"/>
      <w:bookmarkEnd w:id="97"/>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98" w:name="_Toc20134"/>
      <w:bookmarkStart w:id="99" w:name="_Toc20487"/>
      <w:bookmarkStart w:id="100" w:name="_Toc8272"/>
      <w:r>
        <w:rPr>
          <w:rFonts w:hint="eastAsia" w:asciiTheme="minorEastAsia" w:hAnsiTheme="minorEastAsia" w:eastAsiaTheme="minorEastAsia" w:cstheme="minorEastAsia"/>
          <w:b/>
          <w:snapToGrid w:val="0"/>
          <w:kern w:val="0"/>
          <w:szCs w:val="21"/>
          <w:lang w:val="zh-CN"/>
        </w:rPr>
        <w:t>竞争性磋商响应文件的装订、签署和数量</w:t>
      </w:r>
      <w:bookmarkEnd w:id="98"/>
      <w:bookmarkEnd w:id="99"/>
      <w:bookmarkEnd w:id="100"/>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101" w:name="_Toc9208"/>
      <w:bookmarkStart w:id="102" w:name="_Toc3975"/>
      <w:r>
        <w:rPr>
          <w:rFonts w:hint="eastAsia" w:asciiTheme="minorEastAsia" w:hAnsiTheme="minorEastAsia" w:eastAsiaTheme="minorEastAsia" w:cstheme="minorEastAsia"/>
          <w:b/>
          <w:szCs w:val="21"/>
        </w:rPr>
        <w:t>竞争性磋商响应文件的递交</w:t>
      </w:r>
      <w:bookmarkEnd w:id="101"/>
      <w:bookmarkEnd w:id="102"/>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103" w:name="_Toc3224"/>
      <w:bookmarkStart w:id="104" w:name="_Toc27305"/>
      <w:bookmarkStart w:id="105" w:name="_Toc16633"/>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103"/>
      <w:bookmarkEnd w:id="104"/>
      <w:bookmarkEnd w:id="105"/>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106" w:name="_Toc14611"/>
      <w:bookmarkStart w:id="107" w:name="_Toc17857"/>
      <w:bookmarkStart w:id="108" w:name="_Toc28372"/>
      <w:r>
        <w:rPr>
          <w:rFonts w:hint="eastAsia" w:asciiTheme="minorEastAsia" w:hAnsiTheme="minorEastAsia" w:eastAsiaTheme="minorEastAsia" w:cstheme="minorEastAsia"/>
          <w:b/>
          <w:snapToGrid w:val="0"/>
          <w:kern w:val="0"/>
          <w:szCs w:val="21"/>
          <w:lang w:val="zh-CN"/>
        </w:rPr>
        <w:t>竞争性磋商响应文件的送达地点及截止时间</w:t>
      </w:r>
      <w:bookmarkEnd w:id="106"/>
      <w:bookmarkEnd w:id="107"/>
      <w:bookmarkEnd w:id="108"/>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109" w:name="_Toc31376"/>
      <w:bookmarkStart w:id="110" w:name="_Toc1405"/>
      <w:bookmarkStart w:id="111" w:name="_Toc863"/>
      <w:r>
        <w:rPr>
          <w:rFonts w:hint="eastAsia" w:asciiTheme="minorEastAsia" w:hAnsiTheme="minorEastAsia" w:eastAsiaTheme="minorEastAsia" w:cstheme="minorEastAsia"/>
          <w:b/>
          <w:snapToGrid w:val="0"/>
          <w:kern w:val="0"/>
          <w:szCs w:val="21"/>
          <w:lang w:val="zh-CN"/>
        </w:rPr>
        <w:t>迟交的竞争性磋商响应文件</w:t>
      </w:r>
      <w:bookmarkEnd w:id="109"/>
      <w:bookmarkEnd w:id="110"/>
      <w:bookmarkEnd w:id="111"/>
    </w:p>
    <w:p>
      <w:pPr>
        <w:numPr>
          <w:ilvl w:val="1"/>
          <w:numId w:val="31"/>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112" w:name="_Toc31760"/>
      <w:bookmarkStart w:id="113" w:name="_Toc23519"/>
      <w:bookmarkStart w:id="114" w:name="_Toc32091"/>
      <w:r>
        <w:rPr>
          <w:rFonts w:hint="eastAsia" w:asciiTheme="minorEastAsia" w:hAnsiTheme="minorEastAsia" w:eastAsiaTheme="minorEastAsia" w:cstheme="minorEastAsia"/>
          <w:b/>
          <w:snapToGrid w:val="0"/>
          <w:kern w:val="0"/>
          <w:szCs w:val="21"/>
          <w:lang w:val="zh-CN"/>
        </w:rPr>
        <w:t>竞争性磋商响应文件的补充、修改或者撤回</w:t>
      </w:r>
      <w:bookmarkEnd w:id="112"/>
      <w:bookmarkEnd w:id="113"/>
      <w:bookmarkEnd w:id="114"/>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115" w:name="_Toc21065"/>
      <w:bookmarkStart w:id="116" w:name="_Toc29375"/>
      <w:r>
        <w:rPr>
          <w:rFonts w:hint="eastAsia" w:asciiTheme="minorEastAsia" w:hAnsiTheme="minorEastAsia" w:eastAsiaTheme="minorEastAsia" w:cstheme="minorEastAsia"/>
          <w:b/>
          <w:szCs w:val="21"/>
        </w:rPr>
        <w:t>磋商程序及步骤</w:t>
      </w:r>
      <w:bookmarkEnd w:id="115"/>
      <w:bookmarkEnd w:id="116"/>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117" w:name="_Toc22624"/>
      <w:bookmarkStart w:id="118" w:name="_Toc2550"/>
      <w:bookmarkStart w:id="119" w:name="_Toc15628"/>
      <w:r>
        <w:rPr>
          <w:rFonts w:hint="eastAsia" w:asciiTheme="minorEastAsia" w:hAnsiTheme="minorEastAsia" w:eastAsiaTheme="minorEastAsia" w:cstheme="minorEastAsia"/>
          <w:b/>
        </w:rPr>
        <w:t>竞争性磋商小组</w:t>
      </w:r>
      <w:bookmarkEnd w:id="117"/>
      <w:bookmarkEnd w:id="118"/>
      <w:bookmarkEnd w:id="119"/>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120" w:name="_Toc8874"/>
      <w:bookmarkStart w:id="121" w:name="_Toc14809"/>
      <w:bookmarkStart w:id="122" w:name="_Toc21483"/>
      <w:r>
        <w:rPr>
          <w:rFonts w:hint="eastAsia" w:asciiTheme="minorEastAsia" w:hAnsiTheme="minorEastAsia" w:eastAsiaTheme="minorEastAsia" w:cstheme="minorEastAsia"/>
          <w:b/>
        </w:rPr>
        <w:t>磋商代表</w:t>
      </w:r>
      <w:bookmarkEnd w:id="120"/>
      <w:bookmarkEnd w:id="121"/>
      <w:bookmarkEnd w:id="122"/>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123" w:name="_Toc9967"/>
      <w:bookmarkStart w:id="124" w:name="_Toc32662"/>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123"/>
      <w:bookmarkEnd w:id="124"/>
      <w:r>
        <w:rPr>
          <w:rFonts w:hint="eastAsia" w:asciiTheme="minorEastAsia" w:hAnsiTheme="minorEastAsia" w:eastAsiaTheme="minorEastAsia" w:cstheme="minorEastAsia"/>
          <w:szCs w:val="21"/>
        </w:rPr>
        <w:t>磋商代表的其他要求见《供应商须知前附表》。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125" w:name="_Toc30347"/>
      <w:bookmarkStart w:id="126" w:name="_Toc4173"/>
      <w:r>
        <w:rPr>
          <w:rFonts w:hint="eastAsia" w:asciiTheme="minorEastAsia" w:hAnsiTheme="minorEastAsia" w:eastAsiaTheme="minorEastAsia" w:cstheme="minorEastAsia"/>
          <w:b/>
        </w:rPr>
        <w:t>资格审查和符合性审查</w:t>
      </w:r>
      <w:bookmarkEnd w:id="125"/>
      <w:bookmarkEnd w:id="126"/>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127" w:name="_Toc31580"/>
      <w:bookmarkStart w:id="128" w:name="_Toc5263"/>
      <w:r>
        <w:rPr>
          <w:rFonts w:hint="eastAsia" w:asciiTheme="minorEastAsia" w:hAnsiTheme="minorEastAsia" w:eastAsiaTheme="minorEastAsia" w:cstheme="minorEastAsia"/>
          <w:b/>
        </w:rPr>
        <w:t>磋商</w:t>
      </w:r>
      <w:bookmarkEnd w:id="127"/>
      <w:bookmarkEnd w:id="128"/>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26.4竞标报价有算术错误的，磋商小组按照以下原则对磋商报价进行修正，修正的价格经供应商书面确认后具有约束力。供应商不接受修正价格的，磋商小组应当否决其竞标。</w:t>
      </w:r>
    </w:p>
    <w:p>
      <w:pPr>
        <w:spacing w:line="360" w:lineRule="auto"/>
        <w:ind w:left="535" w:leftChars="200" w:hanging="115" w:hangingChars="55"/>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（1）响应文件中的大写金额与小写金额不一致的，以大写金额为准；</w:t>
      </w:r>
    </w:p>
    <w:p>
      <w:pPr>
        <w:spacing w:line="360" w:lineRule="auto"/>
        <w:ind w:left="535" w:leftChars="200" w:hanging="115" w:hangingChars="55"/>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420" w:left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420" w:left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firstLine="42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129" w:name="_Toc12279"/>
      <w:bookmarkStart w:id="130" w:name="_Toc21157"/>
      <w:r>
        <w:rPr>
          <w:rFonts w:hint="eastAsia" w:asciiTheme="minorEastAsia" w:hAnsiTheme="minorEastAsia" w:eastAsiaTheme="minorEastAsia" w:cstheme="minorEastAsia"/>
          <w:b/>
          <w:lang w:val="zh-CN"/>
        </w:rPr>
        <w:t>保密</w:t>
      </w:r>
      <w:bookmarkEnd w:id="129"/>
      <w:bookmarkEnd w:id="130"/>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3"/>
        </w:numPr>
        <w:autoSpaceDE w:val="0"/>
        <w:autoSpaceDN w:val="0"/>
        <w:adjustRightInd w:val="0"/>
        <w:spacing w:line="360" w:lineRule="auto"/>
        <w:jc w:val="left"/>
        <w:rPr>
          <w:rFonts w:asciiTheme="minorEastAsia" w:hAnsiTheme="minorEastAsia" w:eastAsiaTheme="minorEastAsia"/>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131" w:name="_Toc15300"/>
      <w:bookmarkStart w:id="132" w:name="_Toc21170"/>
      <w:bookmarkStart w:id="133" w:name="_Toc15936"/>
      <w:r>
        <w:rPr>
          <w:rFonts w:hint="eastAsia" w:asciiTheme="minorEastAsia" w:hAnsiTheme="minorEastAsia" w:eastAsiaTheme="minorEastAsia" w:cstheme="minorEastAsia"/>
          <w:b/>
          <w:szCs w:val="21"/>
        </w:rPr>
        <w:t>成交与签订合同</w:t>
      </w:r>
      <w:bookmarkEnd w:id="131"/>
      <w:bookmarkEnd w:id="132"/>
      <w:bookmarkEnd w:id="133"/>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134" w:name="_Toc21514"/>
      <w:bookmarkStart w:id="135" w:name="_Toc23443"/>
      <w:bookmarkStart w:id="136" w:name="_Toc15026"/>
      <w:r>
        <w:rPr>
          <w:rFonts w:hint="eastAsia" w:asciiTheme="minorEastAsia" w:hAnsiTheme="minorEastAsia" w:eastAsiaTheme="minorEastAsia" w:cstheme="minorEastAsia"/>
          <w:b/>
          <w:lang w:val="zh-CN"/>
        </w:rPr>
        <w:t>合同授予标准</w:t>
      </w:r>
      <w:bookmarkEnd w:id="134"/>
      <w:bookmarkEnd w:id="135"/>
      <w:bookmarkEnd w:id="136"/>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cs="宋体" w:asciiTheme="minorEastAsia" w:hAnsiTheme="minorEastAsia" w:eastAsiaTheme="minorEastAsia"/>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cs="宋体" w:asciiTheme="minorEastAsia" w:hAnsiTheme="minorEastAsia" w:eastAsiaTheme="minorEastAsia"/>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137" w:name="_Toc15879"/>
      <w:bookmarkStart w:id="138" w:name="_Toc14680"/>
      <w:bookmarkStart w:id="139" w:name="_Toc15727"/>
      <w:r>
        <w:rPr>
          <w:rFonts w:hint="eastAsia" w:asciiTheme="minorEastAsia" w:hAnsiTheme="minorEastAsia" w:eastAsiaTheme="minorEastAsia" w:cstheme="minorEastAsia"/>
          <w:b/>
          <w:lang w:val="zh-CN"/>
        </w:rPr>
        <w:t>签订合同</w:t>
      </w:r>
      <w:bookmarkEnd w:id="137"/>
      <w:bookmarkEnd w:id="138"/>
      <w:bookmarkEnd w:id="139"/>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8"/>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140" w:name="_Toc14510"/>
      <w:bookmarkStart w:id="141" w:name="_Toc4883"/>
      <w:bookmarkStart w:id="142" w:name="_Toc13988"/>
      <w:r>
        <w:rPr>
          <w:rFonts w:hint="eastAsia" w:asciiTheme="minorEastAsia" w:hAnsiTheme="minorEastAsia" w:eastAsiaTheme="minorEastAsia" w:cstheme="minorEastAsia"/>
          <w:b/>
          <w:szCs w:val="21"/>
          <w:lang w:val="zh-CN"/>
        </w:rPr>
        <w:t>质疑和投诉</w:t>
      </w:r>
      <w:bookmarkEnd w:id="140"/>
      <w:bookmarkEnd w:id="141"/>
      <w:bookmarkEnd w:id="142"/>
    </w:p>
    <w:p>
      <w:pPr>
        <w:numPr>
          <w:ilvl w:val="0"/>
          <w:numId w:val="9"/>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0</w:t>
      </w:r>
      <w:r>
        <w:rPr>
          <w:rFonts w:hint="eastAsia" w:cs="宋体" w:asciiTheme="minorEastAsia" w:hAnsiTheme="minorEastAsia" w:eastAsiaTheme="minorEastAsia"/>
          <w:snapToGrid w:val="0"/>
          <w:kern w:val="0"/>
          <w:szCs w:val="21"/>
          <w:lang w:val="zh-CN"/>
        </w:rPr>
        <w:t>.1</w:t>
      </w:r>
      <w:r>
        <w:rPr>
          <w:rFonts w:hint="eastAsia" w:cs="宋体" w:asciiTheme="minorEastAsia" w:hAnsiTheme="minorEastAsia" w:eastAsiaTheme="minorEastAsia"/>
          <w:snapToGrid w:val="0"/>
          <w:kern w:val="0"/>
          <w:szCs w:val="21"/>
        </w:rPr>
        <w:t xml:space="preserve">  </w:t>
      </w:r>
      <w:r>
        <w:rPr>
          <w:rFonts w:hint="eastAsia" w:cs="宋体" w:asciiTheme="minorEastAsia" w:hAnsiTheme="minorEastAsia" w:eastAsiaTheme="minorEastAsia"/>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技术部,联系人：张梦；联系电话：027-87820788。</w:t>
      </w:r>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0</w:t>
      </w:r>
      <w:r>
        <w:rPr>
          <w:rFonts w:hint="eastAsia" w:cs="宋体" w:asciiTheme="minorEastAsia" w:hAnsiTheme="minorEastAsia" w:eastAsiaTheme="minorEastAsia"/>
          <w:snapToGrid w:val="0"/>
          <w:kern w:val="0"/>
          <w:szCs w:val="21"/>
          <w:lang w:val="zh-CN"/>
        </w:rPr>
        <w:t>.2</w:t>
      </w:r>
      <w:r>
        <w:rPr>
          <w:rFonts w:hint="eastAsia" w:cs="宋体" w:asciiTheme="minorEastAsia" w:hAnsiTheme="minorEastAsia" w:eastAsiaTheme="minorEastAsia"/>
          <w:snapToGrid w:val="0"/>
          <w:kern w:val="0"/>
          <w:szCs w:val="21"/>
        </w:rPr>
        <w:t xml:space="preserve">  </w:t>
      </w:r>
      <w:r>
        <w:rPr>
          <w:rFonts w:hint="eastAsia" w:cs="宋体" w:asciiTheme="minorEastAsia" w:hAnsiTheme="minorEastAsia" w:eastAsiaTheme="minorEastAsia"/>
          <w:snapToGrid w:val="0"/>
          <w:kern w:val="0"/>
          <w:szCs w:val="21"/>
          <w:lang w:val="zh-CN"/>
        </w:rPr>
        <w:t>质疑书应当包括下列主要内容：</w:t>
      </w:r>
    </w:p>
    <w:p>
      <w:pPr>
        <w:autoSpaceDE w:val="0"/>
        <w:autoSpaceDN w:val="0"/>
        <w:adjustRightInd w:val="0"/>
        <w:spacing w:line="360" w:lineRule="auto"/>
        <w:ind w:left="630" w:leftChars="200" w:hanging="210" w:hangingChars="1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（1）质疑人的名称、地址、联系人及联系电话等；</w:t>
      </w:r>
    </w:p>
    <w:p>
      <w:pPr>
        <w:autoSpaceDE w:val="0"/>
        <w:autoSpaceDN w:val="0"/>
        <w:adjustRightInd w:val="0"/>
        <w:spacing w:line="360" w:lineRule="auto"/>
        <w:ind w:left="630" w:leftChars="200" w:hanging="210" w:hangingChars="1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（2）被质疑人的名称、地址、联系人及联系电话等；</w:t>
      </w:r>
    </w:p>
    <w:p>
      <w:pPr>
        <w:autoSpaceDE w:val="0"/>
        <w:autoSpaceDN w:val="0"/>
        <w:adjustRightInd w:val="0"/>
        <w:spacing w:line="360" w:lineRule="auto"/>
        <w:ind w:left="630" w:leftChars="200" w:hanging="210" w:hangingChars="1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（3）质疑项目名称及编号、质疑事项和明确的请求；</w:t>
      </w:r>
    </w:p>
    <w:p>
      <w:pPr>
        <w:autoSpaceDE w:val="0"/>
        <w:autoSpaceDN w:val="0"/>
        <w:adjustRightInd w:val="0"/>
        <w:spacing w:line="360" w:lineRule="auto"/>
        <w:ind w:left="858" w:leftChars="200" w:hanging="438" w:hangingChars="209"/>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（4）质疑事项的事实根据、法律依据及其他必要的证明材料；质疑人提供的证明材料属于其他供应商投标（响应）文件未公开内容的，应当提供书面材料证明其合法来源；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leftChars="200" w:hanging="210" w:hangingChars="1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（5）提出质疑的日期；</w:t>
      </w:r>
    </w:p>
    <w:p>
      <w:pPr>
        <w:autoSpaceDE w:val="0"/>
        <w:autoSpaceDN w:val="0"/>
        <w:adjustRightInd w:val="0"/>
        <w:spacing w:line="360" w:lineRule="auto"/>
        <w:ind w:left="630" w:leftChars="200" w:hanging="210" w:hangingChars="1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（6）质疑人的署名及签章（质疑人为自然人的，应当由本人签字；质疑人为法人或者其他组织的，应当由法定代表人或者主要负责人签字盖章并加盖公章）；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leftChars="200" w:hanging="210" w:hangingChars="1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（7）法人授权委托书（质疑人或法人委托代理人办理质疑事务的，应当提供授权委托书，授权委托书应当载明委托代理的具体权限和事项）。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质疑书不符合上述要求的，采购人或代理机构应书面告知具体事项，质疑人应当按要求进行修改或补充，并在质疑有效期限内提交。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143" w:name="_Toc5844"/>
      <w:bookmarkStart w:id="144" w:name="_Toc25545"/>
      <w:bookmarkStart w:id="145" w:name="_Toc20387"/>
      <w:r>
        <w:rPr>
          <w:rFonts w:hint="eastAsia" w:asciiTheme="minorEastAsia" w:hAnsiTheme="minorEastAsia" w:eastAsiaTheme="minorEastAsia" w:cstheme="minorEastAsia"/>
          <w:b/>
          <w:lang w:val="zh-CN"/>
        </w:rPr>
        <w:t>质疑回复</w:t>
      </w:r>
      <w:bookmarkEnd w:id="143"/>
      <w:bookmarkEnd w:id="144"/>
      <w:bookmarkEnd w:id="145"/>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1</w:t>
      </w:r>
      <w:r>
        <w:rPr>
          <w:rFonts w:hint="eastAsia" w:cs="宋体" w:asciiTheme="minorEastAsia" w:hAnsiTheme="minorEastAsia" w:eastAsiaTheme="minorEastAsia"/>
          <w:snapToGrid w:val="0"/>
          <w:kern w:val="0"/>
          <w:szCs w:val="21"/>
          <w:lang w:val="zh-CN"/>
        </w:rPr>
        <w:t>.1</w:t>
      </w:r>
      <w:r>
        <w:rPr>
          <w:rFonts w:hint="eastAsia" w:cs="宋体" w:asciiTheme="minorEastAsia" w:hAnsiTheme="minorEastAsia" w:eastAsiaTheme="minorEastAsia"/>
          <w:snapToGrid w:val="0"/>
          <w:kern w:val="0"/>
          <w:szCs w:val="21"/>
        </w:rPr>
        <w:t xml:space="preserve">  </w:t>
      </w:r>
      <w:r>
        <w:rPr>
          <w:rFonts w:hint="eastAsia" w:cs="宋体" w:asciiTheme="minorEastAsia" w:hAnsiTheme="minorEastAsia" w:eastAsiaTheme="minorEastAsia"/>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1</w:t>
      </w:r>
      <w:r>
        <w:rPr>
          <w:rFonts w:hint="eastAsia" w:cs="宋体" w:asciiTheme="minorEastAsia" w:hAnsiTheme="minorEastAsia" w:eastAsiaTheme="minorEastAsia"/>
          <w:snapToGrid w:val="0"/>
          <w:kern w:val="0"/>
          <w:szCs w:val="21"/>
          <w:lang w:val="zh-CN"/>
        </w:rPr>
        <w:t>.2</w:t>
      </w:r>
      <w:r>
        <w:rPr>
          <w:rFonts w:hint="eastAsia" w:cs="宋体" w:asciiTheme="minorEastAsia" w:hAnsiTheme="minorEastAsia" w:eastAsiaTheme="minorEastAsia"/>
          <w:snapToGrid w:val="0"/>
          <w:kern w:val="0"/>
          <w:szCs w:val="21"/>
        </w:rPr>
        <w:t xml:space="preserve">  </w:t>
      </w:r>
      <w:r>
        <w:rPr>
          <w:rFonts w:hint="eastAsia" w:cs="宋体" w:asciiTheme="minorEastAsia" w:hAnsiTheme="minorEastAsia" w:eastAsiaTheme="minorEastAsia"/>
          <w:snapToGrid w:val="0"/>
          <w:kern w:val="0"/>
          <w:szCs w:val="21"/>
          <w:lang w:val="zh-CN"/>
        </w:rPr>
        <w:t>质疑答复应当包括下列内容：</w:t>
      </w:r>
    </w:p>
    <w:p>
      <w:pPr>
        <w:autoSpaceDE w:val="0"/>
        <w:autoSpaceDN w:val="0"/>
        <w:adjustRightInd w:val="0"/>
        <w:spacing w:line="360" w:lineRule="auto"/>
        <w:ind w:firstLine="420" w:firstLineChars="2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（1）质疑人的名称、地址、联系人及联系电话；</w:t>
      </w:r>
    </w:p>
    <w:p>
      <w:pPr>
        <w:autoSpaceDE w:val="0"/>
        <w:autoSpaceDN w:val="0"/>
        <w:adjustRightInd w:val="0"/>
        <w:spacing w:line="360" w:lineRule="auto"/>
        <w:ind w:firstLine="420" w:firstLineChars="2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（2）采购人或采购代理机构（委托项目一并列出）的名称、地址、联系人及联系电话；</w:t>
      </w:r>
    </w:p>
    <w:p>
      <w:pPr>
        <w:autoSpaceDE w:val="0"/>
        <w:autoSpaceDN w:val="0"/>
        <w:adjustRightInd w:val="0"/>
        <w:spacing w:line="360" w:lineRule="auto"/>
        <w:ind w:firstLine="420" w:firstLineChars="2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（3）受理质疑的日期、质疑项目名称及编号、质疑事项；</w:t>
      </w:r>
    </w:p>
    <w:p>
      <w:pPr>
        <w:autoSpaceDE w:val="0"/>
        <w:autoSpaceDN w:val="0"/>
        <w:adjustRightInd w:val="0"/>
        <w:spacing w:line="360" w:lineRule="auto"/>
        <w:ind w:firstLine="420" w:firstLineChars="2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（4）质疑事项答复的具体情况及事实根据、法律依据；</w:t>
      </w:r>
    </w:p>
    <w:p>
      <w:pPr>
        <w:autoSpaceDE w:val="0"/>
        <w:autoSpaceDN w:val="0"/>
        <w:adjustRightInd w:val="0"/>
        <w:spacing w:line="360" w:lineRule="auto"/>
        <w:ind w:firstLine="420" w:firstLineChars="2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（5）告知质疑人依法投诉的权利和投诉方式；</w:t>
      </w:r>
    </w:p>
    <w:p>
      <w:pPr>
        <w:autoSpaceDE w:val="0"/>
        <w:autoSpaceDN w:val="0"/>
        <w:adjustRightInd w:val="0"/>
        <w:spacing w:line="360" w:lineRule="auto"/>
        <w:ind w:firstLine="420" w:firstLineChars="2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（6）质疑答复日期。</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146" w:name="_Toc459"/>
      <w:bookmarkStart w:id="147" w:name="_Toc26423"/>
      <w:bookmarkStart w:id="148" w:name="_Toc26015"/>
      <w:r>
        <w:rPr>
          <w:rFonts w:hint="eastAsia" w:asciiTheme="minorEastAsia" w:hAnsiTheme="minorEastAsia" w:eastAsiaTheme="minorEastAsia" w:cstheme="minorEastAsia"/>
          <w:b/>
          <w:lang w:val="zh-CN"/>
        </w:rPr>
        <w:t>投诉</w:t>
      </w:r>
      <w:bookmarkEnd w:id="146"/>
      <w:bookmarkEnd w:id="147"/>
      <w:bookmarkEnd w:id="148"/>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2</w:t>
      </w:r>
      <w:r>
        <w:rPr>
          <w:rFonts w:hint="eastAsia" w:cs="宋体" w:asciiTheme="minorEastAsia" w:hAnsiTheme="minorEastAsia" w:eastAsiaTheme="minorEastAsia"/>
          <w:snapToGrid w:val="0"/>
          <w:kern w:val="0"/>
          <w:szCs w:val="21"/>
          <w:lang w:val="zh-CN"/>
        </w:rPr>
        <w:t>.1</w:t>
      </w:r>
      <w:r>
        <w:rPr>
          <w:rFonts w:hint="eastAsia" w:cs="宋体" w:asciiTheme="minorEastAsia" w:hAnsiTheme="minorEastAsia" w:eastAsiaTheme="minorEastAsia"/>
          <w:snapToGrid w:val="0"/>
          <w:kern w:val="0"/>
          <w:szCs w:val="21"/>
        </w:rPr>
        <w:t xml:space="preserve">  </w:t>
      </w:r>
      <w:r>
        <w:rPr>
          <w:rFonts w:hint="eastAsia" w:cs="宋体" w:asciiTheme="minorEastAsia" w:hAnsiTheme="minorEastAsia" w:eastAsiaTheme="minorEastAsia"/>
          <w:snapToGrid w:val="0"/>
          <w:kern w:val="0"/>
          <w:szCs w:val="21"/>
          <w:lang w:val="zh-CN"/>
        </w:rPr>
        <w:t>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2</w:t>
      </w:r>
      <w:r>
        <w:rPr>
          <w:rFonts w:hint="eastAsia" w:cs="宋体" w:asciiTheme="minorEastAsia" w:hAnsiTheme="minorEastAsia" w:eastAsiaTheme="minorEastAsia"/>
          <w:snapToGrid w:val="0"/>
          <w:kern w:val="0"/>
          <w:szCs w:val="21"/>
          <w:lang w:val="zh-CN"/>
        </w:rPr>
        <w:t>.2</w:t>
      </w:r>
      <w:r>
        <w:rPr>
          <w:rFonts w:hint="eastAsia" w:cs="宋体" w:asciiTheme="minorEastAsia" w:hAnsiTheme="minorEastAsia" w:eastAsiaTheme="minorEastAsia"/>
          <w:snapToGrid w:val="0"/>
          <w:kern w:val="0"/>
          <w:szCs w:val="21"/>
        </w:rPr>
        <w:t xml:space="preserve">  </w:t>
      </w:r>
      <w:r>
        <w:rPr>
          <w:rFonts w:hint="eastAsia" w:cs="宋体" w:asciiTheme="minorEastAsia" w:hAnsiTheme="minorEastAsia" w:eastAsiaTheme="minorEastAsia"/>
          <w:snapToGrid w:val="0"/>
          <w:kern w:val="0"/>
          <w:szCs w:val="21"/>
          <w:lang w:val="zh-CN"/>
        </w:rPr>
        <w:t>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49" w:name="_Toc8349"/>
      <w:bookmarkStart w:id="150" w:name="_Toc14767"/>
      <w:bookmarkStart w:id="151" w:name="_Toc30010"/>
      <w:bookmarkStart w:id="152" w:name="_Toc28705"/>
      <w:bookmarkStart w:id="153" w:name="_Toc13016"/>
      <w:bookmarkStart w:id="154" w:name="_Toc5571"/>
      <w:r>
        <w:rPr>
          <w:rFonts w:hint="eastAsia" w:asciiTheme="minorEastAsia" w:hAnsiTheme="minorEastAsia" w:eastAsiaTheme="minorEastAsia" w:cstheme="minorEastAsia"/>
          <w:b/>
          <w:szCs w:val="21"/>
          <w:lang w:val="zh-CN"/>
        </w:rPr>
        <w:t>政策</w:t>
      </w:r>
      <w:bookmarkEnd w:id="149"/>
      <w:bookmarkEnd w:id="150"/>
      <w:bookmarkEnd w:id="151"/>
      <w:bookmarkEnd w:id="152"/>
      <w:bookmarkEnd w:id="153"/>
      <w:bookmarkEnd w:id="154"/>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155" w:name="_Toc8371"/>
      <w:bookmarkStart w:id="156" w:name="_Toc29605"/>
      <w:bookmarkStart w:id="157" w:name="_Toc28842"/>
      <w:r>
        <w:rPr>
          <w:rFonts w:hint="eastAsia" w:asciiTheme="minorEastAsia" w:hAnsiTheme="minorEastAsia" w:eastAsiaTheme="minorEastAsia" w:cstheme="minorEastAsia"/>
          <w:b/>
        </w:rPr>
        <w:t>政府采购政策</w:t>
      </w:r>
      <w:bookmarkEnd w:id="155"/>
      <w:bookmarkEnd w:id="156"/>
      <w:bookmarkEnd w:id="157"/>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3</w:t>
      </w:r>
      <w:r>
        <w:rPr>
          <w:rFonts w:hint="eastAsia" w:cs="宋体" w:asciiTheme="minorEastAsia" w:hAnsiTheme="minorEastAsia" w:eastAsiaTheme="minorEastAsia"/>
          <w:snapToGrid w:val="0"/>
          <w:kern w:val="0"/>
          <w:szCs w:val="21"/>
          <w:lang w:val="zh-CN"/>
        </w:rPr>
        <w:t>.1</w:t>
      </w:r>
      <w:r>
        <w:rPr>
          <w:rFonts w:hint="eastAsia" w:cs="宋体" w:asciiTheme="minorEastAsia" w:hAnsiTheme="minorEastAsia" w:eastAsiaTheme="minorEastAsia"/>
          <w:snapToGrid w:val="0"/>
          <w:kern w:val="0"/>
          <w:szCs w:val="21"/>
        </w:rPr>
        <w:t xml:space="preserve">  </w:t>
      </w:r>
      <w:r>
        <w:rPr>
          <w:rFonts w:hint="eastAsia" w:cs="宋体" w:asciiTheme="minorEastAsia" w:hAnsiTheme="minorEastAsia" w:eastAsiaTheme="minorEastAsia"/>
          <w:snapToGrid w:val="0"/>
          <w:spacing w:val="-2"/>
          <w:kern w:val="0"/>
          <w:szCs w:val="21"/>
          <w:lang w:val="zh-CN"/>
        </w:rPr>
        <w:t>除非“供应商须知前附表”中有特殊规定，本项目所采购的货物</w:t>
      </w:r>
      <w:r>
        <w:rPr>
          <w:rFonts w:hint="eastAsia" w:cs="宋体" w:asciiTheme="minorEastAsia" w:hAnsiTheme="minorEastAsia" w:eastAsiaTheme="minorEastAsia"/>
          <w:snapToGrid w:val="0"/>
          <w:spacing w:val="-2"/>
          <w:kern w:val="0"/>
          <w:szCs w:val="21"/>
        </w:rPr>
        <w:t>或服务或工程</w:t>
      </w:r>
      <w:r>
        <w:rPr>
          <w:rFonts w:hint="eastAsia" w:cs="宋体" w:asciiTheme="minorEastAsia" w:hAnsiTheme="minorEastAsia" w:eastAsiaTheme="minorEastAsia"/>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3</w:t>
      </w:r>
      <w:r>
        <w:rPr>
          <w:rFonts w:hint="eastAsia" w:cs="宋体" w:asciiTheme="minorEastAsia" w:hAnsiTheme="minorEastAsia" w:eastAsiaTheme="minorEastAsia"/>
          <w:snapToGrid w:val="0"/>
          <w:kern w:val="0"/>
          <w:szCs w:val="21"/>
          <w:lang w:val="zh-CN"/>
        </w:rPr>
        <w:t>.2</w:t>
      </w:r>
      <w:r>
        <w:rPr>
          <w:rFonts w:hint="eastAsia" w:cs="宋体" w:asciiTheme="minorEastAsia" w:hAnsiTheme="minorEastAsia" w:eastAsiaTheme="minorEastAsia"/>
          <w:snapToGrid w:val="0"/>
          <w:kern w:val="0"/>
          <w:szCs w:val="21"/>
        </w:rPr>
        <w:t xml:space="preserve">  </w:t>
      </w:r>
      <w:r>
        <w:rPr>
          <w:rFonts w:hint="eastAsia" w:cs="宋体" w:asciiTheme="minorEastAsia" w:hAnsiTheme="minorEastAsia" w:eastAsiaTheme="minorEastAsia"/>
          <w:snapToGrid w:val="0"/>
          <w:kern w:val="0"/>
          <w:szCs w:val="21"/>
          <w:lang w:val="zh-CN"/>
        </w:rPr>
        <w:t>为促进中小企业发展，本项目供应商如符合工信部联企业【</w:t>
      </w:r>
      <w:r>
        <w:rPr>
          <w:rFonts w:hint="eastAsia" w:cs="宋体" w:asciiTheme="minorEastAsia" w:hAnsiTheme="minorEastAsia" w:eastAsiaTheme="minorEastAsia"/>
          <w:snapToGrid w:val="0"/>
          <w:kern w:val="0"/>
          <w:szCs w:val="21"/>
        </w:rPr>
        <w:t>2011</w:t>
      </w:r>
      <w:r>
        <w:rPr>
          <w:rFonts w:hint="eastAsia" w:cs="宋体" w:asciiTheme="minorEastAsia" w:hAnsiTheme="minorEastAsia" w:eastAsiaTheme="minorEastAsia"/>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6%的扣除后的价格参与评审。</w:t>
      </w:r>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lang w:val="zh-CN"/>
        </w:rPr>
        <w:t>3</w:t>
      </w:r>
      <w:r>
        <w:rPr>
          <w:rFonts w:hint="eastAsia" w:cs="宋体" w:asciiTheme="minorEastAsia" w:hAnsiTheme="minorEastAsia" w:eastAsiaTheme="minorEastAsia"/>
          <w:snapToGrid w:val="0"/>
          <w:kern w:val="0"/>
          <w:szCs w:val="21"/>
        </w:rPr>
        <w:t>3</w:t>
      </w:r>
      <w:r>
        <w:rPr>
          <w:rFonts w:hint="eastAsia" w:cs="宋体" w:asciiTheme="minorEastAsia" w:hAnsiTheme="minorEastAsia" w:eastAsiaTheme="minorEastAsia"/>
          <w:snapToGrid w:val="0"/>
          <w:kern w:val="0"/>
          <w:szCs w:val="21"/>
          <w:lang w:val="zh-CN"/>
        </w:rPr>
        <w:t>.</w:t>
      </w:r>
      <w:r>
        <w:rPr>
          <w:rFonts w:hint="eastAsia" w:cs="宋体" w:asciiTheme="minorEastAsia" w:hAnsiTheme="minorEastAsia" w:eastAsiaTheme="minorEastAsia"/>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cs="宋体" w:asciiTheme="minorEastAsia" w:hAnsiTheme="minorEastAsia" w:eastAsiaTheme="minorEastAsia"/>
          <w:snapToGrid w:val="0"/>
          <w:kern w:val="0"/>
          <w:szCs w:val="21"/>
          <w:lang w:val="zh-CN"/>
        </w:rPr>
      </w:pPr>
      <w:r>
        <w:rPr>
          <w:rFonts w:hint="eastAsia" w:cs="宋体" w:asciiTheme="minorEastAsia" w:hAnsiTheme="minorEastAsia" w:eastAsiaTheme="minorEastAsia"/>
          <w:snapToGrid w:val="0"/>
          <w:kern w:val="0"/>
          <w:szCs w:val="21"/>
          <w:lang w:val="zh-CN"/>
        </w:rPr>
        <w:t>33.</w:t>
      </w:r>
      <w:r>
        <w:rPr>
          <w:rFonts w:hint="eastAsia" w:cs="宋体" w:asciiTheme="minorEastAsia" w:hAnsiTheme="minorEastAsia" w:eastAsiaTheme="minorEastAsia"/>
          <w:snapToGrid w:val="0"/>
          <w:kern w:val="0"/>
          <w:szCs w:val="21"/>
        </w:rPr>
        <w:t xml:space="preserve">6  </w:t>
      </w:r>
      <w:r>
        <w:rPr>
          <w:rFonts w:hint="eastAsia" w:cs="宋体" w:asciiTheme="minorEastAsia" w:hAnsiTheme="minorEastAsia" w:eastAsiaTheme="minorEastAsia"/>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rFonts w:asciiTheme="minorEastAsia" w:hAnsiTheme="minorEastAsia" w:eastAsiaTheme="minorEastAsia"/>
          <w:b/>
          <w:bCs/>
          <w:lang w:val="zh-CN"/>
        </w:rPr>
      </w:pPr>
      <w:r>
        <w:rPr>
          <w:rFonts w:hint="eastAsia" w:cs="宋体" w:asciiTheme="minorEastAsia" w:hAnsiTheme="minorEastAsia" w:eastAsiaTheme="minorEastAsia"/>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58" w:name="_Toc5597"/>
      <w:bookmarkStart w:id="159" w:name="_Toc22449"/>
      <w:bookmarkStart w:id="160" w:name="_Toc25296"/>
      <w:r>
        <w:rPr>
          <w:rFonts w:hint="eastAsia" w:asciiTheme="minorEastAsia" w:hAnsiTheme="minorEastAsia" w:eastAsiaTheme="minorEastAsia" w:cstheme="minorEastAsia"/>
          <w:b/>
          <w:szCs w:val="21"/>
          <w:lang w:val="zh-CN"/>
        </w:rPr>
        <w:t>其他要求</w:t>
      </w:r>
      <w:bookmarkEnd w:id="158"/>
      <w:bookmarkEnd w:id="159"/>
      <w:bookmarkEnd w:id="160"/>
    </w:p>
    <w:p>
      <w:pPr>
        <w:autoSpaceDE w:val="0"/>
        <w:autoSpaceDN w:val="0"/>
        <w:adjustRightInd w:val="0"/>
        <w:spacing w:line="360" w:lineRule="auto"/>
        <w:ind w:firstLine="630" w:firstLine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61" w:name="_Toc28137"/>
      <w:bookmarkStart w:id="162" w:name="_Toc28070"/>
      <w:bookmarkStart w:id="163" w:name="_Toc21064"/>
      <w:r>
        <w:rPr>
          <w:rFonts w:hint="eastAsia" w:asciiTheme="minorEastAsia" w:hAnsiTheme="minorEastAsia" w:eastAsiaTheme="minorEastAsia" w:cstheme="minorEastAsia"/>
          <w:b/>
          <w:szCs w:val="21"/>
          <w:lang w:val="zh-CN"/>
        </w:rPr>
        <w:t>适用法律</w:t>
      </w:r>
      <w:bookmarkEnd w:id="161"/>
      <w:bookmarkEnd w:id="162"/>
      <w:bookmarkEnd w:id="163"/>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
          <w:bCs/>
          <w:snapToGrid w:val="0"/>
          <w:kern w:val="0"/>
          <w:szCs w:val="21"/>
          <w:lang w:val="zh-CN"/>
        </w:rPr>
        <w:t>补充说明：</w:t>
      </w:r>
    </w:p>
    <w:p>
      <w:pPr>
        <w:numPr>
          <w:ilvl w:val="0"/>
          <w:numId w:val="34"/>
        </w:numPr>
        <w:autoSpaceDE w:val="0"/>
        <w:autoSpaceDN w:val="0"/>
        <w:adjustRightInd w:val="0"/>
        <w:spacing w:line="360" w:lineRule="auto"/>
        <w:ind w:left="630" w:leftChars="200" w:hanging="210" w:hangingChars="1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4"/>
        </w:numPr>
        <w:autoSpaceDE w:val="0"/>
        <w:autoSpaceDN w:val="0"/>
        <w:adjustRightInd w:val="0"/>
        <w:spacing w:line="360" w:lineRule="auto"/>
        <w:ind w:left="630" w:leftChars="200" w:hanging="210" w:hangingChars="1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日以前，则近三年指上上个年度往前推算的三年，如递交响应文件时间为 2019年 6 月 9 日，则“近三年”是指 2015年度、2016年度、2017年度。递交响应文件时间如在当年 6 月 30 日以后，则近三年是指上个年度往前推算的 3 年，如递交响应文件时间为 2019年 12 月 1 日，则“近三年”是指 2016年度、2017年度、2018年度。</w:t>
      </w:r>
    </w:p>
    <w:p>
      <w:pPr>
        <w:numPr>
          <w:ilvl w:val="0"/>
          <w:numId w:val="34"/>
        </w:numPr>
        <w:autoSpaceDE w:val="0"/>
        <w:autoSpaceDN w:val="0"/>
        <w:adjustRightInd w:val="0"/>
        <w:spacing w:line="360" w:lineRule="auto"/>
        <w:ind w:left="630" w:leftChars="200" w:hanging="210" w:hangingChars="1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64" w:name="_Toc259"/>
      <w:bookmarkStart w:id="165" w:name="_Toc6380"/>
      <w:r>
        <w:rPr>
          <w:rFonts w:hint="eastAsia" w:asciiTheme="minorEastAsia" w:hAnsiTheme="minorEastAsia" w:eastAsiaTheme="minorEastAsia" w:cstheme="minorEastAsia"/>
          <w:b/>
          <w:bCs/>
          <w:sz w:val="36"/>
          <w:szCs w:val="36"/>
        </w:rPr>
        <w:t>采购需求</w:t>
      </w:r>
      <w:bookmarkEnd w:id="164"/>
      <w:bookmarkEnd w:id="165"/>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66" w:name="_Toc13790"/>
      <w:bookmarkStart w:id="167" w:name="_Toc8527"/>
      <w:r>
        <w:rPr>
          <w:rFonts w:hint="eastAsia" w:asciiTheme="minorEastAsia" w:hAnsiTheme="minorEastAsia" w:eastAsiaTheme="minorEastAsia" w:cstheme="minorEastAsia"/>
          <w:b/>
          <w:bCs/>
          <w:sz w:val="24"/>
        </w:rPr>
        <w:t>一、技术需求</w:t>
      </w:r>
      <w:bookmarkEnd w:id="166"/>
      <w:bookmarkEnd w:id="167"/>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1.设备/货物清单</w:t>
      </w:r>
    </w:p>
    <w:tbl>
      <w:tblPr>
        <w:tblStyle w:val="26"/>
        <w:tblW w:w="51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1159"/>
        <w:gridCol w:w="6106"/>
        <w:gridCol w:w="578"/>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0" w:type="pct"/>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609" w:type="pct"/>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仪器设备名称</w:t>
            </w:r>
          </w:p>
        </w:tc>
        <w:tc>
          <w:tcPr>
            <w:tcW w:w="3207" w:type="pct"/>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技术性能</w:t>
            </w:r>
          </w:p>
        </w:tc>
        <w:tc>
          <w:tcPr>
            <w:tcW w:w="304" w:type="pct"/>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c>
          <w:tcPr>
            <w:tcW w:w="568" w:type="pct"/>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0" w:type="pct"/>
            <w:vAlign w:val="center"/>
          </w:tcPr>
          <w:p>
            <w:pPr>
              <w:rPr>
                <w:szCs w:val="21"/>
              </w:rPr>
            </w:pPr>
            <w:r>
              <w:rPr>
                <w:rFonts w:hint="eastAsia"/>
                <w:color w:val="000000"/>
                <w:szCs w:val="21"/>
              </w:rPr>
              <w:t>1</w:t>
            </w:r>
          </w:p>
        </w:tc>
        <w:tc>
          <w:tcPr>
            <w:tcW w:w="609" w:type="pct"/>
            <w:vAlign w:val="center"/>
          </w:tcPr>
          <w:p>
            <w:pPr>
              <w:jc w:val="center"/>
              <w:rPr>
                <w:szCs w:val="21"/>
              </w:rPr>
            </w:pPr>
            <w:r>
              <w:rPr>
                <w:rFonts w:hint="eastAsia" w:ascii="宋体" w:hAnsi="宋体"/>
                <w:color w:val="000000"/>
                <w:szCs w:val="21"/>
              </w:rPr>
              <w:t>金相显微镜</w:t>
            </w:r>
          </w:p>
        </w:tc>
        <w:tc>
          <w:tcPr>
            <w:tcW w:w="3207" w:type="pct"/>
            <w:vAlign w:val="center"/>
          </w:tcPr>
          <w:p>
            <w:pPr>
              <w:rPr>
                <w:rFonts w:ascii="宋体" w:hAnsi="宋体"/>
                <w:b/>
                <w:bCs/>
                <w:color w:val="000000"/>
                <w:szCs w:val="21"/>
              </w:rPr>
            </w:pPr>
            <w:r>
              <w:rPr>
                <w:rFonts w:hint="eastAsia" w:ascii="宋体" w:hAnsi="宋体"/>
                <w:b/>
                <w:bCs/>
                <w:color w:val="000000"/>
                <w:szCs w:val="21"/>
              </w:rPr>
              <w:t>一、主要功能</w:t>
            </w:r>
            <w:r>
              <w:rPr>
                <w:rFonts w:hint="eastAsia"/>
                <w:b/>
                <w:bCs/>
                <w:color w:val="000000"/>
                <w:szCs w:val="21"/>
              </w:rPr>
              <w:t>/</w:t>
            </w:r>
            <w:r>
              <w:rPr>
                <w:rFonts w:hint="eastAsia" w:ascii="宋体" w:hAnsi="宋体"/>
                <w:b/>
                <w:bCs/>
                <w:color w:val="000000"/>
                <w:szCs w:val="21"/>
              </w:rPr>
              <w:t>用途</w:t>
            </w:r>
          </w:p>
          <w:p>
            <w:pPr>
              <w:rPr>
                <w:rFonts w:ascii="宋体" w:hAnsi="宋体"/>
                <w:color w:val="000000"/>
                <w:szCs w:val="21"/>
              </w:rPr>
            </w:pPr>
            <w:r>
              <w:rPr>
                <w:rFonts w:hint="eastAsia" w:ascii="宋体" w:hAnsi="宋体" w:cs="Arial"/>
                <w:color w:val="000000"/>
                <w:szCs w:val="21"/>
              </w:rPr>
              <w:t>该显微镜主要用于材料科学研究和教学工作，能够提供高像素、高清晰度、真实、可再现的</w:t>
            </w:r>
            <w:r>
              <w:rPr>
                <w:rFonts w:hint="eastAsia" w:ascii="Arial" w:hAnsi="Arial" w:cs="Arial"/>
                <w:color w:val="000000"/>
                <w:szCs w:val="21"/>
              </w:rPr>
              <w:t>2</w:t>
            </w:r>
            <w:r>
              <w:rPr>
                <w:rFonts w:ascii="Arial" w:hAnsi="Arial" w:cs="Arial"/>
                <w:color w:val="000000"/>
                <w:szCs w:val="21"/>
              </w:rPr>
              <w:t>D</w:t>
            </w:r>
            <w:r>
              <w:rPr>
                <w:rFonts w:hint="eastAsia" w:ascii="宋体" w:hAnsi="宋体" w:cs="Arial"/>
                <w:color w:val="000000"/>
                <w:szCs w:val="21"/>
              </w:rPr>
              <w:t>、</w:t>
            </w:r>
            <w:r>
              <w:rPr>
                <w:rFonts w:hint="eastAsia" w:ascii="Arial" w:hAnsi="Arial" w:cs="Arial"/>
                <w:color w:val="000000"/>
                <w:szCs w:val="21"/>
              </w:rPr>
              <w:t>3</w:t>
            </w:r>
            <w:r>
              <w:rPr>
                <w:rFonts w:ascii="Arial" w:hAnsi="Arial" w:cs="Arial"/>
                <w:color w:val="000000"/>
                <w:szCs w:val="21"/>
              </w:rPr>
              <w:t>D</w:t>
            </w:r>
            <w:r>
              <w:rPr>
                <w:rFonts w:hint="eastAsia" w:ascii="宋体" w:hAnsi="宋体" w:cs="Arial"/>
                <w:color w:val="000000"/>
                <w:szCs w:val="21"/>
              </w:rPr>
              <w:t>显微观察结果。主要功能：可以实现</w:t>
            </w:r>
            <w:r>
              <w:rPr>
                <w:rFonts w:hint="eastAsia" w:ascii="Arial" w:hAnsi="Arial" w:cs="Arial"/>
                <w:color w:val="000000"/>
                <w:szCs w:val="21"/>
              </w:rPr>
              <w:t>X</w:t>
            </w:r>
            <w:r>
              <w:rPr>
                <w:rFonts w:ascii="Arial" w:hAnsi="Arial" w:cs="Arial"/>
                <w:color w:val="000000"/>
                <w:szCs w:val="21"/>
              </w:rPr>
              <w:t>YZ</w:t>
            </w:r>
            <w:r>
              <w:rPr>
                <w:rFonts w:hint="eastAsia" w:ascii="宋体" w:hAnsi="宋体" w:cs="Arial"/>
                <w:color w:val="000000"/>
                <w:szCs w:val="21"/>
              </w:rPr>
              <w:t>三轴全自动纳米级别电动控制，智能光强、自动聚焦、光阑管理，能提供黑色金属和有色金属材料金相分析数据库。</w:t>
            </w:r>
          </w:p>
          <w:p>
            <w:pPr>
              <w:rPr>
                <w:rFonts w:ascii="宋体" w:hAnsi="宋体"/>
                <w:b/>
                <w:bCs/>
                <w:color w:val="000000"/>
                <w:szCs w:val="21"/>
              </w:rPr>
            </w:pPr>
            <w:r>
              <w:rPr>
                <w:rFonts w:hint="eastAsia" w:ascii="宋体" w:hAnsi="宋体"/>
                <w:b/>
                <w:bCs/>
                <w:color w:val="000000"/>
                <w:szCs w:val="21"/>
              </w:rPr>
              <w:t>二、技术参数</w:t>
            </w:r>
            <w:r>
              <w:rPr>
                <w:rFonts w:hint="eastAsia"/>
                <w:b/>
                <w:bCs/>
                <w:color w:val="000000"/>
                <w:szCs w:val="21"/>
              </w:rPr>
              <w:t>/</w:t>
            </w:r>
            <w:r>
              <w:rPr>
                <w:rFonts w:hint="eastAsia" w:ascii="宋体" w:hAnsi="宋体"/>
                <w:b/>
                <w:bCs/>
                <w:color w:val="000000"/>
                <w:szCs w:val="21"/>
              </w:rPr>
              <w:t>指标</w:t>
            </w:r>
          </w:p>
          <w:p>
            <w:pPr>
              <w:rPr>
                <w:rFonts w:ascii="宋体" w:hAnsi="宋体" w:cs="Arial"/>
                <w:color w:val="auto"/>
                <w:szCs w:val="21"/>
              </w:rPr>
            </w:pPr>
            <w:r>
              <w:rPr>
                <w:rFonts w:hint="eastAsia" w:ascii="宋体" w:hAnsi="宋体" w:eastAsia="宋体" w:cs="宋体"/>
                <w:color w:val="auto"/>
                <w:szCs w:val="21"/>
              </w:rPr>
              <w:t>※</w:t>
            </w:r>
            <w:r>
              <w:rPr>
                <w:rFonts w:hint="eastAsia" w:ascii="宋体" w:hAnsi="宋体"/>
                <w:color w:val="auto"/>
                <w:szCs w:val="21"/>
              </w:rPr>
              <w:t>1、显微镜为正立式，</w:t>
            </w:r>
            <w:r>
              <w:rPr>
                <w:rFonts w:hint="eastAsia" w:ascii="宋体" w:hAnsi="宋体" w:cs="Arial"/>
                <w:color w:val="auto"/>
                <w:szCs w:val="21"/>
              </w:rPr>
              <w:t>主机支持米劳干涉（Mirau interferometry），迈克逊干涉（Michelsoninterferometry）三维测量模式；</w:t>
            </w:r>
          </w:p>
          <w:p>
            <w:pPr>
              <w:rPr>
                <w:rFonts w:ascii="宋体" w:hAnsi="宋体" w:cs="Arial"/>
                <w:color w:val="auto"/>
                <w:szCs w:val="21"/>
              </w:rPr>
            </w:pPr>
            <w:r>
              <w:rPr>
                <w:rFonts w:hint="eastAsia" w:ascii="宋体" w:hAnsi="宋体"/>
                <w:color w:val="auto"/>
                <w:szCs w:val="21"/>
              </w:rPr>
              <w:t>2、观察模式</w:t>
            </w:r>
            <w:r>
              <w:rPr>
                <w:rFonts w:hint="eastAsia" w:ascii="宋体" w:hAnsi="宋体" w:cs="Arial"/>
                <w:color w:val="auto"/>
                <w:szCs w:val="21"/>
              </w:rPr>
              <w:t>：反射照明模式和斜照明观察方式，配备明场，高级暗场，正交偏光、DIC，预留升级接口；</w:t>
            </w:r>
          </w:p>
          <w:p>
            <w:pPr>
              <w:autoSpaceDE w:val="0"/>
              <w:autoSpaceDN w:val="0"/>
              <w:rPr>
                <w:rFonts w:ascii="宋体" w:hAnsi="宋体" w:cs="Arial"/>
                <w:color w:val="auto"/>
                <w:szCs w:val="21"/>
              </w:rPr>
            </w:pPr>
            <w:r>
              <w:rPr>
                <w:rFonts w:hint="eastAsia" w:ascii="宋体" w:hAnsi="宋体" w:cs="Arial"/>
                <w:color w:val="auto"/>
                <w:szCs w:val="21"/>
              </w:rPr>
              <w:t>3、光路系统：可实现 0-100% / 50%-50% / 100%-0 三种分光模式，25mm大视野光路，要求电动式一键实现功能转换、观察方式切换、物镜切换；</w:t>
            </w:r>
          </w:p>
          <w:p>
            <w:pPr>
              <w:autoSpaceDE w:val="0"/>
              <w:autoSpaceDN w:val="0"/>
              <w:rPr>
                <w:rFonts w:ascii="宋体" w:hAnsi="宋体" w:cs="Arial"/>
                <w:color w:val="auto"/>
                <w:szCs w:val="21"/>
              </w:rPr>
            </w:pPr>
            <w:r>
              <w:rPr>
                <w:rFonts w:hint="eastAsia" w:ascii="宋体" w:hAnsi="宋体" w:cs="Arial"/>
                <w:color w:val="auto"/>
                <w:szCs w:val="21"/>
              </w:rPr>
              <w:t>4、放大倍数：50倍-1000倍；</w:t>
            </w:r>
          </w:p>
          <w:p>
            <w:pPr>
              <w:widowControl/>
              <w:jc w:val="left"/>
              <w:rPr>
                <w:rFonts w:ascii="宋体" w:hAnsi="宋体" w:cs="Arial"/>
                <w:color w:val="auto"/>
                <w:kern w:val="0"/>
                <w:szCs w:val="21"/>
              </w:rPr>
            </w:pPr>
            <w:r>
              <w:rPr>
                <w:rFonts w:hint="eastAsia" w:ascii="宋体" w:hAnsi="宋体" w:eastAsia="宋体" w:cs="宋体"/>
                <w:color w:val="auto"/>
                <w:szCs w:val="21"/>
              </w:rPr>
              <w:t>※</w:t>
            </w:r>
            <w:r>
              <w:rPr>
                <w:rFonts w:hint="eastAsia" w:ascii="宋体" w:hAnsi="宋体" w:cs="Segoe UI Symbol"/>
                <w:color w:val="auto"/>
                <w:szCs w:val="21"/>
              </w:rPr>
              <w:t>5、</w:t>
            </w:r>
            <w:r>
              <w:rPr>
                <w:rFonts w:hint="eastAsia" w:ascii="宋体" w:hAnsi="宋体" w:cs="Arial"/>
                <w:color w:val="auto"/>
                <w:szCs w:val="21"/>
              </w:rPr>
              <w:t>电动控制5</w:t>
            </w:r>
            <w:r>
              <w:rPr>
                <w:rFonts w:ascii="宋体" w:hAnsi="宋体" w:cs="Arial"/>
                <w:color w:val="auto"/>
                <w:szCs w:val="21"/>
              </w:rPr>
              <w:t>-6</w:t>
            </w:r>
            <w:r>
              <w:rPr>
                <w:rFonts w:hint="eastAsia" w:ascii="宋体" w:hAnsi="宋体" w:cs="Arial"/>
                <w:color w:val="auto"/>
                <w:szCs w:val="21"/>
              </w:rPr>
              <w:t>孔位物镜转盘，物镜要求是</w:t>
            </w:r>
            <w:r>
              <w:rPr>
                <w:rFonts w:hint="eastAsia" w:ascii="宋体" w:hAnsi="宋体" w:cs="Arial"/>
                <w:color w:val="auto"/>
                <w:kern w:val="0"/>
                <w:szCs w:val="21"/>
              </w:rPr>
              <w:t>高端明暗场萤石物镜组（NA值满足20×/0.45,50×/0.80,100×/0.90），全部均具备齐焦功能，M32大口径光圈，物镜工作距离：50x不小于1.0mm，100x不小于1.0mm；</w:t>
            </w:r>
          </w:p>
          <w:p>
            <w:pPr>
              <w:rPr>
                <w:rFonts w:ascii="宋体" w:hAnsi="宋体" w:cs="Arial"/>
                <w:color w:val="auto"/>
                <w:szCs w:val="21"/>
              </w:rPr>
            </w:pPr>
            <w:r>
              <w:rPr>
                <w:rFonts w:hint="eastAsia" w:ascii="宋体" w:hAnsi="宋体" w:eastAsia="宋体" w:cs="宋体"/>
                <w:color w:val="auto"/>
                <w:szCs w:val="21"/>
              </w:rPr>
              <w:t>※</w:t>
            </w:r>
            <w:r>
              <w:rPr>
                <w:rFonts w:hint="eastAsia" w:ascii="宋体" w:hAnsi="宋体" w:cs="Segoe UI Symbol"/>
                <w:color w:val="auto"/>
                <w:szCs w:val="21"/>
              </w:rPr>
              <w:t>6、</w:t>
            </w:r>
            <w:r>
              <w:rPr>
                <w:rFonts w:hint="eastAsia" w:ascii="宋体" w:hAnsi="宋体" w:cs="Arial"/>
                <w:color w:val="auto"/>
                <w:szCs w:val="21"/>
              </w:rPr>
              <w:t>高精度电动扫描载物台，平面有效行程≥76×52mm；</w:t>
            </w:r>
          </w:p>
          <w:p>
            <w:pPr>
              <w:rPr>
                <w:rFonts w:ascii="宋体" w:hAnsi="宋体" w:cs="Arial"/>
                <w:color w:val="auto"/>
                <w:szCs w:val="21"/>
              </w:rPr>
            </w:pPr>
            <w:r>
              <w:rPr>
                <w:rFonts w:hint="eastAsia" w:ascii="宋体" w:hAnsi="宋体" w:cs="Arial"/>
                <w:color w:val="auto"/>
                <w:szCs w:val="21"/>
              </w:rPr>
              <w:t>含电动调焦驱动和手动调焦系统，要求电动聚焦精度高，最小步进4nm以内，主机集成触控屏，能设置和显示当前Z位置和Z轴限位值；</w:t>
            </w:r>
          </w:p>
          <w:p>
            <w:pPr>
              <w:rPr>
                <w:rFonts w:ascii="宋体" w:hAnsi="宋体" w:cs="Arial"/>
                <w:color w:val="auto"/>
                <w:szCs w:val="21"/>
              </w:rPr>
            </w:pPr>
            <w:r>
              <w:rPr>
                <w:rFonts w:hint="eastAsia" w:ascii="宋体" w:hAnsi="宋体" w:cs="Segoe UI Symbol"/>
                <w:color w:val="auto"/>
                <w:szCs w:val="21"/>
              </w:rPr>
              <w:t>7、</w:t>
            </w:r>
            <w:r>
              <w:rPr>
                <w:rFonts w:hint="eastAsia" w:ascii="宋体" w:hAnsi="宋体" w:cs="Arial"/>
                <w:color w:val="auto"/>
                <w:szCs w:val="21"/>
              </w:rPr>
              <w:t>可容纳样品高度不小于44mm，通过升级能观察70</w:t>
            </w:r>
            <w:r>
              <w:rPr>
                <w:rFonts w:ascii="宋体" w:hAnsi="宋体" w:cs="Arial"/>
                <w:color w:val="auto"/>
                <w:szCs w:val="21"/>
              </w:rPr>
              <w:t>-100</w:t>
            </w:r>
            <w:r>
              <w:rPr>
                <w:rFonts w:hint="eastAsia" w:ascii="宋体" w:hAnsi="宋体" w:cs="Arial"/>
                <w:color w:val="auto"/>
                <w:szCs w:val="21"/>
              </w:rPr>
              <w:t>mm大尺寸样品；</w:t>
            </w:r>
          </w:p>
          <w:p>
            <w:pPr>
              <w:rPr>
                <w:rFonts w:ascii="宋体" w:hAnsi="宋体" w:cs="Arial"/>
                <w:color w:val="auto"/>
                <w:szCs w:val="21"/>
              </w:rPr>
            </w:pPr>
            <w:r>
              <w:rPr>
                <w:rFonts w:hint="eastAsia" w:ascii="宋体" w:hAnsi="宋体" w:cs="Arial"/>
                <w:color w:val="auto"/>
                <w:szCs w:val="21"/>
              </w:rPr>
              <w:t>8、检偏器至少可180°旋转；</w:t>
            </w:r>
          </w:p>
          <w:p>
            <w:pPr>
              <w:rPr>
                <w:rFonts w:ascii="宋体" w:hAnsi="宋体" w:cs="Arial"/>
                <w:color w:val="auto"/>
                <w:szCs w:val="21"/>
              </w:rPr>
            </w:pPr>
            <w:r>
              <w:rPr>
                <w:rFonts w:hint="eastAsia" w:ascii="宋体" w:hAnsi="宋体" w:eastAsia="宋体" w:cs="宋体"/>
                <w:color w:val="auto"/>
                <w:szCs w:val="21"/>
              </w:rPr>
              <w:t>※</w:t>
            </w:r>
            <w:r>
              <w:rPr>
                <w:rFonts w:hint="eastAsia" w:ascii="宋体" w:hAnsi="宋体" w:cs="Arial"/>
                <w:color w:val="auto"/>
                <w:szCs w:val="21"/>
              </w:rPr>
              <w:t>9、照明系统：</w:t>
            </w:r>
          </w:p>
          <w:p>
            <w:pPr>
              <w:rPr>
                <w:rFonts w:ascii="宋体" w:hAnsi="宋体" w:cs="Arial"/>
                <w:color w:val="auto"/>
                <w:szCs w:val="21"/>
              </w:rPr>
            </w:pPr>
            <w:r>
              <w:rPr>
                <w:rFonts w:hint="eastAsia" w:ascii="宋体" w:hAnsi="宋体" w:cs="Arial"/>
                <w:color w:val="auto"/>
                <w:szCs w:val="21"/>
              </w:rPr>
              <w:t>（1）光源：超长寿命LED冷光源，功率不小于1</w:t>
            </w:r>
            <w:r>
              <w:rPr>
                <w:rFonts w:ascii="宋体" w:hAnsi="宋体" w:cs="Arial"/>
                <w:color w:val="auto"/>
                <w:szCs w:val="21"/>
              </w:rPr>
              <w:t>0</w:t>
            </w:r>
            <w:r>
              <w:rPr>
                <w:rFonts w:hint="eastAsia" w:ascii="宋体" w:hAnsi="宋体" w:cs="Arial"/>
                <w:color w:val="auto"/>
                <w:szCs w:val="21"/>
              </w:rPr>
              <w:t>W，亮度高，使用寿命长达2万个小时以上；</w:t>
            </w:r>
          </w:p>
          <w:p>
            <w:pPr>
              <w:ind w:right="-199"/>
              <w:rPr>
                <w:rFonts w:ascii="宋体" w:hAnsi="宋体" w:cs="Arial"/>
                <w:color w:val="auto"/>
                <w:szCs w:val="21"/>
              </w:rPr>
            </w:pPr>
            <w:r>
              <w:rPr>
                <w:rFonts w:hint="eastAsia" w:ascii="宋体" w:hAnsi="宋体" w:cs="Arial"/>
                <w:color w:val="auto"/>
                <w:szCs w:val="21"/>
              </w:rPr>
              <w:t>（2）光强管理：数字智能化全自动光强管理系统，并且可实现手动、自动管理并行；</w:t>
            </w:r>
          </w:p>
          <w:p>
            <w:pPr>
              <w:widowControl/>
              <w:jc w:val="left"/>
              <w:rPr>
                <w:rFonts w:ascii="宋体" w:hAnsi="宋体" w:cs="Arial"/>
                <w:color w:val="auto"/>
                <w:kern w:val="0"/>
                <w:szCs w:val="21"/>
              </w:rPr>
            </w:pPr>
            <w:r>
              <w:rPr>
                <w:rFonts w:hint="eastAsia" w:ascii="宋体" w:hAnsi="宋体" w:cs="Arial"/>
                <w:color w:val="auto"/>
                <w:szCs w:val="21"/>
              </w:rPr>
              <w:t>（3）光阑：</w:t>
            </w:r>
            <w:r>
              <w:rPr>
                <w:rFonts w:hint="eastAsia" w:ascii="宋体" w:hAnsi="宋体" w:cs="Arial"/>
                <w:color w:val="auto"/>
                <w:kern w:val="0"/>
                <w:szCs w:val="21"/>
              </w:rPr>
              <w:t>数字智能化全自动光阑管理系统，孔径光阑不小于10位可调，视场光阑不小于6位可调；</w:t>
            </w:r>
          </w:p>
          <w:p>
            <w:pPr>
              <w:rPr>
                <w:rFonts w:ascii="宋体" w:hAnsi="宋体" w:cs="Arial"/>
                <w:color w:val="auto"/>
                <w:szCs w:val="21"/>
              </w:rPr>
            </w:pPr>
            <w:r>
              <w:rPr>
                <w:rFonts w:hint="eastAsia" w:ascii="宋体" w:hAnsi="宋体" w:cs="Arial"/>
                <w:color w:val="auto"/>
                <w:szCs w:val="21"/>
              </w:rPr>
              <w:t>（4）智能化：照明可根据物镜放大倍率自动匹配照明条件，同时支持一键恢复，100%可重置照明；</w:t>
            </w:r>
          </w:p>
          <w:p>
            <w:pPr>
              <w:rPr>
                <w:rFonts w:ascii="宋体" w:hAnsi="宋体" w:cs="Arial"/>
                <w:color w:val="auto"/>
                <w:szCs w:val="21"/>
              </w:rPr>
            </w:pPr>
            <w:r>
              <w:rPr>
                <w:rFonts w:hint="eastAsia" w:ascii="宋体" w:hAnsi="宋体" w:eastAsia="宋体" w:cs="宋体"/>
                <w:color w:val="auto"/>
                <w:szCs w:val="21"/>
              </w:rPr>
              <w:t>※</w:t>
            </w:r>
            <w:r>
              <w:rPr>
                <w:rFonts w:hint="eastAsia" w:ascii="宋体" w:hAnsi="宋体" w:cs="Arial"/>
                <w:color w:val="auto"/>
                <w:szCs w:val="21"/>
              </w:rPr>
              <w:t>10、显微镜同品牌摄像头，2000万物理像素以上，非位移、非差值计算而来。高分辨率，不小于1英寸靶面，可根据样品特点选择恰当光强，USB3.0高速实时采集，同步捕捉图像；</w:t>
            </w:r>
          </w:p>
          <w:p>
            <w:pPr>
              <w:rPr>
                <w:rFonts w:ascii="宋体" w:hAnsi="宋体" w:cs="Arial"/>
                <w:color w:val="auto"/>
                <w:szCs w:val="21"/>
              </w:rPr>
            </w:pPr>
            <w:r>
              <w:rPr>
                <w:rFonts w:hint="eastAsia" w:ascii="宋体" w:hAnsi="宋体" w:cs="Arial"/>
                <w:color w:val="auto"/>
                <w:szCs w:val="21"/>
              </w:rPr>
              <w:t>11、显微镜同品牌软件，可实现自动对焦、自动拼接、景深叠加、三维形貌图像处理,2D、3D测量等功能，同时软件应包含常见金属材料金相分析专用数据库。</w:t>
            </w:r>
          </w:p>
          <w:p>
            <w:pPr>
              <w:rPr>
                <w:rFonts w:ascii="Arial" w:hAnsi="Arial" w:cs="Arial"/>
                <w:color w:val="auto"/>
                <w:szCs w:val="21"/>
              </w:rPr>
            </w:pPr>
            <w:r>
              <w:rPr>
                <w:rFonts w:hint="eastAsia" w:ascii="宋体" w:hAnsi="宋体" w:cs="Arial"/>
                <w:color w:val="auto"/>
                <w:szCs w:val="21"/>
              </w:rPr>
              <w:t>12、原装进口、原产地制造，主机、载物台等配件需为一体式原装，</w:t>
            </w:r>
            <w:r>
              <w:rPr>
                <w:rFonts w:ascii="宋体" w:hAnsi="宋体" w:cs="Arial"/>
                <w:color w:val="auto"/>
                <w:szCs w:val="21"/>
              </w:rPr>
              <w:t>非组装产品</w:t>
            </w:r>
            <w:r>
              <w:rPr>
                <w:rFonts w:hint="eastAsia" w:ascii="宋体" w:hAnsi="宋体" w:cs="Arial"/>
                <w:color w:val="auto"/>
                <w:szCs w:val="21"/>
              </w:rPr>
              <w:t>；</w:t>
            </w:r>
          </w:p>
          <w:p>
            <w:pPr>
              <w:rPr>
                <w:rFonts w:ascii="Arial" w:hAnsi="Arial" w:cs="Arial"/>
                <w:color w:val="auto"/>
                <w:szCs w:val="21"/>
              </w:rPr>
            </w:pPr>
            <w:r>
              <w:rPr>
                <w:rFonts w:hint="eastAsia" w:ascii="宋体" w:hAnsi="宋体" w:cs="Arial"/>
                <w:color w:val="auto"/>
                <w:szCs w:val="21"/>
              </w:rPr>
              <w:t>13、配套商务机，要求win10 64位专业版操作系统，CUP intel core i7，RAM≥16GB，硬盘≥256GB SSD+1TB HDD，独立显卡≥2GB，24英寸2K显示屏，同品牌键鼠。</w:t>
            </w:r>
          </w:p>
          <w:p>
            <w:pPr>
              <w:rPr>
                <w:rFonts w:ascii="Arial" w:hAnsi="Arial" w:cs="Arial"/>
                <w:color w:val="auto"/>
                <w:szCs w:val="21"/>
              </w:rPr>
            </w:pPr>
            <w:r>
              <w:rPr>
                <w:rFonts w:hint="eastAsia" w:ascii="Arial" w:hAnsi="Arial" w:cs="Arial"/>
                <w:color w:val="auto"/>
                <w:szCs w:val="21"/>
              </w:rPr>
              <w:t>1</w:t>
            </w:r>
            <w:r>
              <w:rPr>
                <w:rFonts w:ascii="Arial" w:hAnsi="Arial" w:cs="Arial"/>
                <w:color w:val="auto"/>
                <w:szCs w:val="21"/>
              </w:rPr>
              <w:t>4</w:t>
            </w:r>
            <w:r>
              <w:rPr>
                <w:rFonts w:hint="eastAsia" w:ascii="宋体" w:hAnsi="宋体" w:cs="Arial"/>
                <w:color w:val="auto"/>
                <w:szCs w:val="21"/>
              </w:rPr>
              <w:t>、配套视频一体机，要求四核</w:t>
            </w:r>
            <w:r>
              <w:rPr>
                <w:rFonts w:hint="eastAsia" w:ascii="Arial" w:hAnsi="Arial" w:cs="Arial"/>
                <w:color w:val="auto"/>
                <w:szCs w:val="21"/>
              </w:rPr>
              <w:t>CPU</w:t>
            </w:r>
            <w:r>
              <w:rPr>
                <w:rFonts w:hint="eastAsia" w:ascii="宋体" w:hAnsi="宋体" w:cs="Arial"/>
                <w:color w:val="auto"/>
                <w:szCs w:val="21"/>
              </w:rPr>
              <w:t>，</w:t>
            </w:r>
            <w:r>
              <w:rPr>
                <w:rFonts w:hint="eastAsia" w:ascii="Arial" w:hAnsi="Arial" w:cs="Arial"/>
                <w:color w:val="auto"/>
                <w:szCs w:val="21"/>
              </w:rPr>
              <w:t>4G</w:t>
            </w:r>
            <w:r>
              <w:rPr>
                <w:rFonts w:hint="eastAsia" w:ascii="宋体" w:hAnsi="宋体" w:cs="Arial"/>
                <w:color w:val="auto"/>
                <w:szCs w:val="21"/>
              </w:rPr>
              <w:t>以上运行内存，</w:t>
            </w:r>
            <w:r>
              <w:rPr>
                <w:rFonts w:ascii="Arial" w:hAnsi="Arial" w:cs="Arial"/>
                <w:color w:val="auto"/>
                <w:szCs w:val="21"/>
              </w:rPr>
              <w:t>32</w:t>
            </w:r>
            <w:r>
              <w:rPr>
                <w:rFonts w:hint="eastAsia" w:ascii="Arial" w:hAnsi="Arial" w:cs="Arial"/>
                <w:color w:val="auto"/>
                <w:szCs w:val="21"/>
              </w:rPr>
              <w:t>G</w:t>
            </w:r>
            <w:r>
              <w:rPr>
                <w:rFonts w:hint="eastAsia" w:ascii="宋体" w:hAnsi="宋体" w:cs="Arial"/>
                <w:color w:val="auto"/>
                <w:szCs w:val="21"/>
              </w:rPr>
              <w:t>机身内存，直下式背光，</w:t>
            </w:r>
            <w:r>
              <w:rPr>
                <w:rFonts w:hint="eastAsia" w:ascii="Arial" w:hAnsi="Arial" w:cs="Arial"/>
                <w:color w:val="auto"/>
                <w:szCs w:val="21"/>
              </w:rPr>
              <w:t>A</w:t>
            </w:r>
            <w:r>
              <w:rPr>
                <w:rFonts w:ascii="Arial" w:hAnsi="Arial" w:cs="Arial"/>
                <w:color w:val="auto"/>
                <w:szCs w:val="21"/>
              </w:rPr>
              <w:t>ndroid8.0</w:t>
            </w:r>
            <w:r>
              <w:rPr>
                <w:rFonts w:hint="eastAsia" w:ascii="宋体" w:hAnsi="宋体" w:cs="Arial"/>
                <w:color w:val="auto"/>
                <w:szCs w:val="21"/>
              </w:rPr>
              <w:t>及以上操作系统，</w:t>
            </w:r>
            <w:r>
              <w:rPr>
                <w:rFonts w:hint="eastAsia" w:ascii="Arial" w:hAnsi="Arial" w:cs="Arial"/>
                <w:color w:val="auto"/>
                <w:szCs w:val="21"/>
              </w:rPr>
              <w:t>4K</w:t>
            </w:r>
            <w:r>
              <w:rPr>
                <w:rFonts w:hint="eastAsia" w:ascii="宋体" w:hAnsi="宋体" w:cs="Arial"/>
                <w:color w:val="auto"/>
                <w:szCs w:val="21"/>
              </w:rPr>
              <w:t>高清屏幕分辨率，</w:t>
            </w:r>
            <w:r>
              <w:rPr>
                <w:rFonts w:hint="eastAsia" w:ascii="Arial" w:hAnsi="Arial" w:cs="Arial"/>
                <w:color w:val="auto"/>
                <w:szCs w:val="21"/>
              </w:rPr>
              <w:t>6</w:t>
            </w:r>
            <w:r>
              <w:rPr>
                <w:rFonts w:ascii="Arial" w:hAnsi="Arial" w:cs="Arial"/>
                <w:color w:val="auto"/>
                <w:szCs w:val="21"/>
              </w:rPr>
              <w:t>5</w:t>
            </w:r>
            <w:r>
              <w:rPr>
                <w:rFonts w:hint="eastAsia" w:ascii="宋体" w:hAnsi="宋体" w:cs="Arial"/>
                <w:color w:val="auto"/>
                <w:szCs w:val="21"/>
              </w:rPr>
              <w:t>英寸，含移动架，不低于</w:t>
            </w:r>
            <w:r>
              <w:rPr>
                <w:rFonts w:hint="eastAsia" w:ascii="Arial" w:hAnsi="Arial" w:cs="Arial"/>
                <w:color w:val="auto"/>
                <w:szCs w:val="21"/>
              </w:rPr>
              <w:t>5</w:t>
            </w:r>
            <w:r>
              <w:rPr>
                <w:rFonts w:hint="eastAsia" w:ascii="宋体" w:hAnsi="宋体" w:cs="Arial"/>
                <w:color w:val="auto"/>
                <w:szCs w:val="21"/>
              </w:rPr>
              <w:t>米的</w:t>
            </w:r>
            <w:r>
              <w:rPr>
                <w:rFonts w:hint="eastAsia" w:ascii="Arial" w:hAnsi="Arial" w:cs="Arial"/>
                <w:color w:val="auto"/>
                <w:szCs w:val="21"/>
              </w:rPr>
              <w:t>HDMI</w:t>
            </w:r>
            <w:r>
              <w:rPr>
                <w:rFonts w:hint="eastAsia" w:ascii="宋体" w:hAnsi="宋体" w:cs="Arial"/>
                <w:color w:val="auto"/>
                <w:szCs w:val="21"/>
              </w:rPr>
              <w:t>连接线。</w:t>
            </w:r>
          </w:p>
          <w:p>
            <w:pPr>
              <w:rPr>
                <w:szCs w:val="21"/>
              </w:rPr>
            </w:pPr>
            <w:r>
              <w:rPr>
                <w:rFonts w:hint="eastAsia" w:ascii="宋体" w:hAnsi="宋体" w:cs="宋体"/>
                <w:color w:val="auto"/>
                <w:sz w:val="21"/>
                <w:szCs w:val="21"/>
              </w:rPr>
              <w:t>★</w:t>
            </w:r>
            <w:r>
              <w:rPr>
                <w:rFonts w:hint="eastAsia" w:ascii="Arial" w:hAnsi="Arial" w:cs="Arial"/>
                <w:color w:val="auto"/>
                <w:szCs w:val="21"/>
              </w:rPr>
              <w:t>1</w:t>
            </w:r>
            <w:r>
              <w:rPr>
                <w:rFonts w:ascii="Arial" w:hAnsi="Arial" w:cs="Arial"/>
                <w:color w:val="auto"/>
                <w:szCs w:val="21"/>
              </w:rPr>
              <w:t>5.</w:t>
            </w:r>
            <w:r>
              <w:rPr>
                <w:rFonts w:hint="eastAsia" w:ascii="宋体" w:hAnsi="宋体" w:cs="Arial"/>
                <w:color w:val="auto"/>
                <w:szCs w:val="21"/>
              </w:rPr>
              <w:t>技术服务要求：能提供本地化服务，</w:t>
            </w:r>
            <w:r>
              <w:rPr>
                <w:rFonts w:ascii="Arial" w:hAnsi="Arial" w:cs="Arial"/>
                <w:color w:val="auto"/>
                <w:szCs w:val="21"/>
              </w:rPr>
              <w:t>5</w:t>
            </w:r>
            <w:r>
              <w:rPr>
                <w:rFonts w:hint="eastAsia" w:ascii="宋体" w:hAnsi="宋体" w:cs="Arial"/>
                <w:color w:val="auto"/>
                <w:szCs w:val="21"/>
              </w:rPr>
              <w:t>年内免</w:t>
            </w:r>
            <w:r>
              <w:rPr>
                <w:rFonts w:hint="eastAsia" w:ascii="宋体" w:hAnsi="宋体" w:cs="Arial"/>
                <w:color w:val="000000"/>
                <w:szCs w:val="21"/>
              </w:rPr>
              <w:t>上门服务费，能免费提供专业的操作技能培训（要求每年一次，限</w:t>
            </w:r>
            <w:r>
              <w:rPr>
                <w:rFonts w:hint="eastAsia" w:ascii="Arial" w:hAnsi="Arial" w:cs="Arial"/>
                <w:color w:val="000000"/>
                <w:szCs w:val="21"/>
              </w:rPr>
              <w:t>5</w:t>
            </w:r>
            <w:r>
              <w:rPr>
                <w:rFonts w:hint="eastAsia" w:ascii="宋体" w:hAnsi="宋体" w:cs="Arial"/>
                <w:color w:val="000000"/>
                <w:szCs w:val="21"/>
              </w:rPr>
              <w:t>年内）。</w:t>
            </w:r>
          </w:p>
        </w:tc>
        <w:tc>
          <w:tcPr>
            <w:tcW w:w="304" w:type="pct"/>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r>
              <w:rPr>
                <w:rFonts w:hint="eastAsia" w:cs="宋体" w:asciiTheme="minorEastAsia" w:hAnsiTheme="minorEastAsia" w:eastAsiaTheme="minorEastAsia"/>
                <w:color w:val="333333"/>
                <w:szCs w:val="21"/>
              </w:rPr>
              <w:t>台</w:t>
            </w:r>
          </w:p>
        </w:tc>
        <w:tc>
          <w:tcPr>
            <w:tcW w:w="568" w:type="pct"/>
            <w:vAlign w:val="center"/>
          </w:tcPr>
          <w:p>
            <w:pPr>
              <w:rPr>
                <w:szCs w:val="21"/>
              </w:rPr>
            </w:pPr>
            <w:r>
              <w:rPr>
                <w:rFonts w:hint="eastAsia" w:ascii="宋体" w:hAnsi="宋体" w:cs="Arial"/>
                <w:color w:val="000000"/>
                <w:szCs w:val="21"/>
              </w:rPr>
              <w:t>本设备拟采购进口设备，投标报价包括除报价要求相关内容外，还应包括进口设备代理费等费用；报价时，请按教育科研机构进口免税价进行报价。</w:t>
            </w:r>
          </w:p>
        </w:tc>
      </w:tr>
    </w:tbl>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2、如涉及固定厂家品牌或规格型号的均可认为推荐，并不要求其唯一性，供应商可提供同等质量标准或更高标准产品，并提供相应技术参数证明其符合采购需求或优于采购需求，否则可视其为不满足采购需求。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rPr>
      </w:pPr>
      <w:r>
        <w:rPr>
          <w:rFonts w:cs="宋体" w:asciiTheme="minorEastAsia" w:hAnsiTheme="minorEastAsia" w:eastAsiaTheme="minorEastAsia"/>
          <w:color w:val="auto"/>
          <w:sz w:val="24"/>
        </w:rPr>
        <w:t xml:space="preserve"> </w:t>
      </w:r>
      <w:r>
        <w:rPr>
          <w:rFonts w:hint="eastAsia" w:ascii="宋体" w:hAnsi="宋体" w:cs="宋体"/>
          <w:color w:val="auto"/>
          <w:kern w:val="0"/>
          <w:szCs w:val="21"/>
        </w:rPr>
        <w:t>★</w:t>
      </w:r>
      <w:r>
        <w:rPr>
          <w:rFonts w:hint="eastAsia" w:ascii="宋体" w:hAnsi="宋体" w:cs="宋体"/>
          <w:color w:val="auto"/>
          <w:szCs w:val="21"/>
        </w:rPr>
        <w:t>进口设备：提供原生产厂商国内总代理商（须提供国内总代理商与国外制造商的关系证明文件）出具针对本项目的授权书（加盖生产厂商或总代理商公章的真彩扫描件）和售后服务承诺函（加盖生产厂商或总代理商公章的真彩扫描件）</w:t>
      </w:r>
      <w:r>
        <w:rPr>
          <w:rFonts w:hint="eastAsia" w:ascii="宋体" w:hAnsi="宋体" w:cs="宋体"/>
          <w:color w:val="auto"/>
          <w:szCs w:val="21"/>
          <w:lang w:eastAsia="zh-CN"/>
        </w:rPr>
        <w:t>，</w:t>
      </w:r>
      <w:r>
        <w:rPr>
          <w:rFonts w:hint="eastAsia" w:ascii="宋体" w:hAnsi="宋体" w:cs="宋体"/>
          <w:color w:val="auto"/>
          <w:szCs w:val="21"/>
          <w:lang w:val="en-US" w:eastAsia="zh-CN"/>
        </w:rPr>
        <w:t>否则视为无效投标。</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szCs w:val="21"/>
        </w:rPr>
        <w:br w:type="textWrapping"/>
      </w:r>
    </w:p>
    <w:p>
      <w:pPr>
        <w:rPr>
          <w:rFonts w:asciiTheme="minorEastAsia" w:hAnsiTheme="minorEastAsia" w:eastAsiaTheme="minorEastAsia" w:cstheme="minorEastAsia"/>
          <w:b/>
          <w:bCs/>
          <w:sz w:val="24"/>
        </w:rPr>
      </w:pPr>
      <w:bookmarkStart w:id="168" w:name="_Toc4139"/>
      <w:r>
        <w:rPr>
          <w:rFonts w:hint="eastAsia" w:asciiTheme="minorEastAsia" w:hAnsiTheme="minorEastAsia" w:eastAsiaTheme="minorEastAsia" w:cstheme="minorEastAsia"/>
          <w:b/>
          <w:bCs/>
          <w:sz w:val="24"/>
        </w:rPr>
        <w:br w:type="page"/>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69" w:name="_Toc29089"/>
      <w:r>
        <w:rPr>
          <w:rFonts w:hint="eastAsia" w:asciiTheme="minorEastAsia" w:hAnsiTheme="minorEastAsia" w:eastAsiaTheme="minorEastAsia" w:cstheme="minorEastAsia"/>
          <w:b/>
          <w:bCs/>
          <w:sz w:val="24"/>
        </w:rPr>
        <w:t>二、商务需求</w:t>
      </w:r>
      <w:bookmarkEnd w:id="168"/>
      <w:bookmarkEnd w:id="169"/>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  违约责任：</w:t>
      </w:r>
    </w:p>
    <w:p>
      <w:pPr>
        <w:autoSpaceDE w:val="0"/>
        <w:autoSpaceDN w:val="0"/>
        <w:adjustRightInd w:val="0"/>
        <w:spacing w:line="360" w:lineRule="auto"/>
        <w:ind w:left="418" w:hanging="417" w:hangingChars="199"/>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 若乙方未能按</w:t>
      </w:r>
      <w:r>
        <w:rPr>
          <w:rFonts w:hint="eastAsia" w:asciiTheme="minorEastAsia" w:hAnsiTheme="minorEastAsia" w:eastAsiaTheme="minorEastAsia" w:cstheme="minorEastAsia"/>
          <w:color w:val="auto"/>
          <w:szCs w:val="21"/>
          <w:lang w:eastAsia="zh-CN"/>
        </w:rPr>
        <w:t>合同</w:t>
      </w:r>
      <w:r>
        <w:rPr>
          <w:rFonts w:hint="eastAsia" w:asciiTheme="minorEastAsia" w:hAnsiTheme="minorEastAsia" w:eastAsiaTheme="minorEastAsia" w:cstheme="minorEastAsia"/>
          <w:color w:val="auto"/>
          <w:szCs w:val="21"/>
        </w:rPr>
        <w:t>所规定的交货时间前完成本</w:t>
      </w:r>
      <w:r>
        <w:rPr>
          <w:rFonts w:hint="eastAsia" w:asciiTheme="minorEastAsia" w:hAnsiTheme="minorEastAsia" w:eastAsiaTheme="minorEastAsia" w:cstheme="minorEastAsia"/>
          <w:color w:val="auto"/>
          <w:szCs w:val="21"/>
          <w:lang w:eastAsia="zh-CN"/>
        </w:rPr>
        <w:t>合同全部货物（含配套系统，配件备件）安装调试并达到验收标准</w:t>
      </w:r>
      <w:r>
        <w:rPr>
          <w:rFonts w:hint="eastAsia" w:asciiTheme="minorEastAsia" w:hAnsiTheme="minorEastAsia" w:eastAsiaTheme="minorEastAsia" w:cstheme="minorEastAsia"/>
          <w:color w:val="auto"/>
          <w:szCs w:val="21"/>
        </w:rPr>
        <w:t>，每延迟一天，按</w:t>
      </w:r>
      <w:r>
        <w:rPr>
          <w:rFonts w:hint="eastAsia" w:asciiTheme="minorEastAsia" w:hAnsiTheme="minorEastAsia" w:eastAsiaTheme="minorEastAsia" w:cstheme="minorEastAsia"/>
          <w:color w:val="auto"/>
          <w:szCs w:val="21"/>
          <w:lang w:eastAsia="zh-CN"/>
        </w:rPr>
        <w:t>合同</w:t>
      </w:r>
      <w:r>
        <w:rPr>
          <w:rFonts w:hint="eastAsia" w:asciiTheme="minorEastAsia" w:hAnsiTheme="minorEastAsia" w:eastAsiaTheme="minorEastAsia" w:cstheme="minorEastAsia"/>
          <w:color w:val="auto"/>
          <w:szCs w:val="21"/>
        </w:rPr>
        <w:t>总额的千分之一向甲方交纳违约金,违约金</w:t>
      </w:r>
      <w:r>
        <w:rPr>
          <w:rFonts w:hint="eastAsia" w:asciiTheme="minorEastAsia" w:hAnsiTheme="minorEastAsia" w:eastAsiaTheme="minorEastAsia" w:cstheme="minorEastAsia"/>
          <w:color w:val="auto"/>
          <w:szCs w:val="21"/>
          <w:lang w:eastAsia="zh-CN"/>
        </w:rPr>
        <w:t>缴纳</w:t>
      </w:r>
      <w:r>
        <w:rPr>
          <w:rFonts w:hint="eastAsia" w:asciiTheme="minorEastAsia" w:hAnsiTheme="minorEastAsia" w:eastAsiaTheme="minorEastAsia" w:cstheme="minorEastAsia"/>
          <w:color w:val="auto"/>
          <w:szCs w:val="21"/>
        </w:rPr>
        <w:t>总额不超过</w:t>
      </w:r>
      <w:r>
        <w:rPr>
          <w:rFonts w:hint="eastAsia" w:asciiTheme="minorEastAsia" w:hAnsiTheme="minorEastAsia" w:eastAsiaTheme="minorEastAsia" w:cstheme="minorEastAsia"/>
          <w:color w:val="auto"/>
          <w:szCs w:val="21"/>
          <w:lang w:eastAsia="zh-CN"/>
        </w:rPr>
        <w:t>合同</w:t>
      </w:r>
      <w:r>
        <w:rPr>
          <w:rFonts w:hint="eastAsia" w:asciiTheme="minorEastAsia" w:hAnsiTheme="minorEastAsia" w:eastAsiaTheme="minorEastAsia" w:cstheme="minorEastAsia"/>
          <w:color w:val="auto"/>
          <w:szCs w:val="21"/>
        </w:rPr>
        <w:t>总金额的百分之五。</w:t>
      </w:r>
    </w:p>
    <w:p>
      <w:pPr>
        <w:autoSpaceDE w:val="0"/>
        <w:autoSpaceDN w:val="0"/>
        <w:adjustRightInd w:val="0"/>
        <w:spacing w:line="360" w:lineRule="auto"/>
        <w:ind w:left="420" w:hanging="420" w:hanging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1.2 </w:t>
      </w:r>
      <w:r>
        <w:rPr>
          <w:rFonts w:hint="eastAsia" w:asciiTheme="minorEastAsia" w:hAnsiTheme="minorEastAsia" w:eastAsiaTheme="minorEastAsia" w:cstheme="minorEastAsia"/>
          <w:color w:val="auto"/>
          <w:szCs w:val="21"/>
          <w:lang w:eastAsia="zh-CN"/>
        </w:rPr>
        <w:t>进口货物：</w:t>
      </w:r>
      <w:r>
        <w:rPr>
          <w:rFonts w:hint="eastAsia" w:asciiTheme="minorEastAsia" w:hAnsiTheme="minorEastAsia" w:eastAsiaTheme="minorEastAsia" w:cstheme="minorEastAsia"/>
          <w:color w:val="auto"/>
          <w:szCs w:val="21"/>
        </w:rPr>
        <w:t>若乙方未能在信用证开具</w:t>
      </w:r>
      <w:r>
        <w:rPr>
          <w:rFonts w:hint="eastAsia" w:asciiTheme="minorEastAsia" w:hAnsiTheme="minorEastAsia" w:eastAsiaTheme="minorEastAsia" w:cstheme="minorEastAsia"/>
          <w:color w:val="auto"/>
          <w:szCs w:val="21"/>
          <w:lang w:val="en-US" w:eastAsia="zh-CN"/>
        </w:rPr>
        <w:t>90日</w:t>
      </w:r>
      <w:r>
        <w:rPr>
          <w:rFonts w:hint="eastAsia" w:asciiTheme="minorEastAsia" w:hAnsiTheme="minorEastAsia" w:eastAsiaTheme="minorEastAsia" w:cstheme="minorEastAsia"/>
          <w:color w:val="auto"/>
          <w:szCs w:val="21"/>
        </w:rPr>
        <w:t>内完成本协议所有设备安装调试并达到验收标准，甲方可中止本协议，并由乙方承担由此给甲方造成的一切损失。</w:t>
      </w:r>
    </w:p>
    <w:p>
      <w:pPr>
        <w:autoSpaceDE w:val="0"/>
        <w:autoSpaceDN w:val="0"/>
        <w:adjustRightInd w:val="0"/>
        <w:spacing w:line="360" w:lineRule="auto"/>
        <w:ind w:left="420" w:leftChars="200" w:firstLine="0" w:firstLineChars="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进口货物：若乙方未能在规定时间前完成本合同全部货物（含配套系统，配件备件）安装调试并达到验收标准</w:t>
      </w:r>
      <w:r>
        <w:rPr>
          <w:rFonts w:hint="eastAsia" w:asciiTheme="minorEastAsia" w:hAnsiTheme="minorEastAsia" w:eastAsiaTheme="minorEastAsia" w:cstheme="minorEastAsia"/>
          <w:color w:val="auto"/>
          <w:szCs w:val="21"/>
        </w:rPr>
        <w:t>，甲方可中止本</w:t>
      </w:r>
      <w:r>
        <w:rPr>
          <w:rFonts w:hint="eastAsia" w:asciiTheme="minorEastAsia" w:hAnsiTheme="minorEastAsia" w:eastAsiaTheme="minorEastAsia" w:cstheme="minorEastAsia"/>
          <w:color w:val="auto"/>
          <w:szCs w:val="21"/>
          <w:lang w:eastAsia="zh-CN"/>
        </w:rPr>
        <w:t>合同</w:t>
      </w:r>
      <w:r>
        <w:rPr>
          <w:rFonts w:hint="eastAsia" w:asciiTheme="minorEastAsia" w:hAnsiTheme="minorEastAsia" w:eastAsiaTheme="minorEastAsia" w:cstheme="minorEastAsia"/>
          <w:color w:val="auto"/>
          <w:szCs w:val="21"/>
        </w:rPr>
        <w:t>，并由乙方承担由此给甲方造成的一切损失。</w:t>
      </w:r>
    </w:p>
    <w:p>
      <w:pPr>
        <w:autoSpaceDE w:val="0"/>
        <w:autoSpaceDN w:val="0"/>
        <w:adjustRightInd w:val="0"/>
        <w:spacing w:line="360" w:lineRule="auto"/>
        <w:ind w:left="420" w:hanging="420" w:hanging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1.3 乙方交付甲方的</w:t>
      </w:r>
      <w:r>
        <w:rPr>
          <w:rFonts w:hint="eastAsia" w:asciiTheme="minorEastAsia" w:hAnsiTheme="minorEastAsia" w:eastAsiaTheme="minorEastAsia" w:cstheme="minorEastAsia"/>
          <w:color w:val="auto"/>
          <w:szCs w:val="21"/>
          <w:lang w:eastAsia="zh-CN"/>
        </w:rPr>
        <w:t>全部货物（含配套系统，配件备件）</w:t>
      </w:r>
      <w:r>
        <w:rPr>
          <w:rFonts w:hint="eastAsia" w:asciiTheme="minorEastAsia" w:hAnsiTheme="minorEastAsia" w:eastAsiaTheme="minorEastAsia" w:cstheme="minorEastAsia"/>
          <w:color w:val="auto"/>
          <w:szCs w:val="21"/>
        </w:rPr>
        <w:t>及工程中使用的材料必须有合法的进货渠道，且符合协议和投标书中的质量约定，否则由乙方承担一切责任。</w:t>
      </w:r>
    </w:p>
    <w:p>
      <w:pPr>
        <w:autoSpaceDE w:val="0"/>
        <w:autoSpaceDN w:val="0"/>
        <w:adjustRightInd w:val="0"/>
        <w:spacing w:line="360" w:lineRule="auto"/>
        <w:ind w:left="420" w:hanging="420" w:hanging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1.4</w:t>
      </w:r>
      <w:r>
        <w:rPr>
          <w:rFonts w:hint="eastAsia" w:asciiTheme="minorEastAsia" w:hAnsiTheme="minorEastAsia" w:eastAsiaTheme="minorEastAsia" w:cstheme="minorEastAsia"/>
          <w:color w:val="auto"/>
          <w:szCs w:val="21"/>
        </w:rPr>
        <w:t>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  产品质量要求：</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满足执行的国家相关标准、行业标准、地方标准或其他标准，规范；</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所有产品是否满足采购文件的要求及响应文件的承诺；</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供应商须提供设备的相应参数和技术支持材料，不得完全照搬采购文件技术参数要求内容或标示无偏离或者符合等。</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 本次采购项目的质量必须完全满足中华人民共和国国家质量标准及现行规范要求，供应商应根据企业实际能力在响应文件中对项目质量予以承诺，成交后在合同中加以确认。</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 如有在本采购文件中未说明的设备运行所必须的其他辅助设备及软件系统，请在响应文件中提供详细说明及相关报价。</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 供应商在招标及成交后，发生侵犯专利权的行为时，其侵权责任与采购人无关，应由成交人承担相应的责任，并不得影响采购人的利益。</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  产品进场安装、调试及验收：</w:t>
      </w:r>
    </w:p>
    <w:p>
      <w:pPr>
        <w:autoSpaceDE w:val="0"/>
        <w:autoSpaceDN w:val="0"/>
        <w:adjustRightInd w:val="0"/>
        <w:spacing w:line="360" w:lineRule="auto"/>
        <w:ind w:left="420" w:hanging="420" w:hanging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3.1 成交供应商所提供设备到达目的地后，采购人按成交供应商提供的设备清单及检验产品合格证、使用说明书和其他的技术资料负责开箱检验、检查设备及随机附件是否完整无损，技术资料是否与采购人的要求相符，如有损坏、缺件等情况，成交供应商应在5日内更换新产品，相应的费用及责任由成交供应商自行负担。</w:t>
      </w:r>
    </w:p>
    <w:p>
      <w:pPr>
        <w:autoSpaceDE w:val="0"/>
        <w:autoSpaceDN w:val="0"/>
        <w:adjustRightInd w:val="0"/>
        <w:spacing w:line="360" w:lineRule="auto"/>
        <w:ind w:left="420" w:hanging="420" w:hanging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3.2 安装过程中，成交供应商供给采购人的产品及自己使用的工具，进入采购人使用现场后的保管由成交供应商负责；成交供应商在采购人使用现场安装人员的安全、保险、食宿、交通由成交供应商负责。成交供应商须免费提供调试专用工具，直到项目质保期满。</w:t>
      </w:r>
    </w:p>
    <w:p>
      <w:pPr>
        <w:autoSpaceDE w:val="0"/>
        <w:autoSpaceDN w:val="0"/>
        <w:adjustRightInd w:val="0"/>
        <w:spacing w:line="360" w:lineRule="auto"/>
        <w:ind w:left="420" w:hanging="420" w:hangingChars="200"/>
        <w:rPr>
          <w:rFonts w:cs="宋体" w:asciiTheme="minorEastAsia" w:hAnsiTheme="minorEastAsia" w:eastAsiaTheme="minorEastAsia"/>
          <w:szCs w:val="21"/>
        </w:rPr>
      </w:pPr>
      <w:r>
        <w:rPr>
          <w:rFonts w:hint="eastAsia" w:cs="宋体" w:asciiTheme="minorEastAsia" w:hAnsiTheme="minorEastAsia" w:eastAsiaTheme="minorEastAsia"/>
          <w:szCs w:val="21"/>
        </w:rPr>
        <w:t>3.3 成交供应商必须提供产品安装的详细实施建议方案和产品安装实施过程的工作内容、工作日程表、工作方法，并征得采购人认可后严格按照日程表执行。日程表内容至少应包括到货日期、现场安装、验收、技术培训等。成交供应商应允许采购人的工作人员参与项目的安装、测试、诊断及解决问题等各项工作，并提供相关的现场培训。</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  售后服务要求：</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合同生效后，设备供应商对安装设备的实验室工作条件应提出具体要求，并在安装前予以确认（免费）。 </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提供的产品为原装正品，相关的配套附件质量优良，数量齐全。 </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设备到货后现场开箱，厂家工程师必须在场，并确认货物。 </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 </w:t>
      </w:r>
      <w:r>
        <w:rPr>
          <w:rFonts w:hint="eastAsia" w:cs="宋体" w:asciiTheme="minorEastAsia" w:hAnsiTheme="minorEastAsia" w:eastAsiaTheme="minorEastAsia"/>
          <w:szCs w:val="21"/>
        </w:rPr>
        <w:t>设备到达用户指定交货地点后，根据买方的时间安排，设备供应商在接到 用户通知后 2 周内进行安装调试，直至通过验收。</w:t>
      </w:r>
      <w:r>
        <w:rPr>
          <w:rFonts w:hint="eastAsia" w:asciiTheme="minorEastAsia" w:hAnsiTheme="minorEastAsia" w:eastAsiaTheme="minorEastAsia"/>
          <w:kern w:val="0"/>
          <w:szCs w:val="21"/>
        </w:rPr>
        <w:t>供应商必须保证所供货物安装到位并负责在用户单位落实安装条件，水、电、防尘、震动达到安装要求，配套完成一起正常安装使用条件，并进行操作演示、数据处理等培训，期间所发生费用由卖方承担。</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4.5 设备安装调试合格后，制造商（或代理商）负责对用户技术人员（至少2人）进行免费现场第一阶段培训，培训内容包括设备的性能、原理、操作技术、数据处理、软件的使用和结果分析、设备的保养和维护等；使用户技术人员能够熟练掌握操作和维护技术，能较为熟练地调整实验方法和及时处理各种故障。</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 设备供应商在国内有维修中心，有专职维修工程师和备品备件库。在用户提出维修要求后，制造商（或代理商）应在24小时内之内上门服务； 一般故障应在三日内修复，重大故障或其他无法迅速解决的问题需在十五日内解决或提出明确解决方案。 </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 终身免费提供应用咨询及技术帮助。 </w:t>
      </w:r>
    </w:p>
    <w:p>
      <w:pPr>
        <w:autoSpaceDE w:val="0"/>
        <w:autoSpaceDN w:val="0"/>
        <w:adjustRightInd w:val="0"/>
        <w:spacing w:line="360" w:lineRule="auto"/>
        <w:ind w:left="420" w:hanging="420" w:hangingChars="200"/>
        <w:jc w:val="left"/>
        <w:rPr>
          <w:rFonts w:asciiTheme="minorEastAsia" w:hAnsiTheme="minorEastAsia" w:eastAsiaTheme="minorEastAsia" w:cstheme="minorEastAsia"/>
          <w:szCs w:val="21"/>
        </w:rPr>
      </w:pPr>
      <w:r>
        <w:rPr>
          <w:rFonts w:hint="eastAsia" w:cs="宋体" w:asciiTheme="minorEastAsia" w:hAnsiTheme="minorEastAsia" w:eastAsiaTheme="minorEastAsia"/>
          <w:szCs w:val="21"/>
        </w:rPr>
        <w:t>4.8 进口设备在运输过程中由清关所产生的额外费用（关税、汇率以及其他不可抗拒因素造成的额外费用）一律由设备供应商承担。</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  交货地点：采购人指定的项目现场</w:t>
      </w:r>
    </w:p>
    <w:p>
      <w:pPr>
        <w:autoSpaceDE w:val="0"/>
        <w:autoSpaceDN w:val="0"/>
        <w:adjustRightInd w:val="0"/>
        <w:spacing w:line="360" w:lineRule="auto"/>
        <w:ind w:left="420" w:hanging="420" w:hanging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  履约保证金：</w:t>
      </w:r>
      <w:r>
        <w:rPr>
          <w:rFonts w:hint="eastAsia" w:cs="宋体" w:asciiTheme="minorEastAsia" w:hAnsiTheme="minorEastAsia" w:eastAsiaTheme="minorEastAsia"/>
          <w:szCs w:val="21"/>
          <w:lang w:val="zh-CN"/>
        </w:rPr>
        <w:t>合同总金额的</w:t>
      </w:r>
      <w:r>
        <w:rPr>
          <w:rFonts w:hint="eastAsia" w:cs="宋体" w:asciiTheme="minorEastAsia" w:hAnsiTheme="minorEastAsia" w:eastAsiaTheme="minorEastAsia"/>
          <w:szCs w:val="21"/>
        </w:rPr>
        <w:t>5</w:t>
      </w:r>
      <w:r>
        <w:rPr>
          <w:rFonts w:hint="eastAsia" w:cs="宋体" w:asciiTheme="minorEastAsia" w:hAnsiTheme="minorEastAsia" w:eastAsiaTheme="minorEastAsia"/>
          <w:szCs w:val="21"/>
          <w:lang w:val="zh-CN"/>
        </w:rPr>
        <w:t>%</w:t>
      </w:r>
      <w:r>
        <w:rPr>
          <w:rFonts w:hint="eastAsia" w:asciiTheme="minorEastAsia" w:hAnsiTheme="minorEastAsia" w:eastAsiaTheme="minorEastAsia" w:cstheme="minorEastAsia"/>
          <w:szCs w:val="21"/>
        </w:rPr>
        <w:t>；签订合同前5个工作日递交，以支票、汇票、本票或者金融机构、担保机构出具的保函等非现金形式提交。</w:t>
      </w:r>
    </w:p>
    <w:p>
      <w:pPr>
        <w:widowControl/>
        <w:spacing w:line="360" w:lineRule="auto"/>
        <w:ind w:left="420" w:hanging="420" w:hangingChars="20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  付款方式：</w:t>
      </w:r>
    </w:p>
    <w:p>
      <w:pPr>
        <w:autoSpaceDE w:val="0"/>
        <w:autoSpaceDN w:val="0"/>
        <w:adjustRightInd w:val="0"/>
        <w:spacing w:line="360" w:lineRule="auto"/>
        <w:ind w:left="420" w:hanging="420" w:hanging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7.</w:t>
      </w:r>
      <w:r>
        <w:rPr>
          <w:rFonts w:hint="eastAsia" w:asciiTheme="minorEastAsia" w:hAnsiTheme="minorEastAsia" w:eastAsiaTheme="minorEastAsia" w:cstheme="minorEastAsia"/>
          <w:color w:val="auto"/>
          <w:szCs w:val="21"/>
        </w:rPr>
        <w:t>1</w:t>
      </w:r>
      <w:r>
        <w:rPr>
          <w:rFonts w:hint="eastAsia" w:asciiTheme="minorEastAsia" w:hAnsiTheme="minorEastAsia" w:eastAsiaTheme="minorEastAsia" w:cstheme="minorEastAsia"/>
          <w:color w:val="auto"/>
          <w:szCs w:val="21"/>
          <w:lang w:val="en-US" w:eastAsia="zh-CN"/>
        </w:rPr>
        <w:t xml:space="preserve"> 合同签订前，</w:t>
      </w:r>
      <w:r>
        <w:rPr>
          <w:rFonts w:hint="eastAsia" w:asciiTheme="minorEastAsia" w:hAnsiTheme="minorEastAsia" w:eastAsiaTheme="minorEastAsia" w:cstheme="minorEastAsia"/>
          <w:color w:val="auto"/>
          <w:szCs w:val="21"/>
        </w:rPr>
        <w:t>乙方需向甲方支付协议总金额的5%作为履约保证金。所有进口仪器设备（系统）经甲方验收合格后，履约保证金转为质保金，产品验收合格满</w:t>
      </w: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rPr>
        <w:t>年后，若无质量问题甲方将质保金全额无息退还给乙方。</w:t>
      </w:r>
    </w:p>
    <w:p>
      <w:pPr>
        <w:autoSpaceDE w:val="0"/>
        <w:autoSpaceDN w:val="0"/>
        <w:adjustRightInd w:val="0"/>
        <w:spacing w:line="360" w:lineRule="auto"/>
        <w:ind w:left="420" w:hanging="420" w:hangingChars="200"/>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7.2 其它以外贸协议为准。</w:t>
      </w:r>
    </w:p>
    <w:p>
      <w:pPr>
        <w:widowControl/>
        <w:spacing w:line="360" w:lineRule="auto"/>
        <w:ind w:left="420" w:hanging="420" w:hanging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  其它：</w:t>
      </w:r>
      <w:r>
        <w:rPr>
          <w:rFonts w:hint="eastAsia" w:asciiTheme="minorEastAsia" w:hAnsiTheme="minorEastAsia" w:eastAsiaTheme="minorEastAsia" w:cstheme="minorEastAsia"/>
          <w:szCs w:val="21"/>
          <w:lang w:eastAsia="zh-CN"/>
        </w:rPr>
        <w:t>相关</w:t>
      </w:r>
      <w:r>
        <w:rPr>
          <w:rFonts w:hint="eastAsia" w:asciiTheme="minorEastAsia" w:hAnsiTheme="minorEastAsia" w:eastAsiaTheme="minorEastAsia" w:cstheme="minorEastAsia"/>
          <w:szCs w:val="21"/>
        </w:rPr>
        <w:t>事宜由成交供应商和采购人</w:t>
      </w:r>
      <w:r>
        <w:rPr>
          <w:rFonts w:hint="eastAsia" w:asciiTheme="minorEastAsia" w:hAnsiTheme="minorEastAsia" w:eastAsiaTheme="minorEastAsia" w:cstheme="minorEastAsia"/>
          <w:szCs w:val="21"/>
          <w:lang w:eastAsia="zh-CN"/>
        </w:rPr>
        <w:t>以最终签订</w:t>
      </w:r>
      <w:r>
        <w:rPr>
          <w:rFonts w:hint="eastAsia" w:asciiTheme="minorEastAsia" w:hAnsiTheme="minorEastAsia" w:eastAsiaTheme="minorEastAsia" w:cstheme="minorEastAsia"/>
          <w:szCs w:val="21"/>
        </w:rPr>
        <w:t>合同</w:t>
      </w:r>
      <w:r>
        <w:rPr>
          <w:rFonts w:hint="eastAsia" w:asciiTheme="minorEastAsia" w:hAnsiTheme="minorEastAsia" w:eastAsiaTheme="minorEastAsia" w:cstheme="minorEastAsia"/>
          <w:szCs w:val="21"/>
          <w:lang w:eastAsia="zh-CN"/>
        </w:rPr>
        <w:t>为准</w:t>
      </w:r>
      <w:r>
        <w:rPr>
          <w:rFonts w:hint="eastAsia" w:asciiTheme="minorEastAsia" w:hAnsiTheme="minorEastAsia" w:eastAsiaTheme="minorEastAsia" w:cstheme="minorEastAsia"/>
          <w:szCs w:val="21"/>
        </w:rPr>
        <w:t>。</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autoSpaceDE w:val="0"/>
        <w:autoSpaceDN w:val="0"/>
        <w:adjustRightInd w:val="0"/>
        <w:spacing w:line="360" w:lineRule="auto"/>
        <w:ind w:firstLine="422" w:firstLineChars="200"/>
        <w:rPr>
          <w:rFonts w:asciiTheme="minorEastAsia" w:hAnsiTheme="minorEastAsia" w:eastAsiaTheme="minorEastAsia" w:cstheme="minorEastAsia"/>
          <w:b/>
          <w:bCs/>
          <w:szCs w:val="21"/>
        </w:rPr>
      </w:pPr>
    </w:p>
    <w:p>
      <w:pPr>
        <w:rPr>
          <w:rFonts w:asciiTheme="minorEastAsia" w:hAnsiTheme="minorEastAsia" w:eastAsiaTheme="minorEastAsia" w:cstheme="minorEastAsia"/>
          <w:szCs w:val="21"/>
        </w:rPr>
      </w:pPr>
      <w:bookmarkStart w:id="170" w:name="_Toc1421"/>
      <w:r>
        <w:rPr>
          <w:rFonts w:hint="eastAsia" w:asciiTheme="minorEastAsia" w:hAnsiTheme="minorEastAsia" w:eastAsiaTheme="minorEastAsia" w:cstheme="minorEastAsia"/>
          <w:sz w:val="36"/>
          <w:szCs w:val="36"/>
        </w:rPr>
        <w:br w:type="page"/>
      </w:r>
    </w:p>
    <w:p>
      <w:pPr>
        <w:pStyle w:val="4"/>
        <w:numPr>
          <w:ilvl w:val="0"/>
          <w:numId w:val="4"/>
        </w:numPr>
        <w:jc w:val="center"/>
        <w:rPr>
          <w:rFonts w:asciiTheme="minorEastAsia" w:hAnsiTheme="minorEastAsia" w:eastAsiaTheme="minorEastAsia" w:cstheme="minorEastAsia"/>
          <w:szCs w:val="21"/>
        </w:rPr>
      </w:pPr>
      <w:bookmarkStart w:id="171" w:name="_Toc2296"/>
      <w:r>
        <w:rPr>
          <w:rFonts w:hint="eastAsia" w:asciiTheme="minorEastAsia" w:hAnsiTheme="minorEastAsia" w:eastAsiaTheme="minorEastAsia" w:cstheme="minorEastAsia"/>
          <w:sz w:val="36"/>
          <w:szCs w:val="36"/>
        </w:rPr>
        <w:t>竞争性磋商采购评定办法</w:t>
      </w:r>
      <w:bookmarkEnd w:id="170"/>
      <w:bookmarkEnd w:id="171"/>
    </w:p>
    <w:p>
      <w:pPr>
        <w:spacing w:line="360" w:lineRule="auto"/>
        <w:outlineLvl w:val="1"/>
        <w:rPr>
          <w:rFonts w:asciiTheme="minorEastAsia" w:hAnsiTheme="minorEastAsia" w:eastAsiaTheme="minorEastAsia" w:cstheme="minorEastAsia"/>
          <w:b/>
          <w:szCs w:val="21"/>
        </w:rPr>
      </w:pPr>
      <w:bookmarkStart w:id="172" w:name="_Toc5692"/>
      <w:bookmarkStart w:id="173" w:name="_Toc4474"/>
      <w:r>
        <w:rPr>
          <w:rFonts w:hint="eastAsia" w:asciiTheme="minorEastAsia" w:hAnsiTheme="minorEastAsia" w:eastAsiaTheme="minorEastAsia" w:cstheme="minorEastAsia"/>
          <w:b/>
          <w:szCs w:val="21"/>
        </w:rPr>
        <w:t>一、评定办法前附表</w:t>
      </w:r>
      <w:bookmarkEnd w:id="172"/>
      <w:bookmarkEnd w:id="173"/>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不得存在的情形</w:t>
            </w:r>
          </w:p>
        </w:tc>
        <w:tc>
          <w:tcPr>
            <w:tcW w:w="5563" w:type="dxa"/>
            <w:vAlign w:val="center"/>
          </w:tcPr>
          <w:p>
            <w:pPr>
              <w:autoSpaceDE w:val="0"/>
              <w:autoSpaceDN w:val="0"/>
              <w:adjustRightIn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rPr>
                <w:rFonts w:asciiTheme="minorEastAsia" w:hAnsiTheme="minorEastAsia" w:eastAsiaTheme="minorEastAsia" w:cstheme="minorEastAsia"/>
                <w:szCs w:val="21"/>
                <w:lang w:val="zh-CN"/>
              </w:rPr>
            </w:pPr>
            <w:r>
              <w:rPr>
                <w:rFonts w:hint="eastAsia" w:cs="宋体" w:asciiTheme="minorEastAsia" w:hAnsiTheme="minorEastAsia" w:eastAsiaTheme="minorEastAsia"/>
                <w:kern w:val="0"/>
                <w:szCs w:val="21"/>
                <w:shd w:val="clear" w:color="auto" w:fill="FFFFFF"/>
              </w:rPr>
              <w:t>未被列入失信被执行人、重大税收违法案件当事人名单（链接：https://www.creditchina.gov.cn/），未被列入政府采购严重违法失信行为记录名单（链接：http://www.ccgp.gov.cn/search/cr/）。</w:t>
            </w:r>
            <w:r>
              <w:rPr>
                <w:rFonts w:hint="eastAsia" w:cs="宋体" w:asciiTheme="minorEastAsia" w:hAnsiTheme="minorEastAsia" w:eastAsiaTheme="minorEastAsia"/>
                <w:kern w:val="0"/>
                <w:szCs w:val="21"/>
                <w:shd w:val="clear" w:color="auto" w:fill="FFFFFF"/>
              </w:rPr>
              <w:br w:type="textWrapping"/>
            </w:r>
            <w:r>
              <w:rPr>
                <w:rFonts w:hint="eastAsia" w:cs="宋体" w:asciiTheme="minorEastAsia" w:hAnsiTheme="minorEastAsia" w:eastAsiaTheme="minorEastAsia"/>
                <w:kern w:val="0"/>
                <w:szCs w:val="21"/>
                <w:shd w:val="clear" w:color="auto" w:fill="FFFFFF"/>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widowControl/>
              <w:rPr>
                <w:rFonts w:cs="宋体" w:asciiTheme="minorEastAsia" w:hAnsiTheme="minorEastAsia" w:eastAsiaTheme="minorEastAsia"/>
                <w:kern w:val="0"/>
                <w:szCs w:val="21"/>
                <w:shd w:val="clear" w:color="auto" w:fill="FFFFFF"/>
                <w:lang w:val="zh-CN"/>
              </w:rPr>
            </w:pPr>
            <w:r>
              <w:rPr>
                <w:rFonts w:hint="eastAsia" w:cs="宋体" w:asciiTheme="minorEastAsia" w:hAnsiTheme="minorEastAsia" w:eastAsiaTheme="minorEastAsia"/>
                <w:kern w:val="0"/>
                <w:szCs w:val="21"/>
                <w:shd w:val="clear" w:color="auto" w:fill="FFFFFF"/>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cs="宋体" w:asciiTheme="minorEastAsia" w:hAnsiTheme="minorEastAsia" w:eastAsiaTheme="minorEastAsia"/>
                <w:kern w:val="0"/>
                <w:szCs w:val="21"/>
                <w:shd w:val="clear" w:color="auto" w:fill="FFFFFF"/>
              </w:rPr>
            </w:pPr>
            <w:r>
              <w:rPr>
                <w:rFonts w:hint="eastAsia" w:cs="宋体" w:asciiTheme="minorEastAsia" w:hAnsiTheme="minorEastAsia" w:eastAsiaTheme="minorEastAsia"/>
                <w:kern w:val="0"/>
                <w:szCs w:val="21"/>
                <w:shd w:val="clear" w:color="auto" w:fill="FFFFFF"/>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cs="宋体" w:asciiTheme="minorEastAsia" w:hAnsiTheme="minorEastAsia" w:eastAsiaTheme="minorEastAsia"/>
                <w:kern w:val="0"/>
                <w:szCs w:val="21"/>
                <w:shd w:val="clear" w:color="auto" w:fill="FFFFFF"/>
              </w:rPr>
            </w:pPr>
            <w:r>
              <w:rPr>
                <w:rFonts w:hint="eastAsia" w:cs="宋体" w:asciiTheme="minorEastAsia" w:hAnsiTheme="minorEastAsia" w:eastAsiaTheme="minorEastAsia"/>
                <w:kern w:val="0"/>
                <w:szCs w:val="21"/>
                <w:shd w:val="clear" w:color="auto" w:fill="FFFFFF"/>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信誉情况</w:t>
            </w:r>
          </w:p>
        </w:tc>
        <w:tc>
          <w:tcPr>
            <w:tcW w:w="5563" w:type="dxa"/>
            <w:vAlign w:val="center"/>
          </w:tcPr>
          <w:p>
            <w:pPr>
              <w:widowControl/>
              <w:rPr>
                <w:rFonts w:asciiTheme="minorEastAsia" w:hAnsiTheme="minorEastAsia" w:eastAsiaTheme="minorEastAsia" w:cstheme="minorEastAsia"/>
                <w:kern w:val="0"/>
                <w:szCs w:val="21"/>
              </w:rPr>
            </w:pPr>
            <w:r>
              <w:rPr>
                <w:rFonts w:hint="eastAsia" w:cs="宋体" w:asciiTheme="minorEastAsia" w:hAnsiTheme="minorEastAsia" w:eastAsiaTheme="minorEastAsia"/>
                <w:kern w:val="0"/>
                <w:szCs w:val="21"/>
              </w:rPr>
              <w:t>参加本</w:t>
            </w:r>
            <w:r>
              <w:rPr>
                <w:rFonts w:hint="eastAsia" w:cs="宋体" w:asciiTheme="minorEastAsia" w:hAnsiTheme="minorEastAsia" w:eastAsiaTheme="minorEastAsia"/>
                <w:kern w:val="0"/>
                <w:szCs w:val="21"/>
                <w:shd w:val="clear" w:color="auto" w:fill="FFFFFF"/>
              </w:rPr>
              <w:t>次政府采购活动前三年内，是否有不良经济纠纷记录和违法行为（供应商提供声明或承诺书，格式自拟）；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cs="宋体" w:asciiTheme="minorEastAsia" w:hAnsiTheme="minorEastAsia" w:eastAsiaTheme="minorEastAsia"/>
                <w:kern w:val="0"/>
                <w:szCs w:val="21"/>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其他要求（一）</w:t>
            </w:r>
          </w:p>
        </w:tc>
        <w:tc>
          <w:tcPr>
            <w:tcW w:w="5563" w:type="dxa"/>
            <w:vAlign w:val="center"/>
          </w:tcPr>
          <w:p>
            <w:pPr>
              <w:autoSpaceDE w:val="0"/>
              <w:autoSpaceDN w:val="0"/>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供应商未有下列任一情形：</w:t>
            </w:r>
          </w:p>
          <w:p>
            <w:pPr>
              <w:autoSpaceDE w:val="0"/>
              <w:autoSpaceDN w:val="0"/>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（1）不同供应商的响应文件由同一单位或者个人编制；</w:t>
            </w:r>
          </w:p>
          <w:p>
            <w:pPr>
              <w:autoSpaceDE w:val="0"/>
              <w:autoSpaceDN w:val="0"/>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（2）不同供应商委托同一单位或者个人办理投标事宜；</w:t>
            </w:r>
          </w:p>
          <w:p>
            <w:pPr>
              <w:autoSpaceDE w:val="0"/>
              <w:autoSpaceDN w:val="0"/>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（3）不同供应商的响应文件载明的项目管理成员或者联系人员为同一人；</w:t>
            </w:r>
          </w:p>
          <w:p>
            <w:pPr>
              <w:autoSpaceDE w:val="0"/>
              <w:autoSpaceDN w:val="0"/>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（4）不同供应商的响应文件异常一致或者投标报价呈规律性差异；</w:t>
            </w:r>
          </w:p>
          <w:p>
            <w:pPr>
              <w:autoSpaceDE w:val="0"/>
              <w:autoSpaceDN w:val="0"/>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cs="宋体" w:asciiTheme="minorEastAsia" w:hAnsiTheme="minorEastAsia" w:eastAsiaTheme="minorEastAsia"/>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26"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72"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kern w:val="0"/>
                <w:szCs w:val="21"/>
              </w:rPr>
              <w:t>类型：</w:t>
            </w:r>
            <w:r>
              <w:rPr>
                <w:rFonts w:hint="eastAsia" w:cs="宋体" w:asciiTheme="minorEastAsia" w:hAnsiTheme="minorEastAsia" w:eastAsiaTheme="minorEastAsia"/>
                <w:color w:val="auto"/>
                <w:kern w:val="0"/>
                <w:szCs w:val="21"/>
                <w:lang w:bidi="ar"/>
              </w:rPr>
              <w:t>批发业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r>
              <w:rPr>
                <w:rFonts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的相关规定在评定时对小型和微型企业产品的价格给予6%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2%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6%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cs="宋体" w:asciiTheme="minorEastAsia" w:hAnsiTheme="minorEastAsia" w:eastAsiaTheme="minorEastAsia"/>
                <w:snapToGrid w:val="0"/>
                <w:kern w:val="0"/>
                <w:szCs w:val="21"/>
                <w:lang w:val="zh-CN"/>
              </w:rPr>
            </w:pPr>
          </w:p>
          <w:p>
            <w:pPr>
              <w:autoSpaceDE w:val="0"/>
              <w:autoSpaceDN w:val="0"/>
              <w:adjustRightInd w:val="0"/>
              <w:jc w:val="center"/>
              <w:rPr>
                <w:rFonts w:asciiTheme="minorEastAsia" w:hAnsiTheme="minorEastAsia" w:eastAsiaTheme="minorEastAsia" w:cstheme="minorEastAsia"/>
                <w:kern w:val="0"/>
                <w:szCs w:val="21"/>
              </w:rPr>
            </w:pPr>
            <w:r>
              <w:rPr>
                <w:rFonts w:hint="eastAsia" w:cs="宋体" w:asciiTheme="minorEastAsia" w:hAnsiTheme="minorEastAsia" w:eastAsiaTheme="minorEastAsia"/>
                <w:snapToGrid w:val="0"/>
                <w:kern w:val="0"/>
                <w:szCs w:val="21"/>
                <w:lang w:val="zh-CN"/>
              </w:rPr>
              <w:t>节能</w:t>
            </w:r>
            <w:r>
              <w:rPr>
                <w:rFonts w:hint="eastAsia" w:cs="宋体" w:asciiTheme="minorEastAsia" w:hAnsiTheme="minorEastAsia" w:eastAsiaTheme="minorEastAsia"/>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bookmarkStart w:id="174" w:name="_Toc28679"/>
      <w:bookmarkStart w:id="175" w:name="_Toc32423"/>
    </w:p>
    <w:p>
      <w:pPr>
        <w:pStyle w:val="2"/>
      </w:pPr>
      <w:r>
        <w:br w:type="page"/>
      </w:r>
    </w:p>
    <w:p>
      <w:pPr>
        <w:spacing w:line="360" w:lineRule="auto"/>
        <w:outlineLvl w:val="1"/>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二、计算办法</w:t>
      </w:r>
      <w:bookmarkEnd w:id="174"/>
      <w:bookmarkEnd w:id="175"/>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pStyle w:val="12"/>
      </w:pPr>
      <w:bookmarkStart w:id="176" w:name="_Toc18578"/>
      <w:bookmarkStart w:id="177" w:name="_Toc29995"/>
    </w:p>
    <w:p>
      <w:pPr>
        <w:pStyle w:val="2"/>
      </w:pPr>
      <w:r>
        <w:br w:type="page"/>
      </w:r>
    </w:p>
    <w:p>
      <w:pPr>
        <w:pStyle w:val="20"/>
        <w:outlineLvl w:val="1"/>
        <w:rPr>
          <w:rStyle w:val="99"/>
          <w:rFonts w:asciiTheme="minorEastAsia" w:hAnsiTheme="minorEastAsia" w:eastAsiaTheme="minorEastAsia"/>
        </w:rPr>
      </w:pPr>
      <w:r>
        <w:rPr>
          <w:rFonts w:hint="eastAsia" w:asciiTheme="minorEastAsia" w:hAnsiTheme="minorEastAsia" w:eastAsiaTheme="minorEastAsia" w:cstheme="minorEastAsia"/>
          <w:b/>
          <w:szCs w:val="21"/>
        </w:rPr>
        <w:t>三、评分细则</w:t>
      </w:r>
      <w:bookmarkEnd w:id="176"/>
      <w:bookmarkEnd w:id="177"/>
    </w:p>
    <w:tbl>
      <w:tblPr>
        <w:tblStyle w:val="26"/>
        <w:tblW w:w="950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687"/>
        <w:gridCol w:w="70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687"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707" w:type="dxa"/>
            <w:tcBorders>
              <w:top w:val="single" w:color="auto" w:sz="12" w:space="0"/>
            </w:tcBorders>
            <w:vAlign w:val="center"/>
          </w:tcPr>
          <w:p>
            <w:pPr>
              <w:spacing w:line="360" w:lineRule="atLeas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竞标报价</w:t>
            </w:r>
            <w:r>
              <w:rPr>
                <w:rFonts w:hint="eastAsia" w:asciiTheme="minorEastAsia" w:hAnsiTheme="minorEastAsia" w:eastAsiaTheme="minorEastAsia" w:cstheme="minorEastAsia"/>
                <w:kern w:val="0"/>
                <w:szCs w:val="21"/>
                <w:lang w:bidi="ar"/>
              </w:rPr>
              <w:br w:type="textWrapping"/>
            </w:r>
            <w:r>
              <w:rPr>
                <w:rFonts w:hint="eastAsia" w:asciiTheme="minorEastAsia" w:hAnsiTheme="minorEastAsia" w:eastAsiaTheme="minorEastAsia" w:cstheme="minorEastAsia"/>
                <w:kern w:val="0"/>
                <w:szCs w:val="21"/>
                <w:lang w:val="en-US" w:eastAsia="zh-CN" w:bidi="ar"/>
              </w:rPr>
              <w:t>5</w:t>
            </w:r>
            <w:r>
              <w:rPr>
                <w:rFonts w:asciiTheme="minorEastAsia" w:hAnsiTheme="minorEastAsia" w:eastAsiaTheme="minorEastAsia" w:cstheme="minorEastAsia"/>
                <w:kern w:val="0"/>
                <w:szCs w:val="21"/>
                <w:lang w:bidi="ar"/>
              </w:rPr>
              <w:t>0</w:t>
            </w:r>
            <w:r>
              <w:rPr>
                <w:rFonts w:hint="eastAsia" w:asciiTheme="minorEastAsia" w:hAnsiTheme="minorEastAsia" w:eastAsiaTheme="minorEastAsia" w:cstheme="minorEastAsia"/>
                <w:kern w:val="0"/>
                <w:szCs w:val="21"/>
                <w:lang w:bidi="ar"/>
              </w:rPr>
              <w:t>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687" w:type="dxa"/>
            <w:vAlign w:val="center"/>
          </w:tcPr>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（1）报价采用低价优先法计算，即满足磋商采购文件要求且报价最低的报价为磋商基准价，其报价分为满分50分；</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（2）其他供应商的报价分按照下列公式计算：</w:t>
            </w:r>
          </w:p>
          <w:p>
            <w:pPr>
              <w:widowControl/>
              <w:spacing w:line="260" w:lineRule="exact"/>
              <w:jc w:val="left"/>
              <w:textAlignment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报价分=（磋商基准价/磋商报价）×50</w:t>
            </w:r>
          </w:p>
          <w:p>
            <w:pPr>
              <w:widowControl/>
              <w:spacing w:line="260" w:lineRule="exact"/>
              <w:jc w:val="left"/>
              <w:textAlignment w:val="center"/>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备注：</w:t>
            </w:r>
            <w:r>
              <w:rPr>
                <w:rFonts w:asciiTheme="minorEastAsia" w:hAnsiTheme="minorEastAsia" w:eastAsiaTheme="minorEastAsia" w:cstheme="minorEastAsia"/>
                <w:b/>
                <w:color w:val="auto"/>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rPr>
            </w:pPr>
            <w:r>
              <w:rPr>
                <w:rFonts w:asciiTheme="minorEastAsia" w:hAnsiTheme="minorEastAsia" w:eastAsiaTheme="minorEastAsia" w:cstheme="minorEastAsia"/>
                <w:b/>
                <w:color w:val="auto"/>
              </w:rPr>
              <w:t>2）符合本磋商文件第四章“政策支持”条件的，在评审时予以价格扣除，用扣除后的价格参与评审。</w:t>
            </w:r>
          </w:p>
        </w:tc>
        <w:tc>
          <w:tcPr>
            <w:tcW w:w="707" w:type="dxa"/>
            <w:vAlign w:val="center"/>
          </w:tcPr>
          <w:p>
            <w:pPr>
              <w:widowControl/>
              <w:spacing w:line="260" w:lineRule="exact"/>
              <w:jc w:val="center"/>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lang w:val="en-US" w:eastAsia="zh-CN" w:bidi="ar"/>
              </w:rPr>
              <w:t>5</w:t>
            </w:r>
            <w:r>
              <w:rPr>
                <w:rFonts w:hint="eastAsia" w:asciiTheme="minorEastAsia" w:hAnsiTheme="minorEastAsia" w:eastAsiaTheme="minorEastAsia" w:cstheme="minorEastAsia"/>
                <w:kern w:val="0"/>
                <w:szCs w:val="21"/>
                <w:lang w:bidi="ar"/>
              </w:rPr>
              <w:t>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0"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商务</w:t>
            </w:r>
          </w:p>
          <w:p>
            <w:pPr>
              <w:jc w:val="center"/>
              <w:rPr>
                <w:rFonts w:asciiTheme="minorEastAsia" w:hAnsiTheme="minorEastAsia" w:eastAsiaTheme="minorEastAsia" w:cstheme="minorEastAsia"/>
                <w:color w:val="auto"/>
                <w:spacing w:val="-6"/>
                <w:szCs w:val="21"/>
              </w:rPr>
            </w:pPr>
            <w:r>
              <w:rPr>
                <w:rFonts w:asciiTheme="minorEastAsia" w:hAnsiTheme="minorEastAsia" w:eastAsiaTheme="minorEastAsia" w:cstheme="minorEastAsia"/>
                <w:color w:val="auto"/>
                <w:spacing w:val="-6"/>
                <w:szCs w:val="21"/>
              </w:rPr>
              <w:t>6</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color w:val="auto"/>
                <w:szCs w:val="21"/>
              </w:rPr>
            </w:pPr>
            <w:r>
              <w:rPr>
                <w:rFonts w:hint="eastAsia" w:cs="宋体" w:asciiTheme="minorEastAsia" w:hAnsiTheme="minorEastAsia" w:eastAsiaTheme="minorEastAsia"/>
                <w:color w:val="auto"/>
                <w:spacing w:val="-6"/>
                <w:kern w:val="0"/>
                <w:szCs w:val="21"/>
              </w:rPr>
              <w:t>类似业绩</w:t>
            </w:r>
          </w:p>
        </w:tc>
        <w:tc>
          <w:tcPr>
            <w:tcW w:w="6687" w:type="dxa"/>
            <w:vAlign w:val="center"/>
          </w:tcPr>
          <w:p>
            <w:pPr>
              <w:rPr>
                <w:color w:val="auto"/>
                <w:szCs w:val="21"/>
              </w:rPr>
            </w:pPr>
            <w:r>
              <w:rPr>
                <w:rFonts w:hint="eastAsia" w:cs="宋体" w:asciiTheme="minorEastAsia" w:hAnsiTheme="minorEastAsia" w:eastAsiaTheme="minorEastAsia"/>
                <w:color w:val="auto"/>
                <w:szCs w:val="21"/>
              </w:rPr>
              <w:t>近三年（磋商截止时间往前推算36个月）具有类似采购业绩的，每个得1分，最多得3分（需提供成交通知书或合同真彩扫描件）</w:t>
            </w:r>
          </w:p>
        </w:tc>
        <w:tc>
          <w:tcPr>
            <w:tcW w:w="707" w:type="dxa"/>
            <w:vAlign w:val="center"/>
          </w:tcPr>
          <w:p>
            <w:pPr>
              <w:autoSpaceDE w:val="0"/>
              <w:autoSpaceDN w:val="0"/>
              <w:adjustRightInd w:val="0"/>
              <w:spacing w:line="300" w:lineRule="auto"/>
              <w:ind w:right="71" w:rightChars="34"/>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kern w:val="0"/>
                <w:szCs w:val="21"/>
                <w:lang w:val="en-US" w:eastAsia="zh-CN"/>
              </w:rPr>
              <w:t>3</w:t>
            </w:r>
            <w:r>
              <w:rPr>
                <w:rFonts w:hint="eastAsia" w:asciiTheme="minorEastAsia" w:hAnsiTheme="minorEastAsia" w:eastAsiaTheme="minorEastAsia" w:cstheme="minorEastAsia"/>
                <w:color w:val="auto"/>
                <w:spacing w:val="-6"/>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90" w:hRule="atLeast"/>
        </w:trPr>
        <w:tc>
          <w:tcPr>
            <w:tcW w:w="736" w:type="dxa"/>
            <w:vMerge w:val="continue"/>
            <w:vAlign w:val="center"/>
          </w:tcPr>
          <w:p>
            <w:pPr>
              <w:rPr>
                <w:rFonts w:asciiTheme="minorEastAsia" w:hAnsiTheme="minorEastAsia" w:eastAsiaTheme="minorEastAsia" w:cstheme="minorEastAsia"/>
                <w:color w:val="auto"/>
                <w:szCs w:val="21"/>
              </w:rPr>
            </w:pPr>
          </w:p>
        </w:tc>
        <w:tc>
          <w:tcPr>
            <w:tcW w:w="1376" w:type="dxa"/>
            <w:vAlign w:val="center"/>
          </w:tcPr>
          <w:p>
            <w:pPr>
              <w:jc w:val="center"/>
              <w:rPr>
                <w:rFonts w:asciiTheme="minorEastAsia" w:hAnsiTheme="minorEastAsia" w:eastAsiaTheme="minorEastAsia" w:cstheme="minorEastAsia"/>
                <w:color w:val="auto"/>
                <w:spacing w:val="-6"/>
                <w:szCs w:val="21"/>
              </w:rPr>
            </w:pPr>
            <w:r>
              <w:rPr>
                <w:rFonts w:hint="eastAsia" w:cs="宋体" w:asciiTheme="minorEastAsia" w:hAnsiTheme="minorEastAsia" w:eastAsiaTheme="minorEastAsia"/>
                <w:color w:val="auto"/>
                <w:szCs w:val="21"/>
                <w:lang w:val="zh-CN"/>
              </w:rPr>
              <w:t>用户反馈</w:t>
            </w:r>
          </w:p>
        </w:tc>
        <w:tc>
          <w:tcPr>
            <w:tcW w:w="6687" w:type="dxa"/>
            <w:vAlign w:val="center"/>
          </w:tcPr>
          <w:p>
            <w:pPr>
              <w:rPr>
                <w:rFonts w:asciiTheme="minorEastAsia" w:hAnsiTheme="minorEastAsia" w:eastAsiaTheme="minorEastAsia" w:cstheme="minorEastAsia"/>
                <w:color w:val="auto"/>
                <w:spacing w:val="-6"/>
                <w:szCs w:val="21"/>
              </w:rPr>
            </w:pPr>
            <w:r>
              <w:rPr>
                <w:rFonts w:hint="eastAsia" w:cs="宋体" w:asciiTheme="minorEastAsia" w:hAnsiTheme="minorEastAsia" w:eastAsiaTheme="minorEastAsia"/>
                <w:color w:val="auto"/>
                <w:szCs w:val="21"/>
              </w:rPr>
              <w:t>供应商</w:t>
            </w:r>
            <w:r>
              <w:rPr>
                <w:rFonts w:hint="eastAsia" w:cs="宋体" w:asciiTheme="minorEastAsia" w:hAnsiTheme="minorEastAsia" w:eastAsiaTheme="minorEastAsia"/>
                <w:color w:val="auto"/>
                <w:szCs w:val="21"/>
                <w:lang w:val="zh-CN"/>
              </w:rPr>
              <w:t>提供近三年（磋商截止时间往前推算36个月）用户出具的满意评价证明</w:t>
            </w:r>
            <w:r>
              <w:rPr>
                <w:rFonts w:hint="eastAsia" w:cs="宋体" w:asciiTheme="minorEastAsia" w:hAnsiTheme="minorEastAsia" w:eastAsiaTheme="minorEastAsia"/>
                <w:color w:val="auto"/>
                <w:szCs w:val="21"/>
              </w:rPr>
              <w:t>每个得1分，最多得3分</w:t>
            </w:r>
            <w:r>
              <w:rPr>
                <w:rFonts w:hint="eastAsia" w:cs="宋体" w:asciiTheme="minorEastAsia" w:hAnsiTheme="minorEastAsia" w:eastAsiaTheme="minorEastAsia"/>
                <w:color w:val="auto"/>
                <w:szCs w:val="21"/>
                <w:lang w:val="zh-CN"/>
              </w:rPr>
              <w:t>（盖用户单位公章）</w:t>
            </w:r>
          </w:p>
        </w:tc>
        <w:tc>
          <w:tcPr>
            <w:tcW w:w="707" w:type="dxa"/>
            <w:vAlign w:val="center"/>
          </w:tcPr>
          <w:p>
            <w:pPr>
              <w:autoSpaceDE w:val="0"/>
              <w:autoSpaceDN w:val="0"/>
              <w:adjustRightInd w:val="0"/>
              <w:spacing w:line="300" w:lineRule="auto"/>
              <w:ind w:right="71" w:rightChars="34"/>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pacing w:val="-6"/>
                <w:kern w:val="0"/>
                <w:szCs w:val="21"/>
                <w:lang w:val="en-US" w:eastAsia="zh-CN"/>
              </w:rPr>
              <w:t>3</w:t>
            </w:r>
            <w:r>
              <w:rPr>
                <w:rFonts w:hint="eastAsia" w:asciiTheme="minorEastAsia" w:hAnsiTheme="minorEastAsia" w:eastAsiaTheme="minorEastAsia" w:cstheme="minorEastAsia"/>
                <w:color w:val="auto"/>
                <w:spacing w:val="-6"/>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3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技术服务</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lang w:val="en-US" w:eastAsia="zh-CN"/>
              </w:rPr>
              <w:t>4</w:t>
            </w:r>
            <w:r>
              <w:rPr>
                <w:rFonts w:asciiTheme="minorEastAsia" w:hAnsiTheme="minorEastAsia" w:eastAsiaTheme="minorEastAsia" w:cstheme="minorEastAsia"/>
                <w:color w:val="auto"/>
                <w:spacing w:val="-6"/>
                <w:szCs w:val="21"/>
              </w:rPr>
              <w:t>4</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eastAsiaTheme="minorEastAsia" w:cstheme="minorEastAsia"/>
                <w:spacing w:val="-6"/>
                <w:szCs w:val="21"/>
              </w:rPr>
            </w:pPr>
            <w:r>
              <w:rPr>
                <w:rFonts w:hint="eastAsia" w:cs="宋体" w:asciiTheme="minorEastAsia" w:hAnsiTheme="minorEastAsia" w:eastAsiaTheme="minorEastAsia"/>
                <w:color w:val="000000" w:themeColor="text1"/>
                <w:szCs w:val="21"/>
                <w14:textFill>
                  <w14:solidFill>
                    <w14:schemeClr w14:val="tx1"/>
                  </w14:solidFill>
                </w14:textFill>
              </w:rPr>
              <w:t>设备技术响应</w:t>
            </w:r>
          </w:p>
        </w:tc>
        <w:tc>
          <w:tcPr>
            <w:tcW w:w="6687"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具体由磋商小组根据供应商的响应文件中产品情况、《技术响应、偏离说明表》等有关资料打分。其中：完全满足招标技术参数要求的得</w:t>
            </w:r>
            <w:r>
              <w:rPr>
                <w:rFonts w:hint="eastAsia" w:cs="宋体" w:asciiTheme="minorEastAsia" w:hAnsiTheme="minorEastAsia" w:eastAsiaTheme="minorEastAsia"/>
                <w:color w:val="auto"/>
                <w:szCs w:val="21"/>
                <w:lang w:val="en-US" w:eastAsia="zh-CN"/>
              </w:rPr>
              <w:t>30</w:t>
            </w:r>
            <w:r>
              <w:rPr>
                <w:rFonts w:hint="eastAsia" w:cs="宋体" w:asciiTheme="minorEastAsia" w:hAnsiTheme="minorEastAsia" w:eastAsiaTheme="minorEastAsia"/>
                <w:color w:val="auto"/>
                <w:szCs w:val="21"/>
              </w:rPr>
              <w:t>分；在此基础上，标注 ※</w:t>
            </w:r>
            <w:r>
              <w:rPr>
                <w:rFonts w:hint="eastAsia" w:ascii="宋体" w:hAnsi="宋体" w:cs="宋体"/>
                <w:color w:val="auto"/>
                <w:sz w:val="21"/>
                <w:szCs w:val="21"/>
                <w:lang w:eastAsia="zh-CN"/>
              </w:rPr>
              <w:t>号</w:t>
            </w:r>
            <w:r>
              <w:rPr>
                <w:rFonts w:hint="eastAsia" w:cs="宋体" w:asciiTheme="minorEastAsia" w:hAnsiTheme="minorEastAsia" w:eastAsiaTheme="minorEastAsia"/>
                <w:color w:val="auto"/>
                <w:szCs w:val="21"/>
              </w:rPr>
              <w:t>的内容为</w:t>
            </w:r>
            <w:r>
              <w:rPr>
                <w:rFonts w:hint="eastAsia" w:cs="宋体" w:asciiTheme="minorEastAsia" w:hAnsiTheme="minorEastAsia" w:eastAsiaTheme="minorEastAsia"/>
                <w:color w:val="auto"/>
                <w:szCs w:val="21"/>
                <w:lang w:val="en-US" w:eastAsia="zh-CN"/>
              </w:rPr>
              <w:t>重要技术指标</w:t>
            </w:r>
            <w:r>
              <w:rPr>
                <w:rFonts w:hint="eastAsia" w:cs="宋体" w:asciiTheme="minorEastAsia" w:hAnsiTheme="minorEastAsia" w:eastAsiaTheme="minorEastAsia"/>
                <w:color w:val="auto"/>
                <w:szCs w:val="21"/>
              </w:rPr>
              <w:t>，一项不满足扣</w:t>
            </w:r>
            <w:r>
              <w:rPr>
                <w:rFonts w:hint="eastAsia" w:cs="宋体" w:asciiTheme="minorEastAsia" w:hAnsiTheme="minorEastAsia" w:eastAsiaTheme="minorEastAsia"/>
                <w:color w:val="auto"/>
                <w:szCs w:val="21"/>
                <w:lang w:val="en-US" w:eastAsia="zh-CN"/>
              </w:rPr>
              <w:t>5</w:t>
            </w:r>
            <w:r>
              <w:rPr>
                <w:rFonts w:hint="eastAsia" w:cs="宋体" w:asciiTheme="minorEastAsia" w:hAnsiTheme="minorEastAsia" w:eastAsiaTheme="minorEastAsia"/>
                <w:color w:val="auto"/>
                <w:szCs w:val="21"/>
              </w:rPr>
              <w:t>分；未标注※</w:t>
            </w:r>
            <w:r>
              <w:rPr>
                <w:rFonts w:hint="eastAsia" w:ascii="宋体" w:hAnsi="宋体" w:cs="宋体"/>
                <w:color w:val="auto"/>
                <w:sz w:val="21"/>
                <w:szCs w:val="21"/>
                <w:lang w:eastAsia="zh-CN"/>
              </w:rPr>
              <w:t>号</w:t>
            </w:r>
            <w:r>
              <w:rPr>
                <w:rFonts w:hint="eastAsia" w:cs="宋体" w:asciiTheme="minorEastAsia" w:hAnsiTheme="minorEastAsia" w:eastAsiaTheme="minorEastAsia"/>
                <w:color w:val="auto"/>
                <w:szCs w:val="21"/>
              </w:rPr>
              <w:t>的内容有一项不符合的则每项扣</w:t>
            </w:r>
            <w:r>
              <w:rPr>
                <w:rFonts w:hint="eastAsia" w:cs="宋体" w:asciiTheme="minorEastAsia" w:hAnsiTheme="minorEastAsia" w:eastAsiaTheme="minorEastAsia"/>
                <w:color w:val="auto"/>
                <w:szCs w:val="21"/>
                <w:lang w:val="en-US" w:eastAsia="zh-CN"/>
              </w:rPr>
              <w:t>2</w:t>
            </w:r>
            <w:r>
              <w:rPr>
                <w:rFonts w:hint="eastAsia" w:cs="宋体" w:asciiTheme="minorEastAsia" w:hAnsiTheme="minorEastAsia" w:eastAsiaTheme="minorEastAsia"/>
                <w:color w:val="auto"/>
                <w:szCs w:val="21"/>
              </w:rPr>
              <w:t>分；扣完为止。</w:t>
            </w:r>
          </w:p>
          <w:p>
            <w:pPr>
              <w:keepNext w:val="0"/>
              <w:keepLines w:val="0"/>
              <w:pageBreakBefore w:val="0"/>
              <w:widowControl w:val="0"/>
              <w:kinsoku/>
              <w:wordWrap/>
              <w:overflowPunct/>
              <w:topLinePunct w:val="0"/>
              <w:autoSpaceDE/>
              <w:autoSpaceDN/>
              <w:bidi w:val="0"/>
              <w:adjustRightInd/>
              <w:snapToGrid/>
              <w:textAlignment w:val="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w:t>
            </w:r>
            <w:r>
              <w:rPr>
                <w:rFonts w:hint="eastAsia" w:cs="宋体" w:asciiTheme="minorEastAsia" w:hAnsiTheme="minorEastAsia" w:eastAsiaTheme="minorEastAsia"/>
                <w:color w:val="auto"/>
                <w:szCs w:val="21"/>
                <w:lang w:eastAsia="zh-CN"/>
              </w:rPr>
              <w:t>注：</w:t>
            </w:r>
            <w:r>
              <w:rPr>
                <w:rFonts w:hint="eastAsia" w:cs="宋体" w:asciiTheme="minorEastAsia" w:hAnsiTheme="minorEastAsia" w:eastAsiaTheme="minorEastAsia"/>
                <w:color w:val="auto"/>
                <w:szCs w:val="21"/>
              </w:rPr>
              <w:t>以制造商出具的技术说明书或产品制造商公开发布的产品彩页、产品标准、使用说明书、有资质的第三方出具的检验报告或证明等技术指标和参数证明或支持文件为准，如第三章采购需求中明确要求提供</w:t>
            </w:r>
            <w:r>
              <w:rPr>
                <w:rFonts w:hint="eastAsia" w:cs="宋体" w:asciiTheme="minorEastAsia" w:hAnsiTheme="minorEastAsia" w:eastAsiaTheme="minorEastAsia"/>
                <w:color w:val="auto"/>
                <w:szCs w:val="21"/>
                <w:lang w:eastAsia="zh-CN"/>
              </w:rPr>
              <w:t>相关</w:t>
            </w:r>
            <w:r>
              <w:rPr>
                <w:rFonts w:hint="eastAsia" w:cs="宋体" w:asciiTheme="minorEastAsia" w:hAnsiTheme="minorEastAsia" w:eastAsiaTheme="minorEastAsia"/>
                <w:color w:val="auto"/>
                <w:szCs w:val="21"/>
              </w:rPr>
              <w:t>证明材料的，以第三章采购需求中的要求为准，供应商应须在响应文件中给出明确的证明材料索引。完全复制粘贴磋商文件技术要求的将可能按负偏离处理。</w:t>
            </w:r>
            <w:r>
              <w:rPr>
                <w:rFonts w:hint="eastAsia" w:cs="宋体" w:asciiTheme="minorEastAsia" w:hAnsiTheme="minorEastAsia" w:eastAsiaTheme="minorEastAsia"/>
                <w:color w:val="auto"/>
                <w:szCs w:val="21"/>
                <w:lang w:eastAsia="zh-CN"/>
              </w:rPr>
              <w:t>）</w:t>
            </w:r>
          </w:p>
        </w:tc>
        <w:tc>
          <w:tcPr>
            <w:tcW w:w="707" w:type="dxa"/>
            <w:vAlign w:val="center"/>
          </w:tcPr>
          <w:p>
            <w:pPr>
              <w:ind w:left="-4" w:leftChars="-2" w:firstLine="1" w:firstLineChars="1"/>
              <w:jc w:val="center"/>
              <w:rPr>
                <w:rFonts w:asciiTheme="minorEastAsia" w:hAnsiTheme="minorEastAsia" w:eastAsiaTheme="minorEastAsia" w:cstheme="minorEastAsia"/>
                <w:spacing w:val="-6"/>
                <w:szCs w:val="21"/>
              </w:rPr>
            </w:pPr>
            <w:r>
              <w:rPr>
                <w:rFonts w:asciiTheme="minorEastAsia" w:hAnsiTheme="minorEastAsia" w:eastAsiaTheme="minorEastAsia" w:cstheme="minorEastAsia"/>
                <w:spacing w:val="-6"/>
                <w:szCs w:val="21"/>
              </w:rPr>
              <w:t>30</w:t>
            </w:r>
            <w:r>
              <w:rPr>
                <w:rFonts w:hint="eastAsia" w:asciiTheme="minorEastAsia" w:hAnsiTheme="minorEastAsia" w:eastAsiaTheme="minorEastAsia" w:cstheme="minorEastAsia"/>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37" w:hRule="atLeast"/>
        </w:trPr>
        <w:tc>
          <w:tcPr>
            <w:tcW w:w="736" w:type="dxa"/>
            <w:vMerge w:val="continue"/>
            <w:vAlign w:val="center"/>
          </w:tcPr>
          <w:p>
            <w:pPr>
              <w:jc w:val="center"/>
              <w:rPr>
                <w:rFonts w:hint="eastAsia" w:asciiTheme="minorEastAsia" w:hAnsiTheme="minorEastAsia" w:eastAsiaTheme="minorEastAsia" w:cstheme="minorEastAsia"/>
                <w:color w:val="auto"/>
                <w:spacing w:val="-6"/>
                <w:szCs w:val="21"/>
                <w:lang w:val="en-US" w:eastAsia="zh-CN"/>
              </w:rPr>
            </w:pPr>
          </w:p>
        </w:tc>
        <w:tc>
          <w:tcPr>
            <w:tcW w:w="1376" w:type="dxa"/>
            <w:vAlign w:val="center"/>
          </w:tcPr>
          <w:p>
            <w:pPr>
              <w:pStyle w:val="10"/>
              <w:spacing w:line="400" w:lineRule="exact"/>
              <w:jc w:val="center"/>
              <w:rPr>
                <w:rFonts w:hint="eastAsia" w:asciiTheme="minorEastAsia" w:hAnsiTheme="minorEastAsia" w:eastAsiaTheme="minorEastAsia" w:cstheme="minorEastAsia"/>
                <w:spacing w:val="-6"/>
                <w:kern w:val="0"/>
                <w:sz w:val="21"/>
                <w:szCs w:val="21"/>
                <w:lang w:val="en-US" w:eastAsia="zh-CN" w:bidi="ar-SA"/>
              </w:rPr>
            </w:pPr>
            <w:r>
              <w:rPr>
                <w:rFonts w:hint="eastAsia"/>
                <w:kern w:val="0"/>
                <w:lang w:eastAsia="zh-CN"/>
              </w:rPr>
              <w:t>供货</w:t>
            </w:r>
            <w:r>
              <w:rPr>
                <w:rFonts w:hint="eastAsia"/>
                <w:kern w:val="0"/>
              </w:rPr>
              <w:t>安装方案</w:t>
            </w:r>
          </w:p>
        </w:tc>
        <w:tc>
          <w:tcPr>
            <w:tcW w:w="6687" w:type="dxa"/>
            <w:vAlign w:val="top"/>
          </w:tcPr>
          <w:p>
            <w:pPr>
              <w:pStyle w:val="10"/>
              <w:spacing w:line="240" w:lineRule="auto"/>
              <w:rPr>
                <w:rFonts w:hint="eastAsia" w:cs="Times New Roman"/>
                <w:kern w:val="0"/>
                <w:lang w:eastAsia="zh-CN"/>
              </w:rPr>
            </w:pPr>
            <w:r>
              <w:rPr>
                <w:rFonts w:hint="eastAsia" w:ascii="宋体" w:hAnsi="宋体" w:cs="宋体"/>
                <w:color w:val="000000" w:themeColor="text1"/>
                <w:sz w:val="21"/>
                <w:szCs w:val="21"/>
                <w:highlight w:val="none"/>
                <w:lang w:val="en-US" w:eastAsia="zh-CN"/>
                <w14:textFill>
                  <w14:solidFill>
                    <w14:schemeClr w14:val="tx1"/>
                  </w14:solidFill>
                </w14:textFill>
              </w:rPr>
              <w:t>根据供应商</w:t>
            </w:r>
            <w:r>
              <w:rPr>
                <w:rFonts w:hint="eastAsia" w:ascii="宋体" w:hAnsi="宋体" w:eastAsia="宋体" w:cs="宋体"/>
                <w:color w:val="000000" w:themeColor="text1"/>
                <w:sz w:val="21"/>
                <w:szCs w:val="21"/>
                <w:highlight w:val="none"/>
                <w14:textFill>
                  <w14:solidFill>
                    <w14:schemeClr w14:val="tx1"/>
                  </w14:solidFill>
                </w14:textFill>
              </w:rPr>
              <w:t>提供</w:t>
            </w:r>
            <w:r>
              <w:rPr>
                <w:rFonts w:hint="eastAsia" w:ascii="宋体" w:hAnsi="宋体" w:cs="宋体"/>
                <w:color w:val="000000" w:themeColor="text1"/>
                <w:sz w:val="21"/>
                <w:szCs w:val="21"/>
                <w:highlight w:val="none"/>
                <w:lang w:val="en-US" w:eastAsia="zh-CN"/>
                <w14:textFill>
                  <w14:solidFill>
                    <w14:schemeClr w14:val="tx1"/>
                  </w14:solidFill>
                </w14:textFill>
              </w:rPr>
              <w:t>本项目的供货</w:t>
            </w:r>
            <w:r>
              <w:rPr>
                <w:rFonts w:hint="eastAsia" w:cs="宋体" w:asciiTheme="minorEastAsia" w:hAnsiTheme="minorEastAsia" w:eastAsiaTheme="minorEastAsia"/>
                <w:szCs w:val="21"/>
                <w:lang w:val="en-US" w:eastAsia="zh-CN"/>
              </w:rPr>
              <w:t>安装</w:t>
            </w:r>
            <w:r>
              <w:rPr>
                <w:rFonts w:hint="eastAsia" w:eastAsia="宋体" w:cs="Times New Roman"/>
                <w:kern w:val="0"/>
              </w:rPr>
              <w:t>方案</w:t>
            </w:r>
            <w:r>
              <w:rPr>
                <w:rFonts w:hint="eastAsia" w:cs="Times New Roman"/>
                <w:kern w:val="0"/>
                <w:lang w:eastAsia="zh-CN"/>
              </w:rPr>
              <w:t>进行评分：</w:t>
            </w:r>
          </w:p>
          <w:p>
            <w:pPr>
              <w:pStyle w:val="10"/>
              <w:spacing w:line="240" w:lineRule="auto"/>
              <w:rPr>
                <w:rFonts w:hint="eastAsia" w:eastAsia="宋体" w:cs="Times New Roman"/>
                <w:kern w:val="0"/>
              </w:rPr>
            </w:pPr>
            <w:r>
              <w:rPr>
                <w:rFonts w:hint="eastAsia" w:eastAsia="宋体" w:cs="Times New Roman"/>
                <w:kern w:val="0"/>
              </w:rPr>
              <w:t>方案全面详细、科学合理、可行，针对安装过程中关键点、难点描述详细且有保障的，</w:t>
            </w:r>
            <w:r>
              <w:rPr>
                <w:rFonts w:hint="eastAsia" w:eastAsia="宋体" w:cs="Times New Roman"/>
                <w:color w:val="auto"/>
                <w:kern w:val="0"/>
              </w:rPr>
              <w:t>得</w:t>
            </w:r>
            <w:r>
              <w:rPr>
                <w:rFonts w:hint="eastAsia" w:cs="Times New Roman"/>
                <w:color w:val="auto"/>
                <w:kern w:val="0"/>
                <w:lang w:val="en-US" w:eastAsia="zh-CN"/>
              </w:rPr>
              <w:t>5</w:t>
            </w:r>
            <w:r>
              <w:rPr>
                <w:rFonts w:hint="eastAsia" w:eastAsia="宋体" w:cs="Times New Roman"/>
                <w:color w:val="auto"/>
                <w:kern w:val="0"/>
              </w:rPr>
              <w:t>分</w:t>
            </w:r>
            <w:r>
              <w:rPr>
                <w:rFonts w:hint="eastAsia" w:eastAsia="宋体" w:cs="Times New Roman"/>
                <w:kern w:val="0"/>
              </w:rPr>
              <w:t>；</w:t>
            </w:r>
          </w:p>
          <w:p>
            <w:pPr>
              <w:pStyle w:val="10"/>
              <w:spacing w:line="240" w:lineRule="auto"/>
              <w:rPr>
                <w:rFonts w:hint="eastAsia" w:eastAsia="宋体" w:cs="Times New Roman"/>
                <w:kern w:val="0"/>
              </w:rPr>
            </w:pPr>
            <w:r>
              <w:rPr>
                <w:rFonts w:hint="eastAsia" w:eastAsia="宋体" w:cs="Times New Roman"/>
                <w:kern w:val="0"/>
              </w:rPr>
              <w:t>方案全面详细、合理、可行，针对安装过程中关键点、难点描述详细且有保障的，</w:t>
            </w:r>
            <w:r>
              <w:rPr>
                <w:rFonts w:hint="eastAsia" w:eastAsia="宋体" w:cs="Times New Roman"/>
                <w:color w:val="auto"/>
                <w:kern w:val="0"/>
              </w:rPr>
              <w:t>得</w:t>
            </w:r>
            <w:r>
              <w:rPr>
                <w:rFonts w:hint="eastAsia" w:cs="Times New Roman"/>
                <w:color w:val="auto"/>
                <w:kern w:val="0"/>
                <w:lang w:val="en-US" w:eastAsia="zh-CN"/>
              </w:rPr>
              <w:t>3</w:t>
            </w:r>
            <w:r>
              <w:rPr>
                <w:rFonts w:hint="eastAsia" w:eastAsia="宋体" w:cs="Times New Roman"/>
                <w:color w:val="auto"/>
                <w:kern w:val="0"/>
              </w:rPr>
              <w:t>分</w:t>
            </w:r>
            <w:r>
              <w:rPr>
                <w:rFonts w:hint="eastAsia" w:eastAsia="宋体" w:cs="Times New Roman"/>
                <w:kern w:val="0"/>
              </w:rPr>
              <w:t>；</w:t>
            </w:r>
          </w:p>
          <w:p>
            <w:pPr>
              <w:pStyle w:val="10"/>
              <w:spacing w:line="240" w:lineRule="auto"/>
              <w:rPr>
                <w:rFonts w:hint="eastAsia" w:eastAsia="宋体" w:cs="Times New Roman"/>
                <w:color w:val="auto"/>
                <w:kern w:val="0"/>
              </w:rPr>
            </w:pPr>
            <w:r>
              <w:rPr>
                <w:rFonts w:hint="eastAsia" w:eastAsia="宋体" w:cs="Times New Roman"/>
                <w:kern w:val="0"/>
              </w:rPr>
              <w:t>方案基本详细、可行，针对安装过程中关键点、难点描述基本详细且有保障的，</w:t>
            </w:r>
            <w:r>
              <w:rPr>
                <w:rFonts w:hint="eastAsia" w:eastAsia="宋体" w:cs="Times New Roman"/>
                <w:color w:val="auto"/>
                <w:kern w:val="0"/>
              </w:rPr>
              <w:t>得</w:t>
            </w:r>
            <w:r>
              <w:rPr>
                <w:rFonts w:hint="eastAsia" w:cs="Times New Roman"/>
                <w:color w:val="auto"/>
                <w:kern w:val="0"/>
                <w:lang w:val="en-US" w:eastAsia="zh-CN"/>
              </w:rPr>
              <w:t>1</w:t>
            </w:r>
            <w:r>
              <w:rPr>
                <w:rFonts w:hint="eastAsia" w:eastAsia="宋体" w:cs="Times New Roman"/>
                <w:color w:val="auto"/>
                <w:kern w:val="0"/>
              </w:rPr>
              <w:t>分；</w:t>
            </w:r>
          </w:p>
          <w:p>
            <w:pPr>
              <w:pStyle w:val="10"/>
              <w:spacing w:line="240" w:lineRule="auto"/>
              <w:rPr>
                <w:rFonts w:hint="eastAsia" w:ascii="Tahoma" w:hAnsi="Tahoma" w:eastAsia="宋体" w:cs="Times New Roman"/>
                <w:kern w:val="0"/>
                <w:sz w:val="21"/>
                <w:szCs w:val="24"/>
                <w:lang w:val="en-US" w:eastAsia="zh-CN" w:bidi="ar-SA"/>
              </w:rPr>
            </w:pPr>
            <w:r>
              <w:rPr>
                <w:rFonts w:hint="eastAsia" w:eastAsia="宋体" w:cs="Times New Roman"/>
                <w:kern w:val="0"/>
              </w:rPr>
              <w:t>未提供、不可行的，的0分。</w:t>
            </w:r>
          </w:p>
        </w:tc>
        <w:tc>
          <w:tcPr>
            <w:tcW w:w="707" w:type="dxa"/>
            <w:vAlign w:val="center"/>
          </w:tcPr>
          <w:p>
            <w:pPr>
              <w:widowControl/>
              <w:jc w:val="center"/>
              <w:rPr>
                <w:rFonts w:asciiTheme="minorEastAsia" w:hAnsiTheme="minorEastAsia" w:eastAsiaTheme="minorEastAsia" w:cstheme="minorEastAsia"/>
                <w:spacing w:val="-6"/>
                <w:kern w:val="0"/>
                <w:sz w:val="21"/>
                <w:szCs w:val="21"/>
                <w:lang w:val="en-US" w:eastAsia="zh-CN" w:bidi="ar-SA"/>
              </w:rPr>
            </w:pP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37" w:hRule="atLeast"/>
        </w:trPr>
        <w:tc>
          <w:tcPr>
            <w:tcW w:w="736" w:type="dxa"/>
            <w:vMerge w:val="continue"/>
            <w:vAlign w:val="center"/>
          </w:tcPr>
          <w:p>
            <w:pPr>
              <w:jc w:val="center"/>
              <w:rPr>
                <w:rFonts w:hint="eastAsia" w:asciiTheme="minorEastAsia" w:hAnsiTheme="minorEastAsia" w:eastAsiaTheme="minorEastAsia" w:cstheme="minorEastAsia"/>
                <w:color w:val="auto"/>
                <w:spacing w:val="-6"/>
                <w:szCs w:val="21"/>
                <w:lang w:val="en-US" w:eastAsia="zh-CN"/>
              </w:rPr>
            </w:pPr>
          </w:p>
        </w:tc>
        <w:tc>
          <w:tcPr>
            <w:tcW w:w="1376" w:type="dxa"/>
            <w:vAlign w:val="center"/>
          </w:tcPr>
          <w:p>
            <w:pPr>
              <w:ind w:left="-4" w:leftChars="-2" w:firstLine="2" w:firstLineChars="1"/>
              <w:jc w:val="center"/>
              <w:rPr>
                <w:rFonts w:hint="eastAsia" w:asciiTheme="minorEastAsia" w:hAnsiTheme="minorEastAsia" w:eastAsiaTheme="minorEastAsia" w:cstheme="minorEastAsia"/>
                <w:spacing w:val="-6"/>
                <w:kern w:val="2"/>
                <w:sz w:val="21"/>
                <w:szCs w:val="21"/>
                <w:lang w:val="en-US" w:eastAsia="zh-CN" w:bidi="ar-SA"/>
              </w:rPr>
            </w:pPr>
            <w:r>
              <w:rPr>
                <w:rFonts w:hint="eastAsia" w:cs="宋体" w:asciiTheme="minorEastAsia" w:hAnsiTheme="minorEastAsia" w:eastAsiaTheme="minorEastAsia"/>
                <w:szCs w:val="21"/>
                <w:lang w:val="en-US" w:eastAsia="zh-CN"/>
              </w:rPr>
              <w:t>验收、</w:t>
            </w:r>
            <w:r>
              <w:rPr>
                <w:rFonts w:hint="eastAsia" w:cs="宋体" w:asciiTheme="minorEastAsia" w:hAnsiTheme="minorEastAsia" w:eastAsiaTheme="minorEastAsia"/>
                <w:szCs w:val="21"/>
              </w:rPr>
              <w:t>技术培训</w:t>
            </w:r>
          </w:p>
        </w:tc>
        <w:tc>
          <w:tcPr>
            <w:tcW w:w="6687" w:type="dxa"/>
            <w:vAlign w:val="center"/>
          </w:tcPr>
          <w:p>
            <w:pPr>
              <w:pStyle w:val="10"/>
              <w:spacing w:line="240" w:lineRule="auto"/>
              <w:rPr>
                <w:rFonts w:hint="eastAsia" w:cs="Times New Roman"/>
                <w:kern w:val="0"/>
                <w:lang w:eastAsia="zh-CN"/>
              </w:rPr>
            </w:pPr>
            <w:r>
              <w:rPr>
                <w:rFonts w:hint="eastAsia" w:ascii="宋体" w:hAnsi="宋体" w:cs="宋体"/>
                <w:color w:val="000000" w:themeColor="text1"/>
                <w:sz w:val="21"/>
                <w:szCs w:val="21"/>
                <w:highlight w:val="none"/>
                <w:lang w:val="en-US" w:eastAsia="zh-CN"/>
                <w14:textFill>
                  <w14:solidFill>
                    <w14:schemeClr w14:val="tx1"/>
                  </w14:solidFill>
                </w14:textFill>
              </w:rPr>
              <w:t>根据供应商</w:t>
            </w:r>
            <w:r>
              <w:rPr>
                <w:rFonts w:hint="eastAsia" w:ascii="宋体" w:hAnsi="宋体" w:eastAsia="宋体" w:cs="宋体"/>
                <w:color w:val="000000" w:themeColor="text1"/>
                <w:sz w:val="21"/>
                <w:szCs w:val="21"/>
                <w:highlight w:val="none"/>
                <w14:textFill>
                  <w14:solidFill>
                    <w14:schemeClr w14:val="tx1"/>
                  </w14:solidFill>
                </w14:textFill>
              </w:rPr>
              <w:t>提供</w:t>
            </w:r>
            <w:r>
              <w:rPr>
                <w:rFonts w:hint="eastAsia" w:ascii="宋体" w:hAnsi="宋体" w:cs="宋体"/>
                <w:color w:val="000000" w:themeColor="text1"/>
                <w:sz w:val="21"/>
                <w:szCs w:val="21"/>
                <w:highlight w:val="none"/>
                <w:lang w:val="en-US" w:eastAsia="zh-CN"/>
                <w14:textFill>
                  <w14:solidFill>
                    <w14:schemeClr w14:val="tx1"/>
                  </w14:solidFill>
                </w14:textFill>
              </w:rPr>
              <w:t>的项目</w:t>
            </w:r>
            <w:r>
              <w:rPr>
                <w:rFonts w:hint="eastAsia" w:cs="宋体" w:asciiTheme="minorEastAsia" w:hAnsiTheme="minorEastAsia" w:eastAsiaTheme="minorEastAsia"/>
                <w:szCs w:val="21"/>
                <w:lang w:val="en-US" w:eastAsia="zh-CN"/>
              </w:rPr>
              <w:t>验收、</w:t>
            </w:r>
            <w:r>
              <w:rPr>
                <w:rFonts w:hint="eastAsia" w:cs="宋体" w:asciiTheme="minorEastAsia" w:hAnsiTheme="minorEastAsia" w:eastAsiaTheme="minorEastAsia"/>
                <w:szCs w:val="21"/>
              </w:rPr>
              <w:t>技术培训</w:t>
            </w:r>
            <w:r>
              <w:rPr>
                <w:rFonts w:hint="eastAsia" w:eastAsia="宋体" w:cs="Times New Roman"/>
                <w:kern w:val="0"/>
              </w:rPr>
              <w:t>方案</w:t>
            </w:r>
            <w:r>
              <w:rPr>
                <w:rFonts w:hint="eastAsia" w:cs="Times New Roman"/>
                <w:kern w:val="0"/>
                <w:lang w:eastAsia="zh-CN"/>
              </w:rPr>
              <w:t>进行评分：</w:t>
            </w:r>
          </w:p>
          <w:p>
            <w:pPr>
              <w:pStyle w:val="10"/>
              <w:spacing w:line="240" w:lineRule="auto"/>
              <w:rPr>
                <w:rFonts w:hint="eastAsia" w:eastAsia="宋体" w:cs="Times New Roman"/>
                <w:kern w:val="0"/>
              </w:rPr>
            </w:pPr>
            <w:r>
              <w:rPr>
                <w:rFonts w:hint="eastAsia" w:cs="Times New Roman"/>
                <w:kern w:val="0"/>
                <w:lang w:eastAsia="zh-CN"/>
              </w:rPr>
              <w:t>方案</w:t>
            </w:r>
            <w:r>
              <w:rPr>
                <w:rFonts w:hint="eastAsia" w:eastAsia="宋体" w:cs="Times New Roman"/>
                <w:kern w:val="0"/>
              </w:rPr>
              <w:t>切实可行，内容完备，合理、针对性强的，</w:t>
            </w:r>
            <w:r>
              <w:rPr>
                <w:rFonts w:hint="eastAsia" w:eastAsia="宋体" w:cs="Times New Roman"/>
                <w:color w:val="auto"/>
                <w:kern w:val="0"/>
              </w:rPr>
              <w:t>得</w:t>
            </w:r>
            <w:r>
              <w:rPr>
                <w:rFonts w:hint="eastAsia" w:cs="Times New Roman"/>
                <w:color w:val="auto"/>
                <w:kern w:val="0"/>
                <w:lang w:val="en-US" w:eastAsia="zh-CN"/>
              </w:rPr>
              <w:t>4</w:t>
            </w:r>
            <w:r>
              <w:rPr>
                <w:rFonts w:hint="eastAsia" w:eastAsia="宋体" w:cs="Times New Roman"/>
                <w:color w:val="auto"/>
                <w:kern w:val="0"/>
              </w:rPr>
              <w:t>分</w:t>
            </w:r>
            <w:r>
              <w:rPr>
                <w:rFonts w:hint="eastAsia" w:eastAsia="宋体" w:cs="Times New Roman"/>
                <w:kern w:val="0"/>
              </w:rPr>
              <w:t>；</w:t>
            </w:r>
          </w:p>
          <w:p>
            <w:pPr>
              <w:pStyle w:val="10"/>
              <w:spacing w:line="240" w:lineRule="auto"/>
              <w:rPr>
                <w:rFonts w:hint="eastAsia" w:eastAsia="宋体" w:cs="Times New Roman"/>
                <w:kern w:val="0"/>
              </w:rPr>
            </w:pPr>
            <w:r>
              <w:rPr>
                <w:rFonts w:hint="eastAsia" w:eastAsia="宋体" w:cs="Times New Roman"/>
                <w:kern w:val="0"/>
              </w:rPr>
              <w:t>方案可行，内容完备，合理、</w:t>
            </w:r>
            <w:r>
              <w:rPr>
                <w:rFonts w:hint="eastAsia" w:cs="Times New Roman"/>
                <w:kern w:val="0"/>
                <w:lang w:eastAsia="zh-CN"/>
              </w:rPr>
              <w:t>有</w:t>
            </w:r>
            <w:r>
              <w:rPr>
                <w:rFonts w:hint="eastAsia" w:eastAsia="宋体" w:cs="Times New Roman"/>
                <w:kern w:val="0"/>
              </w:rPr>
              <w:t>针对性的，</w:t>
            </w:r>
            <w:r>
              <w:rPr>
                <w:rFonts w:hint="eastAsia" w:eastAsia="宋体" w:cs="Times New Roman"/>
                <w:color w:val="auto"/>
                <w:kern w:val="0"/>
              </w:rPr>
              <w:t>得</w:t>
            </w:r>
            <w:r>
              <w:rPr>
                <w:rFonts w:hint="eastAsia" w:cs="Times New Roman"/>
                <w:color w:val="auto"/>
                <w:kern w:val="0"/>
                <w:lang w:val="en-US" w:eastAsia="zh-CN"/>
              </w:rPr>
              <w:t>2</w:t>
            </w:r>
            <w:r>
              <w:rPr>
                <w:rFonts w:hint="eastAsia" w:eastAsia="宋体" w:cs="Times New Roman"/>
                <w:color w:val="auto"/>
                <w:kern w:val="0"/>
              </w:rPr>
              <w:t>分</w:t>
            </w:r>
            <w:r>
              <w:rPr>
                <w:rFonts w:hint="eastAsia" w:eastAsia="宋体" w:cs="Times New Roman"/>
                <w:kern w:val="0"/>
              </w:rPr>
              <w:t>；</w:t>
            </w:r>
          </w:p>
          <w:p>
            <w:pPr>
              <w:pStyle w:val="10"/>
              <w:spacing w:line="240" w:lineRule="auto"/>
              <w:rPr>
                <w:rFonts w:hint="eastAsia" w:eastAsia="宋体" w:cs="Times New Roman"/>
                <w:kern w:val="0"/>
              </w:rPr>
            </w:pPr>
            <w:r>
              <w:rPr>
                <w:rFonts w:hint="eastAsia" w:eastAsia="宋体" w:cs="Times New Roman"/>
                <w:kern w:val="0"/>
              </w:rPr>
              <w:t>完整、合理、基本可行的，得</w:t>
            </w:r>
            <w:r>
              <w:rPr>
                <w:rFonts w:hint="eastAsia" w:eastAsia="宋体" w:cs="Times New Roman"/>
                <w:color w:val="auto"/>
                <w:kern w:val="0"/>
              </w:rPr>
              <w:t>1分</w:t>
            </w:r>
            <w:r>
              <w:rPr>
                <w:rFonts w:hint="eastAsia" w:eastAsia="宋体" w:cs="Times New Roman"/>
                <w:kern w:val="0"/>
              </w:rPr>
              <w:t>，</w:t>
            </w:r>
          </w:p>
          <w:p>
            <w:pPr>
              <w:pStyle w:val="10"/>
              <w:spacing w:line="240" w:lineRule="auto"/>
              <w:rPr>
                <w:rFonts w:hint="eastAsia" w:ascii="Tahoma" w:hAnsi="Tahoma" w:eastAsia="宋体" w:cs="Times New Roman"/>
                <w:kern w:val="0"/>
                <w:sz w:val="21"/>
                <w:szCs w:val="24"/>
                <w:lang w:val="en-US" w:eastAsia="zh-CN" w:bidi="ar-SA"/>
              </w:rPr>
            </w:pPr>
            <w:r>
              <w:rPr>
                <w:rFonts w:hint="eastAsia" w:eastAsia="宋体" w:cs="Times New Roman"/>
                <w:kern w:val="0"/>
              </w:rPr>
              <w:t>不可行不得分。</w:t>
            </w:r>
          </w:p>
        </w:tc>
        <w:tc>
          <w:tcPr>
            <w:tcW w:w="707" w:type="dxa"/>
            <w:vAlign w:val="center"/>
          </w:tcPr>
          <w:p>
            <w:pPr>
              <w:ind w:left="-4" w:leftChars="-2" w:firstLine="1" w:firstLineChars="1"/>
              <w:jc w:val="center"/>
              <w:rPr>
                <w:rFonts w:hint="eastAsia" w:asciiTheme="minorEastAsia" w:hAnsiTheme="minorEastAsia" w:eastAsiaTheme="minorEastAsia" w:cstheme="minorEastAsia"/>
                <w:color w:val="auto"/>
                <w:spacing w:val="-6"/>
                <w:kern w:val="2"/>
                <w:sz w:val="21"/>
                <w:szCs w:val="21"/>
                <w:lang w:val="en-US" w:eastAsia="zh-CN" w:bidi="ar-SA"/>
              </w:rPr>
            </w:pPr>
            <w:r>
              <w:rPr>
                <w:rFonts w:hint="eastAsia" w:asciiTheme="minorEastAsia" w:hAnsiTheme="minorEastAsia" w:eastAsiaTheme="minorEastAsia" w:cstheme="minorEastAsia"/>
                <w:color w:val="auto"/>
                <w:spacing w:val="-6"/>
                <w:szCs w:val="21"/>
                <w:lang w:val="en-US" w:eastAsia="zh-CN"/>
              </w:rPr>
              <w:t>4</w:t>
            </w:r>
            <w:r>
              <w:rPr>
                <w:rFonts w:hint="eastAsia" w:asciiTheme="minorEastAsia" w:hAnsiTheme="minorEastAsia" w:eastAsiaTheme="minorEastAsia" w:cstheme="minorEastAsia"/>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004" w:hRule="atLeast"/>
        </w:trPr>
        <w:tc>
          <w:tcPr>
            <w:tcW w:w="736" w:type="dxa"/>
            <w:vMerge w:val="continue"/>
            <w:vAlign w:val="center"/>
          </w:tcPr>
          <w:p>
            <w:pPr>
              <w:ind w:left="-4" w:leftChars="-2" w:firstLine="2" w:firstLineChars="1"/>
              <w:rPr>
                <w:rFonts w:asciiTheme="minorEastAsia" w:hAnsiTheme="minorEastAsia" w:eastAsiaTheme="minorEastAsia" w:cstheme="minorEastAsia"/>
                <w:szCs w:val="21"/>
              </w:rPr>
            </w:pPr>
          </w:p>
        </w:tc>
        <w:tc>
          <w:tcPr>
            <w:tcW w:w="1376" w:type="dxa"/>
            <w:vAlign w:val="center"/>
          </w:tcPr>
          <w:p>
            <w:pPr>
              <w:jc w:val="center"/>
              <w:rPr>
                <w:rFonts w:asciiTheme="minorEastAsia" w:hAnsiTheme="minorEastAsia" w:eastAsiaTheme="minorEastAsia" w:cstheme="minorEastAsia"/>
                <w:szCs w:val="21"/>
              </w:rPr>
            </w:pPr>
            <w:r>
              <w:rPr>
                <w:rFonts w:hint="eastAsia" w:cs="宋体" w:asciiTheme="minorEastAsia" w:hAnsiTheme="minorEastAsia" w:eastAsiaTheme="minorEastAsia"/>
                <w:szCs w:val="21"/>
              </w:rPr>
              <w:t>售后服务方案</w:t>
            </w:r>
          </w:p>
        </w:tc>
        <w:tc>
          <w:tcPr>
            <w:tcW w:w="6687" w:type="dxa"/>
            <w:vAlign w:val="center"/>
          </w:tcPr>
          <w:p>
            <w:pPr>
              <w:pStyle w:val="10"/>
              <w:spacing w:line="240" w:lineRule="auto"/>
              <w:rPr>
                <w:rFonts w:hint="eastAsia" w:eastAsia="宋体" w:cs="Times New Roman"/>
                <w:kern w:val="0"/>
                <w:lang w:eastAsia="zh-CN"/>
              </w:rPr>
            </w:pPr>
            <w:r>
              <w:rPr>
                <w:rFonts w:hint="eastAsia" w:ascii="宋体" w:hAnsi="宋体" w:cs="宋体"/>
                <w:color w:val="000000" w:themeColor="text1"/>
                <w:sz w:val="21"/>
                <w:szCs w:val="21"/>
                <w:highlight w:val="none"/>
                <w:lang w:val="en-US" w:eastAsia="zh-CN"/>
                <w14:textFill>
                  <w14:solidFill>
                    <w14:schemeClr w14:val="tx1"/>
                  </w14:solidFill>
                </w14:textFill>
              </w:rPr>
              <w:t>根据供应商</w:t>
            </w:r>
            <w:r>
              <w:rPr>
                <w:rFonts w:hint="eastAsia" w:ascii="宋体" w:hAnsi="宋体" w:eastAsia="宋体" w:cs="宋体"/>
                <w:color w:val="000000" w:themeColor="text1"/>
                <w:sz w:val="21"/>
                <w:szCs w:val="21"/>
                <w:highlight w:val="none"/>
                <w14:textFill>
                  <w14:solidFill>
                    <w14:schemeClr w14:val="tx1"/>
                  </w14:solidFill>
                </w14:textFill>
              </w:rPr>
              <w:t>提供</w:t>
            </w:r>
            <w:r>
              <w:rPr>
                <w:rFonts w:hint="eastAsia" w:ascii="宋体" w:hAnsi="宋体" w:cs="宋体"/>
                <w:color w:val="000000" w:themeColor="text1"/>
                <w:sz w:val="21"/>
                <w:szCs w:val="21"/>
                <w:highlight w:val="none"/>
                <w:lang w:val="en-US" w:eastAsia="zh-CN"/>
                <w14:textFill>
                  <w14:solidFill>
                    <w14:schemeClr w14:val="tx1"/>
                  </w14:solidFill>
                </w14:textFill>
              </w:rPr>
              <w:t>的本项目</w:t>
            </w:r>
            <w:r>
              <w:rPr>
                <w:rFonts w:hint="eastAsia" w:cs="宋体" w:asciiTheme="minorEastAsia" w:hAnsiTheme="minorEastAsia" w:eastAsiaTheme="minorEastAsia"/>
                <w:szCs w:val="21"/>
              </w:rPr>
              <w:t>售后服务方案</w:t>
            </w:r>
            <w:r>
              <w:rPr>
                <w:rFonts w:hint="eastAsia" w:cs="Times New Roman"/>
                <w:kern w:val="0"/>
                <w:lang w:eastAsia="zh-CN"/>
              </w:rPr>
              <w:t>进行评分，</w:t>
            </w:r>
            <w:r>
              <w:rPr>
                <w:rFonts w:hint="eastAsia" w:eastAsia="宋体" w:cs="Times New Roman"/>
                <w:kern w:val="0"/>
              </w:rPr>
              <w:t>售后服务方案（包含：</w:t>
            </w:r>
            <w:r>
              <w:rPr>
                <w:rFonts w:hint="eastAsia" w:cs="Times New Roman"/>
                <w:kern w:val="0"/>
                <w:lang w:eastAsia="zh-CN"/>
              </w:rPr>
              <w:t>人员配置、</w:t>
            </w:r>
            <w:r>
              <w:rPr>
                <w:rFonts w:hint="eastAsia" w:eastAsia="宋体" w:cs="Times New Roman"/>
                <w:kern w:val="0"/>
              </w:rPr>
              <w:t>售后服务计划、服务内容、售后程序、响应</w:t>
            </w:r>
            <w:r>
              <w:rPr>
                <w:rFonts w:hint="eastAsia" w:cs="Times New Roman"/>
                <w:kern w:val="0"/>
                <w:lang w:eastAsia="zh-CN"/>
              </w:rPr>
              <w:t>时间</w:t>
            </w:r>
            <w:r>
              <w:rPr>
                <w:rFonts w:hint="eastAsia" w:eastAsia="宋体" w:cs="Times New Roman"/>
                <w:kern w:val="0"/>
              </w:rPr>
              <w:t>、三包服务</w:t>
            </w:r>
            <w:r>
              <w:rPr>
                <w:rFonts w:hint="eastAsia" w:cs="Times New Roman"/>
                <w:kern w:val="0"/>
                <w:lang w:eastAsia="zh-CN"/>
              </w:rPr>
              <w:t>、备品备件</w:t>
            </w:r>
            <w:r>
              <w:rPr>
                <w:rFonts w:hint="eastAsia" w:eastAsia="宋体" w:cs="Times New Roman"/>
                <w:kern w:val="0"/>
              </w:rPr>
              <w:t>及其他合理的售后服务承诺及处罚</w:t>
            </w:r>
            <w:r>
              <w:rPr>
                <w:rFonts w:hint="eastAsia" w:eastAsia="宋体" w:cs="Times New Roman"/>
                <w:kern w:val="0"/>
                <w:lang w:val="en-US" w:eastAsia="zh-CN"/>
              </w:rPr>
              <w:t>和质保期满后的服务</w:t>
            </w:r>
            <w:r>
              <w:rPr>
                <w:rFonts w:hint="eastAsia" w:eastAsia="宋体" w:cs="Times New Roman"/>
                <w:kern w:val="0"/>
              </w:rPr>
              <w:t>等）</w:t>
            </w:r>
            <w:r>
              <w:rPr>
                <w:rFonts w:hint="eastAsia" w:cs="Times New Roman"/>
                <w:kern w:val="0"/>
                <w:lang w:eastAsia="zh-CN"/>
              </w:rPr>
              <w:t>：</w:t>
            </w:r>
          </w:p>
          <w:p>
            <w:pPr>
              <w:pStyle w:val="10"/>
              <w:spacing w:line="240" w:lineRule="auto"/>
              <w:rPr>
                <w:rFonts w:hint="eastAsia" w:eastAsia="宋体" w:cs="Times New Roman"/>
                <w:kern w:val="0"/>
              </w:rPr>
            </w:pPr>
            <w:r>
              <w:rPr>
                <w:rFonts w:hint="eastAsia" w:eastAsia="宋体" w:cs="Times New Roman"/>
                <w:kern w:val="0"/>
              </w:rPr>
              <w:t>方案详细完整、合理，</w:t>
            </w:r>
            <w:r>
              <w:rPr>
                <w:rFonts w:hint="eastAsia" w:cs="Times New Roman"/>
                <w:kern w:val="0"/>
                <w:lang w:eastAsia="zh-CN"/>
              </w:rPr>
              <w:t>可行、</w:t>
            </w:r>
            <w:r>
              <w:rPr>
                <w:rFonts w:hint="eastAsia" w:eastAsia="宋体" w:cs="Times New Roman"/>
                <w:kern w:val="0"/>
              </w:rPr>
              <w:t>服务能力强，</w:t>
            </w:r>
            <w:r>
              <w:rPr>
                <w:rFonts w:hint="eastAsia" w:eastAsia="宋体" w:cs="Times New Roman"/>
                <w:kern w:val="0"/>
                <w:lang w:val="en-US" w:eastAsia="zh-CN"/>
              </w:rPr>
              <w:t>满足要求</w:t>
            </w:r>
            <w:r>
              <w:rPr>
                <w:rFonts w:hint="eastAsia" w:eastAsia="宋体" w:cs="Times New Roman"/>
                <w:kern w:val="0"/>
              </w:rPr>
              <w:t>得</w:t>
            </w:r>
            <w:r>
              <w:rPr>
                <w:rFonts w:hint="eastAsia" w:cs="Times New Roman"/>
                <w:color w:val="auto"/>
                <w:kern w:val="0"/>
                <w:lang w:val="en-US" w:eastAsia="zh-CN"/>
              </w:rPr>
              <w:t>5</w:t>
            </w:r>
            <w:r>
              <w:rPr>
                <w:rFonts w:hint="eastAsia" w:eastAsia="宋体" w:cs="Times New Roman"/>
                <w:kern w:val="0"/>
              </w:rPr>
              <w:t>分；</w:t>
            </w:r>
          </w:p>
          <w:p>
            <w:pPr>
              <w:pStyle w:val="10"/>
              <w:spacing w:line="240" w:lineRule="auto"/>
              <w:rPr>
                <w:rFonts w:hint="eastAsia" w:eastAsia="宋体" w:cs="Times New Roman"/>
                <w:kern w:val="0"/>
              </w:rPr>
            </w:pPr>
            <w:r>
              <w:rPr>
                <w:rFonts w:hint="eastAsia" w:eastAsia="宋体" w:cs="Times New Roman"/>
                <w:kern w:val="0"/>
              </w:rPr>
              <w:t>方案完整、合理，</w:t>
            </w:r>
            <w:r>
              <w:rPr>
                <w:rFonts w:hint="eastAsia" w:cs="Times New Roman"/>
                <w:kern w:val="0"/>
                <w:lang w:eastAsia="zh-CN"/>
              </w:rPr>
              <w:t>有</w:t>
            </w:r>
            <w:r>
              <w:rPr>
                <w:rFonts w:hint="eastAsia" w:eastAsia="宋体" w:cs="Times New Roman"/>
                <w:kern w:val="0"/>
              </w:rPr>
              <w:t>服务能力，</w:t>
            </w:r>
            <w:r>
              <w:rPr>
                <w:rFonts w:hint="eastAsia" w:eastAsia="宋体" w:cs="Times New Roman"/>
                <w:kern w:val="0"/>
                <w:lang w:val="en-US" w:eastAsia="zh-CN"/>
              </w:rPr>
              <w:t>满足要求</w:t>
            </w:r>
            <w:r>
              <w:rPr>
                <w:rFonts w:hint="eastAsia" w:eastAsia="宋体" w:cs="Times New Roman"/>
                <w:kern w:val="0"/>
              </w:rPr>
              <w:t>得</w:t>
            </w:r>
            <w:r>
              <w:rPr>
                <w:rFonts w:hint="eastAsia" w:cs="Times New Roman"/>
                <w:color w:val="auto"/>
                <w:kern w:val="0"/>
                <w:lang w:val="en-US" w:eastAsia="zh-CN"/>
              </w:rPr>
              <w:t>3</w:t>
            </w:r>
            <w:r>
              <w:rPr>
                <w:rFonts w:hint="eastAsia" w:eastAsia="宋体" w:cs="Times New Roman"/>
                <w:kern w:val="0"/>
              </w:rPr>
              <w:t>分；</w:t>
            </w:r>
          </w:p>
          <w:p>
            <w:pPr>
              <w:pStyle w:val="10"/>
              <w:spacing w:line="240" w:lineRule="auto"/>
              <w:rPr>
                <w:rFonts w:hint="eastAsia" w:eastAsia="宋体" w:cs="Times New Roman"/>
                <w:kern w:val="0"/>
              </w:rPr>
            </w:pPr>
            <w:r>
              <w:rPr>
                <w:rFonts w:hint="eastAsia" w:eastAsia="宋体" w:cs="Times New Roman"/>
                <w:kern w:val="0"/>
              </w:rPr>
              <w:t>方案基本可行的，得</w:t>
            </w:r>
            <w:r>
              <w:rPr>
                <w:rFonts w:hint="eastAsia" w:cs="Times New Roman"/>
                <w:color w:val="auto"/>
                <w:kern w:val="0"/>
                <w:lang w:val="en-US" w:eastAsia="zh-CN"/>
              </w:rPr>
              <w:t>1</w:t>
            </w:r>
            <w:r>
              <w:rPr>
                <w:rFonts w:hint="eastAsia" w:eastAsia="宋体" w:cs="Times New Roman"/>
                <w:color w:val="auto"/>
                <w:kern w:val="0"/>
              </w:rPr>
              <w:t>分</w:t>
            </w:r>
            <w:r>
              <w:rPr>
                <w:rFonts w:hint="eastAsia" w:eastAsia="宋体" w:cs="Times New Roman"/>
                <w:kern w:val="0"/>
              </w:rPr>
              <w:t>；</w:t>
            </w:r>
          </w:p>
          <w:p>
            <w:pPr>
              <w:pStyle w:val="10"/>
              <w:spacing w:line="240" w:lineRule="auto"/>
              <w:rPr>
                <w:rFonts w:hint="eastAsia" w:eastAsia="宋体" w:cs="Times New Roman"/>
                <w:kern w:val="0"/>
              </w:rPr>
            </w:pPr>
            <w:r>
              <w:rPr>
                <w:rFonts w:hint="eastAsia" w:eastAsia="宋体" w:cs="Times New Roman"/>
                <w:kern w:val="0"/>
              </w:rPr>
              <w:t>不提供或不可行的，得0分。</w:t>
            </w:r>
          </w:p>
        </w:tc>
        <w:tc>
          <w:tcPr>
            <w:tcW w:w="707" w:type="dxa"/>
            <w:vAlign w:val="center"/>
          </w:tcPr>
          <w:p>
            <w:pPr>
              <w:ind w:left="-4" w:leftChars="-2" w:firstLine="2" w:firstLineChars="1"/>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5</w:t>
            </w:r>
            <w:r>
              <w:rPr>
                <w:rFonts w:hint="eastAsia" w:asciiTheme="minorEastAsia" w:hAnsiTheme="minorEastAsia" w:eastAsiaTheme="minorEastAsia" w:cstheme="minorEastAsia"/>
                <w:color w:val="auto"/>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6" w:hRule="atLeast"/>
        </w:trPr>
        <w:tc>
          <w:tcPr>
            <w:tcW w:w="73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770"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Pr>
        <w:spacing w:line="360" w:lineRule="auto"/>
        <w:rPr>
          <w:rFonts w:asciiTheme="minorEastAsia" w:hAnsiTheme="minorEastAsia" w:eastAsiaTheme="minorEastAsia" w:cstheme="minorEastAsia"/>
          <w:b/>
          <w:szCs w:val="21"/>
        </w:rPr>
        <w:sectPr>
          <w:footerReference r:id="rId7" w:type="default"/>
          <w:pgSz w:w="11906" w:h="16838"/>
          <w:pgMar w:top="1417" w:right="1417" w:bottom="1417" w:left="1417" w:header="851" w:footer="992" w:gutter="0"/>
          <w:pgNumType w:start="1"/>
          <w:cols w:space="720" w:num="1"/>
          <w:docGrid w:type="lines" w:linePitch="312" w:charSpace="0"/>
        </w:sectPr>
      </w:pP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78" w:name="_Toc24298"/>
      <w:bookmarkStart w:id="179" w:name="_Toc32480"/>
      <w:r>
        <w:rPr>
          <w:rFonts w:hint="eastAsia" w:asciiTheme="minorEastAsia" w:hAnsiTheme="minorEastAsia" w:eastAsiaTheme="minorEastAsia" w:cstheme="minorEastAsia"/>
          <w:b/>
          <w:szCs w:val="21"/>
        </w:rPr>
        <w:t>四、评定办法</w:t>
      </w:r>
      <w:bookmarkEnd w:id="178"/>
      <w:bookmarkEnd w:id="179"/>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ind w:left="420" w:leftChars="200"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left="420" w:leftChars="200" w:firstLine="420" w:firstLineChars="200"/>
        <w:jc w:val="left"/>
        <w:rPr>
          <w:rFonts w:asciiTheme="minorEastAsia" w:hAnsiTheme="minorEastAsia" w:eastAsia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Pr>
        <w:rPr>
          <w:rFonts w:asciiTheme="minorEastAsia" w:hAnsiTheme="minorEastAsia" w:eastAsiaTheme="minorEastAsia" w:cstheme="minorEastAsia"/>
          <w:b/>
          <w:szCs w:val="21"/>
        </w:rPr>
      </w:pPr>
      <w:bookmarkStart w:id="180" w:name="_Toc23659"/>
      <w:bookmarkStart w:id="181" w:name="_Toc2647"/>
      <w:r>
        <w:rPr>
          <w:rFonts w:hint="eastAsia" w:asciiTheme="minorEastAsia" w:hAnsiTheme="minorEastAsia" w:eastAsiaTheme="minorEastAsia" w:cstheme="minorEastAsia"/>
          <w:b/>
          <w:szCs w:val="21"/>
        </w:rPr>
        <w:br w:type="page"/>
      </w:r>
    </w:p>
    <w:p>
      <w:pPr>
        <w:spacing w:line="360" w:lineRule="auto"/>
        <w:outlineLvl w:val="1"/>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五、磋商及评审步骤</w:t>
      </w:r>
      <w:bookmarkEnd w:id="180"/>
      <w:bookmarkEnd w:id="181"/>
    </w:p>
    <w:p>
      <w:pPr>
        <w:spacing w:line="360" w:lineRule="auto"/>
        <w:ind w:left="420" w:leftChars="200" w:firstLine="420" w:firstLine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numPr>
          <w:ilvl w:val="0"/>
          <w:numId w:val="37"/>
        </w:num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验证委托代理人身份、响应文件密封检查</w:t>
      </w:r>
    </w:p>
    <w:p>
      <w:pPr>
        <w:spacing w:line="360" w:lineRule="auto"/>
        <w:ind w:firstLine="630" w:firstLineChars="3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630" w:firstLineChars="3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1050" w:leftChars="300" w:hanging="420" w:hanging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630" w:firstLineChars="3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 资格和符合性审查</w:t>
      </w:r>
    </w:p>
    <w:p>
      <w:pPr>
        <w:spacing w:line="360" w:lineRule="auto"/>
        <w:ind w:left="840" w:leftChars="200" w:hanging="420" w:hanging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840" w:leftChars="200" w:hanging="420" w:hanging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numPr>
          <w:ilvl w:val="0"/>
          <w:numId w:val="38"/>
        </w:num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 供应商的澄清</w:t>
      </w:r>
    </w:p>
    <w:p>
      <w:pPr>
        <w:spacing w:line="360" w:lineRule="auto"/>
        <w:ind w:left="840" w:leftChars="200" w:hanging="420" w:hanging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840" w:leftChars="200" w:hanging="420" w:hanging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840" w:leftChars="200" w:hanging="420" w:hanging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840" w:leftChars="200" w:hanging="420" w:hanging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840" w:leftChars="200" w:hanging="420" w:hanging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840" w:leftChars="200" w:hanging="420" w:hanging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840" w:firstLineChars="4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840" w:firstLineChars="4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840" w:leftChars="200" w:hanging="420" w:hanging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840" w:leftChars="200" w:hanging="420" w:hanging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840" w:leftChars="200" w:hanging="420" w:hanging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840" w:leftChars="200" w:hanging="420" w:hanging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840" w:leftChars="200" w:hanging="420" w:hanging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840" w:leftChars="200" w:hanging="420" w:hanging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pStyle w:val="4"/>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82" w:name="_Toc318643471"/>
      <w:bookmarkStart w:id="183" w:name="_Toc211783328"/>
    </w:p>
    <w:p>
      <w:pPr>
        <w:pStyle w:val="4"/>
        <w:numPr>
          <w:ilvl w:val="0"/>
          <w:numId w:val="4"/>
        </w:numPr>
        <w:spacing w:before="240" w:after="240" w:line="240" w:lineRule="auto"/>
        <w:ind w:left="1276" w:hanging="1276"/>
        <w:jc w:val="center"/>
        <w:rPr>
          <w:rFonts w:cs="宋体" w:asciiTheme="minorEastAsia" w:hAnsiTheme="minorEastAsia" w:eastAsiaTheme="minorEastAsia"/>
          <w:sz w:val="28"/>
          <w:szCs w:val="28"/>
          <w:u w:val="double"/>
        </w:rPr>
      </w:pPr>
      <w:bookmarkStart w:id="184" w:name="_Toc11100"/>
      <w:bookmarkStart w:id="185" w:name="_Toc22793"/>
      <w:r>
        <w:rPr>
          <w:rFonts w:hint="eastAsia" w:asciiTheme="minorEastAsia" w:hAnsiTheme="minorEastAsia" w:eastAsiaTheme="minorEastAsia" w:cstheme="minorEastAsia"/>
          <w:sz w:val="36"/>
          <w:szCs w:val="36"/>
        </w:rPr>
        <w:t>合同书</w:t>
      </w:r>
      <w:bookmarkEnd w:id="182"/>
      <w:bookmarkEnd w:id="183"/>
      <w:r>
        <w:rPr>
          <w:rFonts w:hint="eastAsia" w:asciiTheme="minorEastAsia" w:hAnsiTheme="minorEastAsia" w:eastAsiaTheme="minorEastAsia" w:cstheme="minorEastAsia"/>
          <w:sz w:val="36"/>
          <w:szCs w:val="36"/>
        </w:rPr>
        <w:t>格式</w:t>
      </w:r>
      <w:bookmarkEnd w:id="184"/>
      <w:bookmarkEnd w:id="185"/>
    </w:p>
    <w:p>
      <w:pPr>
        <w:spacing w:line="360" w:lineRule="auto"/>
        <w:jc w:val="center"/>
        <w:rPr>
          <w:rFonts w:asciiTheme="minorEastAsia" w:hAnsiTheme="minorEastAsia" w:eastAsiaTheme="minorEastAsia"/>
          <w:b/>
          <w:sz w:val="32"/>
          <w:szCs w:val="32"/>
          <w:u w:val="double"/>
        </w:rPr>
      </w:pPr>
      <w:r>
        <w:rPr>
          <w:rFonts w:hint="eastAsia" w:asciiTheme="minorEastAsia" w:hAnsiTheme="minorEastAsia" w:eastAsiaTheme="minorEastAsia"/>
          <w:b/>
          <w:sz w:val="32"/>
          <w:szCs w:val="32"/>
          <w:u w:val="double"/>
        </w:rPr>
        <w:t>供 货 协 议</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协议号：</w:t>
      </w: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项目编号：                                                                                        </w:t>
      </w:r>
    </w:p>
    <w:p>
      <w:pPr>
        <w:spacing w:line="360" w:lineRule="auto"/>
        <w:ind w:firstLine="4080" w:firstLineChars="1700"/>
        <w:rPr>
          <w:rFonts w:asciiTheme="minorEastAsia" w:hAnsiTheme="minorEastAsia" w:eastAsiaTheme="minorEastAsia"/>
          <w:sz w:val="24"/>
          <w:u w:val="single"/>
        </w:rPr>
      </w:pPr>
      <w:r>
        <w:rPr>
          <w:rFonts w:hint="eastAsia" w:asciiTheme="minorEastAsia" w:hAnsiTheme="minorEastAsia" w:eastAsiaTheme="minorEastAsia"/>
          <w:sz w:val="24"/>
          <w:u w:val="single"/>
        </w:rPr>
        <w:t xml:space="preserve"> </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购货单位：</w:t>
      </w:r>
      <w:r>
        <w:rPr>
          <w:rFonts w:hint="eastAsia" w:asciiTheme="minorEastAsia" w:hAnsiTheme="minorEastAsia" w:eastAsiaTheme="minorEastAsia"/>
          <w:b/>
          <w:sz w:val="24"/>
          <w:u w:val="single"/>
        </w:rPr>
        <w:t>湖北工业大学</w:t>
      </w:r>
      <w:r>
        <w:rPr>
          <w:rFonts w:hint="eastAsia" w:asciiTheme="minorEastAsia" w:hAnsiTheme="minorEastAsia" w:eastAsiaTheme="minorEastAsia"/>
          <w:b/>
          <w:sz w:val="24"/>
        </w:rPr>
        <w:t>（以下简称甲方）</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住所：武汉市洪山区南李路28号</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法定代表人：彭育园</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 </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供货单位：</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b/>
          <w:sz w:val="24"/>
        </w:rPr>
        <w:t>（以下简称乙方）</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住所：</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法定代表人：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 </w:t>
      </w:r>
    </w:p>
    <w:p>
      <w:pPr>
        <w:pStyle w:val="13"/>
        <w:spacing w:line="360" w:lineRule="auto"/>
        <w:ind w:left="0" w:leftChars="0" w:firstLine="420" w:firstLineChars="175"/>
        <w:rPr>
          <w:rFonts w:asciiTheme="minorEastAsia" w:hAnsiTheme="minorEastAsia" w:eastAsiaTheme="minorEastAsia"/>
          <w:sz w:val="24"/>
        </w:rPr>
      </w:pPr>
      <w:r>
        <w:rPr>
          <w:rFonts w:hint="eastAsia" w:asciiTheme="minorEastAsia" w:hAnsiTheme="minorEastAsia" w:eastAsiaTheme="minorEastAsia"/>
          <w:sz w:val="24"/>
        </w:rPr>
        <w:t>甲乙双方根据《中华人民共和国民法典》相关规定，为增强双方的责任，经甲乙双方友好协商一致，特订立本协议，以资甲乙双方共同遵守。</w:t>
      </w:r>
    </w:p>
    <w:p>
      <w:pPr>
        <w:spacing w:line="360" w:lineRule="auto"/>
        <w:ind w:left="360"/>
        <w:rPr>
          <w:rFonts w:asciiTheme="minorEastAsia" w:hAnsiTheme="minorEastAsia" w:eastAsiaTheme="minorEastAsia"/>
          <w:b/>
          <w:bCs/>
          <w:sz w:val="24"/>
        </w:rPr>
      </w:pPr>
      <w:r>
        <w:rPr>
          <w:rFonts w:hint="eastAsia" w:asciiTheme="minorEastAsia" w:hAnsiTheme="minorEastAsia" w:eastAsiaTheme="minorEastAsia"/>
          <w:b/>
          <w:sz w:val="24"/>
        </w:rPr>
        <w:t>一、设备名称、规格、配置、数量及价格如下</w:t>
      </w:r>
      <w:r>
        <w:rPr>
          <w:rFonts w:hint="eastAsia" w:asciiTheme="minorEastAsia" w:hAnsiTheme="minorEastAsia" w:eastAsiaTheme="minorEastAsia"/>
          <w:b/>
          <w:bCs/>
          <w:sz w:val="24"/>
        </w:rPr>
        <w:t>:</w:t>
      </w:r>
    </w:p>
    <w:tbl>
      <w:tblPr>
        <w:tblStyle w:val="26"/>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5"/>
        <w:gridCol w:w="1275"/>
        <w:gridCol w:w="750"/>
        <w:gridCol w:w="729"/>
        <w:gridCol w:w="761"/>
        <w:gridCol w:w="2220"/>
        <w:gridCol w:w="720"/>
        <w:gridCol w:w="952"/>
        <w:gridCol w:w="1440"/>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jc w:val="center"/>
        </w:trPr>
        <w:tc>
          <w:tcPr>
            <w:tcW w:w="385"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spacing w:line="360" w:lineRule="auto"/>
              <w:rPr>
                <w:rFonts w:asciiTheme="minorEastAsia" w:hAnsiTheme="minorEastAsia" w:eastAsiaTheme="minorEastAsia"/>
                <w:b/>
                <w:bCs/>
                <w:kern w:val="0"/>
                <w:sz w:val="24"/>
              </w:rPr>
            </w:pPr>
          </w:p>
        </w:tc>
        <w:tc>
          <w:tcPr>
            <w:tcW w:w="1275"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rPr>
                <w:rFonts w:asciiTheme="minorEastAsia" w:hAnsiTheme="minorEastAsia" w:eastAsiaTheme="minorEastAsia"/>
                <w:b/>
                <w:bCs/>
                <w:kern w:val="0"/>
                <w:sz w:val="24"/>
              </w:rPr>
            </w:pPr>
            <w:r>
              <w:rPr>
                <w:rFonts w:hint="eastAsia" w:asciiTheme="minorEastAsia" w:hAnsiTheme="minorEastAsia" w:eastAsiaTheme="minorEastAsia"/>
                <w:b/>
                <w:bCs/>
                <w:kern w:val="0"/>
                <w:sz w:val="24"/>
              </w:rPr>
              <w:t>设备名称</w:t>
            </w:r>
          </w:p>
        </w:tc>
        <w:tc>
          <w:tcPr>
            <w:tcW w:w="75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b/>
                <w:bCs/>
                <w:kern w:val="0"/>
                <w:sz w:val="24"/>
              </w:rPr>
            </w:pPr>
            <w:r>
              <w:rPr>
                <w:rFonts w:hint="eastAsia" w:asciiTheme="minorEastAsia" w:hAnsiTheme="minorEastAsia" w:eastAsiaTheme="minorEastAsia"/>
                <w:b/>
                <w:bCs/>
                <w:kern w:val="0"/>
                <w:sz w:val="24"/>
              </w:rPr>
              <w:t>品牌</w:t>
            </w:r>
          </w:p>
        </w:tc>
        <w:tc>
          <w:tcPr>
            <w:tcW w:w="729"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b/>
                <w:bCs/>
                <w:kern w:val="0"/>
                <w:sz w:val="24"/>
              </w:rPr>
            </w:pPr>
            <w:r>
              <w:rPr>
                <w:rFonts w:hint="eastAsia" w:asciiTheme="minorEastAsia" w:hAnsiTheme="minorEastAsia" w:eastAsiaTheme="minorEastAsia"/>
                <w:b/>
                <w:bCs/>
                <w:kern w:val="0"/>
                <w:sz w:val="24"/>
              </w:rPr>
              <w:t>型号</w:t>
            </w:r>
          </w:p>
        </w:tc>
        <w:tc>
          <w:tcPr>
            <w:tcW w:w="761"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b/>
                <w:bCs/>
                <w:kern w:val="0"/>
                <w:sz w:val="24"/>
              </w:rPr>
            </w:pPr>
            <w:r>
              <w:rPr>
                <w:rFonts w:hint="eastAsia" w:asciiTheme="minorEastAsia" w:hAnsiTheme="minorEastAsia" w:eastAsiaTheme="minorEastAsia"/>
                <w:b/>
                <w:bCs/>
                <w:kern w:val="0"/>
                <w:sz w:val="24"/>
              </w:rPr>
              <w:t>产地</w:t>
            </w:r>
          </w:p>
        </w:tc>
        <w:tc>
          <w:tcPr>
            <w:tcW w:w="222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b/>
                <w:bCs/>
                <w:kern w:val="0"/>
                <w:sz w:val="24"/>
              </w:rPr>
            </w:pPr>
            <w:r>
              <w:rPr>
                <w:rFonts w:hint="eastAsia" w:asciiTheme="minorEastAsia" w:hAnsiTheme="minorEastAsia" w:eastAsiaTheme="minorEastAsia"/>
                <w:b/>
                <w:bCs/>
                <w:kern w:val="0"/>
                <w:sz w:val="24"/>
              </w:rPr>
              <w:t>配置/技术参数</w:t>
            </w:r>
          </w:p>
        </w:tc>
        <w:tc>
          <w:tcPr>
            <w:tcW w:w="72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b/>
                <w:bCs/>
                <w:kern w:val="0"/>
                <w:sz w:val="24"/>
              </w:rPr>
            </w:pPr>
            <w:r>
              <w:rPr>
                <w:rFonts w:hint="eastAsia" w:asciiTheme="minorEastAsia" w:hAnsiTheme="minorEastAsia" w:eastAsiaTheme="minorEastAsia"/>
                <w:b/>
                <w:bCs/>
                <w:kern w:val="0"/>
                <w:sz w:val="24"/>
              </w:rPr>
              <w:t>数量</w:t>
            </w:r>
          </w:p>
        </w:tc>
        <w:tc>
          <w:tcPr>
            <w:tcW w:w="952"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jc w:val="center"/>
              <w:rPr>
                <w:rFonts w:asciiTheme="minorEastAsia" w:hAnsiTheme="minorEastAsia" w:eastAsiaTheme="minorEastAsia"/>
                <w:b/>
                <w:bCs/>
                <w:kern w:val="0"/>
                <w:sz w:val="24"/>
              </w:rPr>
            </w:pPr>
            <w:r>
              <w:rPr>
                <w:rFonts w:hint="eastAsia" w:asciiTheme="minorEastAsia" w:hAnsiTheme="minorEastAsia" w:eastAsiaTheme="minorEastAsia"/>
                <w:b/>
                <w:bCs/>
                <w:kern w:val="0"/>
                <w:sz w:val="24"/>
              </w:rPr>
              <w:t>单价</w:t>
            </w:r>
          </w:p>
          <w:p>
            <w:pPr>
              <w:kinsoku w:val="0"/>
              <w:overflowPunct w:val="0"/>
              <w:autoSpaceDE w:val="0"/>
              <w:autoSpaceDN w:val="0"/>
              <w:adjustRightInd w:val="0"/>
              <w:snapToGrid w:val="0"/>
              <w:jc w:val="center"/>
              <w:rPr>
                <w:rFonts w:asciiTheme="minorEastAsia" w:hAnsiTheme="minorEastAsia" w:eastAsiaTheme="minorEastAsia"/>
                <w:b/>
                <w:bCs/>
                <w:kern w:val="0"/>
                <w:sz w:val="24"/>
              </w:rPr>
            </w:pPr>
            <w:r>
              <w:rPr>
                <w:rFonts w:hint="eastAsia" w:asciiTheme="minorEastAsia" w:hAnsiTheme="minorEastAsia" w:eastAsiaTheme="minorEastAsia"/>
                <w:b/>
                <w:bCs/>
                <w:kern w:val="0"/>
                <w:sz w:val="24"/>
              </w:rPr>
              <w:t>（元）</w:t>
            </w:r>
          </w:p>
        </w:tc>
        <w:tc>
          <w:tcPr>
            <w:tcW w:w="144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b/>
                <w:bCs/>
                <w:kern w:val="0"/>
                <w:sz w:val="24"/>
              </w:rPr>
            </w:pPr>
            <w:r>
              <w:rPr>
                <w:rFonts w:hint="eastAsia" w:asciiTheme="minorEastAsia" w:hAnsiTheme="minorEastAsia" w:eastAsiaTheme="minorEastAsia"/>
                <w:b/>
                <w:bCs/>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3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Theme="minorEastAsia" w:hAnsiTheme="minorEastAsia" w:eastAsiaTheme="minorEastAsia"/>
                <w:kern w:val="0"/>
                <w:sz w:val="24"/>
              </w:rPr>
            </w:pPr>
          </w:p>
        </w:tc>
        <w:tc>
          <w:tcPr>
            <w:tcW w:w="1275" w:type="dxa"/>
            <w:tcBorders>
              <w:top w:val="single" w:color="auto" w:sz="4" w:space="0"/>
              <w:left w:val="nil"/>
              <w:bottom w:val="single" w:color="auto" w:sz="4" w:space="0"/>
              <w:right w:val="single" w:color="auto" w:sz="4" w:space="0"/>
            </w:tcBorders>
            <w:vAlign w:val="center"/>
          </w:tcPr>
          <w:p>
            <w:pPr>
              <w:adjustRightInd w:val="0"/>
              <w:snapToGrid w:val="0"/>
              <w:spacing w:line="360" w:lineRule="auto"/>
              <w:jc w:val="center"/>
              <w:rPr>
                <w:rFonts w:asciiTheme="minorEastAsia" w:hAnsiTheme="minorEastAsia" w:eastAsiaTheme="minorEastAsia"/>
                <w:kern w:val="0"/>
                <w:sz w:val="24"/>
              </w:rPr>
            </w:pPr>
          </w:p>
        </w:tc>
        <w:tc>
          <w:tcPr>
            <w:tcW w:w="750" w:type="dxa"/>
            <w:tcBorders>
              <w:top w:val="single" w:color="auto" w:sz="4" w:space="0"/>
              <w:left w:val="nil"/>
              <w:bottom w:val="single" w:color="auto" w:sz="4" w:space="0"/>
              <w:right w:val="single" w:color="auto" w:sz="4" w:space="0"/>
            </w:tcBorders>
            <w:vAlign w:val="center"/>
          </w:tcPr>
          <w:p>
            <w:pPr>
              <w:adjustRightInd w:val="0"/>
              <w:snapToGrid w:val="0"/>
              <w:spacing w:line="360" w:lineRule="auto"/>
              <w:jc w:val="center"/>
              <w:rPr>
                <w:rFonts w:asciiTheme="minorEastAsia" w:hAnsiTheme="minorEastAsia" w:eastAsiaTheme="minorEastAsia"/>
                <w:kern w:val="0"/>
                <w:sz w:val="24"/>
              </w:rPr>
            </w:pPr>
          </w:p>
        </w:tc>
        <w:tc>
          <w:tcPr>
            <w:tcW w:w="729" w:type="dxa"/>
            <w:tcBorders>
              <w:top w:val="single" w:color="auto" w:sz="4" w:space="0"/>
              <w:left w:val="nil"/>
              <w:bottom w:val="single" w:color="auto" w:sz="4" w:space="0"/>
              <w:right w:val="single" w:color="auto" w:sz="4" w:space="0"/>
            </w:tcBorders>
            <w:vAlign w:val="center"/>
          </w:tcPr>
          <w:p>
            <w:pPr>
              <w:adjustRightInd w:val="0"/>
              <w:snapToGrid w:val="0"/>
              <w:spacing w:line="360" w:lineRule="auto"/>
              <w:jc w:val="center"/>
              <w:rPr>
                <w:rFonts w:asciiTheme="minorEastAsia" w:hAnsiTheme="minorEastAsia" w:eastAsiaTheme="minorEastAsia"/>
                <w:kern w:val="0"/>
                <w:sz w:val="24"/>
              </w:rPr>
            </w:pPr>
          </w:p>
        </w:tc>
        <w:tc>
          <w:tcPr>
            <w:tcW w:w="761" w:type="dxa"/>
            <w:tcBorders>
              <w:top w:val="single" w:color="auto" w:sz="4" w:space="0"/>
              <w:left w:val="nil"/>
              <w:bottom w:val="single" w:color="auto" w:sz="4" w:space="0"/>
              <w:right w:val="single" w:color="auto" w:sz="4" w:space="0"/>
            </w:tcBorders>
            <w:vAlign w:val="center"/>
          </w:tcPr>
          <w:p>
            <w:pPr>
              <w:adjustRightInd w:val="0"/>
              <w:snapToGrid w:val="0"/>
              <w:spacing w:line="360" w:lineRule="auto"/>
              <w:jc w:val="center"/>
              <w:rPr>
                <w:rFonts w:asciiTheme="minorEastAsia" w:hAnsiTheme="minorEastAsia" w:eastAsiaTheme="minorEastAsia"/>
                <w:kern w:val="0"/>
                <w:sz w:val="24"/>
              </w:rPr>
            </w:pPr>
          </w:p>
        </w:tc>
        <w:tc>
          <w:tcPr>
            <w:tcW w:w="2220"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Theme="minorEastAsia" w:hAnsiTheme="minorEastAsia" w:eastAsiaTheme="minorEastAsia"/>
                <w:kern w:val="0"/>
                <w:sz w:val="24"/>
              </w:rPr>
            </w:pPr>
          </w:p>
        </w:tc>
        <w:tc>
          <w:tcPr>
            <w:tcW w:w="720" w:type="dxa"/>
            <w:tcBorders>
              <w:top w:val="single" w:color="auto" w:sz="4" w:space="0"/>
              <w:left w:val="nil"/>
              <w:bottom w:val="single" w:color="auto" w:sz="4" w:space="0"/>
              <w:right w:val="single" w:color="auto" w:sz="4" w:space="0"/>
            </w:tcBorders>
            <w:vAlign w:val="center"/>
          </w:tcPr>
          <w:p>
            <w:pPr>
              <w:adjustRightInd w:val="0"/>
              <w:snapToGrid w:val="0"/>
              <w:spacing w:line="360" w:lineRule="auto"/>
              <w:jc w:val="center"/>
              <w:rPr>
                <w:rFonts w:asciiTheme="minorEastAsia" w:hAnsiTheme="minorEastAsia" w:eastAsiaTheme="minorEastAsia"/>
                <w:kern w:val="0"/>
                <w:sz w:val="24"/>
              </w:rPr>
            </w:pPr>
          </w:p>
        </w:tc>
        <w:tc>
          <w:tcPr>
            <w:tcW w:w="952"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Theme="minorEastAsia" w:hAnsiTheme="minorEastAsia" w:eastAsiaTheme="minorEastAsia"/>
                <w:kern w:val="0"/>
                <w:sz w:val="24"/>
              </w:rPr>
            </w:pPr>
          </w:p>
        </w:tc>
        <w:tc>
          <w:tcPr>
            <w:tcW w:w="1440" w:type="dxa"/>
            <w:tcBorders>
              <w:top w:val="single" w:color="auto" w:sz="4" w:space="0"/>
              <w:left w:val="nil"/>
              <w:bottom w:val="single" w:color="auto" w:sz="4" w:space="0"/>
              <w:right w:val="single" w:color="auto" w:sz="4" w:space="0"/>
            </w:tcBorders>
            <w:vAlign w:val="center"/>
          </w:tcPr>
          <w:p>
            <w:pPr>
              <w:adjustRightInd w:val="0"/>
              <w:snapToGrid w:val="0"/>
              <w:spacing w:line="360" w:lineRule="auto"/>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385"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rPr>
            </w:pPr>
          </w:p>
        </w:tc>
        <w:tc>
          <w:tcPr>
            <w:tcW w:w="1275"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kern w:val="0"/>
                <w:sz w:val="24"/>
              </w:rPr>
            </w:pPr>
          </w:p>
        </w:tc>
        <w:tc>
          <w:tcPr>
            <w:tcW w:w="75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rPr>
            </w:pPr>
          </w:p>
        </w:tc>
        <w:tc>
          <w:tcPr>
            <w:tcW w:w="729"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761"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222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72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952"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144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385"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rPr>
            </w:pPr>
          </w:p>
        </w:tc>
        <w:tc>
          <w:tcPr>
            <w:tcW w:w="1275"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kern w:val="0"/>
                <w:sz w:val="24"/>
              </w:rPr>
            </w:pPr>
          </w:p>
        </w:tc>
        <w:tc>
          <w:tcPr>
            <w:tcW w:w="75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rPr>
            </w:pPr>
          </w:p>
        </w:tc>
        <w:tc>
          <w:tcPr>
            <w:tcW w:w="729"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761"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222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72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952"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144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385"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rPr>
            </w:pPr>
          </w:p>
        </w:tc>
        <w:tc>
          <w:tcPr>
            <w:tcW w:w="1275"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kern w:val="0"/>
                <w:sz w:val="24"/>
              </w:rPr>
            </w:pPr>
          </w:p>
        </w:tc>
        <w:tc>
          <w:tcPr>
            <w:tcW w:w="75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rPr>
            </w:pPr>
          </w:p>
        </w:tc>
        <w:tc>
          <w:tcPr>
            <w:tcW w:w="729"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761"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222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72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952"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144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385"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rPr>
            </w:pPr>
          </w:p>
        </w:tc>
        <w:tc>
          <w:tcPr>
            <w:tcW w:w="1275"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kern w:val="0"/>
                <w:sz w:val="24"/>
              </w:rPr>
            </w:pPr>
          </w:p>
        </w:tc>
        <w:tc>
          <w:tcPr>
            <w:tcW w:w="75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rPr>
            </w:pPr>
          </w:p>
        </w:tc>
        <w:tc>
          <w:tcPr>
            <w:tcW w:w="729"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761"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222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72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952"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1440" w:type="dxa"/>
            <w:tcBorders>
              <w:top w:val="single" w:color="auto" w:sz="4" w:space="0"/>
              <w:left w:val="nil"/>
              <w:bottom w:val="single" w:color="auto" w:sz="4" w:space="0"/>
              <w:right w:val="single" w:color="auto" w:sz="4" w:space="0"/>
            </w:tcBorders>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385" w:type="dxa"/>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rPr>
            </w:pPr>
          </w:p>
        </w:tc>
        <w:tc>
          <w:tcPr>
            <w:tcW w:w="1275"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Style w:val="104"/>
                <w:rFonts w:asciiTheme="minorEastAsia" w:hAnsiTheme="minorEastAsia" w:eastAsiaTheme="minorEastAsia"/>
                <w:b w:val="0"/>
                <w:bCs w:val="0"/>
                <w:kern w:val="0"/>
                <w:sz w:val="24"/>
              </w:rPr>
            </w:pPr>
          </w:p>
        </w:tc>
        <w:tc>
          <w:tcPr>
            <w:tcW w:w="75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rPr>
            </w:pPr>
          </w:p>
        </w:tc>
        <w:tc>
          <w:tcPr>
            <w:tcW w:w="729"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761"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222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72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kern w:val="0"/>
                <w:sz w:val="24"/>
              </w:rPr>
            </w:pPr>
          </w:p>
        </w:tc>
        <w:tc>
          <w:tcPr>
            <w:tcW w:w="952"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c>
          <w:tcPr>
            <w:tcW w:w="1440" w:type="dxa"/>
            <w:tcBorders>
              <w:top w:val="single" w:color="auto" w:sz="4" w:space="0"/>
              <w:left w:val="nil"/>
              <w:bottom w:val="single" w:color="auto" w:sz="4" w:space="0"/>
              <w:right w:val="single" w:color="auto" w:sz="4" w:space="0"/>
            </w:tcBorders>
            <w:vAlign w:val="center"/>
          </w:tcPr>
          <w:p>
            <w:pPr>
              <w:kinsoku w:val="0"/>
              <w:overflowPunct w:val="0"/>
              <w:autoSpaceDE w:val="0"/>
              <w:autoSpaceDN w:val="0"/>
              <w:adjustRightInd w:val="0"/>
              <w:snapToGrid w:val="0"/>
              <w:spacing w:line="360" w:lineRule="auto"/>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241" w:type="dxa"/>
            <w:gridSpan w:val="10"/>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napToGrid w:val="0"/>
              <w:spacing w:line="360" w:lineRule="auto"/>
              <w:ind w:firstLine="600" w:firstLineChars="250"/>
              <w:rPr>
                <w:rFonts w:asciiTheme="minorEastAsia" w:hAnsiTheme="minorEastAsia" w:eastAsiaTheme="minorEastAsia"/>
                <w:b/>
                <w:color w:val="000000"/>
              </w:rPr>
            </w:pPr>
            <w:r>
              <w:rPr>
                <w:rFonts w:hint="eastAsia" w:asciiTheme="minorEastAsia" w:hAnsiTheme="minorEastAsia" w:eastAsiaTheme="minorEastAsia"/>
                <w:kern w:val="0"/>
                <w:sz w:val="24"/>
              </w:rPr>
              <w:t>合计</w:t>
            </w:r>
            <w:r>
              <w:rPr>
                <w:rFonts w:hint="eastAsia" w:asciiTheme="minorEastAsia" w:hAnsiTheme="minorEastAsia" w:eastAsiaTheme="minorEastAsia"/>
                <w:b/>
                <w:sz w:val="24"/>
              </w:rPr>
              <w:t xml:space="preserve">（人民币）:          </w:t>
            </w:r>
            <w:r>
              <w:rPr>
                <w:rFonts w:hint="eastAsia" w:asciiTheme="minorEastAsia" w:hAnsiTheme="minorEastAsia" w:eastAsiaTheme="minorEastAsia"/>
                <w:b/>
                <w:color w:val="000000"/>
                <w:kern w:val="0"/>
                <w:sz w:val="24"/>
              </w:rPr>
              <w:t>元整（</w:t>
            </w:r>
            <w:r>
              <w:rPr>
                <w:rFonts w:cs="Arial" w:asciiTheme="minorEastAsia" w:hAnsiTheme="minorEastAsia" w:eastAsiaTheme="minorEastAsia"/>
                <w:b/>
                <w:color w:val="000000"/>
                <w:kern w:val="0"/>
                <w:sz w:val="24"/>
              </w:rPr>
              <w:t>￥</w:t>
            </w:r>
            <w:r>
              <w:rPr>
                <w:rFonts w:hint="eastAsia" w:asciiTheme="minorEastAsia" w:hAnsiTheme="minorEastAsia" w:eastAsiaTheme="minorEastAsia"/>
                <w:b/>
                <w:color w:val="000000"/>
                <w:kern w:val="0"/>
                <w:sz w:val="24"/>
              </w:rPr>
              <w:t>：    元）</w:t>
            </w:r>
          </w:p>
          <w:p>
            <w:pPr>
              <w:kinsoku w:val="0"/>
              <w:overflowPunct w:val="0"/>
              <w:autoSpaceDE w:val="0"/>
              <w:autoSpaceDN w:val="0"/>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b/>
                <w:sz w:val="24"/>
              </w:rPr>
              <w:t>注：</w:t>
            </w:r>
            <w:r>
              <w:rPr>
                <w:rFonts w:hint="eastAsia" w:asciiTheme="minorEastAsia" w:hAnsiTheme="minorEastAsia" w:eastAsiaTheme="minorEastAsia"/>
                <w:sz w:val="24"/>
              </w:rPr>
              <w:t xml:space="preserve"> 1. 所提供设备必须为全新的，无瑕疵设备。</w:t>
            </w:r>
          </w:p>
          <w:p>
            <w:pPr>
              <w:snapToGrid w:val="0"/>
              <w:spacing w:line="360" w:lineRule="auto"/>
              <w:ind w:firstLine="600" w:firstLineChars="250"/>
              <w:rPr>
                <w:rFonts w:asciiTheme="minorEastAsia" w:hAnsiTheme="minorEastAsia" w:eastAsiaTheme="minorEastAsia"/>
                <w:sz w:val="24"/>
              </w:rPr>
            </w:pPr>
            <w:r>
              <w:rPr>
                <w:rFonts w:hint="eastAsia" w:asciiTheme="minorEastAsia" w:hAnsiTheme="minorEastAsia" w:eastAsiaTheme="minorEastAsia"/>
                <w:sz w:val="24"/>
              </w:rPr>
              <w:t>2．设备质量及包装必须符合中华人民共和国进出口货物相关法律、法规。</w:t>
            </w:r>
          </w:p>
          <w:p>
            <w:pPr>
              <w:kinsoku w:val="0"/>
              <w:overflowPunct w:val="0"/>
              <w:autoSpaceDE w:val="0"/>
              <w:autoSpaceDN w:val="0"/>
              <w:adjustRightInd w:val="0"/>
              <w:snapToGrid w:val="0"/>
              <w:spacing w:line="360" w:lineRule="auto"/>
              <w:ind w:firstLine="600" w:firstLineChars="250"/>
              <w:rPr>
                <w:rFonts w:asciiTheme="minorEastAsia" w:hAnsiTheme="minorEastAsia" w:eastAsiaTheme="minorEastAsia"/>
                <w:sz w:val="24"/>
              </w:rPr>
            </w:pPr>
            <w:r>
              <w:rPr>
                <w:rFonts w:hint="eastAsia" w:asciiTheme="minorEastAsia" w:hAnsiTheme="minorEastAsia" w:eastAsiaTheme="minorEastAsia"/>
                <w:sz w:val="24"/>
              </w:rPr>
              <w:t>3．所提供货物索赔期为      个月（从到岸时间开始计算）。</w:t>
            </w:r>
          </w:p>
        </w:tc>
      </w:tr>
    </w:tbl>
    <w:p>
      <w:pPr>
        <w:spacing w:line="360" w:lineRule="auto"/>
        <w:ind w:left="359" w:leftChars="171"/>
        <w:rPr>
          <w:rFonts w:asciiTheme="minorEastAsia" w:hAnsiTheme="minorEastAsia" w:eastAsiaTheme="minorEastAsia"/>
          <w:b/>
          <w:sz w:val="24"/>
        </w:rPr>
      </w:pPr>
      <w:r>
        <w:rPr>
          <w:rFonts w:hint="eastAsia" w:asciiTheme="minorEastAsia" w:hAnsiTheme="minorEastAsia" w:eastAsiaTheme="minorEastAsia"/>
          <w:b/>
          <w:sz w:val="24"/>
        </w:rPr>
        <w:t>技术负责人（签字）：</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b/>
          <w:sz w:val="24"/>
        </w:rPr>
        <w:t xml:space="preserve">    部门负责人（签字）：</w:t>
      </w:r>
      <w:r>
        <w:rPr>
          <w:rFonts w:hint="eastAsia" w:asciiTheme="minorEastAsia" w:hAnsiTheme="minorEastAsia" w:eastAsiaTheme="minorEastAsia"/>
          <w:b/>
          <w:sz w:val="24"/>
          <w:u w:val="single"/>
        </w:rPr>
        <w:t xml:space="preserve">                 </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二、协议总金额（人民币）:</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b/>
          <w:color w:val="000000"/>
          <w:kern w:val="0"/>
          <w:sz w:val="24"/>
        </w:rPr>
        <w:t>元整（</w:t>
      </w:r>
      <w:r>
        <w:rPr>
          <w:rFonts w:cs="Arial" w:asciiTheme="minorEastAsia" w:hAnsiTheme="minorEastAsia" w:eastAsiaTheme="minorEastAsia"/>
          <w:b/>
          <w:color w:val="000000"/>
          <w:kern w:val="0"/>
          <w:sz w:val="24"/>
        </w:rPr>
        <w:t>￥</w:t>
      </w:r>
      <w:r>
        <w:rPr>
          <w:rFonts w:hint="eastAsia" w:asciiTheme="minorEastAsia" w:hAnsiTheme="minorEastAsia" w:eastAsiaTheme="minorEastAsia"/>
          <w:b/>
          <w:color w:val="000000"/>
          <w:kern w:val="0"/>
          <w:sz w:val="24"/>
        </w:rPr>
        <w:t>：</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b/>
          <w:color w:val="000000"/>
          <w:kern w:val="0"/>
          <w:sz w:val="24"/>
        </w:rPr>
        <w:t>元）</w:t>
      </w:r>
      <w:r>
        <w:rPr>
          <w:rFonts w:hint="eastAsia" w:asciiTheme="minorEastAsia" w:hAnsiTheme="minorEastAsia" w:eastAsiaTheme="minorEastAsia"/>
          <w:b/>
          <w:sz w:val="24"/>
        </w:rPr>
        <w:t>。含增值税、运费、安装调试费等，甲方无需支付其他费用。</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三、交货：</w:t>
      </w:r>
    </w:p>
    <w:p>
      <w:pPr>
        <w:spacing w:line="360" w:lineRule="auto"/>
        <w:ind w:left="360" w:firstLine="482" w:firstLineChars="200"/>
        <w:rPr>
          <w:rFonts w:asciiTheme="minorEastAsia" w:hAnsiTheme="minorEastAsia" w:eastAsiaTheme="minorEastAsia"/>
          <w:sz w:val="24"/>
        </w:rPr>
      </w:pPr>
      <w:r>
        <w:rPr>
          <w:rFonts w:hint="eastAsia" w:asciiTheme="minorEastAsia" w:hAnsiTheme="minorEastAsia" w:eastAsiaTheme="minorEastAsia"/>
          <w:b/>
          <w:sz w:val="24"/>
        </w:rPr>
        <w:t>1.交货时间：</w:t>
      </w:r>
      <w:r>
        <w:rPr>
          <w:rFonts w:hint="eastAsia" w:asciiTheme="minorEastAsia" w:hAnsiTheme="minorEastAsia" w:eastAsiaTheme="minorEastAsia"/>
          <w:sz w:val="24"/>
        </w:rPr>
        <w:t>乙方应在信用证开具</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日内完成所有仪器设备（系统）的安装调试工作。</w:t>
      </w:r>
    </w:p>
    <w:p>
      <w:pPr>
        <w:spacing w:line="360" w:lineRule="auto"/>
        <w:ind w:left="360" w:firstLine="482" w:firstLineChars="200"/>
        <w:rPr>
          <w:rFonts w:asciiTheme="minorEastAsia" w:hAnsiTheme="minorEastAsia" w:eastAsiaTheme="minorEastAsia"/>
          <w:sz w:val="24"/>
        </w:rPr>
      </w:pPr>
      <w:r>
        <w:rPr>
          <w:rFonts w:hint="eastAsia" w:asciiTheme="minorEastAsia" w:hAnsiTheme="minorEastAsia" w:eastAsiaTheme="minorEastAsia"/>
          <w:b/>
          <w:sz w:val="24"/>
        </w:rPr>
        <w:t>2.交货地点</w:t>
      </w:r>
      <w:r>
        <w:rPr>
          <w:rFonts w:hint="eastAsia" w:asciiTheme="minorEastAsia" w:hAnsiTheme="minorEastAsia" w:eastAsiaTheme="minorEastAsia"/>
          <w:sz w:val="24"/>
        </w:rPr>
        <w:t>：甲方指定地点。</w:t>
      </w:r>
    </w:p>
    <w:p>
      <w:pPr>
        <w:spacing w:line="360" w:lineRule="auto"/>
        <w:ind w:left="359" w:leftChars="171" w:firstLine="480" w:firstLineChars="200"/>
        <w:rPr>
          <w:rFonts w:asciiTheme="minorEastAsia" w:hAnsiTheme="minorEastAsia" w:eastAsiaTheme="minorEastAsia"/>
          <w:sz w:val="24"/>
        </w:rPr>
      </w:pPr>
      <w:r>
        <w:rPr>
          <w:rFonts w:hint="eastAsia" w:asciiTheme="minorEastAsia" w:hAnsiTheme="minorEastAsia" w:eastAsiaTheme="minorEastAsia"/>
          <w:sz w:val="24"/>
        </w:rPr>
        <w:t>3.交货方式：乙方负责安排运输到甲方指定地。</w:t>
      </w:r>
      <w:r>
        <w:rPr>
          <w:rFonts w:hint="eastAsia" w:asciiTheme="minorEastAsia" w:hAnsiTheme="minorEastAsia" w:eastAsiaTheme="minorEastAsia"/>
          <w:bCs/>
          <w:sz w:val="24"/>
        </w:rPr>
        <w:t>乙方承担货物交付甲方前的一切费用及风险（本条款所指交付是乙方将货物运送至甲方指定地点，并经甲方验收合格并出具验收合格证明后视为交付）。</w:t>
      </w:r>
    </w:p>
    <w:p>
      <w:pPr>
        <w:spacing w:line="360" w:lineRule="auto"/>
        <w:ind w:left="360" w:firstLine="480" w:firstLineChars="200"/>
        <w:rPr>
          <w:rFonts w:asciiTheme="minorEastAsia" w:hAnsiTheme="minorEastAsia" w:eastAsiaTheme="minorEastAsia"/>
          <w:sz w:val="24"/>
        </w:rPr>
      </w:pPr>
      <w:r>
        <w:rPr>
          <w:rFonts w:hint="eastAsia" w:asciiTheme="minorEastAsia" w:hAnsiTheme="minorEastAsia" w:eastAsiaTheme="minorEastAsia"/>
          <w:sz w:val="24"/>
        </w:rPr>
        <w:t>4.交货时，乙方应将产品的产品说明书、使用说明书，出厂合格证、用户手册、保修手册等单证交付给甲方，进口产品必须提供国家进出口商品检验部门的检验证明及详尽的中文版说明书，前述单证未交付完整的，视为未完全交货。</w:t>
      </w:r>
    </w:p>
    <w:p>
      <w:pPr>
        <w:spacing w:line="360" w:lineRule="auto"/>
        <w:ind w:left="360" w:firstLine="480" w:firstLineChars="200"/>
        <w:rPr>
          <w:rFonts w:asciiTheme="minorEastAsia" w:hAnsiTheme="minorEastAsia" w:eastAsiaTheme="minorEastAsia"/>
          <w:sz w:val="24"/>
        </w:rPr>
      </w:pPr>
      <w:r>
        <w:rPr>
          <w:rFonts w:hint="eastAsia" w:asciiTheme="minorEastAsia" w:hAnsiTheme="minorEastAsia" w:eastAsiaTheme="minorEastAsia"/>
          <w:sz w:val="24"/>
        </w:rPr>
        <w:t>5.如果产品属于特种设备，则乙方应当提供相关证明并协助甲方办理相关手续。</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四、验收方式：</w:t>
      </w:r>
    </w:p>
    <w:p>
      <w:pPr>
        <w:spacing w:line="360" w:lineRule="auto"/>
        <w:ind w:left="412" w:leftChars="196" w:firstLine="439" w:firstLineChars="183"/>
        <w:rPr>
          <w:rFonts w:asciiTheme="minorEastAsia" w:hAnsiTheme="minorEastAsia" w:eastAsiaTheme="minorEastAsia"/>
          <w:sz w:val="24"/>
        </w:rPr>
      </w:pPr>
      <w:r>
        <w:rPr>
          <w:rFonts w:hint="eastAsia" w:asciiTheme="minorEastAsia" w:hAnsiTheme="minorEastAsia" w:eastAsiaTheme="minorEastAsia"/>
          <w:sz w:val="24"/>
        </w:rPr>
        <w:t xml:space="preserve">1.甲方组织技术人员验收。货物质量验收合格的，甲方签署验收报告，验收不合格的，甲方向乙方出具书面质量异议意见。 </w:t>
      </w:r>
    </w:p>
    <w:p>
      <w:pPr>
        <w:spacing w:line="360" w:lineRule="auto"/>
        <w:ind w:left="132" w:leftChars="63" w:firstLine="720" w:firstLineChars="300"/>
        <w:rPr>
          <w:rFonts w:asciiTheme="minorEastAsia" w:hAnsiTheme="minorEastAsia" w:eastAsiaTheme="minorEastAsia"/>
          <w:sz w:val="24"/>
        </w:rPr>
      </w:pPr>
      <w:r>
        <w:rPr>
          <w:rFonts w:hint="eastAsia" w:asciiTheme="minorEastAsia" w:hAnsiTheme="minorEastAsia" w:eastAsiaTheme="minorEastAsia"/>
          <w:sz w:val="24"/>
        </w:rPr>
        <w:t xml:space="preserve">2.甲方收货验收并不免除乙方对产品质量应当承担的责任。     </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五、验收标准：</w:t>
      </w:r>
      <w:r>
        <w:rPr>
          <w:rFonts w:hint="eastAsia" w:asciiTheme="minorEastAsia" w:hAnsiTheme="minorEastAsia" w:eastAsiaTheme="minorEastAsia"/>
          <w:sz w:val="24"/>
        </w:rPr>
        <w:t>本合同相关约定，本合同未明确约定事项按本项目投标文件（含《响应文件》相关承诺和说明）、招标文件相关要求、相关技术文件验收。</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六、付款方式：</w:t>
      </w:r>
    </w:p>
    <w:p>
      <w:pPr>
        <w:spacing w:line="360" w:lineRule="auto"/>
        <w:ind w:left="360" w:firstLine="480" w:firstLineChars="200"/>
        <w:rPr>
          <w:rFonts w:asciiTheme="minorEastAsia" w:hAnsiTheme="minorEastAsia" w:eastAsiaTheme="minorEastAsia"/>
          <w:sz w:val="24"/>
        </w:rPr>
      </w:pPr>
      <w:r>
        <w:rPr>
          <w:rFonts w:hint="eastAsia" w:asciiTheme="minorEastAsia" w:hAnsiTheme="minorEastAsia" w:eastAsiaTheme="minorEastAsia"/>
          <w:sz w:val="24"/>
        </w:rPr>
        <w:t>1.本协议正式签订前，乙方需向甲方支付协议总金额的5%即人民币</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元整（￥</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元整）作为履约保证金。所有进口仪器设备（系统）经甲方验收合格后，履约保证金转为质保金，产品验收合格满</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年后，若无质量问题甲方将质保金全额无息退还给乙方。</w:t>
      </w:r>
    </w:p>
    <w:p>
      <w:pPr>
        <w:spacing w:line="360" w:lineRule="auto"/>
        <w:ind w:left="360" w:firstLine="480" w:firstLineChars="200"/>
        <w:rPr>
          <w:rFonts w:asciiTheme="minorEastAsia" w:hAnsiTheme="minorEastAsia" w:eastAsiaTheme="minorEastAsia"/>
          <w:sz w:val="24"/>
        </w:rPr>
      </w:pPr>
      <w:r>
        <w:rPr>
          <w:rFonts w:hint="eastAsia" w:asciiTheme="minorEastAsia" w:hAnsiTheme="minorEastAsia" w:eastAsiaTheme="minorEastAsia"/>
          <w:sz w:val="24"/>
        </w:rPr>
        <w:t>2.其它以外贸协议为准。</w:t>
      </w:r>
    </w:p>
    <w:p>
      <w:pPr>
        <w:spacing w:line="360" w:lineRule="auto"/>
        <w:ind w:left="360"/>
        <w:rPr>
          <w:rFonts w:asciiTheme="minorEastAsia" w:hAnsiTheme="minorEastAsia" w:eastAsiaTheme="minorEastAsia"/>
          <w:b/>
          <w:sz w:val="24"/>
        </w:rPr>
      </w:pPr>
      <w:r>
        <w:rPr>
          <w:rFonts w:hint="eastAsia" w:asciiTheme="minorEastAsia" w:hAnsiTheme="minorEastAsia" w:eastAsiaTheme="minorEastAsia"/>
          <w:b/>
          <w:sz w:val="24"/>
        </w:rPr>
        <w:t>七、售后服务（</w:t>
      </w:r>
      <w:r>
        <w:rPr>
          <w:rFonts w:hint="eastAsia" w:asciiTheme="minorEastAsia" w:hAnsiTheme="minorEastAsia" w:eastAsiaTheme="minorEastAsia"/>
          <w:bCs/>
          <w:sz w:val="24"/>
        </w:rPr>
        <w:t>根据具体项目投标文件填写</w:t>
      </w:r>
      <w:r>
        <w:rPr>
          <w:rFonts w:hint="eastAsia" w:asciiTheme="minorEastAsia" w:hAnsiTheme="minorEastAsia" w:eastAsiaTheme="minorEastAsia"/>
          <w:b/>
          <w:sz w:val="24"/>
        </w:rPr>
        <w:t>）</w:t>
      </w:r>
    </w:p>
    <w:p>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1.产品验收合格之日起质保期</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年，提供售后服务</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年。</w:t>
      </w:r>
    </w:p>
    <w:p>
      <w:pPr>
        <w:spacing w:line="360" w:lineRule="auto"/>
        <w:ind w:left="479" w:leftChars="228"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2.质保期、保修期内因产品质量或安装调试原因引起的全部维修费用（包括更换零配件的费用）均由乙方承担。</w:t>
      </w:r>
    </w:p>
    <w:p>
      <w:pPr>
        <w:spacing w:line="360" w:lineRule="auto"/>
        <w:ind w:left="479" w:leftChars="228"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3.质保期、保修期外，乙方应定期回访，发现问题及时通知甲方，产品维修零配件以优惠价给甲方（免收人工及差旅费）。</w:t>
      </w:r>
    </w:p>
    <w:p>
      <w:pPr>
        <w:spacing w:line="360" w:lineRule="auto"/>
        <w:ind w:left="479" w:leftChars="228"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left="479" w:leftChars="172" w:hanging="118" w:hangingChars="49"/>
        <w:rPr>
          <w:rFonts w:asciiTheme="minorEastAsia" w:hAnsiTheme="minorEastAsia" w:eastAsiaTheme="minorEastAsia"/>
          <w:b/>
          <w:bCs/>
          <w:sz w:val="24"/>
        </w:rPr>
      </w:pPr>
      <w:r>
        <w:rPr>
          <w:rFonts w:hint="eastAsia" w:asciiTheme="minorEastAsia" w:hAnsiTheme="minorEastAsia" w:eastAsiaTheme="minorEastAsia"/>
          <w:b/>
          <w:bCs/>
          <w:sz w:val="24"/>
        </w:rPr>
        <w:t>八、违约责任</w:t>
      </w:r>
    </w:p>
    <w:p>
      <w:pPr>
        <w:spacing w:line="360" w:lineRule="auto"/>
        <w:ind w:left="540" w:leftChars="257" w:firstLine="480" w:firstLineChars="200"/>
        <w:rPr>
          <w:rFonts w:asciiTheme="minorEastAsia" w:hAnsiTheme="minorEastAsia" w:eastAsiaTheme="minorEastAsia"/>
          <w:sz w:val="24"/>
        </w:rPr>
      </w:pPr>
      <w:r>
        <w:rPr>
          <w:rFonts w:hint="eastAsia" w:asciiTheme="minorEastAsia" w:hAnsiTheme="minorEastAsia" w:eastAsiaTheme="minorEastAsia"/>
          <w:sz w:val="24"/>
        </w:rPr>
        <w:t>1、若乙方未能按协议所规定的交货时间前完成本协议所有设备安装调试并达到验收标准，每延迟一天，按协议总额的千分之一向甲方交纳违约金,违约金总额不超过协议总金额的百分之五。</w:t>
      </w:r>
    </w:p>
    <w:p>
      <w:pPr>
        <w:spacing w:line="360" w:lineRule="auto"/>
        <w:ind w:left="540" w:leftChars="257" w:firstLine="480" w:firstLineChars="200"/>
        <w:rPr>
          <w:rFonts w:asciiTheme="minorEastAsia" w:hAnsiTheme="minorEastAsia" w:eastAsiaTheme="minorEastAsia"/>
          <w:sz w:val="24"/>
        </w:rPr>
      </w:pPr>
      <w:r>
        <w:rPr>
          <w:rFonts w:hint="eastAsia" w:asciiTheme="minorEastAsia" w:hAnsiTheme="minorEastAsia" w:eastAsiaTheme="minorEastAsia"/>
          <w:sz w:val="24"/>
        </w:rPr>
        <w:t>2．若乙方未能在信用证开具</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日内完成本协议所有设备安装调试并达到验收标准，甲方可中止本协议，并由乙方承担由此给甲方造成的一切损失。</w:t>
      </w:r>
    </w:p>
    <w:p>
      <w:pPr>
        <w:spacing w:line="360" w:lineRule="auto"/>
        <w:ind w:left="540" w:leftChars="257" w:firstLine="480" w:firstLineChars="200"/>
        <w:rPr>
          <w:rFonts w:asciiTheme="minorEastAsia" w:hAnsiTheme="minorEastAsia" w:eastAsiaTheme="minorEastAsia"/>
          <w:bCs/>
          <w:sz w:val="24"/>
        </w:rPr>
      </w:pPr>
      <w:r>
        <w:rPr>
          <w:rFonts w:hint="eastAsia" w:asciiTheme="minorEastAsia" w:hAnsiTheme="minorEastAsia" w:eastAsiaTheme="minorEastAsia"/>
          <w:sz w:val="24"/>
        </w:rPr>
        <w:t>3．乙方交付甲方的设备及工程中使用的材料必须有合法的进货渠道，且符合协议和投标书中的质量约定，否则由乙方承担一切责任。</w:t>
      </w:r>
    </w:p>
    <w:p>
      <w:pPr>
        <w:spacing w:line="360" w:lineRule="auto"/>
        <w:ind w:left="540" w:leftChars="257"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4. 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w:t>
      </w:r>
      <w:r>
        <w:rPr>
          <w:rFonts w:hint="eastAsia" w:asciiTheme="minorEastAsia" w:hAnsiTheme="minorEastAsia" w:eastAsiaTheme="minorEastAsia"/>
          <w:sz w:val="24"/>
        </w:rPr>
        <w:t>5%</w:t>
      </w:r>
      <w:r>
        <w:rPr>
          <w:rFonts w:hint="eastAsia" w:asciiTheme="minorEastAsia" w:hAnsiTheme="minorEastAsia" w:eastAsiaTheme="minorEastAsia"/>
          <w:bCs/>
          <w:sz w:val="24"/>
        </w:rPr>
        <w:t>向甲方支付违约金。</w:t>
      </w:r>
    </w:p>
    <w:p>
      <w:pPr>
        <w:spacing w:line="360" w:lineRule="auto"/>
        <w:ind w:firstLine="482" w:firstLineChars="200"/>
        <w:rPr>
          <w:rFonts w:asciiTheme="minorEastAsia" w:hAnsiTheme="minorEastAsia" w:eastAsiaTheme="minorEastAsia"/>
          <w:b/>
          <w:bCs/>
          <w:sz w:val="24"/>
        </w:rPr>
      </w:pPr>
      <w:r>
        <w:rPr>
          <w:rFonts w:hint="eastAsia" w:asciiTheme="minorEastAsia" w:hAnsiTheme="minorEastAsia" w:eastAsiaTheme="minorEastAsia"/>
          <w:b/>
          <w:sz w:val="24"/>
        </w:rPr>
        <w:t>九、在履行本协议过程中，如发生争议，双方应友好协商解决，如协商不能解决，双方同同意由武汉市仲裁委员会仲裁或向武汉市洪山区人民法院起诉。本协议的任何变更、修改、补充须双方代表签署书面文件方为有效，补充文件为本协议不可分割的组成部分，同时具备法律效力。</w:t>
      </w:r>
    </w:p>
    <w:p>
      <w:pPr>
        <w:spacing w:line="360" w:lineRule="auto"/>
        <w:ind w:left="360" w:leftChars="171" w:hanging="1"/>
        <w:rPr>
          <w:rFonts w:asciiTheme="minorEastAsia" w:hAnsiTheme="minorEastAsia" w:eastAsiaTheme="minorEastAsia"/>
          <w:b/>
          <w:sz w:val="24"/>
        </w:rPr>
      </w:pPr>
      <w:r>
        <w:rPr>
          <w:rFonts w:hint="eastAsia" w:asciiTheme="minorEastAsia" w:hAnsiTheme="minorEastAsia" w:eastAsiaTheme="minorEastAsia"/>
          <w:b/>
          <w:sz w:val="24"/>
        </w:rPr>
        <w:t>十、本协议一式陆份，甲方持伍份，乙方持壹份，具有同等法律效力。</w:t>
      </w:r>
    </w:p>
    <w:p>
      <w:pPr>
        <w:spacing w:line="360" w:lineRule="auto"/>
        <w:ind w:left="360" w:leftChars="171" w:hanging="1"/>
        <w:rPr>
          <w:rFonts w:asciiTheme="minorEastAsia" w:hAnsiTheme="minorEastAsia" w:eastAsiaTheme="minorEastAsia"/>
          <w:b/>
          <w:sz w:val="24"/>
        </w:rPr>
      </w:pPr>
      <w:r>
        <w:rPr>
          <w:rFonts w:hint="eastAsia" w:asciiTheme="minorEastAsia" w:hAnsiTheme="minorEastAsia" w:eastAsiaTheme="minorEastAsia"/>
          <w:b/>
          <w:sz w:val="24"/>
        </w:rPr>
        <w:t>十一、本协议自双方签字并盖章之日起生效。</w:t>
      </w:r>
    </w:p>
    <w:p>
      <w:pPr>
        <w:spacing w:line="360" w:lineRule="auto"/>
        <w:ind w:left="-178" w:leftChars="-85" w:right="-359" w:rightChars="-171" w:firstLine="144" w:firstLineChars="60"/>
        <w:rPr>
          <w:rFonts w:asciiTheme="minorEastAsia" w:hAnsiTheme="minorEastAsia" w:eastAsiaTheme="minorEastAsia"/>
          <w:sz w:val="24"/>
        </w:rPr>
      </w:pPr>
      <w:r>
        <w:rPr>
          <w:rFonts w:hint="eastAsia" w:asciiTheme="minorEastAsia" w:hAnsiTheme="minorEastAsia" w:eastAsiaTheme="minorEastAsia"/>
          <w:sz w:val="24"/>
        </w:rPr>
        <w:t xml:space="preserve"> </w:t>
      </w:r>
    </w:p>
    <w:p>
      <w:pPr>
        <w:spacing w:line="360" w:lineRule="auto"/>
        <w:ind w:left="178" w:leftChars="85" w:right="-359" w:rightChars="-171"/>
        <w:rPr>
          <w:rFonts w:asciiTheme="minorEastAsia" w:hAnsiTheme="minorEastAsia" w:eastAsiaTheme="minorEastAsia"/>
          <w:sz w:val="24"/>
        </w:rPr>
      </w:pPr>
      <w:r>
        <w:rPr>
          <w:rFonts w:hint="eastAsia" w:asciiTheme="minorEastAsia" w:hAnsiTheme="minorEastAsia" w:eastAsiaTheme="minorEastAsia"/>
          <w:sz w:val="24"/>
        </w:rPr>
        <w:t>甲 方（盖章）：</w:t>
      </w:r>
      <w:r>
        <w:rPr>
          <w:rFonts w:hint="eastAsia" w:asciiTheme="minorEastAsia" w:hAnsiTheme="minorEastAsia" w:eastAsiaTheme="minorEastAsia"/>
          <w:b/>
          <w:bCs/>
          <w:sz w:val="24"/>
        </w:rPr>
        <w:t xml:space="preserve">湖北工业大学             </w:t>
      </w:r>
      <w:r>
        <w:rPr>
          <w:rFonts w:asciiTheme="minorEastAsia" w:hAnsiTheme="minorEastAsia" w:eastAsiaTheme="minorEastAsia"/>
          <w:b/>
          <w:bCs/>
          <w:sz w:val="24"/>
        </w:rPr>
        <w:t xml:space="preserve">  </w:t>
      </w:r>
      <w:r>
        <w:rPr>
          <w:rFonts w:hint="eastAsia" w:asciiTheme="minorEastAsia" w:hAnsiTheme="minorEastAsia" w:eastAsiaTheme="minorEastAsia"/>
          <w:sz w:val="24"/>
        </w:rPr>
        <w:t xml:space="preserve">乙 方（盖章）：           </w:t>
      </w:r>
    </w:p>
    <w:p>
      <w:pPr>
        <w:spacing w:line="360" w:lineRule="auto"/>
        <w:ind w:left="178" w:leftChars="85" w:right="-178" w:rightChars="-85"/>
        <w:rPr>
          <w:rFonts w:asciiTheme="minorEastAsia" w:hAnsiTheme="minorEastAsia" w:eastAsiaTheme="minorEastAsia"/>
          <w:sz w:val="24"/>
        </w:rPr>
      </w:pPr>
      <w:r>
        <w:rPr>
          <w:rFonts w:hint="eastAsia" w:asciiTheme="minorEastAsia" w:hAnsiTheme="minorEastAsia" w:eastAsiaTheme="minorEastAsia"/>
          <w:sz w:val="24"/>
        </w:rPr>
        <w:t>部门（单位）主要负责人（签名）：</w:t>
      </w:r>
    </w:p>
    <w:p>
      <w:pPr>
        <w:spacing w:line="360" w:lineRule="auto"/>
        <w:ind w:left="178" w:leftChars="85" w:right="-178" w:rightChars="-85"/>
        <w:rPr>
          <w:rFonts w:asciiTheme="minorEastAsia" w:hAnsiTheme="minorEastAsia" w:eastAsiaTheme="minorEastAsia"/>
          <w:sz w:val="24"/>
        </w:rPr>
      </w:pPr>
      <w:r>
        <w:rPr>
          <w:rFonts w:hint="eastAsia" w:asciiTheme="minorEastAsia" w:hAnsiTheme="minorEastAsia" w:eastAsiaTheme="minorEastAsia"/>
          <w:sz w:val="24"/>
        </w:rPr>
        <w:t>法人或授权代表（签名）：                   法人或授权代表（签名）：</w:t>
      </w:r>
    </w:p>
    <w:p>
      <w:pPr>
        <w:spacing w:line="360" w:lineRule="auto"/>
        <w:ind w:left="178" w:leftChars="85" w:right="-171"/>
        <w:rPr>
          <w:rFonts w:asciiTheme="minorEastAsia" w:hAnsiTheme="minorEastAsia" w:eastAsiaTheme="minorEastAsia"/>
          <w:sz w:val="24"/>
        </w:rPr>
      </w:pPr>
      <w:r>
        <w:rPr>
          <w:rFonts w:hint="eastAsia" w:asciiTheme="minorEastAsia" w:hAnsiTheme="minorEastAsia" w:eastAsiaTheme="minorEastAsia"/>
          <w:sz w:val="24"/>
        </w:rPr>
        <w:t>联系方式：59750213                         联系方式：</w:t>
      </w:r>
    </w:p>
    <w:p>
      <w:pPr>
        <w:spacing w:line="360" w:lineRule="auto"/>
        <w:ind w:left="178" w:leftChars="85" w:right="-171"/>
        <w:rPr>
          <w:rFonts w:asciiTheme="minorEastAsia" w:hAnsiTheme="minorEastAsia" w:eastAsiaTheme="minorEastAsia"/>
          <w:sz w:val="24"/>
        </w:rPr>
      </w:pPr>
      <w:r>
        <w:rPr>
          <w:rFonts w:hint="eastAsia" w:asciiTheme="minorEastAsia" w:hAnsiTheme="minorEastAsia" w:eastAsiaTheme="minorEastAsia"/>
          <w:sz w:val="24"/>
        </w:rPr>
        <w:t xml:space="preserve">                                           开户银行：</w:t>
      </w:r>
    </w:p>
    <w:p>
      <w:pPr>
        <w:spacing w:line="360" w:lineRule="auto"/>
        <w:ind w:left="178" w:leftChars="85" w:right="-171"/>
        <w:rPr>
          <w:rFonts w:asciiTheme="minorEastAsia" w:hAnsiTheme="minorEastAsia" w:eastAsiaTheme="minorEastAsia"/>
          <w:kern w:val="0"/>
          <w:sz w:val="24"/>
        </w:rPr>
      </w:pPr>
      <w:r>
        <w:rPr>
          <w:rFonts w:hint="eastAsia" w:asciiTheme="minorEastAsia" w:hAnsiTheme="minorEastAsia" w:eastAsiaTheme="minorEastAsia"/>
          <w:sz w:val="24"/>
        </w:rPr>
        <w:t xml:space="preserve">                                           银行账号：</w:t>
      </w:r>
    </w:p>
    <w:p>
      <w:pPr>
        <w:pStyle w:val="16"/>
        <w:spacing w:line="360" w:lineRule="auto"/>
        <w:ind w:left="178" w:leftChars="85"/>
        <w:jc w:val="lef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日  期： 二○  年  月    日                日   期：二○   年   月  日</w:t>
      </w:r>
    </w:p>
    <w:p>
      <w:pPr>
        <w:pStyle w:val="4"/>
        <w:numPr>
          <w:ilvl w:val="0"/>
          <w:numId w:val="4"/>
        </w:numPr>
        <w:jc w:val="center"/>
        <w:rPr>
          <w:rFonts w:asciiTheme="minorEastAsia" w:hAnsiTheme="minorEastAsia" w:eastAsiaTheme="minorEastAsia" w:cstheme="minorEastAsia"/>
          <w:sz w:val="36"/>
          <w:szCs w:val="36"/>
        </w:rPr>
      </w:pPr>
      <w:r>
        <w:rPr>
          <w:rFonts w:asciiTheme="minorEastAsia" w:hAnsiTheme="minorEastAsia" w:eastAsiaTheme="minorEastAsia"/>
          <w:sz w:val="24"/>
        </w:rPr>
        <w:t xml:space="preserve"> </w:t>
      </w:r>
      <w:bookmarkStart w:id="186" w:name="_Toc25506"/>
      <w:bookmarkStart w:id="187" w:name="_Toc17015"/>
      <w:r>
        <w:rPr>
          <w:rFonts w:hint="eastAsia" w:asciiTheme="minorEastAsia" w:hAnsiTheme="minorEastAsia" w:eastAsiaTheme="minorEastAsia" w:cstheme="minorEastAsia"/>
          <w:sz w:val="36"/>
          <w:szCs w:val="36"/>
        </w:rPr>
        <w:t>竞争性磋商响应文件格式</w:t>
      </w:r>
      <w:bookmarkEnd w:id="186"/>
      <w:bookmarkEnd w:id="187"/>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政府采购</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预算执行计划：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bookmarkStart w:id="188" w:name="_Toc5751"/>
      <w:bookmarkStart w:id="189" w:name="_Toc23858"/>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88"/>
    <w:bookmarkEnd w:id="189"/>
    <w:p>
      <w:pPr>
        <w:autoSpaceDE w:val="0"/>
        <w:autoSpaceDN w:val="0"/>
        <w:adjustRightInd w:val="0"/>
        <w:spacing w:line="360" w:lineRule="auto"/>
        <w:jc w:val="center"/>
        <w:rPr>
          <w:rFonts w:asciiTheme="minorEastAsia" w:hAnsiTheme="minorEastAsia" w:eastAsiaTheme="minorEastAsia" w:cstheme="minorEastAsia"/>
          <w:b/>
          <w:bCs/>
          <w:sz w:val="24"/>
        </w:rPr>
      </w:pPr>
      <w:bookmarkStart w:id="190" w:name="_Toc264644272"/>
      <w:bookmarkStart w:id="191" w:name="_Toc360174584"/>
      <w:bookmarkStart w:id="192" w:name="_Toc11320441"/>
      <w:bookmarkStart w:id="193" w:name="_Toc533330957"/>
      <w:bookmarkStart w:id="194" w:name="_Toc533331084"/>
      <w:bookmarkStart w:id="195" w:name="_Toc211783342"/>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90"/>
      <w:bookmarkEnd w:id="191"/>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注：响应文件目录及内容每页须顺序编写页码。</w:t>
      </w:r>
    </w:p>
    <w:p>
      <w:bookmarkStart w:id="196" w:name="_Toc8071"/>
      <w:bookmarkStart w:id="197" w:name="_Toc14065"/>
      <w:r>
        <w:rPr>
          <w:rFonts w:hint="eastAsia"/>
        </w:rPr>
        <w:br w:type="textWrapping"/>
      </w:r>
    </w:p>
    <w:p>
      <w:pPr>
        <w:pStyle w:val="2"/>
      </w:pPr>
      <w:r>
        <w:br w:type="page"/>
      </w:r>
    </w:p>
    <w:p>
      <w:pPr>
        <w:autoSpaceDE w:val="0"/>
        <w:autoSpaceDN w:val="0"/>
        <w:adjustRightInd w:val="0"/>
        <w:spacing w:line="360" w:lineRule="auto"/>
        <w:jc w:val="center"/>
        <w:outlineLvl w:val="1"/>
        <w:rPr>
          <w:rFonts w:cs="宋体" w:asciiTheme="minorEastAsia" w:hAnsiTheme="minorEastAsia" w:eastAsiaTheme="minorEastAsia"/>
          <w:b/>
          <w:szCs w:val="21"/>
        </w:rPr>
      </w:pPr>
      <w:r>
        <w:rPr>
          <w:rFonts w:hint="eastAsia" w:cs="宋体" w:asciiTheme="minorEastAsia" w:hAnsiTheme="minorEastAsia" w:eastAsiaTheme="minorEastAsia"/>
          <w:b/>
          <w:szCs w:val="21"/>
        </w:rPr>
        <w:t>一、评分标准索引表</w:t>
      </w:r>
      <w:bookmarkEnd w:id="196"/>
      <w:bookmarkEnd w:id="197"/>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cs="宋体" w:asciiTheme="minorEastAsia" w:hAnsiTheme="minorEastAsia" w:eastAsiaTheme="minorEastAsia"/>
                <w:b/>
                <w:bCs/>
                <w:spacing w:val="-6"/>
                <w:szCs w:val="21"/>
              </w:rPr>
            </w:pPr>
            <w:r>
              <w:rPr>
                <w:rFonts w:hint="eastAsia" w:cs="宋体" w:asciiTheme="minorEastAsia" w:hAnsiTheme="minorEastAsia" w:eastAsiaTheme="minorEastAsia"/>
                <w:b/>
                <w:bCs/>
                <w:szCs w:val="21"/>
              </w:rPr>
              <w:t>类别</w:t>
            </w:r>
          </w:p>
        </w:tc>
        <w:tc>
          <w:tcPr>
            <w:tcW w:w="1285" w:type="dxa"/>
            <w:tcBorders>
              <w:top w:val="single" w:color="auto" w:sz="12" w:space="0"/>
            </w:tcBorders>
            <w:vAlign w:val="center"/>
          </w:tcPr>
          <w:p>
            <w:pPr>
              <w:spacing w:line="360" w:lineRule="auto"/>
              <w:jc w:val="center"/>
              <w:rPr>
                <w:rFonts w:cs="宋体" w:asciiTheme="minorEastAsia" w:hAnsiTheme="minorEastAsia" w:eastAsiaTheme="minorEastAsia"/>
                <w:b/>
                <w:bCs/>
                <w:spacing w:val="-6"/>
                <w:szCs w:val="21"/>
              </w:rPr>
            </w:pPr>
            <w:r>
              <w:rPr>
                <w:rFonts w:hint="eastAsia" w:cs="宋体" w:asciiTheme="minorEastAsia" w:hAnsiTheme="minorEastAsia" w:eastAsiaTheme="minorEastAsia"/>
                <w:b/>
                <w:bCs/>
                <w:szCs w:val="21"/>
              </w:rPr>
              <w:t>评审因素</w:t>
            </w:r>
          </w:p>
        </w:tc>
        <w:tc>
          <w:tcPr>
            <w:tcW w:w="5358" w:type="dxa"/>
            <w:tcBorders>
              <w:top w:val="single" w:color="auto" w:sz="12" w:space="0"/>
            </w:tcBorders>
            <w:vAlign w:val="center"/>
          </w:tcPr>
          <w:p>
            <w:pPr>
              <w:spacing w:line="360" w:lineRule="auto"/>
              <w:jc w:val="center"/>
              <w:rPr>
                <w:rFonts w:cs="宋体" w:asciiTheme="minorEastAsia" w:hAnsiTheme="minorEastAsia" w:eastAsiaTheme="minorEastAsia"/>
                <w:b/>
                <w:bCs/>
                <w:spacing w:val="-6"/>
                <w:szCs w:val="21"/>
              </w:rPr>
            </w:pPr>
            <w:r>
              <w:rPr>
                <w:rFonts w:hint="eastAsia" w:cs="宋体" w:asciiTheme="minorEastAsia" w:hAnsiTheme="minorEastAsia" w:eastAsiaTheme="minorEastAsia"/>
                <w:b/>
                <w:bCs/>
                <w:szCs w:val="21"/>
              </w:rPr>
              <w:t>评审标准</w:t>
            </w:r>
          </w:p>
        </w:tc>
        <w:tc>
          <w:tcPr>
            <w:tcW w:w="825" w:type="dxa"/>
            <w:tcBorders>
              <w:top w:val="single" w:color="auto" w:sz="12" w:space="0"/>
            </w:tcBorders>
            <w:vAlign w:val="center"/>
          </w:tcPr>
          <w:p>
            <w:pPr>
              <w:spacing w:line="360" w:lineRule="auto"/>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分值</w:t>
            </w:r>
          </w:p>
        </w:tc>
        <w:tc>
          <w:tcPr>
            <w:tcW w:w="1133" w:type="dxa"/>
            <w:tcBorders>
              <w:top w:val="single" w:color="auto" w:sz="12" w:space="0"/>
            </w:tcBorders>
            <w:vAlign w:val="center"/>
          </w:tcPr>
          <w:p>
            <w:pPr>
              <w:spacing w:line="360" w:lineRule="auto"/>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cs="宋体" w:asciiTheme="minorEastAsia" w:hAnsiTheme="minorEastAsia" w:eastAsiaTheme="minorEastAsia"/>
                <w:spacing w:val="-6"/>
                <w:szCs w:val="21"/>
              </w:rPr>
            </w:pPr>
          </w:p>
        </w:tc>
        <w:tc>
          <w:tcPr>
            <w:tcW w:w="1285" w:type="dxa"/>
            <w:vAlign w:val="center"/>
          </w:tcPr>
          <w:p>
            <w:pPr>
              <w:widowControl/>
              <w:spacing w:line="360" w:lineRule="auto"/>
              <w:jc w:val="center"/>
              <w:textAlignment w:val="center"/>
              <w:rPr>
                <w:rFonts w:cs="宋体" w:asciiTheme="minorEastAsia" w:hAnsiTheme="minorEastAsia" w:eastAsiaTheme="minorEastAsia"/>
                <w:spacing w:val="-6"/>
                <w:szCs w:val="21"/>
              </w:rPr>
            </w:pPr>
          </w:p>
        </w:tc>
        <w:tc>
          <w:tcPr>
            <w:tcW w:w="5358" w:type="dxa"/>
            <w:vAlign w:val="center"/>
          </w:tcPr>
          <w:p>
            <w:pPr>
              <w:widowControl/>
              <w:spacing w:line="360" w:lineRule="auto"/>
              <w:jc w:val="left"/>
              <w:textAlignment w:val="center"/>
              <w:rPr>
                <w:rFonts w:cs="宋体" w:asciiTheme="minorEastAsia" w:hAnsiTheme="minorEastAsia" w:eastAsiaTheme="minorEastAsia"/>
                <w:szCs w:val="21"/>
              </w:rPr>
            </w:pPr>
          </w:p>
        </w:tc>
        <w:tc>
          <w:tcPr>
            <w:tcW w:w="825" w:type="dxa"/>
            <w:vAlign w:val="center"/>
          </w:tcPr>
          <w:p>
            <w:pPr>
              <w:widowControl/>
              <w:spacing w:line="360" w:lineRule="auto"/>
              <w:jc w:val="center"/>
              <w:textAlignment w:val="center"/>
              <w:rPr>
                <w:rFonts w:cs="宋体" w:asciiTheme="minorEastAsia" w:hAnsiTheme="minorEastAsia" w:eastAsiaTheme="minorEastAsia"/>
                <w:szCs w:val="21"/>
              </w:rPr>
            </w:pPr>
          </w:p>
        </w:tc>
        <w:tc>
          <w:tcPr>
            <w:tcW w:w="1133" w:type="dxa"/>
            <w:vAlign w:val="center"/>
          </w:tcPr>
          <w:p>
            <w:pPr>
              <w:widowControl/>
              <w:spacing w:line="360" w:lineRule="auto"/>
              <w:jc w:val="center"/>
              <w:textAlignment w:val="center"/>
              <w:rPr>
                <w:rFonts w:cs="宋体" w:asciiTheme="minorEastAsia" w:hAnsiTheme="minorEastAsia" w:eastAsiaTheme="minorEastAsia"/>
                <w:color w:val="FF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cs="宋体" w:asciiTheme="minorEastAsia" w:hAnsiTheme="minorEastAsia" w:eastAsiaTheme="minorEastAsia"/>
                <w:spacing w:val="-6"/>
                <w:szCs w:val="21"/>
              </w:rPr>
            </w:pPr>
          </w:p>
        </w:tc>
        <w:tc>
          <w:tcPr>
            <w:tcW w:w="1285" w:type="dxa"/>
            <w:vAlign w:val="center"/>
          </w:tcPr>
          <w:p>
            <w:pPr>
              <w:spacing w:line="360" w:lineRule="auto"/>
              <w:rPr>
                <w:rFonts w:cs="宋体" w:asciiTheme="minorEastAsia" w:hAnsiTheme="minorEastAsia" w:eastAsiaTheme="minorEastAsia"/>
                <w:spacing w:val="-6"/>
                <w:kern w:val="0"/>
                <w:szCs w:val="21"/>
              </w:rPr>
            </w:pPr>
          </w:p>
        </w:tc>
        <w:tc>
          <w:tcPr>
            <w:tcW w:w="5358" w:type="dxa"/>
            <w:vAlign w:val="center"/>
          </w:tcPr>
          <w:p>
            <w:pPr>
              <w:spacing w:line="360" w:lineRule="auto"/>
              <w:rPr>
                <w:rFonts w:cs="宋体" w:asciiTheme="minorEastAsia" w:hAnsiTheme="minorEastAsia" w:eastAsiaTheme="minorEastAsia"/>
                <w:spacing w:val="-6"/>
                <w:szCs w:val="21"/>
              </w:rPr>
            </w:pPr>
          </w:p>
        </w:tc>
        <w:tc>
          <w:tcPr>
            <w:tcW w:w="825" w:type="dxa"/>
            <w:vAlign w:val="center"/>
          </w:tcPr>
          <w:p>
            <w:pPr>
              <w:spacing w:line="360" w:lineRule="auto"/>
              <w:rPr>
                <w:rFonts w:cs="宋体" w:asciiTheme="minorEastAsia" w:hAnsiTheme="minorEastAsia" w:eastAsiaTheme="minorEastAsia"/>
                <w:spacing w:val="-6"/>
                <w:szCs w:val="21"/>
              </w:rPr>
            </w:pPr>
          </w:p>
        </w:tc>
        <w:tc>
          <w:tcPr>
            <w:tcW w:w="1133" w:type="dxa"/>
            <w:vAlign w:val="center"/>
          </w:tcPr>
          <w:p>
            <w:pPr>
              <w:spacing w:line="360" w:lineRule="auto"/>
              <w:rPr>
                <w:rFonts w:cs="宋体" w:asciiTheme="minorEastAsia" w:hAnsiTheme="minorEastAsia" w:eastAsiaTheme="minorEastAsia"/>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cs="宋体" w:asciiTheme="minorEastAsia" w:hAnsiTheme="minorEastAsia" w:eastAsiaTheme="minorEastAsia"/>
                <w:szCs w:val="21"/>
              </w:rPr>
            </w:pPr>
          </w:p>
        </w:tc>
        <w:tc>
          <w:tcPr>
            <w:tcW w:w="1285" w:type="dxa"/>
            <w:vAlign w:val="center"/>
          </w:tcPr>
          <w:p>
            <w:pPr>
              <w:spacing w:line="360" w:lineRule="auto"/>
              <w:rPr>
                <w:rFonts w:cs="宋体" w:asciiTheme="minorEastAsia" w:hAnsiTheme="minorEastAsia" w:eastAsiaTheme="minorEastAsia"/>
                <w:spacing w:val="-6"/>
                <w:kern w:val="0"/>
                <w:szCs w:val="21"/>
              </w:rPr>
            </w:pPr>
          </w:p>
        </w:tc>
        <w:tc>
          <w:tcPr>
            <w:tcW w:w="5358" w:type="dxa"/>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c>
          <w:tcPr>
            <w:tcW w:w="825" w:type="dxa"/>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c>
          <w:tcPr>
            <w:tcW w:w="1133" w:type="dxa"/>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cs="宋体" w:asciiTheme="minorEastAsia" w:hAnsiTheme="minorEastAsia" w:eastAsiaTheme="minorEastAsia"/>
                <w:szCs w:val="21"/>
              </w:rPr>
            </w:pPr>
          </w:p>
        </w:tc>
        <w:tc>
          <w:tcPr>
            <w:tcW w:w="1285" w:type="dxa"/>
            <w:vAlign w:val="center"/>
          </w:tcPr>
          <w:p>
            <w:pPr>
              <w:spacing w:line="360" w:lineRule="auto"/>
              <w:rPr>
                <w:rFonts w:cs="宋体" w:asciiTheme="minorEastAsia" w:hAnsiTheme="minorEastAsia" w:eastAsiaTheme="minorEastAsia"/>
                <w:color w:val="000000"/>
                <w:spacing w:val="-6"/>
                <w:szCs w:val="21"/>
              </w:rPr>
            </w:pPr>
          </w:p>
        </w:tc>
        <w:tc>
          <w:tcPr>
            <w:tcW w:w="5358" w:type="dxa"/>
            <w:vAlign w:val="center"/>
          </w:tcPr>
          <w:p>
            <w:pPr>
              <w:autoSpaceDE w:val="0"/>
              <w:autoSpaceDN w:val="0"/>
              <w:adjustRightInd w:val="0"/>
              <w:spacing w:line="360" w:lineRule="auto"/>
              <w:ind w:right="71" w:rightChars="34"/>
              <w:rPr>
                <w:rFonts w:cs="宋体" w:asciiTheme="minorEastAsia" w:hAnsiTheme="minorEastAsia" w:eastAsiaTheme="minorEastAsia"/>
                <w:color w:val="000000"/>
                <w:spacing w:val="-6"/>
                <w:szCs w:val="21"/>
              </w:rPr>
            </w:pPr>
          </w:p>
        </w:tc>
        <w:tc>
          <w:tcPr>
            <w:tcW w:w="825" w:type="dxa"/>
            <w:vAlign w:val="center"/>
          </w:tcPr>
          <w:p>
            <w:pPr>
              <w:autoSpaceDE w:val="0"/>
              <w:autoSpaceDN w:val="0"/>
              <w:adjustRightInd w:val="0"/>
              <w:spacing w:line="360" w:lineRule="auto"/>
              <w:ind w:right="71" w:rightChars="34"/>
              <w:rPr>
                <w:rFonts w:cs="宋体" w:asciiTheme="minorEastAsia" w:hAnsiTheme="minorEastAsia" w:eastAsiaTheme="minorEastAsia"/>
                <w:color w:val="000000"/>
                <w:spacing w:val="-6"/>
                <w:szCs w:val="21"/>
              </w:rPr>
            </w:pPr>
          </w:p>
        </w:tc>
        <w:tc>
          <w:tcPr>
            <w:tcW w:w="1133" w:type="dxa"/>
            <w:vAlign w:val="center"/>
          </w:tcPr>
          <w:p>
            <w:pPr>
              <w:autoSpaceDE w:val="0"/>
              <w:autoSpaceDN w:val="0"/>
              <w:adjustRightInd w:val="0"/>
              <w:spacing w:line="360" w:lineRule="auto"/>
              <w:ind w:right="71" w:rightChars="34"/>
              <w:rPr>
                <w:rFonts w:cs="宋体" w:asciiTheme="minorEastAsia" w:hAnsiTheme="minorEastAsia" w:eastAsiaTheme="minorEastAsia"/>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cs="宋体" w:asciiTheme="minorEastAsia" w:hAnsiTheme="minorEastAsia" w:eastAsiaTheme="minorEastAsia"/>
                <w:szCs w:val="21"/>
              </w:rPr>
            </w:pPr>
          </w:p>
        </w:tc>
        <w:tc>
          <w:tcPr>
            <w:tcW w:w="1285" w:type="dxa"/>
            <w:tcBorders>
              <w:bottom w:val="single" w:color="auto" w:sz="4" w:space="0"/>
            </w:tcBorders>
            <w:vAlign w:val="center"/>
          </w:tcPr>
          <w:p>
            <w:pPr>
              <w:spacing w:line="360" w:lineRule="auto"/>
              <w:rPr>
                <w:rFonts w:cs="宋体" w:asciiTheme="minorEastAsia" w:hAnsiTheme="minorEastAsia" w:eastAsiaTheme="minorEastAsia"/>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cs="宋体" w:asciiTheme="minorEastAsia" w:hAnsiTheme="minorEastAsia" w:eastAsiaTheme="minorEastAsia"/>
                <w:szCs w:val="21"/>
              </w:rPr>
            </w:pPr>
          </w:p>
        </w:tc>
        <w:tc>
          <w:tcPr>
            <w:tcW w:w="1285" w:type="dxa"/>
            <w:tcBorders>
              <w:top w:val="single" w:color="auto" w:sz="4" w:space="0"/>
            </w:tcBorders>
            <w:vAlign w:val="center"/>
          </w:tcPr>
          <w:p>
            <w:pPr>
              <w:spacing w:line="360" w:lineRule="auto"/>
              <w:rPr>
                <w:rFonts w:cs="宋体" w:asciiTheme="minorEastAsia" w:hAnsiTheme="minorEastAsia" w:eastAsiaTheme="minorEastAsia"/>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cs="宋体" w:asciiTheme="minorEastAsia" w:hAnsiTheme="minorEastAsia" w:eastAsiaTheme="minorEastAsia"/>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cs="宋体" w:asciiTheme="minorEastAsia" w:hAnsiTheme="minorEastAsia" w:eastAsiaTheme="minorEastAsia"/>
                <w:spacing w:val="-6"/>
                <w:szCs w:val="21"/>
              </w:rPr>
            </w:pPr>
          </w:p>
        </w:tc>
        <w:tc>
          <w:tcPr>
            <w:tcW w:w="1285" w:type="dxa"/>
            <w:vAlign w:val="center"/>
          </w:tcPr>
          <w:p>
            <w:pPr>
              <w:spacing w:line="360" w:lineRule="auto"/>
              <w:rPr>
                <w:rFonts w:cs="宋体" w:asciiTheme="minorEastAsia" w:hAnsiTheme="minorEastAsia" w:eastAsiaTheme="minorEastAsia"/>
                <w:spacing w:val="-6"/>
                <w:szCs w:val="21"/>
              </w:rPr>
            </w:pPr>
          </w:p>
        </w:tc>
        <w:tc>
          <w:tcPr>
            <w:tcW w:w="5358" w:type="dxa"/>
            <w:vAlign w:val="center"/>
          </w:tcPr>
          <w:p>
            <w:pPr>
              <w:spacing w:line="360" w:lineRule="auto"/>
              <w:ind w:left="-4" w:leftChars="-2" w:firstLine="1" w:firstLineChars="1"/>
              <w:rPr>
                <w:rFonts w:cs="宋体" w:asciiTheme="minorEastAsia" w:hAnsiTheme="minorEastAsia" w:eastAsiaTheme="minorEastAsia"/>
                <w:spacing w:val="-6"/>
                <w:szCs w:val="21"/>
              </w:rPr>
            </w:pPr>
          </w:p>
        </w:tc>
        <w:tc>
          <w:tcPr>
            <w:tcW w:w="825" w:type="dxa"/>
            <w:vAlign w:val="center"/>
          </w:tcPr>
          <w:p>
            <w:pPr>
              <w:spacing w:line="360" w:lineRule="auto"/>
              <w:ind w:left="-4" w:leftChars="-2" w:firstLine="1" w:firstLineChars="1"/>
              <w:rPr>
                <w:rFonts w:cs="宋体" w:asciiTheme="minorEastAsia" w:hAnsiTheme="minorEastAsia" w:eastAsiaTheme="minorEastAsia"/>
                <w:spacing w:val="-6"/>
                <w:szCs w:val="21"/>
              </w:rPr>
            </w:pPr>
          </w:p>
        </w:tc>
        <w:tc>
          <w:tcPr>
            <w:tcW w:w="1133" w:type="dxa"/>
            <w:vAlign w:val="center"/>
          </w:tcPr>
          <w:p>
            <w:pPr>
              <w:spacing w:line="360" w:lineRule="auto"/>
              <w:ind w:left="-4" w:leftChars="-2" w:firstLine="1" w:firstLineChars="1"/>
              <w:rPr>
                <w:rFonts w:cs="宋体" w:asciiTheme="minorEastAsia" w:hAnsiTheme="minorEastAsia" w:eastAsiaTheme="minorEastAsia"/>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cs="宋体" w:asciiTheme="minorEastAsia" w:hAnsiTheme="minorEastAsia" w:eastAsiaTheme="minorEastAsia"/>
                <w:szCs w:val="21"/>
              </w:rPr>
            </w:pPr>
          </w:p>
        </w:tc>
        <w:tc>
          <w:tcPr>
            <w:tcW w:w="1285" w:type="dxa"/>
            <w:vAlign w:val="center"/>
          </w:tcPr>
          <w:p>
            <w:pPr>
              <w:spacing w:line="360" w:lineRule="auto"/>
              <w:ind w:left="-4" w:leftChars="-2" w:firstLine="2" w:firstLineChars="1"/>
              <w:rPr>
                <w:rFonts w:cs="宋体" w:asciiTheme="minorEastAsia" w:hAnsiTheme="minorEastAsia" w:eastAsiaTheme="minorEastAsia"/>
                <w:szCs w:val="21"/>
              </w:rPr>
            </w:pPr>
          </w:p>
        </w:tc>
        <w:tc>
          <w:tcPr>
            <w:tcW w:w="5358" w:type="dxa"/>
            <w:vAlign w:val="center"/>
          </w:tcPr>
          <w:p>
            <w:pPr>
              <w:spacing w:line="360" w:lineRule="auto"/>
              <w:ind w:left="-4" w:leftChars="-2" w:firstLine="2" w:firstLineChars="1"/>
              <w:rPr>
                <w:rFonts w:cs="宋体" w:asciiTheme="minorEastAsia" w:hAnsiTheme="minorEastAsia" w:eastAsiaTheme="minorEastAsia"/>
                <w:szCs w:val="21"/>
              </w:rPr>
            </w:pPr>
          </w:p>
        </w:tc>
        <w:tc>
          <w:tcPr>
            <w:tcW w:w="825" w:type="dxa"/>
            <w:vAlign w:val="center"/>
          </w:tcPr>
          <w:p>
            <w:pPr>
              <w:spacing w:line="360" w:lineRule="auto"/>
              <w:ind w:left="-4" w:leftChars="-2" w:firstLine="2" w:firstLineChars="1"/>
              <w:rPr>
                <w:rFonts w:cs="宋体" w:asciiTheme="minorEastAsia" w:hAnsiTheme="minorEastAsia" w:eastAsiaTheme="minorEastAsia"/>
                <w:szCs w:val="21"/>
              </w:rPr>
            </w:pPr>
          </w:p>
        </w:tc>
        <w:tc>
          <w:tcPr>
            <w:tcW w:w="1133" w:type="dxa"/>
            <w:vAlign w:val="center"/>
          </w:tcPr>
          <w:p>
            <w:pPr>
              <w:spacing w:line="360" w:lineRule="auto"/>
              <w:ind w:left="-4" w:leftChars="-2" w:firstLine="2" w:firstLineChars="1"/>
              <w:rPr>
                <w:rFonts w:cs="宋体" w:asciiTheme="minorEastAsia" w:hAnsiTheme="minorEastAsia" w:eastAsiaTheme="minorEastAsia"/>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cs="宋体" w:asciiTheme="minorEastAsia" w:hAnsiTheme="minorEastAsia" w:eastAsiaTheme="minorEastAsia"/>
                <w:szCs w:val="21"/>
              </w:rPr>
            </w:pPr>
          </w:p>
        </w:tc>
        <w:tc>
          <w:tcPr>
            <w:tcW w:w="1285" w:type="dxa"/>
            <w:vAlign w:val="center"/>
          </w:tcPr>
          <w:p>
            <w:pPr>
              <w:spacing w:line="360" w:lineRule="auto"/>
              <w:rPr>
                <w:rFonts w:cs="宋体" w:asciiTheme="minorEastAsia" w:hAnsiTheme="minorEastAsia" w:eastAsiaTheme="minorEastAsia"/>
                <w:spacing w:val="-6"/>
                <w:kern w:val="0"/>
                <w:szCs w:val="21"/>
              </w:rPr>
            </w:pPr>
          </w:p>
        </w:tc>
        <w:tc>
          <w:tcPr>
            <w:tcW w:w="5358" w:type="dxa"/>
            <w:vAlign w:val="center"/>
          </w:tcPr>
          <w:p>
            <w:pPr>
              <w:autoSpaceDE w:val="0"/>
              <w:autoSpaceDN w:val="0"/>
              <w:adjustRightInd w:val="0"/>
              <w:spacing w:line="360" w:lineRule="auto"/>
              <w:rPr>
                <w:rFonts w:cs="宋体" w:asciiTheme="minorEastAsia" w:hAnsiTheme="minorEastAsia" w:eastAsiaTheme="minorEastAsia"/>
                <w:spacing w:val="-6"/>
                <w:kern w:val="0"/>
                <w:szCs w:val="21"/>
              </w:rPr>
            </w:pPr>
          </w:p>
        </w:tc>
        <w:tc>
          <w:tcPr>
            <w:tcW w:w="825" w:type="dxa"/>
            <w:vAlign w:val="center"/>
          </w:tcPr>
          <w:p>
            <w:pPr>
              <w:autoSpaceDE w:val="0"/>
              <w:autoSpaceDN w:val="0"/>
              <w:adjustRightInd w:val="0"/>
              <w:spacing w:line="360" w:lineRule="auto"/>
              <w:rPr>
                <w:rFonts w:cs="宋体" w:asciiTheme="minorEastAsia" w:hAnsiTheme="minorEastAsia" w:eastAsiaTheme="minorEastAsia"/>
                <w:spacing w:val="-6"/>
                <w:kern w:val="0"/>
                <w:szCs w:val="21"/>
              </w:rPr>
            </w:pPr>
          </w:p>
        </w:tc>
        <w:tc>
          <w:tcPr>
            <w:tcW w:w="1133" w:type="dxa"/>
            <w:vAlign w:val="center"/>
          </w:tcPr>
          <w:p>
            <w:pPr>
              <w:autoSpaceDE w:val="0"/>
              <w:autoSpaceDN w:val="0"/>
              <w:adjustRightInd w:val="0"/>
              <w:spacing w:line="360" w:lineRule="auto"/>
              <w:rPr>
                <w:rFonts w:cs="宋体" w:asciiTheme="minorEastAsia" w:hAnsiTheme="minorEastAsia" w:eastAsiaTheme="minorEastAsia"/>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cs="宋体" w:asciiTheme="minorEastAsia" w:hAnsiTheme="minorEastAsia" w:eastAsiaTheme="minorEastAsia"/>
                <w:szCs w:val="21"/>
              </w:rPr>
            </w:pPr>
          </w:p>
        </w:tc>
        <w:tc>
          <w:tcPr>
            <w:tcW w:w="1285" w:type="dxa"/>
            <w:vAlign w:val="center"/>
          </w:tcPr>
          <w:p>
            <w:pPr>
              <w:spacing w:line="360" w:lineRule="auto"/>
              <w:rPr>
                <w:rFonts w:cs="宋体" w:asciiTheme="minorEastAsia" w:hAnsiTheme="minorEastAsia" w:eastAsiaTheme="minorEastAsia"/>
                <w:spacing w:val="-6"/>
                <w:szCs w:val="21"/>
              </w:rPr>
            </w:pPr>
          </w:p>
        </w:tc>
        <w:tc>
          <w:tcPr>
            <w:tcW w:w="5358" w:type="dxa"/>
            <w:vAlign w:val="center"/>
          </w:tcPr>
          <w:p>
            <w:pPr>
              <w:spacing w:line="360" w:lineRule="auto"/>
              <w:ind w:left="-4" w:leftChars="-2" w:firstLine="1" w:firstLineChars="1"/>
              <w:rPr>
                <w:rFonts w:cs="宋体" w:asciiTheme="minorEastAsia" w:hAnsiTheme="minorEastAsia" w:eastAsiaTheme="minorEastAsia"/>
                <w:spacing w:val="-6"/>
                <w:szCs w:val="21"/>
              </w:rPr>
            </w:pPr>
          </w:p>
        </w:tc>
        <w:tc>
          <w:tcPr>
            <w:tcW w:w="825" w:type="dxa"/>
            <w:vAlign w:val="center"/>
          </w:tcPr>
          <w:p>
            <w:pPr>
              <w:spacing w:line="360" w:lineRule="auto"/>
              <w:ind w:left="-4" w:leftChars="-2" w:firstLine="1" w:firstLineChars="1"/>
              <w:rPr>
                <w:rFonts w:cs="宋体" w:asciiTheme="minorEastAsia" w:hAnsiTheme="minorEastAsia" w:eastAsiaTheme="minorEastAsia"/>
                <w:spacing w:val="-6"/>
                <w:szCs w:val="21"/>
              </w:rPr>
            </w:pPr>
          </w:p>
        </w:tc>
        <w:tc>
          <w:tcPr>
            <w:tcW w:w="1133" w:type="dxa"/>
            <w:vAlign w:val="center"/>
          </w:tcPr>
          <w:p>
            <w:pPr>
              <w:spacing w:line="360" w:lineRule="auto"/>
              <w:ind w:left="-4" w:leftChars="-2" w:firstLine="1" w:firstLineChars="1"/>
              <w:rPr>
                <w:rFonts w:cs="宋体" w:asciiTheme="minorEastAsia" w:hAnsiTheme="minorEastAsia" w:eastAsiaTheme="minorEastAsia"/>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cs="宋体" w:asciiTheme="minorEastAsia" w:hAnsiTheme="minorEastAsia" w:eastAsiaTheme="minorEastAsia"/>
                <w:szCs w:val="21"/>
              </w:rPr>
            </w:pPr>
          </w:p>
        </w:tc>
        <w:tc>
          <w:tcPr>
            <w:tcW w:w="1285" w:type="dxa"/>
            <w:vAlign w:val="center"/>
          </w:tcPr>
          <w:p>
            <w:pPr>
              <w:spacing w:line="360" w:lineRule="auto"/>
              <w:rPr>
                <w:rFonts w:cs="宋体" w:asciiTheme="minorEastAsia" w:hAnsiTheme="minorEastAsia" w:eastAsiaTheme="minorEastAsia"/>
                <w:spacing w:val="-6"/>
                <w:szCs w:val="21"/>
              </w:rPr>
            </w:pPr>
          </w:p>
        </w:tc>
        <w:tc>
          <w:tcPr>
            <w:tcW w:w="5358" w:type="dxa"/>
            <w:vAlign w:val="center"/>
          </w:tcPr>
          <w:p>
            <w:pPr>
              <w:spacing w:line="360" w:lineRule="auto"/>
              <w:rPr>
                <w:rFonts w:cs="宋体" w:asciiTheme="minorEastAsia" w:hAnsiTheme="minorEastAsia" w:eastAsiaTheme="minorEastAsia"/>
                <w:spacing w:val="-6"/>
                <w:szCs w:val="21"/>
              </w:rPr>
            </w:pPr>
          </w:p>
        </w:tc>
        <w:tc>
          <w:tcPr>
            <w:tcW w:w="825" w:type="dxa"/>
            <w:vAlign w:val="center"/>
          </w:tcPr>
          <w:p>
            <w:pPr>
              <w:spacing w:line="360" w:lineRule="auto"/>
              <w:rPr>
                <w:rFonts w:cs="宋体" w:asciiTheme="minorEastAsia" w:hAnsiTheme="minorEastAsia" w:eastAsiaTheme="minorEastAsia"/>
                <w:spacing w:val="-6"/>
                <w:szCs w:val="21"/>
              </w:rPr>
            </w:pPr>
          </w:p>
        </w:tc>
        <w:tc>
          <w:tcPr>
            <w:tcW w:w="1133" w:type="dxa"/>
            <w:vAlign w:val="center"/>
          </w:tcPr>
          <w:p>
            <w:pPr>
              <w:spacing w:line="360" w:lineRule="auto"/>
              <w:rPr>
                <w:rFonts w:cs="宋体" w:asciiTheme="minorEastAsia" w:hAnsiTheme="minorEastAsia" w:eastAsiaTheme="minorEastAsia"/>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widowControl/>
        <w:jc w:val="left"/>
        <w:rPr>
          <w:rFonts w:asciiTheme="minorEastAsia" w:hAnsiTheme="minorEastAsia" w:eastAsiaTheme="minorEastAsia" w:cstheme="minorEastAsia"/>
          <w:b/>
        </w:rPr>
      </w:pPr>
      <w:bookmarkStart w:id="198" w:name="_Toc8850"/>
      <w:bookmarkStart w:id="199" w:name="_Toc479184125"/>
      <w:bookmarkStart w:id="200" w:name="_Toc25724"/>
      <w:bookmarkStart w:id="201" w:name="_Toc15789"/>
      <w:bookmarkStart w:id="202" w:name="_Toc30144"/>
      <w:r>
        <w:rPr>
          <w:rFonts w:asciiTheme="minorEastAsia" w:hAnsiTheme="minorEastAsia" w:eastAsiaTheme="minorEastAsia" w:cstheme="minorEastAsia"/>
          <w:b/>
        </w:rPr>
        <w:br w:type="page"/>
      </w:r>
    </w:p>
    <w:p>
      <w:pPr>
        <w:adjustRightInd w:val="0"/>
        <w:snapToGrid w:val="0"/>
        <w:spacing w:line="48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b/>
        </w:rPr>
        <w:t>二、磋商书</w:t>
      </w:r>
      <w:bookmarkEnd w:id="198"/>
      <w:bookmarkEnd w:id="199"/>
      <w:bookmarkEnd w:id="200"/>
      <w:bookmarkEnd w:id="201"/>
      <w:bookmarkEnd w:id="202"/>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39"/>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9"/>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9"/>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40"/>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40"/>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40"/>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40"/>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pPr>
        <w:rPr>
          <w:rFonts w:asciiTheme="minorEastAsia" w:hAnsiTheme="minorEastAsia" w:eastAsiaTheme="minorEastAsia"/>
        </w:rPr>
      </w:pPr>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41"/>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41"/>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41"/>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41"/>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日历天。</w:t>
      </w:r>
    </w:p>
    <w:p>
      <w:pPr>
        <w:numPr>
          <w:ilvl w:val="6"/>
          <w:numId w:val="41"/>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41"/>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41"/>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widowControl/>
        <w:jc w:val="left"/>
        <w:rPr>
          <w:rFonts w:asciiTheme="minorEastAsia" w:hAnsiTheme="minorEastAsia" w:eastAsiaTheme="minorEastAsia" w:cstheme="minorEastAsia"/>
          <w:b/>
        </w:rPr>
      </w:pPr>
      <w:bookmarkStart w:id="203" w:name="_Toc24882"/>
      <w:bookmarkStart w:id="204" w:name="_Toc13969"/>
      <w:bookmarkStart w:id="205" w:name="_Toc479184126"/>
      <w:bookmarkStart w:id="206" w:name="_Toc18597"/>
      <w:bookmarkStart w:id="207" w:name="_Toc24205"/>
      <w:r>
        <w:rPr>
          <w:rFonts w:asciiTheme="minorEastAsia" w:hAnsiTheme="minorEastAsia" w:eastAsiaTheme="minorEastAsia" w:cstheme="minorEastAsia"/>
          <w:b/>
        </w:rPr>
        <w:br w:type="page"/>
      </w:r>
    </w:p>
    <w:p>
      <w:pPr>
        <w:adjustRightInd w:val="0"/>
        <w:snapToGrid w:val="0"/>
        <w:spacing w:line="48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b/>
        </w:rPr>
        <w:t>三、法定代表人授权书</w:t>
      </w:r>
      <w:bookmarkEnd w:id="203"/>
      <w:bookmarkEnd w:id="204"/>
      <w:bookmarkEnd w:id="205"/>
      <w:bookmarkEnd w:id="206"/>
      <w:bookmarkEnd w:id="207"/>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rPr>
                <w:rFonts w:asciiTheme="minorEastAsia" w:hAnsiTheme="minorEastAsia" w:eastAsiaTheme="minorEastAsia"/>
              </w:rPr>
            </w:pPr>
            <w:r>
              <w:rPr>
                <w:rFonts w:hint="eastAsia" w:asciiTheme="minorEastAsia" w:hAnsiTheme="minorEastAsia" w:eastAsiaTheme="minorEastAsia"/>
              </w:rPr>
              <w:t>授权代表身份证正反面（真彩扫描件）：</w:t>
            </w:r>
          </w:p>
          <w:p>
            <w:pPr>
              <w:autoSpaceDE w:val="0"/>
              <w:autoSpaceDN w:val="0"/>
              <w:adjustRightInd w:val="0"/>
              <w:spacing w:line="360" w:lineRule="auto"/>
              <w:jc w:val="left"/>
              <w:rPr>
                <w:rFonts w:asciiTheme="minorEastAsia" w:hAnsiTheme="minorEastAsia" w:eastAsiaTheme="minorEastAsia"/>
              </w:rPr>
            </w:pPr>
            <w:r>
              <w:rPr>
                <w:rFonts w:hint="eastAsia" w:asciiTheme="minorEastAsia" w:hAnsiTheme="minorEastAsia" w:eastAsiaTheme="minor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rPr>
                <w:rFonts w:asciiTheme="minorEastAsia" w:hAnsiTheme="minorEastAsia" w:eastAsiaTheme="minorEastAsia"/>
              </w:rPr>
            </w:pPr>
            <w:r>
              <w:rPr>
                <w:rFonts w:hint="eastAsia" w:asciiTheme="minorEastAsia" w:hAnsiTheme="minorEastAsia" w:eastAsiaTheme="minorEastAsia"/>
                <w:b/>
                <w:bCs/>
              </w:rPr>
              <w:t>注：如法定代表人直接参加磋商并签署响应文件，无须提供本授权书。</w:t>
            </w:r>
          </w:p>
        </w:tc>
      </w:tr>
    </w:tbl>
    <w:p>
      <w:bookmarkStart w:id="208" w:name="_Toc424832832"/>
      <w:bookmarkStart w:id="209" w:name="_Toc27712"/>
      <w:bookmarkStart w:id="210" w:name="_Toc479184127"/>
      <w:bookmarkStart w:id="211" w:name="_Toc360120184"/>
      <w:bookmarkStart w:id="212" w:name="_Toc29904"/>
      <w:bookmarkStart w:id="213" w:name="_Toc19133"/>
      <w:bookmarkStart w:id="214" w:name="_Toc432149008"/>
      <w:bookmarkStart w:id="215" w:name="_Toc30245"/>
      <w:bookmarkStart w:id="216" w:name="_Toc30476"/>
    </w:p>
    <w:p>
      <w:pPr>
        <w:pStyle w:val="2"/>
      </w:pPr>
      <w:r>
        <w:br w:type="page"/>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208"/>
      <w:bookmarkEnd w:id="209"/>
      <w:bookmarkEnd w:id="210"/>
      <w:bookmarkEnd w:id="211"/>
      <w:bookmarkEnd w:id="212"/>
      <w:bookmarkEnd w:id="213"/>
      <w:bookmarkEnd w:id="214"/>
      <w:bookmarkEnd w:id="215"/>
      <w:bookmarkEnd w:id="216"/>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217" w:name="_Toc432149006"/>
      <w:bookmarkStart w:id="218" w:name="_Toc422466732"/>
      <w:r>
        <w:rPr>
          <w:rFonts w:hint="eastAsia" w:asciiTheme="minorEastAsia" w:hAnsiTheme="minorEastAsia" w:eastAsiaTheme="minorEastAsia" w:cstheme="minorEastAsia"/>
          <w:b/>
          <w:bCs/>
          <w:sz w:val="24"/>
        </w:rPr>
        <w:br w:type="page"/>
      </w:r>
      <w:bookmarkStart w:id="219" w:name="_Toc479184128"/>
      <w:bookmarkStart w:id="220" w:name="_Toc4741"/>
      <w:bookmarkStart w:id="221" w:name="_Toc5531"/>
      <w:bookmarkStart w:id="222" w:name="_Toc4301"/>
      <w:bookmarkStart w:id="223" w:name="_Toc24587"/>
      <w:r>
        <w:rPr>
          <w:rFonts w:hint="eastAsia" w:asciiTheme="minorEastAsia" w:hAnsiTheme="minorEastAsia" w:eastAsiaTheme="minorEastAsia" w:cstheme="minorEastAsia"/>
          <w:b/>
          <w:bCs/>
          <w:szCs w:val="21"/>
        </w:rPr>
        <w:t>五、报价一览表</w:t>
      </w:r>
      <w:bookmarkEnd w:id="217"/>
      <w:bookmarkEnd w:id="218"/>
      <w:bookmarkEnd w:id="219"/>
      <w:bookmarkEnd w:id="220"/>
      <w:bookmarkEnd w:id="221"/>
      <w:bookmarkEnd w:id="222"/>
      <w:bookmarkEnd w:id="223"/>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rPr>
            </w:pPr>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rPr>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rPr>
        <w:t>人民币报价。</w:t>
      </w:r>
    </w:p>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bookmarkStart w:id="224" w:name="_Toc259028723"/>
      <w:bookmarkStart w:id="225" w:name="_Toc460258117"/>
      <w:bookmarkStart w:id="226" w:name="_Toc424832831"/>
      <w:bookmarkStart w:id="227" w:name="_Toc432149007"/>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b/>
          <w:bCs/>
          <w:sz w:val="24"/>
        </w:rPr>
        <w:br w:type="page"/>
      </w:r>
      <w:bookmarkStart w:id="228" w:name="_Toc18559"/>
      <w:bookmarkStart w:id="229" w:name="_Toc479184129"/>
      <w:bookmarkStart w:id="230" w:name="_Toc1079"/>
      <w:bookmarkStart w:id="231" w:name="_Toc9154"/>
      <w:bookmarkStart w:id="232" w:name="_Toc4020"/>
      <w:r>
        <w:rPr>
          <w:rFonts w:hint="eastAsia" w:asciiTheme="minorEastAsia" w:hAnsiTheme="minorEastAsia" w:eastAsiaTheme="minorEastAsia" w:cstheme="minorEastAsia"/>
          <w:b/>
          <w:bCs/>
          <w:szCs w:val="21"/>
        </w:rPr>
        <w:t>六、</w:t>
      </w:r>
      <w:bookmarkEnd w:id="224"/>
      <w:bookmarkEnd w:id="225"/>
      <w:bookmarkEnd w:id="228"/>
      <w:bookmarkEnd w:id="229"/>
      <w:bookmarkEnd w:id="230"/>
      <w:r>
        <w:rPr>
          <w:rFonts w:hint="eastAsia" w:asciiTheme="minorEastAsia" w:hAnsiTheme="minorEastAsia" w:eastAsiaTheme="minorEastAsia" w:cstheme="minorEastAsia"/>
          <w:b/>
          <w:bCs/>
          <w:szCs w:val="21"/>
        </w:rPr>
        <w:t>报价费用构成表</w:t>
      </w:r>
      <w:bookmarkEnd w:id="231"/>
      <w:bookmarkEnd w:id="232"/>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p>
    <w:tbl>
      <w:tblPr>
        <w:tblStyle w:val="26"/>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875"/>
        <w:gridCol w:w="1428"/>
        <w:gridCol w:w="741"/>
        <w:gridCol w:w="828"/>
        <w:gridCol w:w="736"/>
        <w:gridCol w:w="727"/>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87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4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7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w:t>
            </w:r>
          </w:p>
        </w:tc>
        <w:tc>
          <w:tcPr>
            <w:tcW w:w="72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1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42"/>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42"/>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42"/>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42"/>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针对产地一栏，请供应商熟读《政府采购进口产品管理办法》，如实慎重填写；</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国产设备请填写“中国”，国内生产的国外品牌请填写“中国”；</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原装进口设备请填写具体生产国名称，如“美国”，设备经过报关等手续才能供货的视同进口设备，产地请填写“进口”，并附相关说明或材料；</w:t>
      </w:r>
      <w:r>
        <w:rPr>
          <w:rFonts w:hint="eastAsia" w:asciiTheme="minorEastAsia" w:hAnsiTheme="minorEastAsia" w:eastAsiaTheme="minorEastAsia" w:cstheme="minorEastAsia"/>
          <w:szCs w:val="21"/>
        </w:rPr>
        <w:br w:type="textWrapping"/>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233" w:name="_Toc26332"/>
      <w:bookmarkStart w:id="234" w:name="_Toc28656"/>
      <w:bookmarkStart w:id="235" w:name="_Toc479184130"/>
      <w:bookmarkStart w:id="236" w:name="_Toc8555"/>
      <w:bookmarkStart w:id="237" w:name="_Toc26825"/>
      <w:r>
        <w:rPr>
          <w:rFonts w:hint="eastAsia" w:asciiTheme="minorEastAsia" w:hAnsiTheme="minorEastAsia" w:eastAsiaTheme="minorEastAsia" w:cstheme="minorEastAsia"/>
          <w:b/>
          <w:bCs/>
          <w:szCs w:val="21"/>
        </w:rPr>
        <w:t>七、耗材清单</w:t>
      </w:r>
      <w:bookmarkEnd w:id="233"/>
      <w:bookmarkEnd w:id="234"/>
      <w:bookmarkEnd w:id="235"/>
      <w:bookmarkEnd w:id="236"/>
      <w:bookmarkEnd w:id="237"/>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rPr>
          <w:rFonts w:asciiTheme="minorEastAsia" w:hAnsiTheme="minorEastAsia" w:eastAsiaTheme="minorEastAsia"/>
        </w:rPr>
      </w:pP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238" w:name="_Toc479184131"/>
      <w:bookmarkStart w:id="239" w:name="_Toc32726"/>
      <w:bookmarkStart w:id="240" w:name="_Toc4858"/>
      <w:bookmarkStart w:id="241" w:name="_Toc7535"/>
      <w:bookmarkStart w:id="242" w:name="_Toc22839"/>
      <w:r>
        <w:rPr>
          <w:rFonts w:hint="eastAsia" w:asciiTheme="minorEastAsia" w:hAnsiTheme="minorEastAsia" w:eastAsiaTheme="minorEastAsia" w:cstheme="minorEastAsia"/>
          <w:b/>
          <w:bCs/>
          <w:szCs w:val="21"/>
        </w:rPr>
        <w:t>八、拟投入设备/备件、工具情况</w:t>
      </w:r>
      <w:bookmarkEnd w:id="238"/>
      <w:bookmarkEnd w:id="239"/>
      <w:bookmarkEnd w:id="240"/>
      <w:bookmarkEnd w:id="241"/>
      <w:bookmarkEnd w:id="242"/>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rPr>
          <w:rFonts w:asciiTheme="minorEastAsia" w:hAnsiTheme="minorEastAsia" w:eastAsiaTheme="minorEastAsia"/>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243" w:name="_Toc450827818"/>
      <w:bookmarkStart w:id="244" w:name="_Toc479184132"/>
      <w:bookmarkStart w:id="245" w:name="_Toc10449"/>
      <w:bookmarkStart w:id="246" w:name="_Toc27053"/>
      <w:bookmarkStart w:id="247" w:name="_Toc28637"/>
      <w:bookmarkStart w:id="248" w:name="_Toc542"/>
      <w:r>
        <w:rPr>
          <w:rFonts w:hint="eastAsia" w:asciiTheme="minorEastAsia" w:hAnsiTheme="minorEastAsia" w:eastAsiaTheme="minorEastAsia" w:cstheme="minorEastAsia"/>
          <w:b/>
          <w:bCs/>
          <w:szCs w:val="21"/>
        </w:rPr>
        <w:t>九、缴纳保证金的银行凭证</w:t>
      </w:r>
      <w:bookmarkEnd w:id="243"/>
      <w:bookmarkEnd w:id="244"/>
      <w:bookmarkEnd w:id="245"/>
      <w:bookmarkEnd w:id="246"/>
      <w:r>
        <w:rPr>
          <w:rFonts w:hint="eastAsia" w:asciiTheme="minorEastAsia" w:hAnsiTheme="minorEastAsia" w:eastAsiaTheme="minorEastAsia" w:cstheme="minorEastAsia"/>
          <w:b/>
          <w:bCs/>
          <w:szCs w:val="21"/>
        </w:rPr>
        <w:t>（如有）</w:t>
      </w:r>
      <w:bookmarkEnd w:id="247"/>
      <w:bookmarkEnd w:id="248"/>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中经国际招标集团有限公司：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226"/>
    <w:bookmarkEnd w:id="227"/>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249" w:name="_Toc432149012"/>
      <w:bookmarkStart w:id="250" w:name="_Toc479184133"/>
      <w:bookmarkStart w:id="251" w:name="_Toc4403"/>
      <w:bookmarkStart w:id="252" w:name="_Toc12530"/>
      <w:bookmarkStart w:id="253" w:name="_Toc28200"/>
      <w:bookmarkStart w:id="254" w:name="_Toc1591"/>
      <w:bookmarkStart w:id="255" w:name="_Toc422466736"/>
      <w:r>
        <w:rPr>
          <w:rFonts w:hint="eastAsia" w:asciiTheme="minorEastAsia" w:hAnsiTheme="minorEastAsia" w:eastAsiaTheme="minorEastAsia" w:cstheme="minorEastAsia"/>
          <w:b/>
          <w:bCs/>
          <w:szCs w:val="21"/>
        </w:rPr>
        <w:t>十、偏离说明表</w:t>
      </w:r>
      <w:bookmarkEnd w:id="249"/>
      <w:bookmarkEnd w:id="250"/>
      <w:bookmarkEnd w:id="251"/>
      <w:bookmarkEnd w:id="252"/>
      <w:bookmarkEnd w:id="253"/>
      <w:bookmarkEnd w:id="254"/>
      <w:bookmarkEnd w:id="255"/>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3"/>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3"/>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256" w:name="_Toc479184134"/>
      <w:bookmarkStart w:id="257" w:name="_Toc32060"/>
      <w:bookmarkStart w:id="258" w:name="_Toc432149013"/>
      <w:bookmarkStart w:id="259" w:name="_Toc362935521"/>
      <w:bookmarkStart w:id="260" w:name="_Toc28283"/>
      <w:bookmarkStart w:id="261" w:name="_Toc24869"/>
      <w:bookmarkStart w:id="262" w:name="_Toc27009"/>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256"/>
      <w:bookmarkEnd w:id="257"/>
      <w:bookmarkEnd w:id="258"/>
      <w:bookmarkEnd w:id="259"/>
      <w:bookmarkEnd w:id="260"/>
      <w:r>
        <w:rPr>
          <w:rFonts w:hint="eastAsia" w:asciiTheme="minorEastAsia" w:hAnsiTheme="minorEastAsia" w:eastAsiaTheme="minorEastAsia" w:cstheme="minorEastAsia"/>
          <w:b/>
          <w:bCs/>
          <w:szCs w:val="21"/>
        </w:rPr>
        <w:br w:type="textWrapping"/>
      </w:r>
      <w:bookmarkEnd w:id="261"/>
      <w:bookmarkEnd w:id="262"/>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p>
    <w:p>
      <w:pPr>
        <w:spacing w:line="360" w:lineRule="auto"/>
        <w:rPr>
          <w:rFonts w:asciiTheme="minorEastAsia" w:hAnsiTheme="minorEastAsia" w:eastAsiaTheme="minorEastAsia" w:cstheme="minorEastAsia"/>
          <w:szCs w:val="21"/>
        </w:rPr>
      </w:pPr>
      <w:bookmarkStart w:id="263" w:name="_Toc460258118"/>
      <w:bookmarkStart w:id="264" w:name="_Toc454806053"/>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265" w:name="_Toc30455"/>
      <w:bookmarkStart w:id="266" w:name="_Toc479184135"/>
      <w:bookmarkStart w:id="267" w:name="_Toc4834"/>
      <w:bookmarkStart w:id="268" w:name="_Toc10021"/>
      <w:bookmarkStart w:id="269" w:name="_Toc17955"/>
      <w:r>
        <w:rPr>
          <w:rFonts w:hint="eastAsia" w:asciiTheme="minorEastAsia" w:hAnsiTheme="minorEastAsia" w:eastAsiaTheme="minorEastAsia" w:cstheme="minorEastAsia"/>
          <w:b/>
          <w:bCs/>
          <w:szCs w:val="21"/>
        </w:rPr>
        <w:t>十二、拟投入项目组人员一览表</w:t>
      </w:r>
      <w:bookmarkEnd w:id="263"/>
      <w:bookmarkEnd w:id="264"/>
      <w:bookmarkEnd w:id="265"/>
      <w:bookmarkEnd w:id="266"/>
      <w:bookmarkEnd w:id="267"/>
      <w:bookmarkEnd w:id="268"/>
      <w:bookmarkEnd w:id="269"/>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asciiTheme="minorEastAsia" w:hAnsiTheme="minorEastAsia" w:eastAsiaTheme="minor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70" w:name="_Toc1688"/>
      <w:bookmarkStart w:id="271" w:name="_Toc422466737"/>
      <w:bookmarkStart w:id="272" w:name="_Toc432149014"/>
      <w:bookmarkStart w:id="273" w:name="_Toc10429"/>
      <w:bookmarkStart w:id="274" w:name="_Toc479184136"/>
      <w:bookmarkStart w:id="275" w:name="_Toc21764"/>
      <w:bookmarkStart w:id="276" w:name="_Toc26838"/>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270"/>
      <w:bookmarkEnd w:id="271"/>
      <w:bookmarkEnd w:id="272"/>
      <w:bookmarkEnd w:id="273"/>
      <w:bookmarkEnd w:id="274"/>
      <w:bookmarkEnd w:id="275"/>
      <w:bookmarkEnd w:id="276"/>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77" w:name="_Toc450827823"/>
      <w:bookmarkStart w:id="278" w:name="_Toc479184137"/>
      <w:bookmarkStart w:id="279" w:name="_Toc259028731"/>
      <w:bookmarkStart w:id="280" w:name="_Toc17331"/>
      <w:bookmarkStart w:id="281" w:name="_Toc18017"/>
      <w:bookmarkStart w:id="282" w:name="_Toc10162"/>
      <w:bookmarkStart w:id="283" w:name="_Toc17527"/>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77"/>
      <w:bookmarkEnd w:id="278"/>
      <w:bookmarkEnd w:id="279"/>
      <w:bookmarkEnd w:id="280"/>
      <w:bookmarkEnd w:id="281"/>
      <w:bookmarkEnd w:id="282"/>
      <w:bookmarkEnd w:id="283"/>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84" w:name="_Toc358447587"/>
      <w:bookmarkStart w:id="285" w:name="_Toc364868916"/>
      <w:bookmarkStart w:id="286" w:name="_Toc427239751"/>
      <w:bookmarkStart w:id="287" w:name="_Toc5793"/>
      <w:bookmarkStart w:id="288" w:name="_Toc18555"/>
      <w:bookmarkStart w:id="289" w:name="_Toc290207179"/>
      <w:bookmarkStart w:id="290" w:name="_Toc32187"/>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91" w:name="_Toc21818"/>
      <w:bookmarkStart w:id="292" w:name="_Toc10423"/>
      <w:r>
        <w:rPr>
          <w:rFonts w:hint="eastAsia" w:asciiTheme="minorEastAsia" w:hAnsiTheme="minorEastAsia" w:eastAsiaTheme="minorEastAsia" w:cstheme="minorEastAsia"/>
          <w:b/>
          <w:bCs/>
          <w:kern w:val="0"/>
          <w:szCs w:val="21"/>
        </w:rPr>
        <w:t>十五、</w:t>
      </w:r>
      <w:bookmarkEnd w:id="284"/>
      <w:bookmarkEnd w:id="285"/>
      <w:bookmarkEnd w:id="286"/>
      <w:bookmarkEnd w:id="287"/>
      <w:bookmarkEnd w:id="288"/>
      <w:bookmarkEnd w:id="289"/>
      <w:bookmarkEnd w:id="290"/>
      <w:bookmarkStart w:id="293" w:name="_Toc479184138"/>
      <w:bookmarkStart w:id="294" w:name="_Toc460258123"/>
      <w:bookmarkStart w:id="295" w:name="_Toc29785"/>
      <w:bookmarkStart w:id="296" w:name="_Toc27229"/>
      <w:r>
        <w:rPr>
          <w:rFonts w:hint="eastAsia" w:asciiTheme="minorEastAsia" w:hAnsiTheme="minorEastAsia" w:eastAsiaTheme="minorEastAsia" w:cstheme="minorEastAsia"/>
          <w:b/>
          <w:bCs/>
          <w:kern w:val="0"/>
          <w:szCs w:val="21"/>
        </w:rPr>
        <w:t>报价技术文件</w:t>
      </w:r>
      <w:bookmarkEnd w:id="291"/>
      <w:bookmarkEnd w:id="292"/>
      <w:bookmarkEnd w:id="293"/>
      <w:bookmarkEnd w:id="294"/>
      <w:bookmarkEnd w:id="295"/>
      <w:bookmarkEnd w:id="296"/>
    </w:p>
    <w:p>
      <w:pPr>
        <w:rPr>
          <w:rFonts w:asciiTheme="minorEastAsia" w:hAnsiTheme="minorEastAsia" w:eastAsiaTheme="minorEastAsia" w:cstheme="minorEastAsia"/>
          <w:szCs w:val="21"/>
        </w:rPr>
      </w:pPr>
    </w:p>
    <w:p>
      <w:pPr>
        <w:pStyle w:val="97"/>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4"/>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4"/>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4"/>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4"/>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4"/>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4"/>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97" w:name="_Toc8098"/>
      <w:bookmarkStart w:id="298" w:name="_Toc422466739"/>
      <w:bookmarkStart w:id="299" w:name="_Toc2101"/>
      <w:bookmarkStart w:id="300" w:name="_Toc12119"/>
      <w:bookmarkStart w:id="301" w:name="_Toc355802499"/>
      <w:bookmarkStart w:id="302" w:name="_Toc479184140"/>
      <w:bookmarkStart w:id="303" w:name="_Toc432149016"/>
      <w:bookmarkStart w:id="304" w:name="_Toc22465"/>
      <w:bookmarkStart w:id="305" w:name="_Toc356836516"/>
      <w:bookmarkStart w:id="306" w:name="_Toc20651"/>
      <w:bookmarkStart w:id="307" w:name="_Toc2302"/>
      <w:r>
        <w:rPr>
          <w:rFonts w:hint="eastAsia" w:asciiTheme="minorEastAsia" w:hAnsiTheme="minorEastAsia" w:eastAsiaTheme="minorEastAsia" w:cstheme="minorEastAsia"/>
          <w:b/>
        </w:rPr>
        <w:t>十六、</w:t>
      </w:r>
      <w:bookmarkEnd w:id="297"/>
      <w:bookmarkEnd w:id="298"/>
      <w:bookmarkEnd w:id="299"/>
      <w:bookmarkEnd w:id="300"/>
      <w:bookmarkEnd w:id="301"/>
      <w:bookmarkEnd w:id="302"/>
      <w:bookmarkEnd w:id="303"/>
      <w:bookmarkEnd w:id="304"/>
      <w:bookmarkEnd w:id="305"/>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306"/>
      <w:bookmarkEnd w:id="307"/>
    </w:p>
    <w:p>
      <w:pPr>
        <w:spacing w:line="360" w:lineRule="auto"/>
        <w:ind w:firstLine="420" w:firstLineChars="200"/>
        <w:jc w:val="center"/>
        <w:rPr>
          <w:rFonts w:cs="宋体" w:asciiTheme="minorEastAsia" w:hAnsiTheme="minorEastAsia" w:eastAsiaTheme="minorEastAsia"/>
          <w:szCs w:val="21"/>
        </w:rPr>
      </w:pPr>
      <w:r>
        <w:rPr>
          <w:rFonts w:cs="宋体" w:asciiTheme="minorEastAsia" w:hAnsiTheme="minorEastAsia" w:eastAsiaTheme="minorEastAsia"/>
          <w:szCs w:val="21"/>
        </w:rPr>
        <w:t>中小企业声明函（</w:t>
      </w:r>
      <w:r>
        <w:rPr>
          <w:rFonts w:hint="eastAsia" w:cs="宋体" w:asciiTheme="minorEastAsia" w:hAnsiTheme="minorEastAsia" w:eastAsiaTheme="minorEastAsia"/>
          <w:szCs w:val="21"/>
        </w:rPr>
        <w:t>货物</w:t>
      </w:r>
      <w:r>
        <w:rPr>
          <w:rFonts w:cs="宋体" w:asciiTheme="minorEastAsia" w:hAnsiTheme="minorEastAsia" w:eastAsiaTheme="minorEastAsia"/>
          <w:szCs w:val="21"/>
        </w:rPr>
        <w:t>）</w:t>
      </w:r>
    </w:p>
    <w:p>
      <w:pPr>
        <w:spacing w:line="360" w:lineRule="auto"/>
        <w:ind w:firstLine="420" w:firstLineChars="200"/>
        <w:rPr>
          <w:rFonts w:cs="宋体" w:asciiTheme="minorEastAsia" w:hAnsiTheme="minorEastAsia" w:eastAsiaTheme="minorEastAsia"/>
          <w:szCs w:val="21"/>
        </w:rPr>
      </w:pPr>
      <w:r>
        <w:rPr>
          <w:rFonts w:cs="宋体" w:asciiTheme="minorEastAsia" w:hAnsiTheme="minorEastAsia" w:eastAsiaTheme="minorEastAsia"/>
          <w:szCs w:val="21"/>
        </w:rPr>
        <w:t>本公司（联合体）郑重声明，根据《政府采购促进中小企业发展管理办法》（财库﹝2020﹞</w:t>
      </w:r>
      <w:r>
        <w:rPr>
          <w:rFonts w:hint="eastAsia" w:cs="宋体" w:asciiTheme="minorEastAsia" w:hAnsiTheme="minorEastAsia" w:eastAsiaTheme="minorEastAsia"/>
          <w:szCs w:val="21"/>
        </w:rPr>
        <w:t>46</w:t>
      </w:r>
      <w:r>
        <w:rPr>
          <w:rFonts w:cs="宋体" w:asciiTheme="minorEastAsia" w:hAnsiTheme="minorEastAsia" w:eastAsiaTheme="minorEastAsia"/>
          <w:szCs w:val="21"/>
        </w:rPr>
        <w:t>号）的规定，本公司 （联合体）参加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（单位名称）</w:t>
      </w:r>
      <w:r>
        <w:rPr>
          <w:rFonts w:cs="宋体" w:asciiTheme="minorEastAsia" w:hAnsiTheme="minorEastAsia" w:eastAsiaTheme="minorEastAsia"/>
          <w:szCs w:val="21"/>
        </w:rPr>
        <w:t>的</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（项目名称）</w:t>
      </w:r>
      <w:r>
        <w:rPr>
          <w:rFonts w:cs="宋体" w:asciiTheme="minorEastAsia" w:hAnsiTheme="minorEastAsia" w:eastAsiaTheme="minorEastAsia"/>
          <w:szCs w:val="21"/>
        </w:rPr>
        <w:t xml:space="preserve">采购活动，提供的货物全部由符合政策要求的中小企业制造。相关企业（含联合体中的中小企业、签订分包意向协议的中小企业） 的具体情况如下： </w:t>
      </w:r>
      <w:r>
        <w:rPr>
          <w:rFonts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 xml:space="preserve">1. </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（标的名称）</w:t>
      </w:r>
      <w:r>
        <w:rPr>
          <w:rFonts w:cs="宋体" w:asciiTheme="minorEastAsia" w:hAnsiTheme="minorEastAsia" w:eastAsiaTheme="minorEastAsia"/>
          <w:szCs w:val="21"/>
        </w:rPr>
        <w:t xml:space="preserve"> ，属于</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（采购文件中明确的所属行业）</w:t>
      </w:r>
      <w:r>
        <w:rPr>
          <w:rFonts w:cs="宋体" w:asciiTheme="minorEastAsia" w:hAnsiTheme="minorEastAsia" w:eastAsiaTheme="minorEastAsia"/>
          <w:szCs w:val="21"/>
        </w:rPr>
        <w:t xml:space="preserve"> 行业；制造商为</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（企业名称）</w:t>
      </w:r>
      <w:r>
        <w:rPr>
          <w:rFonts w:cs="宋体" w:asciiTheme="minorEastAsia" w:hAnsiTheme="minorEastAsia" w:eastAsiaTheme="minorEastAsia"/>
          <w:szCs w:val="21"/>
        </w:rPr>
        <w:t>，从业人员</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rPr>
        <w:t>人，营业收入为</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rPr>
        <w:t>万元，资产总额为</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rPr>
        <w:t>万元，属于</w:t>
      </w:r>
      <w:r>
        <w:rPr>
          <w:rFonts w:cs="宋体" w:asciiTheme="minorEastAsia" w:hAnsiTheme="minorEastAsia" w:eastAsiaTheme="minorEastAsia"/>
          <w:szCs w:val="21"/>
          <w:u w:val="single"/>
        </w:rPr>
        <w:t>（中型企业、小型企业、微型企业）；</w:t>
      </w:r>
      <w:r>
        <w:rPr>
          <w:rFonts w:cs="宋体" w:asciiTheme="minorEastAsia" w:hAnsiTheme="minorEastAsia" w:eastAsiaTheme="minorEastAsia"/>
          <w:szCs w:val="21"/>
        </w:rPr>
        <w:t xml:space="preserve"> </w:t>
      </w:r>
      <w:r>
        <w:rPr>
          <w:rFonts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 xml:space="preserve">2. </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（标的名称）</w:t>
      </w:r>
      <w:r>
        <w:rPr>
          <w:rFonts w:cs="宋体" w:asciiTheme="minorEastAsia" w:hAnsiTheme="minorEastAsia" w:eastAsiaTheme="minorEastAsia"/>
          <w:szCs w:val="21"/>
        </w:rPr>
        <w:t xml:space="preserve"> ，属于</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（采购文件中明确的所属行业）</w:t>
      </w:r>
      <w:r>
        <w:rPr>
          <w:rFonts w:cs="宋体" w:asciiTheme="minorEastAsia" w:hAnsiTheme="minorEastAsia" w:eastAsiaTheme="minorEastAsia"/>
          <w:szCs w:val="21"/>
        </w:rPr>
        <w:t>行业；制造商为</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（企业名称）</w:t>
      </w:r>
      <w:r>
        <w:rPr>
          <w:rFonts w:cs="宋体" w:asciiTheme="minorEastAsia" w:hAnsiTheme="minorEastAsia" w:eastAsiaTheme="minorEastAsia"/>
          <w:szCs w:val="21"/>
        </w:rPr>
        <w:t>，从业人员</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rPr>
        <w:t>人，营业收入为</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rPr>
        <w:t>万元，资产总额为</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rPr>
        <w:t>万元，属于</w:t>
      </w:r>
      <w:r>
        <w:rPr>
          <w:rFonts w:cs="宋体" w:asciiTheme="minorEastAsia" w:hAnsiTheme="minorEastAsia" w:eastAsiaTheme="minorEastAsia"/>
          <w:szCs w:val="21"/>
          <w:u w:val="single"/>
        </w:rPr>
        <w:t>（中型企业、小型企业、微型企业）</w:t>
      </w:r>
      <w:r>
        <w:rPr>
          <w:rFonts w:cs="宋体" w:asciiTheme="minorEastAsia" w:hAnsiTheme="minorEastAsia" w:eastAsiaTheme="minorEastAsia"/>
          <w:szCs w:val="21"/>
        </w:rPr>
        <w:t xml:space="preserve">； </w:t>
      </w:r>
      <w:r>
        <w:rPr>
          <w:rFonts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 xml:space="preserve">…… </w:t>
      </w:r>
      <w:r>
        <w:rPr>
          <w:rFonts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 xml:space="preserve">以上企业，不属于大企业的分支机构，不存在控股股东为大企业的情形，也不存在与大企业的负责人为同一人的情形。 </w:t>
      </w:r>
      <w:r>
        <w:rPr>
          <w:rFonts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 xml:space="preserve">本企业对上述声明内容的真实性负责。如有虚假，将依法承担相应责任。 </w:t>
      </w:r>
    </w:p>
    <w:p>
      <w:pPr>
        <w:spacing w:line="360" w:lineRule="auto"/>
        <w:ind w:firstLine="6930" w:firstLineChars="3300"/>
        <w:rPr>
          <w:rFonts w:cs="宋体" w:asciiTheme="minorEastAsia" w:hAnsiTheme="minorEastAsia" w:eastAsiaTheme="minorEastAsia"/>
          <w:szCs w:val="21"/>
        </w:rPr>
      </w:pPr>
      <w:r>
        <w:rPr>
          <w:rFonts w:cs="宋体" w:asciiTheme="minorEastAsia" w:hAnsiTheme="minorEastAsia" w:eastAsiaTheme="minorEastAsia"/>
          <w:szCs w:val="21"/>
        </w:rPr>
        <w:t xml:space="preserve">企业名称（盖章）： </w:t>
      </w:r>
    </w:p>
    <w:p>
      <w:pPr>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日 期：</w:t>
      </w:r>
    </w:p>
    <w:p>
      <w:pPr>
        <w:spacing w:line="360" w:lineRule="auto"/>
        <w:rPr>
          <w:rFonts w:cs="宋体" w:asciiTheme="minorEastAsia" w:hAnsiTheme="minorEastAsia" w:eastAsiaTheme="minorEastAsia"/>
          <w:szCs w:val="21"/>
        </w:rPr>
      </w:pPr>
    </w:p>
    <w:p>
      <w:pPr>
        <w:spacing w:line="360" w:lineRule="auto"/>
        <w:rPr>
          <w:rFonts w:cs="宋体" w:asciiTheme="minorEastAsia" w:hAnsiTheme="minorEastAsia" w:eastAsiaTheme="minorEastAsia"/>
          <w:szCs w:val="21"/>
        </w:rPr>
      </w:pPr>
    </w:p>
    <w:p>
      <w:pPr>
        <w:spacing w:line="360" w:lineRule="auto"/>
        <w:rPr>
          <w:rFonts w:cs="宋体" w:asciiTheme="minorEastAsia" w:hAnsiTheme="minorEastAsia" w:eastAsiaTheme="minorEastAsia"/>
          <w:szCs w:val="21"/>
        </w:rPr>
      </w:pPr>
    </w:p>
    <w:p>
      <w:pPr>
        <w:spacing w:line="360" w:lineRule="auto"/>
        <w:rPr>
          <w:rFonts w:cs="宋体" w:asciiTheme="minorEastAsia" w:hAnsiTheme="minorEastAsia" w:eastAsiaTheme="minorEastAsia"/>
          <w:szCs w:val="21"/>
        </w:rPr>
      </w:pPr>
    </w:p>
    <w:p>
      <w:pPr>
        <w:spacing w:line="360" w:lineRule="auto"/>
        <w:ind w:firstLine="420" w:firstLineChars="200"/>
        <w:rPr>
          <w:rFonts w:asciiTheme="minorEastAsia" w:hAnsiTheme="minorEastAsia" w:eastAsiaTheme="minorEastAsia"/>
        </w:rPr>
      </w:pPr>
      <w:r>
        <w:rPr>
          <w:rFonts w:cs="宋体" w:asciiTheme="minorEastAsia" w:hAnsiTheme="minorEastAsia" w:eastAsiaTheme="minorEastAsia"/>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zCs w:val="21"/>
        </w:rPr>
        <w:br w:type="textWrapping"/>
      </w:r>
    </w:p>
    <w:bookmarkEnd w:id="192"/>
    <w:bookmarkEnd w:id="193"/>
    <w:bookmarkEnd w:id="194"/>
    <w:bookmarkEnd w:id="195"/>
    <w:p>
      <w:pPr>
        <w:adjustRightInd w:val="0"/>
        <w:snapToGrid w:val="0"/>
        <w:jc w:val="center"/>
        <w:outlineLvl w:val="1"/>
        <w:rPr>
          <w:rFonts w:asciiTheme="minorEastAsia" w:hAnsiTheme="minorEastAsia" w:eastAsiaTheme="minorEastAsia" w:cstheme="minorEastAsia"/>
          <w:b/>
        </w:rPr>
      </w:pPr>
      <w:bookmarkStart w:id="308" w:name="_Toc11257"/>
      <w:bookmarkStart w:id="309" w:name="_Toc21821"/>
      <w:bookmarkStart w:id="310" w:name="_Toc30406"/>
      <w:bookmarkStart w:id="311" w:name="_Toc7229"/>
      <w:bookmarkStart w:id="312" w:name="_Toc479184141"/>
      <w:bookmarkStart w:id="313" w:name="_Toc4320"/>
      <w:bookmarkStart w:id="314" w:name="_Toc476839034"/>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308"/>
      <w:bookmarkEnd w:id="309"/>
    </w:p>
    <w:p>
      <w:pPr>
        <w:adjustRightInd w:val="0"/>
        <w:snapToGrid w:val="0"/>
        <w:jc w:val="center"/>
        <w:rPr>
          <w:rFonts w:asciiTheme="minorEastAsia" w:hAnsiTheme="minorEastAsia" w:eastAsiaTheme="minorEastAsia" w:cstheme="minorEastAsia"/>
          <w:spacing w:val="6"/>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pacing w:val="6"/>
          <w:szCs w:val="21"/>
        </w:rPr>
      </w:pPr>
    </w:p>
    <w:p>
      <w:pPr>
        <w:adjustRightInd w:val="0"/>
        <w:snapToGrid w:val="0"/>
        <w:rPr>
          <w:rFonts w:asciiTheme="minorEastAsia" w:hAnsiTheme="minorEastAsia" w:eastAsiaTheme="minorEastAsia" w:cstheme="minorEastAsia"/>
          <w:spacing w:val="6"/>
          <w:szCs w:val="21"/>
        </w:rPr>
      </w:pPr>
    </w:p>
    <w:p>
      <w:pPr>
        <w:rPr>
          <w:rFonts w:asciiTheme="minorEastAsia" w:hAnsiTheme="minorEastAsia" w:eastAsiaTheme="minorEastAsia"/>
        </w:rPr>
      </w:pP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bookmarkStart w:id="315" w:name="_Toc10919"/>
      <w:bookmarkStart w:id="316" w:name="_Toc6636"/>
      <w:r>
        <w:rPr>
          <w:rFonts w:hint="eastAsia" w:asciiTheme="minorEastAsia" w:hAnsiTheme="minorEastAsia" w:eastAsiaTheme="minorEastAsia"/>
        </w:rPr>
        <w:br w:type="page"/>
      </w:r>
    </w:p>
    <w:p>
      <w:pPr>
        <w:adjustRightInd w:val="0"/>
        <w:snapToGrid w:val="0"/>
        <w:jc w:val="center"/>
        <w:outlineLvl w:val="1"/>
        <w:rPr>
          <w:rFonts w:asciiTheme="minorEastAsia" w:hAnsiTheme="minorEastAsia" w:eastAsiaTheme="minorEastAsia" w:cstheme="minorEastAsia"/>
          <w:b/>
          <w:lang w:val="zh-CN"/>
        </w:rPr>
      </w:pP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315"/>
      <w:bookmarkEnd w:id="316"/>
    </w:p>
    <w:p>
      <w:pPr>
        <w:pStyle w:val="15"/>
        <w:spacing w:line="360" w:lineRule="auto"/>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5"/>
        <w:spacing w:line="360" w:lineRule="auto"/>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5"/>
        <w:spacing w:line="360" w:lineRule="auto"/>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5"/>
        <w:spacing w:line="360" w:lineRule="auto"/>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5"/>
        <w:spacing w:line="360" w:lineRule="auto"/>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时          </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 xml:space="preserve">       间：           年          月          日</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5"/>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5"/>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5"/>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5"/>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5"/>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317" w:name="_Toc15773"/>
      <w:bookmarkStart w:id="318" w:name="_Toc20592"/>
      <w:r>
        <w:rPr>
          <w:rFonts w:hint="eastAsia" w:asciiTheme="minorEastAsia" w:hAnsiTheme="minorEastAsia" w:eastAsiaTheme="minorEastAsia" w:cstheme="minorEastAsia"/>
          <w:b/>
        </w:rPr>
        <w:t>十九、节能环保产品证明材料（若符合）</w:t>
      </w:r>
      <w:bookmarkEnd w:id="317"/>
      <w:bookmarkEnd w:id="318"/>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319" w:name="_Toc635"/>
      <w:bookmarkStart w:id="320" w:name="_Toc12167"/>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310"/>
      <w:bookmarkEnd w:id="311"/>
      <w:bookmarkEnd w:id="312"/>
      <w:bookmarkEnd w:id="313"/>
      <w:bookmarkEnd w:id="314"/>
      <w:bookmarkEnd w:id="319"/>
      <w:bookmarkEnd w:id="320"/>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rPr>
          <w:rFonts w:asciiTheme="minorEastAsia" w:hAnsiTheme="minorEastAsia" w:eastAsiaTheme="minorEastAsia" w:cstheme="minorEastAsia"/>
          <w:kern w:val="0"/>
          <w:szCs w:val="21"/>
          <w:shd w:val="clear" w:color="auto" w:fill="FFFFFF"/>
        </w:rPr>
      </w:pPr>
      <w:bookmarkStart w:id="321" w:name="_Toc10829"/>
      <w:bookmarkStart w:id="322" w:name="_Toc21630"/>
      <w:bookmarkStart w:id="323" w:name="_Toc16157"/>
      <w:r>
        <w:rPr>
          <w:rFonts w:hint="eastAsia" w:asciiTheme="minorEastAsia" w:hAnsiTheme="minorEastAsia" w:eastAsiaTheme="minorEastAsia" w:cstheme="minorEastAsia"/>
          <w:kern w:val="0"/>
          <w:szCs w:val="21"/>
          <w:shd w:val="clear" w:color="auto" w:fill="FFFFFF"/>
        </w:rPr>
        <w:br w:type="textWrapping"/>
      </w:r>
    </w:p>
    <w:p>
      <w:pPr>
        <w:rPr>
          <w:rFonts w:hint="eastAsia" w:asciiTheme="minorEastAsia" w:hAnsiTheme="minorEastAsia" w:eastAsiaTheme="minorEastAsia" w:cstheme="minorEastAsia"/>
          <w:b/>
          <w:bCs/>
          <w:kern w:val="0"/>
          <w:szCs w:val="21"/>
          <w:shd w:val="clear" w:color="auto" w:fill="FFFFFF"/>
        </w:rPr>
      </w:pPr>
      <w:r>
        <w:rPr>
          <w:rFonts w:hint="eastAsia" w:asciiTheme="minorEastAsia" w:hAnsiTheme="minorEastAsia" w:eastAsiaTheme="minorEastAsia" w:cstheme="minorEastAsia"/>
          <w:b/>
          <w:bCs/>
          <w:kern w:val="0"/>
          <w:szCs w:val="21"/>
          <w:shd w:val="clear" w:color="auto" w:fill="FFFFFF"/>
        </w:rPr>
        <w:br w:type="page"/>
      </w:r>
    </w:p>
    <w:p>
      <w:pPr>
        <w:jc w:val="center"/>
        <w:outlineLvl w:val="1"/>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321"/>
      <w:r>
        <w:rPr>
          <w:rFonts w:hint="eastAsia" w:asciiTheme="minorEastAsia" w:hAnsiTheme="minorEastAsia" w:eastAsiaTheme="minorEastAsia" w:cstheme="minorEastAsia"/>
          <w:b/>
          <w:bCs/>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br w:type="textWrapping"/>
      </w:r>
      <w:bookmarkEnd w:id="322"/>
      <w:bookmarkEnd w:id="323"/>
    </w:p>
    <w:tbl>
      <w:tblPr>
        <w:tblStyle w:val="26"/>
        <w:tblW w:w="5484" w:type="pct"/>
        <w:tblInd w:w="-466" w:type="dxa"/>
        <w:tblLayout w:type="fixed"/>
        <w:tblCellMar>
          <w:top w:w="0" w:type="dxa"/>
          <w:left w:w="0" w:type="dxa"/>
          <w:bottom w:w="0" w:type="dxa"/>
          <w:right w:w="0" w:type="dxa"/>
        </w:tblCellMar>
      </w:tblPr>
      <w:tblGrid>
        <w:gridCol w:w="1163"/>
        <w:gridCol w:w="663"/>
        <w:gridCol w:w="761"/>
        <w:gridCol w:w="819"/>
        <w:gridCol w:w="665"/>
        <w:gridCol w:w="783"/>
        <w:gridCol w:w="783"/>
        <w:gridCol w:w="657"/>
        <w:gridCol w:w="767"/>
        <w:gridCol w:w="746"/>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cs="黑体" w:asciiTheme="minorEastAsia" w:hAnsiTheme="minorEastAsia" w:eastAsiaTheme="minorEastAsia"/>
                <w:b/>
                <w:sz w:val="40"/>
                <w:szCs w:val="40"/>
              </w:rPr>
            </w:pPr>
            <w:r>
              <w:rPr>
                <w:rFonts w:hint="eastAsia" w:cs="黑体" w:asciiTheme="minorEastAsia" w:hAnsiTheme="minorEastAsia" w:eastAsiaTheme="minorEastAsia"/>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中小微型企业（</w:t>
            </w:r>
            <w:r>
              <w:rPr>
                <w:rFonts w:hint="eastAsia" w:cs="宋体" w:asciiTheme="minorEastAsia" w:hAnsiTheme="minorEastAsia" w:eastAsiaTheme="minorEastAsia"/>
                <w:b/>
                <w:kern w:val="0"/>
                <w:szCs w:val="21"/>
                <w:lang w:bidi="ar"/>
              </w:rPr>
              <w:t>或</w:t>
            </w:r>
            <w:r>
              <w:rPr>
                <w:rFonts w:hint="eastAsia" w:cs="宋体" w:asciiTheme="minorEastAsia" w:hAnsiTheme="minorEastAsia" w:eastAsiaTheme="minorEastAsia"/>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中型企业（</w:t>
            </w:r>
            <w:r>
              <w:rPr>
                <w:rFonts w:hint="eastAsia" w:cs="宋体" w:asciiTheme="minorEastAsia" w:hAnsiTheme="minorEastAsia" w:eastAsiaTheme="minorEastAsia"/>
                <w:b/>
                <w:kern w:val="0"/>
                <w:szCs w:val="21"/>
                <w:lang w:bidi="ar"/>
              </w:rPr>
              <w:t>且</w:t>
            </w:r>
            <w:r>
              <w:rPr>
                <w:rFonts w:hint="eastAsia" w:cs="宋体" w:asciiTheme="minorEastAsia" w:hAnsiTheme="minorEastAsia" w:eastAsiaTheme="minorEastAsia"/>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小型企业（</w:t>
            </w:r>
            <w:r>
              <w:rPr>
                <w:rFonts w:hint="eastAsia" w:cs="宋体" w:asciiTheme="minorEastAsia" w:hAnsiTheme="minorEastAsia" w:eastAsiaTheme="minorEastAsia"/>
                <w:b/>
                <w:kern w:val="0"/>
                <w:szCs w:val="21"/>
                <w:lang w:bidi="ar"/>
              </w:rPr>
              <w:t>且</w:t>
            </w:r>
            <w:r>
              <w:rPr>
                <w:rFonts w:hint="eastAsia" w:cs="宋体" w:asciiTheme="minorEastAsia" w:hAnsiTheme="minorEastAsia" w:eastAsiaTheme="minorEastAsia"/>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微型企业（</w:t>
            </w:r>
            <w:r>
              <w:rPr>
                <w:rFonts w:hint="eastAsia" w:cs="宋体" w:asciiTheme="minorEastAsia" w:hAnsiTheme="minorEastAsia" w:eastAsiaTheme="minorEastAsia"/>
                <w:b/>
                <w:kern w:val="0"/>
                <w:szCs w:val="21"/>
                <w:lang w:bidi="ar"/>
              </w:rPr>
              <w:t>或</w:t>
            </w:r>
            <w:r>
              <w:rPr>
                <w:rFonts w:hint="eastAsia" w:cs="宋体" w:asciiTheme="minorEastAsia" w:hAnsiTheme="minorEastAsia" w:eastAsiaTheme="minorEastAsia"/>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cs="宋体" w:asciiTheme="minorEastAsia" w:hAnsiTheme="minorEastAsia" w:eastAsiaTheme="minorEastAsia"/>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cs="宋体" w:asciiTheme="minorEastAsia" w:hAnsiTheme="minorEastAsia" w:eastAsiaTheme="minorEastAsia"/>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cs="宋体" w:asciiTheme="minorEastAsia" w:hAnsiTheme="minorEastAsia" w:eastAsiaTheme="minorEastAsia"/>
                <w:szCs w:val="21"/>
              </w:rPr>
            </w:pPr>
            <w:r>
              <w:rPr>
                <w:rFonts w:hint="eastAsia" w:cs="宋体" w:asciiTheme="minorEastAsia" w:hAnsiTheme="minorEastAsia" w:eastAsiaTheme="minorEastAsia"/>
                <w:kern w:val="0"/>
                <w:szCs w:val="21"/>
                <w:lang w:bidi="ar"/>
              </w:rPr>
              <w:t>本规定适用于在中华人民共和国境内依法设立的各类所有制和各种组织形式的企业。</w:t>
            </w:r>
            <w:r>
              <w:rPr>
                <w:rFonts w:hint="eastAsia" w:cs="宋体" w:asciiTheme="minorEastAsia" w:hAnsiTheme="minorEastAsia" w:eastAsiaTheme="minorEastAsia"/>
                <w:b/>
                <w:kern w:val="0"/>
                <w:szCs w:val="21"/>
                <w:lang w:bidi="ar"/>
              </w:rPr>
              <w:t>个体工商户</w:t>
            </w:r>
            <w:r>
              <w:rPr>
                <w:rFonts w:hint="eastAsia" w:cs="宋体" w:asciiTheme="minorEastAsia" w:hAnsiTheme="minorEastAsia" w:eastAsiaTheme="minorEastAsia"/>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1002AFF" w:usb1="C0000002" w:usb2="00000008" w:usb3="00000000" w:csb0="200101FF" w:csb1="20280000"/>
  </w:font>
  <w:font w:name="Wingdings 2">
    <w:altName w:val="Wingdings"/>
    <w:panose1 w:val="05020102010507070707"/>
    <w:charset w:val="02"/>
    <w:family w:val="roman"/>
    <w:pitch w:val="default"/>
    <w:sig w:usb0="00000000" w:usb1="00000000" w:usb2="00000000" w:usb3="00000000" w:csb0="80000000" w:csb1="00000000"/>
  </w:font>
  <w:font w:name="Segoe UI Emoji">
    <w:altName w:val="Segoe UI"/>
    <w:panose1 w:val="020B0502040204020203"/>
    <w:charset w:val="00"/>
    <w:family w:val="swiss"/>
    <w:pitch w:val="default"/>
    <w:sig w:usb0="00000000" w:usb1="00000000" w:usb2="00000000" w:usb3="00000000" w:csb0="00000001" w:csb1="00000000"/>
  </w:font>
  <w:font w:name="Segoe UI">
    <w:panose1 w:val="020B0502040204020203"/>
    <w:charset w:val="00"/>
    <w:family w:val="auto"/>
    <w:pitch w:val="default"/>
    <w:sig w:usb0="E10022FF" w:usb1="C000E47F" w:usb2="00000029" w:usb3="00000000" w:csb0="200001DF" w:csb1="2000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0"/>
      </w:rPr>
    </w:pPr>
    <w:r>
      <w:fldChar w:fldCharType="begin"/>
    </w:r>
    <w:r>
      <w:rPr>
        <w:rStyle w:val="30"/>
      </w:rPr>
      <w:instrText xml:space="preserve">PAGE  </w:instrText>
    </w:r>
    <w:r>
      <w:fldChar w:fldCharType="end"/>
    </w:r>
  </w:p>
  <w:p>
    <w:pPr>
      <w:pStyle w:val="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56</w:t>
    </w:r>
    <w:r>
      <w:fldChar w:fldCharType="end"/>
    </w:r>
  </w:p>
  <w:p>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7216;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7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1"/>
      <w:lvlText w:val="%1.%2.%3"/>
      <w:lvlJc w:val="left"/>
      <w:pPr>
        <w:tabs>
          <w:tab w:val="left" w:pos="720"/>
        </w:tabs>
        <w:ind w:left="720" w:hanging="153"/>
      </w:pPr>
      <w:rPr>
        <w:rFonts w:hint="eastAsia"/>
      </w:rPr>
    </w:lvl>
    <w:lvl w:ilvl="3" w:tentative="0">
      <w:start w:val="1"/>
      <w:numFmt w:val="decimal"/>
      <w:pStyle w:val="78"/>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1DB1615C"/>
    <w:multiLevelType w:val="singleLevel"/>
    <w:tmpl w:val="1DB1615C"/>
    <w:lvl w:ilvl="0" w:tentative="0">
      <w:start w:val="1"/>
      <w:numFmt w:val="decimal"/>
      <w:suff w:val="space"/>
      <w:lvlText w:val="%1."/>
      <w:lvlJc w:val="left"/>
    </w:lvl>
  </w:abstractNum>
  <w:abstractNum w:abstractNumId="14">
    <w:nsid w:val="20BA2AF0"/>
    <w:multiLevelType w:val="singleLevel"/>
    <w:tmpl w:val="20BA2AF0"/>
    <w:lvl w:ilvl="0" w:tentative="0">
      <w:start w:val="1"/>
      <w:numFmt w:val="decimal"/>
      <w:suff w:val="space"/>
      <w:lvlText w:val="%1）"/>
      <w:lvlJc w:val="left"/>
    </w:lvl>
  </w:abstractNum>
  <w:abstractNum w:abstractNumId="15">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6">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7">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85"/>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8">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1">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2">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3">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4">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5">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6">
    <w:nsid w:val="4B331C36"/>
    <w:multiLevelType w:val="multilevel"/>
    <w:tmpl w:val="4B331C36"/>
    <w:lvl w:ilvl="0" w:tentative="0">
      <w:start w:val="1"/>
      <w:numFmt w:val="japaneseCounting"/>
      <w:pStyle w:val="90"/>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8">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9">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0">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31">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3">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4">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5">
    <w:nsid w:val="65F01495"/>
    <w:multiLevelType w:val="singleLevel"/>
    <w:tmpl w:val="65F01495"/>
    <w:lvl w:ilvl="0" w:tentative="0">
      <w:start w:val="3"/>
      <w:numFmt w:val="decimal"/>
      <w:suff w:val="space"/>
      <w:lvlText w:val="%1."/>
      <w:lvlJc w:val="left"/>
    </w:lvl>
  </w:abstractNum>
  <w:abstractNum w:abstractNumId="36">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7">
    <w:nsid w:val="6CEA2025"/>
    <w:multiLevelType w:val="multilevel"/>
    <w:tmpl w:val="6CEA2025"/>
    <w:lvl w:ilvl="0" w:tentative="0">
      <w:start w:val="1"/>
      <w:numFmt w:val="none"/>
      <w:pStyle w:val="67"/>
      <w:suff w:val="nothing"/>
      <w:lvlText w:val="%1"/>
      <w:lvlJc w:val="left"/>
      <w:pPr>
        <w:ind w:left="0" w:firstLine="0"/>
      </w:pPr>
      <w:rPr>
        <w:rFonts w:hint="default" w:ascii="Times New Roman" w:hAnsi="Times New Roman"/>
        <w:b/>
        <w:i w:val="0"/>
        <w:sz w:val="21"/>
      </w:rPr>
    </w:lvl>
    <w:lvl w:ilvl="1" w:tentative="0">
      <w:start w:val="1"/>
      <w:numFmt w:val="decimal"/>
      <w:pStyle w:val="70"/>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76"/>
      <w:suff w:val="nothing"/>
      <w:lvlText w:val="%1%2.%3　"/>
      <w:lvlJc w:val="left"/>
      <w:pPr>
        <w:ind w:left="720" w:firstLine="0"/>
      </w:pPr>
      <w:rPr>
        <w:rFonts w:hint="eastAsia" w:ascii="黑体" w:hAnsi="Times New Roman" w:eastAsia="黑体"/>
        <w:b w:val="0"/>
        <w:i w:val="0"/>
        <w:sz w:val="21"/>
      </w:rPr>
    </w:lvl>
    <w:lvl w:ilvl="3" w:tentative="0">
      <w:start w:val="1"/>
      <w:numFmt w:val="decimal"/>
      <w:pStyle w:val="75"/>
      <w:suff w:val="nothing"/>
      <w:lvlText w:val="%1%2.4.%4　"/>
      <w:lvlJc w:val="left"/>
      <w:pPr>
        <w:ind w:left="420" w:firstLine="0"/>
      </w:pPr>
      <w:rPr>
        <w:rFonts w:hint="eastAsia" w:ascii="黑体" w:hAnsi="Times New Roman" w:eastAsia="黑体"/>
        <w:b w:val="0"/>
        <w:i w:val="0"/>
        <w:sz w:val="21"/>
      </w:rPr>
    </w:lvl>
    <w:lvl w:ilvl="4" w:tentative="0">
      <w:start w:val="1"/>
      <w:numFmt w:val="decimal"/>
      <w:pStyle w:val="82"/>
      <w:suff w:val="nothing"/>
      <w:lvlText w:val="5.%12.5.%5　"/>
      <w:lvlJc w:val="left"/>
      <w:pPr>
        <w:ind w:left="420" w:firstLine="0"/>
      </w:pPr>
      <w:rPr>
        <w:rFonts w:hint="eastAsia" w:ascii="黑体" w:hAnsi="Times New Roman" w:eastAsia="黑体"/>
        <w:b w:val="0"/>
        <w:i w:val="0"/>
        <w:sz w:val="21"/>
      </w:rPr>
    </w:lvl>
    <w:lvl w:ilvl="5" w:tentative="0">
      <w:start w:val="1"/>
      <w:numFmt w:val="decimal"/>
      <w:pStyle w:val="88"/>
      <w:suff w:val="nothing"/>
      <w:lvlText w:val="%1%2.%3.%4.%5.%6　"/>
      <w:lvlJc w:val="left"/>
      <w:pPr>
        <w:ind w:left="0" w:firstLine="0"/>
      </w:pPr>
      <w:rPr>
        <w:rFonts w:hint="eastAsia" w:ascii="黑体" w:hAnsi="Times New Roman" w:eastAsia="黑体"/>
        <w:b w:val="0"/>
        <w:i w:val="0"/>
        <w:sz w:val="21"/>
      </w:rPr>
    </w:lvl>
    <w:lvl w:ilvl="6" w:tentative="0">
      <w:start w:val="1"/>
      <w:numFmt w:val="decimal"/>
      <w:pStyle w:val="8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8">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9">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0">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2">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3">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4">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7"/>
  </w:num>
  <w:num w:numId="2">
    <w:abstractNumId w:val="8"/>
  </w:num>
  <w:num w:numId="3">
    <w:abstractNumId w:val="17"/>
  </w:num>
  <w:num w:numId="4">
    <w:abstractNumId w:val="26"/>
  </w:num>
  <w:num w:numId="5">
    <w:abstractNumId w:val="11"/>
  </w:num>
  <w:num w:numId="6">
    <w:abstractNumId w:val="10"/>
  </w:num>
  <w:num w:numId="7">
    <w:abstractNumId w:val="30"/>
  </w:num>
  <w:num w:numId="8">
    <w:abstractNumId w:val="6"/>
  </w:num>
  <w:num w:numId="9">
    <w:abstractNumId w:val="12"/>
  </w:num>
  <w:num w:numId="10">
    <w:abstractNumId w:val="32"/>
  </w:num>
  <w:num w:numId="11">
    <w:abstractNumId w:val="43"/>
  </w:num>
  <w:num w:numId="12">
    <w:abstractNumId w:val="44"/>
  </w:num>
  <w:num w:numId="13">
    <w:abstractNumId w:val="25"/>
  </w:num>
  <w:num w:numId="14">
    <w:abstractNumId w:val="28"/>
  </w:num>
  <w:num w:numId="15">
    <w:abstractNumId w:val="31"/>
  </w:num>
  <w:num w:numId="16">
    <w:abstractNumId w:val="33"/>
  </w:num>
  <w:num w:numId="17">
    <w:abstractNumId w:val="1"/>
  </w:num>
  <w:num w:numId="18">
    <w:abstractNumId w:val="36"/>
  </w:num>
  <w:num w:numId="19">
    <w:abstractNumId w:val="3"/>
  </w:num>
  <w:num w:numId="20">
    <w:abstractNumId w:val="23"/>
  </w:num>
  <w:num w:numId="21">
    <w:abstractNumId w:val="19"/>
  </w:num>
  <w:num w:numId="22">
    <w:abstractNumId w:val="39"/>
  </w:num>
  <w:num w:numId="23">
    <w:abstractNumId w:val="9"/>
  </w:num>
  <w:num w:numId="24">
    <w:abstractNumId w:val="24"/>
  </w:num>
  <w:num w:numId="25">
    <w:abstractNumId w:val="5"/>
  </w:num>
  <w:num w:numId="26">
    <w:abstractNumId w:val="38"/>
  </w:num>
  <w:num w:numId="27">
    <w:abstractNumId w:val="42"/>
  </w:num>
  <w:num w:numId="28">
    <w:abstractNumId w:val="27"/>
  </w:num>
  <w:num w:numId="29">
    <w:abstractNumId w:val="21"/>
  </w:num>
  <w:num w:numId="30">
    <w:abstractNumId w:val="7"/>
  </w:num>
  <w:num w:numId="31">
    <w:abstractNumId w:val="18"/>
  </w:num>
  <w:num w:numId="32">
    <w:abstractNumId w:val="41"/>
  </w:num>
  <w:num w:numId="33">
    <w:abstractNumId w:val="22"/>
  </w:num>
  <w:num w:numId="34">
    <w:abstractNumId w:val="14"/>
  </w:num>
  <w:num w:numId="35">
    <w:abstractNumId w:val="40"/>
  </w:num>
  <w:num w:numId="36">
    <w:abstractNumId w:val="34"/>
  </w:num>
  <w:num w:numId="37">
    <w:abstractNumId w:val="13"/>
  </w:num>
  <w:num w:numId="38">
    <w:abstractNumId w:val="35"/>
  </w:num>
  <w:num w:numId="39">
    <w:abstractNumId w:val="15"/>
  </w:num>
  <w:num w:numId="40">
    <w:abstractNumId w:val="29"/>
  </w:num>
  <w:num w:numId="41">
    <w:abstractNumId w:val="0"/>
  </w:num>
  <w:num w:numId="42">
    <w:abstractNumId w:val="16"/>
  </w:num>
  <w:num w:numId="43">
    <w:abstractNumId w:val="20"/>
  </w:num>
  <w:num w:numId="44">
    <w:abstractNumId w:val="4"/>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4968"/>
    <w:rsid w:val="00045299"/>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5B0C"/>
    <w:rsid w:val="00086616"/>
    <w:rsid w:val="0008685D"/>
    <w:rsid w:val="000874D5"/>
    <w:rsid w:val="0008753B"/>
    <w:rsid w:val="000879E8"/>
    <w:rsid w:val="00087F0E"/>
    <w:rsid w:val="000927C7"/>
    <w:rsid w:val="000935C0"/>
    <w:rsid w:val="0009702B"/>
    <w:rsid w:val="00097DC4"/>
    <w:rsid w:val="000A08A5"/>
    <w:rsid w:val="000A1233"/>
    <w:rsid w:val="000A20A7"/>
    <w:rsid w:val="000A3F65"/>
    <w:rsid w:val="000A50F6"/>
    <w:rsid w:val="000A54F4"/>
    <w:rsid w:val="000A5FDE"/>
    <w:rsid w:val="000A6C98"/>
    <w:rsid w:val="000A702E"/>
    <w:rsid w:val="000B0404"/>
    <w:rsid w:val="000B0E4B"/>
    <w:rsid w:val="000B1147"/>
    <w:rsid w:val="000B1258"/>
    <w:rsid w:val="000B1404"/>
    <w:rsid w:val="000B142D"/>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584"/>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1F2C"/>
    <w:rsid w:val="001A263A"/>
    <w:rsid w:val="001A2EB5"/>
    <w:rsid w:val="001A32D3"/>
    <w:rsid w:val="001A36FE"/>
    <w:rsid w:val="001A3E2E"/>
    <w:rsid w:val="001A4886"/>
    <w:rsid w:val="001A4FEF"/>
    <w:rsid w:val="001B0296"/>
    <w:rsid w:val="001B07C7"/>
    <w:rsid w:val="001B07DE"/>
    <w:rsid w:val="001B091F"/>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0FF"/>
    <w:rsid w:val="00207D04"/>
    <w:rsid w:val="00207DD9"/>
    <w:rsid w:val="00211F1C"/>
    <w:rsid w:val="00213D50"/>
    <w:rsid w:val="00220C09"/>
    <w:rsid w:val="00225358"/>
    <w:rsid w:val="002261E6"/>
    <w:rsid w:val="00226DC3"/>
    <w:rsid w:val="00227ED9"/>
    <w:rsid w:val="00230501"/>
    <w:rsid w:val="002339D1"/>
    <w:rsid w:val="00233ACA"/>
    <w:rsid w:val="002354FC"/>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1F62"/>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C7B95"/>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12A"/>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553"/>
    <w:rsid w:val="003636FC"/>
    <w:rsid w:val="00363B0E"/>
    <w:rsid w:val="0036524C"/>
    <w:rsid w:val="00365CE5"/>
    <w:rsid w:val="00366A63"/>
    <w:rsid w:val="003715DC"/>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1322"/>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3EDB"/>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5FC2"/>
    <w:rsid w:val="004B673B"/>
    <w:rsid w:val="004B69BD"/>
    <w:rsid w:val="004B6BF2"/>
    <w:rsid w:val="004B7C76"/>
    <w:rsid w:val="004C01B4"/>
    <w:rsid w:val="004C0F30"/>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68F"/>
    <w:rsid w:val="004F5D81"/>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00CF"/>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5B09"/>
    <w:rsid w:val="005A66DA"/>
    <w:rsid w:val="005B1331"/>
    <w:rsid w:val="005B34C8"/>
    <w:rsid w:val="005B3A1F"/>
    <w:rsid w:val="005B6422"/>
    <w:rsid w:val="005B6680"/>
    <w:rsid w:val="005B674D"/>
    <w:rsid w:val="005C1616"/>
    <w:rsid w:val="005C1B3A"/>
    <w:rsid w:val="005C4110"/>
    <w:rsid w:val="005C4B6B"/>
    <w:rsid w:val="005D0539"/>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2D6"/>
    <w:rsid w:val="00626356"/>
    <w:rsid w:val="0062642C"/>
    <w:rsid w:val="00626EA7"/>
    <w:rsid w:val="00634D15"/>
    <w:rsid w:val="006351F3"/>
    <w:rsid w:val="00636117"/>
    <w:rsid w:val="006417A2"/>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67FBE"/>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41D0"/>
    <w:rsid w:val="006F571B"/>
    <w:rsid w:val="006F5E69"/>
    <w:rsid w:val="006F7746"/>
    <w:rsid w:val="0070076E"/>
    <w:rsid w:val="007018B6"/>
    <w:rsid w:val="0070192E"/>
    <w:rsid w:val="00702B2E"/>
    <w:rsid w:val="007031A3"/>
    <w:rsid w:val="00703AC7"/>
    <w:rsid w:val="007060C5"/>
    <w:rsid w:val="00707CF9"/>
    <w:rsid w:val="00707D6D"/>
    <w:rsid w:val="00707DBC"/>
    <w:rsid w:val="0071057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68A9"/>
    <w:rsid w:val="00747D48"/>
    <w:rsid w:val="007501B6"/>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52D"/>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3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4F2"/>
    <w:rsid w:val="00816A3A"/>
    <w:rsid w:val="00816B0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66926"/>
    <w:rsid w:val="0087020A"/>
    <w:rsid w:val="0087240D"/>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177F"/>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74E"/>
    <w:rsid w:val="00902F8F"/>
    <w:rsid w:val="00904A42"/>
    <w:rsid w:val="00907076"/>
    <w:rsid w:val="00910EA0"/>
    <w:rsid w:val="00912F2B"/>
    <w:rsid w:val="00913D05"/>
    <w:rsid w:val="0091414C"/>
    <w:rsid w:val="00914B20"/>
    <w:rsid w:val="00914BE7"/>
    <w:rsid w:val="009178A6"/>
    <w:rsid w:val="00917C1E"/>
    <w:rsid w:val="00917FB4"/>
    <w:rsid w:val="00920801"/>
    <w:rsid w:val="009210FA"/>
    <w:rsid w:val="00921BFC"/>
    <w:rsid w:val="00922766"/>
    <w:rsid w:val="00923012"/>
    <w:rsid w:val="00923501"/>
    <w:rsid w:val="00926F06"/>
    <w:rsid w:val="00927AB7"/>
    <w:rsid w:val="009303EC"/>
    <w:rsid w:val="009306DA"/>
    <w:rsid w:val="00931FDE"/>
    <w:rsid w:val="009326CB"/>
    <w:rsid w:val="009328A8"/>
    <w:rsid w:val="0093528A"/>
    <w:rsid w:val="00936267"/>
    <w:rsid w:val="009374DA"/>
    <w:rsid w:val="00937BA0"/>
    <w:rsid w:val="00937E5A"/>
    <w:rsid w:val="00940072"/>
    <w:rsid w:val="00940CF1"/>
    <w:rsid w:val="00940DAD"/>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D79B7"/>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4D7A"/>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0AE"/>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5216"/>
    <w:rsid w:val="00AD6354"/>
    <w:rsid w:val="00AD6BF9"/>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66E"/>
    <w:rsid w:val="00B9095A"/>
    <w:rsid w:val="00B90F27"/>
    <w:rsid w:val="00B91BCA"/>
    <w:rsid w:val="00B91DF7"/>
    <w:rsid w:val="00B92730"/>
    <w:rsid w:val="00B93231"/>
    <w:rsid w:val="00B93373"/>
    <w:rsid w:val="00BA00F1"/>
    <w:rsid w:val="00BA19BA"/>
    <w:rsid w:val="00BA22CD"/>
    <w:rsid w:val="00BA26AC"/>
    <w:rsid w:val="00BA4CC2"/>
    <w:rsid w:val="00BA57A4"/>
    <w:rsid w:val="00BA5C3D"/>
    <w:rsid w:val="00BB06BE"/>
    <w:rsid w:val="00BB0A7B"/>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C73E0"/>
    <w:rsid w:val="00BD0880"/>
    <w:rsid w:val="00BD41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72E"/>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7B1C"/>
    <w:rsid w:val="00C70B7D"/>
    <w:rsid w:val="00C71F13"/>
    <w:rsid w:val="00C72E3C"/>
    <w:rsid w:val="00C74990"/>
    <w:rsid w:val="00C755C2"/>
    <w:rsid w:val="00C76323"/>
    <w:rsid w:val="00C7768B"/>
    <w:rsid w:val="00C77D8A"/>
    <w:rsid w:val="00C83AA7"/>
    <w:rsid w:val="00C843FB"/>
    <w:rsid w:val="00C84AA3"/>
    <w:rsid w:val="00C84FB0"/>
    <w:rsid w:val="00C86604"/>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6906"/>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1269"/>
    <w:rsid w:val="00D25C8B"/>
    <w:rsid w:val="00D26A5F"/>
    <w:rsid w:val="00D26C1D"/>
    <w:rsid w:val="00D27170"/>
    <w:rsid w:val="00D30A4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DB8"/>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0BF"/>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19DB"/>
    <w:rsid w:val="00F021B9"/>
    <w:rsid w:val="00F04722"/>
    <w:rsid w:val="00F05F22"/>
    <w:rsid w:val="00F06418"/>
    <w:rsid w:val="00F072E6"/>
    <w:rsid w:val="00F07C47"/>
    <w:rsid w:val="00F11779"/>
    <w:rsid w:val="00F140BD"/>
    <w:rsid w:val="00F15112"/>
    <w:rsid w:val="00F23168"/>
    <w:rsid w:val="00F2430D"/>
    <w:rsid w:val="00F245B7"/>
    <w:rsid w:val="00F2575A"/>
    <w:rsid w:val="00F26A21"/>
    <w:rsid w:val="00F30ABF"/>
    <w:rsid w:val="00F30DCE"/>
    <w:rsid w:val="00F31A10"/>
    <w:rsid w:val="00F32776"/>
    <w:rsid w:val="00F32D0E"/>
    <w:rsid w:val="00F343EB"/>
    <w:rsid w:val="00F35E25"/>
    <w:rsid w:val="00F364D0"/>
    <w:rsid w:val="00F36871"/>
    <w:rsid w:val="00F40477"/>
    <w:rsid w:val="00F438D4"/>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757860"/>
    <w:rsid w:val="018D0205"/>
    <w:rsid w:val="01C12A88"/>
    <w:rsid w:val="01D07706"/>
    <w:rsid w:val="0221271C"/>
    <w:rsid w:val="022D649C"/>
    <w:rsid w:val="02351774"/>
    <w:rsid w:val="023A6ECB"/>
    <w:rsid w:val="02420646"/>
    <w:rsid w:val="028223A8"/>
    <w:rsid w:val="02A9706C"/>
    <w:rsid w:val="02AF6599"/>
    <w:rsid w:val="02DE374B"/>
    <w:rsid w:val="03044359"/>
    <w:rsid w:val="03173665"/>
    <w:rsid w:val="031C67BA"/>
    <w:rsid w:val="03442A09"/>
    <w:rsid w:val="034B4CE2"/>
    <w:rsid w:val="03511571"/>
    <w:rsid w:val="035E37BC"/>
    <w:rsid w:val="03715197"/>
    <w:rsid w:val="03A25185"/>
    <w:rsid w:val="03A92E0C"/>
    <w:rsid w:val="03A93F07"/>
    <w:rsid w:val="03DD17F0"/>
    <w:rsid w:val="03F730D5"/>
    <w:rsid w:val="040E2332"/>
    <w:rsid w:val="040E4213"/>
    <w:rsid w:val="04137380"/>
    <w:rsid w:val="04160294"/>
    <w:rsid w:val="0421064D"/>
    <w:rsid w:val="0424709F"/>
    <w:rsid w:val="04273734"/>
    <w:rsid w:val="042C6AE4"/>
    <w:rsid w:val="0439748C"/>
    <w:rsid w:val="045F4428"/>
    <w:rsid w:val="04663DEE"/>
    <w:rsid w:val="048B6224"/>
    <w:rsid w:val="049C3EF3"/>
    <w:rsid w:val="04BB1770"/>
    <w:rsid w:val="04BC1BA0"/>
    <w:rsid w:val="04CC4566"/>
    <w:rsid w:val="04FD23FC"/>
    <w:rsid w:val="05005426"/>
    <w:rsid w:val="055A38B5"/>
    <w:rsid w:val="059C5F8E"/>
    <w:rsid w:val="05AD5736"/>
    <w:rsid w:val="05BB241B"/>
    <w:rsid w:val="05CA2818"/>
    <w:rsid w:val="05CF4780"/>
    <w:rsid w:val="05E23C55"/>
    <w:rsid w:val="05FA06DD"/>
    <w:rsid w:val="06023A8F"/>
    <w:rsid w:val="0611621E"/>
    <w:rsid w:val="063F258E"/>
    <w:rsid w:val="065044F8"/>
    <w:rsid w:val="0653482B"/>
    <w:rsid w:val="06B7286F"/>
    <w:rsid w:val="06C116BD"/>
    <w:rsid w:val="06C767F8"/>
    <w:rsid w:val="06EA2FBD"/>
    <w:rsid w:val="06ED1770"/>
    <w:rsid w:val="06FE4AAE"/>
    <w:rsid w:val="070157D1"/>
    <w:rsid w:val="07117CDC"/>
    <w:rsid w:val="07354BE2"/>
    <w:rsid w:val="073C402C"/>
    <w:rsid w:val="07506DDE"/>
    <w:rsid w:val="076162AC"/>
    <w:rsid w:val="078360F1"/>
    <w:rsid w:val="07930F09"/>
    <w:rsid w:val="079555F7"/>
    <w:rsid w:val="07AA21A6"/>
    <w:rsid w:val="07B323DD"/>
    <w:rsid w:val="07CB1191"/>
    <w:rsid w:val="07D33E7D"/>
    <w:rsid w:val="07DA2552"/>
    <w:rsid w:val="07E61182"/>
    <w:rsid w:val="07F876CF"/>
    <w:rsid w:val="07FA3FC0"/>
    <w:rsid w:val="08376BE0"/>
    <w:rsid w:val="08483779"/>
    <w:rsid w:val="085D5FC0"/>
    <w:rsid w:val="0886626A"/>
    <w:rsid w:val="08912C45"/>
    <w:rsid w:val="08AD0CF8"/>
    <w:rsid w:val="08AD1542"/>
    <w:rsid w:val="08AD503B"/>
    <w:rsid w:val="08B604BF"/>
    <w:rsid w:val="08C76CFD"/>
    <w:rsid w:val="08E340CC"/>
    <w:rsid w:val="08E95B0E"/>
    <w:rsid w:val="090C54BE"/>
    <w:rsid w:val="092936B1"/>
    <w:rsid w:val="096A4BCE"/>
    <w:rsid w:val="09710521"/>
    <w:rsid w:val="098226D8"/>
    <w:rsid w:val="09894939"/>
    <w:rsid w:val="09A02CD8"/>
    <w:rsid w:val="09D771B0"/>
    <w:rsid w:val="09DA500D"/>
    <w:rsid w:val="0A1571EE"/>
    <w:rsid w:val="0A165448"/>
    <w:rsid w:val="0A3F61A5"/>
    <w:rsid w:val="0A502EA2"/>
    <w:rsid w:val="0A5758F7"/>
    <w:rsid w:val="0A67144A"/>
    <w:rsid w:val="0A71618F"/>
    <w:rsid w:val="0A7E1671"/>
    <w:rsid w:val="0A984E53"/>
    <w:rsid w:val="0AB610B3"/>
    <w:rsid w:val="0AC16F66"/>
    <w:rsid w:val="0AE86D78"/>
    <w:rsid w:val="0B435CD5"/>
    <w:rsid w:val="0B456825"/>
    <w:rsid w:val="0B4B17AC"/>
    <w:rsid w:val="0B4C1B40"/>
    <w:rsid w:val="0B4F5787"/>
    <w:rsid w:val="0B625354"/>
    <w:rsid w:val="0B6438A9"/>
    <w:rsid w:val="0BB80799"/>
    <w:rsid w:val="0BC22757"/>
    <w:rsid w:val="0BD0342B"/>
    <w:rsid w:val="0BE3070D"/>
    <w:rsid w:val="0BE63244"/>
    <w:rsid w:val="0BE94FBA"/>
    <w:rsid w:val="0C1C578F"/>
    <w:rsid w:val="0C367BBD"/>
    <w:rsid w:val="0C3C4113"/>
    <w:rsid w:val="0C411F26"/>
    <w:rsid w:val="0C4225D4"/>
    <w:rsid w:val="0C49239C"/>
    <w:rsid w:val="0C4E57C8"/>
    <w:rsid w:val="0C7336D0"/>
    <w:rsid w:val="0CA67CE9"/>
    <w:rsid w:val="0CC36F40"/>
    <w:rsid w:val="0CCE2CF7"/>
    <w:rsid w:val="0CE75800"/>
    <w:rsid w:val="0CF02600"/>
    <w:rsid w:val="0CFF69A0"/>
    <w:rsid w:val="0D162766"/>
    <w:rsid w:val="0D30615A"/>
    <w:rsid w:val="0D3576C3"/>
    <w:rsid w:val="0D4A590E"/>
    <w:rsid w:val="0D4C5E85"/>
    <w:rsid w:val="0D50445B"/>
    <w:rsid w:val="0D5707EB"/>
    <w:rsid w:val="0D7807F1"/>
    <w:rsid w:val="0D895A46"/>
    <w:rsid w:val="0D9B67EB"/>
    <w:rsid w:val="0DA45AD2"/>
    <w:rsid w:val="0DE86CEC"/>
    <w:rsid w:val="0E057004"/>
    <w:rsid w:val="0E0A51BD"/>
    <w:rsid w:val="0E141CA7"/>
    <w:rsid w:val="0E153D7F"/>
    <w:rsid w:val="0E1D6D0A"/>
    <w:rsid w:val="0E386D2E"/>
    <w:rsid w:val="0E3D1DE5"/>
    <w:rsid w:val="0E442D5B"/>
    <w:rsid w:val="0E4E7B59"/>
    <w:rsid w:val="0E6E5960"/>
    <w:rsid w:val="0EAB7B80"/>
    <w:rsid w:val="0EAE4301"/>
    <w:rsid w:val="0ED16BCE"/>
    <w:rsid w:val="0ED27024"/>
    <w:rsid w:val="0ED94F19"/>
    <w:rsid w:val="0EDC5EDB"/>
    <w:rsid w:val="0F0A381F"/>
    <w:rsid w:val="0F1B0DB7"/>
    <w:rsid w:val="0F1F2917"/>
    <w:rsid w:val="0F3425BB"/>
    <w:rsid w:val="0F5A5FCA"/>
    <w:rsid w:val="0F6C7EA7"/>
    <w:rsid w:val="0FA03F81"/>
    <w:rsid w:val="0FC5121F"/>
    <w:rsid w:val="0FC52200"/>
    <w:rsid w:val="0FC57219"/>
    <w:rsid w:val="0FF11896"/>
    <w:rsid w:val="0FF743B8"/>
    <w:rsid w:val="104114BC"/>
    <w:rsid w:val="104F21E7"/>
    <w:rsid w:val="10522A43"/>
    <w:rsid w:val="105950B7"/>
    <w:rsid w:val="10681B45"/>
    <w:rsid w:val="10D545EB"/>
    <w:rsid w:val="10E51E7E"/>
    <w:rsid w:val="110045E6"/>
    <w:rsid w:val="1109548A"/>
    <w:rsid w:val="110E4212"/>
    <w:rsid w:val="11156035"/>
    <w:rsid w:val="111F2499"/>
    <w:rsid w:val="11296D36"/>
    <w:rsid w:val="1146103D"/>
    <w:rsid w:val="116C7384"/>
    <w:rsid w:val="12305D0B"/>
    <w:rsid w:val="124B307E"/>
    <w:rsid w:val="12595354"/>
    <w:rsid w:val="12676ACE"/>
    <w:rsid w:val="128C79F5"/>
    <w:rsid w:val="129415FA"/>
    <w:rsid w:val="12987FD1"/>
    <w:rsid w:val="12D57C7C"/>
    <w:rsid w:val="12DE2F04"/>
    <w:rsid w:val="12F453F7"/>
    <w:rsid w:val="13550114"/>
    <w:rsid w:val="135A65CD"/>
    <w:rsid w:val="13681291"/>
    <w:rsid w:val="139A72A6"/>
    <w:rsid w:val="13D75C16"/>
    <w:rsid w:val="141A71FC"/>
    <w:rsid w:val="14393E39"/>
    <w:rsid w:val="1439492C"/>
    <w:rsid w:val="144E282E"/>
    <w:rsid w:val="148B16AC"/>
    <w:rsid w:val="14905D77"/>
    <w:rsid w:val="14C13D98"/>
    <w:rsid w:val="14C818C6"/>
    <w:rsid w:val="14D17473"/>
    <w:rsid w:val="14D2285A"/>
    <w:rsid w:val="14F848F0"/>
    <w:rsid w:val="1533008F"/>
    <w:rsid w:val="153D3401"/>
    <w:rsid w:val="155142E7"/>
    <w:rsid w:val="15855A36"/>
    <w:rsid w:val="158E06A1"/>
    <w:rsid w:val="15932B1E"/>
    <w:rsid w:val="15AF36C0"/>
    <w:rsid w:val="15D73E4B"/>
    <w:rsid w:val="15EE7CEF"/>
    <w:rsid w:val="160D691C"/>
    <w:rsid w:val="16333435"/>
    <w:rsid w:val="16391530"/>
    <w:rsid w:val="16550678"/>
    <w:rsid w:val="166C136C"/>
    <w:rsid w:val="168C0198"/>
    <w:rsid w:val="16C6539F"/>
    <w:rsid w:val="16C66F19"/>
    <w:rsid w:val="16C83962"/>
    <w:rsid w:val="16ED23AA"/>
    <w:rsid w:val="17195883"/>
    <w:rsid w:val="172F720B"/>
    <w:rsid w:val="173E2364"/>
    <w:rsid w:val="173E4E07"/>
    <w:rsid w:val="1761710C"/>
    <w:rsid w:val="17812612"/>
    <w:rsid w:val="1789592C"/>
    <w:rsid w:val="17933C9F"/>
    <w:rsid w:val="17B13E29"/>
    <w:rsid w:val="17CE47D1"/>
    <w:rsid w:val="17D67A38"/>
    <w:rsid w:val="17DB1463"/>
    <w:rsid w:val="17E97C5D"/>
    <w:rsid w:val="17ED5B45"/>
    <w:rsid w:val="18260DD1"/>
    <w:rsid w:val="182656C2"/>
    <w:rsid w:val="182E7A85"/>
    <w:rsid w:val="18303541"/>
    <w:rsid w:val="183735E3"/>
    <w:rsid w:val="18485D36"/>
    <w:rsid w:val="18711E45"/>
    <w:rsid w:val="18744310"/>
    <w:rsid w:val="189F530B"/>
    <w:rsid w:val="18A12DFD"/>
    <w:rsid w:val="18A922F3"/>
    <w:rsid w:val="18B137E8"/>
    <w:rsid w:val="18D46399"/>
    <w:rsid w:val="18F56002"/>
    <w:rsid w:val="192F50C9"/>
    <w:rsid w:val="19633F03"/>
    <w:rsid w:val="196F047E"/>
    <w:rsid w:val="19943641"/>
    <w:rsid w:val="199E02FC"/>
    <w:rsid w:val="19BA1CE3"/>
    <w:rsid w:val="19DF55C2"/>
    <w:rsid w:val="1A0C61A8"/>
    <w:rsid w:val="1A132F57"/>
    <w:rsid w:val="1A300E03"/>
    <w:rsid w:val="1A5F760F"/>
    <w:rsid w:val="1A6F3E95"/>
    <w:rsid w:val="1A6F6E85"/>
    <w:rsid w:val="1AD22ED2"/>
    <w:rsid w:val="1AD51B88"/>
    <w:rsid w:val="1B2058A0"/>
    <w:rsid w:val="1B245148"/>
    <w:rsid w:val="1B405B57"/>
    <w:rsid w:val="1B566A66"/>
    <w:rsid w:val="1B8565CF"/>
    <w:rsid w:val="1B9104B0"/>
    <w:rsid w:val="1BA96293"/>
    <w:rsid w:val="1BAC363D"/>
    <w:rsid w:val="1BC102A6"/>
    <w:rsid w:val="1BC97240"/>
    <w:rsid w:val="1BD60F79"/>
    <w:rsid w:val="1C0C60A0"/>
    <w:rsid w:val="1C261B3D"/>
    <w:rsid w:val="1C2A710A"/>
    <w:rsid w:val="1C364E31"/>
    <w:rsid w:val="1C41527E"/>
    <w:rsid w:val="1C49412F"/>
    <w:rsid w:val="1C4D3DCD"/>
    <w:rsid w:val="1C4F5FC4"/>
    <w:rsid w:val="1C64078D"/>
    <w:rsid w:val="1C81524F"/>
    <w:rsid w:val="1CA121A3"/>
    <w:rsid w:val="1CDF257F"/>
    <w:rsid w:val="1CE40841"/>
    <w:rsid w:val="1CF405AE"/>
    <w:rsid w:val="1CFB22F4"/>
    <w:rsid w:val="1D014450"/>
    <w:rsid w:val="1D2A2C86"/>
    <w:rsid w:val="1D2A6659"/>
    <w:rsid w:val="1D3C787F"/>
    <w:rsid w:val="1D41310E"/>
    <w:rsid w:val="1D426DC5"/>
    <w:rsid w:val="1D4377C2"/>
    <w:rsid w:val="1D54682E"/>
    <w:rsid w:val="1D575B51"/>
    <w:rsid w:val="1D83301E"/>
    <w:rsid w:val="1D836FC7"/>
    <w:rsid w:val="1D956BB8"/>
    <w:rsid w:val="1D9F4A19"/>
    <w:rsid w:val="1DA05599"/>
    <w:rsid w:val="1DAB519B"/>
    <w:rsid w:val="1DC65420"/>
    <w:rsid w:val="1DC94DC3"/>
    <w:rsid w:val="1DD04ECF"/>
    <w:rsid w:val="1E0649A4"/>
    <w:rsid w:val="1E474E6F"/>
    <w:rsid w:val="1E6843C7"/>
    <w:rsid w:val="1E94073B"/>
    <w:rsid w:val="1EA60FCA"/>
    <w:rsid w:val="1EA87417"/>
    <w:rsid w:val="1ED70A99"/>
    <w:rsid w:val="1F35766F"/>
    <w:rsid w:val="1F65672E"/>
    <w:rsid w:val="1F6B4880"/>
    <w:rsid w:val="1F6D18D3"/>
    <w:rsid w:val="1F7222CF"/>
    <w:rsid w:val="1F855EC8"/>
    <w:rsid w:val="1F865B87"/>
    <w:rsid w:val="1F8D0E35"/>
    <w:rsid w:val="1FB611E4"/>
    <w:rsid w:val="1FBA2E91"/>
    <w:rsid w:val="1FC02D54"/>
    <w:rsid w:val="1FD92D82"/>
    <w:rsid w:val="1FEE1F52"/>
    <w:rsid w:val="202C628F"/>
    <w:rsid w:val="205A63F7"/>
    <w:rsid w:val="207471CF"/>
    <w:rsid w:val="20950348"/>
    <w:rsid w:val="20981E88"/>
    <w:rsid w:val="20A06A24"/>
    <w:rsid w:val="20A10137"/>
    <w:rsid w:val="20A76189"/>
    <w:rsid w:val="20B97750"/>
    <w:rsid w:val="20BD2343"/>
    <w:rsid w:val="20C125E5"/>
    <w:rsid w:val="20CF2FF3"/>
    <w:rsid w:val="20F77EBA"/>
    <w:rsid w:val="20FE0571"/>
    <w:rsid w:val="21040EE9"/>
    <w:rsid w:val="212F48FD"/>
    <w:rsid w:val="21592DC8"/>
    <w:rsid w:val="216135E4"/>
    <w:rsid w:val="21B23C30"/>
    <w:rsid w:val="21C433CD"/>
    <w:rsid w:val="21D5663A"/>
    <w:rsid w:val="21DB43D7"/>
    <w:rsid w:val="220D5F91"/>
    <w:rsid w:val="220F017A"/>
    <w:rsid w:val="223D6488"/>
    <w:rsid w:val="224F423C"/>
    <w:rsid w:val="227710AB"/>
    <w:rsid w:val="229B4E78"/>
    <w:rsid w:val="22C77F82"/>
    <w:rsid w:val="22E50F21"/>
    <w:rsid w:val="22F35913"/>
    <w:rsid w:val="22F562BD"/>
    <w:rsid w:val="23054BAA"/>
    <w:rsid w:val="231C3AC6"/>
    <w:rsid w:val="23261385"/>
    <w:rsid w:val="233970A1"/>
    <w:rsid w:val="237C1E1C"/>
    <w:rsid w:val="2390118C"/>
    <w:rsid w:val="23A33225"/>
    <w:rsid w:val="23A3458B"/>
    <w:rsid w:val="23A83880"/>
    <w:rsid w:val="23AC3B0D"/>
    <w:rsid w:val="23AC7B00"/>
    <w:rsid w:val="23AE3EA4"/>
    <w:rsid w:val="23BD797B"/>
    <w:rsid w:val="23CC13DF"/>
    <w:rsid w:val="241374BB"/>
    <w:rsid w:val="24210897"/>
    <w:rsid w:val="242E0AC8"/>
    <w:rsid w:val="24474E0A"/>
    <w:rsid w:val="244E4AD0"/>
    <w:rsid w:val="245D101B"/>
    <w:rsid w:val="246B4679"/>
    <w:rsid w:val="248A767B"/>
    <w:rsid w:val="249900C5"/>
    <w:rsid w:val="24BF7D42"/>
    <w:rsid w:val="24EB2CCA"/>
    <w:rsid w:val="250C0A81"/>
    <w:rsid w:val="255D2F2A"/>
    <w:rsid w:val="256C5A3D"/>
    <w:rsid w:val="257947C9"/>
    <w:rsid w:val="257963F1"/>
    <w:rsid w:val="25A7402B"/>
    <w:rsid w:val="25D966A6"/>
    <w:rsid w:val="25FE15DC"/>
    <w:rsid w:val="26653EC4"/>
    <w:rsid w:val="266E376C"/>
    <w:rsid w:val="26806C09"/>
    <w:rsid w:val="26863962"/>
    <w:rsid w:val="268F15B2"/>
    <w:rsid w:val="26983FA4"/>
    <w:rsid w:val="26F8090A"/>
    <w:rsid w:val="26FA6E39"/>
    <w:rsid w:val="271E4603"/>
    <w:rsid w:val="27264DFC"/>
    <w:rsid w:val="272A0710"/>
    <w:rsid w:val="27555997"/>
    <w:rsid w:val="276E4B45"/>
    <w:rsid w:val="277E0E1B"/>
    <w:rsid w:val="27C13C20"/>
    <w:rsid w:val="27E47883"/>
    <w:rsid w:val="2807271F"/>
    <w:rsid w:val="28120519"/>
    <w:rsid w:val="281327C3"/>
    <w:rsid w:val="28195AAE"/>
    <w:rsid w:val="28323569"/>
    <w:rsid w:val="28326E12"/>
    <w:rsid w:val="28504863"/>
    <w:rsid w:val="28674296"/>
    <w:rsid w:val="287013AF"/>
    <w:rsid w:val="288719DA"/>
    <w:rsid w:val="28934004"/>
    <w:rsid w:val="28943CBF"/>
    <w:rsid w:val="289D1E8A"/>
    <w:rsid w:val="28E96526"/>
    <w:rsid w:val="28F77A34"/>
    <w:rsid w:val="28FB2B17"/>
    <w:rsid w:val="29213FAC"/>
    <w:rsid w:val="294019F3"/>
    <w:rsid w:val="295C30A0"/>
    <w:rsid w:val="295F6F3A"/>
    <w:rsid w:val="2978542E"/>
    <w:rsid w:val="298168E8"/>
    <w:rsid w:val="29880DC9"/>
    <w:rsid w:val="299658C8"/>
    <w:rsid w:val="299B367E"/>
    <w:rsid w:val="29C74336"/>
    <w:rsid w:val="2A0C4705"/>
    <w:rsid w:val="2A104C01"/>
    <w:rsid w:val="2A2219FF"/>
    <w:rsid w:val="2A2649D3"/>
    <w:rsid w:val="2A2F0453"/>
    <w:rsid w:val="2A375CB0"/>
    <w:rsid w:val="2A3A2F6B"/>
    <w:rsid w:val="2A4F7A8E"/>
    <w:rsid w:val="2A555DAF"/>
    <w:rsid w:val="2A5C693A"/>
    <w:rsid w:val="2A7C052B"/>
    <w:rsid w:val="2A9D1044"/>
    <w:rsid w:val="2AA14EFF"/>
    <w:rsid w:val="2AC52B69"/>
    <w:rsid w:val="2AE42B9F"/>
    <w:rsid w:val="2AE66E2B"/>
    <w:rsid w:val="2AFA4FF0"/>
    <w:rsid w:val="2AFF35D3"/>
    <w:rsid w:val="2B0A651F"/>
    <w:rsid w:val="2B132D50"/>
    <w:rsid w:val="2B4604CF"/>
    <w:rsid w:val="2B6076B4"/>
    <w:rsid w:val="2B617D56"/>
    <w:rsid w:val="2B6E542D"/>
    <w:rsid w:val="2BAC408F"/>
    <w:rsid w:val="2BDD0A2E"/>
    <w:rsid w:val="2BEB27E3"/>
    <w:rsid w:val="2BEB2E9D"/>
    <w:rsid w:val="2BF61207"/>
    <w:rsid w:val="2C0715C9"/>
    <w:rsid w:val="2C1713D1"/>
    <w:rsid w:val="2C2E6F83"/>
    <w:rsid w:val="2C574686"/>
    <w:rsid w:val="2C620007"/>
    <w:rsid w:val="2CA05F26"/>
    <w:rsid w:val="2CC5402C"/>
    <w:rsid w:val="2CD367CC"/>
    <w:rsid w:val="2CDD2B9E"/>
    <w:rsid w:val="2D09394F"/>
    <w:rsid w:val="2D51298D"/>
    <w:rsid w:val="2D6345E9"/>
    <w:rsid w:val="2D7E4209"/>
    <w:rsid w:val="2D9B288E"/>
    <w:rsid w:val="2DBD42B5"/>
    <w:rsid w:val="2DCB5DC1"/>
    <w:rsid w:val="2DCE5309"/>
    <w:rsid w:val="2DE2242A"/>
    <w:rsid w:val="2DE34AA5"/>
    <w:rsid w:val="2E4225F7"/>
    <w:rsid w:val="2E463849"/>
    <w:rsid w:val="2E5A5340"/>
    <w:rsid w:val="2E6E73D5"/>
    <w:rsid w:val="2E81141D"/>
    <w:rsid w:val="2E9A7ADA"/>
    <w:rsid w:val="2EC2396D"/>
    <w:rsid w:val="2EF80558"/>
    <w:rsid w:val="2F1B0798"/>
    <w:rsid w:val="2F4F0438"/>
    <w:rsid w:val="2F506BFB"/>
    <w:rsid w:val="2F7E2CC0"/>
    <w:rsid w:val="2F871ABC"/>
    <w:rsid w:val="2F921764"/>
    <w:rsid w:val="2F98405A"/>
    <w:rsid w:val="2FAF32EB"/>
    <w:rsid w:val="2FD11EB8"/>
    <w:rsid w:val="2FE1749B"/>
    <w:rsid w:val="30283E29"/>
    <w:rsid w:val="303606F3"/>
    <w:rsid w:val="303D5772"/>
    <w:rsid w:val="303E2207"/>
    <w:rsid w:val="30533443"/>
    <w:rsid w:val="306E40F7"/>
    <w:rsid w:val="306F4499"/>
    <w:rsid w:val="30B15581"/>
    <w:rsid w:val="30B93848"/>
    <w:rsid w:val="30BB37BA"/>
    <w:rsid w:val="30BE1DE8"/>
    <w:rsid w:val="30E96275"/>
    <w:rsid w:val="31253510"/>
    <w:rsid w:val="313177AD"/>
    <w:rsid w:val="31341EAD"/>
    <w:rsid w:val="313712DD"/>
    <w:rsid w:val="31423CC5"/>
    <w:rsid w:val="3157256E"/>
    <w:rsid w:val="3160159B"/>
    <w:rsid w:val="316102EA"/>
    <w:rsid w:val="31665B97"/>
    <w:rsid w:val="31711EF3"/>
    <w:rsid w:val="317972BA"/>
    <w:rsid w:val="31854B7E"/>
    <w:rsid w:val="31A867CE"/>
    <w:rsid w:val="31BD210B"/>
    <w:rsid w:val="31E86EE4"/>
    <w:rsid w:val="31F00167"/>
    <w:rsid w:val="31FC687A"/>
    <w:rsid w:val="31FD6157"/>
    <w:rsid w:val="32171B71"/>
    <w:rsid w:val="322B53E9"/>
    <w:rsid w:val="32915ABA"/>
    <w:rsid w:val="329530CF"/>
    <w:rsid w:val="329C1497"/>
    <w:rsid w:val="32D72576"/>
    <w:rsid w:val="32D93319"/>
    <w:rsid w:val="32E04086"/>
    <w:rsid w:val="32F96A45"/>
    <w:rsid w:val="330D0307"/>
    <w:rsid w:val="331B6142"/>
    <w:rsid w:val="331D384C"/>
    <w:rsid w:val="332C3D97"/>
    <w:rsid w:val="3360351F"/>
    <w:rsid w:val="33620CB2"/>
    <w:rsid w:val="33777078"/>
    <w:rsid w:val="33B17CDB"/>
    <w:rsid w:val="33E04B57"/>
    <w:rsid w:val="33FA7456"/>
    <w:rsid w:val="34024883"/>
    <w:rsid w:val="342C6E98"/>
    <w:rsid w:val="344F7140"/>
    <w:rsid w:val="34714E70"/>
    <w:rsid w:val="34755DB1"/>
    <w:rsid w:val="34935876"/>
    <w:rsid w:val="349E0FB2"/>
    <w:rsid w:val="34A96A1A"/>
    <w:rsid w:val="34B370D1"/>
    <w:rsid w:val="34CA52FD"/>
    <w:rsid w:val="34E622D6"/>
    <w:rsid w:val="35073B82"/>
    <w:rsid w:val="3518700F"/>
    <w:rsid w:val="352F2FF3"/>
    <w:rsid w:val="35375748"/>
    <w:rsid w:val="35486C73"/>
    <w:rsid w:val="359E09BB"/>
    <w:rsid w:val="35C72C7A"/>
    <w:rsid w:val="361A4DE1"/>
    <w:rsid w:val="361F592F"/>
    <w:rsid w:val="362F79EA"/>
    <w:rsid w:val="36516B14"/>
    <w:rsid w:val="36556C85"/>
    <w:rsid w:val="365B1C96"/>
    <w:rsid w:val="36603459"/>
    <w:rsid w:val="366D2C19"/>
    <w:rsid w:val="3675230B"/>
    <w:rsid w:val="36766F5C"/>
    <w:rsid w:val="36777C43"/>
    <w:rsid w:val="367E7A3F"/>
    <w:rsid w:val="36C1347A"/>
    <w:rsid w:val="36C31B41"/>
    <w:rsid w:val="36C532A1"/>
    <w:rsid w:val="36CE234D"/>
    <w:rsid w:val="36D347D3"/>
    <w:rsid w:val="36DA50A9"/>
    <w:rsid w:val="36F46372"/>
    <w:rsid w:val="37187A6A"/>
    <w:rsid w:val="372F4949"/>
    <w:rsid w:val="37300EF1"/>
    <w:rsid w:val="3736228A"/>
    <w:rsid w:val="37517684"/>
    <w:rsid w:val="37671725"/>
    <w:rsid w:val="376F122C"/>
    <w:rsid w:val="3798526A"/>
    <w:rsid w:val="37B72EB1"/>
    <w:rsid w:val="37B76F7B"/>
    <w:rsid w:val="37C1607A"/>
    <w:rsid w:val="37C42A0D"/>
    <w:rsid w:val="37C806F3"/>
    <w:rsid w:val="37C85C3C"/>
    <w:rsid w:val="37CF1603"/>
    <w:rsid w:val="38585500"/>
    <w:rsid w:val="385D1C71"/>
    <w:rsid w:val="386038B3"/>
    <w:rsid w:val="388E1434"/>
    <w:rsid w:val="38BA5460"/>
    <w:rsid w:val="38C62FF5"/>
    <w:rsid w:val="38D62476"/>
    <w:rsid w:val="38E27127"/>
    <w:rsid w:val="39027E88"/>
    <w:rsid w:val="39075875"/>
    <w:rsid w:val="391904A1"/>
    <w:rsid w:val="391C718D"/>
    <w:rsid w:val="394D30B0"/>
    <w:rsid w:val="394F6067"/>
    <w:rsid w:val="39624091"/>
    <w:rsid w:val="397C6037"/>
    <w:rsid w:val="39D43B66"/>
    <w:rsid w:val="39EC03FA"/>
    <w:rsid w:val="3A1D058F"/>
    <w:rsid w:val="3A1E303B"/>
    <w:rsid w:val="3A1F74C9"/>
    <w:rsid w:val="3A2A1F54"/>
    <w:rsid w:val="3A2D40D1"/>
    <w:rsid w:val="3A314B02"/>
    <w:rsid w:val="3A5C2602"/>
    <w:rsid w:val="3A79657B"/>
    <w:rsid w:val="3A8B3CE7"/>
    <w:rsid w:val="3A8B77C7"/>
    <w:rsid w:val="3A9A32EA"/>
    <w:rsid w:val="3ACD391F"/>
    <w:rsid w:val="3B026D00"/>
    <w:rsid w:val="3B1471CB"/>
    <w:rsid w:val="3B655681"/>
    <w:rsid w:val="3B6C4553"/>
    <w:rsid w:val="3B6F3ABC"/>
    <w:rsid w:val="3B7527F4"/>
    <w:rsid w:val="3BAA143A"/>
    <w:rsid w:val="3BAA4750"/>
    <w:rsid w:val="3BC378A6"/>
    <w:rsid w:val="3BDC08FD"/>
    <w:rsid w:val="3BE42ECD"/>
    <w:rsid w:val="3BFE1CAB"/>
    <w:rsid w:val="3C10260E"/>
    <w:rsid w:val="3C274A05"/>
    <w:rsid w:val="3C43437F"/>
    <w:rsid w:val="3C4F746D"/>
    <w:rsid w:val="3C684925"/>
    <w:rsid w:val="3C6A66D6"/>
    <w:rsid w:val="3C7511AE"/>
    <w:rsid w:val="3CA977D2"/>
    <w:rsid w:val="3CBF0958"/>
    <w:rsid w:val="3CC733AF"/>
    <w:rsid w:val="3CCB1880"/>
    <w:rsid w:val="3CD72551"/>
    <w:rsid w:val="3CF76813"/>
    <w:rsid w:val="3CFC6063"/>
    <w:rsid w:val="3D1319B5"/>
    <w:rsid w:val="3D260CA6"/>
    <w:rsid w:val="3D520CCB"/>
    <w:rsid w:val="3D5C6974"/>
    <w:rsid w:val="3D6678B0"/>
    <w:rsid w:val="3D772181"/>
    <w:rsid w:val="3D823D30"/>
    <w:rsid w:val="3DCE6FB3"/>
    <w:rsid w:val="3DD16176"/>
    <w:rsid w:val="3E104E3F"/>
    <w:rsid w:val="3E1D6E9C"/>
    <w:rsid w:val="3E4A1BED"/>
    <w:rsid w:val="3E662345"/>
    <w:rsid w:val="3E82228B"/>
    <w:rsid w:val="3E8242C1"/>
    <w:rsid w:val="3EB33AF3"/>
    <w:rsid w:val="3EFD0DF6"/>
    <w:rsid w:val="3EFE49C6"/>
    <w:rsid w:val="3F0A5B5C"/>
    <w:rsid w:val="3F1A0890"/>
    <w:rsid w:val="3F3F5846"/>
    <w:rsid w:val="3F71500B"/>
    <w:rsid w:val="3F801023"/>
    <w:rsid w:val="3F8064EB"/>
    <w:rsid w:val="3F950FB5"/>
    <w:rsid w:val="3F982DCA"/>
    <w:rsid w:val="3FCB5632"/>
    <w:rsid w:val="3FD12D26"/>
    <w:rsid w:val="3FDE4917"/>
    <w:rsid w:val="3FE2412F"/>
    <w:rsid w:val="40124A4B"/>
    <w:rsid w:val="402F3ADF"/>
    <w:rsid w:val="40306F5A"/>
    <w:rsid w:val="40476BB3"/>
    <w:rsid w:val="40546FB6"/>
    <w:rsid w:val="40554803"/>
    <w:rsid w:val="407A60D5"/>
    <w:rsid w:val="407D4F24"/>
    <w:rsid w:val="40961808"/>
    <w:rsid w:val="40AB4DEE"/>
    <w:rsid w:val="40B06F87"/>
    <w:rsid w:val="40D24BBE"/>
    <w:rsid w:val="40EC4043"/>
    <w:rsid w:val="41166469"/>
    <w:rsid w:val="412008E0"/>
    <w:rsid w:val="413A6D3B"/>
    <w:rsid w:val="41515AC7"/>
    <w:rsid w:val="41902B9F"/>
    <w:rsid w:val="41C02331"/>
    <w:rsid w:val="41C13A63"/>
    <w:rsid w:val="41C67037"/>
    <w:rsid w:val="41D229E1"/>
    <w:rsid w:val="41EC6E94"/>
    <w:rsid w:val="41F72149"/>
    <w:rsid w:val="4228585D"/>
    <w:rsid w:val="42415ACC"/>
    <w:rsid w:val="427D539F"/>
    <w:rsid w:val="42991E30"/>
    <w:rsid w:val="42B55AE6"/>
    <w:rsid w:val="42CC19F4"/>
    <w:rsid w:val="42CE0B28"/>
    <w:rsid w:val="42CF6367"/>
    <w:rsid w:val="42D36FBC"/>
    <w:rsid w:val="42DE1CCC"/>
    <w:rsid w:val="4308546B"/>
    <w:rsid w:val="43263445"/>
    <w:rsid w:val="434157E3"/>
    <w:rsid w:val="434369EC"/>
    <w:rsid w:val="43494860"/>
    <w:rsid w:val="434D380E"/>
    <w:rsid w:val="436C4995"/>
    <w:rsid w:val="43934189"/>
    <w:rsid w:val="439D4850"/>
    <w:rsid w:val="43C27232"/>
    <w:rsid w:val="43ED069F"/>
    <w:rsid w:val="442A6E5A"/>
    <w:rsid w:val="44356E29"/>
    <w:rsid w:val="44411DF6"/>
    <w:rsid w:val="445C4B8F"/>
    <w:rsid w:val="447C2A1B"/>
    <w:rsid w:val="447F5CBE"/>
    <w:rsid w:val="44833851"/>
    <w:rsid w:val="44982752"/>
    <w:rsid w:val="44BF6F86"/>
    <w:rsid w:val="44C45031"/>
    <w:rsid w:val="44D53AB2"/>
    <w:rsid w:val="44F27B0D"/>
    <w:rsid w:val="45151583"/>
    <w:rsid w:val="45174CA4"/>
    <w:rsid w:val="45485BDE"/>
    <w:rsid w:val="457D4A3F"/>
    <w:rsid w:val="458571EC"/>
    <w:rsid w:val="45945C30"/>
    <w:rsid w:val="459F2306"/>
    <w:rsid w:val="45A832FE"/>
    <w:rsid w:val="45AB6174"/>
    <w:rsid w:val="45BA63E5"/>
    <w:rsid w:val="45CC5EDC"/>
    <w:rsid w:val="45F73D47"/>
    <w:rsid w:val="45FA5DCD"/>
    <w:rsid w:val="462D2575"/>
    <w:rsid w:val="46467FD8"/>
    <w:rsid w:val="465154EB"/>
    <w:rsid w:val="46601D33"/>
    <w:rsid w:val="4666746C"/>
    <w:rsid w:val="467505FA"/>
    <w:rsid w:val="467B6008"/>
    <w:rsid w:val="468720BA"/>
    <w:rsid w:val="46895AFC"/>
    <w:rsid w:val="468E6A9E"/>
    <w:rsid w:val="46BC623F"/>
    <w:rsid w:val="46D855B9"/>
    <w:rsid w:val="470269CC"/>
    <w:rsid w:val="470D2C74"/>
    <w:rsid w:val="47236E19"/>
    <w:rsid w:val="477570F1"/>
    <w:rsid w:val="47AD33FA"/>
    <w:rsid w:val="47B41AAA"/>
    <w:rsid w:val="47CD38AD"/>
    <w:rsid w:val="47DB16D8"/>
    <w:rsid w:val="481726F3"/>
    <w:rsid w:val="48416760"/>
    <w:rsid w:val="48466F81"/>
    <w:rsid w:val="484D02A2"/>
    <w:rsid w:val="486B647A"/>
    <w:rsid w:val="48896934"/>
    <w:rsid w:val="489B48B9"/>
    <w:rsid w:val="48C12AEC"/>
    <w:rsid w:val="48D072A1"/>
    <w:rsid w:val="48D1341D"/>
    <w:rsid w:val="48D63F90"/>
    <w:rsid w:val="48E0279A"/>
    <w:rsid w:val="48E64C8E"/>
    <w:rsid w:val="48FA7B87"/>
    <w:rsid w:val="49023E07"/>
    <w:rsid w:val="4919356E"/>
    <w:rsid w:val="492A7740"/>
    <w:rsid w:val="49300AA7"/>
    <w:rsid w:val="49391CB0"/>
    <w:rsid w:val="493C3A20"/>
    <w:rsid w:val="49401E21"/>
    <w:rsid w:val="49526EB9"/>
    <w:rsid w:val="49684311"/>
    <w:rsid w:val="496D00AD"/>
    <w:rsid w:val="49742114"/>
    <w:rsid w:val="49754CB4"/>
    <w:rsid w:val="49921F0F"/>
    <w:rsid w:val="49CE6B8E"/>
    <w:rsid w:val="49D72FF3"/>
    <w:rsid w:val="49E0102B"/>
    <w:rsid w:val="4A2945F2"/>
    <w:rsid w:val="4A615154"/>
    <w:rsid w:val="4A96607C"/>
    <w:rsid w:val="4AA91ED6"/>
    <w:rsid w:val="4AB92E92"/>
    <w:rsid w:val="4B2134B8"/>
    <w:rsid w:val="4B24233C"/>
    <w:rsid w:val="4B330A0B"/>
    <w:rsid w:val="4B3756CC"/>
    <w:rsid w:val="4B402C77"/>
    <w:rsid w:val="4B5E55F9"/>
    <w:rsid w:val="4B685D82"/>
    <w:rsid w:val="4B7B4674"/>
    <w:rsid w:val="4B7C663B"/>
    <w:rsid w:val="4B812078"/>
    <w:rsid w:val="4B9E03BB"/>
    <w:rsid w:val="4BF71347"/>
    <w:rsid w:val="4BF97932"/>
    <w:rsid w:val="4C141E75"/>
    <w:rsid w:val="4C2A4039"/>
    <w:rsid w:val="4C736F36"/>
    <w:rsid w:val="4CAE60E3"/>
    <w:rsid w:val="4CEE1D13"/>
    <w:rsid w:val="4D032DA9"/>
    <w:rsid w:val="4D0C6DBE"/>
    <w:rsid w:val="4D25615C"/>
    <w:rsid w:val="4D36054D"/>
    <w:rsid w:val="4D41137F"/>
    <w:rsid w:val="4D4D3B7A"/>
    <w:rsid w:val="4D524AEA"/>
    <w:rsid w:val="4D5724F7"/>
    <w:rsid w:val="4D757452"/>
    <w:rsid w:val="4D8C3F82"/>
    <w:rsid w:val="4DBC14B8"/>
    <w:rsid w:val="4DE936C7"/>
    <w:rsid w:val="4DF23555"/>
    <w:rsid w:val="4E050D4C"/>
    <w:rsid w:val="4E06569E"/>
    <w:rsid w:val="4E093792"/>
    <w:rsid w:val="4E1D26B7"/>
    <w:rsid w:val="4E1F052C"/>
    <w:rsid w:val="4E451D41"/>
    <w:rsid w:val="4E7A454C"/>
    <w:rsid w:val="4E820B4C"/>
    <w:rsid w:val="4E85341C"/>
    <w:rsid w:val="4E9B7B12"/>
    <w:rsid w:val="4EC47712"/>
    <w:rsid w:val="4EDC4F2D"/>
    <w:rsid w:val="4EDD3C61"/>
    <w:rsid w:val="4EF1457F"/>
    <w:rsid w:val="4F2C40A0"/>
    <w:rsid w:val="4F2F3B98"/>
    <w:rsid w:val="4F380B7A"/>
    <w:rsid w:val="4F424B82"/>
    <w:rsid w:val="4F4B0CB3"/>
    <w:rsid w:val="4F4F0EBF"/>
    <w:rsid w:val="4F586D8F"/>
    <w:rsid w:val="4F8C4B40"/>
    <w:rsid w:val="4FAA5CD5"/>
    <w:rsid w:val="4FBD187E"/>
    <w:rsid w:val="4FC56067"/>
    <w:rsid w:val="4FD11AC0"/>
    <w:rsid w:val="4FEA4E33"/>
    <w:rsid w:val="502F75EB"/>
    <w:rsid w:val="50400243"/>
    <w:rsid w:val="50494336"/>
    <w:rsid w:val="50784012"/>
    <w:rsid w:val="50813C12"/>
    <w:rsid w:val="5087463E"/>
    <w:rsid w:val="50A11680"/>
    <w:rsid w:val="50B77550"/>
    <w:rsid w:val="50B94EE2"/>
    <w:rsid w:val="50C773AE"/>
    <w:rsid w:val="50CD6602"/>
    <w:rsid w:val="50E6022F"/>
    <w:rsid w:val="510D0F23"/>
    <w:rsid w:val="51197B59"/>
    <w:rsid w:val="51233152"/>
    <w:rsid w:val="51615030"/>
    <w:rsid w:val="51627812"/>
    <w:rsid w:val="51C136D4"/>
    <w:rsid w:val="51D33F6D"/>
    <w:rsid w:val="51DB1448"/>
    <w:rsid w:val="52045DB4"/>
    <w:rsid w:val="522C275E"/>
    <w:rsid w:val="524C13A2"/>
    <w:rsid w:val="529000F6"/>
    <w:rsid w:val="5296149A"/>
    <w:rsid w:val="529C046C"/>
    <w:rsid w:val="52A65672"/>
    <w:rsid w:val="52BA4073"/>
    <w:rsid w:val="52CA2507"/>
    <w:rsid w:val="52CD7B31"/>
    <w:rsid w:val="52D32A37"/>
    <w:rsid w:val="52D576F4"/>
    <w:rsid w:val="52DF170A"/>
    <w:rsid w:val="52E25B6D"/>
    <w:rsid w:val="52F362FB"/>
    <w:rsid w:val="52F4161A"/>
    <w:rsid w:val="52F965A5"/>
    <w:rsid w:val="53081AD8"/>
    <w:rsid w:val="53235275"/>
    <w:rsid w:val="53240623"/>
    <w:rsid w:val="53321C03"/>
    <w:rsid w:val="533415F9"/>
    <w:rsid w:val="533B1F88"/>
    <w:rsid w:val="534823B8"/>
    <w:rsid w:val="535657D0"/>
    <w:rsid w:val="535868CC"/>
    <w:rsid w:val="53597EDB"/>
    <w:rsid w:val="538D066D"/>
    <w:rsid w:val="53934B1D"/>
    <w:rsid w:val="53A2278E"/>
    <w:rsid w:val="53CB788B"/>
    <w:rsid w:val="53E32E36"/>
    <w:rsid w:val="54203B94"/>
    <w:rsid w:val="5424233E"/>
    <w:rsid w:val="542A3DC2"/>
    <w:rsid w:val="542C299E"/>
    <w:rsid w:val="543527D7"/>
    <w:rsid w:val="543642C1"/>
    <w:rsid w:val="5461235D"/>
    <w:rsid w:val="54667BA2"/>
    <w:rsid w:val="547E7555"/>
    <w:rsid w:val="54806F19"/>
    <w:rsid w:val="54A01FAE"/>
    <w:rsid w:val="54A478E7"/>
    <w:rsid w:val="54AC3148"/>
    <w:rsid w:val="54C0256E"/>
    <w:rsid w:val="54C334B7"/>
    <w:rsid w:val="54D4667D"/>
    <w:rsid w:val="54D55C56"/>
    <w:rsid w:val="54E01705"/>
    <w:rsid w:val="54EC389B"/>
    <w:rsid w:val="54F847D9"/>
    <w:rsid w:val="55126190"/>
    <w:rsid w:val="555F3833"/>
    <w:rsid w:val="55667780"/>
    <w:rsid w:val="556E493A"/>
    <w:rsid w:val="55725F14"/>
    <w:rsid w:val="557D3698"/>
    <w:rsid w:val="55941D63"/>
    <w:rsid w:val="559C0CE1"/>
    <w:rsid w:val="55B42D88"/>
    <w:rsid w:val="55BF242A"/>
    <w:rsid w:val="55D11119"/>
    <w:rsid w:val="55DB1F79"/>
    <w:rsid w:val="560A42BD"/>
    <w:rsid w:val="560C1D89"/>
    <w:rsid w:val="56353B20"/>
    <w:rsid w:val="563A6A4D"/>
    <w:rsid w:val="56443B98"/>
    <w:rsid w:val="56453A77"/>
    <w:rsid w:val="5670446D"/>
    <w:rsid w:val="567068CF"/>
    <w:rsid w:val="56757259"/>
    <w:rsid w:val="568B7EB7"/>
    <w:rsid w:val="56BC078F"/>
    <w:rsid w:val="56CB4BCB"/>
    <w:rsid w:val="56FB75FE"/>
    <w:rsid w:val="571729BA"/>
    <w:rsid w:val="572F42F6"/>
    <w:rsid w:val="57391A95"/>
    <w:rsid w:val="573F3C9E"/>
    <w:rsid w:val="574028CB"/>
    <w:rsid w:val="574C52C4"/>
    <w:rsid w:val="57526FDB"/>
    <w:rsid w:val="57572F35"/>
    <w:rsid w:val="575B33A4"/>
    <w:rsid w:val="57602257"/>
    <w:rsid w:val="57674A5D"/>
    <w:rsid w:val="579775E1"/>
    <w:rsid w:val="57C90530"/>
    <w:rsid w:val="57CE0836"/>
    <w:rsid w:val="58154DF1"/>
    <w:rsid w:val="582F44F7"/>
    <w:rsid w:val="58386DDB"/>
    <w:rsid w:val="583F27F2"/>
    <w:rsid w:val="58455B6D"/>
    <w:rsid w:val="584D29B0"/>
    <w:rsid w:val="584F7C49"/>
    <w:rsid w:val="585620FB"/>
    <w:rsid w:val="5888302C"/>
    <w:rsid w:val="5889129A"/>
    <w:rsid w:val="58977071"/>
    <w:rsid w:val="58A70AE5"/>
    <w:rsid w:val="58AD528C"/>
    <w:rsid w:val="58B31955"/>
    <w:rsid w:val="58BA45A1"/>
    <w:rsid w:val="594F6915"/>
    <w:rsid w:val="59737A65"/>
    <w:rsid w:val="59842DF4"/>
    <w:rsid w:val="59947CE9"/>
    <w:rsid w:val="599D4B71"/>
    <w:rsid w:val="59A0359A"/>
    <w:rsid w:val="59E52D9A"/>
    <w:rsid w:val="5A2B14F7"/>
    <w:rsid w:val="5A300449"/>
    <w:rsid w:val="5A482DEE"/>
    <w:rsid w:val="5A55295D"/>
    <w:rsid w:val="5A7E104A"/>
    <w:rsid w:val="5A8208A0"/>
    <w:rsid w:val="5A861FD5"/>
    <w:rsid w:val="5AE3253A"/>
    <w:rsid w:val="5AE850C0"/>
    <w:rsid w:val="5AEA30C9"/>
    <w:rsid w:val="5AEA3475"/>
    <w:rsid w:val="5AF54C6B"/>
    <w:rsid w:val="5AFF63FA"/>
    <w:rsid w:val="5B087B94"/>
    <w:rsid w:val="5B0C2FBE"/>
    <w:rsid w:val="5B0E3E89"/>
    <w:rsid w:val="5B124740"/>
    <w:rsid w:val="5B31434D"/>
    <w:rsid w:val="5B3F60FF"/>
    <w:rsid w:val="5B3F66E7"/>
    <w:rsid w:val="5B872AE6"/>
    <w:rsid w:val="5BA77753"/>
    <w:rsid w:val="5BB60E53"/>
    <w:rsid w:val="5BC025EF"/>
    <w:rsid w:val="5C077640"/>
    <w:rsid w:val="5C0C28F1"/>
    <w:rsid w:val="5C1203C7"/>
    <w:rsid w:val="5C1F35AE"/>
    <w:rsid w:val="5C3822E7"/>
    <w:rsid w:val="5C3905BF"/>
    <w:rsid w:val="5C66397A"/>
    <w:rsid w:val="5C7349B6"/>
    <w:rsid w:val="5C824C05"/>
    <w:rsid w:val="5C8725EE"/>
    <w:rsid w:val="5CB0251A"/>
    <w:rsid w:val="5CB97030"/>
    <w:rsid w:val="5CC97332"/>
    <w:rsid w:val="5D057773"/>
    <w:rsid w:val="5D187049"/>
    <w:rsid w:val="5D1D2427"/>
    <w:rsid w:val="5D2B1222"/>
    <w:rsid w:val="5D756277"/>
    <w:rsid w:val="5D760215"/>
    <w:rsid w:val="5D955FBD"/>
    <w:rsid w:val="5DA62524"/>
    <w:rsid w:val="5DAC3919"/>
    <w:rsid w:val="5DB36259"/>
    <w:rsid w:val="5DBD33B2"/>
    <w:rsid w:val="5DC223CB"/>
    <w:rsid w:val="5DF66637"/>
    <w:rsid w:val="5DFF6858"/>
    <w:rsid w:val="5E0F2B0E"/>
    <w:rsid w:val="5E185132"/>
    <w:rsid w:val="5E2A0167"/>
    <w:rsid w:val="5E5D68E8"/>
    <w:rsid w:val="5E802A96"/>
    <w:rsid w:val="5E9074FF"/>
    <w:rsid w:val="5EAD0273"/>
    <w:rsid w:val="5EAE1AF2"/>
    <w:rsid w:val="5EB62A77"/>
    <w:rsid w:val="5EB80355"/>
    <w:rsid w:val="5EBB2226"/>
    <w:rsid w:val="5EBE5F24"/>
    <w:rsid w:val="5EF07004"/>
    <w:rsid w:val="5F0E1E9A"/>
    <w:rsid w:val="5F860C23"/>
    <w:rsid w:val="5FC44411"/>
    <w:rsid w:val="5FE426E2"/>
    <w:rsid w:val="60224B5D"/>
    <w:rsid w:val="605C7AA6"/>
    <w:rsid w:val="605F132B"/>
    <w:rsid w:val="608510A4"/>
    <w:rsid w:val="608762FF"/>
    <w:rsid w:val="609E1C45"/>
    <w:rsid w:val="60A719AD"/>
    <w:rsid w:val="60B74397"/>
    <w:rsid w:val="60BD4FD1"/>
    <w:rsid w:val="60D507D0"/>
    <w:rsid w:val="60EA1511"/>
    <w:rsid w:val="60EB6C34"/>
    <w:rsid w:val="60FD5C7B"/>
    <w:rsid w:val="610C1CA3"/>
    <w:rsid w:val="613D7E7B"/>
    <w:rsid w:val="61425C7D"/>
    <w:rsid w:val="617162E9"/>
    <w:rsid w:val="61A52BAA"/>
    <w:rsid w:val="61FA0AE4"/>
    <w:rsid w:val="621D7EC3"/>
    <w:rsid w:val="62221C10"/>
    <w:rsid w:val="623438BB"/>
    <w:rsid w:val="62352B2C"/>
    <w:rsid w:val="624B10F0"/>
    <w:rsid w:val="624F3E48"/>
    <w:rsid w:val="62635981"/>
    <w:rsid w:val="62683D4C"/>
    <w:rsid w:val="629B3E75"/>
    <w:rsid w:val="629B5D43"/>
    <w:rsid w:val="62A36D1F"/>
    <w:rsid w:val="62A40365"/>
    <w:rsid w:val="62A469A9"/>
    <w:rsid w:val="62A92FF1"/>
    <w:rsid w:val="62B90FFE"/>
    <w:rsid w:val="62E10186"/>
    <w:rsid w:val="62F6018D"/>
    <w:rsid w:val="63016E3A"/>
    <w:rsid w:val="63034141"/>
    <w:rsid w:val="63045E00"/>
    <w:rsid w:val="630A731B"/>
    <w:rsid w:val="63386B48"/>
    <w:rsid w:val="633A3FE7"/>
    <w:rsid w:val="63410B16"/>
    <w:rsid w:val="63562840"/>
    <w:rsid w:val="637141EC"/>
    <w:rsid w:val="63805B1F"/>
    <w:rsid w:val="63834973"/>
    <w:rsid w:val="638F3DC7"/>
    <w:rsid w:val="6397194C"/>
    <w:rsid w:val="63AB4D19"/>
    <w:rsid w:val="63DA4B5E"/>
    <w:rsid w:val="63E4026B"/>
    <w:rsid w:val="64273E62"/>
    <w:rsid w:val="642E2892"/>
    <w:rsid w:val="643B736C"/>
    <w:rsid w:val="64AD7C37"/>
    <w:rsid w:val="64B0399F"/>
    <w:rsid w:val="64B05758"/>
    <w:rsid w:val="64BE4B0D"/>
    <w:rsid w:val="65075A96"/>
    <w:rsid w:val="650E600B"/>
    <w:rsid w:val="650F0C7B"/>
    <w:rsid w:val="651541F8"/>
    <w:rsid w:val="652B691A"/>
    <w:rsid w:val="65B221E6"/>
    <w:rsid w:val="65BB5F2E"/>
    <w:rsid w:val="66426031"/>
    <w:rsid w:val="66593B74"/>
    <w:rsid w:val="665974A2"/>
    <w:rsid w:val="665D2DD8"/>
    <w:rsid w:val="66651C8A"/>
    <w:rsid w:val="66675176"/>
    <w:rsid w:val="669F2C65"/>
    <w:rsid w:val="66A5425B"/>
    <w:rsid w:val="66BE6B53"/>
    <w:rsid w:val="66C55FD8"/>
    <w:rsid w:val="66C96C89"/>
    <w:rsid w:val="66D333AF"/>
    <w:rsid w:val="67192A34"/>
    <w:rsid w:val="674A4927"/>
    <w:rsid w:val="677243C5"/>
    <w:rsid w:val="678568CD"/>
    <w:rsid w:val="67904A3A"/>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43F0E"/>
    <w:rsid w:val="686A1EFF"/>
    <w:rsid w:val="68A8123A"/>
    <w:rsid w:val="68B84F4C"/>
    <w:rsid w:val="69055229"/>
    <w:rsid w:val="6929374C"/>
    <w:rsid w:val="692F20BB"/>
    <w:rsid w:val="69784C3F"/>
    <w:rsid w:val="699B6EB3"/>
    <w:rsid w:val="69C1095D"/>
    <w:rsid w:val="6A0138F7"/>
    <w:rsid w:val="6A1E155A"/>
    <w:rsid w:val="6A7B5447"/>
    <w:rsid w:val="6ADB012D"/>
    <w:rsid w:val="6AE3748E"/>
    <w:rsid w:val="6AF53FAE"/>
    <w:rsid w:val="6AF72054"/>
    <w:rsid w:val="6B1C3EC6"/>
    <w:rsid w:val="6B3F4C28"/>
    <w:rsid w:val="6B574638"/>
    <w:rsid w:val="6B5F5B98"/>
    <w:rsid w:val="6B615C8D"/>
    <w:rsid w:val="6B67068F"/>
    <w:rsid w:val="6B6E2E8D"/>
    <w:rsid w:val="6B977A86"/>
    <w:rsid w:val="6BAB6FBB"/>
    <w:rsid w:val="6BB568D4"/>
    <w:rsid w:val="6BDF79C7"/>
    <w:rsid w:val="6BE146ED"/>
    <w:rsid w:val="6C0B074D"/>
    <w:rsid w:val="6C1458EF"/>
    <w:rsid w:val="6C231806"/>
    <w:rsid w:val="6C275F8B"/>
    <w:rsid w:val="6C3B15FF"/>
    <w:rsid w:val="6C3B431E"/>
    <w:rsid w:val="6C3E5116"/>
    <w:rsid w:val="6C725FD7"/>
    <w:rsid w:val="6C8379F5"/>
    <w:rsid w:val="6C852D02"/>
    <w:rsid w:val="6C856103"/>
    <w:rsid w:val="6CEA2C90"/>
    <w:rsid w:val="6CFA5C74"/>
    <w:rsid w:val="6D272DFD"/>
    <w:rsid w:val="6D2C4A68"/>
    <w:rsid w:val="6D3B2E78"/>
    <w:rsid w:val="6D3C3AC0"/>
    <w:rsid w:val="6D410335"/>
    <w:rsid w:val="6D4305C3"/>
    <w:rsid w:val="6D48445E"/>
    <w:rsid w:val="6D500B73"/>
    <w:rsid w:val="6D666AA6"/>
    <w:rsid w:val="6D687043"/>
    <w:rsid w:val="6D7D6DC8"/>
    <w:rsid w:val="6D885EAB"/>
    <w:rsid w:val="6D953F0C"/>
    <w:rsid w:val="6DB67EBB"/>
    <w:rsid w:val="6DC046DB"/>
    <w:rsid w:val="6DDF2A2A"/>
    <w:rsid w:val="6DEF52E3"/>
    <w:rsid w:val="6E0E6A1E"/>
    <w:rsid w:val="6E2D763E"/>
    <w:rsid w:val="6E347528"/>
    <w:rsid w:val="6E420FB1"/>
    <w:rsid w:val="6E6B46D3"/>
    <w:rsid w:val="6E953983"/>
    <w:rsid w:val="6E95768E"/>
    <w:rsid w:val="6EA14900"/>
    <w:rsid w:val="6EB27AA3"/>
    <w:rsid w:val="6EBD1CFE"/>
    <w:rsid w:val="6EF9461D"/>
    <w:rsid w:val="6F1348E9"/>
    <w:rsid w:val="6F2A01FE"/>
    <w:rsid w:val="6F2A71A4"/>
    <w:rsid w:val="6F3073F0"/>
    <w:rsid w:val="6F40280B"/>
    <w:rsid w:val="6F5D1EE4"/>
    <w:rsid w:val="6F9415EA"/>
    <w:rsid w:val="6FB56BCB"/>
    <w:rsid w:val="6FB72F84"/>
    <w:rsid w:val="6FCA5E7C"/>
    <w:rsid w:val="6FE11F22"/>
    <w:rsid w:val="6FE3419F"/>
    <w:rsid w:val="6FF778F1"/>
    <w:rsid w:val="700346D4"/>
    <w:rsid w:val="700972F0"/>
    <w:rsid w:val="70287F2C"/>
    <w:rsid w:val="70AF69EB"/>
    <w:rsid w:val="70C667BE"/>
    <w:rsid w:val="70F97D93"/>
    <w:rsid w:val="71181113"/>
    <w:rsid w:val="711D7CA6"/>
    <w:rsid w:val="71226ACC"/>
    <w:rsid w:val="71227E63"/>
    <w:rsid w:val="71614B6B"/>
    <w:rsid w:val="718D2905"/>
    <w:rsid w:val="719909D2"/>
    <w:rsid w:val="719B61D4"/>
    <w:rsid w:val="71A10922"/>
    <w:rsid w:val="71D214DD"/>
    <w:rsid w:val="71E107C1"/>
    <w:rsid w:val="71F62920"/>
    <w:rsid w:val="72091DAA"/>
    <w:rsid w:val="72267D97"/>
    <w:rsid w:val="723734D4"/>
    <w:rsid w:val="724E29D1"/>
    <w:rsid w:val="726D7235"/>
    <w:rsid w:val="728564F5"/>
    <w:rsid w:val="728B7ACE"/>
    <w:rsid w:val="728E70EC"/>
    <w:rsid w:val="72960D65"/>
    <w:rsid w:val="729701CD"/>
    <w:rsid w:val="72AB431D"/>
    <w:rsid w:val="72DA09BB"/>
    <w:rsid w:val="72E745EF"/>
    <w:rsid w:val="72E97F76"/>
    <w:rsid w:val="730E0485"/>
    <w:rsid w:val="730E4D7D"/>
    <w:rsid w:val="731466EF"/>
    <w:rsid w:val="73212A01"/>
    <w:rsid w:val="73322FF0"/>
    <w:rsid w:val="733712FB"/>
    <w:rsid w:val="73460FB0"/>
    <w:rsid w:val="73513F28"/>
    <w:rsid w:val="735A7119"/>
    <w:rsid w:val="736127BE"/>
    <w:rsid w:val="739E0038"/>
    <w:rsid w:val="73B34591"/>
    <w:rsid w:val="73B36F1D"/>
    <w:rsid w:val="73D731CE"/>
    <w:rsid w:val="73D850A2"/>
    <w:rsid w:val="73DE7F6C"/>
    <w:rsid w:val="73E365CE"/>
    <w:rsid w:val="73E64B1D"/>
    <w:rsid w:val="740735EA"/>
    <w:rsid w:val="7408106C"/>
    <w:rsid w:val="7412351E"/>
    <w:rsid w:val="74137D21"/>
    <w:rsid w:val="743E7DF6"/>
    <w:rsid w:val="749E3BDF"/>
    <w:rsid w:val="749F2D9C"/>
    <w:rsid w:val="74BB4279"/>
    <w:rsid w:val="74BE4E97"/>
    <w:rsid w:val="74D504C8"/>
    <w:rsid w:val="74F679F1"/>
    <w:rsid w:val="74F841F7"/>
    <w:rsid w:val="75003D28"/>
    <w:rsid w:val="750445F2"/>
    <w:rsid w:val="751D637E"/>
    <w:rsid w:val="751F2555"/>
    <w:rsid w:val="753504B8"/>
    <w:rsid w:val="75466A74"/>
    <w:rsid w:val="757D1873"/>
    <w:rsid w:val="757F267E"/>
    <w:rsid w:val="758418D8"/>
    <w:rsid w:val="75A17528"/>
    <w:rsid w:val="75AA6AC3"/>
    <w:rsid w:val="75B749A9"/>
    <w:rsid w:val="75CB1443"/>
    <w:rsid w:val="75CD3F16"/>
    <w:rsid w:val="75EA5BFB"/>
    <w:rsid w:val="761A34DA"/>
    <w:rsid w:val="762614C9"/>
    <w:rsid w:val="76781DCD"/>
    <w:rsid w:val="76D84698"/>
    <w:rsid w:val="77070B25"/>
    <w:rsid w:val="773C20CB"/>
    <w:rsid w:val="775372A8"/>
    <w:rsid w:val="775865D7"/>
    <w:rsid w:val="775A33B3"/>
    <w:rsid w:val="775B4584"/>
    <w:rsid w:val="776234AF"/>
    <w:rsid w:val="776D12AE"/>
    <w:rsid w:val="77895532"/>
    <w:rsid w:val="77AD0FE0"/>
    <w:rsid w:val="77BE7384"/>
    <w:rsid w:val="77FC4502"/>
    <w:rsid w:val="780F37EC"/>
    <w:rsid w:val="787A6E12"/>
    <w:rsid w:val="78821B50"/>
    <w:rsid w:val="788E2A2A"/>
    <w:rsid w:val="78C52EE0"/>
    <w:rsid w:val="78D23C9C"/>
    <w:rsid w:val="78F2558D"/>
    <w:rsid w:val="7913610A"/>
    <w:rsid w:val="7917337A"/>
    <w:rsid w:val="791A167A"/>
    <w:rsid w:val="794D119C"/>
    <w:rsid w:val="79501533"/>
    <w:rsid w:val="79670AD1"/>
    <w:rsid w:val="796B6F7E"/>
    <w:rsid w:val="79935707"/>
    <w:rsid w:val="799A2128"/>
    <w:rsid w:val="79C0552F"/>
    <w:rsid w:val="79C30D65"/>
    <w:rsid w:val="79CC3295"/>
    <w:rsid w:val="79D37E29"/>
    <w:rsid w:val="79D606CC"/>
    <w:rsid w:val="7A0B1561"/>
    <w:rsid w:val="7A0D6453"/>
    <w:rsid w:val="7A25258A"/>
    <w:rsid w:val="7A2C646D"/>
    <w:rsid w:val="7A441CE6"/>
    <w:rsid w:val="7A55546C"/>
    <w:rsid w:val="7A743686"/>
    <w:rsid w:val="7A824E2E"/>
    <w:rsid w:val="7A9E7BE0"/>
    <w:rsid w:val="7AB34A48"/>
    <w:rsid w:val="7AFF6437"/>
    <w:rsid w:val="7B021BF1"/>
    <w:rsid w:val="7B5D1D84"/>
    <w:rsid w:val="7B9F2862"/>
    <w:rsid w:val="7BA9751C"/>
    <w:rsid w:val="7BAB44F6"/>
    <w:rsid w:val="7BB856C6"/>
    <w:rsid w:val="7BBB27D3"/>
    <w:rsid w:val="7BBE2990"/>
    <w:rsid w:val="7BC24A45"/>
    <w:rsid w:val="7BD52A90"/>
    <w:rsid w:val="7C076616"/>
    <w:rsid w:val="7C0D60AB"/>
    <w:rsid w:val="7C295DFC"/>
    <w:rsid w:val="7C4B37FA"/>
    <w:rsid w:val="7C58255B"/>
    <w:rsid w:val="7C5B5FF8"/>
    <w:rsid w:val="7C910DB6"/>
    <w:rsid w:val="7C9E490F"/>
    <w:rsid w:val="7CF03F88"/>
    <w:rsid w:val="7CF73786"/>
    <w:rsid w:val="7D091FF0"/>
    <w:rsid w:val="7D4C6AE0"/>
    <w:rsid w:val="7D573168"/>
    <w:rsid w:val="7D5E51C4"/>
    <w:rsid w:val="7D7525FB"/>
    <w:rsid w:val="7DC111D1"/>
    <w:rsid w:val="7DC43A43"/>
    <w:rsid w:val="7DC74225"/>
    <w:rsid w:val="7DDA69EF"/>
    <w:rsid w:val="7DDD18D5"/>
    <w:rsid w:val="7E6C26A2"/>
    <w:rsid w:val="7E9774F4"/>
    <w:rsid w:val="7E99179B"/>
    <w:rsid w:val="7EB35583"/>
    <w:rsid w:val="7EB5276C"/>
    <w:rsid w:val="7EBC57D7"/>
    <w:rsid w:val="7ED0794B"/>
    <w:rsid w:val="7ED70A6F"/>
    <w:rsid w:val="7EE20D78"/>
    <w:rsid w:val="7EFF38D3"/>
    <w:rsid w:val="7F3206AA"/>
    <w:rsid w:val="7F5E6382"/>
    <w:rsid w:val="7F5F2553"/>
    <w:rsid w:val="7F89742A"/>
    <w:rsid w:val="7F9B22D0"/>
    <w:rsid w:val="7F9F74D0"/>
    <w:rsid w:val="7FA200C0"/>
    <w:rsid w:val="7FA23B7F"/>
    <w:rsid w:val="7FBE60DA"/>
    <w:rsid w:val="7FBF358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99"/>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98"/>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100"/>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qFormat/>
    <w:uiPriority w:val="0"/>
    <w:pPr>
      <w:pBdr>
        <w:bottom w:val="single" w:color="auto" w:sz="6" w:space="1"/>
      </w:pBdr>
      <w:tabs>
        <w:tab w:val="center" w:pos="4153"/>
        <w:tab w:val="right" w:pos="8306"/>
      </w:tabs>
      <w:snapToGrid w:val="0"/>
      <w:jc w:val="center"/>
    </w:pPr>
    <w:rPr>
      <w:sz w:val="18"/>
      <w:szCs w:val="18"/>
    </w:rPr>
  </w:style>
  <w:style w:type="paragraph" w:styleId="3">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8">
    <w:name w:val="Normal Indent"/>
    <w:basedOn w:val="1"/>
    <w:qFormat/>
    <w:uiPriority w:val="0"/>
    <w:pPr>
      <w:ind w:firstLine="420"/>
    </w:pPr>
    <w:rPr>
      <w:szCs w:val="20"/>
    </w:rPr>
  </w:style>
  <w:style w:type="paragraph" w:styleId="9">
    <w:name w:val="Document Map"/>
    <w:basedOn w:val="1"/>
    <w:link w:val="35"/>
    <w:qFormat/>
    <w:uiPriority w:val="0"/>
    <w:rPr>
      <w:rFonts w:ascii="宋体" w:hAnsi="Tahoma"/>
      <w:sz w:val="18"/>
      <w:szCs w:val="18"/>
    </w:rPr>
  </w:style>
  <w:style w:type="paragraph" w:styleId="10">
    <w:name w:val="annotation text"/>
    <w:basedOn w:val="1"/>
    <w:link w:val="64"/>
    <w:semiHidden/>
    <w:qFormat/>
    <w:uiPriority w:val="99"/>
    <w:pPr>
      <w:jc w:val="left"/>
    </w:pPr>
    <w:rPr>
      <w:rFonts w:ascii="Tahoma" w:hAnsi="Tahoma"/>
    </w:rPr>
  </w:style>
  <w:style w:type="paragraph" w:styleId="11">
    <w:name w:val="Body Text 3"/>
    <w:basedOn w:val="1"/>
    <w:qFormat/>
    <w:uiPriority w:val="0"/>
    <w:rPr>
      <w:kern w:val="0"/>
      <w:sz w:val="16"/>
      <w:szCs w:val="16"/>
    </w:rPr>
  </w:style>
  <w:style w:type="paragraph" w:styleId="12">
    <w:name w:val="Body Text"/>
    <w:basedOn w:val="1"/>
    <w:qFormat/>
    <w:uiPriority w:val="0"/>
    <w:pPr>
      <w:spacing w:after="120"/>
    </w:pPr>
  </w:style>
  <w:style w:type="paragraph" w:styleId="13">
    <w:name w:val="Body Text Indent"/>
    <w:basedOn w:val="1"/>
    <w:qFormat/>
    <w:uiPriority w:val="0"/>
    <w:pPr>
      <w:spacing w:after="120"/>
      <w:ind w:left="420" w:leftChars="200"/>
    </w:pPr>
  </w:style>
  <w:style w:type="paragraph" w:styleId="14">
    <w:name w:val="toc 3"/>
    <w:basedOn w:val="1"/>
    <w:next w:val="1"/>
    <w:unhideWhenUsed/>
    <w:qFormat/>
    <w:uiPriority w:val="39"/>
    <w:pPr>
      <w:ind w:left="840" w:leftChars="400"/>
    </w:pPr>
    <w:rPr>
      <w:sz w:val="28"/>
    </w:rPr>
  </w:style>
  <w:style w:type="paragraph" w:styleId="15">
    <w:name w:val="Plain Text"/>
    <w:basedOn w:val="1"/>
    <w:qFormat/>
    <w:uiPriority w:val="0"/>
    <w:rPr>
      <w:rFonts w:ascii="宋体" w:hAnsi="Courier New" w:eastAsia="楷体_GB2312"/>
      <w:snapToGrid w:val="0"/>
      <w:color w:val="000000"/>
      <w:kern w:val="0"/>
      <w:sz w:val="32"/>
      <w:szCs w:val="21"/>
    </w:rPr>
  </w:style>
  <w:style w:type="paragraph" w:styleId="16">
    <w:name w:val="Date"/>
    <w:basedOn w:val="1"/>
    <w:next w:val="1"/>
    <w:link w:val="103"/>
    <w:qFormat/>
    <w:uiPriority w:val="99"/>
    <w:rPr>
      <w:rFonts w:ascii="楷体_GB2312" w:eastAsia="楷体_GB2312"/>
      <w:color w:val="000000"/>
      <w:kern w:val="0"/>
      <w:sz w:val="32"/>
      <w:szCs w:val="32"/>
    </w:rPr>
  </w:style>
  <w:style w:type="paragraph" w:styleId="17">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8">
    <w:name w:val="Balloon Text"/>
    <w:basedOn w:val="1"/>
    <w:unhideWhenUsed/>
    <w:qFormat/>
    <w:uiPriority w:val="0"/>
    <w:rPr>
      <w:sz w:val="18"/>
      <w:szCs w:val="18"/>
    </w:rPr>
  </w:style>
  <w:style w:type="paragraph" w:styleId="19">
    <w:name w:val="footer"/>
    <w:basedOn w:val="1"/>
    <w:link w:val="58"/>
    <w:qFormat/>
    <w:uiPriority w:val="99"/>
    <w:pPr>
      <w:tabs>
        <w:tab w:val="center" w:pos="4153"/>
        <w:tab w:val="right" w:pos="8306"/>
      </w:tabs>
      <w:snapToGrid w:val="0"/>
      <w:jc w:val="left"/>
    </w:pPr>
    <w:rPr>
      <w:rFonts w:ascii="Tahoma" w:hAnsi="Tahoma"/>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10"/>
    <w:next w:val="10"/>
    <w:link w:val="62"/>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Hyperlink"/>
    <w:basedOn w:val="28"/>
    <w:qFormat/>
    <w:uiPriority w:val="99"/>
    <w:rPr>
      <w:rFonts w:ascii="Tahoma" w:hAnsi="Tahoma"/>
      <w:color w:val="0000FF"/>
      <w:sz w:val="24"/>
      <w:u w:val="single"/>
    </w:rPr>
  </w:style>
  <w:style w:type="character" w:styleId="33">
    <w:name w:val="annotation reference"/>
    <w:unhideWhenUsed/>
    <w:qFormat/>
    <w:uiPriority w:val="99"/>
    <w:rPr>
      <w:rFonts w:ascii="Tahoma" w:hAnsi="Tahoma"/>
      <w:sz w:val="21"/>
      <w:szCs w:val="21"/>
    </w:rPr>
  </w:style>
  <w:style w:type="character" w:customStyle="1" w:styleId="34">
    <w:name w:val="cfdate"/>
    <w:basedOn w:val="28"/>
    <w:qFormat/>
    <w:uiPriority w:val="0"/>
    <w:rPr>
      <w:color w:val="333333"/>
      <w:sz w:val="18"/>
      <w:szCs w:val="18"/>
    </w:rPr>
  </w:style>
  <w:style w:type="character" w:customStyle="1" w:styleId="35">
    <w:name w:val="文档结构图 字符"/>
    <w:link w:val="9"/>
    <w:qFormat/>
    <w:uiPriority w:val="0"/>
    <w:rPr>
      <w:rFonts w:ascii="宋体" w:hAnsi="Tahoma"/>
      <w:kern w:val="2"/>
      <w:sz w:val="18"/>
      <w:szCs w:val="18"/>
    </w:rPr>
  </w:style>
  <w:style w:type="character" w:customStyle="1" w:styleId="36">
    <w:name w:val="copyright"/>
    <w:basedOn w:val="28"/>
    <w:qFormat/>
    <w:uiPriority w:val="0"/>
  </w:style>
  <w:style w:type="character" w:customStyle="1" w:styleId="37">
    <w:name w:val="Char Char6"/>
    <w:qFormat/>
    <w:uiPriority w:val="0"/>
    <w:rPr>
      <w:rFonts w:ascii="Tahoma" w:hAnsi="Tahoma" w:eastAsia="宋体"/>
      <w:b/>
      <w:bCs/>
      <w:kern w:val="2"/>
      <w:sz w:val="32"/>
      <w:szCs w:val="32"/>
      <w:lang w:val="en-US" w:eastAsia="zh-CN" w:bidi="ar-SA"/>
    </w:rPr>
  </w:style>
  <w:style w:type="character" w:customStyle="1" w:styleId="38">
    <w:name w:val="qxdate"/>
    <w:basedOn w:val="28"/>
    <w:qFormat/>
    <w:uiPriority w:val="0"/>
    <w:rPr>
      <w:color w:val="333333"/>
      <w:sz w:val="18"/>
      <w:szCs w:val="18"/>
    </w:rPr>
  </w:style>
  <w:style w:type="character" w:customStyle="1" w:styleId="39">
    <w:name w:val="gjfg"/>
    <w:basedOn w:val="28"/>
    <w:qFormat/>
    <w:uiPriority w:val="0"/>
  </w:style>
  <w:style w:type="character" w:customStyle="1" w:styleId="40">
    <w:name w:val="Char Char3"/>
    <w:semiHidden/>
    <w:qFormat/>
    <w:uiPriority w:val="0"/>
    <w:rPr>
      <w:rFonts w:ascii="Tahoma" w:hAnsi="Tahoma" w:eastAsia="宋体"/>
      <w:kern w:val="2"/>
      <w:sz w:val="18"/>
      <w:szCs w:val="18"/>
      <w:lang w:val="en-US" w:eastAsia="zh-CN" w:bidi="ar-SA"/>
    </w:rPr>
  </w:style>
  <w:style w:type="character" w:customStyle="1" w:styleId="41">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2">
    <w:name w:val="Char Char4"/>
    <w:qFormat/>
    <w:uiPriority w:val="0"/>
    <w:rPr>
      <w:rFonts w:ascii="Tahoma" w:hAnsi="Tahoma" w:eastAsia="宋体"/>
      <w:kern w:val="2"/>
      <w:sz w:val="18"/>
      <w:szCs w:val="18"/>
      <w:lang w:val="en-US" w:eastAsia="zh-CN" w:bidi="ar-SA"/>
    </w:rPr>
  </w:style>
  <w:style w:type="character" w:customStyle="1" w:styleId="43">
    <w:name w:val="font51"/>
    <w:qFormat/>
    <w:uiPriority w:val="0"/>
    <w:rPr>
      <w:rFonts w:hint="eastAsia" w:ascii="宋体" w:hAnsi="宋体" w:eastAsia="宋体" w:cs="宋体"/>
      <w:color w:val="000000"/>
      <w:sz w:val="21"/>
      <w:szCs w:val="21"/>
      <w:u w:val="none"/>
    </w:rPr>
  </w:style>
  <w:style w:type="character" w:customStyle="1" w:styleId="44">
    <w:name w:val="Char Char1"/>
    <w:semiHidden/>
    <w:qFormat/>
    <w:uiPriority w:val="0"/>
    <w:rPr>
      <w:rFonts w:ascii="Tahoma" w:hAnsi="Tahoma" w:eastAsia="宋体"/>
      <w:kern w:val="2"/>
      <w:sz w:val="28"/>
      <w:lang w:val="en-US" w:eastAsia="zh-CN" w:bidi="ar-SA"/>
    </w:rPr>
  </w:style>
  <w:style w:type="character" w:customStyle="1" w:styleId="45">
    <w:name w:val="profont1"/>
    <w:qFormat/>
    <w:uiPriority w:val="0"/>
    <w:rPr>
      <w:rFonts w:hint="default" w:ascii="Verdana" w:hAnsi="Verdana"/>
      <w:b/>
      <w:bCs/>
      <w:color w:val="333333"/>
      <w:sz w:val="24"/>
      <w:szCs w:val="24"/>
      <w:u w:val="none"/>
    </w:rPr>
  </w:style>
  <w:style w:type="character" w:customStyle="1" w:styleId="46">
    <w:name w:val="标题 2 Char"/>
    <w:qFormat/>
    <w:uiPriority w:val="0"/>
    <w:rPr>
      <w:rFonts w:ascii="Arial" w:hAnsi="Arial" w:eastAsia="黑体"/>
      <w:b/>
      <w:bCs/>
      <w:kern w:val="2"/>
      <w:sz w:val="32"/>
      <w:szCs w:val="32"/>
      <w:lang w:val="en-US" w:eastAsia="zh-CN" w:bidi="ar-SA"/>
    </w:rPr>
  </w:style>
  <w:style w:type="character" w:customStyle="1" w:styleId="47">
    <w:name w:val="Char Char5"/>
    <w:qFormat/>
    <w:uiPriority w:val="0"/>
    <w:rPr>
      <w:rFonts w:ascii="Tahoma" w:hAnsi="Tahoma" w:eastAsia="宋体"/>
      <w:kern w:val="2"/>
      <w:sz w:val="18"/>
      <w:szCs w:val="18"/>
      <w:lang w:val="en-US" w:eastAsia="zh-CN" w:bidi="ar-SA"/>
    </w:rPr>
  </w:style>
  <w:style w:type="character" w:customStyle="1" w:styleId="48">
    <w:name w:val="标题 1.1 Char1"/>
    <w:qFormat/>
    <w:uiPriority w:val="0"/>
    <w:rPr>
      <w:rFonts w:ascii="Arial" w:hAnsi="Arial" w:eastAsia="黑体"/>
      <w:b/>
      <w:bCs/>
      <w:kern w:val="2"/>
      <w:sz w:val="32"/>
      <w:szCs w:val="32"/>
      <w:lang w:val="en-US" w:eastAsia="zh-CN" w:bidi="ar-SA"/>
    </w:rPr>
  </w:style>
  <w:style w:type="character" w:customStyle="1" w:styleId="49">
    <w:name w:val="font01"/>
    <w:basedOn w:val="28"/>
    <w:qFormat/>
    <w:uiPriority w:val="0"/>
    <w:rPr>
      <w:rFonts w:hint="eastAsia" w:ascii="宋体" w:hAnsi="宋体" w:eastAsia="宋体" w:cs="宋体"/>
      <w:color w:val="000000"/>
      <w:sz w:val="24"/>
      <w:szCs w:val="24"/>
      <w:u w:val="none"/>
    </w:rPr>
  </w:style>
  <w:style w:type="character" w:customStyle="1" w:styleId="50">
    <w:name w:val="font11"/>
    <w:basedOn w:val="28"/>
    <w:qFormat/>
    <w:uiPriority w:val="0"/>
    <w:rPr>
      <w:rFonts w:hint="eastAsia" w:ascii="宋体" w:hAnsi="宋体" w:eastAsia="宋体" w:cs="宋体"/>
      <w:b/>
      <w:color w:val="000000"/>
      <w:sz w:val="24"/>
      <w:szCs w:val="24"/>
      <w:u w:val="none"/>
    </w:rPr>
  </w:style>
  <w:style w:type="character" w:customStyle="1" w:styleId="51">
    <w:name w:val="Char Char"/>
    <w:qFormat/>
    <w:uiPriority w:val="0"/>
    <w:rPr>
      <w:rFonts w:ascii="Tahoma" w:hAnsi="Tahoma"/>
      <w:kern w:val="2"/>
      <w:sz w:val="21"/>
      <w:szCs w:val="24"/>
    </w:rPr>
  </w:style>
  <w:style w:type="character" w:customStyle="1" w:styleId="52">
    <w:name w:val="style111"/>
    <w:qFormat/>
    <w:uiPriority w:val="0"/>
    <w:rPr>
      <w:rFonts w:ascii="Tahoma" w:hAnsi="Tahoma"/>
      <w:sz w:val="22"/>
      <w:szCs w:val="22"/>
    </w:rPr>
  </w:style>
  <w:style w:type="character" w:customStyle="1" w:styleId="53">
    <w:name w:val="displayarti"/>
    <w:basedOn w:val="28"/>
    <w:qFormat/>
    <w:uiPriority w:val="0"/>
    <w:rPr>
      <w:color w:val="FFFFFF"/>
      <w:shd w:val="clear" w:color="auto" w:fill="A00000"/>
    </w:rPr>
  </w:style>
  <w:style w:type="character" w:customStyle="1" w:styleId="54">
    <w:name w:val="Char Char7"/>
    <w:qFormat/>
    <w:uiPriority w:val="0"/>
    <w:rPr>
      <w:rFonts w:ascii="Tahoma" w:hAnsi="Tahoma" w:eastAsia="宋体"/>
      <w:b/>
      <w:bCs/>
      <w:kern w:val="44"/>
      <w:sz w:val="44"/>
      <w:szCs w:val="44"/>
      <w:lang w:val="en-US" w:eastAsia="zh-CN" w:bidi="ar-SA"/>
    </w:rPr>
  </w:style>
  <w:style w:type="character" w:customStyle="1" w:styleId="55">
    <w:name w:val="font31"/>
    <w:qFormat/>
    <w:uiPriority w:val="0"/>
    <w:rPr>
      <w:rFonts w:hint="eastAsia" w:ascii="宋体" w:hAnsi="宋体" w:eastAsia="宋体" w:cs="宋体"/>
      <w:color w:val="000000"/>
      <w:sz w:val="21"/>
      <w:szCs w:val="21"/>
      <w:u w:val="none"/>
    </w:rPr>
  </w:style>
  <w:style w:type="character" w:customStyle="1" w:styleId="56">
    <w:name w:val="Char Char2"/>
    <w:qFormat/>
    <w:uiPriority w:val="0"/>
    <w:rPr>
      <w:rFonts w:ascii="华文仿宋" w:hAnsi="华文仿宋" w:eastAsia="华文仿宋"/>
      <w:color w:val="000000"/>
      <w:sz w:val="32"/>
      <w:szCs w:val="32"/>
      <w:lang w:val="en-US" w:eastAsia="zh-CN" w:bidi="ar-SA"/>
    </w:rPr>
  </w:style>
  <w:style w:type="character" w:customStyle="1" w:styleId="57">
    <w:name w:val="style51"/>
    <w:qFormat/>
    <w:uiPriority w:val="0"/>
    <w:rPr>
      <w:rFonts w:ascii="Tahoma" w:hAnsi="Tahoma"/>
      <w:b/>
      <w:bCs/>
      <w:color w:val="814107"/>
      <w:sz w:val="21"/>
      <w:szCs w:val="21"/>
    </w:rPr>
  </w:style>
  <w:style w:type="character" w:customStyle="1" w:styleId="58">
    <w:name w:val="页脚 字符"/>
    <w:link w:val="19"/>
    <w:qFormat/>
    <w:uiPriority w:val="99"/>
    <w:rPr>
      <w:rFonts w:ascii="Tahoma" w:hAnsi="Tahoma"/>
      <w:kern w:val="2"/>
      <w:sz w:val="18"/>
      <w:szCs w:val="18"/>
    </w:rPr>
  </w:style>
  <w:style w:type="character" w:customStyle="1" w:styleId="59">
    <w:name w:val="标题 1.1 Char"/>
    <w:qFormat/>
    <w:uiPriority w:val="0"/>
    <w:rPr>
      <w:rFonts w:ascii="仿宋_GB2312" w:hAnsi="Arial" w:eastAsia="仿宋_GB2312" w:cs="Arial"/>
      <w:b/>
      <w:bCs/>
      <w:kern w:val="2"/>
      <w:sz w:val="24"/>
      <w:szCs w:val="24"/>
      <w:lang w:val="en-US" w:eastAsia="zh-CN" w:bidi="ar-SA"/>
    </w:rPr>
  </w:style>
  <w:style w:type="character" w:customStyle="1" w:styleId="60">
    <w:name w:val="普通文字 Char1"/>
    <w:qFormat/>
    <w:uiPriority w:val="0"/>
    <w:rPr>
      <w:rFonts w:ascii="宋体" w:hAnsi="Courier New" w:eastAsia="宋体"/>
      <w:kern w:val="2"/>
      <w:sz w:val="21"/>
      <w:szCs w:val="21"/>
      <w:lang w:val="en-US" w:eastAsia="zh-CN" w:bidi="ar-SA"/>
    </w:rPr>
  </w:style>
  <w:style w:type="character" w:customStyle="1" w:styleId="61">
    <w:name w:val="font41"/>
    <w:qFormat/>
    <w:uiPriority w:val="0"/>
    <w:rPr>
      <w:rFonts w:ascii="font-weight : 400" w:hAnsi="font-weight : 400" w:eastAsia="font-weight : 400" w:cs="font-weight : 400"/>
      <w:color w:val="000000"/>
      <w:sz w:val="21"/>
      <w:szCs w:val="21"/>
      <w:u w:val="none"/>
    </w:rPr>
  </w:style>
  <w:style w:type="character" w:customStyle="1" w:styleId="62">
    <w:name w:val="批注主题 字符"/>
    <w:link w:val="25"/>
    <w:qFormat/>
    <w:uiPriority w:val="0"/>
    <w:rPr>
      <w:rFonts w:ascii="Tahoma" w:hAnsi="Tahoma"/>
      <w:b/>
      <w:bCs/>
      <w:kern w:val="2"/>
      <w:sz w:val="21"/>
      <w:szCs w:val="24"/>
    </w:rPr>
  </w:style>
  <w:style w:type="character" w:customStyle="1" w:styleId="63">
    <w:name w:val="redfilefwwh"/>
    <w:basedOn w:val="28"/>
    <w:qFormat/>
    <w:uiPriority w:val="0"/>
    <w:rPr>
      <w:color w:val="BA2636"/>
      <w:sz w:val="18"/>
      <w:szCs w:val="18"/>
    </w:rPr>
  </w:style>
  <w:style w:type="character" w:customStyle="1" w:styleId="64">
    <w:name w:val="批注文字 字符"/>
    <w:link w:val="10"/>
    <w:semiHidden/>
    <w:qFormat/>
    <w:uiPriority w:val="99"/>
    <w:rPr>
      <w:rFonts w:ascii="Tahoma" w:hAnsi="Tahoma"/>
      <w:kern w:val="2"/>
      <w:sz w:val="21"/>
      <w:szCs w:val="24"/>
    </w:rPr>
  </w:style>
  <w:style w:type="character" w:customStyle="1" w:styleId="65">
    <w:name w:val="redfilenumber"/>
    <w:basedOn w:val="28"/>
    <w:qFormat/>
    <w:uiPriority w:val="0"/>
    <w:rPr>
      <w:color w:val="BA2636"/>
      <w:sz w:val="18"/>
      <w:szCs w:val="18"/>
    </w:rPr>
  </w:style>
  <w:style w:type="paragraph" w:customStyle="1" w:styleId="66">
    <w:name w:val="Char1 Char Char Char"/>
    <w:basedOn w:val="1"/>
    <w:qFormat/>
    <w:uiPriority w:val="0"/>
    <w:pPr>
      <w:adjustRightInd w:val="0"/>
      <w:spacing w:line="360" w:lineRule="auto"/>
    </w:pPr>
    <w:rPr>
      <w:kern w:val="0"/>
      <w:sz w:val="24"/>
      <w:szCs w:val="20"/>
    </w:rPr>
  </w:style>
  <w:style w:type="paragraph" w:customStyle="1" w:styleId="67">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8">
    <w:name w:val="_Style 2"/>
    <w:basedOn w:val="1"/>
    <w:qFormat/>
    <w:uiPriority w:val="34"/>
    <w:pPr>
      <w:ind w:firstLine="420" w:firstLineChars="200"/>
    </w:pPr>
  </w:style>
  <w:style w:type="paragraph" w:customStyle="1" w:styleId="69">
    <w:name w:val="Char Char Char Char Char Char"/>
    <w:basedOn w:val="1"/>
    <w:qFormat/>
    <w:uiPriority w:val="0"/>
    <w:rPr>
      <w:rFonts w:ascii="Tahoma" w:hAnsi="Tahoma"/>
      <w:sz w:val="24"/>
    </w:rPr>
  </w:style>
  <w:style w:type="paragraph" w:customStyle="1" w:styleId="70">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1">
    <w:name w:val="Char Char Char"/>
    <w:basedOn w:val="1"/>
    <w:qFormat/>
    <w:uiPriority w:val="0"/>
    <w:rPr>
      <w:rFonts w:ascii="Tahoma" w:hAnsi="Tahoma"/>
      <w:sz w:val="24"/>
      <w:szCs w:val="20"/>
    </w:rPr>
  </w:style>
  <w:style w:type="paragraph" w:customStyle="1" w:styleId="72">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3">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4">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75">
    <w:name w:val="二级条标题"/>
    <w:basedOn w:val="76"/>
    <w:next w:val="1"/>
    <w:qFormat/>
    <w:uiPriority w:val="0"/>
    <w:pPr>
      <w:numPr>
        <w:ilvl w:val="3"/>
      </w:numPr>
      <w:outlineLvl w:val="3"/>
    </w:pPr>
  </w:style>
  <w:style w:type="paragraph" w:customStyle="1" w:styleId="76">
    <w:name w:val="一级条标题"/>
    <w:basedOn w:val="70"/>
    <w:next w:val="1"/>
    <w:qFormat/>
    <w:uiPriority w:val="0"/>
    <w:pPr>
      <w:numPr>
        <w:ilvl w:val="2"/>
      </w:numPr>
      <w:spacing w:beforeLines="0" w:afterLines="0"/>
      <w:outlineLvl w:val="2"/>
    </w:pPr>
  </w:style>
  <w:style w:type="paragraph" w:customStyle="1" w:styleId="77">
    <w:name w:val="Char Char Char1"/>
    <w:basedOn w:val="1"/>
    <w:qFormat/>
    <w:uiPriority w:val="0"/>
    <w:rPr>
      <w:rFonts w:ascii="Tahoma" w:hAnsi="Tahoma"/>
      <w:sz w:val="24"/>
      <w:szCs w:val="20"/>
    </w:rPr>
  </w:style>
  <w:style w:type="paragraph" w:customStyle="1" w:styleId="78">
    <w:name w:val="样式5"/>
    <w:basedOn w:val="79"/>
    <w:qFormat/>
    <w:uiPriority w:val="0"/>
    <w:pPr>
      <w:numPr>
        <w:ilvl w:val="3"/>
      </w:numPr>
      <w:tabs>
        <w:tab w:val="left" w:pos="432"/>
      </w:tabs>
      <w:spacing w:before="156"/>
    </w:pPr>
  </w:style>
  <w:style w:type="paragraph" w:customStyle="1" w:styleId="79">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0">
    <w:name w:val="Char"/>
    <w:basedOn w:val="1"/>
    <w:qFormat/>
    <w:uiPriority w:val="0"/>
    <w:pPr>
      <w:adjustRightInd w:val="0"/>
      <w:spacing w:line="360" w:lineRule="auto"/>
    </w:pPr>
    <w:rPr>
      <w:kern w:val="0"/>
      <w:sz w:val="24"/>
      <w:szCs w:val="20"/>
    </w:rPr>
  </w:style>
  <w:style w:type="paragraph" w:customStyle="1" w:styleId="81">
    <w:name w:val="Char1"/>
    <w:basedOn w:val="1"/>
    <w:qFormat/>
    <w:uiPriority w:val="0"/>
    <w:pPr>
      <w:adjustRightInd w:val="0"/>
      <w:spacing w:line="360" w:lineRule="auto"/>
    </w:pPr>
    <w:rPr>
      <w:kern w:val="0"/>
      <w:sz w:val="24"/>
      <w:szCs w:val="20"/>
    </w:rPr>
  </w:style>
  <w:style w:type="paragraph" w:customStyle="1" w:styleId="82">
    <w:name w:val="三级条标题"/>
    <w:basedOn w:val="75"/>
    <w:next w:val="1"/>
    <w:qFormat/>
    <w:uiPriority w:val="0"/>
    <w:pPr>
      <w:numPr>
        <w:ilvl w:val="4"/>
      </w:numPr>
      <w:outlineLvl w:val="4"/>
    </w:pPr>
  </w:style>
  <w:style w:type="paragraph" w:customStyle="1" w:styleId="83">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4">
    <w:name w:val="Char Char Char Char Char Char Char"/>
    <w:basedOn w:val="1"/>
    <w:qFormat/>
    <w:uiPriority w:val="0"/>
    <w:rPr>
      <w:rFonts w:ascii="Tahoma" w:hAnsi="Tahoma" w:cs="Arial"/>
      <w:szCs w:val="21"/>
    </w:rPr>
  </w:style>
  <w:style w:type="paragraph" w:customStyle="1" w:styleId="85">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86">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87">
    <w:name w:val="五级条标题"/>
    <w:basedOn w:val="88"/>
    <w:next w:val="1"/>
    <w:qFormat/>
    <w:uiPriority w:val="0"/>
    <w:pPr>
      <w:numPr>
        <w:ilvl w:val="6"/>
      </w:numPr>
      <w:outlineLvl w:val="6"/>
    </w:pPr>
  </w:style>
  <w:style w:type="paragraph" w:customStyle="1" w:styleId="88">
    <w:name w:val="四级条标题"/>
    <w:basedOn w:val="82"/>
    <w:next w:val="1"/>
    <w:qFormat/>
    <w:uiPriority w:val="0"/>
    <w:pPr>
      <w:numPr>
        <w:ilvl w:val="5"/>
      </w:numPr>
      <w:outlineLvl w:val="5"/>
    </w:pPr>
  </w:style>
  <w:style w:type="paragraph" w:customStyle="1" w:styleId="89">
    <w:name w:val="Normal Indent1"/>
    <w:basedOn w:val="1"/>
    <w:qFormat/>
    <w:uiPriority w:val="99"/>
    <w:pPr>
      <w:autoSpaceDE w:val="0"/>
      <w:autoSpaceDN w:val="0"/>
      <w:adjustRightInd w:val="0"/>
      <w:ind w:firstLine="420"/>
    </w:pPr>
    <w:rPr>
      <w:kern w:val="0"/>
      <w:szCs w:val="21"/>
    </w:rPr>
  </w:style>
  <w:style w:type="paragraph" w:customStyle="1" w:styleId="90">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1">
    <w:name w:val="样式6"/>
    <w:basedOn w:val="79"/>
    <w:qFormat/>
    <w:uiPriority w:val="0"/>
    <w:pPr>
      <w:numPr>
        <w:ilvl w:val="2"/>
      </w:numPr>
      <w:tabs>
        <w:tab w:val="clear" w:pos="432"/>
      </w:tabs>
      <w:spacing w:before="156"/>
      <w:outlineLvl w:val="4"/>
    </w:pPr>
    <w:rPr>
      <w:rFonts w:ascii="MS Shell Dlg" w:hAnsi="MS Shell Dlg"/>
    </w:rPr>
  </w:style>
  <w:style w:type="paragraph" w:styleId="92">
    <w:name w:val="List Paragraph"/>
    <w:basedOn w:val="1"/>
    <w:qFormat/>
    <w:uiPriority w:val="34"/>
    <w:pPr>
      <w:ind w:firstLine="420" w:firstLineChars="200"/>
    </w:pPr>
    <w:rPr>
      <w:sz w:val="28"/>
    </w:rPr>
  </w:style>
  <w:style w:type="paragraph" w:customStyle="1" w:styleId="93">
    <w:name w:val="列出段落1"/>
    <w:basedOn w:val="1"/>
    <w:qFormat/>
    <w:uiPriority w:val="0"/>
    <w:pPr>
      <w:ind w:firstLine="420" w:firstLineChars="200"/>
    </w:pPr>
    <w:rPr>
      <w:rFonts w:ascii="Calibri" w:hAnsi="Calibri"/>
      <w:kern w:val="0"/>
      <w:sz w:val="20"/>
      <w:szCs w:val="20"/>
    </w:rPr>
  </w:style>
  <w:style w:type="paragraph" w:customStyle="1" w:styleId="94">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95">
    <w:name w:val="Table Paragraph"/>
    <w:basedOn w:val="1"/>
    <w:unhideWhenUsed/>
    <w:qFormat/>
    <w:uiPriority w:val="1"/>
    <w:rPr>
      <w:rFonts w:hint="eastAsia"/>
      <w:sz w:val="24"/>
    </w:rPr>
  </w:style>
  <w:style w:type="paragraph" w:customStyle="1" w:styleId="96">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customStyle="1" w:styleId="97">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98">
    <w:name w:val="标题 2 字符"/>
    <w:link w:val="5"/>
    <w:qFormat/>
    <w:uiPriority w:val="0"/>
    <w:rPr>
      <w:rFonts w:ascii="Arial" w:hAnsi="Arial" w:eastAsia="黑体"/>
      <w:b/>
      <w:bCs/>
      <w:sz w:val="32"/>
      <w:szCs w:val="32"/>
    </w:rPr>
  </w:style>
  <w:style w:type="character" w:customStyle="1" w:styleId="99">
    <w:name w:val="标题 1 字符"/>
    <w:link w:val="4"/>
    <w:qFormat/>
    <w:uiPriority w:val="0"/>
    <w:rPr>
      <w:b/>
      <w:bCs/>
      <w:kern w:val="44"/>
      <w:sz w:val="44"/>
      <w:szCs w:val="44"/>
    </w:rPr>
  </w:style>
  <w:style w:type="character" w:customStyle="1" w:styleId="100">
    <w:name w:val="标题 3 字符"/>
    <w:link w:val="6"/>
    <w:qFormat/>
    <w:uiPriority w:val="0"/>
    <w:rPr>
      <w:b/>
      <w:bCs/>
      <w:sz w:val="32"/>
      <w:szCs w:val="32"/>
    </w:rPr>
  </w:style>
  <w:style w:type="character" w:customStyle="1" w:styleId="101">
    <w:name w:val="layui-laypage-curr"/>
    <w:basedOn w:val="28"/>
    <w:qFormat/>
    <w:uiPriority w:val="0"/>
  </w:style>
  <w:style w:type="character" w:customStyle="1" w:styleId="102">
    <w:name w:val="label"/>
    <w:basedOn w:val="28"/>
    <w:qFormat/>
    <w:uiPriority w:val="0"/>
    <w:rPr>
      <w:color w:val="999999"/>
    </w:rPr>
  </w:style>
  <w:style w:type="character" w:customStyle="1" w:styleId="103">
    <w:name w:val="日期 字符"/>
    <w:basedOn w:val="28"/>
    <w:link w:val="16"/>
    <w:qFormat/>
    <w:uiPriority w:val="99"/>
    <w:rPr>
      <w:rFonts w:ascii="楷体_GB2312" w:eastAsia="楷体_GB2312"/>
      <w:color w:val="000000"/>
      <w:sz w:val="32"/>
      <w:szCs w:val="32"/>
    </w:rPr>
  </w:style>
  <w:style w:type="character" w:customStyle="1" w:styleId="104">
    <w:name w:val="16"/>
    <w:basedOn w:val="28"/>
    <w:qFormat/>
    <w:uiPriority w:val="0"/>
    <w:rPr>
      <w:rFonts w:hint="default" w:ascii="Times New Roman" w:hAnsi="Times New Roman" w:cs="Times New Roman"/>
      <w:b/>
      <w:bCs/>
    </w:rPr>
  </w:style>
  <w:style w:type="character" w:customStyle="1" w:styleId="105">
    <w:name w:val="on"/>
    <w:basedOn w:val="28"/>
    <w:qFormat/>
    <w:uiPriority w:val="0"/>
    <w:rPr>
      <w:color w:val="FFFFFF"/>
      <w:shd w:val="clear" w:color="auto" w:fill="2A79D1"/>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03FAFB-E4CF-4D11-BD41-59CD1283BE5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67</Pages>
  <Words>7204</Words>
  <Characters>41066</Characters>
  <Lines>342</Lines>
  <Paragraphs>96</Paragraphs>
  <TotalTime>1</TotalTime>
  <ScaleCrop>false</ScaleCrop>
  <LinksUpToDate>false</LinksUpToDate>
  <CharactersWithSpaces>48174</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2021-08-06T02:27:00Z</dcterms:created>
  <dc:creator>风之客</dc:creator>
  <cp:lastModifiedBy>ying</cp:lastModifiedBy>
  <cp:lastPrinted>2019-09-01T07:55:00Z</cp:lastPrinted>
  <dcterms:modified xsi:type="dcterms:W3CDTF">2021-09-17T07:46:46Z</dcterms:modified>
  <dc:title>湖 北  招 标</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568E8ECE28B546988FF08057BA39DEAE</vt:lpwstr>
  </property>
</Properties>
</file>