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Theme="minorEastAsia" w:hAnsiTheme="minorEastAsia" w:eastAsiaTheme="minorEastAsia" w:cstheme="minorEastAsia"/>
          <w:sz w:val="28"/>
        </w:rPr>
      </w:pPr>
      <w:r>
        <w:rPr>
          <w:rFonts w:hint="eastAsia" w:asciiTheme="minorEastAsia" w:hAnsiTheme="minorEastAsia" w:eastAsiaTheme="minorEastAsia" w:cstheme="minorEastAsia"/>
          <w:sz w:val="30"/>
          <w:szCs w:val="30"/>
        </w:rPr>
        <w:drawing>
          <wp:anchor distT="0" distB="0" distL="114300" distR="114300" simplePos="0" relativeHeight="251660288" behindDoc="0" locked="0" layoutInCell="1" allowOverlap="1">
            <wp:simplePos x="0" y="0"/>
            <wp:positionH relativeFrom="column">
              <wp:posOffset>11430</wp:posOffset>
            </wp:positionH>
            <wp:positionV relativeFrom="paragraph">
              <wp:posOffset>62865</wp:posOffset>
            </wp:positionV>
            <wp:extent cx="1222375" cy="784860"/>
            <wp:effectExtent l="0" t="0" r="15875" b="15240"/>
            <wp:wrapSquare wrapText="bothSides"/>
            <wp:docPr id="3" name="图片 5" descr="背景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背景墙"/>
                    <pic:cNvPicPr>
                      <a:picLocks noChangeAspect="1" noChangeArrowheads="1"/>
                    </pic:cNvPicPr>
                  </pic:nvPicPr>
                  <pic:blipFill>
                    <a:blip r:embed="rId9" cstate="print"/>
                    <a:srcRect/>
                    <a:stretch>
                      <a:fillRect/>
                    </a:stretch>
                  </pic:blipFill>
                  <pic:spPr>
                    <a:xfrm>
                      <a:off x="0" y="0"/>
                      <a:ext cx="1222375" cy="784860"/>
                    </a:xfrm>
                    <a:prstGeom prst="rect">
                      <a:avLst/>
                    </a:prstGeom>
                    <a:noFill/>
                    <a:ln w="9525" cmpd="sng">
                      <a:noFill/>
                      <a:miter lim="800000"/>
                      <a:headEnd/>
                      <a:tailEnd/>
                    </a:ln>
                  </pic:spPr>
                </pic:pic>
              </a:graphicData>
            </a:graphic>
          </wp:anchor>
        </w:drawing>
      </w: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br w:type="textWrapping"/>
      </w:r>
      <w:r>
        <w:rPr>
          <w:rFonts w:hint="eastAsia" w:asciiTheme="minorEastAsia" w:hAnsiTheme="minorEastAsia" w:eastAsiaTheme="minorEastAsia" w:cstheme="minorEastAsia"/>
          <w:sz w:val="28"/>
        </w:rPr>
        <w:br w:type="textWrapping"/>
      </w:r>
    </w:p>
    <w:p>
      <w:pPr>
        <w:pStyle w:val="12"/>
        <w:kinsoku w:val="0"/>
        <w:overflowPunct w:val="0"/>
        <w:spacing w:before="194"/>
        <w:jc w:val="center"/>
        <w:rPr>
          <w:rFonts w:asciiTheme="minorEastAsia" w:hAnsiTheme="minorEastAsia" w:eastAsiaTheme="minorEastAsia" w:cstheme="minorEastAsia"/>
          <w:sz w:val="92"/>
        </w:rPr>
      </w:pPr>
      <w:r>
        <w:rPr>
          <w:rFonts w:hint="eastAsia" w:asciiTheme="minorEastAsia" w:hAnsiTheme="minorEastAsia" w:eastAsiaTheme="minorEastAsia" w:cstheme="minorEastAsia"/>
          <w:sz w:val="92"/>
          <w14:shadow w14:blurRad="50800" w14:dist="38100" w14:dir="2700000" w14:sx="100000" w14:sy="100000" w14:kx="0" w14:ky="0" w14:algn="tl">
            <w14:srgbClr w14:val="000000">
              <w14:alpha w14:val="60000"/>
            </w14:srgbClr>
          </w14:shadow>
        </w:rPr>
        <w:t>竞争性磋商采购文件</w:t>
      </w:r>
    </w:p>
    <w:p>
      <w:pPr>
        <w:pStyle w:val="12"/>
        <w:kinsoku w:val="0"/>
        <w:overflowPunct w:val="0"/>
        <w:rPr>
          <w:rFonts w:asciiTheme="minorEastAsia" w:hAnsiTheme="minorEastAsia" w:eastAsiaTheme="minorEastAsia" w:cstheme="minorEastAsia"/>
          <w:sz w:val="20"/>
        </w:rPr>
      </w:pPr>
    </w:p>
    <w:p>
      <w:pPr>
        <w:pStyle w:val="12"/>
        <w:kinsoku w:val="0"/>
        <w:overflowPunct w:val="0"/>
        <w:jc w:val="center"/>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spacing w:before="2" w:after="1"/>
        <w:rPr>
          <w:rFonts w:asciiTheme="minorEastAsia" w:hAnsiTheme="minorEastAsia" w:eastAsiaTheme="minorEastAsia" w:cstheme="minorEastAsia"/>
          <w:sz w:val="11"/>
        </w:rPr>
      </w:pPr>
    </w:p>
    <w:tbl>
      <w:tblPr>
        <w:tblStyle w:val="26"/>
        <w:tblW w:w="8146" w:type="dxa"/>
        <w:tblInd w:w="690" w:type="dxa"/>
        <w:tblLayout w:type="fixed"/>
        <w:tblCellMar>
          <w:top w:w="0" w:type="dxa"/>
          <w:left w:w="0" w:type="dxa"/>
          <w:bottom w:w="0" w:type="dxa"/>
          <w:right w:w="0" w:type="dxa"/>
        </w:tblCellMar>
      </w:tblPr>
      <w:tblGrid>
        <w:gridCol w:w="2093"/>
        <w:gridCol w:w="6053"/>
      </w:tblGrid>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101"/>
              <w:kinsoku w:val="0"/>
              <w:overflowPunct w:val="0"/>
              <w:spacing w:line="320"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预算执行计划：</w:t>
            </w:r>
          </w:p>
        </w:tc>
        <w:tc>
          <w:tcPr>
            <w:tcW w:w="6053" w:type="dxa"/>
            <w:tcBorders>
              <w:top w:val="nil"/>
              <w:left w:val="nil"/>
              <w:bottom w:val="nil"/>
              <w:right w:val="nil"/>
              <w:tl2br w:val="nil"/>
              <w:tr2bl w:val="nil"/>
            </w:tcBorders>
            <w:vAlign w:val="center"/>
          </w:tcPr>
          <w:p>
            <w:pPr>
              <w:pStyle w:val="101"/>
              <w:kinsoku w:val="0"/>
              <w:overflowPunct w:val="0"/>
              <w:spacing w:line="320" w:lineRule="exact"/>
              <w:ind w:left="55"/>
              <w:rPr>
                <w:rFonts w:hint="default" w:asciiTheme="minorEastAsia" w:hAnsiTheme="minorEastAsia" w:eastAsiaTheme="minorEastAsia" w:cstheme="minorEastAsia"/>
                <w:b/>
                <w:sz w:val="28"/>
                <w:lang w:val="en-US" w:eastAsia="zh-CN"/>
              </w:rPr>
            </w:pPr>
            <w:r>
              <w:rPr>
                <w:rFonts w:hint="eastAsia" w:asciiTheme="minorEastAsia" w:hAnsiTheme="minorEastAsia" w:eastAsiaTheme="minorEastAsia" w:cstheme="minorEastAsia"/>
                <w:b/>
                <w:sz w:val="28"/>
                <w:lang w:val="en-US" w:eastAsia="zh-CN"/>
              </w:rPr>
              <w:t>/</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101"/>
              <w:kinsoku w:val="0"/>
              <w:overflowPunct w:val="0"/>
              <w:spacing w:before="122"/>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 目  编 号：</w:t>
            </w:r>
          </w:p>
        </w:tc>
        <w:tc>
          <w:tcPr>
            <w:tcW w:w="6053" w:type="dxa"/>
            <w:tcBorders>
              <w:top w:val="nil"/>
              <w:left w:val="nil"/>
              <w:bottom w:val="nil"/>
              <w:right w:val="nil"/>
              <w:tl2br w:val="nil"/>
              <w:tr2bl w:val="nil"/>
            </w:tcBorders>
            <w:vAlign w:val="center"/>
          </w:tcPr>
          <w:p>
            <w:pPr>
              <w:pStyle w:val="101"/>
              <w:kinsoku w:val="0"/>
              <w:overflowPunct w:val="0"/>
              <w:spacing w:before="122"/>
              <w:ind w:left="55"/>
              <w:rPr>
                <w:rFonts w:hint="eastAsia" w:asciiTheme="minorEastAsia" w:hAnsiTheme="minorEastAsia" w:eastAsiaTheme="minorEastAsia" w:cstheme="minorEastAsia"/>
                <w:b/>
                <w:sz w:val="28"/>
                <w:lang w:eastAsia="zh-CN"/>
              </w:rPr>
            </w:pPr>
            <w:r>
              <w:rPr>
                <w:rFonts w:hint="eastAsia" w:asciiTheme="minorEastAsia" w:hAnsiTheme="minorEastAsia" w:eastAsiaTheme="minorEastAsia" w:cstheme="minorEastAsia"/>
                <w:b/>
                <w:sz w:val="28"/>
                <w:lang w:eastAsia="zh-CN"/>
              </w:rPr>
              <w:t>HGDXW21-101</w:t>
            </w:r>
            <w:r>
              <w:rPr>
                <w:rFonts w:hint="eastAsia" w:asciiTheme="minorEastAsia" w:hAnsiTheme="minorEastAsia" w:eastAsiaTheme="minorEastAsia" w:cstheme="minorEastAsia"/>
                <w:b/>
                <w:sz w:val="28"/>
                <w:lang w:val="en-US" w:eastAsia="zh-CN"/>
              </w:rPr>
              <w:t>/</w:t>
            </w:r>
            <w:r>
              <w:rPr>
                <w:rFonts w:hint="eastAsia" w:asciiTheme="minorEastAsia" w:hAnsiTheme="minorEastAsia" w:eastAsiaTheme="minorEastAsia" w:cstheme="minorEastAsia"/>
                <w:b/>
                <w:sz w:val="28"/>
                <w:lang w:eastAsia="zh-CN"/>
              </w:rPr>
              <w:t>ZJZB-202110-292</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101"/>
              <w:kinsoku w:val="0"/>
              <w:overflowPunct w:val="0"/>
              <w:spacing w:before="123"/>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 目  名 称：</w:t>
            </w:r>
          </w:p>
        </w:tc>
        <w:tc>
          <w:tcPr>
            <w:tcW w:w="6053" w:type="dxa"/>
            <w:tcBorders>
              <w:top w:val="nil"/>
              <w:left w:val="nil"/>
              <w:bottom w:val="nil"/>
              <w:right w:val="nil"/>
              <w:tl2br w:val="nil"/>
              <w:tr2bl w:val="nil"/>
            </w:tcBorders>
            <w:vAlign w:val="center"/>
          </w:tcPr>
          <w:p>
            <w:pPr>
              <w:pStyle w:val="101"/>
              <w:kinsoku w:val="0"/>
              <w:overflowPunct w:val="0"/>
              <w:spacing w:before="123" w:line="242" w:lineRule="auto"/>
              <w:ind w:left="55" w:right="136"/>
              <w:rPr>
                <w:rFonts w:hint="eastAsia" w:asciiTheme="minorEastAsia" w:hAnsiTheme="minorEastAsia" w:eastAsiaTheme="minorEastAsia" w:cstheme="minorEastAsia"/>
                <w:b/>
                <w:sz w:val="28"/>
                <w:lang w:eastAsia="zh-CN"/>
              </w:rPr>
            </w:pPr>
            <w:r>
              <w:rPr>
                <w:rFonts w:hint="eastAsia" w:asciiTheme="minorEastAsia" w:hAnsiTheme="minorEastAsia" w:eastAsiaTheme="minorEastAsia" w:cstheme="minorEastAsia"/>
                <w:b/>
                <w:sz w:val="28"/>
                <w:lang w:eastAsia="zh-CN"/>
              </w:rPr>
              <w:t>湖北工业大学人工智能教学管理及实验环境平台建设项目</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101"/>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方 式：</w:t>
            </w:r>
          </w:p>
        </w:tc>
        <w:tc>
          <w:tcPr>
            <w:tcW w:w="6053" w:type="dxa"/>
            <w:tcBorders>
              <w:top w:val="nil"/>
              <w:left w:val="nil"/>
              <w:bottom w:val="nil"/>
              <w:right w:val="nil"/>
              <w:tl2br w:val="nil"/>
              <w:tr2bl w:val="nil"/>
            </w:tcBorders>
            <w:vAlign w:val="center"/>
          </w:tcPr>
          <w:p>
            <w:pPr>
              <w:pStyle w:val="101"/>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竞争性磋商</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101"/>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类 别：</w:t>
            </w:r>
          </w:p>
        </w:tc>
        <w:tc>
          <w:tcPr>
            <w:tcW w:w="6053" w:type="dxa"/>
            <w:tcBorders>
              <w:top w:val="nil"/>
              <w:left w:val="nil"/>
              <w:bottom w:val="nil"/>
              <w:right w:val="nil"/>
              <w:tl2br w:val="nil"/>
              <w:tr2bl w:val="nil"/>
            </w:tcBorders>
            <w:vAlign w:val="center"/>
          </w:tcPr>
          <w:p>
            <w:pPr>
              <w:pStyle w:val="101"/>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货物</w:t>
            </w:r>
          </w:p>
        </w:tc>
      </w:tr>
    </w:tbl>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spacing w:before="4"/>
        <w:rPr>
          <w:rFonts w:asciiTheme="minorEastAsia" w:hAnsiTheme="minorEastAsia" w:eastAsiaTheme="minorEastAsia" w:cstheme="minorEastAsia"/>
          <w:sz w:val="20"/>
        </w:rPr>
      </w:pPr>
    </w:p>
    <w:tbl>
      <w:tblPr>
        <w:tblStyle w:val="26"/>
        <w:tblW w:w="8123" w:type="dxa"/>
        <w:tblInd w:w="713" w:type="dxa"/>
        <w:tblLayout w:type="fixed"/>
        <w:tblCellMar>
          <w:top w:w="0" w:type="dxa"/>
          <w:left w:w="0" w:type="dxa"/>
          <w:bottom w:w="0" w:type="dxa"/>
          <w:right w:w="0" w:type="dxa"/>
        </w:tblCellMar>
      </w:tblPr>
      <w:tblGrid>
        <w:gridCol w:w="2041"/>
        <w:gridCol w:w="6082"/>
      </w:tblGrid>
      <w:tr>
        <w:tblPrEx>
          <w:tblCellMar>
            <w:top w:w="0" w:type="dxa"/>
            <w:left w:w="0" w:type="dxa"/>
            <w:bottom w:w="0" w:type="dxa"/>
            <w:right w:w="0" w:type="dxa"/>
          </w:tblCellMar>
        </w:tblPrEx>
        <w:trPr>
          <w:trHeight w:val="441" w:hRule="atLeast"/>
        </w:trPr>
        <w:tc>
          <w:tcPr>
            <w:tcW w:w="2041" w:type="dxa"/>
            <w:tcBorders>
              <w:top w:val="nil"/>
              <w:left w:val="nil"/>
              <w:bottom w:val="nil"/>
              <w:right w:val="nil"/>
              <w:tl2br w:val="nil"/>
              <w:tr2bl w:val="nil"/>
            </w:tcBorders>
            <w:vAlign w:val="center"/>
          </w:tcPr>
          <w:p>
            <w:pPr>
              <w:pStyle w:val="101"/>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人：</w:t>
            </w:r>
          </w:p>
        </w:tc>
        <w:tc>
          <w:tcPr>
            <w:tcW w:w="6082" w:type="dxa"/>
            <w:tcBorders>
              <w:top w:val="nil"/>
              <w:left w:val="nil"/>
              <w:bottom w:val="nil"/>
              <w:right w:val="nil"/>
              <w:tl2br w:val="nil"/>
              <w:tr2bl w:val="nil"/>
            </w:tcBorders>
            <w:vAlign w:val="center"/>
          </w:tcPr>
          <w:p>
            <w:pPr>
              <w:pStyle w:val="101"/>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w:t>
            </w:r>
          </w:p>
        </w:tc>
      </w:tr>
      <w:tr>
        <w:tblPrEx>
          <w:tblCellMar>
            <w:top w:w="0" w:type="dxa"/>
            <w:left w:w="0" w:type="dxa"/>
            <w:bottom w:w="0" w:type="dxa"/>
            <w:right w:w="0" w:type="dxa"/>
          </w:tblCellMar>
        </w:tblPrEx>
        <w:trPr>
          <w:trHeight w:val="603" w:hRule="atLeast"/>
        </w:trPr>
        <w:tc>
          <w:tcPr>
            <w:tcW w:w="2041" w:type="dxa"/>
            <w:tcBorders>
              <w:top w:val="nil"/>
              <w:left w:val="nil"/>
              <w:bottom w:val="nil"/>
              <w:right w:val="nil"/>
              <w:tl2br w:val="nil"/>
              <w:tr2bl w:val="nil"/>
            </w:tcBorders>
            <w:vAlign w:val="center"/>
          </w:tcPr>
          <w:p>
            <w:pPr>
              <w:pStyle w:val="101"/>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采购代理机构：</w:t>
            </w:r>
          </w:p>
        </w:tc>
        <w:tc>
          <w:tcPr>
            <w:tcW w:w="6082" w:type="dxa"/>
            <w:tcBorders>
              <w:top w:val="nil"/>
              <w:left w:val="nil"/>
              <w:bottom w:val="nil"/>
              <w:right w:val="nil"/>
              <w:tl2br w:val="nil"/>
              <w:tr2bl w:val="nil"/>
            </w:tcBorders>
            <w:vAlign w:val="center"/>
          </w:tcPr>
          <w:p>
            <w:pPr>
              <w:pStyle w:val="101"/>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中经国际招标集团有限公司</w:t>
            </w:r>
          </w:p>
        </w:tc>
      </w:tr>
      <w:tr>
        <w:tblPrEx>
          <w:tblCellMar>
            <w:top w:w="0" w:type="dxa"/>
            <w:left w:w="0" w:type="dxa"/>
            <w:bottom w:w="0" w:type="dxa"/>
            <w:right w:w="0" w:type="dxa"/>
          </w:tblCellMar>
        </w:tblPrEx>
        <w:trPr>
          <w:trHeight w:val="442" w:hRule="atLeast"/>
        </w:trPr>
        <w:tc>
          <w:tcPr>
            <w:tcW w:w="2041" w:type="dxa"/>
            <w:tcBorders>
              <w:top w:val="nil"/>
              <w:left w:val="nil"/>
              <w:bottom w:val="nil"/>
              <w:right w:val="nil"/>
              <w:tl2br w:val="nil"/>
              <w:tr2bl w:val="nil"/>
            </w:tcBorders>
            <w:vAlign w:val="center"/>
          </w:tcPr>
          <w:p>
            <w:pPr>
              <w:pStyle w:val="101"/>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编 制 时 间 ：</w:t>
            </w:r>
          </w:p>
        </w:tc>
        <w:tc>
          <w:tcPr>
            <w:tcW w:w="6082" w:type="dxa"/>
            <w:tcBorders>
              <w:top w:val="nil"/>
              <w:left w:val="nil"/>
              <w:bottom w:val="nil"/>
              <w:right w:val="nil"/>
              <w:tl2br w:val="nil"/>
              <w:tr2bl w:val="nil"/>
            </w:tcBorders>
            <w:vAlign w:val="center"/>
          </w:tcPr>
          <w:p>
            <w:pPr>
              <w:pStyle w:val="101"/>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2021年</w:t>
            </w:r>
            <w:r>
              <w:rPr>
                <w:rFonts w:hint="eastAsia" w:asciiTheme="minorEastAsia" w:hAnsiTheme="minorEastAsia" w:eastAsiaTheme="minorEastAsia" w:cstheme="minorEastAsia"/>
                <w:b/>
                <w:sz w:val="28"/>
                <w:lang w:val="en-US" w:eastAsia="zh-CN"/>
              </w:rPr>
              <w:t>11</w:t>
            </w:r>
            <w:r>
              <w:rPr>
                <w:rFonts w:asciiTheme="minorEastAsia" w:hAnsiTheme="minorEastAsia" w:eastAsiaTheme="minorEastAsia" w:cstheme="minorEastAsia"/>
                <w:b/>
                <w:sz w:val="28"/>
              </w:rPr>
              <w:t>月</w:t>
            </w:r>
          </w:p>
        </w:tc>
      </w:tr>
    </w:tbl>
    <w:p>
      <w:pPr>
        <w:rPr>
          <w:rFonts w:asciiTheme="minorEastAsia" w:hAnsiTheme="minorEastAsia" w:eastAsiaTheme="minorEastAsia" w:cstheme="minorEastAsia"/>
          <w:sz w:val="20"/>
        </w:rPr>
        <w:sectPr>
          <w:type w:val="continuous"/>
          <w:pgSz w:w="11910" w:h="16840"/>
          <w:pgMar w:top="1400" w:right="1200" w:bottom="280" w:left="1200" w:header="720" w:footer="720" w:gutter="0"/>
          <w:cols w:space="720" w:num="1"/>
        </w:sectPr>
      </w:pPr>
    </w:p>
    <w:p>
      <w:pPr>
        <w:tabs>
          <w:tab w:val="center" w:pos="4597"/>
          <w:tab w:val="left" w:pos="6772"/>
        </w:tabs>
        <w:spacing w:line="360" w:lineRule="auto"/>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 w:val="44"/>
          <w:szCs w:val="44"/>
          <w:lang w:val="zh-CN"/>
        </w:rPr>
        <w:tab/>
      </w:r>
      <w:r>
        <w:rPr>
          <w:rFonts w:hint="eastAsia" w:asciiTheme="minorEastAsia" w:hAnsiTheme="minorEastAsia" w:eastAsiaTheme="minorEastAsia" w:cstheme="minorEastAsia"/>
          <w:b/>
          <w:bCs/>
          <w:sz w:val="24"/>
          <w:lang w:val="zh-CN"/>
        </w:rPr>
        <w:t>目  录</w:t>
      </w:r>
      <w:r>
        <w:rPr>
          <w:rFonts w:hint="eastAsia" w:asciiTheme="minorEastAsia" w:hAnsiTheme="minorEastAsia" w:eastAsiaTheme="minorEastAsia" w:cstheme="minorEastAsia"/>
          <w:b/>
          <w:bCs/>
          <w:szCs w:val="21"/>
          <w:lang w:val="zh-CN"/>
        </w:rPr>
        <w:tab/>
      </w:r>
    </w:p>
    <w:p>
      <w:pPr>
        <w:pStyle w:val="20"/>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TOC \o "1-3" \h \z \u </w:instrText>
      </w:r>
      <w:r>
        <w:rPr>
          <w:rFonts w:hint="eastAsia" w:asciiTheme="minorEastAsia" w:hAnsiTheme="minorEastAsia" w:eastAsiaTheme="minorEastAsia" w:cstheme="minorEastAsia"/>
          <w:szCs w:val="21"/>
        </w:rPr>
        <w:fldChar w:fldCharType="separate"/>
      </w:r>
      <w:r>
        <w:fldChar w:fldCharType="begin"/>
      </w:r>
      <w:r>
        <w:instrText xml:space="preserve"> HYPERLINK \l "_Toc25194" </w:instrText>
      </w:r>
      <w:r>
        <w:fldChar w:fldCharType="separate"/>
      </w:r>
      <w:r>
        <w:rPr>
          <w:bCs/>
          <w:szCs w:val="36"/>
        </w:rPr>
        <w:t xml:space="preserve">第一章 </w:t>
      </w:r>
      <w:r>
        <w:rPr>
          <w:rFonts w:hint="eastAsia" w:ascii="宋体" w:hAnsi="宋体" w:cs="宋体"/>
          <w:szCs w:val="36"/>
        </w:rPr>
        <w:t>竞争性磋商公告</w:t>
      </w:r>
      <w:r>
        <w:tab/>
      </w:r>
      <w:r>
        <w:fldChar w:fldCharType="begin"/>
      </w:r>
      <w:r>
        <w:instrText xml:space="preserve"> PAGEREF _Toc25194 </w:instrText>
      </w:r>
      <w:r>
        <w:fldChar w:fldCharType="separate"/>
      </w:r>
      <w:r>
        <w:t>5</w:t>
      </w:r>
      <w:r>
        <w:fldChar w:fldCharType="end"/>
      </w:r>
      <w:r>
        <w:fldChar w:fldCharType="end"/>
      </w:r>
    </w:p>
    <w:p>
      <w:pPr>
        <w:pStyle w:val="22"/>
        <w:tabs>
          <w:tab w:val="right" w:leader="dot" w:pos="9072"/>
        </w:tabs>
        <w:spacing w:line="360" w:lineRule="auto"/>
      </w:pPr>
      <w:r>
        <w:fldChar w:fldCharType="begin"/>
      </w:r>
      <w:r>
        <w:instrText xml:space="preserve"> HYPERLINK \l "_Toc29388" </w:instrText>
      </w:r>
      <w:r>
        <w:fldChar w:fldCharType="separate"/>
      </w:r>
      <w:r>
        <w:rPr>
          <w:rFonts w:hint="eastAsia" w:ascii="宋体" w:hAnsi="宋体" w:cs="宋体"/>
          <w:szCs w:val="21"/>
        </w:rPr>
        <w:t>一、 项目基本情况</w:t>
      </w:r>
      <w:r>
        <w:tab/>
      </w:r>
      <w:r>
        <w:fldChar w:fldCharType="begin"/>
      </w:r>
      <w:r>
        <w:instrText xml:space="preserve"> PAGEREF _Toc29388 </w:instrText>
      </w:r>
      <w:r>
        <w:fldChar w:fldCharType="separate"/>
      </w:r>
      <w:r>
        <w:t>5</w:t>
      </w:r>
      <w:r>
        <w:fldChar w:fldCharType="end"/>
      </w:r>
      <w:r>
        <w:fldChar w:fldCharType="end"/>
      </w:r>
    </w:p>
    <w:p>
      <w:pPr>
        <w:pStyle w:val="22"/>
        <w:tabs>
          <w:tab w:val="right" w:leader="dot" w:pos="9072"/>
        </w:tabs>
        <w:spacing w:line="360" w:lineRule="auto"/>
      </w:pPr>
      <w:r>
        <w:fldChar w:fldCharType="begin"/>
      </w:r>
      <w:r>
        <w:instrText xml:space="preserve"> HYPERLINK \l "_Toc32323" </w:instrText>
      </w:r>
      <w:r>
        <w:fldChar w:fldCharType="separate"/>
      </w:r>
      <w:r>
        <w:rPr>
          <w:rFonts w:hint="eastAsia" w:ascii="宋体" w:hAnsi="宋体" w:cs="宋体"/>
          <w:szCs w:val="21"/>
        </w:rPr>
        <w:t>二、 申请人的资格要求</w:t>
      </w:r>
      <w:r>
        <w:tab/>
      </w:r>
      <w:r>
        <w:fldChar w:fldCharType="begin"/>
      </w:r>
      <w:r>
        <w:instrText xml:space="preserve"> PAGEREF _Toc32323 </w:instrText>
      </w:r>
      <w:r>
        <w:fldChar w:fldCharType="separate"/>
      </w:r>
      <w:r>
        <w:t>5</w:t>
      </w:r>
      <w:r>
        <w:fldChar w:fldCharType="end"/>
      </w:r>
      <w:r>
        <w:fldChar w:fldCharType="end"/>
      </w:r>
    </w:p>
    <w:p>
      <w:pPr>
        <w:pStyle w:val="22"/>
        <w:tabs>
          <w:tab w:val="right" w:leader="dot" w:pos="9072"/>
        </w:tabs>
        <w:spacing w:line="360" w:lineRule="auto"/>
      </w:pPr>
      <w:r>
        <w:fldChar w:fldCharType="begin"/>
      </w:r>
      <w:r>
        <w:instrText xml:space="preserve"> HYPERLINK \l "_Toc31037" </w:instrText>
      </w:r>
      <w:r>
        <w:fldChar w:fldCharType="separate"/>
      </w:r>
      <w:r>
        <w:rPr>
          <w:rFonts w:hint="eastAsia" w:ascii="宋体" w:hAnsi="宋体" w:cs="宋体"/>
          <w:szCs w:val="21"/>
        </w:rPr>
        <w:t>三、 获取采购文件</w:t>
      </w:r>
      <w:r>
        <w:tab/>
      </w:r>
      <w:r>
        <w:fldChar w:fldCharType="begin"/>
      </w:r>
      <w:r>
        <w:instrText xml:space="preserve"> PAGEREF _Toc31037 </w:instrText>
      </w:r>
      <w:r>
        <w:fldChar w:fldCharType="separate"/>
      </w:r>
      <w:r>
        <w:t>6</w:t>
      </w:r>
      <w:r>
        <w:fldChar w:fldCharType="end"/>
      </w:r>
      <w:r>
        <w:fldChar w:fldCharType="end"/>
      </w:r>
    </w:p>
    <w:p>
      <w:pPr>
        <w:pStyle w:val="22"/>
        <w:tabs>
          <w:tab w:val="right" w:leader="dot" w:pos="9072"/>
        </w:tabs>
        <w:spacing w:line="360" w:lineRule="auto"/>
      </w:pPr>
      <w:r>
        <w:fldChar w:fldCharType="begin"/>
      </w:r>
      <w:r>
        <w:instrText xml:space="preserve"> HYPERLINK \l "_Toc30368" </w:instrText>
      </w:r>
      <w:r>
        <w:fldChar w:fldCharType="separate"/>
      </w:r>
      <w:r>
        <w:rPr>
          <w:rFonts w:hint="eastAsia" w:ascii="宋体" w:hAnsi="宋体" w:cs="宋体"/>
          <w:szCs w:val="21"/>
        </w:rPr>
        <w:t>四、 响应文件提交</w:t>
      </w:r>
      <w:r>
        <w:tab/>
      </w:r>
      <w:r>
        <w:fldChar w:fldCharType="begin"/>
      </w:r>
      <w:r>
        <w:instrText xml:space="preserve"> PAGEREF _Toc30368 </w:instrText>
      </w:r>
      <w:r>
        <w:fldChar w:fldCharType="separate"/>
      </w:r>
      <w:r>
        <w:t>6</w:t>
      </w:r>
      <w:r>
        <w:fldChar w:fldCharType="end"/>
      </w:r>
      <w:r>
        <w:fldChar w:fldCharType="end"/>
      </w:r>
    </w:p>
    <w:p>
      <w:pPr>
        <w:pStyle w:val="22"/>
        <w:tabs>
          <w:tab w:val="right" w:leader="dot" w:pos="9072"/>
        </w:tabs>
        <w:spacing w:line="360" w:lineRule="auto"/>
      </w:pPr>
      <w:r>
        <w:fldChar w:fldCharType="begin"/>
      </w:r>
      <w:r>
        <w:instrText xml:space="preserve"> HYPERLINK \l "_Toc8237" </w:instrText>
      </w:r>
      <w:r>
        <w:fldChar w:fldCharType="separate"/>
      </w:r>
      <w:r>
        <w:rPr>
          <w:rFonts w:hint="eastAsia"/>
          <w:szCs w:val="21"/>
        </w:rPr>
        <w:t xml:space="preserve">五、 </w:t>
      </w:r>
      <w:r>
        <w:rPr>
          <w:rFonts w:hint="eastAsia" w:ascii="宋体" w:hAnsi="宋体" w:cs="宋体"/>
          <w:szCs w:val="21"/>
        </w:rPr>
        <w:t>开启</w:t>
      </w:r>
      <w:r>
        <w:tab/>
      </w:r>
      <w:r>
        <w:fldChar w:fldCharType="begin"/>
      </w:r>
      <w:r>
        <w:instrText xml:space="preserve"> PAGEREF _Toc8237 </w:instrText>
      </w:r>
      <w:r>
        <w:fldChar w:fldCharType="separate"/>
      </w:r>
      <w:r>
        <w:t>7</w:t>
      </w:r>
      <w:r>
        <w:fldChar w:fldCharType="end"/>
      </w:r>
      <w:r>
        <w:fldChar w:fldCharType="end"/>
      </w:r>
    </w:p>
    <w:p>
      <w:pPr>
        <w:pStyle w:val="22"/>
        <w:tabs>
          <w:tab w:val="right" w:leader="dot" w:pos="9072"/>
        </w:tabs>
        <w:spacing w:line="360" w:lineRule="auto"/>
      </w:pPr>
      <w:r>
        <w:fldChar w:fldCharType="begin"/>
      </w:r>
      <w:r>
        <w:instrText xml:space="preserve"> HYPERLINK \l "_Toc14422" </w:instrText>
      </w:r>
      <w:r>
        <w:fldChar w:fldCharType="separate"/>
      </w:r>
      <w:r>
        <w:rPr>
          <w:rFonts w:hint="eastAsia" w:ascii="宋体" w:hAnsi="宋体" w:cs="宋体"/>
          <w:szCs w:val="21"/>
        </w:rPr>
        <w:t>六、 公告期限</w:t>
      </w:r>
      <w:r>
        <w:tab/>
      </w:r>
      <w:r>
        <w:fldChar w:fldCharType="begin"/>
      </w:r>
      <w:r>
        <w:instrText xml:space="preserve"> PAGEREF _Toc14422 </w:instrText>
      </w:r>
      <w:r>
        <w:fldChar w:fldCharType="separate"/>
      </w:r>
      <w:r>
        <w:t>7</w:t>
      </w:r>
      <w:r>
        <w:fldChar w:fldCharType="end"/>
      </w:r>
      <w:r>
        <w:fldChar w:fldCharType="end"/>
      </w:r>
    </w:p>
    <w:p>
      <w:pPr>
        <w:pStyle w:val="22"/>
        <w:tabs>
          <w:tab w:val="right" w:leader="dot" w:pos="9072"/>
        </w:tabs>
        <w:spacing w:line="360" w:lineRule="auto"/>
      </w:pPr>
      <w:r>
        <w:fldChar w:fldCharType="begin"/>
      </w:r>
      <w:r>
        <w:instrText xml:space="preserve"> HYPERLINK \l "_Toc925" </w:instrText>
      </w:r>
      <w:r>
        <w:fldChar w:fldCharType="separate"/>
      </w:r>
      <w:r>
        <w:rPr>
          <w:rFonts w:hint="eastAsia" w:ascii="宋体" w:hAnsi="宋体" w:cs="宋体"/>
          <w:szCs w:val="21"/>
        </w:rPr>
        <w:t>七、 其他补充事宜</w:t>
      </w:r>
      <w:r>
        <w:tab/>
      </w:r>
      <w:r>
        <w:fldChar w:fldCharType="begin"/>
      </w:r>
      <w:r>
        <w:instrText xml:space="preserve"> PAGEREF _Toc925 </w:instrText>
      </w:r>
      <w:r>
        <w:fldChar w:fldCharType="separate"/>
      </w:r>
      <w:r>
        <w:t>7</w:t>
      </w:r>
      <w:r>
        <w:fldChar w:fldCharType="end"/>
      </w:r>
      <w:r>
        <w:fldChar w:fldCharType="end"/>
      </w:r>
    </w:p>
    <w:p>
      <w:pPr>
        <w:pStyle w:val="22"/>
        <w:tabs>
          <w:tab w:val="right" w:leader="dot" w:pos="9072"/>
        </w:tabs>
        <w:spacing w:line="360" w:lineRule="auto"/>
      </w:pPr>
      <w:r>
        <w:fldChar w:fldCharType="begin"/>
      </w:r>
      <w:r>
        <w:instrText xml:space="preserve"> HYPERLINK \l "_Toc12269" </w:instrText>
      </w:r>
      <w:r>
        <w:fldChar w:fldCharType="separate"/>
      </w:r>
      <w:r>
        <w:rPr>
          <w:rFonts w:hint="eastAsia" w:ascii="宋体" w:hAnsi="宋体" w:cs="宋体"/>
          <w:szCs w:val="21"/>
        </w:rPr>
        <w:t>八、 凡对本次采购提出询问，请按以下方式联系</w:t>
      </w:r>
      <w:r>
        <w:tab/>
      </w:r>
      <w:r>
        <w:fldChar w:fldCharType="begin"/>
      </w:r>
      <w:r>
        <w:instrText xml:space="preserve"> PAGEREF _Toc12269 </w:instrText>
      </w:r>
      <w:r>
        <w:fldChar w:fldCharType="separate"/>
      </w:r>
      <w:r>
        <w:t>7</w:t>
      </w:r>
      <w:r>
        <w:fldChar w:fldCharType="end"/>
      </w:r>
      <w:r>
        <w:fldChar w:fldCharType="end"/>
      </w:r>
    </w:p>
    <w:p>
      <w:pPr>
        <w:pStyle w:val="22"/>
        <w:tabs>
          <w:tab w:val="right" w:leader="dot" w:pos="9072"/>
        </w:tabs>
        <w:spacing w:line="360" w:lineRule="auto"/>
      </w:pPr>
      <w:r>
        <w:fldChar w:fldCharType="begin"/>
      </w:r>
      <w:r>
        <w:instrText xml:space="preserve"> HYPERLINK \l "_Toc25662" </w:instrText>
      </w:r>
      <w:r>
        <w:fldChar w:fldCharType="separate"/>
      </w:r>
      <w:r>
        <w:rPr>
          <w:rFonts w:hint="eastAsia" w:asciiTheme="minorEastAsia" w:hAnsiTheme="minorEastAsia" w:eastAsiaTheme="minorEastAsia" w:cstheme="minorEastAsia"/>
          <w:szCs w:val="21"/>
        </w:rPr>
        <w:t>九、 注意事项</w:t>
      </w:r>
      <w:r>
        <w:tab/>
      </w:r>
      <w:r>
        <w:fldChar w:fldCharType="begin"/>
      </w:r>
      <w:r>
        <w:instrText xml:space="preserve"> PAGEREF _Toc25662 </w:instrText>
      </w:r>
      <w:r>
        <w:fldChar w:fldCharType="separate"/>
      </w:r>
      <w:r>
        <w:t>8</w:t>
      </w:r>
      <w:r>
        <w:fldChar w:fldCharType="end"/>
      </w:r>
      <w:r>
        <w:fldChar w:fldCharType="end"/>
      </w:r>
    </w:p>
    <w:p>
      <w:pPr>
        <w:pStyle w:val="20"/>
        <w:tabs>
          <w:tab w:val="right" w:leader="dot" w:pos="9072"/>
        </w:tabs>
        <w:spacing w:line="360" w:lineRule="auto"/>
      </w:pPr>
      <w:r>
        <w:fldChar w:fldCharType="begin"/>
      </w:r>
      <w:r>
        <w:instrText xml:space="preserve"> HYPERLINK \l "_Toc12411" </w:instrText>
      </w:r>
      <w:r>
        <w:fldChar w:fldCharType="separate"/>
      </w:r>
      <w:r>
        <w:rPr>
          <w:rFonts w:asciiTheme="minorEastAsia" w:hAnsiTheme="minorEastAsia" w:eastAsiaTheme="minorEastAsia" w:cstheme="minorEastAsia"/>
          <w:szCs w:val="36"/>
        </w:rPr>
        <w:t xml:space="preserve">第二章 </w:t>
      </w:r>
      <w:r>
        <w:rPr>
          <w:rFonts w:hint="eastAsia" w:asciiTheme="minorEastAsia" w:hAnsiTheme="minorEastAsia" w:eastAsiaTheme="minorEastAsia" w:cstheme="minorEastAsia"/>
          <w:szCs w:val="36"/>
        </w:rPr>
        <w:t>供应商须知</w:t>
      </w:r>
      <w:r>
        <w:tab/>
      </w:r>
      <w:r>
        <w:fldChar w:fldCharType="begin"/>
      </w:r>
      <w:r>
        <w:instrText xml:space="preserve"> PAGEREF _Toc12411 </w:instrText>
      </w:r>
      <w:r>
        <w:fldChar w:fldCharType="separate"/>
      </w:r>
      <w:r>
        <w:t>9</w:t>
      </w:r>
      <w:r>
        <w:fldChar w:fldCharType="end"/>
      </w:r>
      <w:r>
        <w:fldChar w:fldCharType="end"/>
      </w:r>
    </w:p>
    <w:p>
      <w:pPr>
        <w:pStyle w:val="22"/>
        <w:tabs>
          <w:tab w:val="right" w:leader="dot" w:pos="9072"/>
        </w:tabs>
        <w:spacing w:line="360" w:lineRule="auto"/>
      </w:pPr>
      <w:r>
        <w:fldChar w:fldCharType="begin"/>
      </w:r>
      <w:r>
        <w:instrText xml:space="preserve"> HYPERLINK \l "_Toc4456" </w:instrText>
      </w:r>
      <w:r>
        <w:fldChar w:fldCharType="separate"/>
      </w:r>
      <w:r>
        <w:rPr>
          <w:rFonts w:hint="eastAsia" w:asciiTheme="minorEastAsia" w:hAnsiTheme="minorEastAsia" w:eastAsiaTheme="minorEastAsia" w:cstheme="minorEastAsia"/>
          <w:szCs w:val="21"/>
        </w:rPr>
        <w:t>《供应商须知前附表》</w:t>
      </w:r>
      <w:r>
        <w:tab/>
      </w:r>
      <w:r>
        <w:fldChar w:fldCharType="begin"/>
      </w:r>
      <w:r>
        <w:instrText xml:space="preserve"> PAGEREF _Toc4456 </w:instrText>
      </w:r>
      <w:r>
        <w:fldChar w:fldCharType="separate"/>
      </w:r>
      <w:r>
        <w:t>9</w:t>
      </w:r>
      <w:r>
        <w:fldChar w:fldCharType="end"/>
      </w:r>
      <w:r>
        <w:fldChar w:fldCharType="end"/>
      </w:r>
    </w:p>
    <w:p>
      <w:pPr>
        <w:pStyle w:val="22"/>
        <w:tabs>
          <w:tab w:val="right" w:leader="dot" w:pos="9072"/>
        </w:tabs>
        <w:spacing w:line="360" w:lineRule="auto"/>
      </w:pPr>
      <w:r>
        <w:fldChar w:fldCharType="begin"/>
      </w:r>
      <w:r>
        <w:instrText xml:space="preserve"> HYPERLINK \l "_Toc23075" </w:instrText>
      </w:r>
      <w:r>
        <w:fldChar w:fldCharType="separate"/>
      </w:r>
      <w:r>
        <w:rPr>
          <w:rFonts w:hint="eastAsia" w:asciiTheme="minorEastAsia" w:hAnsiTheme="minorEastAsia" w:eastAsiaTheme="minorEastAsia" w:cstheme="minorEastAsia"/>
          <w:szCs w:val="21"/>
        </w:rPr>
        <w:t>供应商须知</w:t>
      </w:r>
      <w:r>
        <w:tab/>
      </w:r>
      <w:r>
        <w:fldChar w:fldCharType="begin"/>
      </w:r>
      <w:r>
        <w:instrText xml:space="preserve"> PAGEREF _Toc23075 </w:instrText>
      </w:r>
      <w:r>
        <w:fldChar w:fldCharType="separate"/>
      </w:r>
      <w:r>
        <w:t>12</w:t>
      </w:r>
      <w:r>
        <w:fldChar w:fldCharType="end"/>
      </w:r>
      <w:r>
        <w:fldChar w:fldCharType="end"/>
      </w:r>
    </w:p>
    <w:p>
      <w:pPr>
        <w:pStyle w:val="22"/>
        <w:tabs>
          <w:tab w:val="right" w:leader="dot" w:pos="9072"/>
        </w:tabs>
        <w:spacing w:line="360" w:lineRule="auto"/>
      </w:pPr>
      <w:r>
        <w:fldChar w:fldCharType="begin"/>
      </w:r>
      <w:r>
        <w:instrText xml:space="preserve"> HYPERLINK \l "_Toc18457" </w:instrText>
      </w:r>
      <w:r>
        <w:fldChar w:fldCharType="separate"/>
      </w:r>
      <w:r>
        <w:rPr>
          <w:rFonts w:asciiTheme="minorEastAsia" w:hAnsiTheme="minorEastAsia" w:eastAsiaTheme="minorEastAsia" w:cstheme="minorEastAsia"/>
          <w:szCs w:val="21"/>
        </w:rPr>
        <w:t xml:space="preserve">一、 </w:t>
      </w:r>
      <w:r>
        <w:rPr>
          <w:rFonts w:hint="eastAsia" w:asciiTheme="minorEastAsia" w:hAnsiTheme="minorEastAsia" w:eastAsiaTheme="minorEastAsia" w:cstheme="minorEastAsia"/>
          <w:szCs w:val="21"/>
        </w:rPr>
        <w:t>总则</w:t>
      </w:r>
      <w:r>
        <w:tab/>
      </w:r>
      <w:r>
        <w:fldChar w:fldCharType="begin"/>
      </w:r>
      <w:r>
        <w:instrText xml:space="preserve"> PAGEREF _Toc18457 </w:instrText>
      </w:r>
      <w:r>
        <w:fldChar w:fldCharType="separate"/>
      </w:r>
      <w:r>
        <w:t>12</w:t>
      </w:r>
      <w:r>
        <w:fldChar w:fldCharType="end"/>
      </w:r>
      <w:r>
        <w:fldChar w:fldCharType="end"/>
      </w:r>
    </w:p>
    <w:p>
      <w:pPr>
        <w:pStyle w:val="22"/>
        <w:tabs>
          <w:tab w:val="right" w:leader="dot" w:pos="9072"/>
        </w:tabs>
        <w:spacing w:line="360" w:lineRule="auto"/>
      </w:pPr>
      <w:r>
        <w:fldChar w:fldCharType="begin"/>
      </w:r>
      <w:r>
        <w:instrText xml:space="preserve"> HYPERLINK \l "_Toc17841" </w:instrText>
      </w:r>
      <w:r>
        <w:fldChar w:fldCharType="separate"/>
      </w:r>
      <w:r>
        <w:rPr>
          <w:rFonts w:asciiTheme="minorEastAsia" w:hAnsiTheme="minorEastAsia" w:eastAsiaTheme="minorEastAsia" w:cstheme="minorEastAsia"/>
          <w:szCs w:val="21"/>
        </w:rPr>
        <w:t xml:space="preserve">1、 </w:t>
      </w:r>
      <w:r>
        <w:rPr>
          <w:rFonts w:hint="eastAsia" w:asciiTheme="minorEastAsia" w:hAnsiTheme="minorEastAsia" w:eastAsiaTheme="minorEastAsia" w:cstheme="minorEastAsia"/>
          <w:szCs w:val="21"/>
        </w:rPr>
        <w:t>适用法律及范围</w:t>
      </w:r>
      <w:r>
        <w:tab/>
      </w:r>
      <w:r>
        <w:fldChar w:fldCharType="begin"/>
      </w:r>
      <w:r>
        <w:instrText xml:space="preserve"> PAGEREF _Toc17841 </w:instrText>
      </w:r>
      <w:r>
        <w:fldChar w:fldCharType="separate"/>
      </w:r>
      <w:r>
        <w:t>12</w:t>
      </w:r>
      <w:r>
        <w:fldChar w:fldCharType="end"/>
      </w:r>
      <w:r>
        <w:fldChar w:fldCharType="end"/>
      </w:r>
    </w:p>
    <w:p>
      <w:pPr>
        <w:pStyle w:val="22"/>
        <w:tabs>
          <w:tab w:val="right" w:leader="dot" w:pos="9072"/>
        </w:tabs>
        <w:spacing w:line="360" w:lineRule="auto"/>
      </w:pPr>
      <w:r>
        <w:fldChar w:fldCharType="begin"/>
      </w:r>
      <w:r>
        <w:instrText xml:space="preserve"> HYPERLINK \l "_Toc22187" </w:instrText>
      </w:r>
      <w:r>
        <w:fldChar w:fldCharType="separate"/>
      </w:r>
      <w:r>
        <w:rPr>
          <w:rFonts w:asciiTheme="minorEastAsia" w:hAnsiTheme="minorEastAsia" w:eastAsiaTheme="minorEastAsia" w:cstheme="minorEastAsia"/>
          <w:szCs w:val="21"/>
        </w:rPr>
        <w:t xml:space="preserve">2、 </w:t>
      </w:r>
      <w:r>
        <w:rPr>
          <w:rFonts w:hint="eastAsia" w:asciiTheme="minorEastAsia" w:hAnsiTheme="minorEastAsia" w:eastAsiaTheme="minorEastAsia" w:cstheme="minorEastAsia"/>
          <w:szCs w:val="21"/>
        </w:rPr>
        <w:t>定义</w:t>
      </w:r>
      <w:r>
        <w:tab/>
      </w:r>
      <w:r>
        <w:fldChar w:fldCharType="begin"/>
      </w:r>
      <w:r>
        <w:instrText xml:space="preserve"> PAGEREF _Toc22187 </w:instrText>
      </w:r>
      <w:r>
        <w:fldChar w:fldCharType="separate"/>
      </w:r>
      <w:r>
        <w:t>13</w:t>
      </w:r>
      <w:r>
        <w:fldChar w:fldCharType="end"/>
      </w:r>
      <w:r>
        <w:fldChar w:fldCharType="end"/>
      </w:r>
    </w:p>
    <w:p>
      <w:pPr>
        <w:pStyle w:val="22"/>
        <w:tabs>
          <w:tab w:val="right" w:leader="dot" w:pos="9072"/>
        </w:tabs>
        <w:spacing w:line="360" w:lineRule="auto"/>
      </w:pPr>
      <w:r>
        <w:fldChar w:fldCharType="begin"/>
      </w:r>
      <w:r>
        <w:instrText xml:space="preserve"> HYPERLINK \l "_Toc9707" </w:instrText>
      </w:r>
      <w:r>
        <w:fldChar w:fldCharType="separate"/>
      </w:r>
      <w:r>
        <w:rPr>
          <w:rFonts w:asciiTheme="minorEastAsia" w:hAnsiTheme="minorEastAsia" w:eastAsiaTheme="minorEastAsia" w:cstheme="minorEastAsia"/>
          <w:szCs w:val="21"/>
        </w:rPr>
        <w:t xml:space="preserve">3、 </w:t>
      </w:r>
      <w:r>
        <w:rPr>
          <w:rFonts w:hint="eastAsia" w:asciiTheme="minorEastAsia" w:hAnsiTheme="minorEastAsia" w:eastAsiaTheme="minorEastAsia" w:cstheme="minorEastAsia"/>
          <w:snapToGrid w:val="0"/>
          <w:kern w:val="0"/>
          <w:szCs w:val="21"/>
          <w:lang w:val="zh-CN"/>
        </w:rPr>
        <w:t>工程、货物及服务</w:t>
      </w:r>
      <w:r>
        <w:tab/>
      </w:r>
      <w:r>
        <w:fldChar w:fldCharType="begin"/>
      </w:r>
      <w:r>
        <w:instrText xml:space="preserve"> PAGEREF _Toc9707 </w:instrText>
      </w:r>
      <w:r>
        <w:fldChar w:fldCharType="separate"/>
      </w:r>
      <w:r>
        <w:t>13</w:t>
      </w:r>
      <w:r>
        <w:fldChar w:fldCharType="end"/>
      </w:r>
      <w:r>
        <w:fldChar w:fldCharType="end"/>
      </w:r>
    </w:p>
    <w:p>
      <w:pPr>
        <w:pStyle w:val="22"/>
        <w:tabs>
          <w:tab w:val="right" w:leader="dot" w:pos="9072"/>
        </w:tabs>
        <w:spacing w:line="360" w:lineRule="auto"/>
      </w:pPr>
      <w:r>
        <w:fldChar w:fldCharType="begin"/>
      </w:r>
      <w:r>
        <w:instrText xml:space="preserve"> HYPERLINK \l "_Toc4948" </w:instrText>
      </w:r>
      <w:r>
        <w:fldChar w:fldCharType="separate"/>
      </w:r>
      <w:r>
        <w:rPr>
          <w:rFonts w:asciiTheme="minorEastAsia" w:hAnsiTheme="minorEastAsia" w:eastAsiaTheme="minorEastAsia" w:cstheme="minorEastAsia"/>
          <w:szCs w:val="21"/>
        </w:rPr>
        <w:t xml:space="preserve">4、 </w:t>
      </w:r>
      <w:r>
        <w:rPr>
          <w:rFonts w:hint="eastAsia" w:asciiTheme="minorEastAsia" w:hAnsiTheme="minorEastAsia" w:eastAsiaTheme="minorEastAsia" w:cstheme="minorEastAsia"/>
          <w:szCs w:val="21"/>
        </w:rPr>
        <w:t>费用</w:t>
      </w:r>
      <w:r>
        <w:tab/>
      </w:r>
      <w:r>
        <w:fldChar w:fldCharType="begin"/>
      </w:r>
      <w:r>
        <w:instrText xml:space="preserve"> PAGEREF _Toc4948 </w:instrText>
      </w:r>
      <w:r>
        <w:fldChar w:fldCharType="separate"/>
      </w:r>
      <w:r>
        <w:t>13</w:t>
      </w:r>
      <w:r>
        <w:fldChar w:fldCharType="end"/>
      </w:r>
      <w:r>
        <w:fldChar w:fldCharType="end"/>
      </w:r>
    </w:p>
    <w:p>
      <w:pPr>
        <w:pStyle w:val="22"/>
        <w:tabs>
          <w:tab w:val="right" w:leader="dot" w:pos="9072"/>
        </w:tabs>
        <w:spacing w:line="360" w:lineRule="auto"/>
      </w:pPr>
      <w:r>
        <w:fldChar w:fldCharType="begin"/>
      </w:r>
      <w:r>
        <w:instrText xml:space="preserve"> HYPERLINK \l "_Toc21644" </w:instrText>
      </w:r>
      <w:r>
        <w:fldChar w:fldCharType="separate"/>
      </w:r>
      <w:r>
        <w:rPr>
          <w:rFonts w:asciiTheme="minorEastAsia" w:hAnsiTheme="minorEastAsia" w:eastAsiaTheme="minorEastAsia" w:cstheme="minorEastAsia"/>
          <w:szCs w:val="21"/>
        </w:rPr>
        <w:t xml:space="preserve">二、 </w:t>
      </w:r>
      <w:r>
        <w:rPr>
          <w:rFonts w:hint="eastAsia" w:asciiTheme="minorEastAsia" w:hAnsiTheme="minorEastAsia" w:eastAsiaTheme="minorEastAsia" w:cstheme="minorEastAsia"/>
          <w:szCs w:val="21"/>
        </w:rPr>
        <w:t>竞争性磋商采购文件</w:t>
      </w:r>
      <w:r>
        <w:tab/>
      </w:r>
      <w:r>
        <w:fldChar w:fldCharType="begin"/>
      </w:r>
      <w:r>
        <w:instrText xml:space="preserve"> PAGEREF _Toc21644 </w:instrText>
      </w:r>
      <w:r>
        <w:fldChar w:fldCharType="separate"/>
      </w:r>
      <w:r>
        <w:t>14</w:t>
      </w:r>
      <w:r>
        <w:fldChar w:fldCharType="end"/>
      </w:r>
      <w:r>
        <w:fldChar w:fldCharType="end"/>
      </w:r>
    </w:p>
    <w:p>
      <w:pPr>
        <w:pStyle w:val="22"/>
        <w:tabs>
          <w:tab w:val="right" w:leader="dot" w:pos="9072"/>
        </w:tabs>
        <w:spacing w:line="360" w:lineRule="auto"/>
      </w:pPr>
      <w:r>
        <w:fldChar w:fldCharType="begin"/>
      </w:r>
      <w:r>
        <w:instrText xml:space="preserve"> HYPERLINK \l "_Toc25534" </w:instrText>
      </w:r>
      <w:r>
        <w:fldChar w:fldCharType="separate"/>
      </w:r>
      <w:r>
        <w:rPr>
          <w:rFonts w:asciiTheme="minorEastAsia" w:hAnsiTheme="minorEastAsia" w:eastAsiaTheme="minorEastAsia" w:cstheme="minorEastAsia"/>
          <w:szCs w:val="21"/>
        </w:rPr>
        <w:t xml:space="preserve">5、 </w:t>
      </w:r>
      <w:r>
        <w:rPr>
          <w:rFonts w:hint="eastAsia" w:asciiTheme="minorEastAsia" w:hAnsiTheme="minorEastAsia" w:eastAsiaTheme="minorEastAsia" w:cstheme="minorEastAsia"/>
          <w:szCs w:val="21"/>
        </w:rPr>
        <w:t>竞争性磋商采购文件的构成</w:t>
      </w:r>
      <w:r>
        <w:tab/>
      </w:r>
      <w:r>
        <w:fldChar w:fldCharType="begin"/>
      </w:r>
      <w:r>
        <w:instrText xml:space="preserve"> PAGEREF _Toc25534 </w:instrText>
      </w:r>
      <w:r>
        <w:fldChar w:fldCharType="separate"/>
      </w:r>
      <w:r>
        <w:t>14</w:t>
      </w:r>
      <w:r>
        <w:fldChar w:fldCharType="end"/>
      </w:r>
      <w:r>
        <w:fldChar w:fldCharType="end"/>
      </w:r>
    </w:p>
    <w:p>
      <w:pPr>
        <w:pStyle w:val="22"/>
        <w:tabs>
          <w:tab w:val="right" w:leader="dot" w:pos="9072"/>
        </w:tabs>
        <w:spacing w:line="360" w:lineRule="auto"/>
      </w:pPr>
      <w:r>
        <w:fldChar w:fldCharType="begin"/>
      </w:r>
      <w:r>
        <w:instrText xml:space="preserve"> HYPERLINK \l "_Toc12297" </w:instrText>
      </w:r>
      <w:r>
        <w:fldChar w:fldCharType="separate"/>
      </w:r>
      <w:r>
        <w:rPr>
          <w:rFonts w:asciiTheme="minorEastAsia" w:hAnsiTheme="minorEastAsia" w:eastAsiaTheme="minorEastAsia" w:cstheme="minorEastAsia"/>
          <w:snapToGrid w:val="0"/>
          <w:kern w:val="0"/>
          <w:szCs w:val="21"/>
          <w:lang w:val="zh-CN"/>
        </w:rPr>
        <w:t xml:space="preserve">6、 </w:t>
      </w:r>
      <w:r>
        <w:rPr>
          <w:rFonts w:hint="eastAsia" w:asciiTheme="minorEastAsia" w:hAnsiTheme="minorEastAsia" w:eastAsiaTheme="minorEastAsia" w:cstheme="minorEastAsia"/>
          <w:snapToGrid w:val="0"/>
          <w:kern w:val="0"/>
          <w:szCs w:val="21"/>
          <w:lang w:val="zh-CN"/>
        </w:rPr>
        <w:t>竞争性磋商采购文件的澄清</w:t>
      </w:r>
      <w:r>
        <w:tab/>
      </w:r>
      <w:r>
        <w:fldChar w:fldCharType="begin"/>
      </w:r>
      <w:r>
        <w:instrText xml:space="preserve"> PAGEREF _Toc12297 </w:instrText>
      </w:r>
      <w:r>
        <w:fldChar w:fldCharType="separate"/>
      </w:r>
      <w:r>
        <w:t>14</w:t>
      </w:r>
      <w:r>
        <w:fldChar w:fldCharType="end"/>
      </w:r>
      <w:r>
        <w:fldChar w:fldCharType="end"/>
      </w:r>
    </w:p>
    <w:p>
      <w:pPr>
        <w:pStyle w:val="22"/>
        <w:tabs>
          <w:tab w:val="right" w:leader="dot" w:pos="9072"/>
        </w:tabs>
        <w:spacing w:line="360" w:lineRule="auto"/>
      </w:pPr>
      <w:r>
        <w:fldChar w:fldCharType="begin"/>
      </w:r>
      <w:r>
        <w:instrText xml:space="preserve"> HYPERLINK \l "_Toc17968" </w:instrText>
      </w:r>
      <w:r>
        <w:fldChar w:fldCharType="separate"/>
      </w:r>
      <w:r>
        <w:rPr>
          <w:rFonts w:asciiTheme="minorEastAsia" w:hAnsiTheme="minorEastAsia" w:eastAsiaTheme="minorEastAsia" w:cstheme="minorEastAsia"/>
          <w:snapToGrid w:val="0"/>
          <w:kern w:val="0"/>
          <w:szCs w:val="21"/>
          <w:lang w:val="zh-CN"/>
        </w:rPr>
        <w:t xml:space="preserve">7、 </w:t>
      </w:r>
      <w:r>
        <w:rPr>
          <w:rFonts w:hint="eastAsia" w:asciiTheme="minorEastAsia" w:hAnsiTheme="minorEastAsia" w:eastAsiaTheme="minorEastAsia" w:cstheme="minorEastAsia"/>
          <w:snapToGrid w:val="0"/>
          <w:kern w:val="0"/>
          <w:szCs w:val="21"/>
          <w:lang w:val="zh-CN"/>
        </w:rPr>
        <w:t>竞争性磋商采购文件的修改</w:t>
      </w:r>
      <w:r>
        <w:tab/>
      </w:r>
      <w:r>
        <w:fldChar w:fldCharType="begin"/>
      </w:r>
      <w:r>
        <w:instrText xml:space="preserve"> PAGEREF _Toc17968 </w:instrText>
      </w:r>
      <w:r>
        <w:fldChar w:fldCharType="separate"/>
      </w:r>
      <w:r>
        <w:t>15</w:t>
      </w:r>
      <w:r>
        <w:fldChar w:fldCharType="end"/>
      </w:r>
      <w:r>
        <w:fldChar w:fldCharType="end"/>
      </w:r>
    </w:p>
    <w:p>
      <w:pPr>
        <w:pStyle w:val="22"/>
        <w:tabs>
          <w:tab w:val="right" w:leader="dot" w:pos="9072"/>
        </w:tabs>
        <w:spacing w:line="360" w:lineRule="auto"/>
      </w:pPr>
      <w:r>
        <w:fldChar w:fldCharType="begin"/>
      </w:r>
      <w:r>
        <w:instrText xml:space="preserve"> HYPERLINK \l "_Toc6290" </w:instrText>
      </w:r>
      <w:r>
        <w:fldChar w:fldCharType="separate"/>
      </w:r>
      <w:r>
        <w:rPr>
          <w:rFonts w:asciiTheme="minorEastAsia" w:hAnsiTheme="minorEastAsia" w:eastAsiaTheme="minorEastAsia" w:cstheme="minorEastAsia"/>
          <w:szCs w:val="21"/>
        </w:rPr>
        <w:t xml:space="preserve">三、 </w:t>
      </w:r>
      <w:r>
        <w:rPr>
          <w:rFonts w:hint="eastAsia" w:asciiTheme="minorEastAsia" w:hAnsiTheme="minorEastAsia" w:eastAsiaTheme="minorEastAsia" w:cstheme="minorEastAsia"/>
          <w:szCs w:val="21"/>
        </w:rPr>
        <w:t>竞争性磋商响应文件</w:t>
      </w:r>
      <w:r>
        <w:tab/>
      </w:r>
      <w:r>
        <w:fldChar w:fldCharType="begin"/>
      </w:r>
      <w:r>
        <w:instrText xml:space="preserve"> PAGEREF _Toc6290 </w:instrText>
      </w:r>
      <w:r>
        <w:fldChar w:fldCharType="separate"/>
      </w:r>
      <w:r>
        <w:t>15</w:t>
      </w:r>
      <w:r>
        <w:fldChar w:fldCharType="end"/>
      </w:r>
      <w:r>
        <w:fldChar w:fldCharType="end"/>
      </w:r>
    </w:p>
    <w:p>
      <w:pPr>
        <w:pStyle w:val="22"/>
        <w:tabs>
          <w:tab w:val="right" w:leader="dot" w:pos="9072"/>
        </w:tabs>
        <w:spacing w:line="360" w:lineRule="auto"/>
      </w:pPr>
      <w:r>
        <w:fldChar w:fldCharType="begin"/>
      </w:r>
      <w:r>
        <w:instrText xml:space="preserve"> HYPERLINK \l "_Toc4380" </w:instrText>
      </w:r>
      <w:r>
        <w:fldChar w:fldCharType="separate"/>
      </w:r>
      <w:r>
        <w:rPr>
          <w:rFonts w:asciiTheme="minorEastAsia" w:hAnsiTheme="minorEastAsia" w:eastAsiaTheme="minorEastAsia" w:cstheme="minorEastAsia"/>
          <w:snapToGrid w:val="0"/>
          <w:kern w:val="0"/>
          <w:szCs w:val="21"/>
          <w:lang w:val="zh-CN"/>
        </w:rPr>
        <w:t xml:space="preserve">8、 </w:t>
      </w:r>
      <w:r>
        <w:rPr>
          <w:rFonts w:hint="eastAsia" w:asciiTheme="minorEastAsia" w:hAnsiTheme="minorEastAsia" w:eastAsiaTheme="minorEastAsia" w:cstheme="minorEastAsia"/>
          <w:snapToGrid w:val="0"/>
          <w:kern w:val="0"/>
          <w:szCs w:val="21"/>
          <w:lang w:val="zh-CN"/>
        </w:rPr>
        <w:t>语言和计量单位</w:t>
      </w:r>
      <w:r>
        <w:tab/>
      </w:r>
      <w:r>
        <w:fldChar w:fldCharType="begin"/>
      </w:r>
      <w:r>
        <w:instrText xml:space="preserve"> PAGEREF _Toc4380 </w:instrText>
      </w:r>
      <w:r>
        <w:fldChar w:fldCharType="separate"/>
      </w:r>
      <w:r>
        <w:t>15</w:t>
      </w:r>
      <w:r>
        <w:fldChar w:fldCharType="end"/>
      </w:r>
      <w:r>
        <w:fldChar w:fldCharType="end"/>
      </w:r>
    </w:p>
    <w:p>
      <w:pPr>
        <w:pStyle w:val="22"/>
        <w:tabs>
          <w:tab w:val="right" w:leader="dot" w:pos="9072"/>
        </w:tabs>
        <w:spacing w:line="360" w:lineRule="auto"/>
      </w:pPr>
      <w:r>
        <w:fldChar w:fldCharType="begin"/>
      </w:r>
      <w:r>
        <w:instrText xml:space="preserve"> HYPERLINK \l "_Toc3554" </w:instrText>
      </w:r>
      <w:r>
        <w:fldChar w:fldCharType="separate"/>
      </w:r>
      <w:r>
        <w:rPr>
          <w:rFonts w:asciiTheme="minorEastAsia" w:hAnsiTheme="minorEastAsia" w:eastAsiaTheme="minorEastAsia" w:cstheme="minorEastAsia"/>
          <w:snapToGrid w:val="0"/>
          <w:kern w:val="0"/>
          <w:szCs w:val="21"/>
          <w:lang w:val="zh-CN"/>
        </w:rPr>
        <w:t xml:space="preserve">9、 </w:t>
      </w:r>
      <w:r>
        <w:rPr>
          <w:rFonts w:hint="eastAsia" w:asciiTheme="minorEastAsia" w:hAnsiTheme="minorEastAsia" w:eastAsiaTheme="minorEastAsia" w:cstheme="minorEastAsia"/>
          <w:snapToGrid w:val="0"/>
          <w:kern w:val="0"/>
          <w:szCs w:val="21"/>
          <w:lang w:val="zh-CN"/>
        </w:rPr>
        <w:t>竞争性磋商响应文件的构成</w:t>
      </w:r>
      <w:r>
        <w:tab/>
      </w:r>
      <w:r>
        <w:fldChar w:fldCharType="begin"/>
      </w:r>
      <w:r>
        <w:instrText xml:space="preserve"> PAGEREF _Toc3554 </w:instrText>
      </w:r>
      <w:r>
        <w:fldChar w:fldCharType="separate"/>
      </w:r>
      <w:r>
        <w:t>15</w:t>
      </w:r>
      <w:r>
        <w:fldChar w:fldCharType="end"/>
      </w:r>
      <w:r>
        <w:fldChar w:fldCharType="end"/>
      </w:r>
    </w:p>
    <w:p>
      <w:pPr>
        <w:pStyle w:val="22"/>
        <w:tabs>
          <w:tab w:val="right" w:leader="dot" w:pos="9072"/>
        </w:tabs>
        <w:spacing w:line="360" w:lineRule="auto"/>
      </w:pPr>
      <w:r>
        <w:fldChar w:fldCharType="begin"/>
      </w:r>
      <w:r>
        <w:instrText xml:space="preserve"> HYPERLINK \l "_Toc1043" </w:instrText>
      </w:r>
      <w:r>
        <w:fldChar w:fldCharType="separate"/>
      </w:r>
      <w:r>
        <w:rPr>
          <w:rFonts w:asciiTheme="minorEastAsia" w:hAnsiTheme="minorEastAsia" w:eastAsiaTheme="minorEastAsia" w:cstheme="minorEastAsia"/>
          <w:snapToGrid w:val="0"/>
          <w:kern w:val="0"/>
          <w:szCs w:val="21"/>
          <w:lang w:val="zh-CN"/>
        </w:rPr>
        <w:t xml:space="preserve">10、 </w:t>
      </w:r>
      <w:r>
        <w:rPr>
          <w:rFonts w:hint="eastAsia" w:asciiTheme="minorEastAsia" w:hAnsiTheme="minorEastAsia" w:eastAsiaTheme="minorEastAsia" w:cstheme="minorEastAsia"/>
          <w:snapToGrid w:val="0"/>
          <w:kern w:val="0"/>
          <w:szCs w:val="21"/>
          <w:lang w:val="zh-CN"/>
        </w:rPr>
        <w:t>竞争性磋商响应文件的编制</w:t>
      </w:r>
      <w:r>
        <w:tab/>
      </w:r>
      <w:r>
        <w:fldChar w:fldCharType="begin"/>
      </w:r>
      <w:r>
        <w:instrText xml:space="preserve"> PAGEREF _Toc1043 </w:instrText>
      </w:r>
      <w:r>
        <w:fldChar w:fldCharType="separate"/>
      </w:r>
      <w:r>
        <w:t>15</w:t>
      </w:r>
      <w:r>
        <w:fldChar w:fldCharType="end"/>
      </w:r>
      <w:r>
        <w:fldChar w:fldCharType="end"/>
      </w:r>
    </w:p>
    <w:p>
      <w:pPr>
        <w:pStyle w:val="22"/>
        <w:tabs>
          <w:tab w:val="right" w:leader="dot" w:pos="9072"/>
        </w:tabs>
        <w:spacing w:line="360" w:lineRule="auto"/>
      </w:pPr>
      <w:r>
        <w:fldChar w:fldCharType="begin"/>
      </w:r>
      <w:r>
        <w:instrText xml:space="preserve"> HYPERLINK \l "_Toc15588" </w:instrText>
      </w:r>
      <w:r>
        <w:fldChar w:fldCharType="separate"/>
      </w:r>
      <w:r>
        <w:rPr>
          <w:rFonts w:asciiTheme="minorEastAsia" w:hAnsiTheme="minorEastAsia" w:eastAsiaTheme="minorEastAsia" w:cstheme="minorEastAsia"/>
          <w:snapToGrid w:val="0"/>
          <w:kern w:val="0"/>
          <w:szCs w:val="21"/>
          <w:lang w:val="zh-CN"/>
        </w:rPr>
        <w:t xml:space="preserve">11、 </w:t>
      </w:r>
      <w:r>
        <w:rPr>
          <w:rFonts w:hint="eastAsia" w:asciiTheme="minorEastAsia" w:hAnsiTheme="minorEastAsia" w:eastAsiaTheme="minorEastAsia" w:cstheme="minorEastAsia"/>
          <w:snapToGrid w:val="0"/>
          <w:kern w:val="0"/>
          <w:szCs w:val="21"/>
          <w:lang w:val="zh-CN"/>
        </w:rPr>
        <w:t>磋商报价</w:t>
      </w:r>
      <w:r>
        <w:tab/>
      </w:r>
      <w:r>
        <w:fldChar w:fldCharType="begin"/>
      </w:r>
      <w:r>
        <w:instrText xml:space="preserve"> PAGEREF _Toc15588 </w:instrText>
      </w:r>
      <w:r>
        <w:fldChar w:fldCharType="separate"/>
      </w:r>
      <w:r>
        <w:t>16</w:t>
      </w:r>
      <w:r>
        <w:fldChar w:fldCharType="end"/>
      </w:r>
      <w:r>
        <w:fldChar w:fldCharType="end"/>
      </w:r>
    </w:p>
    <w:p>
      <w:pPr>
        <w:pStyle w:val="22"/>
        <w:tabs>
          <w:tab w:val="right" w:leader="dot" w:pos="9072"/>
        </w:tabs>
        <w:spacing w:line="360" w:lineRule="auto"/>
      </w:pPr>
      <w:r>
        <w:fldChar w:fldCharType="begin"/>
      </w:r>
      <w:r>
        <w:instrText xml:space="preserve"> HYPERLINK \l "_Toc23921" </w:instrText>
      </w:r>
      <w:r>
        <w:fldChar w:fldCharType="separate"/>
      </w:r>
      <w:r>
        <w:rPr>
          <w:rFonts w:asciiTheme="minorEastAsia" w:hAnsiTheme="minorEastAsia" w:eastAsiaTheme="minorEastAsia" w:cstheme="minorEastAsia"/>
          <w:snapToGrid w:val="0"/>
          <w:kern w:val="0"/>
          <w:szCs w:val="21"/>
          <w:lang w:val="zh-CN"/>
        </w:rPr>
        <w:t xml:space="preserve">12、 </w:t>
      </w:r>
      <w:r>
        <w:rPr>
          <w:rFonts w:hint="eastAsia" w:asciiTheme="minorEastAsia" w:hAnsiTheme="minorEastAsia" w:eastAsiaTheme="minorEastAsia" w:cstheme="minorEastAsia"/>
          <w:snapToGrid w:val="0"/>
          <w:kern w:val="0"/>
          <w:szCs w:val="21"/>
          <w:lang w:val="zh-CN"/>
        </w:rPr>
        <w:t>备选方案</w:t>
      </w:r>
      <w:r>
        <w:tab/>
      </w:r>
      <w:r>
        <w:fldChar w:fldCharType="begin"/>
      </w:r>
      <w:r>
        <w:instrText xml:space="preserve"> PAGEREF _Toc23921 </w:instrText>
      </w:r>
      <w:r>
        <w:fldChar w:fldCharType="separate"/>
      </w:r>
      <w:r>
        <w:t>16</w:t>
      </w:r>
      <w:r>
        <w:fldChar w:fldCharType="end"/>
      </w:r>
      <w:r>
        <w:fldChar w:fldCharType="end"/>
      </w:r>
    </w:p>
    <w:p>
      <w:pPr>
        <w:pStyle w:val="22"/>
        <w:tabs>
          <w:tab w:val="right" w:leader="dot" w:pos="9072"/>
        </w:tabs>
        <w:spacing w:line="360" w:lineRule="auto"/>
      </w:pPr>
      <w:r>
        <w:fldChar w:fldCharType="begin"/>
      </w:r>
      <w:r>
        <w:instrText xml:space="preserve"> HYPERLINK \l "_Toc827" </w:instrText>
      </w:r>
      <w:r>
        <w:fldChar w:fldCharType="separate"/>
      </w:r>
      <w:r>
        <w:rPr>
          <w:rFonts w:asciiTheme="minorEastAsia" w:hAnsiTheme="minorEastAsia" w:eastAsiaTheme="minorEastAsia" w:cstheme="minorEastAsia"/>
          <w:snapToGrid w:val="0"/>
          <w:kern w:val="0"/>
          <w:szCs w:val="21"/>
          <w:lang w:val="zh-CN"/>
        </w:rPr>
        <w:t xml:space="preserve">13、 </w:t>
      </w:r>
      <w:r>
        <w:rPr>
          <w:rFonts w:hint="eastAsia" w:asciiTheme="minorEastAsia" w:hAnsiTheme="minorEastAsia" w:eastAsiaTheme="minorEastAsia" w:cstheme="minorEastAsia"/>
          <w:snapToGrid w:val="0"/>
          <w:kern w:val="0"/>
          <w:szCs w:val="21"/>
          <w:lang w:val="zh-CN"/>
        </w:rPr>
        <w:t>联合体</w:t>
      </w:r>
      <w:r>
        <w:tab/>
      </w:r>
      <w:r>
        <w:fldChar w:fldCharType="begin"/>
      </w:r>
      <w:r>
        <w:instrText xml:space="preserve"> PAGEREF _Toc827 </w:instrText>
      </w:r>
      <w:r>
        <w:fldChar w:fldCharType="separate"/>
      </w:r>
      <w:r>
        <w:t>16</w:t>
      </w:r>
      <w:r>
        <w:fldChar w:fldCharType="end"/>
      </w:r>
      <w:r>
        <w:fldChar w:fldCharType="end"/>
      </w:r>
    </w:p>
    <w:p>
      <w:pPr>
        <w:pStyle w:val="22"/>
        <w:tabs>
          <w:tab w:val="right" w:leader="dot" w:pos="9072"/>
        </w:tabs>
        <w:spacing w:line="360" w:lineRule="auto"/>
      </w:pPr>
      <w:r>
        <w:fldChar w:fldCharType="begin"/>
      </w:r>
      <w:r>
        <w:instrText xml:space="preserve"> HYPERLINK \l "_Toc569" </w:instrText>
      </w:r>
      <w:r>
        <w:fldChar w:fldCharType="separate"/>
      </w:r>
      <w:r>
        <w:rPr>
          <w:rFonts w:asciiTheme="minorEastAsia" w:hAnsiTheme="minorEastAsia" w:eastAsiaTheme="minorEastAsia" w:cstheme="minorEastAsia"/>
          <w:snapToGrid w:val="0"/>
          <w:kern w:val="0"/>
          <w:szCs w:val="21"/>
          <w:lang w:val="zh-CN"/>
        </w:rPr>
        <w:t xml:space="preserve">14、 </w:t>
      </w:r>
      <w:r>
        <w:rPr>
          <w:rFonts w:hint="eastAsia" w:asciiTheme="minorEastAsia" w:hAnsiTheme="minorEastAsia" w:eastAsiaTheme="minorEastAsia" w:cstheme="minorEastAsia"/>
          <w:snapToGrid w:val="0"/>
          <w:kern w:val="0"/>
          <w:szCs w:val="21"/>
          <w:lang w:val="zh-CN"/>
        </w:rPr>
        <w:t>供应商资格证明文件</w:t>
      </w:r>
      <w:r>
        <w:tab/>
      </w:r>
      <w:r>
        <w:fldChar w:fldCharType="begin"/>
      </w:r>
      <w:r>
        <w:instrText xml:space="preserve"> PAGEREF _Toc569 </w:instrText>
      </w:r>
      <w:r>
        <w:fldChar w:fldCharType="separate"/>
      </w:r>
      <w:r>
        <w:t>16</w:t>
      </w:r>
      <w:r>
        <w:fldChar w:fldCharType="end"/>
      </w:r>
      <w:r>
        <w:fldChar w:fldCharType="end"/>
      </w:r>
    </w:p>
    <w:p>
      <w:pPr>
        <w:pStyle w:val="22"/>
        <w:tabs>
          <w:tab w:val="right" w:leader="dot" w:pos="9072"/>
        </w:tabs>
        <w:spacing w:line="360" w:lineRule="auto"/>
      </w:pPr>
      <w:r>
        <w:fldChar w:fldCharType="begin"/>
      </w:r>
      <w:r>
        <w:instrText xml:space="preserve"> HYPERLINK \l "_Toc24609" </w:instrText>
      </w:r>
      <w:r>
        <w:fldChar w:fldCharType="separate"/>
      </w:r>
      <w:r>
        <w:rPr>
          <w:rFonts w:asciiTheme="minorEastAsia" w:hAnsiTheme="minorEastAsia" w:eastAsiaTheme="minorEastAsia" w:cstheme="minorEastAsia"/>
          <w:snapToGrid w:val="0"/>
          <w:kern w:val="0"/>
          <w:szCs w:val="21"/>
          <w:lang w:val="zh-CN"/>
        </w:rPr>
        <w:t xml:space="preserve">15、 </w:t>
      </w:r>
      <w:r>
        <w:rPr>
          <w:rFonts w:hint="eastAsia" w:asciiTheme="minorEastAsia" w:hAnsiTheme="minorEastAsia" w:eastAsiaTheme="minorEastAsia" w:cstheme="minorEastAsia"/>
          <w:snapToGrid w:val="0"/>
          <w:kern w:val="0"/>
          <w:szCs w:val="21"/>
          <w:lang w:val="zh-CN"/>
        </w:rPr>
        <w:t>证明报价内容、服务合格性和符合竞争性磋商采购文件规定的文件</w:t>
      </w:r>
      <w:r>
        <w:tab/>
      </w:r>
      <w:r>
        <w:fldChar w:fldCharType="begin"/>
      </w:r>
      <w:r>
        <w:instrText xml:space="preserve"> PAGEREF _Toc24609 </w:instrText>
      </w:r>
      <w:r>
        <w:fldChar w:fldCharType="separate"/>
      </w:r>
      <w:r>
        <w:t>17</w:t>
      </w:r>
      <w:r>
        <w:fldChar w:fldCharType="end"/>
      </w:r>
      <w:r>
        <w:fldChar w:fldCharType="end"/>
      </w:r>
    </w:p>
    <w:p>
      <w:pPr>
        <w:pStyle w:val="22"/>
        <w:tabs>
          <w:tab w:val="right" w:leader="dot" w:pos="9072"/>
        </w:tabs>
        <w:spacing w:line="360" w:lineRule="auto"/>
      </w:pPr>
      <w:r>
        <w:fldChar w:fldCharType="begin"/>
      </w:r>
      <w:r>
        <w:instrText xml:space="preserve"> HYPERLINK \l "_Toc29173" </w:instrText>
      </w:r>
      <w:r>
        <w:fldChar w:fldCharType="separate"/>
      </w:r>
      <w:r>
        <w:rPr>
          <w:rFonts w:asciiTheme="minorEastAsia" w:hAnsiTheme="minorEastAsia" w:eastAsiaTheme="minorEastAsia" w:cstheme="minorEastAsia"/>
          <w:snapToGrid w:val="0"/>
          <w:kern w:val="0"/>
          <w:szCs w:val="21"/>
          <w:lang w:val="zh-CN"/>
        </w:rPr>
        <w:t xml:space="preserve">16、 </w:t>
      </w:r>
      <w:r>
        <w:rPr>
          <w:rFonts w:hint="eastAsia" w:asciiTheme="minorEastAsia" w:hAnsiTheme="minorEastAsia" w:eastAsiaTheme="minorEastAsia" w:cstheme="minorEastAsia"/>
          <w:snapToGrid w:val="0"/>
          <w:kern w:val="0"/>
          <w:szCs w:val="21"/>
          <w:lang w:val="zh-CN"/>
        </w:rPr>
        <w:t>磋商保证金</w:t>
      </w:r>
      <w:r>
        <w:tab/>
      </w:r>
      <w:r>
        <w:fldChar w:fldCharType="begin"/>
      </w:r>
      <w:r>
        <w:instrText xml:space="preserve"> PAGEREF _Toc29173 </w:instrText>
      </w:r>
      <w:r>
        <w:fldChar w:fldCharType="separate"/>
      </w:r>
      <w:r>
        <w:t>17</w:t>
      </w:r>
      <w:r>
        <w:fldChar w:fldCharType="end"/>
      </w:r>
      <w:r>
        <w:fldChar w:fldCharType="end"/>
      </w:r>
    </w:p>
    <w:p>
      <w:pPr>
        <w:pStyle w:val="22"/>
        <w:tabs>
          <w:tab w:val="right" w:leader="dot" w:pos="9072"/>
        </w:tabs>
        <w:spacing w:line="360" w:lineRule="auto"/>
      </w:pPr>
      <w:r>
        <w:fldChar w:fldCharType="begin"/>
      </w:r>
      <w:r>
        <w:instrText xml:space="preserve"> HYPERLINK \l "_Toc17731" </w:instrText>
      </w:r>
      <w:r>
        <w:fldChar w:fldCharType="separate"/>
      </w:r>
      <w:r>
        <w:rPr>
          <w:rFonts w:asciiTheme="minorEastAsia" w:hAnsiTheme="minorEastAsia" w:eastAsiaTheme="minorEastAsia" w:cstheme="minorEastAsia"/>
          <w:snapToGrid w:val="0"/>
          <w:kern w:val="0"/>
          <w:szCs w:val="21"/>
          <w:lang w:val="zh-CN"/>
        </w:rPr>
        <w:t xml:space="preserve">17、 </w:t>
      </w:r>
      <w:r>
        <w:rPr>
          <w:rFonts w:hint="eastAsia" w:asciiTheme="minorEastAsia" w:hAnsiTheme="minorEastAsia" w:eastAsiaTheme="minorEastAsia" w:cstheme="minorEastAsia"/>
          <w:snapToGrid w:val="0"/>
          <w:kern w:val="0"/>
          <w:szCs w:val="21"/>
          <w:lang w:val="zh-CN"/>
        </w:rPr>
        <w:t>磋商有效期</w:t>
      </w:r>
      <w:r>
        <w:tab/>
      </w:r>
      <w:r>
        <w:fldChar w:fldCharType="begin"/>
      </w:r>
      <w:r>
        <w:instrText xml:space="preserve"> PAGEREF _Toc17731 </w:instrText>
      </w:r>
      <w:r>
        <w:fldChar w:fldCharType="separate"/>
      </w:r>
      <w:r>
        <w:t>17</w:t>
      </w:r>
      <w:r>
        <w:fldChar w:fldCharType="end"/>
      </w:r>
      <w:r>
        <w:fldChar w:fldCharType="end"/>
      </w:r>
    </w:p>
    <w:p>
      <w:pPr>
        <w:pStyle w:val="22"/>
        <w:tabs>
          <w:tab w:val="right" w:leader="dot" w:pos="9072"/>
        </w:tabs>
        <w:spacing w:line="360" w:lineRule="auto"/>
      </w:pPr>
      <w:r>
        <w:fldChar w:fldCharType="begin"/>
      </w:r>
      <w:r>
        <w:instrText xml:space="preserve"> HYPERLINK \l "_Toc20134" </w:instrText>
      </w:r>
      <w:r>
        <w:fldChar w:fldCharType="separate"/>
      </w:r>
      <w:r>
        <w:rPr>
          <w:rFonts w:asciiTheme="minorEastAsia" w:hAnsiTheme="minorEastAsia" w:eastAsiaTheme="minorEastAsia" w:cstheme="minorEastAsia"/>
          <w:snapToGrid w:val="0"/>
          <w:kern w:val="0"/>
          <w:szCs w:val="21"/>
          <w:lang w:val="zh-CN"/>
        </w:rPr>
        <w:t xml:space="preserve">18、 </w:t>
      </w:r>
      <w:r>
        <w:rPr>
          <w:rFonts w:hint="eastAsia" w:asciiTheme="minorEastAsia" w:hAnsiTheme="minorEastAsia" w:eastAsiaTheme="minorEastAsia" w:cstheme="minorEastAsia"/>
          <w:snapToGrid w:val="0"/>
          <w:kern w:val="0"/>
          <w:szCs w:val="21"/>
          <w:lang w:val="zh-CN"/>
        </w:rPr>
        <w:t>竞争性磋商响应文件的装订、签署和数量</w:t>
      </w:r>
      <w:r>
        <w:tab/>
      </w:r>
      <w:r>
        <w:fldChar w:fldCharType="begin"/>
      </w:r>
      <w:r>
        <w:instrText xml:space="preserve"> PAGEREF _Toc20134 </w:instrText>
      </w:r>
      <w:r>
        <w:fldChar w:fldCharType="separate"/>
      </w:r>
      <w:r>
        <w:t>18</w:t>
      </w:r>
      <w:r>
        <w:fldChar w:fldCharType="end"/>
      </w:r>
      <w:r>
        <w:fldChar w:fldCharType="end"/>
      </w:r>
    </w:p>
    <w:p>
      <w:pPr>
        <w:pStyle w:val="22"/>
        <w:tabs>
          <w:tab w:val="right" w:leader="dot" w:pos="9072"/>
        </w:tabs>
        <w:spacing w:line="360" w:lineRule="auto"/>
      </w:pPr>
      <w:r>
        <w:fldChar w:fldCharType="begin"/>
      </w:r>
      <w:r>
        <w:instrText xml:space="preserve"> HYPERLINK \l "_Toc3975" </w:instrText>
      </w:r>
      <w:r>
        <w:fldChar w:fldCharType="separate"/>
      </w:r>
      <w:r>
        <w:rPr>
          <w:rFonts w:asciiTheme="minorEastAsia" w:hAnsiTheme="minorEastAsia" w:eastAsiaTheme="minorEastAsia" w:cstheme="minorEastAsia"/>
          <w:szCs w:val="21"/>
        </w:rPr>
        <w:t xml:space="preserve">四、 </w:t>
      </w:r>
      <w:r>
        <w:rPr>
          <w:rFonts w:hint="eastAsia" w:asciiTheme="minorEastAsia" w:hAnsiTheme="minorEastAsia" w:eastAsiaTheme="minorEastAsia" w:cstheme="minorEastAsia"/>
          <w:szCs w:val="21"/>
        </w:rPr>
        <w:t>竞争性磋商响应文件的递交</w:t>
      </w:r>
      <w:r>
        <w:tab/>
      </w:r>
      <w:r>
        <w:fldChar w:fldCharType="begin"/>
      </w:r>
      <w:r>
        <w:instrText xml:space="preserve"> PAGEREF _Toc3975 </w:instrText>
      </w:r>
      <w:r>
        <w:fldChar w:fldCharType="separate"/>
      </w:r>
      <w:r>
        <w:t>18</w:t>
      </w:r>
      <w:r>
        <w:fldChar w:fldCharType="end"/>
      </w:r>
      <w:r>
        <w:fldChar w:fldCharType="end"/>
      </w:r>
    </w:p>
    <w:p>
      <w:pPr>
        <w:pStyle w:val="22"/>
        <w:tabs>
          <w:tab w:val="right" w:leader="dot" w:pos="9072"/>
        </w:tabs>
        <w:spacing w:line="360" w:lineRule="auto"/>
      </w:pPr>
      <w:r>
        <w:fldChar w:fldCharType="begin"/>
      </w:r>
      <w:r>
        <w:instrText xml:space="preserve"> HYPERLINK \l "_Toc16633" </w:instrText>
      </w:r>
      <w:r>
        <w:fldChar w:fldCharType="separate"/>
      </w:r>
      <w:r>
        <w:rPr>
          <w:rFonts w:asciiTheme="minorEastAsia" w:hAnsiTheme="minorEastAsia" w:eastAsiaTheme="minorEastAsia" w:cstheme="minorEastAsia"/>
          <w:snapToGrid w:val="0"/>
          <w:kern w:val="0"/>
          <w:szCs w:val="21"/>
          <w:lang w:val="zh-CN"/>
        </w:rPr>
        <w:t xml:space="preserve">19、 </w:t>
      </w:r>
      <w:r>
        <w:rPr>
          <w:rFonts w:hint="eastAsia" w:asciiTheme="minorEastAsia" w:hAnsiTheme="minorEastAsia" w:eastAsiaTheme="minorEastAsia" w:cstheme="minorEastAsia"/>
          <w:szCs w:val="21"/>
        </w:rPr>
        <w:t>竞争性磋商响应文件</w:t>
      </w:r>
      <w:r>
        <w:rPr>
          <w:rFonts w:hint="eastAsia" w:asciiTheme="minorEastAsia" w:hAnsiTheme="minorEastAsia" w:eastAsiaTheme="minorEastAsia" w:cstheme="minorEastAsia"/>
          <w:snapToGrid w:val="0"/>
          <w:kern w:val="0"/>
          <w:szCs w:val="21"/>
          <w:lang w:val="zh-CN"/>
        </w:rPr>
        <w:t>的密封和标记</w:t>
      </w:r>
      <w:r>
        <w:tab/>
      </w:r>
      <w:r>
        <w:fldChar w:fldCharType="begin"/>
      </w:r>
      <w:r>
        <w:instrText xml:space="preserve"> PAGEREF _Toc16633 </w:instrText>
      </w:r>
      <w:r>
        <w:fldChar w:fldCharType="separate"/>
      </w:r>
      <w:r>
        <w:t>18</w:t>
      </w:r>
      <w:r>
        <w:fldChar w:fldCharType="end"/>
      </w:r>
      <w:r>
        <w:fldChar w:fldCharType="end"/>
      </w:r>
    </w:p>
    <w:p>
      <w:pPr>
        <w:pStyle w:val="22"/>
        <w:tabs>
          <w:tab w:val="right" w:leader="dot" w:pos="9072"/>
        </w:tabs>
        <w:spacing w:line="360" w:lineRule="auto"/>
      </w:pPr>
      <w:r>
        <w:fldChar w:fldCharType="begin"/>
      </w:r>
      <w:r>
        <w:instrText xml:space="preserve"> HYPERLINK \l "_Toc28372" </w:instrText>
      </w:r>
      <w:r>
        <w:fldChar w:fldCharType="separate"/>
      </w:r>
      <w:r>
        <w:rPr>
          <w:rFonts w:asciiTheme="minorEastAsia" w:hAnsiTheme="minorEastAsia" w:eastAsiaTheme="minorEastAsia" w:cstheme="minorEastAsia"/>
          <w:snapToGrid w:val="0"/>
          <w:kern w:val="0"/>
          <w:szCs w:val="21"/>
          <w:lang w:val="zh-CN"/>
        </w:rPr>
        <w:t xml:space="preserve">20、 </w:t>
      </w:r>
      <w:r>
        <w:rPr>
          <w:rFonts w:hint="eastAsia" w:asciiTheme="minorEastAsia" w:hAnsiTheme="minorEastAsia" w:eastAsiaTheme="minorEastAsia" w:cstheme="minorEastAsia"/>
          <w:snapToGrid w:val="0"/>
          <w:kern w:val="0"/>
          <w:szCs w:val="21"/>
          <w:lang w:val="zh-CN"/>
        </w:rPr>
        <w:t>竞争性磋商响应文件的送达地点及截止时间</w:t>
      </w:r>
      <w:r>
        <w:tab/>
      </w:r>
      <w:r>
        <w:fldChar w:fldCharType="begin"/>
      </w:r>
      <w:r>
        <w:instrText xml:space="preserve"> PAGEREF _Toc28372 </w:instrText>
      </w:r>
      <w:r>
        <w:fldChar w:fldCharType="separate"/>
      </w:r>
      <w:r>
        <w:t>18</w:t>
      </w:r>
      <w:r>
        <w:fldChar w:fldCharType="end"/>
      </w:r>
      <w:r>
        <w:fldChar w:fldCharType="end"/>
      </w:r>
    </w:p>
    <w:p>
      <w:pPr>
        <w:pStyle w:val="22"/>
        <w:tabs>
          <w:tab w:val="right" w:leader="dot" w:pos="9072"/>
        </w:tabs>
        <w:spacing w:line="360" w:lineRule="auto"/>
      </w:pPr>
      <w:r>
        <w:fldChar w:fldCharType="begin"/>
      </w:r>
      <w:r>
        <w:instrText xml:space="preserve"> HYPERLINK \l "_Toc863" </w:instrText>
      </w:r>
      <w:r>
        <w:fldChar w:fldCharType="separate"/>
      </w:r>
      <w:r>
        <w:rPr>
          <w:rFonts w:asciiTheme="minorEastAsia" w:hAnsiTheme="minorEastAsia" w:eastAsiaTheme="minorEastAsia" w:cstheme="minorEastAsia"/>
          <w:snapToGrid w:val="0"/>
          <w:kern w:val="0"/>
          <w:szCs w:val="21"/>
          <w:lang w:val="zh-CN"/>
        </w:rPr>
        <w:t xml:space="preserve">21、 </w:t>
      </w:r>
      <w:r>
        <w:rPr>
          <w:rFonts w:hint="eastAsia" w:asciiTheme="minorEastAsia" w:hAnsiTheme="minorEastAsia" w:eastAsiaTheme="minorEastAsia" w:cstheme="minorEastAsia"/>
          <w:snapToGrid w:val="0"/>
          <w:kern w:val="0"/>
          <w:szCs w:val="21"/>
          <w:lang w:val="zh-CN"/>
        </w:rPr>
        <w:t>迟交的竞争性磋商响应文件</w:t>
      </w:r>
      <w:r>
        <w:tab/>
      </w:r>
      <w:r>
        <w:fldChar w:fldCharType="begin"/>
      </w:r>
      <w:r>
        <w:instrText xml:space="preserve"> PAGEREF _Toc863 </w:instrText>
      </w:r>
      <w:r>
        <w:fldChar w:fldCharType="separate"/>
      </w:r>
      <w:r>
        <w:t>18</w:t>
      </w:r>
      <w:r>
        <w:fldChar w:fldCharType="end"/>
      </w:r>
      <w:r>
        <w:fldChar w:fldCharType="end"/>
      </w:r>
    </w:p>
    <w:p>
      <w:pPr>
        <w:pStyle w:val="22"/>
        <w:tabs>
          <w:tab w:val="right" w:leader="dot" w:pos="9072"/>
        </w:tabs>
        <w:spacing w:line="360" w:lineRule="auto"/>
      </w:pPr>
      <w:r>
        <w:fldChar w:fldCharType="begin"/>
      </w:r>
      <w:r>
        <w:instrText xml:space="preserve"> HYPERLINK \l "_Toc32091" </w:instrText>
      </w:r>
      <w:r>
        <w:fldChar w:fldCharType="separate"/>
      </w:r>
      <w:r>
        <w:rPr>
          <w:rFonts w:asciiTheme="minorEastAsia" w:hAnsiTheme="minorEastAsia" w:eastAsiaTheme="minorEastAsia" w:cstheme="minorEastAsia"/>
          <w:snapToGrid w:val="0"/>
          <w:kern w:val="0"/>
          <w:szCs w:val="21"/>
          <w:lang w:val="zh-CN"/>
        </w:rPr>
        <w:t xml:space="preserve">22、 </w:t>
      </w:r>
      <w:r>
        <w:rPr>
          <w:rFonts w:hint="eastAsia" w:asciiTheme="minorEastAsia" w:hAnsiTheme="minorEastAsia" w:eastAsiaTheme="minorEastAsia" w:cstheme="minorEastAsia"/>
          <w:snapToGrid w:val="0"/>
          <w:kern w:val="0"/>
          <w:szCs w:val="21"/>
          <w:lang w:val="zh-CN"/>
        </w:rPr>
        <w:t>竞争性磋商响应文件的补充、修改或者撤回</w:t>
      </w:r>
      <w:r>
        <w:tab/>
      </w:r>
      <w:r>
        <w:fldChar w:fldCharType="begin"/>
      </w:r>
      <w:r>
        <w:instrText xml:space="preserve"> PAGEREF _Toc32091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"_Toc29375" </w:instrText>
      </w:r>
      <w:r>
        <w:fldChar w:fldCharType="separate"/>
      </w:r>
      <w:r>
        <w:rPr>
          <w:rFonts w:asciiTheme="minorEastAsia" w:hAnsiTheme="minorEastAsia" w:eastAsiaTheme="minorEastAsia" w:cstheme="minorEastAsia"/>
          <w:szCs w:val="21"/>
        </w:rPr>
        <w:t xml:space="preserve">五、 </w:t>
      </w:r>
      <w:r>
        <w:rPr>
          <w:rFonts w:hint="eastAsia" w:asciiTheme="minorEastAsia" w:hAnsiTheme="minorEastAsia" w:eastAsiaTheme="minorEastAsia" w:cstheme="minorEastAsia"/>
          <w:szCs w:val="21"/>
        </w:rPr>
        <w:t>磋商程序及步骤</w:t>
      </w:r>
      <w:r>
        <w:tab/>
      </w:r>
      <w:r>
        <w:fldChar w:fldCharType="begin"/>
      </w:r>
      <w:r>
        <w:instrText xml:space="preserve"> PAGEREF _Toc29375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"_Toc2550" </w:instrText>
      </w:r>
      <w:r>
        <w:fldChar w:fldCharType="separate"/>
      </w:r>
      <w:r>
        <w:rPr>
          <w:rFonts w:asciiTheme="minorEastAsia" w:hAnsiTheme="minorEastAsia" w:eastAsiaTheme="minorEastAsia" w:cstheme="minorEastAsia"/>
          <w:snapToGrid w:val="0"/>
          <w:kern w:val="0"/>
          <w:szCs w:val="21"/>
          <w:lang w:val="zh-CN"/>
        </w:rPr>
        <w:t xml:space="preserve">23、 </w:t>
      </w:r>
      <w:r>
        <w:rPr>
          <w:rFonts w:hint="eastAsia" w:asciiTheme="minorEastAsia" w:hAnsiTheme="minorEastAsia" w:eastAsiaTheme="minorEastAsia" w:cstheme="minorEastAsia"/>
        </w:rPr>
        <w:t>竞争性磋商小组</w:t>
      </w:r>
      <w:r>
        <w:tab/>
      </w:r>
      <w:r>
        <w:fldChar w:fldCharType="begin"/>
      </w:r>
      <w:r>
        <w:instrText xml:space="preserve"> PAGEREF _Toc2550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"_Toc14809" </w:instrText>
      </w:r>
      <w:r>
        <w:fldChar w:fldCharType="separate"/>
      </w:r>
      <w:r>
        <w:rPr>
          <w:rFonts w:asciiTheme="minorEastAsia" w:hAnsiTheme="minorEastAsia" w:eastAsiaTheme="minorEastAsia" w:cstheme="minorEastAsia"/>
          <w:snapToGrid w:val="0"/>
          <w:kern w:val="0"/>
          <w:szCs w:val="21"/>
          <w:lang w:val="zh-CN"/>
        </w:rPr>
        <w:t xml:space="preserve">24、 </w:t>
      </w:r>
      <w:r>
        <w:rPr>
          <w:rFonts w:hint="eastAsia" w:asciiTheme="minorEastAsia" w:hAnsiTheme="minorEastAsia" w:eastAsiaTheme="minorEastAsia" w:cstheme="minorEastAsia"/>
        </w:rPr>
        <w:t>磋商代表</w:t>
      </w:r>
      <w:r>
        <w:tab/>
      </w:r>
      <w:r>
        <w:fldChar w:fldCharType="begin"/>
      </w:r>
      <w:r>
        <w:instrText xml:space="preserve"> PAGEREF _Toc14809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"_Toc30347" </w:instrText>
      </w:r>
      <w:r>
        <w:fldChar w:fldCharType="separate"/>
      </w:r>
      <w:r>
        <w:rPr>
          <w:rFonts w:asciiTheme="minorEastAsia" w:hAnsiTheme="minorEastAsia" w:eastAsiaTheme="minorEastAsia" w:cstheme="minorEastAsia"/>
        </w:rPr>
        <w:t xml:space="preserve">25、 </w:t>
      </w:r>
      <w:r>
        <w:rPr>
          <w:rFonts w:hint="eastAsia" w:asciiTheme="minorEastAsia" w:hAnsiTheme="minorEastAsia" w:eastAsiaTheme="minorEastAsia" w:cstheme="minorEastAsia"/>
        </w:rPr>
        <w:t>资格审查和符合性审查</w:t>
      </w:r>
      <w:r>
        <w:tab/>
      </w:r>
      <w:r>
        <w:fldChar w:fldCharType="begin"/>
      </w:r>
      <w:r>
        <w:instrText xml:space="preserve"> PAGEREF _Toc30347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"_Toc5263" </w:instrText>
      </w:r>
      <w:r>
        <w:fldChar w:fldCharType="separate"/>
      </w:r>
      <w:r>
        <w:rPr>
          <w:rFonts w:asciiTheme="minorEastAsia" w:hAnsiTheme="minorEastAsia" w:eastAsiaTheme="minorEastAsia" w:cstheme="minorEastAsia"/>
        </w:rPr>
        <w:t xml:space="preserve">26、 </w:t>
      </w:r>
      <w:r>
        <w:rPr>
          <w:rFonts w:hint="eastAsia" w:asciiTheme="minorEastAsia" w:hAnsiTheme="minorEastAsia" w:eastAsiaTheme="minorEastAsia" w:cstheme="minorEastAsia"/>
        </w:rPr>
        <w:t>磋商</w:t>
      </w:r>
      <w:r>
        <w:tab/>
      </w:r>
      <w:r>
        <w:fldChar w:fldCharType="begin"/>
      </w:r>
      <w:r>
        <w:instrText xml:space="preserve"> PAGEREF _Toc5263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"_Toc21157" </w:instrText>
      </w:r>
      <w:r>
        <w:fldChar w:fldCharType="separate"/>
      </w:r>
      <w:r>
        <w:rPr>
          <w:rFonts w:asciiTheme="minorEastAsia" w:hAnsiTheme="minorEastAsia" w:eastAsiaTheme="minorEastAsia" w:cstheme="minorEastAsia"/>
          <w:lang w:val="zh-CN"/>
        </w:rPr>
        <w:t xml:space="preserve">27、 </w:t>
      </w:r>
      <w:r>
        <w:rPr>
          <w:rFonts w:hint="eastAsia" w:asciiTheme="minorEastAsia" w:hAnsiTheme="minorEastAsia" w:eastAsiaTheme="minorEastAsia" w:cstheme="minorEastAsia"/>
          <w:lang w:val="zh-CN"/>
        </w:rPr>
        <w:t>保密</w:t>
      </w:r>
      <w:r>
        <w:tab/>
      </w:r>
      <w:r>
        <w:fldChar w:fldCharType="begin"/>
      </w:r>
      <w:r>
        <w:instrText xml:space="preserve"> PAGEREF _Toc21157 </w:instrText>
      </w:r>
      <w:r>
        <w:fldChar w:fldCharType="separate"/>
      </w:r>
      <w:r>
        <w:t>20</w:t>
      </w:r>
      <w:r>
        <w:fldChar w:fldCharType="end"/>
      </w:r>
      <w:r>
        <w:fldChar w:fldCharType="end"/>
      </w:r>
    </w:p>
    <w:p>
      <w:pPr>
        <w:pStyle w:val="22"/>
        <w:tabs>
          <w:tab w:val="right" w:leader="dot" w:pos="9072"/>
        </w:tabs>
        <w:spacing w:line="360" w:lineRule="auto"/>
      </w:pPr>
      <w:r>
        <w:fldChar w:fldCharType="begin"/>
      </w:r>
      <w:r>
        <w:instrText xml:space="preserve"> HYPERLINK \l "_Toc21170" </w:instrText>
      </w:r>
      <w:r>
        <w:fldChar w:fldCharType="separate"/>
      </w:r>
      <w:r>
        <w:rPr>
          <w:rFonts w:asciiTheme="minorEastAsia" w:hAnsiTheme="minorEastAsia" w:eastAsiaTheme="minorEastAsia" w:cstheme="minorEastAsia"/>
          <w:szCs w:val="21"/>
        </w:rPr>
        <w:t xml:space="preserve">六、 </w:t>
      </w:r>
      <w:r>
        <w:rPr>
          <w:rFonts w:hint="eastAsia" w:asciiTheme="minorEastAsia" w:hAnsiTheme="minorEastAsia" w:eastAsiaTheme="minorEastAsia" w:cstheme="minorEastAsia"/>
          <w:szCs w:val="21"/>
        </w:rPr>
        <w:t>成交与签订合同</w:t>
      </w:r>
      <w:r>
        <w:tab/>
      </w:r>
      <w:r>
        <w:fldChar w:fldCharType="begin"/>
      </w:r>
      <w:r>
        <w:instrText xml:space="preserve"> PAGEREF _Toc21170 </w:instrText>
      </w:r>
      <w:r>
        <w:fldChar w:fldCharType="separate"/>
      </w:r>
      <w:r>
        <w:t>21</w:t>
      </w:r>
      <w:r>
        <w:fldChar w:fldCharType="end"/>
      </w:r>
      <w:r>
        <w:fldChar w:fldCharType="end"/>
      </w:r>
    </w:p>
    <w:p>
      <w:pPr>
        <w:pStyle w:val="22"/>
        <w:tabs>
          <w:tab w:val="right" w:leader="dot" w:pos="9072"/>
        </w:tabs>
        <w:spacing w:line="360" w:lineRule="auto"/>
      </w:pPr>
      <w:r>
        <w:fldChar w:fldCharType="begin"/>
      </w:r>
      <w:r>
        <w:instrText xml:space="preserve"> HYPERLINK \l "_Toc23443" </w:instrText>
      </w:r>
      <w:r>
        <w:fldChar w:fldCharType="separate"/>
      </w:r>
      <w:r>
        <w:rPr>
          <w:rFonts w:asciiTheme="minorEastAsia" w:hAnsiTheme="minorEastAsia" w:eastAsiaTheme="minorEastAsia" w:cstheme="minorEastAsia"/>
          <w:lang w:val="zh-CN"/>
        </w:rPr>
        <w:t xml:space="preserve">28、 </w:t>
      </w:r>
      <w:r>
        <w:rPr>
          <w:rFonts w:hint="eastAsia" w:asciiTheme="minorEastAsia" w:hAnsiTheme="minorEastAsia" w:eastAsiaTheme="minorEastAsia" w:cstheme="minorEastAsia"/>
          <w:lang w:val="zh-CN"/>
        </w:rPr>
        <w:t>合同授予标准</w:t>
      </w:r>
      <w:r>
        <w:tab/>
      </w:r>
      <w:r>
        <w:fldChar w:fldCharType="begin"/>
      </w:r>
      <w:r>
        <w:instrText xml:space="preserve"> PAGEREF _Toc23443 </w:instrText>
      </w:r>
      <w:r>
        <w:fldChar w:fldCharType="separate"/>
      </w:r>
      <w:r>
        <w:t>21</w:t>
      </w:r>
      <w:r>
        <w:fldChar w:fldCharType="end"/>
      </w:r>
      <w:r>
        <w:fldChar w:fldCharType="end"/>
      </w:r>
    </w:p>
    <w:p>
      <w:pPr>
        <w:pStyle w:val="22"/>
        <w:tabs>
          <w:tab w:val="right" w:leader="dot" w:pos="9072"/>
        </w:tabs>
        <w:spacing w:line="360" w:lineRule="auto"/>
      </w:pPr>
      <w:r>
        <w:fldChar w:fldCharType="begin"/>
      </w:r>
      <w:r>
        <w:instrText xml:space="preserve"> HYPERLINK \l "_Toc15879" </w:instrText>
      </w:r>
      <w:r>
        <w:fldChar w:fldCharType="separate"/>
      </w:r>
      <w:r>
        <w:rPr>
          <w:rFonts w:asciiTheme="minorEastAsia" w:hAnsiTheme="minorEastAsia" w:eastAsiaTheme="minorEastAsia" w:cstheme="minorEastAsia"/>
          <w:lang w:val="zh-CN"/>
        </w:rPr>
        <w:t xml:space="preserve">29、 </w:t>
      </w:r>
      <w:r>
        <w:rPr>
          <w:rFonts w:hint="eastAsia" w:asciiTheme="minorEastAsia" w:hAnsiTheme="minorEastAsia" w:eastAsiaTheme="minorEastAsia" w:cstheme="minorEastAsia"/>
          <w:lang w:val="zh-CN"/>
        </w:rPr>
        <w:t>签订合同</w:t>
      </w:r>
      <w:r>
        <w:tab/>
      </w:r>
      <w:r>
        <w:fldChar w:fldCharType="begin"/>
      </w:r>
      <w:r>
        <w:instrText xml:space="preserve"> PAGEREF _Toc15879 </w:instrText>
      </w:r>
      <w:r>
        <w:fldChar w:fldCharType="separate"/>
      </w:r>
      <w:r>
        <w:t>21</w:t>
      </w:r>
      <w:r>
        <w:fldChar w:fldCharType="end"/>
      </w:r>
      <w:r>
        <w:fldChar w:fldCharType="end"/>
      </w:r>
    </w:p>
    <w:p>
      <w:pPr>
        <w:pStyle w:val="22"/>
        <w:tabs>
          <w:tab w:val="right" w:leader="dot" w:pos="9072"/>
        </w:tabs>
        <w:spacing w:line="360" w:lineRule="auto"/>
      </w:pPr>
      <w:r>
        <w:fldChar w:fldCharType="begin"/>
      </w:r>
      <w:r>
        <w:instrText xml:space="preserve"> HYPERLINK \l "_Toc5844" </w:instrText>
      </w:r>
      <w:r>
        <w:fldChar w:fldCharType="separate"/>
      </w:r>
      <w:r>
        <w:rPr>
          <w:rFonts w:asciiTheme="minorEastAsia" w:hAnsiTheme="minorEastAsia" w:eastAsiaTheme="minorEastAsia" w:cstheme="minorEastAsia"/>
          <w:lang w:val="zh-CN"/>
        </w:rPr>
        <w:t xml:space="preserve">31、 </w:t>
      </w:r>
      <w:r>
        <w:rPr>
          <w:rFonts w:hint="eastAsia" w:asciiTheme="minorEastAsia" w:hAnsiTheme="minorEastAsia" w:eastAsiaTheme="minorEastAsia" w:cstheme="minorEastAsia"/>
          <w:lang w:val="zh-CN"/>
        </w:rPr>
        <w:t>质疑回复</w:t>
      </w:r>
      <w:r>
        <w:tab/>
      </w:r>
      <w:r>
        <w:fldChar w:fldCharType="begin"/>
      </w:r>
      <w:r>
        <w:instrText xml:space="preserve"> PAGEREF _Toc5844 </w:instrText>
      </w:r>
      <w:r>
        <w:fldChar w:fldCharType="separate"/>
      </w:r>
      <w:r>
        <w:t>23</w:t>
      </w:r>
      <w:r>
        <w:fldChar w:fldCharType="end"/>
      </w:r>
      <w:r>
        <w:fldChar w:fldCharType="end"/>
      </w:r>
    </w:p>
    <w:p>
      <w:pPr>
        <w:pStyle w:val="22"/>
        <w:tabs>
          <w:tab w:val="right" w:leader="dot" w:pos="9072"/>
        </w:tabs>
        <w:spacing w:line="360" w:lineRule="auto"/>
      </w:pPr>
      <w:r>
        <w:fldChar w:fldCharType="begin"/>
      </w:r>
      <w:r>
        <w:instrText xml:space="preserve"> HYPERLINK \l "_Toc26015" </w:instrText>
      </w:r>
      <w:r>
        <w:fldChar w:fldCharType="separate"/>
      </w:r>
      <w:r>
        <w:rPr>
          <w:rFonts w:asciiTheme="minorEastAsia" w:hAnsiTheme="minorEastAsia" w:eastAsiaTheme="minorEastAsia" w:cstheme="minorEastAsia"/>
          <w:lang w:val="zh-CN"/>
        </w:rPr>
        <w:t xml:space="preserve">32、 </w:t>
      </w:r>
      <w:r>
        <w:rPr>
          <w:rFonts w:hint="eastAsia" w:asciiTheme="minorEastAsia" w:hAnsiTheme="minorEastAsia" w:eastAsiaTheme="minorEastAsia" w:cstheme="minorEastAsia"/>
          <w:lang w:val="zh-CN"/>
        </w:rPr>
        <w:t>投诉</w:t>
      </w:r>
      <w:r>
        <w:tab/>
      </w:r>
      <w:r>
        <w:fldChar w:fldCharType="begin"/>
      </w:r>
      <w:r>
        <w:instrText xml:space="preserve"> PAGEREF _Toc26015 </w:instrText>
      </w:r>
      <w:r>
        <w:fldChar w:fldCharType="separate"/>
      </w:r>
      <w:r>
        <w:t>23</w:t>
      </w:r>
      <w:r>
        <w:fldChar w:fldCharType="end"/>
      </w:r>
      <w:r>
        <w:fldChar w:fldCharType="end"/>
      </w:r>
    </w:p>
    <w:p>
      <w:pPr>
        <w:pStyle w:val="22"/>
        <w:tabs>
          <w:tab w:val="right" w:leader="dot" w:pos="9072"/>
        </w:tabs>
        <w:spacing w:line="360" w:lineRule="auto"/>
      </w:pPr>
      <w:r>
        <w:fldChar w:fldCharType="begin"/>
      </w:r>
      <w:r>
        <w:instrText xml:space="preserve"> HYPERLINK \l "_Toc8349" </w:instrText>
      </w:r>
      <w:r>
        <w:fldChar w:fldCharType="separate"/>
      </w:r>
      <w:r>
        <w:rPr>
          <w:rFonts w:asciiTheme="minorEastAsia" w:hAnsiTheme="minorEastAsia" w:eastAsiaTheme="minorEastAsia" w:cstheme="minorEastAsia"/>
          <w:szCs w:val="21"/>
          <w:lang w:val="zh-CN"/>
        </w:rPr>
        <w:t xml:space="preserve">八、 </w:t>
      </w:r>
      <w:r>
        <w:rPr>
          <w:rFonts w:hint="eastAsia" w:asciiTheme="minorEastAsia" w:hAnsiTheme="minorEastAsia" w:eastAsiaTheme="minorEastAsia" w:cstheme="minorEastAsia"/>
          <w:szCs w:val="21"/>
          <w:lang w:val="zh-CN"/>
        </w:rPr>
        <w:t>政策</w:t>
      </w:r>
      <w:r>
        <w:tab/>
      </w:r>
      <w:r>
        <w:fldChar w:fldCharType="begin"/>
      </w:r>
      <w:r>
        <w:instrText xml:space="preserve"> PAGEREF _Toc8349 </w:instrText>
      </w:r>
      <w:r>
        <w:fldChar w:fldCharType="separate"/>
      </w:r>
      <w:r>
        <w:t>23</w:t>
      </w:r>
      <w:r>
        <w:fldChar w:fldCharType="end"/>
      </w:r>
      <w:r>
        <w:fldChar w:fldCharType="end"/>
      </w:r>
    </w:p>
    <w:p>
      <w:pPr>
        <w:pStyle w:val="22"/>
        <w:tabs>
          <w:tab w:val="right" w:leader="dot" w:pos="9072"/>
        </w:tabs>
        <w:spacing w:line="360" w:lineRule="auto"/>
      </w:pPr>
      <w:r>
        <w:fldChar w:fldCharType="begin"/>
      </w:r>
      <w:r>
        <w:instrText xml:space="preserve"> HYPERLINK \l "_Toc8371" </w:instrText>
      </w:r>
      <w:r>
        <w:fldChar w:fldCharType="separate"/>
      </w:r>
      <w:r>
        <w:rPr>
          <w:rFonts w:asciiTheme="minorEastAsia" w:hAnsiTheme="minorEastAsia" w:eastAsiaTheme="minorEastAsia" w:cstheme="minorEastAsia"/>
        </w:rPr>
        <w:t xml:space="preserve">33、 </w:t>
      </w:r>
      <w:r>
        <w:rPr>
          <w:rFonts w:hint="eastAsia" w:asciiTheme="minorEastAsia" w:hAnsiTheme="minorEastAsia" w:eastAsiaTheme="minorEastAsia" w:cstheme="minorEastAsia"/>
        </w:rPr>
        <w:t>政府采购政策</w:t>
      </w:r>
      <w:r>
        <w:tab/>
      </w:r>
      <w:r>
        <w:fldChar w:fldCharType="begin"/>
      </w:r>
      <w:r>
        <w:instrText xml:space="preserve"> PAGEREF _Toc8371 </w:instrText>
      </w:r>
      <w:r>
        <w:fldChar w:fldCharType="separate"/>
      </w:r>
      <w:r>
        <w:t>23</w:t>
      </w:r>
      <w:r>
        <w:fldChar w:fldCharType="end"/>
      </w:r>
      <w:r>
        <w:fldChar w:fldCharType="end"/>
      </w:r>
    </w:p>
    <w:p>
      <w:pPr>
        <w:pStyle w:val="22"/>
        <w:tabs>
          <w:tab w:val="right" w:leader="dot" w:pos="9072"/>
        </w:tabs>
        <w:spacing w:line="360" w:lineRule="auto"/>
      </w:pPr>
      <w:r>
        <w:fldChar w:fldCharType="begin"/>
      </w:r>
      <w:r>
        <w:instrText xml:space="preserve"> HYPERLINK \l "_Toc22449" </w:instrText>
      </w:r>
      <w:r>
        <w:fldChar w:fldCharType="separate"/>
      </w:r>
      <w:r>
        <w:rPr>
          <w:rFonts w:asciiTheme="minorEastAsia" w:hAnsiTheme="minorEastAsia" w:eastAsiaTheme="minorEastAsia" w:cstheme="minorEastAsia"/>
          <w:szCs w:val="21"/>
          <w:lang w:val="zh-CN"/>
        </w:rPr>
        <w:t xml:space="preserve">九、 </w:t>
      </w:r>
      <w:r>
        <w:rPr>
          <w:rFonts w:hint="eastAsia" w:asciiTheme="minorEastAsia" w:hAnsiTheme="minorEastAsia" w:eastAsiaTheme="minorEastAsia" w:cstheme="minorEastAsia"/>
          <w:szCs w:val="21"/>
          <w:lang w:val="zh-CN"/>
        </w:rPr>
        <w:t>其他要求</w:t>
      </w:r>
      <w:r>
        <w:tab/>
      </w:r>
      <w:r>
        <w:fldChar w:fldCharType="begin"/>
      </w:r>
      <w:r>
        <w:instrText xml:space="preserve"> PAGEREF _Toc22449 </w:instrText>
      </w:r>
      <w:r>
        <w:fldChar w:fldCharType="separate"/>
      </w:r>
      <w:r>
        <w:t>24</w:t>
      </w:r>
      <w:r>
        <w:fldChar w:fldCharType="end"/>
      </w:r>
      <w:r>
        <w:fldChar w:fldCharType="end"/>
      </w:r>
    </w:p>
    <w:p>
      <w:pPr>
        <w:pStyle w:val="22"/>
        <w:tabs>
          <w:tab w:val="right" w:leader="dot" w:pos="9072"/>
        </w:tabs>
        <w:spacing w:line="360" w:lineRule="auto"/>
      </w:pPr>
      <w:r>
        <w:fldChar w:fldCharType="begin"/>
      </w:r>
      <w:r>
        <w:instrText xml:space="preserve"> HYPERLINK \l "_Toc28070" </w:instrText>
      </w:r>
      <w:r>
        <w:fldChar w:fldCharType="separate"/>
      </w:r>
      <w:r>
        <w:rPr>
          <w:rFonts w:asciiTheme="minorEastAsia" w:hAnsiTheme="minorEastAsia" w:eastAsiaTheme="minorEastAsia" w:cstheme="minorEastAsia"/>
          <w:szCs w:val="21"/>
          <w:lang w:val="zh-CN"/>
        </w:rPr>
        <w:t xml:space="preserve">十、 </w:t>
      </w:r>
      <w:r>
        <w:rPr>
          <w:rFonts w:hint="eastAsia" w:asciiTheme="minorEastAsia" w:hAnsiTheme="minorEastAsia" w:eastAsiaTheme="minorEastAsia" w:cstheme="minorEastAsia"/>
          <w:szCs w:val="21"/>
          <w:lang w:val="zh-CN"/>
        </w:rPr>
        <w:t>适用法律</w:t>
      </w:r>
      <w:r>
        <w:tab/>
      </w:r>
      <w:r>
        <w:fldChar w:fldCharType="begin"/>
      </w:r>
      <w:r>
        <w:instrText xml:space="preserve"> PAGEREF _Toc28070 </w:instrText>
      </w:r>
      <w:r>
        <w:fldChar w:fldCharType="separate"/>
      </w:r>
      <w:r>
        <w:t>24</w:t>
      </w:r>
      <w:r>
        <w:fldChar w:fldCharType="end"/>
      </w:r>
      <w:r>
        <w:fldChar w:fldCharType="end"/>
      </w:r>
    </w:p>
    <w:p>
      <w:pPr>
        <w:pStyle w:val="20"/>
        <w:tabs>
          <w:tab w:val="right" w:leader="dot" w:pos="9072"/>
        </w:tabs>
        <w:spacing w:line="360" w:lineRule="auto"/>
      </w:pPr>
      <w:r>
        <w:fldChar w:fldCharType="begin"/>
      </w:r>
      <w:r>
        <w:instrText xml:space="preserve"> HYPERLINK \l "_Toc6380" </w:instrText>
      </w:r>
      <w:r>
        <w:fldChar w:fldCharType="separate"/>
      </w:r>
      <w:r>
        <w:rPr>
          <w:rFonts w:asciiTheme="minorEastAsia" w:hAnsiTheme="minorEastAsia" w:eastAsiaTheme="minorEastAsia" w:cstheme="minorEastAsia"/>
          <w:szCs w:val="36"/>
        </w:rPr>
        <w:t xml:space="preserve">第三章 </w:t>
      </w:r>
      <w:r>
        <w:rPr>
          <w:rFonts w:hint="eastAsia" w:asciiTheme="minorEastAsia" w:hAnsiTheme="minorEastAsia" w:eastAsiaTheme="minorEastAsia" w:cstheme="minorEastAsia"/>
          <w:bCs/>
          <w:szCs w:val="36"/>
        </w:rPr>
        <w:t>采购需求</w:t>
      </w:r>
      <w:r>
        <w:tab/>
      </w:r>
      <w:r>
        <w:fldChar w:fldCharType="begin"/>
      </w:r>
      <w:r>
        <w:instrText xml:space="preserve"> PAGEREF _Toc6380 </w:instrText>
      </w:r>
      <w:r>
        <w:fldChar w:fldCharType="separate"/>
      </w:r>
      <w:r>
        <w:t>26</w:t>
      </w:r>
      <w:r>
        <w:fldChar w:fldCharType="end"/>
      </w:r>
      <w:r>
        <w:fldChar w:fldCharType="end"/>
      </w:r>
    </w:p>
    <w:p>
      <w:pPr>
        <w:pStyle w:val="22"/>
        <w:tabs>
          <w:tab w:val="right" w:leader="dot" w:pos="9072"/>
        </w:tabs>
        <w:spacing w:line="360" w:lineRule="auto"/>
      </w:pPr>
      <w:r>
        <w:fldChar w:fldCharType="begin"/>
      </w:r>
      <w:r>
        <w:instrText xml:space="preserve"> HYPERLINK \l "_Toc13790" </w:instrText>
      </w:r>
      <w:r>
        <w:fldChar w:fldCharType="separate"/>
      </w:r>
      <w:r>
        <w:rPr>
          <w:rFonts w:hint="eastAsia" w:asciiTheme="minorEastAsia" w:hAnsiTheme="minorEastAsia" w:eastAsiaTheme="minorEastAsia" w:cstheme="minorEastAsia"/>
          <w:bCs/>
        </w:rPr>
        <w:t>一、技术需求</w:t>
      </w:r>
      <w:r>
        <w:tab/>
      </w:r>
      <w:r>
        <w:fldChar w:fldCharType="begin"/>
      </w:r>
      <w:r>
        <w:instrText xml:space="preserve"> PAGEREF _Toc13790 </w:instrText>
      </w:r>
      <w:r>
        <w:fldChar w:fldCharType="separate"/>
      </w:r>
      <w:r>
        <w:t>26</w:t>
      </w:r>
      <w:r>
        <w:fldChar w:fldCharType="end"/>
      </w:r>
      <w:r>
        <w:fldChar w:fldCharType="end"/>
      </w:r>
    </w:p>
    <w:p>
      <w:pPr>
        <w:pStyle w:val="22"/>
        <w:tabs>
          <w:tab w:val="right" w:leader="dot" w:pos="9072"/>
        </w:tabs>
        <w:spacing w:line="360" w:lineRule="auto"/>
      </w:pPr>
      <w:r>
        <w:fldChar w:fldCharType="begin"/>
      </w:r>
      <w:r>
        <w:instrText xml:space="preserve"> HYPERLINK \l "_Toc4139" </w:instrText>
      </w:r>
      <w:r>
        <w:fldChar w:fldCharType="separate"/>
      </w:r>
      <w:r>
        <w:rPr>
          <w:rFonts w:hint="eastAsia" w:asciiTheme="minorEastAsia" w:hAnsiTheme="minorEastAsia" w:eastAsiaTheme="minorEastAsia" w:cstheme="minorEastAsia"/>
          <w:bCs/>
        </w:rPr>
        <w:t>二、商务需求</w:t>
      </w:r>
      <w:r>
        <w:tab/>
      </w:r>
      <w:r>
        <w:fldChar w:fldCharType="begin"/>
      </w:r>
      <w:r>
        <w:instrText xml:space="preserve"> PAGEREF _Toc4139 </w:instrText>
      </w:r>
      <w:r>
        <w:fldChar w:fldCharType="separate"/>
      </w:r>
      <w:r>
        <w:t>28</w:t>
      </w:r>
      <w:r>
        <w:fldChar w:fldCharType="end"/>
      </w:r>
      <w:r>
        <w:fldChar w:fldCharType="end"/>
      </w:r>
    </w:p>
    <w:p>
      <w:pPr>
        <w:pStyle w:val="20"/>
        <w:tabs>
          <w:tab w:val="right" w:leader="dot" w:pos="9072"/>
        </w:tabs>
        <w:spacing w:line="360" w:lineRule="auto"/>
      </w:pPr>
      <w:r>
        <w:fldChar w:fldCharType="begin"/>
      </w:r>
      <w:r>
        <w:instrText xml:space="preserve"> HYPERLINK \l "_Toc1421" </w:instrText>
      </w:r>
      <w:r>
        <w:fldChar w:fldCharType="separate"/>
      </w:r>
      <w:r>
        <w:rPr>
          <w:rFonts w:asciiTheme="minorEastAsia" w:hAnsiTheme="minorEastAsia" w:eastAsiaTheme="minorEastAsia" w:cstheme="minorEastAsia"/>
          <w:szCs w:val="36"/>
        </w:rPr>
        <w:t xml:space="preserve">第四章 </w:t>
      </w:r>
      <w:r>
        <w:rPr>
          <w:rFonts w:hint="eastAsia" w:asciiTheme="minorEastAsia" w:hAnsiTheme="minorEastAsia" w:eastAsiaTheme="minorEastAsia" w:cstheme="minorEastAsia"/>
          <w:szCs w:val="36"/>
        </w:rPr>
        <w:t>竞争性磋商采购评定办法</w:t>
      </w:r>
      <w:r>
        <w:tab/>
      </w:r>
      <w:r>
        <w:fldChar w:fldCharType="begin"/>
      </w:r>
      <w:r>
        <w:instrText xml:space="preserve"> PAGEREF _Toc1421 </w:instrText>
      </w:r>
      <w:r>
        <w:fldChar w:fldCharType="separate"/>
      </w:r>
      <w:r>
        <w:t>31</w:t>
      </w:r>
      <w:r>
        <w:fldChar w:fldCharType="end"/>
      </w:r>
      <w:r>
        <w:fldChar w:fldCharType="end"/>
      </w:r>
    </w:p>
    <w:p>
      <w:pPr>
        <w:pStyle w:val="22"/>
        <w:tabs>
          <w:tab w:val="right" w:leader="dot" w:pos="9072"/>
        </w:tabs>
        <w:spacing w:line="360" w:lineRule="auto"/>
      </w:pPr>
      <w:r>
        <w:fldChar w:fldCharType="begin"/>
      </w:r>
      <w:r>
        <w:instrText xml:space="preserve"> HYPERLINK \l "_Toc4474" </w:instrText>
      </w:r>
      <w:r>
        <w:fldChar w:fldCharType="separate"/>
      </w:r>
      <w:r>
        <w:rPr>
          <w:rFonts w:hint="eastAsia" w:asciiTheme="minorEastAsia" w:hAnsiTheme="minorEastAsia" w:eastAsiaTheme="minorEastAsia" w:cstheme="minorEastAsia"/>
          <w:szCs w:val="21"/>
        </w:rPr>
        <w:t>一、评定办法前附表</w:t>
      </w:r>
      <w:r>
        <w:tab/>
      </w:r>
      <w:r>
        <w:fldChar w:fldCharType="begin"/>
      </w:r>
      <w:r>
        <w:instrText xml:space="preserve"> PAGEREF _Toc4474 </w:instrText>
      </w:r>
      <w:r>
        <w:fldChar w:fldCharType="separate"/>
      </w:r>
      <w:r>
        <w:t>31</w:t>
      </w:r>
      <w:r>
        <w:fldChar w:fldCharType="end"/>
      </w:r>
      <w:r>
        <w:fldChar w:fldCharType="end"/>
      </w:r>
    </w:p>
    <w:p>
      <w:pPr>
        <w:pStyle w:val="22"/>
        <w:tabs>
          <w:tab w:val="right" w:leader="dot" w:pos="9072"/>
        </w:tabs>
        <w:spacing w:line="360" w:lineRule="auto"/>
      </w:pPr>
      <w:r>
        <w:fldChar w:fldCharType="begin"/>
      </w:r>
      <w:r>
        <w:instrText xml:space="preserve"> HYPERLINK \l "_Toc32423" </w:instrText>
      </w:r>
      <w:r>
        <w:fldChar w:fldCharType="separate"/>
      </w:r>
      <w:r>
        <w:rPr>
          <w:rFonts w:hint="eastAsia" w:asciiTheme="minorEastAsia" w:hAnsiTheme="minorEastAsia" w:eastAsiaTheme="minorEastAsia" w:cstheme="minorEastAsia"/>
          <w:szCs w:val="21"/>
        </w:rPr>
        <w:t>二、计算办法</w:t>
      </w:r>
      <w:r>
        <w:tab/>
      </w:r>
      <w:r>
        <w:fldChar w:fldCharType="begin"/>
      </w:r>
      <w:r>
        <w:instrText xml:space="preserve"> PAGEREF _Toc32423 </w:instrText>
      </w:r>
      <w:r>
        <w:fldChar w:fldCharType="separate"/>
      </w:r>
      <w:r>
        <w:t>34</w:t>
      </w:r>
      <w:r>
        <w:fldChar w:fldCharType="end"/>
      </w:r>
      <w:r>
        <w:fldChar w:fldCharType="end"/>
      </w:r>
    </w:p>
    <w:p>
      <w:pPr>
        <w:pStyle w:val="22"/>
        <w:tabs>
          <w:tab w:val="right" w:leader="dot" w:pos="9072"/>
        </w:tabs>
        <w:spacing w:line="360" w:lineRule="auto"/>
      </w:pPr>
      <w:r>
        <w:fldChar w:fldCharType="begin"/>
      </w:r>
      <w:r>
        <w:instrText xml:space="preserve"> HYPERLINK \l "_Toc18578" </w:instrText>
      </w:r>
      <w:r>
        <w:fldChar w:fldCharType="separate"/>
      </w:r>
      <w:r>
        <w:rPr>
          <w:rFonts w:hint="eastAsia" w:asciiTheme="minorEastAsia" w:hAnsiTheme="minorEastAsia" w:eastAsiaTheme="minorEastAsia" w:cstheme="minorEastAsia"/>
          <w:szCs w:val="21"/>
        </w:rPr>
        <w:t>三、评分细则</w:t>
      </w:r>
      <w:r>
        <w:tab/>
      </w:r>
      <w:r>
        <w:fldChar w:fldCharType="begin"/>
      </w:r>
      <w:r>
        <w:instrText xml:space="preserve"> PAGEREF _Toc18578 </w:instrText>
      </w:r>
      <w:r>
        <w:fldChar w:fldCharType="separate"/>
      </w:r>
      <w:r>
        <w:t>35</w:t>
      </w:r>
      <w:r>
        <w:fldChar w:fldCharType="end"/>
      </w:r>
      <w:r>
        <w:fldChar w:fldCharType="end"/>
      </w:r>
    </w:p>
    <w:p>
      <w:pPr>
        <w:pStyle w:val="22"/>
        <w:tabs>
          <w:tab w:val="right" w:leader="dot" w:pos="9072"/>
        </w:tabs>
        <w:spacing w:line="360" w:lineRule="auto"/>
      </w:pPr>
      <w:r>
        <w:fldChar w:fldCharType="begin"/>
      </w:r>
      <w:r>
        <w:instrText xml:space="preserve"> HYPERLINK \l "_Toc32480" </w:instrText>
      </w:r>
      <w:r>
        <w:fldChar w:fldCharType="separate"/>
      </w:r>
      <w:r>
        <w:rPr>
          <w:rFonts w:hint="eastAsia" w:asciiTheme="minorEastAsia" w:hAnsiTheme="minorEastAsia" w:eastAsiaTheme="minorEastAsia" w:cstheme="minorEastAsia"/>
          <w:szCs w:val="21"/>
        </w:rPr>
        <w:t>四、评定办法</w:t>
      </w:r>
      <w:r>
        <w:tab/>
      </w:r>
      <w:r>
        <w:fldChar w:fldCharType="begin"/>
      </w:r>
      <w:r>
        <w:instrText xml:space="preserve"> PAGEREF _Toc32480 </w:instrText>
      </w:r>
      <w:r>
        <w:fldChar w:fldCharType="separate"/>
      </w:r>
      <w:r>
        <w:t>37</w:t>
      </w:r>
      <w:r>
        <w:fldChar w:fldCharType="end"/>
      </w:r>
      <w:r>
        <w:fldChar w:fldCharType="end"/>
      </w:r>
    </w:p>
    <w:p>
      <w:pPr>
        <w:pStyle w:val="22"/>
        <w:tabs>
          <w:tab w:val="right" w:leader="dot" w:pos="9072"/>
        </w:tabs>
        <w:spacing w:line="360" w:lineRule="auto"/>
      </w:pPr>
      <w:r>
        <w:fldChar w:fldCharType="begin"/>
      </w:r>
      <w:r>
        <w:instrText xml:space="preserve"> HYPERLINK \l "_Toc2647" </w:instrText>
      </w:r>
      <w:r>
        <w:fldChar w:fldCharType="separate"/>
      </w:r>
      <w:r>
        <w:rPr>
          <w:rFonts w:hint="eastAsia" w:asciiTheme="minorEastAsia" w:hAnsiTheme="minorEastAsia" w:eastAsiaTheme="minorEastAsia" w:cstheme="minorEastAsia"/>
          <w:szCs w:val="21"/>
        </w:rPr>
        <w:t>五、磋商及评审步骤</w:t>
      </w:r>
      <w:r>
        <w:tab/>
      </w:r>
      <w:r>
        <w:fldChar w:fldCharType="begin"/>
      </w:r>
      <w:r>
        <w:instrText xml:space="preserve"> PAGEREF _Toc2647 </w:instrText>
      </w:r>
      <w:r>
        <w:fldChar w:fldCharType="separate"/>
      </w:r>
      <w:r>
        <w:t>38</w:t>
      </w:r>
      <w:r>
        <w:fldChar w:fldCharType="end"/>
      </w:r>
      <w:r>
        <w:fldChar w:fldCharType="end"/>
      </w:r>
    </w:p>
    <w:p>
      <w:pPr>
        <w:pStyle w:val="20"/>
        <w:tabs>
          <w:tab w:val="right" w:leader="dot" w:pos="9072"/>
        </w:tabs>
        <w:spacing w:line="360" w:lineRule="auto"/>
      </w:pPr>
      <w:r>
        <w:fldChar w:fldCharType="begin"/>
      </w:r>
      <w:r>
        <w:instrText xml:space="preserve"> HYPERLINK \l "_Toc11100" </w:instrText>
      </w:r>
      <w:r>
        <w:fldChar w:fldCharType="separate"/>
      </w:r>
      <w:r>
        <w:rPr>
          <w:rFonts w:asciiTheme="minorEastAsia" w:hAnsiTheme="minorEastAsia" w:eastAsiaTheme="minorEastAsia" w:cstheme="minorEastAsia"/>
          <w:kern w:val="0"/>
          <w:szCs w:val="36"/>
        </w:rPr>
        <w:t xml:space="preserve">第五章 </w:t>
      </w:r>
      <w:r>
        <w:rPr>
          <w:rFonts w:hint="eastAsia" w:asciiTheme="minorEastAsia" w:hAnsiTheme="minorEastAsia" w:eastAsiaTheme="minorEastAsia" w:cstheme="minorEastAsia"/>
          <w:szCs w:val="36"/>
        </w:rPr>
        <w:t>合同书格式</w:t>
      </w:r>
      <w:r>
        <w:tab/>
      </w:r>
      <w:r>
        <w:fldChar w:fldCharType="begin"/>
      </w:r>
      <w:r>
        <w:instrText xml:space="preserve"> PAGEREF _Toc11100 </w:instrText>
      </w:r>
      <w:r>
        <w:fldChar w:fldCharType="separate"/>
      </w:r>
      <w:r>
        <w:t>40</w:t>
      </w:r>
      <w:r>
        <w:fldChar w:fldCharType="end"/>
      </w:r>
      <w:r>
        <w:fldChar w:fldCharType="end"/>
      </w:r>
    </w:p>
    <w:p>
      <w:pPr>
        <w:pStyle w:val="20"/>
        <w:tabs>
          <w:tab w:val="right" w:leader="dot" w:pos="9072"/>
        </w:tabs>
        <w:spacing w:line="360" w:lineRule="auto"/>
      </w:pPr>
      <w:r>
        <w:fldChar w:fldCharType="begin"/>
      </w:r>
      <w:r>
        <w:instrText xml:space="preserve"> HYPERLINK \l "_Toc17015" </w:instrText>
      </w:r>
      <w:r>
        <w:fldChar w:fldCharType="separate"/>
      </w:r>
      <w:r>
        <w:rPr>
          <w:rFonts w:asciiTheme="minorEastAsia" w:hAnsiTheme="minorEastAsia" w:eastAsiaTheme="minorEastAsia" w:cstheme="minorEastAsia"/>
          <w:szCs w:val="36"/>
        </w:rPr>
        <w:t xml:space="preserve">第六章 </w:t>
      </w:r>
      <w:r>
        <w:rPr>
          <w:rFonts w:hint="eastAsia" w:asciiTheme="minorEastAsia" w:hAnsiTheme="minorEastAsia" w:eastAsiaTheme="minorEastAsia" w:cstheme="minorEastAsia"/>
          <w:szCs w:val="36"/>
        </w:rPr>
        <w:t>竞争性磋商响应文件格式</w:t>
      </w:r>
      <w:r>
        <w:tab/>
      </w:r>
      <w:r>
        <w:fldChar w:fldCharType="begin"/>
      </w:r>
      <w:r>
        <w:instrText xml:space="preserve"> PAGEREF _Toc17015 </w:instrText>
      </w:r>
      <w:r>
        <w:fldChar w:fldCharType="separate"/>
      </w:r>
      <w:r>
        <w:t>40</w:t>
      </w:r>
      <w:r>
        <w:fldChar w:fldCharType="end"/>
      </w:r>
      <w:r>
        <w:fldChar w:fldCharType="end"/>
      </w:r>
    </w:p>
    <w:p>
      <w:pPr>
        <w:pStyle w:val="22"/>
        <w:tabs>
          <w:tab w:val="right" w:leader="dot" w:pos="9072"/>
        </w:tabs>
        <w:spacing w:line="360" w:lineRule="auto"/>
      </w:pPr>
      <w:r>
        <w:fldChar w:fldCharType="begin"/>
      </w:r>
      <w:r>
        <w:instrText xml:space="preserve"> HYPERLINK \l "_Toc14065" </w:instrText>
      </w:r>
      <w:r>
        <w:fldChar w:fldCharType="separate"/>
      </w:r>
      <w:r>
        <w:rPr>
          <w:rFonts w:hint="eastAsia" w:ascii="宋体" w:hAnsi="宋体" w:cs="宋体"/>
          <w:szCs w:val="21"/>
        </w:rPr>
        <w:t>一、评分标准索引表</w:t>
      </w:r>
      <w:r>
        <w:tab/>
      </w:r>
      <w:r>
        <w:fldChar w:fldCharType="begin"/>
      </w:r>
      <w:r>
        <w:instrText xml:space="preserve"> PAGEREF _Toc14065 </w:instrText>
      </w:r>
      <w:r>
        <w:fldChar w:fldCharType="separate"/>
      </w:r>
      <w:r>
        <w:t>45</w:t>
      </w:r>
      <w:r>
        <w:fldChar w:fldCharType="end"/>
      </w:r>
      <w:r>
        <w:fldChar w:fldCharType="end"/>
      </w:r>
    </w:p>
    <w:p>
      <w:pPr>
        <w:pStyle w:val="22"/>
        <w:tabs>
          <w:tab w:val="right" w:leader="dot" w:pos="9072"/>
        </w:tabs>
        <w:spacing w:line="360" w:lineRule="auto"/>
      </w:pPr>
      <w:r>
        <w:fldChar w:fldCharType="begin"/>
      </w:r>
      <w:r>
        <w:instrText xml:space="preserve"> HYPERLINK \l "_Toc8850" </w:instrText>
      </w:r>
      <w:r>
        <w:fldChar w:fldCharType="separate"/>
      </w:r>
      <w:r>
        <w:rPr>
          <w:rFonts w:hint="eastAsia" w:asciiTheme="minorEastAsia" w:hAnsiTheme="minorEastAsia" w:eastAsiaTheme="minorEastAsia" w:cstheme="minorEastAsia"/>
        </w:rPr>
        <w:t>二、磋商书</w:t>
      </w:r>
      <w:r>
        <w:tab/>
      </w:r>
      <w:r>
        <w:fldChar w:fldCharType="begin"/>
      </w:r>
      <w:r>
        <w:instrText xml:space="preserve"> PAGEREF _Toc8850 </w:instrText>
      </w:r>
      <w:r>
        <w:fldChar w:fldCharType="separate"/>
      </w:r>
      <w:r>
        <w:t>46</w:t>
      </w:r>
      <w:r>
        <w:fldChar w:fldCharType="end"/>
      </w:r>
      <w:r>
        <w:fldChar w:fldCharType="end"/>
      </w:r>
    </w:p>
    <w:p>
      <w:pPr>
        <w:pStyle w:val="22"/>
        <w:tabs>
          <w:tab w:val="right" w:leader="dot" w:pos="9072"/>
        </w:tabs>
        <w:spacing w:line="360" w:lineRule="auto"/>
      </w:pPr>
      <w:r>
        <w:fldChar w:fldCharType="begin"/>
      </w:r>
      <w:r>
        <w:instrText xml:space="preserve"> HYPERLINK \l "_Toc24882" </w:instrText>
      </w:r>
      <w:r>
        <w:fldChar w:fldCharType="separate"/>
      </w:r>
      <w:r>
        <w:rPr>
          <w:rFonts w:hint="eastAsia" w:asciiTheme="minorEastAsia" w:hAnsiTheme="minorEastAsia" w:eastAsiaTheme="minorEastAsia" w:cstheme="minorEastAsia"/>
        </w:rPr>
        <w:t>三、法定代表人授权书</w:t>
      </w:r>
      <w:r>
        <w:tab/>
      </w:r>
      <w:r>
        <w:fldChar w:fldCharType="begin"/>
      </w:r>
      <w:r>
        <w:instrText xml:space="preserve"> PAGEREF _Toc24882 </w:instrText>
      </w:r>
      <w:r>
        <w:fldChar w:fldCharType="separate"/>
      </w:r>
      <w:r>
        <w:t>47</w:t>
      </w:r>
      <w:r>
        <w:fldChar w:fldCharType="end"/>
      </w:r>
      <w:r>
        <w:fldChar w:fldCharType="end"/>
      </w:r>
    </w:p>
    <w:p>
      <w:pPr>
        <w:pStyle w:val="22"/>
        <w:tabs>
          <w:tab w:val="right" w:leader="dot" w:pos="9072"/>
        </w:tabs>
        <w:spacing w:line="360" w:lineRule="auto"/>
      </w:pPr>
      <w:r>
        <w:fldChar w:fldCharType="begin"/>
      </w:r>
      <w:r>
        <w:instrText xml:space="preserve"> HYPERLINK \l "_Toc19133" </w:instrText>
      </w:r>
      <w:r>
        <w:fldChar w:fldCharType="separate"/>
      </w:r>
      <w:r>
        <w:rPr>
          <w:rFonts w:hint="eastAsia" w:asciiTheme="minorEastAsia" w:hAnsiTheme="minorEastAsia" w:eastAsiaTheme="minorEastAsia" w:cstheme="minorEastAsia"/>
          <w:bCs/>
          <w:kern w:val="0"/>
          <w:szCs w:val="21"/>
        </w:rPr>
        <w:t>四、</w:t>
      </w:r>
      <w:r>
        <w:rPr>
          <w:rFonts w:hint="eastAsia" w:asciiTheme="minorEastAsia" w:hAnsiTheme="minorEastAsia" w:eastAsiaTheme="minorEastAsia" w:cstheme="minorEastAsia"/>
          <w:bCs/>
          <w:szCs w:val="21"/>
        </w:rPr>
        <w:t>法定代表人身份证明书</w:t>
      </w:r>
      <w:r>
        <w:tab/>
      </w:r>
      <w:r>
        <w:fldChar w:fldCharType="begin"/>
      </w:r>
      <w:r>
        <w:instrText xml:space="preserve"> PAGEREF _Toc19133 </w:instrText>
      </w:r>
      <w:r>
        <w:fldChar w:fldCharType="separate"/>
      </w:r>
      <w:r>
        <w:t>48</w:t>
      </w:r>
      <w:r>
        <w:fldChar w:fldCharType="end"/>
      </w:r>
      <w:r>
        <w:fldChar w:fldCharType="end"/>
      </w:r>
    </w:p>
    <w:p>
      <w:pPr>
        <w:pStyle w:val="22"/>
        <w:tabs>
          <w:tab w:val="right" w:leader="dot" w:pos="9072"/>
        </w:tabs>
        <w:spacing w:line="360" w:lineRule="auto"/>
      </w:pPr>
      <w:r>
        <w:fldChar w:fldCharType="begin"/>
      </w:r>
      <w:r>
        <w:instrText xml:space="preserve"> HYPERLINK \l "_Toc24587" </w:instrText>
      </w:r>
      <w:r>
        <w:fldChar w:fldCharType="separate"/>
      </w:r>
      <w:r>
        <w:rPr>
          <w:rFonts w:hint="eastAsia" w:asciiTheme="minorEastAsia" w:hAnsiTheme="minorEastAsia" w:eastAsiaTheme="minorEastAsia" w:cstheme="minorEastAsia"/>
          <w:bCs/>
          <w:szCs w:val="21"/>
        </w:rPr>
        <w:t>五、报价一览表</w:t>
      </w:r>
      <w:r>
        <w:tab/>
      </w:r>
      <w:r>
        <w:fldChar w:fldCharType="begin"/>
      </w:r>
      <w:r>
        <w:instrText xml:space="preserve"> PAGEREF _Toc24587 </w:instrText>
      </w:r>
      <w:r>
        <w:fldChar w:fldCharType="separate"/>
      </w:r>
      <w:r>
        <w:t>49</w:t>
      </w:r>
      <w:r>
        <w:fldChar w:fldCharType="end"/>
      </w:r>
      <w:r>
        <w:fldChar w:fldCharType="end"/>
      </w:r>
    </w:p>
    <w:p>
      <w:pPr>
        <w:pStyle w:val="22"/>
        <w:tabs>
          <w:tab w:val="right" w:leader="dot" w:pos="9072"/>
        </w:tabs>
        <w:spacing w:line="360" w:lineRule="auto"/>
      </w:pPr>
      <w:r>
        <w:fldChar w:fldCharType="begin"/>
      </w:r>
      <w:r>
        <w:instrText xml:space="preserve"> HYPERLINK \l "_Toc9154" </w:instrText>
      </w:r>
      <w:r>
        <w:fldChar w:fldCharType="separate"/>
      </w:r>
      <w:r>
        <w:rPr>
          <w:rFonts w:hint="eastAsia" w:asciiTheme="minorEastAsia" w:hAnsiTheme="minorEastAsia" w:eastAsiaTheme="minorEastAsia" w:cstheme="minorEastAsia"/>
          <w:bCs/>
          <w:szCs w:val="21"/>
        </w:rPr>
        <w:t>六、报价费用构成表</w:t>
      </w:r>
      <w:r>
        <w:tab/>
      </w:r>
      <w:r>
        <w:fldChar w:fldCharType="begin"/>
      </w:r>
      <w:r>
        <w:instrText xml:space="preserve"> PAGEREF _Toc9154 </w:instrText>
      </w:r>
      <w:r>
        <w:fldChar w:fldCharType="separate"/>
      </w:r>
      <w:r>
        <w:t>50</w:t>
      </w:r>
      <w:r>
        <w:fldChar w:fldCharType="end"/>
      </w:r>
      <w:r>
        <w:fldChar w:fldCharType="end"/>
      </w:r>
    </w:p>
    <w:p>
      <w:pPr>
        <w:pStyle w:val="22"/>
        <w:tabs>
          <w:tab w:val="right" w:leader="dot" w:pos="9072"/>
        </w:tabs>
        <w:spacing w:line="360" w:lineRule="auto"/>
      </w:pPr>
      <w:r>
        <w:fldChar w:fldCharType="begin"/>
      </w:r>
      <w:r>
        <w:instrText xml:space="preserve"> HYPERLINK \l "_Toc8555" </w:instrText>
      </w:r>
      <w:r>
        <w:fldChar w:fldCharType="separate"/>
      </w:r>
      <w:r>
        <w:rPr>
          <w:rFonts w:hint="eastAsia" w:asciiTheme="minorEastAsia" w:hAnsiTheme="minorEastAsia" w:eastAsiaTheme="minorEastAsia" w:cstheme="minorEastAsia"/>
          <w:bCs/>
          <w:szCs w:val="21"/>
        </w:rPr>
        <w:t>七、耗材清单</w:t>
      </w:r>
      <w:r>
        <w:tab/>
      </w:r>
      <w:r>
        <w:fldChar w:fldCharType="begin"/>
      </w:r>
      <w:r>
        <w:instrText xml:space="preserve"> PAGEREF _Toc8555 </w:instrText>
      </w:r>
      <w:r>
        <w:fldChar w:fldCharType="separate"/>
      </w:r>
      <w:r>
        <w:t>51</w:t>
      </w:r>
      <w:r>
        <w:fldChar w:fldCharType="end"/>
      </w:r>
      <w:r>
        <w:fldChar w:fldCharType="end"/>
      </w:r>
    </w:p>
    <w:p>
      <w:pPr>
        <w:pStyle w:val="22"/>
        <w:tabs>
          <w:tab w:val="right" w:leader="dot" w:pos="9072"/>
        </w:tabs>
        <w:spacing w:line="360" w:lineRule="auto"/>
      </w:pPr>
      <w:r>
        <w:fldChar w:fldCharType="begin"/>
      </w:r>
      <w:r>
        <w:instrText xml:space="preserve"> HYPERLINK \l "_Toc4858" </w:instrText>
      </w:r>
      <w:r>
        <w:fldChar w:fldCharType="separate"/>
      </w:r>
      <w:r>
        <w:rPr>
          <w:rFonts w:hint="eastAsia" w:asciiTheme="minorEastAsia" w:hAnsiTheme="minorEastAsia" w:eastAsiaTheme="minorEastAsia" w:cstheme="minorEastAsia"/>
          <w:bCs/>
          <w:szCs w:val="21"/>
        </w:rPr>
        <w:t>八、拟投入设备/备件、工具情况</w:t>
      </w:r>
      <w:r>
        <w:tab/>
      </w:r>
      <w:r>
        <w:fldChar w:fldCharType="begin"/>
      </w:r>
      <w:r>
        <w:instrText xml:space="preserve"> PAGEREF _Toc4858 </w:instrText>
      </w:r>
      <w:r>
        <w:fldChar w:fldCharType="separate"/>
      </w:r>
      <w:r>
        <w:t>52</w:t>
      </w:r>
      <w:r>
        <w:fldChar w:fldCharType="end"/>
      </w:r>
      <w:r>
        <w:fldChar w:fldCharType="end"/>
      </w:r>
    </w:p>
    <w:p>
      <w:pPr>
        <w:pStyle w:val="22"/>
        <w:tabs>
          <w:tab w:val="right" w:leader="dot" w:pos="9072"/>
        </w:tabs>
        <w:spacing w:line="360" w:lineRule="auto"/>
      </w:pPr>
      <w:r>
        <w:fldChar w:fldCharType="begin"/>
      </w:r>
      <w:r>
        <w:instrText xml:space="preserve"> HYPERLINK \l "_Toc28637" </w:instrText>
      </w:r>
      <w:r>
        <w:fldChar w:fldCharType="separate"/>
      </w:r>
      <w:r>
        <w:rPr>
          <w:rFonts w:hint="eastAsia" w:asciiTheme="minorEastAsia" w:hAnsiTheme="minorEastAsia" w:eastAsiaTheme="minorEastAsia" w:cstheme="minorEastAsia"/>
          <w:bCs/>
          <w:szCs w:val="21"/>
        </w:rPr>
        <w:t>九、缴纳保证金的银行凭证（如有）</w:t>
      </w:r>
      <w:r>
        <w:tab/>
      </w:r>
      <w:r>
        <w:fldChar w:fldCharType="begin"/>
      </w:r>
      <w:r>
        <w:instrText xml:space="preserve"> PAGEREF _Toc28637 </w:instrText>
      </w:r>
      <w:r>
        <w:fldChar w:fldCharType="separate"/>
      </w:r>
      <w:r>
        <w:t>53</w:t>
      </w:r>
      <w:r>
        <w:fldChar w:fldCharType="end"/>
      </w:r>
      <w:r>
        <w:fldChar w:fldCharType="end"/>
      </w:r>
    </w:p>
    <w:p>
      <w:pPr>
        <w:pStyle w:val="22"/>
        <w:tabs>
          <w:tab w:val="right" w:leader="dot" w:pos="9072"/>
        </w:tabs>
        <w:spacing w:line="360" w:lineRule="auto"/>
      </w:pPr>
      <w:r>
        <w:fldChar w:fldCharType="begin"/>
      </w:r>
      <w:r>
        <w:instrText xml:space="preserve"> HYPERLINK \l "_Toc12530" </w:instrText>
      </w:r>
      <w:r>
        <w:fldChar w:fldCharType="separate"/>
      </w:r>
      <w:r>
        <w:rPr>
          <w:rFonts w:hint="eastAsia" w:asciiTheme="minorEastAsia" w:hAnsiTheme="minorEastAsia" w:eastAsiaTheme="minorEastAsia" w:cstheme="minorEastAsia"/>
          <w:bCs/>
          <w:szCs w:val="21"/>
        </w:rPr>
        <w:t>十、偏离说明表</w:t>
      </w:r>
      <w:r>
        <w:tab/>
      </w:r>
      <w:r>
        <w:fldChar w:fldCharType="begin"/>
      </w:r>
      <w:r>
        <w:instrText xml:space="preserve"> PAGEREF _Toc12530 </w:instrText>
      </w:r>
      <w:r>
        <w:fldChar w:fldCharType="separate"/>
      </w:r>
      <w:r>
        <w:t>54</w:t>
      </w:r>
      <w:r>
        <w:fldChar w:fldCharType="end"/>
      </w:r>
      <w:r>
        <w:fldChar w:fldCharType="end"/>
      </w:r>
    </w:p>
    <w:p>
      <w:pPr>
        <w:pStyle w:val="22"/>
        <w:tabs>
          <w:tab w:val="right" w:leader="dot" w:pos="9072"/>
        </w:tabs>
        <w:spacing w:line="360" w:lineRule="auto"/>
      </w:pPr>
      <w:r>
        <w:fldChar w:fldCharType="begin"/>
      </w:r>
      <w:r>
        <w:instrText xml:space="preserve"> HYPERLINK \l "_Toc24869" </w:instrText>
      </w:r>
      <w:r>
        <w:fldChar w:fldCharType="separate"/>
      </w:r>
      <w:r>
        <w:rPr>
          <w:rFonts w:hint="eastAsia" w:asciiTheme="minorEastAsia" w:hAnsiTheme="minorEastAsia" w:eastAsiaTheme="minorEastAsia" w:cstheme="minorEastAsia"/>
          <w:kern w:val="0"/>
          <w:szCs w:val="21"/>
        </w:rPr>
        <w:t>十一、</w:t>
      </w:r>
      <w:r>
        <w:rPr>
          <w:rFonts w:hint="eastAsia" w:asciiTheme="minorEastAsia" w:hAnsiTheme="minorEastAsia" w:eastAsiaTheme="minorEastAsia" w:cstheme="minorEastAsia"/>
          <w:bCs/>
          <w:szCs w:val="21"/>
        </w:rPr>
        <w:t xml:space="preserve">类似业绩一览表 </w:t>
      </w:r>
      <w:r>
        <w:tab/>
      </w:r>
      <w:r>
        <w:fldChar w:fldCharType="begin"/>
      </w:r>
      <w:r>
        <w:instrText xml:space="preserve"> PAGEREF _Toc24869 </w:instrText>
      </w:r>
      <w:r>
        <w:fldChar w:fldCharType="separate"/>
      </w:r>
      <w:r>
        <w:t>55</w:t>
      </w:r>
      <w:r>
        <w:fldChar w:fldCharType="end"/>
      </w:r>
      <w:r>
        <w:fldChar w:fldCharType="end"/>
      </w:r>
    </w:p>
    <w:p>
      <w:pPr>
        <w:pStyle w:val="22"/>
        <w:tabs>
          <w:tab w:val="right" w:leader="dot" w:pos="9072"/>
        </w:tabs>
        <w:spacing w:line="360" w:lineRule="auto"/>
      </w:pPr>
      <w:r>
        <w:fldChar w:fldCharType="begin"/>
      </w:r>
      <w:r>
        <w:instrText xml:space="preserve"> HYPERLINK \l "_Toc17955" </w:instrText>
      </w:r>
      <w:r>
        <w:fldChar w:fldCharType="separate"/>
      </w:r>
      <w:r>
        <w:rPr>
          <w:rFonts w:hint="eastAsia" w:asciiTheme="minorEastAsia" w:hAnsiTheme="minorEastAsia" w:eastAsiaTheme="minorEastAsia" w:cstheme="minorEastAsia"/>
          <w:bCs/>
          <w:szCs w:val="21"/>
        </w:rPr>
        <w:t>十二、拟投入项目组人员一览表</w:t>
      </w:r>
      <w:r>
        <w:tab/>
      </w:r>
      <w:r>
        <w:fldChar w:fldCharType="begin"/>
      </w:r>
      <w:r>
        <w:instrText xml:space="preserve"> PAGEREF _Toc17955 </w:instrText>
      </w:r>
      <w:r>
        <w:fldChar w:fldCharType="separate"/>
      </w:r>
      <w:r>
        <w:t>56</w:t>
      </w:r>
      <w:r>
        <w:fldChar w:fldCharType="end"/>
      </w:r>
      <w:r>
        <w:fldChar w:fldCharType="end"/>
      </w:r>
    </w:p>
    <w:p>
      <w:pPr>
        <w:pStyle w:val="22"/>
        <w:tabs>
          <w:tab w:val="right" w:leader="dot" w:pos="9072"/>
        </w:tabs>
        <w:spacing w:line="360" w:lineRule="auto"/>
      </w:pPr>
      <w:r>
        <w:fldChar w:fldCharType="begin"/>
      </w:r>
      <w:r>
        <w:instrText xml:space="preserve"> HYPERLINK \l "_Toc1688" </w:instrText>
      </w:r>
      <w:r>
        <w:fldChar w:fldCharType="separate"/>
      </w:r>
      <w:r>
        <w:rPr>
          <w:rFonts w:hint="eastAsia" w:asciiTheme="minorEastAsia" w:hAnsiTheme="minorEastAsia" w:eastAsiaTheme="minorEastAsia" w:cstheme="minorEastAsia"/>
          <w:bCs/>
          <w:kern w:val="0"/>
          <w:szCs w:val="21"/>
        </w:rPr>
        <w:t>十三、</w:t>
      </w:r>
      <w:r>
        <w:rPr>
          <w:rFonts w:hint="eastAsia" w:asciiTheme="minorEastAsia" w:hAnsiTheme="minorEastAsia" w:eastAsiaTheme="minorEastAsia" w:cstheme="minorEastAsia"/>
          <w:bCs/>
          <w:szCs w:val="21"/>
        </w:rPr>
        <w:t>供应商的资格声明</w:t>
      </w:r>
      <w:r>
        <w:tab/>
      </w:r>
      <w:r>
        <w:fldChar w:fldCharType="begin"/>
      </w:r>
      <w:r>
        <w:instrText xml:space="preserve"> PAGEREF _Toc1688 </w:instrText>
      </w:r>
      <w:r>
        <w:fldChar w:fldCharType="separate"/>
      </w:r>
      <w:r>
        <w:t>57</w:t>
      </w:r>
      <w:r>
        <w:fldChar w:fldCharType="end"/>
      </w:r>
      <w:r>
        <w:fldChar w:fldCharType="end"/>
      </w:r>
    </w:p>
    <w:p>
      <w:pPr>
        <w:pStyle w:val="22"/>
        <w:tabs>
          <w:tab w:val="right" w:leader="dot" w:pos="9072"/>
        </w:tabs>
        <w:spacing w:line="360" w:lineRule="auto"/>
      </w:pPr>
      <w:r>
        <w:fldChar w:fldCharType="begin"/>
      </w:r>
      <w:r>
        <w:instrText xml:space="preserve"> HYPERLINK \l "_Toc18017" </w:instrText>
      </w:r>
      <w:r>
        <w:fldChar w:fldCharType="separate"/>
      </w:r>
      <w:r>
        <w:rPr>
          <w:rFonts w:hint="eastAsia" w:asciiTheme="minorEastAsia" w:hAnsiTheme="minorEastAsia" w:eastAsiaTheme="minorEastAsia" w:cstheme="minorEastAsia"/>
          <w:bCs/>
          <w:kern w:val="0"/>
          <w:szCs w:val="21"/>
        </w:rPr>
        <w:t>十四、</w:t>
      </w:r>
      <w:r>
        <w:rPr>
          <w:rFonts w:hint="eastAsia" w:asciiTheme="minorEastAsia" w:hAnsiTheme="minorEastAsia" w:eastAsiaTheme="minorEastAsia" w:cstheme="minorEastAsia"/>
          <w:bCs/>
          <w:szCs w:val="21"/>
        </w:rPr>
        <w:t>资格证明文件</w:t>
      </w:r>
      <w:r>
        <w:tab/>
      </w:r>
      <w:r>
        <w:fldChar w:fldCharType="begin"/>
      </w:r>
      <w:r>
        <w:instrText xml:space="preserve"> PAGEREF _Toc18017 </w:instrText>
      </w:r>
      <w:r>
        <w:fldChar w:fldCharType="separate"/>
      </w:r>
      <w:r>
        <w:t>58</w:t>
      </w:r>
      <w:r>
        <w:fldChar w:fldCharType="end"/>
      </w:r>
      <w:r>
        <w:fldChar w:fldCharType="end"/>
      </w:r>
    </w:p>
    <w:p>
      <w:pPr>
        <w:pStyle w:val="22"/>
        <w:tabs>
          <w:tab w:val="right" w:leader="dot" w:pos="9072"/>
        </w:tabs>
        <w:spacing w:line="360" w:lineRule="auto"/>
      </w:pPr>
      <w:r>
        <w:fldChar w:fldCharType="begin"/>
      </w:r>
      <w:r>
        <w:instrText xml:space="preserve"> HYPERLINK \l "_Toc21818" </w:instrText>
      </w:r>
      <w:r>
        <w:fldChar w:fldCharType="separate"/>
      </w:r>
      <w:r>
        <w:rPr>
          <w:rFonts w:hint="eastAsia" w:asciiTheme="minorEastAsia" w:hAnsiTheme="minorEastAsia" w:eastAsiaTheme="minorEastAsia" w:cstheme="minorEastAsia"/>
          <w:bCs/>
          <w:kern w:val="0"/>
          <w:szCs w:val="21"/>
        </w:rPr>
        <w:t>十五、报价技术文件</w:t>
      </w:r>
      <w:r>
        <w:tab/>
      </w:r>
      <w:r>
        <w:fldChar w:fldCharType="begin"/>
      </w:r>
      <w:r>
        <w:instrText xml:space="preserve"> PAGEREF _Toc21818 </w:instrText>
      </w:r>
      <w:r>
        <w:fldChar w:fldCharType="separate"/>
      </w:r>
      <w:r>
        <w:t>59</w:t>
      </w:r>
      <w:r>
        <w:fldChar w:fldCharType="end"/>
      </w:r>
      <w:r>
        <w:fldChar w:fldCharType="end"/>
      </w:r>
    </w:p>
    <w:p>
      <w:pPr>
        <w:pStyle w:val="22"/>
        <w:tabs>
          <w:tab w:val="right" w:leader="dot" w:pos="9072"/>
        </w:tabs>
        <w:spacing w:line="360" w:lineRule="auto"/>
      </w:pPr>
      <w:r>
        <w:fldChar w:fldCharType="begin"/>
      </w:r>
      <w:r>
        <w:instrText xml:space="preserve"> HYPERLINK \l "_Toc2302" </w:instrText>
      </w:r>
      <w:r>
        <w:fldChar w:fldCharType="separate"/>
      </w:r>
      <w:r>
        <w:rPr>
          <w:rFonts w:hint="eastAsia" w:asciiTheme="minorEastAsia" w:hAnsiTheme="minorEastAsia" w:eastAsiaTheme="minorEastAsia" w:cstheme="minorEastAsia"/>
        </w:rPr>
        <w:t>十六、</w:t>
      </w:r>
      <w:r>
        <w:rPr>
          <w:rFonts w:hint="eastAsia" w:asciiTheme="minorEastAsia" w:hAnsiTheme="minorEastAsia" w:eastAsiaTheme="minorEastAsia" w:cstheme="minorEastAsia"/>
          <w:lang w:val="zh-CN"/>
        </w:rPr>
        <w:t>中小企业声明函（</w:t>
      </w:r>
      <w:r>
        <w:rPr>
          <w:rFonts w:hint="eastAsia" w:asciiTheme="minorEastAsia" w:hAnsiTheme="minorEastAsia" w:eastAsiaTheme="minorEastAsia" w:cstheme="minorEastAsia"/>
        </w:rPr>
        <w:t>货物</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_Toc2302 </w:instrText>
      </w:r>
      <w:r>
        <w:fldChar w:fldCharType="separate"/>
      </w:r>
      <w:r>
        <w:t>60</w:t>
      </w:r>
      <w:r>
        <w:fldChar w:fldCharType="end"/>
      </w:r>
      <w:r>
        <w:fldChar w:fldCharType="end"/>
      </w:r>
    </w:p>
    <w:p>
      <w:pPr>
        <w:pStyle w:val="22"/>
        <w:tabs>
          <w:tab w:val="right" w:leader="dot" w:pos="9072"/>
        </w:tabs>
        <w:spacing w:line="360" w:lineRule="auto"/>
      </w:pPr>
      <w:r>
        <w:fldChar w:fldCharType="begin"/>
      </w:r>
      <w:r>
        <w:instrText xml:space="preserve"> HYPERLINK \l "_Toc11257" </w:instrText>
      </w:r>
      <w:r>
        <w:fldChar w:fldCharType="separate"/>
      </w:r>
      <w:r>
        <w:rPr>
          <w:rFonts w:hint="eastAsia" w:asciiTheme="minorEastAsia" w:hAnsiTheme="minorEastAsia" w:eastAsiaTheme="minorEastAsia" w:cstheme="minorEastAsia"/>
          <w:bCs/>
          <w:spacing w:val="6"/>
          <w:szCs w:val="21"/>
        </w:rPr>
        <w:t>十七、</w:t>
      </w:r>
      <w:r>
        <w:rPr>
          <w:rFonts w:hint="eastAsia" w:asciiTheme="minorEastAsia" w:hAnsiTheme="minorEastAsia" w:eastAsiaTheme="minorEastAsia" w:cstheme="minorEastAsia"/>
          <w:bCs/>
          <w:lang w:val="zh-CN"/>
        </w:rPr>
        <w:t>监狱企业证</w:t>
      </w:r>
      <w:r>
        <w:rPr>
          <w:rFonts w:hint="eastAsia" w:asciiTheme="minorEastAsia" w:hAnsiTheme="minorEastAsia" w:eastAsiaTheme="minorEastAsia" w:cstheme="minorEastAsia"/>
          <w:lang w:val="zh-CN"/>
        </w:rPr>
        <w:t>明文</w:t>
      </w:r>
      <w:r>
        <w:rPr>
          <w:rFonts w:hint="eastAsia" w:asciiTheme="minorEastAsia" w:hAnsiTheme="minorEastAsia" w:eastAsiaTheme="minorEastAsia" w:cstheme="minorEastAsia"/>
        </w:rPr>
        <w:t>件</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_Toc11257 </w:instrText>
      </w:r>
      <w:r>
        <w:fldChar w:fldCharType="separate"/>
      </w:r>
      <w:r>
        <w:t>61</w:t>
      </w:r>
      <w:r>
        <w:fldChar w:fldCharType="end"/>
      </w:r>
      <w:r>
        <w:fldChar w:fldCharType="end"/>
      </w:r>
    </w:p>
    <w:p>
      <w:pPr>
        <w:pStyle w:val="22"/>
        <w:tabs>
          <w:tab w:val="right" w:leader="dot" w:pos="9072"/>
        </w:tabs>
        <w:spacing w:line="360" w:lineRule="auto"/>
      </w:pPr>
      <w:r>
        <w:fldChar w:fldCharType="begin"/>
      </w:r>
      <w:r>
        <w:instrText xml:space="preserve"> HYPERLINK \l "_Toc10919" </w:instrText>
      </w:r>
      <w:r>
        <w:fldChar w:fldCharType="separate"/>
      </w:r>
      <w:r>
        <w:rPr>
          <w:rFonts w:hint="eastAsia" w:asciiTheme="minorEastAsia" w:hAnsiTheme="minorEastAsia" w:eastAsiaTheme="minorEastAsia" w:cstheme="minorEastAsia"/>
        </w:rPr>
        <w:t>十八、</w:t>
      </w:r>
      <w:r>
        <w:rPr>
          <w:rFonts w:hint="eastAsia" w:asciiTheme="minorEastAsia" w:hAnsiTheme="minorEastAsia" w:eastAsiaTheme="minorEastAsia" w:cstheme="minorEastAsia"/>
          <w:lang w:val="zh-CN"/>
        </w:rPr>
        <w:t>残疾人福利性单位声明函（若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_Toc10919 </w:instrText>
      </w:r>
      <w:r>
        <w:fldChar w:fldCharType="separate"/>
      </w:r>
      <w:r>
        <w:t>62</w:t>
      </w:r>
      <w:r>
        <w:fldChar w:fldCharType="end"/>
      </w:r>
      <w:r>
        <w:fldChar w:fldCharType="end"/>
      </w:r>
    </w:p>
    <w:p>
      <w:pPr>
        <w:pStyle w:val="22"/>
        <w:tabs>
          <w:tab w:val="right" w:leader="dot" w:pos="9072"/>
        </w:tabs>
        <w:spacing w:line="360" w:lineRule="auto"/>
      </w:pPr>
      <w:r>
        <w:fldChar w:fldCharType="begin"/>
      </w:r>
      <w:r>
        <w:instrText xml:space="preserve"> HYPERLINK \l "_Toc20592" </w:instrText>
      </w:r>
      <w:r>
        <w:fldChar w:fldCharType="separate"/>
      </w:r>
      <w:r>
        <w:rPr>
          <w:rFonts w:hint="eastAsia" w:asciiTheme="minorEastAsia" w:hAnsiTheme="minorEastAsia" w:eastAsiaTheme="minorEastAsia" w:cstheme="minorEastAsia"/>
        </w:rPr>
        <w:t>十九、节能环保产品证明材料（若符合）</w:t>
      </w:r>
      <w:r>
        <w:tab/>
      </w:r>
      <w:r>
        <w:fldChar w:fldCharType="begin"/>
      </w:r>
      <w:r>
        <w:instrText xml:space="preserve"> PAGEREF _Toc20592 </w:instrText>
      </w:r>
      <w:r>
        <w:fldChar w:fldCharType="separate"/>
      </w:r>
      <w:r>
        <w:t>63</w:t>
      </w:r>
      <w:r>
        <w:fldChar w:fldCharType="end"/>
      </w:r>
      <w:r>
        <w:fldChar w:fldCharType="end"/>
      </w:r>
    </w:p>
    <w:p>
      <w:pPr>
        <w:pStyle w:val="22"/>
        <w:tabs>
          <w:tab w:val="right" w:leader="dot" w:pos="9072"/>
        </w:tabs>
        <w:spacing w:line="360" w:lineRule="auto"/>
      </w:pPr>
      <w:r>
        <w:fldChar w:fldCharType="begin"/>
      </w:r>
      <w:r>
        <w:instrText xml:space="preserve"> HYPERLINK \l "_Toc12167" </w:instrText>
      </w:r>
      <w:r>
        <w:fldChar w:fldCharType="separate"/>
      </w:r>
      <w:r>
        <w:rPr>
          <w:rFonts w:hint="eastAsia" w:asciiTheme="minorEastAsia" w:hAnsiTheme="minorEastAsia" w:eastAsiaTheme="minorEastAsia" w:cstheme="minorEastAsia"/>
          <w:bCs/>
          <w:spacing w:val="6"/>
          <w:szCs w:val="21"/>
        </w:rPr>
        <w:t>二十、</w:t>
      </w:r>
      <w:r>
        <w:rPr>
          <w:rFonts w:hint="eastAsia" w:asciiTheme="minorEastAsia" w:hAnsiTheme="minorEastAsia" w:eastAsiaTheme="minorEastAsia" w:cstheme="minorEastAsia"/>
        </w:rPr>
        <w:t>无重大违法记录声明</w:t>
      </w:r>
      <w:r>
        <w:tab/>
      </w:r>
      <w:r>
        <w:fldChar w:fldCharType="begin"/>
      </w:r>
      <w:r>
        <w:instrText xml:space="preserve"> PAGEREF _Toc12167 </w:instrText>
      </w:r>
      <w:r>
        <w:fldChar w:fldCharType="separate"/>
      </w:r>
      <w:r>
        <w:t>64</w:t>
      </w:r>
      <w:r>
        <w:fldChar w:fldCharType="end"/>
      </w:r>
      <w:r>
        <w:fldChar w:fldCharType="end"/>
      </w:r>
    </w:p>
    <w:p>
      <w:pPr>
        <w:pStyle w:val="22"/>
        <w:tabs>
          <w:tab w:val="right" w:leader="dot" w:pos="9072"/>
        </w:tabs>
        <w:spacing w:line="360" w:lineRule="auto"/>
      </w:pPr>
      <w:r>
        <w:fldChar w:fldCharType="begin"/>
      </w:r>
      <w:r>
        <w:instrText xml:space="preserve"> HYPERLINK \l "_Toc16157" </w:instrText>
      </w:r>
      <w:r>
        <w:fldChar w:fldCharType="separate"/>
      </w:r>
      <w:r>
        <w:rPr>
          <w:rFonts w:hint="eastAsia" w:asciiTheme="minorEastAsia" w:hAnsiTheme="minorEastAsia" w:eastAsiaTheme="minorEastAsia" w:cstheme="minorEastAsia"/>
          <w:bCs/>
          <w:kern w:val="0"/>
          <w:szCs w:val="21"/>
          <w:shd w:val="clear" w:color="auto" w:fill="FFFFFF"/>
        </w:rPr>
        <w:t xml:space="preserve">二十一、磋商供应商认为应该提交的其它文件（格式自拟）    </w:t>
      </w:r>
      <w:r>
        <w:tab/>
      </w:r>
      <w:r>
        <w:fldChar w:fldCharType="begin"/>
      </w:r>
      <w:r>
        <w:instrText xml:space="preserve"> PAGEREF _Toc16157 </w:instrText>
      </w:r>
      <w:r>
        <w:fldChar w:fldCharType="separate"/>
      </w:r>
      <w:r>
        <w:t>64</w:t>
      </w:r>
      <w:r>
        <w:fldChar w:fldCharType="end"/>
      </w:r>
      <w:r>
        <w:fldChar w:fldCharType="end"/>
      </w:r>
    </w:p>
    <w:p>
      <w:pPr>
        <w:spacing w:line="360" w:lineRule="auto"/>
        <w:jc w:val="left"/>
        <w:rPr>
          <w:rFonts w:asciiTheme="minorEastAsia" w:hAnsiTheme="minorEastAsia" w:eastAsiaTheme="minorEastAsia" w:cstheme="minorEastAsia"/>
          <w:szCs w:val="21"/>
        </w:rPr>
        <w:sectPr>
          <w:headerReference r:id="rId3" w:type="default"/>
          <w:footerReference r:id="rId5" w:type="default"/>
          <w:headerReference r:id="rId4" w:type="even"/>
          <w:footerReference r:id="rId6" w:type="even"/>
          <w:type w:val="continuous"/>
          <w:pgSz w:w="11906" w:h="16838"/>
          <w:pgMar w:top="1417" w:right="1417" w:bottom="1417" w:left="1417" w:header="851" w:footer="992" w:gutter="0"/>
          <w:pgNumType w:fmt="numberInDash"/>
          <w:cols w:space="720" w:num="1"/>
          <w:docGrid w:type="lines" w:linePitch="312" w:charSpace="0"/>
        </w:sectPr>
      </w:pPr>
      <w:r>
        <w:rPr>
          <w:rFonts w:hint="eastAsia" w:asciiTheme="minorEastAsia" w:hAnsiTheme="minorEastAsia" w:eastAsiaTheme="minorEastAsia" w:cstheme="minorEastAsia"/>
          <w:szCs w:val="21"/>
        </w:rPr>
        <w:fldChar w:fldCharType="end"/>
      </w:r>
    </w:p>
    <w:p>
      <w:pPr>
        <w:spacing w:line="360" w:lineRule="auto"/>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 w:val="36"/>
          <w:szCs w:val="36"/>
        </w:rPr>
        <w:br w:type="page"/>
      </w:r>
    </w:p>
    <w:p>
      <w:pPr>
        <w:numPr>
          <w:ilvl w:val="0"/>
          <w:numId w:val="5"/>
        </w:numPr>
        <w:spacing w:line="360" w:lineRule="auto"/>
        <w:jc w:val="center"/>
        <w:outlineLvl w:val="0"/>
        <w:rPr>
          <w:b/>
          <w:bCs/>
          <w:sz w:val="24"/>
        </w:rPr>
      </w:pPr>
      <w:bookmarkStart w:id="0" w:name="_Toc6866"/>
      <w:bookmarkStart w:id="1" w:name="_Toc25194"/>
      <w:r>
        <w:rPr>
          <w:rFonts w:hint="eastAsia" w:ascii="宋体" w:hAnsi="宋体" w:cs="宋体"/>
          <w:b/>
          <w:sz w:val="36"/>
          <w:szCs w:val="36"/>
        </w:rPr>
        <w:t>竞争性磋商公告</w:t>
      </w:r>
      <w:bookmarkEnd w:id="0"/>
      <w:bookmarkEnd w:id="1"/>
      <w:bookmarkStart w:id="2" w:name="_Toc152045512"/>
      <w:bookmarkStart w:id="3" w:name="_Toc152042288"/>
      <w:bookmarkStart w:id="4" w:name="_Toc144974480"/>
      <w:bookmarkStart w:id="5" w:name="_Toc9976"/>
      <w:bookmarkStart w:id="6" w:name="_Toc524908844"/>
      <w:bookmarkStart w:id="7" w:name="_Toc179632528"/>
    </w:p>
    <w:bookmarkEnd w:id="2"/>
    <w:bookmarkEnd w:id="3"/>
    <w:bookmarkEnd w:id="4"/>
    <w:bookmarkEnd w:id="5"/>
    <w:bookmarkEnd w:id="6"/>
    <w:bookmarkEnd w:id="7"/>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color w:val="000000"/>
          <w:szCs w:val="21"/>
        </w:rPr>
      </w:pPr>
      <w:r>
        <w:rPr>
          <w:rFonts w:hint="eastAsia" w:ascii="宋体" w:hAnsi="宋体" w:cs="宋体"/>
          <w:b/>
          <w:bCs/>
          <w:color w:val="000000"/>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color w:val="000000"/>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u w:val="single"/>
          <w:lang w:eastAsia="zh-CN"/>
        </w:rPr>
        <w:t>湖北工业大学人工智能教学管理及实验环境平台建设项目</w:t>
      </w:r>
      <w:r>
        <w:rPr>
          <w:rFonts w:hint="eastAsia" w:ascii="宋体" w:hAnsi="宋体" w:cs="宋体"/>
          <w:szCs w:val="21"/>
        </w:rPr>
        <w:t>的潜在供应商应在</w:t>
      </w:r>
      <w:r>
        <w:rPr>
          <w:rFonts w:hint="eastAsia" w:ascii="宋体" w:hAnsi="宋体" w:cs="宋体"/>
          <w:szCs w:val="21"/>
          <w:u w:val="single"/>
          <w:lang w:val="en-US" w:eastAsia="zh-CN"/>
        </w:rPr>
        <w:t xml:space="preserve"> 线上 </w:t>
      </w:r>
      <w:r>
        <w:rPr>
          <w:rFonts w:hint="eastAsia" w:ascii="宋体" w:hAnsi="宋体" w:cs="宋体"/>
          <w:szCs w:val="21"/>
        </w:rPr>
        <w:t>获取采购</w:t>
      </w:r>
      <w:r>
        <w:rPr>
          <w:rFonts w:hint="eastAsia" w:ascii="宋体" w:hAnsi="宋体" w:cs="宋体"/>
          <w:color w:val="000000"/>
          <w:szCs w:val="21"/>
        </w:rPr>
        <w:t>文件，并于</w:t>
      </w:r>
      <w:r>
        <w:rPr>
          <w:rFonts w:hint="eastAsia" w:ascii="宋体" w:hAnsi="宋体" w:cs="宋体"/>
          <w:color w:val="3626E7"/>
          <w:szCs w:val="21"/>
          <w:u w:val="single"/>
        </w:rPr>
        <w:t>2021年</w:t>
      </w:r>
      <w:r>
        <w:rPr>
          <w:rFonts w:hint="eastAsia" w:ascii="宋体" w:hAnsi="宋体" w:cs="宋体"/>
          <w:color w:val="3626E7"/>
          <w:szCs w:val="21"/>
          <w:u w:val="single"/>
          <w:lang w:val="en-US" w:eastAsia="zh-CN"/>
        </w:rPr>
        <w:t>11</w:t>
      </w:r>
      <w:r>
        <w:rPr>
          <w:rFonts w:hint="eastAsia" w:ascii="宋体" w:hAnsi="宋体" w:cs="宋体"/>
          <w:color w:val="3626E7"/>
          <w:szCs w:val="21"/>
          <w:u w:val="single"/>
        </w:rPr>
        <w:t>月</w:t>
      </w:r>
      <w:r>
        <w:rPr>
          <w:rFonts w:hint="eastAsia" w:ascii="宋体" w:hAnsi="宋体" w:cs="宋体"/>
          <w:color w:val="3626E7"/>
          <w:szCs w:val="21"/>
          <w:u w:val="single"/>
          <w:lang w:val="en-US" w:eastAsia="zh-CN"/>
        </w:rPr>
        <w:t>18</w:t>
      </w:r>
      <w:r>
        <w:rPr>
          <w:rFonts w:hint="eastAsia" w:ascii="宋体" w:hAnsi="宋体" w:cs="宋体"/>
          <w:color w:val="3626E7"/>
          <w:szCs w:val="21"/>
          <w:u w:val="single"/>
        </w:rPr>
        <w:t>日</w:t>
      </w:r>
      <w:r>
        <w:rPr>
          <w:rFonts w:hint="eastAsia" w:ascii="宋体" w:hAnsi="宋体" w:cs="宋体"/>
          <w:color w:val="3626E7"/>
          <w:szCs w:val="21"/>
          <w:u w:val="single"/>
          <w:lang w:val="en-US" w:eastAsia="zh-CN"/>
        </w:rPr>
        <w:t>14</w:t>
      </w:r>
      <w:r>
        <w:rPr>
          <w:rFonts w:hint="eastAsia" w:ascii="宋体" w:hAnsi="宋体" w:cs="宋体"/>
          <w:color w:val="3626E7"/>
          <w:szCs w:val="21"/>
          <w:u w:val="single"/>
        </w:rPr>
        <w:t>点</w:t>
      </w:r>
      <w:r>
        <w:rPr>
          <w:rFonts w:hint="eastAsia" w:ascii="宋体" w:hAnsi="宋体" w:cs="宋体"/>
          <w:color w:val="3626E7"/>
          <w:szCs w:val="21"/>
          <w:u w:val="single"/>
          <w:lang w:val="en-US" w:eastAsia="zh-CN"/>
        </w:rPr>
        <w:t>00</w:t>
      </w:r>
      <w:r>
        <w:rPr>
          <w:rFonts w:hint="eastAsia" w:ascii="宋体" w:hAnsi="宋体" w:cs="宋体"/>
          <w:color w:val="3626E7"/>
          <w:szCs w:val="21"/>
          <w:u w:val="single"/>
        </w:rPr>
        <w:t>分</w:t>
      </w:r>
      <w:r>
        <w:rPr>
          <w:rFonts w:hint="eastAsia" w:ascii="宋体" w:hAnsi="宋体" w:cs="宋体"/>
          <w:color w:val="000000"/>
          <w:szCs w:val="21"/>
        </w:rPr>
        <w:t>（北京时间）前递交响应文件。</w:t>
      </w:r>
    </w:p>
    <w:p>
      <w:pPr>
        <w:pStyle w:val="5"/>
        <w:numPr>
          <w:ilvl w:val="0"/>
          <w:numId w:val="6"/>
        </w:numPr>
        <w:spacing w:line="360" w:lineRule="auto"/>
        <w:jc w:val="left"/>
        <w:rPr>
          <w:rFonts w:ascii="宋体" w:hAnsi="宋体" w:eastAsia="宋体" w:cs="宋体"/>
          <w:color w:val="000000"/>
          <w:sz w:val="21"/>
          <w:szCs w:val="21"/>
        </w:rPr>
      </w:pPr>
      <w:bookmarkStart w:id="8" w:name="_Toc29388"/>
      <w:r>
        <w:rPr>
          <w:rFonts w:hint="eastAsia" w:ascii="宋体" w:hAnsi="宋体" w:eastAsia="宋体" w:cs="宋体"/>
          <w:color w:val="000000"/>
          <w:sz w:val="21"/>
          <w:szCs w:val="21"/>
        </w:rPr>
        <w:t>项目基本情况</w:t>
      </w:r>
      <w:bookmarkEnd w:id="8"/>
    </w:p>
    <w:p>
      <w:pPr>
        <w:spacing w:line="360" w:lineRule="auto"/>
        <w:jc w:val="left"/>
        <w:rPr>
          <w:rFonts w:hint="eastAsia" w:asciiTheme="minorEastAsia" w:hAnsiTheme="minorEastAsia" w:eastAsiaTheme="minorEastAsia" w:cstheme="minorEastAsia"/>
          <w:color w:val="FF0000"/>
          <w:szCs w:val="21"/>
          <w:lang w:eastAsia="zh-CN"/>
        </w:rPr>
      </w:pPr>
      <w:r>
        <w:rPr>
          <w:rFonts w:hint="eastAsia" w:asciiTheme="minorEastAsia" w:hAnsiTheme="minorEastAsia" w:eastAsiaTheme="minorEastAsia" w:cstheme="minorEastAsia"/>
          <w:szCs w:val="21"/>
        </w:rPr>
        <w:t>1.项目编号：</w:t>
      </w:r>
      <w:r>
        <w:rPr>
          <w:rFonts w:hint="eastAsia" w:asciiTheme="minorEastAsia" w:hAnsiTheme="minorEastAsia" w:eastAsiaTheme="minorEastAsia" w:cstheme="minorEastAsia"/>
          <w:szCs w:val="21"/>
          <w:lang w:eastAsia="zh-CN"/>
        </w:rPr>
        <w:t>HGDXW21-101</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lang w:eastAsia="zh-CN"/>
        </w:rPr>
        <w:t>ZJZB-202110-292</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2.采购计划备案号：</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3.项目名称：</w:t>
      </w:r>
      <w:r>
        <w:rPr>
          <w:rFonts w:hint="eastAsia" w:asciiTheme="minorEastAsia" w:hAnsiTheme="minorEastAsia" w:eastAsiaTheme="minorEastAsia" w:cstheme="minorEastAsia"/>
          <w:szCs w:val="21"/>
          <w:lang w:eastAsia="zh-CN"/>
        </w:rPr>
        <w:t>湖北工业大学人工智能教学管理及实验环境平台建设项目</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4.采购方式：竞争性磋商</w:t>
      </w:r>
    </w:p>
    <w:p>
      <w:pPr>
        <w:spacing w:line="360" w:lineRule="auto"/>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5.预算金额：人民币</w:t>
      </w:r>
      <w:r>
        <w:rPr>
          <w:rFonts w:hint="eastAsia" w:asciiTheme="minorEastAsia" w:hAnsiTheme="minorEastAsia" w:eastAsiaTheme="minorEastAsia" w:cstheme="minorEastAsia"/>
          <w:szCs w:val="21"/>
          <w:u w:val="single"/>
          <w:lang w:eastAsia="zh-CN"/>
        </w:rPr>
        <w:t>19.7万元</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6.最高限价：人民币</w:t>
      </w:r>
      <w:r>
        <w:rPr>
          <w:rFonts w:hint="eastAsia" w:asciiTheme="minorEastAsia" w:hAnsiTheme="minorEastAsia" w:eastAsiaTheme="minorEastAsia" w:cstheme="minorEastAsia"/>
          <w:szCs w:val="21"/>
          <w:u w:val="single"/>
          <w:lang w:eastAsia="zh-CN"/>
        </w:rPr>
        <w:t>19.7万元</w:t>
      </w:r>
    </w:p>
    <w:p>
      <w:pPr>
        <w:spacing w:line="360" w:lineRule="auto"/>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color w:val="000000"/>
          <w:szCs w:val="21"/>
        </w:rPr>
        <w:t>7.采购需求：为湖北工业大学</w:t>
      </w:r>
      <w:r>
        <w:rPr>
          <w:rFonts w:hint="eastAsia" w:asciiTheme="minorEastAsia" w:hAnsiTheme="minorEastAsia" w:eastAsiaTheme="minorEastAsia" w:cstheme="minorEastAsia"/>
          <w:szCs w:val="21"/>
          <w:lang w:eastAsia="zh-CN"/>
        </w:rPr>
        <w:t xml:space="preserve">采购人工智能教学管理平台 </w:t>
      </w:r>
      <w:r>
        <w:rPr>
          <w:rFonts w:hint="eastAsia" w:asciiTheme="minorEastAsia" w:hAnsiTheme="minorEastAsia" w:eastAsiaTheme="minorEastAsia" w:cstheme="minorEastAsia"/>
          <w:szCs w:val="21"/>
          <w:lang w:val="en-US" w:eastAsia="zh-CN"/>
        </w:rPr>
        <w:t>1套、</w:t>
      </w:r>
      <w:r>
        <w:rPr>
          <w:rFonts w:hint="eastAsia" w:asciiTheme="minorEastAsia" w:hAnsiTheme="minorEastAsia" w:eastAsiaTheme="minorEastAsia" w:cstheme="minorEastAsia"/>
          <w:szCs w:val="21"/>
          <w:lang w:eastAsia="zh-CN"/>
        </w:rPr>
        <w:t xml:space="preserve">人工智能云桌面实验环境平台 </w:t>
      </w:r>
      <w:r>
        <w:rPr>
          <w:rFonts w:hint="eastAsia" w:asciiTheme="minorEastAsia" w:hAnsiTheme="minorEastAsia" w:eastAsiaTheme="minorEastAsia" w:cstheme="minorEastAsia"/>
          <w:szCs w:val="21"/>
          <w:lang w:val="en-US" w:eastAsia="zh-CN"/>
        </w:rPr>
        <w:t>1套</w:t>
      </w:r>
      <w:r>
        <w:rPr>
          <w:rFonts w:hint="eastAsia" w:asciiTheme="minorEastAsia" w:hAnsiTheme="minorEastAsia" w:eastAsiaTheme="minorEastAsia" w:cstheme="minorEastAsia"/>
          <w:szCs w:val="21"/>
          <w:lang w:eastAsia="zh-CN"/>
        </w:rPr>
        <w:t>。  (详见采购文件第三章“项目采购需求”）</w:t>
      </w:r>
    </w:p>
    <w:p>
      <w:pPr>
        <w:spacing w:line="360" w:lineRule="auto"/>
        <w:ind w:firstLine="420" w:firstLineChars="200"/>
        <w:jc w:val="left"/>
        <w:rPr>
          <w:rFonts w:ascii="宋体" w:hAnsi="宋体" w:cs="宋体"/>
          <w:szCs w:val="21"/>
        </w:rPr>
      </w:pPr>
      <w:r>
        <w:rPr>
          <w:rFonts w:hint="eastAsia" w:ascii="宋体" w:hAnsi="宋体" w:cs="宋体"/>
          <w:szCs w:val="21"/>
        </w:rPr>
        <w:t>（1）类别：货物</w:t>
      </w:r>
    </w:p>
    <w:p>
      <w:pPr>
        <w:spacing w:line="360" w:lineRule="auto"/>
        <w:ind w:firstLine="420" w:firstLineChars="200"/>
        <w:jc w:val="left"/>
        <w:rPr>
          <w:rFonts w:ascii="宋体" w:hAnsi="宋体" w:cs="宋体"/>
          <w:color w:val="auto"/>
          <w:szCs w:val="21"/>
        </w:rPr>
      </w:pPr>
      <w:r>
        <w:rPr>
          <w:rFonts w:hint="eastAsia" w:ascii="宋体" w:hAnsi="宋体" w:cs="宋体"/>
          <w:szCs w:val="21"/>
        </w:rPr>
        <w:t>（2）交货期：合同签订</w:t>
      </w:r>
      <w:r>
        <w:rPr>
          <w:rFonts w:hint="eastAsia" w:ascii="宋体" w:hAnsi="宋体" w:cs="宋体"/>
          <w:color w:val="auto"/>
          <w:szCs w:val="21"/>
        </w:rPr>
        <w:t>后</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5 </w:t>
      </w:r>
      <w:r>
        <w:rPr>
          <w:rFonts w:hint="eastAsia" w:ascii="宋体" w:hAnsi="宋体" w:cs="宋体"/>
          <w:color w:val="auto"/>
          <w:szCs w:val="21"/>
          <w:u w:val="single"/>
        </w:rPr>
        <w:t xml:space="preserve"> </w:t>
      </w:r>
      <w:r>
        <w:rPr>
          <w:rFonts w:hint="eastAsia" w:ascii="宋体" w:hAnsi="宋体" w:cs="宋体"/>
          <w:color w:val="auto"/>
          <w:szCs w:val="21"/>
        </w:rPr>
        <w:t>日历天内供货，到货后</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5 </w:t>
      </w:r>
      <w:r>
        <w:rPr>
          <w:rFonts w:hint="eastAsia" w:ascii="宋体" w:hAnsi="宋体" w:cs="宋体"/>
          <w:color w:val="auto"/>
          <w:szCs w:val="21"/>
          <w:u w:val="single"/>
        </w:rPr>
        <w:t xml:space="preserve"> </w:t>
      </w:r>
      <w:r>
        <w:rPr>
          <w:rFonts w:hint="eastAsia" w:ascii="宋体" w:hAnsi="宋体" w:cs="宋体"/>
          <w:color w:val="auto"/>
          <w:szCs w:val="21"/>
          <w:u w:val="none"/>
          <w:lang w:eastAsia="zh-CN"/>
        </w:rPr>
        <w:t>日历</w:t>
      </w:r>
      <w:r>
        <w:rPr>
          <w:rFonts w:hint="eastAsia" w:ascii="宋体" w:hAnsi="宋体" w:cs="宋体"/>
          <w:color w:val="auto"/>
          <w:szCs w:val="21"/>
          <w:u w:val="none"/>
        </w:rPr>
        <w:t>天</w:t>
      </w:r>
      <w:r>
        <w:rPr>
          <w:rFonts w:hint="eastAsia" w:ascii="宋体" w:hAnsi="宋体" w:cs="宋体"/>
          <w:color w:val="auto"/>
          <w:szCs w:val="21"/>
        </w:rPr>
        <w:t>内完成安装调试。</w:t>
      </w:r>
    </w:p>
    <w:p>
      <w:pPr>
        <w:spacing w:line="360" w:lineRule="auto"/>
        <w:ind w:firstLine="420" w:firstLineChars="200"/>
        <w:jc w:val="left"/>
        <w:rPr>
          <w:rFonts w:hint="eastAsia"/>
          <w:color w:val="auto"/>
          <w:lang w:val="en-US" w:eastAsia="zh-CN"/>
        </w:rPr>
      </w:pPr>
      <w:r>
        <w:rPr>
          <w:rFonts w:hint="eastAsia" w:ascii="宋体" w:hAnsi="宋体" w:cs="宋体"/>
          <w:color w:val="auto"/>
          <w:szCs w:val="21"/>
        </w:rPr>
        <w:t>（3）质保期/保修期：</w:t>
      </w:r>
      <w:r>
        <w:rPr>
          <w:rFonts w:hint="eastAsia"/>
          <w:color w:val="auto"/>
        </w:rPr>
        <w:t>验收合格之日起</w:t>
      </w:r>
      <w:r>
        <w:rPr>
          <w:rFonts w:hint="eastAsia"/>
          <w:color w:val="auto"/>
          <w:u w:val="single"/>
          <w:lang w:val="en-US" w:eastAsia="zh-CN"/>
        </w:rPr>
        <w:t xml:space="preserve">  3   </w:t>
      </w:r>
      <w:r>
        <w:rPr>
          <w:rFonts w:hint="eastAsia"/>
          <w:color w:val="auto"/>
          <w:lang w:val="en-US" w:eastAsia="zh-CN"/>
        </w:rPr>
        <w:t>年。</w:t>
      </w:r>
    </w:p>
    <w:p>
      <w:pPr>
        <w:spacing w:line="360" w:lineRule="auto"/>
        <w:ind w:firstLine="420" w:firstLineChars="200"/>
        <w:jc w:val="left"/>
        <w:rPr>
          <w:rFonts w:ascii="宋体" w:hAnsi="宋体" w:cs="宋体"/>
          <w:color w:val="000000"/>
          <w:szCs w:val="21"/>
        </w:rPr>
      </w:pPr>
      <w:r>
        <w:rPr>
          <w:rFonts w:hint="eastAsia" w:ascii="宋体" w:hAnsi="宋体" w:cs="宋体"/>
          <w:color w:val="auto"/>
          <w:szCs w:val="21"/>
        </w:rPr>
        <w:t>（4）质量标准：达到国家或行业颁布的其他现行各项技术</w:t>
      </w:r>
      <w:r>
        <w:rPr>
          <w:rFonts w:hint="eastAsia" w:ascii="宋体" w:hAnsi="宋体" w:cs="宋体"/>
          <w:color w:val="000000"/>
          <w:szCs w:val="21"/>
        </w:rPr>
        <w:t>标准和验收规范规定</w:t>
      </w:r>
    </w:p>
    <w:p>
      <w:pPr>
        <w:spacing w:line="360" w:lineRule="auto"/>
        <w:ind w:firstLine="420" w:firstLineChars="200"/>
        <w:jc w:val="left"/>
        <w:rPr>
          <w:rFonts w:ascii="宋体" w:hAnsi="宋体" w:cs="宋体"/>
          <w:szCs w:val="21"/>
        </w:rPr>
      </w:pPr>
      <w:r>
        <w:rPr>
          <w:rFonts w:hint="eastAsia" w:ascii="宋体" w:hAnsi="宋体" w:cs="宋体"/>
          <w:szCs w:val="21"/>
        </w:rPr>
        <w:t>（5）其他：供应商参加竞标的报价超过该包采购最高限价的，该包竞标无效；供应商报价须包含该采购需求的全部内容。</w:t>
      </w:r>
    </w:p>
    <w:p>
      <w:pPr>
        <w:spacing w:line="360" w:lineRule="auto"/>
        <w:jc w:val="left"/>
        <w:rPr>
          <w:rFonts w:ascii="宋体" w:hAnsi="宋体" w:cs="宋体"/>
          <w:strike/>
          <w:szCs w:val="21"/>
        </w:rPr>
      </w:pPr>
      <w:r>
        <w:rPr>
          <w:rFonts w:hint="eastAsia" w:ascii="宋体" w:hAnsi="宋体" w:cs="宋体"/>
          <w:color w:val="000000"/>
          <w:szCs w:val="21"/>
        </w:rPr>
        <w:t>8.</w:t>
      </w:r>
      <w:r>
        <w:rPr>
          <w:rFonts w:hint="eastAsia" w:ascii="宋体" w:hAnsi="宋体" w:cs="宋体"/>
          <w:szCs w:val="21"/>
        </w:rPr>
        <w:t>合同履行期限：</w:t>
      </w:r>
      <w:r>
        <w:rPr>
          <w:rFonts w:hint="eastAsia" w:ascii="宋体" w:hAnsi="宋体" w:cs="宋体"/>
          <w:szCs w:val="21"/>
          <w:u w:val="single"/>
        </w:rPr>
        <w:t xml:space="preserve"> 见交货期及质保期/保修期；</w:t>
      </w:r>
    </w:p>
    <w:p>
      <w:pPr>
        <w:spacing w:line="360" w:lineRule="auto"/>
        <w:jc w:val="left"/>
        <w:rPr>
          <w:rFonts w:ascii="宋体" w:hAnsi="宋体" w:cs="宋体"/>
          <w:szCs w:val="21"/>
          <w:highlight w:val="yellow"/>
        </w:rPr>
      </w:pPr>
      <w:r>
        <w:rPr>
          <w:rFonts w:hint="eastAsia" w:ascii="宋体" w:hAnsi="宋体" w:cs="宋体"/>
          <w:szCs w:val="21"/>
        </w:rPr>
        <w:t>9.本项目（是/否）接受联合体投标：否</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10.是否可采购进口产品：否</w:t>
      </w:r>
    </w:p>
    <w:p>
      <w:pPr>
        <w:spacing w:line="360" w:lineRule="auto"/>
        <w:jc w:val="left"/>
        <w:rPr>
          <w:rFonts w:ascii="宋体" w:hAnsi="宋体" w:cs="宋体"/>
          <w:szCs w:val="21"/>
        </w:rPr>
      </w:pPr>
      <w:r>
        <w:rPr>
          <w:rFonts w:hint="eastAsia" w:asciiTheme="minorEastAsia" w:hAnsiTheme="minorEastAsia" w:eastAsiaTheme="minorEastAsia" w:cstheme="minorEastAsia"/>
          <w:szCs w:val="21"/>
        </w:rPr>
        <w:t>11.本项目（是/否）专门面向中小微企业：否</w:t>
      </w:r>
    </w:p>
    <w:p>
      <w:pPr>
        <w:pStyle w:val="5"/>
        <w:numPr>
          <w:ilvl w:val="0"/>
          <w:numId w:val="6"/>
        </w:numPr>
        <w:spacing w:line="360" w:lineRule="auto"/>
        <w:jc w:val="left"/>
        <w:rPr>
          <w:rFonts w:ascii="宋体" w:hAnsi="宋体" w:eastAsia="宋体" w:cs="宋体"/>
          <w:sz w:val="21"/>
          <w:szCs w:val="21"/>
        </w:rPr>
      </w:pPr>
      <w:bookmarkStart w:id="9" w:name="_Toc32323"/>
      <w:r>
        <w:rPr>
          <w:rFonts w:hint="eastAsia" w:ascii="宋体" w:hAnsi="宋体" w:eastAsia="宋体" w:cs="宋体"/>
          <w:sz w:val="21"/>
          <w:szCs w:val="21"/>
        </w:rPr>
        <w:t>申请人的资格要求</w:t>
      </w:r>
      <w:bookmarkEnd w:id="9"/>
    </w:p>
    <w:p>
      <w:pPr>
        <w:numPr>
          <w:ilvl w:val="0"/>
          <w:numId w:val="7"/>
        </w:num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满足《中华人民共和国政府采购法》第二十二条规定；</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（1）具有独立承担民事责任的能力；</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（2）具有良好的商业信誉和健全的财务会计制度；</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（3）具有履行合同所必需的设备和专业技术能力；</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（4）有依</w:t>
      </w:r>
      <w:r>
        <w:rPr>
          <w:rFonts w:hint="eastAsia" w:asciiTheme="minorEastAsia" w:hAnsiTheme="minorEastAsia" w:eastAsiaTheme="minorEastAsia" w:cstheme="minorEastAsia"/>
          <w:szCs w:val="21"/>
        </w:rPr>
        <w:t>法缴纳税收和社会保障资金的良好记录；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（5）</w:t>
      </w:r>
      <w:r>
        <w:rPr>
          <w:rFonts w:hint="eastAsia" w:asciiTheme="minorEastAsia" w:hAnsiTheme="minorEastAsia" w:eastAsiaTheme="minorEastAsia" w:cstheme="minorEastAsia"/>
          <w:szCs w:val="21"/>
        </w:rPr>
        <w:t>参加政府采购活动前三年内，在经营活动中没有重大违法记录；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（6）</w:t>
      </w:r>
      <w:r>
        <w:rPr>
          <w:rFonts w:hint="eastAsia" w:asciiTheme="minorEastAsia" w:hAnsiTheme="minorEastAsia" w:eastAsiaTheme="minorEastAsia" w:cstheme="minorEastAsia"/>
          <w:szCs w:val="21"/>
        </w:rPr>
        <w:t>法律、行政法规规定的其他条件；</w:t>
      </w:r>
    </w:p>
    <w:p>
      <w:pPr>
        <w:numPr>
          <w:ilvl w:val="0"/>
          <w:numId w:val="7"/>
        </w:num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w:t>
      </w:r>
    </w:p>
    <w:p>
      <w:pPr>
        <w:numPr>
          <w:ilvl w:val="0"/>
          <w:numId w:val="7"/>
        </w:num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为本采购项目提供整体设计、规范编制或者项目管理、监理、检测等服务的，不得再参加本项目的其他招标采购活动。</w:t>
      </w:r>
    </w:p>
    <w:p>
      <w:pPr>
        <w:numPr>
          <w:ilvl w:val="0"/>
          <w:numId w:val="7"/>
        </w:num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zCs w:val="21"/>
        </w:rPr>
        <w:t>未被列入失信被执行人、重大税收违法案件当事人名单，未被列入政府采购严重违法失信行为记录名单。</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 xml:space="preserve">    5.落实政府采购政策需满足的资格要求：本项目整体非专门面向中小企业，即小微企业参与本项目可享受政府采购中小企业扶持政策，本项目企业划分标准所属行业</w:t>
      </w:r>
      <w:r>
        <w:rPr>
          <w:rFonts w:hint="eastAsia" w:asciiTheme="minorEastAsia" w:hAnsiTheme="minorEastAsia" w:eastAsiaTheme="minorEastAsia" w:cstheme="minorEastAsia"/>
          <w:color w:val="auto"/>
          <w:szCs w:val="21"/>
        </w:rPr>
        <w:t>为</w:t>
      </w:r>
      <w:r>
        <w:rPr>
          <w:rFonts w:hint="eastAsia" w:asciiTheme="minorEastAsia" w:hAnsiTheme="minorEastAsia" w:eastAsiaTheme="minorEastAsia" w:cstheme="minorEastAsia"/>
          <w:color w:val="auto"/>
          <w:szCs w:val="21"/>
          <w:lang w:eastAsia="zh-CN"/>
        </w:rPr>
        <w:t>“软件和信息技术服务业</w:t>
      </w:r>
      <w:r>
        <w:rPr>
          <w:rFonts w:hint="eastAsia" w:asciiTheme="minorEastAsia" w:hAnsiTheme="minorEastAsia" w:eastAsiaTheme="minorEastAsia" w:cstheme="minorEastAsia"/>
          <w:color w:val="auto"/>
          <w:szCs w:val="21"/>
        </w:rPr>
        <w:t>”。</w:t>
      </w:r>
    </w:p>
    <w:p>
      <w:pPr>
        <w:spacing w:line="360" w:lineRule="auto"/>
        <w:ind w:left="420" w:leftChars="200"/>
        <w:jc w:val="left"/>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6.本项目的特定资格要求：</w:t>
      </w:r>
    </w:p>
    <w:p>
      <w:pPr>
        <w:spacing w:line="360" w:lineRule="auto"/>
        <w:ind w:firstLine="630" w:firstLineChars="300"/>
        <w:jc w:val="left"/>
        <w:rPr>
          <w:rFonts w:ascii="宋体" w:hAnsi="宋体" w:cs="宋体"/>
          <w:szCs w:val="21"/>
        </w:rPr>
      </w:pPr>
      <w:r>
        <w:rPr>
          <w:rFonts w:hint="eastAsia" w:ascii="宋体" w:hAnsi="宋体" w:cs="宋体"/>
          <w:szCs w:val="21"/>
        </w:rPr>
        <w:t>无</w:t>
      </w:r>
    </w:p>
    <w:p>
      <w:pPr>
        <w:pStyle w:val="5"/>
        <w:numPr>
          <w:ilvl w:val="0"/>
          <w:numId w:val="6"/>
        </w:numPr>
        <w:spacing w:line="360" w:lineRule="auto"/>
        <w:jc w:val="left"/>
        <w:rPr>
          <w:rFonts w:ascii="宋体" w:hAnsi="宋体" w:eastAsia="宋体" w:cs="宋体"/>
          <w:sz w:val="21"/>
          <w:szCs w:val="21"/>
        </w:rPr>
      </w:pPr>
      <w:bookmarkStart w:id="10" w:name="_Toc31037"/>
      <w:bookmarkStart w:id="11" w:name="_Toc334539185"/>
      <w:r>
        <w:rPr>
          <w:rFonts w:hint="eastAsia" w:ascii="宋体" w:hAnsi="宋体" w:eastAsia="宋体" w:cs="宋体"/>
          <w:sz w:val="21"/>
          <w:szCs w:val="21"/>
        </w:rPr>
        <w:t>获取采购文件</w:t>
      </w:r>
      <w:bookmarkEnd w:id="10"/>
    </w:p>
    <w:p>
      <w:pPr>
        <w:spacing w:line="360" w:lineRule="auto"/>
        <w:ind w:firstLine="420" w:firstLineChars="200"/>
        <w:jc w:val="left"/>
        <w:rPr>
          <w:rFonts w:ascii="宋体" w:hAnsi="宋体" w:cs="宋体"/>
          <w:szCs w:val="21"/>
        </w:rPr>
      </w:pPr>
      <w:r>
        <w:rPr>
          <w:rFonts w:hint="eastAsia" w:ascii="宋体" w:hAnsi="宋体" w:cs="宋体"/>
          <w:szCs w:val="21"/>
        </w:rPr>
        <w:t>时间：</w:t>
      </w:r>
      <w:r>
        <w:rPr>
          <w:rFonts w:hint="eastAsia" w:ascii="宋体" w:hAnsi="宋体" w:cs="宋体"/>
          <w:color w:val="3626E7"/>
          <w:szCs w:val="21"/>
          <w:u w:val="single"/>
        </w:rPr>
        <w:t>2021年</w:t>
      </w:r>
      <w:r>
        <w:rPr>
          <w:rFonts w:hint="eastAsia" w:ascii="宋体" w:hAnsi="宋体" w:cs="宋体"/>
          <w:color w:val="3626E7"/>
          <w:szCs w:val="21"/>
          <w:u w:val="single"/>
          <w:lang w:val="en-US" w:eastAsia="zh-CN"/>
        </w:rPr>
        <w:t>11</w:t>
      </w:r>
      <w:r>
        <w:rPr>
          <w:rFonts w:hint="eastAsia" w:ascii="宋体" w:hAnsi="宋体" w:cs="宋体"/>
          <w:color w:val="3626E7"/>
          <w:szCs w:val="21"/>
          <w:u w:val="single"/>
        </w:rPr>
        <w:t>月</w:t>
      </w:r>
      <w:r>
        <w:rPr>
          <w:rFonts w:hint="eastAsia" w:ascii="宋体" w:hAnsi="宋体" w:cs="宋体"/>
          <w:color w:val="3626E7"/>
          <w:szCs w:val="21"/>
          <w:u w:val="single"/>
          <w:lang w:val="en-US" w:eastAsia="zh-CN"/>
        </w:rPr>
        <w:t>08</w:t>
      </w:r>
      <w:r>
        <w:rPr>
          <w:rFonts w:hint="eastAsia" w:ascii="宋体" w:hAnsi="宋体" w:cs="宋体"/>
          <w:color w:val="3626E7"/>
          <w:szCs w:val="21"/>
          <w:u w:val="single"/>
        </w:rPr>
        <w:t>日至2021年</w:t>
      </w:r>
      <w:r>
        <w:rPr>
          <w:rFonts w:hint="eastAsia" w:ascii="宋体" w:hAnsi="宋体" w:cs="宋体"/>
          <w:color w:val="3626E7"/>
          <w:szCs w:val="21"/>
          <w:u w:val="single"/>
          <w:lang w:val="en-US" w:eastAsia="zh-CN"/>
        </w:rPr>
        <w:t>11</w:t>
      </w:r>
      <w:r>
        <w:rPr>
          <w:rFonts w:hint="eastAsia" w:ascii="宋体" w:hAnsi="宋体" w:cs="宋体"/>
          <w:color w:val="3626E7"/>
          <w:szCs w:val="21"/>
          <w:u w:val="single"/>
        </w:rPr>
        <w:t>月</w:t>
      </w:r>
      <w:r>
        <w:rPr>
          <w:rFonts w:hint="eastAsia" w:ascii="宋体" w:hAnsi="宋体" w:cs="宋体"/>
          <w:color w:val="3626E7"/>
          <w:szCs w:val="21"/>
          <w:u w:val="single"/>
          <w:lang w:val="en-US" w:eastAsia="zh-CN"/>
        </w:rPr>
        <w:t>12</w:t>
      </w:r>
      <w:r>
        <w:rPr>
          <w:rFonts w:hint="eastAsia" w:ascii="宋体" w:hAnsi="宋体" w:cs="宋体"/>
          <w:color w:val="3626E7"/>
          <w:szCs w:val="21"/>
          <w:u w:val="single"/>
        </w:rPr>
        <w:t>日</w:t>
      </w:r>
      <w:r>
        <w:rPr>
          <w:rFonts w:hint="eastAsia" w:ascii="宋体" w:hAnsi="宋体" w:cs="宋体"/>
          <w:szCs w:val="21"/>
        </w:rPr>
        <w:t>，每天上午09:00至12:00，下午14:30至17:00（北京时间，法定节假日除外）</w:t>
      </w:r>
    </w:p>
    <w:p>
      <w:pPr>
        <w:spacing w:line="360" w:lineRule="auto"/>
        <w:ind w:firstLine="420" w:firstLineChars="200"/>
        <w:jc w:val="left"/>
        <w:rPr>
          <w:rFonts w:ascii="宋体" w:hAnsi="宋体" w:cs="宋体"/>
          <w:szCs w:val="21"/>
        </w:rPr>
      </w:pPr>
      <w:r>
        <w:rPr>
          <w:rFonts w:hint="eastAsia" w:ascii="宋体" w:hAnsi="宋体" w:cs="宋体"/>
          <w:szCs w:val="21"/>
        </w:rPr>
        <w:t>地点：线上获取；</w:t>
      </w:r>
    </w:p>
    <w:bookmarkEnd w:id="11"/>
    <w:p>
      <w:pPr>
        <w:spacing w:line="360" w:lineRule="auto"/>
        <w:ind w:firstLine="420" w:firstLineChars="200"/>
        <w:jc w:val="left"/>
        <w:rPr>
          <w:rFonts w:ascii="宋体" w:hAnsi="宋体" w:cs="宋体"/>
          <w:szCs w:val="21"/>
        </w:rPr>
      </w:pPr>
      <w:r>
        <w:rPr>
          <w:rFonts w:hint="eastAsia" w:ascii="宋体" w:hAnsi="宋体" w:cs="宋体"/>
          <w:szCs w:val="21"/>
        </w:rPr>
        <w:t>线上获取：因疫情原因，采取网上获取文件的方式，请各供应商将以下附件资料加盖公章扫描后传至2102252595@qq.com（邮件主题名称必须备注所投项目名称及公司姓名，否则不予受理），以邮箱显示收到的时间为准，递交资料后请联系代理机构工作人员支付磋商文件费用并确认后获取磋商文件。采购文件售后不退，不办理邮寄；</w:t>
      </w:r>
      <w:r>
        <w:rPr>
          <w:rFonts w:hint="eastAsia" w:ascii="宋体" w:hAnsi="宋体" w:cs="宋体"/>
          <w:szCs w:val="21"/>
        </w:rPr>
        <w:br w:type="textWrapping"/>
      </w:r>
      <w:r>
        <w:rPr>
          <w:rFonts w:hint="eastAsia" w:ascii="宋体" w:hAnsi="宋体" w:cs="宋体"/>
          <w:b/>
          <w:bCs/>
          <w:szCs w:val="21"/>
        </w:rPr>
        <w:t xml:space="preserve">    </w:t>
      </w:r>
      <w:r>
        <w:rPr>
          <w:rFonts w:hint="eastAsia" w:ascii="宋体" w:hAnsi="宋体" w:cs="宋体"/>
          <w:szCs w:val="21"/>
        </w:rPr>
        <w:t>售价：400（元）；</w:t>
      </w:r>
    </w:p>
    <w:p>
      <w:pPr>
        <w:pStyle w:val="5"/>
        <w:numPr>
          <w:ilvl w:val="0"/>
          <w:numId w:val="6"/>
        </w:numPr>
        <w:spacing w:line="360" w:lineRule="auto"/>
        <w:jc w:val="left"/>
        <w:rPr>
          <w:rFonts w:ascii="宋体" w:hAnsi="宋体" w:eastAsia="宋体" w:cs="宋体"/>
          <w:sz w:val="21"/>
          <w:szCs w:val="21"/>
        </w:rPr>
      </w:pPr>
      <w:bookmarkStart w:id="12" w:name="_Toc30368"/>
      <w:r>
        <w:rPr>
          <w:rFonts w:hint="eastAsia" w:ascii="宋体" w:hAnsi="宋体" w:eastAsia="宋体" w:cs="宋体"/>
          <w:sz w:val="21"/>
          <w:szCs w:val="21"/>
        </w:rPr>
        <w:t>响应文件提交</w:t>
      </w:r>
      <w:bookmarkEnd w:id="12"/>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开始时间：</w:t>
      </w:r>
      <w:r>
        <w:rPr>
          <w:rFonts w:hint="eastAsia" w:asciiTheme="minorEastAsia" w:hAnsiTheme="minorEastAsia" w:eastAsiaTheme="minorEastAsia" w:cstheme="minorEastAsia"/>
          <w:color w:val="3626E7"/>
          <w:szCs w:val="21"/>
        </w:rPr>
        <w:t>2021年</w:t>
      </w:r>
      <w:r>
        <w:rPr>
          <w:rFonts w:hint="eastAsia" w:asciiTheme="minorEastAsia" w:hAnsiTheme="minorEastAsia" w:eastAsiaTheme="minorEastAsia" w:cstheme="minorEastAsia"/>
          <w:color w:val="3626E7"/>
          <w:szCs w:val="21"/>
          <w:lang w:val="en-US" w:eastAsia="zh-CN"/>
        </w:rPr>
        <w:t>11</w:t>
      </w:r>
      <w:r>
        <w:rPr>
          <w:rFonts w:hint="eastAsia" w:asciiTheme="minorEastAsia" w:hAnsiTheme="minorEastAsia" w:eastAsiaTheme="minorEastAsia" w:cstheme="minorEastAsia"/>
          <w:color w:val="3626E7"/>
          <w:szCs w:val="21"/>
        </w:rPr>
        <w:t>月</w:t>
      </w:r>
      <w:r>
        <w:rPr>
          <w:rFonts w:hint="eastAsia" w:asciiTheme="minorEastAsia" w:hAnsiTheme="minorEastAsia" w:eastAsiaTheme="minorEastAsia" w:cstheme="minorEastAsia"/>
          <w:color w:val="3626E7"/>
          <w:szCs w:val="21"/>
          <w:lang w:val="en-US" w:eastAsia="zh-CN"/>
        </w:rPr>
        <w:t>18</w:t>
      </w:r>
      <w:r>
        <w:rPr>
          <w:rFonts w:hint="eastAsia" w:asciiTheme="minorEastAsia" w:hAnsiTheme="minorEastAsia" w:eastAsiaTheme="minorEastAsia" w:cstheme="minorEastAsia"/>
          <w:color w:val="3626E7"/>
          <w:szCs w:val="21"/>
        </w:rPr>
        <w:t>日</w:t>
      </w:r>
      <w:r>
        <w:rPr>
          <w:rFonts w:hint="eastAsia" w:asciiTheme="minorEastAsia" w:hAnsiTheme="minorEastAsia" w:eastAsiaTheme="minorEastAsia" w:cstheme="minorEastAsia"/>
          <w:color w:val="3626E7"/>
          <w:szCs w:val="21"/>
          <w:lang w:val="en-US" w:eastAsia="zh-CN"/>
        </w:rPr>
        <w:t>08</w:t>
      </w:r>
      <w:r>
        <w:rPr>
          <w:rFonts w:hint="eastAsia" w:asciiTheme="minorEastAsia" w:hAnsiTheme="minorEastAsia" w:eastAsiaTheme="minorEastAsia" w:cstheme="minorEastAsia"/>
          <w:color w:val="3626E7"/>
          <w:szCs w:val="21"/>
        </w:rPr>
        <w:t>点</w:t>
      </w:r>
      <w:r>
        <w:rPr>
          <w:rFonts w:hint="eastAsia" w:asciiTheme="minorEastAsia" w:hAnsiTheme="minorEastAsia" w:eastAsiaTheme="minorEastAsia" w:cstheme="minorEastAsia"/>
          <w:color w:val="3626E7"/>
          <w:szCs w:val="21"/>
          <w:lang w:val="en-US" w:eastAsia="zh-CN"/>
        </w:rPr>
        <w:t>30</w:t>
      </w:r>
      <w:r>
        <w:rPr>
          <w:rFonts w:hint="eastAsia" w:asciiTheme="minorEastAsia" w:hAnsiTheme="minorEastAsia" w:eastAsiaTheme="minorEastAsia" w:cstheme="minorEastAsia"/>
          <w:color w:val="3626E7"/>
          <w:szCs w:val="21"/>
        </w:rPr>
        <w:t>分</w:t>
      </w:r>
      <w:r>
        <w:rPr>
          <w:rFonts w:hint="eastAsia" w:asciiTheme="minorEastAsia" w:hAnsiTheme="minorEastAsia" w:eastAsiaTheme="minorEastAsia" w:cstheme="minorEastAsia"/>
          <w:szCs w:val="21"/>
        </w:rPr>
        <w:t>（北京时间）</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截止时间：</w:t>
      </w:r>
      <w:r>
        <w:rPr>
          <w:rFonts w:hint="eastAsia" w:ascii="宋体" w:hAnsi="宋体" w:cs="宋体"/>
          <w:color w:val="3626E7"/>
          <w:szCs w:val="21"/>
          <w:u w:val="none"/>
        </w:rPr>
        <w:t>2021年</w:t>
      </w:r>
      <w:r>
        <w:rPr>
          <w:rFonts w:hint="eastAsia" w:ascii="宋体" w:hAnsi="宋体" w:cs="宋体"/>
          <w:color w:val="3626E7"/>
          <w:szCs w:val="21"/>
          <w:u w:val="none"/>
          <w:lang w:val="en-US" w:eastAsia="zh-CN"/>
        </w:rPr>
        <w:t>11</w:t>
      </w:r>
      <w:r>
        <w:rPr>
          <w:rFonts w:hint="eastAsia" w:ascii="宋体" w:hAnsi="宋体" w:cs="宋体"/>
          <w:color w:val="3626E7"/>
          <w:szCs w:val="21"/>
          <w:u w:val="none"/>
        </w:rPr>
        <w:t>月</w:t>
      </w:r>
      <w:r>
        <w:rPr>
          <w:rFonts w:hint="eastAsia" w:ascii="宋体" w:hAnsi="宋体" w:cs="宋体"/>
          <w:color w:val="3626E7"/>
          <w:szCs w:val="21"/>
          <w:u w:val="none"/>
          <w:lang w:val="en-US" w:eastAsia="zh-CN"/>
        </w:rPr>
        <w:t>18</w:t>
      </w:r>
      <w:r>
        <w:rPr>
          <w:rFonts w:hint="eastAsia" w:ascii="宋体" w:hAnsi="宋体" w:cs="宋体"/>
          <w:color w:val="3626E7"/>
          <w:szCs w:val="21"/>
          <w:u w:val="none"/>
        </w:rPr>
        <w:t>日</w:t>
      </w:r>
      <w:r>
        <w:rPr>
          <w:rFonts w:hint="eastAsia" w:ascii="宋体" w:hAnsi="宋体" w:cs="宋体"/>
          <w:color w:val="3626E7"/>
          <w:szCs w:val="21"/>
          <w:u w:val="none"/>
          <w:lang w:val="en-US" w:eastAsia="zh-CN"/>
        </w:rPr>
        <w:t>14</w:t>
      </w:r>
      <w:r>
        <w:rPr>
          <w:rFonts w:hint="eastAsia" w:ascii="宋体" w:hAnsi="宋体" w:cs="宋体"/>
          <w:color w:val="3626E7"/>
          <w:szCs w:val="21"/>
          <w:u w:val="none"/>
        </w:rPr>
        <w:t>点</w:t>
      </w:r>
      <w:r>
        <w:rPr>
          <w:rFonts w:hint="eastAsia" w:ascii="宋体" w:hAnsi="宋体" w:cs="宋体"/>
          <w:color w:val="3626E7"/>
          <w:szCs w:val="21"/>
          <w:u w:val="none"/>
          <w:lang w:val="en-US" w:eastAsia="zh-CN"/>
        </w:rPr>
        <w:t>00</w:t>
      </w:r>
      <w:r>
        <w:rPr>
          <w:rFonts w:hint="eastAsia" w:ascii="宋体" w:hAnsi="宋体" w:cs="宋体"/>
          <w:color w:val="3626E7"/>
          <w:szCs w:val="21"/>
          <w:u w:val="none"/>
        </w:rPr>
        <w:t>分</w:t>
      </w:r>
      <w:r>
        <w:rPr>
          <w:rFonts w:hint="eastAsia" w:asciiTheme="minorEastAsia" w:hAnsiTheme="minorEastAsia" w:eastAsiaTheme="minorEastAsia" w:cstheme="minorEastAsia"/>
          <w:szCs w:val="21"/>
        </w:rPr>
        <w:t>（北京时间）</w:t>
      </w:r>
    </w:p>
    <w:p>
      <w:pPr>
        <w:spacing w:line="360" w:lineRule="auto"/>
        <w:ind w:firstLine="420" w:firstLineChars="200"/>
        <w:jc w:val="left"/>
        <w:rPr>
          <w:rFonts w:ascii="宋体" w:hAnsi="宋体" w:cs="宋体"/>
          <w:szCs w:val="21"/>
        </w:rPr>
      </w:pPr>
      <w:r>
        <w:rPr>
          <w:rFonts w:hint="eastAsia" w:asciiTheme="minorEastAsia" w:hAnsiTheme="minorEastAsia" w:eastAsiaTheme="minorEastAsia" w:cstheme="minorEastAsia"/>
          <w:szCs w:val="21"/>
        </w:rPr>
        <w:t>地点：武昌区中北路岳家嘴立交山河企业大厦4806室，凡是购买了磋商文件且已回复确定参加竞标的潜在供应商，于竞标当日临时放弃竞标的，应及时以电话告知形式通知采购代理机构。</w:t>
      </w:r>
    </w:p>
    <w:p>
      <w:pPr>
        <w:pStyle w:val="5"/>
        <w:numPr>
          <w:ilvl w:val="0"/>
          <w:numId w:val="6"/>
        </w:numPr>
        <w:spacing w:line="360" w:lineRule="auto"/>
        <w:jc w:val="left"/>
        <w:rPr>
          <w:rFonts w:eastAsia="宋体"/>
          <w:sz w:val="21"/>
          <w:szCs w:val="21"/>
        </w:rPr>
      </w:pPr>
      <w:bookmarkStart w:id="13" w:name="_Toc8237"/>
      <w:r>
        <w:rPr>
          <w:rFonts w:hint="eastAsia" w:ascii="宋体" w:hAnsi="宋体" w:eastAsia="宋体" w:cs="宋体"/>
          <w:sz w:val="21"/>
          <w:szCs w:val="21"/>
        </w:rPr>
        <w:t>开启</w:t>
      </w:r>
      <w:bookmarkEnd w:id="13"/>
    </w:p>
    <w:p>
      <w:pPr>
        <w:spacing w:line="360" w:lineRule="auto"/>
        <w:ind w:firstLine="420" w:firstLineChars="200"/>
        <w:jc w:val="left"/>
        <w:rPr>
          <w:szCs w:val="21"/>
        </w:rPr>
      </w:pPr>
      <w:r>
        <w:rPr>
          <w:rFonts w:hint="eastAsia" w:ascii="宋体" w:hAnsi="宋体" w:cs="宋体"/>
          <w:szCs w:val="21"/>
        </w:rPr>
        <w:t>时间：</w:t>
      </w:r>
      <w:r>
        <w:rPr>
          <w:rFonts w:hint="eastAsia" w:ascii="宋体" w:hAnsi="宋体" w:cs="宋体"/>
          <w:color w:val="0000FF"/>
          <w:szCs w:val="21"/>
        </w:rPr>
        <w:t>2021年</w:t>
      </w:r>
      <w:r>
        <w:rPr>
          <w:rFonts w:hint="eastAsia" w:ascii="宋体" w:hAnsi="宋体" w:cs="宋体"/>
          <w:color w:val="0000FF"/>
          <w:szCs w:val="21"/>
          <w:lang w:val="en-US" w:eastAsia="zh-CN"/>
        </w:rPr>
        <w:t>11</w:t>
      </w:r>
      <w:r>
        <w:rPr>
          <w:rFonts w:hint="eastAsia" w:ascii="宋体" w:hAnsi="宋体" w:cs="宋体"/>
          <w:color w:val="0000FF"/>
          <w:szCs w:val="21"/>
        </w:rPr>
        <w:t>月</w:t>
      </w:r>
      <w:r>
        <w:rPr>
          <w:rFonts w:hint="eastAsia" w:ascii="宋体" w:hAnsi="宋体" w:cs="宋体"/>
          <w:color w:val="0000FF"/>
          <w:szCs w:val="21"/>
          <w:lang w:val="en-US" w:eastAsia="zh-CN"/>
        </w:rPr>
        <w:t>18</w:t>
      </w:r>
      <w:r>
        <w:rPr>
          <w:rFonts w:hint="eastAsia" w:ascii="宋体" w:hAnsi="宋体" w:cs="宋体"/>
          <w:color w:val="0000FF"/>
          <w:szCs w:val="21"/>
        </w:rPr>
        <w:t>日</w:t>
      </w:r>
      <w:r>
        <w:rPr>
          <w:rFonts w:hint="eastAsia" w:ascii="宋体" w:hAnsi="宋体" w:cs="宋体"/>
          <w:color w:val="0000FF"/>
          <w:szCs w:val="21"/>
          <w:lang w:val="en-US" w:eastAsia="zh-CN"/>
        </w:rPr>
        <w:t>14</w:t>
      </w:r>
      <w:r>
        <w:rPr>
          <w:rFonts w:hint="eastAsia" w:ascii="宋体" w:hAnsi="宋体" w:cs="宋体"/>
          <w:color w:val="0000FF"/>
          <w:szCs w:val="21"/>
        </w:rPr>
        <w:t>点</w:t>
      </w:r>
      <w:r>
        <w:rPr>
          <w:rFonts w:hint="eastAsia" w:ascii="宋体" w:hAnsi="宋体" w:cs="宋体"/>
          <w:color w:val="0000FF"/>
          <w:szCs w:val="21"/>
          <w:lang w:val="en-US" w:eastAsia="zh-CN"/>
        </w:rPr>
        <w:t>00</w:t>
      </w:r>
      <w:r>
        <w:rPr>
          <w:rFonts w:hint="eastAsia" w:ascii="宋体" w:hAnsi="宋体" w:cs="宋体"/>
          <w:color w:val="0000FF"/>
          <w:szCs w:val="21"/>
        </w:rPr>
        <w:t>分</w:t>
      </w:r>
      <w:r>
        <w:rPr>
          <w:rFonts w:hint="eastAsia" w:ascii="宋体" w:hAnsi="宋体" w:cs="宋体"/>
          <w:szCs w:val="21"/>
        </w:rPr>
        <w:t>（北京时间）</w:t>
      </w:r>
    </w:p>
    <w:p>
      <w:pPr>
        <w:pStyle w:val="5"/>
        <w:numPr>
          <w:ilvl w:val="0"/>
          <w:numId w:val="6"/>
        </w:numPr>
        <w:spacing w:line="360" w:lineRule="auto"/>
        <w:jc w:val="left"/>
        <w:rPr>
          <w:rFonts w:ascii="宋体" w:hAnsi="宋体" w:eastAsia="宋体" w:cs="宋体"/>
          <w:sz w:val="21"/>
          <w:szCs w:val="21"/>
        </w:rPr>
      </w:pPr>
      <w:bookmarkStart w:id="14" w:name="_Toc14422"/>
      <w:r>
        <w:rPr>
          <w:rFonts w:hint="eastAsia" w:ascii="宋体" w:hAnsi="宋体" w:eastAsia="宋体" w:cs="宋体"/>
          <w:sz w:val="21"/>
          <w:szCs w:val="21"/>
        </w:rPr>
        <w:t>公告期限</w:t>
      </w:r>
      <w:bookmarkEnd w:id="14"/>
    </w:p>
    <w:p>
      <w:pPr>
        <w:spacing w:line="360" w:lineRule="auto"/>
        <w:ind w:firstLine="420" w:firstLineChars="200"/>
        <w:jc w:val="left"/>
        <w:rPr>
          <w:rFonts w:ascii="宋体" w:hAnsi="宋体" w:cs="宋体"/>
          <w:szCs w:val="21"/>
        </w:rPr>
      </w:pPr>
      <w:bookmarkStart w:id="15" w:name="_Toc276368888"/>
      <w:bookmarkStart w:id="16" w:name="_Toc317262251"/>
      <w:bookmarkStart w:id="17" w:name="_Toc334539188"/>
      <w:bookmarkStart w:id="18" w:name="_Toc259607751"/>
      <w:bookmarkStart w:id="19" w:name="_Toc320898024"/>
      <w:bookmarkStart w:id="20" w:name="_Toc6021"/>
      <w:r>
        <w:rPr>
          <w:rFonts w:hint="eastAsia" w:ascii="宋体" w:hAnsi="宋体" w:cs="宋体"/>
          <w:szCs w:val="21"/>
        </w:rPr>
        <w:t>自本公告发布之日起3个工作日</w:t>
      </w:r>
    </w:p>
    <w:bookmarkEnd w:id="15"/>
    <w:bookmarkEnd w:id="16"/>
    <w:bookmarkEnd w:id="17"/>
    <w:bookmarkEnd w:id="18"/>
    <w:bookmarkEnd w:id="19"/>
    <w:bookmarkEnd w:id="20"/>
    <w:p>
      <w:pPr>
        <w:pStyle w:val="5"/>
        <w:numPr>
          <w:ilvl w:val="0"/>
          <w:numId w:val="6"/>
        </w:numPr>
        <w:spacing w:line="360" w:lineRule="auto"/>
        <w:jc w:val="left"/>
        <w:rPr>
          <w:rFonts w:ascii="宋体" w:hAnsi="宋体" w:eastAsia="宋体" w:cs="宋体"/>
          <w:sz w:val="21"/>
          <w:szCs w:val="21"/>
        </w:rPr>
      </w:pPr>
      <w:bookmarkStart w:id="21" w:name="_Toc925"/>
      <w:r>
        <w:rPr>
          <w:rFonts w:hint="eastAsia" w:ascii="宋体" w:hAnsi="宋体" w:eastAsia="宋体" w:cs="宋体"/>
          <w:sz w:val="21"/>
          <w:szCs w:val="21"/>
        </w:rPr>
        <w:t>其他补充事宜</w:t>
      </w:r>
      <w:bookmarkEnd w:id="21"/>
    </w:p>
    <w:p>
      <w:pPr>
        <w:spacing w:line="360" w:lineRule="auto"/>
        <w:ind w:firstLine="420" w:firstLineChars="200"/>
        <w:jc w:val="left"/>
        <w:rPr>
          <w:rFonts w:ascii="宋体" w:hAnsi="宋体" w:cs="宋体"/>
          <w:szCs w:val="21"/>
        </w:rPr>
      </w:pPr>
      <w:bookmarkStart w:id="22" w:name="_Toc259028279"/>
      <w:r>
        <w:rPr>
          <w:rFonts w:hint="eastAsia" w:ascii="宋体" w:hAnsi="宋体" w:cs="宋体"/>
          <w:szCs w:val="21"/>
        </w:rPr>
        <w:t>1.</w:t>
      </w:r>
      <w:r>
        <w:rPr>
          <w:rFonts w:hint="eastAsia" w:asciiTheme="minorEastAsia" w:hAnsiTheme="minorEastAsia" w:eastAsiaTheme="minorEastAsia" w:cstheme="minorEastAsia"/>
          <w:szCs w:val="21"/>
        </w:rPr>
        <w:t>本项目资金性质为：</w:t>
      </w:r>
      <w:r>
        <w:rPr>
          <w:rFonts w:hint="eastAsia" w:asciiTheme="minorEastAsia" w:hAnsiTheme="minorEastAsia" w:eastAsiaTheme="minorEastAsia" w:cstheme="minorEastAsia"/>
          <w:szCs w:val="21"/>
          <w:lang w:eastAsia="zh-CN"/>
        </w:rPr>
        <w:t>自筹</w:t>
      </w:r>
      <w:r>
        <w:rPr>
          <w:rFonts w:hint="eastAsia" w:asciiTheme="minorEastAsia" w:hAnsiTheme="minorEastAsia" w:eastAsiaTheme="minorEastAsia" w:cstheme="minorEastAsia"/>
          <w:szCs w:val="21"/>
        </w:rPr>
        <w:t>资金</w:t>
      </w:r>
    </w:p>
    <w:p>
      <w:pPr>
        <w:spacing w:line="360" w:lineRule="auto"/>
        <w:ind w:firstLine="420" w:firstLineChars="200"/>
        <w:jc w:val="left"/>
        <w:rPr>
          <w:rFonts w:ascii="宋体" w:hAnsi="宋体" w:cs="宋体"/>
          <w:szCs w:val="21"/>
        </w:rPr>
      </w:pPr>
      <w:r>
        <w:rPr>
          <w:rFonts w:hint="eastAsia" w:ascii="宋体" w:hAnsi="宋体" w:cs="宋体"/>
          <w:szCs w:val="21"/>
        </w:rPr>
        <w:t>2.供应商如需查询技术要求可到我处查阅采购文件第三章相关内容。</w:t>
      </w:r>
      <w:r>
        <w:rPr>
          <w:rFonts w:hint="eastAsia" w:ascii="宋体" w:hAnsi="宋体" w:cs="宋体"/>
          <w:szCs w:val="21"/>
        </w:rPr>
        <w:br w:type="textWrapping"/>
      </w:r>
      <w:r>
        <w:rPr>
          <w:rFonts w:hint="eastAsia" w:ascii="宋体" w:hAnsi="宋体" w:cs="宋体"/>
          <w:szCs w:val="21"/>
        </w:rPr>
        <w:t xml:space="preserve">    3.本项目将在以下网站发布所有信息，请参加本项目竞标的供应商密切关注。</w:t>
      </w:r>
      <w:r>
        <w:rPr>
          <w:rFonts w:hint="eastAsia" w:ascii="宋体" w:hAnsi="宋体" w:cs="宋体"/>
          <w:szCs w:val="21"/>
        </w:rPr>
        <w:br w:type="textWrapping"/>
      </w:r>
      <w:r>
        <w:rPr>
          <w:rFonts w:hint="eastAsia" w:ascii="宋体" w:hAnsi="宋体" w:cs="宋体"/>
          <w:szCs w:val="21"/>
          <w:lang w:val="en-US" w:eastAsia="zh-CN"/>
        </w:rPr>
        <w:t xml:space="preserve">    </w:t>
      </w:r>
      <w:r>
        <w:rPr>
          <w:rFonts w:hint="eastAsia" w:ascii="宋体" w:hAnsi="宋体" w:cs="宋体"/>
          <w:szCs w:val="21"/>
        </w:rPr>
        <w:t>（</w:t>
      </w:r>
      <w:r>
        <w:rPr>
          <w:rFonts w:hint="eastAsia" w:ascii="宋体" w:hAnsi="宋体" w:cs="宋体"/>
          <w:szCs w:val="21"/>
          <w:lang w:val="en-US" w:eastAsia="zh-CN"/>
        </w:rPr>
        <w:t>1</w:t>
      </w:r>
      <w:r>
        <w:rPr>
          <w:rFonts w:hint="eastAsia" w:ascii="宋体" w:hAnsi="宋体" w:cs="宋体"/>
          <w:szCs w:val="21"/>
        </w:rPr>
        <w:t xml:space="preserve">）《湖北工业大学采招网》（网址： </w:t>
      </w:r>
      <w:r>
        <w:fldChar w:fldCharType="begin"/>
      </w:r>
      <w:r>
        <w:instrText xml:space="preserve"> HYPERLINK "http://tend.hbut.edu.cn/index.chtml" </w:instrText>
      </w:r>
      <w:r>
        <w:fldChar w:fldCharType="separate"/>
      </w:r>
      <w:r>
        <w:rPr>
          <w:rFonts w:hint="eastAsia" w:ascii="宋体" w:hAnsi="宋体" w:cs="宋体"/>
          <w:szCs w:val="21"/>
        </w:rPr>
        <w:t>http://tend.hbut.edu.cn/index.chtml</w:t>
      </w:r>
      <w:r>
        <w:rPr>
          <w:rFonts w:hint="eastAsia" w:ascii="宋体" w:hAnsi="宋体" w:cs="宋体"/>
          <w:szCs w:val="21"/>
        </w:rPr>
        <w:fldChar w:fldCharType="end"/>
      </w:r>
      <w:r>
        <w:rPr>
          <w:rFonts w:hint="eastAsia" w:ascii="宋体" w:hAnsi="宋体" w:cs="宋体"/>
          <w:szCs w:val="21"/>
        </w:rPr>
        <w:t>）</w:t>
      </w:r>
    </w:p>
    <w:p>
      <w:pPr>
        <w:spacing w:line="360" w:lineRule="auto"/>
        <w:ind w:firstLine="420" w:firstLineChars="200"/>
        <w:jc w:val="left"/>
        <w:rPr>
          <w:rFonts w:ascii="宋体" w:hAnsi="宋体" w:cs="宋体"/>
          <w:b/>
          <w:bCs/>
          <w:szCs w:val="21"/>
        </w:rPr>
      </w:pPr>
      <w:r>
        <w:rPr>
          <w:rFonts w:hint="eastAsia" w:ascii="宋体" w:hAnsi="宋体" w:cs="宋体"/>
          <w:szCs w:val="21"/>
        </w:rPr>
        <w:t>4.防疫要求：</w:t>
      </w:r>
      <w:r>
        <w:rPr>
          <w:rFonts w:hint="eastAsia" w:ascii="宋体" w:hAnsi="宋体" w:cs="宋体"/>
          <w:szCs w:val="21"/>
        </w:rPr>
        <w:br w:type="textWrapping"/>
      </w:r>
      <w:r>
        <w:rPr>
          <w:rFonts w:hint="eastAsia" w:ascii="宋体" w:hAnsi="宋体" w:cs="宋体"/>
          <w:szCs w:val="21"/>
        </w:rPr>
        <w:t xml:space="preserve">    (1)投标人（中高风险区）可将投标文件邮寄至我司，投标文件的接受时效以代理公司签收时间为准，截止时间同现场递交时间，过时或快递有破损不予签收。因快递延误导致的未在截止时间前签收的风险因素，投标人自行承担。</w:t>
      </w:r>
      <w:r>
        <w:rPr>
          <w:rFonts w:hint="eastAsia" w:ascii="宋体" w:hAnsi="宋体" w:cs="宋体"/>
          <w:szCs w:val="21"/>
        </w:rPr>
        <w:br w:type="textWrapping"/>
      </w:r>
      <w:r>
        <w:rPr>
          <w:rFonts w:hint="eastAsia" w:ascii="宋体" w:hAnsi="宋体" w:cs="宋体"/>
          <w:szCs w:val="21"/>
        </w:rPr>
        <w:t xml:space="preserve">    (2)现场递交投标文件的，递交投标文件的代表须出示健康码且为绿码方可进入我司。代表须戴好口罩、间隔1米排队递交投标文件，请投标人预留足够的排队时间。</w:t>
      </w:r>
      <w:r>
        <w:rPr>
          <w:rFonts w:hint="eastAsia" w:ascii="宋体" w:hAnsi="宋体" w:cs="宋体"/>
          <w:szCs w:val="21"/>
        </w:rPr>
        <w:br w:type="textWrapping"/>
      </w:r>
      <w:r>
        <w:rPr>
          <w:rFonts w:hint="eastAsia" w:ascii="宋体" w:hAnsi="宋体" w:cs="宋体"/>
          <w:szCs w:val="21"/>
        </w:rPr>
        <w:t xml:space="preserve">    (3)有疫情接触史、按湖北省健康码“红码”、“黄码”管理的人员、个人行程码提示14天内到过疫情中高风险地区的、近期有发热、咳嗽等新型冠状病毒感染疑似症状的人员均不能进行报名及投标等事宜，如有隐瞒行为，将依法依规追责；</w:t>
      </w:r>
      <w:r>
        <w:rPr>
          <w:rFonts w:hint="eastAsia" w:ascii="宋体" w:hAnsi="宋体" w:cs="宋体"/>
          <w:szCs w:val="21"/>
        </w:rPr>
        <w:br w:type="textWrapping"/>
      </w:r>
      <w:r>
        <w:rPr>
          <w:rFonts w:hint="eastAsia" w:ascii="宋体" w:hAnsi="宋体" w:cs="宋体"/>
          <w:szCs w:val="21"/>
        </w:rPr>
        <w:t xml:space="preserve">    (4)参与政府采购活动要严格落实“四必”防控措施（口罩必戴、体温必测、健康码必扫、大数据行程卡必出示）并做好个人防护措施，服从现场工作人员的管理和安排。</w:t>
      </w:r>
    </w:p>
    <w:bookmarkEnd w:id="22"/>
    <w:p>
      <w:pPr>
        <w:pStyle w:val="5"/>
        <w:numPr>
          <w:ilvl w:val="0"/>
          <w:numId w:val="6"/>
        </w:numPr>
        <w:spacing w:line="360" w:lineRule="auto"/>
        <w:jc w:val="left"/>
        <w:rPr>
          <w:rFonts w:ascii="宋体" w:hAnsi="宋体" w:eastAsia="宋体" w:cs="宋体"/>
          <w:sz w:val="21"/>
          <w:szCs w:val="21"/>
        </w:rPr>
      </w:pPr>
      <w:bookmarkStart w:id="23" w:name="_Toc12269"/>
      <w:r>
        <w:rPr>
          <w:rFonts w:hint="eastAsia" w:ascii="宋体" w:hAnsi="宋体" w:eastAsia="宋体" w:cs="宋体"/>
          <w:sz w:val="21"/>
          <w:szCs w:val="21"/>
        </w:rPr>
        <w:t>凡对本次采购提出询问，请按以下方式联系</w:t>
      </w:r>
      <w:bookmarkEnd w:id="23"/>
    </w:p>
    <w:p>
      <w:pPr>
        <w:spacing w:line="360" w:lineRule="auto"/>
        <w:ind w:firstLine="420" w:firstLineChars="200"/>
        <w:jc w:val="left"/>
        <w:rPr>
          <w:rFonts w:ascii="宋体" w:hAnsi="宋体" w:cs="宋体"/>
          <w:szCs w:val="21"/>
        </w:rPr>
      </w:pPr>
      <w:r>
        <w:rPr>
          <w:rFonts w:hint="eastAsia" w:ascii="宋体" w:hAnsi="宋体" w:cs="宋体"/>
          <w:szCs w:val="21"/>
        </w:rPr>
        <w:t>1.采购人信息</w:t>
      </w:r>
    </w:p>
    <w:p>
      <w:pPr>
        <w:spacing w:line="360" w:lineRule="auto"/>
        <w:ind w:firstLine="420" w:firstLineChars="200"/>
        <w:jc w:val="left"/>
        <w:rPr>
          <w:rFonts w:ascii="宋体" w:hAnsi="宋体" w:cs="宋体"/>
          <w:szCs w:val="21"/>
        </w:rPr>
      </w:pPr>
      <w:r>
        <w:rPr>
          <w:rFonts w:hint="eastAsia" w:ascii="宋体" w:hAnsi="宋体" w:cs="宋体"/>
          <w:szCs w:val="21"/>
        </w:rPr>
        <w:t>名 称：湖北工业大学　　　　　　　　　　　　</w:t>
      </w:r>
    </w:p>
    <w:p>
      <w:pPr>
        <w:spacing w:line="360" w:lineRule="auto"/>
        <w:ind w:firstLine="420" w:firstLineChars="200"/>
        <w:jc w:val="left"/>
        <w:rPr>
          <w:rFonts w:ascii="宋体" w:hAnsi="宋体" w:cs="宋体"/>
          <w:szCs w:val="21"/>
        </w:rPr>
      </w:pPr>
      <w:r>
        <w:rPr>
          <w:rFonts w:hint="eastAsia" w:ascii="宋体" w:hAnsi="宋体" w:cs="宋体"/>
          <w:szCs w:val="21"/>
        </w:rPr>
        <w:t>地址：湖北省武汉市洪山区南李路28号　　　　　　　　　　　　</w:t>
      </w:r>
    </w:p>
    <w:p>
      <w:pPr>
        <w:spacing w:line="360" w:lineRule="auto"/>
        <w:ind w:firstLine="420" w:firstLineChars="200"/>
        <w:jc w:val="left"/>
        <w:rPr>
          <w:rFonts w:ascii="宋体" w:hAnsi="宋体" w:cs="宋体"/>
          <w:szCs w:val="21"/>
        </w:rPr>
      </w:pPr>
      <w:r>
        <w:rPr>
          <w:rFonts w:hint="eastAsia" w:ascii="宋体" w:hAnsi="宋体" w:cs="宋体"/>
          <w:szCs w:val="21"/>
        </w:rPr>
        <w:t>联系方式：</w:t>
      </w:r>
      <w:r>
        <w:rPr>
          <w:rFonts w:hint="eastAsia" w:asciiTheme="minorEastAsia" w:hAnsiTheme="minorEastAsia" w:eastAsiaTheme="minorEastAsia" w:cstheme="minorEastAsia"/>
          <w:szCs w:val="21"/>
        </w:rPr>
        <w:t>王老师、027-59750213</w:t>
      </w:r>
      <w:r>
        <w:rPr>
          <w:rFonts w:hint="eastAsia" w:ascii="宋体" w:hAnsi="宋体" w:cs="宋体"/>
          <w:szCs w:val="21"/>
        </w:rPr>
        <w:t xml:space="preserve">　　　　　　　　　　　 </w:t>
      </w:r>
    </w:p>
    <w:p>
      <w:pPr>
        <w:spacing w:line="360" w:lineRule="auto"/>
        <w:ind w:firstLine="420" w:firstLineChars="200"/>
        <w:jc w:val="left"/>
        <w:rPr>
          <w:rFonts w:ascii="宋体" w:hAnsi="宋体" w:cs="宋体"/>
          <w:szCs w:val="21"/>
        </w:rPr>
      </w:pPr>
      <w:r>
        <w:rPr>
          <w:rFonts w:hint="eastAsia" w:ascii="宋体" w:hAnsi="宋体" w:cs="宋体"/>
          <w:szCs w:val="21"/>
        </w:rPr>
        <w:t>2.采购代理机构信息</w:t>
      </w:r>
    </w:p>
    <w:p>
      <w:pPr>
        <w:spacing w:line="360" w:lineRule="auto"/>
        <w:ind w:firstLine="420" w:firstLineChars="200"/>
        <w:jc w:val="left"/>
        <w:rPr>
          <w:rFonts w:ascii="宋体" w:hAnsi="宋体" w:cs="宋体"/>
          <w:szCs w:val="21"/>
        </w:rPr>
      </w:pPr>
      <w:r>
        <w:rPr>
          <w:rFonts w:hint="eastAsia" w:ascii="宋体" w:hAnsi="宋体" w:cs="宋体"/>
          <w:szCs w:val="21"/>
        </w:rPr>
        <w:t>名  称：中经国际招标集团有限公司　　　　　　　　　　　　</w:t>
      </w:r>
    </w:p>
    <w:p>
      <w:pPr>
        <w:spacing w:line="360" w:lineRule="auto"/>
        <w:ind w:firstLine="420" w:firstLineChars="200"/>
        <w:jc w:val="left"/>
        <w:rPr>
          <w:rFonts w:ascii="宋体" w:hAnsi="宋体" w:cs="宋体"/>
          <w:szCs w:val="21"/>
        </w:rPr>
      </w:pPr>
      <w:r>
        <w:rPr>
          <w:rFonts w:hint="eastAsia" w:ascii="宋体" w:hAnsi="宋体" w:cs="宋体"/>
          <w:szCs w:val="21"/>
        </w:rPr>
        <w:t>地　址：武昌区中北路岳家嘴立交山河企业大厦48楼4805、4806室　　　　　　　　　　　　</w:t>
      </w:r>
    </w:p>
    <w:p>
      <w:pPr>
        <w:spacing w:line="360" w:lineRule="auto"/>
        <w:ind w:firstLine="420" w:firstLineChars="200"/>
        <w:jc w:val="left"/>
        <w:rPr>
          <w:rFonts w:ascii="宋体" w:hAnsi="宋体" w:cs="宋体"/>
          <w:szCs w:val="21"/>
        </w:rPr>
      </w:pPr>
      <w:r>
        <w:rPr>
          <w:rFonts w:hint="eastAsia" w:ascii="宋体" w:hAnsi="宋体" w:cs="宋体"/>
          <w:szCs w:val="21"/>
        </w:rPr>
        <w:t>联系方式：027-87820788　　　　　　　　　　　　</w:t>
      </w:r>
    </w:p>
    <w:p>
      <w:pPr>
        <w:spacing w:line="360" w:lineRule="auto"/>
        <w:ind w:firstLine="420" w:firstLineChars="200"/>
        <w:jc w:val="left"/>
        <w:rPr>
          <w:rFonts w:ascii="宋体" w:hAnsi="宋体" w:cs="宋体"/>
          <w:szCs w:val="21"/>
        </w:rPr>
      </w:pPr>
      <w:r>
        <w:rPr>
          <w:rFonts w:hint="eastAsia" w:ascii="宋体" w:hAnsi="宋体" w:cs="宋体"/>
          <w:szCs w:val="21"/>
        </w:rPr>
        <w:t>3.项目联系方式</w:t>
      </w:r>
    </w:p>
    <w:p>
      <w:pPr>
        <w:spacing w:line="360" w:lineRule="auto"/>
        <w:ind w:firstLine="420" w:firstLineChars="200"/>
        <w:jc w:val="left"/>
        <w:rPr>
          <w:rFonts w:ascii="宋体" w:hAnsi="宋体" w:cs="宋体"/>
          <w:szCs w:val="21"/>
        </w:rPr>
      </w:pPr>
      <w:r>
        <w:rPr>
          <w:rFonts w:hint="eastAsia" w:ascii="宋体" w:hAnsi="宋体" w:cs="宋体"/>
          <w:szCs w:val="21"/>
        </w:rPr>
        <w:t>项目联系人：张梦、应翠翠</w:t>
      </w:r>
    </w:p>
    <w:p>
      <w:pPr>
        <w:spacing w:line="360" w:lineRule="auto"/>
        <w:ind w:firstLine="420" w:firstLineChars="200"/>
        <w:jc w:val="left"/>
        <w:rPr>
          <w:rFonts w:asciiTheme="minorEastAsia" w:hAnsiTheme="minorEastAsia" w:eastAsiaTheme="minorEastAsia" w:cstheme="minorEastAsia"/>
          <w:szCs w:val="21"/>
        </w:rPr>
      </w:pPr>
      <w:r>
        <w:rPr>
          <w:rFonts w:hint="eastAsia" w:ascii="宋体" w:hAnsi="宋体" w:cs="宋体"/>
          <w:szCs w:val="21"/>
        </w:rPr>
        <w:t>电    　话：027-87820788　　</w:t>
      </w:r>
    </w:p>
    <w:p>
      <w:pPr>
        <w:pStyle w:val="5"/>
        <w:numPr>
          <w:ilvl w:val="0"/>
          <w:numId w:val="6"/>
        </w:numPr>
        <w:spacing w:line="440" w:lineRule="exact"/>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bookmarkStart w:id="24" w:name="_Toc25662"/>
      <w:r>
        <w:rPr>
          <w:rFonts w:hint="eastAsia" w:asciiTheme="minorEastAsia" w:hAnsiTheme="minorEastAsia" w:eastAsiaTheme="minorEastAsia" w:cstheme="minorEastAsia"/>
          <w:sz w:val="21"/>
          <w:szCs w:val="21"/>
        </w:rPr>
        <w:t>注意事项</w:t>
      </w:r>
      <w:bookmarkEnd w:id="24"/>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1.供应商在获取本项目竞争性磋商文件前须仔细阅读资格要求内容，并按磋商文件规定要求在响应文件中递交合格有效的资格证明文件，资格审查资料不合格将导致竞标失败。</w:t>
      </w:r>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对自己所提供的资格证明材料的真实性负责，无论何时，如发现供应商提供虚假的材料，将按照《中华人民共和国政府采购法》及本项目竞争性磋商文件的有关规定进行严肃处理，并在相关网站上进行通报。</w:t>
      </w:r>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请供应商仔细阅读本磋商文件的全部条文，对于文件中存在的任何含糊、遗漏、相互矛盾之处，或是对于采购范围的界定和采购内容的要求不清楚，认为存在歧义的，供应商应按本文件规定的时限向采购代理机构寻求书面澄清；未提出澄清要求的，则认同为完全理解本文件要求并接受采购人或采购代理机构可能作出的任何最终解释。</w:t>
      </w:r>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关于本项目磋商文件有关内容的澄清、修改及变更等通知将通过书面形式经邮箱通知各供应商同时电话或短信告知，若采购人或采购代理机构未收到回复，视为收悉，并默认通知内容。若因供应商自身原因接收消息不及时，导致竞标受影响，其后果自行承担。</w:t>
      </w:r>
    </w:p>
    <w:p>
      <w:pPr>
        <w:spacing w:line="440" w:lineRule="exact"/>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中经国际招标集团有限公司</w:t>
      </w:r>
    </w:p>
    <w:p>
      <w:pPr>
        <w:spacing w:line="440" w:lineRule="exact"/>
        <w:jc w:val="center"/>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                                                                     2021年</w:t>
      </w:r>
      <w:r>
        <w:rPr>
          <w:rFonts w:hint="eastAsia" w:asciiTheme="minorEastAsia" w:hAnsiTheme="minorEastAsia" w:eastAsiaTheme="minorEastAsia" w:cstheme="minorEastAsia"/>
          <w:szCs w:val="21"/>
          <w:lang w:val="en-US" w:eastAsia="zh-CN"/>
        </w:rPr>
        <w:t>11</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日</w:t>
      </w:r>
    </w:p>
    <w:p>
      <w:pPr>
        <w:numPr>
          <w:ilvl w:val="0"/>
          <w:numId w:val="4"/>
        </w:numPr>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6"/>
          <w:szCs w:val="36"/>
        </w:rPr>
        <w:br w:type="page"/>
      </w:r>
    </w:p>
    <w:p>
      <w:pPr>
        <w:pStyle w:val="4"/>
        <w:numPr>
          <w:ilvl w:val="0"/>
          <w:numId w:val="4"/>
        </w:numPr>
        <w:jc w:val="center"/>
        <w:rPr>
          <w:rFonts w:asciiTheme="minorEastAsia" w:hAnsiTheme="minorEastAsia" w:eastAsiaTheme="minorEastAsia" w:cstheme="minorEastAsia"/>
          <w:sz w:val="32"/>
          <w:szCs w:val="32"/>
        </w:rPr>
      </w:pPr>
      <w:bookmarkStart w:id="25" w:name="_Toc12411"/>
      <w:r>
        <w:rPr>
          <w:rFonts w:hint="eastAsia" w:asciiTheme="minorEastAsia" w:hAnsiTheme="minorEastAsia" w:eastAsiaTheme="minorEastAsia" w:cstheme="minorEastAsia"/>
          <w:sz w:val="36"/>
          <w:szCs w:val="36"/>
        </w:rPr>
        <w:t>供应商须知</w:t>
      </w:r>
      <w:bookmarkEnd w:id="25"/>
    </w:p>
    <w:p>
      <w:pPr>
        <w:autoSpaceDE w:val="0"/>
        <w:autoSpaceDN w:val="0"/>
        <w:adjustRightInd w:val="0"/>
        <w:spacing w:line="360" w:lineRule="auto"/>
        <w:jc w:val="center"/>
        <w:outlineLvl w:val="1"/>
        <w:rPr>
          <w:rFonts w:asciiTheme="minorEastAsia" w:hAnsiTheme="minorEastAsia" w:eastAsiaTheme="minorEastAsia" w:cstheme="minorEastAsia"/>
          <w:b/>
          <w:szCs w:val="21"/>
          <w:lang w:val="zh-CN"/>
        </w:rPr>
      </w:pPr>
      <w:bookmarkStart w:id="26" w:name="_Toc4456"/>
      <w:r>
        <w:rPr>
          <w:rFonts w:hint="eastAsia" w:asciiTheme="minorEastAsia" w:hAnsiTheme="minorEastAsia" w:eastAsiaTheme="minorEastAsia" w:cstheme="minorEastAsia"/>
          <w:b/>
          <w:szCs w:val="21"/>
        </w:rPr>
        <w:t>《供应商须知前附表》</w:t>
      </w:r>
      <w:bookmarkEnd w:id="26"/>
    </w:p>
    <w:p>
      <w:pPr>
        <w:autoSpaceDE w:val="0"/>
        <w:autoSpaceDN w:val="0"/>
        <w:adjustRightInd w:val="0"/>
        <w:spacing w:line="360" w:lineRule="auto"/>
        <w:ind w:firstLine="420" w:firstLineChars="20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磋商供应商应仔细阅读竞争性磋商采购文件的第二章“供应商须知”，下面所列资料是对“供应商须知”的具体补充和说明。</w:t>
      </w:r>
      <w:r>
        <w:rPr>
          <w:rFonts w:hint="eastAsia" w:asciiTheme="minorEastAsia" w:hAnsiTheme="minorEastAsia" w:eastAsiaTheme="minorEastAsia" w:cstheme="minorEastAsia"/>
          <w:szCs w:val="21"/>
          <w:lang w:val="zh-CN"/>
        </w:rPr>
        <w:t>如有矛盾，应以本表为准。</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814"/>
        <w:gridCol w:w="2127"/>
        <w:gridCol w:w="6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814"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条款号</w:t>
            </w:r>
          </w:p>
        </w:tc>
        <w:tc>
          <w:tcPr>
            <w:tcW w:w="2127"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条款名称</w:t>
            </w:r>
          </w:p>
        </w:tc>
        <w:tc>
          <w:tcPr>
            <w:tcW w:w="6130"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2.1</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采购人</w:t>
            </w:r>
          </w:p>
        </w:tc>
        <w:tc>
          <w:tcPr>
            <w:tcW w:w="6130" w:type="dxa"/>
            <w:vAlign w:val="center"/>
          </w:tcPr>
          <w:p>
            <w:pPr>
              <w:jc w:val="left"/>
              <w:rPr>
                <w:rFonts w:asciiTheme="minorEastAsia" w:hAnsiTheme="minorEastAsia" w:eastAsiaTheme="minorEastAsia" w:cstheme="minorEastAsia"/>
                <w:szCs w:val="21"/>
                <w:lang w:val="zh-CN"/>
              </w:rPr>
            </w:pPr>
            <w:r>
              <w:rPr>
                <w:rFonts w:hint="eastAsia" w:ascii="宋体" w:hAnsi="宋体" w:cs="宋体"/>
                <w:szCs w:val="21"/>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w:t>
            </w:r>
          </w:p>
        </w:tc>
        <w:tc>
          <w:tcPr>
            <w:tcW w:w="2127" w:type="dxa"/>
            <w:vAlign w:val="center"/>
          </w:tcPr>
          <w:p>
            <w:pPr>
              <w:pStyle w:val="24"/>
              <w:widowControl w:val="0"/>
              <w:autoSpaceDE w:val="0"/>
              <w:autoSpaceDN w:val="0"/>
              <w:adjustRightInd w:val="0"/>
              <w:spacing w:before="0" w:beforeAutospacing="0" w:after="0" w:afterAutospacing="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监管部门</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宋体" w:hAnsi="宋体" w:cs="宋体"/>
                <w:szCs w:val="21"/>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采购代理机构</w:t>
            </w:r>
          </w:p>
        </w:tc>
        <w:tc>
          <w:tcPr>
            <w:tcW w:w="6130"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中经国际招标集团有限公司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2.5</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磋商供应商</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sz w:val="21"/>
                <w:szCs w:val="21"/>
                <w:lang w:val="zh-CN"/>
              </w:rPr>
              <w:t>详见</w:t>
            </w:r>
            <w:r>
              <w:rPr>
                <w:rFonts w:asciiTheme="minorEastAsia" w:hAnsiTheme="minorEastAsia" w:eastAsiaTheme="minorEastAsia" w:cstheme="minorEastAsia"/>
                <w:sz w:val="21"/>
                <w:szCs w:val="21"/>
              </w:rPr>
              <w:t>第一章第二款相关要求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4.2</w:t>
            </w:r>
          </w:p>
        </w:tc>
        <w:tc>
          <w:tcPr>
            <w:tcW w:w="2127" w:type="dxa"/>
            <w:vAlign w:val="center"/>
          </w:tcPr>
          <w:p>
            <w:pPr>
              <w:autoSpaceDE w:val="0"/>
              <w:autoSpaceDN w:val="0"/>
              <w:adjustRightInd w:val="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招标代理服务费</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根据国家发展与改革委员会办公厅发改办价格【2003】857号文的规定，经与采购人协商，由中标人按国家发展计划委员会计价格【2002】1980号文规定的取费标准</w:t>
            </w:r>
            <w:r>
              <w:rPr>
                <w:rFonts w:hint="eastAsia" w:asciiTheme="minorEastAsia" w:hAnsiTheme="minorEastAsia" w:eastAsiaTheme="minorEastAsia" w:cstheme="minorEastAsia"/>
                <w:szCs w:val="21"/>
                <w:lang w:val="en-US" w:eastAsia="zh-CN"/>
              </w:rPr>
              <w:t>80%</w:t>
            </w:r>
            <w:r>
              <w:rPr>
                <w:rFonts w:hint="eastAsia" w:asciiTheme="minorEastAsia" w:hAnsiTheme="minorEastAsia" w:eastAsiaTheme="minorEastAsia" w:cstheme="minorEastAsia"/>
                <w:szCs w:val="21"/>
              </w:rPr>
              <w:t>向采购代理机构支付招标代理服务费。招标代理服务费由中标人在领取成交通知书的同时，向采购代理机构支付。详见成交公告。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6.2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提疑、</w:t>
            </w:r>
            <w:r>
              <w:rPr>
                <w:rFonts w:hint="eastAsia" w:asciiTheme="minorEastAsia" w:hAnsiTheme="minorEastAsia" w:eastAsiaTheme="minorEastAsia" w:cstheme="minorEastAsia"/>
                <w:snapToGrid w:val="0"/>
                <w:kern w:val="0"/>
                <w:szCs w:val="21"/>
              </w:rPr>
              <w:t>质疑</w:t>
            </w:r>
            <w:r>
              <w:rPr>
                <w:rFonts w:hint="eastAsia" w:asciiTheme="minorEastAsia" w:hAnsiTheme="minorEastAsia" w:eastAsiaTheme="minorEastAsia" w:cstheme="minorEastAsia"/>
                <w:snapToGrid w:val="0"/>
                <w:kern w:val="0"/>
                <w:szCs w:val="21"/>
                <w:lang w:val="zh-CN"/>
              </w:rPr>
              <w:t>截止时间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供应商认为磋商文件、磋商过程和成交结果使自己的权益受到损害</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的，可以在知道或者应知其权益受到损害之日起7个工作日内，以</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书面形式向采购人或采购代理机构提出。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rPr>
            </w:pPr>
            <w:r>
              <w:rPr>
                <w:rFonts w:asciiTheme="minorEastAsia" w:hAnsiTheme="minorEastAsia" w:eastAsiaTheme="minorEastAsia" w:cstheme="minorEastAsia"/>
                <w:kern w:val="2"/>
                <w:sz w:val="21"/>
                <w:szCs w:val="21"/>
              </w:rPr>
              <w:t>7.1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供应商确认收到磋商</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文件澄清或者修改的</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10.4</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对多</w:t>
            </w:r>
            <w:r>
              <w:rPr>
                <w:rFonts w:hint="eastAsia" w:asciiTheme="minorEastAsia" w:hAnsiTheme="minorEastAsia" w:eastAsiaTheme="minorEastAsia" w:cstheme="minorEastAsia"/>
                <w:snapToGrid w:val="0"/>
                <w:kern w:val="0"/>
                <w:szCs w:val="21"/>
              </w:rPr>
              <w:t>包</w:t>
            </w:r>
            <w:r>
              <w:rPr>
                <w:rFonts w:hint="eastAsia" w:asciiTheme="minorEastAsia" w:hAnsiTheme="minorEastAsia" w:eastAsiaTheme="minorEastAsia" w:cstheme="minorEastAsia"/>
                <w:snapToGrid w:val="0"/>
                <w:kern w:val="0"/>
                <w:szCs w:val="21"/>
                <w:lang w:val="zh-CN"/>
              </w:rPr>
              <w:t>采购的规定</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w:t>
            </w:r>
            <w:r>
              <w:rPr>
                <w:rFonts w:hint="eastAsia" w:asciiTheme="minorEastAsia" w:hAnsiTheme="minorEastAsia" w:eastAsiaTheme="minorEastAsia" w:cstheme="minorEastAsia"/>
                <w:szCs w:val="21"/>
              </w:rPr>
              <w:t>第一章第一款相关要求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12.1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备选方案</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联合体磋商</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联合体报价。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14.1</w:t>
            </w:r>
          </w:p>
        </w:tc>
        <w:tc>
          <w:tcPr>
            <w:tcW w:w="2127" w:type="dxa"/>
            <w:vAlign w:val="center"/>
          </w:tcPr>
          <w:p>
            <w:pPr>
              <w:autoSpaceDE w:val="0"/>
              <w:autoSpaceDN w:val="0"/>
              <w:adjustRightInd w:val="0"/>
              <w:jc w:val="center"/>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b/>
                <w:bCs/>
                <w:szCs w:val="21"/>
                <w:lang w:val="zh-CN"/>
              </w:rPr>
              <w:t>应提交的其它资格证明文件（实质性</w:t>
            </w:r>
            <w:r>
              <w:rPr>
                <w:rFonts w:hint="eastAsia" w:asciiTheme="minorEastAsia" w:hAnsiTheme="minorEastAsia" w:eastAsiaTheme="minorEastAsia" w:cstheme="minorEastAsia"/>
                <w:b/>
                <w:bCs/>
                <w:szCs w:val="21"/>
              </w:rPr>
              <w:t>内容</w:t>
            </w:r>
            <w:r>
              <w:rPr>
                <w:rFonts w:hint="eastAsia" w:asciiTheme="minorEastAsia" w:hAnsiTheme="minorEastAsia" w:eastAsiaTheme="minorEastAsia" w:cstheme="minorEastAsia"/>
                <w:b/>
                <w:bCs/>
                <w:szCs w:val="21"/>
                <w:lang w:val="zh-CN"/>
              </w:rPr>
              <w:t>要求）</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w:t>
            </w:r>
            <w:r>
              <w:rPr>
                <w:rFonts w:hint="eastAsia" w:asciiTheme="minorEastAsia" w:hAnsiTheme="minorEastAsia" w:eastAsiaTheme="minorEastAsia" w:cstheme="minorEastAsia"/>
                <w:szCs w:val="21"/>
              </w:rPr>
              <w:t>竞争性磋商</w:t>
            </w:r>
            <w:r>
              <w:rPr>
                <w:rFonts w:hint="eastAsia" w:asciiTheme="minorEastAsia" w:hAnsiTheme="minorEastAsia" w:eastAsiaTheme="minorEastAsia" w:cstheme="minorEastAsia"/>
                <w:szCs w:val="21"/>
                <w:lang w:val="zh-CN"/>
              </w:rPr>
              <w:t>公告》第二款“资格要求”，须提供的证明文件包括但不限于：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zh-CN"/>
              </w:rPr>
              <w:t>）具有独立承担民事责任的能力；</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营业执照等证明文件或自然人的身份证明（如供应商是企业 （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zh-CN"/>
              </w:rPr>
              <w:t>）具有良好的商业信誉和健全的财务会计制度；</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良好的商业信誉证明材料（自拟），财务会计制度指上一年度经第三方审计的财务报告，部分其他组织和自然人，没有财务报告，</w:t>
            </w:r>
            <w:r>
              <w:rPr>
                <w:rFonts w:hint="eastAsia" w:asciiTheme="minorEastAsia" w:hAnsiTheme="minorEastAsia" w:eastAsiaTheme="minorEastAsia" w:cstheme="minorEastAsia"/>
                <w:szCs w:val="21"/>
              </w:rPr>
              <w:t>可以</w:t>
            </w:r>
            <w:r>
              <w:rPr>
                <w:rFonts w:hint="eastAsia" w:asciiTheme="minorEastAsia" w:hAnsiTheme="minorEastAsia" w:eastAsiaTheme="minorEastAsia" w:cstheme="minorEastAsia"/>
                <w:szCs w:val="21"/>
                <w:lang w:val="zh-CN"/>
              </w:rPr>
              <w:t>提供银行出具的资信证明（银行资信证明应能说明该供应商与银行之间业务往来正常，企业信誉良好等。银行出具的单纯的存款证明不能视作银行资信证明。下同）。由财政部门认可的政府采购专业担保机构对供应商进行资信审查后出具投标担保函的，可以不用提供</w:t>
            </w:r>
            <w:r>
              <w:rPr>
                <w:rFonts w:hint="eastAsia" w:asciiTheme="minorEastAsia" w:hAnsiTheme="minorEastAsia" w:eastAsiaTheme="minorEastAsia" w:cstheme="minorEastAsia"/>
                <w:szCs w:val="21"/>
              </w:rPr>
              <w:t>财务会计制度对应的相关内容</w:t>
            </w:r>
            <w:r>
              <w:rPr>
                <w:rFonts w:hint="eastAsia" w:asciiTheme="minorEastAsia" w:hAnsiTheme="minorEastAsia" w:eastAsiaTheme="minorEastAsia" w:cstheme="minorEastAsia"/>
                <w:szCs w:val="21"/>
                <w:lang w:val="zh-CN"/>
              </w:rPr>
              <w:t>。</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zh-CN"/>
              </w:rPr>
              <w:t>）具有履行合同所必需的设备和专业技术能力的证明材料；（自拟）</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val="zh-CN"/>
              </w:rPr>
              <w:t>）具有依法缴纳税收和社会保障资金的良好记录：1）供应商依法缴纳税收的证明材料：递交响应文件截止时间往前推算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至少</w:t>
            </w:r>
            <w:r>
              <w:rPr>
                <w:rFonts w:hint="eastAsia" w:asciiTheme="minorEastAsia" w:hAnsiTheme="minorEastAsia" w:eastAsiaTheme="minorEastAsia" w:cstheme="minorEastAsia"/>
                <w:szCs w:val="21"/>
                <w:lang w:val="zh-CN"/>
              </w:rPr>
              <w:t>任意连续三个月缴纳税收的凭据（完税证明、缴款书、银行代扣（代缴）转账凭证等均可）；2）供应商依法缴纳社会保障资金的证明材料：递交响应文件截止时间往前推算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至少</w:t>
            </w:r>
            <w:r>
              <w:rPr>
                <w:rFonts w:hint="eastAsia" w:asciiTheme="minorEastAsia" w:hAnsiTheme="minorEastAsia" w:eastAsiaTheme="minorEastAsia" w:cstheme="minorEastAsia"/>
                <w:szCs w:val="21"/>
                <w:lang w:val="zh-CN"/>
              </w:rPr>
              <w:t>任意连续三个月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zh-CN"/>
              </w:rPr>
              <w:t>）参加政府采购活动前三年内，在经营活动中没有重大违法记录；（提供书面声明）（重大违法记录是指供应商因违法经营受到刑事处罚或者责令停产停业、吊销许可证或者执照、较大数额罚款等行政处罚）</w:t>
            </w:r>
          </w:p>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b/>
                <w:bCs/>
                <w:szCs w:val="21"/>
              </w:rPr>
              <w:t>6</w:t>
            </w:r>
            <w:r>
              <w:rPr>
                <w:rFonts w:hint="eastAsia" w:asciiTheme="minorEastAsia" w:hAnsiTheme="minorEastAsia" w:eastAsiaTheme="minorEastAsia" w:cstheme="minorEastAsia"/>
                <w:b/>
                <w:bCs/>
                <w:szCs w:val="21"/>
                <w:lang w:val="zh-CN"/>
              </w:rPr>
              <w:t>）符合本文件第一章第二款资格要求的所有证明资料。</w:t>
            </w:r>
          </w:p>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15.1</w:t>
            </w:r>
          </w:p>
        </w:tc>
        <w:tc>
          <w:tcPr>
            <w:tcW w:w="2127"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证明响应内容符合竞争性磋商采购文件要求的文件和竞争性磋商采购文件规定的其他资料</w:t>
            </w:r>
          </w:p>
        </w:tc>
        <w:tc>
          <w:tcPr>
            <w:tcW w:w="6130" w:type="dxa"/>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证明满足磋商文件第三章中技术要求及商务要求的所有相关规定的相关内容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7"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16.1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磋商保证金金额、递交方式、时间及接受磋商保证金的帐户信息</w:t>
            </w: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ind w:right="256" w:rightChars="122" w:firstLine="420" w:firstLineChars="200"/>
              <w:jc w:val="left"/>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17.1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rPr>
              <w:t>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18.1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竞争性磋商响应文件正、副本数量</w:t>
            </w:r>
          </w:p>
        </w:tc>
        <w:tc>
          <w:tcPr>
            <w:tcW w:w="6130" w:type="dxa"/>
            <w:vAlign w:val="center"/>
          </w:tcPr>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（1）响应文件纸质版：正本</w:t>
            </w:r>
            <w:r>
              <w:rPr>
                <w:rFonts w:hint="eastAsia" w:asciiTheme="minorEastAsia" w:hAnsiTheme="minorEastAsia" w:eastAsiaTheme="minorEastAsia" w:cstheme="minorEastAsia"/>
                <w:szCs w:val="21"/>
                <w:u w:val="single"/>
              </w:rPr>
              <w:t xml:space="preserve"> 壹 </w:t>
            </w:r>
            <w:r>
              <w:rPr>
                <w:rFonts w:hint="eastAsia" w:asciiTheme="minorEastAsia" w:hAnsiTheme="minorEastAsia" w:eastAsiaTheme="minorEastAsia" w:cstheme="minorEastAsia"/>
                <w:szCs w:val="21"/>
              </w:rPr>
              <w:t>份（需为彩色打印件），副本</w:t>
            </w:r>
            <w:r>
              <w:rPr>
                <w:rFonts w:hint="eastAsia" w:asciiTheme="minorEastAsia" w:hAnsiTheme="minorEastAsia" w:eastAsiaTheme="minorEastAsia" w:cstheme="minorEastAsia"/>
                <w:szCs w:val="21"/>
                <w:u w:val="single"/>
              </w:rPr>
              <w:t xml:space="preserve"> 贰 </w:t>
            </w:r>
            <w:r>
              <w:rPr>
                <w:rFonts w:hint="eastAsia" w:asciiTheme="minorEastAsia" w:hAnsiTheme="minorEastAsia" w:eastAsiaTheme="minorEastAsia" w:cstheme="minorEastAsia"/>
                <w:szCs w:val="21"/>
              </w:rPr>
              <w:t>份；</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（2）响应文件电子版：</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□不要求</w:t>
            </w:r>
          </w:p>
          <w:p>
            <w:pPr>
              <w:autoSpaceDE w:val="0"/>
              <w:autoSpaceDN w:val="0"/>
              <w:snapToGri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☑要求，响应文件电子版内容：</w:t>
            </w:r>
            <w:r>
              <w:rPr>
                <w:rFonts w:hint="eastAsia" w:asciiTheme="minorEastAsia" w:hAnsiTheme="minorEastAsia" w:eastAsiaTheme="minorEastAsia" w:cstheme="minorEastAsia"/>
                <w:szCs w:val="21"/>
                <w:u w:val="single"/>
              </w:rPr>
              <w:t>与正本保持一致</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rPr>
              <w:t>响应文件电子版格式：</w:t>
            </w:r>
            <w:r>
              <w:rPr>
                <w:rFonts w:hint="eastAsia" w:asciiTheme="minorEastAsia" w:hAnsiTheme="minorEastAsia" w:eastAsiaTheme="minorEastAsia" w:cstheme="minorEastAsia"/>
                <w:szCs w:val="21"/>
              </w:rPr>
              <w:t>WORD格式和加</w:t>
            </w:r>
            <w:r>
              <w:rPr>
                <w:rFonts w:hint="eastAsia" w:asciiTheme="minorEastAsia" w:hAnsiTheme="minorEastAsia" w:eastAsiaTheme="minorEastAsia" w:cstheme="minorEastAsia"/>
                <w:szCs w:val="21"/>
                <w:u w:val="single"/>
              </w:rPr>
              <w:t>盖公章后的PDF扫描件格式；</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响应文件电子版形式：</w:t>
            </w:r>
            <w:r>
              <w:rPr>
                <w:rFonts w:hint="eastAsia" w:asciiTheme="minorEastAsia" w:hAnsiTheme="minorEastAsia" w:eastAsiaTheme="minorEastAsia" w:cstheme="minorEastAsia"/>
                <w:szCs w:val="21"/>
                <w:u w:val="single"/>
              </w:rPr>
              <w:t xml:space="preserve"> U盘1份，需贴标签并注明公司名称；</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（3）手持法定代表人授权委托书（或法定代表人身份证明书）；</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所有响应文件概不退还，响应文件按包分开制作，分开密封。</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纸质响应文件应采用胶粘方</w:t>
            </w:r>
            <w:r>
              <w:rPr>
                <w:rFonts w:hint="eastAsia" w:asciiTheme="minorEastAsia" w:hAnsiTheme="minorEastAsia" w:eastAsiaTheme="minorEastAsia" w:cstheme="minorEastAsia"/>
                <w:szCs w:val="21"/>
                <w:lang w:val="zh-CN"/>
              </w:rPr>
              <w:t>式装订,装订应牢固、不易拆散和换页。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rPr>
              <w:t>19.1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竞争性磋商响应文件的密封和标记</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本条款细化为：响应文件正本需逐页加盖供应商单位公章，不得使用单位其他专用章代替。因签字盖章问题导致的响应材料被否决或竞标受影响的情况，其后果供应商自行承担。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19.3</w:t>
            </w:r>
          </w:p>
        </w:tc>
        <w:tc>
          <w:tcPr>
            <w:tcW w:w="2127" w:type="dxa"/>
            <w:vAlign w:val="center"/>
          </w:tcPr>
          <w:p>
            <w:pPr>
              <w:autoSpaceDE w:val="0"/>
              <w:autoSpaceDN w:val="0"/>
              <w:adjustRightInd w:val="0"/>
              <w:jc w:val="center"/>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样品</w:t>
            </w:r>
          </w:p>
          <w:p>
            <w:pPr>
              <w:autoSpaceDE w:val="0"/>
              <w:autoSpaceDN w:val="0"/>
              <w:adjustRightInd w:val="0"/>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autoSpaceDE w:val="0"/>
              <w:autoSpaceDN w:val="0"/>
              <w:adjustRightInd w:val="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提交样品的相关规定：要求在磋商时提交样品的，应在样品上标明磋商供应商名称。</w:t>
            </w:r>
            <w:r>
              <w:rPr>
                <w:rFonts w:hint="eastAsia" w:asciiTheme="minorEastAsia" w:hAnsiTheme="minorEastAsia" w:eastAsiaTheme="minorEastAsia" w:cstheme="minorEastAsia"/>
                <w:kern w:val="0"/>
                <w:szCs w:val="21"/>
                <w:lang w:val="zh-CN"/>
              </w:rPr>
              <w:br w:type="textWrapping"/>
            </w:r>
            <w:r>
              <w:rPr>
                <w:rFonts w:hint="eastAsia" w:asciiTheme="minorEastAsia" w:hAnsiTheme="minorEastAsia" w:eastAsiaTheme="minorEastAsia" w:cstheme="minorEastAsia"/>
                <w:kern w:val="0"/>
                <w:szCs w:val="21"/>
                <w:lang w:val="zh-CN"/>
              </w:rPr>
              <w:t>退还样品的相关规定：</w:t>
            </w:r>
            <w:r>
              <w:rPr>
                <w:rFonts w:hint="eastAsia" w:asciiTheme="minorEastAsia" w:hAnsiTheme="minorEastAsia" w:eastAsiaTheme="minorEastAsia" w:cstheme="minorEastAsia"/>
                <w:kern w:val="0"/>
                <w:szCs w:val="21"/>
              </w:rPr>
              <w:t>未成交供应商在成交公告发布之日起5个工作日内退还，具体电话通知。成交供应商样品移交采购人作为验收依据，不予退还。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20.1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响应文件送达地点及递交截止时间</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详见第一章第四款相关要求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磋商小组人数</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3人或3人以上单数组成，其中采购人代表不超过成员总数的三分之一，外聘专家在省政府采购专家库中随机抽取。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bCs/>
                <w:snapToGrid w:val="0"/>
                <w:kern w:val="0"/>
                <w:szCs w:val="21"/>
              </w:rPr>
            </w:pPr>
            <w:r>
              <w:rPr>
                <w:rFonts w:hint="eastAsia" w:asciiTheme="minorEastAsia" w:hAnsiTheme="minorEastAsia" w:eastAsiaTheme="minorEastAsia" w:cstheme="minorEastAsia"/>
                <w:b/>
                <w:bCs/>
                <w:snapToGrid w:val="0"/>
                <w:kern w:val="0"/>
                <w:szCs w:val="21"/>
              </w:rPr>
              <w:t>磋商代表</w:t>
            </w:r>
          </w:p>
        </w:tc>
        <w:tc>
          <w:tcPr>
            <w:tcW w:w="6130" w:type="dxa"/>
            <w:vAlign w:val="center"/>
          </w:tcPr>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建议供应商拟派出席磋商会议的磋商代表为熟知本项目的技术人员或商务负责人等能</w:t>
            </w:r>
            <w:r>
              <w:rPr>
                <w:rFonts w:hint="eastAsia" w:asciiTheme="minorEastAsia" w:hAnsiTheme="minorEastAsia" w:eastAsiaTheme="minorEastAsia" w:cstheme="minorEastAsia"/>
                <w:b/>
                <w:bCs/>
                <w:szCs w:val="21"/>
              </w:rPr>
              <w:t>为磋商小组详细介绍供应商公司情况及项目了解情况的人员，</w:t>
            </w:r>
            <w:r>
              <w:rPr>
                <w:rFonts w:hint="eastAsia" w:asciiTheme="minorEastAsia" w:hAnsiTheme="minorEastAsia" w:eastAsiaTheme="minorEastAsia" w:cstheme="minorEastAsia"/>
                <w:b/>
                <w:bCs/>
                <w:szCs w:val="21"/>
                <w:lang w:val="zh-CN"/>
              </w:rPr>
              <w:t>以便在评审过程中进行可能出现的答疑或澄清。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提交最后报价供应商的确定方式</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采购代理机构将竞争性磋商第二轮报价表（磋商承诺书）发放至所有通过了资格审查及符合性审查的磋商供应商，磋商供应商应在指定的时间内提交满足要求的最后报价，</w:t>
            </w:r>
            <w:r>
              <w:rPr>
                <w:rFonts w:hint="eastAsia" w:asciiTheme="minorEastAsia" w:hAnsiTheme="minorEastAsia" w:eastAsiaTheme="minorEastAsia" w:cstheme="minorEastAsia"/>
                <w:snapToGrid w:val="0"/>
                <w:kern w:val="0"/>
                <w:szCs w:val="21"/>
              </w:rPr>
              <w:t>在指定地点以</w:t>
            </w:r>
            <w:r>
              <w:rPr>
                <w:rFonts w:hint="eastAsia" w:asciiTheme="minorEastAsia" w:hAnsiTheme="minorEastAsia" w:eastAsiaTheme="minorEastAsia" w:cstheme="minorEastAsia"/>
                <w:snapToGrid w:val="0"/>
                <w:kern w:val="0"/>
                <w:szCs w:val="21"/>
                <w:lang w:val="zh-CN"/>
              </w:rPr>
              <w:t>密封</w:t>
            </w:r>
            <w:r>
              <w:rPr>
                <w:rFonts w:hint="eastAsia" w:asciiTheme="minorEastAsia" w:hAnsiTheme="minorEastAsia" w:eastAsiaTheme="minorEastAsia" w:cstheme="minorEastAsia"/>
                <w:snapToGrid w:val="0"/>
                <w:kern w:val="0"/>
                <w:szCs w:val="21"/>
              </w:rPr>
              <w:t>等形式</w:t>
            </w:r>
            <w:r>
              <w:rPr>
                <w:rFonts w:hint="eastAsia" w:asciiTheme="minorEastAsia" w:hAnsiTheme="minorEastAsia" w:eastAsiaTheme="minorEastAsia" w:cstheme="minorEastAsia"/>
                <w:snapToGrid w:val="0"/>
                <w:kern w:val="0"/>
                <w:szCs w:val="21"/>
                <w:lang w:val="zh-CN"/>
              </w:rPr>
              <w:t>递交</w:t>
            </w:r>
            <w:r>
              <w:rPr>
                <w:rFonts w:hint="eastAsia" w:asciiTheme="minorEastAsia" w:hAnsiTheme="minorEastAsia" w:eastAsiaTheme="minorEastAsia" w:cstheme="minorEastAsia"/>
                <w:snapToGrid w:val="0"/>
                <w:kern w:val="0"/>
                <w:szCs w:val="21"/>
              </w:rPr>
              <w:t>给采购代理机构指定现场工作人员或</w:t>
            </w:r>
            <w:r>
              <w:rPr>
                <w:rFonts w:hint="eastAsia" w:asciiTheme="minorEastAsia" w:hAnsiTheme="minorEastAsia" w:eastAsiaTheme="minorEastAsia" w:cstheme="minorEastAsia"/>
                <w:snapToGrid w:val="0"/>
                <w:kern w:val="0"/>
                <w:szCs w:val="21"/>
                <w:lang w:val="zh-CN"/>
              </w:rPr>
              <w:t>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推荐成交候选</w:t>
            </w:r>
            <w:r>
              <w:rPr>
                <w:rFonts w:hint="eastAsia" w:asciiTheme="minorEastAsia" w:hAnsiTheme="minorEastAsia" w:eastAsiaTheme="minorEastAsia" w:cstheme="minorEastAsia"/>
                <w:snapToGrid w:val="0"/>
                <w:kern w:val="0"/>
                <w:szCs w:val="21"/>
              </w:rPr>
              <w:t>供应商</w:t>
            </w:r>
            <w:r>
              <w:rPr>
                <w:rFonts w:hint="eastAsia" w:asciiTheme="minorEastAsia" w:hAnsiTheme="minorEastAsia" w:eastAsiaTheme="minorEastAsia" w:cstheme="minorEastAsia"/>
                <w:snapToGrid w:val="0"/>
                <w:kern w:val="0"/>
                <w:szCs w:val="21"/>
                <w:lang w:val="zh-CN"/>
              </w:rPr>
              <w:t>数量</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本项目推荐</w:t>
            </w:r>
            <w:r>
              <w:rPr>
                <w:rFonts w:hint="eastAsia" w:asciiTheme="minorEastAsia" w:hAnsiTheme="minorEastAsia" w:eastAsiaTheme="minorEastAsia" w:cstheme="minorEastAsia"/>
                <w:bCs/>
                <w:kern w:val="44"/>
                <w:szCs w:val="21"/>
                <w:u w:val="single"/>
              </w:rPr>
              <w:t>3</w:t>
            </w:r>
            <w:r>
              <w:rPr>
                <w:rFonts w:hint="eastAsia" w:asciiTheme="minorEastAsia" w:hAnsiTheme="minorEastAsia" w:eastAsiaTheme="minorEastAsia" w:cstheme="minorEastAsia"/>
                <w:bCs/>
                <w:kern w:val="44"/>
                <w:szCs w:val="21"/>
              </w:rPr>
              <w:t>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28.5</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成交通知书的领取</w:t>
            </w:r>
            <w:r>
              <w:rPr>
                <w:rFonts w:hint="eastAsia" w:asciiTheme="minorEastAsia" w:hAnsiTheme="minorEastAsia" w:eastAsiaTheme="minorEastAsia" w:cstheme="minorEastAsia"/>
                <w:snapToGrid w:val="0"/>
                <w:kern w:val="0"/>
                <w:szCs w:val="21"/>
              </w:rPr>
              <w:t>时</w:t>
            </w:r>
            <w:r>
              <w:rPr>
                <w:rFonts w:hint="eastAsia" w:asciiTheme="minorEastAsia" w:hAnsiTheme="minorEastAsia" w:eastAsiaTheme="minorEastAsia" w:cstheme="minorEastAsia"/>
                <w:snapToGrid w:val="0"/>
                <w:kern w:val="0"/>
                <w:szCs w:val="21"/>
                <w:lang w:val="zh-CN"/>
              </w:rPr>
              <w:t>间</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成交通知书与成交结果公告同时发出，成交供应商在成交结果公告</w:t>
            </w:r>
          </w:p>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发布以后即可联系采购代理机构领取。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9071" w:type="dxa"/>
            <w:gridSpan w:val="3"/>
            <w:vAlign w:val="center"/>
          </w:tcPr>
          <w:p>
            <w:pPr>
              <w:autoSpaceDE w:val="0"/>
              <w:autoSpaceDN w:val="0"/>
              <w:adjustRightInd w:val="0"/>
              <w:snapToGrid w:val="0"/>
              <w:spacing w:before="31" w:beforeLines="10" w:after="31" w:afterLines="10"/>
              <w:ind w:right="21" w:rightChars="10"/>
              <w:jc w:val="center"/>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报价方式</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本项目竞标报价为“交钥匙”价。竞标报价应包括完成该项目的货物</w:t>
            </w:r>
            <w:r>
              <w:rPr>
                <w:rFonts w:hint="eastAsia" w:asciiTheme="minorEastAsia" w:hAnsiTheme="minorEastAsia" w:eastAsiaTheme="minorEastAsia" w:cstheme="minorEastAsia"/>
                <w:szCs w:val="21"/>
              </w:rPr>
              <w:t>本身</w:t>
            </w:r>
            <w:r>
              <w:rPr>
                <w:rFonts w:hint="eastAsia" w:asciiTheme="minorEastAsia" w:hAnsiTheme="minorEastAsia" w:eastAsiaTheme="minorEastAsia" w:cstheme="minorEastAsia"/>
                <w:szCs w:val="21"/>
                <w:lang w:val="zh-CN"/>
              </w:rPr>
              <w:t>、包装、人工、运输、仓储、保险、各种税费、专利技术及质保期间等一切服务费用及其他售后服务等全部相关工作。合同签订后采购人未提出增加工作内容的情况下，合同价不得调整。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各供应商按此要求进行报价，同时在合同实施过程中还将发生的其它费用</w:t>
            </w:r>
            <w:r>
              <w:rPr>
                <w:rFonts w:hint="eastAsia" w:asciiTheme="minorEastAsia" w:hAnsiTheme="minorEastAsia" w:eastAsiaTheme="minorEastAsia" w:cstheme="minorEastAsia"/>
                <w:szCs w:val="21"/>
              </w:rPr>
              <w:t>也</w:t>
            </w:r>
            <w:r>
              <w:rPr>
                <w:rFonts w:hint="eastAsia" w:asciiTheme="minorEastAsia" w:hAnsiTheme="minorEastAsia" w:eastAsiaTheme="minorEastAsia" w:cstheme="minorEastAsia"/>
                <w:szCs w:val="21"/>
                <w:lang w:val="zh-CN"/>
              </w:rPr>
              <w:t>应包含在总价中，对在合同实施过程中可能发生的其它费用（如：增加耗材、材料涨价、人工、运输成本增加等因素），</w:t>
            </w:r>
            <w:r>
              <w:rPr>
                <w:rFonts w:hint="eastAsia" w:asciiTheme="minorEastAsia" w:hAnsiTheme="minorEastAsia" w:eastAsiaTheme="minorEastAsia" w:cstheme="minorEastAsia"/>
                <w:szCs w:val="21"/>
              </w:rPr>
              <w:t>采购人</w:t>
            </w:r>
            <w:r>
              <w:rPr>
                <w:rFonts w:hint="eastAsia" w:asciiTheme="minorEastAsia" w:hAnsiTheme="minorEastAsia" w:eastAsiaTheme="minorEastAsia" w:cstheme="minorEastAsia"/>
                <w:szCs w:val="21"/>
                <w:lang w:val="zh-CN"/>
              </w:rPr>
              <w:t>概不负责。</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对于</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文件未列明，而</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供应商认为</w:t>
            </w:r>
            <w:r>
              <w:rPr>
                <w:rFonts w:hint="eastAsia" w:asciiTheme="minorEastAsia" w:hAnsiTheme="minorEastAsia" w:eastAsiaTheme="minorEastAsia" w:cstheme="minorEastAsia"/>
                <w:szCs w:val="21"/>
              </w:rPr>
              <w:t>必须</w:t>
            </w:r>
            <w:r>
              <w:rPr>
                <w:rFonts w:hint="eastAsia" w:asciiTheme="minorEastAsia" w:hAnsiTheme="minorEastAsia" w:eastAsiaTheme="minorEastAsia" w:cstheme="minorEastAsia"/>
                <w:szCs w:val="21"/>
                <w:lang w:val="zh-CN"/>
              </w:rPr>
              <w:t>的费用也需列入总报价。在合同实施时，采购人将不予支付</w:t>
            </w:r>
            <w:r>
              <w:rPr>
                <w:rFonts w:hint="eastAsia" w:asciiTheme="minorEastAsia" w:hAnsiTheme="minorEastAsia" w:eastAsiaTheme="minorEastAsia" w:cstheme="minorEastAsia"/>
                <w:szCs w:val="21"/>
              </w:rPr>
              <w:t>成交</w:t>
            </w:r>
            <w:r>
              <w:rPr>
                <w:rFonts w:hint="eastAsia" w:asciiTheme="minorEastAsia" w:hAnsiTheme="minorEastAsia" w:eastAsiaTheme="minorEastAsia" w:cstheme="minorEastAsia"/>
                <w:szCs w:val="21"/>
                <w:lang w:val="zh-CN"/>
              </w:rPr>
              <w:t>供应商没有列入的项目费用，并认为此项目的费用已包括在投标总报价中。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踏勘现场</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☑采购人不组织统一踏勘，请各供应商自行踏勘现场；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□组织，踏勘时间：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踏勘集中地点：</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踏勘联系人：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（1）供应商承担踏勘现场所发生的自身费用；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（2）供应商应承担踏勘现场的责任和风险。</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（3）采购人在踏勘现场中介绍的项目背景及项目现场和相关的周边环境情况，供应商在编制响应文件时参考，采购人和采购代理机构不对供应商据此作出的判断和决策负责。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127" w:type="dxa"/>
            <w:vAlign w:val="center"/>
          </w:tcPr>
          <w:p>
            <w:pPr>
              <w:autoSpaceDE w:val="0"/>
              <w:autoSpaceDN w:val="0"/>
              <w:adjustRightInd w:val="0"/>
              <w:spacing w:before="31" w:beforeLines="10" w:after="31" w:afterLines="10"/>
              <w:ind w:left="21" w:leftChars="10" w:right="21" w:rightChars="1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核心产品</w:t>
            </w:r>
          </w:p>
          <w:p>
            <w:pPr>
              <w:autoSpaceDE w:val="0"/>
              <w:autoSpaceDN w:val="0"/>
              <w:adjustRightInd w:val="0"/>
              <w:spacing w:before="31" w:beforeLines="10" w:after="31" w:afterLines="10"/>
              <w:ind w:left="21" w:leftChars="10" w:right="21" w:rightChars="10"/>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eastAsia="zh-CN"/>
              </w:rPr>
              <w:t>【本项目不适用】</w:t>
            </w:r>
          </w:p>
          <w:p>
            <w:pPr>
              <w:autoSpaceDE w:val="0"/>
              <w:autoSpaceDN w:val="0"/>
              <w:adjustRightInd w:val="0"/>
              <w:spacing w:before="31" w:beforeLines="10" w:after="31" w:afterLines="10"/>
              <w:ind w:left="21" w:leftChars="10" w:right="21" w:rightChars="10"/>
              <w:jc w:val="center"/>
              <w:rPr>
                <w:rFonts w:hint="default" w:asciiTheme="minorEastAsia" w:hAnsiTheme="minorEastAsia" w:eastAsiaTheme="minorEastAsia" w:cstheme="minorEastAsia"/>
                <w:szCs w:val="21"/>
                <w:lang w:val="en-US" w:eastAsia="zh-CN"/>
              </w:rPr>
            </w:pP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本项目核心产品：</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u w:val="single"/>
                <w:lang w:val="en-US" w:eastAsia="zh-CN"/>
              </w:rPr>
              <w:t xml:space="preserve"> /  </w:t>
            </w:r>
            <w:r>
              <w:rPr>
                <w:rFonts w:hint="eastAsia" w:asciiTheme="minorEastAsia" w:hAnsiTheme="minorEastAsia" w:eastAsiaTheme="minorEastAsia" w:cstheme="minorEastAsia"/>
                <w:color w:val="auto"/>
                <w:szCs w:val="21"/>
                <w:u w:val="single"/>
              </w:rPr>
              <w:t xml:space="preserve"> </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提供相同品牌核心产品且通过资格审查、符合性审查的不同供应商参加同一合同项下竞标的，按一家供应商计算，评审后得分最高的同品牌供应商获得成交供应商推荐资格；评审得分相同的，采取随机抽取方式确定，其他同品牌供应商不作为中标候选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（2）若核心产品不止 1 个，各供应商所投任一核心产品的品牌相同，则按一家供应商计算。</w:t>
            </w:r>
          </w:p>
        </w:tc>
      </w:tr>
    </w:tbl>
    <w:p>
      <w:pPr>
        <w:spacing w:line="360" w:lineRule="auto"/>
        <w:outlineLvl w:val="1"/>
        <w:rPr>
          <w:rFonts w:asciiTheme="minorEastAsia" w:hAnsiTheme="minorEastAsia" w:eastAsiaTheme="minorEastAsia" w:cstheme="minorEastAsia"/>
          <w:b/>
          <w:szCs w:val="21"/>
        </w:rPr>
      </w:pPr>
      <w:bookmarkStart w:id="27" w:name="_Toc23075"/>
      <w:r>
        <w:rPr>
          <w:rFonts w:hint="eastAsia" w:asciiTheme="minorEastAsia" w:hAnsiTheme="minorEastAsia" w:eastAsiaTheme="minorEastAsia" w:cstheme="minorEastAsia"/>
          <w:b/>
          <w:szCs w:val="21"/>
        </w:rPr>
        <w:t>供应商须知</w:t>
      </w:r>
      <w:bookmarkEnd w:id="27"/>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28" w:name="_Toc18457"/>
      <w:r>
        <w:rPr>
          <w:rFonts w:hint="eastAsia" w:asciiTheme="minorEastAsia" w:hAnsiTheme="minorEastAsia" w:eastAsiaTheme="minorEastAsia" w:cstheme="minorEastAsia"/>
          <w:b/>
          <w:szCs w:val="21"/>
        </w:rPr>
        <w:t>总则</w:t>
      </w:r>
      <w:bookmarkEnd w:id="28"/>
    </w:p>
    <w:p>
      <w:pPr>
        <w:numPr>
          <w:ilvl w:val="0"/>
          <w:numId w:val="9"/>
        </w:numPr>
        <w:spacing w:line="360" w:lineRule="auto"/>
        <w:ind w:hanging="540"/>
        <w:outlineLvl w:val="1"/>
        <w:rPr>
          <w:rFonts w:asciiTheme="minorEastAsia" w:hAnsiTheme="minorEastAsia" w:eastAsiaTheme="minorEastAsia" w:cstheme="minorEastAsia"/>
          <w:b/>
          <w:szCs w:val="21"/>
        </w:rPr>
      </w:pPr>
      <w:bookmarkStart w:id="29" w:name="_Toc17841"/>
      <w:bookmarkStart w:id="30" w:name="_Toc27243"/>
      <w:r>
        <w:rPr>
          <w:rFonts w:hint="eastAsia" w:asciiTheme="minorEastAsia" w:hAnsiTheme="minorEastAsia" w:eastAsiaTheme="minorEastAsia" w:cstheme="minorEastAsia"/>
          <w:b/>
          <w:szCs w:val="21"/>
        </w:rPr>
        <w:t>适用法律及范围</w:t>
      </w:r>
      <w:bookmarkEnd w:id="29"/>
      <w:bookmarkEnd w:id="30"/>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本竞争性磋商采购文件仅适用于本次竞争性磋商中所述的项目的采购。</w:t>
      </w:r>
    </w:p>
    <w:p>
      <w:pPr>
        <w:numPr>
          <w:ilvl w:val="0"/>
          <w:numId w:val="9"/>
        </w:numPr>
        <w:spacing w:line="360" w:lineRule="auto"/>
        <w:ind w:hanging="540"/>
        <w:outlineLvl w:val="1"/>
        <w:rPr>
          <w:rFonts w:asciiTheme="minorEastAsia" w:hAnsiTheme="minorEastAsia" w:eastAsiaTheme="minorEastAsia" w:cstheme="minorEastAsia"/>
          <w:b/>
          <w:szCs w:val="21"/>
        </w:rPr>
      </w:pPr>
      <w:bookmarkStart w:id="31" w:name="_Toc22187"/>
      <w:bookmarkStart w:id="32" w:name="_Toc30547"/>
      <w:r>
        <w:rPr>
          <w:rFonts w:hint="eastAsia" w:asciiTheme="minorEastAsia" w:hAnsiTheme="minorEastAsia" w:eastAsiaTheme="minorEastAsia" w:cstheme="minorEastAsia"/>
          <w:b/>
          <w:szCs w:val="21"/>
        </w:rPr>
        <w:t>定义</w:t>
      </w:r>
      <w:bookmarkEnd w:id="31"/>
      <w:bookmarkEnd w:id="32"/>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“采购人”：本次磋商的采购人见《供应商须知前附表》。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“监管部门”：本次磋商的监管部门见《供应商须知前附表》。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“采购代理机构”：本次磋商的采购代理机构见《供应商须知前附表》。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“供应商”是指获取本竞争性磋商采购文件的法人、其他组织或者自然人。</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“磋商供应商”是指</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符合</w:t>
      </w:r>
      <w:r>
        <w:rPr>
          <w:rFonts w:hint="eastAsia" w:asciiTheme="minorEastAsia" w:hAnsiTheme="minorEastAsia" w:eastAsiaTheme="minorEastAsia" w:cstheme="minorEastAsia"/>
          <w:szCs w:val="21"/>
        </w:rPr>
        <w:t>具备《中华人民共和国政府采购法》第二十二条规定的条件；</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符合《供应商须知前附表》的相应条件；</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通过竞争性磋商采购评定办法中初步审核的供应商。</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“成交供应商”</w:t>
      </w:r>
      <w:r>
        <w:rPr>
          <w:rFonts w:hint="eastAsia" w:asciiTheme="minorEastAsia" w:hAnsiTheme="minorEastAsia" w:eastAsiaTheme="minorEastAsia" w:cstheme="minorEastAsia"/>
          <w:snapToGrid w:val="0"/>
          <w:kern w:val="0"/>
          <w:szCs w:val="21"/>
          <w:lang w:val="zh-CN"/>
        </w:rPr>
        <w:t xml:space="preserve"> 是指经磋商小组评审推荐，采购人授予合同的供应商。</w:t>
      </w:r>
    </w:p>
    <w:p>
      <w:pPr>
        <w:numPr>
          <w:ilvl w:val="0"/>
          <w:numId w:val="9"/>
        </w:numPr>
        <w:spacing w:line="360" w:lineRule="auto"/>
        <w:ind w:hanging="540"/>
        <w:outlineLvl w:val="1"/>
        <w:rPr>
          <w:rFonts w:asciiTheme="minorEastAsia" w:hAnsiTheme="minorEastAsia" w:eastAsiaTheme="minorEastAsia" w:cstheme="minorEastAsia"/>
          <w:b/>
          <w:szCs w:val="21"/>
        </w:rPr>
      </w:pPr>
      <w:bookmarkStart w:id="33" w:name="_Toc30503"/>
      <w:bookmarkStart w:id="34" w:name="_Toc9707"/>
      <w:r>
        <w:rPr>
          <w:rFonts w:hint="eastAsia" w:asciiTheme="minorEastAsia" w:hAnsiTheme="minorEastAsia" w:eastAsiaTheme="minorEastAsia" w:cstheme="minorEastAsia"/>
          <w:b/>
          <w:snapToGrid w:val="0"/>
          <w:kern w:val="0"/>
          <w:szCs w:val="21"/>
          <w:lang w:val="zh-CN"/>
        </w:rPr>
        <w:t>工程、货物及服务</w:t>
      </w:r>
      <w:bookmarkEnd w:id="33"/>
      <w:bookmarkEnd w:id="34"/>
    </w:p>
    <w:p>
      <w:pPr>
        <w:numPr>
          <w:ilvl w:val="1"/>
          <w:numId w:val="12"/>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“工程”是指建设工程，包括建筑物和构筑物的新建、改建、扩建及其相关的装修、拆除、修缮等。</w:t>
      </w:r>
    </w:p>
    <w:p>
      <w:pPr>
        <w:numPr>
          <w:ilvl w:val="1"/>
          <w:numId w:val="12"/>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“货物”是指各种形态和种类的物品，包括原材料、燃料、设备、产品等。</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“服务”是指除货物（指各种形态和种类的物品，包括原材料、燃料、设备、产品等）和工程（指建设工程，包括建筑物和构筑物的新建、改建、扩建及其相关的装修、拆除、修缮等）以外的其他政府采购对象。</w:t>
      </w:r>
    </w:p>
    <w:p>
      <w:pPr>
        <w:numPr>
          <w:ilvl w:val="0"/>
          <w:numId w:val="9"/>
        </w:numPr>
        <w:spacing w:line="360" w:lineRule="auto"/>
        <w:ind w:hanging="540"/>
        <w:outlineLvl w:val="1"/>
        <w:rPr>
          <w:rFonts w:asciiTheme="minorEastAsia" w:hAnsiTheme="minorEastAsia" w:eastAsiaTheme="minorEastAsia" w:cstheme="minorEastAsia"/>
          <w:b/>
          <w:szCs w:val="21"/>
        </w:rPr>
      </w:pPr>
      <w:bookmarkStart w:id="35" w:name="_Toc9974"/>
      <w:bookmarkStart w:id="36" w:name="_Toc4948"/>
      <w:r>
        <w:rPr>
          <w:rFonts w:hint="eastAsia" w:asciiTheme="minorEastAsia" w:hAnsiTheme="minorEastAsia" w:eastAsiaTheme="minorEastAsia" w:cstheme="minorEastAsia"/>
          <w:b/>
          <w:szCs w:val="21"/>
        </w:rPr>
        <w:t>费用</w:t>
      </w:r>
      <w:bookmarkEnd w:id="35"/>
      <w:bookmarkEnd w:id="36"/>
      <w:r>
        <w:rPr>
          <w:rFonts w:hint="eastAsia" w:asciiTheme="minorEastAsia" w:hAnsiTheme="minorEastAsia" w:eastAsiaTheme="minorEastAsia" w:cstheme="minorEastAsia"/>
          <w:b/>
          <w:szCs w:val="21"/>
        </w:rPr>
        <w:t xml:space="preserve">  </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供应商应承担所有与准备和参加磋商有关的费用，不论磋商的结果如何，采购人和采购代理机构均无义务和责任承担这些费用。</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招标代理服务费：成交供应商须在收到成交通知书时向采购代理机构支付招标代理服务费。服务费支付标准和方法详见《供应商须知前附表》。</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国家计委计价格[2002]1980 号规定标准收费：</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3"/>
        <w:gridCol w:w="2255"/>
        <w:gridCol w:w="2255"/>
        <w:gridCol w:w="2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中标金额（万元）</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货物</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100以下</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100-500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500-1000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0.45%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1000-5000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5000-10000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10000-100000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100000以上</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r>
    </w:tbl>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注：招标代理服务收费按差额定率累进法计算。例如：某货物招标代理业务中标金额为6000万元，计算招标代理服务收费额如下：</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0---100：100×1.500％=15000.000元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100---500：400×1.100％=44000.000元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500---1000：500×0.800％=40000.000元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1000---5000：4000×0.500％=200000.000元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5000---6000：1000×0.250％=25000.000元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合计收费=324000.000元</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37" w:name="_Toc21644"/>
      <w:r>
        <w:rPr>
          <w:rFonts w:hint="eastAsia" w:asciiTheme="minorEastAsia" w:hAnsiTheme="minorEastAsia" w:eastAsiaTheme="minorEastAsia" w:cstheme="minorEastAsia"/>
          <w:b/>
          <w:szCs w:val="21"/>
        </w:rPr>
        <w:t>竞争性磋商采购文件</w:t>
      </w:r>
      <w:bookmarkEnd w:id="37"/>
    </w:p>
    <w:p>
      <w:pPr>
        <w:numPr>
          <w:ilvl w:val="0"/>
          <w:numId w:val="9"/>
        </w:numPr>
        <w:spacing w:line="360" w:lineRule="auto"/>
        <w:ind w:hanging="540"/>
        <w:outlineLvl w:val="1"/>
        <w:rPr>
          <w:rFonts w:asciiTheme="minorEastAsia" w:hAnsiTheme="minorEastAsia" w:eastAsiaTheme="minorEastAsia" w:cstheme="minorEastAsia"/>
          <w:b/>
          <w:szCs w:val="21"/>
        </w:rPr>
      </w:pPr>
      <w:bookmarkStart w:id="38" w:name="_Toc25534"/>
      <w:bookmarkStart w:id="39" w:name="_Toc4547"/>
      <w:r>
        <w:rPr>
          <w:rFonts w:hint="eastAsia" w:asciiTheme="minorEastAsia" w:hAnsiTheme="minorEastAsia" w:eastAsiaTheme="minorEastAsia" w:cstheme="minorEastAsia"/>
          <w:b/>
          <w:szCs w:val="21"/>
        </w:rPr>
        <w:t>竞争性磋商采购文件的构成</w:t>
      </w:r>
      <w:bookmarkEnd w:id="38"/>
      <w:bookmarkEnd w:id="39"/>
    </w:p>
    <w:p>
      <w:pPr>
        <w:numPr>
          <w:ilvl w:val="1"/>
          <w:numId w:val="14"/>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本竞争性磋商采购文件包括：</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磋商公告</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供应商须知</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采购需求</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竞争性磋商采购评定办法</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合同书格式</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竞争性磋商响应文件格式</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采购过程中由采购代理机构发出的澄清和修正文件</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磋商小组在磋商过程中发出的对本磋商文件的实质性变动</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40" w:name="_Toc12297"/>
      <w:bookmarkStart w:id="41" w:name="_Toc29700"/>
      <w:r>
        <w:rPr>
          <w:rFonts w:hint="eastAsia" w:asciiTheme="minorEastAsia" w:hAnsiTheme="minorEastAsia" w:eastAsiaTheme="minorEastAsia" w:cstheme="minorEastAsia"/>
          <w:b/>
          <w:snapToGrid w:val="0"/>
          <w:kern w:val="0"/>
          <w:szCs w:val="21"/>
          <w:lang w:val="zh-CN"/>
        </w:rPr>
        <w:t>竞争性磋商采购文件的澄清</w:t>
      </w:r>
      <w:bookmarkEnd w:id="40"/>
      <w:bookmarkEnd w:id="41"/>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供应商获取竞争性磋商采购文件后，应认真检查，如发现页数不全、附件缺失、印刷模糊等，应通知采购代理机构补全或更换，否则风险自负。</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要求对本竞争性磋商采购文件进行澄清的，应以书面形式（包括信函、电报、传真等可以有形地表现所载内容的形式，下同）在提疑截止时间以前向采购代理机构或采购人提出，提疑截止时间见《供应商须知前附表》。</w:t>
      </w:r>
    </w:p>
    <w:p>
      <w:pPr>
        <w:autoSpaceDE w:val="0"/>
        <w:autoSpaceDN w:val="0"/>
        <w:adjustRightInd w:val="0"/>
        <w:spacing w:line="360" w:lineRule="auto"/>
        <w:ind w:left="540" w:leftChars="257"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采购代理机构对于符合澄清要求的，将以书面形式给所有接收磋商文件的供应商予以答复(答复中不包括问题的来源)，供应商收到答复后应在24小时内以书面形式向采购代理机构予以确认。</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供应商在规定的时间内未对竞争性磋商采购文件澄清或提出疑问的，采购代理机构将视其为同意。</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澄清的内容是本竞争性磋商采购文件的组成部分，当竞争性磋商采购文件</w:t>
      </w:r>
      <w:r>
        <w:rPr>
          <w:rFonts w:hint="eastAsia" w:asciiTheme="minorEastAsia" w:hAnsiTheme="minorEastAsia" w:eastAsiaTheme="minorEastAsia" w:cstheme="minorEastAsia"/>
          <w:szCs w:val="21"/>
        </w:rPr>
        <w:t>、澄清文件对同一内容的表述不一致时，以最后发出的书面文件为准。</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42" w:name="_Toc17968"/>
      <w:bookmarkStart w:id="43" w:name="_Toc31761"/>
      <w:r>
        <w:rPr>
          <w:rFonts w:hint="eastAsia" w:asciiTheme="minorEastAsia" w:hAnsiTheme="minorEastAsia" w:eastAsiaTheme="minorEastAsia" w:cstheme="minorEastAsia"/>
          <w:b/>
          <w:snapToGrid w:val="0"/>
          <w:kern w:val="0"/>
          <w:szCs w:val="21"/>
          <w:lang w:val="zh-CN"/>
        </w:rPr>
        <w:t>竞争性磋商采购文件的修改</w:t>
      </w:r>
      <w:bookmarkEnd w:id="42"/>
      <w:bookmarkEnd w:id="43"/>
    </w:p>
    <w:p>
      <w:pPr>
        <w:numPr>
          <w:ilvl w:val="1"/>
          <w:numId w:val="16"/>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首次响应文件截止之日前，采购人、采购代理机构可以对本竞争性磋商采购文件进行必要的修改，修改的内容是磋商文件的组成部分，采购代理机构将以书面形式通知所有接受磋商文件的供应商，供应商在收到上述通知后，应在24小时内以书面形式向采购代理机构予以确认。</w:t>
      </w:r>
    </w:p>
    <w:p>
      <w:pPr>
        <w:numPr>
          <w:ilvl w:val="1"/>
          <w:numId w:val="16"/>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当磋商文件、修改文件对同一内容的表述不一致时，以最后发出的书面文件为准。</w:t>
      </w:r>
    </w:p>
    <w:p>
      <w:pPr>
        <w:numPr>
          <w:ilvl w:val="1"/>
          <w:numId w:val="16"/>
        </w:numPr>
        <w:tabs>
          <w:tab w:val="left" w:pos="525"/>
          <w:tab w:val="clear" w:pos="360"/>
        </w:tabs>
        <w:autoSpaceDE w:val="0"/>
        <w:autoSpaceDN w:val="0"/>
        <w:adjustRightInd w:val="0"/>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修改的内容可能影响响应文件编制的，修改文件应当在提交首次响应文件截止之日</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个工作日前发出，不足</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个工作日的，采购人、采购代理机构将顺延提交首次响应文件截止之日。</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44" w:name="_Toc6290"/>
      <w:r>
        <w:rPr>
          <w:rFonts w:hint="eastAsia" w:asciiTheme="minorEastAsia" w:hAnsiTheme="minorEastAsia" w:eastAsiaTheme="minorEastAsia" w:cstheme="minorEastAsia"/>
          <w:b/>
          <w:szCs w:val="21"/>
        </w:rPr>
        <w:t>竞争性磋商响应文件</w:t>
      </w:r>
      <w:bookmarkEnd w:id="44"/>
    </w:p>
    <w:p>
      <w:pPr>
        <w:numPr>
          <w:ilvl w:val="0"/>
          <w:numId w:val="9"/>
        </w:numPr>
        <w:spacing w:line="360" w:lineRule="auto"/>
        <w:ind w:hanging="540"/>
        <w:outlineLvl w:val="1"/>
        <w:rPr>
          <w:rFonts w:asciiTheme="minorEastAsia" w:hAnsiTheme="minorEastAsia" w:eastAsiaTheme="minorEastAsia" w:cstheme="minorEastAsia"/>
          <w:snapToGrid w:val="0"/>
          <w:kern w:val="0"/>
          <w:szCs w:val="21"/>
          <w:lang w:val="zh-CN"/>
        </w:rPr>
      </w:pPr>
      <w:bookmarkStart w:id="45" w:name="_Toc4380"/>
      <w:bookmarkStart w:id="46" w:name="_Toc30987"/>
      <w:r>
        <w:rPr>
          <w:rFonts w:hint="eastAsia" w:asciiTheme="minorEastAsia" w:hAnsiTheme="minorEastAsia" w:eastAsiaTheme="minorEastAsia" w:cstheme="minorEastAsia"/>
          <w:b/>
          <w:snapToGrid w:val="0"/>
          <w:kern w:val="0"/>
          <w:szCs w:val="21"/>
          <w:lang w:val="zh-CN"/>
        </w:rPr>
        <w:t>语言和计量单位</w:t>
      </w:r>
      <w:bookmarkEnd w:id="45"/>
      <w:bookmarkEnd w:id="46"/>
    </w:p>
    <w:p>
      <w:pPr>
        <w:numPr>
          <w:ilvl w:val="1"/>
          <w:numId w:val="17"/>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竞争性磋商响应文件以及供应商与采购代理机构或采购人就有关磋商的所有来往信函、电报、传真等均应使用中文。供应商提交的支持文件或印刷的文献可以用另一种语言，但相应内容应附有中文翻译本，在解释竞争性磋商响应文件时以中文翻译本为准。</w:t>
      </w:r>
    </w:p>
    <w:p>
      <w:pPr>
        <w:numPr>
          <w:ilvl w:val="1"/>
          <w:numId w:val="17"/>
        </w:numPr>
        <w:tabs>
          <w:tab w:val="left" w:pos="540"/>
          <w:tab w:val="clear" w:pos="360"/>
        </w:tabs>
        <w:spacing w:line="360" w:lineRule="auto"/>
        <w:ind w:left="540" w:hanging="540"/>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snapToGrid w:val="0"/>
          <w:kern w:val="0"/>
          <w:szCs w:val="21"/>
          <w:lang w:val="zh-CN"/>
        </w:rPr>
        <w:t>除非竞争性磋商采购文件中另有规定，计量单位均采用中华人民共和国法定的计量单位。</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47" w:name="_Toc32272"/>
      <w:bookmarkStart w:id="48" w:name="_Toc3554"/>
      <w:r>
        <w:rPr>
          <w:rFonts w:hint="eastAsia" w:asciiTheme="minorEastAsia" w:hAnsiTheme="minorEastAsia" w:eastAsiaTheme="minorEastAsia" w:cstheme="minorEastAsia"/>
          <w:b/>
          <w:snapToGrid w:val="0"/>
          <w:kern w:val="0"/>
          <w:szCs w:val="21"/>
          <w:lang w:val="zh-CN"/>
        </w:rPr>
        <w:t>竞争性磋商响应文件的构成</w:t>
      </w:r>
      <w:bookmarkEnd w:id="47"/>
      <w:bookmarkEnd w:id="48"/>
    </w:p>
    <w:p>
      <w:pPr>
        <w:numPr>
          <w:ilvl w:val="1"/>
          <w:numId w:val="18"/>
        </w:numPr>
        <w:tabs>
          <w:tab w:val="left" w:pos="525"/>
          <w:tab w:val="clear" w:pos="360"/>
        </w:tabs>
        <w:autoSpaceDE w:val="0"/>
        <w:autoSpaceDN w:val="0"/>
        <w:adjustRightInd w:val="0"/>
        <w:spacing w:line="360" w:lineRule="auto"/>
        <w:ind w:left="0" w:firstLine="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供应商编制的竞争性磋商响应</w:t>
      </w:r>
      <w:r>
        <w:rPr>
          <w:rFonts w:hint="eastAsia" w:asciiTheme="minorEastAsia" w:hAnsiTheme="minorEastAsia" w:eastAsiaTheme="minorEastAsia" w:cstheme="minorEastAsia"/>
          <w:snapToGrid w:val="0"/>
          <w:kern w:val="0"/>
          <w:szCs w:val="21"/>
        </w:rPr>
        <w:t>文</w:t>
      </w:r>
      <w:r>
        <w:rPr>
          <w:rFonts w:hint="eastAsia" w:asciiTheme="minorEastAsia" w:hAnsiTheme="minorEastAsia" w:eastAsiaTheme="minorEastAsia" w:cstheme="minorEastAsia"/>
          <w:snapToGrid w:val="0"/>
          <w:kern w:val="0"/>
          <w:szCs w:val="21"/>
          <w:lang w:val="zh-CN"/>
        </w:rPr>
        <w:t>件应包括的内容详见本文件第六章要求。</w:t>
      </w:r>
    </w:p>
    <w:p>
      <w:p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bCs/>
          <w:szCs w:val="21"/>
        </w:rPr>
        <w:t>注：响应文件目录及内容每页须顺序编写页码。</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49" w:name="_Toc25217"/>
      <w:bookmarkStart w:id="50" w:name="_Toc1043"/>
      <w:r>
        <w:rPr>
          <w:rFonts w:hint="eastAsia" w:asciiTheme="minorEastAsia" w:hAnsiTheme="minorEastAsia" w:eastAsiaTheme="minorEastAsia" w:cstheme="minorEastAsia"/>
          <w:b/>
          <w:snapToGrid w:val="0"/>
          <w:kern w:val="0"/>
          <w:szCs w:val="21"/>
          <w:lang w:val="zh-CN"/>
        </w:rPr>
        <w:t>竞争性磋商响应文件的编制</w:t>
      </w:r>
      <w:bookmarkEnd w:id="49"/>
      <w:bookmarkEnd w:id="50"/>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供应商应当按照本采购文件的要求编制响应文件，并对其提交的响应文件及全部资料的真实性、合法性承担法律责任，并接受采购代理机构对其中任何资料进一步核实的要求。</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供应商应认真阅读本采购文件中的所有内容，并对本采购文件提出的要求和条件作出实质性响应。如供应商没有按照本采购文件的要求提交全部资料，或者没有对本采购文件在各方面都做出实质性响应的，其响应文件将被视为无效文件。 </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供应商在编制响应文件时应注意本次采购对多包采购的规定，多包采购的规定见《供应商须知前附表》。</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51" w:name="_Toc15588"/>
      <w:bookmarkStart w:id="52" w:name="_Toc24544"/>
      <w:r>
        <w:rPr>
          <w:rFonts w:hint="eastAsia" w:asciiTheme="minorEastAsia" w:hAnsiTheme="minorEastAsia" w:eastAsiaTheme="minorEastAsia" w:cstheme="minorEastAsia"/>
          <w:b/>
          <w:snapToGrid w:val="0"/>
          <w:kern w:val="0"/>
          <w:szCs w:val="21"/>
          <w:lang w:val="zh-CN"/>
        </w:rPr>
        <w:t>磋商报价</w:t>
      </w:r>
      <w:bookmarkEnd w:id="51"/>
      <w:bookmarkEnd w:id="52"/>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磋商报价包括磋商供应商在首次提交的响应文件中的报价、磋商过程中的报价和最后报价。磋商供应商的报价均应以人民币报价。</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供应商应根据本磋商文件的规定和要求、市场价格水平及其走势、</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供应商的管理水平、</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w:t>
      </w:r>
      <w:r>
        <w:rPr>
          <w:rFonts w:hint="eastAsia" w:asciiTheme="minorEastAsia" w:hAnsiTheme="minorEastAsia" w:eastAsiaTheme="minorEastAsia" w:cstheme="minorEastAsia"/>
          <w:snapToGrid w:val="0"/>
          <w:kern w:val="0"/>
          <w:szCs w:val="21"/>
          <w:lang w:val="zh-CN"/>
        </w:rPr>
        <w:t>方案</w:t>
      </w:r>
      <w:r>
        <w:rPr>
          <w:rFonts w:hint="eastAsia" w:asciiTheme="minorEastAsia" w:hAnsiTheme="minorEastAsia" w:eastAsiaTheme="minorEastAsia" w:cstheme="minorEastAsia"/>
          <w:szCs w:val="21"/>
        </w:rPr>
        <w:t>和由这些因素决定的磋商供应商之于本项目的成本水平等提出自己的报价。</w:t>
      </w:r>
      <w:r>
        <w:rPr>
          <w:rFonts w:hint="eastAsia" w:asciiTheme="minorEastAsia" w:hAnsiTheme="minorEastAsia" w:eastAsiaTheme="minorEastAsia" w:cstheme="minorEastAsia"/>
          <w:snapToGrid w:val="0"/>
          <w:kern w:val="0"/>
          <w:szCs w:val="21"/>
          <w:lang w:val="zh-CN"/>
        </w:rPr>
        <w:t>报价应包含完成本采购文件采购需求全部内容的所有费用，所有根据本采购文件或其它原因应由磋商供应商支付的税款和其他应缴纳的费用都应包括在报价中。</w:t>
      </w:r>
      <w:r>
        <w:rPr>
          <w:rFonts w:hint="eastAsia" w:asciiTheme="minorEastAsia" w:hAnsiTheme="minorEastAsia" w:eastAsiaTheme="minorEastAsia" w:cstheme="minorEastAsia"/>
          <w:szCs w:val="21"/>
        </w:rPr>
        <w:t>但磋商供应商不得以低于其成本的价格进行报价。</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供应商在响应文件中</w:t>
      </w:r>
      <w:r>
        <w:rPr>
          <w:rFonts w:hint="eastAsia" w:asciiTheme="minorEastAsia" w:hAnsiTheme="minorEastAsia" w:eastAsiaTheme="minorEastAsia" w:cstheme="minorEastAsia"/>
          <w:snapToGrid w:val="0"/>
          <w:kern w:val="0"/>
          <w:szCs w:val="21"/>
          <w:lang w:val="zh-CN"/>
        </w:rPr>
        <w:t>注明免费的项目将视为包含在报价中。</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每一种采购内容只允许有一个报价，否则其响应文件将被视为无效文件。</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成交供应商的报价在合同执行过程中是固定不变的，不得以任何理由予以变更。</w:t>
      </w:r>
    </w:p>
    <w:p>
      <w:pPr>
        <w:numPr>
          <w:ilvl w:val="0"/>
          <w:numId w:val="9"/>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3" w:name="_Toc23921"/>
      <w:bookmarkStart w:id="54" w:name="_Toc6176"/>
      <w:r>
        <w:rPr>
          <w:rFonts w:hint="eastAsia" w:asciiTheme="minorEastAsia" w:hAnsiTheme="minorEastAsia" w:eastAsiaTheme="minorEastAsia" w:cstheme="minorEastAsia"/>
          <w:b/>
          <w:snapToGrid w:val="0"/>
          <w:kern w:val="0"/>
          <w:szCs w:val="21"/>
          <w:lang w:val="zh-CN"/>
        </w:rPr>
        <w:t>备选方案</w:t>
      </w:r>
      <w:bookmarkEnd w:id="53"/>
      <w:bookmarkEnd w:id="54"/>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是否允许备选方案见《供应商须知前附表》。不允许有备选方案的，若在响应文件中提交了备选方案，其响应文件将被视为无效文件。 </w:t>
      </w:r>
    </w:p>
    <w:p>
      <w:pPr>
        <w:numPr>
          <w:ilvl w:val="0"/>
          <w:numId w:val="9"/>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5" w:name="_Toc3324"/>
      <w:bookmarkStart w:id="56" w:name="_Toc827"/>
      <w:r>
        <w:rPr>
          <w:rFonts w:hint="eastAsia" w:asciiTheme="minorEastAsia" w:hAnsiTheme="minorEastAsia" w:eastAsiaTheme="minorEastAsia" w:cstheme="minorEastAsia"/>
          <w:b/>
          <w:snapToGrid w:val="0"/>
          <w:kern w:val="0"/>
          <w:szCs w:val="21"/>
          <w:lang w:val="zh-CN"/>
        </w:rPr>
        <w:t>联合体</w:t>
      </w:r>
      <w:bookmarkEnd w:id="55"/>
      <w:bookmarkEnd w:id="56"/>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本次采购是否允许联合体参加详见《供应商须知前附表》。 </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本次采购允许联合体报价的，联合体各方不得再单独或者与其他供应商另外组成联合体参加本项目的报价。</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7" w:name="_Toc569"/>
      <w:bookmarkStart w:id="58" w:name="_Toc2434"/>
      <w:r>
        <w:rPr>
          <w:rFonts w:hint="eastAsia" w:asciiTheme="minorEastAsia" w:hAnsiTheme="minorEastAsia" w:eastAsiaTheme="minorEastAsia" w:cstheme="minorEastAsia"/>
          <w:b/>
          <w:snapToGrid w:val="0"/>
          <w:kern w:val="0"/>
          <w:szCs w:val="21"/>
          <w:lang w:val="zh-CN"/>
        </w:rPr>
        <w:t>供应商资格证明文件</w:t>
      </w:r>
      <w:bookmarkEnd w:id="57"/>
      <w:bookmarkEnd w:id="58"/>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供应商应在响应文件提交证明其有资格参加磋商的证明文件，证明文件应包括下列文件：</w:t>
      </w:r>
    </w:p>
    <w:p>
      <w:pPr>
        <w:numPr>
          <w:ilvl w:val="3"/>
          <w:numId w:val="24"/>
        </w:numPr>
        <w:tabs>
          <w:tab w:val="left" w:pos="540"/>
          <w:tab w:val="clear" w:pos="20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采购文件要求供应商应提交的其它资格证明文件，应提交的资格证明文件（</w:t>
      </w:r>
      <w:r>
        <w:rPr>
          <w:rFonts w:hint="eastAsia" w:asciiTheme="minorEastAsia" w:hAnsiTheme="minorEastAsia" w:eastAsiaTheme="minorEastAsia" w:cstheme="minorEastAsia"/>
          <w:snapToGrid w:val="0"/>
          <w:kern w:val="0"/>
          <w:szCs w:val="21"/>
        </w:rPr>
        <w:t>实质性要求</w:t>
      </w:r>
      <w:r>
        <w:rPr>
          <w:rFonts w:hint="eastAsia" w:asciiTheme="minorEastAsia" w:hAnsiTheme="minorEastAsia" w:eastAsiaTheme="minorEastAsia" w:cstheme="minorEastAsia"/>
          <w:snapToGrid w:val="0"/>
          <w:kern w:val="0"/>
          <w:szCs w:val="21"/>
          <w:lang w:val="zh-CN"/>
        </w:rPr>
        <w:t>）见《供应商须知前附表》。</w:t>
      </w:r>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除本须知14.1要求的资格证明文件外，如国家法律法规对市场准入有要求的还应提交相关资格证明文件。</w:t>
      </w:r>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证明材料仅限于磋商供应商单位本身，母公司、股东单位和子公司的材料不能作为证明材料，但磋商供应商单位兼并的企业的材料可作为证明材料。必须</w:t>
      </w:r>
      <w:r>
        <w:rPr>
          <w:rFonts w:hint="eastAsia" w:asciiTheme="minorEastAsia" w:hAnsiTheme="minorEastAsia" w:eastAsiaTheme="minorEastAsia" w:cstheme="minorEastAsia"/>
          <w:snapToGrid w:val="0"/>
          <w:kern w:val="0"/>
          <w:szCs w:val="21"/>
        </w:rPr>
        <w:t>每页</w:t>
      </w:r>
      <w:r>
        <w:rPr>
          <w:rFonts w:hint="eastAsia" w:asciiTheme="minorEastAsia" w:hAnsiTheme="minorEastAsia" w:eastAsiaTheme="minorEastAsia" w:cstheme="minorEastAsia"/>
          <w:snapToGrid w:val="0"/>
          <w:kern w:val="0"/>
          <w:szCs w:val="21"/>
          <w:lang w:val="zh-CN"/>
        </w:rPr>
        <w:t>加盖单位印章，</w:t>
      </w:r>
      <w:r>
        <w:rPr>
          <w:rFonts w:hint="eastAsia" w:asciiTheme="minorEastAsia" w:hAnsiTheme="minorEastAsia" w:eastAsiaTheme="minorEastAsia" w:cstheme="minorEastAsia"/>
          <w:snapToGrid w:val="0"/>
          <w:kern w:val="0"/>
          <w:szCs w:val="21"/>
        </w:rPr>
        <w:t>否则做废标处理</w:t>
      </w:r>
      <w:r>
        <w:rPr>
          <w:rFonts w:hint="eastAsia" w:asciiTheme="minorEastAsia" w:hAnsiTheme="minorEastAsia" w:eastAsiaTheme="minorEastAsia" w:cstheme="minorEastAsia"/>
          <w:snapToGrid w:val="0"/>
          <w:kern w:val="0"/>
          <w:szCs w:val="21"/>
          <w:lang w:val="zh-CN"/>
        </w:rPr>
        <w:t>。</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9" w:name="_Toc9935"/>
      <w:bookmarkStart w:id="60" w:name="_Toc24609"/>
      <w:r>
        <w:rPr>
          <w:rFonts w:hint="eastAsia" w:asciiTheme="minorEastAsia" w:hAnsiTheme="minorEastAsia" w:eastAsiaTheme="minorEastAsia" w:cstheme="minorEastAsia"/>
          <w:b/>
          <w:snapToGrid w:val="0"/>
          <w:kern w:val="0"/>
          <w:szCs w:val="21"/>
          <w:lang w:val="zh-CN"/>
        </w:rPr>
        <w:t>证明报价内容、服务合格性和符合竞争性磋商采购文件规定的文件</w:t>
      </w:r>
      <w:bookmarkEnd w:id="59"/>
      <w:bookmarkEnd w:id="60"/>
    </w:p>
    <w:p>
      <w:pPr>
        <w:numPr>
          <w:ilvl w:val="1"/>
          <w:numId w:val="25"/>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证明报价内容符合竞争性磋商采购文件要求的文件和竞争性磋商采购文件规定的其他资料，具体要求见《供应商须知前附表》。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1" w:name="_Toc27068"/>
      <w:bookmarkStart w:id="62" w:name="_Toc29173"/>
      <w:r>
        <w:rPr>
          <w:rFonts w:hint="eastAsia" w:asciiTheme="minorEastAsia" w:hAnsiTheme="minorEastAsia" w:eastAsiaTheme="minorEastAsia" w:cstheme="minorEastAsia"/>
          <w:b/>
          <w:snapToGrid w:val="0"/>
          <w:kern w:val="0"/>
          <w:szCs w:val="21"/>
          <w:lang w:val="zh-CN"/>
        </w:rPr>
        <w:t>磋商保证金</w:t>
      </w:r>
      <w:bookmarkEnd w:id="61"/>
      <w:bookmarkEnd w:id="62"/>
    </w:p>
    <w:p>
      <w:pPr>
        <w:numPr>
          <w:ilvl w:val="1"/>
          <w:numId w:val="26"/>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本采购文件是否要求递交磋商保证金及保证金金额、递交方式、递交时间、接受保证金的帐户信息等详见《供应商须知前附表》。</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本采购文件要求递交磋商保证金的，磋商保证金作为竞争性磋商响应文件的组成部分，</w:t>
      </w:r>
      <w:r>
        <w:rPr>
          <w:rFonts w:hint="eastAsia" w:asciiTheme="minorEastAsia" w:hAnsiTheme="minorEastAsia" w:eastAsiaTheme="minorEastAsia" w:cstheme="minorEastAsia"/>
          <w:szCs w:val="21"/>
          <w:lang w:val="zh-CN"/>
        </w:rPr>
        <w:t>以到账为准。</w:t>
      </w:r>
      <w:r>
        <w:rPr>
          <w:rFonts w:hint="eastAsia" w:asciiTheme="minorEastAsia" w:hAnsiTheme="minorEastAsia" w:eastAsiaTheme="minorEastAsia" w:cstheme="minorEastAsia"/>
          <w:snapToGrid w:val="0"/>
          <w:kern w:val="0"/>
          <w:szCs w:val="21"/>
          <w:lang w:val="zh-CN"/>
        </w:rPr>
        <w:t>凡未按规定递交磋商保证金的报价，其响应文件将被视为无效文件。</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磋商保证金有效时间：磋商保证金的有效期与本次磋商有效期一致。</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供应商为联合体的，应由联合体中牵头人缴纳保证金，其缴纳的保证金对联合体各方均具有约束力。</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保证金的退还：未成交的磋商供应商，其磋商保证金在成交通知书发出后5个工作日内不计利息原额退还，成交供应商的磋商保证金，在成交供应商与采购人签订合同后5个工作日内不计利息原额退还。</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有下列情形之一的，磋商保证金将不予退还:</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供应商在提交响应文件截止时间后撤回响应文件的；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供应商在响应文件中提供虚假材料的；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除因不可抗力或磋商文件认可的情形以外，成交供应商不与采购人签订合同的；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供应商与采购人、其他供应商或者采购代理机构恶意串通的；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本采购文件规定的其他情形。</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3" w:name="_Toc5668"/>
      <w:bookmarkStart w:id="64" w:name="_Toc17731"/>
      <w:r>
        <w:rPr>
          <w:rFonts w:hint="eastAsia" w:asciiTheme="minorEastAsia" w:hAnsiTheme="minorEastAsia" w:eastAsiaTheme="minorEastAsia" w:cstheme="minorEastAsia"/>
          <w:b/>
          <w:snapToGrid w:val="0"/>
          <w:kern w:val="0"/>
          <w:szCs w:val="21"/>
          <w:lang w:val="zh-CN"/>
        </w:rPr>
        <w:t>磋商有效期</w:t>
      </w:r>
      <w:bookmarkEnd w:id="63"/>
      <w:bookmarkEnd w:id="64"/>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磋商有效期从磋商结束之日起计算，本次采购磋商有效期见《供应商须知前附表》，磋商供应商承诺的磋商有效期不足的，其响应文件将被视为无效文件。</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投标保证金。</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供应商同意延长磋商有效期的，不得要求或被允许修改或撤销其竞争性磋商响应文件；供应商拒绝延长的，其响应文件失效，但供应商有权收回其磋商保证金。</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5" w:name="_Toc8272"/>
      <w:bookmarkStart w:id="66" w:name="_Toc20134"/>
      <w:r>
        <w:rPr>
          <w:rFonts w:hint="eastAsia" w:asciiTheme="minorEastAsia" w:hAnsiTheme="minorEastAsia" w:eastAsiaTheme="minorEastAsia" w:cstheme="minorEastAsia"/>
          <w:b/>
          <w:snapToGrid w:val="0"/>
          <w:kern w:val="0"/>
          <w:szCs w:val="21"/>
          <w:lang w:val="zh-CN"/>
        </w:rPr>
        <w:t>竞争性磋商响应文件的装订、签署和数量</w:t>
      </w:r>
      <w:bookmarkEnd w:id="65"/>
      <w:bookmarkEnd w:id="66"/>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供应商提交的响应文件应包括正本、副本、完整的电子文档及单独提供的法定代表人授权委托书（或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。本次磋商供应商提交响应文件正、副本和电子文档的数量见《供应商须知前附表》。</w:t>
      </w:r>
    </w:p>
    <w:p>
      <w:pPr>
        <w:autoSpaceDE w:val="0"/>
        <w:autoSpaceDN w:val="0"/>
        <w:adjustRightInd w:val="0"/>
        <w:spacing w:line="360" w:lineRule="auto"/>
        <w:ind w:left="630" w:leftChars="300" w:firstLine="92" w:firstLineChars="44"/>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每套响应文件须清楚地标明“正本”、“副本”，响应文件的副本可采用正本的复印件，若副本与正本不符，以正本为准；如单独提供的法定代表人授权委托书（或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与响应文件正本不符，以正本为准。电子文档与纸质文件不符，以纸质文件为准。</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正本需打印或用不褪色墨水书写，并由法定代表人或授权代表签字并加盖公章。由授权代表签字的，响应文件中应提交《法定代表人授权书》。供应商为自然人的，由供应商本人签字并附身份证明。</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竞争性磋商响应文件中的任何行间插字、涂改和增删，必须由法定代表人或授权代表在旁边签字才有效。</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响应文件应当采用不可拆卸的方法的装订，对未经装订的竞争性磋商响应文件可能发生的文件散落或缺损及由此产生的后果由磋商供应商承担。</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67" w:name="_Toc3975"/>
      <w:r>
        <w:rPr>
          <w:rFonts w:hint="eastAsia" w:asciiTheme="minorEastAsia" w:hAnsiTheme="minorEastAsia" w:eastAsiaTheme="minorEastAsia" w:cstheme="minorEastAsia"/>
          <w:b/>
          <w:szCs w:val="21"/>
        </w:rPr>
        <w:t>竞争性磋商响应文件的递交</w:t>
      </w:r>
      <w:bookmarkEnd w:id="67"/>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8" w:name="_Toc16633"/>
      <w:bookmarkStart w:id="69" w:name="_Toc27305"/>
      <w:r>
        <w:rPr>
          <w:rFonts w:hint="eastAsia" w:asciiTheme="minorEastAsia" w:hAnsiTheme="minorEastAsia" w:eastAsiaTheme="minorEastAsia" w:cstheme="minorEastAsia"/>
          <w:b/>
          <w:szCs w:val="21"/>
        </w:rPr>
        <w:t>竞争性磋商响应文件</w:t>
      </w:r>
      <w:r>
        <w:rPr>
          <w:rFonts w:hint="eastAsia" w:asciiTheme="minorEastAsia" w:hAnsiTheme="minorEastAsia" w:eastAsiaTheme="minorEastAsia" w:cstheme="minorEastAsia"/>
          <w:b/>
          <w:snapToGrid w:val="0"/>
          <w:kern w:val="0"/>
          <w:szCs w:val="21"/>
          <w:lang w:val="zh-CN"/>
        </w:rPr>
        <w:t>的密封和标记</w:t>
      </w:r>
      <w:bookmarkEnd w:id="68"/>
      <w:bookmarkEnd w:id="69"/>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响应文件的正本、所有副本和电子文档必须密封，</w:t>
      </w:r>
      <w:r>
        <w:rPr>
          <w:rFonts w:hint="eastAsia" w:asciiTheme="minorEastAsia" w:hAnsiTheme="minorEastAsia" w:eastAsiaTheme="minorEastAsia" w:cstheme="minorEastAsia"/>
          <w:snapToGrid w:val="0"/>
          <w:kern w:val="0"/>
          <w:szCs w:val="21"/>
        </w:rPr>
        <w:t>并在每一页以及骑缝处</w:t>
      </w:r>
      <w:r>
        <w:rPr>
          <w:rFonts w:hint="eastAsia" w:asciiTheme="minorEastAsia" w:hAnsiTheme="minorEastAsia" w:eastAsiaTheme="minorEastAsia" w:cstheme="minorEastAsia"/>
          <w:snapToGrid w:val="0"/>
          <w:kern w:val="0"/>
          <w:szCs w:val="21"/>
          <w:lang w:val="zh-CN"/>
        </w:rPr>
        <w:t>加盖供应商公章</w:t>
      </w:r>
      <w:r>
        <w:rPr>
          <w:rFonts w:hint="eastAsia" w:asciiTheme="minorEastAsia" w:hAnsiTheme="minorEastAsia" w:eastAsiaTheme="minorEastAsia" w:cstheme="minorEastAsia"/>
          <w:snapToGrid w:val="0"/>
          <w:kern w:val="0"/>
          <w:szCs w:val="21"/>
        </w:rPr>
        <w:t>后</w:t>
      </w:r>
      <w:r>
        <w:rPr>
          <w:rFonts w:hint="eastAsia" w:asciiTheme="minorEastAsia" w:hAnsiTheme="minorEastAsia" w:eastAsiaTheme="minorEastAsia" w:cstheme="minorEastAsia"/>
          <w:snapToGrid w:val="0"/>
          <w:kern w:val="0"/>
          <w:szCs w:val="21"/>
          <w:lang w:val="zh-CN"/>
        </w:rPr>
        <w:t>递交，包装上应注明</w:t>
      </w:r>
      <w:r>
        <w:rPr>
          <w:rFonts w:hint="eastAsia" w:asciiTheme="minorEastAsia" w:hAnsiTheme="minorEastAsia" w:eastAsiaTheme="minorEastAsia" w:cstheme="minorEastAsia"/>
          <w:snapToGrid w:val="0"/>
          <w:kern w:val="0"/>
          <w:szCs w:val="21"/>
        </w:rPr>
        <w:t>项目</w:t>
      </w:r>
      <w:r>
        <w:rPr>
          <w:rFonts w:hint="eastAsia" w:asciiTheme="minorEastAsia" w:hAnsiTheme="minorEastAsia" w:eastAsiaTheme="minorEastAsia" w:cstheme="minorEastAsia"/>
          <w:snapToGrid w:val="0"/>
          <w:kern w:val="0"/>
          <w:szCs w:val="21"/>
          <w:lang w:val="zh-CN"/>
        </w:rPr>
        <w:t>编号、项目名称、包号、供应商名称及“</w:t>
      </w:r>
      <w:r>
        <w:rPr>
          <w:rFonts w:hint="eastAsia" w:asciiTheme="minorEastAsia" w:hAnsiTheme="minorEastAsia" w:eastAsiaTheme="minorEastAsia" w:cstheme="minorEastAsia"/>
          <w:snapToGrid w:val="0"/>
          <w:kern w:val="0"/>
          <w:szCs w:val="21"/>
          <w:u w:val="single"/>
          <w:lang w:val="zh-CN"/>
        </w:rPr>
        <w:t xml:space="preserve">  （磋商</w:t>
      </w:r>
      <w:r>
        <w:rPr>
          <w:rFonts w:hint="eastAsia" w:asciiTheme="minorEastAsia" w:hAnsiTheme="minorEastAsia" w:eastAsiaTheme="minorEastAsia" w:cstheme="minorEastAsia"/>
          <w:snapToGrid w:val="0"/>
          <w:kern w:val="0"/>
          <w:szCs w:val="21"/>
          <w:u w:val="single"/>
        </w:rPr>
        <w:t>截止</w:t>
      </w:r>
      <w:r>
        <w:rPr>
          <w:rFonts w:hint="eastAsia" w:asciiTheme="minorEastAsia" w:hAnsiTheme="minorEastAsia" w:eastAsiaTheme="minorEastAsia" w:cstheme="minorEastAsia"/>
          <w:snapToGrid w:val="0"/>
          <w:kern w:val="0"/>
          <w:szCs w:val="21"/>
          <w:u w:val="single"/>
          <w:lang w:val="zh-CN"/>
        </w:rPr>
        <w:t>时间）  前</w:t>
      </w:r>
      <w:r>
        <w:rPr>
          <w:rFonts w:hint="eastAsia" w:asciiTheme="minorEastAsia" w:hAnsiTheme="minorEastAsia" w:eastAsiaTheme="minorEastAsia" w:cstheme="minorEastAsia"/>
          <w:snapToGrid w:val="0"/>
          <w:kern w:val="0"/>
          <w:szCs w:val="21"/>
          <w:lang w:val="zh-CN"/>
        </w:rPr>
        <w:t>不得启封”的字样。</w:t>
      </w:r>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未按要求密封和加写标记的响应文件为无效文件，采购人、采购代理机构将拒收。</w:t>
      </w:r>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要求在磋商时提交样品的，是否在样品上标明磋商供应商名称，有关提交及退还样品的相关规定。见《供应商须知前附表》。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0" w:name="_Toc17857"/>
      <w:bookmarkStart w:id="71" w:name="_Toc28372"/>
      <w:r>
        <w:rPr>
          <w:rFonts w:hint="eastAsia" w:asciiTheme="minorEastAsia" w:hAnsiTheme="minorEastAsia" w:eastAsiaTheme="minorEastAsia" w:cstheme="minorEastAsia"/>
          <w:b/>
          <w:snapToGrid w:val="0"/>
          <w:kern w:val="0"/>
          <w:szCs w:val="21"/>
          <w:lang w:val="zh-CN"/>
        </w:rPr>
        <w:t>竞争性磋商响应文件的送达地点及截止时间</w:t>
      </w:r>
      <w:bookmarkEnd w:id="70"/>
      <w:bookmarkEnd w:id="71"/>
    </w:p>
    <w:p>
      <w:pPr>
        <w:autoSpaceDE w:val="0"/>
        <w:autoSpaceDN w:val="0"/>
        <w:adjustRightInd w:val="0"/>
        <w:spacing w:line="360" w:lineRule="auto"/>
        <w:ind w:left="539" w:hanging="539"/>
        <w:jc w:val="left"/>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b/>
          <w:snapToGrid w:val="0"/>
          <w:kern w:val="0"/>
          <w:szCs w:val="21"/>
          <w:lang w:val="zh-CN"/>
        </w:rPr>
        <w:t>20.1</w:t>
      </w:r>
      <w:r>
        <w:rPr>
          <w:rFonts w:hint="eastAsia" w:asciiTheme="minorEastAsia" w:hAnsiTheme="minorEastAsia" w:eastAsiaTheme="minorEastAsia" w:cstheme="minorEastAsia"/>
          <w:b/>
          <w:snapToGrid w:val="0"/>
          <w:kern w:val="0"/>
          <w:szCs w:val="21"/>
        </w:rPr>
        <w:t xml:space="preserve"> </w:t>
      </w:r>
      <w:r>
        <w:rPr>
          <w:rFonts w:hint="eastAsia" w:asciiTheme="minorEastAsia" w:hAnsiTheme="minorEastAsia" w:eastAsiaTheme="minorEastAsia" w:cstheme="minorEastAsia"/>
          <w:snapToGrid w:val="0"/>
          <w:kern w:val="0"/>
          <w:szCs w:val="21"/>
          <w:lang w:val="zh-CN"/>
        </w:rPr>
        <w:t>截止时间是</w:t>
      </w:r>
      <w:r>
        <w:rPr>
          <w:rFonts w:hint="eastAsia" w:asciiTheme="minorEastAsia" w:hAnsiTheme="minorEastAsia" w:eastAsiaTheme="minorEastAsia" w:cstheme="minorEastAsia"/>
          <w:b/>
          <w:snapToGrid w:val="0"/>
          <w:kern w:val="0"/>
          <w:szCs w:val="21"/>
          <w:lang w:val="zh-CN"/>
        </w:rPr>
        <w:t>竞争性磋商文件</w:t>
      </w:r>
      <w:r>
        <w:rPr>
          <w:rFonts w:hint="eastAsia" w:asciiTheme="minorEastAsia" w:hAnsiTheme="minorEastAsia" w:eastAsiaTheme="minorEastAsia" w:cstheme="minorEastAsia"/>
          <w:snapToGrid w:val="0"/>
          <w:kern w:val="0"/>
          <w:szCs w:val="21"/>
          <w:lang w:val="zh-CN"/>
        </w:rPr>
        <w:t>中规定的首次送达、提交响应文件的最后时间。本次磋商响应文件的送达地点及截止时间见《供应商须知前附表》。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2" w:name="_Toc863"/>
      <w:bookmarkStart w:id="73" w:name="_Toc31376"/>
      <w:r>
        <w:rPr>
          <w:rFonts w:hint="eastAsia" w:asciiTheme="minorEastAsia" w:hAnsiTheme="minorEastAsia" w:eastAsiaTheme="minorEastAsia" w:cstheme="minorEastAsia"/>
          <w:b/>
          <w:snapToGrid w:val="0"/>
          <w:kern w:val="0"/>
          <w:szCs w:val="21"/>
          <w:lang w:val="zh-CN"/>
        </w:rPr>
        <w:t>迟交的竞争性磋商响应文件</w:t>
      </w:r>
      <w:bookmarkEnd w:id="72"/>
      <w:bookmarkEnd w:id="73"/>
    </w:p>
    <w:p>
      <w:pPr>
        <w:numPr>
          <w:ilvl w:val="1"/>
          <w:numId w:val="31"/>
        </w:numPr>
        <w:tabs>
          <w:tab w:val="left" w:pos="540"/>
          <w:tab w:val="clear" w:pos="48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在本次磋商递交响应文件的截止时间以后送达的响应文件，不论何种原因，采购代理机构将拒收。</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4" w:name="_Toc31760"/>
      <w:bookmarkStart w:id="75" w:name="_Toc32091"/>
      <w:r>
        <w:rPr>
          <w:rFonts w:hint="eastAsia" w:asciiTheme="minorEastAsia" w:hAnsiTheme="minorEastAsia" w:eastAsiaTheme="minorEastAsia" w:cstheme="minorEastAsia"/>
          <w:b/>
          <w:snapToGrid w:val="0"/>
          <w:kern w:val="0"/>
          <w:szCs w:val="21"/>
          <w:lang w:val="zh-CN"/>
        </w:rPr>
        <w:t>竞争性磋商响应文件的补充、修改或者撤回</w:t>
      </w:r>
      <w:bookmarkEnd w:id="74"/>
      <w:bookmarkEnd w:id="75"/>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响应文件截止时间前，供应商可以对</w:t>
      </w:r>
      <w:r>
        <w:rPr>
          <w:rFonts w:hint="eastAsia" w:asciiTheme="minorEastAsia" w:hAnsiTheme="minorEastAsia" w:eastAsiaTheme="minorEastAsia" w:cstheme="minorEastAsia"/>
          <w:snapToGrid w:val="0"/>
          <w:kern w:val="0"/>
          <w:szCs w:val="21"/>
        </w:rPr>
        <w:t>已</w:t>
      </w:r>
      <w:r>
        <w:rPr>
          <w:rFonts w:hint="eastAsia" w:asciiTheme="minorEastAsia" w:hAnsiTheme="minorEastAsia" w:eastAsiaTheme="minorEastAsia" w:cstheme="minorEastAsia"/>
          <w:snapToGrid w:val="0"/>
          <w:kern w:val="0"/>
          <w:szCs w:val="21"/>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从</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响应文件截止时间至磋商有效期期满这段时间，供应商不得修改或</w:t>
      </w:r>
      <w:r>
        <w:rPr>
          <w:rFonts w:hint="eastAsia" w:asciiTheme="minorEastAsia" w:hAnsiTheme="minorEastAsia" w:eastAsiaTheme="minorEastAsia" w:cstheme="minorEastAsia"/>
          <w:snapToGrid w:val="0"/>
          <w:kern w:val="0"/>
          <w:szCs w:val="21"/>
        </w:rPr>
        <w:t>撤销</w:t>
      </w:r>
      <w:r>
        <w:rPr>
          <w:rFonts w:hint="eastAsia" w:asciiTheme="minorEastAsia" w:hAnsiTheme="minorEastAsia" w:eastAsiaTheme="minorEastAsia" w:cstheme="minorEastAsia"/>
          <w:snapToGrid w:val="0"/>
          <w:kern w:val="0"/>
          <w:szCs w:val="21"/>
          <w:lang w:val="zh-CN"/>
        </w:rPr>
        <w:t>其响应文件，否则其磋商保证金将不予以退还。</w:t>
      </w:r>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供应商所提交的响应文件在磋商结束后，无论成交与否都不退还。</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76" w:name="_Toc29375"/>
      <w:r>
        <w:rPr>
          <w:rFonts w:hint="eastAsia" w:asciiTheme="minorEastAsia" w:hAnsiTheme="minorEastAsia" w:eastAsiaTheme="minorEastAsia" w:cstheme="minorEastAsia"/>
          <w:b/>
          <w:szCs w:val="21"/>
        </w:rPr>
        <w:t>磋商程序及步骤</w:t>
      </w:r>
      <w:bookmarkEnd w:id="76"/>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7" w:name="_Toc2550"/>
      <w:bookmarkStart w:id="78" w:name="_Toc22624"/>
      <w:r>
        <w:rPr>
          <w:rFonts w:hint="eastAsia" w:asciiTheme="minorEastAsia" w:hAnsiTheme="minorEastAsia" w:eastAsiaTheme="minorEastAsia" w:cstheme="minorEastAsia"/>
          <w:b/>
        </w:rPr>
        <w:t>竞争性磋商小组</w:t>
      </w:r>
      <w:bookmarkEnd w:id="77"/>
      <w:bookmarkEnd w:id="78"/>
    </w:p>
    <w:p>
      <w:pPr>
        <w:tabs>
          <w:tab w:val="left" w:pos="540"/>
        </w:tabs>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bCs/>
          <w:szCs w:val="21"/>
        </w:rPr>
        <w:t>23.1 采购人</w:t>
      </w:r>
      <w:r>
        <w:rPr>
          <w:rFonts w:hint="eastAsia" w:asciiTheme="minorEastAsia" w:hAnsiTheme="minorEastAsia" w:eastAsiaTheme="minorEastAsia" w:cstheme="minorEastAsia"/>
        </w:rPr>
        <w:t>依照《中华人民共和国政府采购法》、《中华人民共和国政府采购法实施条例》、《政府采购竞争性磋商采购方式管理暂行办法》及现行法律规定组建磋商小组</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磋商小组由采购人代表和评审专家共3人或3人以上单数组成</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磋商小组人数详见《供应商须知前附表》。</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23.2 磋商小组中的评审专家人数不少于磋商小组成员总数的2/3。除本采购文件另有规定，评审专家将从政府采购评审专家库中随机抽取。 </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23.3 磋商小组所有成员按事先抽取的磋商顺序，集中与单一供应商分别进行磋商，并给予所有参加磋商的供应商平等的磋商机会。</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9" w:name="_Toc14809"/>
      <w:bookmarkStart w:id="80" w:name="_Toc21483"/>
      <w:r>
        <w:rPr>
          <w:rFonts w:hint="eastAsia" w:asciiTheme="minorEastAsia" w:hAnsiTheme="minorEastAsia" w:eastAsiaTheme="minorEastAsia" w:cstheme="minorEastAsia"/>
          <w:b/>
        </w:rPr>
        <w:t>磋商代表</w:t>
      </w:r>
      <w:bookmarkEnd w:id="79"/>
      <w:bookmarkEnd w:id="80"/>
    </w:p>
    <w:p>
      <w:pPr>
        <w:tabs>
          <w:tab w:val="left" w:pos="864"/>
          <w:tab w:val="left" w:pos="1080"/>
        </w:tabs>
        <w:spacing w:line="360" w:lineRule="auto"/>
        <w:ind w:left="539" w:hanging="539"/>
        <w:jc w:val="left"/>
        <w:rPr>
          <w:rFonts w:asciiTheme="minorEastAsia" w:hAnsiTheme="minorEastAsia" w:eastAsiaTheme="minorEastAsia" w:cstheme="minorEastAsia"/>
          <w:szCs w:val="21"/>
        </w:rPr>
      </w:pPr>
      <w:bookmarkStart w:id="81" w:name="_Toc32662"/>
      <w:bookmarkStart w:id="82" w:name="_Toc9967"/>
      <w:r>
        <w:rPr>
          <w:rFonts w:hint="eastAsia" w:asciiTheme="minorEastAsia" w:hAnsiTheme="minorEastAsia" w:eastAsiaTheme="minorEastAsia" w:cstheme="minorEastAsia"/>
          <w:b/>
        </w:rPr>
        <w:t xml:space="preserve">24.1 </w:t>
      </w:r>
      <w:r>
        <w:rPr>
          <w:rFonts w:hint="eastAsia" w:asciiTheme="minorEastAsia" w:hAnsiTheme="minorEastAsia" w:eastAsiaTheme="minorEastAsia" w:cstheme="minorEastAsia"/>
          <w:szCs w:val="21"/>
        </w:rPr>
        <w:t>磋商供应商法定代表人或授权代表应携带本人身份证明参加磋商，授权代表参加磋商的，还应携带法定代表人授权书原件。磋商代表经磋商小组核对身份后，方可参加磋商。</w:t>
      </w:r>
      <w:bookmarkEnd w:id="81"/>
      <w:bookmarkEnd w:id="82"/>
      <w:r>
        <w:rPr>
          <w:rFonts w:hint="eastAsia" w:asciiTheme="minorEastAsia" w:hAnsiTheme="minorEastAsia" w:eastAsiaTheme="minorEastAsia" w:cstheme="minorEastAsia"/>
          <w:szCs w:val="21"/>
        </w:rPr>
        <w:t>磋商代表的其他要求见《供应商须知前附表》。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rPr>
      </w:pPr>
      <w:bookmarkStart w:id="83" w:name="_Toc30347"/>
      <w:r>
        <w:rPr>
          <w:rFonts w:hint="eastAsia" w:asciiTheme="minorEastAsia" w:hAnsiTheme="minorEastAsia" w:eastAsiaTheme="minorEastAsia" w:cstheme="minorEastAsia"/>
          <w:b/>
        </w:rPr>
        <w:t>资格审查和符合性审查</w:t>
      </w:r>
      <w:bookmarkEnd w:id="83"/>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25.1在正式磋商前，本磋商文件第四章规定的程序和方法，对供应商进行资格性审查和符合性审查，通过资格性审查和符合性审查，实质性响应磋商文件的供应商方可进入磋商程序。</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rPr>
      </w:pPr>
      <w:bookmarkStart w:id="84" w:name="_Toc5263"/>
      <w:r>
        <w:rPr>
          <w:rFonts w:hint="eastAsia" w:asciiTheme="minorEastAsia" w:hAnsiTheme="minorEastAsia" w:eastAsiaTheme="minorEastAsia" w:cstheme="minorEastAsia"/>
          <w:b/>
        </w:rPr>
        <w:t>磋商</w:t>
      </w:r>
      <w:bookmarkEnd w:id="84"/>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szCs w:val="21"/>
        </w:rPr>
        <w:t>26.1磋商小组将根据本磋商文件第四章规定的程序和方法与供应商进行磋商。在磋商中，磋商的任何一方不得透露与磋商有关的其他磋商供应商的技</w:t>
      </w:r>
      <w:r>
        <w:rPr>
          <w:rFonts w:hint="eastAsia" w:asciiTheme="minorEastAsia" w:hAnsiTheme="minorEastAsia" w:eastAsiaTheme="minorEastAsia" w:cstheme="minorEastAsia"/>
        </w:rPr>
        <w:t>术资料、价格和其他信息。</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26.2在磋商过程中，磋商小组可以根据磋商文件和磋商情况实质性变动采购需求中的技术、服务要求以及合同草案条款，但不得变动磋商文件中的其他内容。实质性变动的内容，须经采购人代表确认。对磋商文件做出的实质性变动是磋商文件的有效组成部分，磋商小组将以书面形式同时通知所有磋商供应商，</w:t>
      </w:r>
      <w:r>
        <w:rPr>
          <w:rFonts w:hint="eastAsia" w:asciiTheme="minorEastAsia" w:hAnsiTheme="minorEastAsia" w:eastAsiaTheme="minorEastAsia" w:cstheme="minorEastAsia"/>
          <w:szCs w:val="21"/>
        </w:rPr>
        <w:t>并提供必要的修正时间。</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26.3供应商应当按照磋商文件的变动情况和磋商小组的要求重新提交响应文件，</w:t>
      </w:r>
      <w:r>
        <w:rPr>
          <w:rFonts w:hint="eastAsia" w:asciiTheme="minorEastAsia" w:hAnsiTheme="minorEastAsia" w:eastAsiaTheme="minorEastAsia" w:cstheme="minorEastAsia"/>
          <w:szCs w:val="21"/>
        </w:rPr>
        <w:t>对原响应文件进行技术、商务、价格修正，重新提交的响应文件应实质性响应本磋商文件及</w:t>
      </w:r>
      <w:r>
        <w:rPr>
          <w:rFonts w:hint="eastAsia" w:asciiTheme="minorEastAsia" w:hAnsiTheme="minorEastAsia" w:eastAsiaTheme="minorEastAsia" w:cstheme="minorEastAsia"/>
        </w:rPr>
        <w:t>对磋商文件作出的实质性变动，</w:t>
      </w:r>
      <w:r>
        <w:rPr>
          <w:rFonts w:hint="eastAsia" w:asciiTheme="minorEastAsia" w:hAnsiTheme="minorEastAsia" w:eastAsiaTheme="minorEastAsia" w:cstheme="minorEastAsia"/>
          <w:szCs w:val="21"/>
        </w:rPr>
        <w:t>并按本采购文件的规定进行签署。重新提交的响应文件与原响应文件不一致的，以重新提交的响应文件为准。不按要求签署或逾时不提交响应文件的，视同放弃磋商，放弃磋商的</w:t>
      </w:r>
      <w:r>
        <w:rPr>
          <w:rFonts w:hint="eastAsia" w:asciiTheme="minorEastAsia" w:hAnsiTheme="minorEastAsia" w:eastAsiaTheme="minorEastAsia" w:cstheme="minorEastAsia"/>
        </w:rPr>
        <w:t>供应商的磋商保证金将在成交通知书发放后的五个工作日内退还。</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  竞标报价有算术错误的，磋商小组按照以下原则对磋商报价进行修正，修正的价格经供应商书面确认后具有约束力。供应商不接受修正价格的，磋商小组应当否决其竞标。</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（1）响应文件中的大写金额与小写金额不一致的，以大写金额为准；</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（2）总价金额与根据单价计算出的结果不一致的，以单价金额为准修正总价，但单价金额小数点有明显错误的除外。</w:t>
      </w:r>
    </w:p>
    <w:p>
      <w:pPr>
        <w:tabs>
          <w:tab w:val="left" w:pos="540"/>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26.5最后报价</w:t>
      </w:r>
    </w:p>
    <w:p>
      <w:pPr>
        <w:spacing w:line="360" w:lineRule="auto"/>
        <w:ind w:left="420" w:leftChars="200" w:firstLine="115" w:firstLineChars="55"/>
        <w:jc w:val="left"/>
        <w:rPr>
          <w:rFonts w:asciiTheme="minorEastAsia" w:hAnsiTheme="minorEastAsia" w:eastAsiaTheme="minorEastAsia" w:cstheme="minorEastAsia"/>
        </w:rPr>
      </w:pPr>
      <w:r>
        <w:rPr>
          <w:rFonts w:hint="eastAsia" w:asciiTheme="minorEastAsia" w:hAnsiTheme="minorEastAsia" w:eastAsiaTheme="minorEastAsia" w:cstheme="minorEastAsia"/>
          <w:bCs/>
          <w:kern w:val="44"/>
          <w:szCs w:val="21"/>
        </w:rPr>
        <w:t>采购代理机构将已确定条件的最后报价书发放至所有磋商供应商，要求磋商供应商在指定的时间内提交满足要求的最后报价，密封递交磋商小组。所有磋商供应商递交最后报价后，磋商小组将记录所有磋商供应商的最终价格。</w:t>
      </w:r>
      <w:r>
        <w:rPr>
          <w:rFonts w:hint="eastAsia" w:asciiTheme="minorEastAsia" w:hAnsiTheme="minorEastAsia" w:eastAsiaTheme="minorEastAsia" w:cstheme="minorEastAsia"/>
        </w:rPr>
        <w:t>最后报价为本次竞争性磋商不可变动的最终价格。</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磋商文件能够详细列明采购标的的技术、服务要求的，磋商结束后，磋商小组应当要求所有继续参加磋商的供应商在规定时间内提交最后报价，提交最后报价的供应商不得少于3家。</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本采购项目提交最后报价供应商的确定方式详见《供应商须知前附表》。</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26.6</w:t>
      </w:r>
      <w:r>
        <w:rPr>
          <w:rFonts w:hint="eastAsia" w:asciiTheme="minorEastAsia" w:hAnsiTheme="minorEastAsia" w:eastAsiaTheme="minorEastAsia" w:cstheme="minorEastAsia"/>
          <w:bCs/>
          <w:kern w:val="44"/>
          <w:szCs w:val="21"/>
        </w:rPr>
        <w:t>如有需要，磋商小组可进行多轮磋商，直至最终确定竞争性磋商采购文件采购需求中的技术、服务要求以及合同草案条款。如竞争性磋商采购文件无需修改，可直接要求磋商供应商</w:t>
      </w:r>
      <w:r>
        <w:rPr>
          <w:rFonts w:hint="eastAsia" w:asciiTheme="minorEastAsia" w:hAnsiTheme="minorEastAsia" w:eastAsiaTheme="minorEastAsia" w:cstheme="minorEastAsia"/>
        </w:rPr>
        <w:t>提交最后报价</w:t>
      </w:r>
      <w:r>
        <w:rPr>
          <w:rFonts w:hint="eastAsia" w:asciiTheme="minorEastAsia" w:hAnsiTheme="minorEastAsia" w:eastAsiaTheme="minorEastAsia" w:cstheme="minorEastAsia"/>
          <w:bCs/>
          <w:kern w:val="44"/>
          <w:szCs w:val="21"/>
        </w:rPr>
        <w:t>。</w:t>
      </w:r>
    </w:p>
    <w:p>
      <w:pPr>
        <w:spacing w:line="360" w:lineRule="auto"/>
        <w:ind w:left="539" w:hanging="539"/>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rPr>
        <w:t>26.7</w:t>
      </w:r>
      <w:r>
        <w:rPr>
          <w:rFonts w:hint="eastAsia" w:asciiTheme="minorEastAsia" w:hAnsiTheme="minorEastAsia" w:eastAsiaTheme="minorEastAsia" w:cstheme="minorEastAsia"/>
          <w:bCs/>
          <w:kern w:val="44"/>
          <w:szCs w:val="21"/>
        </w:rPr>
        <w:t xml:space="preserve"> 磋商小组审核完最终报价后，根据竞争性磋商采购文件规定的评定办法推荐成交候选人或根据采购人的书面授权直接确定成交供应商。</w:t>
      </w:r>
    </w:p>
    <w:p>
      <w:pPr>
        <w:spacing w:line="360" w:lineRule="auto"/>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26.8采购代理机构对磋商过程和重要磋商内容进行记录，磋商双方在记录上签字确认。</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5" w:name="_Toc21157"/>
      <w:r>
        <w:rPr>
          <w:rFonts w:hint="eastAsia" w:asciiTheme="minorEastAsia" w:hAnsiTheme="minorEastAsia" w:eastAsiaTheme="minorEastAsia" w:cstheme="minorEastAsia"/>
          <w:b/>
          <w:lang w:val="zh-CN"/>
        </w:rPr>
        <w:t>保密</w:t>
      </w:r>
      <w:bookmarkEnd w:id="85"/>
    </w:p>
    <w:p>
      <w:pPr>
        <w:numPr>
          <w:ilvl w:val="1"/>
          <w:numId w:val="33"/>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凡是属于审查、澄清、评价和比较的有关资料以及授标意向等，采购人、采购代理机构、监管人员、</w:t>
      </w:r>
      <w:r>
        <w:rPr>
          <w:rFonts w:hint="eastAsia" w:asciiTheme="minorEastAsia" w:hAnsiTheme="minorEastAsia" w:eastAsiaTheme="minorEastAsia" w:cstheme="minorEastAsia"/>
          <w:bCs/>
          <w:kern w:val="44"/>
          <w:szCs w:val="21"/>
        </w:rPr>
        <w:t>磋商小组</w:t>
      </w:r>
      <w:r>
        <w:rPr>
          <w:rFonts w:hint="eastAsia" w:asciiTheme="minorEastAsia" w:hAnsiTheme="minorEastAsia" w:eastAsiaTheme="minorEastAsia" w:cstheme="minorEastAsia"/>
          <w:snapToGrid w:val="0"/>
          <w:kern w:val="0"/>
          <w:szCs w:val="21"/>
          <w:lang w:val="zh-CN"/>
        </w:rPr>
        <w:t>及有关工作人员均不得向供应商或其它无关的人员透露。</w:t>
      </w:r>
    </w:p>
    <w:p>
      <w:pPr>
        <w:numPr>
          <w:ilvl w:val="1"/>
          <w:numId w:val="33"/>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w:t>
      </w:r>
      <w:r>
        <w:rPr>
          <w:rFonts w:hint="eastAsia" w:asciiTheme="minorEastAsia" w:hAnsiTheme="minorEastAsia" w:eastAsiaTheme="minorEastAsia" w:cstheme="minorEastAsia"/>
          <w:snapToGrid w:val="0"/>
          <w:kern w:val="0"/>
          <w:szCs w:val="21"/>
        </w:rPr>
        <w:t>四</w:t>
      </w:r>
      <w:r>
        <w:rPr>
          <w:rFonts w:hint="eastAsia" w:asciiTheme="minorEastAsia" w:hAnsiTheme="minorEastAsia" w:eastAsiaTheme="minorEastAsia" w:cstheme="minorEastAsia"/>
          <w:snapToGrid w:val="0"/>
          <w:kern w:val="0"/>
          <w:szCs w:val="21"/>
          <w:lang w:val="zh-CN"/>
        </w:rPr>
        <w:t>章“</w:t>
      </w:r>
      <w:r>
        <w:rPr>
          <w:rFonts w:hint="eastAsia" w:asciiTheme="minorEastAsia" w:hAnsiTheme="minorEastAsia" w:eastAsiaTheme="minorEastAsia" w:cstheme="minorEastAsia"/>
          <w:snapToGrid w:val="0"/>
          <w:kern w:val="0"/>
          <w:szCs w:val="21"/>
        </w:rPr>
        <w:t>评定办法</w:t>
      </w:r>
      <w:r>
        <w:rPr>
          <w:rFonts w:hint="eastAsia" w:asciiTheme="minorEastAsia" w:hAnsiTheme="minorEastAsia" w:eastAsiaTheme="minorEastAsia" w:cstheme="minorEastAsia"/>
          <w:snapToGrid w:val="0"/>
          <w:kern w:val="0"/>
          <w:szCs w:val="21"/>
          <w:lang w:val="zh-CN"/>
        </w:rPr>
        <w:t>”。</w:t>
      </w:r>
    </w:p>
    <w:p>
      <w:pPr>
        <w:numPr>
          <w:ilvl w:val="1"/>
          <w:numId w:val="33"/>
        </w:numPr>
        <w:autoSpaceDE w:val="0"/>
        <w:autoSpaceDN w:val="0"/>
        <w:adjustRightInd w:val="0"/>
        <w:spacing w:line="360" w:lineRule="auto"/>
        <w:jc w:val="left"/>
        <w:rPr>
          <w:lang w:val="zh-CN"/>
        </w:rPr>
      </w:pPr>
      <w:r>
        <w:rPr>
          <w:rFonts w:hint="eastAsia" w:asciiTheme="minorEastAsia" w:hAnsiTheme="minorEastAsia" w:eastAsiaTheme="minorEastAsia" w:cstheme="minorEastAsia"/>
          <w:snapToGrid w:val="0"/>
          <w:kern w:val="0"/>
          <w:szCs w:val="21"/>
          <w:lang w:val="zh-CN"/>
        </w:rPr>
        <w:t>磋商小组根据综合评分情况，按照评审得分由高到低的顺序及《供应商须知前附表》规定的数量推荐成交候选供应商，并编写评审报告。评审报告应当有磋商小组全体成员签字认可。</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86" w:name="_Toc15936"/>
      <w:bookmarkStart w:id="87" w:name="_Toc21170"/>
      <w:r>
        <w:rPr>
          <w:rFonts w:hint="eastAsia" w:asciiTheme="minorEastAsia" w:hAnsiTheme="minorEastAsia" w:eastAsiaTheme="minorEastAsia" w:cstheme="minorEastAsia"/>
          <w:b/>
          <w:szCs w:val="21"/>
        </w:rPr>
        <w:t>成交与签订合同</w:t>
      </w:r>
      <w:bookmarkEnd w:id="86"/>
      <w:bookmarkEnd w:id="87"/>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8" w:name="_Toc21514"/>
      <w:bookmarkStart w:id="89" w:name="_Toc23443"/>
      <w:r>
        <w:rPr>
          <w:rFonts w:hint="eastAsia" w:asciiTheme="minorEastAsia" w:hAnsiTheme="minorEastAsia" w:eastAsiaTheme="minorEastAsia" w:cstheme="minorEastAsia"/>
          <w:b/>
          <w:lang w:val="zh-CN"/>
        </w:rPr>
        <w:t>合同授予标准</w:t>
      </w:r>
      <w:bookmarkEnd w:id="88"/>
      <w:bookmarkEnd w:id="89"/>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28.1</w:t>
      </w:r>
      <w:r>
        <w:rPr>
          <w:rFonts w:hint="eastAsia" w:asciiTheme="minorEastAsia" w:hAnsiTheme="minorEastAsia" w:eastAsiaTheme="minorEastAsia" w:cstheme="minorEastAsia"/>
          <w:iCs/>
          <w:snapToGrid w:val="0"/>
          <w:kern w:val="0"/>
          <w:szCs w:val="21"/>
        </w:rPr>
        <w:t xml:space="preserve">  </w:t>
      </w:r>
      <w:r>
        <w:rPr>
          <w:rFonts w:hint="eastAsia" w:asciiTheme="minorEastAsia" w:hAnsiTheme="minorEastAsia" w:eastAsiaTheme="minorEastAsia" w:cstheme="minorEastAsia"/>
          <w:iCs/>
          <w:snapToGrid w:val="0"/>
          <w:kern w:val="0"/>
          <w:szCs w:val="21"/>
          <w:lang w:val="zh-CN"/>
        </w:rPr>
        <w:t>采购人将把合同授予排名</w:t>
      </w:r>
      <w:r>
        <w:rPr>
          <w:rFonts w:hint="eastAsia" w:asciiTheme="minorEastAsia" w:hAnsiTheme="minorEastAsia" w:eastAsiaTheme="minorEastAsia" w:cstheme="minorEastAsia"/>
          <w:iCs/>
          <w:snapToGrid w:val="0"/>
          <w:kern w:val="0"/>
          <w:szCs w:val="21"/>
        </w:rPr>
        <w:t>推荐数量</w:t>
      </w:r>
      <w:r>
        <w:rPr>
          <w:rFonts w:hint="eastAsia" w:asciiTheme="minorEastAsia" w:hAnsiTheme="minorEastAsia" w:eastAsiaTheme="minorEastAsia" w:cstheme="minorEastAsia"/>
          <w:iCs/>
          <w:snapToGrid w:val="0"/>
          <w:kern w:val="0"/>
          <w:szCs w:val="21"/>
          <w:lang w:val="zh-CN"/>
        </w:rPr>
        <w:t>的供应商，特殊情况按本须知29.3的规定执行。</w:t>
      </w:r>
    </w:p>
    <w:p>
      <w:pPr>
        <w:spacing w:line="360" w:lineRule="auto"/>
        <w:ind w:left="630" w:hanging="630" w:hangingChars="300"/>
        <w:jc w:val="left"/>
        <w:rPr>
          <w:rFonts w:ascii="宋体" w:hAnsi="宋体" w:cs="宋体"/>
          <w:szCs w:val="21"/>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2  </w:t>
      </w:r>
      <w:r>
        <w:rPr>
          <w:rFonts w:hint="eastAsia" w:asciiTheme="minorEastAsia" w:hAnsiTheme="minorEastAsia" w:eastAsiaTheme="minorEastAsia" w:cstheme="minorEastAsia"/>
          <w:iCs/>
          <w:snapToGrid w:val="0"/>
          <w:kern w:val="0"/>
          <w:szCs w:val="21"/>
          <w:lang w:val="zh-CN"/>
        </w:rPr>
        <w:t>采购代理机构应当在评审结束后2个工作日内将评审报告送采购人确认。</w:t>
      </w:r>
      <w:r>
        <w:rPr>
          <w:rFonts w:ascii="宋体" w:hAnsi="宋体" w:cs="宋体"/>
          <w:szCs w:val="21"/>
        </w:rPr>
        <w:t xml:space="preserve">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3  </w:t>
      </w:r>
      <w:r>
        <w:rPr>
          <w:rFonts w:hint="eastAsia" w:asciiTheme="minorEastAsia" w:hAnsiTheme="minorEastAsia" w:eastAsiaTheme="minorEastAsia" w:cstheme="minorEastAsia"/>
          <w:snapToGrid w:val="0"/>
          <w:kern w:val="0"/>
          <w:szCs w:val="21"/>
          <w:lang w:val="zh-CN"/>
        </w:rPr>
        <w:t xml:space="preserve">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4  </w:t>
      </w:r>
      <w:r>
        <w:rPr>
          <w:rFonts w:hint="eastAsia" w:asciiTheme="minorEastAsia" w:hAnsiTheme="minorEastAsia" w:eastAsiaTheme="minorEastAsia" w:cstheme="minorEastAsia"/>
          <w:iCs/>
          <w:snapToGrid w:val="0"/>
          <w:kern w:val="0"/>
          <w:szCs w:val="21"/>
          <w:lang w:val="zh-CN"/>
        </w:rPr>
        <w:t xml:space="preserve">采购人或者采购代理机构应当在成交供应商确定后2个工作日内，在省级以上财政部门指定的政府采购信息发布媒体上公告成交结果，同时向成交供应商发出成交通知书，并将磋商文件随成交结果同时公告。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5  </w:t>
      </w:r>
      <w:r>
        <w:rPr>
          <w:rFonts w:hint="eastAsia" w:asciiTheme="minorEastAsia" w:hAnsiTheme="minorEastAsia" w:eastAsiaTheme="minorEastAsia" w:cstheme="minorEastAsia"/>
          <w:iCs/>
          <w:snapToGrid w:val="0"/>
          <w:kern w:val="0"/>
          <w:szCs w:val="21"/>
          <w:lang w:val="zh-CN"/>
        </w:rPr>
        <w:t>成交通知书的领取时间详见《供应商须知前附表》。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0" w:name="_Toc15879"/>
      <w:bookmarkStart w:id="91" w:name="_Toc15727"/>
      <w:r>
        <w:rPr>
          <w:rFonts w:hint="eastAsia" w:asciiTheme="minorEastAsia" w:hAnsiTheme="minorEastAsia" w:eastAsiaTheme="minorEastAsia" w:cstheme="minorEastAsia"/>
          <w:b/>
          <w:lang w:val="zh-CN"/>
        </w:rPr>
        <w:t>签订合同</w:t>
      </w:r>
      <w:bookmarkEnd w:id="90"/>
      <w:bookmarkEnd w:id="91"/>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29.1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竞争性磋商采购文件对履约保证金有规定的，成交供应商应按规定在签订合同前缴纳履约保证金。</w:t>
      </w:r>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snapToGrid w:val="0"/>
          <w:szCs w:val="21"/>
          <w:lang w:val="zh-CN"/>
        </w:rPr>
        <w:t xml:space="preserve">29.2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采购人与成交供应商应当在成交通知书发出之日起30日内，按照采购文件确定的合同文本以及采购标的、规格型号、采购金额、采购数量、技术和服务要求等事项签订政府采购合同。</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采购人应当自政府采购合同签订之日起2个工作日内，将政府采购合同在省级以上人民政府指定的媒体上公告，但政府采购合同中涉及国家秘密、商业秘密的内容除外。</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29.3  </w:t>
      </w:r>
      <w:r>
        <w:rPr>
          <w:rFonts w:hint="eastAsia" w:asciiTheme="minorEastAsia" w:hAnsiTheme="minorEastAsia" w:eastAsiaTheme="minorEastAsia" w:cstheme="minorEastAsia"/>
          <w:lang w:val="zh-CN"/>
        </w:rPr>
        <w:t>成交供应商拒绝与采购人签订合同的，采购人可以按照评审报告推荐的中标候选人名单排序，确定下一候选人为成交供应商，也可以重新开展政府采购活动。</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29.4  </w:t>
      </w:r>
      <w:r>
        <w:rPr>
          <w:rFonts w:hint="eastAsia" w:asciiTheme="minorEastAsia" w:hAnsiTheme="minorEastAsia" w:eastAsiaTheme="minorEastAsia" w:cstheme="minorEastAsia"/>
          <w:snapToGrid w:val="0"/>
          <w:kern w:val="0"/>
          <w:szCs w:val="21"/>
          <w:lang w:val="zh-CN"/>
        </w:rPr>
        <w:t>签订政府采购合同后7个工作日内，采购人应将政府采购合同副本报同级政府采购监管部门备案。</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29.5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采购代理机构将配合采购人与成交供应商签订政府采购合同。采购人与成交供应商应按竞争性磋商采购文件要求和成交供应商的竞争性磋商响应文件承诺订立书面合同，不得超出竞争性磋商采购文件和成交供应商竞争性磋商响应文件的范围，也不得再行订立背离合同实质性内容的其他协议。</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szCs w:val="21"/>
          <w:lang w:val="zh-CN"/>
        </w:rPr>
        <w:t xml:space="preserve">29.6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除不可抗力等因素外，成交通知书发出后，采购人改变成交结果，或者成交供应商拒绝签订政府采购合同的，应当承担相应的法律责任。</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pPr>
        <w:numPr>
          <w:ilvl w:val="1"/>
          <w:numId w:val="8"/>
        </w:numPr>
        <w:tabs>
          <w:tab w:val="left" w:pos="540"/>
          <w:tab w:val="clear" w:pos="840"/>
        </w:tabs>
        <w:spacing w:line="360" w:lineRule="auto"/>
        <w:ind w:left="632" w:hanging="632" w:hangingChars="300"/>
        <w:jc w:val="left"/>
        <w:rPr>
          <w:rFonts w:asciiTheme="minorEastAsia" w:hAnsiTheme="minorEastAsia" w:eastAsiaTheme="minorEastAsia" w:cstheme="minorEastAsia"/>
          <w:b/>
          <w:szCs w:val="21"/>
          <w:lang w:val="zh-CN"/>
        </w:rPr>
      </w:pPr>
      <w:bookmarkStart w:id="92" w:name="_Toc4883"/>
      <w:bookmarkStart w:id="93" w:name="_Toc14510"/>
      <w:bookmarkStart w:id="94" w:name="_Toc13988"/>
      <w:r>
        <w:rPr>
          <w:rFonts w:hint="eastAsia" w:asciiTheme="minorEastAsia" w:hAnsiTheme="minorEastAsia" w:eastAsiaTheme="minorEastAsia" w:cstheme="minorEastAsia"/>
          <w:b/>
          <w:szCs w:val="21"/>
          <w:lang w:val="zh-CN"/>
        </w:rPr>
        <w:t>质疑和投诉</w:t>
      </w:r>
      <w:bookmarkEnd w:id="92"/>
      <w:bookmarkEnd w:id="93"/>
      <w:bookmarkEnd w:id="94"/>
    </w:p>
    <w:p>
      <w:pPr>
        <w:numPr>
          <w:ilvl w:val="0"/>
          <w:numId w:val="9"/>
        </w:numPr>
        <w:tabs>
          <w:tab w:val="left" w:pos="864"/>
          <w:tab w:val="left" w:pos="1080"/>
        </w:tabs>
        <w:spacing w:line="360" w:lineRule="auto"/>
        <w:ind w:left="632" w:hanging="632" w:hangingChars="300"/>
        <w:jc w:val="left"/>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供应商认为磋商文件、磋商过程和成交结果使自己的权益受到损害的，可以在知道或者应知其权益受到损害之日起7个工作日内，以书面形式向采购人或采购代理机构提出质疑。我公司受理项目质疑部门为技术部,联系人：张梦；联系电话：027-87820788。</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质疑书应当包括下列主要内容：</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被质疑人的名称、地址、联系人及联系电话等；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质疑项目名称及编号、质疑事项和明确的请求；</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（4）</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质疑事项的事实根据、法律依据及其他必要的证明材料；质疑人提供的证明材料属于其他供应商投标（响应）文件未公开内容的，应当提供书面材料证明其合法来源；</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（5）</w:t>
      </w:r>
      <w:r>
        <w:rPr>
          <w:rFonts w:hint="eastAsia" w:ascii="宋体" w:hAnsi="宋体" w:cs="宋体"/>
          <w:snapToGrid w:val="0"/>
          <w:kern w:val="0"/>
          <w:szCs w:val="21"/>
        </w:rPr>
        <w:t xml:space="preserve"> </w:t>
      </w:r>
      <w:r>
        <w:rPr>
          <w:rFonts w:hint="eastAsia" w:ascii="宋体" w:hAnsi="宋体" w:cs="宋体"/>
          <w:snapToGrid w:val="0"/>
          <w:kern w:val="0"/>
          <w:szCs w:val="21"/>
          <w:lang w:val="zh-CN"/>
        </w:rPr>
        <w:t>提出质疑的日期；</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（6）</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质疑人的署名及签章（质疑人为自然人的，应当由本人签字；质疑人为法人或者其他组织的，应当由法定代表人或者主要负责人签字盖章并加盖公章）；</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（7）</w:t>
      </w:r>
      <w:r>
        <w:rPr>
          <w:rFonts w:hint="eastAsia" w:ascii="宋体" w:hAnsi="宋体" w:cs="宋体"/>
          <w:snapToGrid w:val="0"/>
          <w:kern w:val="0"/>
          <w:szCs w:val="21"/>
        </w:rPr>
        <w:t xml:space="preserve"> </w:t>
      </w:r>
      <w:r>
        <w:rPr>
          <w:rFonts w:hint="eastAsia" w:ascii="宋体" w:hAnsi="宋体" w:cs="宋体"/>
          <w:snapToGrid w:val="0"/>
          <w:kern w:val="0"/>
          <w:szCs w:val="21"/>
          <w:lang w:val="zh-CN"/>
        </w:rPr>
        <w:t>法人授权委托书（质疑人或法人委托代理人办理质疑事务的，应当提供授权委托书，授权委托书应当载明委托代理的具体权限和事项）。</w:t>
      </w:r>
    </w:p>
    <w:p>
      <w:pPr>
        <w:autoSpaceDE w:val="0"/>
        <w:autoSpaceDN w:val="0"/>
        <w:adjustRightInd w:val="0"/>
        <w:spacing w:line="360" w:lineRule="auto"/>
        <w:ind w:left="630" w:leftChars="300"/>
        <w:jc w:val="left"/>
        <w:rPr>
          <w:rFonts w:ascii="宋体" w:hAnsi="宋体" w:cs="宋体"/>
          <w:snapToGrid w:val="0"/>
          <w:kern w:val="0"/>
          <w:szCs w:val="21"/>
          <w:lang w:val="zh-CN"/>
        </w:rPr>
      </w:pPr>
      <w:r>
        <w:rPr>
          <w:rFonts w:hint="eastAsia" w:ascii="宋体" w:hAnsi="宋体" w:cs="宋体"/>
          <w:snapToGrid w:val="0"/>
          <w:kern w:val="0"/>
          <w:szCs w:val="21"/>
          <w:lang w:val="zh-CN"/>
        </w:rPr>
        <w:t>质疑书不符合上述要求的，采购人或代理机构应书面告知具体事项，质疑人应当按要求进行修改或补充，并在质疑有效期限内提交。</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5" w:name="_Toc20387"/>
      <w:bookmarkStart w:id="96" w:name="_Toc5844"/>
      <w:r>
        <w:rPr>
          <w:rFonts w:hint="eastAsia" w:asciiTheme="minorEastAsia" w:hAnsiTheme="minorEastAsia" w:eastAsiaTheme="minorEastAsia" w:cstheme="minorEastAsia"/>
          <w:b/>
          <w:lang w:val="zh-CN"/>
        </w:rPr>
        <w:t>质疑回复</w:t>
      </w:r>
      <w:bookmarkEnd w:id="95"/>
      <w:bookmarkEnd w:id="96"/>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采购人或采购代理机构应当在收到供应商的书面质疑后7个工作日内作出答复，并以书面形式通知质疑供应商和其他有关供应商，但答复的内容不得涉及商业秘密。</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质疑答复应当包括下列内容：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（1）质疑人的名称、地址、联系人及联系电话；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（2）采购人或采购代理机构（委托项目一并列出）的名称、地址、联系人及联系电话；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（3）受理质疑的日期、质疑项目名称及编号、质疑事项；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（4）质疑事项答复的具体情况及事实根据、法律依据；</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（5）告知质疑人依法投诉的权利和投诉方式；</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（6）质疑答复日期。</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7" w:name="_Toc459"/>
      <w:bookmarkStart w:id="98" w:name="_Toc26015"/>
      <w:r>
        <w:rPr>
          <w:rFonts w:hint="eastAsia" w:asciiTheme="minorEastAsia" w:hAnsiTheme="minorEastAsia" w:eastAsiaTheme="minorEastAsia" w:cstheme="minorEastAsia"/>
          <w:b/>
          <w:lang w:val="zh-CN"/>
        </w:rPr>
        <w:t>投诉</w:t>
      </w:r>
      <w:bookmarkEnd w:id="97"/>
      <w:bookmarkEnd w:id="98"/>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供应商对采购人、采购代理机构的答复不满意或者采购人、采购代理机构未在规定的时间内作出答复的，可以在答复期满后15个工作日内向同级政府采购监督管理部门投诉。供应商投诉应当有明确的请求和必要的证明材料，且投诉的事项不得超出已质疑事项的范围。</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99" w:name="_Toc5571"/>
      <w:bookmarkStart w:id="100" w:name="_Toc8349"/>
      <w:bookmarkStart w:id="101" w:name="_Toc30010"/>
      <w:bookmarkStart w:id="102" w:name="_Toc14767"/>
      <w:bookmarkStart w:id="103" w:name="_Toc28705"/>
      <w:r>
        <w:rPr>
          <w:rFonts w:hint="eastAsia" w:asciiTheme="minorEastAsia" w:hAnsiTheme="minorEastAsia" w:eastAsiaTheme="minorEastAsia" w:cstheme="minorEastAsia"/>
          <w:b/>
          <w:szCs w:val="21"/>
          <w:lang w:val="zh-CN"/>
        </w:rPr>
        <w:t>政策</w:t>
      </w:r>
      <w:bookmarkEnd w:id="99"/>
      <w:bookmarkEnd w:id="100"/>
      <w:bookmarkEnd w:id="101"/>
      <w:bookmarkEnd w:id="102"/>
      <w:bookmarkEnd w:id="103"/>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rPr>
      </w:pPr>
      <w:bookmarkStart w:id="104" w:name="_Toc8371"/>
      <w:bookmarkStart w:id="105" w:name="_Toc28842"/>
      <w:r>
        <w:rPr>
          <w:rFonts w:hint="eastAsia" w:asciiTheme="minorEastAsia" w:hAnsiTheme="minorEastAsia" w:eastAsiaTheme="minorEastAsia" w:cstheme="minorEastAsia"/>
          <w:b/>
        </w:rPr>
        <w:t>政府采购政策</w:t>
      </w:r>
      <w:bookmarkEnd w:id="104"/>
      <w:bookmarkEnd w:id="105"/>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spacing w:val="-2"/>
          <w:kern w:val="0"/>
          <w:szCs w:val="21"/>
          <w:lang w:val="zh-CN"/>
        </w:rPr>
        <w:t>除非“供应商须知前附表”中有特殊规定，本项目所采购的货物</w:t>
      </w:r>
      <w:r>
        <w:rPr>
          <w:rFonts w:hint="eastAsia" w:ascii="宋体" w:hAnsi="宋体" w:cs="宋体"/>
          <w:snapToGrid w:val="0"/>
          <w:spacing w:val="-2"/>
          <w:kern w:val="0"/>
          <w:szCs w:val="21"/>
        </w:rPr>
        <w:t>或服务或工程</w:t>
      </w:r>
      <w:r>
        <w:rPr>
          <w:rFonts w:hint="eastAsia" w:ascii="宋体" w:hAnsi="宋体" w:cs="宋体"/>
          <w:snapToGrid w:val="0"/>
          <w:spacing w:val="-2"/>
          <w:kern w:val="0"/>
          <w:szCs w:val="21"/>
          <w:lang w:val="zh-CN"/>
        </w:rPr>
        <w:t>应当为中华人民共和国境内提供。</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为促进中小企业发展，本项目供应商如符合工信部联企业【</w:t>
      </w:r>
      <w:r>
        <w:rPr>
          <w:rFonts w:hint="eastAsia" w:ascii="宋体" w:hAnsi="宋体" w:cs="宋体"/>
          <w:snapToGrid w:val="0"/>
          <w:kern w:val="0"/>
          <w:szCs w:val="21"/>
        </w:rPr>
        <w:t>2011</w:t>
      </w:r>
      <w:r>
        <w:rPr>
          <w:rFonts w:hint="eastAsia" w:ascii="宋体" w:hAnsi="宋体" w:cs="宋体"/>
          <w:snapToGrid w:val="0"/>
          <w:kern w:val="0"/>
          <w:szCs w:val="21"/>
          <w:lang w:val="zh-CN"/>
        </w:rPr>
        <w:t>】300号文中对中小企业划型标准的，可按照“评定办法前附表”中相关规定，对产品的价格给予一定比例的扣除，用扣除后的价格参与评审。具体扣除比例详见“评定办法前附表”。</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33.3  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6%的扣除后的价格参与评审。</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33.4  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w:t>
      </w:r>
      <w:r>
        <w:rPr>
          <w:rFonts w:hint="eastAsia" w:ascii="宋体" w:hAnsi="宋体" w:cs="宋体"/>
          <w:snapToGrid w:val="0"/>
          <w:kern w:val="0"/>
          <w:szCs w:val="21"/>
        </w:rPr>
        <w:t>5  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33.</w:t>
      </w:r>
      <w:r>
        <w:rPr>
          <w:rFonts w:hint="eastAsia" w:ascii="宋体" w:hAnsi="宋体" w:cs="宋体"/>
          <w:snapToGrid w:val="0"/>
          <w:kern w:val="0"/>
          <w:szCs w:val="21"/>
        </w:rPr>
        <w:t xml:space="preserve">6  </w:t>
      </w:r>
      <w:r>
        <w:rPr>
          <w:rFonts w:hint="eastAsia" w:ascii="宋体" w:hAnsi="宋体" w:cs="宋体"/>
          <w:snapToGrid w:val="0"/>
          <w:kern w:val="0"/>
          <w:szCs w:val="21"/>
          <w:lang w:val="zh-CN"/>
        </w:rPr>
        <w:t>上述政府采购政策优惠须经磋商小组评审后执行，未提供单独分项报价或证明资料不全的不给予价格扣除。</w:t>
      </w:r>
    </w:p>
    <w:p>
      <w:pPr>
        <w:autoSpaceDE w:val="0"/>
        <w:autoSpaceDN w:val="0"/>
        <w:adjustRightInd w:val="0"/>
        <w:spacing w:line="360" w:lineRule="auto"/>
        <w:ind w:left="630" w:leftChars="300"/>
        <w:jc w:val="left"/>
        <w:rPr>
          <w:b/>
          <w:bCs/>
          <w:lang w:val="zh-CN"/>
        </w:rPr>
      </w:pPr>
      <w:r>
        <w:rPr>
          <w:rFonts w:hint="eastAsia" w:ascii="宋体" w:hAnsi="宋体" w:cs="宋体"/>
          <w:b/>
          <w:bCs/>
          <w:snapToGrid w:val="0"/>
          <w:kern w:val="0"/>
          <w:szCs w:val="21"/>
          <w:lang w:val="zh-CN"/>
        </w:rPr>
        <w:t>供应商应当对《中小企业声明函》、监狱企业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6" w:name="_Toc25296"/>
      <w:bookmarkStart w:id="107" w:name="_Toc22449"/>
      <w:r>
        <w:rPr>
          <w:rFonts w:hint="eastAsia" w:asciiTheme="minorEastAsia" w:hAnsiTheme="minorEastAsia" w:eastAsiaTheme="minorEastAsia" w:cstheme="minorEastAsia"/>
          <w:b/>
          <w:szCs w:val="21"/>
          <w:lang w:val="zh-CN"/>
        </w:rPr>
        <w:t>其他要求</w:t>
      </w:r>
      <w:bookmarkEnd w:id="106"/>
      <w:bookmarkEnd w:id="107"/>
    </w:p>
    <w:p>
      <w:pPr>
        <w:autoSpaceDE w:val="0"/>
        <w:autoSpaceDN w:val="0"/>
        <w:adjustRightInd w:val="0"/>
        <w:spacing w:line="360" w:lineRule="auto"/>
        <w:ind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见《供应商须知前附表》。</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8" w:name="_Toc28070"/>
      <w:bookmarkStart w:id="109" w:name="_Toc28137"/>
      <w:r>
        <w:rPr>
          <w:rFonts w:hint="eastAsia" w:asciiTheme="minorEastAsia" w:hAnsiTheme="minorEastAsia" w:eastAsiaTheme="minorEastAsia" w:cstheme="minorEastAsia"/>
          <w:b/>
          <w:szCs w:val="21"/>
          <w:lang w:val="zh-CN"/>
        </w:rPr>
        <w:t>适用法律</w:t>
      </w:r>
      <w:bookmarkEnd w:id="108"/>
      <w:bookmarkEnd w:id="109"/>
    </w:p>
    <w:p>
      <w:pPr>
        <w:autoSpaceDE w:val="0"/>
        <w:autoSpaceDN w:val="0"/>
        <w:adjustRightInd w:val="0"/>
        <w:spacing w:line="360" w:lineRule="auto"/>
        <w:ind w:left="630" w:left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采购人或者采购代理机构和供应商的一切采购活动均适用于《中华人民共和国政府采购法》、《中华人民共和国政府采购实施条例》、《政府采购竞争性磋商采购方式管理办法》等相关规定。</w:t>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b/>
          <w:bCs/>
          <w:snapToGrid w:val="0"/>
          <w:kern w:val="0"/>
          <w:szCs w:val="21"/>
          <w:lang w:val="zh-CN"/>
        </w:rPr>
        <w:t>补充说明：</w:t>
      </w:r>
    </w:p>
    <w:p>
      <w:pPr>
        <w:numPr>
          <w:ilvl w:val="0"/>
          <w:numId w:val="34"/>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除本采购文件另有规定外，采购文件中出现的类似于“近三年”或“前三年”、“近五年”或“前五年”均指递交响应文件时间以前 3 年或前 5 年，以此类推。如：递交响应文件时间为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 12 月 1 日至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11 月 30 日。</w:t>
      </w:r>
    </w:p>
    <w:p>
      <w:pPr>
        <w:numPr>
          <w:ilvl w:val="0"/>
          <w:numId w:val="34"/>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关于提交经审计的财务报告的年份要求：递交响应文件时间如在当年 6 月 30 日以前，</w:t>
      </w:r>
      <w:r>
        <w:rPr>
          <w:rFonts w:hint="eastAsia" w:asciiTheme="minorEastAsia" w:hAnsiTheme="minorEastAsia" w:eastAsiaTheme="minorEastAsia" w:cstheme="minorEastAsia"/>
          <w:snapToGrid w:val="0"/>
          <w:kern w:val="0"/>
          <w:szCs w:val="21"/>
        </w:rPr>
        <w:t>则</w:t>
      </w:r>
      <w:r>
        <w:rPr>
          <w:rFonts w:hint="eastAsia" w:asciiTheme="minorEastAsia" w:hAnsiTheme="minorEastAsia" w:eastAsiaTheme="minorEastAsia" w:cstheme="minorEastAsia"/>
          <w:snapToGrid w:val="0"/>
          <w:kern w:val="0"/>
          <w:szCs w:val="21"/>
          <w:lang w:val="zh-CN"/>
        </w:rPr>
        <w:t>近三年指上上个年度往前推算的三年，如递交响应文件时间为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6 月 9 日，则“近三年”</w:t>
      </w:r>
      <w:r>
        <w:rPr>
          <w:rFonts w:hint="eastAsia" w:asciiTheme="minorEastAsia" w:hAnsiTheme="minorEastAsia" w:eastAsiaTheme="minorEastAsia" w:cstheme="minorEastAsia"/>
          <w:snapToGrid w:val="0"/>
          <w:kern w:val="0"/>
          <w:szCs w:val="21"/>
        </w:rPr>
        <w:t>是</w:t>
      </w:r>
      <w:r>
        <w:rPr>
          <w:rFonts w:hint="eastAsia" w:asciiTheme="minorEastAsia" w:hAnsiTheme="minorEastAsia" w:eastAsiaTheme="minorEastAsia" w:cstheme="minorEastAsia"/>
          <w:snapToGrid w:val="0"/>
          <w:kern w:val="0"/>
          <w:szCs w:val="21"/>
          <w:lang w:val="zh-CN"/>
        </w:rPr>
        <w:t>指 201</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年度。递交响应文件时间如在当年 6 月 30 日以后，则近三年是指上个年度往前推算的 3 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8</w:t>
      </w:r>
      <w:r>
        <w:rPr>
          <w:rFonts w:hint="eastAsia" w:asciiTheme="minorEastAsia" w:hAnsiTheme="minorEastAsia" w:eastAsiaTheme="minorEastAsia" w:cstheme="minorEastAsia"/>
          <w:snapToGrid w:val="0"/>
          <w:kern w:val="0"/>
          <w:szCs w:val="21"/>
          <w:lang w:val="zh-CN"/>
        </w:rPr>
        <w:t>年度。</w:t>
      </w:r>
    </w:p>
    <w:p>
      <w:pPr>
        <w:numPr>
          <w:ilvl w:val="0"/>
          <w:numId w:val="35"/>
        </w:numPr>
        <w:autoSpaceDE w:val="0"/>
        <w:autoSpaceDN w:val="0"/>
        <w:adjustRightInd w:val="0"/>
        <w:spacing w:line="360" w:lineRule="auto"/>
        <w:ind w:left="539" w:hanging="539"/>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本采购文件所称的“以上”、“以下”、“内”、“以内”，均包括本数；所称的“不足”，不包括本数。</w:t>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p>
    <w:p>
      <w:pPr>
        <w:numPr>
          <w:ilvl w:val="0"/>
          <w:numId w:val="4"/>
        </w:numPr>
        <w:jc w:val="center"/>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r>
      <w:bookmarkStart w:id="110" w:name="_Toc6380"/>
      <w:r>
        <w:rPr>
          <w:rFonts w:hint="eastAsia" w:asciiTheme="minorEastAsia" w:hAnsiTheme="minorEastAsia" w:eastAsiaTheme="minorEastAsia" w:cstheme="minorEastAsia"/>
          <w:b/>
          <w:bCs/>
          <w:sz w:val="36"/>
          <w:szCs w:val="36"/>
        </w:rPr>
        <w:t>采购需求</w:t>
      </w:r>
      <w:bookmarkEnd w:id="110"/>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1" w:name="_Toc13790"/>
      <w:r>
        <w:rPr>
          <w:rFonts w:hint="eastAsia" w:asciiTheme="minorEastAsia" w:hAnsiTheme="minorEastAsia" w:eastAsiaTheme="minorEastAsia" w:cstheme="minorEastAsia"/>
          <w:b/>
          <w:bCs/>
          <w:sz w:val="24"/>
        </w:rPr>
        <w:t>一、技术需求</w:t>
      </w:r>
      <w:bookmarkEnd w:id="111"/>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1.设备/货物清单</w:t>
      </w:r>
    </w:p>
    <w:tbl>
      <w:tblPr>
        <w:tblStyle w:val="27"/>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
        <w:gridCol w:w="1016"/>
        <w:gridCol w:w="5846"/>
        <w:gridCol w:w="808"/>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614" w:type="dxa"/>
            <w:vAlign w:val="center"/>
          </w:tcPr>
          <w:p>
            <w:pPr>
              <w:autoSpaceDE w:val="0"/>
              <w:autoSpaceDN w:val="0"/>
              <w:adjustRightIn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序号</w:t>
            </w:r>
          </w:p>
        </w:tc>
        <w:tc>
          <w:tcPr>
            <w:tcW w:w="1016" w:type="dxa"/>
            <w:vAlign w:val="center"/>
          </w:tcPr>
          <w:p>
            <w:pPr>
              <w:autoSpaceDE w:val="0"/>
              <w:autoSpaceDN w:val="0"/>
              <w:adjustRightIn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设备/服务名称</w:t>
            </w:r>
          </w:p>
        </w:tc>
        <w:tc>
          <w:tcPr>
            <w:tcW w:w="5846" w:type="dxa"/>
            <w:vAlign w:val="center"/>
          </w:tcPr>
          <w:p>
            <w:pPr>
              <w:autoSpaceDE w:val="0"/>
              <w:autoSpaceDN w:val="0"/>
              <w:adjustRightIn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技术性能</w:t>
            </w:r>
          </w:p>
        </w:tc>
        <w:tc>
          <w:tcPr>
            <w:tcW w:w="808" w:type="dxa"/>
            <w:vAlign w:val="center"/>
          </w:tcPr>
          <w:p>
            <w:pPr>
              <w:autoSpaceDE w:val="0"/>
              <w:autoSpaceDN w:val="0"/>
              <w:adjustRightIn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数量</w:t>
            </w:r>
          </w:p>
        </w:tc>
        <w:tc>
          <w:tcPr>
            <w:tcW w:w="1091" w:type="dxa"/>
            <w:vAlign w:val="center"/>
          </w:tcPr>
          <w:p>
            <w:pPr>
              <w:autoSpaceDE w:val="0"/>
              <w:autoSpaceDN w:val="0"/>
              <w:adjustRightInd w:val="0"/>
              <w:jc w:val="center"/>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eastAsia="zh-CN"/>
              </w:rPr>
              <w:t>最高单价限价（元）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614" w:type="dxa"/>
            <w:vAlign w:val="center"/>
          </w:tcPr>
          <w:p>
            <w:pPr>
              <w:autoSpaceDE w:val="0"/>
              <w:autoSpaceDN w:val="0"/>
              <w:adjustRightIn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1016" w:type="dxa"/>
            <w:vAlign w:val="center"/>
          </w:tcPr>
          <w:p>
            <w:pPr>
              <w:autoSpaceDE w:val="0"/>
              <w:autoSpaceDN w:val="0"/>
              <w:adjustRightInd w:val="0"/>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人工智能教学管理平台</w:t>
            </w:r>
          </w:p>
        </w:tc>
        <w:tc>
          <w:tcPr>
            <w:tcW w:w="5846" w:type="dxa"/>
          </w:tcPr>
          <w:p>
            <w:pPr>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一、</w:t>
            </w:r>
            <w:r>
              <w:rPr>
                <w:rFonts w:hint="eastAsia" w:ascii="宋体" w:hAnsi="宋体" w:eastAsia="宋体" w:cs="宋体"/>
                <w:sz w:val="21"/>
                <w:szCs w:val="21"/>
              </w:rPr>
              <w:t>主要功能/用途</w:t>
            </w:r>
          </w:p>
          <w:p>
            <w:pPr>
              <w:ind w:firstLine="210" w:firstLineChars="100"/>
              <w:rPr>
                <w:rFonts w:hint="eastAsia" w:ascii="宋体" w:hAnsi="宋体" w:eastAsia="宋体" w:cs="宋体"/>
                <w:sz w:val="21"/>
                <w:szCs w:val="21"/>
              </w:rPr>
            </w:pPr>
            <w:r>
              <w:rPr>
                <w:rFonts w:hint="eastAsia" w:ascii="宋体" w:hAnsi="宋体" w:eastAsia="宋体" w:cs="宋体"/>
                <w:sz w:val="21"/>
                <w:szCs w:val="21"/>
                <w:lang w:val="en-US" w:eastAsia="zh-CN"/>
              </w:rPr>
              <w:t>利用该平台开展教学管理工作</w:t>
            </w:r>
            <w:r>
              <w:rPr>
                <w:rFonts w:hint="eastAsia" w:ascii="宋体" w:hAnsi="宋体" w:eastAsia="宋体" w:cs="宋体"/>
                <w:sz w:val="21"/>
                <w:szCs w:val="21"/>
              </w:rPr>
              <w:t>可以采集到教学行为、学习行为、课堂互动、作业过程等非结构化的隐形化数据。有别于传统的教育数据统计，重在利用大数据技术采集与分析非结构化的隐形化数据，目的在于推动教学模式创新与教学管理精细化</w:t>
            </w:r>
            <w:r>
              <w:rPr>
                <w:rFonts w:hint="eastAsia" w:ascii="宋体" w:hAnsi="宋体" w:eastAsia="宋体" w:cs="宋体"/>
                <w:sz w:val="21"/>
                <w:szCs w:val="21"/>
                <w:lang w:eastAsia="zh-CN"/>
              </w:rPr>
              <w:t>。</w:t>
            </w:r>
            <w:r>
              <w:rPr>
                <w:rFonts w:hint="eastAsia" w:ascii="宋体" w:hAnsi="宋体" w:eastAsia="宋体" w:cs="宋体"/>
                <w:sz w:val="21"/>
                <w:szCs w:val="21"/>
              </w:rPr>
              <w:t>从而对教学评价、教学过程、教学模式形成科学的指导，形成良性的循环。</w:t>
            </w:r>
          </w:p>
          <w:p>
            <w:pPr>
              <w:rPr>
                <w:rFonts w:hint="eastAsia" w:ascii="宋体" w:hAnsi="宋体" w:eastAsia="宋体" w:cs="宋体"/>
                <w:sz w:val="21"/>
                <w:szCs w:val="21"/>
              </w:rPr>
            </w:pPr>
            <w:r>
              <w:rPr>
                <w:rFonts w:hint="eastAsia" w:ascii="宋体" w:hAnsi="宋体" w:eastAsia="宋体" w:cs="宋体"/>
                <w:sz w:val="21"/>
                <w:szCs w:val="21"/>
              </w:rPr>
              <w:t>二、技术参数/指标</w:t>
            </w:r>
          </w:p>
          <w:p>
            <w:pPr>
              <w:rPr>
                <w:rFonts w:hint="eastAsia" w:ascii="宋体" w:hAnsi="宋体" w:eastAsia="宋体" w:cs="宋体"/>
                <w:sz w:val="21"/>
                <w:szCs w:val="21"/>
              </w:rPr>
            </w:pPr>
            <w:r>
              <w:rPr>
                <w:rFonts w:hint="eastAsia" w:ascii="宋体" w:hAnsi="宋体" w:eastAsia="宋体" w:cs="宋体"/>
                <w:sz w:val="21"/>
                <w:szCs w:val="21"/>
              </w:rPr>
              <w:t>1、系统总体要求</w:t>
            </w:r>
          </w:p>
          <w:p>
            <w:pPr>
              <w:rPr>
                <w:rFonts w:hint="eastAsia" w:ascii="宋体" w:hAnsi="宋体" w:eastAsia="宋体" w:cs="宋体"/>
                <w:sz w:val="21"/>
                <w:szCs w:val="21"/>
              </w:rPr>
            </w:pPr>
            <w:r>
              <w:rPr>
                <w:rFonts w:hint="eastAsia" w:ascii="宋体" w:hAnsi="宋体" w:eastAsia="宋体" w:cs="宋体"/>
                <w:sz w:val="21"/>
                <w:szCs w:val="21"/>
              </w:rPr>
              <w:t>▲（1）平台采用C/S技术架构，核心教学活动在富客户端中的进行；</w:t>
            </w:r>
          </w:p>
          <w:p>
            <w:pPr>
              <w:numPr>
                <w:ilvl w:val="0"/>
                <w:numId w:val="36"/>
              </w:numPr>
              <w:rPr>
                <w:rFonts w:hint="eastAsia" w:ascii="宋体" w:hAnsi="宋体" w:eastAsia="宋体" w:cs="宋体"/>
                <w:sz w:val="21"/>
                <w:szCs w:val="21"/>
              </w:rPr>
            </w:pPr>
            <w:r>
              <w:rPr>
                <w:rFonts w:hint="eastAsia" w:ascii="宋体" w:hAnsi="宋体" w:eastAsia="宋体" w:cs="宋体"/>
                <w:sz w:val="21"/>
                <w:szCs w:val="21"/>
              </w:rPr>
              <w:t>教学实践平台可以调用私有云桌面系统、网盘系统、考试系统且紧密整合，即一个账号能够正常操作所有子系统。</w:t>
            </w:r>
          </w:p>
          <w:p>
            <w:pPr>
              <w:rPr>
                <w:rFonts w:hint="eastAsia" w:ascii="宋体" w:hAnsi="宋体" w:eastAsia="宋体" w:cs="宋体"/>
                <w:sz w:val="21"/>
                <w:szCs w:val="21"/>
              </w:rPr>
            </w:pPr>
            <w:r>
              <w:rPr>
                <w:rFonts w:hint="eastAsia" w:ascii="宋体" w:hAnsi="宋体" w:eastAsia="宋体" w:cs="宋体"/>
                <w:sz w:val="21"/>
                <w:szCs w:val="21"/>
              </w:rPr>
              <w:t>▲（3）系统必须能部署在Linux服务器上，同时可以支持部署在Windows服务器上；</w:t>
            </w:r>
          </w:p>
          <w:p>
            <w:pPr>
              <w:rPr>
                <w:rFonts w:hint="eastAsia" w:ascii="宋体" w:hAnsi="宋体" w:eastAsia="宋体" w:cs="宋体"/>
                <w:sz w:val="21"/>
                <w:szCs w:val="21"/>
              </w:rPr>
            </w:pPr>
            <w:r>
              <w:rPr>
                <w:rFonts w:hint="eastAsia" w:ascii="宋体" w:hAnsi="宋体" w:eastAsia="宋体" w:cs="宋体"/>
                <w:sz w:val="21"/>
                <w:szCs w:val="21"/>
              </w:rPr>
              <w:t>▲（4）平台可以支持vdi集群实验环境部署；支持直接调用相关课程的教学实验和项目实训所需实践虚拟桌面环境，对于不同的课程可以做到灵活地调用不同的实践虚拟桌面环境；</w:t>
            </w:r>
          </w:p>
          <w:p>
            <w:pPr>
              <w:rPr>
                <w:rFonts w:hint="eastAsia" w:ascii="宋体" w:hAnsi="宋体" w:eastAsia="宋体" w:cs="宋体"/>
                <w:sz w:val="21"/>
                <w:szCs w:val="21"/>
              </w:rPr>
            </w:pPr>
            <w:r>
              <w:rPr>
                <w:rFonts w:hint="eastAsia" w:ascii="宋体" w:hAnsi="宋体" w:eastAsia="宋体" w:cs="宋体"/>
                <w:sz w:val="21"/>
                <w:szCs w:val="21"/>
              </w:rPr>
              <w:t>（5）平台可支持学校资源库的建设，可支持各个专业。除了支持实训外，还必须满足日常课程教学要求。同时平台必须提供教学资源知识产品保护机制，以防止用户上传教学资源的流失；</w:t>
            </w:r>
          </w:p>
          <w:p>
            <w:pPr>
              <w:rPr>
                <w:rFonts w:hint="eastAsia" w:ascii="宋体" w:hAnsi="宋体" w:eastAsia="宋体" w:cs="宋体"/>
                <w:sz w:val="21"/>
                <w:szCs w:val="21"/>
              </w:rPr>
            </w:pPr>
            <w:r>
              <w:rPr>
                <w:rFonts w:hint="eastAsia" w:ascii="宋体" w:hAnsi="宋体" w:eastAsia="宋体" w:cs="宋体"/>
                <w:sz w:val="21"/>
                <w:szCs w:val="21"/>
              </w:rPr>
              <w:t xml:space="preserve">▲（6）用户可以在平台中进行课程实施管理，包括学生管理、老师管理、学年学期管理。平台支持教学计划管理可以与学校教学计划无缝对接；学生管理既可以支持行政班管理还可以支持教学管理；教学计划的执行自动完成，不需要人工干预； </w:t>
            </w:r>
          </w:p>
          <w:p>
            <w:pP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7</w:t>
            </w:r>
            <w:r>
              <w:rPr>
                <w:rFonts w:hint="eastAsia" w:ascii="宋体" w:hAnsi="宋体" w:eastAsia="宋体" w:cs="宋体"/>
                <w:sz w:val="21"/>
                <w:szCs w:val="21"/>
              </w:rPr>
              <w:t>）教学数据和学生作业保存实现多学期追溯，即能保留多个学期的学生实验环境，方便教学检查；</w:t>
            </w:r>
          </w:p>
          <w:p>
            <w:pPr>
              <w:rPr>
                <w:rFonts w:hint="eastAsia" w:ascii="宋体" w:hAnsi="宋体" w:eastAsia="宋体" w:cs="宋体"/>
                <w:sz w:val="21"/>
                <w:szCs w:val="21"/>
              </w:rPr>
            </w:pPr>
          </w:p>
          <w:p>
            <w:pPr>
              <w:rPr>
                <w:rFonts w:hint="eastAsia" w:ascii="宋体" w:hAnsi="宋体" w:eastAsia="宋体" w:cs="宋体"/>
                <w:sz w:val="21"/>
                <w:szCs w:val="21"/>
              </w:rPr>
            </w:pPr>
            <w:r>
              <w:rPr>
                <w:rFonts w:hint="eastAsia" w:ascii="宋体" w:hAnsi="宋体" w:eastAsia="宋体" w:cs="宋体"/>
                <w:sz w:val="21"/>
                <w:szCs w:val="21"/>
              </w:rPr>
              <w:t>2、系统管理员功能</w:t>
            </w:r>
          </w:p>
          <w:p>
            <w:pPr>
              <w:rPr>
                <w:rFonts w:hint="eastAsia" w:ascii="宋体" w:hAnsi="宋体" w:eastAsia="宋体" w:cs="宋体"/>
                <w:sz w:val="21"/>
                <w:szCs w:val="21"/>
              </w:rPr>
            </w:pPr>
            <w:r>
              <w:rPr>
                <w:rFonts w:hint="eastAsia" w:ascii="宋体" w:hAnsi="宋体" w:eastAsia="宋体" w:cs="宋体"/>
                <w:sz w:val="21"/>
                <w:szCs w:val="21"/>
              </w:rPr>
              <w:t>▲（1）系统支持根据院校自身管理机构进行院校内组织机构的管理，管理层级满足院校-二级院校-两级方式进行组织机构管理；</w:t>
            </w:r>
          </w:p>
          <w:p>
            <w:pPr>
              <w:ind w:firstLine="210" w:firstLineChars="100"/>
              <w:rPr>
                <w:rFonts w:hint="eastAsia" w:ascii="宋体" w:hAnsi="宋体" w:eastAsia="宋体" w:cs="宋体"/>
                <w:sz w:val="21"/>
                <w:szCs w:val="21"/>
              </w:rPr>
            </w:pPr>
            <w:r>
              <w:rPr>
                <w:rFonts w:hint="eastAsia" w:ascii="宋体" w:hAnsi="宋体" w:eastAsia="宋体" w:cs="宋体"/>
                <w:sz w:val="21"/>
                <w:szCs w:val="21"/>
              </w:rPr>
              <w:t>（2）用户管理及班级管理：系统支持按照当前登录人员所处院内组织机构及角色进行用户的分级管理，以及各个专业的班级分级分域管理；支持老师及学生的批量导入功能；</w:t>
            </w:r>
          </w:p>
          <w:p>
            <w:pPr>
              <w:ind w:firstLine="210" w:firstLineChars="100"/>
              <w:rPr>
                <w:rFonts w:hint="eastAsia" w:ascii="宋体" w:hAnsi="宋体" w:eastAsia="宋体" w:cs="宋体"/>
                <w:sz w:val="21"/>
                <w:szCs w:val="21"/>
              </w:rPr>
            </w:pPr>
            <w:r>
              <w:rPr>
                <w:rFonts w:hint="eastAsia" w:ascii="宋体" w:hAnsi="宋体" w:eastAsia="宋体" w:cs="宋体"/>
                <w:sz w:val="21"/>
                <w:szCs w:val="21"/>
              </w:rPr>
              <w:t>（3）管理员管理资源目录权限和题库目录分类的数据；</w:t>
            </w:r>
          </w:p>
          <w:p>
            <w:pPr>
              <w:rPr>
                <w:rFonts w:hint="eastAsia" w:ascii="宋体" w:hAnsi="宋体" w:eastAsia="宋体" w:cs="宋体"/>
                <w:sz w:val="21"/>
                <w:szCs w:val="21"/>
              </w:rPr>
            </w:pPr>
            <w:r>
              <w:rPr>
                <w:rFonts w:hint="eastAsia" w:ascii="宋体" w:hAnsi="宋体" w:eastAsia="宋体" w:cs="宋体"/>
                <w:sz w:val="21"/>
                <w:szCs w:val="21"/>
              </w:rPr>
              <w:t>▲（4）教学资源分类支持多层次，多分支灵活配置；教学资源的组织形式支持多目录结构，在平台中以树形结构进行展示，同时能对分类目录进行授权，提升目录下资源编辑的安全性；</w:t>
            </w:r>
          </w:p>
          <w:p>
            <w:pPr>
              <w:rPr>
                <w:rFonts w:hint="eastAsia" w:ascii="宋体" w:hAnsi="宋体" w:eastAsia="宋体" w:cs="宋体"/>
                <w:sz w:val="21"/>
                <w:szCs w:val="21"/>
              </w:rPr>
            </w:pPr>
            <w:r>
              <w:rPr>
                <w:rFonts w:hint="eastAsia" w:ascii="宋体" w:hAnsi="宋体" w:eastAsia="宋体" w:cs="宋体"/>
                <w:sz w:val="21"/>
                <w:szCs w:val="21"/>
              </w:rPr>
              <w:t>▲（5）支持调用虚桌面系统为具体课程绑定和解绑需要的教学实验虚拟桌面环境；课程配置允许一门课由多个老师上；老师配置课程案例后系统能自动分发教学资源给相应的学生，不需要人工操作。</w:t>
            </w:r>
          </w:p>
          <w:p>
            <w:pPr>
              <w:rPr>
                <w:rFonts w:hint="eastAsia" w:ascii="宋体" w:hAnsi="宋体" w:eastAsia="宋体" w:cs="宋体"/>
                <w:sz w:val="21"/>
                <w:szCs w:val="21"/>
              </w:rPr>
            </w:pPr>
            <w:r>
              <w:rPr>
                <w:rFonts w:hint="eastAsia" w:ascii="宋体" w:hAnsi="宋体" w:eastAsia="宋体" w:cs="宋体"/>
                <w:sz w:val="21"/>
                <w:szCs w:val="21"/>
              </w:rPr>
              <w:t>（6）学期学年管理</w:t>
            </w:r>
          </w:p>
          <w:p>
            <w:pPr>
              <w:rPr>
                <w:rFonts w:hint="eastAsia" w:ascii="宋体" w:hAnsi="宋体" w:eastAsia="宋体" w:cs="宋体"/>
                <w:sz w:val="21"/>
                <w:szCs w:val="21"/>
              </w:rPr>
            </w:pPr>
            <w:r>
              <w:rPr>
                <w:rFonts w:hint="eastAsia" w:ascii="宋体" w:hAnsi="宋体" w:eastAsia="宋体" w:cs="宋体"/>
                <w:sz w:val="21"/>
                <w:szCs w:val="21"/>
              </w:rPr>
              <w:t>（7）管理员主导课程模板的建设管理</w:t>
            </w:r>
          </w:p>
          <w:p>
            <w:pPr>
              <w:rPr>
                <w:rFonts w:hint="eastAsia" w:ascii="宋体" w:hAnsi="宋体" w:eastAsia="宋体" w:cs="宋体"/>
                <w:sz w:val="21"/>
                <w:szCs w:val="21"/>
              </w:rPr>
            </w:pPr>
            <w:r>
              <w:rPr>
                <w:rFonts w:hint="eastAsia" w:ascii="宋体" w:hAnsi="宋体" w:eastAsia="宋体" w:cs="宋体"/>
                <w:sz w:val="21"/>
                <w:szCs w:val="21"/>
              </w:rPr>
              <w:t>▲（8）管理员能够在平台调用虚桌面系统，并在其中批量生成教学实践虚拟桌面环境，并且方便地进行管理；</w:t>
            </w:r>
          </w:p>
          <w:p>
            <w:pPr>
              <w:rPr>
                <w:rFonts w:hint="eastAsia" w:ascii="宋体" w:hAnsi="宋体" w:eastAsia="宋体" w:cs="宋体"/>
                <w:sz w:val="21"/>
                <w:szCs w:val="21"/>
              </w:rPr>
            </w:pPr>
            <w:r>
              <w:rPr>
                <w:rFonts w:hint="eastAsia" w:ascii="宋体" w:hAnsi="宋体" w:eastAsia="宋体" w:cs="宋体"/>
                <w:sz w:val="21"/>
                <w:szCs w:val="21"/>
              </w:rPr>
              <w:t>（9）统计老师上传的资源数量，和学生在教学活动中的交互数量和明细，作业布置和批改的数量；</w:t>
            </w:r>
          </w:p>
          <w:p>
            <w:pPr>
              <w:rPr>
                <w:rFonts w:hint="eastAsia" w:ascii="宋体" w:hAnsi="宋体" w:eastAsia="宋体" w:cs="宋体"/>
                <w:sz w:val="21"/>
                <w:szCs w:val="21"/>
              </w:rPr>
            </w:pPr>
            <w:r>
              <w:rPr>
                <w:rFonts w:hint="eastAsia" w:ascii="宋体" w:hAnsi="宋体" w:eastAsia="宋体" w:cs="宋体"/>
                <w:sz w:val="21"/>
                <w:szCs w:val="21"/>
              </w:rPr>
              <w:t>（10）支持资源分类：系统支持资源分类，院校可以按照自身知识体系、课程分类进行设置；</w:t>
            </w:r>
          </w:p>
          <w:p>
            <w:pPr>
              <w:rPr>
                <w:rFonts w:hint="eastAsia" w:ascii="宋体" w:hAnsi="宋体" w:eastAsia="宋体" w:cs="宋体"/>
                <w:sz w:val="21"/>
                <w:szCs w:val="21"/>
              </w:rPr>
            </w:pPr>
            <w:r>
              <w:rPr>
                <w:rFonts w:hint="eastAsia" w:ascii="宋体" w:hAnsi="宋体" w:eastAsia="宋体" w:cs="宋体"/>
                <w:sz w:val="21"/>
                <w:szCs w:val="21"/>
              </w:rPr>
              <w:t>▲（11）具备课程管理功能。支持在线作业、在线考试、在线答疑、分析统计等基本的课程管理功能，并将程序自动评判与课程管理相结合，以构建自动化的交互学习环境；支持单选、多选、编程等多种通用题型，并支持C、C++、C#、JAVA四种主流编程格式。C语言可支持自动评判代码是否正确；支持MOOC视频播放；支持首页风格切换；</w:t>
            </w:r>
          </w:p>
          <w:p>
            <w:pPr>
              <w:rPr>
                <w:rFonts w:hint="eastAsia" w:ascii="宋体" w:hAnsi="宋体" w:eastAsia="宋体" w:cs="宋体"/>
                <w:sz w:val="21"/>
                <w:szCs w:val="21"/>
              </w:rPr>
            </w:pPr>
          </w:p>
          <w:p>
            <w:pPr>
              <w:rPr>
                <w:rFonts w:hint="eastAsia" w:ascii="宋体" w:hAnsi="宋体" w:eastAsia="宋体" w:cs="宋体"/>
                <w:sz w:val="21"/>
                <w:szCs w:val="21"/>
              </w:rPr>
            </w:pPr>
            <w:r>
              <w:rPr>
                <w:rFonts w:hint="eastAsia" w:ascii="宋体" w:hAnsi="宋体" w:eastAsia="宋体" w:cs="宋体"/>
                <w:sz w:val="21"/>
                <w:szCs w:val="21"/>
              </w:rPr>
              <w:t>3、教师教学端功能：</w:t>
            </w:r>
          </w:p>
          <w:p>
            <w:pPr>
              <w:rPr>
                <w:rFonts w:hint="eastAsia" w:ascii="宋体" w:hAnsi="宋体" w:eastAsia="宋体" w:cs="宋体"/>
                <w:sz w:val="21"/>
                <w:szCs w:val="21"/>
              </w:rPr>
            </w:pPr>
            <w:r>
              <w:rPr>
                <w:rFonts w:hint="eastAsia" w:ascii="宋体" w:hAnsi="宋体" w:eastAsia="宋体" w:cs="宋体"/>
                <w:sz w:val="21"/>
                <w:szCs w:val="21"/>
              </w:rPr>
              <w:t>▲（1）即时通讯功能，支持老师和学生实时在线聊天并实时交流技术。如配套部署了虚桌面系统，老师可以共享方式进入学生虚机远程互动协作辅导，或可以通过独享方式进入学生虚机检查学生实训情况；</w:t>
            </w:r>
          </w:p>
          <w:p>
            <w:pPr>
              <w:ind w:firstLine="210" w:firstLineChars="100"/>
              <w:rPr>
                <w:rFonts w:hint="eastAsia" w:ascii="宋体" w:hAnsi="宋体" w:eastAsia="宋体" w:cs="宋体"/>
                <w:sz w:val="21"/>
                <w:szCs w:val="21"/>
              </w:rPr>
            </w:pPr>
            <w:r>
              <w:rPr>
                <w:rFonts w:hint="eastAsia" w:ascii="宋体" w:hAnsi="宋体" w:eastAsia="宋体" w:cs="宋体"/>
                <w:sz w:val="21"/>
                <w:szCs w:val="21"/>
              </w:rPr>
              <w:t>（2）老师可以进行课程实践活动管理，支持个人资料维护、教学资源检索、教学任务的微调管理；</w:t>
            </w:r>
          </w:p>
          <w:p>
            <w:pPr>
              <w:rPr>
                <w:rFonts w:hint="eastAsia" w:ascii="宋体" w:hAnsi="宋体" w:eastAsia="宋体" w:cs="宋体"/>
                <w:sz w:val="21"/>
                <w:szCs w:val="21"/>
              </w:rPr>
            </w:pPr>
            <w:r>
              <w:rPr>
                <w:rFonts w:hint="eastAsia" w:ascii="宋体" w:hAnsi="宋体" w:eastAsia="宋体" w:cs="宋体"/>
                <w:sz w:val="21"/>
                <w:szCs w:val="21"/>
              </w:rPr>
              <w:t>▲ （3）老师可以一键引用，直接生成课程。课程下包含教学所需的教学资源；</w:t>
            </w:r>
          </w:p>
          <w:p>
            <w:pPr>
              <w:rPr>
                <w:rFonts w:hint="eastAsia" w:ascii="宋体" w:hAnsi="宋体" w:eastAsia="宋体" w:cs="宋体"/>
                <w:sz w:val="21"/>
                <w:szCs w:val="21"/>
              </w:rPr>
            </w:pPr>
            <w:r>
              <w:rPr>
                <w:rFonts w:hint="eastAsia" w:ascii="宋体" w:hAnsi="宋体" w:eastAsia="宋体" w:cs="宋体"/>
                <w:sz w:val="21"/>
                <w:szCs w:val="21"/>
              </w:rPr>
              <w:t>▲（4）老师可以对所有的学生进行个性化教学推荐，对所有学生可见的资源进行权限管理；</w:t>
            </w:r>
          </w:p>
          <w:p>
            <w:pPr>
              <w:rPr>
                <w:rFonts w:hint="eastAsia" w:ascii="宋体" w:hAnsi="宋体" w:eastAsia="宋体" w:cs="宋体"/>
                <w:sz w:val="21"/>
                <w:szCs w:val="21"/>
              </w:rPr>
            </w:pPr>
            <w:r>
              <w:rPr>
                <w:rFonts w:hint="eastAsia" w:ascii="宋体" w:hAnsi="宋体" w:eastAsia="宋体" w:cs="宋体"/>
                <w:sz w:val="21"/>
                <w:szCs w:val="21"/>
              </w:rPr>
              <w:t>▲（5）作业管理，支持交作业流程管理（包含催缴作业功能）、学生作业情况监控、学生答案相似性比对功能，辅助教师判分。作业支持在线预览、本地打开两种浏览功能；并对作业进行时间管理，超时后无法提交作业；</w:t>
            </w:r>
          </w:p>
          <w:p>
            <w:pPr>
              <w:widowControl/>
              <w:jc w:val="left"/>
              <w:rPr>
                <w:rFonts w:hint="eastAsia" w:ascii="宋体" w:hAnsi="宋体" w:eastAsia="宋体" w:cs="宋体"/>
                <w:sz w:val="21"/>
                <w:szCs w:val="21"/>
              </w:rPr>
            </w:pPr>
            <w:r>
              <w:rPr>
                <w:rFonts w:hint="eastAsia" w:ascii="宋体" w:hAnsi="宋体" w:eastAsia="宋体" w:cs="宋体"/>
                <w:sz w:val="21"/>
                <w:szCs w:val="21"/>
              </w:rPr>
              <w:t xml:space="preserve">▲（6）老师可以指定学生交作业方式（教学客户端、使用虚机提交两种方式）； </w:t>
            </w:r>
          </w:p>
          <w:p>
            <w:pPr>
              <w:rPr>
                <w:rFonts w:hint="eastAsia" w:ascii="宋体" w:hAnsi="宋体" w:eastAsia="宋体" w:cs="宋体"/>
                <w:sz w:val="21"/>
                <w:szCs w:val="21"/>
              </w:rPr>
            </w:pPr>
            <w:r>
              <w:rPr>
                <w:rFonts w:hint="eastAsia" w:ascii="宋体" w:hAnsi="宋体" w:eastAsia="宋体" w:cs="宋体"/>
                <w:sz w:val="21"/>
                <w:szCs w:val="21"/>
              </w:rPr>
              <w:t>▲（7）教学检查满足两种方式：教师可以访问任意学生虚机，收取实验报告；</w:t>
            </w:r>
          </w:p>
          <w:p>
            <w:pPr>
              <w:rPr>
                <w:rFonts w:hint="eastAsia" w:ascii="宋体" w:hAnsi="宋体" w:eastAsia="宋体" w:cs="宋体"/>
                <w:sz w:val="21"/>
                <w:szCs w:val="21"/>
              </w:rPr>
            </w:pPr>
            <w:bookmarkStart w:id="112" w:name="_Hlk48821876"/>
            <w:r>
              <w:rPr>
                <w:rFonts w:hint="eastAsia" w:ascii="宋体" w:hAnsi="宋体" w:eastAsia="宋体" w:cs="宋体"/>
                <w:sz w:val="21"/>
                <w:szCs w:val="21"/>
              </w:rPr>
              <w:t>（8）教学资源制作功能，提供教学资源制作工具，可以方便地将多目录教学资源文件转换为可以上传到平台的格式；</w:t>
            </w:r>
          </w:p>
          <w:bookmarkEnd w:id="112"/>
          <w:p>
            <w:pPr>
              <w:rPr>
                <w:rFonts w:hint="eastAsia" w:ascii="宋体" w:hAnsi="宋体" w:eastAsia="宋体" w:cs="宋体"/>
                <w:sz w:val="21"/>
                <w:szCs w:val="21"/>
              </w:rPr>
            </w:pPr>
            <w:r>
              <w:rPr>
                <w:rFonts w:hint="eastAsia" w:ascii="宋体" w:hAnsi="宋体" w:eastAsia="宋体" w:cs="宋体"/>
                <w:sz w:val="21"/>
                <w:szCs w:val="21"/>
              </w:rPr>
              <w:t>▲（9）老师可以设置组卷策略、设置各种题型的比例。支持单选、多选、编程等多种通用题型，并支持C、C++、C#、JAVA四种主流编程格式。C语言可支持自动评判代码是否正确；组卷方式可以采用抽题模式和选题模式两种模式。支持选题溢出，支持随机试题及随机选项；</w:t>
            </w:r>
          </w:p>
          <w:p>
            <w:pPr>
              <w:rPr>
                <w:rFonts w:hint="eastAsia" w:ascii="宋体" w:hAnsi="宋体" w:eastAsia="宋体" w:cs="宋体"/>
                <w:sz w:val="21"/>
                <w:szCs w:val="21"/>
              </w:rPr>
            </w:pPr>
            <w:r>
              <w:rPr>
                <w:rFonts w:hint="eastAsia" w:ascii="宋体" w:hAnsi="宋体" w:eastAsia="宋体" w:cs="宋体"/>
                <w:sz w:val="21"/>
                <w:szCs w:val="21"/>
              </w:rPr>
              <w:t>（10）系统到时自动收卷，收卷后自动公布试题答案。能够统计单个学生的错误率、统计全部学生的错误率，并且可以对试题进行解析；</w:t>
            </w:r>
          </w:p>
          <w:p>
            <w:pPr>
              <w:rPr>
                <w:rFonts w:hint="eastAsia" w:ascii="宋体" w:hAnsi="宋体" w:eastAsia="宋体" w:cs="宋体"/>
                <w:sz w:val="21"/>
                <w:szCs w:val="21"/>
              </w:rPr>
            </w:pPr>
            <w:r>
              <w:rPr>
                <w:rFonts w:hint="eastAsia" w:ascii="宋体" w:hAnsi="宋体" w:eastAsia="宋体" w:cs="宋体"/>
                <w:sz w:val="21"/>
                <w:szCs w:val="21"/>
              </w:rPr>
              <w:t>▲（11）老师可以编辑课程模版，导入或手工建立；</w:t>
            </w:r>
          </w:p>
          <w:p>
            <w:pPr>
              <w:rPr>
                <w:rFonts w:hint="eastAsia" w:ascii="宋体" w:hAnsi="宋体" w:eastAsia="宋体" w:cs="宋体"/>
                <w:sz w:val="21"/>
                <w:szCs w:val="21"/>
              </w:rPr>
            </w:pPr>
            <w:r>
              <w:rPr>
                <w:rFonts w:hint="eastAsia" w:ascii="宋体" w:hAnsi="宋体" w:eastAsia="宋体" w:cs="宋体"/>
                <w:sz w:val="21"/>
                <w:szCs w:val="21"/>
              </w:rPr>
              <w:t>▲（12）老师的课程可以应用模版，达到课程资源复用目的；</w:t>
            </w:r>
          </w:p>
          <w:p>
            <w:pPr>
              <w:rPr>
                <w:rFonts w:hint="eastAsia" w:ascii="宋体" w:hAnsi="宋体" w:eastAsia="宋体" w:cs="宋体"/>
                <w:sz w:val="21"/>
                <w:szCs w:val="21"/>
              </w:rPr>
            </w:pPr>
            <w:r>
              <w:rPr>
                <w:rFonts w:hint="eastAsia" w:ascii="宋体" w:hAnsi="宋体" w:eastAsia="宋体" w:cs="宋体"/>
                <w:sz w:val="21"/>
                <w:szCs w:val="21"/>
              </w:rPr>
              <w:t>▲（13）老师可以把现有课程变成模版供以后使用；</w:t>
            </w:r>
          </w:p>
          <w:p>
            <w:pPr>
              <w:rPr>
                <w:rFonts w:hint="eastAsia" w:ascii="宋体" w:hAnsi="宋体" w:eastAsia="宋体" w:cs="宋体"/>
                <w:sz w:val="21"/>
                <w:szCs w:val="21"/>
              </w:rPr>
            </w:pPr>
            <w:r>
              <w:rPr>
                <w:rFonts w:hint="eastAsia" w:ascii="宋体" w:hAnsi="宋体" w:eastAsia="宋体" w:cs="宋体"/>
                <w:sz w:val="21"/>
                <w:szCs w:val="21"/>
              </w:rPr>
              <w:t>（14）题库管理 系统可以建立对层次的题库目录分类，支持excel题目批量导入，编辑修改题目；题目可以删除或修改；可以将题目升级改良；</w:t>
            </w:r>
          </w:p>
          <w:p>
            <w:pPr>
              <w:rPr>
                <w:rFonts w:hint="eastAsia" w:ascii="宋体" w:hAnsi="宋体" w:eastAsia="宋体" w:cs="宋体"/>
                <w:sz w:val="21"/>
                <w:szCs w:val="21"/>
              </w:rPr>
            </w:pPr>
            <w:r>
              <w:rPr>
                <w:rFonts w:hint="eastAsia" w:ascii="宋体" w:hAnsi="宋体" w:eastAsia="宋体" w:cs="宋体"/>
                <w:sz w:val="21"/>
                <w:szCs w:val="21"/>
              </w:rPr>
              <w:t>（15）支持多学期切换，查看历史教学痕迹；</w:t>
            </w:r>
          </w:p>
          <w:p>
            <w:pPr>
              <w:rPr>
                <w:rFonts w:hint="eastAsia" w:ascii="宋体" w:hAnsi="宋体" w:eastAsia="宋体" w:cs="宋体"/>
                <w:sz w:val="21"/>
                <w:szCs w:val="21"/>
              </w:rPr>
            </w:pPr>
          </w:p>
          <w:p>
            <w:pPr>
              <w:rPr>
                <w:rFonts w:hint="eastAsia" w:ascii="宋体" w:hAnsi="宋体" w:eastAsia="宋体" w:cs="宋体"/>
                <w:sz w:val="21"/>
                <w:szCs w:val="21"/>
              </w:rPr>
            </w:pPr>
            <w:r>
              <w:rPr>
                <w:rFonts w:hint="eastAsia" w:ascii="宋体" w:hAnsi="宋体" w:eastAsia="宋体" w:cs="宋体"/>
                <w:sz w:val="21"/>
                <w:szCs w:val="21"/>
              </w:rPr>
              <w:t>4、学生学习端功能：</w:t>
            </w:r>
          </w:p>
          <w:p>
            <w:pPr>
              <w:rPr>
                <w:rFonts w:hint="eastAsia" w:ascii="宋体" w:hAnsi="宋体" w:eastAsia="宋体" w:cs="宋体"/>
                <w:sz w:val="21"/>
                <w:szCs w:val="21"/>
              </w:rPr>
            </w:pPr>
            <w:r>
              <w:rPr>
                <w:rFonts w:hint="eastAsia" w:ascii="宋体" w:hAnsi="宋体" w:eastAsia="宋体" w:cs="宋体"/>
                <w:sz w:val="21"/>
                <w:szCs w:val="21"/>
              </w:rPr>
              <w:t>▲（1）即时通讯功能，支持老师和学生实时在线聊天并实时交流技术；</w:t>
            </w:r>
          </w:p>
          <w:p>
            <w:pPr>
              <w:rPr>
                <w:rFonts w:hint="eastAsia" w:ascii="宋体" w:hAnsi="宋体" w:eastAsia="宋体" w:cs="宋体"/>
                <w:sz w:val="21"/>
                <w:szCs w:val="21"/>
              </w:rPr>
            </w:pPr>
            <w:r>
              <w:rPr>
                <w:rFonts w:hint="eastAsia" w:ascii="宋体" w:hAnsi="宋体" w:eastAsia="宋体" w:cs="宋体"/>
                <w:sz w:val="21"/>
                <w:szCs w:val="21"/>
              </w:rPr>
              <w:t>（2）学生可以通过平台进行虚拟桌面在线调用并使用实训活动所需实践软件及环境，在线展示自己的作业并部署；</w:t>
            </w:r>
          </w:p>
          <w:p>
            <w:pPr>
              <w:rPr>
                <w:rFonts w:hint="eastAsia" w:ascii="宋体" w:hAnsi="宋体" w:eastAsia="宋体" w:cs="宋体"/>
                <w:sz w:val="21"/>
                <w:szCs w:val="21"/>
              </w:rPr>
            </w:pPr>
            <w:r>
              <w:rPr>
                <w:rFonts w:hint="eastAsia" w:ascii="宋体" w:hAnsi="宋体" w:eastAsia="宋体" w:cs="宋体"/>
                <w:sz w:val="21"/>
                <w:szCs w:val="21"/>
              </w:rPr>
              <w:t>（3）学生通过平台可以在线接受实训任务、实现在线实验结构展示、课程列表、教学资源检索、个人资料维护、修改密码等功能；</w:t>
            </w:r>
          </w:p>
          <w:p>
            <w:pPr>
              <w:rPr>
                <w:rFonts w:hint="eastAsia" w:ascii="宋体" w:hAnsi="宋体" w:eastAsia="宋体" w:cs="宋体"/>
                <w:sz w:val="21"/>
                <w:szCs w:val="21"/>
              </w:rPr>
            </w:pPr>
            <w:r>
              <w:rPr>
                <w:rFonts w:hint="eastAsia" w:ascii="宋体" w:hAnsi="宋体" w:eastAsia="宋体" w:cs="宋体"/>
                <w:sz w:val="21"/>
                <w:szCs w:val="21"/>
              </w:rPr>
              <w:t>▲（4）平台提供在虚拟桌面中的云端交作业学习工具，交作业学习工具实现自动登录，防止冒名交作业。交作业学习工具显示的教学数据需要和教学端给学生展示的一样内容，即按照老师、课程和章节进行分类显示；</w:t>
            </w:r>
          </w:p>
          <w:p>
            <w:pPr>
              <w:rPr>
                <w:rFonts w:hint="eastAsia" w:ascii="宋体" w:hAnsi="宋体" w:eastAsia="宋体" w:cs="宋体"/>
                <w:sz w:val="21"/>
                <w:szCs w:val="21"/>
              </w:rPr>
            </w:pPr>
            <w:r>
              <w:rPr>
                <w:rFonts w:hint="eastAsia" w:ascii="宋体" w:hAnsi="宋体" w:eastAsia="宋体" w:cs="宋体"/>
                <w:sz w:val="21"/>
                <w:szCs w:val="21"/>
              </w:rPr>
              <w:t>▲（5）云端作业管理系统支持学生上传的作业使用各种类型，并且可以在教学端老师使用的时候直接打开；</w:t>
            </w:r>
          </w:p>
          <w:p>
            <w:pPr>
              <w:rPr>
                <w:rFonts w:hint="eastAsia" w:ascii="宋体" w:hAnsi="宋体" w:eastAsia="宋体" w:cs="宋体"/>
                <w:sz w:val="21"/>
                <w:szCs w:val="21"/>
              </w:rPr>
            </w:pPr>
            <w:r>
              <w:rPr>
                <w:rFonts w:hint="eastAsia" w:ascii="宋体" w:hAnsi="宋体" w:eastAsia="宋体" w:cs="宋体"/>
                <w:sz w:val="21"/>
                <w:szCs w:val="21"/>
              </w:rPr>
              <w:t>（6）学生能够按顺序答题，选题号答题，答题时可以给题目做标记，以备复查；</w:t>
            </w:r>
          </w:p>
          <w:p>
            <w:pPr>
              <w:rPr>
                <w:rFonts w:hint="eastAsia" w:ascii="宋体" w:hAnsi="宋体" w:eastAsia="宋体" w:cs="宋体"/>
                <w:sz w:val="21"/>
                <w:szCs w:val="21"/>
              </w:rPr>
            </w:pPr>
            <w:r>
              <w:rPr>
                <w:rFonts w:hint="eastAsia" w:ascii="宋体" w:hAnsi="宋体" w:eastAsia="宋体" w:cs="宋体"/>
                <w:sz w:val="21"/>
                <w:szCs w:val="21"/>
              </w:rPr>
              <w:t>（7）答完题学生可以复习题目，可以看到试卷错误率，同时实现题目解析，巩固课程知识点；</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288" w:lineRule="auto"/>
              <w:ind w:left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sz w:val="21"/>
                <w:szCs w:val="21"/>
              </w:rPr>
              <w:t>注：平台须可以对接云桌面系统、课程资源等系统进行使用。</w:t>
            </w:r>
          </w:p>
        </w:tc>
        <w:tc>
          <w:tcPr>
            <w:tcW w:w="808" w:type="dxa"/>
            <w:vAlign w:val="center"/>
          </w:tcPr>
          <w:p>
            <w:pPr>
              <w:autoSpaceDE w:val="0"/>
              <w:autoSpaceDN w:val="0"/>
              <w:adjustRightInd w:val="0"/>
              <w:spacing w:line="240" w:lineRule="auto"/>
              <w:jc w:val="center"/>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1套</w:t>
            </w:r>
          </w:p>
        </w:tc>
        <w:tc>
          <w:tcPr>
            <w:tcW w:w="1091" w:type="dxa"/>
            <w:vAlign w:val="center"/>
          </w:tcPr>
          <w:p>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98000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614" w:type="dxa"/>
            <w:vAlign w:val="center"/>
          </w:tcPr>
          <w:p>
            <w:pPr>
              <w:autoSpaceDE w:val="0"/>
              <w:autoSpaceDN w:val="0"/>
              <w:adjustRightInd w:val="0"/>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2</w:t>
            </w:r>
          </w:p>
        </w:tc>
        <w:tc>
          <w:tcPr>
            <w:tcW w:w="1016" w:type="dxa"/>
            <w:vAlign w:val="center"/>
          </w:tcPr>
          <w:p>
            <w:pPr>
              <w:widowControl/>
              <w:jc w:val="center"/>
              <w:textAlignment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人工智能云桌面实验环境平台</w:t>
            </w:r>
          </w:p>
        </w:tc>
        <w:tc>
          <w:tcPr>
            <w:tcW w:w="5846" w:type="dxa"/>
          </w:tcPr>
          <w:p>
            <w:pPr>
              <w:numPr>
                <w:ilvl w:val="0"/>
                <w:numId w:val="37"/>
              </w:numPr>
              <w:rPr>
                <w:rFonts w:hint="eastAsia" w:ascii="宋体" w:hAnsi="宋体" w:eastAsia="宋体" w:cs="宋体"/>
                <w:sz w:val="21"/>
                <w:szCs w:val="21"/>
              </w:rPr>
            </w:pPr>
            <w:r>
              <w:rPr>
                <w:rFonts w:hint="eastAsia" w:ascii="宋体" w:hAnsi="宋体" w:eastAsia="宋体" w:cs="宋体"/>
                <w:sz w:val="21"/>
                <w:szCs w:val="21"/>
              </w:rPr>
              <w:t>主要功能/用途</w:t>
            </w:r>
          </w:p>
          <w:p>
            <w:pPr>
              <w:numPr>
                <w:ilvl w:val="0"/>
                <w:numId w:val="0"/>
              </w:numPr>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利用虚拟化、负载均衡和分布式存储等技术，建设一个统一的智能开放架构云计算平台，深度集成整合各种资源、平台和应用，按需向用户提供服务，满足教育用户通过各种信息终端完成教学、学习、科研、管理、社交等方面的需求，实现发布教育信息、获取教学资源、开展教学互动、统计教育信息与数据、形成科学决策、实施教育评价、开展协同科研等系列活动。学生将利用</w:t>
            </w:r>
            <w:r>
              <w:rPr>
                <w:rFonts w:hint="eastAsia" w:ascii="宋体" w:hAnsi="宋体" w:eastAsia="宋体" w:cs="宋体"/>
                <w:sz w:val="21"/>
                <w:szCs w:val="21"/>
                <w:lang w:val="en-US" w:eastAsia="zh-CN"/>
              </w:rPr>
              <w:t>该平台进行</w:t>
            </w:r>
            <w:r>
              <w:rPr>
                <w:rFonts w:hint="eastAsia" w:ascii="宋体" w:hAnsi="宋体" w:eastAsia="宋体" w:cs="宋体"/>
                <w:sz w:val="21"/>
                <w:szCs w:val="21"/>
              </w:rPr>
              <w:t>相关课程的实验以及一些综合实践环节</w:t>
            </w:r>
            <w:r>
              <w:rPr>
                <w:rFonts w:hint="eastAsia" w:ascii="宋体" w:hAnsi="宋体" w:eastAsia="宋体" w:cs="宋体"/>
                <w:sz w:val="21"/>
                <w:szCs w:val="21"/>
                <w:lang w:eastAsia="zh-CN"/>
              </w:rPr>
              <w:t>，支撑</w:t>
            </w:r>
            <w:r>
              <w:rPr>
                <w:rFonts w:hint="eastAsia" w:ascii="宋体" w:hAnsi="宋体" w:eastAsia="宋体" w:cs="宋体"/>
                <w:sz w:val="21"/>
                <w:szCs w:val="21"/>
                <w:lang w:val="en-US" w:eastAsia="zh-CN"/>
              </w:rPr>
              <w:t>人工智能方向</w:t>
            </w:r>
            <w:r>
              <w:rPr>
                <w:rFonts w:hint="eastAsia" w:ascii="宋体" w:hAnsi="宋体" w:eastAsia="宋体" w:cs="宋体"/>
                <w:sz w:val="21"/>
                <w:szCs w:val="21"/>
                <w:lang w:eastAsia="zh-CN"/>
              </w:rPr>
              <w:t>实践教学任务</w:t>
            </w:r>
            <w:r>
              <w:rPr>
                <w:rFonts w:hint="eastAsia" w:ascii="宋体" w:hAnsi="宋体" w:eastAsia="宋体" w:cs="宋体"/>
                <w:sz w:val="21"/>
                <w:szCs w:val="21"/>
                <w:lang w:val="en-US" w:eastAsia="zh-CN"/>
              </w:rPr>
              <w:t>及科研</w:t>
            </w:r>
            <w:r>
              <w:rPr>
                <w:rFonts w:hint="eastAsia" w:ascii="宋体" w:hAnsi="宋体" w:eastAsia="宋体" w:cs="宋体"/>
                <w:sz w:val="21"/>
                <w:szCs w:val="21"/>
                <w:lang w:eastAsia="zh-CN"/>
              </w:rPr>
              <w:t>需要。</w:t>
            </w:r>
          </w:p>
          <w:p>
            <w:pPr>
              <w:rPr>
                <w:rFonts w:hint="eastAsia" w:ascii="宋体" w:hAnsi="宋体" w:eastAsia="宋体" w:cs="宋体"/>
                <w:sz w:val="21"/>
                <w:szCs w:val="21"/>
              </w:rPr>
            </w:pPr>
            <w:r>
              <w:rPr>
                <w:rFonts w:hint="eastAsia" w:ascii="宋体" w:hAnsi="宋体" w:eastAsia="宋体" w:cs="宋体"/>
                <w:sz w:val="21"/>
                <w:szCs w:val="21"/>
              </w:rPr>
              <w:t>二、技术参数/指标</w:t>
            </w:r>
          </w:p>
          <w:p>
            <w:pPr>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支持5个点的vdi集群实验环境部署。</w:t>
            </w:r>
          </w:p>
          <w:p>
            <w:pPr>
              <w:rPr>
                <w:rFonts w:hint="eastAsia" w:ascii="宋体" w:hAnsi="宋体" w:eastAsia="宋体" w:cs="宋体"/>
                <w:sz w:val="21"/>
                <w:szCs w:val="21"/>
              </w:rPr>
            </w:pPr>
            <w:r>
              <w:rPr>
                <w:rFonts w:hint="eastAsia" w:ascii="宋体" w:hAnsi="宋体" w:eastAsia="宋体" w:cs="宋体"/>
                <w:sz w:val="21"/>
                <w:szCs w:val="21"/>
              </w:rPr>
              <w:t>2.用户可以在系统里生成Windows XP、Windows 7、Windows Server 2003/2008、Ubuntu、Redhat等主流桌面操作系统的虚拟桌面。</w:t>
            </w:r>
          </w:p>
          <w:p>
            <w:pPr>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rPr>
              <w:tab/>
            </w:r>
            <w:r>
              <w:rPr>
                <w:rFonts w:hint="eastAsia" w:ascii="宋体" w:hAnsi="宋体" w:eastAsia="宋体" w:cs="宋体"/>
                <w:sz w:val="21"/>
                <w:szCs w:val="21"/>
              </w:rPr>
              <w:t xml:space="preserve">▲系统可以让单个用户分配到多个不同类型的虚拟实验环境。 </w:t>
            </w:r>
          </w:p>
          <w:p>
            <w:pPr>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sz w:val="21"/>
                <w:szCs w:val="21"/>
              </w:rPr>
              <w:tab/>
            </w:r>
            <w:r>
              <w:rPr>
                <w:rFonts w:hint="eastAsia" w:ascii="宋体" w:hAnsi="宋体" w:eastAsia="宋体" w:cs="宋体"/>
                <w:sz w:val="21"/>
                <w:szCs w:val="21"/>
              </w:rPr>
              <w:t>云桌面系统可以让用户在不同的终端上登录自己的虚拟桌面。</w:t>
            </w:r>
          </w:p>
          <w:p>
            <w:pPr>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rPr>
              <w:tab/>
            </w:r>
            <w:r>
              <w:rPr>
                <w:rFonts w:hint="eastAsia" w:ascii="宋体" w:hAnsi="宋体" w:eastAsia="宋体" w:cs="宋体"/>
                <w:sz w:val="21"/>
                <w:szCs w:val="21"/>
              </w:rPr>
              <w:t>用户可以查询云桌面系统后台服务器的基本配置信息。</w:t>
            </w:r>
          </w:p>
          <w:p>
            <w:pPr>
              <w:rPr>
                <w:rFonts w:hint="eastAsia" w:ascii="宋体" w:hAnsi="宋体" w:eastAsia="宋体" w:cs="宋体"/>
                <w:sz w:val="21"/>
                <w:szCs w:val="21"/>
              </w:rPr>
            </w:pPr>
            <w:r>
              <w:rPr>
                <w:rFonts w:hint="eastAsia" w:ascii="宋体" w:hAnsi="宋体" w:eastAsia="宋体" w:cs="宋体"/>
                <w:sz w:val="21"/>
                <w:szCs w:val="21"/>
              </w:rPr>
              <w:t>6.</w:t>
            </w:r>
            <w:r>
              <w:rPr>
                <w:rFonts w:hint="eastAsia" w:ascii="宋体" w:hAnsi="宋体" w:eastAsia="宋体" w:cs="宋体"/>
                <w:sz w:val="21"/>
                <w:szCs w:val="21"/>
              </w:rPr>
              <w:tab/>
            </w:r>
            <w:r>
              <w:rPr>
                <w:rFonts w:hint="eastAsia" w:ascii="宋体" w:hAnsi="宋体" w:eastAsia="宋体" w:cs="宋体"/>
                <w:sz w:val="21"/>
                <w:szCs w:val="21"/>
              </w:rPr>
              <w:t xml:space="preserve">▲用户可以查询云桌面系统中各台服务器上CPU与内存等资源的使用情况。 </w:t>
            </w:r>
          </w:p>
          <w:p>
            <w:pPr>
              <w:rPr>
                <w:rFonts w:hint="eastAsia" w:ascii="宋体" w:hAnsi="宋体" w:eastAsia="宋体" w:cs="宋体"/>
                <w:sz w:val="21"/>
                <w:szCs w:val="21"/>
              </w:rPr>
            </w:pPr>
            <w:r>
              <w:rPr>
                <w:rFonts w:hint="eastAsia" w:ascii="宋体" w:hAnsi="宋体" w:eastAsia="宋体" w:cs="宋体"/>
                <w:sz w:val="21"/>
                <w:szCs w:val="21"/>
              </w:rPr>
              <w:t>7.</w:t>
            </w:r>
            <w:r>
              <w:rPr>
                <w:rFonts w:hint="eastAsia" w:ascii="宋体" w:hAnsi="宋体" w:eastAsia="宋体" w:cs="宋体"/>
                <w:sz w:val="21"/>
                <w:szCs w:val="21"/>
              </w:rPr>
              <w:tab/>
            </w:r>
            <w:r>
              <w:rPr>
                <w:rFonts w:hint="eastAsia" w:ascii="宋体" w:hAnsi="宋体" w:eastAsia="宋体" w:cs="宋体"/>
                <w:sz w:val="21"/>
                <w:szCs w:val="21"/>
              </w:rPr>
              <w:t>用户可以查询云桌面系统中各个物理服务器的运行状态与事件告警。</w:t>
            </w:r>
          </w:p>
          <w:p>
            <w:pPr>
              <w:rPr>
                <w:rFonts w:hint="eastAsia" w:ascii="宋体" w:hAnsi="宋体" w:eastAsia="宋体" w:cs="宋体"/>
                <w:sz w:val="21"/>
                <w:szCs w:val="21"/>
              </w:rPr>
            </w:pPr>
            <w:r>
              <w:rPr>
                <w:rFonts w:hint="eastAsia" w:ascii="宋体" w:hAnsi="宋体" w:eastAsia="宋体" w:cs="宋体"/>
                <w:sz w:val="21"/>
                <w:szCs w:val="21"/>
              </w:rPr>
              <w:t>8.</w:t>
            </w:r>
            <w:r>
              <w:rPr>
                <w:rFonts w:hint="eastAsia" w:ascii="宋体" w:hAnsi="宋体" w:eastAsia="宋体" w:cs="宋体"/>
                <w:sz w:val="21"/>
                <w:szCs w:val="21"/>
              </w:rPr>
              <w:tab/>
            </w:r>
            <w:r>
              <w:rPr>
                <w:rFonts w:hint="eastAsia" w:ascii="宋体" w:hAnsi="宋体" w:eastAsia="宋体" w:cs="宋体"/>
                <w:sz w:val="21"/>
                <w:szCs w:val="21"/>
              </w:rPr>
              <w:t>可以实现对云桌面系统的一站式管控。能够管理多个集群。</w:t>
            </w:r>
          </w:p>
          <w:p>
            <w:pPr>
              <w:rPr>
                <w:rFonts w:hint="eastAsia" w:ascii="宋体" w:hAnsi="宋体" w:eastAsia="宋体" w:cs="宋体"/>
                <w:sz w:val="21"/>
                <w:szCs w:val="21"/>
              </w:rPr>
            </w:pPr>
            <w:r>
              <w:rPr>
                <w:rFonts w:hint="eastAsia" w:ascii="宋体" w:hAnsi="宋体" w:eastAsia="宋体" w:cs="宋体"/>
                <w:sz w:val="21"/>
                <w:szCs w:val="21"/>
              </w:rPr>
              <w:t>9.</w:t>
            </w:r>
            <w:r>
              <w:rPr>
                <w:rFonts w:hint="eastAsia" w:ascii="宋体" w:hAnsi="宋体" w:eastAsia="宋体" w:cs="宋体"/>
                <w:sz w:val="21"/>
                <w:szCs w:val="21"/>
              </w:rPr>
              <w:tab/>
            </w:r>
            <w:r>
              <w:rPr>
                <w:rFonts w:hint="eastAsia" w:ascii="宋体" w:hAnsi="宋体" w:eastAsia="宋体" w:cs="宋体"/>
                <w:sz w:val="21"/>
                <w:szCs w:val="21"/>
              </w:rPr>
              <w:t xml:space="preserve">▲用户可以在云桌面系统的管理后台批量创建虚拟机。生成的虚拟机支持用户进行参数资源调整，调整的内容至少包含VCPU资源、虚拟内存资源，虚拟硬盘资源、虚拟显存的调整。 </w:t>
            </w:r>
          </w:p>
          <w:p>
            <w:pPr>
              <w:rPr>
                <w:rFonts w:hint="eastAsia" w:ascii="宋体" w:hAnsi="宋体" w:eastAsia="宋体" w:cs="宋体"/>
                <w:sz w:val="21"/>
                <w:szCs w:val="21"/>
              </w:rPr>
            </w:pPr>
            <w:r>
              <w:rPr>
                <w:rFonts w:hint="eastAsia" w:ascii="宋体" w:hAnsi="宋体" w:eastAsia="宋体" w:cs="宋体"/>
                <w:sz w:val="21"/>
                <w:szCs w:val="21"/>
              </w:rPr>
              <w:t>10.</w:t>
            </w:r>
            <w:r>
              <w:rPr>
                <w:rFonts w:hint="eastAsia" w:ascii="宋体" w:hAnsi="宋体" w:eastAsia="宋体" w:cs="宋体"/>
                <w:sz w:val="21"/>
                <w:szCs w:val="21"/>
              </w:rPr>
              <w:tab/>
            </w:r>
            <w:r>
              <w:rPr>
                <w:rFonts w:hint="eastAsia" w:ascii="宋体" w:hAnsi="宋体" w:eastAsia="宋体" w:cs="宋体"/>
                <w:sz w:val="21"/>
                <w:szCs w:val="21"/>
              </w:rPr>
              <w:t xml:space="preserve">▲用户可以在云桌面系统中对虚拟机的批量作业，包括批量参数修改、批量启动、重启、关闭。 </w:t>
            </w:r>
          </w:p>
          <w:p>
            <w:pPr>
              <w:rPr>
                <w:rFonts w:hint="eastAsia" w:ascii="宋体" w:hAnsi="宋体" w:eastAsia="宋体" w:cs="宋体"/>
                <w:sz w:val="21"/>
                <w:szCs w:val="21"/>
              </w:rPr>
            </w:pPr>
            <w:r>
              <w:rPr>
                <w:rFonts w:hint="eastAsia" w:ascii="宋体" w:hAnsi="宋体" w:eastAsia="宋体" w:cs="宋体"/>
                <w:sz w:val="21"/>
                <w:szCs w:val="21"/>
              </w:rPr>
              <w:t>11.</w:t>
            </w:r>
            <w:r>
              <w:rPr>
                <w:rFonts w:hint="eastAsia" w:ascii="宋体" w:hAnsi="宋体" w:eastAsia="宋体" w:cs="宋体"/>
                <w:sz w:val="21"/>
                <w:szCs w:val="21"/>
              </w:rPr>
              <w:tab/>
            </w:r>
            <w:r>
              <w:rPr>
                <w:rFonts w:hint="eastAsia" w:ascii="宋体" w:hAnsi="宋体" w:eastAsia="宋体" w:cs="宋体"/>
                <w:sz w:val="21"/>
                <w:szCs w:val="21"/>
              </w:rPr>
              <w:t>云桌面系统支持在虚拟桌面服务器物理服务器上安装管理软件，实现物理服务器性能同时节省对管理服务器的投资。</w:t>
            </w:r>
          </w:p>
          <w:p>
            <w:pPr>
              <w:rPr>
                <w:rFonts w:hint="eastAsia" w:ascii="宋体" w:hAnsi="宋体" w:eastAsia="宋体" w:cs="宋体"/>
                <w:sz w:val="21"/>
                <w:szCs w:val="21"/>
              </w:rPr>
            </w:pPr>
            <w:r>
              <w:rPr>
                <w:rFonts w:hint="eastAsia" w:ascii="宋体" w:hAnsi="宋体" w:eastAsia="宋体" w:cs="宋体"/>
                <w:sz w:val="21"/>
                <w:szCs w:val="21"/>
              </w:rPr>
              <w:t>12.</w:t>
            </w:r>
            <w:r>
              <w:rPr>
                <w:rFonts w:hint="eastAsia" w:ascii="宋体" w:hAnsi="宋体" w:eastAsia="宋体" w:cs="宋体"/>
                <w:sz w:val="21"/>
                <w:szCs w:val="21"/>
              </w:rPr>
              <w:tab/>
            </w:r>
            <w:r>
              <w:rPr>
                <w:rFonts w:hint="eastAsia" w:ascii="宋体" w:hAnsi="宋体" w:eastAsia="宋体" w:cs="宋体"/>
                <w:sz w:val="21"/>
                <w:szCs w:val="21"/>
              </w:rPr>
              <w:t xml:space="preserve">▲用户可以在云桌面系统中临时暂停或恢复虚拟机运行状态。 </w:t>
            </w:r>
          </w:p>
          <w:p>
            <w:pPr>
              <w:rPr>
                <w:rFonts w:hint="eastAsia" w:ascii="宋体" w:hAnsi="宋体" w:eastAsia="宋体" w:cs="宋体"/>
                <w:sz w:val="21"/>
                <w:szCs w:val="21"/>
              </w:rPr>
            </w:pPr>
            <w:r>
              <w:rPr>
                <w:rFonts w:hint="eastAsia" w:ascii="宋体" w:hAnsi="宋体" w:eastAsia="宋体" w:cs="宋体"/>
                <w:sz w:val="21"/>
                <w:szCs w:val="21"/>
              </w:rPr>
              <w:t>13.</w:t>
            </w:r>
            <w:r>
              <w:rPr>
                <w:rFonts w:hint="eastAsia" w:ascii="宋体" w:hAnsi="宋体" w:eastAsia="宋体" w:cs="宋体"/>
                <w:sz w:val="21"/>
                <w:szCs w:val="21"/>
              </w:rPr>
              <w:tab/>
            </w:r>
            <w:r>
              <w:rPr>
                <w:rFonts w:hint="eastAsia" w:ascii="宋体" w:hAnsi="宋体" w:eastAsia="宋体" w:cs="宋体"/>
                <w:sz w:val="21"/>
                <w:szCs w:val="21"/>
              </w:rPr>
              <w:t>管理员在后台可以通过“连接管理”功能，在授权许可和管理策略的遵循下远程登录用户虚拟桌面，进行维护与各项管理工作。</w:t>
            </w:r>
          </w:p>
          <w:p>
            <w:pPr>
              <w:rPr>
                <w:rFonts w:hint="eastAsia" w:ascii="宋体" w:hAnsi="宋体" w:eastAsia="宋体" w:cs="宋体"/>
                <w:sz w:val="21"/>
                <w:szCs w:val="21"/>
              </w:rPr>
            </w:pPr>
            <w:r>
              <w:rPr>
                <w:rFonts w:hint="eastAsia" w:ascii="宋体" w:hAnsi="宋体" w:eastAsia="宋体" w:cs="宋体"/>
                <w:sz w:val="21"/>
                <w:szCs w:val="21"/>
              </w:rPr>
              <w:t>14.</w:t>
            </w:r>
            <w:r>
              <w:rPr>
                <w:rFonts w:hint="eastAsia" w:ascii="宋体" w:hAnsi="宋体" w:eastAsia="宋体" w:cs="宋体"/>
                <w:sz w:val="21"/>
                <w:szCs w:val="21"/>
              </w:rPr>
              <w:tab/>
            </w:r>
            <w:r>
              <w:rPr>
                <w:rFonts w:hint="eastAsia" w:ascii="宋体" w:hAnsi="宋体" w:eastAsia="宋体" w:cs="宋体"/>
                <w:sz w:val="21"/>
                <w:szCs w:val="21"/>
              </w:rPr>
              <w:t xml:space="preserve">▲用户可以在云桌面系统中使用虚拟机的策略备份。 </w:t>
            </w:r>
          </w:p>
          <w:p>
            <w:pPr>
              <w:rPr>
                <w:rFonts w:hint="eastAsia" w:ascii="宋体" w:hAnsi="宋体" w:eastAsia="宋体" w:cs="宋体"/>
                <w:sz w:val="21"/>
                <w:szCs w:val="21"/>
              </w:rPr>
            </w:pPr>
            <w:r>
              <w:rPr>
                <w:rFonts w:hint="eastAsia" w:ascii="宋体" w:hAnsi="宋体" w:eastAsia="宋体" w:cs="宋体"/>
                <w:sz w:val="21"/>
                <w:szCs w:val="21"/>
              </w:rPr>
              <w:t>15.</w:t>
            </w:r>
            <w:r>
              <w:rPr>
                <w:rFonts w:hint="eastAsia" w:ascii="宋体" w:hAnsi="宋体" w:eastAsia="宋体" w:cs="宋体"/>
                <w:sz w:val="21"/>
                <w:szCs w:val="21"/>
              </w:rPr>
              <w:tab/>
            </w:r>
            <w:r>
              <w:rPr>
                <w:rFonts w:hint="eastAsia" w:ascii="宋体" w:hAnsi="宋体" w:eastAsia="宋体" w:cs="宋体"/>
                <w:sz w:val="21"/>
                <w:szCs w:val="21"/>
              </w:rPr>
              <w:t>用户可以查询云桌面系统中虚拟机的运行状态与事件告警信息。</w:t>
            </w:r>
          </w:p>
          <w:p>
            <w:pPr>
              <w:rPr>
                <w:rFonts w:hint="eastAsia" w:ascii="宋体" w:hAnsi="宋体" w:eastAsia="宋体" w:cs="宋体"/>
                <w:sz w:val="21"/>
                <w:szCs w:val="21"/>
              </w:rPr>
            </w:pPr>
            <w:r>
              <w:rPr>
                <w:rFonts w:hint="eastAsia" w:ascii="宋体" w:hAnsi="宋体" w:eastAsia="宋体" w:cs="宋体"/>
                <w:sz w:val="21"/>
                <w:szCs w:val="21"/>
              </w:rPr>
              <w:t>16.</w:t>
            </w:r>
            <w:r>
              <w:rPr>
                <w:rFonts w:hint="eastAsia" w:ascii="宋体" w:hAnsi="宋体" w:eastAsia="宋体" w:cs="宋体"/>
                <w:sz w:val="21"/>
                <w:szCs w:val="21"/>
              </w:rPr>
              <w:tab/>
            </w:r>
            <w:r>
              <w:rPr>
                <w:rFonts w:hint="eastAsia" w:ascii="宋体" w:hAnsi="宋体" w:eastAsia="宋体" w:cs="宋体"/>
                <w:sz w:val="21"/>
                <w:szCs w:val="21"/>
              </w:rPr>
              <w:t xml:space="preserve">▲用户可以使用云桌面系统中的虚拟桌面“非持久化”模式。 </w:t>
            </w:r>
          </w:p>
          <w:p>
            <w:pPr>
              <w:rPr>
                <w:rFonts w:hint="eastAsia" w:ascii="宋体" w:hAnsi="宋体" w:eastAsia="宋体" w:cs="宋体"/>
                <w:sz w:val="21"/>
                <w:szCs w:val="21"/>
              </w:rPr>
            </w:pPr>
            <w:r>
              <w:rPr>
                <w:rFonts w:hint="eastAsia" w:ascii="宋体" w:hAnsi="宋体" w:eastAsia="宋体" w:cs="宋体"/>
                <w:sz w:val="21"/>
                <w:szCs w:val="21"/>
              </w:rPr>
              <w:t>17.</w:t>
            </w:r>
            <w:r>
              <w:rPr>
                <w:rFonts w:hint="eastAsia" w:ascii="宋体" w:hAnsi="宋体" w:eastAsia="宋体" w:cs="宋体"/>
                <w:sz w:val="21"/>
                <w:szCs w:val="21"/>
              </w:rPr>
              <w:tab/>
            </w:r>
            <w:r>
              <w:rPr>
                <w:rFonts w:hint="eastAsia" w:ascii="宋体" w:hAnsi="宋体" w:eastAsia="宋体" w:cs="宋体"/>
                <w:sz w:val="21"/>
                <w:szCs w:val="21"/>
              </w:rPr>
              <w:t>虚拟桌面“非持久化”模式支持实现虚拟桌面重启后系统盘自动还原。</w:t>
            </w:r>
          </w:p>
          <w:p>
            <w:pPr>
              <w:rPr>
                <w:rFonts w:hint="eastAsia" w:ascii="宋体" w:hAnsi="宋体" w:eastAsia="宋体" w:cs="宋体"/>
                <w:sz w:val="21"/>
                <w:szCs w:val="21"/>
              </w:rPr>
            </w:pPr>
            <w:r>
              <w:rPr>
                <w:rFonts w:hint="eastAsia" w:ascii="宋体" w:hAnsi="宋体" w:eastAsia="宋体" w:cs="宋体"/>
                <w:sz w:val="21"/>
                <w:szCs w:val="21"/>
              </w:rPr>
              <w:t>18.</w:t>
            </w:r>
            <w:r>
              <w:rPr>
                <w:rFonts w:hint="eastAsia" w:ascii="宋体" w:hAnsi="宋体" w:eastAsia="宋体" w:cs="宋体"/>
                <w:sz w:val="21"/>
                <w:szCs w:val="21"/>
              </w:rPr>
              <w:tab/>
            </w:r>
            <w:r>
              <w:rPr>
                <w:rFonts w:hint="eastAsia" w:ascii="宋体" w:hAnsi="宋体" w:eastAsia="宋体" w:cs="宋体"/>
                <w:sz w:val="21"/>
                <w:szCs w:val="21"/>
              </w:rPr>
              <w:t xml:space="preserve">▲用户可以在云桌面系统中使用虚拟桌面定时开机预启动功能，来提高桌面启动效率。 </w:t>
            </w:r>
          </w:p>
          <w:p>
            <w:pPr>
              <w:rPr>
                <w:rFonts w:hint="eastAsia" w:ascii="宋体" w:hAnsi="宋体" w:eastAsia="宋体" w:cs="宋体"/>
                <w:sz w:val="21"/>
                <w:szCs w:val="21"/>
              </w:rPr>
            </w:pPr>
            <w:r>
              <w:rPr>
                <w:rFonts w:hint="eastAsia" w:ascii="宋体" w:hAnsi="宋体" w:eastAsia="宋体" w:cs="宋体"/>
                <w:sz w:val="21"/>
                <w:szCs w:val="21"/>
              </w:rPr>
              <w:t>19.</w:t>
            </w:r>
            <w:r>
              <w:rPr>
                <w:rFonts w:hint="eastAsia" w:ascii="宋体" w:hAnsi="宋体" w:eastAsia="宋体" w:cs="宋体"/>
                <w:sz w:val="21"/>
                <w:szCs w:val="21"/>
              </w:rPr>
              <w:tab/>
            </w:r>
            <w:r>
              <w:rPr>
                <w:rFonts w:hint="eastAsia" w:ascii="宋体" w:hAnsi="宋体" w:eastAsia="宋体" w:cs="宋体"/>
                <w:sz w:val="21"/>
                <w:szCs w:val="21"/>
              </w:rPr>
              <w:t>用户可以在云桌面系统中使用挂载数据盘功能，来满足用户数据存储需要</w:t>
            </w:r>
          </w:p>
          <w:p>
            <w:pPr>
              <w:rPr>
                <w:rFonts w:hint="eastAsia" w:ascii="宋体" w:hAnsi="宋体" w:eastAsia="宋体" w:cs="宋体"/>
                <w:sz w:val="21"/>
                <w:szCs w:val="21"/>
              </w:rPr>
            </w:pPr>
            <w:r>
              <w:rPr>
                <w:rFonts w:hint="eastAsia" w:ascii="宋体" w:hAnsi="宋体" w:eastAsia="宋体" w:cs="宋体"/>
                <w:sz w:val="21"/>
                <w:szCs w:val="21"/>
              </w:rPr>
              <w:t>20.</w:t>
            </w:r>
            <w:r>
              <w:rPr>
                <w:rFonts w:hint="eastAsia" w:ascii="宋体" w:hAnsi="宋体" w:eastAsia="宋体" w:cs="宋体"/>
                <w:sz w:val="21"/>
                <w:szCs w:val="21"/>
              </w:rPr>
              <w:tab/>
            </w:r>
            <w:r>
              <w:rPr>
                <w:rFonts w:hint="eastAsia" w:ascii="宋体" w:hAnsi="宋体" w:eastAsia="宋体" w:cs="宋体"/>
                <w:sz w:val="21"/>
                <w:szCs w:val="21"/>
              </w:rPr>
              <w:t xml:space="preserve">▲用户可以在云桌面系统中对于“非持久化”模式桌面通过升级模版，从而实现虚拟桌面的统一升级。 </w:t>
            </w:r>
          </w:p>
          <w:p>
            <w:pPr>
              <w:rPr>
                <w:rFonts w:hint="eastAsia" w:ascii="宋体" w:hAnsi="宋体" w:eastAsia="宋体" w:cs="宋体"/>
                <w:sz w:val="21"/>
                <w:szCs w:val="21"/>
              </w:rPr>
            </w:pPr>
            <w:r>
              <w:rPr>
                <w:rFonts w:hint="eastAsia" w:ascii="宋体" w:hAnsi="宋体" w:eastAsia="宋体" w:cs="宋体"/>
                <w:sz w:val="21"/>
                <w:szCs w:val="21"/>
              </w:rPr>
              <w:t>21.</w:t>
            </w:r>
            <w:r>
              <w:rPr>
                <w:rFonts w:hint="eastAsia" w:ascii="宋体" w:hAnsi="宋体" w:eastAsia="宋体" w:cs="宋体"/>
                <w:sz w:val="21"/>
                <w:szCs w:val="21"/>
              </w:rPr>
              <w:tab/>
            </w:r>
            <w:r>
              <w:rPr>
                <w:rFonts w:hint="eastAsia" w:ascii="宋体" w:hAnsi="宋体" w:eastAsia="宋体" w:cs="宋体"/>
                <w:sz w:val="21"/>
                <w:szCs w:val="21"/>
              </w:rPr>
              <w:t xml:space="preserve">▲提供两种虚机访问方式，共享模式和独享模式，独享模式访问的虚机支持usb连接。 </w:t>
            </w:r>
          </w:p>
          <w:p>
            <w:pPr>
              <w:rPr>
                <w:rFonts w:hint="eastAsia" w:ascii="宋体" w:hAnsi="宋体" w:eastAsia="宋体" w:cs="宋体"/>
                <w:sz w:val="21"/>
                <w:szCs w:val="21"/>
              </w:rPr>
            </w:pPr>
            <w:r>
              <w:rPr>
                <w:rFonts w:hint="eastAsia" w:ascii="宋体" w:hAnsi="宋体" w:eastAsia="宋体" w:cs="宋体"/>
                <w:sz w:val="21"/>
                <w:szCs w:val="21"/>
              </w:rPr>
              <w:t>22.</w:t>
            </w:r>
            <w:r>
              <w:rPr>
                <w:rFonts w:hint="eastAsia" w:ascii="宋体" w:hAnsi="宋体" w:eastAsia="宋体" w:cs="宋体"/>
                <w:sz w:val="21"/>
                <w:szCs w:val="21"/>
              </w:rPr>
              <w:tab/>
            </w:r>
            <w:r>
              <w:rPr>
                <w:rFonts w:hint="eastAsia" w:ascii="宋体" w:hAnsi="宋体" w:eastAsia="宋体" w:cs="宋体"/>
                <w:sz w:val="21"/>
                <w:szCs w:val="21"/>
              </w:rPr>
              <w:t>独享模式访问的虚机支持屏幕分辨率自适应。</w:t>
            </w:r>
          </w:p>
          <w:p>
            <w:pPr>
              <w:rPr>
                <w:rFonts w:hint="eastAsia" w:ascii="宋体" w:hAnsi="宋体" w:eastAsia="宋体" w:cs="宋体"/>
                <w:sz w:val="21"/>
                <w:szCs w:val="21"/>
              </w:rPr>
            </w:pPr>
            <w:r>
              <w:rPr>
                <w:rFonts w:hint="eastAsia" w:ascii="宋体" w:hAnsi="宋体" w:eastAsia="宋体" w:cs="宋体"/>
                <w:sz w:val="21"/>
                <w:szCs w:val="21"/>
              </w:rPr>
              <w:t>23.</w:t>
            </w:r>
            <w:r>
              <w:rPr>
                <w:rFonts w:hint="eastAsia" w:ascii="宋体" w:hAnsi="宋体" w:eastAsia="宋体" w:cs="宋体"/>
                <w:sz w:val="21"/>
                <w:szCs w:val="21"/>
              </w:rPr>
              <w:tab/>
            </w:r>
            <w:r>
              <w:rPr>
                <w:rFonts w:hint="eastAsia" w:ascii="宋体" w:hAnsi="宋体" w:eastAsia="宋体" w:cs="宋体"/>
                <w:sz w:val="21"/>
                <w:szCs w:val="21"/>
              </w:rPr>
              <w:t>用户可以使用云桌面系统自带的客户端软件或者云终端机，通过局域网，连接用户/学生账户所属的桌面应用环境。用户可以使用云桌面系统自带的客户端软件或者云终端机，通过Internet外网访问认证中心进行认证，连接用户/学生账户所属的桌面应用环境。用户在局域网或Internet使用相同账户访问时，获得的桌面应用环境保持一致。</w:t>
            </w:r>
          </w:p>
          <w:p>
            <w:pPr>
              <w:rPr>
                <w:rFonts w:hint="eastAsia" w:ascii="宋体" w:hAnsi="宋体" w:eastAsia="宋体" w:cs="宋体"/>
                <w:sz w:val="21"/>
                <w:szCs w:val="21"/>
              </w:rPr>
            </w:pPr>
            <w:r>
              <w:rPr>
                <w:rFonts w:hint="eastAsia" w:ascii="宋体" w:hAnsi="宋体" w:eastAsia="宋体" w:cs="宋体"/>
                <w:sz w:val="21"/>
                <w:szCs w:val="21"/>
              </w:rPr>
              <w:t>24.</w:t>
            </w:r>
            <w:r>
              <w:rPr>
                <w:rFonts w:hint="eastAsia" w:ascii="宋体" w:hAnsi="宋体" w:eastAsia="宋体" w:cs="宋体"/>
                <w:sz w:val="21"/>
                <w:szCs w:val="21"/>
              </w:rPr>
              <w:tab/>
            </w:r>
            <w:r>
              <w:rPr>
                <w:rFonts w:hint="eastAsia" w:ascii="宋体" w:hAnsi="宋体" w:eastAsia="宋体" w:cs="宋体"/>
                <w:sz w:val="21"/>
                <w:szCs w:val="21"/>
              </w:rPr>
              <w:t>用户可以部署集群方式的云桌面系统，不因服务器单点故障导致系统瘫痪，实现HA高可用。云桌面系统支持管理后台HA高可用，不因管理系统故障导致整个虚拟桌面系统瘫痪。云桌面系统同一个平台支持多个Broker设计，满足大规模部署需要。云桌面系统支持虚拟机启动时的服务器智能选择，实现服务器资源的负载均衡。云桌面系统支持多集群部署，满足后台扩容需要。</w:t>
            </w:r>
          </w:p>
          <w:p>
            <w:pPr>
              <w:rPr>
                <w:rFonts w:hint="eastAsia" w:ascii="宋体" w:hAnsi="宋体" w:eastAsia="宋体" w:cs="宋体"/>
                <w:sz w:val="21"/>
                <w:szCs w:val="21"/>
              </w:rPr>
            </w:pPr>
            <w:r>
              <w:rPr>
                <w:rFonts w:hint="eastAsia" w:ascii="宋体" w:hAnsi="宋体" w:eastAsia="宋体" w:cs="宋体"/>
                <w:sz w:val="21"/>
                <w:szCs w:val="21"/>
              </w:rPr>
              <w:t>25.</w:t>
            </w:r>
            <w:r>
              <w:rPr>
                <w:rFonts w:hint="eastAsia" w:ascii="宋体" w:hAnsi="宋体" w:eastAsia="宋体" w:cs="宋体"/>
                <w:sz w:val="21"/>
                <w:szCs w:val="21"/>
              </w:rPr>
              <w:tab/>
            </w:r>
            <w:r>
              <w:rPr>
                <w:rFonts w:hint="eastAsia" w:ascii="宋体" w:hAnsi="宋体" w:eastAsia="宋体" w:cs="宋体"/>
                <w:sz w:val="21"/>
                <w:szCs w:val="21"/>
              </w:rPr>
              <w:t>用户可以对云桌面系统中的虚拟机和本地机之间做到完全隔离，无法通过剪贴板进行资料对拷。</w:t>
            </w:r>
          </w:p>
          <w:p>
            <w:pPr>
              <w:rPr>
                <w:rFonts w:hint="eastAsia" w:ascii="宋体" w:hAnsi="宋体" w:eastAsia="宋体" w:cs="宋体"/>
                <w:sz w:val="21"/>
                <w:szCs w:val="21"/>
              </w:rPr>
            </w:pPr>
            <w:r>
              <w:rPr>
                <w:rFonts w:hint="eastAsia" w:ascii="宋体" w:hAnsi="宋体" w:eastAsia="宋体" w:cs="宋体"/>
                <w:sz w:val="21"/>
                <w:szCs w:val="21"/>
              </w:rPr>
              <w:t>26.</w:t>
            </w:r>
            <w:r>
              <w:rPr>
                <w:rFonts w:hint="eastAsia" w:ascii="宋体" w:hAnsi="宋体" w:eastAsia="宋体" w:cs="宋体"/>
                <w:sz w:val="21"/>
                <w:szCs w:val="21"/>
              </w:rPr>
              <w:tab/>
            </w:r>
            <w:r>
              <w:rPr>
                <w:rFonts w:hint="eastAsia" w:ascii="宋体" w:hAnsi="宋体" w:eastAsia="宋体" w:cs="宋体"/>
                <w:sz w:val="21"/>
                <w:szCs w:val="21"/>
              </w:rPr>
              <w:t>出于安全方面的考虑，用户可以在云桌面系统中采用基于硬件USB Key的多因子身份认证技术。支持USB禁用和启用。支持终端和后台通讯链路的加密，加密采用国际、国内公认的算法。支持虚拟桌面加密。</w:t>
            </w:r>
          </w:p>
          <w:p>
            <w:pPr>
              <w:rPr>
                <w:rFonts w:hint="eastAsia" w:ascii="宋体" w:hAnsi="宋体" w:eastAsia="宋体" w:cs="宋体"/>
                <w:sz w:val="21"/>
                <w:szCs w:val="21"/>
              </w:rPr>
            </w:pPr>
            <w:r>
              <w:rPr>
                <w:rFonts w:hint="eastAsia" w:ascii="宋体" w:hAnsi="宋体" w:eastAsia="宋体" w:cs="宋体"/>
                <w:sz w:val="21"/>
                <w:szCs w:val="21"/>
              </w:rPr>
              <w:t>27.</w:t>
            </w:r>
            <w:r>
              <w:rPr>
                <w:rFonts w:hint="eastAsia" w:ascii="宋体" w:hAnsi="宋体" w:eastAsia="宋体" w:cs="宋体"/>
                <w:sz w:val="21"/>
                <w:szCs w:val="21"/>
              </w:rPr>
              <w:tab/>
            </w:r>
            <w:r>
              <w:rPr>
                <w:rFonts w:hint="eastAsia" w:ascii="宋体" w:hAnsi="宋体" w:eastAsia="宋体" w:cs="宋体"/>
                <w:sz w:val="21"/>
                <w:szCs w:val="21"/>
              </w:rPr>
              <w:t xml:space="preserve">▲管理员可以使用云桌面系统在终端上完成创建/还原桌面快照的操作；管理员能够自行完成创建/还原桌面快照的操作；用户可以为每个虚拟桌面环境创建至少3个桌面快照副本； </w:t>
            </w:r>
          </w:p>
          <w:p>
            <w:pPr>
              <w:rPr>
                <w:rFonts w:hint="eastAsia" w:ascii="宋体" w:hAnsi="宋体" w:eastAsia="宋体" w:cs="宋体"/>
                <w:sz w:val="21"/>
                <w:szCs w:val="21"/>
              </w:rPr>
            </w:pPr>
            <w:r>
              <w:rPr>
                <w:rFonts w:hint="eastAsia" w:ascii="宋体" w:hAnsi="宋体" w:eastAsia="宋体" w:cs="宋体"/>
                <w:sz w:val="21"/>
                <w:szCs w:val="21"/>
              </w:rPr>
              <w:t>28.人工智能实验环境</w:t>
            </w:r>
          </w:p>
          <w:tbl>
            <w:tblPr>
              <w:tblStyle w:val="26"/>
              <w:tblW w:w="6619" w:type="dxa"/>
              <w:tblInd w:w="98" w:type="dxa"/>
              <w:tblLayout w:type="fixed"/>
              <w:tblCellMar>
                <w:top w:w="0" w:type="dxa"/>
                <w:left w:w="108" w:type="dxa"/>
                <w:bottom w:w="0" w:type="dxa"/>
                <w:right w:w="108" w:type="dxa"/>
              </w:tblCellMar>
            </w:tblPr>
            <w:tblGrid>
              <w:gridCol w:w="1772"/>
              <w:gridCol w:w="3755"/>
            </w:tblGrid>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Ubuntu - 18.04</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操作系统</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Python - 3.8.2</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编程语言</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PyCharm - 2019.3.4</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Python编辑器</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Anaconda - 4.8.3</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包括Conda、Python以及大量安装好的工具包</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TensorFlow - 1.14.0</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深度学习框架</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Pytorch - 1.6.0</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深度学习框架</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torchvision - 0.7.0</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数据集、模型结构和常用的图片转换工具</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Keras - 2.3.1</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神经网络库</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NumPy - 1.18.1</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数值计算扩展工具包</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matplotlib - 3.1.3</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Python的2D绘图库</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pandas - 1.0.1</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数据分析工具包</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sklearn - 0.22.1</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数据挖掘和数据分析工具</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gym - 0.17.1</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用于测试和比较强化学习算法的工具包</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keras-rl - 0.4.2</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Keras深度强化学习</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scikit-image - 0.16.2</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基于Python脚本语言开发的数字图片处理包</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hmmlearn - 0.2.3</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隐马尔科夫模型</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psql - 9.3.24</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是PostgreSQL中的一个命令行交互式客户端工具</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neo4j - 3.4.5</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高性能NOSQL图形数据库</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mysql - 5.5</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关系型数据库管理系统</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opencv - 3.4.0.12</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跨平台计算机视觉库</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lxml - 4.5.0</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Python的一个解析库</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elasticsearch - 6.4.0</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基于Lucene的搜索服务器</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nltk - 3.4.5</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Python自然语言处理工具</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jieba - 0.42.1</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Python第三方中文分词库</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gensim - 3.8.1</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用于从文档中自动提取语义主题的Python库</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apache-jena - 3.11.0</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用于语义网本体操作的开源Java框架</w:t>
                  </w:r>
                </w:p>
              </w:tc>
            </w:tr>
            <w:tr>
              <w:tblPrEx>
                <w:tblCellMar>
                  <w:top w:w="0" w:type="dxa"/>
                  <w:left w:w="108" w:type="dxa"/>
                  <w:bottom w:w="0" w:type="dxa"/>
                  <w:right w:w="108" w:type="dxa"/>
                </w:tblCellMar>
              </w:tblPrEx>
              <w:trPr>
                <w:trHeight w:val="90" w:hRule="atLeast"/>
              </w:trPr>
              <w:tc>
                <w:tcPr>
                  <w:tcW w:w="2106"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librosa - 0.7.2</w:t>
                  </w:r>
                </w:p>
              </w:tc>
              <w:tc>
                <w:tcPr>
                  <w:tcW w:w="4513" w:type="dxa"/>
                  <w:tcBorders>
                    <w:top w:val="single" w:color="000000" w:sz="4" w:space="0"/>
                    <w:left w:val="single" w:color="000000" w:sz="4" w:space="0"/>
                    <w:bottom w:val="single" w:color="000000" w:sz="4" w:space="0"/>
                    <w:right w:val="single" w:color="000000" w:sz="4" w:space="0"/>
                  </w:tcBorders>
                  <w:noWrap/>
                  <w:vAlign w:val="bottom"/>
                </w:tcPr>
                <w:p>
                  <w:pPr>
                    <w:rPr>
                      <w:rFonts w:hint="eastAsia" w:ascii="宋体" w:hAnsi="宋体" w:eastAsia="宋体" w:cs="宋体"/>
                      <w:sz w:val="21"/>
                      <w:szCs w:val="21"/>
                    </w:rPr>
                  </w:pPr>
                  <w:r>
                    <w:rPr>
                      <w:rFonts w:hint="eastAsia" w:ascii="宋体" w:hAnsi="宋体" w:eastAsia="宋体" w:cs="宋体"/>
                      <w:sz w:val="21"/>
                      <w:szCs w:val="21"/>
                    </w:rPr>
                    <w:t>用于音频、音乐分析、处理的Python工具包</w:t>
                  </w:r>
                </w:p>
              </w:tc>
            </w:tr>
          </w:tbl>
          <w:p>
            <w:pPr>
              <w:rPr>
                <w:rFonts w:hint="eastAsia" w:ascii="宋体" w:hAnsi="宋体" w:eastAsia="宋体" w:cs="宋体"/>
                <w:sz w:val="21"/>
                <w:szCs w:val="21"/>
              </w:rPr>
            </w:pPr>
            <w:r>
              <w:rPr>
                <w:rFonts w:hint="eastAsia" w:ascii="宋体" w:hAnsi="宋体" w:eastAsia="宋体" w:cs="宋体"/>
                <w:sz w:val="21"/>
                <w:szCs w:val="21"/>
              </w:rPr>
              <w:t>29.人工智能课程资源</w:t>
            </w:r>
          </w:p>
          <w:tbl>
            <w:tblPr>
              <w:tblStyle w:val="26"/>
              <w:tblW w:w="6609"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25"/>
              <w:gridCol w:w="45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rPr>
                      <w:rFonts w:hint="eastAsia" w:ascii="宋体" w:hAnsi="宋体" w:eastAsia="宋体" w:cs="宋体"/>
                      <w:sz w:val="21"/>
                      <w:szCs w:val="21"/>
                    </w:rPr>
                  </w:pPr>
                  <w:r>
                    <w:rPr>
                      <w:rFonts w:hint="eastAsia" w:ascii="宋体" w:hAnsi="宋体" w:eastAsia="宋体" w:cs="宋体"/>
                      <w:sz w:val="21"/>
                      <w:szCs w:val="21"/>
                    </w:rPr>
                    <w:t>课程大纲</w:t>
                  </w:r>
                </w:p>
              </w:tc>
              <w:tc>
                <w:tcPr>
                  <w:tcW w:w="4584" w:type="dxa"/>
                  <w:noWrap w:val="0"/>
                  <w:vAlign w:val="center"/>
                </w:tcPr>
                <w:p>
                  <w:pPr>
                    <w:rPr>
                      <w:rFonts w:hint="eastAsia" w:ascii="宋体" w:hAnsi="宋体" w:eastAsia="宋体" w:cs="宋体"/>
                      <w:sz w:val="21"/>
                      <w:szCs w:val="21"/>
                    </w:rPr>
                  </w:pPr>
                  <w:r>
                    <w:rPr>
                      <w:rFonts w:hint="eastAsia" w:ascii="宋体" w:hAnsi="宋体" w:eastAsia="宋体" w:cs="宋体"/>
                      <w:sz w:val="21"/>
                      <w:szCs w:val="21"/>
                    </w:rPr>
                    <w:t>配套实验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第一章 机器学习概论</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实验1：Python机器学习相关工具使用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第1节  机器学习简介</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实验2：聚类分析应用举例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第2节  机器学习的范围、方法、三要素</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实验3：KNN应用举例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第3节  模型、正则化与交叉验证</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实验4：KNN回归算法实现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实验5：KNN分类算法实现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第二章 Python简介</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实验6：基于KNN的手写字识别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第1节  Python介绍和平台搭建</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实验7：线性回归和回归树举例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第2节  Python基本语法</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实验8：Logistic回归应用举例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第3节  Python数据挖掘</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实验9：线性回归预测广告投入数据集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实验10：决策树应用举例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第三章 无监督学习方法</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实验11：支持向量机应用举例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第1节  聚类分析</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实验12：贝叶斯分类器应用举例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第2节  常用聚类分析方法</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实验13：基于SVM的手写字识别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第3节  K-Means聚类算法及实例</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实验14：基于朴素贝叶斯的垃圾邮件过滤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实验15-1：集成学习应用举例(Boston)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第四章 有监督学习方法（回归问题）</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实验15-2：集成学习应用举例(iris)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第1节  kNN（k-最近邻）方法</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实验16：集成学习中Boosting方法的实现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第2节  线性回归</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实验17：EM无监督算法分类鸢尾花数据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第3节  Logistic回归</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实验18-1：神经网络算法应用举例(Boston)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第4节  Softmax回归</w:t>
                  </w:r>
                </w:p>
              </w:tc>
              <w:tc>
                <w:tcPr>
                  <w:tcW w:w="4584"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实验18-2：神经网络算法应用举例(iris)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15" w:hRule="atLeast"/>
              </w:trPr>
              <w:tc>
                <w:tcPr>
                  <w:tcW w:w="2025" w:type="dxa"/>
                  <w:noWrap w:val="0"/>
                  <w:vAlign w:val="center"/>
                </w:tcPr>
                <w:p>
                  <w:pPr>
                    <w:spacing w:line="240" w:lineRule="auto"/>
                    <w:rPr>
                      <w:rFonts w:hint="eastAsia" w:ascii="宋体" w:hAnsi="宋体" w:eastAsia="宋体" w:cs="宋体"/>
                      <w:sz w:val="21"/>
                      <w:szCs w:val="21"/>
                    </w:rPr>
                  </w:pPr>
                </w:p>
              </w:tc>
              <w:tc>
                <w:tcPr>
                  <w:tcW w:w="4584" w:type="dxa"/>
                  <w:noWrap w:val="0"/>
                  <w:vAlign w:val="center"/>
                </w:tcPr>
                <w:p>
                  <w:pPr>
                    <w:spacing w:line="240" w:lineRule="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第五章 有监督学习（分类问题）</w:t>
                  </w:r>
                </w:p>
              </w:tc>
              <w:tc>
                <w:tcPr>
                  <w:tcW w:w="4584" w:type="dxa"/>
                  <w:noWrap w:val="0"/>
                  <w:vAlign w:val="center"/>
                </w:tcPr>
                <w:p>
                  <w:pPr>
                    <w:spacing w:line="240" w:lineRule="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第1节  决策树模型</w:t>
                  </w:r>
                </w:p>
              </w:tc>
              <w:tc>
                <w:tcPr>
                  <w:tcW w:w="4584" w:type="dxa"/>
                  <w:noWrap w:val="0"/>
                  <w:vAlign w:val="center"/>
                </w:tcPr>
                <w:p>
                  <w:pPr>
                    <w:spacing w:line="240" w:lineRule="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第2节  支持向量机</w:t>
                  </w:r>
                </w:p>
              </w:tc>
              <w:tc>
                <w:tcPr>
                  <w:tcW w:w="4584" w:type="dxa"/>
                  <w:noWrap w:val="0"/>
                  <w:vAlign w:val="center"/>
                </w:tcPr>
                <w:p>
                  <w:pPr>
                    <w:spacing w:line="240" w:lineRule="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第3节  贝叶斯分类器</w:t>
                  </w:r>
                </w:p>
              </w:tc>
              <w:tc>
                <w:tcPr>
                  <w:tcW w:w="4584" w:type="dxa"/>
                  <w:noWrap w:val="0"/>
                  <w:vAlign w:val="center"/>
                </w:tcPr>
                <w:p>
                  <w:pPr>
                    <w:spacing w:line="240" w:lineRule="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30" w:hRule="atLeast"/>
              </w:trPr>
              <w:tc>
                <w:tcPr>
                  <w:tcW w:w="2025" w:type="dxa"/>
                  <w:noWrap w:val="0"/>
                  <w:vAlign w:val="center"/>
                </w:tcPr>
                <w:p>
                  <w:pPr>
                    <w:spacing w:line="240" w:lineRule="auto"/>
                    <w:rPr>
                      <w:rFonts w:hint="eastAsia" w:ascii="宋体" w:hAnsi="宋体" w:eastAsia="宋体" w:cs="宋体"/>
                      <w:sz w:val="21"/>
                      <w:szCs w:val="21"/>
                    </w:rPr>
                  </w:pPr>
                </w:p>
              </w:tc>
              <w:tc>
                <w:tcPr>
                  <w:tcW w:w="4584" w:type="dxa"/>
                  <w:noWrap w:val="0"/>
                  <w:vAlign w:val="center"/>
                </w:tcPr>
                <w:p>
                  <w:pPr>
                    <w:spacing w:line="240" w:lineRule="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第六章 机器学习方法进阶</w:t>
                  </w:r>
                </w:p>
              </w:tc>
              <w:tc>
                <w:tcPr>
                  <w:tcW w:w="4584" w:type="dxa"/>
                  <w:noWrap w:val="0"/>
                  <w:vAlign w:val="center"/>
                </w:tcPr>
                <w:p>
                  <w:pPr>
                    <w:spacing w:line="240" w:lineRule="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第1节  集成学习</w:t>
                  </w:r>
                </w:p>
              </w:tc>
              <w:tc>
                <w:tcPr>
                  <w:tcW w:w="4584" w:type="dxa"/>
                  <w:noWrap w:val="0"/>
                  <w:vAlign w:val="center"/>
                </w:tcPr>
                <w:p>
                  <w:pPr>
                    <w:spacing w:line="240" w:lineRule="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第2节  EM算法</w:t>
                  </w:r>
                </w:p>
              </w:tc>
              <w:tc>
                <w:tcPr>
                  <w:tcW w:w="4584" w:type="dxa"/>
                  <w:noWrap w:val="0"/>
                  <w:vAlign w:val="center"/>
                </w:tcPr>
                <w:p>
                  <w:pPr>
                    <w:spacing w:line="240" w:lineRule="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第3节  主题模型</w:t>
                  </w:r>
                </w:p>
              </w:tc>
              <w:tc>
                <w:tcPr>
                  <w:tcW w:w="4584" w:type="dxa"/>
                  <w:noWrap w:val="0"/>
                  <w:vAlign w:val="center"/>
                </w:tcPr>
                <w:p>
                  <w:pPr>
                    <w:spacing w:line="240" w:lineRule="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第4节  特征工程</w:t>
                  </w:r>
                </w:p>
              </w:tc>
              <w:tc>
                <w:tcPr>
                  <w:tcW w:w="4584" w:type="dxa"/>
                  <w:noWrap w:val="0"/>
                  <w:vAlign w:val="center"/>
                </w:tcPr>
                <w:p>
                  <w:pPr>
                    <w:spacing w:line="240" w:lineRule="auto"/>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6" w:hRule="atLeast"/>
              </w:trPr>
              <w:tc>
                <w:tcPr>
                  <w:tcW w:w="2025" w:type="dxa"/>
                  <w:noWrap w:val="0"/>
                  <w:vAlign w:val="center"/>
                </w:tcPr>
                <w:p>
                  <w:pPr>
                    <w:spacing w:line="240" w:lineRule="auto"/>
                    <w:rPr>
                      <w:rFonts w:hint="eastAsia" w:ascii="宋体" w:hAnsi="宋体" w:eastAsia="宋体" w:cs="宋体"/>
                      <w:sz w:val="21"/>
                      <w:szCs w:val="21"/>
                    </w:rPr>
                  </w:pPr>
                  <w:r>
                    <w:rPr>
                      <w:rFonts w:hint="eastAsia" w:ascii="宋体" w:hAnsi="宋体" w:eastAsia="宋体" w:cs="宋体"/>
                      <w:sz w:val="21"/>
                      <w:szCs w:val="21"/>
                    </w:rPr>
                    <w:t>第5节  神经网络与深度学习</w:t>
                  </w:r>
                </w:p>
              </w:tc>
              <w:tc>
                <w:tcPr>
                  <w:tcW w:w="4584" w:type="dxa"/>
                  <w:noWrap w:val="0"/>
                  <w:vAlign w:val="center"/>
                </w:tcPr>
                <w:p>
                  <w:pPr>
                    <w:spacing w:line="240" w:lineRule="auto"/>
                    <w:rPr>
                      <w:rFonts w:hint="eastAsia" w:ascii="宋体" w:hAnsi="宋体" w:eastAsia="宋体" w:cs="宋体"/>
                      <w:sz w:val="21"/>
                      <w:szCs w:val="21"/>
                    </w:rPr>
                  </w:pPr>
                </w:p>
              </w:tc>
            </w:tr>
          </w:tbl>
          <w:p>
            <w:pPr>
              <w:keepNext w:val="0"/>
              <w:keepLines w:val="0"/>
              <w:pageBreakBefore w:val="0"/>
              <w:widowControl w:val="0"/>
              <w:numPr>
                <w:ilvl w:val="0"/>
                <w:numId w:val="0"/>
              </w:numPr>
              <w:kinsoku/>
              <w:wordWrap/>
              <w:overflowPunct/>
              <w:topLinePunct w:val="0"/>
              <w:autoSpaceDE w:val="0"/>
              <w:autoSpaceDN w:val="0"/>
              <w:bidi w:val="0"/>
              <w:adjustRightInd w:val="0"/>
              <w:snapToGrid/>
              <w:spacing w:line="288" w:lineRule="auto"/>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sz w:val="21"/>
                <w:szCs w:val="21"/>
              </w:rPr>
              <w:t>注：平台须可以对接教学管理平台等系统使用。</w:t>
            </w:r>
          </w:p>
        </w:tc>
        <w:tc>
          <w:tcPr>
            <w:tcW w:w="808" w:type="dxa"/>
            <w:vAlign w:val="center"/>
          </w:tcPr>
          <w:p>
            <w:pPr>
              <w:autoSpaceDE w:val="0"/>
              <w:autoSpaceDN w:val="0"/>
              <w:adjustRightInd w:val="0"/>
              <w:jc w:val="center"/>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1套</w:t>
            </w:r>
          </w:p>
        </w:tc>
        <w:tc>
          <w:tcPr>
            <w:tcW w:w="1091" w:type="dxa"/>
            <w:vAlign w:val="center"/>
          </w:tcPr>
          <w:p>
            <w:pPr>
              <w:autoSpaceDE w:val="0"/>
              <w:autoSpaceDN w:val="0"/>
              <w:adjustRightIn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99000</w:t>
            </w:r>
          </w:p>
        </w:tc>
      </w:tr>
    </w:tbl>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注：如涉及固定厂家品牌或规格型号的均可认为推荐，并不要求其唯一性，供应商可提供同等质量标准或更高标准产品，并提供相应技术参数证明其符合采购需求或优于采购需求，否则可视其为不满足采购需求。</w:t>
      </w:r>
    </w:p>
    <w:p>
      <w:pPr>
        <w:autoSpaceDE w:val="0"/>
        <w:autoSpaceDN w:val="0"/>
        <w:adjustRightInd w:val="0"/>
        <w:spacing w:line="360" w:lineRule="auto"/>
        <w:outlineLvl w:val="1"/>
        <w:rPr>
          <w:rFonts w:hint="eastAsia" w:asciiTheme="minorEastAsia" w:hAnsiTheme="minorEastAsia" w:eastAsiaTheme="minorEastAsia" w:cstheme="minorEastAsia"/>
          <w:b/>
          <w:bCs/>
          <w:sz w:val="24"/>
        </w:rPr>
      </w:pPr>
      <w:bookmarkStart w:id="113" w:name="_Toc4139"/>
      <w:r>
        <w:rPr>
          <w:rFonts w:hint="eastAsia" w:asciiTheme="minorEastAsia" w:hAnsiTheme="minorEastAsia" w:eastAsiaTheme="minorEastAsia" w:cstheme="minorEastAsia"/>
          <w:b/>
          <w:bCs/>
          <w:sz w:val="24"/>
        </w:rPr>
        <w:t>二、商务需求</w:t>
      </w:r>
      <w:bookmarkEnd w:id="113"/>
      <w:bookmarkStart w:id="241" w:name="_GoBack"/>
      <w:bookmarkEnd w:id="241"/>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1.违约责任：</w:t>
      </w:r>
    </w:p>
    <w:p>
      <w:pPr>
        <w:autoSpaceDE w:val="0"/>
        <w:autoSpaceDN w:val="0"/>
        <w:adjustRightIn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 若乙方未能按合同所规定的交货时间前完成本合同全部货物（含配套系统，配件备件）安装调试并达到验收标准，每延迟一天，按合同总额的千分之一向甲方交纳违约金,违约金缴纳总额不超过合同总金额的百分之五。</w:t>
      </w:r>
    </w:p>
    <w:p>
      <w:pPr>
        <w:autoSpaceDE w:val="0"/>
        <w:autoSpaceDN w:val="0"/>
        <w:adjustRightIn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 若乙方未能在规定时间前完成本合同全部货物（含配套系统，配件备件）安装调试并达到验收标准，甲方可中止本合同，并由乙方承担由此给甲方造成的一切损失。</w:t>
      </w:r>
    </w:p>
    <w:p>
      <w:pPr>
        <w:autoSpaceDE w:val="0"/>
        <w:autoSpaceDN w:val="0"/>
        <w:adjustRightIn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1.3 乙方交付甲方的全部货物（含配套系统，配件备件）及工程中使用的材料必须有合法的进货渠道，且符合协议和投标书中的质量约定，否则由乙方承担一切责任。</w:t>
      </w:r>
    </w:p>
    <w:p>
      <w:pPr>
        <w:autoSpaceDE w:val="0"/>
        <w:autoSpaceDN w:val="0"/>
        <w:adjustRightIn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1.4乙方保证本合同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2.产品质量要求：</w:t>
      </w:r>
    </w:p>
    <w:p>
      <w:pPr>
        <w:autoSpaceDE w:val="0"/>
        <w:autoSpaceDN w:val="0"/>
        <w:adjustRightIn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2.1本次采购项目的质量必须完全满足中华人民共和国国家质量标准及现行规范要求，供应商应根据企业实际能力在响应文件中对项目质量予以承诺，中标后在合同中加以确认。</w:t>
      </w:r>
    </w:p>
    <w:p>
      <w:pPr>
        <w:autoSpaceDE w:val="0"/>
        <w:autoSpaceDN w:val="0"/>
        <w:adjustRightIn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2.2供应商在招标及中标后，发生侵犯专利权的行为时，其侵权责任与招标人无关，应由中标人承担相应的责任，并不得影响招标人的利益。</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3.产品进场安装、调试及验收：</w:t>
      </w:r>
    </w:p>
    <w:p>
      <w:pPr>
        <w:autoSpaceDE w:val="0"/>
        <w:autoSpaceDN w:val="0"/>
        <w:adjustRightIn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3.1供应商应负责设备的进场安装、调试及试运行。 </w:t>
      </w:r>
    </w:p>
    <w:p>
      <w:pPr>
        <w:autoSpaceDE w:val="0"/>
        <w:autoSpaceDN w:val="0"/>
        <w:adjustRightIn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3.2供应商负责调试和试运行的结果必须符合采购人的技术要求，同时也应达到行业有关技术规范的要求。</w:t>
      </w:r>
    </w:p>
    <w:p>
      <w:pPr>
        <w:autoSpaceDE w:val="0"/>
        <w:autoSpaceDN w:val="0"/>
        <w:adjustRightIn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3.3验收标准以相关行业标准及合同确定的标准为准。</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4.售后服务要求：</w:t>
      </w:r>
    </w:p>
    <w:p>
      <w:pPr>
        <w:autoSpaceDE w:val="0"/>
        <w:autoSpaceDN w:val="0"/>
        <w:adjustRightIn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4.1质保期、保修期内因国产货物（含配套系统、配件备件）质量或安装调试原因引起的全部维修费用（包括更换零配件的费用）均由乙方承担。</w:t>
      </w:r>
    </w:p>
    <w:p>
      <w:pPr>
        <w:autoSpaceDE w:val="0"/>
        <w:autoSpaceDN w:val="0"/>
        <w:adjustRightIn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4.2质保期、保修期外，乙方应定期回访，发现问题及时通知甲方，国产货物（含配套系统、配件备件）维修零配件以优惠价给甲方（免收人工及差旅费）。</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5.培训要求：供应商应在设备调试完毕后，必须为用户单位人员（技术人员等）免费提供培训，并到达实际操作合格要求。</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6.交货地点：采购人指定地点</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7.履约保证金：</w:t>
      </w:r>
      <w:r>
        <w:rPr>
          <w:rFonts w:hint="eastAsia" w:asciiTheme="minorEastAsia" w:hAnsiTheme="minorEastAsia" w:eastAsiaTheme="minorEastAsia" w:cstheme="minorEastAsia"/>
          <w:color w:val="auto"/>
          <w:kern w:val="0"/>
          <w:szCs w:val="21"/>
        </w:rPr>
        <w:t>乙方需向甲方支付合同金额的5%作为</w:t>
      </w:r>
      <w:r>
        <w:rPr>
          <w:rFonts w:hint="eastAsia" w:asciiTheme="minorEastAsia" w:hAnsiTheme="minorEastAsia" w:eastAsiaTheme="minorEastAsia" w:cstheme="minorEastAsia"/>
          <w:color w:val="auto"/>
          <w:szCs w:val="21"/>
        </w:rPr>
        <w:t>履约保证金；签订合同前5个工作日递交，以支票、汇票、本票或者金融机构、担保机构出具的保函等非现金形式提交。</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8.付款方式：</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8.1乙方</w:t>
      </w:r>
      <w:r>
        <w:rPr>
          <w:rFonts w:hint="eastAsia" w:asciiTheme="minorEastAsia" w:hAnsiTheme="minorEastAsia" w:eastAsiaTheme="minorEastAsia" w:cstheme="minorEastAsia"/>
          <w:color w:val="auto"/>
          <w:kern w:val="0"/>
          <w:szCs w:val="21"/>
        </w:rPr>
        <w:t>须提供增值税专用发票。</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8.2安装调试及经甲方验收合格并收到乙方发票后15个工作日内，甲方向乙方支付合同总金额的100%，履约保证金自动转为质保金。质保期满后</w:t>
      </w:r>
      <w:r>
        <w:rPr>
          <w:rFonts w:hint="eastAsia" w:asciiTheme="minorEastAsia" w:hAnsiTheme="minorEastAsia" w:eastAsiaTheme="minorEastAsia" w:cstheme="minorEastAsia"/>
          <w:color w:val="auto"/>
          <w:kern w:val="0"/>
          <w:szCs w:val="21"/>
        </w:rPr>
        <w:t>，</w:t>
      </w:r>
      <w:r>
        <w:rPr>
          <w:rFonts w:hint="eastAsia" w:asciiTheme="minorEastAsia" w:hAnsiTheme="minorEastAsia" w:eastAsiaTheme="minorEastAsia" w:cstheme="minorEastAsia"/>
          <w:color w:val="auto"/>
          <w:szCs w:val="21"/>
        </w:rPr>
        <w:t>如无质量及售后服务等问题及其他违约事项，采购人向</w:t>
      </w:r>
      <w:r>
        <w:rPr>
          <w:rFonts w:hint="eastAsia" w:asciiTheme="minorEastAsia" w:hAnsiTheme="minorEastAsia" w:eastAsiaTheme="minorEastAsia" w:cstheme="minorEastAsia"/>
          <w:color w:val="auto"/>
          <w:kern w:val="0"/>
          <w:szCs w:val="21"/>
        </w:rPr>
        <w:t>乙方</w:t>
      </w:r>
      <w:r>
        <w:rPr>
          <w:rFonts w:hint="eastAsia" w:asciiTheme="minorEastAsia" w:hAnsiTheme="minorEastAsia" w:eastAsiaTheme="minorEastAsia" w:cstheme="minorEastAsia"/>
          <w:color w:val="auto"/>
          <w:szCs w:val="21"/>
        </w:rPr>
        <w:t>无息退还质量保证金。</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9.其它：其他未尽事宜由成交供应商和采购人按合同进行约定。</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color w:val="FF0000"/>
          <w:szCs w:val="21"/>
        </w:rPr>
        <w:br w:type="textWrapping"/>
      </w: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（1）资格审查因素等证明材料须提供网上图片或查询方式以供磋商小组核查，响应文件内附相关证书真彩扫描件。</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r>
        <w:rPr>
          <w:rFonts w:hint="eastAsia" w:asciiTheme="minorEastAsia" w:hAnsiTheme="minorEastAsia" w:eastAsiaTheme="minorEastAsia" w:cstheme="minorEastAsia"/>
          <w:sz w:val="36"/>
          <w:szCs w:val="36"/>
        </w:rPr>
        <w:br w:type="page"/>
      </w:r>
    </w:p>
    <w:p>
      <w:pPr>
        <w:pStyle w:val="4"/>
        <w:numPr>
          <w:ilvl w:val="0"/>
          <w:numId w:val="4"/>
        </w:numPr>
        <w:jc w:val="center"/>
        <w:rPr>
          <w:rFonts w:asciiTheme="minorEastAsia" w:hAnsiTheme="minorEastAsia" w:eastAsiaTheme="minorEastAsia" w:cstheme="minorEastAsia"/>
          <w:szCs w:val="21"/>
        </w:rPr>
      </w:pPr>
      <w:bookmarkStart w:id="114" w:name="_Toc1421"/>
      <w:r>
        <w:rPr>
          <w:rFonts w:hint="eastAsia" w:asciiTheme="minorEastAsia" w:hAnsiTheme="minorEastAsia" w:eastAsiaTheme="minorEastAsia" w:cstheme="minorEastAsia"/>
          <w:sz w:val="36"/>
          <w:szCs w:val="36"/>
        </w:rPr>
        <w:t>竞争性磋商采购评定办法</w:t>
      </w:r>
      <w:bookmarkEnd w:id="114"/>
    </w:p>
    <w:p>
      <w:pPr>
        <w:spacing w:line="360" w:lineRule="auto"/>
        <w:outlineLvl w:val="1"/>
        <w:rPr>
          <w:rFonts w:asciiTheme="minorEastAsia" w:hAnsiTheme="minorEastAsia" w:eastAsiaTheme="minorEastAsia" w:cstheme="minorEastAsia"/>
          <w:b/>
          <w:szCs w:val="21"/>
        </w:rPr>
      </w:pPr>
      <w:bookmarkStart w:id="115" w:name="_Toc4474"/>
      <w:r>
        <w:rPr>
          <w:rFonts w:hint="eastAsia" w:asciiTheme="minorEastAsia" w:hAnsiTheme="minorEastAsia" w:eastAsiaTheme="minorEastAsia" w:cstheme="minorEastAsia"/>
          <w:b/>
          <w:szCs w:val="21"/>
        </w:rPr>
        <w:t>一、评定办法前附表</w:t>
      </w:r>
      <w:bookmarkEnd w:id="115"/>
    </w:p>
    <w:tbl>
      <w:tblPr>
        <w:tblStyle w:val="26"/>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0"/>
        <w:gridCol w:w="851"/>
        <w:gridCol w:w="2268"/>
        <w:gridCol w:w="5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tblHeader/>
          <w:jc w:val="center"/>
        </w:trPr>
        <w:tc>
          <w:tcPr>
            <w:tcW w:w="1531" w:type="dxa"/>
            <w:gridSpan w:val="2"/>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条款号</w:t>
            </w:r>
          </w:p>
        </w:tc>
        <w:tc>
          <w:tcPr>
            <w:tcW w:w="2268"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评审因素</w:t>
            </w:r>
          </w:p>
        </w:tc>
        <w:tc>
          <w:tcPr>
            <w:tcW w:w="5563"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1.1</w:t>
            </w:r>
          </w:p>
        </w:tc>
        <w:tc>
          <w:tcPr>
            <w:tcW w:w="851"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szCs w:val="21"/>
              </w:rPr>
              <w:t>资格性审查标准</w:t>
            </w: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color w:val="000000"/>
                <w:szCs w:val="21"/>
              </w:rPr>
              <w:t>满足《中华人民共和国政府采购法》第二十二条规定</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（1）具有独立承担民事责任的能力；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（2）具有良好的商业信誉和健全的财务会计制度；</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（3）具有履行合同所必需的设备和专业技术能力；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（4）有依法缴纳税收和社会保障资金的良好记录；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（5）参加政府采购活动前三年内，在经营活动中没有重大违法记录；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6"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restart"/>
            <w:vAlign w:val="center"/>
          </w:tcPr>
          <w:p>
            <w:pPr>
              <w:widowControl/>
              <w:spacing w:line="280" w:lineRule="exact"/>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不得存在的情形</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w:t>
            </w:r>
            <w:r>
              <w:rPr>
                <w:rFonts w:hint="eastAsia" w:asciiTheme="minorEastAsia" w:hAnsiTheme="minorEastAsia" w:eastAsiaTheme="minorEastAsia" w:cstheme="minorEastAsia"/>
                <w:color w:val="000000"/>
                <w:szCs w:val="21"/>
              </w:rPr>
              <w:t>（按在采购代理机构获取文件的顺次序选择供应商参加本项目）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1"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为本采购项目提供整体设计、规范编制或者项目管理、监理、检测等服务的，不得再参加本项目的其他招标采购活动。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被列入失信被执行人、重大税收违法案件当事人名单（链接：https://www.creditchina.gov.cn/），被列入政府采购严重违法失信行为记录名单（链接：http://www.ccgp.gov.cn/search/cr/）。</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 xml:space="preserve">以递交响应文件截止之日，采购代理机构现场网络查询并打印存档。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spacing w:line="280" w:lineRule="exact"/>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落实政府采购政策需满足的资格要求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color w:val="000000"/>
                <w:szCs w:val="21"/>
              </w:rPr>
              <w:t>特定资格要求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符合本采购文件第一章第二款第六条要求，并提供合格有效的证明材料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1.2</w:t>
            </w:r>
          </w:p>
        </w:tc>
        <w:tc>
          <w:tcPr>
            <w:tcW w:w="851" w:type="dxa"/>
            <w:vMerge w:val="restart"/>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w:t>
            </w:r>
          </w:p>
          <w:p>
            <w:pPr>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磋商保证金（如有）</w:t>
            </w:r>
          </w:p>
        </w:tc>
        <w:tc>
          <w:tcPr>
            <w:tcW w:w="5563" w:type="dxa"/>
            <w:vAlign w:val="center"/>
          </w:tcPr>
          <w:p>
            <w:pPr>
              <w:widowControl/>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供应商是否按照磋商文件提交投标保证金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磋商书签字盖章</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磋商有效期是否满足竞争性磋商采购文件要求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信誉情况</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rPr>
              <w:t>参加本</w:t>
            </w:r>
            <w:r>
              <w:rPr>
                <w:rFonts w:hint="eastAsia" w:ascii="宋体" w:hAnsi="宋体" w:cs="宋体"/>
                <w:kern w:val="0"/>
                <w:szCs w:val="21"/>
                <w:shd w:val="clear" w:color="auto" w:fill="FFFFFF"/>
              </w:rPr>
              <w:t>次政府采购活动前三年内，是否有不良经济纠纷记录和违法行为（供应商提供声明或承诺书，格式自拟）；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采购需求响应</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shd w:val="clear" w:color="auto" w:fill="FFFFFF"/>
              </w:rPr>
              <w:t>带</w:t>
            </w:r>
            <w:r>
              <w:rPr>
                <w:rFonts w:hint="eastAsia" w:ascii="宋体" w:hAnsi="宋体" w:cs="宋体"/>
                <w:color w:val="auto"/>
                <w:kern w:val="0"/>
                <w:szCs w:val="21"/>
                <w:shd w:val="clear" w:color="auto" w:fill="FFFFFF"/>
              </w:rPr>
              <w:t>“</w:t>
            </w:r>
            <w:r>
              <w:rPr>
                <w:rFonts w:hint="eastAsia" w:ascii="宋体" w:hAnsi="宋体" w:cs="宋体"/>
                <w:color w:val="auto"/>
                <w:kern w:val="0"/>
                <w:szCs w:val="21"/>
                <w:shd w:val="clear" w:color="auto" w:fill="FFFFFF"/>
                <w:lang w:val="en-US" w:eastAsia="zh-CN"/>
              </w:rPr>
              <w:t>★</w:t>
            </w:r>
            <w:r>
              <w:rPr>
                <w:rFonts w:hint="eastAsia" w:ascii="宋体" w:hAnsi="宋体" w:cs="宋体"/>
                <w:color w:val="auto"/>
                <w:kern w:val="0"/>
                <w:szCs w:val="21"/>
                <w:shd w:val="clear" w:color="auto" w:fill="FFFFFF"/>
              </w:rPr>
              <w:t>”号</w:t>
            </w:r>
            <w:r>
              <w:rPr>
                <w:rFonts w:hint="eastAsia" w:ascii="宋体" w:hAnsi="宋体" w:cs="宋体"/>
                <w:kern w:val="0"/>
                <w:szCs w:val="21"/>
                <w:shd w:val="clear" w:color="auto" w:fill="FFFFFF"/>
              </w:rPr>
              <w:t>条款（如有）是否实质性响应磋商文件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continue"/>
            <w:vAlign w:val="center"/>
          </w:tcPr>
          <w:p>
            <w:pPr>
              <w:widowControl/>
              <w:jc w:val="center"/>
              <w:rPr>
                <w:rFonts w:asciiTheme="minorEastAsia" w:hAnsiTheme="minorEastAsia" w:eastAsiaTheme="minorEastAsia" w:cstheme="minorEastAsia"/>
                <w:kern w:val="0"/>
                <w:szCs w:val="21"/>
              </w:rPr>
            </w:pP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是否有提出采购人不能接受的合同条件的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82"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autoSpaceDE w:val="0"/>
              <w:autoSpaceDN w:val="0"/>
              <w:adjustRightInd w:val="0"/>
              <w:snapToGrid w:val="0"/>
              <w:jc w:val="center"/>
              <w:rPr>
                <w:rFonts w:ascii="宋体" w:hAnsi="宋体"/>
                <w:szCs w:val="21"/>
              </w:rPr>
            </w:pPr>
            <w:r>
              <w:rPr>
                <w:rFonts w:hint="eastAsia" w:ascii="宋体" w:hAnsi="宋体"/>
                <w:szCs w:val="21"/>
              </w:rPr>
              <w:t>其他要求（一）</w:t>
            </w:r>
          </w:p>
        </w:tc>
        <w:tc>
          <w:tcPr>
            <w:tcW w:w="5563" w:type="dxa"/>
            <w:vAlign w:val="center"/>
          </w:tcPr>
          <w:p>
            <w:pPr>
              <w:autoSpaceDE w:val="0"/>
              <w:autoSpaceDN w:val="0"/>
              <w:adjustRightInd w:val="0"/>
              <w:snapToGrid w:val="0"/>
              <w:rPr>
                <w:rFonts w:ascii="宋体" w:hAnsi="宋体"/>
                <w:szCs w:val="21"/>
              </w:rPr>
            </w:pPr>
            <w:r>
              <w:rPr>
                <w:rFonts w:hint="eastAsia" w:ascii="宋体" w:hAnsi="宋体"/>
                <w:szCs w:val="21"/>
              </w:rPr>
              <w:t>供应商未有下列任一情形：</w:t>
            </w:r>
          </w:p>
          <w:p>
            <w:pPr>
              <w:autoSpaceDE w:val="0"/>
              <w:autoSpaceDN w:val="0"/>
              <w:adjustRightInd w:val="0"/>
              <w:snapToGrid w:val="0"/>
              <w:rPr>
                <w:rFonts w:ascii="宋体" w:hAnsi="宋体"/>
                <w:szCs w:val="21"/>
              </w:rPr>
            </w:pPr>
            <w:r>
              <w:rPr>
                <w:rFonts w:hint="eastAsia" w:ascii="宋体" w:hAnsi="宋体"/>
                <w:szCs w:val="21"/>
              </w:rPr>
              <w:t>（1）不同供应商的响应文件由同一单位或者个人编制；</w:t>
            </w:r>
          </w:p>
          <w:p>
            <w:pPr>
              <w:autoSpaceDE w:val="0"/>
              <w:autoSpaceDN w:val="0"/>
              <w:adjustRightInd w:val="0"/>
              <w:snapToGrid w:val="0"/>
              <w:rPr>
                <w:rFonts w:ascii="宋体" w:hAnsi="宋体"/>
                <w:szCs w:val="21"/>
              </w:rPr>
            </w:pPr>
            <w:r>
              <w:rPr>
                <w:rFonts w:hint="eastAsia" w:ascii="宋体" w:hAnsi="宋体"/>
                <w:szCs w:val="21"/>
              </w:rPr>
              <w:t>（2）不同供应商委托同一单位或者个人办理投标事宜；</w:t>
            </w:r>
          </w:p>
          <w:p>
            <w:pPr>
              <w:autoSpaceDE w:val="0"/>
              <w:autoSpaceDN w:val="0"/>
              <w:adjustRightInd w:val="0"/>
              <w:snapToGrid w:val="0"/>
              <w:rPr>
                <w:rFonts w:ascii="宋体" w:hAnsi="宋体"/>
                <w:szCs w:val="21"/>
              </w:rPr>
            </w:pPr>
            <w:r>
              <w:rPr>
                <w:rFonts w:hint="eastAsia" w:ascii="宋体" w:hAnsi="宋体"/>
                <w:szCs w:val="21"/>
              </w:rPr>
              <w:t>（3）不同供应商的响应文件载明的项目管理成员或者联系人员为同一人；</w:t>
            </w:r>
          </w:p>
          <w:p>
            <w:pPr>
              <w:autoSpaceDE w:val="0"/>
              <w:autoSpaceDN w:val="0"/>
              <w:adjustRightInd w:val="0"/>
              <w:snapToGrid w:val="0"/>
              <w:rPr>
                <w:rFonts w:ascii="宋体" w:hAnsi="宋体"/>
                <w:szCs w:val="21"/>
              </w:rPr>
            </w:pPr>
            <w:r>
              <w:rPr>
                <w:rFonts w:hint="eastAsia" w:ascii="宋体" w:hAnsi="宋体"/>
                <w:szCs w:val="21"/>
              </w:rPr>
              <w:t>（4）不同供应商的响应文件异常一致或者投标报价呈规律性差异；</w:t>
            </w:r>
          </w:p>
          <w:p>
            <w:pPr>
              <w:autoSpaceDE w:val="0"/>
              <w:autoSpaceDN w:val="0"/>
              <w:adjustRightInd w:val="0"/>
              <w:snapToGrid w:val="0"/>
              <w:rPr>
                <w:rFonts w:ascii="宋体" w:hAnsi="宋体"/>
                <w:szCs w:val="21"/>
              </w:rPr>
            </w:pPr>
            <w:r>
              <w:rPr>
                <w:rFonts w:hint="eastAsia" w:ascii="宋体" w:hAnsi="宋体"/>
                <w:szCs w:val="21"/>
              </w:rPr>
              <w:t>（5）不同供应商的响应文件相互混装。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其他要求（二）</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rPr>
              <w:t>磋商文件中规定被视为无效投标其它条款的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spacing w:line="36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其他要求（三）（如有）</w:t>
            </w:r>
          </w:p>
        </w:tc>
        <w:tc>
          <w:tcPr>
            <w:tcW w:w="5563" w:type="dxa"/>
            <w:vAlign w:val="center"/>
          </w:tcPr>
          <w:p>
            <w:pPr>
              <w:widowControl/>
              <w:spacing w:line="360" w:lineRule="auto"/>
              <w:rPr>
                <w:rFonts w:ascii="宋体" w:hAnsi="宋体" w:cs="宋体"/>
                <w:kern w:val="0"/>
                <w:szCs w:val="21"/>
              </w:rPr>
            </w:pPr>
            <w:r>
              <w:rPr>
                <w:rFonts w:hint="eastAsia" w:ascii="宋体" w:hAnsi="宋体" w:cs="宋体"/>
                <w:kern w:val="0"/>
                <w:szCs w:val="21"/>
              </w:rPr>
              <w:t>澄清、说明或者补正等材料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w:t>
            </w:r>
          </w:p>
        </w:tc>
        <w:tc>
          <w:tcPr>
            <w:tcW w:w="851"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确定磋商供应商进行最后报价</w:t>
            </w: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磋商文件能完整、明确列明采购需求，无需要供应商提供最终设计方案或者解决方案的</w:t>
            </w:r>
          </w:p>
        </w:tc>
        <w:tc>
          <w:tcPr>
            <w:tcW w:w="5563" w:type="dxa"/>
            <w:vAlign w:val="center"/>
          </w:tcPr>
          <w:p>
            <w:pPr>
              <w:widowControl/>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在磋商结束后，磋商小组向所有通过资格性和符合性审查的磋商供应商发出报价书，并要求其在规定时间内提交最后报价。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5" w:hRule="atLeast"/>
          <w:jc w:val="center"/>
        </w:trPr>
        <w:tc>
          <w:tcPr>
            <w:tcW w:w="680" w:type="dxa"/>
            <w:vMerge w:val="continue"/>
            <w:vAlign w:val="center"/>
          </w:tcPr>
          <w:p>
            <w:pPr>
              <w:widowControl/>
              <w:jc w:val="center"/>
              <w:rPr>
                <w:rFonts w:asciiTheme="minorEastAsia" w:hAnsiTheme="minorEastAsia" w:eastAsiaTheme="minorEastAsia" w:cstheme="minorEastAsia"/>
                <w:kern w:val="0"/>
                <w:szCs w:val="21"/>
              </w:rPr>
            </w:pPr>
          </w:p>
        </w:tc>
        <w:tc>
          <w:tcPr>
            <w:tcW w:w="851" w:type="dxa"/>
            <w:vMerge w:val="continue"/>
            <w:vAlign w:val="center"/>
          </w:tcPr>
          <w:p>
            <w:pPr>
              <w:widowControl/>
              <w:jc w:val="center"/>
              <w:rPr>
                <w:rFonts w:asciiTheme="minorEastAsia" w:hAnsiTheme="minorEastAsia" w:eastAsiaTheme="minorEastAsia" w:cstheme="minorEastAsia"/>
                <w:kern w:val="0"/>
                <w:szCs w:val="21"/>
              </w:rPr>
            </w:pPr>
          </w:p>
        </w:tc>
        <w:tc>
          <w:tcPr>
            <w:tcW w:w="2268"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磋商文件不能完整、明确列明采购需求，需要由供应商提供最终设计方案或者解决方案的</w:t>
            </w: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在磋商结束后，磋商小组应当按照少数服从多数的原则投票推荐供应商的设计方案或者解决方案，并要求其在规定时间内提交最后报价。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3</w:t>
            </w:r>
          </w:p>
        </w:tc>
        <w:tc>
          <w:tcPr>
            <w:tcW w:w="851"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评定</w:t>
            </w:r>
          </w:p>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办法</w:t>
            </w:r>
          </w:p>
        </w:tc>
        <w:tc>
          <w:tcPr>
            <w:tcW w:w="2268"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kern w:val="0"/>
                <w:szCs w:val="21"/>
              </w:rPr>
              <w:t>综合评分法</w:t>
            </w:r>
          </w:p>
        </w:tc>
        <w:tc>
          <w:tcPr>
            <w:tcW w:w="5563"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各供应商的最终得分为各评委所评定分数的算术平均值。磋商小组将根据供应商最终得分由高到低的照顺序推荐3名成交候选人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4</w:t>
            </w:r>
          </w:p>
        </w:tc>
        <w:tc>
          <w:tcPr>
            <w:tcW w:w="851"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核心产品相同品牌</w:t>
            </w:r>
          </w:p>
        </w:tc>
        <w:tc>
          <w:tcPr>
            <w:tcW w:w="2268" w:type="dxa"/>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核心产品相同品牌处理原则</w:t>
            </w:r>
          </w:p>
        </w:tc>
        <w:tc>
          <w:tcPr>
            <w:tcW w:w="5563" w:type="dxa"/>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提供相同品牌核心产品且通过资格审查、符合性审查的不同供应商参加同一合同项下竞标的，按一家供应商计算，评审后得分最高的同品牌供应商获得成交候选供应商推荐资格；评审得分相同的，由采购人确定或者采购人委托磋商小组以投票方式确定一个供应商获得成交候选供应商推荐资格，其他同品牌供应商不作为成交候选供应商。 </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非单一产品采购项目，采购人可以不明确核心产品，也可以根据采购项目技术构成、产品价格比重等合理确定一个核心产品，并以“核心产品”在磋商文件中标注。若核心产品不止1个，各供应商所投任一核心产品的品牌相同，则按一家供应商计算。</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多家供应商提供的核心产品品牌相同的，按上述规定处理。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6" w:hRule="atLeast"/>
          <w:jc w:val="center"/>
        </w:trPr>
        <w:tc>
          <w:tcPr>
            <w:tcW w:w="9362" w:type="dxa"/>
            <w:gridSpan w:val="4"/>
            <w:vAlign w:val="center"/>
          </w:tcPr>
          <w:p>
            <w:pPr>
              <w:widowControl/>
              <w:pBdr>
                <w:between w:val="single" w:color="auto" w:sz="4" w:space="0"/>
              </w:pBd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kern w:val="0"/>
                <w:szCs w:val="21"/>
              </w:rPr>
              <w:t>政策支持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所属行业及</w:t>
            </w:r>
          </w:p>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划型标准</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类型：软件和信息技术服务业</w:t>
            </w:r>
          </w:p>
          <w:p>
            <w:pPr>
              <w:widowControl/>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小型：从业人员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微型：从业人员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中小企业</w:t>
            </w:r>
          </w:p>
        </w:tc>
        <w:tc>
          <w:tcPr>
            <w:tcW w:w="7831" w:type="dxa"/>
            <w:gridSpan w:val="2"/>
            <w:vAlign w:val="center"/>
          </w:tcPr>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如符合工信部联企业【2011】300号文中对中小企业划型标准的， 可提供本单位的 《中小企业声明函》（格式见第六章）。磋商小组将根据财库【2020】46号文《政府采购促进中小企业发展管理办法》的相关规定在评定时对小型和微型企业产品的价格给予6%的扣除后的价格参与评审（适用于非专门面向中小企业、监狱企业、残疾人福利性的项目）。大中型企业与小型、微型企业组成联合体共同参加非专门面向中小企业的政府采购活动，且联合体协议中约定小型、微型企业的协议合同金额占到联合体协议合同总金额30%以上的，给予联合体2%的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5"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监狱企业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6%的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促进残疾人</w:t>
            </w:r>
          </w:p>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就业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autoSpaceDE w:val="0"/>
              <w:autoSpaceDN w:val="0"/>
              <w:adjustRightInd w:val="0"/>
              <w:jc w:val="center"/>
              <w:rPr>
                <w:rFonts w:ascii="宋体" w:hAnsi="宋体" w:cs="宋体"/>
                <w:snapToGrid w:val="0"/>
                <w:kern w:val="0"/>
                <w:szCs w:val="21"/>
                <w:lang w:val="zh-CN"/>
              </w:rPr>
            </w:pPr>
          </w:p>
          <w:p>
            <w:pPr>
              <w:autoSpaceDE w:val="0"/>
              <w:autoSpaceDN w:val="0"/>
              <w:adjustRightInd w:val="0"/>
              <w:jc w:val="center"/>
              <w:rPr>
                <w:rFonts w:asciiTheme="minorEastAsia" w:hAnsiTheme="minorEastAsia" w:cstheme="minorEastAsia"/>
                <w:kern w:val="0"/>
                <w:szCs w:val="21"/>
              </w:rPr>
            </w:pPr>
            <w:r>
              <w:rPr>
                <w:rFonts w:hint="eastAsia" w:ascii="宋体" w:hAnsi="宋体" w:cs="宋体"/>
                <w:snapToGrid w:val="0"/>
                <w:kern w:val="0"/>
                <w:szCs w:val="21"/>
                <w:lang w:val="zh-CN"/>
              </w:rPr>
              <w:t>节能</w:t>
            </w:r>
            <w:r>
              <w:rPr>
                <w:rFonts w:hint="eastAsia" w:ascii="宋体" w:hAnsi="宋体" w:cs="宋体"/>
                <w:snapToGrid w:val="0"/>
                <w:kern w:val="0"/>
                <w:szCs w:val="21"/>
              </w:rPr>
              <w:t>环保</w:t>
            </w:r>
          </w:p>
        </w:tc>
        <w:tc>
          <w:tcPr>
            <w:tcW w:w="7831" w:type="dxa"/>
            <w:gridSpan w:val="2"/>
            <w:vAlign w:val="center"/>
          </w:tcPr>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如供应商投标产品符合以上文件的政策支持，须提供产品认证证书（合格有效时间内的）或节能产品查（http://www、ccgp、gov、cn/search/jnqdchaxun、htm）/环境标志产品查询（http://www、ccgp、gov、cn/search/hbqdchaxun、htm）查询结果截图。经磋商小组审核确认供应商投标产品符合以上政府采购政策的，给予该项竞标产品所占价格的1%的价格扣除，用扣除后的价格参与评审。上述政府采购政策优惠须经磋商小组评审后执行，未提供单独分项报价或证明资料不全的不给予价格扣除。同一项目包内的节能产品价格扣除只对属于节能产品政府清单内的非强制类产品进行，强制类产品已作为竞标时强制性要求不再给予价格扣除。同时被认证为节能产品和环境标志产品的不重复享受价格扣除。</w:t>
            </w:r>
          </w:p>
        </w:tc>
      </w:tr>
    </w:tbl>
    <w:p>
      <w:pPr>
        <w:spacing w:line="360" w:lineRule="auto"/>
        <w:outlineLvl w:val="1"/>
        <w:rPr>
          <w:rFonts w:asciiTheme="minorEastAsia" w:hAnsiTheme="minorEastAsia" w:eastAsiaTheme="minorEastAsia" w:cstheme="minorEastAsia"/>
          <w:b/>
          <w:szCs w:val="21"/>
        </w:rPr>
      </w:pPr>
      <w:bookmarkStart w:id="116" w:name="_Toc32423"/>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t>二、计算办法</w:t>
      </w:r>
      <w:bookmarkEnd w:id="116"/>
    </w:p>
    <w:tbl>
      <w:tblPr>
        <w:tblStyle w:val="26"/>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940"/>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2"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分值构成(总分100分)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评标基准价计算方法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满足采购文件要求且报价最低的竞标报价为评标基准价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评分因素</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技术部分评分标准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商务部分评分标准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6"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竞标报价评分标准</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低价优先法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各供应商的最终得分计算办法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所有评委评分的算术平均值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供应商最后得分相同时对供应商进行排序的方法</w:t>
            </w:r>
          </w:p>
        </w:tc>
        <w:tc>
          <w:tcPr>
            <w:tcW w:w="6322" w:type="dxa"/>
            <w:vAlign w:val="center"/>
          </w:tcPr>
          <w:p>
            <w:pPr>
              <w:widowControl/>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得分相同的供应商，按竞标报价由低到高顺序排列。得分且报价相同的，按技术指标优劣顺序排列。</w:t>
            </w:r>
          </w:p>
        </w:tc>
      </w:tr>
    </w:tbl>
    <w:p>
      <w:pPr>
        <w:pStyle w:val="20"/>
        <w:outlineLvl w:val="1"/>
        <w:rPr>
          <w:rFonts w:asciiTheme="minorEastAsia" w:hAnsiTheme="minorEastAsia" w:eastAsiaTheme="minorEastAsia" w:cstheme="minorEastAsia"/>
        </w:rPr>
        <w:sectPr>
          <w:footerReference r:id="rId7" w:type="default"/>
          <w:type w:val="continuous"/>
          <w:pgSz w:w="11906" w:h="16838"/>
          <w:pgMar w:top="1417" w:right="1417" w:bottom="1417" w:left="1417" w:header="851" w:footer="992" w:gutter="0"/>
          <w:cols w:space="720" w:num="1"/>
          <w:docGrid w:type="lines" w:linePitch="312" w:charSpace="0"/>
        </w:sectPr>
      </w:pPr>
      <w:bookmarkStart w:id="117" w:name="_Toc17585"/>
      <w:bookmarkStart w:id="118" w:name="_Toc8676"/>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bookmarkEnd w:id="117"/>
      <w:bookmarkEnd w:id="118"/>
    </w:p>
    <w:p>
      <w:pPr>
        <w:pStyle w:val="20"/>
        <w:outlineLvl w:val="1"/>
        <w:rPr>
          <w:rStyle w:val="105"/>
        </w:rPr>
      </w:pPr>
      <w:bookmarkStart w:id="119" w:name="_Toc18578"/>
      <w:r>
        <w:rPr>
          <w:rFonts w:hint="eastAsia" w:asciiTheme="minorEastAsia" w:hAnsiTheme="minorEastAsia" w:eastAsiaTheme="minorEastAsia" w:cstheme="minorEastAsia"/>
          <w:b/>
          <w:szCs w:val="21"/>
        </w:rPr>
        <w:t>三、评分细则</w:t>
      </w:r>
      <w:bookmarkEnd w:id="119"/>
    </w:p>
    <w:tbl>
      <w:tblPr>
        <w:tblStyle w:val="26"/>
        <w:tblpPr w:leftFromText="180" w:rightFromText="180" w:vertAnchor="text" w:horzAnchor="page" w:tblpX="1415" w:tblpY="299"/>
        <w:tblOverlap w:val="never"/>
        <w:tblW w:w="928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6"/>
        <w:gridCol w:w="1376"/>
        <w:gridCol w:w="6512"/>
        <w:gridCol w:w="66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blHeader/>
        </w:trPr>
        <w:tc>
          <w:tcPr>
            <w:tcW w:w="736" w:type="dxa"/>
            <w:tcBorders>
              <w:top w:val="single" w:color="auto" w:sz="12" w:space="0"/>
            </w:tcBorders>
            <w:vAlign w:val="center"/>
          </w:tcPr>
          <w:p>
            <w:pPr>
              <w:spacing w:line="360" w:lineRule="atLeast"/>
              <w:jc w:val="center"/>
              <w:rPr>
                <w:rFonts w:asciiTheme="minorEastAsia" w:hAnsiTheme="minorEastAsia" w:eastAsiaTheme="minorEastAsia" w:cstheme="minorEastAsia"/>
                <w:b/>
                <w:bCs/>
                <w:color w:val="auto"/>
                <w:spacing w:val="-6"/>
                <w:szCs w:val="21"/>
              </w:rPr>
            </w:pPr>
            <w:r>
              <w:rPr>
                <w:rFonts w:hint="eastAsia" w:asciiTheme="minorEastAsia" w:hAnsiTheme="minorEastAsia" w:eastAsiaTheme="minorEastAsia" w:cstheme="minorEastAsia"/>
                <w:b/>
                <w:bCs/>
                <w:color w:val="auto"/>
                <w:szCs w:val="21"/>
              </w:rPr>
              <w:t>类别</w:t>
            </w:r>
          </w:p>
        </w:tc>
        <w:tc>
          <w:tcPr>
            <w:tcW w:w="1376" w:type="dxa"/>
            <w:tcBorders>
              <w:top w:val="single" w:color="auto" w:sz="12" w:space="0"/>
            </w:tcBorders>
            <w:vAlign w:val="center"/>
          </w:tcPr>
          <w:p>
            <w:pPr>
              <w:spacing w:line="360" w:lineRule="atLeast"/>
              <w:jc w:val="center"/>
              <w:rPr>
                <w:rFonts w:asciiTheme="minorEastAsia" w:hAnsiTheme="minorEastAsia" w:eastAsiaTheme="minorEastAsia" w:cstheme="minorEastAsia"/>
                <w:b/>
                <w:bCs/>
                <w:color w:val="auto"/>
                <w:spacing w:val="-6"/>
                <w:szCs w:val="21"/>
              </w:rPr>
            </w:pPr>
            <w:r>
              <w:rPr>
                <w:rFonts w:hint="eastAsia" w:asciiTheme="minorEastAsia" w:hAnsiTheme="minorEastAsia" w:eastAsiaTheme="minorEastAsia" w:cstheme="minorEastAsia"/>
                <w:b/>
                <w:bCs/>
                <w:color w:val="auto"/>
                <w:szCs w:val="21"/>
              </w:rPr>
              <w:t>评审因素</w:t>
            </w:r>
          </w:p>
        </w:tc>
        <w:tc>
          <w:tcPr>
            <w:tcW w:w="6512" w:type="dxa"/>
            <w:tcBorders>
              <w:top w:val="single" w:color="auto" w:sz="12" w:space="0"/>
            </w:tcBorders>
            <w:vAlign w:val="center"/>
          </w:tcPr>
          <w:p>
            <w:pPr>
              <w:spacing w:line="360" w:lineRule="atLeast"/>
              <w:jc w:val="center"/>
              <w:rPr>
                <w:rFonts w:asciiTheme="minorEastAsia" w:hAnsiTheme="minorEastAsia" w:eastAsiaTheme="minorEastAsia" w:cstheme="minorEastAsia"/>
                <w:b/>
                <w:bCs/>
                <w:color w:val="auto"/>
                <w:spacing w:val="-6"/>
                <w:szCs w:val="21"/>
              </w:rPr>
            </w:pPr>
            <w:r>
              <w:rPr>
                <w:rFonts w:hint="eastAsia" w:asciiTheme="minorEastAsia" w:hAnsiTheme="minorEastAsia" w:eastAsiaTheme="minorEastAsia" w:cstheme="minorEastAsia"/>
                <w:b/>
                <w:bCs/>
                <w:color w:val="auto"/>
                <w:szCs w:val="21"/>
              </w:rPr>
              <w:t>评审标准</w:t>
            </w:r>
          </w:p>
        </w:tc>
        <w:tc>
          <w:tcPr>
            <w:tcW w:w="664" w:type="dxa"/>
            <w:tcBorders>
              <w:top w:val="single" w:color="auto" w:sz="12" w:space="0"/>
            </w:tcBorders>
            <w:vAlign w:val="center"/>
          </w:tcPr>
          <w:p>
            <w:pPr>
              <w:spacing w:line="360" w:lineRule="atLeast"/>
              <w:jc w:val="center"/>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736" w:type="dxa"/>
            <w:vAlign w:val="center"/>
          </w:tcPr>
          <w:p>
            <w:pPr>
              <w:widowControl/>
              <w:spacing w:line="260" w:lineRule="exact"/>
              <w:jc w:val="center"/>
              <w:textAlignment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kern w:val="0"/>
                <w:szCs w:val="21"/>
                <w:lang w:bidi="ar"/>
              </w:rPr>
              <w:t>竞标报价</w:t>
            </w:r>
            <w:r>
              <w:rPr>
                <w:rFonts w:hint="eastAsia" w:asciiTheme="minorEastAsia" w:hAnsiTheme="minorEastAsia" w:eastAsiaTheme="minorEastAsia" w:cstheme="minorEastAsia"/>
                <w:color w:val="auto"/>
                <w:kern w:val="0"/>
                <w:szCs w:val="21"/>
                <w:lang w:bidi="ar"/>
              </w:rPr>
              <w:br w:type="textWrapping"/>
            </w:r>
            <w:r>
              <w:rPr>
                <w:rFonts w:hint="eastAsia" w:asciiTheme="minorEastAsia" w:hAnsiTheme="minorEastAsia" w:eastAsiaTheme="minorEastAsia" w:cstheme="minorEastAsia"/>
                <w:color w:val="auto"/>
                <w:kern w:val="0"/>
                <w:szCs w:val="21"/>
                <w:lang w:val="en-US" w:eastAsia="zh-CN" w:bidi="ar"/>
              </w:rPr>
              <w:t>50</w:t>
            </w:r>
            <w:r>
              <w:rPr>
                <w:rFonts w:hint="eastAsia" w:asciiTheme="minorEastAsia" w:hAnsiTheme="minorEastAsia" w:eastAsiaTheme="minorEastAsia" w:cstheme="minorEastAsia"/>
                <w:color w:val="auto"/>
                <w:kern w:val="0"/>
                <w:szCs w:val="21"/>
                <w:lang w:bidi="ar"/>
              </w:rPr>
              <w:t>分</w:t>
            </w:r>
          </w:p>
        </w:tc>
        <w:tc>
          <w:tcPr>
            <w:tcW w:w="1376" w:type="dxa"/>
            <w:vAlign w:val="center"/>
          </w:tcPr>
          <w:p>
            <w:pPr>
              <w:widowControl/>
              <w:spacing w:line="260" w:lineRule="exact"/>
              <w:jc w:val="center"/>
              <w:textAlignment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kern w:val="0"/>
                <w:szCs w:val="21"/>
                <w:lang w:bidi="ar"/>
              </w:rPr>
              <w:t>最后报价</w:t>
            </w:r>
          </w:p>
        </w:tc>
        <w:tc>
          <w:tcPr>
            <w:tcW w:w="6512" w:type="dxa"/>
            <w:vAlign w:val="center"/>
          </w:tcPr>
          <w:p>
            <w:pPr>
              <w:widowControl/>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（1）报价采用低价优先法计算，即满足磋商采购文件要求且报价最低的报价为磋商基准价，其报价分为满分</w:t>
            </w:r>
            <w:r>
              <w:rPr>
                <w:rFonts w:hint="eastAsia" w:asciiTheme="minorEastAsia" w:hAnsiTheme="minorEastAsia" w:eastAsiaTheme="minorEastAsia" w:cstheme="minorEastAsia"/>
                <w:color w:val="auto"/>
                <w:lang w:val="en-US" w:eastAsia="zh-CN"/>
              </w:rPr>
              <w:t>5</w:t>
            </w:r>
            <w:r>
              <w:rPr>
                <w:rFonts w:hint="eastAsia" w:asciiTheme="minorEastAsia" w:hAnsiTheme="minorEastAsia" w:eastAsiaTheme="minorEastAsia" w:cstheme="minorEastAsia"/>
                <w:color w:val="auto"/>
              </w:rPr>
              <w:t>0分；</w:t>
            </w:r>
          </w:p>
          <w:p>
            <w:pPr>
              <w:widowControl/>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（2）其他供应商的报价分按照下列公式计算：</w:t>
            </w:r>
          </w:p>
          <w:p>
            <w:pPr>
              <w:widowControl/>
              <w:spacing w:line="260" w:lineRule="exact"/>
              <w:jc w:val="left"/>
              <w:textAlignment w:val="center"/>
              <w:rPr>
                <w:rFonts w:hint="default" w:asciiTheme="minorEastAsia" w:hAnsiTheme="minorEastAsia" w:eastAsiaTheme="minorEastAsia" w:cstheme="minorEastAsia"/>
                <w:color w:val="auto"/>
                <w:lang w:val="en-US"/>
              </w:rPr>
            </w:pPr>
            <w:r>
              <w:rPr>
                <w:rFonts w:hint="eastAsia" w:asciiTheme="minorEastAsia" w:hAnsiTheme="minorEastAsia" w:eastAsiaTheme="minorEastAsia" w:cstheme="minorEastAsia"/>
                <w:color w:val="auto"/>
              </w:rPr>
              <w:t>报价分=（磋商基准价/磋商报价）×</w:t>
            </w:r>
            <w:r>
              <w:rPr>
                <w:rFonts w:hint="eastAsia" w:asciiTheme="minorEastAsia" w:hAnsiTheme="minorEastAsia" w:eastAsiaTheme="minorEastAsia" w:cstheme="minorEastAsia"/>
                <w:color w:val="auto"/>
                <w:lang w:val="en-US" w:eastAsia="zh-CN"/>
              </w:rPr>
              <w:t>50</w:t>
            </w:r>
          </w:p>
          <w:p>
            <w:pPr>
              <w:widowControl/>
              <w:spacing w:line="260" w:lineRule="exact"/>
              <w:jc w:val="left"/>
              <w:textAlignment w:val="center"/>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备注：1）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widowControl/>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rPr>
              <w:t>2）符合本磋商文件第四章“政策支持”条件的，在评审时予以价格扣除，用扣除后的价格参与评审。</w:t>
            </w:r>
          </w:p>
        </w:tc>
        <w:tc>
          <w:tcPr>
            <w:tcW w:w="664" w:type="dxa"/>
            <w:vAlign w:val="center"/>
          </w:tcPr>
          <w:p>
            <w:pPr>
              <w:widowControl/>
              <w:spacing w:line="260" w:lineRule="exact"/>
              <w:jc w:val="center"/>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Cs w:val="21"/>
                <w:lang w:val="en-US" w:eastAsia="zh-CN" w:bidi="ar"/>
              </w:rPr>
              <w:t>50</w:t>
            </w:r>
            <w:r>
              <w:rPr>
                <w:rFonts w:hint="eastAsia" w:asciiTheme="minorEastAsia" w:hAnsiTheme="minorEastAsia" w:eastAsiaTheme="minorEastAsia" w:cstheme="minorEastAsia"/>
                <w:color w:val="auto"/>
                <w:kern w:val="0"/>
                <w:szCs w:val="21"/>
                <w:lang w:bidi="ar"/>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29" w:hRule="atLeast"/>
        </w:trPr>
        <w:tc>
          <w:tcPr>
            <w:tcW w:w="736" w:type="dxa"/>
            <w:vMerge w:val="restart"/>
            <w:vAlign w:val="center"/>
          </w:tcPr>
          <w:p>
            <w:pPr>
              <w:jc w:val="center"/>
              <w:rPr>
                <w:rFonts w:hint="eastAsia" w:asciiTheme="minorEastAsia" w:hAnsiTheme="minorEastAsia" w:eastAsiaTheme="minorEastAsia" w:cstheme="minorEastAsia"/>
                <w:color w:val="auto"/>
                <w:spacing w:val="-6"/>
                <w:szCs w:val="21"/>
                <w:lang w:eastAsia="zh-CN"/>
              </w:rPr>
            </w:pPr>
            <w:r>
              <w:rPr>
                <w:rFonts w:hint="eastAsia" w:asciiTheme="minorEastAsia" w:hAnsiTheme="minorEastAsia" w:eastAsiaTheme="minorEastAsia" w:cstheme="minorEastAsia"/>
                <w:color w:val="auto"/>
                <w:spacing w:val="-6"/>
                <w:szCs w:val="21"/>
              </w:rPr>
              <w:t>商务</w:t>
            </w:r>
            <w:r>
              <w:rPr>
                <w:rFonts w:hint="eastAsia" w:asciiTheme="minorEastAsia" w:hAnsiTheme="minorEastAsia" w:eastAsiaTheme="minorEastAsia" w:cstheme="minorEastAsia"/>
                <w:color w:val="auto"/>
                <w:spacing w:val="-6"/>
                <w:szCs w:val="21"/>
                <w:lang w:eastAsia="zh-CN"/>
              </w:rPr>
              <w:t>部分</w:t>
            </w:r>
          </w:p>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lang w:val="en-US" w:eastAsia="zh-CN"/>
              </w:rPr>
              <w:t>8</w:t>
            </w:r>
            <w:r>
              <w:rPr>
                <w:rFonts w:hint="eastAsia" w:asciiTheme="minorEastAsia" w:hAnsiTheme="minorEastAsia" w:eastAsiaTheme="minorEastAsia" w:cstheme="minorEastAsia"/>
                <w:color w:val="auto"/>
                <w:spacing w:val="-6"/>
                <w:szCs w:val="21"/>
              </w:rPr>
              <w:t>分</w:t>
            </w:r>
          </w:p>
        </w:tc>
        <w:tc>
          <w:tcPr>
            <w:tcW w:w="1376" w:type="dxa"/>
            <w:vAlign w:val="center"/>
          </w:tcPr>
          <w:p>
            <w:pPr>
              <w:jc w:val="center"/>
              <w:rPr>
                <w:rFonts w:asciiTheme="minorEastAsia" w:hAnsiTheme="minorEastAsia" w:eastAsiaTheme="minorEastAsia" w:cstheme="minorEastAsia"/>
                <w:color w:val="auto"/>
                <w:spacing w:val="-6"/>
                <w:kern w:val="0"/>
                <w:szCs w:val="21"/>
              </w:rPr>
            </w:pPr>
            <w:r>
              <w:rPr>
                <w:rFonts w:hint="eastAsia" w:ascii="宋体" w:hAnsi="宋体" w:cs="宋体"/>
                <w:color w:val="auto"/>
                <w:spacing w:val="-6"/>
                <w:kern w:val="0"/>
                <w:szCs w:val="21"/>
              </w:rPr>
              <w:t>类似业绩</w:t>
            </w:r>
          </w:p>
        </w:tc>
        <w:tc>
          <w:tcPr>
            <w:tcW w:w="6512" w:type="dxa"/>
            <w:vAlign w:val="center"/>
          </w:tcPr>
          <w:p>
            <w:pPr>
              <w:rPr>
                <w:rFonts w:asciiTheme="minorEastAsia" w:hAnsiTheme="minorEastAsia" w:eastAsiaTheme="minorEastAsia" w:cstheme="minorEastAsia"/>
                <w:color w:val="auto"/>
                <w:spacing w:val="-6"/>
                <w:kern w:val="0"/>
                <w:szCs w:val="21"/>
              </w:rPr>
            </w:pPr>
            <w:r>
              <w:rPr>
                <w:rFonts w:hint="eastAsia" w:ascii="宋体" w:hAnsi="宋体" w:cs="宋体"/>
                <w:color w:val="auto"/>
                <w:szCs w:val="21"/>
              </w:rPr>
              <w:t>近三年（磋商截止时间往前推算36个月）具有类似采购业绩的，每个得1分，最多得</w:t>
            </w:r>
            <w:r>
              <w:rPr>
                <w:rFonts w:hint="eastAsia" w:ascii="宋体" w:hAnsi="宋体" w:cs="宋体"/>
                <w:color w:val="auto"/>
                <w:szCs w:val="21"/>
                <w:lang w:val="en-US" w:eastAsia="zh-CN"/>
              </w:rPr>
              <w:t>4</w:t>
            </w:r>
            <w:r>
              <w:rPr>
                <w:rFonts w:hint="eastAsia" w:ascii="宋体" w:hAnsi="宋体" w:cs="宋体"/>
                <w:color w:val="auto"/>
                <w:szCs w:val="21"/>
              </w:rPr>
              <w:t>分；（需提供成交通知书或合同</w:t>
            </w:r>
            <w:r>
              <w:rPr>
                <w:rFonts w:hint="eastAsia" w:ascii="宋体" w:hAnsi="宋体" w:cs="宋体"/>
                <w:color w:val="auto"/>
                <w:szCs w:val="21"/>
                <w:lang w:val="en-US" w:eastAsia="zh-CN"/>
              </w:rPr>
              <w:t>真彩</w:t>
            </w:r>
            <w:r>
              <w:rPr>
                <w:rFonts w:hint="eastAsia" w:ascii="宋体" w:hAnsi="宋体" w:cs="宋体"/>
                <w:color w:val="auto"/>
                <w:szCs w:val="21"/>
              </w:rPr>
              <w:t>扫描件）</w:t>
            </w:r>
          </w:p>
        </w:tc>
        <w:tc>
          <w:tcPr>
            <w:tcW w:w="664" w:type="dxa"/>
            <w:vAlign w:val="center"/>
          </w:tcPr>
          <w:p>
            <w:pPr>
              <w:widowControl/>
              <w:spacing w:line="260" w:lineRule="exact"/>
              <w:jc w:val="center"/>
              <w:textAlignment w:val="center"/>
              <w:rPr>
                <w:rFonts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val="en-US" w:eastAsia="zh-CN" w:bidi="ar"/>
              </w:rPr>
              <w:t>4</w:t>
            </w:r>
            <w:r>
              <w:rPr>
                <w:rFonts w:hint="eastAsia" w:asciiTheme="minorEastAsia" w:hAnsiTheme="minorEastAsia" w:eastAsiaTheme="minorEastAsia" w:cstheme="minorEastAsia"/>
                <w:color w:val="auto"/>
                <w:kern w:val="0"/>
                <w:szCs w:val="21"/>
                <w:lang w:bidi="ar"/>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rPr>
                <w:rFonts w:asciiTheme="minorEastAsia" w:hAnsiTheme="minorEastAsia" w:eastAsiaTheme="minorEastAsia" w:cstheme="minorEastAsia"/>
                <w:color w:val="auto"/>
                <w:szCs w:val="21"/>
              </w:rPr>
            </w:pPr>
          </w:p>
        </w:tc>
        <w:tc>
          <w:tcPr>
            <w:tcW w:w="1376" w:type="dxa"/>
            <w:vAlign w:val="center"/>
          </w:tcPr>
          <w:p>
            <w:pPr>
              <w:jc w:val="center"/>
              <w:rPr>
                <w:rFonts w:hint="eastAsia" w:asciiTheme="minorEastAsia" w:hAnsiTheme="minorEastAsia" w:eastAsiaTheme="minorEastAsia" w:cstheme="minorEastAsia"/>
                <w:color w:val="auto"/>
                <w:spacing w:val="-6"/>
                <w:kern w:val="2"/>
                <w:sz w:val="21"/>
                <w:szCs w:val="21"/>
                <w:lang w:val="en-US" w:eastAsia="zh-CN" w:bidi="ar-SA"/>
              </w:rPr>
            </w:pPr>
            <w:r>
              <w:rPr>
                <w:rFonts w:hint="eastAsia" w:asciiTheme="minorEastAsia" w:hAnsiTheme="minorEastAsia" w:eastAsiaTheme="minorEastAsia" w:cstheme="minorEastAsia"/>
                <w:color w:val="auto"/>
                <w:spacing w:val="-6"/>
                <w:kern w:val="2"/>
                <w:sz w:val="21"/>
                <w:szCs w:val="21"/>
                <w:lang w:val="en-US" w:eastAsia="zh-CN" w:bidi="ar-SA"/>
              </w:rPr>
              <w:t>投标货物优势</w:t>
            </w:r>
          </w:p>
        </w:tc>
        <w:tc>
          <w:tcPr>
            <w:tcW w:w="6512" w:type="dxa"/>
            <w:vAlign w:val="center"/>
          </w:tcPr>
          <w:p>
            <w:pPr>
              <w:rPr>
                <w:rFonts w:hint="eastAsia" w:ascii="宋体" w:hAnsi="宋体" w:cs="宋体"/>
                <w:color w:val="auto"/>
                <w:szCs w:val="21"/>
                <w:lang w:val="en-US" w:eastAsia="zh-CN"/>
              </w:rPr>
            </w:pPr>
            <w:r>
              <w:rPr>
                <w:rFonts w:hint="eastAsia" w:ascii="宋体" w:hAnsi="宋体" w:cs="宋体"/>
                <w:color w:val="auto"/>
                <w:szCs w:val="21"/>
                <w:lang w:val="zh-CN"/>
              </w:rPr>
              <w:t>所投软件产品具有软件产品登记证书，</w:t>
            </w:r>
            <w:r>
              <w:rPr>
                <w:rFonts w:hint="eastAsia" w:ascii="宋体" w:hAnsi="宋体" w:cs="宋体"/>
                <w:color w:val="auto"/>
                <w:szCs w:val="21"/>
                <w:lang w:val="en-US" w:eastAsia="zh-CN"/>
              </w:rPr>
              <w:t>每项</w:t>
            </w:r>
            <w:r>
              <w:rPr>
                <w:rFonts w:hint="eastAsia" w:ascii="宋体" w:hAnsi="宋体" w:cs="宋体"/>
                <w:color w:val="auto"/>
                <w:szCs w:val="21"/>
                <w:lang w:val="zh-CN"/>
              </w:rPr>
              <w:t>得</w:t>
            </w:r>
            <w:r>
              <w:rPr>
                <w:rFonts w:hint="eastAsia" w:ascii="宋体" w:hAnsi="宋体" w:cs="宋体"/>
                <w:color w:val="auto"/>
                <w:szCs w:val="21"/>
                <w:lang w:val="en-US" w:eastAsia="zh-CN"/>
              </w:rPr>
              <w:t>1</w:t>
            </w:r>
            <w:r>
              <w:rPr>
                <w:rFonts w:hint="eastAsia" w:ascii="宋体" w:hAnsi="宋体" w:cs="宋体"/>
                <w:color w:val="auto"/>
                <w:szCs w:val="21"/>
                <w:lang w:val="zh-CN"/>
              </w:rPr>
              <w:t>分，</w:t>
            </w:r>
            <w:r>
              <w:rPr>
                <w:rFonts w:hint="eastAsia" w:ascii="宋体" w:hAnsi="宋体" w:cs="宋体"/>
                <w:color w:val="auto"/>
                <w:szCs w:val="21"/>
                <w:lang w:val="en-US" w:eastAsia="zh-CN"/>
              </w:rPr>
              <w:t>共2分，</w:t>
            </w:r>
            <w:r>
              <w:rPr>
                <w:rFonts w:hint="eastAsia" w:ascii="宋体" w:hAnsi="宋体" w:cs="宋体"/>
                <w:color w:val="auto"/>
                <w:szCs w:val="21"/>
                <w:lang w:val="zh-CN"/>
              </w:rPr>
              <w:t>无则不得分。</w:t>
            </w:r>
          </w:p>
          <w:p>
            <w:pPr>
              <w:rPr>
                <w:rFonts w:hint="eastAsia" w:ascii="宋体" w:hAnsi="宋体" w:cs="宋体"/>
                <w:color w:val="auto"/>
                <w:szCs w:val="21"/>
              </w:rPr>
            </w:pPr>
            <w:r>
              <w:rPr>
                <w:rFonts w:hint="eastAsia" w:ascii="宋体" w:hAnsi="宋体" w:cs="宋体"/>
                <w:color w:val="auto"/>
                <w:szCs w:val="21"/>
                <w:lang w:val="zh-CN"/>
              </w:rPr>
              <w:t>（投标人为非制造商的提供原件复印件加盖制造商的印章）</w:t>
            </w:r>
          </w:p>
        </w:tc>
        <w:tc>
          <w:tcPr>
            <w:tcW w:w="664" w:type="dxa"/>
            <w:vAlign w:val="center"/>
          </w:tcPr>
          <w:p>
            <w:pPr>
              <w:widowControl/>
              <w:spacing w:line="260" w:lineRule="exact"/>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val="en-US" w:eastAsia="zh-CN" w:bidi="ar"/>
              </w:rPr>
              <w:t>2</w:t>
            </w:r>
            <w:r>
              <w:rPr>
                <w:rFonts w:hint="eastAsia" w:asciiTheme="minorEastAsia" w:hAnsiTheme="minorEastAsia" w:eastAsiaTheme="minorEastAsia" w:cstheme="minorEastAsia"/>
                <w:color w:val="auto"/>
                <w:kern w:val="0"/>
                <w:szCs w:val="21"/>
                <w:lang w:bidi="ar"/>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rPr>
                <w:rFonts w:asciiTheme="minorEastAsia" w:hAnsiTheme="minorEastAsia" w:eastAsiaTheme="minorEastAsia" w:cstheme="minorEastAsia"/>
                <w:color w:val="252FEE"/>
                <w:szCs w:val="21"/>
              </w:rPr>
            </w:pPr>
          </w:p>
        </w:tc>
        <w:tc>
          <w:tcPr>
            <w:tcW w:w="1376" w:type="dxa"/>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lang w:val="zh-CN"/>
              </w:rPr>
              <w:t>投标货物优势</w:t>
            </w:r>
          </w:p>
        </w:tc>
        <w:tc>
          <w:tcPr>
            <w:tcW w:w="6512" w:type="dxa"/>
            <w:vAlign w:val="center"/>
          </w:tcPr>
          <w:p>
            <w:pPr>
              <w:widowControl/>
              <w:jc w:val="left"/>
              <w:rPr>
                <w:rFonts w:hint="eastAsia" w:asciiTheme="minorEastAsia" w:hAnsiTheme="minorEastAsia" w:eastAsiaTheme="minorEastAsia" w:cstheme="minorEastAsia"/>
                <w:color w:val="auto"/>
                <w:spacing w:val="-6"/>
                <w:szCs w:val="21"/>
                <w:lang w:val="en-US" w:eastAsia="zh-CN"/>
              </w:rPr>
            </w:pPr>
            <w:r>
              <w:rPr>
                <w:rFonts w:hint="eastAsia" w:asciiTheme="minorEastAsia" w:hAnsiTheme="minorEastAsia" w:eastAsiaTheme="minorEastAsia" w:cstheme="minorEastAsia"/>
                <w:color w:val="auto"/>
                <w:spacing w:val="-6"/>
                <w:szCs w:val="21"/>
                <w:lang w:val="zh-CN"/>
              </w:rPr>
              <w:t>所投软件产品具有计算机软件著作权登记证书，</w:t>
            </w:r>
            <w:r>
              <w:rPr>
                <w:rFonts w:hint="eastAsia" w:asciiTheme="minorEastAsia" w:hAnsiTheme="minorEastAsia" w:eastAsiaTheme="minorEastAsia" w:cstheme="minorEastAsia"/>
                <w:color w:val="auto"/>
                <w:spacing w:val="-6"/>
                <w:szCs w:val="21"/>
                <w:lang w:val="zh-CN" w:eastAsia="zh-CN"/>
              </w:rPr>
              <w:t>每项</w:t>
            </w:r>
            <w:r>
              <w:rPr>
                <w:rFonts w:hint="eastAsia" w:asciiTheme="minorEastAsia" w:hAnsiTheme="minorEastAsia" w:eastAsiaTheme="minorEastAsia" w:cstheme="minorEastAsia"/>
                <w:color w:val="auto"/>
                <w:spacing w:val="-6"/>
                <w:szCs w:val="21"/>
                <w:lang w:val="zh-CN"/>
              </w:rPr>
              <w:t>得</w:t>
            </w:r>
            <w:r>
              <w:rPr>
                <w:rFonts w:hint="eastAsia" w:asciiTheme="minorEastAsia" w:hAnsiTheme="minorEastAsia" w:eastAsiaTheme="minorEastAsia" w:cstheme="minorEastAsia"/>
                <w:color w:val="auto"/>
                <w:spacing w:val="-6"/>
                <w:szCs w:val="21"/>
                <w:lang w:val="en-US" w:eastAsia="zh-CN"/>
              </w:rPr>
              <w:t>1</w:t>
            </w:r>
            <w:r>
              <w:rPr>
                <w:rFonts w:hint="eastAsia" w:asciiTheme="minorEastAsia" w:hAnsiTheme="minorEastAsia" w:eastAsiaTheme="minorEastAsia" w:cstheme="minorEastAsia"/>
                <w:color w:val="auto"/>
                <w:spacing w:val="-6"/>
                <w:szCs w:val="21"/>
                <w:lang w:val="zh-CN"/>
              </w:rPr>
              <w:t>分，</w:t>
            </w:r>
            <w:r>
              <w:rPr>
                <w:rFonts w:hint="eastAsia" w:asciiTheme="minorEastAsia" w:hAnsiTheme="minorEastAsia" w:eastAsiaTheme="minorEastAsia" w:cstheme="minorEastAsia"/>
                <w:color w:val="auto"/>
                <w:spacing w:val="-6"/>
                <w:szCs w:val="21"/>
                <w:lang w:val="zh-CN" w:eastAsia="zh-CN"/>
              </w:rPr>
              <w:t>共</w:t>
            </w:r>
            <w:r>
              <w:rPr>
                <w:rFonts w:hint="eastAsia" w:asciiTheme="minorEastAsia" w:hAnsiTheme="minorEastAsia" w:eastAsiaTheme="minorEastAsia" w:cstheme="minorEastAsia"/>
                <w:color w:val="auto"/>
                <w:spacing w:val="-6"/>
                <w:szCs w:val="21"/>
                <w:lang w:val="en-US" w:eastAsia="zh-CN"/>
              </w:rPr>
              <w:t>2</w:t>
            </w:r>
            <w:r>
              <w:rPr>
                <w:rFonts w:hint="eastAsia" w:asciiTheme="minorEastAsia" w:hAnsiTheme="minorEastAsia" w:eastAsiaTheme="minorEastAsia" w:cstheme="minorEastAsia"/>
                <w:color w:val="auto"/>
                <w:spacing w:val="-6"/>
                <w:szCs w:val="21"/>
                <w:lang w:val="zh-CN" w:eastAsia="zh-CN"/>
              </w:rPr>
              <w:t>分</w:t>
            </w:r>
            <w:r>
              <w:rPr>
                <w:rFonts w:hint="eastAsia" w:asciiTheme="minorEastAsia" w:hAnsiTheme="minorEastAsia" w:eastAsiaTheme="minorEastAsia" w:cstheme="minorEastAsia"/>
                <w:color w:val="auto"/>
                <w:spacing w:val="-6"/>
                <w:szCs w:val="21"/>
                <w:lang w:val="zh-CN"/>
              </w:rPr>
              <w:t>，无则不得分。</w:t>
            </w:r>
          </w:p>
          <w:p>
            <w:pPr>
              <w:widowControl/>
              <w:jc w:val="left"/>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lang w:val="zh-CN"/>
              </w:rPr>
              <w:t>（投标人为非制造商的提供原件复印件加盖制造商的印章）</w:t>
            </w:r>
          </w:p>
        </w:tc>
        <w:tc>
          <w:tcPr>
            <w:tcW w:w="664" w:type="dxa"/>
            <w:vAlign w:val="center"/>
          </w:tcPr>
          <w:p>
            <w:pPr>
              <w:widowControl/>
              <w:spacing w:line="260" w:lineRule="exact"/>
              <w:jc w:val="center"/>
              <w:textAlignment w:val="center"/>
              <w:rPr>
                <w:rFonts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val="en-US" w:eastAsia="zh-CN"/>
              </w:rPr>
              <w:t>2</w:t>
            </w:r>
            <w:r>
              <w:rPr>
                <w:rFonts w:hint="eastAsia" w:asciiTheme="minorEastAsia" w:hAnsiTheme="minorEastAsia" w:eastAsiaTheme="minorEastAsia" w:cstheme="minorEastAsia"/>
                <w:color w:val="auto"/>
                <w:kern w:val="0"/>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restart"/>
            <w:vAlign w:val="center"/>
          </w:tcPr>
          <w:p>
            <w:pPr>
              <w:jc w:val="center"/>
              <w:rPr>
                <w:rFonts w:hint="eastAsia" w:asciiTheme="minorEastAsia" w:hAnsiTheme="minorEastAsia" w:eastAsiaTheme="minorEastAsia" w:cstheme="minorEastAsia"/>
                <w:color w:val="auto"/>
                <w:spacing w:val="-6"/>
                <w:szCs w:val="21"/>
                <w:lang w:eastAsia="zh-CN"/>
              </w:rPr>
            </w:pPr>
            <w:r>
              <w:rPr>
                <w:rFonts w:hint="eastAsia" w:asciiTheme="minorEastAsia" w:hAnsiTheme="minorEastAsia" w:eastAsiaTheme="minorEastAsia" w:cstheme="minorEastAsia"/>
                <w:color w:val="auto"/>
                <w:spacing w:val="-6"/>
                <w:szCs w:val="21"/>
              </w:rPr>
              <w:t>技术</w:t>
            </w:r>
            <w:r>
              <w:rPr>
                <w:rFonts w:hint="eastAsia" w:asciiTheme="minorEastAsia" w:hAnsiTheme="minorEastAsia" w:eastAsiaTheme="minorEastAsia" w:cstheme="minorEastAsia"/>
                <w:color w:val="auto"/>
                <w:spacing w:val="-6"/>
                <w:szCs w:val="21"/>
                <w:lang w:eastAsia="zh-CN"/>
              </w:rPr>
              <w:t>部分</w:t>
            </w:r>
          </w:p>
          <w:p>
            <w:pPr>
              <w:jc w:val="center"/>
              <w:rPr>
                <w:rFonts w:asciiTheme="minorEastAsia" w:hAnsiTheme="minorEastAsia" w:eastAsiaTheme="minorEastAsia" w:cstheme="minorEastAsia"/>
                <w:color w:val="252FEE"/>
                <w:spacing w:val="-6"/>
                <w:szCs w:val="21"/>
              </w:rPr>
            </w:pPr>
            <w:r>
              <w:rPr>
                <w:rFonts w:hint="eastAsia" w:asciiTheme="minorEastAsia" w:hAnsiTheme="minorEastAsia" w:eastAsiaTheme="minorEastAsia" w:cstheme="minorEastAsia"/>
                <w:color w:val="auto"/>
                <w:spacing w:val="-6"/>
                <w:szCs w:val="21"/>
                <w:lang w:val="en-US" w:eastAsia="zh-CN"/>
              </w:rPr>
              <w:t>42</w:t>
            </w:r>
            <w:r>
              <w:rPr>
                <w:rFonts w:hint="eastAsia" w:asciiTheme="minorEastAsia" w:hAnsiTheme="minorEastAsia" w:eastAsiaTheme="minorEastAsia" w:cstheme="minorEastAsia"/>
                <w:color w:val="auto"/>
                <w:spacing w:val="-6"/>
                <w:szCs w:val="21"/>
              </w:rPr>
              <w:t>分</w:t>
            </w:r>
          </w:p>
        </w:tc>
        <w:tc>
          <w:tcPr>
            <w:tcW w:w="1376" w:type="dxa"/>
            <w:vAlign w:val="center"/>
          </w:tcPr>
          <w:p>
            <w:pPr>
              <w:jc w:val="center"/>
              <w:rPr>
                <w:rFonts w:asciiTheme="minorEastAsia" w:hAnsiTheme="minorEastAsia" w:eastAsiaTheme="minorEastAsia" w:cstheme="minorEastAsia"/>
                <w:color w:val="auto"/>
                <w:spacing w:val="-6"/>
                <w:szCs w:val="21"/>
              </w:rPr>
            </w:pPr>
            <w:r>
              <w:rPr>
                <w:rFonts w:hint="eastAsia" w:ascii="宋体" w:hAnsi="宋体" w:cs="宋体"/>
                <w:color w:val="auto"/>
                <w:szCs w:val="21"/>
              </w:rPr>
              <w:t>设备技术响应</w:t>
            </w:r>
          </w:p>
        </w:tc>
        <w:tc>
          <w:tcPr>
            <w:tcW w:w="6512" w:type="dxa"/>
            <w:vAlign w:val="center"/>
          </w:tcPr>
          <w:p>
            <w:pPr>
              <w:rPr>
                <w:rFonts w:asciiTheme="minorEastAsia" w:hAnsiTheme="minorEastAsia" w:cstheme="minorEastAsia"/>
                <w:color w:val="auto"/>
                <w:spacing w:val="-6"/>
                <w:szCs w:val="21"/>
              </w:rPr>
            </w:pPr>
            <w:r>
              <w:rPr>
                <w:rFonts w:hint="eastAsia" w:ascii="宋体" w:hAnsi="宋体" w:cs="宋体"/>
                <w:color w:val="auto"/>
                <w:szCs w:val="21"/>
              </w:rPr>
              <w:t>设备技术性能及参数完全满足招标要求的得</w:t>
            </w:r>
            <w:r>
              <w:rPr>
                <w:rFonts w:hint="eastAsia" w:ascii="宋体" w:hAnsi="宋体" w:cs="宋体"/>
                <w:color w:val="auto"/>
                <w:szCs w:val="21"/>
                <w:lang w:val="en-US" w:eastAsia="zh-CN"/>
              </w:rPr>
              <w:t>20</w:t>
            </w:r>
            <w:r>
              <w:rPr>
                <w:rFonts w:hint="eastAsia" w:ascii="宋体" w:hAnsi="宋体" w:cs="宋体"/>
                <w:color w:val="auto"/>
                <w:szCs w:val="21"/>
              </w:rPr>
              <w:t>分，具体由磋商小组根据供应商的响应文，件中产品情况、《技术响应、偏离说明表》等有关资料打分。其中：完全满足招标技术参数要求的得</w:t>
            </w:r>
            <w:r>
              <w:rPr>
                <w:rFonts w:hint="eastAsia" w:ascii="宋体" w:hAnsi="宋体" w:cs="宋体"/>
                <w:color w:val="auto"/>
                <w:szCs w:val="21"/>
                <w:lang w:val="en-US" w:eastAsia="zh-CN"/>
              </w:rPr>
              <w:t>20</w:t>
            </w:r>
            <w:r>
              <w:rPr>
                <w:rFonts w:hint="eastAsia" w:ascii="宋体" w:hAnsi="宋体" w:cs="宋体"/>
                <w:color w:val="auto"/>
                <w:szCs w:val="21"/>
              </w:rPr>
              <w:t>分；在此基础上，标注 “</w:t>
            </w:r>
            <w:r>
              <w:rPr>
                <w:rFonts w:hint="eastAsia" w:ascii="宋体" w:hAnsi="宋体" w:eastAsia="宋体" w:cs="宋体"/>
                <w:b w:val="0"/>
                <w:bCs w:val="0"/>
                <w:color w:val="auto"/>
                <w:sz w:val="21"/>
                <w:szCs w:val="21"/>
                <w:lang w:val="en-US" w:eastAsia="zh-CN"/>
              </w:rPr>
              <w:t>▲</w:t>
            </w:r>
            <w:r>
              <w:rPr>
                <w:rFonts w:hint="eastAsia" w:ascii="宋体" w:hAnsi="宋体" w:cs="宋体"/>
                <w:color w:val="auto"/>
                <w:szCs w:val="21"/>
              </w:rPr>
              <w:t>”的内容为重要条款，</w:t>
            </w:r>
            <w:r>
              <w:rPr>
                <w:rFonts w:hint="eastAsia" w:ascii="宋体" w:hAnsi="宋体" w:cs="宋体"/>
                <w:color w:val="auto"/>
                <w:szCs w:val="21"/>
                <w:lang w:val="zh-CN"/>
              </w:rPr>
              <w:t>需提供软件截图作为证明材料，无软件截图证明材料的视为没有响应该技术参数，</w:t>
            </w:r>
            <w:r>
              <w:rPr>
                <w:rFonts w:hint="eastAsia" w:ascii="宋体" w:hAnsi="宋体" w:cs="宋体"/>
                <w:color w:val="auto"/>
                <w:szCs w:val="21"/>
              </w:rPr>
              <w:t>一项不满足扣2分；未标注“</w:t>
            </w:r>
            <w:r>
              <w:rPr>
                <w:rFonts w:hint="eastAsia" w:ascii="宋体" w:hAnsi="宋体" w:eastAsia="宋体" w:cs="宋体"/>
                <w:b w:val="0"/>
                <w:bCs w:val="0"/>
                <w:color w:val="auto"/>
                <w:sz w:val="21"/>
                <w:szCs w:val="21"/>
                <w:lang w:val="en-US" w:eastAsia="zh-CN"/>
              </w:rPr>
              <w:t>▲</w:t>
            </w:r>
            <w:r>
              <w:rPr>
                <w:rFonts w:hint="eastAsia" w:ascii="宋体" w:hAnsi="宋体" w:cs="宋体"/>
                <w:color w:val="auto"/>
                <w:szCs w:val="21"/>
              </w:rPr>
              <w:t>”的内容有一项不符合的则每项扣1分；扣完为止。</w:t>
            </w:r>
            <w:r>
              <w:rPr>
                <w:rFonts w:hint="eastAsia" w:ascii="宋体" w:hAnsi="宋体" w:cs="宋体"/>
                <w:b/>
                <w:bCs/>
                <w:color w:val="auto"/>
                <w:szCs w:val="21"/>
              </w:rPr>
              <w:br w:type="textWrapping"/>
            </w:r>
            <w:r>
              <w:rPr>
                <w:rFonts w:hint="eastAsia" w:ascii="宋体" w:hAnsi="宋体" w:cs="宋体"/>
                <w:b/>
                <w:bCs/>
                <w:color w:val="auto"/>
                <w:szCs w:val="21"/>
              </w:rPr>
              <w:t>备注：标注“</w:t>
            </w:r>
            <w:r>
              <w:rPr>
                <w:rFonts w:hint="eastAsia" w:ascii="宋体" w:hAnsi="宋体" w:eastAsia="宋体" w:cs="宋体"/>
                <w:b w:val="0"/>
                <w:bCs w:val="0"/>
                <w:color w:val="auto"/>
                <w:sz w:val="21"/>
                <w:szCs w:val="21"/>
                <w:lang w:val="en-US" w:eastAsia="zh-CN"/>
              </w:rPr>
              <w:t>▲</w:t>
            </w:r>
            <w:r>
              <w:rPr>
                <w:rFonts w:hint="eastAsia" w:ascii="宋体" w:hAnsi="宋体" w:cs="宋体"/>
                <w:b/>
                <w:bCs/>
                <w:color w:val="auto"/>
                <w:szCs w:val="21"/>
              </w:rPr>
              <w:t>”的重要条款需要供应商根据实际应标情况逐条响应，完全复制粘贴磋商文件技术要求的将可能按负偏离处理。</w:t>
            </w:r>
          </w:p>
        </w:tc>
        <w:tc>
          <w:tcPr>
            <w:tcW w:w="664" w:type="dxa"/>
            <w:vAlign w:val="center"/>
          </w:tcPr>
          <w:p>
            <w:pPr>
              <w:ind w:left="-4" w:leftChars="-2" w:firstLine="1" w:firstLineChars="1"/>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lang w:val="en-US" w:eastAsia="zh-CN"/>
              </w:rPr>
              <w:t>20</w:t>
            </w:r>
            <w:r>
              <w:rPr>
                <w:rFonts w:hint="eastAsia" w:asciiTheme="minorEastAsia" w:hAnsiTheme="minorEastAsia" w:eastAsiaTheme="minorEastAsia" w:cstheme="minorEastAsia"/>
                <w:color w:val="auto"/>
                <w:spacing w:val="-6"/>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5" w:hRule="atLeast"/>
        </w:trPr>
        <w:tc>
          <w:tcPr>
            <w:tcW w:w="736" w:type="dxa"/>
            <w:vMerge w:val="continue"/>
            <w:vAlign w:val="center"/>
          </w:tcPr>
          <w:p>
            <w:pPr>
              <w:jc w:val="center"/>
              <w:rPr>
                <w:rFonts w:asciiTheme="minorEastAsia" w:hAnsiTheme="minorEastAsia" w:eastAsiaTheme="minorEastAsia" w:cstheme="minorEastAsia"/>
                <w:color w:val="252FEE"/>
                <w:spacing w:val="-6"/>
                <w:szCs w:val="21"/>
              </w:rPr>
            </w:pPr>
          </w:p>
        </w:tc>
        <w:tc>
          <w:tcPr>
            <w:tcW w:w="1376" w:type="dxa"/>
            <w:vAlign w:val="center"/>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产品演示</w:t>
            </w:r>
          </w:p>
        </w:tc>
        <w:tc>
          <w:tcPr>
            <w:tcW w:w="6512" w:type="dxa"/>
            <w:vAlign w:val="center"/>
          </w:tcPr>
          <w:p>
            <w:pPr>
              <w:ind w:right="170" w:rightChars="81" w:firstLine="0" w:firstLineChars="0"/>
              <w:rPr>
                <w:rFonts w:hint="default" w:ascii="宋体" w:hAnsi="宋体" w:eastAsia="宋体" w:cs="宋体"/>
                <w:color w:val="auto"/>
                <w:sz w:val="21"/>
                <w:szCs w:val="21"/>
                <w:lang w:val="en-US" w:eastAsia="zh-CN"/>
              </w:rPr>
            </w:pPr>
            <w:r>
              <w:rPr>
                <w:rFonts w:hint="eastAsia" w:ascii="宋体" w:hAnsi="宋体" w:cs="宋体"/>
                <w:color w:val="auto"/>
                <w:sz w:val="21"/>
                <w:szCs w:val="21"/>
                <w:lang w:val="zh-CN"/>
              </w:rPr>
              <w:t>投</w:t>
            </w:r>
            <w:r>
              <w:rPr>
                <w:rFonts w:hint="eastAsia" w:ascii="宋体" w:hAnsi="宋体" w:eastAsia="宋体" w:cs="宋体"/>
                <w:color w:val="auto"/>
                <w:sz w:val="21"/>
                <w:szCs w:val="21"/>
                <w:lang w:val="zh-CN"/>
              </w:rPr>
              <w:t>标现场完整提供以下功能演示的得</w:t>
            </w:r>
            <w:r>
              <w:rPr>
                <w:rFonts w:hint="eastAsia" w:ascii="宋体" w:hAnsi="宋体" w:cs="宋体"/>
                <w:color w:val="auto"/>
                <w:sz w:val="21"/>
                <w:szCs w:val="21"/>
                <w:lang w:val="en-US" w:eastAsia="zh-CN"/>
              </w:rPr>
              <w:t>16</w:t>
            </w:r>
            <w:r>
              <w:rPr>
                <w:rFonts w:hint="eastAsia" w:ascii="宋体" w:hAnsi="宋体" w:eastAsia="宋体" w:cs="宋体"/>
                <w:color w:val="auto"/>
                <w:sz w:val="21"/>
                <w:szCs w:val="21"/>
                <w:lang w:val="zh-CN"/>
              </w:rPr>
              <w:t>分，未提供演示、提供不全或效果差的，每一项扣</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zh-CN"/>
              </w:rPr>
              <w:t>分</w:t>
            </w:r>
            <w:r>
              <w:rPr>
                <w:rFonts w:hint="eastAsia" w:ascii="宋体" w:hAnsi="宋体" w:cs="宋体"/>
                <w:color w:val="auto"/>
                <w:sz w:val="21"/>
                <w:szCs w:val="21"/>
                <w:lang w:val="zh-CN"/>
              </w:rPr>
              <w:t>，</w:t>
            </w:r>
            <w:r>
              <w:rPr>
                <w:rFonts w:hint="eastAsia" w:ascii="宋体" w:hAnsi="宋体" w:eastAsia="宋体" w:cs="宋体"/>
                <w:color w:val="auto"/>
                <w:sz w:val="21"/>
                <w:szCs w:val="21"/>
                <w:lang w:val="zh-CN"/>
              </w:rPr>
              <w:t>扣完为止</w:t>
            </w:r>
            <w:r>
              <w:rPr>
                <w:rFonts w:hint="eastAsia" w:ascii="宋体" w:hAnsi="宋体" w:cs="宋体"/>
                <w:color w:val="auto"/>
                <w:sz w:val="21"/>
                <w:szCs w:val="21"/>
                <w:lang w:val="zh-CN"/>
              </w:rPr>
              <w:t>。</w:t>
            </w:r>
          </w:p>
          <w:p>
            <w:pPr>
              <w:pStyle w:val="98"/>
              <w:numPr>
                <w:ilvl w:val="0"/>
                <w:numId w:val="38"/>
              </w:numPr>
              <w:ind w:firstLineChars="0"/>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老师可以一键引用，直接生成课程。课程下包含教学所需的教学资源；</w:t>
            </w:r>
          </w:p>
          <w:p>
            <w:pPr>
              <w:pStyle w:val="98"/>
              <w:numPr>
                <w:ilvl w:val="0"/>
                <w:numId w:val="38"/>
              </w:numPr>
              <w:ind w:right="170" w:rightChars="81" w:firstLineChars="0"/>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提供两种虚机访问方式，共享模式和独享模式，独享模式访问的虚机支持usb连接，并能对屏幕分辨率自适应；</w:t>
            </w:r>
          </w:p>
          <w:p>
            <w:pPr>
              <w:pStyle w:val="98"/>
              <w:widowControl/>
              <w:numPr>
                <w:ilvl w:val="0"/>
                <w:numId w:val="38"/>
              </w:numPr>
              <w:spacing w:line="240" w:lineRule="auto"/>
              <w:ind w:right="0" w:rightChars="0" w:firstLineChars="0"/>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支持交作业流程管理（包含催缴作业功能）、学生作业情况监控、辅助教师判分。作业支持在线预览、本地打开两种浏览功能；并对作业进行时间管理，超时后无法提交作业；</w:t>
            </w:r>
          </w:p>
          <w:p>
            <w:pPr>
              <w:pStyle w:val="98"/>
              <w:widowControl/>
              <w:numPr>
                <w:ilvl w:val="0"/>
                <w:numId w:val="38"/>
              </w:numPr>
              <w:spacing w:line="240" w:lineRule="auto"/>
              <w:ind w:right="0" w:rightChars="0" w:firstLineChars="0"/>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老师可以把现有课程变成模版供以后使用；</w:t>
            </w:r>
          </w:p>
          <w:p>
            <w:pPr>
              <w:pStyle w:val="98"/>
              <w:widowControl/>
              <w:numPr>
                <w:ilvl w:val="0"/>
                <w:numId w:val="38"/>
              </w:numPr>
              <w:spacing w:line="240" w:lineRule="auto"/>
              <w:ind w:right="0" w:rightChars="0" w:firstLineChars="0"/>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老师配置课程案例后系统能自动分发教学资源给相应的学生，不需要人工操作；</w:t>
            </w:r>
          </w:p>
          <w:p>
            <w:pPr>
              <w:pStyle w:val="98"/>
              <w:widowControl/>
              <w:numPr>
                <w:ilvl w:val="0"/>
                <w:numId w:val="38"/>
              </w:numPr>
              <w:spacing w:line="240" w:lineRule="auto"/>
              <w:ind w:right="0" w:rightChars="0" w:firstLineChars="0"/>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老师可以对所有的学生进行个性化教学推荐，对所有学生可见的资源进行权限管理；</w:t>
            </w:r>
          </w:p>
          <w:p>
            <w:pPr>
              <w:pStyle w:val="98"/>
              <w:numPr>
                <w:ilvl w:val="0"/>
                <w:numId w:val="38"/>
              </w:numPr>
              <w:ind w:right="29" w:rightChars="14" w:firstLineChars="0"/>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用户可以在系统里生成Windows XP、Windows 7、Windows Server 2003/2008、Ubuntu、Redhat等主流桌面操作系统的虚拟桌面；</w:t>
            </w:r>
          </w:p>
          <w:p>
            <w:pPr>
              <w:pStyle w:val="98"/>
              <w:numPr>
                <w:ilvl w:val="0"/>
                <w:numId w:val="38"/>
              </w:numPr>
              <w:ind w:right="170" w:rightChars="81" w:firstLineChars="0"/>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用户可以使用云桌面系统中的虚拟桌面“非持久化”模式，实现虚拟桌面重启后系统盘自动还原；</w:t>
            </w:r>
          </w:p>
          <w:p>
            <w:pPr>
              <w:pStyle w:val="98"/>
              <w:numPr>
                <w:ilvl w:val="0"/>
                <w:numId w:val="38"/>
              </w:numPr>
              <w:ind w:right="170" w:rightChars="81" w:firstLineChars="0"/>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用户可以在需要的情况在云桌面系统内使用持久化桌面。保存在虚机上的所有操作；</w:t>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lang w:val="zh-CN"/>
              </w:rPr>
              <w:t>用户可以查询云桌面系统中各台服务器上CPU与内存等资源的使用情况；</w:t>
            </w:r>
          </w:p>
        </w:tc>
        <w:tc>
          <w:tcPr>
            <w:tcW w:w="664" w:type="dxa"/>
            <w:vAlign w:val="center"/>
          </w:tcPr>
          <w:p>
            <w:pPr>
              <w:ind w:left="-4" w:leftChars="-2" w:firstLine="2" w:firstLineChars="1"/>
              <w:jc w:val="center"/>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16分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5" w:hRule="atLeast"/>
        </w:trPr>
        <w:tc>
          <w:tcPr>
            <w:tcW w:w="736" w:type="dxa"/>
            <w:vMerge w:val="continue"/>
            <w:vAlign w:val="center"/>
          </w:tcPr>
          <w:p>
            <w:pPr>
              <w:jc w:val="center"/>
              <w:rPr>
                <w:rFonts w:asciiTheme="minorEastAsia" w:hAnsiTheme="minorEastAsia" w:eastAsiaTheme="minorEastAsia" w:cstheme="minorEastAsia"/>
                <w:color w:val="252FEE"/>
                <w:spacing w:val="-6"/>
                <w:szCs w:val="21"/>
              </w:rPr>
            </w:pPr>
          </w:p>
        </w:tc>
        <w:tc>
          <w:tcPr>
            <w:tcW w:w="1376" w:type="dxa"/>
            <w:vAlign w:val="center"/>
          </w:tcPr>
          <w:p>
            <w:pPr>
              <w:jc w:val="center"/>
              <w:rPr>
                <w:rFonts w:ascii="宋体" w:hAnsi="宋体" w:cs="宋体"/>
                <w:color w:val="auto"/>
                <w:szCs w:val="21"/>
              </w:rPr>
            </w:pPr>
            <w:r>
              <w:rPr>
                <w:rFonts w:hint="eastAsia" w:ascii="宋体" w:hAnsi="宋体" w:cs="宋体"/>
                <w:color w:val="auto"/>
                <w:szCs w:val="21"/>
              </w:rPr>
              <w:t>售后服务方案</w:t>
            </w:r>
          </w:p>
        </w:tc>
        <w:tc>
          <w:tcPr>
            <w:tcW w:w="6512" w:type="dxa"/>
            <w:vAlign w:val="center"/>
          </w:tcPr>
          <w:p>
            <w:pPr>
              <w:rPr>
                <w:rFonts w:ascii="宋体" w:hAnsi="宋体" w:cs="宋体"/>
                <w:color w:val="auto"/>
                <w:szCs w:val="21"/>
              </w:rPr>
            </w:pPr>
            <w:r>
              <w:rPr>
                <w:rFonts w:hint="eastAsia" w:ascii="宋体" w:hAnsi="宋体" w:cs="宋体"/>
                <w:color w:val="auto"/>
                <w:szCs w:val="21"/>
              </w:rPr>
              <w:t>根据供应商提供的售后服务方案（包含：</w:t>
            </w:r>
            <w:r>
              <w:rPr>
                <w:rFonts w:hint="eastAsia" w:asciiTheme="minorEastAsia" w:hAnsiTheme="minorEastAsia" w:eastAsiaTheme="minorEastAsia" w:cstheme="minorEastAsia"/>
                <w:color w:val="auto"/>
                <w:szCs w:val="21"/>
              </w:rPr>
              <w:t>人员配置、</w:t>
            </w:r>
            <w:r>
              <w:rPr>
                <w:rFonts w:hint="eastAsia" w:ascii="宋体" w:hAnsi="宋体" w:cs="宋体"/>
                <w:color w:val="auto"/>
                <w:szCs w:val="21"/>
              </w:rPr>
              <w:t>售后服务计划、服务内容、售后程序、及时响应、三包服务及其他合理的售后服务承诺及处罚和质保期满后的服务等）：</w:t>
            </w:r>
          </w:p>
          <w:p>
            <w:pPr>
              <w:rPr>
                <w:rFonts w:ascii="宋体" w:hAnsi="宋体" w:cs="宋体"/>
                <w:color w:val="auto"/>
                <w:szCs w:val="21"/>
              </w:rPr>
            </w:pPr>
            <w:r>
              <w:rPr>
                <w:rFonts w:hint="eastAsia" w:ascii="宋体" w:hAnsi="宋体" w:cs="宋体"/>
                <w:color w:val="auto"/>
                <w:szCs w:val="21"/>
              </w:rPr>
              <w:t>方案详细完整、合理，服务能力强，得</w:t>
            </w:r>
            <w:r>
              <w:rPr>
                <w:rFonts w:hint="eastAsia" w:ascii="宋体" w:hAnsi="宋体" w:cs="宋体"/>
                <w:color w:val="auto"/>
                <w:szCs w:val="21"/>
                <w:lang w:val="en-US" w:eastAsia="zh-CN"/>
              </w:rPr>
              <w:t>3</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方案完整、合理，有服务能力，得</w:t>
            </w:r>
            <w:r>
              <w:rPr>
                <w:rFonts w:hint="eastAsia" w:ascii="宋体" w:hAnsi="宋体" w:cs="宋体"/>
                <w:color w:val="auto"/>
                <w:szCs w:val="21"/>
                <w:lang w:val="en-US" w:eastAsia="zh-CN"/>
              </w:rPr>
              <w:t>2</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方案基本可行的，得1分；</w:t>
            </w:r>
          </w:p>
          <w:p>
            <w:pPr>
              <w:rPr>
                <w:rFonts w:ascii="宋体" w:hAnsi="宋体" w:cs="宋体"/>
                <w:color w:val="auto"/>
                <w:szCs w:val="21"/>
              </w:rPr>
            </w:pPr>
            <w:r>
              <w:rPr>
                <w:rFonts w:hint="eastAsia" w:ascii="宋体" w:hAnsi="宋体" w:cs="宋体"/>
                <w:color w:val="auto"/>
                <w:szCs w:val="21"/>
              </w:rPr>
              <w:t>不提供或不可行的，得0分。</w:t>
            </w:r>
          </w:p>
        </w:tc>
        <w:tc>
          <w:tcPr>
            <w:tcW w:w="664" w:type="dxa"/>
            <w:vAlign w:val="center"/>
          </w:tcPr>
          <w:p>
            <w:pPr>
              <w:ind w:left="-4" w:leftChars="-2" w:firstLine="2" w:firstLineChars="1"/>
              <w:jc w:val="center"/>
              <w:rPr>
                <w:rFonts w:asciiTheme="minorEastAsia" w:hAnsiTheme="minorEastAsia" w:eastAsiaTheme="minorEastAsia" w:cstheme="minorEastAsia"/>
                <w:color w:val="auto"/>
                <w:spacing w:val="-6"/>
                <w:kern w:val="0"/>
                <w:szCs w:val="21"/>
              </w:rPr>
            </w:pPr>
            <w:r>
              <w:rPr>
                <w:rFonts w:hint="eastAsia" w:asciiTheme="minorEastAsia" w:hAnsiTheme="minorEastAsia" w:eastAsiaTheme="minorEastAsia" w:cstheme="minorEastAsia"/>
                <w:color w:val="auto"/>
                <w:szCs w:val="21"/>
                <w:lang w:val="en-US" w:eastAsia="zh-CN"/>
              </w:rPr>
              <w:t>3</w:t>
            </w:r>
            <w:r>
              <w:rPr>
                <w:rFonts w:hint="eastAsia" w:asciiTheme="minorEastAsia" w:hAnsiTheme="minorEastAsia" w:eastAsiaTheme="minorEastAsia" w:cstheme="minorEastAsia"/>
                <w:color w:val="auto"/>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736" w:type="dxa"/>
            <w:vMerge w:val="continue"/>
            <w:vAlign w:val="center"/>
          </w:tcPr>
          <w:p>
            <w:pPr>
              <w:jc w:val="center"/>
              <w:rPr>
                <w:rFonts w:asciiTheme="minorEastAsia" w:hAnsiTheme="minorEastAsia" w:eastAsiaTheme="minorEastAsia" w:cstheme="minorEastAsia"/>
                <w:color w:val="252FEE"/>
                <w:spacing w:val="-6"/>
                <w:szCs w:val="21"/>
              </w:rPr>
            </w:pPr>
          </w:p>
        </w:tc>
        <w:tc>
          <w:tcPr>
            <w:tcW w:w="1376" w:type="dxa"/>
            <w:vAlign w:val="center"/>
          </w:tcPr>
          <w:p>
            <w:pPr>
              <w:ind w:left="-4" w:leftChars="-2" w:firstLine="2" w:firstLineChars="1"/>
              <w:jc w:val="center"/>
              <w:rPr>
                <w:rFonts w:hint="eastAsia" w:ascii="宋体" w:hAnsi="宋体" w:eastAsia="宋体" w:cs="宋体"/>
                <w:color w:val="auto"/>
                <w:kern w:val="2"/>
                <w:sz w:val="21"/>
                <w:szCs w:val="21"/>
                <w:lang w:val="en-US" w:eastAsia="zh-CN" w:bidi="ar-SA"/>
              </w:rPr>
            </w:pPr>
            <w:r>
              <w:rPr>
                <w:rFonts w:hint="eastAsia" w:ascii="宋体" w:hAnsi="宋体" w:cs="宋体"/>
                <w:color w:val="auto"/>
                <w:szCs w:val="21"/>
              </w:rPr>
              <w:t>安装调试及验收</w:t>
            </w:r>
          </w:p>
        </w:tc>
        <w:tc>
          <w:tcPr>
            <w:tcW w:w="6512" w:type="dxa"/>
            <w:vAlign w:val="center"/>
          </w:tcPr>
          <w:p>
            <w:pPr>
              <w:ind w:left="-4" w:leftChars="-2" w:firstLine="2" w:firstLineChars="1"/>
              <w:rPr>
                <w:rFonts w:ascii="宋体" w:hAnsi="宋体" w:cs="宋体"/>
                <w:color w:val="auto"/>
                <w:szCs w:val="21"/>
              </w:rPr>
            </w:pPr>
            <w:r>
              <w:rPr>
                <w:rFonts w:hint="eastAsia" w:ascii="宋体" w:hAnsi="宋体" w:cs="宋体"/>
                <w:color w:val="auto"/>
                <w:szCs w:val="21"/>
              </w:rPr>
              <w:t>根据供应商提供的安装</w:t>
            </w:r>
            <w:r>
              <w:rPr>
                <w:rFonts w:hint="eastAsia" w:ascii="宋体" w:hAnsi="宋体" w:cs="宋体"/>
                <w:color w:val="auto"/>
                <w:szCs w:val="21"/>
                <w:highlight w:val="none"/>
              </w:rPr>
              <w:t>及验收方案</w:t>
            </w:r>
            <w:r>
              <w:rPr>
                <w:rFonts w:hint="eastAsia" w:ascii="宋体" w:hAnsi="宋体" w:cs="宋体"/>
                <w:color w:val="auto"/>
                <w:szCs w:val="21"/>
                <w:highlight w:val="none"/>
                <w:lang w:eastAsia="zh-CN"/>
              </w:rPr>
              <w:t>（包含但不限于以下内容：安装进度、验收计划等）</w:t>
            </w:r>
            <w:r>
              <w:rPr>
                <w:rFonts w:hint="eastAsia" w:ascii="宋体" w:hAnsi="宋体" w:cs="宋体"/>
                <w:color w:val="auto"/>
                <w:szCs w:val="21"/>
                <w:highlight w:val="none"/>
              </w:rPr>
              <w:t>的合理性及完整</w:t>
            </w:r>
            <w:r>
              <w:rPr>
                <w:rFonts w:hint="eastAsia" w:ascii="宋体" w:hAnsi="宋体" w:cs="宋体"/>
                <w:color w:val="auto"/>
                <w:szCs w:val="21"/>
              </w:rPr>
              <w:t>性进行评分：</w:t>
            </w:r>
          </w:p>
          <w:p>
            <w:pPr>
              <w:rPr>
                <w:rFonts w:ascii="宋体" w:hAnsi="宋体" w:cs="宋体"/>
                <w:color w:val="auto"/>
                <w:szCs w:val="21"/>
              </w:rPr>
            </w:pPr>
            <w:r>
              <w:rPr>
                <w:rFonts w:hint="eastAsia" w:ascii="宋体" w:hAnsi="宋体" w:cs="宋体"/>
                <w:color w:val="auto"/>
                <w:szCs w:val="21"/>
              </w:rPr>
              <w:t>方案全面详细、科学合理、可行，针对过程中关键点、难点描述详细且有保障的，得</w:t>
            </w:r>
            <w:r>
              <w:rPr>
                <w:rFonts w:hint="eastAsia" w:ascii="宋体" w:hAnsi="宋体" w:cs="宋体"/>
                <w:color w:val="auto"/>
                <w:szCs w:val="21"/>
                <w:lang w:val="en-US" w:eastAsia="zh-CN"/>
              </w:rPr>
              <w:t>3</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方案全面详细、合理、可行，针对过程中关键点、难点描述详细且有保障的，得</w:t>
            </w:r>
            <w:r>
              <w:rPr>
                <w:rFonts w:hint="eastAsia" w:ascii="宋体" w:hAnsi="宋体" w:cs="宋体"/>
                <w:color w:val="auto"/>
                <w:szCs w:val="21"/>
                <w:lang w:val="en-US" w:eastAsia="zh-CN"/>
              </w:rPr>
              <w:t>2</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方案基本详细、可行，针对过程中关键点、难点描述基本详细且有保障的，得1分；</w:t>
            </w:r>
          </w:p>
          <w:p>
            <w:pPr>
              <w:ind w:left="-4" w:leftChars="-2" w:firstLine="2" w:firstLineChars="1"/>
              <w:rPr>
                <w:rFonts w:hint="eastAsia" w:ascii="宋体" w:hAnsi="宋体" w:eastAsia="宋体" w:cs="宋体"/>
                <w:color w:val="auto"/>
                <w:kern w:val="2"/>
                <w:sz w:val="21"/>
                <w:szCs w:val="21"/>
                <w:lang w:val="en-US" w:eastAsia="zh-CN" w:bidi="ar-SA"/>
              </w:rPr>
            </w:pPr>
            <w:r>
              <w:rPr>
                <w:rFonts w:hint="eastAsia" w:ascii="宋体" w:hAnsi="宋体" w:cs="宋体"/>
                <w:color w:val="auto"/>
                <w:szCs w:val="21"/>
              </w:rPr>
              <w:t>未提供、不可行的，的0分。</w:t>
            </w:r>
          </w:p>
        </w:tc>
        <w:tc>
          <w:tcPr>
            <w:tcW w:w="664" w:type="dxa"/>
            <w:vAlign w:val="center"/>
          </w:tcPr>
          <w:p>
            <w:pPr>
              <w:ind w:left="-4" w:leftChars="-2" w:firstLine="2" w:firstLineChars="1"/>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3</w:t>
            </w:r>
            <w:r>
              <w:rPr>
                <w:rFonts w:hint="eastAsia" w:asciiTheme="minorEastAsia" w:hAnsiTheme="minorEastAsia" w:eastAsiaTheme="minorEastAsia" w:cstheme="minorEastAsia"/>
                <w:color w:val="auto"/>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Align w:val="center"/>
          </w:tcPr>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总分</w:t>
            </w:r>
          </w:p>
        </w:tc>
        <w:tc>
          <w:tcPr>
            <w:tcW w:w="8552" w:type="dxa"/>
            <w:gridSpan w:val="3"/>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100</w:t>
            </w:r>
          </w:p>
        </w:tc>
      </w:tr>
    </w:tbl>
    <w:p>
      <w:pPr>
        <w:spacing w:line="360" w:lineRule="auto"/>
        <w:rPr>
          <w:rFonts w:asciiTheme="minorEastAsia" w:hAnsiTheme="minorEastAsia" w:eastAsiaTheme="minorEastAsia" w:cstheme="minorEastAsia"/>
          <w:b/>
          <w:szCs w:val="21"/>
        </w:rPr>
        <w:sectPr>
          <w:pgSz w:w="11906" w:h="16838"/>
          <w:pgMar w:top="1417" w:right="1417" w:bottom="1417" w:left="1417" w:header="851" w:footer="992" w:gutter="0"/>
          <w:cols w:space="720" w:num="1"/>
          <w:docGrid w:type="lines" w:linePitch="312" w:charSpace="0"/>
        </w:sectPr>
      </w:pPr>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t>注：上述类似业绩证明材料是否具有类似性以及其符合性均由磋商小组判定，如果资料不全或经磋商小组认定不具有类似性的，该项业绩不计分，并由磋商小组在评审报告中记录详细原因。</w:t>
      </w:r>
    </w:p>
    <w:p>
      <w:pPr>
        <w:spacing w:line="360" w:lineRule="auto"/>
        <w:outlineLvl w:val="1"/>
        <w:rPr>
          <w:rFonts w:asciiTheme="minorEastAsia" w:hAnsiTheme="minorEastAsia" w:eastAsiaTheme="minorEastAsia" w:cstheme="minorEastAsia"/>
          <w:b/>
          <w:szCs w:val="21"/>
        </w:rPr>
      </w:pPr>
      <w:bookmarkStart w:id="120" w:name="_Toc32480"/>
      <w:r>
        <w:rPr>
          <w:rFonts w:hint="eastAsia" w:asciiTheme="minorEastAsia" w:hAnsiTheme="minorEastAsia" w:eastAsiaTheme="minorEastAsia" w:cstheme="minorEastAsia"/>
          <w:b/>
          <w:szCs w:val="21"/>
        </w:rPr>
        <w:t>四、评定办法</w:t>
      </w:r>
      <w:bookmarkEnd w:id="120"/>
    </w:p>
    <w:p>
      <w:pPr>
        <w:numPr>
          <w:ilvl w:val="3"/>
          <w:numId w:val="39"/>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初步审查标准</w:t>
      </w:r>
    </w:p>
    <w:p>
      <w:pPr>
        <w:numPr>
          <w:ilvl w:val="1"/>
          <w:numId w:val="40"/>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资格性审查标准：见评定办法前附表。</w:t>
      </w:r>
    </w:p>
    <w:p>
      <w:pPr>
        <w:numPr>
          <w:ilvl w:val="1"/>
          <w:numId w:val="40"/>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符合性审查标准：见评定办法前附表。</w:t>
      </w:r>
    </w:p>
    <w:p>
      <w:pPr>
        <w:numPr>
          <w:ilvl w:val="1"/>
          <w:numId w:val="40"/>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确定磋商供应商进行最后报价：见评定方法前附表。</w:t>
      </w:r>
    </w:p>
    <w:p>
      <w:pPr>
        <w:numPr>
          <w:ilvl w:val="3"/>
          <w:numId w:val="39"/>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评定方法：见评定办法前附表。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2.1 分值构成</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 评标基准价计算</w:t>
      </w:r>
    </w:p>
    <w:p>
      <w:pPr>
        <w:spacing w:line="360" w:lineRule="auto"/>
        <w:ind w:firstLine="840" w:firstLineChars="4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评标基准价计算方法：见评标办法前附表。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 评分标准</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（3）竞标报价评分标准：见评标办法前附表。</w:t>
      </w:r>
    </w:p>
    <w:p>
      <w:pPr>
        <w:numPr>
          <w:ilvl w:val="3"/>
          <w:numId w:val="39"/>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评定结果</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3.1磋商小组严格按照本章要求对最终报价进行评定。</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3.2完成评定后，</w:t>
      </w:r>
      <w:r>
        <w:rPr>
          <w:rFonts w:hint="eastAsia" w:asciiTheme="minorEastAsia" w:hAnsiTheme="minorEastAsia" w:eastAsiaTheme="minorEastAsia" w:cstheme="minorEastAsia"/>
          <w:snapToGrid w:val="0"/>
          <w:kern w:val="0"/>
          <w:szCs w:val="21"/>
          <w:lang w:val="zh-CN"/>
        </w:rPr>
        <w:t>磋商小组</w:t>
      </w:r>
      <w:r>
        <w:rPr>
          <w:rFonts w:hint="eastAsia" w:asciiTheme="minorEastAsia" w:hAnsiTheme="minorEastAsia" w:eastAsiaTheme="minorEastAsia" w:cstheme="minorEastAsia"/>
          <w:szCs w:val="21"/>
        </w:rPr>
        <w:t>须在评审结果推荐意见上共同签字。</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3"/>
          <w:numId w:val="39"/>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w:t>
      </w:r>
    </w:p>
    <w:p>
      <w:pPr>
        <w:spacing w:line="360" w:lineRule="auto"/>
        <w:ind w:firstLine="420"/>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供应商的最终报价均超过了政府采购预算，采购人不能支付的，磋商活动终止；终止后，采购人需要采取调整采购预算或项目配置标准等，或采取其他采购方式的，应当在采购活动开始前获得政府采购监督管理部门批准。</w:t>
      </w:r>
    </w:p>
    <w:p/>
    <w:p/>
    <w:p/>
    <w:p/>
    <w:p>
      <w:pPr>
        <w:spacing w:line="360" w:lineRule="auto"/>
        <w:outlineLvl w:val="1"/>
        <w:rPr>
          <w:rFonts w:asciiTheme="minorEastAsia" w:hAnsiTheme="minorEastAsia" w:eastAsiaTheme="minorEastAsia" w:cstheme="minorEastAsia"/>
          <w:b/>
          <w:szCs w:val="21"/>
        </w:rPr>
      </w:pPr>
      <w:bookmarkStart w:id="121" w:name="_Toc2647"/>
      <w:r>
        <w:rPr>
          <w:rFonts w:hint="eastAsia" w:asciiTheme="minorEastAsia" w:hAnsiTheme="minorEastAsia" w:eastAsiaTheme="minorEastAsia" w:cstheme="minorEastAsia"/>
          <w:b/>
          <w:szCs w:val="21"/>
        </w:rPr>
        <w:t>五、磋商及评审步骤</w:t>
      </w:r>
      <w:bookmarkEnd w:id="121"/>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磋商及评审步骤分别依次为磋商小组对供应商及其响应文件的资格和符合性检查、磋商小组同供应商的磋商及供应商的最后报价、详细评审。</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1.验证委托代理人身份、响应文件密封检查</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主持人按以下程序进行：</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① 宣布会场纪律。</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② 公布在响应文件递交截止时间前递交响应文件的供应商名称，并点名确认供应商的委托代理人是否到场（验证委托代理人身份证原件）。</w:t>
      </w:r>
    </w:p>
    <w:p>
      <w:pPr>
        <w:spacing w:line="360" w:lineRule="auto"/>
        <w:ind w:firstLine="420" w:firstLineChars="200"/>
        <w:rPr>
          <w:rFonts w:asciiTheme="minorEastAsia" w:hAnsiTheme="minorEastAsia" w:eastAsiaTheme="minorEastAsia" w:cstheme="minorEastAsia"/>
          <w:b/>
          <w:szCs w:val="28"/>
        </w:rPr>
      </w:pPr>
      <w:r>
        <w:rPr>
          <w:rFonts w:hint="eastAsia" w:asciiTheme="minorEastAsia" w:hAnsiTheme="minorEastAsia" w:eastAsiaTheme="minorEastAsia" w:cstheme="minorEastAsia"/>
          <w:szCs w:val="28"/>
        </w:rPr>
        <w:t>③ 检查响应文件密封情况。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2.资格和符合性审查</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2.1磋商小组审查每份响应文件是否实质上响应了采购文件的要求。磋商小组决定其是否响应只根据响应文件本身的内容，而不依据外部的证据，但响应文件有不真实不正确的内容时除外。</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为贯彻落实财政部关于促进政府采购公平竞争优化营商环境的通知（财库[2019]38号）及其他优化营商环境等政策要求，响应文件中出现的对履约服务质量不造成实质性影响的其他形式性等内容，磋商小组也可以以书面形式要求供应商作出必要的澄清、说明或者补正。</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2.3只有通过了资格和符合性审查的供应商才能进入详细评审阶段。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3.供应商的澄清</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3.1磋商小组要求供应商澄清、说明或者更正响应文件将以书面形式作出。供应商的澄清、说明或者更正应当由法定代表人或其授权代表签字或者加盖公章。</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4.磋商及最后报价</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4.1磋商小组所有成员应当集中与单一供应商分别进行磋商，并按照磋商会随机抽签的顺序给予所有参加磋商的供应商平等的磋商机会。</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4.2</w:t>
      </w:r>
      <w:r>
        <w:rPr>
          <w:rFonts w:hint="eastAsia" w:asciiTheme="minorEastAsia" w:hAnsiTheme="minorEastAsia" w:eastAsiaTheme="minorEastAsia" w:cstheme="minorEastAsia"/>
          <w:b/>
          <w:szCs w:val="28"/>
        </w:rPr>
        <w:t>在磋商过程中，若磋商小组无法联系上供应商代表或者供应商代表在接到磋商小组通知后15分钟内不能抵达磋商会现场的，视为该供应商自动退出磋商。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4.3</w:t>
      </w:r>
      <w:r>
        <w:rPr>
          <w:rFonts w:hint="eastAsia" w:asciiTheme="minorEastAsia" w:hAnsiTheme="minorEastAsia" w:eastAsiaTheme="minorEastAsia" w:cstheme="minorEastAsia"/>
          <w:b/>
          <w:szCs w:val="28"/>
        </w:rPr>
        <w:t>磋商小组在与供应商磋商之前，应首先对参与磋商的供应商代表的身份进行核验，未按采购文件要求提供身份证原件或经核验的供应商代表身份与证明文件（法定代表人身份证明或法定代表人授权委托书）或身份证不符的，磋商小组有权拒绝该供应商参加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4.4在磋商过程中，磋商小组可以根据采购文件和磋商情况实质性变动采购需求中的技术、服务要求以及合同草案条款，但不得变动采购文件中的其他内容。实质性变动的内容，经采购人代表确认后，将作为采购文件的有效组成部分，磋商小组应当及时以书面形式同时通知所有参加磋商的供应商。</w:t>
      </w:r>
    </w:p>
    <w:p>
      <w:pPr>
        <w:spacing w:line="360" w:lineRule="auto"/>
        <w:ind w:left="420" w:leftChars="200"/>
        <w:jc w:val="left"/>
        <w:rPr>
          <w:rFonts w:asciiTheme="minorEastAsia" w:hAnsiTheme="minorEastAsia" w:eastAsiaTheme="minorEastAsia" w:cstheme="minorEastAsia"/>
          <w:bCs/>
          <w:szCs w:val="28"/>
        </w:rPr>
      </w:pPr>
      <w:r>
        <w:rPr>
          <w:rFonts w:hint="eastAsia" w:asciiTheme="minorEastAsia" w:hAnsiTheme="minorEastAsia" w:eastAsiaTheme="minorEastAsia" w:cstheme="minorEastAsia"/>
          <w:szCs w:val="28"/>
        </w:rPr>
        <w:t>4.5磋商结束后，磋商小组将要求所有实质性响应的供应商在规定时间内提交最后报价，最后报价是供应商响应文件的有效组成部分。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bCs/>
          <w:szCs w:val="28"/>
        </w:rPr>
        <w:t>4.6</w:t>
      </w:r>
      <w:r>
        <w:rPr>
          <w:rFonts w:hint="eastAsia" w:asciiTheme="minorEastAsia" w:hAnsiTheme="minorEastAsia" w:eastAsiaTheme="minorEastAsia" w:cstheme="minorEastAsia"/>
          <w:szCs w:val="28"/>
        </w:rPr>
        <w:t>已提交响应文件的供应商，在提交最后报价之前，可以根据磋商情况退出磋商。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4.7符合下列情形，在采购过程中符合要求的供应商可以为2家：</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（1）政府购买服务项目（含政府和社会资本合作项目）；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（2）市场竞争不充分的科研项目，以及需要扶持的科技成果转化项目。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5.详细评审</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5.1经磋商确定最终采购需求和提交最后报价的供应商后，由磋商小组采用综合评分法对提交最后报价的供应商的响应文件和最后报价进行综合评分。具体详见“评分细则”。</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5.2评审时，磋商小组各成员应当独立对每个有效响应的文件进行评价、打分，然后汇总每个供应商每项评分因素的得分。</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5.3采购代理机构负责对各磋商小组成员的总分进行复核和汇总。各项统计结果均精确到小数点后两位。 </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5.4磋商小组应当根据综合评分情况，按照评审得分由高到低顺序（评审得分相同的，按照最后报价由低到高的顺序确定，评审得分且最后报价相同的，按照技术指标优劣顺序确定）推荐3名成交候选供应商，并编写评审报告。</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5.5在评审期间，供应商不得干扰和阻碍评审工作，供应商不得向磋商小组询问评审情况，任何影响和干扰评审工作的行为都可能导致被取消本次评审的资格，并承担相应的法律责任。</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5.6在评审过程中，磋商小组不得与供应商私下交换意见，从采购工作开始，直到授予供应商合同止，凡是属于审查、澄清、评价和比较响应文件的有关资料以及授标意向等，均不得向供应商或其他无关的人员透露。否则，磋商小组应承担法律、法规责任。</w:t>
      </w:r>
      <w:r>
        <w:rPr>
          <w:rFonts w:hint="eastAsia" w:asciiTheme="minorEastAsia" w:hAnsiTheme="minorEastAsia" w:eastAsiaTheme="minorEastAsia" w:cstheme="minorEastAsia"/>
          <w:szCs w:val="28"/>
        </w:rPr>
        <w:br w:type="textWrapping"/>
      </w:r>
    </w:p>
    <w:p>
      <w:pPr>
        <w:spacing w:line="360" w:lineRule="auto"/>
        <w:ind w:left="420" w:leftChars="200"/>
        <w:rPr>
          <w:rFonts w:asciiTheme="minorEastAsia" w:hAnsiTheme="minorEastAsia" w:eastAsiaTheme="minorEastAsia" w:cstheme="minorEastAsia"/>
          <w:szCs w:val="28"/>
        </w:rPr>
      </w:pPr>
    </w:p>
    <w:p>
      <w:pPr>
        <w:spacing w:line="360" w:lineRule="auto"/>
        <w:ind w:left="420" w:leftChars="200"/>
        <w:rPr>
          <w:rFonts w:asciiTheme="minorEastAsia" w:hAnsiTheme="minorEastAsia" w:eastAsiaTheme="minorEastAsia" w:cstheme="minorEastAsia"/>
          <w:szCs w:val="28"/>
        </w:rPr>
      </w:pPr>
    </w:p>
    <w:p>
      <w:pPr>
        <w:pStyle w:val="4"/>
        <w:numPr>
          <w:ilvl w:val="0"/>
          <w:numId w:val="4"/>
        </w:numPr>
        <w:spacing w:line="240" w:lineRule="auto"/>
        <w:jc w:val="center"/>
        <w:rPr>
          <w:rFonts w:asciiTheme="minorEastAsia" w:hAnsiTheme="minorEastAsia" w:eastAsiaTheme="minorEastAsia" w:cstheme="minorEastAsia"/>
          <w:b w:val="0"/>
          <w:kern w:val="0"/>
          <w:szCs w:val="21"/>
        </w:rPr>
        <w:sectPr>
          <w:pgSz w:w="11906" w:h="16838"/>
          <w:pgMar w:top="1417" w:right="1417" w:bottom="1417" w:left="1417" w:header="851" w:footer="992" w:gutter="0"/>
          <w:cols w:space="720" w:num="1"/>
          <w:docGrid w:type="lines" w:linePitch="312" w:charSpace="0"/>
        </w:sectPr>
      </w:pPr>
      <w:bookmarkStart w:id="122" w:name="_Toc318643471"/>
      <w:bookmarkStart w:id="123" w:name="_Toc211783328"/>
    </w:p>
    <w:p>
      <w:pPr>
        <w:pStyle w:val="4"/>
        <w:numPr>
          <w:ilvl w:val="0"/>
          <w:numId w:val="4"/>
        </w:numPr>
        <w:spacing w:line="240" w:lineRule="auto"/>
        <w:jc w:val="center"/>
        <w:rPr>
          <w:rFonts w:asciiTheme="minorEastAsia" w:hAnsiTheme="minorEastAsia" w:eastAsiaTheme="minorEastAsia" w:cstheme="minorEastAsia"/>
          <w:b w:val="0"/>
          <w:kern w:val="0"/>
          <w:szCs w:val="21"/>
        </w:rPr>
      </w:pPr>
      <w:bookmarkStart w:id="124" w:name="_Toc11100"/>
      <w:r>
        <w:rPr>
          <w:rFonts w:hint="eastAsia" w:asciiTheme="minorEastAsia" w:hAnsiTheme="minorEastAsia" w:eastAsiaTheme="minorEastAsia" w:cstheme="minorEastAsia"/>
          <w:sz w:val="36"/>
          <w:szCs w:val="36"/>
        </w:rPr>
        <w:t>合同书</w:t>
      </w:r>
      <w:bookmarkEnd w:id="122"/>
      <w:bookmarkEnd w:id="123"/>
      <w:r>
        <w:rPr>
          <w:rFonts w:hint="eastAsia" w:asciiTheme="minorEastAsia" w:hAnsiTheme="minorEastAsia" w:eastAsiaTheme="minorEastAsia" w:cstheme="minorEastAsia"/>
          <w:sz w:val="36"/>
          <w:szCs w:val="36"/>
        </w:rPr>
        <w:t>格式</w:t>
      </w:r>
      <w:bookmarkEnd w:id="124"/>
    </w:p>
    <w:p>
      <w:pPr>
        <w:spacing w:line="360" w:lineRule="auto"/>
        <w:rPr>
          <w:rFonts w:asciiTheme="minorEastAsia" w:hAnsiTheme="minorEastAsia" w:eastAsiaTheme="minorEastAsia" w:cstheme="minorEastAsia"/>
          <w:sz w:val="24"/>
        </w:rPr>
      </w:pPr>
      <w:bookmarkStart w:id="125" w:name="_Toc17015"/>
      <w:r>
        <w:rPr>
          <w:rFonts w:hint="eastAsia" w:asciiTheme="minorEastAsia" w:hAnsiTheme="minorEastAsia" w:eastAsiaTheme="minorEastAsia" w:cstheme="minorEastAsia"/>
          <w:sz w:val="24"/>
        </w:rPr>
        <w:t>合同号：</w:t>
      </w:r>
    </w:p>
    <w:p>
      <w:pPr>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项目编号：                                                                                            </w:t>
      </w:r>
    </w:p>
    <w:p>
      <w:pPr>
        <w:spacing w:line="360" w:lineRule="auto"/>
        <w:ind w:firstLine="4080" w:firstLineChars="1700"/>
        <w:rPr>
          <w:rFonts w:asciiTheme="minorEastAsia" w:hAnsiTheme="minorEastAsia" w:eastAsiaTheme="minorEastAsia" w:cstheme="minorEastAsia"/>
          <w:sz w:val="24"/>
          <w:u w:val="single"/>
        </w:rPr>
      </w:pP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购货单位：</w:t>
      </w:r>
      <w:r>
        <w:rPr>
          <w:rFonts w:hint="eastAsia" w:asciiTheme="minorEastAsia" w:hAnsiTheme="minorEastAsia" w:eastAsiaTheme="minorEastAsia" w:cstheme="minorEastAsia"/>
          <w:b/>
          <w:sz w:val="24"/>
          <w:u w:val="single"/>
        </w:rPr>
        <w:t>湖北工业大学</w:t>
      </w:r>
      <w:r>
        <w:rPr>
          <w:rFonts w:hint="eastAsia" w:asciiTheme="minorEastAsia" w:hAnsiTheme="minorEastAsia" w:eastAsiaTheme="minorEastAsia" w:cstheme="minorEastAsia"/>
          <w:b/>
          <w:sz w:val="24"/>
        </w:rPr>
        <w:t>（以下简称甲方）</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住所：武汉市洪山区南李路28号</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法定代表人：彭育园</w:t>
      </w: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供货单位：</w:t>
      </w:r>
      <w:r>
        <w:rPr>
          <w:rFonts w:hint="eastAsia" w:asciiTheme="minorEastAsia" w:hAnsiTheme="minorEastAsia" w:eastAsiaTheme="minorEastAsia" w:cstheme="minorEastAsia"/>
          <w:b/>
          <w:sz w:val="24"/>
          <w:u w:val="single"/>
        </w:rPr>
        <w:t xml:space="preserve">               </w:t>
      </w:r>
      <w:r>
        <w:rPr>
          <w:rFonts w:hint="eastAsia" w:asciiTheme="minorEastAsia" w:hAnsiTheme="minorEastAsia" w:eastAsiaTheme="minorEastAsia" w:cstheme="minorEastAsia"/>
          <w:b/>
          <w:sz w:val="24"/>
        </w:rPr>
        <w:t>（以下简称乙方）</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住所：</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法定代表人：</w:t>
      </w:r>
    </w:p>
    <w:p>
      <w:pPr>
        <w:spacing w:line="360" w:lineRule="auto"/>
        <w:rPr>
          <w:rFonts w:asciiTheme="minorEastAsia" w:hAnsiTheme="minorEastAsia" w:eastAsiaTheme="minorEastAsia" w:cstheme="minorEastAsia"/>
          <w:b/>
          <w:sz w:val="24"/>
        </w:rPr>
      </w:pPr>
    </w:p>
    <w:p>
      <w:pPr>
        <w:pStyle w:val="13"/>
        <w:spacing w:line="360" w:lineRule="auto"/>
        <w:ind w:left="0" w:leftChars="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甲乙双方根据《中华人民共和国民法典》相关规定，为增强双方的责任，经甲乙双方协商一致，特订立本合同，以资甲乙双方共同遵守。</w:t>
      </w:r>
    </w:p>
    <w:p>
      <w:pPr>
        <w:spacing w:line="360" w:lineRule="auto"/>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sz w:val="24"/>
        </w:rPr>
        <w:t>一、货物名称、规格、配置、数量及价格如下</w:t>
      </w:r>
      <w:r>
        <w:rPr>
          <w:rFonts w:hint="eastAsia" w:asciiTheme="minorEastAsia" w:hAnsiTheme="minorEastAsia" w:eastAsiaTheme="minorEastAsia" w:cstheme="minorEastAsia"/>
          <w:b/>
          <w:bCs/>
          <w:sz w:val="24"/>
        </w:rPr>
        <w:t>:</w:t>
      </w:r>
    </w:p>
    <w:tbl>
      <w:tblPr>
        <w:tblStyle w:val="26"/>
        <w:tblW w:w="95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369"/>
        <w:gridCol w:w="806"/>
        <w:gridCol w:w="705"/>
        <w:gridCol w:w="2700"/>
        <w:gridCol w:w="720"/>
        <w:gridCol w:w="130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b/>
                <w:bCs/>
                <w:snapToGrid w:val="0"/>
                <w:kern w:val="0"/>
                <w:sz w:val="24"/>
              </w:rPr>
            </w:pPr>
          </w:p>
        </w:tc>
        <w:tc>
          <w:tcPr>
            <w:tcW w:w="1369" w:type="dxa"/>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sz w:val="24"/>
              </w:rPr>
              <w:t>货物</w:t>
            </w:r>
            <w:r>
              <w:rPr>
                <w:rFonts w:hint="eastAsia" w:asciiTheme="minorEastAsia" w:hAnsiTheme="minorEastAsia" w:eastAsiaTheme="minorEastAsia" w:cstheme="minorEastAsia"/>
                <w:b/>
                <w:bCs/>
                <w:snapToGrid w:val="0"/>
                <w:kern w:val="0"/>
                <w:sz w:val="24"/>
              </w:rPr>
              <w:t>名称</w:t>
            </w: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品牌</w:t>
            </w: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型号</w:t>
            </w:r>
          </w:p>
        </w:tc>
        <w:tc>
          <w:tcPr>
            <w:tcW w:w="2700"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配置/技术参数</w:t>
            </w:r>
          </w:p>
        </w:tc>
        <w:tc>
          <w:tcPr>
            <w:tcW w:w="720"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数量</w:t>
            </w:r>
          </w:p>
        </w:tc>
        <w:tc>
          <w:tcPr>
            <w:tcW w:w="1301"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单价（元）</w:t>
            </w:r>
          </w:p>
        </w:tc>
        <w:tc>
          <w:tcPr>
            <w:tcW w:w="1440"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adjustRightInd w:val="0"/>
              <w:snapToGrid w:val="0"/>
              <w:spacing w:line="360" w:lineRule="auto"/>
              <w:jc w:val="center"/>
              <w:rPr>
                <w:rFonts w:asciiTheme="minorEastAsia" w:hAnsiTheme="minorEastAsia" w:eastAsiaTheme="minorEastAsia" w:cstheme="minorEastAsia"/>
                <w:snapToGrid w:val="0"/>
                <w:kern w:val="0"/>
                <w:sz w:val="24"/>
              </w:rPr>
            </w:pPr>
          </w:p>
        </w:tc>
        <w:tc>
          <w:tcPr>
            <w:tcW w:w="1369" w:type="dxa"/>
            <w:vAlign w:val="center"/>
          </w:tcPr>
          <w:p>
            <w:pPr>
              <w:adjustRightInd w:val="0"/>
              <w:snapToGrid w:val="0"/>
              <w:spacing w:line="360" w:lineRule="auto"/>
              <w:jc w:val="center"/>
              <w:rPr>
                <w:rFonts w:asciiTheme="minorEastAsia" w:hAnsiTheme="minorEastAsia" w:eastAsiaTheme="minorEastAsia" w:cstheme="minorEastAsia"/>
                <w:snapToGrid w:val="0"/>
                <w:kern w:val="0"/>
                <w:sz w:val="24"/>
              </w:rPr>
            </w:pPr>
          </w:p>
        </w:tc>
        <w:tc>
          <w:tcPr>
            <w:tcW w:w="806" w:type="dxa"/>
            <w:vAlign w:val="center"/>
          </w:tcPr>
          <w:p>
            <w:pPr>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vAlign w:val="center"/>
          </w:tcPr>
          <w:p>
            <w:pPr>
              <w:adjustRightInd w:val="0"/>
              <w:snapToGrid w:val="0"/>
              <w:spacing w:line="360" w:lineRule="auto"/>
              <w:rPr>
                <w:rFonts w:asciiTheme="minorEastAsia" w:hAnsiTheme="minorEastAsia" w:eastAsiaTheme="minorEastAsia" w:cstheme="minorEastAsia"/>
                <w:snapToGrid w:val="0"/>
                <w:kern w:val="0"/>
                <w:sz w:val="24"/>
              </w:rPr>
            </w:pPr>
          </w:p>
        </w:tc>
        <w:tc>
          <w:tcPr>
            <w:tcW w:w="720" w:type="dxa"/>
            <w:vAlign w:val="center"/>
          </w:tcPr>
          <w:p>
            <w:pPr>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vAlign w:val="center"/>
          </w:tcPr>
          <w:p>
            <w:pPr>
              <w:adjustRightInd w:val="0"/>
              <w:snapToGrid w:val="0"/>
              <w:spacing w:line="360" w:lineRule="auto"/>
              <w:rPr>
                <w:rFonts w:asciiTheme="minorEastAsia" w:hAnsiTheme="minorEastAsia" w:eastAsiaTheme="minorEastAsia" w:cstheme="minorEastAsia"/>
                <w:snapToGrid w:val="0"/>
                <w:kern w:val="0"/>
                <w:sz w:val="24"/>
              </w:rPr>
            </w:pPr>
          </w:p>
        </w:tc>
        <w:tc>
          <w:tcPr>
            <w:tcW w:w="1440" w:type="dxa"/>
            <w:vAlign w:val="center"/>
          </w:tcPr>
          <w:p>
            <w:pPr>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144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144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144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144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vAlign w:val="center"/>
          </w:tcPr>
          <w:p>
            <w:pPr>
              <w:kinsoku w:val="0"/>
              <w:overflowPunct w:val="0"/>
              <w:autoSpaceDE w:val="0"/>
              <w:autoSpaceDN w:val="0"/>
              <w:adjustRightInd w:val="0"/>
              <w:snapToGrid w:val="0"/>
              <w:spacing w:line="360" w:lineRule="auto"/>
              <w:rPr>
                <w:rStyle w:val="29"/>
                <w:rFonts w:asciiTheme="minorEastAsia" w:hAnsiTheme="minorEastAsia" w:eastAsiaTheme="minorEastAsia" w:cstheme="minorEastAsia"/>
                <w:b w:val="0"/>
                <w:bCs w:val="0"/>
                <w:snapToGrid w:val="0"/>
                <w:kern w:val="0"/>
              </w:rPr>
            </w:pPr>
          </w:p>
        </w:tc>
        <w:tc>
          <w:tcPr>
            <w:tcW w:w="72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01" w:type="dxa"/>
            <w:vAlign w:val="center"/>
          </w:tcPr>
          <w:p>
            <w:pPr>
              <w:kinsoku w:val="0"/>
              <w:overflowPunct w:val="0"/>
              <w:autoSpaceDE w:val="0"/>
              <w:autoSpaceDN w:val="0"/>
              <w:adjustRightInd w:val="0"/>
              <w:snapToGrid w:val="0"/>
              <w:spacing w:line="360" w:lineRule="auto"/>
              <w:rPr>
                <w:rStyle w:val="29"/>
                <w:rFonts w:asciiTheme="minorEastAsia" w:hAnsiTheme="minorEastAsia" w:eastAsiaTheme="minorEastAsia" w:cstheme="minorEastAsia"/>
                <w:b w:val="0"/>
                <w:bCs w:val="0"/>
                <w:snapToGrid w:val="0"/>
                <w:kern w:val="0"/>
              </w:rPr>
            </w:pPr>
          </w:p>
        </w:tc>
        <w:tc>
          <w:tcPr>
            <w:tcW w:w="1440" w:type="dxa"/>
            <w:vAlign w:val="center"/>
          </w:tcPr>
          <w:p>
            <w:pPr>
              <w:kinsoku w:val="0"/>
              <w:overflowPunct w:val="0"/>
              <w:autoSpaceDE w:val="0"/>
              <w:autoSpaceDN w:val="0"/>
              <w:adjustRightInd w:val="0"/>
              <w:snapToGrid w:val="0"/>
              <w:spacing w:line="360" w:lineRule="auto"/>
              <w:rPr>
                <w:rStyle w:val="29"/>
                <w:rFonts w:asciiTheme="minorEastAsia" w:hAnsiTheme="minorEastAsia" w:eastAsiaTheme="minorEastAsia" w:cstheme="minorEastAsia"/>
                <w:b w:val="0"/>
                <w:bCs w:val="0"/>
                <w:snapToGrid w:val="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81" w:type="dxa"/>
            <w:gridSpan w:val="8"/>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b/>
                <w:kern w:val="0"/>
                <w:sz w:val="24"/>
              </w:rPr>
            </w:pPr>
            <w:r>
              <w:rPr>
                <w:rFonts w:hint="eastAsia" w:asciiTheme="minorEastAsia" w:hAnsiTheme="minorEastAsia" w:eastAsiaTheme="minorEastAsia" w:cstheme="minorEastAsia"/>
                <w:snapToGrid w:val="0"/>
                <w:kern w:val="0"/>
                <w:sz w:val="24"/>
              </w:rPr>
              <w:t>合计</w:t>
            </w:r>
            <w:r>
              <w:rPr>
                <w:rFonts w:hint="eastAsia" w:asciiTheme="minorEastAsia" w:hAnsiTheme="minorEastAsia" w:eastAsiaTheme="minorEastAsia" w:cstheme="minorEastAsia"/>
                <w:b/>
                <w:sz w:val="24"/>
              </w:rPr>
              <w:t xml:space="preserve">（人民币）:          </w:t>
            </w:r>
            <w:r>
              <w:rPr>
                <w:rFonts w:hint="eastAsia" w:asciiTheme="minorEastAsia" w:hAnsiTheme="minorEastAsia" w:eastAsiaTheme="minorEastAsia" w:cstheme="minorEastAsia"/>
                <w:b/>
                <w:kern w:val="0"/>
                <w:sz w:val="24"/>
              </w:rPr>
              <w:t>元整（￥：    元）</w:t>
            </w:r>
          </w:p>
        </w:tc>
      </w:tr>
    </w:tbl>
    <w:p>
      <w:pPr>
        <w:spacing w:line="360" w:lineRule="auto"/>
        <w:ind w:left="359" w:leftChars="171"/>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技术负责人（签字）：</w:t>
      </w:r>
      <w:r>
        <w:rPr>
          <w:rFonts w:hint="eastAsia" w:asciiTheme="minorEastAsia" w:hAnsiTheme="minorEastAsia" w:eastAsiaTheme="minorEastAsia" w:cstheme="minorEastAsia"/>
          <w:b/>
          <w:sz w:val="24"/>
          <w:u w:val="single"/>
        </w:rPr>
        <w:t xml:space="preserve">               </w:t>
      </w:r>
      <w:r>
        <w:rPr>
          <w:rFonts w:hint="eastAsia" w:asciiTheme="minorEastAsia" w:hAnsiTheme="minorEastAsia" w:eastAsiaTheme="minorEastAsia" w:cstheme="minorEastAsia"/>
          <w:b/>
          <w:sz w:val="24"/>
        </w:rPr>
        <w:t xml:space="preserve">      部门负责人（签字）：</w:t>
      </w:r>
      <w:r>
        <w:rPr>
          <w:rFonts w:hint="eastAsia" w:asciiTheme="minorEastAsia" w:hAnsiTheme="minorEastAsia" w:eastAsiaTheme="minorEastAsia" w:cstheme="minorEastAsia"/>
          <w:b/>
          <w:sz w:val="24"/>
          <w:u w:val="single"/>
        </w:rPr>
        <w:t xml:space="preserve">                 </w:t>
      </w:r>
    </w:p>
    <w:p>
      <w:pPr>
        <w:spacing w:line="360" w:lineRule="auto"/>
        <w:ind w:firstLine="482"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二、合同总金额（人民币）:          </w:t>
      </w:r>
      <w:r>
        <w:rPr>
          <w:rFonts w:hint="eastAsia" w:asciiTheme="minorEastAsia" w:hAnsiTheme="minorEastAsia" w:eastAsiaTheme="minorEastAsia" w:cstheme="minorEastAsia"/>
          <w:b/>
          <w:kern w:val="0"/>
          <w:sz w:val="24"/>
        </w:rPr>
        <w:t>元整（￥：  元）</w:t>
      </w:r>
      <w:r>
        <w:rPr>
          <w:rFonts w:hint="eastAsia" w:asciiTheme="minorEastAsia" w:hAnsiTheme="minorEastAsia" w:eastAsiaTheme="minorEastAsia" w:cstheme="minorEastAsia"/>
          <w:b/>
          <w:sz w:val="24"/>
        </w:rPr>
        <w:t>。含增值税、运费、安装调试费等，甲方无需支付其他费用。</w:t>
      </w:r>
    </w:p>
    <w:p>
      <w:pPr>
        <w:spacing w:line="360" w:lineRule="auto"/>
        <w:ind w:firstLine="482"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三、交货：</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1.交货时间：乙方应在20  年 月  日前完成全部货物（含配套系统、配件备件）的安装调试工作。</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2.交货地点：甲方指定地点。</w:t>
      </w:r>
    </w:p>
    <w:p>
      <w:pPr>
        <w:spacing w:line="360" w:lineRule="auto"/>
        <w:ind w:left="359" w:leftChars="171"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3.交货方式：乙方负责安排运输到甲方指定地点。</w:t>
      </w:r>
      <w:r>
        <w:rPr>
          <w:rFonts w:hint="eastAsia" w:asciiTheme="minorEastAsia" w:hAnsiTheme="minorEastAsia" w:eastAsiaTheme="minorEastAsia" w:cstheme="minorEastAsia"/>
          <w:bCs/>
          <w:sz w:val="24"/>
        </w:rPr>
        <w:t>乙方承担</w:t>
      </w:r>
      <w:r>
        <w:rPr>
          <w:rFonts w:hint="eastAsia" w:asciiTheme="minorEastAsia" w:hAnsiTheme="minorEastAsia" w:eastAsiaTheme="minorEastAsia" w:cstheme="minorEastAsia"/>
          <w:sz w:val="24"/>
        </w:rPr>
        <w:t>货物（含配套系统、配件备件）</w:t>
      </w:r>
      <w:r>
        <w:rPr>
          <w:rFonts w:hint="eastAsia" w:asciiTheme="minorEastAsia" w:hAnsiTheme="minorEastAsia" w:eastAsiaTheme="minorEastAsia" w:cstheme="minorEastAsia"/>
          <w:bCs/>
          <w:sz w:val="24"/>
        </w:rPr>
        <w:t>交付甲方前的一切费用及风险（本条款所指交付是乙方将货物</w:t>
      </w:r>
      <w:r>
        <w:rPr>
          <w:rFonts w:hint="eastAsia" w:asciiTheme="minorEastAsia" w:hAnsiTheme="minorEastAsia" w:eastAsiaTheme="minorEastAsia" w:cstheme="minorEastAsia"/>
          <w:sz w:val="24"/>
        </w:rPr>
        <w:t>（含配套系统、配件备件）</w:t>
      </w:r>
      <w:r>
        <w:rPr>
          <w:rFonts w:hint="eastAsia" w:asciiTheme="minorEastAsia" w:hAnsiTheme="minorEastAsia" w:eastAsiaTheme="minorEastAsia" w:cstheme="minorEastAsia"/>
          <w:bCs/>
          <w:sz w:val="24"/>
        </w:rPr>
        <w:t>运送至甲方指定地点，并经甲方验收合格并出具验收合格证明后视为交付）。</w:t>
      </w:r>
    </w:p>
    <w:p>
      <w:pPr>
        <w:spacing w:line="360" w:lineRule="auto"/>
        <w:ind w:firstLine="720" w:firstLineChars="3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4.乙方所提供货物（含配套系统、配件备件）必须为全新无瑕疵。</w:t>
      </w:r>
    </w:p>
    <w:p>
      <w:pPr>
        <w:spacing w:line="360" w:lineRule="auto"/>
        <w:ind w:firstLine="720" w:firstLineChars="3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5.交货时，乙方应将货物（含配套系统、配件备件）的产品说明书、使用说明书，出厂合格证、用户手册、保修手册等单证交付给甲方，前述单证未交付完整的，视为未完全交货。</w:t>
      </w:r>
    </w:p>
    <w:p>
      <w:pPr>
        <w:spacing w:line="360" w:lineRule="auto"/>
        <w:ind w:firstLine="720" w:firstLineChars="3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6.如果乙方提供货物（含配套系统、配件备件）属于国家或上级部门相关法律法规管制的，则乙方应当提供相关证明并协助甲方办理相关手续。</w:t>
      </w:r>
    </w:p>
    <w:p>
      <w:pPr>
        <w:spacing w:line="360" w:lineRule="auto"/>
        <w:ind w:firstLine="482"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四、合同验收</w:t>
      </w:r>
    </w:p>
    <w:p>
      <w:pPr>
        <w:spacing w:line="360" w:lineRule="auto"/>
        <w:ind w:firstLine="723" w:firstLineChars="300"/>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1. 验收标准：</w:t>
      </w:r>
      <w:r>
        <w:rPr>
          <w:rFonts w:hint="eastAsia" w:asciiTheme="minorEastAsia" w:hAnsiTheme="minorEastAsia" w:eastAsiaTheme="minorEastAsia" w:cstheme="minorEastAsia"/>
          <w:sz w:val="24"/>
        </w:rPr>
        <w:t>本合同相关约定、国家相关规范和标准、招标文件、响应文件及磋商报告相关要求、相关技术文件验收。</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2.验收方式：合同内全部货物（含配套系统、配件备件）整体验收。</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3.验收组织：甲方组织技术人员验收。（含配套系统、配件备件）质量验收合格的，甲方签署验收报告，验收不合格的，甲方向乙方出具书面质量异议意见。 </w:t>
      </w:r>
    </w:p>
    <w:p>
      <w:pPr>
        <w:spacing w:line="360" w:lineRule="auto"/>
        <w:ind w:left="36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4..甲方完成验收并不免除乙方对（含配套系统、配件备件）质量应当承担的责任。          </w:t>
      </w:r>
    </w:p>
    <w:p>
      <w:pPr>
        <w:spacing w:line="360" w:lineRule="auto"/>
        <w:ind w:firstLine="482"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五、付款方式：</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1.本合同正式签订前，乙方需向甲方支付合同金额的5%即人民币    元整（小写：￥    元）作为履约保证金；</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 全部货物（含配套系统、配件备件）经甲方验收合格后十五个工作日内，甲方向乙方支付全额货款即人民币    元整（小写：￥    元），上述履约保证金转为质保金，</w:t>
      </w:r>
      <w:r>
        <w:rPr>
          <w:rFonts w:hint="eastAsia" w:asciiTheme="minorEastAsia" w:hAnsiTheme="minorEastAsia" w:eastAsiaTheme="minorEastAsia" w:cstheme="minorEastAsia"/>
          <w:bCs/>
          <w:sz w:val="24"/>
        </w:rPr>
        <w:t>产品验收合格满</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sz w:val="24"/>
        </w:rPr>
        <w:t>年后，若无质量问题甲方将质保金全额无息退还给乙方；</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３.国产货物（含配套系统、配件备件）须提供增值税专用发票。</w:t>
      </w:r>
    </w:p>
    <w:p>
      <w:pPr>
        <w:spacing w:line="360" w:lineRule="auto"/>
        <w:ind w:firstLine="482"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
          <w:sz w:val="24"/>
        </w:rPr>
        <w:t>七、售后服务</w:t>
      </w:r>
      <w:r>
        <w:rPr>
          <w:rFonts w:hint="eastAsia" w:asciiTheme="minorEastAsia" w:hAnsiTheme="minorEastAsia" w:eastAsiaTheme="minorEastAsia" w:cstheme="minorEastAsia"/>
          <w:b/>
          <w:bCs/>
          <w:sz w:val="24"/>
        </w:rPr>
        <w:t xml:space="preserve"> （</w:t>
      </w:r>
      <w:r>
        <w:rPr>
          <w:rFonts w:hint="eastAsia" w:asciiTheme="minorEastAsia" w:hAnsiTheme="minorEastAsia" w:eastAsiaTheme="minorEastAsia" w:cstheme="minorEastAsia"/>
          <w:bCs/>
          <w:sz w:val="24"/>
        </w:rPr>
        <w:t>根据具体项目的响应文件填写</w:t>
      </w:r>
      <w:r>
        <w:rPr>
          <w:rFonts w:hint="eastAsia" w:asciiTheme="minorEastAsia" w:hAnsiTheme="minorEastAsia" w:eastAsiaTheme="minorEastAsia" w:cstheme="minorEastAsia"/>
          <w:b/>
          <w:bCs/>
          <w:sz w:val="24"/>
        </w:rPr>
        <w:t>）</w:t>
      </w:r>
    </w:p>
    <w:p>
      <w:pPr>
        <w:spacing w:line="360" w:lineRule="auto"/>
        <w:ind w:left="479" w:leftChars="22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w:t>
      </w:r>
      <w:r>
        <w:rPr>
          <w:rFonts w:hint="eastAsia" w:asciiTheme="minorEastAsia" w:hAnsiTheme="minorEastAsia" w:eastAsiaTheme="minorEastAsia" w:cstheme="minorEastAsia"/>
          <w:sz w:val="24"/>
        </w:rPr>
        <w:t xml:space="preserve"> 国产货物（含配套系统、配件备件）</w:t>
      </w:r>
      <w:r>
        <w:rPr>
          <w:rFonts w:hint="eastAsia" w:asciiTheme="minorEastAsia" w:hAnsiTheme="minorEastAsia" w:eastAsiaTheme="minorEastAsia" w:cstheme="minorEastAsia"/>
          <w:bCs/>
          <w:sz w:val="24"/>
        </w:rPr>
        <w:t>验收合格之日起质保期    年，并提供售后服务    年。</w:t>
      </w:r>
    </w:p>
    <w:p>
      <w:pPr>
        <w:spacing w:line="360" w:lineRule="auto"/>
        <w:ind w:left="479" w:leftChars="22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2.质保期、保修期内因</w:t>
      </w:r>
      <w:r>
        <w:rPr>
          <w:rFonts w:hint="eastAsia" w:asciiTheme="minorEastAsia" w:hAnsiTheme="minorEastAsia" w:eastAsiaTheme="minorEastAsia" w:cstheme="minorEastAsia"/>
          <w:sz w:val="24"/>
        </w:rPr>
        <w:t>国产货物（含配套系统、配件备件）</w:t>
      </w:r>
      <w:r>
        <w:rPr>
          <w:rFonts w:hint="eastAsia" w:asciiTheme="minorEastAsia" w:hAnsiTheme="minorEastAsia" w:eastAsiaTheme="minorEastAsia" w:cstheme="minorEastAsia"/>
          <w:bCs/>
          <w:sz w:val="24"/>
        </w:rPr>
        <w:t>质量或安装调试原因引起的全部维修费用（包括更换零配件的费用）均由乙方承担。</w:t>
      </w:r>
    </w:p>
    <w:p>
      <w:pPr>
        <w:spacing w:line="360" w:lineRule="auto"/>
        <w:ind w:left="479" w:leftChars="22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3.质保期、保修期外，乙方应定期回访，发现问题及时通知甲方，</w:t>
      </w:r>
      <w:r>
        <w:rPr>
          <w:rFonts w:hint="eastAsia" w:asciiTheme="minorEastAsia" w:hAnsiTheme="minorEastAsia" w:eastAsiaTheme="minorEastAsia" w:cstheme="minorEastAsia"/>
          <w:sz w:val="24"/>
        </w:rPr>
        <w:t>国产货物（含配套系统、配件备件）</w:t>
      </w:r>
      <w:r>
        <w:rPr>
          <w:rFonts w:hint="eastAsia" w:asciiTheme="minorEastAsia" w:hAnsiTheme="minorEastAsia" w:eastAsiaTheme="minorEastAsia" w:cstheme="minorEastAsia"/>
          <w:bCs/>
          <w:sz w:val="24"/>
        </w:rPr>
        <w:t>维修零配件以优惠价给甲方（免收人工及差旅费）。</w:t>
      </w:r>
    </w:p>
    <w:p>
      <w:pPr>
        <w:spacing w:line="360" w:lineRule="auto"/>
        <w:ind w:left="479" w:leftChars="22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ind w:firstLine="361" w:firstLineChars="15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八、安装调试和搬运安全</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1.乙方须严格按照相关安全规范负责合同中全部货物（含配套系统、配件备件）安装调试、搬运和施工现场管理工作，并严守安装调试、搬运和施工现场各项安全规定。</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乙方须安排具备相应资质的人员负责合同中全部货物（含配套系统、配件备件）安装调试、搬运和施工现场管安全管理工作，负责监督安装调试和搬运人员按照安全规范进行安装调试、搬运和施工现场管理，保证安装调试、搬运和施工现场安全。若发生人员伤亡事故，乙方必须承担所有法律和经济责任，甲方概不负责；若发生房屋损坏、设备损坏丢失、线路及设备毁损等财产损失安全事故，乙方必须承担经济赔偿。</w:t>
      </w:r>
    </w:p>
    <w:p>
      <w:pPr>
        <w:spacing w:line="360" w:lineRule="auto"/>
        <w:ind w:left="479" w:leftChars="172" w:hanging="118" w:hangingChars="49"/>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九、违约责任</w:t>
      </w:r>
    </w:p>
    <w:p>
      <w:pPr>
        <w:spacing w:line="360" w:lineRule="auto"/>
        <w:ind w:left="540" w:leftChars="257"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若乙方未能按合同所规定的交货时间前完成本合同全部货物（含配套系统、配件备件）安装调试并达到验收标准，每延迟一天，按合同总额的千分之一向甲方交纳违约金，违约金缴纳总额不超过合同总金额的百分之五。</w:t>
      </w:r>
    </w:p>
    <w:p>
      <w:pPr>
        <w:spacing w:line="360" w:lineRule="auto"/>
        <w:ind w:left="540" w:leftChars="257"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2．若乙方未能在20  年  月  日前完成本合同全部货物（含配套系统、配件备件）安装调试并达到验收标准，甲方可中止本合同，并由乙方承担由此给甲方造成的一切损失。</w:t>
      </w:r>
    </w:p>
    <w:p>
      <w:pPr>
        <w:spacing w:line="360" w:lineRule="auto"/>
        <w:ind w:left="540" w:leftChars="257"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3.若甲方未按本合同规定的付款方式规定逾期付款（甲方付款时间以甲方向银行提供付款凭证时间为准），每延迟一天，按合同总额的千分之一向乙方交纳违约金，违约金缴纳总额不超过合同总金额的百分之五。</w:t>
      </w:r>
    </w:p>
    <w:p>
      <w:pPr>
        <w:spacing w:line="360" w:lineRule="auto"/>
        <w:ind w:left="540" w:leftChars="257"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4．乙方交付甲方的全部货物（含配套系统、配件备件）及施工过程中使用的材料必须有合法的进货渠道，且符合合同和投标书中的质量约定，否则由乙方承担一切责任。</w:t>
      </w:r>
    </w:p>
    <w:p>
      <w:pPr>
        <w:spacing w:line="360" w:lineRule="auto"/>
        <w:ind w:left="540" w:leftChars="257"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5. 乙方保证本合同项内</w:t>
      </w:r>
      <w:r>
        <w:rPr>
          <w:rFonts w:hint="eastAsia" w:asciiTheme="minorEastAsia" w:hAnsiTheme="minorEastAsia" w:eastAsiaTheme="minorEastAsia" w:cstheme="minorEastAsia"/>
          <w:sz w:val="24"/>
        </w:rPr>
        <w:t>全部货物（含配套系统、配件备件）</w:t>
      </w:r>
      <w:r>
        <w:rPr>
          <w:rFonts w:hint="eastAsia" w:asciiTheme="minorEastAsia" w:hAnsiTheme="minorEastAsia" w:eastAsiaTheme="minorEastAsia" w:cstheme="minorEastAsia"/>
          <w:bCs/>
          <w:sz w:val="24"/>
        </w:rPr>
        <w:t>的权利无瑕疵，包括</w:t>
      </w:r>
      <w:r>
        <w:rPr>
          <w:rFonts w:hint="eastAsia" w:asciiTheme="minorEastAsia" w:hAnsiTheme="minorEastAsia" w:eastAsiaTheme="minorEastAsia" w:cstheme="minorEastAsia"/>
          <w:sz w:val="24"/>
        </w:rPr>
        <w:t>全部货物（含配套系统、配件备件）</w:t>
      </w:r>
      <w:r>
        <w:rPr>
          <w:rFonts w:hint="eastAsia" w:asciiTheme="minorEastAsia" w:hAnsiTheme="minorEastAsia" w:eastAsiaTheme="minorEastAsia" w:cstheme="minorEastAsia"/>
          <w:bCs/>
          <w:sz w:val="24"/>
        </w:rPr>
        <w:t>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w:t>
      </w:r>
      <w:r>
        <w:rPr>
          <w:rFonts w:hint="eastAsia" w:asciiTheme="minorEastAsia" w:hAnsiTheme="minorEastAsia" w:eastAsiaTheme="minorEastAsia" w:cstheme="minorEastAsia"/>
          <w:sz w:val="24"/>
        </w:rPr>
        <w:t>5%</w:t>
      </w:r>
      <w:r>
        <w:rPr>
          <w:rFonts w:hint="eastAsia" w:asciiTheme="minorEastAsia" w:hAnsiTheme="minorEastAsia" w:eastAsiaTheme="minorEastAsia" w:cstheme="minorEastAsia"/>
          <w:bCs/>
          <w:sz w:val="24"/>
        </w:rPr>
        <w:t>向甲方支付违约金。</w:t>
      </w:r>
    </w:p>
    <w:p>
      <w:pPr>
        <w:spacing w:line="360" w:lineRule="auto"/>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sz w:val="24"/>
        </w:rPr>
        <w:t>十、在履行本合同过程中，如发生争议，双方应友好协商解决，如协商不能解决，双方同意由武汉仲裁委员会仲裁或向武汉市洪山区人民法院起诉。本合同的任何变更、修改、补充须双方代表签署书面文件方为有效，补充文件为本合同不可分割的组成部分，同时具备法律效力。</w:t>
      </w:r>
    </w:p>
    <w:p>
      <w:pPr>
        <w:spacing w:line="360" w:lineRule="auto"/>
        <w:ind w:firstLine="482"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十一、本合同一式柒份，甲方持陆份，乙方持壹份,具有同等法律效力。</w:t>
      </w:r>
    </w:p>
    <w:p>
      <w:pPr>
        <w:spacing w:line="360" w:lineRule="auto"/>
        <w:ind w:firstLine="482"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十二、本合同自双方签字并盖章之日起生效。</w:t>
      </w:r>
    </w:p>
    <w:p>
      <w:pPr>
        <w:spacing w:line="360" w:lineRule="auto"/>
        <w:ind w:left="-178" w:leftChars="-85" w:right="-359" w:rightChars="-171" w:firstLine="144" w:firstLineChars="60"/>
        <w:rPr>
          <w:rFonts w:asciiTheme="minorEastAsia" w:hAnsiTheme="minorEastAsia" w:eastAsiaTheme="minorEastAsia" w:cstheme="minorEastAsia"/>
          <w:sz w:val="24"/>
        </w:rPr>
      </w:pPr>
    </w:p>
    <w:p>
      <w:pPr>
        <w:spacing w:line="360" w:lineRule="auto"/>
        <w:ind w:left="178" w:leftChars="85" w:right="-359" w:rightChars="-171"/>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甲 方（盖章）：</w:t>
      </w:r>
      <w:r>
        <w:rPr>
          <w:rFonts w:hint="eastAsia" w:asciiTheme="minorEastAsia" w:hAnsiTheme="minorEastAsia" w:eastAsiaTheme="minorEastAsia" w:cstheme="minorEastAsia"/>
          <w:b/>
          <w:bCs/>
          <w:sz w:val="24"/>
        </w:rPr>
        <w:t xml:space="preserve">湖北工业大学                </w:t>
      </w:r>
      <w:r>
        <w:rPr>
          <w:rFonts w:hint="eastAsia" w:asciiTheme="minorEastAsia" w:hAnsiTheme="minorEastAsia" w:eastAsiaTheme="minorEastAsia" w:cstheme="minorEastAsia"/>
          <w:sz w:val="24"/>
        </w:rPr>
        <w:t>乙 方（盖章）：</w:t>
      </w:r>
      <w:r>
        <w:rPr>
          <w:rFonts w:hint="eastAsia" w:asciiTheme="minorEastAsia" w:hAnsiTheme="minorEastAsia" w:eastAsiaTheme="minorEastAsia" w:cstheme="minorEastAsia"/>
          <w:snapToGrid w:val="0"/>
          <w:kern w:val="0"/>
          <w:sz w:val="24"/>
        </w:rPr>
        <w:t xml:space="preserve">                      </w:t>
      </w:r>
    </w:p>
    <w:p>
      <w:pPr>
        <w:spacing w:line="360" w:lineRule="auto"/>
        <w:ind w:left="178" w:leftChars="85" w:right="-178" w:rightChars="-85"/>
        <w:rPr>
          <w:rFonts w:asciiTheme="minorEastAsia" w:hAnsiTheme="minorEastAsia" w:eastAsiaTheme="minorEastAsia" w:cstheme="minorEastAsia"/>
          <w:sz w:val="24"/>
        </w:rPr>
      </w:pPr>
    </w:p>
    <w:p>
      <w:pPr>
        <w:spacing w:line="360" w:lineRule="auto"/>
        <w:ind w:left="178" w:leftChars="85" w:right="-178" w:rightChars="-8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部门（单位）主要负责人（签名）：</w:t>
      </w:r>
    </w:p>
    <w:p>
      <w:pPr>
        <w:spacing w:line="360" w:lineRule="auto"/>
        <w:ind w:left="178" w:leftChars="85" w:right="-178" w:rightChars="-8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法人或授权代表（签名）：                   法人或授权代表（签名）：</w:t>
      </w:r>
    </w:p>
    <w:p>
      <w:pPr>
        <w:spacing w:line="360" w:lineRule="auto"/>
        <w:ind w:left="178" w:leftChars="85" w:right="-171"/>
        <w:rPr>
          <w:rFonts w:asciiTheme="minorEastAsia" w:hAnsiTheme="minorEastAsia" w:eastAsiaTheme="minorEastAsia" w:cstheme="minorEastAsia"/>
          <w:sz w:val="24"/>
        </w:rPr>
      </w:pPr>
    </w:p>
    <w:p>
      <w:pPr>
        <w:spacing w:line="360" w:lineRule="auto"/>
        <w:ind w:left="178" w:leftChars="85" w:right="-171"/>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联系方式：02759750213                    联系方式：</w:t>
      </w:r>
    </w:p>
    <w:p>
      <w:pPr>
        <w:spacing w:line="360" w:lineRule="auto"/>
        <w:ind w:left="178" w:leftChars="85" w:right="-171"/>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开户银行：</w:t>
      </w:r>
    </w:p>
    <w:p>
      <w:pPr>
        <w:spacing w:line="360" w:lineRule="auto"/>
        <w:ind w:left="178" w:leftChars="85" w:right="-171"/>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z w:val="24"/>
        </w:rPr>
        <w:t xml:space="preserve">                                         银行账号：</w:t>
      </w:r>
    </w:p>
    <w:p>
      <w:pPr>
        <w:spacing w:line="360" w:lineRule="auto"/>
        <w:ind w:left="178" w:leftChars="85" w:right="-171"/>
        <w:rPr>
          <w:rFonts w:asciiTheme="minorEastAsia" w:hAnsiTheme="minorEastAsia" w:eastAsiaTheme="minorEastAsia" w:cstheme="minorEastAsia"/>
          <w:sz w:val="24"/>
        </w:rPr>
      </w:pPr>
      <w:r>
        <w:rPr>
          <w:rFonts w:hint="eastAsia" w:asciiTheme="minorEastAsia" w:hAnsiTheme="minorEastAsia" w:eastAsiaTheme="minorEastAsia" w:cstheme="minorEastAsia"/>
          <w:snapToGrid w:val="0"/>
          <w:kern w:val="0"/>
          <w:sz w:val="24"/>
        </w:rPr>
        <w:t xml:space="preserve">                                  </w:t>
      </w:r>
    </w:p>
    <w:p>
      <w:pPr>
        <w:pStyle w:val="16"/>
        <w:spacing w:line="360" w:lineRule="auto"/>
        <w:ind w:left="178" w:leftChars="85"/>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日  期： 二○   年   月    日         日   期：二○   年   月   日</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p>
    <w:p>
      <w:pPr>
        <w:pStyle w:val="4"/>
        <w:numPr>
          <w:ilvl w:val="0"/>
          <w:numId w:val="4"/>
        </w:numPr>
        <w:jc w:val="center"/>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竞争性磋商响应文件格式</w:t>
      </w:r>
      <w:bookmarkEnd w:id="125"/>
    </w:p>
    <w:p>
      <w:pPr>
        <w:autoSpaceDE w:val="0"/>
        <w:autoSpaceDN w:val="0"/>
        <w:adjustRightInd w:val="0"/>
        <w:rPr>
          <w:rFonts w:asciiTheme="minorEastAsia" w:hAnsiTheme="minorEastAsia" w:eastAsiaTheme="minorEastAsia" w:cstheme="minorEastAsia"/>
        </w:rPr>
      </w:pPr>
      <w:r>
        <w:rPr>
          <w:rFonts w:hint="eastAsia" w:asciiTheme="minorEastAsia" w:hAnsiTheme="minorEastAsia" w:eastAsiaTheme="minorEastAsia" w:cstheme="minorEastAsia"/>
        </w:rPr>
        <w:t>封面：</w:t>
      </w:r>
    </w:p>
    <w:p>
      <w:pPr>
        <w:autoSpaceDE w:val="0"/>
        <w:autoSpaceDN w:val="0"/>
        <w:adjustRightInd w:val="0"/>
        <w:rPr>
          <w:rFonts w:asciiTheme="minorEastAsia" w:hAnsiTheme="minorEastAsia" w:eastAsiaTheme="minorEastAsia" w:cstheme="minorEastAsia"/>
        </w:rPr>
      </w:pPr>
    </w:p>
    <w:p>
      <w:pPr>
        <w:autoSpaceDE w:val="0"/>
        <w:autoSpaceDN w:val="0"/>
        <w:adjustRightInd w:val="0"/>
        <w:rPr>
          <w:rFonts w:asciiTheme="minorEastAsia" w:hAnsiTheme="minorEastAsia" w:eastAsiaTheme="minorEastAsia" w:cstheme="minorEastAsia"/>
        </w:rPr>
      </w:pPr>
    </w:p>
    <w:p>
      <w:pPr>
        <w:autoSpaceDE w:val="0"/>
        <w:autoSpaceDN w:val="0"/>
        <w:adjustRightInd w:val="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政府采购</w:t>
      </w:r>
    </w:p>
    <w:p>
      <w:pPr>
        <w:autoSpaceDE w:val="0"/>
        <w:autoSpaceDN w:val="0"/>
        <w:adjustRightInd w:val="0"/>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响 应 文 件</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（正本/副本）</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项目编号：</w:t>
      </w:r>
      <w:r>
        <w:rPr>
          <w:rFonts w:hint="eastAsia" w:asciiTheme="minorEastAsia" w:hAnsiTheme="minorEastAsia" w:eastAsiaTheme="minorEastAsia" w:cstheme="minorEastAsia"/>
          <w:b/>
          <w:bCs/>
          <w:sz w:val="30"/>
          <w:szCs w:val="30"/>
          <w:u w:val="single"/>
        </w:rPr>
        <w:t xml:space="preserve">                            </w:t>
      </w:r>
    </w:p>
    <w:p>
      <w:pPr>
        <w:tabs>
          <w:tab w:val="left" w:pos="7230"/>
        </w:tabs>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项目名称：</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ind w:firstLine="1190" w:firstLineChars="395"/>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预算执行计划： </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spacing w:line="360" w:lineRule="auto"/>
        <w:ind w:firstLine="1260" w:firstLineChars="450"/>
        <w:rPr>
          <w:rFonts w:asciiTheme="minorEastAsia" w:hAnsiTheme="minorEastAsia" w:eastAsiaTheme="minorEastAsia" w:cstheme="minorEastAsia"/>
          <w:b/>
          <w:bCs/>
          <w:sz w:val="32"/>
          <w:u w:val="single"/>
        </w:rPr>
      </w:pPr>
      <w:r>
        <w:rPr>
          <w:rFonts w:hint="eastAsia" w:asciiTheme="minorEastAsia" w:hAnsiTheme="minorEastAsia" w:eastAsiaTheme="minorEastAsia" w:cstheme="minorEastAsia"/>
          <w:sz w:val="28"/>
          <w:szCs w:val="28"/>
        </w:rPr>
        <w:t>磋商供应商名称（盖章）：</w:t>
      </w:r>
      <w:r>
        <w:rPr>
          <w:rFonts w:hint="eastAsia" w:asciiTheme="minorEastAsia" w:hAnsiTheme="minorEastAsia" w:eastAsiaTheme="minorEastAsia" w:cstheme="minorEastAsia"/>
          <w:b/>
          <w:bCs/>
          <w:sz w:val="32"/>
          <w:u w:val="single"/>
        </w:rPr>
        <w:t xml:space="preserve">                    </w:t>
      </w:r>
      <w:bookmarkStart w:id="126" w:name="_Toc5751"/>
      <w:bookmarkStart w:id="127" w:name="_Toc23858"/>
    </w:p>
    <w:p>
      <w:pPr>
        <w:autoSpaceDE w:val="0"/>
        <w:autoSpaceDN w:val="0"/>
        <w:adjustRightInd w:val="0"/>
        <w:spacing w:line="360" w:lineRule="auto"/>
        <w:ind w:firstLine="1260" w:firstLineChars="4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bookmarkEnd w:id="126"/>
    <w:bookmarkEnd w:id="127"/>
    <w:p>
      <w:pPr>
        <w:autoSpaceDE w:val="0"/>
        <w:autoSpaceDN w:val="0"/>
        <w:adjustRightInd w:val="0"/>
        <w:spacing w:line="360" w:lineRule="auto"/>
        <w:jc w:val="center"/>
        <w:rPr>
          <w:rFonts w:asciiTheme="minorEastAsia" w:hAnsiTheme="minorEastAsia" w:eastAsiaTheme="minorEastAsia" w:cstheme="minorEastAsia"/>
          <w:b/>
          <w:bCs/>
          <w:sz w:val="24"/>
        </w:rPr>
      </w:pPr>
      <w:bookmarkStart w:id="128" w:name="_Toc360174584"/>
      <w:bookmarkStart w:id="129" w:name="_Toc264644272"/>
      <w:bookmarkStart w:id="130" w:name="_Toc533330957"/>
      <w:bookmarkStart w:id="131" w:name="_Toc11320441"/>
      <w:bookmarkStart w:id="132" w:name="_Toc211783342"/>
      <w:bookmarkStart w:id="133" w:name="_Toc533331084"/>
      <w:r>
        <w:rPr>
          <w:rFonts w:hint="eastAsia" w:asciiTheme="minorEastAsia" w:hAnsiTheme="minorEastAsia" w:eastAsiaTheme="minorEastAsia" w:cstheme="minorEastAsia"/>
          <w:b/>
          <w:bCs/>
          <w:sz w:val="24"/>
        </w:rPr>
        <w:br w:type="page"/>
      </w:r>
      <w:r>
        <w:rPr>
          <w:rFonts w:hint="eastAsia" w:asciiTheme="minorEastAsia" w:hAnsiTheme="minorEastAsia" w:eastAsiaTheme="minorEastAsia" w:cstheme="minorEastAsia"/>
          <w:b/>
          <w:bCs/>
          <w:sz w:val="24"/>
        </w:rPr>
        <w:t>响应文件目录</w:t>
      </w:r>
      <w:bookmarkEnd w:id="128"/>
      <w:bookmarkEnd w:id="129"/>
    </w:p>
    <w:p>
      <w:pPr>
        <w:autoSpaceDE w:val="0"/>
        <w:autoSpaceDN w:val="0"/>
        <w:adjustRightInd w:val="0"/>
        <w:rPr>
          <w:rFonts w:asciiTheme="minorEastAsia" w:hAnsiTheme="minorEastAsia" w:eastAsiaTheme="minorEastAsia" w:cstheme="minorEastAsia"/>
          <w:b/>
          <w:bCs/>
          <w:szCs w:val="21"/>
        </w:rPr>
      </w:pPr>
    </w:p>
    <w:p>
      <w:pPr>
        <w:autoSpaceDE w:val="0"/>
        <w:autoSpaceDN w:val="0"/>
        <w:adjustRightInd w:val="0"/>
        <w:spacing w:line="360" w:lineRule="auto"/>
        <w:rPr>
          <w:rFonts w:ascii="宋体" w:hAnsi="宋体" w:cs="宋体"/>
          <w:b/>
          <w:szCs w:val="21"/>
        </w:rPr>
      </w:pPr>
      <w:r>
        <w:rPr>
          <w:rFonts w:hint="eastAsia" w:ascii="宋体" w:hAnsi="宋体" w:cs="宋体"/>
          <w:b/>
          <w:szCs w:val="21"/>
        </w:rPr>
        <w:t>注：响应文件目录及内容每页须顺序编写页码。</w:t>
      </w:r>
    </w:p>
    <w:p>
      <w:pPr>
        <w:autoSpaceDE w:val="0"/>
        <w:autoSpaceDN w:val="0"/>
        <w:adjustRightInd w:val="0"/>
        <w:spacing w:line="360" w:lineRule="auto"/>
        <w:jc w:val="center"/>
        <w:outlineLvl w:val="1"/>
        <w:rPr>
          <w:rFonts w:ascii="宋体" w:hAnsi="宋体" w:cs="宋体"/>
          <w:b/>
          <w:szCs w:val="21"/>
        </w:rPr>
      </w:pPr>
      <w:bookmarkStart w:id="134" w:name="_Toc14065"/>
      <w:r>
        <w:rPr>
          <w:rFonts w:hint="eastAsia" w:ascii="宋体" w:hAnsi="宋体" w:cs="宋体"/>
          <w:b/>
          <w:szCs w:val="21"/>
        </w:rPr>
        <w:br w:type="textWrapping"/>
      </w:r>
      <w:r>
        <w:rPr>
          <w:rFonts w:hint="eastAsia" w:ascii="宋体" w:hAnsi="宋体" w:cs="宋体"/>
          <w:b/>
          <w:szCs w:val="21"/>
        </w:rPr>
        <w:t>一、评分标准索引表</w:t>
      </w:r>
      <w:bookmarkEnd w:id="134"/>
    </w:p>
    <w:tbl>
      <w:tblPr>
        <w:tblStyle w:val="2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825"/>
        <w:gridCol w:w="11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类别</w:t>
            </w:r>
          </w:p>
        </w:tc>
        <w:tc>
          <w:tcPr>
            <w:tcW w:w="1285"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评审因素</w:t>
            </w:r>
          </w:p>
        </w:tc>
        <w:tc>
          <w:tcPr>
            <w:tcW w:w="5358"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评审标准</w:t>
            </w:r>
          </w:p>
        </w:tc>
        <w:tc>
          <w:tcPr>
            <w:tcW w:w="825"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分值</w:t>
            </w:r>
          </w:p>
        </w:tc>
        <w:tc>
          <w:tcPr>
            <w:tcW w:w="1133"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对应页码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vAlign w:val="center"/>
          </w:tcPr>
          <w:p>
            <w:pPr>
              <w:widowControl/>
              <w:spacing w:line="360" w:lineRule="auto"/>
              <w:jc w:val="center"/>
              <w:textAlignment w:val="center"/>
              <w:rPr>
                <w:rFonts w:ascii="宋体" w:hAnsi="宋体" w:cs="宋体"/>
                <w:spacing w:val="-6"/>
                <w:szCs w:val="21"/>
              </w:rPr>
            </w:pPr>
          </w:p>
        </w:tc>
        <w:tc>
          <w:tcPr>
            <w:tcW w:w="1285" w:type="dxa"/>
            <w:vAlign w:val="center"/>
          </w:tcPr>
          <w:p>
            <w:pPr>
              <w:widowControl/>
              <w:spacing w:line="360" w:lineRule="auto"/>
              <w:jc w:val="center"/>
              <w:textAlignment w:val="center"/>
              <w:rPr>
                <w:rFonts w:ascii="宋体" w:hAnsi="宋体" w:cs="宋体"/>
                <w:spacing w:val="-6"/>
                <w:szCs w:val="21"/>
              </w:rPr>
            </w:pPr>
          </w:p>
        </w:tc>
        <w:tc>
          <w:tcPr>
            <w:tcW w:w="5358" w:type="dxa"/>
            <w:vAlign w:val="center"/>
          </w:tcPr>
          <w:p>
            <w:pPr>
              <w:widowControl/>
              <w:spacing w:line="360" w:lineRule="auto"/>
              <w:jc w:val="left"/>
              <w:textAlignment w:val="center"/>
              <w:rPr>
                <w:rFonts w:ascii="宋体" w:hAnsi="宋体" w:cs="宋体"/>
                <w:szCs w:val="21"/>
              </w:rPr>
            </w:pPr>
          </w:p>
        </w:tc>
        <w:tc>
          <w:tcPr>
            <w:tcW w:w="825" w:type="dxa"/>
            <w:vAlign w:val="center"/>
          </w:tcPr>
          <w:p>
            <w:pPr>
              <w:widowControl/>
              <w:spacing w:line="360" w:lineRule="auto"/>
              <w:jc w:val="center"/>
              <w:textAlignment w:val="center"/>
              <w:rPr>
                <w:rFonts w:ascii="宋体" w:hAnsi="宋体" w:cs="宋体"/>
                <w:szCs w:val="21"/>
              </w:rPr>
            </w:pPr>
          </w:p>
        </w:tc>
        <w:tc>
          <w:tcPr>
            <w:tcW w:w="1133" w:type="dxa"/>
            <w:vAlign w:val="center"/>
          </w:tcPr>
          <w:p>
            <w:pPr>
              <w:widowControl/>
              <w:spacing w:line="360" w:lineRule="auto"/>
              <w:jc w:val="center"/>
              <w:textAlignment w:val="center"/>
              <w:rPr>
                <w:rFonts w:ascii="宋体" w:hAnsi="宋体" w:cs="宋体"/>
                <w:color w:val="FF0000"/>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color w:val="000000"/>
                <w:spacing w:val="-6"/>
                <w:szCs w:val="21"/>
              </w:rPr>
            </w:pPr>
          </w:p>
        </w:tc>
        <w:tc>
          <w:tcPr>
            <w:tcW w:w="5358"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825"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1133" w:type="dxa"/>
            <w:vAlign w:val="center"/>
          </w:tcPr>
          <w:p>
            <w:pPr>
              <w:autoSpaceDE w:val="0"/>
              <w:autoSpaceDN w:val="0"/>
              <w:adjustRightInd w:val="0"/>
              <w:spacing w:line="360" w:lineRule="auto"/>
              <w:ind w:right="71" w:rightChars="34"/>
              <w:rPr>
                <w:rFonts w:ascii="宋体" w:hAnsi="宋体" w:cs="宋体"/>
                <w:color w:val="000000"/>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bottom w:val="single" w:color="auto" w:sz="4" w:space="0"/>
            </w:tcBorders>
            <w:vAlign w:val="center"/>
          </w:tcPr>
          <w:p>
            <w:pPr>
              <w:spacing w:line="360" w:lineRule="auto"/>
              <w:rPr>
                <w:rFonts w:ascii="宋体" w:hAnsi="宋体" w:cs="宋体"/>
                <w:spacing w:val="-6"/>
                <w:kern w:val="0"/>
                <w:szCs w:val="21"/>
              </w:rPr>
            </w:pPr>
          </w:p>
        </w:tc>
        <w:tc>
          <w:tcPr>
            <w:tcW w:w="5358"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top w:val="single" w:color="auto" w:sz="4" w:space="0"/>
            </w:tcBorders>
            <w:vAlign w:val="center"/>
          </w:tcPr>
          <w:p>
            <w:pPr>
              <w:spacing w:line="360" w:lineRule="auto"/>
              <w:rPr>
                <w:rFonts w:ascii="宋体" w:hAnsi="宋体" w:cs="宋体"/>
                <w:spacing w:val="-6"/>
                <w:kern w:val="0"/>
                <w:szCs w:val="21"/>
              </w:rPr>
            </w:pPr>
          </w:p>
        </w:tc>
        <w:tc>
          <w:tcPr>
            <w:tcW w:w="5358"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ind w:left="-4" w:leftChars="-2" w:firstLine="2" w:firstLineChars="1"/>
              <w:rPr>
                <w:rFonts w:ascii="宋体" w:hAnsi="宋体" w:cs="宋体"/>
                <w:szCs w:val="21"/>
              </w:rPr>
            </w:pPr>
          </w:p>
        </w:tc>
        <w:tc>
          <w:tcPr>
            <w:tcW w:w="1285" w:type="dxa"/>
            <w:vAlign w:val="center"/>
          </w:tcPr>
          <w:p>
            <w:pPr>
              <w:spacing w:line="360" w:lineRule="auto"/>
              <w:ind w:left="-4" w:leftChars="-2" w:firstLine="2" w:firstLineChars="1"/>
              <w:rPr>
                <w:rFonts w:ascii="宋体" w:hAnsi="宋体" w:cs="宋体"/>
                <w:szCs w:val="21"/>
              </w:rPr>
            </w:pPr>
          </w:p>
        </w:tc>
        <w:tc>
          <w:tcPr>
            <w:tcW w:w="5358" w:type="dxa"/>
            <w:vAlign w:val="center"/>
          </w:tcPr>
          <w:p>
            <w:pPr>
              <w:spacing w:line="360" w:lineRule="auto"/>
              <w:ind w:left="-4" w:leftChars="-2" w:firstLine="2" w:firstLineChars="1"/>
              <w:rPr>
                <w:rFonts w:ascii="宋体" w:hAnsi="宋体" w:cs="宋体"/>
                <w:szCs w:val="21"/>
              </w:rPr>
            </w:pPr>
          </w:p>
        </w:tc>
        <w:tc>
          <w:tcPr>
            <w:tcW w:w="825" w:type="dxa"/>
            <w:vAlign w:val="center"/>
          </w:tcPr>
          <w:p>
            <w:pPr>
              <w:spacing w:line="360" w:lineRule="auto"/>
              <w:ind w:left="-4" w:leftChars="-2" w:firstLine="2" w:firstLineChars="1"/>
              <w:rPr>
                <w:rFonts w:ascii="宋体" w:hAnsi="宋体" w:cs="宋体"/>
                <w:szCs w:val="21"/>
              </w:rPr>
            </w:pPr>
          </w:p>
        </w:tc>
        <w:tc>
          <w:tcPr>
            <w:tcW w:w="1133" w:type="dxa"/>
            <w:vAlign w:val="center"/>
          </w:tcPr>
          <w:p>
            <w:pPr>
              <w:spacing w:line="360" w:lineRule="auto"/>
              <w:ind w:left="-4" w:leftChars="-2" w:firstLine="2" w:firstLineChars="1"/>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rPr>
                <w:rFonts w:ascii="宋体" w:hAnsi="宋体" w:cs="宋体"/>
                <w:spacing w:val="-6"/>
                <w:kern w:val="0"/>
                <w:szCs w:val="21"/>
              </w:rPr>
            </w:pPr>
          </w:p>
        </w:tc>
        <w:tc>
          <w:tcPr>
            <w:tcW w:w="825" w:type="dxa"/>
            <w:vAlign w:val="center"/>
          </w:tcPr>
          <w:p>
            <w:pPr>
              <w:autoSpaceDE w:val="0"/>
              <w:autoSpaceDN w:val="0"/>
              <w:adjustRightInd w:val="0"/>
              <w:spacing w:line="360" w:lineRule="auto"/>
              <w:rPr>
                <w:rFonts w:ascii="宋体" w:hAnsi="宋体" w:cs="宋体"/>
                <w:spacing w:val="-6"/>
                <w:kern w:val="0"/>
                <w:szCs w:val="21"/>
              </w:rPr>
            </w:pPr>
          </w:p>
        </w:tc>
        <w:tc>
          <w:tcPr>
            <w:tcW w:w="1133" w:type="dxa"/>
            <w:vAlign w:val="center"/>
          </w:tcPr>
          <w:p>
            <w:pPr>
              <w:autoSpaceDE w:val="0"/>
              <w:autoSpaceDN w:val="0"/>
              <w:adjustRightInd w:val="0"/>
              <w:spacing w:line="360" w:lineRule="auto"/>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bl>
    <w:p>
      <w:pPr>
        <w:autoSpaceDE w:val="0"/>
        <w:autoSpaceDN w:val="0"/>
        <w:adjustRightInd w:val="0"/>
        <w:spacing w:line="480" w:lineRule="auto"/>
        <w:rPr>
          <w:rFonts w:asciiTheme="minorEastAsia" w:hAnsiTheme="minorEastAsia" w:eastAsiaTheme="minorEastAsia" w:cstheme="minorEastAsia"/>
          <w:b/>
        </w:rPr>
      </w:pPr>
    </w:p>
    <w:p>
      <w:pPr>
        <w:adjustRightInd w:val="0"/>
        <w:snapToGrid w:val="0"/>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rPr>
        <w:br w:type="textWrapping"/>
      </w:r>
    </w:p>
    <w:p>
      <w:pPr>
        <w:adjustRightInd w:val="0"/>
        <w:snapToGrid w:val="0"/>
        <w:spacing w:line="480" w:lineRule="auto"/>
        <w:jc w:val="center"/>
        <w:outlineLvl w:val="1"/>
        <w:rPr>
          <w:rFonts w:asciiTheme="minorEastAsia" w:hAnsiTheme="minorEastAsia" w:eastAsiaTheme="minorEastAsia" w:cstheme="minorEastAsia"/>
          <w:b/>
        </w:rPr>
      </w:pPr>
      <w:bookmarkStart w:id="135" w:name="_Toc30144"/>
      <w:bookmarkStart w:id="136" w:name="_Toc479184125"/>
      <w:bookmarkStart w:id="137" w:name="_Toc8850"/>
      <w:bookmarkStart w:id="138" w:name="_Toc15789"/>
      <w:r>
        <w:rPr>
          <w:rFonts w:hint="eastAsia" w:asciiTheme="minorEastAsia" w:hAnsiTheme="minorEastAsia" w:eastAsiaTheme="minorEastAsia" w:cstheme="minorEastAsia"/>
          <w:b/>
        </w:rPr>
        <w:t>二、磋商书</w:t>
      </w:r>
      <w:bookmarkEnd w:id="135"/>
      <w:bookmarkEnd w:id="136"/>
      <w:bookmarkEnd w:id="137"/>
      <w:bookmarkEnd w:id="138"/>
    </w:p>
    <w:p>
      <w:pPr>
        <w:pStyle w:val="20"/>
        <w:rPr>
          <w:rFonts w:asciiTheme="minorEastAsia" w:hAnsiTheme="minorEastAsia" w:eastAsiaTheme="minorEastAsia" w:cstheme="minorEastAsia"/>
          <w:b/>
          <w:szCs w:val="21"/>
        </w:rPr>
      </w:pPr>
    </w:p>
    <w:p>
      <w:pPr>
        <w:autoSpaceDE w:val="0"/>
        <w:autoSpaceDN w:val="0"/>
        <w:adjustRightInd w:val="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u w:val="single"/>
        </w:rPr>
        <w:t>（政府采购代理机构）：</w:t>
      </w:r>
    </w:p>
    <w:p>
      <w:pPr>
        <w:autoSpaceDE w:val="0"/>
        <w:autoSpaceDN w:val="0"/>
        <w:adjustRightInd w:val="0"/>
        <w:ind w:left="2" w:firstLine="462" w:firstLineChars="2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依据贵方（项目名称/项目编号）项目第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包货物的磋商邀请，我方代表（姓名、职务）经正式授权并代表供应商（供应商的名称、地址）提交下述文件正本一份，副本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份。</w:t>
      </w:r>
    </w:p>
    <w:p>
      <w:pPr>
        <w:numPr>
          <w:ilvl w:val="1"/>
          <w:numId w:val="41"/>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竞争性磋商响应文件；</w:t>
      </w:r>
    </w:p>
    <w:p>
      <w:pPr>
        <w:numPr>
          <w:ilvl w:val="1"/>
          <w:numId w:val="41"/>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资格证明文件；</w:t>
      </w:r>
    </w:p>
    <w:p>
      <w:pPr>
        <w:numPr>
          <w:ilvl w:val="1"/>
          <w:numId w:val="41"/>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按采购的规定递交</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元（人民币大写）的保证金（如有）。</w:t>
      </w:r>
    </w:p>
    <w:p>
      <w:pPr>
        <w:autoSpaceDE w:val="0"/>
        <w:autoSpaceDN w:val="0"/>
        <w:adjustRightInd w:val="0"/>
        <w:ind w:firstLine="422" w:firstLineChars="2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并进行如下承诺声明：</w:t>
      </w:r>
    </w:p>
    <w:p>
      <w:pPr>
        <w:numPr>
          <w:ilvl w:val="0"/>
          <w:numId w:val="42"/>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zh-CN"/>
        </w:rPr>
        <w:t>我公司在参加本次政府采购活动前</w:t>
      </w:r>
      <w:r>
        <w:rPr>
          <w:rFonts w:hint="eastAsia" w:asciiTheme="minorEastAsia" w:hAnsiTheme="minorEastAsia" w:eastAsiaTheme="minorEastAsia" w:cstheme="minorEastAsia"/>
          <w:kern w:val="0"/>
          <w:szCs w:val="21"/>
        </w:rPr>
        <w:t>3年内在经营活动中没有重大违法记录；</w:t>
      </w:r>
    </w:p>
    <w:p>
      <w:pPr>
        <w:numPr>
          <w:ilvl w:val="0"/>
          <w:numId w:val="42"/>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我公司在本响应文件中所提供的全部资格证明文件均真实有效，我方承诺对其真实性负责并承担相应后果；</w:t>
      </w:r>
    </w:p>
    <w:p>
      <w:pPr>
        <w:numPr>
          <w:ilvl w:val="0"/>
          <w:numId w:val="42"/>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我公司在本响应文件中所响应的内容均将成为签订合同的依据，并承诺按响应内容提供相应服务；</w:t>
      </w:r>
    </w:p>
    <w:p>
      <w:pPr>
        <w:numPr>
          <w:ilvl w:val="0"/>
          <w:numId w:val="42"/>
        </w:numPr>
        <w:tabs>
          <w:tab w:val="left" w:pos="840"/>
        </w:tabs>
        <w:autoSpaceDE w:val="0"/>
        <w:autoSpaceDN w:val="0"/>
        <w:adjustRightInd w:val="0"/>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重要声明：</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4.1</w:t>
      </w:r>
      <w:r>
        <w:rPr>
          <w:rFonts w:hint="eastAsia" w:asciiTheme="minorEastAsia" w:hAnsiTheme="minorEastAsia" w:eastAsiaTheme="minorEastAsia" w:cstheme="minorEastAsia"/>
        </w:rPr>
        <w:t>与我方单位负责人为同一人的其他单位名称：□无；□有，具体单位名称为：</w:t>
      </w:r>
      <w:r>
        <w:rPr>
          <w:rFonts w:hint="eastAsia" w:asciiTheme="minorEastAsia" w:hAnsiTheme="minorEastAsia" w:eastAsiaTheme="minorEastAsia" w:cstheme="minorEastAsia"/>
          <w:u w:val="single"/>
        </w:rPr>
        <w:t>     </w:t>
      </w:r>
      <w:r>
        <w:rPr>
          <w:rFonts w:hint="eastAsia" w:asciiTheme="minorEastAsia" w:hAnsiTheme="minorEastAsia" w:eastAsiaTheme="minorEastAsia" w:cstheme="minorEastAsia"/>
        </w:rPr>
        <w:t xml:space="preserve">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4.2与我方存在控股、管理关系的其他单位的名称：□无；□有，具体单位名称为：</w:t>
      </w:r>
      <w:r>
        <w:rPr>
          <w:rFonts w:hint="eastAsia" w:asciiTheme="minorEastAsia" w:hAnsiTheme="minorEastAsia" w:eastAsiaTheme="minorEastAsia" w:cstheme="minorEastAsia"/>
          <w:u w:val="single"/>
        </w:rPr>
        <w:t>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u w:val="single"/>
        </w:rPr>
        <w:t>     </w:t>
      </w:r>
    </w:p>
    <w:p>
      <w:r>
        <w:rPr>
          <w:rFonts w:hint="eastAsia" w:asciiTheme="minorEastAsia" w:hAnsiTheme="minorEastAsia" w:eastAsiaTheme="minorEastAsia" w:cstheme="minorEastAsia"/>
          <w:b/>
          <w:bCs/>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在此，我方宣布同意如下：</w:t>
      </w:r>
    </w:p>
    <w:p>
      <w:pPr>
        <w:numPr>
          <w:ilvl w:val="6"/>
          <w:numId w:val="43"/>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所附《报价一览表》中规定的应提交和交付的货物报价总价为</w:t>
      </w:r>
      <w:r>
        <w:rPr>
          <w:rFonts w:hint="eastAsia" w:asciiTheme="minorEastAsia" w:hAnsiTheme="minorEastAsia" w:eastAsiaTheme="minorEastAsia" w:cstheme="minorEastAsia"/>
          <w:kern w:val="0"/>
          <w:szCs w:val="21"/>
          <w:u w:val="single"/>
        </w:rPr>
        <w:t>（注明币种，并用文字和数字表示的报价总价）</w:t>
      </w:r>
      <w:r>
        <w:rPr>
          <w:rFonts w:hint="eastAsia" w:asciiTheme="minorEastAsia" w:hAnsiTheme="minorEastAsia" w:eastAsiaTheme="minorEastAsia" w:cstheme="minorEastAsia"/>
          <w:kern w:val="0"/>
          <w:szCs w:val="21"/>
        </w:rPr>
        <w:t>。</w:t>
      </w:r>
    </w:p>
    <w:p>
      <w:pPr>
        <w:numPr>
          <w:ilvl w:val="6"/>
          <w:numId w:val="43"/>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将按竞争性磋商采购文件的约定履行合同责任和义务。</w:t>
      </w:r>
    </w:p>
    <w:p>
      <w:pPr>
        <w:numPr>
          <w:ilvl w:val="6"/>
          <w:numId w:val="43"/>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已详细审查全部竞争性磋商采购文件，包括</w:t>
      </w:r>
      <w:r>
        <w:rPr>
          <w:rFonts w:hint="eastAsia" w:asciiTheme="minorEastAsia" w:hAnsiTheme="minorEastAsia" w:eastAsiaTheme="minorEastAsia" w:cstheme="minorEastAsia"/>
          <w:kern w:val="0"/>
          <w:szCs w:val="21"/>
          <w:u w:val="single"/>
        </w:rPr>
        <w:t>（补充文件等）</w:t>
      </w:r>
      <w:r>
        <w:rPr>
          <w:rFonts w:hint="eastAsia" w:asciiTheme="minorEastAsia" w:hAnsiTheme="minorEastAsia" w:eastAsiaTheme="minorEastAsia" w:cstheme="minorEastAsia"/>
          <w:kern w:val="0"/>
          <w:szCs w:val="21"/>
        </w:rPr>
        <w:t>，对此无异议。</w:t>
      </w:r>
    </w:p>
    <w:p>
      <w:pPr>
        <w:numPr>
          <w:ilvl w:val="6"/>
          <w:numId w:val="43"/>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本竞争性磋商响应文件的有效期自磋商截止时间起共</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日历天。</w:t>
      </w:r>
    </w:p>
    <w:p>
      <w:pPr>
        <w:numPr>
          <w:ilvl w:val="6"/>
          <w:numId w:val="43"/>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接收竞争性磋商采购文件中关于没收保证金的约定。</w:t>
      </w:r>
    </w:p>
    <w:p>
      <w:pPr>
        <w:numPr>
          <w:ilvl w:val="6"/>
          <w:numId w:val="43"/>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同意提供按照贵方可能要求的与其报价有关的一切数据或资料。</w:t>
      </w:r>
    </w:p>
    <w:p>
      <w:pPr>
        <w:numPr>
          <w:ilvl w:val="6"/>
          <w:numId w:val="43"/>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与本报价有关的一切正式往来信函请寄：</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w:t>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t xml:space="preserve">    8.  我公司若有幸成为本项目的成交供应商，则我公司承诺按照采购文件及成交结果公告规定的方式、时间和金额向采购代理机构交纳成交服务费。</w:t>
      </w:r>
    </w:p>
    <w:p>
      <w:pPr>
        <w:autoSpaceDE w:val="0"/>
        <w:autoSpaceDN w:val="0"/>
        <w:adjustRightInd w:val="0"/>
        <w:ind w:firstLine="420" w:firstLineChars="200"/>
        <w:jc w:val="left"/>
        <w:rPr>
          <w:rFonts w:asciiTheme="minorEastAsia" w:hAnsiTheme="minorEastAsia" w:eastAsiaTheme="minorEastAsia" w:cstheme="minorEastAsia"/>
          <w:kern w:val="0"/>
          <w:szCs w:val="21"/>
        </w:rPr>
      </w:pP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    应    商：（盖章）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通  讯  地  址：</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传        　真：</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话：</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子  函  件：</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授权代表（签字）：</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日         期：</w:t>
      </w:r>
    </w:p>
    <w:p>
      <w:pPr>
        <w:tabs>
          <w:tab w:val="left" w:pos="540"/>
        </w:tabs>
        <w:autoSpaceDE w:val="0"/>
        <w:autoSpaceDN w:val="0"/>
        <w:adjustRightInd w:val="0"/>
        <w:jc w:val="center"/>
        <w:outlineLvl w:val="1"/>
        <w:rPr>
          <w:rFonts w:asciiTheme="minorEastAsia" w:hAnsiTheme="minorEastAsia" w:eastAsiaTheme="minorEastAsia" w:cstheme="minorEastAsia"/>
          <w:b/>
        </w:rPr>
      </w:pPr>
      <w:bookmarkStart w:id="139" w:name="_Toc24205"/>
      <w:bookmarkStart w:id="140" w:name="_Toc479184126"/>
      <w:bookmarkStart w:id="141" w:name="_Toc24882"/>
      <w:bookmarkStart w:id="142" w:name="_Toc13969"/>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t>三、法定代表人授权书</w:t>
      </w:r>
      <w:bookmarkEnd w:id="139"/>
      <w:bookmarkEnd w:id="140"/>
      <w:bookmarkEnd w:id="141"/>
      <w:bookmarkEnd w:id="142"/>
    </w:p>
    <w:p>
      <w:pPr>
        <w:rPr>
          <w:rFonts w:asciiTheme="minorEastAsia" w:hAnsiTheme="minorEastAsia" w:eastAsiaTheme="minorEastAsia" w:cstheme="minorEastAsia"/>
          <w:kern w:val="0"/>
          <w:szCs w:val="21"/>
        </w:rPr>
      </w:pPr>
    </w:p>
    <w:p>
      <w:pPr>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兹授权</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同志为我公司参加贵单位组织的</w:t>
      </w:r>
      <w:r>
        <w:rPr>
          <w:rFonts w:hint="eastAsia" w:asciiTheme="minorEastAsia" w:hAnsiTheme="minorEastAsia" w:eastAsiaTheme="minorEastAsia" w:cstheme="minorEastAsia"/>
          <w:kern w:val="0"/>
          <w:szCs w:val="21"/>
          <w:u w:val="single"/>
        </w:rPr>
        <w:t>（项目名称）</w:t>
      </w:r>
      <w:r>
        <w:rPr>
          <w:rFonts w:hint="eastAsia" w:asciiTheme="minorEastAsia" w:hAnsiTheme="minorEastAsia" w:eastAsiaTheme="minorEastAsia" w:cstheme="minorEastAsia"/>
          <w:kern w:val="0"/>
          <w:szCs w:val="21"/>
        </w:rPr>
        <w:t>采购活动的供应商代表人（磋商代表），全权代表我公司处理在该项目采购活动中的一切事宜。代理期限从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日起至</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日止。</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授权单位（盖章）：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签发日期：</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日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附：</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授权代表职务：</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授权代表身份证号码：</w:t>
      </w:r>
      <w:r>
        <w:rPr>
          <w:rFonts w:hint="eastAsia" w:asciiTheme="minorEastAsia" w:hAnsiTheme="minorEastAsia" w:eastAsiaTheme="minorEastAsia" w:cstheme="minorEastAsia"/>
          <w:kern w:val="0"/>
          <w:szCs w:val="21"/>
          <w:u w:val="single"/>
        </w:rPr>
        <w:t xml:space="preserve">                                                                                    </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pPr>
              <w:autoSpaceDE w:val="0"/>
              <w:autoSpaceDN w:val="0"/>
              <w:adjustRightInd w:val="0"/>
              <w:spacing w:line="360" w:lineRule="auto"/>
              <w:jc w:val="left"/>
            </w:pPr>
            <w:r>
              <w:rPr>
                <w:rFonts w:hint="eastAsia"/>
              </w:rPr>
              <w:t>授权代表身份证正反面（真彩扫描件）：</w:t>
            </w:r>
          </w:p>
          <w:p>
            <w:pPr>
              <w:autoSpaceDE w:val="0"/>
              <w:autoSpaceDN w:val="0"/>
              <w:adjustRightInd w:val="0"/>
              <w:spacing w:line="360" w:lineRule="auto"/>
              <w:jc w:val="left"/>
            </w:pPr>
            <w:r>
              <w:rPr>
                <w:rFonts w:hint="eastAsia"/>
              </w:rPr>
              <w:t>法定代表人身份证正反面（真彩扫描件）：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pPr>
              <w:autoSpaceDE w:val="0"/>
              <w:autoSpaceDN w:val="0"/>
              <w:adjustRightInd w:val="0"/>
              <w:spacing w:line="360" w:lineRule="auto"/>
              <w:jc w:val="left"/>
            </w:pPr>
            <w:r>
              <w:rPr>
                <w:rFonts w:hint="eastAsia"/>
                <w:b/>
                <w:bCs/>
              </w:rPr>
              <w:t>注：如法定代表人直接参加磋商并签署响应文件，无须提供本授权书。</w:t>
            </w:r>
          </w:p>
        </w:tc>
      </w:tr>
    </w:tbl>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43" w:name="_Toc29904"/>
      <w:bookmarkStart w:id="144" w:name="_Toc30476"/>
      <w:bookmarkStart w:id="145" w:name="_Toc479184127"/>
      <w:bookmarkStart w:id="146" w:name="_Toc30245"/>
      <w:bookmarkStart w:id="147" w:name="_Toc432149008"/>
      <w:bookmarkStart w:id="148" w:name="_Toc19133"/>
      <w:bookmarkStart w:id="149" w:name="_Toc424832832"/>
      <w:bookmarkStart w:id="150" w:name="_Toc360120184"/>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t>四、</w:t>
      </w:r>
      <w:r>
        <w:rPr>
          <w:rFonts w:hint="eastAsia" w:asciiTheme="minorEastAsia" w:hAnsiTheme="minorEastAsia" w:eastAsiaTheme="minorEastAsia" w:cstheme="minorEastAsia"/>
          <w:b/>
          <w:bCs/>
          <w:szCs w:val="21"/>
        </w:rPr>
        <w:t>法定代表人身份证明书</w:t>
      </w:r>
      <w:bookmarkEnd w:id="143"/>
      <w:bookmarkEnd w:id="144"/>
      <w:bookmarkEnd w:id="145"/>
      <w:bookmarkEnd w:id="146"/>
      <w:bookmarkEnd w:id="147"/>
      <w:bookmarkEnd w:id="148"/>
      <w:bookmarkEnd w:id="149"/>
      <w:bookmarkEnd w:id="150"/>
    </w:p>
    <w:p>
      <w:pPr>
        <w:spacing w:line="360" w:lineRule="auto"/>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兹证明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（姓名）</w:t>
      </w:r>
      <w:r>
        <w:rPr>
          <w:rFonts w:hint="eastAsia" w:asciiTheme="minorEastAsia" w:hAnsiTheme="minorEastAsia" w:eastAsiaTheme="minorEastAsia" w:cstheme="minorEastAsia"/>
          <w:szCs w:val="21"/>
        </w:rPr>
        <w:t>在我单位任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职务</w:t>
      </w:r>
      <w:r>
        <w:rPr>
          <w:rFonts w:hint="eastAsia" w:asciiTheme="minorEastAsia" w:hAnsiTheme="minorEastAsia" w:eastAsiaTheme="minorEastAsia" w:cstheme="minorEastAsia"/>
          <w:kern w:val="0"/>
          <w:szCs w:val="21"/>
        </w:rPr>
        <w:t>，系</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（供应商）的法定代表人。</w:t>
      </w:r>
    </w:p>
    <w:p>
      <w:pPr>
        <w:spacing w:line="360" w:lineRule="auto"/>
        <w:ind w:firstLine="630" w:firstLineChars="300"/>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供应商（盖章）：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年龄：</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身份证号码：</w:t>
      </w:r>
      <w:r>
        <w:rPr>
          <w:rFonts w:hint="eastAsia" w:asciiTheme="minorEastAsia" w:hAnsiTheme="minorEastAsia" w:eastAsiaTheme="minorEastAsia" w:cstheme="minorEastAsia"/>
          <w:kern w:val="0"/>
          <w:szCs w:val="21"/>
          <w:u w:val="single"/>
        </w:rPr>
        <w:t xml:space="preserve">                  </w:t>
      </w:r>
    </w:p>
    <w:p>
      <w:pPr>
        <w:spacing w:line="360" w:lineRule="auto"/>
        <w:ind w:firstLine="5985" w:firstLineChars="285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w:t>
      </w: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pPr>
              <w:spacing w:line="360" w:lineRule="auto"/>
              <w:rPr>
                <w:rFonts w:asciiTheme="minorEastAsia" w:hAnsiTheme="minorEastAsia" w:eastAsiaTheme="minorEastAsia" w:cstheme="minorEastAsia"/>
                <w:kern w:val="0"/>
                <w:szCs w:val="21"/>
              </w:rPr>
            </w:pPr>
          </w:p>
          <w:p>
            <w:pPr>
              <w:spacing w:line="360" w:lineRule="auto"/>
              <w:rPr>
                <w:rFonts w:asciiTheme="minorEastAsia" w:hAnsiTheme="minorEastAsia" w:eastAsiaTheme="minorEastAsia" w:cstheme="minorEastAsia"/>
                <w:kern w:val="0"/>
                <w:szCs w:val="21"/>
              </w:rPr>
            </w:pPr>
            <w:r>
              <w:rPr>
                <w:rFonts w:hint="eastAsia"/>
              </w:rPr>
              <w:t>法定代表人身份证正反面（真彩扫描件）：</w:t>
            </w:r>
          </w:p>
        </w:tc>
      </w:tr>
    </w:tbl>
    <w:p>
      <w:pPr>
        <w:spacing w:line="360" w:lineRule="auto"/>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注：本表适用于供应商不授权代理人，而由法定代表人直接参加磋商并签署响应文件的情况；</w:t>
      </w:r>
    </w:p>
    <w:p>
      <w:pPr>
        <w:rPr>
          <w:rFonts w:asciiTheme="minorEastAsia" w:hAnsiTheme="minorEastAsia" w:eastAsiaTheme="minorEastAsia" w:cstheme="minorEastAsia"/>
          <w:b/>
          <w:kern w:val="0"/>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bCs/>
          <w:szCs w:val="21"/>
        </w:rPr>
      </w:pPr>
    </w:p>
    <w:p>
      <w:pPr>
        <w:tabs>
          <w:tab w:val="left" w:pos="3969"/>
        </w:tabs>
        <w:spacing w:line="500" w:lineRule="exac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51" w:name="_Toc432149006"/>
      <w:bookmarkStart w:id="152" w:name="_Toc422466732"/>
      <w:r>
        <w:rPr>
          <w:rFonts w:hint="eastAsia" w:asciiTheme="minorEastAsia" w:hAnsiTheme="minorEastAsia" w:eastAsiaTheme="minorEastAsia" w:cstheme="minorEastAsia"/>
          <w:b/>
          <w:bCs/>
          <w:sz w:val="24"/>
        </w:rPr>
        <w:br w:type="page"/>
      </w:r>
      <w:bookmarkStart w:id="153" w:name="_Toc4741"/>
      <w:bookmarkStart w:id="154" w:name="_Toc24587"/>
      <w:bookmarkStart w:id="155" w:name="_Toc479184128"/>
      <w:bookmarkStart w:id="156" w:name="_Toc4301"/>
      <w:r>
        <w:rPr>
          <w:rFonts w:hint="eastAsia" w:asciiTheme="minorEastAsia" w:hAnsiTheme="minorEastAsia" w:eastAsiaTheme="minorEastAsia" w:cstheme="minorEastAsia"/>
          <w:b/>
          <w:bCs/>
          <w:szCs w:val="21"/>
        </w:rPr>
        <w:t>五、报价一览表</w:t>
      </w:r>
      <w:bookmarkEnd w:id="151"/>
      <w:bookmarkEnd w:id="152"/>
      <w:bookmarkEnd w:id="153"/>
      <w:bookmarkEnd w:id="154"/>
      <w:bookmarkEnd w:id="155"/>
      <w:bookmarkEnd w:id="156"/>
    </w:p>
    <w:p>
      <w:pPr>
        <w:adjustRightInd w:val="0"/>
        <w:snapToGrid w:val="0"/>
        <w:ind w:left="-88" w:leftChars="-42"/>
        <w:rPr>
          <w:rFonts w:asciiTheme="minorEastAsia" w:hAnsiTheme="minorEastAsia" w:eastAsiaTheme="minorEastAsia" w:cstheme="minorEastAsia"/>
          <w:szCs w:val="21"/>
        </w:rPr>
      </w:pPr>
      <w:r>
        <w:rPr>
          <w:rFonts w:hint="eastAsia" w:asciiTheme="minorEastAsia" w:hAnsiTheme="minorEastAsia" w:eastAsiaTheme="minorEastAsia" w:cstheme="minorEastAsia"/>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tbl>
      <w:tblPr>
        <w:tblStyle w:val="26"/>
        <w:tblW w:w="85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8"/>
        <w:gridCol w:w="61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宋体" w:hAnsi="宋体"/>
                <w:szCs w:val="21"/>
              </w:rPr>
              <w:t>供应商地址</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竞标报价</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color w:val="FF0000"/>
                <w:szCs w:val="21"/>
                <w:u w:val="single"/>
              </w:rPr>
              <w:t xml:space="preserve">大写：      </w:t>
            </w:r>
            <w:r>
              <w:rPr>
                <w:rFonts w:hint="eastAsia" w:asciiTheme="minorEastAsia" w:hAnsiTheme="minorEastAsia" w:eastAsiaTheme="minorEastAsia" w:cstheme="minorEastAsia"/>
                <w:color w:val="FF0000"/>
                <w:szCs w:val="21"/>
              </w:rPr>
              <w:br w:type="textWrapping"/>
            </w:r>
            <w:r>
              <w:rPr>
                <w:rFonts w:hint="eastAsia" w:asciiTheme="minorEastAsia" w:hAnsiTheme="minorEastAsia" w:eastAsiaTheme="minorEastAsia" w:cstheme="minorEastAsia"/>
                <w:color w:val="FF0000"/>
                <w:szCs w:val="21"/>
                <w:u w:val="single"/>
              </w:rPr>
              <w:t xml:space="preserve">小写：      </w:t>
            </w:r>
            <w:r>
              <w:rPr>
                <w:rFonts w:hint="eastAsia" w:asciiTheme="minorEastAsia" w:hAnsiTheme="minorEastAsia" w:eastAsiaTheme="minorEastAsia" w:cstheme="minorEastAsia"/>
                <w:color w:val="FF0000"/>
                <w:szCs w:val="21"/>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主要产品概况</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color w:val="FF0000"/>
                <w:szCs w:val="21"/>
              </w:rPr>
            </w:pPr>
            <w:r>
              <w:rPr>
                <w:rFonts w:hint="eastAsia" w:asciiTheme="minorEastAsia" w:hAnsiTheme="minorEastAsia" w:eastAsiaTheme="minorEastAsia" w:cstheme="minorEastAsia"/>
                <w:bCs/>
                <w:color w:val="FF0000"/>
                <w:szCs w:val="21"/>
              </w:rPr>
              <w:t>请填写本项目主要产品的品牌、规格型号和制造商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交货期</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质保期/保修期</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优惠声明</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 xml:space="preserve">有；      </w:t>
            </w: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r>
              <w:rPr>
                <w:rFonts w:hint="eastAsia" w:asciiTheme="minorEastAsia" w:hAnsiTheme="minorEastAsia" w:eastAsiaTheme="minorEastAsia" w:cstheme="minorEastAsia"/>
                <w:szCs w:val="21"/>
              </w:rPr>
              <w:t>备注</w:t>
            </w:r>
          </w:p>
        </w:tc>
        <w:tc>
          <w:tcPr>
            <w:tcW w:w="6166" w:type="dxa"/>
            <w:tcBorders>
              <w:top w:val="single" w:color="auto" w:sz="4" w:space="0"/>
              <w:left w:val="single" w:color="auto" w:sz="4" w:space="0"/>
              <w:bottom w:val="single" w:color="auto" w:sz="4" w:space="0"/>
              <w:right w:val="single" w:color="auto" w:sz="4" w:space="0"/>
            </w:tcBorders>
            <w:vAlign w:val="center"/>
          </w:tcPr>
          <w:p>
            <w:pPr>
              <w:pStyle w:val="10"/>
            </w:pPr>
            <w:r>
              <w:rPr>
                <w:rFonts w:hint="eastAsia" w:asciiTheme="minorEastAsia" w:hAnsiTheme="minorEastAsia" w:eastAsiaTheme="minorEastAsia" w:cstheme="minorEastAsia"/>
                <w:szCs w:val="21"/>
              </w:rPr>
              <w:t>如有优惠声明，</w:t>
            </w:r>
            <w:r>
              <w:rPr>
                <w:rFonts w:asciiTheme="minorEastAsia" w:hAnsiTheme="minorEastAsia" w:eastAsiaTheme="minorEastAsia" w:cstheme="minorEastAsia"/>
                <w:szCs w:val="21"/>
              </w:rPr>
              <w:t>优惠声明</w:t>
            </w:r>
            <w:r>
              <w:rPr>
                <w:rFonts w:hint="eastAsia" w:asciiTheme="minorEastAsia" w:hAnsiTheme="minorEastAsia" w:eastAsiaTheme="minorEastAsia" w:cstheme="minorEastAsia"/>
                <w:szCs w:val="21"/>
              </w:rPr>
              <w:t>后的价格必须与竞标报价一致。</w:t>
            </w:r>
            <w:r>
              <w:rPr>
                <w:rFonts w:hint="eastAsia" w:asciiTheme="minorEastAsia" w:hAnsiTheme="minorEastAsia" w:eastAsiaTheme="minorEastAsia" w:cstheme="minorEastAsia"/>
                <w:szCs w:val="21"/>
              </w:rPr>
              <w:br w:type="textWrapping"/>
            </w:r>
          </w:p>
        </w:tc>
      </w:tr>
    </w:tbl>
    <w:p>
      <w:pPr>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szCs w:val="21"/>
        </w:rPr>
        <w:t>价格应按照“供应商须知” 的要求报价。</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szCs w:val="21"/>
          <w:u w:val="single"/>
        </w:rPr>
      </w:pPr>
      <w:bookmarkStart w:id="157" w:name="_Toc460258117"/>
      <w:bookmarkStart w:id="158" w:name="_Toc259028723"/>
      <w:bookmarkStart w:id="159" w:name="_Toc424832831"/>
      <w:bookmarkStart w:id="160" w:name="_Toc432149007"/>
      <w:r>
        <w:rPr>
          <w:rFonts w:hint="eastAsia" w:asciiTheme="minorEastAsia" w:hAnsiTheme="minorEastAsia" w:eastAsiaTheme="minorEastAsia" w:cstheme="minorEastAsia"/>
          <w:b/>
          <w:bCs/>
          <w:sz w:val="24"/>
        </w:rPr>
        <w:br w:type="page"/>
      </w:r>
      <w:bookmarkStart w:id="161" w:name="_Toc479184129"/>
      <w:bookmarkStart w:id="162" w:name="_Toc18559"/>
      <w:bookmarkStart w:id="163" w:name="_Toc1079"/>
      <w:bookmarkStart w:id="164" w:name="_Toc9154"/>
      <w:r>
        <w:rPr>
          <w:rFonts w:hint="eastAsia" w:asciiTheme="minorEastAsia" w:hAnsiTheme="minorEastAsia" w:eastAsiaTheme="minorEastAsia" w:cstheme="minorEastAsia"/>
          <w:b/>
          <w:bCs/>
          <w:szCs w:val="21"/>
        </w:rPr>
        <w:t>六、</w:t>
      </w:r>
      <w:bookmarkEnd w:id="157"/>
      <w:bookmarkEnd w:id="158"/>
      <w:bookmarkEnd w:id="161"/>
      <w:bookmarkEnd w:id="162"/>
      <w:bookmarkEnd w:id="163"/>
      <w:r>
        <w:rPr>
          <w:rFonts w:hint="eastAsia" w:asciiTheme="minorEastAsia" w:hAnsiTheme="minorEastAsia" w:eastAsiaTheme="minorEastAsia" w:cstheme="minorEastAsia"/>
          <w:b/>
          <w:bCs/>
          <w:szCs w:val="21"/>
        </w:rPr>
        <w:t>报价费用构成表</w:t>
      </w:r>
      <w:bookmarkEnd w:id="164"/>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p>
    <w:tbl>
      <w:tblPr>
        <w:tblStyle w:val="26"/>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78"/>
        <w:gridCol w:w="1082"/>
        <w:gridCol w:w="1287"/>
        <w:gridCol w:w="725"/>
        <w:gridCol w:w="700"/>
        <w:gridCol w:w="925"/>
        <w:gridCol w:w="1100"/>
        <w:gridCol w:w="575"/>
        <w:gridCol w:w="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名称</w:t>
            </w:r>
          </w:p>
        </w:tc>
        <w:tc>
          <w:tcPr>
            <w:tcW w:w="1082"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规格型号（如有）</w:t>
            </w:r>
          </w:p>
        </w:tc>
        <w:tc>
          <w:tcPr>
            <w:tcW w:w="128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制造商名称（如有）</w:t>
            </w:r>
          </w:p>
        </w:tc>
        <w:tc>
          <w:tcPr>
            <w:tcW w:w="725"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产地</w:t>
            </w:r>
          </w:p>
        </w:tc>
        <w:tc>
          <w:tcPr>
            <w:tcW w:w="700"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925" w:type="dxa"/>
            <w:vAlign w:val="center"/>
          </w:tcPr>
          <w:p>
            <w:pPr>
              <w:adjustRightInd w:val="0"/>
              <w:snapToGrid w:val="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投标单价最高限价（元）</w:t>
            </w:r>
          </w:p>
        </w:tc>
        <w:tc>
          <w:tcPr>
            <w:tcW w:w="1100"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color w:val="auto"/>
                <w:szCs w:val="21"/>
                <w:lang w:eastAsia="zh-CN"/>
              </w:rPr>
              <w:t>投标报价</w:t>
            </w:r>
            <w:r>
              <w:rPr>
                <w:rFonts w:hint="eastAsia" w:asciiTheme="minorEastAsia" w:hAnsiTheme="minorEastAsia" w:eastAsiaTheme="minorEastAsia" w:cstheme="minorEastAsia"/>
                <w:color w:val="auto"/>
                <w:szCs w:val="21"/>
              </w:rPr>
              <w:t>单价</w:t>
            </w:r>
            <w:r>
              <w:rPr>
                <w:rFonts w:hint="eastAsia" w:asciiTheme="minorEastAsia" w:hAnsiTheme="minorEastAsia" w:eastAsiaTheme="minorEastAsia" w:cstheme="minorEastAsia"/>
                <w:color w:val="auto"/>
                <w:szCs w:val="21"/>
                <w:lang w:eastAsia="zh-CN"/>
              </w:rPr>
              <w:t>（元）</w:t>
            </w:r>
          </w:p>
        </w:tc>
        <w:tc>
          <w:tcPr>
            <w:tcW w:w="575"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w:t>
            </w:r>
          </w:p>
        </w:tc>
        <w:tc>
          <w:tcPr>
            <w:tcW w:w="700" w:type="dxa"/>
            <w:vAlign w:val="center"/>
          </w:tcPr>
          <w:p>
            <w:pPr>
              <w:adjustRightInd w:val="0"/>
              <w:snapToGrid w:val="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37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宋体" w:hAnsi="宋体" w:eastAsia="宋体" w:cs="宋体"/>
                <w:b w:val="0"/>
                <w:bCs w:val="0"/>
                <w:color w:val="auto"/>
                <w:sz w:val="21"/>
                <w:szCs w:val="21"/>
                <w:lang w:val="en-US" w:eastAsia="zh-CN"/>
              </w:rPr>
              <w:t>人工智能教学管理平台</w:t>
            </w:r>
          </w:p>
        </w:tc>
        <w:tc>
          <w:tcPr>
            <w:tcW w:w="1082" w:type="dxa"/>
            <w:vAlign w:val="center"/>
          </w:tcPr>
          <w:p>
            <w:pPr>
              <w:adjustRightInd w:val="0"/>
              <w:snapToGrid w:val="0"/>
              <w:jc w:val="center"/>
              <w:rPr>
                <w:rFonts w:asciiTheme="minorEastAsia" w:hAnsiTheme="minorEastAsia" w:eastAsiaTheme="minorEastAsia" w:cstheme="minorEastAsia"/>
                <w:color w:val="auto"/>
                <w:szCs w:val="21"/>
              </w:rPr>
            </w:pPr>
          </w:p>
        </w:tc>
        <w:tc>
          <w:tcPr>
            <w:tcW w:w="1287" w:type="dxa"/>
            <w:vAlign w:val="center"/>
          </w:tcPr>
          <w:p>
            <w:pPr>
              <w:adjustRightInd w:val="0"/>
              <w:snapToGrid w:val="0"/>
              <w:jc w:val="center"/>
              <w:rPr>
                <w:rFonts w:asciiTheme="minorEastAsia" w:hAnsiTheme="minorEastAsia" w:eastAsiaTheme="minorEastAsia" w:cstheme="minorEastAsia"/>
                <w:color w:val="auto"/>
                <w:szCs w:val="21"/>
              </w:rPr>
            </w:pPr>
          </w:p>
        </w:tc>
        <w:tc>
          <w:tcPr>
            <w:tcW w:w="725" w:type="dxa"/>
            <w:vAlign w:val="center"/>
          </w:tcPr>
          <w:p>
            <w:pPr>
              <w:adjustRightInd w:val="0"/>
              <w:snapToGrid w:val="0"/>
              <w:jc w:val="center"/>
              <w:rPr>
                <w:rFonts w:asciiTheme="minorEastAsia" w:hAnsiTheme="minorEastAsia" w:eastAsiaTheme="minorEastAsia" w:cstheme="minorEastAsia"/>
                <w:color w:val="auto"/>
                <w:szCs w:val="21"/>
              </w:rPr>
            </w:pPr>
          </w:p>
        </w:tc>
        <w:tc>
          <w:tcPr>
            <w:tcW w:w="700" w:type="dxa"/>
            <w:vAlign w:val="center"/>
          </w:tcPr>
          <w:p>
            <w:pPr>
              <w:adjustRightInd w:val="0"/>
              <w:snapToGrid w:val="0"/>
              <w:jc w:val="center"/>
              <w:rPr>
                <w:rFonts w:asciiTheme="minorEastAsia" w:hAnsiTheme="minorEastAsia" w:eastAsiaTheme="minorEastAsia" w:cstheme="minorEastAsia"/>
                <w:color w:val="auto"/>
                <w:szCs w:val="21"/>
              </w:rPr>
            </w:pPr>
          </w:p>
        </w:tc>
        <w:tc>
          <w:tcPr>
            <w:tcW w:w="925"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 w:val="21"/>
                <w:szCs w:val="21"/>
              </w:rPr>
              <w:t>98000</w:t>
            </w:r>
          </w:p>
        </w:tc>
        <w:tc>
          <w:tcPr>
            <w:tcW w:w="1100" w:type="dxa"/>
            <w:vAlign w:val="center"/>
          </w:tcPr>
          <w:p>
            <w:pPr>
              <w:adjustRightInd w:val="0"/>
              <w:snapToGrid w:val="0"/>
              <w:jc w:val="center"/>
              <w:rPr>
                <w:rFonts w:asciiTheme="minorEastAsia" w:hAnsiTheme="minorEastAsia" w:eastAsiaTheme="minorEastAsia" w:cstheme="minorEastAsia"/>
                <w:color w:val="252FEE"/>
                <w:szCs w:val="21"/>
              </w:rPr>
            </w:pPr>
          </w:p>
        </w:tc>
        <w:tc>
          <w:tcPr>
            <w:tcW w:w="57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37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人工智能云桌面实验环境平台</w:t>
            </w:r>
          </w:p>
        </w:tc>
        <w:tc>
          <w:tcPr>
            <w:tcW w:w="1082" w:type="dxa"/>
            <w:vAlign w:val="center"/>
          </w:tcPr>
          <w:p>
            <w:pPr>
              <w:adjustRightInd w:val="0"/>
              <w:snapToGrid w:val="0"/>
              <w:jc w:val="center"/>
              <w:rPr>
                <w:rFonts w:asciiTheme="minorEastAsia" w:hAnsiTheme="minorEastAsia" w:eastAsiaTheme="minorEastAsia" w:cstheme="minorEastAsia"/>
                <w:color w:val="auto"/>
                <w:szCs w:val="21"/>
              </w:rPr>
            </w:pPr>
          </w:p>
        </w:tc>
        <w:tc>
          <w:tcPr>
            <w:tcW w:w="1287" w:type="dxa"/>
            <w:vAlign w:val="center"/>
          </w:tcPr>
          <w:p>
            <w:pPr>
              <w:adjustRightInd w:val="0"/>
              <w:snapToGrid w:val="0"/>
              <w:jc w:val="center"/>
              <w:rPr>
                <w:rFonts w:asciiTheme="minorEastAsia" w:hAnsiTheme="minorEastAsia" w:eastAsiaTheme="minorEastAsia" w:cstheme="minorEastAsia"/>
                <w:color w:val="auto"/>
                <w:szCs w:val="21"/>
              </w:rPr>
            </w:pPr>
          </w:p>
        </w:tc>
        <w:tc>
          <w:tcPr>
            <w:tcW w:w="725" w:type="dxa"/>
            <w:vAlign w:val="center"/>
          </w:tcPr>
          <w:p>
            <w:pPr>
              <w:adjustRightInd w:val="0"/>
              <w:snapToGrid w:val="0"/>
              <w:jc w:val="center"/>
              <w:rPr>
                <w:rFonts w:asciiTheme="minorEastAsia" w:hAnsiTheme="minorEastAsia" w:eastAsiaTheme="minorEastAsia" w:cstheme="minorEastAsia"/>
                <w:color w:val="auto"/>
                <w:szCs w:val="21"/>
              </w:rPr>
            </w:pPr>
          </w:p>
        </w:tc>
        <w:tc>
          <w:tcPr>
            <w:tcW w:w="700" w:type="dxa"/>
            <w:vAlign w:val="center"/>
          </w:tcPr>
          <w:p>
            <w:pPr>
              <w:adjustRightInd w:val="0"/>
              <w:snapToGrid w:val="0"/>
              <w:jc w:val="center"/>
              <w:rPr>
                <w:rFonts w:asciiTheme="minorEastAsia" w:hAnsiTheme="minorEastAsia" w:eastAsiaTheme="minorEastAsia" w:cstheme="minorEastAsia"/>
                <w:color w:val="auto"/>
                <w:szCs w:val="21"/>
              </w:rPr>
            </w:pPr>
          </w:p>
        </w:tc>
        <w:tc>
          <w:tcPr>
            <w:tcW w:w="925"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99000</w:t>
            </w:r>
          </w:p>
        </w:tc>
        <w:tc>
          <w:tcPr>
            <w:tcW w:w="1100" w:type="dxa"/>
            <w:vAlign w:val="center"/>
          </w:tcPr>
          <w:p>
            <w:pPr>
              <w:adjustRightInd w:val="0"/>
              <w:snapToGrid w:val="0"/>
              <w:jc w:val="center"/>
              <w:rPr>
                <w:rFonts w:asciiTheme="minorEastAsia" w:hAnsiTheme="minorEastAsia" w:eastAsiaTheme="minorEastAsia" w:cstheme="minorEastAsia"/>
                <w:color w:val="252FEE"/>
                <w:szCs w:val="21"/>
              </w:rPr>
            </w:pPr>
          </w:p>
        </w:tc>
        <w:tc>
          <w:tcPr>
            <w:tcW w:w="57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082"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72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c>
          <w:tcPr>
            <w:tcW w:w="925"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57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082"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72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c>
          <w:tcPr>
            <w:tcW w:w="925"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57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082"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72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c>
          <w:tcPr>
            <w:tcW w:w="925"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57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082"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72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c>
          <w:tcPr>
            <w:tcW w:w="925"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57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082"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72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c>
          <w:tcPr>
            <w:tcW w:w="925"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57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082"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72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c>
          <w:tcPr>
            <w:tcW w:w="925"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57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082"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72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c>
          <w:tcPr>
            <w:tcW w:w="925"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57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575" w:type="dxa"/>
            <w:gridSpan w:val="4"/>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总计</w:t>
            </w:r>
          </w:p>
        </w:tc>
        <w:tc>
          <w:tcPr>
            <w:tcW w:w="72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c>
          <w:tcPr>
            <w:tcW w:w="925"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575" w:type="dxa"/>
            <w:vAlign w:val="center"/>
          </w:tcPr>
          <w:p>
            <w:pPr>
              <w:adjustRightInd w:val="0"/>
              <w:snapToGrid w:val="0"/>
              <w:jc w:val="center"/>
              <w:rPr>
                <w:rFonts w:asciiTheme="minorEastAsia" w:hAnsiTheme="minorEastAsia" w:eastAsiaTheme="minorEastAsia" w:cstheme="minorEastAsia"/>
                <w:szCs w:val="21"/>
              </w:rPr>
            </w:pPr>
          </w:p>
        </w:tc>
        <w:tc>
          <w:tcPr>
            <w:tcW w:w="700" w:type="dxa"/>
            <w:vAlign w:val="center"/>
          </w:tcPr>
          <w:p>
            <w:pPr>
              <w:adjustRightInd w:val="0"/>
              <w:snapToGrid w:val="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0"/>
          <w:numId w:val="44"/>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所有价格按照“供应商须知”要求执行。</w:t>
      </w:r>
    </w:p>
    <w:p>
      <w:pPr>
        <w:numPr>
          <w:ilvl w:val="0"/>
          <w:numId w:val="44"/>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分项报价总计价格必须与《报价一览表》报价一致。</w:t>
      </w:r>
    </w:p>
    <w:p>
      <w:pPr>
        <w:numPr>
          <w:ilvl w:val="0"/>
          <w:numId w:val="44"/>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如果不提供详细的报价费用构成可能将被视为没有实质性响应磋商文件。</w:t>
      </w:r>
    </w:p>
    <w:p>
      <w:pPr>
        <w:numPr>
          <w:ilvl w:val="0"/>
          <w:numId w:val="44"/>
        </w:numPr>
        <w:adjustRightInd w:val="0"/>
        <w:snapToGrid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针对产地一栏，请供应商熟读《政府采购进口产品管理办法》，如实慎重填写；</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4.1国产设备请填写“中国”，国内生产的国外品牌请填写“中国”；</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4.2原装进口设备请填写具体生产国名称，如“美国”等，设备经过报关等手续才能供货的视同进口设备，产地请填写“进口”，并附相关说明或材料佐证其为进口设备；</w:t>
      </w:r>
    </w:p>
    <w:p>
      <w:pPr>
        <w:adjustRightInd w:val="0"/>
        <w:snapToGrid w:val="0"/>
        <w:spacing w:line="360" w:lineRule="auto"/>
        <w:ind w:left="-88" w:leftChars="-42"/>
        <w:rPr>
          <w:rFonts w:asciiTheme="minorEastAsia" w:hAnsiTheme="minorEastAsia" w:eastAsiaTheme="minorEastAsia" w:cstheme="minorEastAsia"/>
          <w:b/>
          <w:bCs/>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5" w:name="_Toc28656"/>
      <w:bookmarkStart w:id="166" w:name="_Toc479184130"/>
      <w:bookmarkStart w:id="167" w:name="_Toc8555"/>
      <w:bookmarkStart w:id="168" w:name="_Toc26825"/>
      <w:r>
        <w:rPr>
          <w:rFonts w:hint="eastAsia" w:asciiTheme="minorEastAsia" w:hAnsiTheme="minorEastAsia" w:eastAsiaTheme="minorEastAsia" w:cstheme="minorEastAsia"/>
          <w:b/>
          <w:bCs/>
          <w:szCs w:val="21"/>
        </w:rPr>
        <w:t>七、耗材清单</w:t>
      </w:r>
      <w:bookmarkEnd w:id="165"/>
      <w:bookmarkEnd w:id="166"/>
      <w:bookmarkEnd w:id="167"/>
      <w:bookmarkEnd w:id="168"/>
    </w:p>
    <w:p>
      <w:pPr>
        <w:adjustRightInd w:val="0"/>
        <w:snapToGrid w:val="0"/>
        <w:rPr>
          <w:rFonts w:asciiTheme="minorEastAsia" w:hAnsiTheme="minorEastAsia" w:eastAsiaTheme="minorEastAsia" w:cstheme="minorEastAsia"/>
          <w:b/>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耗材名称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9" w:name="_Toc7535"/>
      <w:bookmarkStart w:id="170" w:name="_Toc32726"/>
      <w:bookmarkStart w:id="171" w:name="_Toc4858"/>
      <w:bookmarkStart w:id="172" w:name="_Toc479184131"/>
      <w:r>
        <w:rPr>
          <w:rFonts w:hint="eastAsia" w:asciiTheme="minorEastAsia" w:hAnsiTheme="minorEastAsia" w:eastAsiaTheme="minorEastAsia" w:cstheme="minorEastAsia"/>
          <w:b/>
          <w:bCs/>
          <w:szCs w:val="21"/>
        </w:rPr>
        <w:t>八、拟投入设备/备件、工具情况</w:t>
      </w:r>
      <w:bookmarkEnd w:id="169"/>
      <w:bookmarkEnd w:id="170"/>
      <w:bookmarkEnd w:id="171"/>
      <w:bookmarkEnd w:id="172"/>
    </w:p>
    <w:p>
      <w:pPr>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设备</w:t>
            </w:r>
            <w:r>
              <w:rPr>
                <w:rFonts w:hint="eastAsia" w:asciiTheme="minorEastAsia" w:hAnsiTheme="minorEastAsia" w:eastAsiaTheme="minorEastAsia" w:cstheme="minorEastAsia"/>
                <w:b/>
                <w:bCs/>
                <w:szCs w:val="21"/>
              </w:rPr>
              <w:t>/备件</w:t>
            </w:r>
            <w:r>
              <w:rPr>
                <w:rFonts w:hint="eastAsia" w:asciiTheme="minorEastAsia" w:hAnsiTheme="minorEastAsia" w:eastAsiaTheme="minorEastAsia" w:cstheme="minorEastAsia"/>
                <w:b/>
                <w:szCs w:val="21"/>
              </w:rPr>
              <w:t>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73" w:name="_Toc10449"/>
      <w:bookmarkStart w:id="174" w:name="_Toc27053"/>
      <w:bookmarkStart w:id="175" w:name="_Toc479184132"/>
      <w:bookmarkStart w:id="176" w:name="_Toc450827818"/>
      <w:bookmarkStart w:id="177" w:name="_Toc28637"/>
      <w:r>
        <w:rPr>
          <w:rFonts w:hint="eastAsia" w:asciiTheme="minorEastAsia" w:hAnsiTheme="minorEastAsia" w:eastAsiaTheme="minorEastAsia" w:cstheme="minorEastAsia"/>
          <w:b/>
          <w:bCs/>
          <w:szCs w:val="21"/>
        </w:rPr>
        <w:t>九、缴纳保证金的银行凭证</w:t>
      </w:r>
      <w:bookmarkEnd w:id="173"/>
      <w:bookmarkEnd w:id="174"/>
      <w:bookmarkEnd w:id="175"/>
      <w:bookmarkEnd w:id="176"/>
      <w:r>
        <w:rPr>
          <w:rFonts w:hint="eastAsia" w:asciiTheme="minorEastAsia" w:hAnsiTheme="minorEastAsia" w:eastAsiaTheme="minorEastAsia" w:cstheme="minorEastAsia"/>
          <w:b/>
          <w:bCs/>
          <w:szCs w:val="21"/>
        </w:rPr>
        <w:t>（如有）</w:t>
      </w:r>
      <w:bookmarkEnd w:id="177"/>
    </w:p>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中经国际招标集团有限公司：</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      </w:t>
      </w:r>
      <w:r>
        <w:rPr>
          <w:rFonts w:hint="eastAsia" w:asciiTheme="minorEastAsia" w:hAnsiTheme="minorEastAsia" w:eastAsiaTheme="minorEastAsia" w:cstheme="minorEastAsia"/>
          <w:bCs/>
          <w:szCs w:val="21"/>
          <w:u w:val="single"/>
        </w:rPr>
        <w:t xml:space="preserve">                       (供应商全称)</w:t>
      </w:r>
      <w:r>
        <w:rPr>
          <w:rFonts w:hint="eastAsia" w:asciiTheme="minorEastAsia" w:hAnsiTheme="minorEastAsia" w:eastAsiaTheme="minorEastAsia" w:cstheme="minorEastAsia"/>
          <w:bCs/>
          <w:szCs w:val="21"/>
        </w:rPr>
        <w:t xml:space="preserve"> 参加贵方组织的，采购编号为</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的采购活动。</w:t>
      </w:r>
      <w:r>
        <w:rPr>
          <w:rFonts w:hint="eastAsia" w:asciiTheme="minorEastAsia" w:hAnsiTheme="minorEastAsia" w:eastAsiaTheme="minorEastAsia" w:cstheme="minorEastAsia"/>
          <w:szCs w:val="21"/>
        </w:rPr>
        <w:t>按竞争性磋商文件的规定，已递交人民币</w:t>
      </w: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t xml:space="preserve"> 元的保证金。</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 应 商 名 称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供应商银行账号：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bl>
      <w:tblPr>
        <w:tblStyle w:val="26"/>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8820" w:type="dxa"/>
          </w:tcPr>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粘贴转账或电汇银行凭证（复印件）</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c>
      </w:tr>
    </w:tbl>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注： 请供应商认真填写银行信息，并要求与粘贴转账或电汇银行凭证的相关信息一致，采购代理机构将依据此凭证信息退还保证金。</w:t>
      </w:r>
    </w:p>
    <w:bookmarkEnd w:id="159"/>
    <w:bookmarkEnd w:id="160"/>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78" w:name="_Toc422466736"/>
      <w:bookmarkStart w:id="179" w:name="_Toc1591"/>
      <w:bookmarkStart w:id="180" w:name="_Toc28200"/>
      <w:bookmarkStart w:id="181" w:name="_Toc479184133"/>
      <w:bookmarkStart w:id="182" w:name="_Toc432149012"/>
      <w:bookmarkStart w:id="183" w:name="_Toc12530"/>
      <w:r>
        <w:rPr>
          <w:rFonts w:hint="eastAsia" w:asciiTheme="minorEastAsia" w:hAnsiTheme="minorEastAsia" w:eastAsiaTheme="minorEastAsia" w:cstheme="minorEastAsia"/>
          <w:b/>
          <w:bCs/>
          <w:szCs w:val="21"/>
        </w:rPr>
        <w:t>十、偏离说明表</w:t>
      </w:r>
      <w:bookmarkEnd w:id="178"/>
      <w:bookmarkEnd w:id="179"/>
      <w:bookmarkEnd w:id="180"/>
      <w:bookmarkEnd w:id="181"/>
      <w:bookmarkEnd w:id="182"/>
      <w:bookmarkEnd w:id="183"/>
    </w:p>
    <w:p>
      <w:pPr>
        <w:adjustRightInd w:val="0"/>
        <w:snapToGrid w:val="0"/>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874"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采购需求</w:t>
            </w:r>
          </w:p>
        </w:tc>
        <w:tc>
          <w:tcPr>
            <w:tcW w:w="3449"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报价响应</w:t>
            </w:r>
          </w:p>
        </w:tc>
        <w:tc>
          <w:tcPr>
            <w:tcW w:w="1675"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D7D7D7" w:themeFill="background1" w:themeFillShade="D8"/>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shd w:val="clear" w:color="auto" w:fill="D7D7D7" w:themeFill="background1" w:themeFillShade="D8"/>
              </w:rPr>
              <w:t>符合性要求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7"/>
          <w:numId w:val="45"/>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供应商应对竞争性磋商采购文件的各项要求，逐条说明竞争性磋商响应文件做出的实质性响应，并申明竞争性磋商响应文件的偏离和例外。优于竞争性磋商采购文件要求的为正偏离，不满足的为负偏离。</w:t>
      </w:r>
    </w:p>
    <w:p>
      <w:pPr>
        <w:numPr>
          <w:ilvl w:val="7"/>
          <w:numId w:val="45"/>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对有具体参数要求的指标，磋商供应商必须提供所投产品的具体参数值。如果仅注明“符合”，“满足”或简单复制竞争性磋商采购文件要求，将可能导致报价被拒绝。</w:t>
      </w:r>
    </w:p>
    <w:p>
      <w:pPr>
        <w:adjustRightInd w:val="0"/>
        <w:snapToGrid w:val="0"/>
        <w:ind w:firstLine="42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rPr>
          <w:rFonts w:asciiTheme="minorEastAsia" w:hAnsiTheme="minorEastAsia" w:eastAsiaTheme="minorEastAsia" w:cstheme="minorEastAsia"/>
          <w:b/>
          <w:kern w:val="0"/>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kern w:val="0"/>
          <w:szCs w:val="21"/>
        </w:rPr>
        <w:br w:type="page"/>
      </w:r>
      <w:bookmarkStart w:id="184" w:name="_Toc479184134"/>
      <w:bookmarkStart w:id="185" w:name="_Toc28283"/>
      <w:bookmarkStart w:id="186" w:name="_Toc432149013"/>
      <w:bookmarkStart w:id="187" w:name="_Toc32060"/>
      <w:bookmarkStart w:id="188" w:name="_Toc362935521"/>
      <w:bookmarkStart w:id="189" w:name="_Toc24869"/>
      <w:r>
        <w:rPr>
          <w:rFonts w:hint="eastAsia" w:asciiTheme="minorEastAsia" w:hAnsiTheme="minorEastAsia" w:eastAsiaTheme="minorEastAsia" w:cstheme="minorEastAsia"/>
          <w:b/>
          <w:kern w:val="0"/>
          <w:szCs w:val="21"/>
        </w:rPr>
        <w:t>十一、</w:t>
      </w:r>
      <w:r>
        <w:rPr>
          <w:rFonts w:hint="eastAsia" w:asciiTheme="minorEastAsia" w:hAnsiTheme="minorEastAsia" w:eastAsiaTheme="minorEastAsia" w:cstheme="minorEastAsia"/>
          <w:b/>
          <w:bCs/>
          <w:szCs w:val="21"/>
        </w:rPr>
        <w:t>类似业绩一览表</w:t>
      </w:r>
      <w:bookmarkEnd w:id="184"/>
      <w:bookmarkEnd w:id="185"/>
      <w:bookmarkEnd w:id="186"/>
      <w:bookmarkEnd w:id="187"/>
      <w:bookmarkEnd w:id="188"/>
      <w:r>
        <w:rPr>
          <w:rFonts w:hint="eastAsia" w:asciiTheme="minorEastAsia" w:hAnsiTheme="minorEastAsia" w:eastAsiaTheme="minorEastAsia" w:cstheme="minorEastAsia"/>
          <w:b/>
          <w:bCs/>
          <w:szCs w:val="21"/>
        </w:rPr>
        <w:br w:type="textWrapping"/>
      </w:r>
      <w:bookmarkEnd w:id="189"/>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项目编号：</w:t>
      </w:r>
    </w:p>
    <w:tbl>
      <w:tblPr>
        <w:tblStyle w:val="26"/>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330"/>
        <w:gridCol w:w="771"/>
        <w:gridCol w:w="964"/>
        <w:gridCol w:w="768"/>
        <w:gridCol w:w="756"/>
        <w:gridCol w:w="1176"/>
        <w:gridCol w:w="1212"/>
        <w:gridCol w:w="1019"/>
        <w:gridCol w:w="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序号</w:t>
            </w:r>
          </w:p>
        </w:tc>
        <w:tc>
          <w:tcPr>
            <w:tcW w:w="1330"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p>
        </w:tc>
        <w:tc>
          <w:tcPr>
            <w:tcW w:w="771"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w:t>
            </w:r>
          </w:p>
        </w:tc>
        <w:tc>
          <w:tcPr>
            <w:tcW w:w="96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合同签订</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t>时间</w:t>
            </w:r>
          </w:p>
        </w:tc>
        <w:tc>
          <w:tcPr>
            <w:tcW w:w="768"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合同金额</w:t>
            </w:r>
          </w:p>
        </w:tc>
        <w:tc>
          <w:tcPr>
            <w:tcW w:w="75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117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业主单位联系人及电话</w:t>
            </w:r>
          </w:p>
        </w:tc>
        <w:tc>
          <w:tcPr>
            <w:tcW w:w="121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中标公告网页链接（如有）</w:t>
            </w:r>
          </w:p>
        </w:tc>
        <w:tc>
          <w:tcPr>
            <w:tcW w:w="101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是否投</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入使用</w:t>
            </w:r>
          </w:p>
        </w:tc>
        <w:tc>
          <w:tcPr>
            <w:tcW w:w="59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1.附磋商供应商承担类似项目的情况填入本表中，提供业绩合同等评分标准要求的相关证明材料。 无证明材料的内容评审时将不予考虑。</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2.公开竞标成交的类似业绩，还应提供成交/中标公告网页链接。</w:t>
      </w:r>
    </w:p>
    <w:p>
      <w:pPr>
        <w:spacing w:line="360" w:lineRule="auto"/>
        <w:rPr>
          <w:rFonts w:asciiTheme="minorEastAsia" w:hAnsiTheme="minorEastAsia" w:eastAsiaTheme="minorEastAsia" w:cstheme="minorEastAsia"/>
          <w:szCs w:val="21"/>
        </w:rPr>
      </w:pPr>
      <w:bookmarkStart w:id="190" w:name="_Toc460258118"/>
      <w:bookmarkStart w:id="191" w:name="_Toc454806053"/>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92" w:name="_Toc30455"/>
      <w:bookmarkStart w:id="193" w:name="_Toc17955"/>
      <w:bookmarkStart w:id="194" w:name="_Toc4834"/>
      <w:bookmarkStart w:id="195" w:name="_Toc479184135"/>
      <w:r>
        <w:rPr>
          <w:rFonts w:hint="eastAsia" w:asciiTheme="minorEastAsia" w:hAnsiTheme="minorEastAsia" w:eastAsiaTheme="minorEastAsia" w:cstheme="minorEastAsia"/>
          <w:b/>
          <w:bCs/>
          <w:szCs w:val="21"/>
        </w:rPr>
        <w:t>十二、拟投入项目组人员一览表</w:t>
      </w:r>
      <w:bookmarkEnd w:id="190"/>
      <w:bookmarkEnd w:id="191"/>
      <w:bookmarkEnd w:id="192"/>
      <w:bookmarkEnd w:id="193"/>
      <w:bookmarkEnd w:id="194"/>
      <w:bookmarkEnd w:id="195"/>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ind w:left="-181" w:leftChars="-86" w:firstLine="180" w:firstLineChars="8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在本项目中担当职位</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从业经历</w:t>
            </w: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说明：附拟投入项目组人员身份证、劳动合同、社保证明、</w:t>
      </w:r>
      <w:r>
        <w:rPr>
          <w:rFonts w:hint="eastAsia"/>
        </w:rPr>
        <w:t>职称证书、学历证书</w:t>
      </w:r>
      <w:r>
        <w:rPr>
          <w:rFonts w:hint="eastAsia" w:asciiTheme="minorEastAsia" w:hAnsiTheme="minorEastAsia" w:eastAsiaTheme="minorEastAsia" w:cstheme="minorEastAsia"/>
          <w:szCs w:val="21"/>
        </w:rPr>
        <w:t>等评分标准要求的其他相关证明材料。无证明材料的内容评审时将不予考虑。</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196" w:name="_Toc432149014"/>
      <w:bookmarkStart w:id="197" w:name="_Toc10429"/>
      <w:bookmarkStart w:id="198" w:name="_Toc26838"/>
      <w:bookmarkStart w:id="199" w:name="_Toc479184136"/>
      <w:bookmarkStart w:id="200" w:name="_Toc1688"/>
      <w:bookmarkStart w:id="201" w:name="_Toc422466737"/>
      <w:r>
        <w:rPr>
          <w:rFonts w:hint="eastAsia" w:asciiTheme="minorEastAsia" w:hAnsiTheme="minorEastAsia" w:eastAsiaTheme="minorEastAsia" w:cstheme="minorEastAsia"/>
          <w:b/>
          <w:bCs/>
          <w:kern w:val="0"/>
          <w:szCs w:val="21"/>
        </w:rPr>
        <w:t>十三、</w:t>
      </w:r>
      <w:r>
        <w:rPr>
          <w:rFonts w:hint="eastAsia" w:asciiTheme="minorEastAsia" w:hAnsiTheme="minorEastAsia" w:eastAsiaTheme="minorEastAsia" w:cstheme="minorEastAsia"/>
          <w:b/>
          <w:bCs/>
          <w:szCs w:val="21"/>
        </w:rPr>
        <w:t>供应商的资格声明</w:t>
      </w:r>
      <w:bookmarkEnd w:id="196"/>
      <w:bookmarkEnd w:id="197"/>
      <w:bookmarkEnd w:id="198"/>
      <w:bookmarkEnd w:id="199"/>
      <w:bookmarkEnd w:id="200"/>
      <w:bookmarkEnd w:id="201"/>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1.名称及基本情况：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（1）供应商名称：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（2）地址：</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邮箱：</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电话：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（3）成立或注册日期：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（4）公司性质：</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（5）法定代表人或主要负责人：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（6）员工人数：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（7）注册资本：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（8）实收资本：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（9）上年末资产负债率：</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1）固定资产</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原值：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净值：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2）流动资产：</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3）长期负债：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4）短期负债：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2．与报价服务内容有关的情况：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（1）供应商提供此响应服务内容的经验（包括年限、项目业主、额定能力、商业运营的起始日期等）；</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（2）服务网点分布（可另行附表）：</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服务网点名称和地址</w:t>
            </w:r>
          </w:p>
        </w:tc>
        <w:tc>
          <w:tcPr>
            <w:tcW w:w="173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主要服务范围</w:t>
            </w:r>
          </w:p>
        </w:tc>
        <w:tc>
          <w:tcPr>
            <w:tcW w:w="2269"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服务人员数</w:t>
            </w:r>
          </w:p>
        </w:tc>
        <w:tc>
          <w:tcPr>
            <w:tcW w:w="2268"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bl>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3．供应商认为需要声明的其他情况：</w:t>
      </w:r>
    </w:p>
    <w:p>
      <w:pPr>
        <w:ind w:firstLine="210" w:firstLineChars="1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兹证明上述声明是真实的、正确的，并提供了全部能提供的资料和数据，我们同意遵照</w:t>
      </w:r>
      <w:r>
        <w:rPr>
          <w:rFonts w:hint="eastAsia" w:asciiTheme="minorEastAsia" w:hAnsiTheme="minorEastAsia" w:eastAsiaTheme="minorEastAsia" w:cstheme="minorEastAsia"/>
          <w:bCs/>
          <w:szCs w:val="21"/>
          <w:u w:val="single"/>
        </w:rPr>
        <w:t>采购代理机构</w:t>
      </w:r>
      <w:r>
        <w:rPr>
          <w:rFonts w:hint="eastAsia" w:asciiTheme="minorEastAsia" w:hAnsiTheme="minorEastAsia" w:eastAsiaTheme="minorEastAsia" w:cstheme="minorEastAsia"/>
          <w:bCs/>
          <w:szCs w:val="21"/>
        </w:rPr>
        <w:t>要求出示的有关证明文件。</w:t>
      </w:r>
    </w:p>
    <w:p>
      <w:pPr>
        <w:spacing w:line="360" w:lineRule="auto"/>
        <w:ind w:firstLine="210" w:firstLineChars="100"/>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202" w:name="_Toc259028731"/>
      <w:bookmarkStart w:id="203" w:name="_Toc450827823"/>
      <w:bookmarkStart w:id="204" w:name="_Toc17331"/>
      <w:bookmarkStart w:id="205" w:name="_Toc479184137"/>
      <w:bookmarkStart w:id="206" w:name="_Toc18017"/>
      <w:bookmarkStart w:id="207" w:name="_Toc17527"/>
      <w:r>
        <w:rPr>
          <w:rFonts w:hint="eastAsia" w:asciiTheme="minorEastAsia" w:hAnsiTheme="minorEastAsia" w:eastAsiaTheme="minorEastAsia" w:cstheme="minorEastAsia"/>
          <w:b/>
          <w:bCs/>
          <w:kern w:val="0"/>
          <w:szCs w:val="21"/>
        </w:rPr>
        <w:t>十四、</w:t>
      </w:r>
      <w:r>
        <w:rPr>
          <w:rFonts w:hint="eastAsia" w:asciiTheme="minorEastAsia" w:hAnsiTheme="minorEastAsia" w:eastAsiaTheme="minorEastAsia" w:cstheme="minorEastAsia"/>
          <w:b/>
          <w:bCs/>
          <w:szCs w:val="21"/>
        </w:rPr>
        <w:t>资格证明文件</w:t>
      </w:r>
      <w:bookmarkEnd w:id="202"/>
      <w:bookmarkEnd w:id="203"/>
      <w:bookmarkEnd w:id="204"/>
      <w:bookmarkEnd w:id="205"/>
      <w:bookmarkEnd w:id="206"/>
      <w:bookmarkEnd w:id="207"/>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提供第一章第二款资格要求的资格证明文件的真彩扫描件。</w:t>
      </w:r>
    </w:p>
    <w:p>
      <w:pPr>
        <w:rPr>
          <w:rFonts w:asciiTheme="minorEastAsia" w:hAnsiTheme="minorEastAsia" w:eastAsiaTheme="minorEastAsia" w:cstheme="minorEastAsia"/>
          <w:szCs w:val="21"/>
        </w:rPr>
      </w:pPr>
    </w:p>
    <w:p>
      <w:pPr>
        <w:adjustRightInd w:val="0"/>
        <w:snapToGrid w:val="0"/>
        <w:spacing w:line="360" w:lineRule="auto"/>
        <w:ind w:left="-88" w:leftChars="-42"/>
        <w:jc w:val="center"/>
        <w:rPr>
          <w:rFonts w:asciiTheme="minorEastAsia" w:hAnsiTheme="minorEastAsia" w:eastAsiaTheme="minorEastAsia" w:cstheme="minorEastAsia"/>
          <w:szCs w:val="21"/>
        </w:rPr>
      </w:pP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bookmarkStart w:id="208" w:name="_Toc5793"/>
      <w:bookmarkStart w:id="209" w:name="_Toc358447587"/>
      <w:bookmarkStart w:id="210" w:name="_Toc32187"/>
      <w:bookmarkStart w:id="211" w:name="_Toc290207179"/>
      <w:bookmarkStart w:id="212" w:name="_Toc427239751"/>
      <w:bookmarkStart w:id="213" w:name="_Toc18555"/>
      <w:bookmarkStart w:id="214" w:name="_Toc364868916"/>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kern w:val="0"/>
          <w:szCs w:val="21"/>
        </w:rPr>
      </w:pPr>
      <w:bookmarkStart w:id="215" w:name="_Toc21818"/>
      <w:r>
        <w:rPr>
          <w:rFonts w:hint="eastAsia" w:asciiTheme="minorEastAsia" w:hAnsiTheme="minorEastAsia" w:eastAsiaTheme="minorEastAsia" w:cstheme="minorEastAsia"/>
          <w:b/>
          <w:bCs/>
          <w:kern w:val="0"/>
          <w:szCs w:val="21"/>
        </w:rPr>
        <w:t>十五、</w:t>
      </w:r>
      <w:bookmarkEnd w:id="208"/>
      <w:bookmarkEnd w:id="209"/>
      <w:bookmarkEnd w:id="210"/>
      <w:bookmarkEnd w:id="211"/>
      <w:bookmarkEnd w:id="212"/>
      <w:bookmarkEnd w:id="213"/>
      <w:bookmarkEnd w:id="214"/>
      <w:bookmarkStart w:id="216" w:name="_Toc479184138"/>
      <w:bookmarkStart w:id="217" w:name="_Toc460258123"/>
      <w:bookmarkStart w:id="218" w:name="_Toc29785"/>
      <w:bookmarkStart w:id="219" w:name="_Toc27229"/>
      <w:r>
        <w:rPr>
          <w:rFonts w:hint="eastAsia" w:asciiTheme="minorEastAsia" w:hAnsiTheme="minorEastAsia" w:eastAsiaTheme="minorEastAsia" w:cstheme="minorEastAsia"/>
          <w:b/>
          <w:bCs/>
          <w:kern w:val="0"/>
          <w:szCs w:val="21"/>
        </w:rPr>
        <w:t>报价技术文件</w:t>
      </w:r>
      <w:bookmarkEnd w:id="215"/>
      <w:bookmarkEnd w:id="216"/>
      <w:bookmarkEnd w:id="217"/>
      <w:bookmarkEnd w:id="218"/>
      <w:bookmarkEnd w:id="219"/>
    </w:p>
    <w:p>
      <w:pPr>
        <w:rPr>
          <w:rFonts w:asciiTheme="minorEastAsia" w:hAnsiTheme="minorEastAsia" w:eastAsiaTheme="minorEastAsia" w:cstheme="minorEastAsia"/>
          <w:szCs w:val="21"/>
        </w:rPr>
      </w:pPr>
    </w:p>
    <w:p>
      <w:pPr>
        <w:pStyle w:val="103"/>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由供应商自行编制，目录清晰、内容详尽、易于理解和评审并富有建设性的技术方案将在评审时具有优势。</w:t>
      </w:r>
    </w:p>
    <w:p>
      <w:pPr>
        <w:adjustRightInd w:val="0"/>
        <w:snapToGrid w:val="0"/>
        <w:spacing w:line="360" w:lineRule="auto"/>
        <w:ind w:left="-88" w:leftChars="-42" w:firstLine="422" w:firstLineChars="2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以下内容仅供参考，格式自拟。</w:t>
      </w:r>
    </w:p>
    <w:p>
      <w:pPr>
        <w:numPr>
          <w:ilvl w:val="1"/>
          <w:numId w:val="46"/>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项目概况及对本项目总体要求的理解</w:t>
      </w:r>
    </w:p>
    <w:p>
      <w:pPr>
        <w:numPr>
          <w:ilvl w:val="1"/>
          <w:numId w:val="46"/>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项目实施方案</w:t>
      </w:r>
    </w:p>
    <w:p>
      <w:pPr>
        <w:numPr>
          <w:ilvl w:val="1"/>
          <w:numId w:val="46"/>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项目重点及难点解析</w:t>
      </w:r>
    </w:p>
    <w:p>
      <w:pPr>
        <w:numPr>
          <w:ilvl w:val="1"/>
          <w:numId w:val="46"/>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质量控制措施</w:t>
      </w:r>
    </w:p>
    <w:p>
      <w:pPr>
        <w:numPr>
          <w:ilvl w:val="1"/>
          <w:numId w:val="46"/>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进度控制措施</w:t>
      </w:r>
    </w:p>
    <w:p>
      <w:pPr>
        <w:numPr>
          <w:ilvl w:val="1"/>
          <w:numId w:val="46"/>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对本项目的合理化建议</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rPr>
        <w:br w:type="page"/>
      </w:r>
      <w:bookmarkStart w:id="220" w:name="_Toc355802499"/>
      <w:bookmarkStart w:id="221" w:name="_Toc22465"/>
      <w:bookmarkStart w:id="222" w:name="_Toc356836516"/>
      <w:bookmarkStart w:id="223" w:name="_Toc479184140"/>
      <w:bookmarkStart w:id="224" w:name="_Toc432149016"/>
      <w:bookmarkStart w:id="225" w:name="_Toc12119"/>
      <w:bookmarkStart w:id="226" w:name="_Toc422466739"/>
      <w:bookmarkStart w:id="227" w:name="_Toc2101"/>
      <w:bookmarkStart w:id="228" w:name="_Toc8098"/>
      <w:bookmarkStart w:id="229" w:name="_Toc2302"/>
      <w:r>
        <w:rPr>
          <w:rFonts w:hint="eastAsia" w:asciiTheme="minorEastAsia" w:hAnsiTheme="minorEastAsia" w:eastAsiaTheme="minorEastAsia" w:cstheme="minorEastAsia"/>
          <w:b/>
        </w:rPr>
        <w:t>十六、</w:t>
      </w:r>
      <w:bookmarkEnd w:id="220"/>
      <w:bookmarkEnd w:id="221"/>
      <w:bookmarkEnd w:id="222"/>
      <w:bookmarkEnd w:id="223"/>
      <w:bookmarkEnd w:id="224"/>
      <w:bookmarkEnd w:id="225"/>
      <w:bookmarkEnd w:id="226"/>
      <w:bookmarkEnd w:id="227"/>
      <w:bookmarkEnd w:id="228"/>
      <w:r>
        <w:rPr>
          <w:rFonts w:hint="eastAsia" w:asciiTheme="minorEastAsia" w:hAnsiTheme="minorEastAsia" w:eastAsiaTheme="minorEastAsia" w:cstheme="minorEastAsia"/>
          <w:b/>
          <w:lang w:val="zh-CN"/>
        </w:rPr>
        <w:t>中小企业声明函（</w:t>
      </w:r>
      <w:r>
        <w:rPr>
          <w:rFonts w:hint="eastAsia" w:asciiTheme="minorEastAsia" w:hAnsiTheme="minorEastAsia" w:eastAsiaTheme="minorEastAsia" w:cstheme="minorEastAsia"/>
          <w:b/>
        </w:rPr>
        <w:t>货物</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29"/>
    </w:p>
    <w:p>
      <w:pPr>
        <w:spacing w:line="360" w:lineRule="auto"/>
        <w:ind w:firstLine="420" w:firstLineChars="200"/>
        <w:jc w:val="center"/>
        <w:rPr>
          <w:rFonts w:ascii="宋体" w:hAnsi="宋体" w:cs="宋体"/>
          <w:szCs w:val="21"/>
        </w:rPr>
      </w:pPr>
      <w:r>
        <w:rPr>
          <w:rFonts w:ascii="宋体" w:hAnsi="宋体" w:cs="宋体"/>
          <w:szCs w:val="21"/>
        </w:rPr>
        <w:t>中小企业声明函（</w:t>
      </w:r>
      <w:r>
        <w:rPr>
          <w:rFonts w:hint="eastAsia" w:ascii="宋体" w:hAnsi="宋体" w:cs="宋体"/>
          <w:szCs w:val="21"/>
        </w:rPr>
        <w:t>货物</w:t>
      </w:r>
      <w:r>
        <w:rPr>
          <w:rFonts w:ascii="宋体" w:hAnsi="宋体" w:cs="宋体"/>
          <w:szCs w:val="21"/>
        </w:rPr>
        <w:t>）</w:t>
      </w:r>
    </w:p>
    <w:p>
      <w:pPr>
        <w:spacing w:line="360" w:lineRule="auto"/>
        <w:ind w:firstLine="420" w:firstLineChars="200"/>
        <w:rPr>
          <w:rFonts w:ascii="宋体" w:hAnsi="宋体" w:cs="宋体"/>
          <w:szCs w:val="21"/>
        </w:rPr>
      </w:pPr>
      <w:r>
        <w:rPr>
          <w:rFonts w:ascii="宋体" w:hAnsi="宋体" w:cs="宋体"/>
          <w:szCs w:val="21"/>
        </w:rPr>
        <w:t>本公司（联合体）郑重声明，根据《政府采购促进中小企业发展管理办法》（财库﹝2020﹞</w:t>
      </w:r>
      <w:r>
        <w:rPr>
          <w:rFonts w:hint="eastAsia" w:ascii="宋体" w:hAnsi="宋体" w:cs="宋体"/>
          <w:szCs w:val="21"/>
        </w:rPr>
        <w:t>46</w:t>
      </w:r>
      <w:r>
        <w:rPr>
          <w:rFonts w:ascii="宋体" w:hAnsi="宋体" w:cs="宋体"/>
          <w:szCs w:val="21"/>
        </w:rPr>
        <w:t>号）的规定，本公司 （联合体）参加</w:t>
      </w:r>
      <w:r>
        <w:rPr>
          <w:rFonts w:hint="eastAsia" w:ascii="宋体" w:hAnsi="宋体" w:cs="宋体"/>
          <w:szCs w:val="21"/>
          <w:u w:val="single"/>
        </w:rPr>
        <w:t xml:space="preserve">          </w:t>
      </w:r>
      <w:r>
        <w:rPr>
          <w:rFonts w:ascii="宋体" w:hAnsi="宋体" w:cs="宋体"/>
          <w:szCs w:val="21"/>
          <w:u w:val="single"/>
        </w:rPr>
        <w:t>（单位名称）</w:t>
      </w:r>
      <w:r>
        <w:rPr>
          <w:rFonts w:ascii="宋体" w:hAnsi="宋体" w:cs="宋体"/>
          <w:szCs w:val="21"/>
        </w:rPr>
        <w:t>的</w:t>
      </w:r>
      <w:r>
        <w:rPr>
          <w:rFonts w:hint="eastAsia" w:ascii="宋体" w:hAnsi="宋体" w:cs="宋体"/>
          <w:szCs w:val="21"/>
          <w:u w:val="single"/>
        </w:rPr>
        <w:t xml:space="preserve">          </w:t>
      </w:r>
      <w:r>
        <w:rPr>
          <w:rFonts w:ascii="宋体" w:hAnsi="宋体" w:cs="宋体"/>
          <w:szCs w:val="21"/>
          <w:u w:val="single"/>
        </w:rPr>
        <w:t>（项目名称）</w:t>
      </w:r>
      <w:r>
        <w:rPr>
          <w:rFonts w:ascii="宋体" w:hAnsi="宋体" w:cs="宋体"/>
          <w:szCs w:val="21"/>
        </w:rPr>
        <w:t xml:space="preserve">采购活动，提供的货物全部由符合政策要求的中小企业制造。相关企业（含联合体中的中小企业、签订分包意向协议的中小企业） 的具体情况如下：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1.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 xml:space="preserve"> 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2.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以上企业，不属于大企业的分支机构，不存在控股股东为大企业的情形，也不存在与大企业的负责人为同一人的情形。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本企业对上述声明内容的真实性负责。如有虚假，将依法承担相应责任。 </w:t>
      </w:r>
    </w:p>
    <w:p>
      <w:pPr>
        <w:spacing w:line="360" w:lineRule="auto"/>
        <w:ind w:firstLine="6930" w:firstLineChars="3300"/>
        <w:rPr>
          <w:rFonts w:ascii="宋体" w:hAnsi="宋体" w:cs="宋体"/>
          <w:szCs w:val="21"/>
        </w:rPr>
      </w:pPr>
      <w:r>
        <w:rPr>
          <w:rFonts w:ascii="宋体" w:hAnsi="宋体" w:cs="宋体"/>
          <w:szCs w:val="21"/>
        </w:rPr>
        <w:t xml:space="preserve">企业名称（盖章）： </w:t>
      </w:r>
    </w:p>
    <w:p>
      <w:pPr>
        <w:spacing w:line="360" w:lineRule="auto"/>
        <w:ind w:firstLine="420" w:firstLineChars="200"/>
        <w:jc w:val="center"/>
        <w:rPr>
          <w:rFonts w:ascii="宋体" w:hAnsi="宋体" w:cs="宋体"/>
          <w:szCs w:val="21"/>
        </w:rPr>
      </w:pPr>
      <w:r>
        <w:rPr>
          <w:rFonts w:hint="eastAsia" w:ascii="宋体" w:hAnsi="宋体" w:cs="宋体"/>
          <w:szCs w:val="21"/>
        </w:rPr>
        <w:t xml:space="preserve">                                                </w:t>
      </w:r>
      <w:r>
        <w:rPr>
          <w:rFonts w:ascii="宋体" w:hAnsi="宋体" w:cs="宋体"/>
          <w:szCs w:val="21"/>
        </w:rPr>
        <w:t>日 期：</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ind w:firstLine="420" w:firstLineChars="200"/>
      </w:pPr>
      <w:r>
        <w:rPr>
          <w:rFonts w:ascii="宋体" w:hAnsi="宋体" w:cs="宋体"/>
          <w:szCs w:val="21"/>
        </w:rPr>
        <w:t>从业人员、营业收入、资产总额填报上一年度数据，无上一年度数据的新成立企业可不填报。</w:t>
      </w:r>
    </w:p>
    <w:p>
      <w:pPr>
        <w:spacing w:line="360" w:lineRule="auto"/>
        <w:ind w:firstLine="444" w:firstLineChars="200"/>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 </w:t>
      </w:r>
    </w:p>
    <w:p>
      <w:pPr>
        <w:spacing w:line="360" w:lineRule="auto"/>
        <w:ind w:firstLine="444"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r>
        <w:rPr>
          <w:rFonts w:hint="eastAsia" w:asciiTheme="minorEastAsia" w:hAnsiTheme="minorEastAsia" w:eastAsiaTheme="minorEastAsia" w:cstheme="minorEastAsia"/>
          <w:szCs w:val="21"/>
        </w:rPr>
        <w:br w:type="textWrapping"/>
      </w:r>
    </w:p>
    <w:bookmarkEnd w:id="130"/>
    <w:bookmarkEnd w:id="131"/>
    <w:bookmarkEnd w:id="132"/>
    <w:bookmarkEnd w:id="133"/>
    <w:p>
      <w:pPr>
        <w:adjustRightInd w:val="0"/>
        <w:snapToGrid w:val="0"/>
        <w:jc w:val="center"/>
        <w:outlineLvl w:val="1"/>
        <w:rPr>
          <w:rFonts w:asciiTheme="minorEastAsia" w:hAnsiTheme="minorEastAsia" w:eastAsiaTheme="minorEastAsia" w:cstheme="minorEastAsia"/>
          <w:b/>
        </w:rPr>
      </w:pPr>
      <w:bookmarkStart w:id="230" w:name="_Toc11257"/>
      <w:bookmarkStart w:id="231" w:name="_Toc479184141"/>
      <w:bookmarkStart w:id="232" w:name="_Toc7229"/>
      <w:bookmarkStart w:id="233" w:name="_Toc476839034"/>
      <w:bookmarkStart w:id="234" w:name="_Toc30406"/>
      <w:bookmarkStart w:id="235" w:name="_Toc4320"/>
      <w:r>
        <w:rPr>
          <w:rFonts w:hint="eastAsia" w:asciiTheme="minorEastAsia" w:hAnsiTheme="minorEastAsia" w:eastAsiaTheme="minorEastAsia" w:cstheme="minorEastAsia"/>
          <w:b/>
          <w:bCs/>
          <w:spacing w:val="6"/>
          <w:szCs w:val="21"/>
        </w:rPr>
        <w:t>十七、</w:t>
      </w:r>
      <w:r>
        <w:rPr>
          <w:rFonts w:hint="eastAsia" w:asciiTheme="minorEastAsia" w:hAnsiTheme="minorEastAsia" w:eastAsiaTheme="minorEastAsia" w:cstheme="minorEastAsia"/>
          <w:b/>
          <w:bCs/>
          <w:lang w:val="zh-CN"/>
        </w:rPr>
        <w:t>监狱企业证</w:t>
      </w:r>
      <w:r>
        <w:rPr>
          <w:rFonts w:hint="eastAsia" w:asciiTheme="minorEastAsia" w:hAnsiTheme="minorEastAsia" w:eastAsiaTheme="minorEastAsia" w:cstheme="minorEastAsia"/>
          <w:b/>
          <w:lang w:val="zh-CN"/>
        </w:rPr>
        <w:t>明文</w:t>
      </w:r>
      <w:r>
        <w:rPr>
          <w:rFonts w:hint="eastAsia" w:asciiTheme="minorEastAsia" w:hAnsiTheme="minorEastAsia" w:eastAsiaTheme="minorEastAsia" w:cstheme="minorEastAsia"/>
          <w:b/>
        </w:rPr>
        <w:t>件</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30"/>
    </w:p>
    <w:p>
      <w:pPr>
        <w:adjustRightInd w:val="0"/>
        <w:snapToGrid w:val="0"/>
        <w:jc w:val="center"/>
        <w:rPr>
          <w:rFonts w:asciiTheme="minorEastAsia" w:hAnsiTheme="minorEastAsia" w:eastAsiaTheme="minorEastAsia" w:cstheme="minorEastAsia"/>
          <w:spacing w:val="6"/>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t>供应商如是监狱企业，提供相关证明文件。</w:t>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adjustRightInd w:val="0"/>
        <w:snapToGrid w:val="0"/>
        <w:rPr>
          <w:rFonts w:asciiTheme="minorEastAsia" w:hAnsiTheme="minorEastAsia" w:eastAsiaTheme="minorEastAsia" w:cstheme="minorEastAsia"/>
          <w:spacing w:val="6"/>
          <w:szCs w:val="21"/>
        </w:rPr>
      </w:pPr>
    </w:p>
    <w:p>
      <w:pPr>
        <w:adjustRightInd w:val="0"/>
        <w:snapToGrid w:val="0"/>
        <w:rPr>
          <w:rFonts w:asciiTheme="minorEastAsia" w:hAnsiTheme="minorEastAsia" w:eastAsiaTheme="minorEastAsia" w:cstheme="minorEastAsia"/>
          <w:spacing w:val="6"/>
          <w:szCs w:val="21"/>
        </w:rPr>
      </w:pPr>
    </w:p>
    <w:p>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p>
    <w:p>
      <w:pPr>
        <w:adjustRightInd w:val="0"/>
        <w:snapToGrid w:val="0"/>
        <w:jc w:val="center"/>
        <w:outlineLvl w:val="1"/>
        <w:rPr>
          <w:rFonts w:asciiTheme="minorEastAsia" w:hAnsiTheme="minorEastAsia" w:eastAsiaTheme="minorEastAsia" w:cstheme="minorEastAsia"/>
          <w:b/>
          <w:lang w:val="zh-CN"/>
        </w:rPr>
      </w:pPr>
      <w:bookmarkStart w:id="236" w:name="_Toc10919"/>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b/>
        </w:rPr>
        <w:t>十八、</w:t>
      </w:r>
      <w:r>
        <w:rPr>
          <w:rFonts w:hint="eastAsia" w:asciiTheme="minorEastAsia" w:hAnsiTheme="minorEastAsia" w:eastAsiaTheme="minorEastAsia" w:cstheme="minorEastAsia"/>
          <w:b/>
          <w:lang w:val="zh-CN"/>
        </w:rPr>
        <w:t>残疾人福利性单位声明函（若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36"/>
    </w:p>
    <w:p>
      <w:pPr>
        <w:pStyle w:val="15"/>
        <w:spacing w:line="360" w:lineRule="auto"/>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pPr>
        <w:pStyle w:val="15"/>
        <w:spacing w:line="360" w:lineRule="auto"/>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     （供应商）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rPr>
        <w:t xml:space="preserve">     （采购人）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本单位对上述声明的真实性负责。如有虚假，将依法承担相应责任。</w:t>
      </w:r>
    </w:p>
    <w:p>
      <w:pPr>
        <w:pStyle w:val="15"/>
        <w:spacing w:line="360" w:lineRule="auto"/>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1、供应商所投货物为自己制造的，也应按本声明函格式填写。</w:t>
      </w:r>
    </w:p>
    <w:p>
      <w:pPr>
        <w:pStyle w:val="15"/>
        <w:spacing w:line="360" w:lineRule="auto"/>
        <w:ind w:left="1033" w:leftChars="342" w:hanging="315" w:hangingChars="150"/>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pPr>
        <w:pStyle w:val="15"/>
        <w:spacing w:line="360" w:lineRule="auto"/>
        <w:ind w:left="1033" w:leftChars="342" w:hanging="315" w:hangingChars="15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rPr>
        <w:t>3、如以联合体方式参与本项目响应的供应商，则应由联合体双方签字盖章。</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时                 间：           年          月          日</w:t>
      </w:r>
    </w:p>
    <w:p>
      <w:p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br w:type="textWrapping"/>
      </w:r>
      <w:r>
        <w:rPr>
          <w:rFonts w:hint="eastAsia" w:asciiTheme="minorEastAsia" w:hAnsiTheme="minorEastAsia" w:eastAsiaTheme="minorEastAsia" w:cstheme="minorEastAsia"/>
          <w:szCs w:val="21"/>
          <w:lang w:val="zh-CN"/>
        </w:rPr>
        <w:t>备注：享受政府采购支持政策的残疾人福利性单位应当同时满足以下条件：</w:t>
      </w:r>
    </w:p>
    <w:p>
      <w:pPr>
        <w:numPr>
          <w:ilvl w:val="0"/>
          <w:numId w:val="47"/>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安置的残疾人占本单位在职职工人数的比例不低于 25%（含 25%），并且安置的残疾人人数不少于 10 人（含 10 人）；</w:t>
      </w:r>
    </w:p>
    <w:p>
      <w:pPr>
        <w:numPr>
          <w:ilvl w:val="0"/>
          <w:numId w:val="47"/>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依法与安置的每位残疾人签订了一年以上（含一年）的劳动合同或服务协议；</w:t>
      </w:r>
    </w:p>
    <w:p>
      <w:pPr>
        <w:numPr>
          <w:ilvl w:val="0"/>
          <w:numId w:val="47"/>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为安置的每位残疾人按月足额缴纳了基本养老保险、基本医疗保险、失业保险、工伤保险和生育保险等社会保险费；</w:t>
      </w:r>
    </w:p>
    <w:p>
      <w:pPr>
        <w:numPr>
          <w:ilvl w:val="0"/>
          <w:numId w:val="47"/>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通过银行等金融机构向安置的每位残疾人，按月支付了不低于单位所在区县适用的经省级人民政府批准的月最低工资标准的工资；</w:t>
      </w:r>
    </w:p>
    <w:p>
      <w:pPr>
        <w:numPr>
          <w:ilvl w:val="0"/>
          <w:numId w:val="47"/>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360" w:lineRule="auto"/>
        <w:jc w:val="center"/>
        <w:outlineLvl w:val="1"/>
        <w:rPr>
          <w:rFonts w:asciiTheme="minorEastAsia" w:hAnsiTheme="minorEastAsia" w:eastAsiaTheme="minorEastAsia" w:cstheme="minorEastAsia"/>
          <w:bCs/>
          <w:szCs w:val="21"/>
          <w:u w:val="single"/>
        </w:rPr>
      </w:pPr>
      <w:bookmarkStart w:id="237" w:name="_Toc20592"/>
      <w:r>
        <w:rPr>
          <w:rFonts w:hint="eastAsia" w:asciiTheme="minorEastAsia" w:hAnsiTheme="minorEastAsia" w:eastAsiaTheme="minorEastAsia" w:cstheme="minorEastAsia"/>
          <w:b/>
        </w:rPr>
        <w:t>十九、节能环保产品证明材料（若符合）</w:t>
      </w:r>
      <w:bookmarkEnd w:id="237"/>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（1）节能产品：</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属强制采购或优先采购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（2）环保产品：</w:t>
      </w:r>
    </w:p>
    <w:tbl>
      <w:tblPr>
        <w:tblStyle w:val="2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rPr>
        <w:t>注：供应商所提供产品如为节能环保产品，则应按本磋商文件第四章“政策支持”提供相关证明材料，并将节能、环保产品分别列入上表中，未填写本表或未提供有效认证证书的不给予价格扣除。</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br w:type="textWrapping"/>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before="100" w:beforeAutospacing="1" w:after="100" w:afterAutospacing="1"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u w:val="single"/>
        </w:rPr>
        <w:br w:type="textWrapping"/>
      </w:r>
    </w:p>
    <w:p>
      <w:pPr>
        <w:adjustRightInd w:val="0"/>
        <w:snapToGrid w:val="0"/>
        <w:spacing w:line="360" w:lineRule="auto"/>
        <w:jc w:val="center"/>
        <w:outlineLvl w:val="1"/>
        <w:rPr>
          <w:rFonts w:asciiTheme="minorEastAsia" w:hAnsiTheme="minorEastAsia" w:eastAsiaTheme="minorEastAsia" w:cstheme="minorEastAsia"/>
          <w:b/>
        </w:rPr>
      </w:pPr>
      <w:bookmarkStart w:id="238" w:name="_Toc12167"/>
      <w:r>
        <w:rPr>
          <w:rFonts w:hint="eastAsia" w:asciiTheme="minorEastAsia" w:hAnsiTheme="minorEastAsia" w:eastAsiaTheme="minorEastAsia" w:cstheme="minorEastAsia"/>
          <w:b/>
          <w:bCs/>
          <w:spacing w:val="6"/>
          <w:szCs w:val="21"/>
        </w:rPr>
        <w:t>二十、</w:t>
      </w:r>
      <w:r>
        <w:rPr>
          <w:rFonts w:hint="eastAsia" w:asciiTheme="minorEastAsia" w:hAnsiTheme="minorEastAsia" w:eastAsiaTheme="minorEastAsia" w:cstheme="minorEastAsia"/>
          <w:b/>
        </w:rPr>
        <w:t>无重大违法记录声明</w:t>
      </w:r>
      <w:bookmarkEnd w:id="231"/>
      <w:bookmarkEnd w:id="232"/>
      <w:bookmarkEnd w:id="233"/>
      <w:bookmarkEnd w:id="234"/>
      <w:bookmarkEnd w:id="235"/>
      <w:bookmarkEnd w:id="238"/>
    </w:p>
    <w:p>
      <w:pPr>
        <w:spacing w:line="480" w:lineRule="auto"/>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（磋商供应商应在此基础上，根据本单位实际情况进行声明）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采购人和采购代理机构：</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我方在此声明，我方在参加本</w:t>
      </w:r>
      <w:r>
        <w:rPr>
          <w:rFonts w:hint="eastAsia" w:asciiTheme="minorEastAsia" w:hAnsiTheme="minorEastAsia" w:eastAsiaTheme="minorEastAsia" w:cstheme="minorEastAsia"/>
          <w:kern w:val="0"/>
          <w:szCs w:val="21"/>
          <w:shd w:val="clear" w:color="auto" w:fill="FFFFFF"/>
        </w:rPr>
        <w:t>次政府采购活动前三年内，在经营活动中没有以下重大违法记录：</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1.我方因违法经营被追究过刑事责任；</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2.我方因违法经营被责令停产停业、吊销许可证或者执照；</w:t>
      </w:r>
    </w:p>
    <w:p>
      <w:pPr>
        <w:spacing w:line="48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3.我方因违法经营被处以较大数额罚款等行政处罚；</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4.不良经济纠纷记录和违法行为。</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特此声明！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line="36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line="360" w:lineRule="auto"/>
        <w:ind w:firstLine="420" w:firstLineChars="200"/>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注：发生的诉讼和仲裁情况仅限于供应商败诉的，且与经营活动有关的案件，不包括调解结案的案件。与经营活动有关，但尚未裁决或终审判决的案件请单独另附《情况说明》（说明内容：案件当事人、基本案情）。</w:t>
      </w:r>
      <w:r>
        <w:rPr>
          <w:rFonts w:hint="eastAsia" w:asciiTheme="minorEastAsia" w:hAnsiTheme="minorEastAsia" w:eastAsiaTheme="minorEastAsia" w:cstheme="minorEastAsia"/>
          <w:kern w:val="0"/>
          <w:szCs w:val="21"/>
          <w:shd w:val="clear" w:color="auto" w:fill="FFFFFF"/>
        </w:rPr>
        <w:br w:type="textWrapping"/>
      </w:r>
    </w:p>
    <w:p>
      <w:pPr>
        <w:jc w:val="center"/>
        <w:outlineLvl w:val="1"/>
        <w:rPr>
          <w:rFonts w:asciiTheme="minorEastAsia" w:hAnsiTheme="minorEastAsia" w:eastAsiaTheme="minorEastAsia" w:cstheme="minorEastAsia"/>
          <w:spacing w:val="6"/>
          <w:szCs w:val="21"/>
        </w:rPr>
      </w:pPr>
      <w:bookmarkStart w:id="239" w:name="_Toc10829"/>
      <w:bookmarkStart w:id="240" w:name="_Toc16157"/>
      <w:r>
        <w:rPr>
          <w:rFonts w:hint="eastAsia" w:asciiTheme="minorEastAsia" w:hAnsiTheme="minorEastAsia" w:eastAsiaTheme="minorEastAsia" w:cstheme="minorEastAsia"/>
          <w:kern w:val="0"/>
          <w:szCs w:val="21"/>
          <w:shd w:val="clear" w:color="auto" w:fill="FFFFFF"/>
        </w:rPr>
        <w:br w:type="textWrapping"/>
      </w:r>
      <w:r>
        <w:rPr>
          <w:rFonts w:hint="eastAsia" w:asciiTheme="minorEastAsia" w:hAnsiTheme="minorEastAsia" w:eastAsiaTheme="minorEastAsia" w:cstheme="minorEastAsia"/>
          <w:b/>
          <w:bCs/>
          <w:kern w:val="0"/>
          <w:szCs w:val="21"/>
          <w:shd w:val="clear" w:color="auto" w:fill="FFFFFF"/>
        </w:rPr>
        <w:t>二十一、磋商供应商认为应该提交的其它文件（格式自拟）</w:t>
      </w:r>
      <w:bookmarkEnd w:id="239"/>
      <w:r>
        <w:rPr>
          <w:rFonts w:hint="eastAsia" w:asciiTheme="minorEastAsia" w:hAnsiTheme="minorEastAsia" w:eastAsiaTheme="minorEastAsia" w:cstheme="minorEastAsia"/>
          <w:b/>
          <w:bCs/>
          <w:kern w:val="0"/>
          <w:szCs w:val="21"/>
          <w:shd w:val="clear" w:color="auto" w:fill="FFFFFF"/>
        </w:rPr>
        <w:br w:type="textWrapping"/>
      </w:r>
      <w:bookmarkEnd w:id="240"/>
    </w:p>
    <w:tbl>
      <w:tblPr>
        <w:tblStyle w:val="26"/>
        <w:tblW w:w="5484" w:type="pct"/>
        <w:tblInd w:w="-466" w:type="dxa"/>
        <w:tblLayout w:type="fixed"/>
        <w:tblCellMar>
          <w:top w:w="0" w:type="dxa"/>
          <w:left w:w="0" w:type="dxa"/>
          <w:bottom w:w="0" w:type="dxa"/>
          <w:right w:w="0" w:type="dxa"/>
        </w:tblCellMar>
      </w:tblPr>
      <w:tblGrid>
        <w:gridCol w:w="1163"/>
        <w:gridCol w:w="662"/>
        <w:gridCol w:w="760"/>
        <w:gridCol w:w="819"/>
        <w:gridCol w:w="665"/>
        <w:gridCol w:w="783"/>
        <w:gridCol w:w="783"/>
        <w:gridCol w:w="657"/>
        <w:gridCol w:w="767"/>
        <w:gridCol w:w="747"/>
        <w:gridCol w:w="793"/>
        <w:gridCol w:w="685"/>
        <w:gridCol w:w="699"/>
      </w:tblGrid>
      <w:tr>
        <w:tblPrEx>
          <w:tblCellMar>
            <w:top w:w="0" w:type="dxa"/>
            <w:left w:w="0" w:type="dxa"/>
            <w:bottom w:w="0" w:type="dxa"/>
            <w:right w:w="0" w:type="dxa"/>
          </w:tblCellMar>
        </w:tblPrEx>
        <w:trPr>
          <w:trHeight w:val="720" w:hRule="atLeast"/>
          <w:tblHeader/>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widowControl/>
              <w:jc w:val="center"/>
              <w:textAlignment w:val="center"/>
              <w:rPr>
                <w:rFonts w:ascii="黑体" w:hAnsi="宋体" w:eastAsia="黑体" w:cs="黑体"/>
                <w:b/>
                <w:sz w:val="40"/>
                <w:szCs w:val="40"/>
              </w:rPr>
            </w:pPr>
            <w:r>
              <w:rPr>
                <w:rFonts w:hint="eastAsia" w:ascii="黑体" w:hAnsi="宋体" w:eastAsia="黑体" w:cs="黑体"/>
                <w:b/>
                <w:kern w:val="0"/>
                <w:sz w:val="40"/>
                <w:szCs w:val="40"/>
                <w:lang w:bidi="ar"/>
              </w:rPr>
              <w:t>中小企业划型标准规定（工信部联企业[2011]300号）</w:t>
            </w:r>
          </w:p>
        </w:tc>
      </w:tr>
      <w:tr>
        <w:tblPrEx>
          <w:tblCellMar>
            <w:top w:w="0" w:type="dxa"/>
            <w:left w:w="0" w:type="dxa"/>
            <w:bottom w:w="0" w:type="dxa"/>
            <w:right w:w="0" w:type="dxa"/>
          </w:tblCellMar>
        </w:tblPrEx>
        <w:trPr>
          <w:trHeight w:val="270" w:hRule="atLeast"/>
          <w:tblHeader/>
        </w:trPr>
        <w:tc>
          <w:tcPr>
            <w:tcW w:w="583" w:type="pct"/>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行业</w:t>
            </w:r>
          </w:p>
        </w:tc>
        <w:tc>
          <w:tcPr>
            <w:tcW w:w="1123"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中小微型企业（</w:t>
            </w:r>
            <w:r>
              <w:rPr>
                <w:rFonts w:hint="eastAsia" w:ascii="宋体" w:hAnsi="宋体" w:cs="宋体"/>
                <w:b/>
                <w:kern w:val="0"/>
                <w:szCs w:val="21"/>
                <w:lang w:bidi="ar"/>
              </w:rPr>
              <w:t>或</w:t>
            </w:r>
            <w:r>
              <w:rPr>
                <w:rFonts w:hint="eastAsia" w:ascii="宋体" w:hAnsi="宋体" w:cs="宋体"/>
                <w:kern w:val="0"/>
                <w:szCs w:val="21"/>
                <w:lang w:bidi="ar"/>
              </w:rPr>
              <w:t>）</w:t>
            </w:r>
          </w:p>
        </w:tc>
        <w:tc>
          <w:tcPr>
            <w:tcW w:w="111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中型企业（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小型企业（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8"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微型企业（</w:t>
            </w:r>
            <w:r>
              <w:rPr>
                <w:rFonts w:hint="eastAsia" w:ascii="宋体" w:hAnsi="宋体" w:cs="宋体"/>
                <w:b/>
                <w:kern w:val="0"/>
                <w:szCs w:val="21"/>
                <w:lang w:bidi="ar"/>
              </w:rPr>
              <w:t>或</w:t>
            </w:r>
            <w:r>
              <w:rPr>
                <w:rFonts w:hint="eastAsia" w:ascii="宋体" w:hAnsi="宋体" w:cs="宋体"/>
                <w:kern w:val="0"/>
                <w:szCs w:val="21"/>
                <w:lang w:bidi="ar"/>
              </w:rPr>
              <w:t>）</w:t>
            </w:r>
          </w:p>
        </w:tc>
      </w:tr>
      <w:tr>
        <w:tblPrEx>
          <w:tblCellMar>
            <w:top w:w="0" w:type="dxa"/>
            <w:left w:w="0" w:type="dxa"/>
            <w:bottom w:w="0" w:type="dxa"/>
            <w:right w:w="0" w:type="dxa"/>
          </w:tblCellMar>
        </w:tblPrEx>
        <w:trPr>
          <w:trHeight w:val="270" w:hRule="atLeast"/>
          <w:tblHeader/>
        </w:trPr>
        <w:tc>
          <w:tcPr>
            <w:tcW w:w="583" w:type="pct"/>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农、林、牧、渔业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工业（包括采矿业，制造业，电力、热力、燃气及水生产和供应业）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建筑业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6000万元及以上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批发业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零售业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交通运输业（不含铁路运输业）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仓储业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邮政业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住宿业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餐饮业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信息传输业（包括电信、互联网和相关服务）</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软件和信息技术服务业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房地产开发经营</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200000万元以下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物业管理</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租赁和商务服务业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120000万元以下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r>
      <w:tr>
        <w:tblPrEx>
          <w:tblCellMar>
            <w:top w:w="0" w:type="dxa"/>
            <w:left w:w="0" w:type="dxa"/>
            <w:bottom w:w="0" w:type="dxa"/>
            <w:right w:w="0" w:type="dxa"/>
          </w:tblCellMar>
        </w:tblPrEx>
        <w:trPr>
          <w:trHeight w:val="1065" w:hRule="atLeast"/>
        </w:trPr>
        <w:tc>
          <w:tcPr>
            <w:tcW w:w="583" w:type="pct"/>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其他未列明行业（包括科学研究和技术服务业，水利、环境和公共设施管理业，居民服务、修理和其他服务业，社会工作，文化、体育和娱乐业等）</w:t>
            </w:r>
          </w:p>
        </w:tc>
        <w:tc>
          <w:tcPr>
            <w:tcW w:w="33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szCs w:val="21"/>
              </w:rPr>
            </w:pPr>
            <w:r>
              <w:rPr>
                <w:rFonts w:hint="eastAsia" w:ascii="宋体" w:hAnsi="宋体" w:cs="宋体"/>
                <w:kern w:val="0"/>
                <w:szCs w:val="21"/>
                <w:lang w:bidi="ar"/>
              </w:rPr>
              <w:t>本规定适用于在中华人民共和国境内依法设立的各类所有制和各种组织形式的企业。</w:t>
            </w:r>
            <w:r>
              <w:rPr>
                <w:rFonts w:hint="eastAsia" w:ascii="宋体" w:hAnsi="宋体" w:cs="宋体"/>
                <w:b/>
                <w:kern w:val="0"/>
                <w:szCs w:val="21"/>
                <w:lang w:bidi="ar"/>
              </w:rPr>
              <w:t>个体工商户</w:t>
            </w:r>
            <w:r>
              <w:rPr>
                <w:rFonts w:hint="eastAsia" w:ascii="宋体" w:hAnsi="宋体" w:cs="宋体"/>
                <w:kern w:val="0"/>
                <w:szCs w:val="21"/>
                <w:lang w:bidi="ar"/>
              </w:rPr>
              <w:t>和本规定以外的行业，参照本规定进行划型。</w:t>
            </w: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color w:val="000000"/>
                <w:szCs w:val="21"/>
              </w:rPr>
            </w:pPr>
            <w:r>
              <w:rPr>
                <w:rFonts w:hint="eastAsia" w:ascii="宋体" w:hAnsi="宋体" w:cs="宋体"/>
                <w:color w:val="000000"/>
                <w:kern w:val="0"/>
                <w:szCs w:val="21"/>
                <w:lang w:bidi="ar"/>
              </w:rPr>
              <w:t>本规定的中型企业标准上限即为大型企业标准的下限，国家统计部门据此制定大中小微型企业的统计分类。国务院有关部门据此进行相关数据分析，不得制定与本规定不一致的企业划型标准。</w:t>
            </w:r>
          </w:p>
        </w:tc>
      </w:tr>
    </w:tbl>
    <w:p>
      <w:pPr>
        <w:jc w:val="center"/>
        <w:outlineLvl w:val="1"/>
        <w:rPr>
          <w:rFonts w:asciiTheme="minorEastAsia" w:hAnsiTheme="minorEastAsia" w:eastAsiaTheme="minorEastAsia" w:cstheme="minorEastAsia"/>
          <w:spacing w:val="6"/>
          <w:szCs w:val="21"/>
        </w:rPr>
      </w:pPr>
    </w:p>
    <w:sectPr>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Consolas">
    <w:panose1 w:val="020B0609020204030204"/>
    <w:charset w:val="00"/>
    <w:family w:val="modern"/>
    <w:pitch w:val="default"/>
    <w:sig w:usb0="E10002FF" w:usb1="4000FCFF" w:usb2="00000009" w:usb3="00000000" w:csb0="6000019F" w:csb1="DFD70000"/>
  </w:font>
  <w:font w:name="Verdana">
    <w:panose1 w:val="020B0604030504040204"/>
    <w:charset w:val="00"/>
    <w:family w:val="swiss"/>
    <w:pitch w:val="default"/>
    <w:sig w:usb0="A10006FF" w:usb1="4000205B" w:usb2="00000010" w:usb3="00000000" w:csb0="2000019F" w:csb1="00000000"/>
  </w:font>
  <w:font w:name="font-weight : 400">
    <w:altName w:val="Courier New"/>
    <w:panose1 w:val="00000000000000000000"/>
    <w:charset w:val="00"/>
    <w:family w:val="auto"/>
    <w:pitch w:val="default"/>
    <w:sig w:usb0="00000000" w:usb1="00000000" w:usb2="00000000" w:usb3="00000000" w:csb0="00040001" w:csb1="00000000"/>
  </w:font>
  <w:font w:name="MS Shell Dlg">
    <w:altName w:val="Microsoft Sans Serif"/>
    <w:panose1 w:val="020B0604020202020204"/>
    <w:charset w:val="00"/>
    <w:family w:val="swiss"/>
    <w:pitch w:val="default"/>
    <w:sig w:usb0="00000000" w:usb1="00000000" w:usb2="00000008" w:usb3="00000000" w:csb0="000101FF" w:csb1="00000000"/>
  </w:font>
  <w:font w:name="Microsoft Sans Serif">
    <w:panose1 w:val="020B0604020202020204"/>
    <w:charset w:val="00"/>
    <w:family w:val="auto"/>
    <w:pitch w:val="default"/>
    <w:sig w:usb0="E1002AFF" w:usb1="C0000002" w:usb2="00000008" w:usb3="00000000" w:csb0="200101FF" w:csb1="2028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right" w:y="1"/>
      <w:rPr>
        <w:rStyle w:val="30"/>
      </w:rPr>
    </w:pPr>
    <w:r>
      <w:fldChar w:fldCharType="begin"/>
    </w:r>
    <w:r>
      <w:rPr>
        <w:rStyle w:val="30"/>
      </w:rPr>
      <w:instrText xml:space="preserve">PAGE  </w:instrText>
    </w:r>
    <w:r>
      <w:fldChar w:fldCharType="end"/>
    </w:r>
  </w:p>
  <w:p>
    <w:pPr>
      <w:pStyle w:val="1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fldChar w:fldCharType="begin"/>
    </w:r>
    <w:r>
      <w:instrText xml:space="preserve"> PAGE   \* MERGEFORMAT </w:instrText>
    </w:r>
    <w:r>
      <w:fldChar w:fldCharType="separate"/>
    </w:r>
    <w:r>
      <w:rPr>
        <w:lang w:val="zh-CN"/>
      </w:rPr>
      <w:t>30</w:t>
    </w:r>
    <w:r>
      <w:fldChar w:fldCharType="end"/>
    </w:r>
  </w:p>
  <w:p>
    <w:pPr>
      <w:pStyle w:val="1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pict>
        <v:shape id="PowerPlusWaterMarkObject2" o:spid="_x0000_s2049" o:spt="136" type="#_x0000_t136" style="position:absolute;left:0pt;height:200.25pt;width:600.75pt;mso-position-horizontal:center;mso-position-horizontal-relative:page;mso-position-vertical:center;mso-position-vertical-relative:page;rotation:20643840f;z-index:-251657216;mso-width-relative:page;mso-height-relative:page;" fillcolor="#FF0000" filled="t" stroked="f" coordsize="21600,21600" o:allowincell="f">
          <v:path/>
          <v:fill on="t" opacity="32768f" focussize="0,0"/>
          <v:stroke on="f"/>
          <v:imagedata o:title=""/>
          <o:lock v:ext="edit" text="f"/>
          <v:textpath on="t" fitshape="t" fitpath="t" trim="t" xscale="f" string="第一稿" style="font-family:宋体;font-size:9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57A492"/>
    <w:multiLevelType w:val="singleLevel"/>
    <w:tmpl w:val="D757A492"/>
    <w:lvl w:ilvl="0" w:tentative="0">
      <w:start w:val="1"/>
      <w:numFmt w:val="decimal"/>
      <w:suff w:val="space"/>
      <w:lvlText w:val="%1）"/>
      <w:lvlJc w:val="left"/>
    </w:lvl>
  </w:abstractNum>
  <w:abstractNum w:abstractNumId="1">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2">
    <w:nsid w:val="00F67C5B"/>
    <w:multiLevelType w:val="multilevel"/>
    <w:tmpl w:val="00F67C5B"/>
    <w:lvl w:ilvl="0" w:tentative="0">
      <w:start w:val="8"/>
      <w:numFmt w:val="decimal"/>
      <w:lvlText w:val="%1"/>
      <w:lvlJc w:val="left"/>
      <w:pPr>
        <w:tabs>
          <w:tab w:val="left" w:pos="360"/>
        </w:tabs>
        <w:ind w:left="360" w:hanging="360"/>
      </w:pPr>
      <w:rPr>
        <w:rFonts w:hint="default"/>
        <w:b/>
      </w:rPr>
    </w:lvl>
    <w:lvl w:ilvl="1" w:tentative="0">
      <w:start w:val="1"/>
      <w:numFmt w:val="decimal"/>
      <w:lvlText w:val="%1.%2"/>
      <w:lvlJc w:val="left"/>
      <w:pPr>
        <w:tabs>
          <w:tab w:val="left" w:pos="360"/>
        </w:tabs>
        <w:ind w:left="360" w:hanging="360"/>
      </w:pPr>
      <w:rPr>
        <w:rFonts w:hint="default"/>
        <w:b w:val="0"/>
      </w:rPr>
    </w:lvl>
    <w:lvl w:ilvl="2" w:tentative="0">
      <w:start w:val="1"/>
      <w:numFmt w:val="decimal"/>
      <w:lvlText w:val="%1.%2.%3"/>
      <w:lvlJc w:val="left"/>
      <w:pPr>
        <w:tabs>
          <w:tab w:val="left" w:pos="720"/>
        </w:tabs>
        <w:ind w:left="720" w:hanging="720"/>
      </w:pPr>
      <w:rPr>
        <w:rFonts w:hint="default"/>
        <w:b/>
      </w:rPr>
    </w:lvl>
    <w:lvl w:ilvl="3" w:tentative="0">
      <w:start w:val="1"/>
      <w:numFmt w:val="decimal"/>
      <w:lvlText w:val="%1.%2.%3.%4"/>
      <w:lvlJc w:val="left"/>
      <w:pPr>
        <w:tabs>
          <w:tab w:val="left" w:pos="1080"/>
        </w:tabs>
        <w:ind w:left="1080" w:hanging="1080"/>
      </w:pPr>
      <w:rPr>
        <w:rFonts w:hint="default"/>
        <w:b/>
      </w:rPr>
    </w:lvl>
    <w:lvl w:ilvl="4" w:tentative="0">
      <w:start w:val="1"/>
      <w:numFmt w:val="decimal"/>
      <w:lvlText w:val="%1.%2.%3.%4.%5"/>
      <w:lvlJc w:val="left"/>
      <w:pPr>
        <w:tabs>
          <w:tab w:val="left" w:pos="1080"/>
        </w:tabs>
        <w:ind w:left="1080" w:hanging="1080"/>
      </w:pPr>
      <w:rPr>
        <w:rFonts w:hint="default"/>
        <w:b/>
      </w:rPr>
    </w:lvl>
    <w:lvl w:ilvl="5" w:tentative="0">
      <w:start w:val="1"/>
      <w:numFmt w:val="decimal"/>
      <w:lvlText w:val="%1.%2.%3.%4.%5.%6"/>
      <w:lvlJc w:val="left"/>
      <w:pPr>
        <w:tabs>
          <w:tab w:val="left" w:pos="1440"/>
        </w:tabs>
        <w:ind w:left="1440" w:hanging="1440"/>
      </w:pPr>
      <w:rPr>
        <w:rFonts w:hint="default"/>
        <w:b/>
      </w:rPr>
    </w:lvl>
    <w:lvl w:ilvl="6" w:tentative="0">
      <w:start w:val="1"/>
      <w:numFmt w:val="decimal"/>
      <w:lvlText w:val="%1.%2.%3.%4.%5.%6.%7"/>
      <w:lvlJc w:val="left"/>
      <w:pPr>
        <w:tabs>
          <w:tab w:val="left" w:pos="1440"/>
        </w:tabs>
        <w:ind w:left="1440" w:hanging="1440"/>
      </w:pPr>
      <w:rPr>
        <w:rFonts w:hint="default"/>
        <w:b/>
      </w:rPr>
    </w:lvl>
    <w:lvl w:ilvl="7" w:tentative="0">
      <w:start w:val="1"/>
      <w:numFmt w:val="decimal"/>
      <w:lvlText w:val="%1.%2.%3.%4.%5.%6.%7.%8"/>
      <w:lvlJc w:val="left"/>
      <w:pPr>
        <w:tabs>
          <w:tab w:val="left" w:pos="1800"/>
        </w:tabs>
        <w:ind w:left="1800" w:hanging="1800"/>
      </w:pPr>
      <w:rPr>
        <w:rFonts w:hint="default"/>
        <w:b/>
      </w:rPr>
    </w:lvl>
    <w:lvl w:ilvl="8" w:tentative="0">
      <w:start w:val="1"/>
      <w:numFmt w:val="decimal"/>
      <w:lvlText w:val="%1.%2.%3.%4.%5.%6.%7.%8.%9"/>
      <w:lvlJc w:val="left"/>
      <w:pPr>
        <w:tabs>
          <w:tab w:val="left" w:pos="1800"/>
        </w:tabs>
        <w:ind w:left="1800" w:hanging="1800"/>
      </w:pPr>
      <w:rPr>
        <w:rFonts w:hint="default"/>
        <w:b/>
      </w:rPr>
    </w:lvl>
  </w:abstractNum>
  <w:abstractNum w:abstractNumId="3">
    <w:nsid w:val="044F5BAD"/>
    <w:multiLevelType w:val="singleLevel"/>
    <w:tmpl w:val="044F5BAD"/>
    <w:lvl w:ilvl="0" w:tentative="0">
      <w:start w:val="1"/>
      <w:numFmt w:val="decimal"/>
      <w:suff w:val="nothing"/>
      <w:lvlText w:val="（%1）"/>
      <w:lvlJc w:val="left"/>
    </w:lvl>
  </w:abstractNum>
  <w:abstractNum w:abstractNumId="4">
    <w:nsid w:val="056E0DFC"/>
    <w:multiLevelType w:val="multilevel"/>
    <w:tmpl w:val="056E0DFC"/>
    <w:lvl w:ilvl="0" w:tentative="0">
      <w:start w:val="1"/>
      <w:numFmt w:val="decimal"/>
      <w:lvlText w:val="%1、"/>
      <w:lvlJc w:val="left"/>
      <w:pPr>
        <w:ind w:left="345" w:hanging="34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6F92C31"/>
    <w:multiLevelType w:val="multilevel"/>
    <w:tmpl w:val="06F92C31"/>
    <w:lvl w:ilvl="0" w:tentative="0">
      <w:start w:val="10"/>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6">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7">
    <w:nsid w:val="11726340"/>
    <w:multiLevelType w:val="multilevel"/>
    <w:tmpl w:val="11726340"/>
    <w:lvl w:ilvl="0" w:tentative="0">
      <w:start w:val="15"/>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8">
    <w:nsid w:val="118D7FF0"/>
    <w:multiLevelType w:val="multilevel"/>
    <w:tmpl w:val="118D7FF0"/>
    <w:lvl w:ilvl="0" w:tentative="0">
      <w:start w:val="1"/>
      <w:numFmt w:val="chineseCountingThousand"/>
      <w:lvlText w:val="%1、"/>
      <w:lvlJc w:val="left"/>
      <w:pPr>
        <w:tabs>
          <w:tab w:val="left" w:pos="425"/>
        </w:tabs>
        <w:ind w:left="425" w:firstLine="0"/>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hAnsi="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156E5987"/>
    <w:multiLevelType w:val="multilevel"/>
    <w:tmpl w:val="156E5987"/>
    <w:lvl w:ilvl="0" w:tentative="0">
      <w:start w:val="19"/>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0">
    <w:nsid w:val="15907297"/>
    <w:multiLevelType w:val="multilevel"/>
    <w:tmpl w:val="15907297"/>
    <w:lvl w:ilvl="0" w:tentative="0">
      <w:start w:val="1"/>
      <w:numFmt w:val="decimal"/>
      <w:pStyle w:val="85"/>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pStyle w:val="97"/>
      <w:lvlText w:val="%1.%2.%3"/>
      <w:lvlJc w:val="left"/>
      <w:pPr>
        <w:tabs>
          <w:tab w:val="left" w:pos="720"/>
        </w:tabs>
        <w:ind w:left="720" w:hanging="153"/>
      </w:pPr>
      <w:rPr>
        <w:rFonts w:hint="eastAsia"/>
      </w:rPr>
    </w:lvl>
    <w:lvl w:ilvl="3" w:tentative="0">
      <w:start w:val="1"/>
      <w:numFmt w:val="decimal"/>
      <w:pStyle w:val="84"/>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1">
    <w:nsid w:val="159114E6"/>
    <w:multiLevelType w:val="multilevel"/>
    <w:tmpl w:val="159114E6"/>
    <w:lvl w:ilvl="0" w:tentative="0">
      <w:start w:val="14"/>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2">
    <w:nsid w:val="179B3BE8"/>
    <w:multiLevelType w:val="multilevel"/>
    <w:tmpl w:val="179B3BE8"/>
    <w:lvl w:ilvl="0" w:tentative="0">
      <w:start w:val="1"/>
      <w:numFmt w:val="chineseCountingThousand"/>
      <w:lvlText w:val="%1、"/>
      <w:lvlJc w:val="left"/>
      <w:pPr>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97549D3"/>
    <w:multiLevelType w:val="multilevel"/>
    <w:tmpl w:val="197549D3"/>
    <w:lvl w:ilvl="0" w:tentative="0">
      <w:start w:val="1"/>
      <w:numFmt w:val="japaneseCounting"/>
      <w:lvlText w:val="第%1章"/>
      <w:lvlJc w:val="left"/>
      <w:pPr>
        <w:tabs>
          <w:tab w:val="left" w:pos="1305"/>
        </w:tabs>
        <w:ind w:left="1305" w:hanging="1305"/>
      </w:pPr>
      <w:rPr>
        <w:rFonts w:hint="default"/>
        <w:b/>
        <w:sz w:val="36"/>
        <w:szCs w:val="36"/>
      </w:rPr>
    </w:lvl>
    <w:lvl w:ilvl="1" w:tentative="0">
      <w:start w:val="1"/>
      <w:numFmt w:val="japaneseCounting"/>
      <w:lvlText w:val="%2、"/>
      <w:lvlJc w:val="left"/>
      <w:pPr>
        <w:tabs>
          <w:tab w:val="left" w:pos="840"/>
        </w:tabs>
        <w:ind w:left="840" w:hanging="420"/>
      </w:pPr>
      <w:rPr>
        <w:rFonts w:hint="default"/>
        <w:b/>
        <w:sz w:val="21"/>
        <w:szCs w:val="21"/>
      </w:rPr>
    </w:lvl>
    <w:lvl w:ilvl="2" w:tentative="0">
      <w:start w:val="6"/>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5">
    <w:nsid w:val="20BA2AF0"/>
    <w:multiLevelType w:val="singleLevel"/>
    <w:tmpl w:val="20BA2AF0"/>
    <w:lvl w:ilvl="0" w:tentative="0">
      <w:start w:val="1"/>
      <w:numFmt w:val="decimal"/>
      <w:suff w:val="space"/>
      <w:lvlText w:val="%1）"/>
      <w:lvlJc w:val="left"/>
    </w:lvl>
  </w:abstractNum>
  <w:abstractNum w:abstractNumId="16">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7">
    <w:nsid w:val="277F6DC9"/>
    <w:multiLevelType w:val="multilevel"/>
    <w:tmpl w:val="277F6DC9"/>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8">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91"/>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9">
    <w:nsid w:val="2C7A7351"/>
    <w:multiLevelType w:val="multilevel"/>
    <w:tmpl w:val="2C7A7351"/>
    <w:lvl w:ilvl="0" w:tentative="0">
      <w:start w:val="21"/>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0">
    <w:nsid w:val="2F576453"/>
    <w:multiLevelType w:val="multilevel"/>
    <w:tmpl w:val="2F576453"/>
    <w:lvl w:ilvl="0" w:tentative="0">
      <w:start w:val="12"/>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1">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22">
    <w:nsid w:val="359C51AA"/>
    <w:multiLevelType w:val="multilevel"/>
    <w:tmpl w:val="359C51AA"/>
    <w:lvl w:ilvl="0" w:tentative="0">
      <w:start w:val="18"/>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3">
    <w:nsid w:val="3903C853"/>
    <w:multiLevelType w:val="singleLevel"/>
    <w:tmpl w:val="3903C853"/>
    <w:lvl w:ilvl="0" w:tentative="0">
      <w:start w:val="2"/>
      <w:numFmt w:val="decimal"/>
      <w:suff w:val="nothing"/>
      <w:lvlText w:val="（%1）"/>
      <w:lvlJc w:val="left"/>
    </w:lvl>
  </w:abstractNum>
  <w:abstractNum w:abstractNumId="24">
    <w:nsid w:val="44274878"/>
    <w:multiLevelType w:val="multilevel"/>
    <w:tmpl w:val="44274878"/>
    <w:lvl w:ilvl="0" w:tentative="0">
      <w:start w:val="27"/>
      <w:numFmt w:val="decimal"/>
      <w:lvlText w:val="%1"/>
      <w:lvlJc w:val="left"/>
      <w:pPr>
        <w:ind w:left="360" w:hanging="360"/>
      </w:pPr>
      <w:rPr>
        <w:rFonts w:hint="default"/>
      </w:rPr>
    </w:lvl>
    <w:lvl w:ilvl="1" w:tentative="0">
      <w:start w:val="1"/>
      <w:numFmt w:val="decimal"/>
      <w:isLgl/>
      <w:lvlText w:val="%1.%2"/>
      <w:lvlJc w:val="left"/>
      <w:pPr>
        <w:ind w:left="510" w:hanging="510"/>
      </w:pPr>
      <w:rPr>
        <w:rFonts w:hint="default"/>
      </w:rPr>
    </w:lvl>
    <w:lvl w:ilvl="2" w:tentative="0">
      <w:start w:val="1"/>
      <w:numFmt w:val="decimal"/>
      <w:isLgl/>
      <w:lvlText w:val="%1.%2.%3"/>
      <w:lvlJc w:val="left"/>
      <w:pPr>
        <w:ind w:left="510" w:hanging="510"/>
      </w:pPr>
      <w:rPr>
        <w:rFonts w:hint="default"/>
      </w:rPr>
    </w:lvl>
    <w:lvl w:ilvl="3" w:tentative="0">
      <w:start w:val="1"/>
      <w:numFmt w:val="decimal"/>
      <w:isLgl/>
      <w:lvlText w:val="%1.%2.%3.%4"/>
      <w:lvlJc w:val="left"/>
      <w:pPr>
        <w:ind w:left="510" w:hanging="510"/>
      </w:pPr>
      <w:rPr>
        <w:rFonts w:hint="default"/>
      </w:rPr>
    </w:lvl>
    <w:lvl w:ilvl="4" w:tentative="0">
      <w:start w:val="1"/>
      <w:numFmt w:val="decimal"/>
      <w:isLgl/>
      <w:lvlText w:val="%1.%2.%3.%4.%5"/>
      <w:lvlJc w:val="left"/>
      <w:pPr>
        <w:ind w:left="510" w:hanging="510"/>
      </w:pPr>
      <w:rPr>
        <w:rFonts w:hint="default"/>
      </w:rPr>
    </w:lvl>
    <w:lvl w:ilvl="5" w:tentative="0">
      <w:start w:val="1"/>
      <w:numFmt w:val="decimal"/>
      <w:isLgl/>
      <w:lvlText w:val="%1.%2.%3.%4.%5.%6"/>
      <w:lvlJc w:val="left"/>
      <w:pPr>
        <w:ind w:left="510" w:hanging="510"/>
      </w:pPr>
      <w:rPr>
        <w:rFonts w:hint="default"/>
      </w:rPr>
    </w:lvl>
    <w:lvl w:ilvl="6" w:tentative="0">
      <w:start w:val="1"/>
      <w:numFmt w:val="decimal"/>
      <w:isLgl/>
      <w:lvlText w:val="%1.%2.%3.%4.%5.%6.%7"/>
      <w:lvlJc w:val="left"/>
      <w:pPr>
        <w:ind w:left="510" w:hanging="510"/>
      </w:pPr>
      <w:rPr>
        <w:rFonts w:hint="default"/>
      </w:rPr>
    </w:lvl>
    <w:lvl w:ilvl="7" w:tentative="0">
      <w:start w:val="1"/>
      <w:numFmt w:val="decimal"/>
      <w:isLgl/>
      <w:lvlText w:val="%1.%2.%3.%4.%5.%6.%7.%8"/>
      <w:lvlJc w:val="left"/>
      <w:pPr>
        <w:ind w:left="510" w:hanging="510"/>
      </w:pPr>
      <w:rPr>
        <w:rFonts w:hint="default"/>
      </w:rPr>
    </w:lvl>
    <w:lvl w:ilvl="8" w:tentative="0">
      <w:start w:val="1"/>
      <w:numFmt w:val="decimal"/>
      <w:isLgl/>
      <w:lvlText w:val="%1.%2.%3.%4.%5.%6.%7.%8.%9"/>
      <w:lvlJc w:val="left"/>
      <w:pPr>
        <w:ind w:left="510" w:hanging="510"/>
      </w:pPr>
      <w:rPr>
        <w:rFonts w:hint="default"/>
      </w:rPr>
    </w:lvl>
  </w:abstractNum>
  <w:abstractNum w:abstractNumId="25">
    <w:nsid w:val="46450AAB"/>
    <w:multiLevelType w:val="multilevel"/>
    <w:tmpl w:val="46450AAB"/>
    <w:lvl w:ilvl="0" w:tentative="0">
      <w:start w:val="11"/>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6">
    <w:nsid w:val="46C95EB7"/>
    <w:multiLevelType w:val="multilevel"/>
    <w:tmpl w:val="46C95EB7"/>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4"/>
      <w:numFmt w:val="decimal"/>
      <w:lvlText w:val="%5．"/>
      <w:lvlJc w:val="left"/>
      <w:pPr>
        <w:tabs>
          <w:tab w:val="left" w:pos="2460"/>
        </w:tabs>
        <w:ind w:left="2460" w:hanging="360"/>
      </w:pPr>
      <w:rPr>
        <w:rFonts w:hint="default"/>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7">
    <w:nsid w:val="48D858E8"/>
    <w:multiLevelType w:val="multilevel"/>
    <w:tmpl w:val="48D858E8"/>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28">
    <w:nsid w:val="4B331C36"/>
    <w:multiLevelType w:val="multilevel"/>
    <w:tmpl w:val="4B331C36"/>
    <w:lvl w:ilvl="0" w:tentative="0">
      <w:start w:val="1"/>
      <w:numFmt w:val="japaneseCounting"/>
      <w:pStyle w:val="96"/>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9">
    <w:nsid w:val="4F7C056F"/>
    <w:multiLevelType w:val="multilevel"/>
    <w:tmpl w:val="4F7C056F"/>
    <w:lvl w:ilvl="0" w:tentative="0">
      <w:start w:val="17"/>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0">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1">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32">
    <w:nsid w:val="55431039"/>
    <w:multiLevelType w:val="singleLevel"/>
    <w:tmpl w:val="55431039"/>
    <w:lvl w:ilvl="0" w:tentative="0">
      <w:start w:val="1"/>
      <w:numFmt w:val="chineseCounting"/>
      <w:suff w:val="nothing"/>
      <w:lvlText w:val="%1、"/>
      <w:lvlJc w:val="left"/>
      <w:rPr>
        <w:rFonts w:hint="eastAsia"/>
      </w:rPr>
    </w:lvl>
  </w:abstractNum>
  <w:abstractNum w:abstractNumId="33">
    <w:nsid w:val="57063C4C"/>
    <w:multiLevelType w:val="singleLevel"/>
    <w:tmpl w:val="57063C4C"/>
    <w:lvl w:ilvl="0" w:tentative="0">
      <w:start w:val="1"/>
      <w:numFmt w:val="decimal"/>
      <w:suff w:val="nothing"/>
      <w:lvlText w:val="%1．"/>
      <w:lvlJc w:val="left"/>
      <w:pPr>
        <w:ind w:left="26" w:firstLine="400"/>
      </w:pPr>
      <w:rPr>
        <w:rFonts w:hint="default"/>
      </w:rPr>
    </w:lvl>
  </w:abstractNum>
  <w:abstractNum w:abstractNumId="34">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5">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6">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7">
    <w:nsid w:val="615413D2"/>
    <w:multiLevelType w:val="multilevel"/>
    <w:tmpl w:val="615413D2"/>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8">
    <w:nsid w:val="68C50813"/>
    <w:multiLevelType w:val="multilevel"/>
    <w:tmpl w:val="68C50813"/>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9">
    <w:nsid w:val="6CEA2025"/>
    <w:multiLevelType w:val="multilevel"/>
    <w:tmpl w:val="6CEA2025"/>
    <w:lvl w:ilvl="0" w:tentative="0">
      <w:start w:val="1"/>
      <w:numFmt w:val="none"/>
      <w:pStyle w:val="73"/>
      <w:suff w:val="nothing"/>
      <w:lvlText w:val="%1"/>
      <w:lvlJc w:val="left"/>
      <w:pPr>
        <w:ind w:left="0" w:firstLine="0"/>
      </w:pPr>
      <w:rPr>
        <w:rFonts w:hint="default" w:ascii="Times New Roman" w:hAnsi="Times New Roman"/>
        <w:b/>
        <w:i w:val="0"/>
        <w:sz w:val="21"/>
      </w:rPr>
    </w:lvl>
    <w:lvl w:ilvl="1" w:tentative="0">
      <w:start w:val="1"/>
      <w:numFmt w:val="decimal"/>
      <w:pStyle w:val="76"/>
      <w:suff w:val="nothing"/>
      <w:lvlText w:val="%1%2　"/>
      <w:lvlJc w:val="left"/>
      <w:pPr>
        <w:ind w:left="180" w:firstLine="0"/>
      </w:pPr>
      <w:rPr>
        <w:rFonts w:hint="eastAsia" w:ascii="黑体" w:hAnsi="Times New Roman" w:eastAsia="黑体"/>
        <w:b/>
        <w:i w:val="0"/>
        <w:sz w:val="24"/>
        <w:szCs w:val="24"/>
      </w:rPr>
    </w:lvl>
    <w:lvl w:ilvl="2" w:tentative="0">
      <w:start w:val="1"/>
      <w:numFmt w:val="decimal"/>
      <w:pStyle w:val="82"/>
      <w:suff w:val="nothing"/>
      <w:lvlText w:val="%1%2.%3　"/>
      <w:lvlJc w:val="left"/>
      <w:pPr>
        <w:ind w:left="720" w:firstLine="0"/>
      </w:pPr>
      <w:rPr>
        <w:rFonts w:hint="eastAsia" w:ascii="黑体" w:hAnsi="Times New Roman" w:eastAsia="黑体"/>
        <w:b w:val="0"/>
        <w:i w:val="0"/>
        <w:sz w:val="21"/>
      </w:rPr>
    </w:lvl>
    <w:lvl w:ilvl="3" w:tentative="0">
      <w:start w:val="1"/>
      <w:numFmt w:val="decimal"/>
      <w:pStyle w:val="81"/>
      <w:suff w:val="nothing"/>
      <w:lvlText w:val="%1%2.4.%4　"/>
      <w:lvlJc w:val="left"/>
      <w:pPr>
        <w:ind w:left="420" w:firstLine="0"/>
      </w:pPr>
      <w:rPr>
        <w:rFonts w:hint="eastAsia" w:ascii="黑体" w:hAnsi="Times New Roman" w:eastAsia="黑体"/>
        <w:b w:val="0"/>
        <w:i w:val="0"/>
        <w:sz w:val="21"/>
      </w:rPr>
    </w:lvl>
    <w:lvl w:ilvl="4" w:tentative="0">
      <w:start w:val="1"/>
      <w:numFmt w:val="decimal"/>
      <w:pStyle w:val="88"/>
      <w:suff w:val="nothing"/>
      <w:lvlText w:val="5.%12.5.%5　"/>
      <w:lvlJc w:val="left"/>
      <w:pPr>
        <w:ind w:left="420" w:firstLine="0"/>
      </w:pPr>
      <w:rPr>
        <w:rFonts w:hint="eastAsia" w:ascii="黑体" w:hAnsi="Times New Roman" w:eastAsia="黑体"/>
        <w:b w:val="0"/>
        <w:i w:val="0"/>
        <w:sz w:val="21"/>
      </w:rPr>
    </w:lvl>
    <w:lvl w:ilvl="5" w:tentative="0">
      <w:start w:val="1"/>
      <w:numFmt w:val="decimal"/>
      <w:pStyle w:val="94"/>
      <w:suff w:val="nothing"/>
      <w:lvlText w:val="%1%2.%3.%4.%5.%6　"/>
      <w:lvlJc w:val="left"/>
      <w:pPr>
        <w:ind w:left="0" w:firstLine="0"/>
      </w:pPr>
      <w:rPr>
        <w:rFonts w:hint="eastAsia" w:ascii="黑体" w:hAnsi="Times New Roman" w:eastAsia="黑体"/>
        <w:b w:val="0"/>
        <w:i w:val="0"/>
        <w:sz w:val="21"/>
      </w:rPr>
    </w:lvl>
    <w:lvl w:ilvl="6" w:tentative="0">
      <w:start w:val="1"/>
      <w:numFmt w:val="decimal"/>
      <w:pStyle w:val="93"/>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0">
    <w:nsid w:val="6F113A89"/>
    <w:multiLevelType w:val="multilevel"/>
    <w:tmpl w:val="6F113A89"/>
    <w:lvl w:ilvl="0" w:tentative="0">
      <w:start w:val="16"/>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41">
    <w:nsid w:val="715F29F2"/>
    <w:multiLevelType w:val="multilevel"/>
    <w:tmpl w:val="715F29F2"/>
    <w:lvl w:ilvl="0" w:tentative="0">
      <w:start w:val="13"/>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2">
    <w:nsid w:val="76195D75"/>
    <w:multiLevelType w:val="multilevel"/>
    <w:tmpl w:val="76195D75"/>
    <w:lvl w:ilvl="0" w:tentative="0">
      <w:start w:val="28"/>
      <w:numFmt w:val="decimal"/>
      <w:lvlText w:val="%1、"/>
      <w:lvlJc w:val="left"/>
      <w:pPr>
        <w:ind w:left="465" w:hanging="4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762D7317"/>
    <w:multiLevelType w:val="multilevel"/>
    <w:tmpl w:val="762D7317"/>
    <w:lvl w:ilvl="0" w:tentative="0">
      <w:start w:val="22"/>
      <w:numFmt w:val="decimal"/>
      <w:lvlText w:val="%1"/>
      <w:lvlJc w:val="left"/>
      <w:pPr>
        <w:tabs>
          <w:tab w:val="left" w:pos="480"/>
        </w:tabs>
        <w:ind w:left="480" w:hanging="480"/>
      </w:pPr>
      <w:rPr>
        <w:rFonts w:hint="default"/>
      </w:rPr>
    </w:lvl>
    <w:lvl w:ilvl="1" w:tentative="0">
      <w:start w:val="1"/>
      <w:numFmt w:val="decimal"/>
      <w:lvlText w:val="%1.%2"/>
      <w:lvlJc w:val="left"/>
      <w:pPr>
        <w:tabs>
          <w:tab w:val="left" w:pos="840"/>
        </w:tabs>
        <w:ind w:left="84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4">
    <w:nsid w:val="7D1440D7"/>
    <w:multiLevelType w:val="multilevel"/>
    <w:tmpl w:val="7D1440D7"/>
    <w:lvl w:ilvl="0" w:tentative="0">
      <w:start w:val="1"/>
      <w:numFmt w:val="decimal"/>
      <w:lvlText w:val="%1）"/>
      <w:lvlJc w:val="left"/>
      <w:pPr>
        <w:tabs>
          <w:tab w:val="left" w:pos="2040"/>
        </w:tabs>
        <w:ind w:left="2040" w:hanging="360"/>
      </w:pPr>
      <w:rPr>
        <w:rFonts w:hint="default"/>
      </w:rPr>
    </w:lvl>
    <w:lvl w:ilvl="1" w:tentative="0">
      <w:start w:val="3"/>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eastAsia" w:ascii="宋体" w:hAnsi="宋体" w:eastAsia="宋体" w:cs="Times New Roman"/>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rPr>
        <w:b w:val="0"/>
        <w:sz w:val="21"/>
        <w:szCs w:val="21"/>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5">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6">
    <w:nsid w:val="7FC50114"/>
    <w:multiLevelType w:val="multilevel"/>
    <w:tmpl w:val="7FC50114"/>
    <w:lvl w:ilvl="0" w:tentative="0">
      <w:start w:val="3"/>
      <w:numFmt w:val="decimal"/>
      <w:lvlText w:val="%1"/>
      <w:lvlJc w:val="left"/>
      <w:pPr>
        <w:tabs>
          <w:tab w:val="left" w:pos="360"/>
        </w:tabs>
        <w:ind w:left="360" w:hanging="360"/>
      </w:pPr>
      <w:rPr>
        <w:rFonts w:hint="default" w:cs="宋体"/>
      </w:rPr>
    </w:lvl>
    <w:lvl w:ilvl="1" w:tentative="0">
      <w:start w:val="1"/>
      <w:numFmt w:val="decimal"/>
      <w:lvlText w:val="%1.%2"/>
      <w:lvlJc w:val="left"/>
      <w:pPr>
        <w:tabs>
          <w:tab w:val="left" w:pos="360"/>
        </w:tabs>
        <w:ind w:left="360" w:hanging="360"/>
      </w:pPr>
      <w:rPr>
        <w:rFonts w:hint="default" w:cs="宋体"/>
      </w:rPr>
    </w:lvl>
    <w:lvl w:ilvl="2" w:tentative="0">
      <w:start w:val="1"/>
      <w:numFmt w:val="decimal"/>
      <w:lvlText w:val="%1.%2.%3"/>
      <w:lvlJc w:val="left"/>
      <w:pPr>
        <w:tabs>
          <w:tab w:val="left" w:pos="720"/>
        </w:tabs>
        <w:ind w:left="720" w:hanging="720"/>
      </w:pPr>
      <w:rPr>
        <w:rFonts w:hint="default" w:cs="宋体"/>
      </w:rPr>
    </w:lvl>
    <w:lvl w:ilvl="3" w:tentative="0">
      <w:start w:val="1"/>
      <w:numFmt w:val="decimal"/>
      <w:lvlText w:val="%1.%2.%3.%4"/>
      <w:lvlJc w:val="left"/>
      <w:pPr>
        <w:tabs>
          <w:tab w:val="left" w:pos="1080"/>
        </w:tabs>
        <w:ind w:left="1080" w:hanging="1080"/>
      </w:pPr>
      <w:rPr>
        <w:rFonts w:hint="default" w:cs="宋体"/>
      </w:rPr>
    </w:lvl>
    <w:lvl w:ilvl="4" w:tentative="0">
      <w:start w:val="1"/>
      <w:numFmt w:val="decimal"/>
      <w:lvlText w:val="%1.%2.%3.%4.%5"/>
      <w:lvlJc w:val="left"/>
      <w:pPr>
        <w:tabs>
          <w:tab w:val="left" w:pos="1080"/>
        </w:tabs>
        <w:ind w:left="1080" w:hanging="1080"/>
      </w:pPr>
      <w:rPr>
        <w:rFonts w:hint="default" w:cs="宋体"/>
      </w:rPr>
    </w:lvl>
    <w:lvl w:ilvl="5" w:tentative="0">
      <w:start w:val="1"/>
      <w:numFmt w:val="decimal"/>
      <w:lvlText w:val="%1.%2.%3.%4.%5.%6"/>
      <w:lvlJc w:val="left"/>
      <w:pPr>
        <w:tabs>
          <w:tab w:val="left" w:pos="1440"/>
        </w:tabs>
        <w:ind w:left="1440" w:hanging="1440"/>
      </w:pPr>
      <w:rPr>
        <w:rFonts w:hint="default" w:cs="宋体"/>
      </w:rPr>
    </w:lvl>
    <w:lvl w:ilvl="6" w:tentative="0">
      <w:start w:val="1"/>
      <w:numFmt w:val="decimal"/>
      <w:lvlText w:val="%1.%2.%3.%4.%5.%6.%7"/>
      <w:lvlJc w:val="left"/>
      <w:pPr>
        <w:tabs>
          <w:tab w:val="left" w:pos="1440"/>
        </w:tabs>
        <w:ind w:left="1440" w:hanging="1440"/>
      </w:pPr>
      <w:rPr>
        <w:rFonts w:hint="default" w:cs="宋体"/>
      </w:rPr>
    </w:lvl>
    <w:lvl w:ilvl="7" w:tentative="0">
      <w:start w:val="1"/>
      <w:numFmt w:val="decimal"/>
      <w:lvlText w:val="%1.%2.%3.%4.%5.%6.%7.%8"/>
      <w:lvlJc w:val="left"/>
      <w:pPr>
        <w:tabs>
          <w:tab w:val="left" w:pos="1800"/>
        </w:tabs>
        <w:ind w:left="1800" w:hanging="1800"/>
      </w:pPr>
      <w:rPr>
        <w:rFonts w:hint="default" w:cs="宋体"/>
      </w:rPr>
    </w:lvl>
    <w:lvl w:ilvl="8" w:tentative="0">
      <w:start w:val="1"/>
      <w:numFmt w:val="decimal"/>
      <w:lvlText w:val="%1.%2.%3.%4.%5.%6.%7.%8.%9"/>
      <w:lvlJc w:val="left"/>
      <w:pPr>
        <w:tabs>
          <w:tab w:val="left" w:pos="1800"/>
        </w:tabs>
        <w:ind w:left="1800" w:hanging="1800"/>
      </w:pPr>
      <w:rPr>
        <w:rFonts w:hint="default" w:cs="宋体"/>
      </w:rPr>
    </w:lvl>
  </w:abstractNum>
  <w:num w:numId="1">
    <w:abstractNumId w:val="39"/>
  </w:num>
  <w:num w:numId="2">
    <w:abstractNumId w:val="10"/>
  </w:num>
  <w:num w:numId="3">
    <w:abstractNumId w:val="18"/>
  </w:num>
  <w:num w:numId="4">
    <w:abstractNumId w:val="28"/>
  </w:num>
  <w:num w:numId="5">
    <w:abstractNumId w:val="13"/>
  </w:num>
  <w:num w:numId="6">
    <w:abstractNumId w:val="12"/>
  </w:num>
  <w:num w:numId="7">
    <w:abstractNumId w:val="33"/>
  </w:num>
  <w:num w:numId="8">
    <w:abstractNumId w:val="8"/>
  </w:num>
  <w:num w:numId="9">
    <w:abstractNumId w:val="14"/>
  </w:num>
  <w:num w:numId="10">
    <w:abstractNumId w:val="35"/>
  </w:num>
  <w:num w:numId="11">
    <w:abstractNumId w:val="45"/>
  </w:num>
  <w:num w:numId="12">
    <w:abstractNumId w:val="46"/>
  </w:num>
  <w:num w:numId="13">
    <w:abstractNumId w:val="27"/>
  </w:num>
  <w:num w:numId="14">
    <w:abstractNumId w:val="30"/>
  </w:num>
  <w:num w:numId="15">
    <w:abstractNumId w:val="34"/>
  </w:num>
  <w:num w:numId="16">
    <w:abstractNumId w:val="36"/>
  </w:num>
  <w:num w:numId="17">
    <w:abstractNumId w:val="2"/>
  </w:num>
  <w:num w:numId="18">
    <w:abstractNumId w:val="38"/>
  </w:num>
  <w:num w:numId="19">
    <w:abstractNumId w:val="5"/>
  </w:num>
  <w:num w:numId="20">
    <w:abstractNumId w:val="25"/>
  </w:num>
  <w:num w:numId="21">
    <w:abstractNumId w:val="20"/>
  </w:num>
  <w:num w:numId="22">
    <w:abstractNumId w:val="41"/>
  </w:num>
  <w:num w:numId="23">
    <w:abstractNumId w:val="11"/>
  </w:num>
  <w:num w:numId="24">
    <w:abstractNumId w:val="26"/>
  </w:num>
  <w:num w:numId="25">
    <w:abstractNumId w:val="7"/>
  </w:num>
  <w:num w:numId="26">
    <w:abstractNumId w:val="40"/>
  </w:num>
  <w:num w:numId="27">
    <w:abstractNumId w:val="44"/>
  </w:num>
  <w:num w:numId="28">
    <w:abstractNumId w:val="29"/>
  </w:num>
  <w:num w:numId="29">
    <w:abstractNumId w:val="22"/>
  </w:num>
  <w:num w:numId="30">
    <w:abstractNumId w:val="9"/>
  </w:num>
  <w:num w:numId="31">
    <w:abstractNumId w:val="19"/>
  </w:num>
  <w:num w:numId="32">
    <w:abstractNumId w:val="43"/>
  </w:num>
  <w:num w:numId="33">
    <w:abstractNumId w:val="24"/>
  </w:num>
  <w:num w:numId="34">
    <w:abstractNumId w:val="15"/>
  </w:num>
  <w:num w:numId="35">
    <w:abstractNumId w:val="0"/>
  </w:num>
  <w:num w:numId="36">
    <w:abstractNumId w:val="23"/>
  </w:num>
  <w:num w:numId="37">
    <w:abstractNumId w:val="32"/>
  </w:num>
  <w:num w:numId="38">
    <w:abstractNumId w:val="4"/>
  </w:num>
  <w:num w:numId="39">
    <w:abstractNumId w:val="42"/>
  </w:num>
  <w:num w:numId="40">
    <w:abstractNumId w:val="37"/>
  </w:num>
  <w:num w:numId="41">
    <w:abstractNumId w:val="16"/>
  </w:num>
  <w:num w:numId="42">
    <w:abstractNumId w:val="31"/>
  </w:num>
  <w:num w:numId="43">
    <w:abstractNumId w:val="1"/>
  </w:num>
  <w:num w:numId="44">
    <w:abstractNumId w:val="17"/>
  </w:num>
  <w:num w:numId="45">
    <w:abstractNumId w:val="21"/>
  </w:num>
  <w:num w:numId="46">
    <w:abstractNumId w:val="6"/>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E68"/>
    <w:rsid w:val="000033B9"/>
    <w:rsid w:val="000047AE"/>
    <w:rsid w:val="00004A24"/>
    <w:rsid w:val="00004EFB"/>
    <w:rsid w:val="00007E56"/>
    <w:rsid w:val="0001587C"/>
    <w:rsid w:val="00015F4D"/>
    <w:rsid w:val="000215F4"/>
    <w:rsid w:val="00022666"/>
    <w:rsid w:val="00023392"/>
    <w:rsid w:val="000239A8"/>
    <w:rsid w:val="00024103"/>
    <w:rsid w:val="000253AD"/>
    <w:rsid w:val="0002669A"/>
    <w:rsid w:val="00026C24"/>
    <w:rsid w:val="00027066"/>
    <w:rsid w:val="00027A63"/>
    <w:rsid w:val="0003059B"/>
    <w:rsid w:val="0003259A"/>
    <w:rsid w:val="0003403B"/>
    <w:rsid w:val="00034188"/>
    <w:rsid w:val="00034401"/>
    <w:rsid w:val="00034C37"/>
    <w:rsid w:val="00034DD0"/>
    <w:rsid w:val="00036612"/>
    <w:rsid w:val="00040CD1"/>
    <w:rsid w:val="00041FF2"/>
    <w:rsid w:val="00042D58"/>
    <w:rsid w:val="00043B68"/>
    <w:rsid w:val="00044766"/>
    <w:rsid w:val="00045299"/>
    <w:rsid w:val="00047217"/>
    <w:rsid w:val="00052BAD"/>
    <w:rsid w:val="00054956"/>
    <w:rsid w:val="000601EB"/>
    <w:rsid w:val="00060505"/>
    <w:rsid w:val="00061770"/>
    <w:rsid w:val="000637D5"/>
    <w:rsid w:val="00064234"/>
    <w:rsid w:val="00064EC5"/>
    <w:rsid w:val="00065B60"/>
    <w:rsid w:val="00066D4A"/>
    <w:rsid w:val="0006772A"/>
    <w:rsid w:val="0007168B"/>
    <w:rsid w:val="00073173"/>
    <w:rsid w:val="000738DC"/>
    <w:rsid w:val="000740E4"/>
    <w:rsid w:val="0007591B"/>
    <w:rsid w:val="000764B9"/>
    <w:rsid w:val="000808FD"/>
    <w:rsid w:val="00083858"/>
    <w:rsid w:val="00084E33"/>
    <w:rsid w:val="0008685D"/>
    <w:rsid w:val="000874D5"/>
    <w:rsid w:val="0008753B"/>
    <w:rsid w:val="000879E8"/>
    <w:rsid w:val="00087F0E"/>
    <w:rsid w:val="000927C7"/>
    <w:rsid w:val="000935C0"/>
    <w:rsid w:val="00094D98"/>
    <w:rsid w:val="0009702B"/>
    <w:rsid w:val="00097DC4"/>
    <w:rsid w:val="000A08A5"/>
    <w:rsid w:val="000A1233"/>
    <w:rsid w:val="000A20A7"/>
    <w:rsid w:val="000A3B20"/>
    <w:rsid w:val="000A3F65"/>
    <w:rsid w:val="000A50F6"/>
    <w:rsid w:val="000A54F4"/>
    <w:rsid w:val="000A6C98"/>
    <w:rsid w:val="000B0404"/>
    <w:rsid w:val="000B0E4B"/>
    <w:rsid w:val="000B1147"/>
    <w:rsid w:val="000B1258"/>
    <w:rsid w:val="000B1404"/>
    <w:rsid w:val="000B25DE"/>
    <w:rsid w:val="000B27B8"/>
    <w:rsid w:val="000B3274"/>
    <w:rsid w:val="000B4D1A"/>
    <w:rsid w:val="000B6702"/>
    <w:rsid w:val="000C005A"/>
    <w:rsid w:val="000C114A"/>
    <w:rsid w:val="000C2471"/>
    <w:rsid w:val="000C3488"/>
    <w:rsid w:val="000C3DA3"/>
    <w:rsid w:val="000C420C"/>
    <w:rsid w:val="000C6D16"/>
    <w:rsid w:val="000C7ACA"/>
    <w:rsid w:val="000D017D"/>
    <w:rsid w:val="000D0DD2"/>
    <w:rsid w:val="000D3FD9"/>
    <w:rsid w:val="000D680D"/>
    <w:rsid w:val="000D75EB"/>
    <w:rsid w:val="000E044D"/>
    <w:rsid w:val="000E1552"/>
    <w:rsid w:val="000E1D32"/>
    <w:rsid w:val="000E2E3B"/>
    <w:rsid w:val="000E4823"/>
    <w:rsid w:val="000F09C3"/>
    <w:rsid w:val="000F25D9"/>
    <w:rsid w:val="000F2A59"/>
    <w:rsid w:val="000F661F"/>
    <w:rsid w:val="00100A0F"/>
    <w:rsid w:val="00101897"/>
    <w:rsid w:val="001025BD"/>
    <w:rsid w:val="00102981"/>
    <w:rsid w:val="00102DF0"/>
    <w:rsid w:val="00104978"/>
    <w:rsid w:val="001074B3"/>
    <w:rsid w:val="0010789F"/>
    <w:rsid w:val="001141C4"/>
    <w:rsid w:val="00114D60"/>
    <w:rsid w:val="001163B1"/>
    <w:rsid w:val="00116C7E"/>
    <w:rsid w:val="00124AA6"/>
    <w:rsid w:val="00125943"/>
    <w:rsid w:val="00127C5B"/>
    <w:rsid w:val="00134B30"/>
    <w:rsid w:val="00134FD7"/>
    <w:rsid w:val="0013620B"/>
    <w:rsid w:val="001408A8"/>
    <w:rsid w:val="00142545"/>
    <w:rsid w:val="0014282F"/>
    <w:rsid w:val="00142ABE"/>
    <w:rsid w:val="0014397E"/>
    <w:rsid w:val="00145432"/>
    <w:rsid w:val="001478B2"/>
    <w:rsid w:val="00150976"/>
    <w:rsid w:val="00150BBE"/>
    <w:rsid w:val="00150C35"/>
    <w:rsid w:val="00151409"/>
    <w:rsid w:val="00151CA6"/>
    <w:rsid w:val="00152FC8"/>
    <w:rsid w:val="00155948"/>
    <w:rsid w:val="001627D3"/>
    <w:rsid w:val="00162FE0"/>
    <w:rsid w:val="0016373B"/>
    <w:rsid w:val="00170342"/>
    <w:rsid w:val="00172C43"/>
    <w:rsid w:val="00173A77"/>
    <w:rsid w:val="0017427A"/>
    <w:rsid w:val="001744CA"/>
    <w:rsid w:val="001749AF"/>
    <w:rsid w:val="00175CFD"/>
    <w:rsid w:val="00175F5F"/>
    <w:rsid w:val="001777D8"/>
    <w:rsid w:val="0018039E"/>
    <w:rsid w:val="00181E47"/>
    <w:rsid w:val="001839B5"/>
    <w:rsid w:val="00185050"/>
    <w:rsid w:val="00185F86"/>
    <w:rsid w:val="00186CF1"/>
    <w:rsid w:val="00187F0E"/>
    <w:rsid w:val="00191399"/>
    <w:rsid w:val="00192611"/>
    <w:rsid w:val="001930D2"/>
    <w:rsid w:val="00194A27"/>
    <w:rsid w:val="001978FF"/>
    <w:rsid w:val="00197EF1"/>
    <w:rsid w:val="001A02ED"/>
    <w:rsid w:val="001A1937"/>
    <w:rsid w:val="001A263A"/>
    <w:rsid w:val="001A2EB5"/>
    <w:rsid w:val="001A36FE"/>
    <w:rsid w:val="001A3E2E"/>
    <w:rsid w:val="001A4886"/>
    <w:rsid w:val="001A4FEF"/>
    <w:rsid w:val="001B0296"/>
    <w:rsid w:val="001B07C7"/>
    <w:rsid w:val="001B07DE"/>
    <w:rsid w:val="001B1154"/>
    <w:rsid w:val="001B20B0"/>
    <w:rsid w:val="001B727F"/>
    <w:rsid w:val="001B78A1"/>
    <w:rsid w:val="001C1736"/>
    <w:rsid w:val="001C1DA4"/>
    <w:rsid w:val="001C33E7"/>
    <w:rsid w:val="001C3B5D"/>
    <w:rsid w:val="001C4413"/>
    <w:rsid w:val="001C5A5B"/>
    <w:rsid w:val="001C6428"/>
    <w:rsid w:val="001C6B84"/>
    <w:rsid w:val="001D4194"/>
    <w:rsid w:val="001D4319"/>
    <w:rsid w:val="001D572B"/>
    <w:rsid w:val="001D7585"/>
    <w:rsid w:val="001E0C05"/>
    <w:rsid w:val="001E3837"/>
    <w:rsid w:val="001E3E08"/>
    <w:rsid w:val="001E3F69"/>
    <w:rsid w:val="001E56C2"/>
    <w:rsid w:val="001E63BF"/>
    <w:rsid w:val="001E744E"/>
    <w:rsid w:val="001F0E30"/>
    <w:rsid w:val="001F0E43"/>
    <w:rsid w:val="001F15DC"/>
    <w:rsid w:val="001F2319"/>
    <w:rsid w:val="001F4124"/>
    <w:rsid w:val="001F44D4"/>
    <w:rsid w:val="001F6F7C"/>
    <w:rsid w:val="00202287"/>
    <w:rsid w:val="00203024"/>
    <w:rsid w:val="00204550"/>
    <w:rsid w:val="00205017"/>
    <w:rsid w:val="00205438"/>
    <w:rsid w:val="002062AF"/>
    <w:rsid w:val="002063F0"/>
    <w:rsid w:val="002067D2"/>
    <w:rsid w:val="00207D04"/>
    <w:rsid w:val="00207DD9"/>
    <w:rsid w:val="00211F1C"/>
    <w:rsid w:val="00213D50"/>
    <w:rsid w:val="00220C09"/>
    <w:rsid w:val="00225358"/>
    <w:rsid w:val="002261E6"/>
    <w:rsid w:val="00226DC3"/>
    <w:rsid w:val="00227ED9"/>
    <w:rsid w:val="00230501"/>
    <w:rsid w:val="002339D1"/>
    <w:rsid w:val="00233ACA"/>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7586"/>
    <w:rsid w:val="00267DB6"/>
    <w:rsid w:val="00270533"/>
    <w:rsid w:val="00271F95"/>
    <w:rsid w:val="002729C3"/>
    <w:rsid w:val="00273196"/>
    <w:rsid w:val="0027335E"/>
    <w:rsid w:val="002739FC"/>
    <w:rsid w:val="00273FBB"/>
    <w:rsid w:val="0027522F"/>
    <w:rsid w:val="002759DC"/>
    <w:rsid w:val="00280409"/>
    <w:rsid w:val="00281E10"/>
    <w:rsid w:val="002852EB"/>
    <w:rsid w:val="002861D3"/>
    <w:rsid w:val="00287848"/>
    <w:rsid w:val="00290E4C"/>
    <w:rsid w:val="00293D8B"/>
    <w:rsid w:val="002942BF"/>
    <w:rsid w:val="0029782F"/>
    <w:rsid w:val="0029786C"/>
    <w:rsid w:val="002A2523"/>
    <w:rsid w:val="002A4287"/>
    <w:rsid w:val="002A4B44"/>
    <w:rsid w:val="002A5FE4"/>
    <w:rsid w:val="002A6048"/>
    <w:rsid w:val="002A6253"/>
    <w:rsid w:val="002A62EA"/>
    <w:rsid w:val="002A647B"/>
    <w:rsid w:val="002A64F2"/>
    <w:rsid w:val="002A7BA2"/>
    <w:rsid w:val="002B18B4"/>
    <w:rsid w:val="002B1B84"/>
    <w:rsid w:val="002B1F08"/>
    <w:rsid w:val="002B2E16"/>
    <w:rsid w:val="002B4AA4"/>
    <w:rsid w:val="002B4E54"/>
    <w:rsid w:val="002B58F7"/>
    <w:rsid w:val="002C151B"/>
    <w:rsid w:val="002C1964"/>
    <w:rsid w:val="002C2691"/>
    <w:rsid w:val="002C2825"/>
    <w:rsid w:val="002C41E4"/>
    <w:rsid w:val="002C461D"/>
    <w:rsid w:val="002C4CD2"/>
    <w:rsid w:val="002C5671"/>
    <w:rsid w:val="002C57F2"/>
    <w:rsid w:val="002C62DA"/>
    <w:rsid w:val="002D44D6"/>
    <w:rsid w:val="002D4D2D"/>
    <w:rsid w:val="002D682B"/>
    <w:rsid w:val="002D78B4"/>
    <w:rsid w:val="002D79E1"/>
    <w:rsid w:val="002E034F"/>
    <w:rsid w:val="002E03D7"/>
    <w:rsid w:val="002E3B90"/>
    <w:rsid w:val="002E5B25"/>
    <w:rsid w:val="002E621E"/>
    <w:rsid w:val="002E6941"/>
    <w:rsid w:val="002E7568"/>
    <w:rsid w:val="002E7BCB"/>
    <w:rsid w:val="002F04D7"/>
    <w:rsid w:val="002F4524"/>
    <w:rsid w:val="002F4F9A"/>
    <w:rsid w:val="00300A17"/>
    <w:rsid w:val="00300DE8"/>
    <w:rsid w:val="00301075"/>
    <w:rsid w:val="00303733"/>
    <w:rsid w:val="00304C84"/>
    <w:rsid w:val="00306010"/>
    <w:rsid w:val="003072A8"/>
    <w:rsid w:val="00307CF7"/>
    <w:rsid w:val="00310E92"/>
    <w:rsid w:val="0031173B"/>
    <w:rsid w:val="00311C3E"/>
    <w:rsid w:val="003120D8"/>
    <w:rsid w:val="00312B4A"/>
    <w:rsid w:val="003219E3"/>
    <w:rsid w:val="00323623"/>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69C4"/>
    <w:rsid w:val="00346C9E"/>
    <w:rsid w:val="0034708C"/>
    <w:rsid w:val="0035254D"/>
    <w:rsid w:val="0035442F"/>
    <w:rsid w:val="003544F2"/>
    <w:rsid w:val="00360437"/>
    <w:rsid w:val="003614ED"/>
    <w:rsid w:val="0036151C"/>
    <w:rsid w:val="003636FC"/>
    <w:rsid w:val="00363B0E"/>
    <w:rsid w:val="0036524C"/>
    <w:rsid w:val="00365CE5"/>
    <w:rsid w:val="00366A63"/>
    <w:rsid w:val="00371F39"/>
    <w:rsid w:val="00371F92"/>
    <w:rsid w:val="00374C54"/>
    <w:rsid w:val="00377473"/>
    <w:rsid w:val="0037775F"/>
    <w:rsid w:val="003804FB"/>
    <w:rsid w:val="00382FC0"/>
    <w:rsid w:val="00383978"/>
    <w:rsid w:val="00384AB1"/>
    <w:rsid w:val="00385E6D"/>
    <w:rsid w:val="003861E9"/>
    <w:rsid w:val="003911FB"/>
    <w:rsid w:val="00392E5E"/>
    <w:rsid w:val="003939DC"/>
    <w:rsid w:val="00395273"/>
    <w:rsid w:val="0039777F"/>
    <w:rsid w:val="003A0645"/>
    <w:rsid w:val="003A0D8F"/>
    <w:rsid w:val="003A345A"/>
    <w:rsid w:val="003A3569"/>
    <w:rsid w:val="003A3BED"/>
    <w:rsid w:val="003A40C4"/>
    <w:rsid w:val="003A53FA"/>
    <w:rsid w:val="003A6DDF"/>
    <w:rsid w:val="003B229A"/>
    <w:rsid w:val="003B2550"/>
    <w:rsid w:val="003B2851"/>
    <w:rsid w:val="003B2E90"/>
    <w:rsid w:val="003B3303"/>
    <w:rsid w:val="003C0602"/>
    <w:rsid w:val="003C09A4"/>
    <w:rsid w:val="003C25C8"/>
    <w:rsid w:val="003C26BA"/>
    <w:rsid w:val="003C297D"/>
    <w:rsid w:val="003C347E"/>
    <w:rsid w:val="003C40BC"/>
    <w:rsid w:val="003D2108"/>
    <w:rsid w:val="003D3DE1"/>
    <w:rsid w:val="003D43F4"/>
    <w:rsid w:val="003D4CCD"/>
    <w:rsid w:val="003E1DFB"/>
    <w:rsid w:val="003E3023"/>
    <w:rsid w:val="003E434A"/>
    <w:rsid w:val="003E5FD1"/>
    <w:rsid w:val="003F2162"/>
    <w:rsid w:val="003F2483"/>
    <w:rsid w:val="003F5780"/>
    <w:rsid w:val="003F5C2F"/>
    <w:rsid w:val="003F61E2"/>
    <w:rsid w:val="003F6EBF"/>
    <w:rsid w:val="0040035B"/>
    <w:rsid w:val="00400767"/>
    <w:rsid w:val="00400FF3"/>
    <w:rsid w:val="00401592"/>
    <w:rsid w:val="00401B39"/>
    <w:rsid w:val="00401F8D"/>
    <w:rsid w:val="00403EC7"/>
    <w:rsid w:val="00404737"/>
    <w:rsid w:val="00404AC0"/>
    <w:rsid w:val="0040715A"/>
    <w:rsid w:val="0041082C"/>
    <w:rsid w:val="00412EE9"/>
    <w:rsid w:val="00413598"/>
    <w:rsid w:val="00414D62"/>
    <w:rsid w:val="004151E7"/>
    <w:rsid w:val="0041672A"/>
    <w:rsid w:val="004168C6"/>
    <w:rsid w:val="00421282"/>
    <w:rsid w:val="004212E6"/>
    <w:rsid w:val="00421300"/>
    <w:rsid w:val="004225F2"/>
    <w:rsid w:val="00423062"/>
    <w:rsid w:val="00425599"/>
    <w:rsid w:val="00426AE9"/>
    <w:rsid w:val="004317F4"/>
    <w:rsid w:val="00431F70"/>
    <w:rsid w:val="004330C5"/>
    <w:rsid w:val="0043536F"/>
    <w:rsid w:val="00435FDF"/>
    <w:rsid w:val="004417F5"/>
    <w:rsid w:val="00441812"/>
    <w:rsid w:val="00444B91"/>
    <w:rsid w:val="00444D72"/>
    <w:rsid w:val="00450A56"/>
    <w:rsid w:val="004529FE"/>
    <w:rsid w:val="00453191"/>
    <w:rsid w:val="004536D3"/>
    <w:rsid w:val="00454F59"/>
    <w:rsid w:val="004574D4"/>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4940"/>
    <w:rsid w:val="004866AA"/>
    <w:rsid w:val="004877AD"/>
    <w:rsid w:val="00487B13"/>
    <w:rsid w:val="00487CDF"/>
    <w:rsid w:val="00490D4C"/>
    <w:rsid w:val="0049128D"/>
    <w:rsid w:val="00491BD8"/>
    <w:rsid w:val="0049242C"/>
    <w:rsid w:val="00492661"/>
    <w:rsid w:val="00494B84"/>
    <w:rsid w:val="00494EF7"/>
    <w:rsid w:val="004962D7"/>
    <w:rsid w:val="00497E9A"/>
    <w:rsid w:val="004A07F3"/>
    <w:rsid w:val="004A0A22"/>
    <w:rsid w:val="004A21D3"/>
    <w:rsid w:val="004A23AB"/>
    <w:rsid w:val="004A26B9"/>
    <w:rsid w:val="004A3BF6"/>
    <w:rsid w:val="004A3EC8"/>
    <w:rsid w:val="004A4250"/>
    <w:rsid w:val="004A4EB1"/>
    <w:rsid w:val="004A51E7"/>
    <w:rsid w:val="004A5714"/>
    <w:rsid w:val="004A583E"/>
    <w:rsid w:val="004A7813"/>
    <w:rsid w:val="004A7E77"/>
    <w:rsid w:val="004B1E35"/>
    <w:rsid w:val="004B3A16"/>
    <w:rsid w:val="004B3E63"/>
    <w:rsid w:val="004B4034"/>
    <w:rsid w:val="004B43E3"/>
    <w:rsid w:val="004B5BE2"/>
    <w:rsid w:val="004B673B"/>
    <w:rsid w:val="004B69BD"/>
    <w:rsid w:val="004B6BF2"/>
    <w:rsid w:val="004B7C76"/>
    <w:rsid w:val="004C01B4"/>
    <w:rsid w:val="004C36E8"/>
    <w:rsid w:val="004C3992"/>
    <w:rsid w:val="004C5ABD"/>
    <w:rsid w:val="004C7CF4"/>
    <w:rsid w:val="004D2C5A"/>
    <w:rsid w:val="004D3E0A"/>
    <w:rsid w:val="004D4E37"/>
    <w:rsid w:val="004D64B3"/>
    <w:rsid w:val="004D667C"/>
    <w:rsid w:val="004D674E"/>
    <w:rsid w:val="004D7E2E"/>
    <w:rsid w:val="004E0CE5"/>
    <w:rsid w:val="004E1FCE"/>
    <w:rsid w:val="004E5B0B"/>
    <w:rsid w:val="004E68F9"/>
    <w:rsid w:val="004F1700"/>
    <w:rsid w:val="004F1836"/>
    <w:rsid w:val="004F1C14"/>
    <w:rsid w:val="004F3520"/>
    <w:rsid w:val="004F463B"/>
    <w:rsid w:val="004F4AE7"/>
    <w:rsid w:val="004F4ED7"/>
    <w:rsid w:val="004F5FEC"/>
    <w:rsid w:val="004F62B8"/>
    <w:rsid w:val="0050076B"/>
    <w:rsid w:val="00502D31"/>
    <w:rsid w:val="00502FE2"/>
    <w:rsid w:val="00503A40"/>
    <w:rsid w:val="00503DBA"/>
    <w:rsid w:val="00504F72"/>
    <w:rsid w:val="00506AFD"/>
    <w:rsid w:val="00510CC0"/>
    <w:rsid w:val="00512066"/>
    <w:rsid w:val="00512E41"/>
    <w:rsid w:val="00513F7B"/>
    <w:rsid w:val="00514311"/>
    <w:rsid w:val="005149E1"/>
    <w:rsid w:val="00521C3F"/>
    <w:rsid w:val="00523722"/>
    <w:rsid w:val="00525EA0"/>
    <w:rsid w:val="0052675A"/>
    <w:rsid w:val="00530AC1"/>
    <w:rsid w:val="00530AEB"/>
    <w:rsid w:val="00531BAA"/>
    <w:rsid w:val="0053207C"/>
    <w:rsid w:val="00534A40"/>
    <w:rsid w:val="00535705"/>
    <w:rsid w:val="005366C2"/>
    <w:rsid w:val="00536974"/>
    <w:rsid w:val="00543F14"/>
    <w:rsid w:val="005522F1"/>
    <w:rsid w:val="005535DE"/>
    <w:rsid w:val="005538A7"/>
    <w:rsid w:val="0055465D"/>
    <w:rsid w:val="00554B6C"/>
    <w:rsid w:val="00554CD6"/>
    <w:rsid w:val="00555455"/>
    <w:rsid w:val="00555470"/>
    <w:rsid w:val="0055601F"/>
    <w:rsid w:val="00557813"/>
    <w:rsid w:val="00561D16"/>
    <w:rsid w:val="00564205"/>
    <w:rsid w:val="00567C36"/>
    <w:rsid w:val="00567F98"/>
    <w:rsid w:val="00570148"/>
    <w:rsid w:val="00570D42"/>
    <w:rsid w:val="00571337"/>
    <w:rsid w:val="00572087"/>
    <w:rsid w:val="00572729"/>
    <w:rsid w:val="00572851"/>
    <w:rsid w:val="00572CBA"/>
    <w:rsid w:val="00572F28"/>
    <w:rsid w:val="005730AB"/>
    <w:rsid w:val="0057497A"/>
    <w:rsid w:val="00575D74"/>
    <w:rsid w:val="00576EB0"/>
    <w:rsid w:val="00576FD7"/>
    <w:rsid w:val="00577616"/>
    <w:rsid w:val="00580693"/>
    <w:rsid w:val="005809F8"/>
    <w:rsid w:val="0058131F"/>
    <w:rsid w:val="005829E5"/>
    <w:rsid w:val="00583E5E"/>
    <w:rsid w:val="00590C4F"/>
    <w:rsid w:val="005913E3"/>
    <w:rsid w:val="005945E8"/>
    <w:rsid w:val="00595EB3"/>
    <w:rsid w:val="00596FB7"/>
    <w:rsid w:val="00597564"/>
    <w:rsid w:val="0059796C"/>
    <w:rsid w:val="005A07C7"/>
    <w:rsid w:val="005A0A07"/>
    <w:rsid w:val="005A1094"/>
    <w:rsid w:val="005A158B"/>
    <w:rsid w:val="005A18A8"/>
    <w:rsid w:val="005A5010"/>
    <w:rsid w:val="005A66DA"/>
    <w:rsid w:val="005B1331"/>
    <w:rsid w:val="005B34C8"/>
    <w:rsid w:val="005B3A1F"/>
    <w:rsid w:val="005B6422"/>
    <w:rsid w:val="005B6680"/>
    <w:rsid w:val="005B674D"/>
    <w:rsid w:val="005C1616"/>
    <w:rsid w:val="005C1B3A"/>
    <w:rsid w:val="005C4110"/>
    <w:rsid w:val="005C4B6B"/>
    <w:rsid w:val="005D08DC"/>
    <w:rsid w:val="005D2929"/>
    <w:rsid w:val="005D4A76"/>
    <w:rsid w:val="005D7313"/>
    <w:rsid w:val="005E02CE"/>
    <w:rsid w:val="005E1654"/>
    <w:rsid w:val="005E2A51"/>
    <w:rsid w:val="005E34B3"/>
    <w:rsid w:val="005E466A"/>
    <w:rsid w:val="005E6B54"/>
    <w:rsid w:val="005E754F"/>
    <w:rsid w:val="005F0A04"/>
    <w:rsid w:val="005F1228"/>
    <w:rsid w:val="005F2639"/>
    <w:rsid w:val="005F2790"/>
    <w:rsid w:val="005F33C9"/>
    <w:rsid w:val="005F3D99"/>
    <w:rsid w:val="005F5ED3"/>
    <w:rsid w:val="006001B3"/>
    <w:rsid w:val="00601AE5"/>
    <w:rsid w:val="0060350F"/>
    <w:rsid w:val="00603B97"/>
    <w:rsid w:val="00604B0F"/>
    <w:rsid w:val="00604C27"/>
    <w:rsid w:val="00605E39"/>
    <w:rsid w:val="00610024"/>
    <w:rsid w:val="00610A77"/>
    <w:rsid w:val="006134CF"/>
    <w:rsid w:val="00613E47"/>
    <w:rsid w:val="006146CA"/>
    <w:rsid w:val="00614F81"/>
    <w:rsid w:val="0061537F"/>
    <w:rsid w:val="006156F7"/>
    <w:rsid w:val="006158ED"/>
    <w:rsid w:val="006160A3"/>
    <w:rsid w:val="00616747"/>
    <w:rsid w:val="00617325"/>
    <w:rsid w:val="006177F7"/>
    <w:rsid w:val="00617C57"/>
    <w:rsid w:val="0062159F"/>
    <w:rsid w:val="00623215"/>
    <w:rsid w:val="00624015"/>
    <w:rsid w:val="00624ABD"/>
    <w:rsid w:val="006256B1"/>
    <w:rsid w:val="006260DB"/>
    <w:rsid w:val="00626356"/>
    <w:rsid w:val="0062642C"/>
    <w:rsid w:val="00626EA7"/>
    <w:rsid w:val="00634D15"/>
    <w:rsid w:val="006351F3"/>
    <w:rsid w:val="00636117"/>
    <w:rsid w:val="00641E86"/>
    <w:rsid w:val="0064217E"/>
    <w:rsid w:val="00642979"/>
    <w:rsid w:val="00642A2E"/>
    <w:rsid w:val="00645283"/>
    <w:rsid w:val="006459D5"/>
    <w:rsid w:val="00646657"/>
    <w:rsid w:val="00646713"/>
    <w:rsid w:val="006477EE"/>
    <w:rsid w:val="00650533"/>
    <w:rsid w:val="00650FBC"/>
    <w:rsid w:val="0065141E"/>
    <w:rsid w:val="00653135"/>
    <w:rsid w:val="006536A2"/>
    <w:rsid w:val="006545B0"/>
    <w:rsid w:val="00654CED"/>
    <w:rsid w:val="00660348"/>
    <w:rsid w:val="006604C1"/>
    <w:rsid w:val="0066378A"/>
    <w:rsid w:val="006674BB"/>
    <w:rsid w:val="00667F16"/>
    <w:rsid w:val="00670FAB"/>
    <w:rsid w:val="00671072"/>
    <w:rsid w:val="00671594"/>
    <w:rsid w:val="0067167B"/>
    <w:rsid w:val="00671E63"/>
    <w:rsid w:val="006762CB"/>
    <w:rsid w:val="0067778A"/>
    <w:rsid w:val="006808BD"/>
    <w:rsid w:val="0068114C"/>
    <w:rsid w:val="00682105"/>
    <w:rsid w:val="0068216D"/>
    <w:rsid w:val="00682453"/>
    <w:rsid w:val="0068470E"/>
    <w:rsid w:val="00685219"/>
    <w:rsid w:val="0068527F"/>
    <w:rsid w:val="00685D09"/>
    <w:rsid w:val="006870B3"/>
    <w:rsid w:val="006879A5"/>
    <w:rsid w:val="00692797"/>
    <w:rsid w:val="00692D08"/>
    <w:rsid w:val="006938E5"/>
    <w:rsid w:val="00693DC5"/>
    <w:rsid w:val="00694BD6"/>
    <w:rsid w:val="00696387"/>
    <w:rsid w:val="006979DD"/>
    <w:rsid w:val="006979ED"/>
    <w:rsid w:val="006A04CE"/>
    <w:rsid w:val="006A06C3"/>
    <w:rsid w:val="006A197B"/>
    <w:rsid w:val="006A24E0"/>
    <w:rsid w:val="006A349B"/>
    <w:rsid w:val="006A4EB4"/>
    <w:rsid w:val="006B070B"/>
    <w:rsid w:val="006B1662"/>
    <w:rsid w:val="006B212E"/>
    <w:rsid w:val="006B3A4C"/>
    <w:rsid w:val="006B411E"/>
    <w:rsid w:val="006B42FC"/>
    <w:rsid w:val="006B4EC8"/>
    <w:rsid w:val="006B5102"/>
    <w:rsid w:val="006C018E"/>
    <w:rsid w:val="006C0618"/>
    <w:rsid w:val="006C11E1"/>
    <w:rsid w:val="006C1B17"/>
    <w:rsid w:val="006C1FBB"/>
    <w:rsid w:val="006C5486"/>
    <w:rsid w:val="006C6067"/>
    <w:rsid w:val="006C667E"/>
    <w:rsid w:val="006D001D"/>
    <w:rsid w:val="006D04DA"/>
    <w:rsid w:val="006D171A"/>
    <w:rsid w:val="006D1ABC"/>
    <w:rsid w:val="006D4C38"/>
    <w:rsid w:val="006D65EF"/>
    <w:rsid w:val="006D7C32"/>
    <w:rsid w:val="006E0B77"/>
    <w:rsid w:val="006E2B1D"/>
    <w:rsid w:val="006E3DDC"/>
    <w:rsid w:val="006E4106"/>
    <w:rsid w:val="006E43A8"/>
    <w:rsid w:val="006E506B"/>
    <w:rsid w:val="006E5F4F"/>
    <w:rsid w:val="006E6948"/>
    <w:rsid w:val="006E7106"/>
    <w:rsid w:val="006E7519"/>
    <w:rsid w:val="006F04AD"/>
    <w:rsid w:val="006F1B49"/>
    <w:rsid w:val="006F571B"/>
    <w:rsid w:val="006F7746"/>
    <w:rsid w:val="0070076E"/>
    <w:rsid w:val="007018B6"/>
    <w:rsid w:val="00702B2E"/>
    <w:rsid w:val="007031A3"/>
    <w:rsid w:val="00703AC7"/>
    <w:rsid w:val="007060C5"/>
    <w:rsid w:val="00707CF9"/>
    <w:rsid w:val="00707D6D"/>
    <w:rsid w:val="00707DBC"/>
    <w:rsid w:val="00714FB9"/>
    <w:rsid w:val="00717640"/>
    <w:rsid w:val="0072062D"/>
    <w:rsid w:val="007242CF"/>
    <w:rsid w:val="007245AA"/>
    <w:rsid w:val="00725281"/>
    <w:rsid w:val="0072778E"/>
    <w:rsid w:val="00727E0F"/>
    <w:rsid w:val="00731178"/>
    <w:rsid w:val="007312BC"/>
    <w:rsid w:val="0073210B"/>
    <w:rsid w:val="00732911"/>
    <w:rsid w:val="00737A9A"/>
    <w:rsid w:val="00737E75"/>
    <w:rsid w:val="0074030C"/>
    <w:rsid w:val="007440C9"/>
    <w:rsid w:val="00744474"/>
    <w:rsid w:val="00744AF1"/>
    <w:rsid w:val="00745998"/>
    <w:rsid w:val="0074606E"/>
    <w:rsid w:val="00746605"/>
    <w:rsid w:val="00747D48"/>
    <w:rsid w:val="00750AD7"/>
    <w:rsid w:val="00752756"/>
    <w:rsid w:val="00753955"/>
    <w:rsid w:val="007540A6"/>
    <w:rsid w:val="00755C30"/>
    <w:rsid w:val="0075697C"/>
    <w:rsid w:val="00756CDD"/>
    <w:rsid w:val="00757482"/>
    <w:rsid w:val="00760970"/>
    <w:rsid w:val="00763507"/>
    <w:rsid w:val="00763BB1"/>
    <w:rsid w:val="00767104"/>
    <w:rsid w:val="007671A0"/>
    <w:rsid w:val="007704EF"/>
    <w:rsid w:val="00770A6C"/>
    <w:rsid w:val="007749F0"/>
    <w:rsid w:val="00775959"/>
    <w:rsid w:val="00776424"/>
    <w:rsid w:val="00776942"/>
    <w:rsid w:val="00777FB3"/>
    <w:rsid w:val="007804D2"/>
    <w:rsid w:val="00780BC2"/>
    <w:rsid w:val="00781507"/>
    <w:rsid w:val="00781ABE"/>
    <w:rsid w:val="007836C9"/>
    <w:rsid w:val="00785C0A"/>
    <w:rsid w:val="007864D7"/>
    <w:rsid w:val="00791159"/>
    <w:rsid w:val="00791934"/>
    <w:rsid w:val="0079516C"/>
    <w:rsid w:val="00797750"/>
    <w:rsid w:val="007A196A"/>
    <w:rsid w:val="007A25EF"/>
    <w:rsid w:val="007A294B"/>
    <w:rsid w:val="007B3F0C"/>
    <w:rsid w:val="007B3F75"/>
    <w:rsid w:val="007B6DA5"/>
    <w:rsid w:val="007B732F"/>
    <w:rsid w:val="007C0895"/>
    <w:rsid w:val="007C1124"/>
    <w:rsid w:val="007C1383"/>
    <w:rsid w:val="007C1FED"/>
    <w:rsid w:val="007C31C0"/>
    <w:rsid w:val="007C3714"/>
    <w:rsid w:val="007C48B8"/>
    <w:rsid w:val="007C5ABA"/>
    <w:rsid w:val="007D050F"/>
    <w:rsid w:val="007D21B0"/>
    <w:rsid w:val="007D24DD"/>
    <w:rsid w:val="007D3CB1"/>
    <w:rsid w:val="007D45A7"/>
    <w:rsid w:val="007D6D18"/>
    <w:rsid w:val="007D72D3"/>
    <w:rsid w:val="007E5890"/>
    <w:rsid w:val="007F1C25"/>
    <w:rsid w:val="007F3188"/>
    <w:rsid w:val="007F3E56"/>
    <w:rsid w:val="007F41A7"/>
    <w:rsid w:val="007F626E"/>
    <w:rsid w:val="007F63EE"/>
    <w:rsid w:val="007F6D9D"/>
    <w:rsid w:val="007F79E9"/>
    <w:rsid w:val="007F7E37"/>
    <w:rsid w:val="00801928"/>
    <w:rsid w:val="00801FC4"/>
    <w:rsid w:val="00802723"/>
    <w:rsid w:val="00802A21"/>
    <w:rsid w:val="008030F0"/>
    <w:rsid w:val="008041E8"/>
    <w:rsid w:val="00806D9B"/>
    <w:rsid w:val="00810B21"/>
    <w:rsid w:val="0081277D"/>
    <w:rsid w:val="00814014"/>
    <w:rsid w:val="008144BF"/>
    <w:rsid w:val="00815C7B"/>
    <w:rsid w:val="00816A3A"/>
    <w:rsid w:val="00817FDB"/>
    <w:rsid w:val="00820BF3"/>
    <w:rsid w:val="00821774"/>
    <w:rsid w:val="008219F7"/>
    <w:rsid w:val="00827143"/>
    <w:rsid w:val="00827B66"/>
    <w:rsid w:val="00827F6B"/>
    <w:rsid w:val="00830F70"/>
    <w:rsid w:val="00832EEC"/>
    <w:rsid w:val="00833768"/>
    <w:rsid w:val="00835BF5"/>
    <w:rsid w:val="008364C2"/>
    <w:rsid w:val="00843EAB"/>
    <w:rsid w:val="008441E4"/>
    <w:rsid w:val="0084442E"/>
    <w:rsid w:val="00845552"/>
    <w:rsid w:val="00847218"/>
    <w:rsid w:val="00850D24"/>
    <w:rsid w:val="00852233"/>
    <w:rsid w:val="0085744E"/>
    <w:rsid w:val="00861300"/>
    <w:rsid w:val="00862348"/>
    <w:rsid w:val="00862913"/>
    <w:rsid w:val="00862D43"/>
    <w:rsid w:val="00863138"/>
    <w:rsid w:val="00863E09"/>
    <w:rsid w:val="0086480A"/>
    <w:rsid w:val="00865A89"/>
    <w:rsid w:val="0087020A"/>
    <w:rsid w:val="008725A7"/>
    <w:rsid w:val="00872D36"/>
    <w:rsid w:val="00872DBC"/>
    <w:rsid w:val="00873E1E"/>
    <w:rsid w:val="00874A3A"/>
    <w:rsid w:val="00875DC5"/>
    <w:rsid w:val="00876041"/>
    <w:rsid w:val="00877518"/>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5994"/>
    <w:rsid w:val="008966B7"/>
    <w:rsid w:val="00896C4D"/>
    <w:rsid w:val="008A01C7"/>
    <w:rsid w:val="008A0C04"/>
    <w:rsid w:val="008A2560"/>
    <w:rsid w:val="008A4F3B"/>
    <w:rsid w:val="008A5126"/>
    <w:rsid w:val="008A66AC"/>
    <w:rsid w:val="008B0B14"/>
    <w:rsid w:val="008B134A"/>
    <w:rsid w:val="008B1B48"/>
    <w:rsid w:val="008B32F6"/>
    <w:rsid w:val="008B3BC4"/>
    <w:rsid w:val="008B3FB6"/>
    <w:rsid w:val="008B5DEC"/>
    <w:rsid w:val="008B6D40"/>
    <w:rsid w:val="008B7299"/>
    <w:rsid w:val="008C044F"/>
    <w:rsid w:val="008C0B33"/>
    <w:rsid w:val="008C100A"/>
    <w:rsid w:val="008C2D08"/>
    <w:rsid w:val="008C4638"/>
    <w:rsid w:val="008C468D"/>
    <w:rsid w:val="008C72B6"/>
    <w:rsid w:val="008C7F35"/>
    <w:rsid w:val="008D01C5"/>
    <w:rsid w:val="008D08F5"/>
    <w:rsid w:val="008D2BF3"/>
    <w:rsid w:val="008D5E9E"/>
    <w:rsid w:val="008D61BC"/>
    <w:rsid w:val="008D75BB"/>
    <w:rsid w:val="008E0380"/>
    <w:rsid w:val="008E2D0E"/>
    <w:rsid w:val="008E3209"/>
    <w:rsid w:val="008E413B"/>
    <w:rsid w:val="008E6EBC"/>
    <w:rsid w:val="008F489B"/>
    <w:rsid w:val="008F499F"/>
    <w:rsid w:val="008F4F52"/>
    <w:rsid w:val="008F51E2"/>
    <w:rsid w:val="008F5B8F"/>
    <w:rsid w:val="008F644C"/>
    <w:rsid w:val="008F7222"/>
    <w:rsid w:val="008F73EC"/>
    <w:rsid w:val="008F7D97"/>
    <w:rsid w:val="008F7DFE"/>
    <w:rsid w:val="00902321"/>
    <w:rsid w:val="00902F8F"/>
    <w:rsid w:val="00904A42"/>
    <w:rsid w:val="00907076"/>
    <w:rsid w:val="00910EA0"/>
    <w:rsid w:val="00912F2B"/>
    <w:rsid w:val="00913D05"/>
    <w:rsid w:val="0091414C"/>
    <w:rsid w:val="00914B20"/>
    <w:rsid w:val="00914BE7"/>
    <w:rsid w:val="00915CCB"/>
    <w:rsid w:val="009178A6"/>
    <w:rsid w:val="00917C1E"/>
    <w:rsid w:val="00917FB4"/>
    <w:rsid w:val="009210FA"/>
    <w:rsid w:val="00921BFC"/>
    <w:rsid w:val="00922766"/>
    <w:rsid w:val="00923012"/>
    <w:rsid w:val="00923501"/>
    <w:rsid w:val="00926F06"/>
    <w:rsid w:val="00927AB7"/>
    <w:rsid w:val="009303EC"/>
    <w:rsid w:val="009306DA"/>
    <w:rsid w:val="00931FDE"/>
    <w:rsid w:val="009328A8"/>
    <w:rsid w:val="0093528A"/>
    <w:rsid w:val="00936267"/>
    <w:rsid w:val="009374DA"/>
    <w:rsid w:val="00937BA0"/>
    <w:rsid w:val="00937E5A"/>
    <w:rsid w:val="00940072"/>
    <w:rsid w:val="00940CF1"/>
    <w:rsid w:val="00943458"/>
    <w:rsid w:val="009436EA"/>
    <w:rsid w:val="00943A5C"/>
    <w:rsid w:val="0094405F"/>
    <w:rsid w:val="00944249"/>
    <w:rsid w:val="009455B4"/>
    <w:rsid w:val="009470FB"/>
    <w:rsid w:val="00952E9A"/>
    <w:rsid w:val="00954568"/>
    <w:rsid w:val="00954B96"/>
    <w:rsid w:val="0095669C"/>
    <w:rsid w:val="0095783C"/>
    <w:rsid w:val="00961751"/>
    <w:rsid w:val="009636A9"/>
    <w:rsid w:val="0096405B"/>
    <w:rsid w:val="00964CB2"/>
    <w:rsid w:val="00964E1C"/>
    <w:rsid w:val="00965D07"/>
    <w:rsid w:val="00965D33"/>
    <w:rsid w:val="00966EF1"/>
    <w:rsid w:val="00967882"/>
    <w:rsid w:val="0096794D"/>
    <w:rsid w:val="00967DC1"/>
    <w:rsid w:val="00970B31"/>
    <w:rsid w:val="009715EF"/>
    <w:rsid w:val="009733BE"/>
    <w:rsid w:val="00975060"/>
    <w:rsid w:val="009755FA"/>
    <w:rsid w:val="009824B0"/>
    <w:rsid w:val="00982DA0"/>
    <w:rsid w:val="00983222"/>
    <w:rsid w:val="00983DAD"/>
    <w:rsid w:val="00984980"/>
    <w:rsid w:val="00985BD5"/>
    <w:rsid w:val="00985D2D"/>
    <w:rsid w:val="009864A9"/>
    <w:rsid w:val="0098656F"/>
    <w:rsid w:val="00990834"/>
    <w:rsid w:val="009908BA"/>
    <w:rsid w:val="009928DA"/>
    <w:rsid w:val="00992BB0"/>
    <w:rsid w:val="009938D0"/>
    <w:rsid w:val="00995CC4"/>
    <w:rsid w:val="0099610A"/>
    <w:rsid w:val="00996BC0"/>
    <w:rsid w:val="009A0565"/>
    <w:rsid w:val="009A15EA"/>
    <w:rsid w:val="009A27C5"/>
    <w:rsid w:val="009A3164"/>
    <w:rsid w:val="009A4BE1"/>
    <w:rsid w:val="009A768D"/>
    <w:rsid w:val="009A7F27"/>
    <w:rsid w:val="009B1812"/>
    <w:rsid w:val="009B1C94"/>
    <w:rsid w:val="009B4F95"/>
    <w:rsid w:val="009B5055"/>
    <w:rsid w:val="009B54B9"/>
    <w:rsid w:val="009B7DF7"/>
    <w:rsid w:val="009C09E4"/>
    <w:rsid w:val="009C0F8B"/>
    <w:rsid w:val="009C2F2A"/>
    <w:rsid w:val="009C7765"/>
    <w:rsid w:val="009C7D28"/>
    <w:rsid w:val="009D2759"/>
    <w:rsid w:val="009D28E3"/>
    <w:rsid w:val="009D3663"/>
    <w:rsid w:val="009D4ED9"/>
    <w:rsid w:val="009D500A"/>
    <w:rsid w:val="009D614A"/>
    <w:rsid w:val="009D6F8C"/>
    <w:rsid w:val="009D750F"/>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4F0D"/>
    <w:rsid w:val="009F7DF3"/>
    <w:rsid w:val="00A00F87"/>
    <w:rsid w:val="00A00F93"/>
    <w:rsid w:val="00A023CA"/>
    <w:rsid w:val="00A02467"/>
    <w:rsid w:val="00A04D12"/>
    <w:rsid w:val="00A065EA"/>
    <w:rsid w:val="00A06C3E"/>
    <w:rsid w:val="00A10636"/>
    <w:rsid w:val="00A10E37"/>
    <w:rsid w:val="00A11896"/>
    <w:rsid w:val="00A12E3B"/>
    <w:rsid w:val="00A15BC6"/>
    <w:rsid w:val="00A163B5"/>
    <w:rsid w:val="00A20CD5"/>
    <w:rsid w:val="00A219B2"/>
    <w:rsid w:val="00A21C3F"/>
    <w:rsid w:val="00A2303A"/>
    <w:rsid w:val="00A248D1"/>
    <w:rsid w:val="00A24E6E"/>
    <w:rsid w:val="00A25B12"/>
    <w:rsid w:val="00A275D2"/>
    <w:rsid w:val="00A27D50"/>
    <w:rsid w:val="00A307DD"/>
    <w:rsid w:val="00A31DDE"/>
    <w:rsid w:val="00A3507B"/>
    <w:rsid w:val="00A37517"/>
    <w:rsid w:val="00A37624"/>
    <w:rsid w:val="00A3762D"/>
    <w:rsid w:val="00A407B6"/>
    <w:rsid w:val="00A41BC5"/>
    <w:rsid w:val="00A42929"/>
    <w:rsid w:val="00A43083"/>
    <w:rsid w:val="00A442B8"/>
    <w:rsid w:val="00A468C1"/>
    <w:rsid w:val="00A47FB8"/>
    <w:rsid w:val="00A523FE"/>
    <w:rsid w:val="00A525FE"/>
    <w:rsid w:val="00A528E9"/>
    <w:rsid w:val="00A536B2"/>
    <w:rsid w:val="00A53EE5"/>
    <w:rsid w:val="00A54301"/>
    <w:rsid w:val="00A57C3F"/>
    <w:rsid w:val="00A60CC2"/>
    <w:rsid w:val="00A61805"/>
    <w:rsid w:val="00A61E5C"/>
    <w:rsid w:val="00A64C1E"/>
    <w:rsid w:val="00A66DDD"/>
    <w:rsid w:val="00A676D7"/>
    <w:rsid w:val="00A67C90"/>
    <w:rsid w:val="00A7003F"/>
    <w:rsid w:val="00A705D2"/>
    <w:rsid w:val="00A729CB"/>
    <w:rsid w:val="00A75944"/>
    <w:rsid w:val="00A822B8"/>
    <w:rsid w:val="00A84B6B"/>
    <w:rsid w:val="00A901B3"/>
    <w:rsid w:val="00A908A8"/>
    <w:rsid w:val="00A90A4B"/>
    <w:rsid w:val="00A91316"/>
    <w:rsid w:val="00A92D14"/>
    <w:rsid w:val="00A930B3"/>
    <w:rsid w:val="00A93E19"/>
    <w:rsid w:val="00A9510F"/>
    <w:rsid w:val="00A96B78"/>
    <w:rsid w:val="00AA2694"/>
    <w:rsid w:val="00AA415B"/>
    <w:rsid w:val="00AA4552"/>
    <w:rsid w:val="00AA5C52"/>
    <w:rsid w:val="00AA679C"/>
    <w:rsid w:val="00AB0731"/>
    <w:rsid w:val="00AB1663"/>
    <w:rsid w:val="00AB4505"/>
    <w:rsid w:val="00AB550D"/>
    <w:rsid w:val="00AB6072"/>
    <w:rsid w:val="00AC0904"/>
    <w:rsid w:val="00AC28BC"/>
    <w:rsid w:val="00AC2FB0"/>
    <w:rsid w:val="00AC48C4"/>
    <w:rsid w:val="00AC5864"/>
    <w:rsid w:val="00AC5D4F"/>
    <w:rsid w:val="00AC715E"/>
    <w:rsid w:val="00AD1AC0"/>
    <w:rsid w:val="00AD304E"/>
    <w:rsid w:val="00AD39B1"/>
    <w:rsid w:val="00AD40D0"/>
    <w:rsid w:val="00AD4583"/>
    <w:rsid w:val="00AD5216"/>
    <w:rsid w:val="00AD6354"/>
    <w:rsid w:val="00AE0801"/>
    <w:rsid w:val="00AE1389"/>
    <w:rsid w:val="00AE26A8"/>
    <w:rsid w:val="00AE4551"/>
    <w:rsid w:val="00AE4812"/>
    <w:rsid w:val="00AE57C7"/>
    <w:rsid w:val="00AF01E1"/>
    <w:rsid w:val="00AF146D"/>
    <w:rsid w:val="00AF18C1"/>
    <w:rsid w:val="00AF29C6"/>
    <w:rsid w:val="00AF2F47"/>
    <w:rsid w:val="00AF34B1"/>
    <w:rsid w:val="00AF547E"/>
    <w:rsid w:val="00AF6159"/>
    <w:rsid w:val="00AF6971"/>
    <w:rsid w:val="00AF7C72"/>
    <w:rsid w:val="00B01171"/>
    <w:rsid w:val="00B01DFC"/>
    <w:rsid w:val="00B04E90"/>
    <w:rsid w:val="00B06876"/>
    <w:rsid w:val="00B069E1"/>
    <w:rsid w:val="00B06D52"/>
    <w:rsid w:val="00B06F27"/>
    <w:rsid w:val="00B0722E"/>
    <w:rsid w:val="00B1009C"/>
    <w:rsid w:val="00B11429"/>
    <w:rsid w:val="00B14B9C"/>
    <w:rsid w:val="00B155E2"/>
    <w:rsid w:val="00B16B10"/>
    <w:rsid w:val="00B1701C"/>
    <w:rsid w:val="00B20A90"/>
    <w:rsid w:val="00B20EFC"/>
    <w:rsid w:val="00B22A37"/>
    <w:rsid w:val="00B23DE2"/>
    <w:rsid w:val="00B249F9"/>
    <w:rsid w:val="00B24FDF"/>
    <w:rsid w:val="00B26B04"/>
    <w:rsid w:val="00B27230"/>
    <w:rsid w:val="00B27F30"/>
    <w:rsid w:val="00B3268D"/>
    <w:rsid w:val="00B32A0B"/>
    <w:rsid w:val="00B32E97"/>
    <w:rsid w:val="00B34544"/>
    <w:rsid w:val="00B34AFF"/>
    <w:rsid w:val="00B34DA8"/>
    <w:rsid w:val="00B4076D"/>
    <w:rsid w:val="00B41659"/>
    <w:rsid w:val="00B424D0"/>
    <w:rsid w:val="00B44FCC"/>
    <w:rsid w:val="00B4537B"/>
    <w:rsid w:val="00B479C6"/>
    <w:rsid w:val="00B50799"/>
    <w:rsid w:val="00B50D1C"/>
    <w:rsid w:val="00B5371E"/>
    <w:rsid w:val="00B568EE"/>
    <w:rsid w:val="00B56F4C"/>
    <w:rsid w:val="00B62002"/>
    <w:rsid w:val="00B6448A"/>
    <w:rsid w:val="00B64578"/>
    <w:rsid w:val="00B65773"/>
    <w:rsid w:val="00B67CB7"/>
    <w:rsid w:val="00B70006"/>
    <w:rsid w:val="00B703A6"/>
    <w:rsid w:val="00B717D9"/>
    <w:rsid w:val="00B72D8D"/>
    <w:rsid w:val="00B7432A"/>
    <w:rsid w:val="00B75CE4"/>
    <w:rsid w:val="00B81890"/>
    <w:rsid w:val="00B82552"/>
    <w:rsid w:val="00B847BC"/>
    <w:rsid w:val="00B87D2A"/>
    <w:rsid w:val="00B90642"/>
    <w:rsid w:val="00B9095A"/>
    <w:rsid w:val="00B91BCA"/>
    <w:rsid w:val="00B91DF7"/>
    <w:rsid w:val="00B92730"/>
    <w:rsid w:val="00B93231"/>
    <w:rsid w:val="00B93373"/>
    <w:rsid w:val="00BA00F1"/>
    <w:rsid w:val="00BA19BA"/>
    <w:rsid w:val="00BA22CD"/>
    <w:rsid w:val="00BA26AC"/>
    <w:rsid w:val="00BA4CC2"/>
    <w:rsid w:val="00BA57A4"/>
    <w:rsid w:val="00BA5C3D"/>
    <w:rsid w:val="00BB06BE"/>
    <w:rsid w:val="00BB163F"/>
    <w:rsid w:val="00BB28F5"/>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D0880"/>
    <w:rsid w:val="00BD41A3"/>
    <w:rsid w:val="00BD47E4"/>
    <w:rsid w:val="00BD6E58"/>
    <w:rsid w:val="00BE011D"/>
    <w:rsid w:val="00BE1CE7"/>
    <w:rsid w:val="00BE4909"/>
    <w:rsid w:val="00BE62F1"/>
    <w:rsid w:val="00BE6845"/>
    <w:rsid w:val="00BF02ED"/>
    <w:rsid w:val="00BF150C"/>
    <w:rsid w:val="00BF1EC8"/>
    <w:rsid w:val="00BF314E"/>
    <w:rsid w:val="00BF3507"/>
    <w:rsid w:val="00BF3723"/>
    <w:rsid w:val="00BF45E3"/>
    <w:rsid w:val="00BF4615"/>
    <w:rsid w:val="00BF47EA"/>
    <w:rsid w:val="00BF6183"/>
    <w:rsid w:val="00BF700F"/>
    <w:rsid w:val="00C02FDF"/>
    <w:rsid w:val="00C05D13"/>
    <w:rsid w:val="00C06A5E"/>
    <w:rsid w:val="00C07810"/>
    <w:rsid w:val="00C07DF7"/>
    <w:rsid w:val="00C110CF"/>
    <w:rsid w:val="00C1247A"/>
    <w:rsid w:val="00C128BA"/>
    <w:rsid w:val="00C12B4F"/>
    <w:rsid w:val="00C135B6"/>
    <w:rsid w:val="00C13671"/>
    <w:rsid w:val="00C13C97"/>
    <w:rsid w:val="00C14851"/>
    <w:rsid w:val="00C1499B"/>
    <w:rsid w:val="00C14CEA"/>
    <w:rsid w:val="00C1588A"/>
    <w:rsid w:val="00C163FC"/>
    <w:rsid w:val="00C16FED"/>
    <w:rsid w:val="00C21B3A"/>
    <w:rsid w:val="00C22576"/>
    <w:rsid w:val="00C2315C"/>
    <w:rsid w:val="00C240F4"/>
    <w:rsid w:val="00C24558"/>
    <w:rsid w:val="00C245ED"/>
    <w:rsid w:val="00C2619E"/>
    <w:rsid w:val="00C30F01"/>
    <w:rsid w:val="00C30FAA"/>
    <w:rsid w:val="00C310AB"/>
    <w:rsid w:val="00C33951"/>
    <w:rsid w:val="00C35D3B"/>
    <w:rsid w:val="00C4054B"/>
    <w:rsid w:val="00C41365"/>
    <w:rsid w:val="00C4455F"/>
    <w:rsid w:val="00C44DAC"/>
    <w:rsid w:val="00C466ED"/>
    <w:rsid w:val="00C47BA5"/>
    <w:rsid w:val="00C51480"/>
    <w:rsid w:val="00C51981"/>
    <w:rsid w:val="00C52068"/>
    <w:rsid w:val="00C522D0"/>
    <w:rsid w:val="00C53D0A"/>
    <w:rsid w:val="00C56227"/>
    <w:rsid w:val="00C576BB"/>
    <w:rsid w:val="00C64E40"/>
    <w:rsid w:val="00C6519C"/>
    <w:rsid w:val="00C655F9"/>
    <w:rsid w:val="00C67B1C"/>
    <w:rsid w:val="00C70B7D"/>
    <w:rsid w:val="00C71F13"/>
    <w:rsid w:val="00C74990"/>
    <w:rsid w:val="00C755C2"/>
    <w:rsid w:val="00C76323"/>
    <w:rsid w:val="00C7768B"/>
    <w:rsid w:val="00C77D8A"/>
    <w:rsid w:val="00C82F2C"/>
    <w:rsid w:val="00C83AA7"/>
    <w:rsid w:val="00C843FB"/>
    <w:rsid w:val="00C84AA3"/>
    <w:rsid w:val="00C84FB0"/>
    <w:rsid w:val="00C919FC"/>
    <w:rsid w:val="00C948C2"/>
    <w:rsid w:val="00C958B5"/>
    <w:rsid w:val="00CA0315"/>
    <w:rsid w:val="00CA19E3"/>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3BB3"/>
    <w:rsid w:val="00CC4DD4"/>
    <w:rsid w:val="00CC4DED"/>
    <w:rsid w:val="00CC78BB"/>
    <w:rsid w:val="00CD2DA3"/>
    <w:rsid w:val="00CD4654"/>
    <w:rsid w:val="00CD5889"/>
    <w:rsid w:val="00CD6CDB"/>
    <w:rsid w:val="00CE00BF"/>
    <w:rsid w:val="00CE12C1"/>
    <w:rsid w:val="00CE22DA"/>
    <w:rsid w:val="00CE3138"/>
    <w:rsid w:val="00CE6BBD"/>
    <w:rsid w:val="00CF1554"/>
    <w:rsid w:val="00CF176D"/>
    <w:rsid w:val="00CF39DE"/>
    <w:rsid w:val="00CF4E4F"/>
    <w:rsid w:val="00CF60BE"/>
    <w:rsid w:val="00D01E68"/>
    <w:rsid w:val="00D024A3"/>
    <w:rsid w:val="00D02874"/>
    <w:rsid w:val="00D02A08"/>
    <w:rsid w:val="00D031CC"/>
    <w:rsid w:val="00D04A2A"/>
    <w:rsid w:val="00D06401"/>
    <w:rsid w:val="00D06F60"/>
    <w:rsid w:val="00D07EC6"/>
    <w:rsid w:val="00D1073A"/>
    <w:rsid w:val="00D10941"/>
    <w:rsid w:val="00D1359D"/>
    <w:rsid w:val="00D1464F"/>
    <w:rsid w:val="00D179CB"/>
    <w:rsid w:val="00D25C8B"/>
    <w:rsid w:val="00D26C1D"/>
    <w:rsid w:val="00D27170"/>
    <w:rsid w:val="00D32097"/>
    <w:rsid w:val="00D32C0C"/>
    <w:rsid w:val="00D33089"/>
    <w:rsid w:val="00D330C2"/>
    <w:rsid w:val="00D35313"/>
    <w:rsid w:val="00D35E91"/>
    <w:rsid w:val="00D366D3"/>
    <w:rsid w:val="00D370EF"/>
    <w:rsid w:val="00D41830"/>
    <w:rsid w:val="00D420DA"/>
    <w:rsid w:val="00D4244C"/>
    <w:rsid w:val="00D4482B"/>
    <w:rsid w:val="00D4634F"/>
    <w:rsid w:val="00D4649B"/>
    <w:rsid w:val="00D46A99"/>
    <w:rsid w:val="00D50289"/>
    <w:rsid w:val="00D502DF"/>
    <w:rsid w:val="00D50355"/>
    <w:rsid w:val="00D50991"/>
    <w:rsid w:val="00D538DB"/>
    <w:rsid w:val="00D54F4C"/>
    <w:rsid w:val="00D61731"/>
    <w:rsid w:val="00D62FB1"/>
    <w:rsid w:val="00D63289"/>
    <w:rsid w:val="00D6386B"/>
    <w:rsid w:val="00D63A65"/>
    <w:rsid w:val="00D64B1C"/>
    <w:rsid w:val="00D65F11"/>
    <w:rsid w:val="00D66BEF"/>
    <w:rsid w:val="00D66E0A"/>
    <w:rsid w:val="00D66F5B"/>
    <w:rsid w:val="00D7026D"/>
    <w:rsid w:val="00D71C30"/>
    <w:rsid w:val="00D73CDA"/>
    <w:rsid w:val="00D756AA"/>
    <w:rsid w:val="00D77C2D"/>
    <w:rsid w:val="00D81D88"/>
    <w:rsid w:val="00D8219D"/>
    <w:rsid w:val="00D825A8"/>
    <w:rsid w:val="00D82972"/>
    <w:rsid w:val="00D8478F"/>
    <w:rsid w:val="00D8513D"/>
    <w:rsid w:val="00D85781"/>
    <w:rsid w:val="00D879D3"/>
    <w:rsid w:val="00D90B34"/>
    <w:rsid w:val="00D91609"/>
    <w:rsid w:val="00D91C67"/>
    <w:rsid w:val="00D949F2"/>
    <w:rsid w:val="00D95270"/>
    <w:rsid w:val="00D95A49"/>
    <w:rsid w:val="00D9785E"/>
    <w:rsid w:val="00D97C18"/>
    <w:rsid w:val="00DA19F6"/>
    <w:rsid w:val="00DA2121"/>
    <w:rsid w:val="00DA2BAA"/>
    <w:rsid w:val="00DA2F10"/>
    <w:rsid w:val="00DA31EC"/>
    <w:rsid w:val="00DA795E"/>
    <w:rsid w:val="00DA7C01"/>
    <w:rsid w:val="00DB10CA"/>
    <w:rsid w:val="00DB2349"/>
    <w:rsid w:val="00DB2409"/>
    <w:rsid w:val="00DB3B8E"/>
    <w:rsid w:val="00DB4103"/>
    <w:rsid w:val="00DB443D"/>
    <w:rsid w:val="00DB4916"/>
    <w:rsid w:val="00DB4EEE"/>
    <w:rsid w:val="00DC1E5E"/>
    <w:rsid w:val="00DC40FB"/>
    <w:rsid w:val="00DC5D82"/>
    <w:rsid w:val="00DD285D"/>
    <w:rsid w:val="00DD4BB1"/>
    <w:rsid w:val="00DD582D"/>
    <w:rsid w:val="00DD6384"/>
    <w:rsid w:val="00DD779B"/>
    <w:rsid w:val="00DE1100"/>
    <w:rsid w:val="00DE41DA"/>
    <w:rsid w:val="00DE4C70"/>
    <w:rsid w:val="00DE516F"/>
    <w:rsid w:val="00DE553E"/>
    <w:rsid w:val="00DE6326"/>
    <w:rsid w:val="00DE704E"/>
    <w:rsid w:val="00DE70F5"/>
    <w:rsid w:val="00DE72B2"/>
    <w:rsid w:val="00DE7D72"/>
    <w:rsid w:val="00DF05BA"/>
    <w:rsid w:val="00DF06F1"/>
    <w:rsid w:val="00DF2072"/>
    <w:rsid w:val="00DF3162"/>
    <w:rsid w:val="00DF4B93"/>
    <w:rsid w:val="00DF54EC"/>
    <w:rsid w:val="00DF563A"/>
    <w:rsid w:val="00DF57A2"/>
    <w:rsid w:val="00DF6CB9"/>
    <w:rsid w:val="00E00598"/>
    <w:rsid w:val="00E00A1F"/>
    <w:rsid w:val="00E04828"/>
    <w:rsid w:val="00E05138"/>
    <w:rsid w:val="00E06085"/>
    <w:rsid w:val="00E07F13"/>
    <w:rsid w:val="00E10C23"/>
    <w:rsid w:val="00E12CBE"/>
    <w:rsid w:val="00E12F48"/>
    <w:rsid w:val="00E14589"/>
    <w:rsid w:val="00E1504F"/>
    <w:rsid w:val="00E1565A"/>
    <w:rsid w:val="00E15853"/>
    <w:rsid w:val="00E169DC"/>
    <w:rsid w:val="00E17A1F"/>
    <w:rsid w:val="00E17C70"/>
    <w:rsid w:val="00E20141"/>
    <w:rsid w:val="00E2064E"/>
    <w:rsid w:val="00E20EA7"/>
    <w:rsid w:val="00E21BB1"/>
    <w:rsid w:val="00E23640"/>
    <w:rsid w:val="00E25E48"/>
    <w:rsid w:val="00E26C6A"/>
    <w:rsid w:val="00E31B9F"/>
    <w:rsid w:val="00E32C81"/>
    <w:rsid w:val="00E3476B"/>
    <w:rsid w:val="00E34992"/>
    <w:rsid w:val="00E34F15"/>
    <w:rsid w:val="00E3719A"/>
    <w:rsid w:val="00E4297C"/>
    <w:rsid w:val="00E43371"/>
    <w:rsid w:val="00E4351C"/>
    <w:rsid w:val="00E46EAE"/>
    <w:rsid w:val="00E47233"/>
    <w:rsid w:val="00E509F9"/>
    <w:rsid w:val="00E531C6"/>
    <w:rsid w:val="00E53556"/>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F70"/>
    <w:rsid w:val="00E76991"/>
    <w:rsid w:val="00E76CF7"/>
    <w:rsid w:val="00E801B1"/>
    <w:rsid w:val="00E805C4"/>
    <w:rsid w:val="00E8197B"/>
    <w:rsid w:val="00E83105"/>
    <w:rsid w:val="00E85D3B"/>
    <w:rsid w:val="00E87ADE"/>
    <w:rsid w:val="00E90FED"/>
    <w:rsid w:val="00E9230C"/>
    <w:rsid w:val="00E95F06"/>
    <w:rsid w:val="00E971DA"/>
    <w:rsid w:val="00EA096A"/>
    <w:rsid w:val="00EA0E26"/>
    <w:rsid w:val="00EA1449"/>
    <w:rsid w:val="00EA1636"/>
    <w:rsid w:val="00EA220B"/>
    <w:rsid w:val="00EA4237"/>
    <w:rsid w:val="00EA6092"/>
    <w:rsid w:val="00EA7517"/>
    <w:rsid w:val="00EA7BC9"/>
    <w:rsid w:val="00EB103B"/>
    <w:rsid w:val="00EB287E"/>
    <w:rsid w:val="00EB553B"/>
    <w:rsid w:val="00EB5BFE"/>
    <w:rsid w:val="00EB7491"/>
    <w:rsid w:val="00EC25B9"/>
    <w:rsid w:val="00EC4122"/>
    <w:rsid w:val="00EC61CE"/>
    <w:rsid w:val="00EC7ECD"/>
    <w:rsid w:val="00ED18AC"/>
    <w:rsid w:val="00ED298B"/>
    <w:rsid w:val="00ED55BE"/>
    <w:rsid w:val="00ED5833"/>
    <w:rsid w:val="00ED59A7"/>
    <w:rsid w:val="00ED670D"/>
    <w:rsid w:val="00ED758C"/>
    <w:rsid w:val="00EE0C22"/>
    <w:rsid w:val="00EE7D80"/>
    <w:rsid w:val="00EF024D"/>
    <w:rsid w:val="00EF0400"/>
    <w:rsid w:val="00EF0960"/>
    <w:rsid w:val="00EF2BD1"/>
    <w:rsid w:val="00EF2BEE"/>
    <w:rsid w:val="00EF488E"/>
    <w:rsid w:val="00EF4F43"/>
    <w:rsid w:val="00EF5EB5"/>
    <w:rsid w:val="00EF5FCA"/>
    <w:rsid w:val="00EF605C"/>
    <w:rsid w:val="00EF7EEC"/>
    <w:rsid w:val="00F00AD9"/>
    <w:rsid w:val="00F02D54"/>
    <w:rsid w:val="00F04722"/>
    <w:rsid w:val="00F05F22"/>
    <w:rsid w:val="00F06418"/>
    <w:rsid w:val="00F072E6"/>
    <w:rsid w:val="00F07C47"/>
    <w:rsid w:val="00F11779"/>
    <w:rsid w:val="00F140BD"/>
    <w:rsid w:val="00F15112"/>
    <w:rsid w:val="00F23168"/>
    <w:rsid w:val="00F245B7"/>
    <w:rsid w:val="00F2575A"/>
    <w:rsid w:val="00F26A21"/>
    <w:rsid w:val="00F30ABF"/>
    <w:rsid w:val="00F30DCE"/>
    <w:rsid w:val="00F31A10"/>
    <w:rsid w:val="00F32776"/>
    <w:rsid w:val="00F32D0E"/>
    <w:rsid w:val="00F343EB"/>
    <w:rsid w:val="00F35E25"/>
    <w:rsid w:val="00F364D0"/>
    <w:rsid w:val="00F36871"/>
    <w:rsid w:val="00F40477"/>
    <w:rsid w:val="00F44260"/>
    <w:rsid w:val="00F449B9"/>
    <w:rsid w:val="00F449BD"/>
    <w:rsid w:val="00F507A1"/>
    <w:rsid w:val="00F53FEA"/>
    <w:rsid w:val="00F55C2D"/>
    <w:rsid w:val="00F56FF4"/>
    <w:rsid w:val="00F61558"/>
    <w:rsid w:val="00F62592"/>
    <w:rsid w:val="00F67C5A"/>
    <w:rsid w:val="00F73460"/>
    <w:rsid w:val="00F73F5B"/>
    <w:rsid w:val="00F74ADE"/>
    <w:rsid w:val="00F75A0B"/>
    <w:rsid w:val="00F80D96"/>
    <w:rsid w:val="00F81BC8"/>
    <w:rsid w:val="00F81D39"/>
    <w:rsid w:val="00F84475"/>
    <w:rsid w:val="00F85698"/>
    <w:rsid w:val="00F85CFD"/>
    <w:rsid w:val="00F860CA"/>
    <w:rsid w:val="00F86A96"/>
    <w:rsid w:val="00F8753D"/>
    <w:rsid w:val="00F87816"/>
    <w:rsid w:val="00F9150F"/>
    <w:rsid w:val="00F91DE5"/>
    <w:rsid w:val="00F942E1"/>
    <w:rsid w:val="00F95689"/>
    <w:rsid w:val="00F956B3"/>
    <w:rsid w:val="00F95BCA"/>
    <w:rsid w:val="00F964A8"/>
    <w:rsid w:val="00F972CC"/>
    <w:rsid w:val="00F97F5E"/>
    <w:rsid w:val="00FA056A"/>
    <w:rsid w:val="00FA0573"/>
    <w:rsid w:val="00FA21AC"/>
    <w:rsid w:val="00FA31E9"/>
    <w:rsid w:val="00FA5904"/>
    <w:rsid w:val="00FA618E"/>
    <w:rsid w:val="00FA6954"/>
    <w:rsid w:val="00FB3003"/>
    <w:rsid w:val="00FB3077"/>
    <w:rsid w:val="00FB378E"/>
    <w:rsid w:val="00FB5396"/>
    <w:rsid w:val="00FB6B63"/>
    <w:rsid w:val="00FC1687"/>
    <w:rsid w:val="00FC2B18"/>
    <w:rsid w:val="00FD04E5"/>
    <w:rsid w:val="00FD2069"/>
    <w:rsid w:val="00FD3749"/>
    <w:rsid w:val="00FD3A95"/>
    <w:rsid w:val="00FD48D9"/>
    <w:rsid w:val="00FD570D"/>
    <w:rsid w:val="00FD5DD2"/>
    <w:rsid w:val="00FE1606"/>
    <w:rsid w:val="00FE3060"/>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828CF"/>
    <w:rsid w:val="010B1330"/>
    <w:rsid w:val="01461ACD"/>
    <w:rsid w:val="01757860"/>
    <w:rsid w:val="018D0205"/>
    <w:rsid w:val="01933B40"/>
    <w:rsid w:val="01C1269E"/>
    <w:rsid w:val="01C12A88"/>
    <w:rsid w:val="01D07706"/>
    <w:rsid w:val="01F60066"/>
    <w:rsid w:val="0221271C"/>
    <w:rsid w:val="022D649C"/>
    <w:rsid w:val="02351774"/>
    <w:rsid w:val="023A6ECB"/>
    <w:rsid w:val="02420646"/>
    <w:rsid w:val="028223A8"/>
    <w:rsid w:val="02A9706C"/>
    <w:rsid w:val="02AF6599"/>
    <w:rsid w:val="02DE374B"/>
    <w:rsid w:val="03044359"/>
    <w:rsid w:val="03173665"/>
    <w:rsid w:val="031C67BA"/>
    <w:rsid w:val="03442A09"/>
    <w:rsid w:val="034E5C0A"/>
    <w:rsid w:val="03511571"/>
    <w:rsid w:val="035E37BC"/>
    <w:rsid w:val="035E5D57"/>
    <w:rsid w:val="03715197"/>
    <w:rsid w:val="03A25185"/>
    <w:rsid w:val="03A92E0C"/>
    <w:rsid w:val="03A93F07"/>
    <w:rsid w:val="03C90842"/>
    <w:rsid w:val="03DD17F0"/>
    <w:rsid w:val="03E03FB9"/>
    <w:rsid w:val="03F730D5"/>
    <w:rsid w:val="040E2332"/>
    <w:rsid w:val="040E4213"/>
    <w:rsid w:val="04137380"/>
    <w:rsid w:val="04160294"/>
    <w:rsid w:val="0421064D"/>
    <w:rsid w:val="0424709F"/>
    <w:rsid w:val="04273734"/>
    <w:rsid w:val="042C6AE4"/>
    <w:rsid w:val="0439748C"/>
    <w:rsid w:val="04582CE6"/>
    <w:rsid w:val="045F4428"/>
    <w:rsid w:val="04663DEE"/>
    <w:rsid w:val="048B6224"/>
    <w:rsid w:val="049C3EF3"/>
    <w:rsid w:val="04BC1BA0"/>
    <w:rsid w:val="04CC4566"/>
    <w:rsid w:val="04F321C1"/>
    <w:rsid w:val="04FD23FC"/>
    <w:rsid w:val="05005426"/>
    <w:rsid w:val="055A38B5"/>
    <w:rsid w:val="05835244"/>
    <w:rsid w:val="059C5F8E"/>
    <w:rsid w:val="05AD5736"/>
    <w:rsid w:val="05BB241B"/>
    <w:rsid w:val="05CA2818"/>
    <w:rsid w:val="05CF4780"/>
    <w:rsid w:val="05DB35BA"/>
    <w:rsid w:val="05FA06DD"/>
    <w:rsid w:val="06023A8F"/>
    <w:rsid w:val="0611621E"/>
    <w:rsid w:val="063F258E"/>
    <w:rsid w:val="065044F8"/>
    <w:rsid w:val="0653482B"/>
    <w:rsid w:val="065349C0"/>
    <w:rsid w:val="06B7286F"/>
    <w:rsid w:val="06C116BD"/>
    <w:rsid w:val="06C767F8"/>
    <w:rsid w:val="06C96E15"/>
    <w:rsid w:val="06EA2FBD"/>
    <w:rsid w:val="06ED1770"/>
    <w:rsid w:val="06FE4AAE"/>
    <w:rsid w:val="070157D1"/>
    <w:rsid w:val="07087D4F"/>
    <w:rsid w:val="07117CDC"/>
    <w:rsid w:val="072B59A9"/>
    <w:rsid w:val="07354BE2"/>
    <w:rsid w:val="073C402C"/>
    <w:rsid w:val="07495BDF"/>
    <w:rsid w:val="07506DDE"/>
    <w:rsid w:val="078360F1"/>
    <w:rsid w:val="079555F7"/>
    <w:rsid w:val="07AA21A6"/>
    <w:rsid w:val="07B323DD"/>
    <w:rsid w:val="07CB1191"/>
    <w:rsid w:val="07D33E7D"/>
    <w:rsid w:val="07D93791"/>
    <w:rsid w:val="07DA2552"/>
    <w:rsid w:val="07E61182"/>
    <w:rsid w:val="07F876CF"/>
    <w:rsid w:val="07FA3FC0"/>
    <w:rsid w:val="08376BE0"/>
    <w:rsid w:val="08424D1E"/>
    <w:rsid w:val="08483779"/>
    <w:rsid w:val="084F7086"/>
    <w:rsid w:val="085D5FC0"/>
    <w:rsid w:val="0886626A"/>
    <w:rsid w:val="08912C45"/>
    <w:rsid w:val="08AD0CF8"/>
    <w:rsid w:val="08AD503B"/>
    <w:rsid w:val="08B604BF"/>
    <w:rsid w:val="08C76CFD"/>
    <w:rsid w:val="08E340CC"/>
    <w:rsid w:val="08E95B0E"/>
    <w:rsid w:val="090C54BE"/>
    <w:rsid w:val="09271627"/>
    <w:rsid w:val="092936B1"/>
    <w:rsid w:val="096A4BCE"/>
    <w:rsid w:val="09710521"/>
    <w:rsid w:val="098226D8"/>
    <w:rsid w:val="09894939"/>
    <w:rsid w:val="09A02CD8"/>
    <w:rsid w:val="09D771B0"/>
    <w:rsid w:val="09DA500D"/>
    <w:rsid w:val="0A165448"/>
    <w:rsid w:val="0A3F61A5"/>
    <w:rsid w:val="0A502EA2"/>
    <w:rsid w:val="0A5758F7"/>
    <w:rsid w:val="0A67144A"/>
    <w:rsid w:val="0A682883"/>
    <w:rsid w:val="0A71618F"/>
    <w:rsid w:val="0A7E1671"/>
    <w:rsid w:val="0AB610B3"/>
    <w:rsid w:val="0AC16F66"/>
    <w:rsid w:val="0AE86D78"/>
    <w:rsid w:val="0B435CD5"/>
    <w:rsid w:val="0B456825"/>
    <w:rsid w:val="0B4B17AC"/>
    <w:rsid w:val="0B4C1B40"/>
    <w:rsid w:val="0B4F5787"/>
    <w:rsid w:val="0B5D2A29"/>
    <w:rsid w:val="0B625354"/>
    <w:rsid w:val="0B6438A9"/>
    <w:rsid w:val="0BA67809"/>
    <w:rsid w:val="0BB80799"/>
    <w:rsid w:val="0BC22757"/>
    <w:rsid w:val="0BC41099"/>
    <w:rsid w:val="0BD0342B"/>
    <w:rsid w:val="0BE3070D"/>
    <w:rsid w:val="0BE94FBA"/>
    <w:rsid w:val="0C1401BE"/>
    <w:rsid w:val="0C367BBD"/>
    <w:rsid w:val="0C3C4113"/>
    <w:rsid w:val="0C4225D4"/>
    <w:rsid w:val="0C49239C"/>
    <w:rsid w:val="0C4E57C8"/>
    <w:rsid w:val="0C7336D0"/>
    <w:rsid w:val="0CAC2832"/>
    <w:rsid w:val="0CC36F40"/>
    <w:rsid w:val="0CCE2CF7"/>
    <w:rsid w:val="0CE75800"/>
    <w:rsid w:val="0CF02600"/>
    <w:rsid w:val="0D162766"/>
    <w:rsid w:val="0D30615A"/>
    <w:rsid w:val="0D4A590E"/>
    <w:rsid w:val="0D4C5E85"/>
    <w:rsid w:val="0D50445B"/>
    <w:rsid w:val="0D754458"/>
    <w:rsid w:val="0D7807F1"/>
    <w:rsid w:val="0D895A46"/>
    <w:rsid w:val="0D9B67EB"/>
    <w:rsid w:val="0DA45AD2"/>
    <w:rsid w:val="0DE86CEC"/>
    <w:rsid w:val="0E057004"/>
    <w:rsid w:val="0E0A51BD"/>
    <w:rsid w:val="0E141CA7"/>
    <w:rsid w:val="0E1D6D0A"/>
    <w:rsid w:val="0E386D2E"/>
    <w:rsid w:val="0E3D1DE5"/>
    <w:rsid w:val="0E442D5B"/>
    <w:rsid w:val="0E4E7B59"/>
    <w:rsid w:val="0E5027E0"/>
    <w:rsid w:val="0E6E5960"/>
    <w:rsid w:val="0EAB7B80"/>
    <w:rsid w:val="0EAE4301"/>
    <w:rsid w:val="0ECC6195"/>
    <w:rsid w:val="0ED27024"/>
    <w:rsid w:val="0ED94F19"/>
    <w:rsid w:val="0EDC5EDB"/>
    <w:rsid w:val="0EFD43DB"/>
    <w:rsid w:val="0F0A381F"/>
    <w:rsid w:val="0F1B0DB7"/>
    <w:rsid w:val="0F3425BB"/>
    <w:rsid w:val="0F5A5FCA"/>
    <w:rsid w:val="0F6C7EA7"/>
    <w:rsid w:val="0FA03F81"/>
    <w:rsid w:val="0FC5121F"/>
    <w:rsid w:val="0FC52200"/>
    <w:rsid w:val="0FC57219"/>
    <w:rsid w:val="0FCD54FE"/>
    <w:rsid w:val="0FF11896"/>
    <w:rsid w:val="0FF743B8"/>
    <w:rsid w:val="10075ACE"/>
    <w:rsid w:val="104114BC"/>
    <w:rsid w:val="104F21E7"/>
    <w:rsid w:val="10522A43"/>
    <w:rsid w:val="105950B7"/>
    <w:rsid w:val="10681B45"/>
    <w:rsid w:val="10D545EB"/>
    <w:rsid w:val="10E51E7E"/>
    <w:rsid w:val="110045E6"/>
    <w:rsid w:val="1109548A"/>
    <w:rsid w:val="110E4212"/>
    <w:rsid w:val="11156035"/>
    <w:rsid w:val="111F2499"/>
    <w:rsid w:val="11296D36"/>
    <w:rsid w:val="1146103D"/>
    <w:rsid w:val="115D1033"/>
    <w:rsid w:val="116C7384"/>
    <w:rsid w:val="12305D0B"/>
    <w:rsid w:val="12451E30"/>
    <w:rsid w:val="124B307E"/>
    <w:rsid w:val="12595354"/>
    <w:rsid w:val="12676ACE"/>
    <w:rsid w:val="128211CC"/>
    <w:rsid w:val="128C79F5"/>
    <w:rsid w:val="12987FD1"/>
    <w:rsid w:val="12D57C7C"/>
    <w:rsid w:val="12DE2F04"/>
    <w:rsid w:val="12F453F7"/>
    <w:rsid w:val="131D5272"/>
    <w:rsid w:val="135A65CD"/>
    <w:rsid w:val="13681291"/>
    <w:rsid w:val="139A72A6"/>
    <w:rsid w:val="13D75C16"/>
    <w:rsid w:val="141A71FC"/>
    <w:rsid w:val="14393E39"/>
    <w:rsid w:val="1439492C"/>
    <w:rsid w:val="144E282E"/>
    <w:rsid w:val="14587B0B"/>
    <w:rsid w:val="148B16AC"/>
    <w:rsid w:val="14905D77"/>
    <w:rsid w:val="14C13D98"/>
    <w:rsid w:val="14C818C6"/>
    <w:rsid w:val="14D17473"/>
    <w:rsid w:val="14D2285A"/>
    <w:rsid w:val="14F848F0"/>
    <w:rsid w:val="152D2F19"/>
    <w:rsid w:val="1533008F"/>
    <w:rsid w:val="153D3401"/>
    <w:rsid w:val="154D3D39"/>
    <w:rsid w:val="155142E7"/>
    <w:rsid w:val="15855A36"/>
    <w:rsid w:val="158E06A1"/>
    <w:rsid w:val="15932B1E"/>
    <w:rsid w:val="15AF36C0"/>
    <w:rsid w:val="15CA175D"/>
    <w:rsid w:val="15D73E4B"/>
    <w:rsid w:val="15EE7CEF"/>
    <w:rsid w:val="160D691C"/>
    <w:rsid w:val="16333435"/>
    <w:rsid w:val="16391530"/>
    <w:rsid w:val="16550678"/>
    <w:rsid w:val="166C136C"/>
    <w:rsid w:val="168C0198"/>
    <w:rsid w:val="169E7D78"/>
    <w:rsid w:val="16C6539F"/>
    <w:rsid w:val="16C83962"/>
    <w:rsid w:val="16ED23AA"/>
    <w:rsid w:val="17195883"/>
    <w:rsid w:val="173E2364"/>
    <w:rsid w:val="173E4E07"/>
    <w:rsid w:val="17540AC8"/>
    <w:rsid w:val="1761710C"/>
    <w:rsid w:val="17812612"/>
    <w:rsid w:val="1789592C"/>
    <w:rsid w:val="17933C9F"/>
    <w:rsid w:val="17B13E29"/>
    <w:rsid w:val="17D67A38"/>
    <w:rsid w:val="17DB1463"/>
    <w:rsid w:val="17E97C5D"/>
    <w:rsid w:val="17ED5B45"/>
    <w:rsid w:val="18260DD1"/>
    <w:rsid w:val="182656C2"/>
    <w:rsid w:val="182E7A85"/>
    <w:rsid w:val="18303541"/>
    <w:rsid w:val="1836562F"/>
    <w:rsid w:val="183735E3"/>
    <w:rsid w:val="18485D36"/>
    <w:rsid w:val="18552654"/>
    <w:rsid w:val="18744310"/>
    <w:rsid w:val="18847FEB"/>
    <w:rsid w:val="189F530B"/>
    <w:rsid w:val="18A12DFD"/>
    <w:rsid w:val="18A922F3"/>
    <w:rsid w:val="18AF604D"/>
    <w:rsid w:val="18B137E8"/>
    <w:rsid w:val="18D46399"/>
    <w:rsid w:val="18F56002"/>
    <w:rsid w:val="192F50C9"/>
    <w:rsid w:val="193A6BD7"/>
    <w:rsid w:val="19633F03"/>
    <w:rsid w:val="196F047E"/>
    <w:rsid w:val="19943641"/>
    <w:rsid w:val="199E02FC"/>
    <w:rsid w:val="19B82A5A"/>
    <w:rsid w:val="19BA1CE3"/>
    <w:rsid w:val="19DF55C2"/>
    <w:rsid w:val="1A0C61A8"/>
    <w:rsid w:val="1A132F57"/>
    <w:rsid w:val="1A300E03"/>
    <w:rsid w:val="1A394B6C"/>
    <w:rsid w:val="1A5F760F"/>
    <w:rsid w:val="1A6F3E95"/>
    <w:rsid w:val="1A6F6E85"/>
    <w:rsid w:val="1AC0306A"/>
    <w:rsid w:val="1AD22ED2"/>
    <w:rsid w:val="1AD51B88"/>
    <w:rsid w:val="1B2058A0"/>
    <w:rsid w:val="1B2E187B"/>
    <w:rsid w:val="1B566A66"/>
    <w:rsid w:val="1B8565CF"/>
    <w:rsid w:val="1B9104B0"/>
    <w:rsid w:val="1BA96293"/>
    <w:rsid w:val="1BAC363D"/>
    <w:rsid w:val="1BBE6E61"/>
    <w:rsid w:val="1BD60F79"/>
    <w:rsid w:val="1C0C60A0"/>
    <w:rsid w:val="1C261B3D"/>
    <w:rsid w:val="1C2A710A"/>
    <w:rsid w:val="1C41527E"/>
    <w:rsid w:val="1C49412F"/>
    <w:rsid w:val="1C4D3DCD"/>
    <w:rsid w:val="1C4F5FC4"/>
    <w:rsid w:val="1C64078D"/>
    <w:rsid w:val="1C81524F"/>
    <w:rsid w:val="1CA121A3"/>
    <w:rsid w:val="1CC05FC3"/>
    <w:rsid w:val="1CDF257F"/>
    <w:rsid w:val="1CE40841"/>
    <w:rsid w:val="1CF405AE"/>
    <w:rsid w:val="1CFB22F4"/>
    <w:rsid w:val="1D014450"/>
    <w:rsid w:val="1D2A2C86"/>
    <w:rsid w:val="1D2A6659"/>
    <w:rsid w:val="1D41310E"/>
    <w:rsid w:val="1D426DC5"/>
    <w:rsid w:val="1D4377C2"/>
    <w:rsid w:val="1D54682E"/>
    <w:rsid w:val="1D575B51"/>
    <w:rsid w:val="1D83301E"/>
    <w:rsid w:val="1D836FC7"/>
    <w:rsid w:val="1D956BB8"/>
    <w:rsid w:val="1D9F4A19"/>
    <w:rsid w:val="1DA05599"/>
    <w:rsid w:val="1DAB519B"/>
    <w:rsid w:val="1DC65420"/>
    <w:rsid w:val="1DC94DC3"/>
    <w:rsid w:val="1DD04ECF"/>
    <w:rsid w:val="1E0649A4"/>
    <w:rsid w:val="1E144E53"/>
    <w:rsid w:val="1E474E6F"/>
    <w:rsid w:val="1E6843C7"/>
    <w:rsid w:val="1E8F0DB2"/>
    <w:rsid w:val="1EA60FCA"/>
    <w:rsid w:val="1EA87417"/>
    <w:rsid w:val="1EBA680C"/>
    <w:rsid w:val="1ED70A99"/>
    <w:rsid w:val="1F147DDF"/>
    <w:rsid w:val="1F35766F"/>
    <w:rsid w:val="1F65672E"/>
    <w:rsid w:val="1F6B4880"/>
    <w:rsid w:val="1F6D18D3"/>
    <w:rsid w:val="1F7222CF"/>
    <w:rsid w:val="1F855EC8"/>
    <w:rsid w:val="1F865B87"/>
    <w:rsid w:val="1F8D0E35"/>
    <w:rsid w:val="1FB611E4"/>
    <w:rsid w:val="1FBA2E91"/>
    <w:rsid w:val="1FC02D54"/>
    <w:rsid w:val="1FD92D82"/>
    <w:rsid w:val="1FE95CDF"/>
    <w:rsid w:val="1FEE1F52"/>
    <w:rsid w:val="203D735C"/>
    <w:rsid w:val="207471CF"/>
    <w:rsid w:val="20950348"/>
    <w:rsid w:val="20981E88"/>
    <w:rsid w:val="20A06A24"/>
    <w:rsid w:val="20A10137"/>
    <w:rsid w:val="20A76189"/>
    <w:rsid w:val="20B97750"/>
    <w:rsid w:val="20BD2343"/>
    <w:rsid w:val="20C125E5"/>
    <w:rsid w:val="20F77EBA"/>
    <w:rsid w:val="20FD2E3C"/>
    <w:rsid w:val="20FE0571"/>
    <w:rsid w:val="21040EE9"/>
    <w:rsid w:val="212F48FD"/>
    <w:rsid w:val="2137491C"/>
    <w:rsid w:val="2140529D"/>
    <w:rsid w:val="21592DC8"/>
    <w:rsid w:val="216135E4"/>
    <w:rsid w:val="21B23C30"/>
    <w:rsid w:val="21D5663A"/>
    <w:rsid w:val="21FF37BF"/>
    <w:rsid w:val="220D5F91"/>
    <w:rsid w:val="220F017A"/>
    <w:rsid w:val="223D6488"/>
    <w:rsid w:val="224F423C"/>
    <w:rsid w:val="227710AB"/>
    <w:rsid w:val="229B4E78"/>
    <w:rsid w:val="22C77F82"/>
    <w:rsid w:val="22C9314B"/>
    <w:rsid w:val="22E50F21"/>
    <w:rsid w:val="22F562BD"/>
    <w:rsid w:val="23054BAA"/>
    <w:rsid w:val="231C3AC6"/>
    <w:rsid w:val="23261385"/>
    <w:rsid w:val="232A4AC9"/>
    <w:rsid w:val="233970A1"/>
    <w:rsid w:val="235F2CD0"/>
    <w:rsid w:val="238B00F4"/>
    <w:rsid w:val="2390118C"/>
    <w:rsid w:val="23A33225"/>
    <w:rsid w:val="23A3458B"/>
    <w:rsid w:val="23A83880"/>
    <w:rsid w:val="23AC3B0D"/>
    <w:rsid w:val="23AC7B00"/>
    <w:rsid w:val="23AE3EA4"/>
    <w:rsid w:val="23BD797B"/>
    <w:rsid w:val="23CC13DF"/>
    <w:rsid w:val="241374BB"/>
    <w:rsid w:val="24210897"/>
    <w:rsid w:val="242E0AC8"/>
    <w:rsid w:val="24474E0A"/>
    <w:rsid w:val="244E4AD0"/>
    <w:rsid w:val="246B4679"/>
    <w:rsid w:val="24757908"/>
    <w:rsid w:val="248A767B"/>
    <w:rsid w:val="249900C5"/>
    <w:rsid w:val="24A56A78"/>
    <w:rsid w:val="24BF7D42"/>
    <w:rsid w:val="24EE27E6"/>
    <w:rsid w:val="25584496"/>
    <w:rsid w:val="255D2F2A"/>
    <w:rsid w:val="256C5A3D"/>
    <w:rsid w:val="257963F1"/>
    <w:rsid w:val="257D2B89"/>
    <w:rsid w:val="25A7402B"/>
    <w:rsid w:val="25AD1DCA"/>
    <w:rsid w:val="25D966A6"/>
    <w:rsid w:val="25FE15DC"/>
    <w:rsid w:val="26653EC4"/>
    <w:rsid w:val="26806C09"/>
    <w:rsid w:val="26863962"/>
    <w:rsid w:val="268F15B2"/>
    <w:rsid w:val="26983FA4"/>
    <w:rsid w:val="26C323DE"/>
    <w:rsid w:val="26FA6E39"/>
    <w:rsid w:val="271E4603"/>
    <w:rsid w:val="27264DFC"/>
    <w:rsid w:val="272A0710"/>
    <w:rsid w:val="27555997"/>
    <w:rsid w:val="275742F5"/>
    <w:rsid w:val="276E4B45"/>
    <w:rsid w:val="277E0E1B"/>
    <w:rsid w:val="27C13C20"/>
    <w:rsid w:val="27E47883"/>
    <w:rsid w:val="2807271F"/>
    <w:rsid w:val="28120519"/>
    <w:rsid w:val="281327C3"/>
    <w:rsid w:val="28195AAE"/>
    <w:rsid w:val="28323569"/>
    <w:rsid w:val="28326E12"/>
    <w:rsid w:val="28504863"/>
    <w:rsid w:val="28674296"/>
    <w:rsid w:val="286E254B"/>
    <w:rsid w:val="287013AF"/>
    <w:rsid w:val="28934004"/>
    <w:rsid w:val="28943CBF"/>
    <w:rsid w:val="289E7A89"/>
    <w:rsid w:val="28E96526"/>
    <w:rsid w:val="28F77A34"/>
    <w:rsid w:val="28FB2B17"/>
    <w:rsid w:val="29211603"/>
    <w:rsid w:val="29213FAC"/>
    <w:rsid w:val="294019F3"/>
    <w:rsid w:val="295C30A0"/>
    <w:rsid w:val="295F6F3A"/>
    <w:rsid w:val="2978542E"/>
    <w:rsid w:val="298168E8"/>
    <w:rsid w:val="29880DC9"/>
    <w:rsid w:val="299658C8"/>
    <w:rsid w:val="29C74336"/>
    <w:rsid w:val="29FF6BE7"/>
    <w:rsid w:val="2A0C4705"/>
    <w:rsid w:val="2A104C01"/>
    <w:rsid w:val="2A2219FF"/>
    <w:rsid w:val="2A2649D3"/>
    <w:rsid w:val="2A2F0453"/>
    <w:rsid w:val="2A375CB0"/>
    <w:rsid w:val="2A4F7A8E"/>
    <w:rsid w:val="2A5C693A"/>
    <w:rsid w:val="2A7C052B"/>
    <w:rsid w:val="2A9D1044"/>
    <w:rsid w:val="2AA14EFF"/>
    <w:rsid w:val="2AC52B69"/>
    <w:rsid w:val="2AE42B9F"/>
    <w:rsid w:val="2AFA4FF0"/>
    <w:rsid w:val="2AFF35D3"/>
    <w:rsid w:val="2B0A651F"/>
    <w:rsid w:val="2B132D50"/>
    <w:rsid w:val="2B1628A3"/>
    <w:rsid w:val="2B4604CF"/>
    <w:rsid w:val="2B6076B4"/>
    <w:rsid w:val="2B617D56"/>
    <w:rsid w:val="2B631EFF"/>
    <w:rsid w:val="2B6E542D"/>
    <w:rsid w:val="2BAC408F"/>
    <w:rsid w:val="2BDD0A2E"/>
    <w:rsid w:val="2BEB27E3"/>
    <w:rsid w:val="2BEB2E9D"/>
    <w:rsid w:val="2BF61207"/>
    <w:rsid w:val="2C1713D1"/>
    <w:rsid w:val="2C2E6F83"/>
    <w:rsid w:val="2C3B31B3"/>
    <w:rsid w:val="2C620007"/>
    <w:rsid w:val="2C6F5A2B"/>
    <w:rsid w:val="2CA8063D"/>
    <w:rsid w:val="2CD367CC"/>
    <w:rsid w:val="2CDD2B9E"/>
    <w:rsid w:val="2D09394F"/>
    <w:rsid w:val="2D51298D"/>
    <w:rsid w:val="2D6345E9"/>
    <w:rsid w:val="2D7E4209"/>
    <w:rsid w:val="2D9B288E"/>
    <w:rsid w:val="2DBD42B5"/>
    <w:rsid w:val="2DCB5DC1"/>
    <w:rsid w:val="2DCE5309"/>
    <w:rsid w:val="2DE2242A"/>
    <w:rsid w:val="2E4225F7"/>
    <w:rsid w:val="2E463849"/>
    <w:rsid w:val="2E4C3324"/>
    <w:rsid w:val="2E5A5340"/>
    <w:rsid w:val="2E6E73D5"/>
    <w:rsid w:val="2E81141D"/>
    <w:rsid w:val="2E8F7ECF"/>
    <w:rsid w:val="2E9A7ADA"/>
    <w:rsid w:val="2EC2396D"/>
    <w:rsid w:val="2EF80558"/>
    <w:rsid w:val="2F1B0798"/>
    <w:rsid w:val="2F4F0438"/>
    <w:rsid w:val="2F506BFB"/>
    <w:rsid w:val="2F7E2CC0"/>
    <w:rsid w:val="2F871ABC"/>
    <w:rsid w:val="2F921764"/>
    <w:rsid w:val="2F98405A"/>
    <w:rsid w:val="2FA41F3A"/>
    <w:rsid w:val="2FAF32EB"/>
    <w:rsid w:val="2FD11EB8"/>
    <w:rsid w:val="2FDA05FD"/>
    <w:rsid w:val="2FE1749B"/>
    <w:rsid w:val="30174008"/>
    <w:rsid w:val="303606F3"/>
    <w:rsid w:val="303D5772"/>
    <w:rsid w:val="303E2207"/>
    <w:rsid w:val="30533443"/>
    <w:rsid w:val="306E40F7"/>
    <w:rsid w:val="306F4499"/>
    <w:rsid w:val="30B15581"/>
    <w:rsid w:val="30B74358"/>
    <w:rsid w:val="30B93848"/>
    <w:rsid w:val="30BB37BA"/>
    <w:rsid w:val="30BE1DE8"/>
    <w:rsid w:val="31253510"/>
    <w:rsid w:val="313177AD"/>
    <w:rsid w:val="31341EAD"/>
    <w:rsid w:val="313712DD"/>
    <w:rsid w:val="31423CC5"/>
    <w:rsid w:val="314C1DC4"/>
    <w:rsid w:val="3157256E"/>
    <w:rsid w:val="3160159B"/>
    <w:rsid w:val="316102EA"/>
    <w:rsid w:val="31665B97"/>
    <w:rsid w:val="31711EF3"/>
    <w:rsid w:val="31854B7E"/>
    <w:rsid w:val="31E86EE4"/>
    <w:rsid w:val="31F00167"/>
    <w:rsid w:val="31FD6157"/>
    <w:rsid w:val="32171B71"/>
    <w:rsid w:val="322B53E9"/>
    <w:rsid w:val="32915ABA"/>
    <w:rsid w:val="32926A36"/>
    <w:rsid w:val="329C1497"/>
    <w:rsid w:val="32A25B7F"/>
    <w:rsid w:val="32AD61C8"/>
    <w:rsid w:val="32D72576"/>
    <w:rsid w:val="32D93319"/>
    <w:rsid w:val="32E04086"/>
    <w:rsid w:val="32F96A45"/>
    <w:rsid w:val="330D0307"/>
    <w:rsid w:val="331D384C"/>
    <w:rsid w:val="332C3D97"/>
    <w:rsid w:val="33304D24"/>
    <w:rsid w:val="3360351F"/>
    <w:rsid w:val="33620CB2"/>
    <w:rsid w:val="33777078"/>
    <w:rsid w:val="33B17CDB"/>
    <w:rsid w:val="33E04B57"/>
    <w:rsid w:val="33FA7456"/>
    <w:rsid w:val="34024883"/>
    <w:rsid w:val="34215D0B"/>
    <w:rsid w:val="342C6E98"/>
    <w:rsid w:val="344F7140"/>
    <w:rsid w:val="34714E70"/>
    <w:rsid w:val="34755DB1"/>
    <w:rsid w:val="34935876"/>
    <w:rsid w:val="349E0FB2"/>
    <w:rsid w:val="34A96A1A"/>
    <w:rsid w:val="34B370D1"/>
    <w:rsid w:val="34CA52FD"/>
    <w:rsid w:val="34E303E9"/>
    <w:rsid w:val="34E622D6"/>
    <w:rsid w:val="35073B82"/>
    <w:rsid w:val="3518700F"/>
    <w:rsid w:val="352F2FF3"/>
    <w:rsid w:val="35375748"/>
    <w:rsid w:val="35486C73"/>
    <w:rsid w:val="357E2A76"/>
    <w:rsid w:val="359E09BB"/>
    <w:rsid w:val="361A4DE1"/>
    <w:rsid w:val="361F592F"/>
    <w:rsid w:val="362F79EA"/>
    <w:rsid w:val="36516B14"/>
    <w:rsid w:val="36556C85"/>
    <w:rsid w:val="365B1C96"/>
    <w:rsid w:val="36603459"/>
    <w:rsid w:val="366D2C19"/>
    <w:rsid w:val="3675230B"/>
    <w:rsid w:val="36766F5C"/>
    <w:rsid w:val="36777C43"/>
    <w:rsid w:val="367E7A3F"/>
    <w:rsid w:val="36921E8C"/>
    <w:rsid w:val="36C1347A"/>
    <w:rsid w:val="36C31B41"/>
    <w:rsid w:val="36C532A1"/>
    <w:rsid w:val="36CE234D"/>
    <w:rsid w:val="36D347D3"/>
    <w:rsid w:val="36DA50A9"/>
    <w:rsid w:val="36F46372"/>
    <w:rsid w:val="372F4949"/>
    <w:rsid w:val="3736228A"/>
    <w:rsid w:val="3763196B"/>
    <w:rsid w:val="37671725"/>
    <w:rsid w:val="376F122C"/>
    <w:rsid w:val="3798526A"/>
    <w:rsid w:val="37B72EB1"/>
    <w:rsid w:val="37C1607A"/>
    <w:rsid w:val="37C42A0D"/>
    <w:rsid w:val="37C806F3"/>
    <w:rsid w:val="37C85C3C"/>
    <w:rsid w:val="37CF1603"/>
    <w:rsid w:val="38585500"/>
    <w:rsid w:val="385D1C71"/>
    <w:rsid w:val="386038B3"/>
    <w:rsid w:val="38684A38"/>
    <w:rsid w:val="388E1434"/>
    <w:rsid w:val="38A17C50"/>
    <w:rsid w:val="38BA5460"/>
    <w:rsid w:val="38C62FF5"/>
    <w:rsid w:val="38D62476"/>
    <w:rsid w:val="38E27127"/>
    <w:rsid w:val="38FE3F84"/>
    <w:rsid w:val="39027E88"/>
    <w:rsid w:val="39075875"/>
    <w:rsid w:val="391904A1"/>
    <w:rsid w:val="391962D8"/>
    <w:rsid w:val="391C718D"/>
    <w:rsid w:val="394D30B0"/>
    <w:rsid w:val="394F6067"/>
    <w:rsid w:val="395051B9"/>
    <w:rsid w:val="39624091"/>
    <w:rsid w:val="397C6037"/>
    <w:rsid w:val="39D43B66"/>
    <w:rsid w:val="39EC03FA"/>
    <w:rsid w:val="3A1D058F"/>
    <w:rsid w:val="3A1E303B"/>
    <w:rsid w:val="3A1F74C9"/>
    <w:rsid w:val="3A2A1F54"/>
    <w:rsid w:val="3A2D40D1"/>
    <w:rsid w:val="3A314B02"/>
    <w:rsid w:val="3A5C2602"/>
    <w:rsid w:val="3A79657B"/>
    <w:rsid w:val="3A8B77C7"/>
    <w:rsid w:val="3A8F7DE5"/>
    <w:rsid w:val="3A9A32EA"/>
    <w:rsid w:val="3ACD391F"/>
    <w:rsid w:val="3B026D00"/>
    <w:rsid w:val="3B1471CB"/>
    <w:rsid w:val="3B593641"/>
    <w:rsid w:val="3B5F2B46"/>
    <w:rsid w:val="3B655681"/>
    <w:rsid w:val="3B6C4553"/>
    <w:rsid w:val="3B6F3ABC"/>
    <w:rsid w:val="3B7527F4"/>
    <w:rsid w:val="3BAA143A"/>
    <w:rsid w:val="3BAC7D85"/>
    <w:rsid w:val="3BC378A6"/>
    <w:rsid w:val="3BDC08FD"/>
    <w:rsid w:val="3BE42ECD"/>
    <w:rsid w:val="3BFE1CAB"/>
    <w:rsid w:val="3C10260E"/>
    <w:rsid w:val="3C274A05"/>
    <w:rsid w:val="3C43437F"/>
    <w:rsid w:val="3C4F746D"/>
    <w:rsid w:val="3C6A66D6"/>
    <w:rsid w:val="3C7511AE"/>
    <w:rsid w:val="3CA977D2"/>
    <w:rsid w:val="3CBF0958"/>
    <w:rsid w:val="3CC733AF"/>
    <w:rsid w:val="3CCB1880"/>
    <w:rsid w:val="3CD72551"/>
    <w:rsid w:val="3CF76813"/>
    <w:rsid w:val="3CFC6063"/>
    <w:rsid w:val="3D1319B5"/>
    <w:rsid w:val="3D260CA6"/>
    <w:rsid w:val="3D520CCB"/>
    <w:rsid w:val="3D5C6974"/>
    <w:rsid w:val="3D6678B0"/>
    <w:rsid w:val="3D772181"/>
    <w:rsid w:val="3D823D30"/>
    <w:rsid w:val="3DCE6FB3"/>
    <w:rsid w:val="3DD16176"/>
    <w:rsid w:val="3E104E3F"/>
    <w:rsid w:val="3E1D6E9C"/>
    <w:rsid w:val="3E4A1BED"/>
    <w:rsid w:val="3E504498"/>
    <w:rsid w:val="3E662345"/>
    <w:rsid w:val="3E82228B"/>
    <w:rsid w:val="3E8242C1"/>
    <w:rsid w:val="3EB33AF3"/>
    <w:rsid w:val="3EFD0DF6"/>
    <w:rsid w:val="3EFE49C6"/>
    <w:rsid w:val="3F0A5B5C"/>
    <w:rsid w:val="3F1A0890"/>
    <w:rsid w:val="3F3F5846"/>
    <w:rsid w:val="3F71500B"/>
    <w:rsid w:val="3F7B33F8"/>
    <w:rsid w:val="3F801023"/>
    <w:rsid w:val="3F8064EB"/>
    <w:rsid w:val="3F950FB5"/>
    <w:rsid w:val="3F982DCA"/>
    <w:rsid w:val="3FCB5632"/>
    <w:rsid w:val="3FD12D26"/>
    <w:rsid w:val="3FDE4917"/>
    <w:rsid w:val="3FE2412F"/>
    <w:rsid w:val="402F3ADF"/>
    <w:rsid w:val="40306F5A"/>
    <w:rsid w:val="40476BB3"/>
    <w:rsid w:val="40546FB6"/>
    <w:rsid w:val="40554803"/>
    <w:rsid w:val="407A60D5"/>
    <w:rsid w:val="407D4F24"/>
    <w:rsid w:val="40961808"/>
    <w:rsid w:val="40AB4DEE"/>
    <w:rsid w:val="40D24BBE"/>
    <w:rsid w:val="40EC4043"/>
    <w:rsid w:val="41166469"/>
    <w:rsid w:val="41181130"/>
    <w:rsid w:val="412008E0"/>
    <w:rsid w:val="413A6D3B"/>
    <w:rsid w:val="41515AC7"/>
    <w:rsid w:val="41902B9F"/>
    <w:rsid w:val="41A13E55"/>
    <w:rsid w:val="41C02331"/>
    <w:rsid w:val="41C13A63"/>
    <w:rsid w:val="41C67037"/>
    <w:rsid w:val="41D229E1"/>
    <w:rsid w:val="41EC6E94"/>
    <w:rsid w:val="41F72149"/>
    <w:rsid w:val="41FF52B0"/>
    <w:rsid w:val="4228585D"/>
    <w:rsid w:val="42415ACC"/>
    <w:rsid w:val="427D539F"/>
    <w:rsid w:val="42991E30"/>
    <w:rsid w:val="42CC19F4"/>
    <w:rsid w:val="42CE0B28"/>
    <w:rsid w:val="42CF6367"/>
    <w:rsid w:val="42D36FBC"/>
    <w:rsid w:val="42DE1CCC"/>
    <w:rsid w:val="4308546B"/>
    <w:rsid w:val="430A687D"/>
    <w:rsid w:val="43263445"/>
    <w:rsid w:val="434157E3"/>
    <w:rsid w:val="43494860"/>
    <w:rsid w:val="434D380E"/>
    <w:rsid w:val="43541107"/>
    <w:rsid w:val="43934189"/>
    <w:rsid w:val="439D4850"/>
    <w:rsid w:val="43AA6616"/>
    <w:rsid w:val="43C27232"/>
    <w:rsid w:val="43ED069F"/>
    <w:rsid w:val="43FE35B8"/>
    <w:rsid w:val="442A6E5A"/>
    <w:rsid w:val="44356E29"/>
    <w:rsid w:val="445C4B8F"/>
    <w:rsid w:val="447C2A1B"/>
    <w:rsid w:val="447F5CBE"/>
    <w:rsid w:val="44833851"/>
    <w:rsid w:val="44982752"/>
    <w:rsid w:val="44B4389E"/>
    <w:rsid w:val="44BF6F86"/>
    <w:rsid w:val="44C45031"/>
    <w:rsid w:val="44D53AB2"/>
    <w:rsid w:val="44DA00B4"/>
    <w:rsid w:val="44F0539D"/>
    <w:rsid w:val="44F27B0D"/>
    <w:rsid w:val="45151583"/>
    <w:rsid w:val="45174CA4"/>
    <w:rsid w:val="45485BDE"/>
    <w:rsid w:val="457D4A3F"/>
    <w:rsid w:val="458571EC"/>
    <w:rsid w:val="45945C30"/>
    <w:rsid w:val="459F2306"/>
    <w:rsid w:val="45A832FE"/>
    <w:rsid w:val="45AB6174"/>
    <w:rsid w:val="45BA63E5"/>
    <w:rsid w:val="45CC5EDC"/>
    <w:rsid w:val="45EE7931"/>
    <w:rsid w:val="45F73D47"/>
    <w:rsid w:val="462D2575"/>
    <w:rsid w:val="46467FD8"/>
    <w:rsid w:val="465158B9"/>
    <w:rsid w:val="46601D33"/>
    <w:rsid w:val="4666746C"/>
    <w:rsid w:val="467505FA"/>
    <w:rsid w:val="467B6008"/>
    <w:rsid w:val="468720BA"/>
    <w:rsid w:val="46895AFC"/>
    <w:rsid w:val="468E6A9E"/>
    <w:rsid w:val="46BC623F"/>
    <w:rsid w:val="46D855B9"/>
    <w:rsid w:val="470D2C74"/>
    <w:rsid w:val="47176AEE"/>
    <w:rsid w:val="47236E19"/>
    <w:rsid w:val="477570F1"/>
    <w:rsid w:val="47AD33FA"/>
    <w:rsid w:val="47B41AAA"/>
    <w:rsid w:val="47CD38AD"/>
    <w:rsid w:val="47DB16D8"/>
    <w:rsid w:val="481726F3"/>
    <w:rsid w:val="48416760"/>
    <w:rsid w:val="48466F81"/>
    <w:rsid w:val="484D02A2"/>
    <w:rsid w:val="486B647A"/>
    <w:rsid w:val="487002EB"/>
    <w:rsid w:val="48896934"/>
    <w:rsid w:val="489B48B9"/>
    <w:rsid w:val="48C12AEC"/>
    <w:rsid w:val="48D072A1"/>
    <w:rsid w:val="48D1341D"/>
    <w:rsid w:val="48D63F90"/>
    <w:rsid w:val="48E0279A"/>
    <w:rsid w:val="48E64C8E"/>
    <w:rsid w:val="48FA7B87"/>
    <w:rsid w:val="49023E07"/>
    <w:rsid w:val="4919356E"/>
    <w:rsid w:val="491D11E3"/>
    <w:rsid w:val="492A7740"/>
    <w:rsid w:val="49300AA7"/>
    <w:rsid w:val="49391CB0"/>
    <w:rsid w:val="493C3A20"/>
    <w:rsid w:val="49401E21"/>
    <w:rsid w:val="49526EB9"/>
    <w:rsid w:val="49684311"/>
    <w:rsid w:val="496D00AD"/>
    <w:rsid w:val="49742114"/>
    <w:rsid w:val="49754CB4"/>
    <w:rsid w:val="49921F0F"/>
    <w:rsid w:val="49CE6B8E"/>
    <w:rsid w:val="49D72FF3"/>
    <w:rsid w:val="49E0102B"/>
    <w:rsid w:val="4A214423"/>
    <w:rsid w:val="4A2945F2"/>
    <w:rsid w:val="4A615154"/>
    <w:rsid w:val="4A8B08DA"/>
    <w:rsid w:val="4A96607C"/>
    <w:rsid w:val="4AA91ED6"/>
    <w:rsid w:val="4AB92E92"/>
    <w:rsid w:val="4AFB7CEA"/>
    <w:rsid w:val="4B2134B8"/>
    <w:rsid w:val="4B24233C"/>
    <w:rsid w:val="4B330A0B"/>
    <w:rsid w:val="4B3756CC"/>
    <w:rsid w:val="4B5E55F9"/>
    <w:rsid w:val="4B680B8D"/>
    <w:rsid w:val="4B685D82"/>
    <w:rsid w:val="4B7B4674"/>
    <w:rsid w:val="4B7C663B"/>
    <w:rsid w:val="4B812078"/>
    <w:rsid w:val="4BAE6AC6"/>
    <w:rsid w:val="4BF71347"/>
    <w:rsid w:val="4BF97932"/>
    <w:rsid w:val="4C141E75"/>
    <w:rsid w:val="4C2A4039"/>
    <w:rsid w:val="4C736F36"/>
    <w:rsid w:val="4CAE60E3"/>
    <w:rsid w:val="4CEE1D13"/>
    <w:rsid w:val="4D032DA9"/>
    <w:rsid w:val="4D0C6DBE"/>
    <w:rsid w:val="4D25615C"/>
    <w:rsid w:val="4D36054D"/>
    <w:rsid w:val="4D41137F"/>
    <w:rsid w:val="4D4D3B7A"/>
    <w:rsid w:val="4D524AEA"/>
    <w:rsid w:val="4D5724F7"/>
    <w:rsid w:val="4D757452"/>
    <w:rsid w:val="4D8C3F82"/>
    <w:rsid w:val="4DBC14B8"/>
    <w:rsid w:val="4DE936C7"/>
    <w:rsid w:val="4DF23555"/>
    <w:rsid w:val="4E050D4C"/>
    <w:rsid w:val="4E06569E"/>
    <w:rsid w:val="4E093792"/>
    <w:rsid w:val="4E1D26B7"/>
    <w:rsid w:val="4E1D3A0D"/>
    <w:rsid w:val="4E1F052C"/>
    <w:rsid w:val="4E451D41"/>
    <w:rsid w:val="4E7A454C"/>
    <w:rsid w:val="4E820B4C"/>
    <w:rsid w:val="4E85341C"/>
    <w:rsid w:val="4E9B7B12"/>
    <w:rsid w:val="4EC47712"/>
    <w:rsid w:val="4EDD3C61"/>
    <w:rsid w:val="4EF1457F"/>
    <w:rsid w:val="4F2C40A0"/>
    <w:rsid w:val="4F2F3B98"/>
    <w:rsid w:val="4F380B7A"/>
    <w:rsid w:val="4F424B82"/>
    <w:rsid w:val="4F4B0CB3"/>
    <w:rsid w:val="4F4F0EBF"/>
    <w:rsid w:val="4F586D8F"/>
    <w:rsid w:val="4F754007"/>
    <w:rsid w:val="4F7F5AE2"/>
    <w:rsid w:val="4F8C4B40"/>
    <w:rsid w:val="4FAA5CD5"/>
    <w:rsid w:val="4FBD187E"/>
    <w:rsid w:val="4FC56067"/>
    <w:rsid w:val="4FD11AC0"/>
    <w:rsid w:val="4FEA4E33"/>
    <w:rsid w:val="4FEB58A1"/>
    <w:rsid w:val="502029A8"/>
    <w:rsid w:val="502F75EB"/>
    <w:rsid w:val="50400243"/>
    <w:rsid w:val="504372AE"/>
    <w:rsid w:val="50494336"/>
    <w:rsid w:val="50784012"/>
    <w:rsid w:val="50813C12"/>
    <w:rsid w:val="5087463E"/>
    <w:rsid w:val="50A11680"/>
    <w:rsid w:val="50B77550"/>
    <w:rsid w:val="50C773AE"/>
    <w:rsid w:val="50CD6602"/>
    <w:rsid w:val="50E6022F"/>
    <w:rsid w:val="50F650C2"/>
    <w:rsid w:val="510D0F23"/>
    <w:rsid w:val="51197B59"/>
    <w:rsid w:val="51615030"/>
    <w:rsid w:val="51627812"/>
    <w:rsid w:val="51690D29"/>
    <w:rsid w:val="51C136D4"/>
    <w:rsid w:val="51D33F6D"/>
    <w:rsid w:val="51DB1448"/>
    <w:rsid w:val="52045DB4"/>
    <w:rsid w:val="522C275E"/>
    <w:rsid w:val="524041FF"/>
    <w:rsid w:val="524C13A2"/>
    <w:rsid w:val="529000F6"/>
    <w:rsid w:val="5296149A"/>
    <w:rsid w:val="52A65672"/>
    <w:rsid w:val="52BA4073"/>
    <w:rsid w:val="52CA2507"/>
    <w:rsid w:val="52CD7B31"/>
    <w:rsid w:val="52D32A37"/>
    <w:rsid w:val="52D576F4"/>
    <w:rsid w:val="52DF170A"/>
    <w:rsid w:val="52E25B6D"/>
    <w:rsid w:val="52F362FB"/>
    <w:rsid w:val="52F4161A"/>
    <w:rsid w:val="52F965A5"/>
    <w:rsid w:val="53081AD8"/>
    <w:rsid w:val="53235275"/>
    <w:rsid w:val="53240623"/>
    <w:rsid w:val="53321C03"/>
    <w:rsid w:val="533415F9"/>
    <w:rsid w:val="534823B8"/>
    <w:rsid w:val="535657D0"/>
    <w:rsid w:val="535868CC"/>
    <w:rsid w:val="53597EDB"/>
    <w:rsid w:val="538D066D"/>
    <w:rsid w:val="53934B1D"/>
    <w:rsid w:val="53A2278E"/>
    <w:rsid w:val="53CB788B"/>
    <w:rsid w:val="53E32E36"/>
    <w:rsid w:val="54203B94"/>
    <w:rsid w:val="5424233E"/>
    <w:rsid w:val="542A3DC2"/>
    <w:rsid w:val="542C299E"/>
    <w:rsid w:val="543527D7"/>
    <w:rsid w:val="543642C1"/>
    <w:rsid w:val="5461235D"/>
    <w:rsid w:val="54667BA2"/>
    <w:rsid w:val="547E7555"/>
    <w:rsid w:val="54806F19"/>
    <w:rsid w:val="54A01FAE"/>
    <w:rsid w:val="54A478E7"/>
    <w:rsid w:val="54AC3148"/>
    <w:rsid w:val="54C0256E"/>
    <w:rsid w:val="54C334B7"/>
    <w:rsid w:val="54D4667D"/>
    <w:rsid w:val="54D55C56"/>
    <w:rsid w:val="54EC389B"/>
    <w:rsid w:val="54F847D9"/>
    <w:rsid w:val="55126190"/>
    <w:rsid w:val="555F3833"/>
    <w:rsid w:val="55667780"/>
    <w:rsid w:val="556E493A"/>
    <w:rsid w:val="55725F14"/>
    <w:rsid w:val="55941D63"/>
    <w:rsid w:val="559C0CE1"/>
    <w:rsid w:val="55B42D88"/>
    <w:rsid w:val="55CD000F"/>
    <w:rsid w:val="55D11119"/>
    <w:rsid w:val="55DB1F79"/>
    <w:rsid w:val="560A42BD"/>
    <w:rsid w:val="560C1D89"/>
    <w:rsid w:val="56353B20"/>
    <w:rsid w:val="563A6A4D"/>
    <w:rsid w:val="56443B98"/>
    <w:rsid w:val="56453A77"/>
    <w:rsid w:val="565710E1"/>
    <w:rsid w:val="56757259"/>
    <w:rsid w:val="568B7EB7"/>
    <w:rsid w:val="56B56953"/>
    <w:rsid w:val="56BC078F"/>
    <w:rsid w:val="56CA2650"/>
    <w:rsid w:val="56CB4BCB"/>
    <w:rsid w:val="56FB75FE"/>
    <w:rsid w:val="572F42F6"/>
    <w:rsid w:val="573212EB"/>
    <w:rsid w:val="57391A95"/>
    <w:rsid w:val="573F3C9E"/>
    <w:rsid w:val="574028CB"/>
    <w:rsid w:val="574C52C4"/>
    <w:rsid w:val="57526FDB"/>
    <w:rsid w:val="57572F35"/>
    <w:rsid w:val="575B33A4"/>
    <w:rsid w:val="575C74CE"/>
    <w:rsid w:val="57674A5D"/>
    <w:rsid w:val="579775E1"/>
    <w:rsid w:val="57C27AF8"/>
    <w:rsid w:val="57C90530"/>
    <w:rsid w:val="57CE0836"/>
    <w:rsid w:val="57D86F07"/>
    <w:rsid w:val="582F44F7"/>
    <w:rsid w:val="583F27F2"/>
    <w:rsid w:val="58455B6D"/>
    <w:rsid w:val="584D29B0"/>
    <w:rsid w:val="584F7C49"/>
    <w:rsid w:val="5888302C"/>
    <w:rsid w:val="5889129A"/>
    <w:rsid w:val="58A70AE5"/>
    <w:rsid w:val="58AD528C"/>
    <w:rsid w:val="58B31955"/>
    <w:rsid w:val="58BA45A1"/>
    <w:rsid w:val="5916728C"/>
    <w:rsid w:val="594F6915"/>
    <w:rsid w:val="59737A65"/>
    <w:rsid w:val="597D5BC0"/>
    <w:rsid w:val="59842DF4"/>
    <w:rsid w:val="59947CE9"/>
    <w:rsid w:val="59A0359A"/>
    <w:rsid w:val="59E52D9A"/>
    <w:rsid w:val="5A071C4E"/>
    <w:rsid w:val="5A105C86"/>
    <w:rsid w:val="5A300449"/>
    <w:rsid w:val="5A482DEE"/>
    <w:rsid w:val="5A55295D"/>
    <w:rsid w:val="5A7E104A"/>
    <w:rsid w:val="5A8208A0"/>
    <w:rsid w:val="5A861FD5"/>
    <w:rsid w:val="5AE3253A"/>
    <w:rsid w:val="5AEA30C9"/>
    <w:rsid w:val="5AEA3475"/>
    <w:rsid w:val="5AF54C6B"/>
    <w:rsid w:val="5B087B94"/>
    <w:rsid w:val="5B0C2FBE"/>
    <w:rsid w:val="5B0E3E89"/>
    <w:rsid w:val="5B124740"/>
    <w:rsid w:val="5B31434D"/>
    <w:rsid w:val="5B3F60FF"/>
    <w:rsid w:val="5B3F66E7"/>
    <w:rsid w:val="5B872AE6"/>
    <w:rsid w:val="5BA77753"/>
    <w:rsid w:val="5BB60E53"/>
    <w:rsid w:val="5BC025EF"/>
    <w:rsid w:val="5C077640"/>
    <w:rsid w:val="5C1203C7"/>
    <w:rsid w:val="5C1F35AE"/>
    <w:rsid w:val="5C3905BF"/>
    <w:rsid w:val="5C66397A"/>
    <w:rsid w:val="5C7349B6"/>
    <w:rsid w:val="5C824C05"/>
    <w:rsid w:val="5C8725EE"/>
    <w:rsid w:val="5CB0251A"/>
    <w:rsid w:val="5CB97030"/>
    <w:rsid w:val="5CC97332"/>
    <w:rsid w:val="5CCF342F"/>
    <w:rsid w:val="5D073AE3"/>
    <w:rsid w:val="5D187049"/>
    <w:rsid w:val="5D1D2427"/>
    <w:rsid w:val="5D756277"/>
    <w:rsid w:val="5D760215"/>
    <w:rsid w:val="5D8370E6"/>
    <w:rsid w:val="5D955FBD"/>
    <w:rsid w:val="5DA62524"/>
    <w:rsid w:val="5DAC3919"/>
    <w:rsid w:val="5DB36259"/>
    <w:rsid w:val="5DBD33B2"/>
    <w:rsid w:val="5DC223CB"/>
    <w:rsid w:val="5DF66637"/>
    <w:rsid w:val="5DFF6858"/>
    <w:rsid w:val="5E0F2B0E"/>
    <w:rsid w:val="5E185132"/>
    <w:rsid w:val="5E21523D"/>
    <w:rsid w:val="5E2A0167"/>
    <w:rsid w:val="5E5D68E8"/>
    <w:rsid w:val="5E802A96"/>
    <w:rsid w:val="5E9074FF"/>
    <w:rsid w:val="5EAD0273"/>
    <w:rsid w:val="5EAE1AF2"/>
    <w:rsid w:val="5EB62A77"/>
    <w:rsid w:val="5EB80355"/>
    <w:rsid w:val="5EBB2226"/>
    <w:rsid w:val="5EBE5F24"/>
    <w:rsid w:val="5EF07004"/>
    <w:rsid w:val="5F0E1E9A"/>
    <w:rsid w:val="5F2F755A"/>
    <w:rsid w:val="5F860C23"/>
    <w:rsid w:val="5F876FA4"/>
    <w:rsid w:val="5FB115CF"/>
    <w:rsid w:val="5FC44411"/>
    <w:rsid w:val="5FE426E2"/>
    <w:rsid w:val="605C7AA6"/>
    <w:rsid w:val="605F132B"/>
    <w:rsid w:val="608510A4"/>
    <w:rsid w:val="608762FF"/>
    <w:rsid w:val="609E1C45"/>
    <w:rsid w:val="60B74397"/>
    <w:rsid w:val="60BD4FD1"/>
    <w:rsid w:val="60C23FA5"/>
    <w:rsid w:val="60D350D0"/>
    <w:rsid w:val="60D507D0"/>
    <w:rsid w:val="60EA1511"/>
    <w:rsid w:val="60EB6C34"/>
    <w:rsid w:val="60F165F7"/>
    <w:rsid w:val="60FD5C7B"/>
    <w:rsid w:val="610C1CA3"/>
    <w:rsid w:val="613C7244"/>
    <w:rsid w:val="613D7E7B"/>
    <w:rsid w:val="61425C7D"/>
    <w:rsid w:val="617162E9"/>
    <w:rsid w:val="618926E6"/>
    <w:rsid w:val="61A52BAA"/>
    <w:rsid w:val="61CA4328"/>
    <w:rsid w:val="61CF1360"/>
    <w:rsid w:val="61FA0AE4"/>
    <w:rsid w:val="620A0425"/>
    <w:rsid w:val="621D7EC3"/>
    <w:rsid w:val="62221C10"/>
    <w:rsid w:val="623438BB"/>
    <w:rsid w:val="62352B2C"/>
    <w:rsid w:val="624B10F0"/>
    <w:rsid w:val="624F3E48"/>
    <w:rsid w:val="62635981"/>
    <w:rsid w:val="629B3E75"/>
    <w:rsid w:val="629B5D43"/>
    <w:rsid w:val="62A16ECD"/>
    <w:rsid w:val="62A36D1F"/>
    <w:rsid w:val="62A40365"/>
    <w:rsid w:val="62A469A9"/>
    <w:rsid w:val="62A92FF1"/>
    <w:rsid w:val="62B90FFE"/>
    <w:rsid w:val="62BD1E6D"/>
    <w:rsid w:val="62E10186"/>
    <w:rsid w:val="62F6018D"/>
    <w:rsid w:val="62F858A1"/>
    <w:rsid w:val="63016E3A"/>
    <w:rsid w:val="63034141"/>
    <w:rsid w:val="63045E00"/>
    <w:rsid w:val="630644D1"/>
    <w:rsid w:val="630A731B"/>
    <w:rsid w:val="63386B48"/>
    <w:rsid w:val="633A3FE7"/>
    <w:rsid w:val="63410B16"/>
    <w:rsid w:val="63562840"/>
    <w:rsid w:val="637141EC"/>
    <w:rsid w:val="63805B1F"/>
    <w:rsid w:val="63834973"/>
    <w:rsid w:val="638F3DC7"/>
    <w:rsid w:val="6397194C"/>
    <w:rsid w:val="63AB4D19"/>
    <w:rsid w:val="63DA4B5E"/>
    <w:rsid w:val="63DE2C24"/>
    <w:rsid w:val="63FF2B67"/>
    <w:rsid w:val="64273E62"/>
    <w:rsid w:val="642E2892"/>
    <w:rsid w:val="643B736C"/>
    <w:rsid w:val="64AD7C37"/>
    <w:rsid w:val="64B0399F"/>
    <w:rsid w:val="64B05758"/>
    <w:rsid w:val="64BE4B0D"/>
    <w:rsid w:val="64CC0B6E"/>
    <w:rsid w:val="65075A96"/>
    <w:rsid w:val="650E600B"/>
    <w:rsid w:val="650F0C7B"/>
    <w:rsid w:val="651541F8"/>
    <w:rsid w:val="652B691A"/>
    <w:rsid w:val="65557066"/>
    <w:rsid w:val="658729D1"/>
    <w:rsid w:val="65B221E6"/>
    <w:rsid w:val="65BB5F2E"/>
    <w:rsid w:val="65E939D5"/>
    <w:rsid w:val="66426031"/>
    <w:rsid w:val="66593B74"/>
    <w:rsid w:val="665D2DD8"/>
    <w:rsid w:val="66651C8A"/>
    <w:rsid w:val="66675176"/>
    <w:rsid w:val="6679406C"/>
    <w:rsid w:val="669963F1"/>
    <w:rsid w:val="669F2C65"/>
    <w:rsid w:val="66BE6B53"/>
    <w:rsid w:val="66C55FD8"/>
    <w:rsid w:val="66C96C89"/>
    <w:rsid w:val="66D333AF"/>
    <w:rsid w:val="67023742"/>
    <w:rsid w:val="67192A34"/>
    <w:rsid w:val="674A4927"/>
    <w:rsid w:val="677243C5"/>
    <w:rsid w:val="678568CD"/>
    <w:rsid w:val="67904A3A"/>
    <w:rsid w:val="67A24F14"/>
    <w:rsid w:val="67BB4EAD"/>
    <w:rsid w:val="67E453F6"/>
    <w:rsid w:val="67F130F8"/>
    <w:rsid w:val="67F84AFE"/>
    <w:rsid w:val="680878A3"/>
    <w:rsid w:val="68340476"/>
    <w:rsid w:val="68366D6B"/>
    <w:rsid w:val="68375AD4"/>
    <w:rsid w:val="683870E8"/>
    <w:rsid w:val="68457681"/>
    <w:rsid w:val="684977D5"/>
    <w:rsid w:val="68552C50"/>
    <w:rsid w:val="685D34E7"/>
    <w:rsid w:val="686A1EFF"/>
    <w:rsid w:val="68720D79"/>
    <w:rsid w:val="68A8123A"/>
    <w:rsid w:val="68B84F4C"/>
    <w:rsid w:val="69055229"/>
    <w:rsid w:val="6929374C"/>
    <w:rsid w:val="692F20BB"/>
    <w:rsid w:val="69784C3F"/>
    <w:rsid w:val="69C1095D"/>
    <w:rsid w:val="6A0138F7"/>
    <w:rsid w:val="6A1E155A"/>
    <w:rsid w:val="6A7B5447"/>
    <w:rsid w:val="6ADB012D"/>
    <w:rsid w:val="6AE3748E"/>
    <w:rsid w:val="6AF53FAE"/>
    <w:rsid w:val="6B1C3EC6"/>
    <w:rsid w:val="6B3F4C28"/>
    <w:rsid w:val="6B574638"/>
    <w:rsid w:val="6B5F5B98"/>
    <w:rsid w:val="6B615C8D"/>
    <w:rsid w:val="6B67068F"/>
    <w:rsid w:val="6B6E2E8D"/>
    <w:rsid w:val="6B977A86"/>
    <w:rsid w:val="6BA867FE"/>
    <w:rsid w:val="6BAB6FBB"/>
    <w:rsid w:val="6BB568D4"/>
    <w:rsid w:val="6BB86A53"/>
    <w:rsid w:val="6BDF720E"/>
    <w:rsid w:val="6BDF79C7"/>
    <w:rsid w:val="6BE146ED"/>
    <w:rsid w:val="6C0B074D"/>
    <w:rsid w:val="6C122A54"/>
    <w:rsid w:val="6C1458EF"/>
    <w:rsid w:val="6C231806"/>
    <w:rsid w:val="6C275F8B"/>
    <w:rsid w:val="6C2C76C9"/>
    <w:rsid w:val="6C3B15FF"/>
    <w:rsid w:val="6C3B431E"/>
    <w:rsid w:val="6C3E5116"/>
    <w:rsid w:val="6C4A65DC"/>
    <w:rsid w:val="6C725FD7"/>
    <w:rsid w:val="6C8379F5"/>
    <w:rsid w:val="6C852D02"/>
    <w:rsid w:val="6CEA2C90"/>
    <w:rsid w:val="6CFA5C74"/>
    <w:rsid w:val="6D272DFD"/>
    <w:rsid w:val="6D2C4A68"/>
    <w:rsid w:val="6D3B2E78"/>
    <w:rsid w:val="6D3C3AC0"/>
    <w:rsid w:val="6D410335"/>
    <w:rsid w:val="6D4305C3"/>
    <w:rsid w:val="6D48445E"/>
    <w:rsid w:val="6D500B73"/>
    <w:rsid w:val="6D666AA6"/>
    <w:rsid w:val="6D687043"/>
    <w:rsid w:val="6D7D6DC8"/>
    <w:rsid w:val="6D7E3873"/>
    <w:rsid w:val="6D885EAB"/>
    <w:rsid w:val="6D953F0C"/>
    <w:rsid w:val="6DB67EBB"/>
    <w:rsid w:val="6DEF52E3"/>
    <w:rsid w:val="6E0E6A1E"/>
    <w:rsid w:val="6E2D763E"/>
    <w:rsid w:val="6E420FB1"/>
    <w:rsid w:val="6E6B46D3"/>
    <w:rsid w:val="6E953983"/>
    <w:rsid w:val="6E95768E"/>
    <w:rsid w:val="6E9D611A"/>
    <w:rsid w:val="6EA14900"/>
    <w:rsid w:val="6EB27AA3"/>
    <w:rsid w:val="6EBD1CFE"/>
    <w:rsid w:val="6EF9461D"/>
    <w:rsid w:val="6F0C4D95"/>
    <w:rsid w:val="6F1348E9"/>
    <w:rsid w:val="6F2A01FE"/>
    <w:rsid w:val="6F2A71A4"/>
    <w:rsid w:val="6F5D1EE4"/>
    <w:rsid w:val="6F9415EA"/>
    <w:rsid w:val="6FB72F84"/>
    <w:rsid w:val="6FCA5E7C"/>
    <w:rsid w:val="6FE11F22"/>
    <w:rsid w:val="6FE3419F"/>
    <w:rsid w:val="6FF778F1"/>
    <w:rsid w:val="700346D4"/>
    <w:rsid w:val="700972F0"/>
    <w:rsid w:val="70287F2C"/>
    <w:rsid w:val="70422FAF"/>
    <w:rsid w:val="706D0F5C"/>
    <w:rsid w:val="70AF69EB"/>
    <w:rsid w:val="70C11345"/>
    <w:rsid w:val="70C667BE"/>
    <w:rsid w:val="70DE2249"/>
    <w:rsid w:val="70F97D93"/>
    <w:rsid w:val="710E13DA"/>
    <w:rsid w:val="71181113"/>
    <w:rsid w:val="711D7CA6"/>
    <w:rsid w:val="71226ACC"/>
    <w:rsid w:val="71227E63"/>
    <w:rsid w:val="71614B6B"/>
    <w:rsid w:val="718D2905"/>
    <w:rsid w:val="719909D2"/>
    <w:rsid w:val="719B61D4"/>
    <w:rsid w:val="71A10922"/>
    <w:rsid w:val="71AB35AB"/>
    <w:rsid w:val="71CD6F33"/>
    <w:rsid w:val="71D214DD"/>
    <w:rsid w:val="71E107C1"/>
    <w:rsid w:val="71EF4041"/>
    <w:rsid w:val="71F62920"/>
    <w:rsid w:val="72091DAA"/>
    <w:rsid w:val="72267D97"/>
    <w:rsid w:val="723734D4"/>
    <w:rsid w:val="724E29D1"/>
    <w:rsid w:val="728564F5"/>
    <w:rsid w:val="728B7ACE"/>
    <w:rsid w:val="728E70EC"/>
    <w:rsid w:val="729701CD"/>
    <w:rsid w:val="72AB431D"/>
    <w:rsid w:val="72DA09BB"/>
    <w:rsid w:val="72E745EF"/>
    <w:rsid w:val="72E97F76"/>
    <w:rsid w:val="730E0485"/>
    <w:rsid w:val="730E4D7D"/>
    <w:rsid w:val="731466EF"/>
    <w:rsid w:val="73212A01"/>
    <w:rsid w:val="73322FF0"/>
    <w:rsid w:val="733712FB"/>
    <w:rsid w:val="73460FB0"/>
    <w:rsid w:val="73513F28"/>
    <w:rsid w:val="735A7119"/>
    <w:rsid w:val="736127BE"/>
    <w:rsid w:val="739A617A"/>
    <w:rsid w:val="739E0038"/>
    <w:rsid w:val="73B34591"/>
    <w:rsid w:val="73B96865"/>
    <w:rsid w:val="73D850A2"/>
    <w:rsid w:val="73DE7F6C"/>
    <w:rsid w:val="73E365CE"/>
    <w:rsid w:val="73E64B1D"/>
    <w:rsid w:val="740735EA"/>
    <w:rsid w:val="7408106C"/>
    <w:rsid w:val="740A37C0"/>
    <w:rsid w:val="7412351E"/>
    <w:rsid w:val="749F2D9C"/>
    <w:rsid w:val="74BB4279"/>
    <w:rsid w:val="74BE4E97"/>
    <w:rsid w:val="74D504C8"/>
    <w:rsid w:val="74F679F1"/>
    <w:rsid w:val="74F841F7"/>
    <w:rsid w:val="75003D28"/>
    <w:rsid w:val="750445F2"/>
    <w:rsid w:val="751D637E"/>
    <w:rsid w:val="751F2555"/>
    <w:rsid w:val="753504B8"/>
    <w:rsid w:val="75466A74"/>
    <w:rsid w:val="75734439"/>
    <w:rsid w:val="757F267E"/>
    <w:rsid w:val="758418D8"/>
    <w:rsid w:val="75A17528"/>
    <w:rsid w:val="75AA6AC3"/>
    <w:rsid w:val="75B749A9"/>
    <w:rsid w:val="75CB1443"/>
    <w:rsid w:val="75CD3F16"/>
    <w:rsid w:val="75EA5BFB"/>
    <w:rsid w:val="761A34DA"/>
    <w:rsid w:val="76781DCD"/>
    <w:rsid w:val="76D84698"/>
    <w:rsid w:val="775865D7"/>
    <w:rsid w:val="775A33B3"/>
    <w:rsid w:val="775B4584"/>
    <w:rsid w:val="776234AF"/>
    <w:rsid w:val="776D12AE"/>
    <w:rsid w:val="77781B45"/>
    <w:rsid w:val="77895532"/>
    <w:rsid w:val="77AD0FE0"/>
    <w:rsid w:val="77BE7384"/>
    <w:rsid w:val="780F37EC"/>
    <w:rsid w:val="7821508E"/>
    <w:rsid w:val="787A6E12"/>
    <w:rsid w:val="78821B50"/>
    <w:rsid w:val="788E2A2A"/>
    <w:rsid w:val="78C52EE0"/>
    <w:rsid w:val="78D23C9C"/>
    <w:rsid w:val="7913610A"/>
    <w:rsid w:val="791A167A"/>
    <w:rsid w:val="794D119C"/>
    <w:rsid w:val="796B6F7E"/>
    <w:rsid w:val="79751E57"/>
    <w:rsid w:val="79935707"/>
    <w:rsid w:val="799A2128"/>
    <w:rsid w:val="79C0552F"/>
    <w:rsid w:val="79C30D65"/>
    <w:rsid w:val="79CC3295"/>
    <w:rsid w:val="79D37E29"/>
    <w:rsid w:val="7A0B1561"/>
    <w:rsid w:val="7A1C2479"/>
    <w:rsid w:val="7A25258A"/>
    <w:rsid w:val="7A2C646D"/>
    <w:rsid w:val="7A441CE6"/>
    <w:rsid w:val="7A55546C"/>
    <w:rsid w:val="7A743686"/>
    <w:rsid w:val="7A824E2E"/>
    <w:rsid w:val="7A9E7BE0"/>
    <w:rsid w:val="7AAC3ABE"/>
    <w:rsid w:val="7AFF6437"/>
    <w:rsid w:val="7B021BF1"/>
    <w:rsid w:val="7B4950F7"/>
    <w:rsid w:val="7B691478"/>
    <w:rsid w:val="7B9F2862"/>
    <w:rsid w:val="7BA9751C"/>
    <w:rsid w:val="7BAB44F6"/>
    <w:rsid w:val="7BB856C6"/>
    <w:rsid w:val="7BBB27D3"/>
    <w:rsid w:val="7BC24A45"/>
    <w:rsid w:val="7BD52A90"/>
    <w:rsid w:val="7BD83C9E"/>
    <w:rsid w:val="7C076616"/>
    <w:rsid w:val="7C0D60AB"/>
    <w:rsid w:val="7C295DFC"/>
    <w:rsid w:val="7C4B37FA"/>
    <w:rsid w:val="7C58255B"/>
    <w:rsid w:val="7C5B5FF8"/>
    <w:rsid w:val="7C807CB5"/>
    <w:rsid w:val="7C910DB6"/>
    <w:rsid w:val="7C9E490F"/>
    <w:rsid w:val="7CB2006C"/>
    <w:rsid w:val="7CEF06CE"/>
    <w:rsid w:val="7CF03F88"/>
    <w:rsid w:val="7CF73786"/>
    <w:rsid w:val="7D091FF0"/>
    <w:rsid w:val="7D4076FE"/>
    <w:rsid w:val="7D4C6AE0"/>
    <w:rsid w:val="7D520E5A"/>
    <w:rsid w:val="7D573168"/>
    <w:rsid w:val="7D5E51C4"/>
    <w:rsid w:val="7D7525FB"/>
    <w:rsid w:val="7D7E1B2D"/>
    <w:rsid w:val="7DC111D1"/>
    <w:rsid w:val="7DC43A43"/>
    <w:rsid w:val="7DC74225"/>
    <w:rsid w:val="7DDA69EF"/>
    <w:rsid w:val="7DDD18D5"/>
    <w:rsid w:val="7E6C26A2"/>
    <w:rsid w:val="7EB35583"/>
    <w:rsid w:val="7EB5276C"/>
    <w:rsid w:val="7EBC57D7"/>
    <w:rsid w:val="7ED0794B"/>
    <w:rsid w:val="7ED70A6F"/>
    <w:rsid w:val="7EE20D78"/>
    <w:rsid w:val="7EFF38D3"/>
    <w:rsid w:val="7F1200F0"/>
    <w:rsid w:val="7F3206AA"/>
    <w:rsid w:val="7F5E6382"/>
    <w:rsid w:val="7F5F2553"/>
    <w:rsid w:val="7F6456E1"/>
    <w:rsid w:val="7F89742A"/>
    <w:rsid w:val="7F8A700C"/>
    <w:rsid w:val="7F9B22D0"/>
    <w:rsid w:val="7F9F74D0"/>
    <w:rsid w:val="7FA200C0"/>
    <w:rsid w:val="7FA23B7F"/>
    <w:rsid w:val="7FBE60DA"/>
    <w:rsid w:val="7FBF3588"/>
    <w:rsid w:val="7FD1580E"/>
    <w:rsid w:val="7FDE4F4F"/>
    <w:rsid w:val="7FEB69A3"/>
    <w:rsid w:val="7FFB0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14:defaultImageDpi w14:val="15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05"/>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104"/>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106"/>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header"/>
    <w:basedOn w:val="1"/>
    <w:next w:val="3"/>
    <w:link w:val="109"/>
    <w:qFormat/>
    <w:uiPriority w:val="0"/>
    <w:pPr>
      <w:pBdr>
        <w:bottom w:val="single" w:color="auto" w:sz="6" w:space="1"/>
      </w:pBdr>
      <w:tabs>
        <w:tab w:val="center" w:pos="4153"/>
        <w:tab w:val="right" w:pos="8306"/>
      </w:tabs>
      <w:snapToGrid w:val="0"/>
      <w:jc w:val="center"/>
    </w:pPr>
    <w:rPr>
      <w:sz w:val="18"/>
      <w:szCs w:val="18"/>
    </w:rPr>
  </w:style>
  <w:style w:type="paragraph" w:styleId="3">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8">
    <w:name w:val="Normal Indent"/>
    <w:basedOn w:val="1"/>
    <w:qFormat/>
    <w:uiPriority w:val="0"/>
    <w:pPr>
      <w:ind w:firstLine="420"/>
    </w:pPr>
    <w:rPr>
      <w:szCs w:val="20"/>
    </w:rPr>
  </w:style>
  <w:style w:type="paragraph" w:styleId="9">
    <w:name w:val="Document Map"/>
    <w:basedOn w:val="1"/>
    <w:link w:val="41"/>
    <w:qFormat/>
    <w:uiPriority w:val="0"/>
    <w:rPr>
      <w:rFonts w:ascii="宋体" w:hAnsi="Tahoma"/>
      <w:sz w:val="18"/>
      <w:szCs w:val="18"/>
    </w:rPr>
  </w:style>
  <w:style w:type="paragraph" w:styleId="10">
    <w:name w:val="annotation text"/>
    <w:basedOn w:val="1"/>
    <w:link w:val="70"/>
    <w:semiHidden/>
    <w:qFormat/>
    <w:uiPriority w:val="99"/>
    <w:pPr>
      <w:jc w:val="left"/>
    </w:pPr>
    <w:rPr>
      <w:rFonts w:ascii="Tahoma" w:hAnsi="Tahoma"/>
    </w:rPr>
  </w:style>
  <w:style w:type="paragraph" w:styleId="11">
    <w:name w:val="Body Text 3"/>
    <w:basedOn w:val="1"/>
    <w:qFormat/>
    <w:uiPriority w:val="0"/>
    <w:rPr>
      <w:kern w:val="0"/>
      <w:sz w:val="16"/>
      <w:szCs w:val="16"/>
    </w:rPr>
  </w:style>
  <w:style w:type="paragraph" w:styleId="12">
    <w:name w:val="Body Text"/>
    <w:basedOn w:val="1"/>
    <w:qFormat/>
    <w:uiPriority w:val="0"/>
    <w:pPr>
      <w:spacing w:after="120"/>
    </w:pPr>
  </w:style>
  <w:style w:type="paragraph" w:styleId="13">
    <w:name w:val="Body Text Indent"/>
    <w:basedOn w:val="1"/>
    <w:qFormat/>
    <w:uiPriority w:val="0"/>
    <w:pPr>
      <w:spacing w:after="120"/>
      <w:ind w:left="420" w:leftChars="200"/>
    </w:pPr>
  </w:style>
  <w:style w:type="paragraph" w:styleId="14">
    <w:name w:val="toc 3"/>
    <w:basedOn w:val="1"/>
    <w:next w:val="1"/>
    <w:unhideWhenUsed/>
    <w:qFormat/>
    <w:uiPriority w:val="39"/>
    <w:pPr>
      <w:ind w:left="840" w:leftChars="400"/>
    </w:pPr>
    <w:rPr>
      <w:sz w:val="28"/>
    </w:rPr>
  </w:style>
  <w:style w:type="paragraph" w:styleId="15">
    <w:name w:val="Plain Text"/>
    <w:basedOn w:val="1"/>
    <w:qFormat/>
    <w:uiPriority w:val="0"/>
    <w:rPr>
      <w:rFonts w:ascii="宋体" w:hAnsi="Courier New" w:eastAsia="楷体_GB2312"/>
      <w:snapToGrid w:val="0"/>
      <w:color w:val="000000"/>
      <w:kern w:val="0"/>
      <w:sz w:val="32"/>
      <w:szCs w:val="21"/>
    </w:rPr>
  </w:style>
  <w:style w:type="paragraph" w:styleId="16">
    <w:name w:val="Date"/>
    <w:basedOn w:val="1"/>
    <w:next w:val="1"/>
    <w:qFormat/>
    <w:uiPriority w:val="0"/>
    <w:rPr>
      <w:rFonts w:ascii="楷体_GB2312" w:eastAsia="楷体_GB2312"/>
      <w:color w:val="000000"/>
      <w:kern w:val="0"/>
      <w:sz w:val="32"/>
      <w:szCs w:val="32"/>
    </w:rPr>
  </w:style>
  <w:style w:type="paragraph" w:styleId="17">
    <w:name w:val="Body Text Indent 2"/>
    <w:basedOn w:val="1"/>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8">
    <w:name w:val="Balloon Text"/>
    <w:basedOn w:val="1"/>
    <w:unhideWhenUsed/>
    <w:qFormat/>
    <w:uiPriority w:val="0"/>
    <w:rPr>
      <w:sz w:val="18"/>
      <w:szCs w:val="18"/>
    </w:rPr>
  </w:style>
  <w:style w:type="paragraph" w:styleId="19">
    <w:name w:val="footer"/>
    <w:basedOn w:val="1"/>
    <w:link w:val="64"/>
    <w:qFormat/>
    <w:uiPriority w:val="99"/>
    <w:pPr>
      <w:tabs>
        <w:tab w:val="center" w:pos="4153"/>
        <w:tab w:val="right" w:pos="8306"/>
      </w:tabs>
      <w:snapToGrid w:val="0"/>
      <w:jc w:val="left"/>
    </w:pPr>
    <w:rPr>
      <w:rFonts w:ascii="Tahoma" w:hAnsi="Tahoma"/>
      <w:sz w:val="18"/>
      <w:szCs w:val="18"/>
    </w:rPr>
  </w:style>
  <w:style w:type="paragraph" w:styleId="20">
    <w:name w:val="toc 1"/>
    <w:basedOn w:val="1"/>
    <w:next w:val="1"/>
    <w:qFormat/>
    <w:uiPriority w:val="39"/>
  </w:style>
  <w:style w:type="paragraph" w:styleId="21">
    <w:name w:val="Body Text Indent 3"/>
    <w:basedOn w:val="1"/>
    <w:qFormat/>
    <w:uiPriority w:val="0"/>
    <w:pPr>
      <w:ind w:left="359" w:leftChars="171" w:firstLine="554" w:firstLineChars="198"/>
    </w:pPr>
    <w:rPr>
      <w:sz w:val="28"/>
      <w:szCs w:val="20"/>
    </w:rPr>
  </w:style>
  <w:style w:type="paragraph" w:styleId="22">
    <w:name w:val="toc 2"/>
    <w:basedOn w:val="1"/>
    <w:next w:val="1"/>
    <w:qFormat/>
    <w:uiPriority w:val="39"/>
    <w:pPr>
      <w:ind w:left="420" w:leftChars="200"/>
    </w:pPr>
  </w:style>
  <w:style w:type="paragraph" w:styleId="23">
    <w:name w:val="Body Text 2"/>
    <w:basedOn w:val="1"/>
    <w:qFormat/>
    <w:uiPriority w:val="0"/>
    <w:pPr>
      <w:spacing w:after="120" w:line="480" w:lineRule="auto"/>
    </w:pPr>
  </w:style>
  <w:style w:type="paragraph" w:styleId="24">
    <w:name w:val="Normal (Web)"/>
    <w:basedOn w:val="1"/>
    <w:qFormat/>
    <w:uiPriority w:val="99"/>
    <w:pPr>
      <w:widowControl/>
      <w:spacing w:before="100" w:beforeAutospacing="1" w:after="100" w:afterAutospacing="1"/>
      <w:jc w:val="left"/>
    </w:pPr>
    <w:rPr>
      <w:rFonts w:hint="eastAsia" w:ascii="宋体" w:hAnsi="宋体"/>
      <w:kern w:val="0"/>
      <w:sz w:val="24"/>
    </w:rPr>
  </w:style>
  <w:style w:type="paragraph" w:styleId="25">
    <w:name w:val="annotation subject"/>
    <w:basedOn w:val="10"/>
    <w:next w:val="10"/>
    <w:link w:val="68"/>
    <w:qFormat/>
    <w:uiPriority w:val="0"/>
    <w:rPr>
      <w:b/>
      <w:bCs/>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0"/>
    <w:rPr>
      <w:rFonts w:ascii="Tahoma" w:hAnsi="Tahoma"/>
      <w:b/>
      <w:bCs/>
      <w:sz w:val="24"/>
    </w:rPr>
  </w:style>
  <w:style w:type="character" w:styleId="30">
    <w:name w:val="page number"/>
    <w:basedOn w:val="28"/>
    <w:qFormat/>
    <w:uiPriority w:val="0"/>
  </w:style>
  <w:style w:type="character" w:styleId="31">
    <w:name w:val="FollowedHyperlink"/>
    <w:qFormat/>
    <w:uiPriority w:val="0"/>
    <w:rPr>
      <w:rFonts w:ascii="Tahoma" w:hAnsi="Tahoma"/>
      <w:color w:val="000000"/>
      <w:sz w:val="18"/>
      <w:szCs w:val="18"/>
      <w:u w:val="none"/>
    </w:rPr>
  </w:style>
  <w:style w:type="character" w:styleId="32">
    <w:name w:val="Emphasis"/>
    <w:basedOn w:val="28"/>
    <w:qFormat/>
    <w:uiPriority w:val="0"/>
    <w:rPr>
      <w:color w:val="F73131"/>
    </w:rPr>
  </w:style>
  <w:style w:type="character" w:styleId="33">
    <w:name w:val="HTML Definition"/>
    <w:basedOn w:val="28"/>
    <w:qFormat/>
    <w:uiPriority w:val="0"/>
    <w:rPr>
      <w:b/>
      <w:i/>
      <w:color w:val="000000"/>
      <w:sz w:val="31"/>
      <w:szCs w:val="31"/>
    </w:rPr>
  </w:style>
  <w:style w:type="character" w:styleId="34">
    <w:name w:val="Hyperlink"/>
    <w:qFormat/>
    <w:uiPriority w:val="99"/>
    <w:rPr>
      <w:rFonts w:ascii="Tahoma" w:hAnsi="Tahoma"/>
      <w:color w:val="0000FF"/>
      <w:sz w:val="24"/>
      <w:u w:val="single"/>
    </w:rPr>
  </w:style>
  <w:style w:type="character" w:styleId="35">
    <w:name w:val="HTML Code"/>
    <w:basedOn w:val="28"/>
    <w:qFormat/>
    <w:uiPriority w:val="0"/>
    <w:rPr>
      <w:rFonts w:hint="default" w:ascii="Consolas" w:hAnsi="Consolas" w:eastAsia="Consolas" w:cs="Consolas"/>
      <w:color w:val="C7254E"/>
      <w:sz w:val="21"/>
      <w:szCs w:val="21"/>
      <w:shd w:val="clear" w:color="auto" w:fill="F9F2F4"/>
    </w:rPr>
  </w:style>
  <w:style w:type="character" w:styleId="36">
    <w:name w:val="annotation reference"/>
    <w:unhideWhenUsed/>
    <w:qFormat/>
    <w:uiPriority w:val="99"/>
    <w:rPr>
      <w:rFonts w:ascii="Tahoma" w:hAnsi="Tahoma"/>
      <w:sz w:val="21"/>
      <w:szCs w:val="21"/>
    </w:rPr>
  </w:style>
  <w:style w:type="character" w:styleId="37">
    <w:name w:val="HTML Cite"/>
    <w:basedOn w:val="28"/>
    <w:qFormat/>
    <w:uiPriority w:val="0"/>
    <w:rPr>
      <w:color w:val="008000"/>
    </w:rPr>
  </w:style>
  <w:style w:type="character" w:styleId="38">
    <w:name w:val="HTML Keyboard"/>
    <w:basedOn w:val="28"/>
    <w:qFormat/>
    <w:uiPriority w:val="0"/>
    <w:rPr>
      <w:rFonts w:ascii="Consolas" w:hAnsi="Consolas" w:eastAsia="Consolas" w:cs="Consolas"/>
      <w:color w:val="FFFFFF"/>
      <w:sz w:val="21"/>
      <w:szCs w:val="21"/>
      <w:shd w:val="clear" w:color="auto" w:fill="333333"/>
    </w:rPr>
  </w:style>
  <w:style w:type="character" w:styleId="39">
    <w:name w:val="HTML Sample"/>
    <w:basedOn w:val="28"/>
    <w:qFormat/>
    <w:uiPriority w:val="0"/>
    <w:rPr>
      <w:rFonts w:hint="default" w:ascii="Consolas" w:hAnsi="Consolas" w:eastAsia="Consolas" w:cs="Consolas"/>
      <w:sz w:val="21"/>
      <w:szCs w:val="21"/>
    </w:rPr>
  </w:style>
  <w:style w:type="character" w:customStyle="1" w:styleId="40">
    <w:name w:val="cfdate"/>
    <w:basedOn w:val="28"/>
    <w:qFormat/>
    <w:uiPriority w:val="0"/>
    <w:rPr>
      <w:color w:val="333333"/>
      <w:sz w:val="18"/>
      <w:szCs w:val="18"/>
    </w:rPr>
  </w:style>
  <w:style w:type="character" w:customStyle="1" w:styleId="41">
    <w:name w:val="文档结构图 Char"/>
    <w:link w:val="9"/>
    <w:qFormat/>
    <w:uiPriority w:val="0"/>
    <w:rPr>
      <w:rFonts w:ascii="宋体" w:hAnsi="Tahoma"/>
      <w:kern w:val="2"/>
      <w:sz w:val="18"/>
      <w:szCs w:val="18"/>
    </w:rPr>
  </w:style>
  <w:style w:type="character" w:customStyle="1" w:styleId="42">
    <w:name w:val="copyright"/>
    <w:basedOn w:val="28"/>
    <w:qFormat/>
    <w:uiPriority w:val="0"/>
  </w:style>
  <w:style w:type="character" w:customStyle="1" w:styleId="43">
    <w:name w:val="Char Char6"/>
    <w:qFormat/>
    <w:uiPriority w:val="0"/>
    <w:rPr>
      <w:rFonts w:ascii="Tahoma" w:hAnsi="Tahoma" w:eastAsia="宋体"/>
      <w:b/>
      <w:bCs/>
      <w:kern w:val="2"/>
      <w:sz w:val="32"/>
      <w:szCs w:val="32"/>
      <w:lang w:val="en-US" w:eastAsia="zh-CN" w:bidi="ar-SA"/>
    </w:rPr>
  </w:style>
  <w:style w:type="character" w:customStyle="1" w:styleId="44">
    <w:name w:val="qxdate"/>
    <w:basedOn w:val="28"/>
    <w:qFormat/>
    <w:uiPriority w:val="0"/>
    <w:rPr>
      <w:color w:val="333333"/>
      <w:sz w:val="18"/>
      <w:szCs w:val="18"/>
    </w:rPr>
  </w:style>
  <w:style w:type="character" w:customStyle="1" w:styleId="45">
    <w:name w:val="gjfg"/>
    <w:basedOn w:val="28"/>
    <w:qFormat/>
    <w:uiPriority w:val="0"/>
  </w:style>
  <w:style w:type="character" w:customStyle="1" w:styleId="46">
    <w:name w:val="Char Char3"/>
    <w:semiHidden/>
    <w:qFormat/>
    <w:uiPriority w:val="0"/>
    <w:rPr>
      <w:rFonts w:ascii="Tahoma" w:hAnsi="Tahoma" w:eastAsia="宋体"/>
      <w:kern w:val="2"/>
      <w:sz w:val="18"/>
      <w:szCs w:val="18"/>
      <w:lang w:val="en-US" w:eastAsia="zh-CN" w:bidi="ar-SA"/>
    </w:rPr>
  </w:style>
  <w:style w:type="character" w:customStyle="1" w:styleId="47">
    <w:name w:val="普通文字 Char2"/>
    <w:qFormat/>
    <w:uiPriority w:val="0"/>
    <w:rPr>
      <w:rFonts w:ascii="宋体" w:hAnsi="Courier New" w:eastAsia="楷体_GB2312"/>
      <w:snapToGrid w:val="0"/>
      <w:color w:val="000000"/>
      <w:sz w:val="32"/>
      <w:szCs w:val="21"/>
      <w:lang w:val="en-US" w:eastAsia="zh-CN" w:bidi="ar-SA"/>
    </w:rPr>
  </w:style>
  <w:style w:type="character" w:customStyle="1" w:styleId="48">
    <w:name w:val="Char Char4"/>
    <w:qFormat/>
    <w:uiPriority w:val="0"/>
    <w:rPr>
      <w:rFonts w:ascii="Tahoma" w:hAnsi="Tahoma" w:eastAsia="宋体"/>
      <w:kern w:val="2"/>
      <w:sz w:val="18"/>
      <w:szCs w:val="18"/>
      <w:lang w:val="en-US" w:eastAsia="zh-CN" w:bidi="ar-SA"/>
    </w:rPr>
  </w:style>
  <w:style w:type="character" w:customStyle="1" w:styleId="49">
    <w:name w:val="font51"/>
    <w:qFormat/>
    <w:uiPriority w:val="0"/>
    <w:rPr>
      <w:rFonts w:hint="eastAsia" w:ascii="宋体" w:hAnsi="宋体" w:eastAsia="宋体" w:cs="宋体"/>
      <w:color w:val="000000"/>
      <w:sz w:val="21"/>
      <w:szCs w:val="21"/>
      <w:u w:val="none"/>
    </w:rPr>
  </w:style>
  <w:style w:type="character" w:customStyle="1" w:styleId="50">
    <w:name w:val="Char Char1"/>
    <w:semiHidden/>
    <w:qFormat/>
    <w:uiPriority w:val="0"/>
    <w:rPr>
      <w:rFonts w:ascii="Tahoma" w:hAnsi="Tahoma" w:eastAsia="宋体"/>
      <w:kern w:val="2"/>
      <w:sz w:val="28"/>
      <w:lang w:val="en-US" w:eastAsia="zh-CN" w:bidi="ar-SA"/>
    </w:rPr>
  </w:style>
  <w:style w:type="character" w:customStyle="1" w:styleId="51">
    <w:name w:val="profont1"/>
    <w:qFormat/>
    <w:uiPriority w:val="0"/>
    <w:rPr>
      <w:rFonts w:hint="default" w:ascii="Verdana" w:hAnsi="Verdana"/>
      <w:b/>
      <w:bCs/>
      <w:color w:val="333333"/>
      <w:sz w:val="24"/>
      <w:szCs w:val="24"/>
      <w:u w:val="none"/>
    </w:rPr>
  </w:style>
  <w:style w:type="character" w:customStyle="1" w:styleId="52">
    <w:name w:val="标题 2 Char"/>
    <w:qFormat/>
    <w:uiPriority w:val="0"/>
    <w:rPr>
      <w:rFonts w:ascii="Arial" w:hAnsi="Arial" w:eastAsia="黑体"/>
      <w:b/>
      <w:bCs/>
      <w:kern w:val="2"/>
      <w:sz w:val="32"/>
      <w:szCs w:val="32"/>
      <w:lang w:val="en-US" w:eastAsia="zh-CN" w:bidi="ar-SA"/>
    </w:rPr>
  </w:style>
  <w:style w:type="character" w:customStyle="1" w:styleId="53">
    <w:name w:val="Char Char5"/>
    <w:qFormat/>
    <w:uiPriority w:val="0"/>
    <w:rPr>
      <w:rFonts w:ascii="Tahoma" w:hAnsi="Tahoma" w:eastAsia="宋体"/>
      <w:kern w:val="2"/>
      <w:sz w:val="18"/>
      <w:szCs w:val="18"/>
      <w:lang w:val="en-US" w:eastAsia="zh-CN" w:bidi="ar-SA"/>
    </w:rPr>
  </w:style>
  <w:style w:type="character" w:customStyle="1" w:styleId="54">
    <w:name w:val="标题 1.1 Char1"/>
    <w:qFormat/>
    <w:uiPriority w:val="0"/>
    <w:rPr>
      <w:rFonts w:ascii="Arial" w:hAnsi="Arial" w:eastAsia="黑体"/>
      <w:b/>
      <w:bCs/>
      <w:kern w:val="2"/>
      <w:sz w:val="32"/>
      <w:szCs w:val="32"/>
      <w:lang w:val="en-US" w:eastAsia="zh-CN" w:bidi="ar-SA"/>
    </w:rPr>
  </w:style>
  <w:style w:type="character" w:customStyle="1" w:styleId="55">
    <w:name w:val="font01"/>
    <w:qFormat/>
    <w:uiPriority w:val="0"/>
    <w:rPr>
      <w:rFonts w:hint="eastAsia" w:ascii="宋体" w:hAnsi="宋体" w:eastAsia="宋体" w:cs="宋体"/>
      <w:color w:val="000000"/>
      <w:sz w:val="24"/>
      <w:szCs w:val="24"/>
      <w:u w:val="none"/>
    </w:rPr>
  </w:style>
  <w:style w:type="character" w:customStyle="1" w:styleId="56">
    <w:name w:val="font11"/>
    <w:qFormat/>
    <w:uiPriority w:val="0"/>
    <w:rPr>
      <w:rFonts w:hint="eastAsia" w:ascii="宋体" w:hAnsi="宋体" w:eastAsia="宋体" w:cs="宋体"/>
      <w:b/>
      <w:color w:val="000000"/>
      <w:sz w:val="24"/>
      <w:szCs w:val="24"/>
      <w:u w:val="none"/>
    </w:rPr>
  </w:style>
  <w:style w:type="character" w:customStyle="1" w:styleId="57">
    <w:name w:val="Char Char"/>
    <w:qFormat/>
    <w:uiPriority w:val="0"/>
    <w:rPr>
      <w:rFonts w:ascii="Tahoma" w:hAnsi="Tahoma"/>
      <w:kern w:val="2"/>
      <w:sz w:val="21"/>
      <w:szCs w:val="24"/>
    </w:rPr>
  </w:style>
  <w:style w:type="character" w:customStyle="1" w:styleId="58">
    <w:name w:val="style111"/>
    <w:qFormat/>
    <w:uiPriority w:val="0"/>
    <w:rPr>
      <w:rFonts w:ascii="Tahoma" w:hAnsi="Tahoma"/>
      <w:sz w:val="22"/>
      <w:szCs w:val="22"/>
    </w:rPr>
  </w:style>
  <w:style w:type="character" w:customStyle="1" w:styleId="59">
    <w:name w:val="displayarti"/>
    <w:basedOn w:val="28"/>
    <w:qFormat/>
    <w:uiPriority w:val="0"/>
    <w:rPr>
      <w:color w:val="FFFFFF"/>
      <w:shd w:val="clear" w:color="auto" w:fill="A00000"/>
    </w:rPr>
  </w:style>
  <w:style w:type="character" w:customStyle="1" w:styleId="60">
    <w:name w:val="Char Char7"/>
    <w:qFormat/>
    <w:uiPriority w:val="0"/>
    <w:rPr>
      <w:rFonts w:ascii="Tahoma" w:hAnsi="Tahoma" w:eastAsia="宋体"/>
      <w:b/>
      <w:bCs/>
      <w:kern w:val="44"/>
      <w:sz w:val="44"/>
      <w:szCs w:val="44"/>
      <w:lang w:val="en-US" w:eastAsia="zh-CN" w:bidi="ar-SA"/>
    </w:rPr>
  </w:style>
  <w:style w:type="character" w:customStyle="1" w:styleId="61">
    <w:name w:val="font31"/>
    <w:qFormat/>
    <w:uiPriority w:val="0"/>
    <w:rPr>
      <w:rFonts w:hint="eastAsia" w:ascii="宋体" w:hAnsi="宋体" w:eastAsia="宋体" w:cs="宋体"/>
      <w:color w:val="000000"/>
      <w:sz w:val="21"/>
      <w:szCs w:val="21"/>
      <w:u w:val="none"/>
    </w:rPr>
  </w:style>
  <w:style w:type="character" w:customStyle="1" w:styleId="62">
    <w:name w:val="Char Char2"/>
    <w:qFormat/>
    <w:uiPriority w:val="0"/>
    <w:rPr>
      <w:rFonts w:ascii="华文仿宋" w:hAnsi="华文仿宋" w:eastAsia="华文仿宋"/>
      <w:color w:val="000000"/>
      <w:sz w:val="32"/>
      <w:szCs w:val="32"/>
      <w:lang w:val="en-US" w:eastAsia="zh-CN" w:bidi="ar-SA"/>
    </w:rPr>
  </w:style>
  <w:style w:type="character" w:customStyle="1" w:styleId="63">
    <w:name w:val="style51"/>
    <w:qFormat/>
    <w:uiPriority w:val="0"/>
    <w:rPr>
      <w:rFonts w:ascii="Tahoma" w:hAnsi="Tahoma"/>
      <w:b/>
      <w:bCs/>
      <w:color w:val="814107"/>
      <w:sz w:val="21"/>
      <w:szCs w:val="21"/>
    </w:rPr>
  </w:style>
  <w:style w:type="character" w:customStyle="1" w:styleId="64">
    <w:name w:val="页脚 Char"/>
    <w:link w:val="19"/>
    <w:qFormat/>
    <w:uiPriority w:val="99"/>
    <w:rPr>
      <w:rFonts w:ascii="Tahoma" w:hAnsi="Tahoma"/>
      <w:kern w:val="2"/>
      <w:sz w:val="18"/>
      <w:szCs w:val="18"/>
    </w:rPr>
  </w:style>
  <w:style w:type="character" w:customStyle="1" w:styleId="65">
    <w:name w:val="标题 1.1 Char"/>
    <w:qFormat/>
    <w:uiPriority w:val="0"/>
    <w:rPr>
      <w:rFonts w:ascii="仿宋_GB2312" w:hAnsi="Arial" w:eastAsia="仿宋_GB2312" w:cs="Arial"/>
      <w:b/>
      <w:bCs/>
      <w:kern w:val="2"/>
      <w:sz w:val="24"/>
      <w:szCs w:val="24"/>
      <w:lang w:val="en-US" w:eastAsia="zh-CN" w:bidi="ar-SA"/>
    </w:rPr>
  </w:style>
  <w:style w:type="character" w:customStyle="1" w:styleId="66">
    <w:name w:val="普通文字 Char1"/>
    <w:qFormat/>
    <w:uiPriority w:val="0"/>
    <w:rPr>
      <w:rFonts w:ascii="宋体" w:hAnsi="Courier New" w:eastAsia="宋体"/>
      <w:kern w:val="2"/>
      <w:sz w:val="21"/>
      <w:szCs w:val="21"/>
      <w:lang w:val="en-US" w:eastAsia="zh-CN" w:bidi="ar-SA"/>
    </w:rPr>
  </w:style>
  <w:style w:type="character" w:customStyle="1" w:styleId="67">
    <w:name w:val="font41"/>
    <w:qFormat/>
    <w:uiPriority w:val="0"/>
    <w:rPr>
      <w:rFonts w:ascii="font-weight : 400" w:hAnsi="font-weight : 400" w:eastAsia="font-weight : 400" w:cs="font-weight : 400"/>
      <w:color w:val="000000"/>
      <w:sz w:val="21"/>
      <w:szCs w:val="21"/>
      <w:u w:val="none"/>
    </w:rPr>
  </w:style>
  <w:style w:type="character" w:customStyle="1" w:styleId="68">
    <w:name w:val="批注主题 Char"/>
    <w:link w:val="25"/>
    <w:qFormat/>
    <w:uiPriority w:val="0"/>
    <w:rPr>
      <w:rFonts w:ascii="Tahoma" w:hAnsi="Tahoma"/>
      <w:b/>
      <w:bCs/>
      <w:kern w:val="2"/>
      <w:sz w:val="21"/>
      <w:szCs w:val="24"/>
    </w:rPr>
  </w:style>
  <w:style w:type="character" w:customStyle="1" w:styleId="69">
    <w:name w:val="redfilefwwh"/>
    <w:basedOn w:val="28"/>
    <w:qFormat/>
    <w:uiPriority w:val="0"/>
    <w:rPr>
      <w:color w:val="BA2636"/>
      <w:sz w:val="18"/>
      <w:szCs w:val="18"/>
    </w:rPr>
  </w:style>
  <w:style w:type="character" w:customStyle="1" w:styleId="70">
    <w:name w:val="批注文字 Char"/>
    <w:link w:val="10"/>
    <w:semiHidden/>
    <w:qFormat/>
    <w:uiPriority w:val="99"/>
    <w:rPr>
      <w:rFonts w:ascii="Tahoma" w:hAnsi="Tahoma"/>
      <w:kern w:val="2"/>
      <w:sz w:val="21"/>
      <w:szCs w:val="24"/>
    </w:rPr>
  </w:style>
  <w:style w:type="character" w:customStyle="1" w:styleId="71">
    <w:name w:val="redfilenumber"/>
    <w:basedOn w:val="28"/>
    <w:qFormat/>
    <w:uiPriority w:val="0"/>
    <w:rPr>
      <w:color w:val="BA2636"/>
      <w:sz w:val="18"/>
      <w:szCs w:val="18"/>
    </w:rPr>
  </w:style>
  <w:style w:type="paragraph" w:customStyle="1" w:styleId="72">
    <w:name w:val="Char1 Char Char Char"/>
    <w:basedOn w:val="1"/>
    <w:qFormat/>
    <w:uiPriority w:val="0"/>
    <w:pPr>
      <w:adjustRightInd w:val="0"/>
      <w:spacing w:line="360" w:lineRule="auto"/>
    </w:pPr>
    <w:rPr>
      <w:kern w:val="0"/>
      <w:sz w:val="24"/>
      <w:szCs w:val="20"/>
    </w:rPr>
  </w:style>
  <w:style w:type="paragraph" w:customStyle="1" w:styleId="73">
    <w:name w:val="前言、引言标题"/>
    <w:next w:val="1"/>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4">
    <w:name w:val="_Style 2"/>
    <w:basedOn w:val="1"/>
    <w:qFormat/>
    <w:uiPriority w:val="34"/>
    <w:pPr>
      <w:ind w:firstLine="420" w:firstLineChars="200"/>
    </w:pPr>
  </w:style>
  <w:style w:type="paragraph" w:customStyle="1" w:styleId="75">
    <w:name w:val="Char Char Char Char Char Char"/>
    <w:basedOn w:val="1"/>
    <w:qFormat/>
    <w:uiPriority w:val="0"/>
    <w:rPr>
      <w:rFonts w:ascii="Tahoma" w:hAnsi="Tahoma"/>
      <w:sz w:val="24"/>
    </w:rPr>
  </w:style>
  <w:style w:type="paragraph" w:customStyle="1" w:styleId="76">
    <w:name w:val="章标题"/>
    <w:next w:val="1"/>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77">
    <w:name w:val="Char Char Char"/>
    <w:basedOn w:val="1"/>
    <w:qFormat/>
    <w:uiPriority w:val="0"/>
    <w:rPr>
      <w:rFonts w:ascii="Tahoma" w:hAnsi="Tahoma"/>
      <w:sz w:val="24"/>
      <w:szCs w:val="20"/>
    </w:rPr>
  </w:style>
  <w:style w:type="paragraph" w:customStyle="1" w:styleId="78">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79">
    <w:name w:val="样式 宋体 三号 加粗 居中 行距: 最小值 12 磅"/>
    <w:basedOn w:val="1"/>
    <w:qFormat/>
    <w:uiPriority w:val="0"/>
    <w:pPr>
      <w:spacing w:line="240" w:lineRule="atLeast"/>
      <w:jc w:val="center"/>
    </w:pPr>
    <w:rPr>
      <w:rFonts w:ascii="宋体" w:hAnsi="宋体" w:cs="宋体"/>
      <w:b/>
      <w:bCs/>
      <w:szCs w:val="20"/>
    </w:rPr>
  </w:style>
  <w:style w:type="paragraph" w:customStyle="1" w:styleId="80">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81">
    <w:name w:val="二级条标题"/>
    <w:basedOn w:val="82"/>
    <w:next w:val="1"/>
    <w:qFormat/>
    <w:uiPriority w:val="0"/>
    <w:pPr>
      <w:numPr>
        <w:ilvl w:val="3"/>
      </w:numPr>
      <w:outlineLvl w:val="3"/>
    </w:pPr>
  </w:style>
  <w:style w:type="paragraph" w:customStyle="1" w:styleId="82">
    <w:name w:val="一级条标题"/>
    <w:basedOn w:val="76"/>
    <w:next w:val="1"/>
    <w:qFormat/>
    <w:uiPriority w:val="0"/>
    <w:pPr>
      <w:numPr>
        <w:ilvl w:val="2"/>
      </w:numPr>
      <w:spacing w:beforeLines="0" w:afterLines="0"/>
      <w:outlineLvl w:val="2"/>
    </w:pPr>
  </w:style>
  <w:style w:type="paragraph" w:customStyle="1" w:styleId="83">
    <w:name w:val="Char Char Char1"/>
    <w:basedOn w:val="1"/>
    <w:qFormat/>
    <w:uiPriority w:val="0"/>
    <w:rPr>
      <w:rFonts w:ascii="Tahoma" w:hAnsi="Tahoma"/>
      <w:sz w:val="24"/>
      <w:szCs w:val="20"/>
    </w:rPr>
  </w:style>
  <w:style w:type="paragraph" w:customStyle="1" w:styleId="84">
    <w:name w:val="样式5"/>
    <w:basedOn w:val="85"/>
    <w:qFormat/>
    <w:uiPriority w:val="0"/>
    <w:pPr>
      <w:numPr>
        <w:ilvl w:val="3"/>
      </w:numPr>
      <w:tabs>
        <w:tab w:val="left" w:pos="432"/>
      </w:tabs>
      <w:spacing w:before="156"/>
    </w:pPr>
  </w:style>
  <w:style w:type="paragraph" w:customStyle="1" w:styleId="85">
    <w:name w:val="样式4"/>
    <w:basedOn w:val="1"/>
    <w:qFormat/>
    <w:uiPriority w:val="0"/>
    <w:pPr>
      <w:numPr>
        <w:ilvl w:val="0"/>
        <w:numId w:val="2"/>
      </w:numPr>
      <w:spacing w:beforeLines="50"/>
      <w:outlineLvl w:val="2"/>
    </w:pPr>
    <w:rPr>
      <w:rFonts w:ascii="宋体" w:hAnsi="宋体" w:cs="MS Shell Dlg"/>
      <w:b/>
      <w:kern w:val="0"/>
      <w:szCs w:val="21"/>
    </w:rPr>
  </w:style>
  <w:style w:type="paragraph" w:customStyle="1" w:styleId="86">
    <w:name w:val="Char"/>
    <w:basedOn w:val="1"/>
    <w:qFormat/>
    <w:uiPriority w:val="0"/>
    <w:pPr>
      <w:adjustRightInd w:val="0"/>
      <w:spacing w:line="360" w:lineRule="auto"/>
    </w:pPr>
    <w:rPr>
      <w:kern w:val="0"/>
      <w:sz w:val="24"/>
      <w:szCs w:val="20"/>
    </w:rPr>
  </w:style>
  <w:style w:type="paragraph" w:customStyle="1" w:styleId="87">
    <w:name w:val="Char1"/>
    <w:basedOn w:val="1"/>
    <w:qFormat/>
    <w:uiPriority w:val="0"/>
    <w:pPr>
      <w:adjustRightInd w:val="0"/>
      <w:spacing w:line="360" w:lineRule="auto"/>
    </w:pPr>
    <w:rPr>
      <w:kern w:val="0"/>
      <w:sz w:val="24"/>
      <w:szCs w:val="20"/>
    </w:rPr>
  </w:style>
  <w:style w:type="paragraph" w:customStyle="1" w:styleId="88">
    <w:name w:val="三级条标题"/>
    <w:basedOn w:val="81"/>
    <w:next w:val="1"/>
    <w:qFormat/>
    <w:uiPriority w:val="0"/>
    <w:pPr>
      <w:numPr>
        <w:ilvl w:val="4"/>
      </w:numPr>
      <w:outlineLvl w:val="4"/>
    </w:pPr>
  </w:style>
  <w:style w:type="paragraph" w:customStyle="1" w:styleId="89">
    <w:name w:val="Char Char8"/>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0">
    <w:name w:val="Char Char Char Char Char Char Char"/>
    <w:basedOn w:val="1"/>
    <w:qFormat/>
    <w:uiPriority w:val="0"/>
    <w:rPr>
      <w:rFonts w:ascii="Tahoma" w:hAnsi="Tahoma" w:cs="Arial"/>
      <w:szCs w:val="21"/>
    </w:rPr>
  </w:style>
  <w:style w:type="paragraph" w:customStyle="1" w:styleId="91">
    <w:name w:val="样式8"/>
    <w:basedOn w:val="1"/>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92">
    <w:name w:val="px12black"/>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93">
    <w:name w:val="五级条标题"/>
    <w:basedOn w:val="94"/>
    <w:next w:val="1"/>
    <w:qFormat/>
    <w:uiPriority w:val="0"/>
    <w:pPr>
      <w:numPr>
        <w:ilvl w:val="6"/>
      </w:numPr>
      <w:outlineLvl w:val="6"/>
    </w:pPr>
  </w:style>
  <w:style w:type="paragraph" w:customStyle="1" w:styleId="94">
    <w:name w:val="四级条标题"/>
    <w:basedOn w:val="88"/>
    <w:next w:val="1"/>
    <w:qFormat/>
    <w:uiPriority w:val="0"/>
    <w:pPr>
      <w:numPr>
        <w:ilvl w:val="5"/>
      </w:numPr>
      <w:outlineLvl w:val="5"/>
    </w:pPr>
  </w:style>
  <w:style w:type="paragraph" w:customStyle="1" w:styleId="95">
    <w:name w:val="Normal Indent1"/>
    <w:basedOn w:val="1"/>
    <w:qFormat/>
    <w:uiPriority w:val="99"/>
    <w:pPr>
      <w:autoSpaceDE w:val="0"/>
      <w:autoSpaceDN w:val="0"/>
      <w:adjustRightInd w:val="0"/>
      <w:ind w:firstLine="420"/>
    </w:pPr>
    <w:rPr>
      <w:kern w:val="0"/>
      <w:szCs w:val="21"/>
    </w:rPr>
  </w:style>
  <w:style w:type="paragraph" w:customStyle="1" w:styleId="96">
    <w:name w:val="样式1"/>
    <w:basedOn w:val="1"/>
    <w:qFormat/>
    <w:uiPriority w:val="0"/>
    <w:pPr>
      <w:numPr>
        <w:ilvl w:val="0"/>
        <w:numId w:val="4"/>
      </w:numPr>
      <w:adjustRightInd w:val="0"/>
      <w:textAlignment w:val="baseline"/>
    </w:pPr>
    <w:rPr>
      <w:rFonts w:ascii="宋体" w:hAnsi="宋体"/>
      <w:kern w:val="0"/>
      <w:szCs w:val="21"/>
    </w:rPr>
  </w:style>
  <w:style w:type="paragraph" w:customStyle="1" w:styleId="97">
    <w:name w:val="样式6"/>
    <w:basedOn w:val="85"/>
    <w:qFormat/>
    <w:uiPriority w:val="0"/>
    <w:pPr>
      <w:numPr>
        <w:ilvl w:val="2"/>
      </w:numPr>
      <w:tabs>
        <w:tab w:val="clear" w:pos="432"/>
      </w:tabs>
      <w:spacing w:before="156"/>
      <w:outlineLvl w:val="4"/>
    </w:pPr>
    <w:rPr>
      <w:rFonts w:ascii="MS Shell Dlg" w:hAnsi="MS Shell Dlg"/>
    </w:rPr>
  </w:style>
  <w:style w:type="paragraph" w:styleId="98">
    <w:name w:val="List Paragraph"/>
    <w:basedOn w:val="1"/>
    <w:qFormat/>
    <w:uiPriority w:val="34"/>
    <w:pPr>
      <w:ind w:firstLine="420" w:firstLineChars="200"/>
    </w:pPr>
    <w:rPr>
      <w:sz w:val="28"/>
    </w:rPr>
  </w:style>
  <w:style w:type="paragraph" w:customStyle="1" w:styleId="99">
    <w:name w:val="列出段落1"/>
    <w:basedOn w:val="1"/>
    <w:qFormat/>
    <w:uiPriority w:val="0"/>
    <w:pPr>
      <w:ind w:firstLine="420" w:firstLineChars="200"/>
    </w:pPr>
    <w:rPr>
      <w:rFonts w:ascii="Calibri" w:hAnsi="Calibri"/>
      <w:kern w:val="0"/>
      <w:sz w:val="20"/>
      <w:szCs w:val="20"/>
    </w:rPr>
  </w:style>
  <w:style w:type="paragraph" w:customStyle="1" w:styleId="100">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bCs w:val="0"/>
      <w:sz w:val="28"/>
      <w:szCs w:val="20"/>
    </w:rPr>
  </w:style>
  <w:style w:type="paragraph" w:customStyle="1" w:styleId="101">
    <w:name w:val="Table Paragraph"/>
    <w:basedOn w:val="1"/>
    <w:unhideWhenUsed/>
    <w:qFormat/>
    <w:uiPriority w:val="1"/>
    <w:rPr>
      <w:rFonts w:hint="eastAsia"/>
      <w:sz w:val="24"/>
    </w:rPr>
  </w:style>
  <w:style w:type="paragraph" w:customStyle="1" w:styleId="102">
    <w:name w:val="样式 标题 3 + (中文) 黑体 小四 非加粗 段前: 7.8 磅 段后: 0 磅 行距: 固定值 20 磅"/>
    <w:basedOn w:val="6"/>
    <w:qFormat/>
    <w:uiPriority w:val="0"/>
    <w:pPr>
      <w:spacing w:before="0" w:after="0" w:line="400" w:lineRule="exact"/>
    </w:pPr>
    <w:rPr>
      <w:rFonts w:eastAsia="黑体" w:cs="宋体"/>
      <w:b w:val="0"/>
      <w:bCs w:val="0"/>
      <w:sz w:val="24"/>
      <w:szCs w:val="20"/>
    </w:rPr>
  </w:style>
  <w:style w:type="paragraph" w:customStyle="1" w:styleId="103">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4">
    <w:name w:val="标题 2 Char1"/>
    <w:link w:val="5"/>
    <w:qFormat/>
    <w:uiPriority w:val="0"/>
    <w:rPr>
      <w:rFonts w:ascii="Arial" w:hAnsi="Arial" w:eastAsia="黑体"/>
      <w:b/>
      <w:bCs/>
      <w:sz w:val="32"/>
      <w:szCs w:val="32"/>
    </w:rPr>
  </w:style>
  <w:style w:type="character" w:customStyle="1" w:styleId="105">
    <w:name w:val="标题 1 Char"/>
    <w:link w:val="4"/>
    <w:qFormat/>
    <w:uiPriority w:val="0"/>
    <w:rPr>
      <w:b/>
      <w:bCs/>
      <w:kern w:val="44"/>
      <w:sz w:val="44"/>
      <w:szCs w:val="44"/>
    </w:rPr>
  </w:style>
  <w:style w:type="character" w:customStyle="1" w:styleId="106">
    <w:name w:val="标题 3 Char"/>
    <w:link w:val="6"/>
    <w:qFormat/>
    <w:uiPriority w:val="0"/>
    <w:rPr>
      <w:b/>
      <w:bCs/>
      <w:sz w:val="32"/>
      <w:szCs w:val="32"/>
    </w:rPr>
  </w:style>
  <w:style w:type="character" w:customStyle="1" w:styleId="107">
    <w:name w:val="time4"/>
    <w:basedOn w:val="28"/>
    <w:qFormat/>
    <w:uiPriority w:val="0"/>
    <w:rPr>
      <w:color w:val="484848"/>
    </w:rPr>
  </w:style>
  <w:style w:type="character" w:customStyle="1" w:styleId="108">
    <w:name w:val="time"/>
    <w:basedOn w:val="28"/>
    <w:qFormat/>
    <w:uiPriority w:val="0"/>
    <w:rPr>
      <w:color w:val="484848"/>
    </w:rPr>
  </w:style>
  <w:style w:type="character" w:customStyle="1" w:styleId="109">
    <w:name w:val="页眉 Char"/>
    <w:link w:val="2"/>
    <w:qFormat/>
    <w:uiPriority w:val="0"/>
    <w:rPr>
      <w:kern w:val="2"/>
      <w:sz w:val="18"/>
      <w:szCs w:val="18"/>
    </w:rPr>
  </w:style>
  <w:style w:type="character" w:customStyle="1" w:styleId="110">
    <w:name w:val="c-icon30"/>
    <w:basedOn w:val="28"/>
    <w:qFormat/>
    <w:uiPriority w:val="0"/>
  </w:style>
  <w:style w:type="character" w:customStyle="1" w:styleId="111">
    <w:name w:val="hover27"/>
    <w:basedOn w:val="28"/>
    <w:qFormat/>
    <w:uiPriority w:val="0"/>
  </w:style>
  <w:style w:type="character" w:customStyle="1" w:styleId="112">
    <w:name w:val="hover28"/>
    <w:basedOn w:val="28"/>
    <w:qFormat/>
    <w:uiPriority w:val="0"/>
    <w:rPr>
      <w:color w:val="315EFB"/>
    </w:rPr>
  </w:style>
  <w:style w:type="character" w:customStyle="1" w:styleId="113">
    <w:name w:val="hover29"/>
    <w:basedOn w:val="28"/>
    <w:qFormat/>
    <w:uiPriority w:val="0"/>
    <w:rPr>
      <w:color w:val="315EFB"/>
      <w:shd w:val="clear" w:fill="F0F3FD"/>
    </w:rPr>
  </w:style>
  <w:style w:type="character" w:customStyle="1" w:styleId="114">
    <w:name w:val="label"/>
    <w:basedOn w:val="28"/>
    <w:qFormat/>
    <w:uiPriority w:val="0"/>
    <w:rPr>
      <w:color w:val="999999"/>
    </w:rPr>
  </w:style>
  <w:style w:type="character" w:customStyle="1" w:styleId="115">
    <w:name w:val="layui-laypage-curr"/>
    <w:basedOn w:val="28"/>
    <w:qFormat/>
    <w:uiPriority w:val="0"/>
  </w:style>
  <w:style w:type="character" w:customStyle="1" w:styleId="116">
    <w:name w:val="hover10"/>
    <w:basedOn w:val="28"/>
    <w:qFormat/>
    <w:uiPriority w:val="0"/>
  </w:style>
  <w:style w:type="character" w:customStyle="1" w:styleId="117">
    <w:name w:val="hover"/>
    <w:basedOn w:val="28"/>
    <w:qFormat/>
    <w:uiPriority w:val="0"/>
  </w:style>
  <w:style w:type="character" w:customStyle="1" w:styleId="118">
    <w:name w:val="hover8"/>
    <w:basedOn w:val="28"/>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D008CC-B0BD-40E0-99C1-A39DBBD995C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68</Pages>
  <Words>7624</Words>
  <Characters>43457</Characters>
  <Lines>362</Lines>
  <Paragraphs>101</Paragraphs>
  <TotalTime>3</TotalTime>
  <ScaleCrop>false</ScaleCrop>
  <LinksUpToDate>false</LinksUpToDate>
  <CharactersWithSpaces>50980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2021-10-20T04:48:00Z</dcterms:created>
  <dc:creator>风之客</dc:creator>
  <cp:lastModifiedBy>ying</cp:lastModifiedBy>
  <cp:lastPrinted>2019-09-01T07:55:00Z</cp:lastPrinted>
  <dcterms:modified xsi:type="dcterms:W3CDTF">2021-11-05T03:00:29Z</dcterms:modified>
  <dc:title>湖 北  招 标</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0893775613E244AFB9EB63BD0AF6EFDD</vt:lpwstr>
  </property>
</Properties>
</file>