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rPr>
        <w:drawing>
          <wp:anchor distT="0" distB="0" distL="114300" distR="114300" simplePos="0" relativeHeight="251661312" behindDoc="1" locked="0" layoutInCell="1" allowOverlap="1">
            <wp:simplePos x="0" y="0"/>
            <wp:positionH relativeFrom="column">
              <wp:posOffset>-2146935</wp:posOffset>
            </wp:positionH>
            <wp:positionV relativeFrom="paragraph">
              <wp:posOffset>-899795</wp:posOffset>
            </wp:positionV>
            <wp:extent cx="7602855" cy="1204595"/>
            <wp:effectExtent l="0" t="0" r="1905" b="0"/>
            <wp:wrapNone/>
            <wp:docPr id="1" name="图片 1" descr="D:\Word设计\1平面设计\文档封面\2022.02.23文档封面\images\封面_01.png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Word设计\1平面设计\文档封面\2022.02.23文档封面\images\封面_01.png封面_01"/>
                    <pic:cNvPicPr>
                      <a:picLocks noChangeAspect="1"/>
                    </pic:cNvPicPr>
                  </pic:nvPicPr>
                  <pic:blipFill>
                    <a:blip r:embed="rId9">
                      <a:lum bright="12000"/>
                    </a:blip>
                    <a:srcRect/>
                    <a:stretch>
                      <a:fillRect/>
                    </a:stretch>
                  </pic:blipFill>
                  <pic:spPr>
                    <a:xfrm>
                      <a:off x="0" y="0"/>
                      <a:ext cx="7602855" cy="1204595"/>
                    </a:xfrm>
                    <a:prstGeom prst="rect">
                      <a:avLst/>
                    </a:prstGeom>
                  </pic:spPr>
                </pic:pic>
              </a:graphicData>
            </a:graphic>
          </wp:anchor>
        </w:drawing>
      </w:r>
      <w:r>
        <w:rPr>
          <w:rFonts w:hint="eastAsia" w:asciiTheme="minorEastAsia" w:hAnsiTheme="minorEastAsia" w:eastAsiaTheme="minorEastAsia" w:cstheme="minorEastAsia"/>
          <w:sz w:val="30"/>
          <w:szCs w:val="30"/>
        </w:rPr>
        <w:drawing>
          <wp:anchor distT="0" distB="0" distL="114300" distR="114300" simplePos="0" relativeHeight="251660288" behindDoc="0" locked="0" layoutInCell="1" allowOverlap="1">
            <wp:simplePos x="0" y="0"/>
            <wp:positionH relativeFrom="column">
              <wp:posOffset>11430</wp:posOffset>
            </wp:positionH>
            <wp:positionV relativeFrom="paragraph">
              <wp:posOffset>62865</wp:posOffset>
            </wp:positionV>
            <wp:extent cx="1222375" cy="784860"/>
            <wp:effectExtent l="0" t="0" r="15875" b="15240"/>
            <wp:wrapSquare wrapText="bothSides"/>
            <wp:docPr id="3" name="图片 5" descr="背景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背景墙"/>
                    <pic:cNvPicPr>
                      <a:picLocks noChangeAspect="1" noChangeArrowheads="1"/>
                    </pic:cNvPicPr>
                  </pic:nvPicPr>
                  <pic:blipFill>
                    <a:blip r:embed="rId10" cstate="print"/>
                    <a:srcRect/>
                    <a:stretch>
                      <a:fillRect/>
                    </a:stretch>
                  </pic:blipFill>
                  <pic:spPr>
                    <a:xfrm>
                      <a:off x="0" y="0"/>
                      <a:ext cx="1222375" cy="784860"/>
                    </a:xfrm>
                    <a:prstGeom prst="rect">
                      <a:avLst/>
                    </a:prstGeom>
                    <a:noFill/>
                    <a:ln w="9525" cmpd="sng">
                      <a:noFill/>
                      <a:miter lim="800000"/>
                      <a:headEnd/>
                      <a:tailEnd/>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b/>
          <w:bCs/>
          <w:sz w:val="28"/>
        </w:rPr>
        <w:t>湖 北 省 省 级 政 府 采 购 项 目</w:t>
      </w:r>
    </w:p>
    <w:p>
      <w:pPr>
        <w:pStyle w:val="10"/>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rPr>
        <w:t>竞争性磋商采购文件</w:t>
      </w:r>
    </w:p>
    <w:p>
      <w:pPr>
        <w:pStyle w:val="10"/>
        <w:kinsoku w:val="0"/>
        <w:overflowPunct w:val="0"/>
        <w:rPr>
          <w:rFonts w:asciiTheme="minorEastAsia" w:hAnsiTheme="minorEastAsia" w:eastAsiaTheme="minorEastAsia" w:cstheme="minorEastAsia"/>
          <w:sz w:val="20"/>
        </w:rPr>
      </w:pPr>
    </w:p>
    <w:p>
      <w:pPr>
        <w:pStyle w:val="10"/>
        <w:kinsoku w:val="0"/>
        <w:overflowPunct w:val="0"/>
        <w:jc w:val="center"/>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2" w:after="1"/>
        <w:rPr>
          <w:rFonts w:asciiTheme="minorEastAsia" w:hAnsiTheme="minorEastAsia" w:eastAsiaTheme="minorEastAsia" w:cstheme="minorEastAsia"/>
          <w:sz w:val="11"/>
        </w:rPr>
      </w:pPr>
    </w:p>
    <w:tbl>
      <w:tblPr>
        <w:tblStyle w:val="26"/>
        <w:tblW w:w="8146" w:type="dxa"/>
        <w:tblInd w:w="690" w:type="dxa"/>
        <w:tblLayout w:type="fixed"/>
        <w:tblCellMar>
          <w:top w:w="0" w:type="dxa"/>
          <w:left w:w="0" w:type="dxa"/>
          <w:bottom w:w="0" w:type="dxa"/>
          <w:right w:w="0" w:type="dxa"/>
        </w:tblCellMar>
      </w:tblPr>
      <w:tblGrid>
        <w:gridCol w:w="2120"/>
        <w:gridCol w:w="6026"/>
      </w:tblGrid>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计划备案号：</w:t>
            </w:r>
          </w:p>
        </w:tc>
        <w:tc>
          <w:tcPr>
            <w:tcW w:w="6026" w:type="dxa"/>
            <w:tcBorders>
              <w:top w:val="nil"/>
              <w:left w:val="nil"/>
              <w:bottom w:val="nil"/>
              <w:right w:val="nil"/>
              <w:tl2br w:val="nil"/>
              <w:tr2bl w:val="nil"/>
            </w:tcBorders>
            <w:vAlign w:val="center"/>
          </w:tcPr>
          <w:p>
            <w:pPr>
              <w:pStyle w:val="100"/>
              <w:kinsoku w:val="0"/>
              <w:overflowPunct w:val="0"/>
              <w:spacing w:before="122"/>
              <w:ind w:left="55"/>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eastAsia="zh-CN"/>
              </w:rPr>
              <w:t>420000-2022-09941</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项目编号：</w:t>
            </w:r>
          </w:p>
        </w:tc>
        <w:tc>
          <w:tcPr>
            <w:tcW w:w="6026" w:type="dxa"/>
            <w:tcBorders>
              <w:top w:val="nil"/>
              <w:left w:val="nil"/>
              <w:bottom w:val="nil"/>
              <w:right w:val="nil"/>
              <w:tl2br w:val="nil"/>
              <w:tr2bl w:val="nil"/>
            </w:tcBorders>
            <w:vAlign w:val="center"/>
          </w:tcPr>
          <w:p>
            <w:pPr>
              <w:pStyle w:val="100"/>
              <w:kinsoku w:val="0"/>
              <w:overflowPunct w:val="0"/>
              <w:spacing w:before="122"/>
              <w:ind w:left="55"/>
              <w:rPr>
                <w:rFonts w:hint="default" w:eastAsia="微软雅黑" w:asciiTheme="minorEastAsia" w:hAnsiTheme="minorEastAsia" w:cstheme="minorEastAsia"/>
                <w:b/>
                <w:sz w:val="28"/>
              </w:rPr>
            </w:pPr>
            <w:r>
              <w:rPr>
                <w:rFonts w:asciiTheme="minorEastAsia" w:hAnsiTheme="minorEastAsia" w:eastAsiaTheme="minorEastAsia" w:cstheme="minorEastAsia"/>
                <w:b/>
                <w:sz w:val="28"/>
              </w:rPr>
              <w:t>HGDXW22-048/ZJZB-ZC-202207-186</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项目名称：</w:t>
            </w:r>
          </w:p>
        </w:tc>
        <w:tc>
          <w:tcPr>
            <w:tcW w:w="6026" w:type="dxa"/>
            <w:tcBorders>
              <w:top w:val="nil"/>
              <w:left w:val="nil"/>
              <w:bottom w:val="nil"/>
              <w:right w:val="nil"/>
              <w:tl2br w:val="nil"/>
              <w:tr2bl w:val="nil"/>
            </w:tcBorders>
            <w:vAlign w:val="center"/>
          </w:tcPr>
          <w:p>
            <w:pPr>
              <w:pStyle w:val="100"/>
              <w:kinsoku w:val="0"/>
              <w:overflowPunct w:val="0"/>
              <w:spacing w:before="123" w:line="242" w:lineRule="auto"/>
              <w:ind w:left="55" w:right="136"/>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湖北工业大学东区1-8栋学生宿舍门禁系统更换</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采购方式：</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采购类别：</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r>
        <w:drawing>
          <wp:anchor distT="0" distB="0" distL="114300" distR="114300" simplePos="0" relativeHeight="251662336" behindDoc="1" locked="0" layoutInCell="1" allowOverlap="1">
            <wp:simplePos x="0" y="0"/>
            <wp:positionH relativeFrom="column">
              <wp:posOffset>-781050</wp:posOffset>
            </wp:positionH>
            <wp:positionV relativeFrom="paragraph">
              <wp:posOffset>415925</wp:posOffset>
            </wp:positionV>
            <wp:extent cx="7598410" cy="2678430"/>
            <wp:effectExtent l="0" t="0" r="6350" b="3810"/>
            <wp:wrapNone/>
            <wp:docPr id="4" name="图片 4" descr="D:\Word设计\1平面设计\文档封面\2022.02.23文档封面\images\封面_03.png封面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Word设计\1平面设计\文档封面\2022.02.23文档封面\images\封面_03.png封面_03"/>
                    <pic:cNvPicPr>
                      <a:picLocks noChangeAspect="1"/>
                    </pic:cNvPicPr>
                  </pic:nvPicPr>
                  <pic:blipFill>
                    <a:blip r:embed="rId11">
                      <a:lum bright="12000"/>
                    </a:blip>
                    <a:srcRect/>
                    <a:stretch>
                      <a:fillRect/>
                    </a:stretch>
                  </pic:blipFill>
                  <pic:spPr>
                    <a:xfrm>
                      <a:off x="0" y="0"/>
                      <a:ext cx="7598410" cy="2678430"/>
                    </a:xfrm>
                    <a:prstGeom prst="rect">
                      <a:avLst/>
                    </a:prstGeom>
                  </pic:spPr>
                </pic:pic>
              </a:graphicData>
            </a:graphic>
          </wp:anchor>
        </w:drawing>
      </w: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4"/>
        <w:rPr>
          <w:rFonts w:asciiTheme="minorEastAsia" w:hAnsiTheme="minorEastAsia" w:eastAsiaTheme="minorEastAsia" w:cstheme="minorEastAsia"/>
          <w:sz w:val="20"/>
        </w:rPr>
      </w:pPr>
    </w:p>
    <w:tbl>
      <w:tblPr>
        <w:tblStyle w:val="26"/>
        <w:tblW w:w="8123" w:type="dxa"/>
        <w:tblInd w:w="713"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中经国际招标集团有限公司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2022年7月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_Toc29326 </w:instrText>
      </w:r>
      <w:r>
        <w:rPr>
          <w:rFonts w:hint="eastAsia" w:asciiTheme="minorEastAsia" w:hAnsiTheme="minorEastAsia" w:eastAsiaTheme="minorEastAsia" w:cstheme="minorEastAsia"/>
          <w:szCs w:val="21"/>
        </w:rPr>
        <w:fldChar w:fldCharType="separate"/>
      </w:r>
      <w:r>
        <w:rPr>
          <w:rFonts w:hint="default"/>
          <w:bCs/>
          <w:szCs w:val="36"/>
        </w:rPr>
        <w:t xml:space="preserve">第一章 </w:t>
      </w:r>
      <w:r>
        <w:rPr>
          <w:rFonts w:hint="eastAsia" w:ascii="宋体" w:hAnsi="宋体" w:cs="宋体"/>
          <w:szCs w:val="36"/>
        </w:rPr>
        <w:t>竞争性磋商公告</w:t>
      </w:r>
      <w:r>
        <w:tab/>
      </w:r>
      <w:r>
        <w:fldChar w:fldCharType="begin"/>
      </w:r>
      <w:r>
        <w:instrText xml:space="preserve"> PAGEREF _Toc29326 \h </w:instrText>
      </w:r>
      <w:r>
        <w:fldChar w:fldCharType="separate"/>
      </w:r>
      <w:r>
        <w:t>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_Toc27494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一、 </w:t>
      </w:r>
      <w:r>
        <w:rPr>
          <w:rFonts w:hint="eastAsia" w:ascii="宋体" w:hAnsi="宋体" w:eastAsia="宋体" w:cs="宋体"/>
          <w:szCs w:val="21"/>
        </w:rPr>
        <w:t>项目基本情况</w:t>
      </w:r>
      <w:r>
        <w:tab/>
      </w:r>
      <w:r>
        <w:fldChar w:fldCharType="begin"/>
      </w:r>
      <w:r>
        <w:instrText xml:space="preserve"> PAGEREF _Toc27494 \h </w:instrText>
      </w:r>
      <w:r>
        <w:fldChar w:fldCharType="separate"/>
      </w:r>
      <w:r>
        <w:t>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_Toc32692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二、 </w:t>
      </w:r>
      <w:r>
        <w:rPr>
          <w:rFonts w:hint="eastAsia" w:ascii="宋体" w:hAnsi="宋体" w:eastAsia="宋体" w:cs="宋体"/>
          <w:szCs w:val="21"/>
        </w:rPr>
        <w:t>申请人的资格要求</w:t>
      </w:r>
      <w:r>
        <w:tab/>
      </w:r>
      <w:r>
        <w:fldChar w:fldCharType="begin"/>
      </w:r>
      <w:r>
        <w:instrText xml:space="preserve"> PAGEREF _Toc32692 \h </w:instrText>
      </w:r>
      <w:r>
        <w:fldChar w:fldCharType="separate"/>
      </w:r>
      <w:r>
        <w:t>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_Toc16441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三、 </w:t>
      </w:r>
      <w:r>
        <w:rPr>
          <w:rFonts w:hint="eastAsia" w:ascii="宋体" w:hAnsi="宋体" w:eastAsia="宋体" w:cs="宋体"/>
          <w:szCs w:val="21"/>
        </w:rPr>
        <w:t>获取采购文件</w:t>
      </w:r>
      <w:r>
        <w:tab/>
      </w:r>
      <w:r>
        <w:fldChar w:fldCharType="begin"/>
      </w:r>
      <w:r>
        <w:instrText xml:space="preserve"> PAGEREF _Toc16441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_Toc22671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四、 </w:t>
      </w:r>
      <w:r>
        <w:rPr>
          <w:rFonts w:hint="eastAsia" w:ascii="宋体" w:hAnsi="宋体" w:eastAsia="宋体" w:cs="宋体"/>
          <w:szCs w:val="21"/>
        </w:rPr>
        <w:t>响应文件提交</w:t>
      </w:r>
      <w:r>
        <w:tab/>
      </w:r>
      <w:r>
        <w:fldChar w:fldCharType="begin"/>
      </w:r>
      <w:r>
        <w:instrText xml:space="preserve"> PAGEREF _Toc22671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_Toc19282 </w:instrText>
      </w:r>
      <w:r>
        <w:rPr>
          <w:rFonts w:hint="eastAsia" w:asciiTheme="minorEastAsia" w:hAnsiTheme="minorEastAsia" w:eastAsiaTheme="minorEastAsia" w:cstheme="minorEastAsia"/>
          <w:szCs w:val="21"/>
        </w:rPr>
        <w:fldChar w:fldCharType="separate"/>
      </w:r>
      <w:r>
        <w:rPr>
          <w:rFonts w:eastAsia="宋体"/>
          <w:szCs w:val="21"/>
        </w:rPr>
        <w:t xml:space="preserve">五、 </w:t>
      </w:r>
      <w:r>
        <w:rPr>
          <w:rFonts w:hint="eastAsia" w:ascii="宋体" w:hAnsi="宋体" w:eastAsia="宋体" w:cs="宋体"/>
          <w:szCs w:val="21"/>
        </w:rPr>
        <w:t>开启</w:t>
      </w:r>
      <w:r>
        <w:tab/>
      </w:r>
      <w:r>
        <w:fldChar w:fldCharType="begin"/>
      </w:r>
      <w:r>
        <w:instrText xml:space="preserve"> PAGEREF _Toc19282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_Toc9065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六、 </w:t>
      </w:r>
      <w:r>
        <w:rPr>
          <w:rFonts w:hint="eastAsia" w:ascii="宋体" w:hAnsi="宋体" w:eastAsia="宋体" w:cs="宋体"/>
          <w:szCs w:val="21"/>
        </w:rPr>
        <w:t>公告期限</w:t>
      </w:r>
      <w:r>
        <w:tab/>
      </w:r>
      <w:r>
        <w:fldChar w:fldCharType="begin"/>
      </w:r>
      <w:r>
        <w:instrText xml:space="preserve"> PAGEREF _Toc9065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_Toc7923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七、 </w:t>
      </w:r>
      <w:r>
        <w:rPr>
          <w:rFonts w:hint="eastAsia" w:ascii="宋体" w:hAnsi="宋体" w:eastAsia="宋体" w:cs="宋体"/>
          <w:szCs w:val="21"/>
        </w:rPr>
        <w:t>其他补充事宜</w:t>
      </w:r>
      <w:r>
        <w:tab/>
      </w:r>
      <w:r>
        <w:fldChar w:fldCharType="begin"/>
      </w:r>
      <w:r>
        <w:instrText xml:space="preserve"> PAGEREF _Toc7923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_Toc8728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八、 </w:t>
      </w:r>
      <w:r>
        <w:rPr>
          <w:rFonts w:hint="eastAsia" w:ascii="宋体" w:hAnsi="宋体" w:eastAsia="宋体" w:cs="宋体"/>
          <w:szCs w:val="21"/>
        </w:rPr>
        <w:t>凡对本次采购提出询问，请按以下方式联系</w:t>
      </w:r>
      <w:r>
        <w:tab/>
      </w:r>
      <w:r>
        <w:fldChar w:fldCharType="begin"/>
      </w:r>
      <w:r>
        <w:instrText xml:space="preserve"> PAGEREF _Toc8728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_Toc29645 </w:instrText>
      </w:r>
      <w:r>
        <w:rPr>
          <w:rFonts w:hint="eastAsia" w:asciiTheme="minorEastAsia" w:hAnsiTheme="minorEastAsia" w:eastAsiaTheme="minorEastAsia" w:cstheme="minorEastAsia"/>
          <w:szCs w:val="21"/>
        </w:rPr>
        <w:fldChar w:fldCharType="separate"/>
      </w:r>
      <w:r>
        <w:rPr>
          <w:rFonts w:asciiTheme="minorEastAsia" w:hAnsiTheme="minorEastAsia" w:eastAsiaTheme="minorEastAsia" w:cstheme="minorEastAsia"/>
          <w:szCs w:val="21"/>
        </w:rPr>
        <w:t xml:space="preserve">九、 </w:t>
      </w:r>
      <w:r>
        <w:rPr>
          <w:rFonts w:hint="eastAsia" w:asciiTheme="minorEastAsia" w:hAnsiTheme="minorEastAsia" w:eastAsiaTheme="minorEastAsia" w:cstheme="minorEastAsia"/>
          <w:szCs w:val="21"/>
        </w:rPr>
        <w:t>注意事项</w:t>
      </w:r>
      <w:r>
        <w:tab/>
      </w:r>
      <w:r>
        <w:fldChar w:fldCharType="begin"/>
      </w:r>
      <w:r>
        <w:instrText xml:space="preserve"> PAGEREF _Toc29645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_Toc30709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tab/>
      </w:r>
      <w:r>
        <w:fldChar w:fldCharType="begin"/>
      </w:r>
      <w:r>
        <w:instrText xml:space="preserve"> PAGEREF _Toc30709 \h </w:instrText>
      </w:r>
      <w:r>
        <w:fldChar w:fldCharType="separate"/>
      </w:r>
      <w:r>
        <w:t>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_Toc8085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_Toc8085 \h </w:instrText>
      </w:r>
      <w:r>
        <w:fldChar w:fldCharType="separate"/>
      </w:r>
      <w:r>
        <w:t>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_Toc27799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_Toc27799 \h </w:instrText>
      </w:r>
      <w:r>
        <w:fldChar w:fldCharType="separate"/>
      </w:r>
      <w:r>
        <w:t>12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_Toc22879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_Toc22879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_Toc31055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_Toc31055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_Toc402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_Toc402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_Toc8132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_Toc8132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_Toc4782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_Toc4782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_Toc14873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_Toc14873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_Toc18767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_Toc18767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_Toc14714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_Toc14714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_Toc17662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_Toc17662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_Toc11799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_Toc11799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_Toc12496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_Toc12496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_Toc3015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_Toc3015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_Toc14836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_Toc14836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_Toc30950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_Toc30950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_Toc2960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_Toc2960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_Toc8511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_Toc8511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_Toc671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_Toc671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_Toc5355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_Toc5355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_Toc8624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_Toc8624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_Toc15253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_Toc15253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_Toc19385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_Toc19385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_Toc26249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_Toc26249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_Toc18004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_Toc18004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_Toc8300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_Toc8300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_Toc18217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_Toc18217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_Toc3991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_Toc3991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_Toc11595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_Toc11595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_Toc10346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_Toc10346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_Toc20173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_Toc20173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_Toc5905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_Toc5905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_Toc17390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_Toc17390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_Toc17550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_Toc17550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_Toc9335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_Toc9335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_Toc14605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_Toc14605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_Toc4426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_Toc4426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_Toc28100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_Toc28100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_Toc29493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_Toc29493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_Toc29425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_Toc29425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_Toc24961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_Toc24961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_Toc12983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_Toc12983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_Toc30166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_Toc30166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_Toc8164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tab/>
      </w:r>
      <w:r>
        <w:fldChar w:fldCharType="begin"/>
      </w:r>
      <w:r>
        <w:instrText xml:space="preserve"> PAGEREF _Toc8164 \h </w:instrText>
      </w:r>
      <w:r>
        <w:fldChar w:fldCharType="separate"/>
      </w:r>
      <w:r>
        <w:t>26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_Toc16493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_Toc16493 \h </w:instrText>
      </w:r>
      <w:r>
        <w:fldChar w:fldCharType="separate"/>
      </w:r>
      <w:r>
        <w:t>26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_Toc22503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_Toc22503 \h </w:instrText>
      </w:r>
      <w:r>
        <w:fldChar w:fldCharType="separate"/>
      </w:r>
      <w:r>
        <w:t>31</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_Toc26281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_Toc26281 \h </w:instrText>
      </w:r>
      <w:r>
        <w:fldChar w:fldCharType="separate"/>
      </w:r>
      <w:r>
        <w:t>34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_Toc14722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_Toc14722 \h </w:instrText>
      </w:r>
      <w:r>
        <w:fldChar w:fldCharType="separate"/>
      </w:r>
      <w:r>
        <w:t>34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_Toc1927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_Toc1927 \h </w:instrText>
      </w:r>
      <w:r>
        <w:fldChar w:fldCharType="separate"/>
      </w:r>
      <w:r>
        <w:t>37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_Toc7304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_Toc7304 \h </w:instrText>
      </w:r>
      <w:r>
        <w:fldChar w:fldCharType="separate"/>
      </w:r>
      <w:r>
        <w:t>38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_Toc4308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_Toc4308 \h </w:instrText>
      </w:r>
      <w:r>
        <w:fldChar w:fldCharType="separate"/>
      </w:r>
      <w:r>
        <w:t>40</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_Toc775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_Toc775 \h </w:instrText>
      </w:r>
      <w:r>
        <w:fldChar w:fldCharType="separate"/>
      </w:r>
      <w:r>
        <w:t>41</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_Toc30997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kern w:val="0"/>
          <w:szCs w:val="36"/>
        </w:rPr>
        <w:t xml:space="preserve">第五章 </w:t>
      </w:r>
      <w:r>
        <w:rPr>
          <w:rFonts w:hint="eastAsia" w:asciiTheme="minorEastAsia" w:hAnsiTheme="minorEastAsia" w:eastAsiaTheme="minorEastAsia" w:cstheme="minorEastAsia"/>
          <w:szCs w:val="36"/>
        </w:rPr>
        <w:t>合同书格式</w:t>
      </w:r>
      <w:r>
        <w:tab/>
      </w:r>
      <w:r>
        <w:fldChar w:fldCharType="begin"/>
      </w:r>
      <w:r>
        <w:instrText xml:space="preserve"> PAGEREF _Toc30997 \h </w:instrText>
      </w:r>
      <w:r>
        <w:fldChar w:fldCharType="separate"/>
      </w:r>
      <w:r>
        <w:t>43</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_Toc4991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第六章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_Toc4991 \h </w:instrText>
      </w:r>
      <w:r>
        <w:fldChar w:fldCharType="separate"/>
      </w:r>
      <w:r>
        <w:t>47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_Toc29261 </w:instrText>
      </w:r>
      <w:r>
        <w:rPr>
          <w:rFonts w:hint="eastAsia" w:asciiTheme="minorEastAsia" w:hAnsiTheme="minorEastAsia" w:eastAsiaTheme="minorEastAsia" w:cstheme="minorEastAsia"/>
          <w:szCs w:val="21"/>
        </w:rPr>
        <w:fldChar w:fldCharType="separate"/>
      </w:r>
      <w:r>
        <w:rPr>
          <w:rFonts w:hint="eastAsia" w:ascii="宋体" w:hAnsi="宋体" w:cs="宋体"/>
          <w:szCs w:val="21"/>
        </w:rPr>
        <w:t>一、评分标准索引表</w:t>
      </w:r>
      <w:r>
        <w:tab/>
      </w:r>
      <w:r>
        <w:fldChar w:fldCharType="begin"/>
      </w:r>
      <w:r>
        <w:instrText xml:space="preserve"> PAGEREF _Toc29261 \h </w:instrText>
      </w:r>
      <w:r>
        <w:fldChar w:fldCharType="separate"/>
      </w:r>
      <w:r>
        <w:t>48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_Toc3570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二、磋商书</w:t>
      </w:r>
      <w:r>
        <w:tab/>
      </w:r>
      <w:r>
        <w:fldChar w:fldCharType="begin"/>
      </w:r>
      <w:r>
        <w:instrText xml:space="preserve"> PAGEREF _Toc3570 \h </w:instrText>
      </w:r>
      <w:r>
        <w:fldChar w:fldCharType="separate"/>
      </w:r>
      <w:r>
        <w:t>49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_Toc3140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_Toc3140 \h </w:instrText>
      </w:r>
      <w:r>
        <w:fldChar w:fldCharType="separate"/>
      </w:r>
      <w:r>
        <w:t>50</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_Toc28987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_Toc28987 \h </w:instrText>
      </w:r>
      <w:r>
        <w:fldChar w:fldCharType="separate"/>
      </w:r>
      <w:r>
        <w:t>51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_Toc26496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_Toc26496 \h </w:instrText>
      </w:r>
      <w:r>
        <w:fldChar w:fldCharType="separate"/>
      </w:r>
      <w:r>
        <w:t>52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_Toc1634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六、报价费用构成表</w:t>
      </w:r>
      <w:r>
        <w:tab/>
      </w:r>
      <w:r>
        <w:fldChar w:fldCharType="begin"/>
      </w:r>
      <w:r>
        <w:instrText xml:space="preserve"> PAGEREF _Toc1634 \h </w:instrText>
      </w:r>
      <w:r>
        <w:fldChar w:fldCharType="separate"/>
      </w:r>
      <w:r>
        <w:t>53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_Toc4378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_Toc4378 \h </w:instrText>
      </w:r>
      <w:r>
        <w:fldChar w:fldCharType="separate"/>
      </w:r>
      <w:r>
        <w:t>54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_Toc13703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_Toc13703 \h </w:instrText>
      </w:r>
      <w:r>
        <w:fldChar w:fldCharType="separate"/>
      </w:r>
      <w:r>
        <w:t>55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_Toc19061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_Toc19061 \h </w:instrText>
      </w:r>
      <w:r>
        <w:fldChar w:fldCharType="separate"/>
      </w:r>
      <w:r>
        <w:t>56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_Toc21818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_Toc21818 \h </w:instrText>
      </w:r>
      <w:r>
        <w:fldChar w:fldCharType="separate"/>
      </w:r>
      <w:r>
        <w:t>57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_Toc10164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tab/>
      </w:r>
      <w:r>
        <w:fldChar w:fldCharType="begin"/>
      </w:r>
      <w:r>
        <w:instrText xml:space="preserve"> PAGEREF _Toc10164 \h </w:instrText>
      </w:r>
      <w:r>
        <w:fldChar w:fldCharType="separate"/>
      </w:r>
      <w:r>
        <w:t>58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_Toc10652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_Toc10652 \h </w:instrText>
      </w:r>
      <w:r>
        <w:fldChar w:fldCharType="separate"/>
      </w:r>
      <w:r>
        <w:t>59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_Toc722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_Toc722 \h </w:instrText>
      </w:r>
      <w:r>
        <w:fldChar w:fldCharType="separate"/>
      </w:r>
      <w:r>
        <w:t>60</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_Toc14741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_Toc14741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_Toc28810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_Toc28810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_Toc4767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_Toc4767 \h </w:instrText>
      </w:r>
      <w:r>
        <w:fldChar w:fldCharType="separate"/>
      </w:r>
      <w:r>
        <w:t>62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_Toc3443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_Toc3443 \h </w:instrText>
      </w:r>
      <w:r>
        <w:fldChar w:fldCharType="separate"/>
      </w:r>
      <w:r>
        <w:t>62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_Toc6130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pacing w:val="6"/>
          <w:szCs w:val="21"/>
        </w:rPr>
        <w:t xml:space="preserve"> </w:t>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_Toc6130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_Toc27893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_Toc27893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_Toc8218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_Toc8218 \h </w:instrText>
      </w:r>
      <w:r>
        <w:fldChar w:fldCharType="separate"/>
      </w:r>
      <w:r>
        <w:t>64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kern w:val="0"/>
          <w:szCs w:val="21"/>
          <w:shd w:val="clear" w:color="auto" w:fill="FFFFFF"/>
        </w:rPr>
        <w:t xml:space="preserve"> </w:t>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tab/>
      </w:r>
      <w:r>
        <w:fldChar w:fldCharType="begin"/>
      </w:r>
      <w:r>
        <w:instrText xml:space="preserve"> PAGEREF _Toc268 \h </w:instrText>
      </w:r>
      <w:r>
        <w:fldChar w:fldCharType="separate"/>
      </w:r>
      <w:r>
        <w:t>65</w:t>
      </w:r>
      <w:r>
        <w:fldChar w:fldCharType="end"/>
      </w:r>
      <w:r>
        <w:rPr>
          <w:rFonts w:hint="eastAsia" w:asciiTheme="minorEastAsia" w:hAnsiTheme="minorEastAsia" w:eastAsiaTheme="minorEastAsia" w:cstheme="minorEastAsia"/>
          <w:szCs w:val="21"/>
        </w:rPr>
        <w:fldChar w:fldCharType="end"/>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numPr>
          <w:ilvl w:val="0"/>
          <w:numId w:val="5"/>
        </w:numPr>
        <w:spacing w:line="360" w:lineRule="auto"/>
        <w:jc w:val="center"/>
        <w:outlineLvl w:val="0"/>
        <w:rPr>
          <w:b/>
          <w:bCs/>
          <w:sz w:val="24"/>
        </w:rPr>
      </w:pPr>
      <w:bookmarkStart w:id="0" w:name="_Toc29326"/>
      <w:bookmarkStart w:id="1" w:name="_Toc6866"/>
      <w:r>
        <w:rPr>
          <w:rFonts w:hint="eastAsia" w:ascii="宋体" w:hAnsi="宋体" w:cs="宋体"/>
          <w:b/>
          <w:sz w:val="36"/>
          <w:szCs w:val="36"/>
        </w:rPr>
        <w:t>竞争性磋商公告</w:t>
      </w:r>
      <w:bookmarkEnd w:id="0"/>
      <w:bookmarkEnd w:id="1"/>
      <w:bookmarkStart w:id="2" w:name="_Toc152042288"/>
      <w:bookmarkStart w:id="3" w:name="_Toc9976"/>
      <w:bookmarkStart w:id="4" w:name="_Toc524908844"/>
      <w:bookmarkStart w:id="5" w:name="_Toc152045512"/>
      <w:bookmarkStart w:id="6" w:name="_Toc144974480"/>
      <w:bookmarkStart w:id="7" w:name="_Toc179632528"/>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szCs w:val="21"/>
          <w:u w:val="single"/>
        </w:rPr>
        <w:t>湖北工业大学东区1-8栋学生宿舍门禁系统更换</w:t>
      </w:r>
      <w:r>
        <w:rPr>
          <w:rFonts w:hint="eastAsia" w:ascii="宋体" w:hAnsi="宋体" w:cs="宋体"/>
          <w:szCs w:val="21"/>
        </w:rPr>
        <w:t>采购项目的潜在供应商应在</w:t>
      </w:r>
      <w:r>
        <w:rPr>
          <w:rFonts w:hint="eastAsia" w:ascii="宋体" w:hAnsi="宋体" w:cs="宋体"/>
          <w:szCs w:val="21"/>
          <w:u w:val="single"/>
        </w:rPr>
        <w:t xml:space="preserve"> 线上 </w:t>
      </w:r>
      <w:r>
        <w:rPr>
          <w:rFonts w:hint="eastAsia" w:ascii="宋体" w:hAnsi="宋体" w:cs="宋体"/>
          <w:szCs w:val="21"/>
        </w:rPr>
        <w:t>获取采购</w:t>
      </w:r>
      <w:r>
        <w:rPr>
          <w:rFonts w:hint="eastAsia" w:ascii="宋体" w:hAnsi="宋体" w:cs="宋体"/>
          <w:color w:val="000000"/>
          <w:szCs w:val="21"/>
        </w:rPr>
        <w:t>文件，并于</w:t>
      </w:r>
      <w:r>
        <w:rPr>
          <w:rFonts w:hint="eastAsia" w:ascii="宋体" w:hAnsi="宋体" w:cs="宋体"/>
          <w:color w:val="3922E7"/>
          <w:szCs w:val="21"/>
          <w:u w:val="single"/>
        </w:rPr>
        <w:t>2022年</w:t>
      </w:r>
      <w:r>
        <w:rPr>
          <w:rFonts w:hint="eastAsia" w:ascii="宋体" w:hAnsi="宋体" w:cs="宋体"/>
          <w:color w:val="3922E7"/>
          <w:szCs w:val="21"/>
          <w:u w:val="single"/>
          <w:lang w:val="en-US" w:eastAsia="zh-CN"/>
        </w:rPr>
        <w:t>08</w:t>
      </w:r>
      <w:r>
        <w:rPr>
          <w:rFonts w:hint="eastAsia" w:ascii="宋体" w:hAnsi="宋体" w:cs="宋体"/>
          <w:color w:val="3922E7"/>
          <w:szCs w:val="21"/>
          <w:u w:val="single"/>
        </w:rPr>
        <w:t>月</w:t>
      </w:r>
      <w:r>
        <w:rPr>
          <w:rFonts w:hint="eastAsia" w:ascii="宋体" w:hAnsi="宋体" w:cs="宋体"/>
          <w:color w:val="3922E7"/>
          <w:szCs w:val="21"/>
          <w:u w:val="single"/>
          <w:lang w:val="en-US" w:eastAsia="zh-CN"/>
        </w:rPr>
        <w:t>02</w:t>
      </w:r>
      <w:r>
        <w:rPr>
          <w:rFonts w:hint="eastAsia" w:ascii="宋体" w:hAnsi="宋体" w:cs="宋体"/>
          <w:color w:val="3922E7"/>
          <w:szCs w:val="21"/>
          <w:u w:val="single"/>
        </w:rPr>
        <w:t>日</w:t>
      </w:r>
      <w:r>
        <w:rPr>
          <w:rFonts w:hint="eastAsia" w:ascii="宋体" w:hAnsi="宋体" w:cs="宋体"/>
          <w:color w:val="3922E7"/>
          <w:szCs w:val="21"/>
          <w:u w:val="single"/>
          <w:lang w:val="en-US" w:eastAsia="zh-CN"/>
        </w:rPr>
        <w:t>10</w:t>
      </w:r>
      <w:r>
        <w:rPr>
          <w:rFonts w:hint="eastAsia" w:ascii="宋体" w:hAnsi="宋体" w:cs="宋体"/>
          <w:color w:val="3922E7"/>
          <w:szCs w:val="21"/>
          <w:u w:val="single"/>
        </w:rPr>
        <w:t>点</w:t>
      </w:r>
      <w:r>
        <w:rPr>
          <w:rFonts w:hint="eastAsia" w:ascii="宋体" w:hAnsi="宋体" w:cs="宋体"/>
          <w:color w:val="3922E7"/>
          <w:szCs w:val="21"/>
          <w:u w:val="single"/>
          <w:lang w:val="en-US" w:eastAsia="zh-CN"/>
        </w:rPr>
        <w:t>00</w:t>
      </w:r>
      <w:r>
        <w:rPr>
          <w:rFonts w:hint="eastAsia" w:ascii="宋体" w:hAnsi="宋体" w:cs="宋体"/>
          <w:color w:val="3922E7"/>
          <w:szCs w:val="21"/>
          <w:u w:val="single"/>
        </w:rPr>
        <w:t>分</w:t>
      </w:r>
      <w:r>
        <w:rPr>
          <w:rFonts w:hint="eastAsia" w:ascii="宋体" w:hAnsi="宋体" w:cs="宋体"/>
          <w:color w:val="000000"/>
          <w:szCs w:val="21"/>
        </w:rPr>
        <w:t>（北京时间）前递交响应文件。</w:t>
      </w:r>
    </w:p>
    <w:p>
      <w:pPr>
        <w:pStyle w:val="4"/>
        <w:numPr>
          <w:ilvl w:val="0"/>
          <w:numId w:val="6"/>
        </w:numPr>
        <w:spacing w:line="360" w:lineRule="auto"/>
        <w:jc w:val="left"/>
        <w:rPr>
          <w:rFonts w:ascii="宋体" w:hAnsi="宋体" w:eastAsia="宋体" w:cs="宋体"/>
          <w:color w:val="000000"/>
          <w:sz w:val="21"/>
          <w:szCs w:val="21"/>
        </w:rPr>
      </w:pPr>
      <w:bookmarkStart w:id="8" w:name="_Toc27494"/>
      <w:r>
        <w:rPr>
          <w:rFonts w:hint="eastAsia" w:ascii="宋体" w:hAnsi="宋体" w:eastAsia="宋体" w:cs="宋体"/>
          <w:color w:val="000000"/>
          <w:sz w:val="21"/>
          <w:szCs w:val="21"/>
        </w:rPr>
        <w:t>项目基本情况</w:t>
      </w:r>
      <w:bookmarkEnd w:id="8"/>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1.项目编号：HGDXW22-048/ZJZB-ZC-202207-186</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2.采购计划备案号：</w:t>
      </w:r>
      <w:r>
        <w:rPr>
          <w:rFonts w:hint="eastAsia" w:asciiTheme="minorEastAsia" w:hAnsiTheme="minorEastAsia" w:eastAsiaTheme="minorEastAsia" w:cstheme="minorEastAsia"/>
          <w:szCs w:val="21"/>
          <w:lang w:eastAsia="zh-CN"/>
        </w:rPr>
        <w:t>420000-2022-09941</w:t>
      </w:r>
      <w:r>
        <w:rPr>
          <w:rFonts w:hint="eastAsia" w:asciiTheme="minorEastAsia" w:hAnsiTheme="minorEastAsia" w:eastAsiaTheme="minorEastAsia" w:cstheme="minorEastAsia"/>
          <w:szCs w:val="21"/>
        </w:rPr>
        <w:t xml:space="preserve"> </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3.项目名称：湖北工业大学东区1-8栋学生宿舍门禁系统更换</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5.预算金额：人民币</w:t>
      </w:r>
      <w:r>
        <w:rPr>
          <w:rFonts w:hint="eastAsia" w:asciiTheme="minorEastAsia" w:hAnsiTheme="minorEastAsia" w:eastAsiaTheme="minorEastAsia" w:cstheme="minorEastAsia"/>
          <w:szCs w:val="21"/>
          <w:u w:val="single"/>
        </w:rPr>
        <w:t xml:space="preserve"> 109.9880 </w:t>
      </w:r>
      <w:r>
        <w:rPr>
          <w:rFonts w:hint="eastAsia" w:asciiTheme="minorEastAsia" w:hAnsiTheme="minorEastAsia" w:eastAsiaTheme="minorEastAsia" w:cstheme="minorEastAsia"/>
          <w:szCs w:val="21"/>
        </w:rPr>
        <w:t>万元</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6.最高限价：人民币</w:t>
      </w:r>
      <w:r>
        <w:rPr>
          <w:rFonts w:hint="eastAsia" w:asciiTheme="minorEastAsia" w:hAnsiTheme="minorEastAsia" w:eastAsiaTheme="minorEastAsia" w:cstheme="minorEastAsia"/>
          <w:szCs w:val="21"/>
          <w:u w:val="single"/>
        </w:rPr>
        <w:t xml:space="preserve"> 109.9880 </w:t>
      </w:r>
      <w:r>
        <w:rPr>
          <w:rFonts w:hint="eastAsia" w:asciiTheme="minorEastAsia" w:hAnsiTheme="minorEastAsia" w:eastAsiaTheme="minorEastAsia" w:cstheme="minorEastAsia"/>
          <w:szCs w:val="21"/>
        </w:rPr>
        <w:t>万元</w:t>
      </w:r>
    </w:p>
    <w:p>
      <w:pPr>
        <w:spacing w:line="360" w:lineRule="auto"/>
        <w:jc w:val="left"/>
        <w:rPr>
          <w:rFonts w:asciiTheme="minorEastAsia" w:hAnsiTheme="minorEastAsia" w:eastAsiaTheme="minorEastAsia" w:cstheme="minorEastAsia"/>
          <w:color w:val="auto"/>
          <w:szCs w:val="21"/>
          <w:highlight w:val="yellow"/>
        </w:rPr>
      </w:pPr>
      <w:r>
        <w:rPr>
          <w:rFonts w:hint="eastAsia" w:asciiTheme="minorEastAsia" w:hAnsiTheme="minorEastAsia" w:eastAsiaTheme="minorEastAsia" w:cstheme="minorEastAsia"/>
          <w:color w:val="000000"/>
          <w:szCs w:val="21"/>
        </w:rPr>
        <w:t>7.采购需求：</w:t>
      </w:r>
      <w:r>
        <w:rPr>
          <w:rFonts w:hint="eastAsia" w:asciiTheme="minorEastAsia" w:hAnsiTheme="minorEastAsia" w:eastAsiaTheme="minorEastAsia" w:cstheme="minorEastAsia"/>
          <w:color w:val="auto"/>
          <w:szCs w:val="21"/>
          <w:highlight w:val="none"/>
        </w:rPr>
        <w:t>包含摆闸速通闸（室内型）单机芯22台、摆闸速通闸（室内型）双机芯22台、人脸识别一体机66台、测温模块（集成至人脸识别一体机）33台、综合平台门禁管理系统软件1套、接入交换机11台等；</w:t>
      </w:r>
      <w:r>
        <w:rPr>
          <w:rFonts w:hint="eastAsia" w:asciiTheme="minorEastAsia" w:hAnsiTheme="minorEastAsia" w:eastAsiaTheme="minorEastAsia" w:cstheme="minorEastAsia"/>
          <w:color w:val="auto"/>
          <w:szCs w:val="21"/>
        </w:rPr>
        <w:t xml:space="preserve"> (详见采购文件第三章“项目采购需求”）</w:t>
      </w:r>
    </w:p>
    <w:p>
      <w:pPr>
        <w:spacing w:line="360" w:lineRule="auto"/>
        <w:ind w:firstLine="420" w:firstLineChars="200"/>
        <w:jc w:val="left"/>
        <w:rPr>
          <w:rFonts w:ascii="宋体" w:hAnsi="宋体" w:cs="宋体"/>
          <w:szCs w:val="21"/>
        </w:rPr>
      </w:pPr>
      <w:r>
        <w:rPr>
          <w:rFonts w:hint="eastAsia" w:ascii="宋体" w:hAnsi="宋体" w:cs="宋体"/>
          <w:szCs w:val="21"/>
        </w:rPr>
        <w:t>（1）类别：货物</w:t>
      </w:r>
    </w:p>
    <w:p>
      <w:pPr>
        <w:spacing w:line="360" w:lineRule="auto"/>
        <w:ind w:firstLine="420" w:firstLineChars="200"/>
        <w:jc w:val="left"/>
        <w:rPr>
          <w:rFonts w:ascii="宋体" w:hAnsi="宋体" w:cs="宋体"/>
          <w:szCs w:val="21"/>
        </w:rPr>
      </w:pPr>
      <w:r>
        <w:rPr>
          <w:rFonts w:hint="eastAsia" w:ascii="宋体" w:hAnsi="宋体" w:cs="宋体"/>
          <w:szCs w:val="21"/>
        </w:rPr>
        <w:t>（2）质量标准：达到国家或行业颁布的其他现行各项技术标准和验收规范规定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（3）其他：供应商参加竞标的报价超过该包采购最高限价的，该包竞标无效；供应商报价须包含该采购需求的全部内容。</w:t>
      </w:r>
    </w:p>
    <w:p>
      <w:pPr>
        <w:spacing w:line="360" w:lineRule="auto"/>
        <w:jc w:val="left"/>
        <w:rPr>
          <w:rFonts w:ascii="宋体" w:hAnsi="宋体" w:cs="宋体"/>
          <w:strike/>
          <w:szCs w:val="21"/>
        </w:rPr>
      </w:pPr>
      <w:r>
        <w:rPr>
          <w:rFonts w:hint="eastAsia" w:ascii="宋体" w:hAnsi="宋体" w:cs="宋体"/>
          <w:szCs w:val="21"/>
        </w:rPr>
        <w:t>8.合同履行期限：</w:t>
      </w:r>
      <w:r>
        <w:rPr>
          <w:rFonts w:hint="eastAsia" w:ascii="宋体" w:hAnsi="宋体" w:cs="宋体"/>
          <w:color w:val="auto"/>
          <w:szCs w:val="21"/>
          <w:u w:val="single"/>
        </w:rPr>
        <w:t>交货期：自签订合同之日起20个日历天内完成供货、安装、调试工作。质保期/保修期：验收合格之日起2年。</w:t>
      </w:r>
    </w:p>
    <w:p>
      <w:pPr>
        <w:spacing w:line="360" w:lineRule="auto"/>
        <w:jc w:val="left"/>
        <w:rPr>
          <w:rFonts w:ascii="宋体" w:hAnsi="宋体" w:cs="宋体"/>
          <w:szCs w:val="21"/>
          <w:highlight w:val="yellow"/>
        </w:rPr>
      </w:pPr>
      <w:r>
        <w:rPr>
          <w:rFonts w:hint="eastAsia" w:ascii="宋体" w:hAnsi="宋体" w:cs="宋体"/>
          <w:szCs w:val="21"/>
        </w:rPr>
        <w:t>9.本项目（是/否）接受联合体投标：否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10.是否可采购进口产品：否</w:t>
      </w:r>
    </w:p>
    <w:p>
      <w:pPr>
        <w:spacing w:line="360" w:lineRule="auto"/>
        <w:jc w:val="left"/>
        <w:rPr>
          <w:rFonts w:hint="eastAsia" w:ascii="宋体" w:hAnsi="宋体" w:cs="宋体" w:eastAsiaTheme="minorEastAsia"/>
          <w:szCs w:val="21"/>
          <w:highlight w:val="yellow"/>
          <w:lang w:eastAsia="zh-CN"/>
        </w:rPr>
      </w:pPr>
      <w:r>
        <w:rPr>
          <w:rFonts w:hint="eastAsia" w:asciiTheme="minorEastAsia" w:hAnsiTheme="minorEastAsia" w:eastAsiaTheme="minorEastAsia" w:cstheme="minorEastAsia"/>
          <w:szCs w:val="21"/>
        </w:rPr>
        <w:t>11.本项目（是/否）专门面向中小微企业</w:t>
      </w:r>
      <w:r>
        <w:rPr>
          <w:rFonts w:hint="eastAsia" w:asciiTheme="minorEastAsia" w:hAnsiTheme="minorEastAsia" w:eastAsiaTheme="minorEastAsia" w:cstheme="minorEastAsia"/>
          <w:color w:val="auto"/>
          <w:szCs w:val="21"/>
        </w:rPr>
        <w:t>：部分面向</w:t>
      </w:r>
    </w:p>
    <w:p>
      <w:pPr>
        <w:pStyle w:val="4"/>
        <w:numPr>
          <w:ilvl w:val="0"/>
          <w:numId w:val="6"/>
        </w:numPr>
        <w:spacing w:line="360" w:lineRule="auto"/>
        <w:jc w:val="left"/>
        <w:rPr>
          <w:rFonts w:ascii="宋体" w:hAnsi="宋体" w:eastAsia="宋体" w:cs="宋体"/>
          <w:sz w:val="21"/>
          <w:szCs w:val="21"/>
        </w:rPr>
      </w:pPr>
      <w:bookmarkStart w:id="9" w:name="_Toc32692"/>
      <w:r>
        <w:rPr>
          <w:rFonts w:hint="eastAsia" w:ascii="宋体" w:hAnsi="宋体" w:eastAsia="宋体" w:cs="宋体"/>
          <w:sz w:val="21"/>
          <w:szCs w:val="21"/>
        </w:rPr>
        <w:t>申请人的资格要求</w:t>
      </w:r>
      <w:bookmarkEnd w:id="9"/>
    </w:p>
    <w:p>
      <w:pPr>
        <w:spacing w:line="360" w:lineRule="auto"/>
        <w:ind w:firstLine="420" w:firstLineChars="200"/>
        <w:jc w:val="left"/>
        <w:rPr>
          <w:rFonts w:ascii="宋体" w:hAnsi="宋体" w:cs="宋体"/>
          <w:szCs w:val="21"/>
        </w:rPr>
      </w:pPr>
      <w:r>
        <w:rPr>
          <w:rFonts w:hint="eastAsia" w:ascii="宋体" w:hAnsi="宋体" w:cs="宋体"/>
          <w:szCs w:val="21"/>
        </w:rPr>
        <w:t>1.满足《中华人民共和国政府采购法》第二十二条规定；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spacing w:line="360" w:lineRule="auto"/>
        <w:ind w:firstLine="420" w:firstLineChars="200"/>
        <w:jc w:val="left"/>
        <w:rPr>
          <w:rFonts w:ascii="宋体" w:hAnsi="宋体" w:cs="宋体"/>
          <w:szCs w:val="21"/>
        </w:rPr>
      </w:pPr>
      <w:r>
        <w:rPr>
          <w:rFonts w:hint="eastAsia" w:ascii="宋体" w:hAnsi="宋体" w:cs="宋体"/>
          <w:szCs w:val="21"/>
        </w:rPr>
        <w:t>2.单位负责人为同一人或者存在直接控股、管理关系的不同供应商，不得参加本项目同一合同项下的政府采购活动。</w:t>
      </w:r>
    </w:p>
    <w:p>
      <w:pPr>
        <w:spacing w:line="360" w:lineRule="auto"/>
        <w:ind w:firstLine="420" w:firstLineChars="200"/>
        <w:jc w:val="left"/>
        <w:rPr>
          <w:rFonts w:ascii="宋体" w:hAnsi="宋体" w:cs="宋体"/>
          <w:szCs w:val="21"/>
        </w:rPr>
      </w:pPr>
      <w:r>
        <w:rPr>
          <w:rFonts w:hint="eastAsia" w:ascii="宋体" w:hAnsi="宋体" w:cs="宋体"/>
          <w:szCs w:val="21"/>
        </w:rPr>
        <w:t>3.为本采购项目提供整体设计、规范编制或者项目管理、监理、检测等服务的，不得再参加本项目的其他招标采购活动。</w:t>
      </w:r>
    </w:p>
    <w:p>
      <w:pPr>
        <w:spacing w:line="360" w:lineRule="auto"/>
        <w:ind w:firstLine="420" w:firstLineChars="200"/>
        <w:jc w:val="left"/>
        <w:rPr>
          <w:rFonts w:ascii="宋体" w:hAnsi="宋体" w:cs="宋体"/>
          <w:szCs w:val="21"/>
        </w:rPr>
      </w:pPr>
      <w:r>
        <w:rPr>
          <w:rFonts w:hint="eastAsia" w:ascii="宋体" w:hAnsi="宋体" w:cs="宋体"/>
          <w:szCs w:val="21"/>
        </w:rPr>
        <w:t>4.未被列入失信被执行人、重大税收违法案件当事人名单，未被列入政府采购严重违法失信行为记录名单。</w:t>
      </w:r>
    </w:p>
    <w:p>
      <w:pPr>
        <w:spacing w:line="360" w:lineRule="auto"/>
        <w:ind w:firstLine="420" w:firstLineChars="200"/>
        <w:jc w:val="left"/>
        <w:rPr>
          <w:rFonts w:ascii="宋体" w:hAnsi="宋体" w:cs="宋体"/>
          <w:szCs w:val="21"/>
        </w:rPr>
      </w:pPr>
      <w:r>
        <w:rPr>
          <w:rFonts w:hint="eastAsia" w:ascii="宋体" w:hAnsi="宋体" w:cs="宋体"/>
          <w:szCs w:val="21"/>
        </w:rPr>
        <w:t>5.落实政府采购政策需满足的资格要求：</w:t>
      </w:r>
      <w:r>
        <w:rPr>
          <w:rFonts w:hint="eastAsia" w:ascii="宋体" w:hAnsi="宋体" w:cs="宋体"/>
          <w:szCs w:val="21"/>
          <w:highlight w:val="none"/>
          <w:lang w:eastAsia="zh-CN"/>
        </w:rPr>
        <w:t>详见采购文件</w:t>
      </w:r>
      <w:r>
        <w:rPr>
          <w:rFonts w:hint="eastAsia" w:ascii="宋体" w:hAnsi="宋体" w:cs="宋体"/>
          <w:szCs w:val="21"/>
          <w:highlight w:val="none"/>
        </w:rPr>
        <w:t>。</w:t>
      </w:r>
    </w:p>
    <w:p>
      <w:pPr>
        <w:spacing w:line="360" w:lineRule="auto"/>
        <w:ind w:firstLine="422" w:firstLineChars="200"/>
        <w:jc w:val="left"/>
        <w:rPr>
          <w:rFonts w:ascii="宋体" w:hAnsi="宋体" w:cs="宋体"/>
          <w:b/>
          <w:bCs/>
          <w:szCs w:val="21"/>
        </w:rPr>
      </w:pPr>
      <w:r>
        <w:rPr>
          <w:rFonts w:hint="eastAsia" w:ascii="宋体" w:hAnsi="宋体" w:cs="宋体"/>
          <w:b/>
          <w:bCs/>
          <w:szCs w:val="21"/>
        </w:rPr>
        <w:t>6.本项目的特定资格要求：无</w:t>
      </w:r>
    </w:p>
    <w:p>
      <w:pPr>
        <w:pStyle w:val="4"/>
        <w:numPr>
          <w:ilvl w:val="0"/>
          <w:numId w:val="6"/>
        </w:numPr>
        <w:spacing w:line="360" w:lineRule="auto"/>
        <w:jc w:val="left"/>
        <w:rPr>
          <w:rFonts w:ascii="宋体" w:hAnsi="宋体" w:eastAsia="宋体" w:cs="宋体"/>
          <w:sz w:val="21"/>
          <w:szCs w:val="21"/>
        </w:rPr>
      </w:pPr>
      <w:bookmarkStart w:id="10" w:name="_Toc16441"/>
      <w:bookmarkStart w:id="11" w:name="_Toc334539185"/>
      <w:r>
        <w:rPr>
          <w:rFonts w:hint="eastAsia" w:ascii="宋体" w:hAnsi="宋体" w:eastAsia="宋体" w:cs="宋体"/>
          <w:sz w:val="21"/>
          <w:szCs w:val="21"/>
        </w:rPr>
        <w:t>获取采购文件</w:t>
      </w:r>
      <w:bookmarkEnd w:id="10"/>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auto"/>
          <w:szCs w:val="21"/>
          <w:u w:val="single"/>
        </w:rPr>
        <w:t>2022年</w:t>
      </w:r>
      <w:r>
        <w:rPr>
          <w:rFonts w:hint="eastAsia" w:ascii="宋体" w:hAnsi="宋体" w:cs="宋体"/>
          <w:color w:val="auto"/>
          <w:szCs w:val="21"/>
          <w:u w:val="single"/>
          <w:lang w:val="en-US" w:eastAsia="zh-CN"/>
        </w:rPr>
        <w:t>7</w:t>
      </w:r>
      <w:r>
        <w:rPr>
          <w:rFonts w:hint="eastAsia" w:ascii="宋体" w:hAnsi="宋体" w:cs="宋体"/>
          <w:color w:val="auto"/>
          <w:szCs w:val="21"/>
          <w:u w:val="single"/>
        </w:rPr>
        <w:t>月</w:t>
      </w:r>
      <w:r>
        <w:rPr>
          <w:rFonts w:hint="eastAsia" w:ascii="宋体" w:hAnsi="宋体" w:cs="宋体"/>
          <w:color w:val="auto"/>
          <w:szCs w:val="21"/>
          <w:u w:val="single"/>
          <w:lang w:val="en-US" w:eastAsia="zh-CN"/>
        </w:rPr>
        <w:t>15</w:t>
      </w:r>
      <w:r>
        <w:rPr>
          <w:rFonts w:hint="eastAsia" w:ascii="宋体" w:hAnsi="宋体" w:cs="宋体"/>
          <w:color w:val="auto"/>
          <w:szCs w:val="21"/>
          <w:u w:val="single"/>
        </w:rPr>
        <w:t>日至2022年</w:t>
      </w:r>
      <w:r>
        <w:rPr>
          <w:rFonts w:hint="eastAsia" w:ascii="宋体" w:hAnsi="宋体" w:cs="宋体"/>
          <w:color w:val="auto"/>
          <w:szCs w:val="21"/>
          <w:u w:val="single"/>
          <w:lang w:val="en-US" w:eastAsia="zh-CN"/>
        </w:rPr>
        <w:t>7</w:t>
      </w:r>
      <w:r>
        <w:rPr>
          <w:rFonts w:hint="eastAsia" w:ascii="宋体" w:hAnsi="宋体" w:cs="宋体"/>
          <w:color w:val="auto"/>
          <w:szCs w:val="21"/>
          <w:u w:val="single"/>
        </w:rPr>
        <w:t>月</w:t>
      </w:r>
      <w:r>
        <w:rPr>
          <w:rFonts w:hint="eastAsia" w:ascii="宋体" w:hAnsi="宋体" w:cs="宋体"/>
          <w:color w:val="auto"/>
          <w:szCs w:val="21"/>
          <w:u w:val="single"/>
          <w:lang w:val="en-US" w:eastAsia="zh-CN"/>
        </w:rPr>
        <w:t>21</w:t>
      </w:r>
      <w:r>
        <w:rPr>
          <w:rFonts w:hint="eastAsia" w:ascii="宋体" w:hAnsi="宋体" w:cs="宋体"/>
          <w:color w:val="auto"/>
          <w:szCs w:val="21"/>
          <w:u w:val="single"/>
        </w:rPr>
        <w:t>日</w:t>
      </w:r>
      <w:r>
        <w:rPr>
          <w:rFonts w:hint="eastAsia" w:ascii="宋体" w:hAnsi="宋体" w:cs="宋体"/>
          <w:szCs w:val="21"/>
        </w:rPr>
        <w:t>，每天上午09:00至12:00，下午14:30至17:00（北京时间，法定节假日除外）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地点：线上获取；；</w:t>
      </w:r>
    </w:p>
    <w:bookmarkEnd w:id="11"/>
    <w:p>
      <w:pPr>
        <w:spacing w:line="360" w:lineRule="auto"/>
        <w:ind w:firstLine="420" w:firstLineChars="200"/>
        <w:jc w:val="left"/>
        <w:rPr>
          <w:rFonts w:ascii="宋体" w:hAnsi="宋体" w:cs="宋体"/>
          <w:szCs w:val="21"/>
        </w:rPr>
      </w:pPr>
      <w:r>
        <w:rPr>
          <w:rFonts w:hint="eastAsia" w:ascii="宋体" w:hAnsi="宋体" w:cs="宋体"/>
          <w:szCs w:val="21"/>
        </w:rPr>
        <w:t>线上获取：因疫情原因，采取网上获取文件的方式，请各供应商将以下附件资料加盖公章扫描后传至2102252595@qq.com（邮件主题名称必须备注所投项目名称及公司全称，否则不予受理），以邮箱显示收到的时间为准，递交资料后请联系代理机构工作人员经确认后获取采购文件。不办理邮寄。</w:t>
      </w:r>
    </w:p>
    <w:p>
      <w:pPr>
        <w:spacing w:line="360" w:lineRule="auto"/>
        <w:ind w:firstLine="420" w:firstLineChars="200"/>
        <w:jc w:val="left"/>
        <w:rPr>
          <w:rFonts w:ascii="宋体" w:hAnsi="宋体" w:cs="宋体"/>
          <w:szCs w:val="21"/>
        </w:rPr>
      </w:pPr>
      <w:r>
        <w:rPr>
          <w:rFonts w:hint="eastAsia" w:ascii="宋体" w:hAnsi="宋体" w:cs="宋体"/>
          <w:szCs w:val="21"/>
        </w:rPr>
        <w:t>售价：0(元)；</w:t>
      </w:r>
    </w:p>
    <w:p>
      <w:pPr>
        <w:pStyle w:val="4"/>
        <w:numPr>
          <w:ilvl w:val="0"/>
          <w:numId w:val="6"/>
        </w:numPr>
        <w:spacing w:line="360" w:lineRule="auto"/>
        <w:jc w:val="left"/>
        <w:rPr>
          <w:rFonts w:ascii="宋体" w:hAnsi="宋体" w:eastAsia="宋体" w:cs="宋体"/>
          <w:sz w:val="21"/>
          <w:szCs w:val="21"/>
        </w:rPr>
      </w:pPr>
      <w:bookmarkStart w:id="12" w:name="_Toc22671"/>
      <w:r>
        <w:rPr>
          <w:rFonts w:hint="eastAsia" w:ascii="宋体" w:hAnsi="宋体" w:eastAsia="宋体" w:cs="宋体"/>
          <w:sz w:val="21"/>
          <w:szCs w:val="21"/>
        </w:rPr>
        <w:t>响应文件提交</w:t>
      </w:r>
      <w:bookmarkEnd w:id="12"/>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w:t>
      </w:r>
      <w:r>
        <w:rPr>
          <w:rFonts w:hint="eastAsia" w:ascii="宋体" w:hAnsi="宋体" w:cs="宋体"/>
          <w:color w:val="3922E7"/>
          <w:szCs w:val="21"/>
          <w:u w:val="none"/>
        </w:rPr>
        <w:t>2022年</w:t>
      </w:r>
      <w:r>
        <w:rPr>
          <w:rFonts w:hint="eastAsia" w:ascii="宋体" w:hAnsi="宋体" w:cs="宋体"/>
          <w:color w:val="3922E7"/>
          <w:szCs w:val="21"/>
          <w:u w:val="none"/>
          <w:lang w:val="en-US" w:eastAsia="zh-CN"/>
        </w:rPr>
        <w:t>08</w:t>
      </w:r>
      <w:r>
        <w:rPr>
          <w:rFonts w:hint="eastAsia" w:ascii="宋体" w:hAnsi="宋体" w:cs="宋体"/>
          <w:color w:val="3922E7"/>
          <w:szCs w:val="21"/>
          <w:u w:val="none"/>
        </w:rPr>
        <w:t>月</w:t>
      </w:r>
      <w:r>
        <w:rPr>
          <w:rFonts w:hint="eastAsia" w:ascii="宋体" w:hAnsi="宋体" w:cs="宋体"/>
          <w:color w:val="3922E7"/>
          <w:szCs w:val="21"/>
          <w:u w:val="none"/>
          <w:lang w:val="en-US" w:eastAsia="zh-CN"/>
        </w:rPr>
        <w:t>02</w:t>
      </w:r>
      <w:r>
        <w:rPr>
          <w:rFonts w:hint="eastAsia" w:ascii="宋体" w:hAnsi="宋体" w:cs="宋体"/>
          <w:color w:val="3922E7"/>
          <w:szCs w:val="21"/>
          <w:u w:val="none"/>
        </w:rPr>
        <w:t>日</w:t>
      </w:r>
      <w:r>
        <w:rPr>
          <w:rFonts w:hint="eastAsia" w:asciiTheme="minorEastAsia" w:hAnsiTheme="minorEastAsia" w:eastAsiaTheme="minorEastAsia" w:cstheme="minorEastAsia"/>
          <w:color w:val="3922E7"/>
          <w:szCs w:val="21"/>
          <w:lang w:val="en-US" w:eastAsia="zh-CN"/>
        </w:rPr>
        <w:t>08</w:t>
      </w:r>
      <w:r>
        <w:rPr>
          <w:rFonts w:hint="eastAsia" w:asciiTheme="minorEastAsia" w:hAnsiTheme="minorEastAsia" w:eastAsiaTheme="minorEastAsia" w:cstheme="minorEastAsia"/>
          <w:color w:val="3922E7"/>
          <w:szCs w:val="21"/>
        </w:rPr>
        <w:t>点</w:t>
      </w:r>
      <w:r>
        <w:rPr>
          <w:rFonts w:hint="eastAsia" w:asciiTheme="minorEastAsia" w:hAnsiTheme="minorEastAsia" w:eastAsiaTheme="minorEastAsia" w:cstheme="minorEastAsia"/>
          <w:color w:val="3922E7"/>
          <w:szCs w:val="21"/>
          <w:lang w:val="en-US" w:eastAsia="zh-CN"/>
        </w:rPr>
        <w:t>30</w:t>
      </w:r>
      <w:r>
        <w:rPr>
          <w:rFonts w:hint="eastAsia" w:asciiTheme="minorEastAsia" w:hAnsiTheme="minorEastAsia" w:eastAsiaTheme="minorEastAsia" w:cstheme="minorEastAsia"/>
          <w:color w:val="3922E7"/>
          <w:szCs w:val="21"/>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ascii="宋体" w:hAnsi="宋体" w:cs="宋体"/>
          <w:color w:val="3922E7"/>
          <w:szCs w:val="21"/>
          <w:u w:val="none"/>
        </w:rPr>
        <w:t>2022年</w:t>
      </w:r>
      <w:r>
        <w:rPr>
          <w:rFonts w:hint="eastAsia" w:ascii="宋体" w:hAnsi="宋体" w:cs="宋体"/>
          <w:color w:val="3922E7"/>
          <w:szCs w:val="21"/>
          <w:u w:val="none"/>
          <w:lang w:val="en-US" w:eastAsia="zh-CN"/>
        </w:rPr>
        <w:t>08</w:t>
      </w:r>
      <w:r>
        <w:rPr>
          <w:rFonts w:hint="eastAsia" w:ascii="宋体" w:hAnsi="宋体" w:cs="宋体"/>
          <w:color w:val="3922E7"/>
          <w:szCs w:val="21"/>
          <w:u w:val="none"/>
        </w:rPr>
        <w:t>月</w:t>
      </w:r>
      <w:r>
        <w:rPr>
          <w:rFonts w:hint="eastAsia" w:ascii="宋体" w:hAnsi="宋体" w:cs="宋体"/>
          <w:color w:val="3922E7"/>
          <w:szCs w:val="21"/>
          <w:u w:val="none"/>
          <w:lang w:val="en-US" w:eastAsia="zh-CN"/>
        </w:rPr>
        <w:t>02</w:t>
      </w:r>
      <w:r>
        <w:rPr>
          <w:rFonts w:hint="eastAsia" w:ascii="宋体" w:hAnsi="宋体" w:cs="宋体"/>
          <w:color w:val="3922E7"/>
          <w:szCs w:val="21"/>
          <w:u w:val="none"/>
        </w:rPr>
        <w:t>日</w:t>
      </w:r>
      <w:r>
        <w:rPr>
          <w:rFonts w:hint="eastAsia" w:ascii="宋体" w:hAnsi="宋体" w:cs="宋体"/>
          <w:color w:val="3922E7"/>
          <w:szCs w:val="21"/>
          <w:u w:val="none"/>
          <w:lang w:val="en-US" w:eastAsia="zh-CN"/>
        </w:rPr>
        <w:t>10</w:t>
      </w:r>
      <w:r>
        <w:rPr>
          <w:rFonts w:hint="eastAsia" w:ascii="宋体" w:hAnsi="宋体" w:cs="宋体"/>
          <w:color w:val="3922E7"/>
          <w:szCs w:val="21"/>
          <w:u w:val="none"/>
        </w:rPr>
        <w:t>点</w:t>
      </w:r>
      <w:r>
        <w:rPr>
          <w:rFonts w:hint="eastAsia" w:ascii="宋体" w:hAnsi="宋体" w:cs="宋体"/>
          <w:color w:val="3922E7"/>
          <w:szCs w:val="21"/>
          <w:u w:val="none"/>
          <w:lang w:val="en-US" w:eastAsia="zh-CN"/>
        </w:rPr>
        <w:t>00</w:t>
      </w:r>
      <w:r>
        <w:rPr>
          <w:rFonts w:hint="eastAsia" w:ascii="宋体" w:hAnsi="宋体" w:cs="宋体"/>
          <w:color w:val="3922E7"/>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地点：武昌区中北路岳家嘴立交山河企业大厦4806室，凡是获取了磋商文件且已回复确定参加竞标的潜在供应商，于竞标当日临时放弃竞标的，应及时以电话告知形式通知采购代理机构。</w:t>
      </w:r>
    </w:p>
    <w:p>
      <w:pPr>
        <w:pStyle w:val="4"/>
        <w:numPr>
          <w:ilvl w:val="0"/>
          <w:numId w:val="6"/>
        </w:numPr>
        <w:spacing w:line="360" w:lineRule="auto"/>
        <w:jc w:val="left"/>
        <w:rPr>
          <w:rFonts w:eastAsia="宋体"/>
          <w:sz w:val="21"/>
          <w:szCs w:val="21"/>
        </w:rPr>
      </w:pPr>
      <w:bookmarkStart w:id="13" w:name="_Toc19282"/>
      <w:r>
        <w:rPr>
          <w:rFonts w:hint="eastAsia" w:ascii="宋体" w:hAnsi="宋体" w:eastAsia="宋体" w:cs="宋体"/>
          <w:sz w:val="21"/>
          <w:szCs w:val="21"/>
        </w:rPr>
        <w:t>开启</w:t>
      </w:r>
      <w:bookmarkEnd w:id="13"/>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3922E7"/>
          <w:szCs w:val="21"/>
          <w:u w:val="none"/>
        </w:rPr>
        <w:t>2022年</w:t>
      </w:r>
      <w:r>
        <w:rPr>
          <w:rFonts w:hint="eastAsia" w:ascii="宋体" w:hAnsi="宋体" w:cs="宋体"/>
          <w:color w:val="3922E7"/>
          <w:szCs w:val="21"/>
          <w:u w:val="none"/>
          <w:lang w:val="en-US" w:eastAsia="zh-CN"/>
        </w:rPr>
        <w:t>08</w:t>
      </w:r>
      <w:r>
        <w:rPr>
          <w:rFonts w:hint="eastAsia" w:ascii="宋体" w:hAnsi="宋体" w:cs="宋体"/>
          <w:color w:val="3922E7"/>
          <w:szCs w:val="21"/>
          <w:u w:val="none"/>
        </w:rPr>
        <w:t>月</w:t>
      </w:r>
      <w:r>
        <w:rPr>
          <w:rFonts w:hint="eastAsia" w:ascii="宋体" w:hAnsi="宋体" w:cs="宋体"/>
          <w:color w:val="3922E7"/>
          <w:szCs w:val="21"/>
          <w:u w:val="none"/>
          <w:lang w:val="en-US" w:eastAsia="zh-CN"/>
        </w:rPr>
        <w:t>02</w:t>
      </w:r>
      <w:r>
        <w:rPr>
          <w:rFonts w:hint="eastAsia" w:ascii="宋体" w:hAnsi="宋体" w:cs="宋体"/>
          <w:color w:val="3922E7"/>
          <w:szCs w:val="21"/>
          <w:u w:val="none"/>
        </w:rPr>
        <w:t>日</w:t>
      </w:r>
      <w:r>
        <w:rPr>
          <w:rFonts w:hint="eastAsia" w:ascii="宋体" w:hAnsi="宋体" w:cs="宋体"/>
          <w:color w:val="3922E7"/>
          <w:szCs w:val="21"/>
          <w:u w:val="none"/>
          <w:lang w:val="en-US" w:eastAsia="zh-CN"/>
        </w:rPr>
        <w:t>10</w:t>
      </w:r>
      <w:r>
        <w:rPr>
          <w:rFonts w:hint="eastAsia" w:ascii="宋体" w:hAnsi="宋体" w:cs="宋体"/>
          <w:color w:val="3922E7"/>
          <w:szCs w:val="21"/>
          <w:u w:val="none"/>
        </w:rPr>
        <w:t>点</w:t>
      </w:r>
      <w:r>
        <w:rPr>
          <w:rFonts w:hint="eastAsia" w:ascii="宋体" w:hAnsi="宋体" w:cs="宋体"/>
          <w:color w:val="3922E7"/>
          <w:szCs w:val="21"/>
          <w:u w:val="none"/>
          <w:lang w:val="en-US" w:eastAsia="zh-CN"/>
        </w:rPr>
        <w:t>00</w:t>
      </w:r>
      <w:r>
        <w:rPr>
          <w:rFonts w:hint="eastAsia" w:ascii="宋体" w:hAnsi="宋体" w:cs="宋体"/>
          <w:color w:val="3922E7"/>
          <w:szCs w:val="21"/>
          <w:u w:val="none"/>
        </w:rPr>
        <w:t>分</w:t>
      </w:r>
      <w:r>
        <w:rPr>
          <w:rFonts w:hint="eastAsia" w:ascii="宋体" w:hAnsi="宋体" w:cs="宋体"/>
          <w:szCs w:val="21"/>
        </w:rPr>
        <w:t>（北京时间）</w:t>
      </w:r>
    </w:p>
    <w:p>
      <w:pPr>
        <w:pStyle w:val="4"/>
        <w:numPr>
          <w:ilvl w:val="0"/>
          <w:numId w:val="6"/>
        </w:numPr>
        <w:spacing w:line="360" w:lineRule="auto"/>
        <w:jc w:val="left"/>
        <w:rPr>
          <w:rFonts w:ascii="宋体" w:hAnsi="宋体" w:eastAsia="宋体" w:cs="宋体"/>
          <w:sz w:val="21"/>
          <w:szCs w:val="21"/>
        </w:rPr>
      </w:pPr>
      <w:bookmarkStart w:id="14" w:name="_Toc9065"/>
      <w:r>
        <w:rPr>
          <w:rFonts w:hint="eastAsia" w:ascii="宋体" w:hAnsi="宋体" w:eastAsia="宋体" w:cs="宋体"/>
          <w:sz w:val="21"/>
          <w:szCs w:val="21"/>
        </w:rPr>
        <w:t>公告期限</w:t>
      </w:r>
      <w:bookmarkEnd w:id="14"/>
    </w:p>
    <w:p>
      <w:pPr>
        <w:spacing w:line="360" w:lineRule="auto"/>
        <w:ind w:firstLine="420" w:firstLineChars="200"/>
        <w:jc w:val="left"/>
        <w:rPr>
          <w:rFonts w:ascii="宋体" w:hAnsi="宋体" w:cs="宋体"/>
          <w:szCs w:val="21"/>
        </w:rPr>
      </w:pPr>
      <w:bookmarkStart w:id="15" w:name="_Toc320898024"/>
      <w:bookmarkStart w:id="16" w:name="_Toc276368888"/>
      <w:bookmarkStart w:id="17" w:name="_Toc317262251"/>
      <w:bookmarkStart w:id="18" w:name="_Toc6021"/>
      <w:bookmarkStart w:id="19" w:name="_Toc259607751"/>
      <w:bookmarkStart w:id="20" w:name="_Toc334539188"/>
      <w:r>
        <w:rPr>
          <w:rFonts w:hint="eastAsia" w:ascii="宋体" w:hAnsi="宋体" w:cs="宋体"/>
          <w:szCs w:val="21"/>
        </w:rPr>
        <w:t>自本公告发布之日起3个工作日</w:t>
      </w:r>
    </w:p>
    <w:bookmarkEnd w:id="15"/>
    <w:bookmarkEnd w:id="16"/>
    <w:bookmarkEnd w:id="17"/>
    <w:bookmarkEnd w:id="18"/>
    <w:bookmarkEnd w:id="19"/>
    <w:bookmarkEnd w:id="20"/>
    <w:p>
      <w:pPr>
        <w:pStyle w:val="4"/>
        <w:numPr>
          <w:ilvl w:val="0"/>
          <w:numId w:val="6"/>
        </w:numPr>
        <w:spacing w:line="360" w:lineRule="auto"/>
        <w:jc w:val="left"/>
        <w:rPr>
          <w:rFonts w:ascii="宋体" w:hAnsi="宋体" w:eastAsia="宋体" w:cs="宋体"/>
          <w:sz w:val="21"/>
          <w:szCs w:val="21"/>
        </w:rPr>
      </w:pPr>
      <w:bookmarkStart w:id="21" w:name="_Toc7923"/>
      <w:r>
        <w:rPr>
          <w:rFonts w:hint="eastAsia" w:ascii="宋体" w:hAnsi="宋体" w:eastAsia="宋体" w:cs="宋体"/>
          <w:sz w:val="21"/>
          <w:szCs w:val="21"/>
        </w:rPr>
        <w:t>其他补充事宜</w:t>
      </w:r>
      <w:bookmarkEnd w:id="21"/>
    </w:p>
    <w:p>
      <w:pPr>
        <w:spacing w:line="360" w:lineRule="auto"/>
        <w:ind w:firstLine="420" w:firstLineChars="200"/>
        <w:jc w:val="left"/>
        <w:rPr>
          <w:rFonts w:ascii="宋体" w:hAnsi="宋体" w:cs="宋体"/>
          <w:szCs w:val="21"/>
        </w:rPr>
      </w:pPr>
      <w:bookmarkStart w:id="22" w:name="_Toc259028279"/>
      <w:r>
        <w:rPr>
          <w:rFonts w:hint="eastAsia" w:ascii="宋体" w:hAnsi="宋体" w:cs="宋体"/>
          <w:szCs w:val="21"/>
        </w:rPr>
        <w:t>1.</w:t>
      </w:r>
      <w:r>
        <w:rPr>
          <w:rFonts w:hint="eastAsia" w:asciiTheme="minorEastAsia" w:hAnsiTheme="minorEastAsia" w:eastAsiaTheme="minorEastAsia" w:cstheme="minorEastAsia"/>
          <w:szCs w:val="21"/>
        </w:rPr>
        <w:t>本项目资金性质为：财政资金</w:t>
      </w:r>
    </w:p>
    <w:p>
      <w:pPr>
        <w:spacing w:line="360" w:lineRule="auto"/>
        <w:ind w:firstLine="420" w:firstLineChars="200"/>
        <w:jc w:val="left"/>
        <w:rPr>
          <w:rFonts w:ascii="宋体" w:hAnsi="宋体" w:cs="宋体"/>
          <w:szCs w:val="21"/>
        </w:rPr>
      </w:pPr>
      <w:r>
        <w:rPr>
          <w:rFonts w:hint="eastAsia" w:ascii="宋体" w:hAnsi="宋体" w:cs="宋体"/>
          <w:szCs w:val="21"/>
        </w:rPr>
        <w:t>2.供应商如需查询技术要求可到我处查阅采购文件第三章相关内容。</w:t>
      </w:r>
      <w:r>
        <w:rPr>
          <w:rFonts w:hint="eastAsia" w:ascii="宋体" w:hAnsi="宋体" w:cs="宋体"/>
          <w:szCs w:val="21"/>
        </w:rPr>
        <w:br w:type="textWrapping"/>
      </w:r>
      <w:r>
        <w:rPr>
          <w:rFonts w:hint="eastAsia" w:ascii="宋体" w:hAnsi="宋体" w:cs="宋体"/>
          <w:szCs w:val="21"/>
        </w:rPr>
        <w:t xml:space="preserve">    3.本项目将在以下网站发布所有信息，请参加本项目竞标的供应商密切关注。</w:t>
      </w:r>
    </w:p>
    <w:p>
      <w:pPr>
        <w:spacing w:line="360" w:lineRule="auto"/>
        <w:ind w:firstLine="420" w:firstLineChars="200"/>
        <w:jc w:val="left"/>
        <w:rPr>
          <w:rFonts w:ascii="宋体" w:hAnsi="宋体" w:cs="宋体"/>
          <w:szCs w:val="21"/>
        </w:rPr>
      </w:pPr>
      <w:r>
        <w:rPr>
          <w:rFonts w:hint="eastAsia" w:ascii="宋体" w:hAnsi="宋体" w:cs="宋体"/>
          <w:szCs w:val="21"/>
        </w:rPr>
        <w:t>（1）《湖北省政府采购网》（网址：http://www.ccgp-hubei.gov.cn/）</w:t>
      </w:r>
    </w:p>
    <w:p>
      <w:pPr>
        <w:spacing w:line="360" w:lineRule="auto"/>
        <w:ind w:firstLine="420" w:firstLineChars="200"/>
        <w:jc w:val="left"/>
        <w:rPr>
          <w:rFonts w:ascii="宋体" w:hAnsi="宋体" w:cs="宋体"/>
          <w:szCs w:val="21"/>
        </w:rPr>
      </w:pPr>
      <w:r>
        <w:rPr>
          <w:rFonts w:hint="eastAsia" w:ascii="宋体" w:hAnsi="宋体" w:cs="宋体"/>
          <w:szCs w:val="21"/>
        </w:rPr>
        <w:t>（2）《湖北工业大学》（网址：http://tend.hbut.edu.cn/index.chtml）</w:t>
      </w:r>
    </w:p>
    <w:p>
      <w:pPr>
        <w:spacing w:line="360" w:lineRule="auto"/>
        <w:ind w:firstLine="422" w:firstLineChars="200"/>
        <w:jc w:val="left"/>
        <w:rPr>
          <w:rFonts w:ascii="宋体" w:hAnsi="宋体" w:cs="宋体"/>
          <w:b/>
          <w:bCs/>
          <w:szCs w:val="21"/>
        </w:rPr>
      </w:pPr>
    </w:p>
    <w:bookmarkEnd w:id="22"/>
    <w:p>
      <w:pPr>
        <w:pStyle w:val="4"/>
        <w:numPr>
          <w:ilvl w:val="0"/>
          <w:numId w:val="6"/>
        </w:numPr>
        <w:spacing w:line="360" w:lineRule="auto"/>
        <w:jc w:val="left"/>
        <w:rPr>
          <w:rFonts w:ascii="宋体" w:hAnsi="宋体" w:eastAsia="宋体" w:cs="宋体"/>
          <w:sz w:val="21"/>
          <w:szCs w:val="21"/>
        </w:rPr>
      </w:pPr>
      <w:bookmarkStart w:id="23" w:name="_Toc8728"/>
      <w:r>
        <w:rPr>
          <w:rFonts w:hint="eastAsia" w:ascii="宋体" w:hAnsi="宋体" w:eastAsia="宋体" w:cs="宋体"/>
          <w:sz w:val="21"/>
          <w:szCs w:val="21"/>
        </w:rPr>
        <w:t>凡对本次采购提出询问，请按以下方式联系</w:t>
      </w:r>
      <w:bookmarkEnd w:id="23"/>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 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 xml:space="preserve">联系方式：王老师、027-59750213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称：中经国际招标集团有限公司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szCs w:val="21"/>
        </w:rPr>
      </w:pPr>
      <w:r>
        <w:rPr>
          <w:rFonts w:hint="eastAsia" w:ascii="宋体" w:hAnsi="宋体" w:cs="宋体"/>
          <w:szCs w:val="21"/>
        </w:rPr>
        <w:t>项目联系人：应翠翠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pStyle w:val="4"/>
        <w:numPr>
          <w:ilvl w:val="0"/>
          <w:numId w:val="6"/>
        </w:numPr>
        <w:spacing w:line="440" w:lineRule="exact"/>
        <w:jc w:val="left"/>
        <w:rPr>
          <w:rFonts w:asciiTheme="minorEastAsia" w:hAnsiTheme="minorEastAsia" w:eastAsiaTheme="minorEastAsia" w:cstheme="minorEastAsia"/>
          <w:sz w:val="21"/>
          <w:szCs w:val="21"/>
        </w:rPr>
      </w:pPr>
      <w:bookmarkStart w:id="24" w:name="_Toc29645"/>
      <w:r>
        <w:rPr>
          <w:rFonts w:hint="eastAsia" w:asciiTheme="minorEastAsia" w:hAnsiTheme="minorEastAsia" w:eastAsiaTheme="minorEastAsia" w:cstheme="minorEastAsia"/>
          <w:sz w:val="21"/>
          <w:szCs w:val="21"/>
        </w:rPr>
        <w:t>注意事项</w:t>
      </w:r>
      <w:bookmarkEnd w:id="24"/>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1.供应商在获取本项目竞争性磋商文件前须仔细阅读资格要求内容，并按磋商文件规定要求在响应文件中递交合格有效的资格证明文件，资格审查资料不合格将导致竞标失败。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对自己所提供的资格证明材料的真实性负责，无论何时，如发现供应商提供虚假的材料，将按照《中华人民共和国政府采购法》及本项目竞争性磋商文件的有关规定进行严肃处理，并在相关网站上进行通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请供应商仔细阅读本磋商文件的全部条文，对于文件中存在的任何含糊、遗漏、相互矛盾之处，或是对于采购范围的界定和采购内容的要求不清楚，认为存在歧义的，供应商应按本文件规定的时限向采购代理机构寻求书面澄清；未提出澄清要求的，则认同为完全理解本文件要求并接受采购人或采购代理机构可能作出的任何最终解释。</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关于本项目磋商文件有关内容的澄清、修改及变更等通知将通过书面形式经邮箱通知各供应商同时电话或短信告知，若采购人或采购代理机构未收到回复，视为收悉，并默认通知内容。若因供应商自身原因接收消息不及时，导致竞标受影响，其后果自行承担。</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中经国际招标集团有限公司</w:t>
      </w:r>
    </w:p>
    <w:p>
      <w:pPr>
        <w:spacing w:line="440" w:lineRule="exact"/>
        <w:jc w:val="right"/>
        <w:rPr>
          <w:rFonts w:asciiTheme="minorEastAsia" w:hAnsiTheme="minorEastAsia" w:eastAsiaTheme="minorEastAsia" w:cstheme="minorEastAsia"/>
        </w:rPr>
      </w:pPr>
      <w:r>
        <w:rPr>
          <w:rFonts w:hint="eastAsia" w:asciiTheme="minorEastAsia" w:hAnsiTheme="minorEastAsia" w:eastAsiaTheme="minorEastAsia" w:cstheme="minorEastAsia"/>
          <w:color w:val="3922E7"/>
          <w:szCs w:val="21"/>
        </w:rPr>
        <w:t xml:space="preserve"> 2022年7月</w:t>
      </w:r>
      <w:r>
        <w:rPr>
          <w:rFonts w:hint="eastAsia" w:asciiTheme="minorEastAsia" w:hAnsiTheme="minorEastAsia" w:eastAsiaTheme="minorEastAsia" w:cstheme="minorEastAsia"/>
          <w:color w:val="3922E7"/>
          <w:szCs w:val="21"/>
          <w:lang w:val="en-US" w:eastAsia="zh-CN"/>
        </w:rPr>
        <w:t>25</w:t>
      </w:r>
      <w:r>
        <w:rPr>
          <w:rFonts w:hint="eastAsia" w:asciiTheme="minorEastAsia" w:hAnsiTheme="minorEastAsia" w:eastAsiaTheme="minorEastAsia" w:cstheme="minorEastAsia"/>
          <w:color w:val="3922E7"/>
          <w:szCs w:val="21"/>
        </w:rPr>
        <w:t>日</w:t>
      </w:r>
    </w:p>
    <w:p>
      <w:pPr>
        <w:numPr>
          <w:ilvl w:val="0"/>
          <w:numId w:val="4"/>
        </w:num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 w:val="32"/>
          <w:szCs w:val="32"/>
        </w:rPr>
      </w:pPr>
      <w:bookmarkStart w:id="25" w:name="_Toc30709"/>
      <w:r>
        <w:rPr>
          <w:rFonts w:hint="eastAsia" w:asciiTheme="minorEastAsia" w:hAnsiTheme="minorEastAsia" w:eastAsiaTheme="minorEastAsia" w:cstheme="minorEastAsia"/>
          <w:sz w:val="36"/>
          <w:szCs w:val="36"/>
        </w:rPr>
        <w:t>供应商须知</w:t>
      </w:r>
      <w:bookmarkEnd w:id="25"/>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26" w:name="_Toc8085"/>
      <w:r>
        <w:rPr>
          <w:rFonts w:hint="eastAsia" w:asciiTheme="minorEastAsia" w:hAnsiTheme="minorEastAsia" w:eastAsiaTheme="minorEastAsia" w:cstheme="minorEastAsia"/>
          <w:b/>
          <w:szCs w:val="21"/>
        </w:rPr>
        <w:t>《供应商须知前附表》</w:t>
      </w:r>
      <w:bookmarkEnd w:id="26"/>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color w:val="FF0000"/>
                <w:kern w:val="2"/>
                <w:sz w:val="21"/>
                <w:szCs w:val="21"/>
                <w:lang w:val="zh-CN"/>
              </w:rPr>
            </w:pPr>
            <w:r>
              <w:rPr>
                <w:rFonts w:cs="宋体"/>
                <w:kern w:val="2"/>
                <w:sz w:val="21"/>
                <w:szCs w:val="21"/>
                <w:lang w:val="zh-CN"/>
              </w:rPr>
              <w:t>采购人</w:t>
            </w:r>
          </w:p>
        </w:tc>
        <w:tc>
          <w:tcPr>
            <w:tcW w:w="6130" w:type="dxa"/>
            <w:vAlign w:val="center"/>
          </w:tcPr>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宋体" w:hAnsi="宋体" w:cs="宋体"/>
                <w:szCs w:val="21"/>
                <w:lang w:val="zh-CN"/>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color w:val="FF0000"/>
                <w:kern w:val="2"/>
                <w:sz w:val="21"/>
                <w:szCs w:val="21"/>
                <w:lang w:val="zh-CN"/>
              </w:rPr>
            </w:pPr>
            <w:r>
              <w:rPr>
                <w:rFonts w:cs="宋体"/>
                <w:kern w:val="2"/>
                <w:sz w:val="21"/>
                <w:szCs w:val="21"/>
                <w:lang w:val="zh-CN"/>
              </w:rPr>
              <w:t>监管部门</w:t>
            </w:r>
          </w:p>
        </w:tc>
        <w:tc>
          <w:tcPr>
            <w:tcW w:w="6130" w:type="dxa"/>
            <w:vAlign w:val="center"/>
          </w:tcPr>
          <w:p>
            <w:pPr>
              <w:autoSpaceDE w:val="0"/>
              <w:autoSpaceDN w:val="0"/>
              <w:adjustRightInd w:val="0"/>
              <w:jc w:val="left"/>
              <w:rPr>
                <w:rFonts w:ascii="宋体" w:hAnsi="宋体" w:cs="宋体"/>
                <w:szCs w:val="21"/>
                <w:lang w:val="zh-CN"/>
              </w:rPr>
            </w:pPr>
            <w:r>
              <w:rPr>
                <w:rFonts w:hint="eastAsia" w:ascii="宋体" w:hAnsi="宋体" w:cs="宋体"/>
                <w:szCs w:val="21"/>
                <w:lang w:val="zh-CN"/>
              </w:rPr>
              <w:t>湖北省财政厅政府采购管理处</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宋体" w:hAnsi="宋体" w:cs="宋体"/>
                <w:szCs w:val="21"/>
                <w:lang w:val="zh-CN"/>
              </w:rPr>
              <w:t>地  址：武汉市武昌区中北路8号</w:t>
            </w:r>
            <w:r>
              <w:rPr>
                <w:rFonts w:hint="eastAsia" w:ascii="宋体" w:hAnsi="宋体" w:cs="宋体"/>
                <w:szCs w:val="21"/>
                <w:lang w:val="zh-CN"/>
              </w:rPr>
              <w:br w:type="textWrapping"/>
            </w:r>
            <w:r>
              <w:rPr>
                <w:rFonts w:hint="eastAsia" w:ascii="宋体" w:hAnsi="宋体" w:cs="宋体"/>
                <w:szCs w:val="21"/>
                <w:lang w:val="zh-CN"/>
              </w:rPr>
              <w:t>电话：</w:t>
            </w:r>
            <w:r>
              <w:rPr>
                <w:rFonts w:hint="eastAsia" w:ascii="宋体" w:hAnsi="宋体" w:cs="宋体"/>
                <w:szCs w:val="21"/>
              </w:rPr>
              <w:t>027-</w:t>
            </w:r>
            <w:r>
              <w:rPr>
                <w:rFonts w:hint="eastAsia" w:ascii="宋体" w:hAnsi="宋体" w:cs="宋体"/>
                <w:szCs w:val="21"/>
                <w:lang w:val="zh-CN"/>
              </w:rPr>
              <w:t>67818721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中经国际招标集团有限公司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成交供应商按国家发展计划委员会计价格【2002】1980号文规定的取费标准80%向采购代理机构支付招标代理服务费。招标代理服务费由成交供应商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highlight w:val="lightGray"/>
                <w:lang w:val="zh-CN"/>
              </w:rPr>
              <w:t>（实质性</w:t>
            </w:r>
            <w:r>
              <w:rPr>
                <w:rFonts w:hint="eastAsia" w:asciiTheme="minorEastAsia" w:hAnsiTheme="minorEastAsia" w:eastAsiaTheme="minorEastAsia" w:cstheme="minorEastAsia"/>
                <w:b/>
                <w:bCs/>
                <w:szCs w:val="21"/>
                <w:highlight w:val="lightGray"/>
              </w:rPr>
              <w:t>内容</w:t>
            </w:r>
            <w:r>
              <w:rPr>
                <w:rFonts w:hint="eastAsia" w:asciiTheme="minorEastAsia" w:hAnsiTheme="minorEastAsia" w:eastAsiaTheme="minorEastAsia" w:cstheme="minorEastAsia"/>
                <w:b/>
                <w:bCs/>
                <w:szCs w:val="21"/>
                <w:highlight w:val="lightGray"/>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shd w:val="clear" w:color="auto" w:fill="FFFFFF"/>
              </w:rPr>
              <w:t>响应文件电子版格式：</w:t>
            </w:r>
            <w:r>
              <w:rPr>
                <w:rFonts w:hint="eastAsia" w:asciiTheme="minorEastAsia" w:hAnsiTheme="minorEastAsia" w:eastAsiaTheme="minorEastAsia" w:cstheme="minorEastAsia"/>
                <w:b/>
                <w:bCs/>
                <w:szCs w:val="21"/>
              </w:rPr>
              <w:t>WORD格式和加</w:t>
            </w:r>
            <w:r>
              <w:rPr>
                <w:rFonts w:hint="eastAsia" w:asciiTheme="minorEastAsia" w:hAnsiTheme="minorEastAsia" w:eastAsiaTheme="minorEastAsia" w:cstheme="minorEastAsia"/>
                <w:b/>
                <w:bCs/>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snapToGrid w:val="0"/>
                <w:kern w:val="0"/>
                <w:szCs w:val="21"/>
                <w:lang w:val="zh-CN"/>
              </w:rPr>
              <w:t>（</w:t>
            </w:r>
            <w:r>
              <w:rPr>
                <w:rFonts w:hint="eastAsia" w:asciiTheme="minorEastAsia" w:hAnsiTheme="minorEastAsia" w:eastAsiaTheme="minorEastAsia" w:cstheme="minorEastAsia"/>
                <w:snapToGrid w:val="0"/>
                <w:kern w:val="0"/>
                <w:szCs w:val="21"/>
              </w:rPr>
              <w:t>或不标明供应商名称提交</w:t>
            </w:r>
            <w:r>
              <w:rPr>
                <w:rFonts w:hint="eastAsia" w:asciiTheme="minorEastAsia" w:hAnsiTheme="minorEastAsia" w:eastAsiaTheme="minorEastAsia" w:cstheme="minorEastAsia"/>
                <w:snapToGrid w:val="0"/>
                <w:kern w:val="0"/>
                <w:szCs w:val="21"/>
                <w:lang w:val="zh-CN"/>
              </w:rPr>
              <w:t>）</w:t>
            </w:r>
            <w:r>
              <w:rPr>
                <w:rFonts w:hint="eastAsia" w:asciiTheme="minorEastAsia" w:hAnsiTheme="minorEastAsia" w:eastAsiaTheme="minorEastAsia" w:cstheme="minorEastAsia"/>
                <w:kern w:val="0"/>
                <w:szCs w:val="21"/>
                <w:lang w:val="zh-CN"/>
              </w:rPr>
              <w:t>。</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3人或3人以上单数组成，其中采购人代表不超过成员总数的三分之一，外聘专家在省政府采购专家库中随机抽取。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u w:val="single"/>
              </w:rPr>
            </w:pPr>
            <w:r>
              <w:rPr>
                <w:rFonts w:hint="eastAsia"/>
              </w:rPr>
              <w:t>☑不接受；□接受；</w:t>
            </w:r>
            <w:r>
              <w:rPr>
                <w:rFonts w:hint="eastAsia"/>
              </w:rPr>
              <w:br w:type="textWrapping"/>
            </w:r>
            <w:r>
              <w:rPr>
                <w:rFonts w:hint="eastAsia"/>
              </w:rPr>
              <w:t>经财政部门审核同意购买的进口产品为：</w:t>
            </w:r>
            <w:r>
              <w:rPr>
                <w:rFonts w:hint="eastAsia"/>
                <w:u w:val="single"/>
              </w:rPr>
              <w:t>         </w:t>
            </w:r>
          </w:p>
          <w:p>
            <w:pPr>
              <w:pStyle w:val="10"/>
            </w:pPr>
            <w:r>
              <w:rPr>
                <w:rFonts w:hint="eastAsia"/>
              </w:rPr>
              <w:t>备注：财政部门审核同意购买进口产品的，应当在采购文件中明确规定可以采购进口产品，但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核心产品</w:t>
            </w:r>
          </w:p>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【本项目不适用】</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本项目核心产品：</w:t>
            </w:r>
            <w:r>
              <w:rPr>
                <w:rFonts w:hint="eastAsia"/>
                <w:color w:val="auto"/>
                <w:u w:val="single"/>
              </w:rPr>
              <w:t xml:space="preserve">    </w:t>
            </w:r>
            <w:r>
              <w:rPr>
                <w:rFonts w:hint="eastAsia"/>
                <w:color w:val="auto"/>
                <w:u w:val="single"/>
                <w:lang w:val="en-US" w:eastAsia="zh-CN"/>
              </w:rPr>
              <w:t>/</w:t>
            </w:r>
            <w:r>
              <w:rPr>
                <w:rFonts w:hint="eastAsia"/>
                <w:color w:val="auto"/>
                <w:u w:val="single"/>
              </w:rPr>
              <w:t xml:space="preserve">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提供相同品牌核心产品且通过资格审查、符合性审查的不同供应商参加同一合同项下竞标的，按一家供应商计算，评审后得分最高的同品牌供应商获得成交供应商推荐资格；评审得分相同的，采取随机抽取方式确定，其他同品牌供应商不作为中标候选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（2）若核心产品不止 1 个，各供应商所投任一核心产品的品牌相同，则按一家供应商计算。</w:t>
            </w:r>
          </w:p>
        </w:tc>
      </w:tr>
    </w:tbl>
    <w:p>
      <w:pPr>
        <w:spacing w:line="360" w:lineRule="auto"/>
        <w:outlineLvl w:val="1"/>
        <w:rPr>
          <w:rFonts w:asciiTheme="minorEastAsia" w:hAnsiTheme="minorEastAsia" w:eastAsiaTheme="minorEastAsia" w:cstheme="minorEastAsia"/>
          <w:b/>
          <w:szCs w:val="21"/>
        </w:rPr>
      </w:pPr>
      <w:bookmarkStart w:id="27" w:name="_Toc27799"/>
      <w:r>
        <w:rPr>
          <w:rFonts w:hint="eastAsia" w:asciiTheme="minorEastAsia" w:hAnsiTheme="minorEastAsia" w:eastAsiaTheme="minorEastAsia" w:cstheme="minorEastAsia"/>
          <w:b/>
          <w:szCs w:val="21"/>
        </w:rPr>
        <w:t>供应商须知</w:t>
      </w:r>
      <w:bookmarkEnd w:id="27"/>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8" w:name="_Toc22879"/>
      <w:r>
        <w:rPr>
          <w:rFonts w:hint="eastAsia" w:asciiTheme="minorEastAsia" w:hAnsiTheme="minorEastAsia" w:eastAsiaTheme="minorEastAsia" w:cstheme="minorEastAsia"/>
          <w:b/>
          <w:szCs w:val="21"/>
        </w:rPr>
        <w:t>总则</w:t>
      </w:r>
      <w:bookmarkEnd w:id="28"/>
    </w:p>
    <w:p>
      <w:pPr>
        <w:numPr>
          <w:ilvl w:val="0"/>
          <w:numId w:val="8"/>
        </w:numPr>
        <w:spacing w:line="360" w:lineRule="auto"/>
        <w:ind w:hanging="540"/>
        <w:outlineLvl w:val="1"/>
        <w:rPr>
          <w:rFonts w:asciiTheme="minorEastAsia" w:hAnsiTheme="minorEastAsia" w:eastAsiaTheme="minorEastAsia" w:cstheme="minorEastAsia"/>
          <w:b/>
          <w:szCs w:val="21"/>
        </w:rPr>
      </w:pPr>
      <w:bookmarkStart w:id="29" w:name="_Toc27243"/>
      <w:bookmarkStart w:id="30" w:name="_Toc31055"/>
      <w:r>
        <w:rPr>
          <w:rFonts w:hint="eastAsia" w:asciiTheme="minorEastAsia" w:hAnsiTheme="minorEastAsia" w:eastAsiaTheme="minorEastAsia" w:cstheme="minorEastAsia"/>
          <w:b/>
          <w:szCs w:val="21"/>
        </w:rPr>
        <w:t>适用法律及范围</w:t>
      </w:r>
      <w:bookmarkEnd w:id="29"/>
      <w:bookmarkEnd w:id="30"/>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31" w:name="_Toc30547"/>
      <w:bookmarkStart w:id="32" w:name="_Toc402"/>
      <w:r>
        <w:rPr>
          <w:rFonts w:hint="eastAsia" w:asciiTheme="minorEastAsia" w:hAnsiTheme="minorEastAsia" w:eastAsiaTheme="minorEastAsia" w:cstheme="minorEastAsia"/>
          <w:b/>
          <w:szCs w:val="21"/>
        </w:rPr>
        <w:t>定义</w:t>
      </w:r>
      <w:bookmarkEnd w:id="31"/>
      <w:bookmarkEnd w:id="32"/>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33" w:name="_Toc30503"/>
      <w:bookmarkStart w:id="34" w:name="_Toc8132"/>
      <w:r>
        <w:rPr>
          <w:rFonts w:hint="eastAsia" w:asciiTheme="minorEastAsia" w:hAnsiTheme="minorEastAsia" w:eastAsiaTheme="minorEastAsia" w:cstheme="minorEastAsia"/>
          <w:b/>
          <w:snapToGrid w:val="0"/>
          <w:kern w:val="0"/>
          <w:szCs w:val="21"/>
          <w:lang w:val="zh-CN"/>
        </w:rPr>
        <w:t>工程、货物及服务</w:t>
      </w:r>
      <w:bookmarkEnd w:id="33"/>
      <w:bookmarkEnd w:id="34"/>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35" w:name="_Toc4782"/>
      <w:bookmarkStart w:id="36" w:name="_Toc9974"/>
      <w:r>
        <w:rPr>
          <w:rFonts w:hint="eastAsia" w:asciiTheme="minorEastAsia" w:hAnsiTheme="minorEastAsia" w:eastAsiaTheme="minorEastAsia" w:cstheme="minorEastAsia"/>
          <w:b/>
          <w:szCs w:val="21"/>
        </w:rPr>
        <w:t>费用</w:t>
      </w:r>
      <w:bookmarkEnd w:id="35"/>
      <w:bookmarkEnd w:id="36"/>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37" w:name="_Toc14873"/>
      <w:r>
        <w:rPr>
          <w:rFonts w:hint="eastAsia" w:asciiTheme="minorEastAsia" w:hAnsiTheme="minorEastAsia" w:eastAsiaTheme="minorEastAsia" w:cstheme="minorEastAsia"/>
          <w:b/>
          <w:szCs w:val="21"/>
        </w:rPr>
        <w:t>竞争性磋商采购文件</w:t>
      </w:r>
      <w:bookmarkEnd w:id="37"/>
    </w:p>
    <w:p>
      <w:pPr>
        <w:numPr>
          <w:ilvl w:val="0"/>
          <w:numId w:val="8"/>
        </w:numPr>
        <w:spacing w:line="360" w:lineRule="auto"/>
        <w:ind w:hanging="540"/>
        <w:outlineLvl w:val="1"/>
        <w:rPr>
          <w:rFonts w:asciiTheme="minorEastAsia" w:hAnsiTheme="minorEastAsia" w:eastAsiaTheme="minorEastAsia" w:cstheme="minorEastAsia"/>
          <w:b/>
          <w:szCs w:val="21"/>
        </w:rPr>
      </w:pPr>
      <w:bookmarkStart w:id="38" w:name="_Toc4547"/>
      <w:bookmarkStart w:id="39" w:name="_Toc18767"/>
      <w:r>
        <w:rPr>
          <w:rFonts w:hint="eastAsia" w:asciiTheme="minorEastAsia" w:hAnsiTheme="minorEastAsia" w:eastAsiaTheme="minorEastAsia" w:cstheme="minorEastAsia"/>
          <w:b/>
          <w:szCs w:val="21"/>
        </w:rPr>
        <w:t>竞争性磋商采购文件的构成</w:t>
      </w:r>
      <w:bookmarkEnd w:id="38"/>
      <w:bookmarkEnd w:id="39"/>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0" w:name="_Toc14714"/>
      <w:bookmarkStart w:id="41" w:name="_Toc29700"/>
      <w:r>
        <w:rPr>
          <w:rFonts w:hint="eastAsia" w:asciiTheme="minorEastAsia" w:hAnsiTheme="minorEastAsia" w:eastAsiaTheme="minorEastAsia" w:cstheme="minorEastAsia"/>
          <w:b/>
          <w:snapToGrid w:val="0"/>
          <w:kern w:val="0"/>
          <w:szCs w:val="21"/>
          <w:lang w:val="zh-CN"/>
        </w:rPr>
        <w:t>竞争性磋商采购文件的澄清</w:t>
      </w:r>
      <w:bookmarkEnd w:id="40"/>
      <w:bookmarkEnd w:id="41"/>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2" w:name="_Toc17662"/>
      <w:bookmarkStart w:id="43" w:name="_Toc31761"/>
      <w:r>
        <w:rPr>
          <w:rFonts w:hint="eastAsia" w:asciiTheme="minorEastAsia" w:hAnsiTheme="minorEastAsia" w:eastAsiaTheme="minorEastAsia" w:cstheme="minorEastAsia"/>
          <w:b/>
          <w:snapToGrid w:val="0"/>
          <w:kern w:val="0"/>
          <w:szCs w:val="21"/>
          <w:lang w:val="zh-CN"/>
        </w:rPr>
        <w:t>竞争性磋商采购文件的修改</w:t>
      </w:r>
      <w:bookmarkEnd w:id="42"/>
      <w:bookmarkEnd w:id="43"/>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5"/>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4" w:name="_Toc11799"/>
      <w:r>
        <w:rPr>
          <w:rFonts w:hint="eastAsia" w:asciiTheme="minorEastAsia" w:hAnsiTheme="minorEastAsia" w:eastAsiaTheme="minorEastAsia" w:cstheme="minorEastAsia"/>
          <w:b/>
          <w:szCs w:val="21"/>
        </w:rPr>
        <w:t>竞争性磋商响应文件</w:t>
      </w:r>
      <w:bookmarkEnd w:id="44"/>
    </w:p>
    <w:p>
      <w:pPr>
        <w:numPr>
          <w:ilvl w:val="0"/>
          <w:numId w:val="8"/>
        </w:numPr>
        <w:spacing w:line="360" w:lineRule="auto"/>
        <w:ind w:hanging="540"/>
        <w:outlineLvl w:val="1"/>
        <w:rPr>
          <w:rFonts w:asciiTheme="minorEastAsia" w:hAnsiTheme="minorEastAsia" w:eastAsiaTheme="minorEastAsia" w:cstheme="minorEastAsia"/>
          <w:snapToGrid w:val="0"/>
          <w:kern w:val="0"/>
          <w:szCs w:val="21"/>
          <w:lang w:val="zh-CN"/>
        </w:rPr>
      </w:pPr>
      <w:bookmarkStart w:id="45" w:name="_Toc30987"/>
      <w:bookmarkStart w:id="46" w:name="_Toc12496"/>
      <w:r>
        <w:rPr>
          <w:rFonts w:hint="eastAsia" w:asciiTheme="minorEastAsia" w:hAnsiTheme="minorEastAsia" w:eastAsiaTheme="minorEastAsia" w:cstheme="minorEastAsia"/>
          <w:b/>
          <w:snapToGrid w:val="0"/>
          <w:kern w:val="0"/>
          <w:szCs w:val="21"/>
          <w:lang w:val="zh-CN"/>
        </w:rPr>
        <w:t>语言和计量单位</w:t>
      </w:r>
      <w:bookmarkEnd w:id="45"/>
      <w:bookmarkEnd w:id="46"/>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7" w:name="_Toc32272"/>
      <w:bookmarkStart w:id="48" w:name="_Toc3015"/>
      <w:r>
        <w:rPr>
          <w:rFonts w:hint="eastAsia" w:asciiTheme="minorEastAsia" w:hAnsiTheme="minorEastAsia" w:eastAsiaTheme="minorEastAsia" w:cstheme="minorEastAsia"/>
          <w:b/>
          <w:snapToGrid w:val="0"/>
          <w:kern w:val="0"/>
          <w:szCs w:val="21"/>
          <w:lang w:val="zh-CN"/>
        </w:rPr>
        <w:t>竞争性磋商响应文件的构成</w:t>
      </w:r>
      <w:bookmarkEnd w:id="47"/>
      <w:bookmarkEnd w:id="48"/>
    </w:p>
    <w:p>
      <w:pPr>
        <w:numPr>
          <w:ilvl w:val="1"/>
          <w:numId w:val="17"/>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9" w:name="_Toc14836"/>
      <w:bookmarkStart w:id="50" w:name="_Toc25217"/>
      <w:r>
        <w:rPr>
          <w:rFonts w:hint="eastAsia" w:asciiTheme="minorEastAsia" w:hAnsiTheme="minorEastAsia" w:eastAsiaTheme="minorEastAsia" w:cstheme="minorEastAsia"/>
          <w:b/>
          <w:snapToGrid w:val="0"/>
          <w:kern w:val="0"/>
          <w:szCs w:val="21"/>
          <w:lang w:val="zh-CN"/>
        </w:rPr>
        <w:t>竞争性磋商响应文件的编制</w:t>
      </w:r>
      <w:bookmarkEnd w:id="49"/>
      <w:bookmarkEnd w:id="50"/>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51" w:name="_Toc30950"/>
      <w:bookmarkStart w:id="52" w:name="_Toc24544"/>
      <w:r>
        <w:rPr>
          <w:rFonts w:hint="eastAsia" w:asciiTheme="minorEastAsia" w:hAnsiTheme="minorEastAsia" w:eastAsiaTheme="minorEastAsia" w:cstheme="minorEastAsia"/>
          <w:b/>
          <w:snapToGrid w:val="0"/>
          <w:kern w:val="0"/>
          <w:szCs w:val="21"/>
          <w:lang w:val="zh-CN"/>
        </w:rPr>
        <w:t>磋商报价</w:t>
      </w:r>
      <w:bookmarkEnd w:id="51"/>
      <w:bookmarkEnd w:id="52"/>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3" w:name="_Toc2960"/>
      <w:bookmarkStart w:id="54" w:name="_Toc6176"/>
      <w:r>
        <w:rPr>
          <w:rFonts w:hint="eastAsia" w:asciiTheme="minorEastAsia" w:hAnsiTheme="minorEastAsia" w:eastAsiaTheme="minorEastAsia" w:cstheme="minorEastAsia"/>
          <w:b/>
          <w:snapToGrid w:val="0"/>
          <w:kern w:val="0"/>
          <w:szCs w:val="21"/>
          <w:lang w:val="zh-CN"/>
        </w:rPr>
        <w:t>备选方案</w:t>
      </w:r>
      <w:bookmarkEnd w:id="53"/>
      <w:bookmarkEnd w:id="54"/>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5" w:name="_Toc8511"/>
      <w:bookmarkStart w:id="56" w:name="_Toc3324"/>
      <w:r>
        <w:rPr>
          <w:rFonts w:hint="eastAsia" w:asciiTheme="minorEastAsia" w:hAnsiTheme="minorEastAsia" w:eastAsiaTheme="minorEastAsia" w:cstheme="minorEastAsia"/>
          <w:b/>
          <w:snapToGrid w:val="0"/>
          <w:kern w:val="0"/>
          <w:szCs w:val="21"/>
          <w:lang w:val="zh-CN"/>
        </w:rPr>
        <w:t>联合体</w:t>
      </w:r>
      <w:bookmarkEnd w:id="55"/>
      <w:bookmarkEnd w:id="56"/>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7" w:name="_Toc671"/>
      <w:bookmarkStart w:id="58" w:name="_Toc2434"/>
      <w:r>
        <w:rPr>
          <w:rFonts w:hint="eastAsia" w:asciiTheme="minorEastAsia" w:hAnsiTheme="minorEastAsia" w:eastAsiaTheme="minorEastAsia" w:cstheme="minorEastAsia"/>
          <w:b/>
          <w:snapToGrid w:val="0"/>
          <w:kern w:val="0"/>
          <w:szCs w:val="21"/>
          <w:lang w:val="zh-CN"/>
        </w:rPr>
        <w:t>供应商资格证明文件</w:t>
      </w:r>
      <w:bookmarkEnd w:id="57"/>
      <w:bookmarkEnd w:id="58"/>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3"/>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9" w:name="_Toc9935"/>
      <w:bookmarkStart w:id="60" w:name="_Toc5355"/>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59"/>
      <w:bookmarkEnd w:id="60"/>
    </w:p>
    <w:p>
      <w:pPr>
        <w:numPr>
          <w:ilvl w:val="1"/>
          <w:numId w:val="24"/>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1" w:name="_Toc27068"/>
      <w:bookmarkStart w:id="62" w:name="_Toc8624"/>
      <w:r>
        <w:rPr>
          <w:rFonts w:hint="eastAsia" w:asciiTheme="minorEastAsia" w:hAnsiTheme="minorEastAsia" w:eastAsiaTheme="minorEastAsia" w:cstheme="minorEastAsia"/>
          <w:b/>
          <w:snapToGrid w:val="0"/>
          <w:kern w:val="0"/>
          <w:szCs w:val="21"/>
          <w:lang w:val="zh-CN"/>
        </w:rPr>
        <w:t>磋商保证金</w:t>
      </w:r>
      <w:bookmarkEnd w:id="61"/>
      <w:bookmarkEnd w:id="62"/>
    </w:p>
    <w:p>
      <w:pPr>
        <w:numPr>
          <w:ilvl w:val="1"/>
          <w:numId w:val="25"/>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3" w:name="_Toc5668"/>
      <w:bookmarkStart w:id="64" w:name="_Toc15253"/>
      <w:r>
        <w:rPr>
          <w:rFonts w:hint="eastAsia" w:asciiTheme="minorEastAsia" w:hAnsiTheme="minorEastAsia" w:eastAsiaTheme="minorEastAsia" w:cstheme="minorEastAsia"/>
          <w:b/>
          <w:snapToGrid w:val="0"/>
          <w:kern w:val="0"/>
          <w:szCs w:val="21"/>
          <w:lang w:val="zh-CN"/>
        </w:rPr>
        <w:t>磋商有效期</w:t>
      </w:r>
      <w:bookmarkEnd w:id="63"/>
      <w:bookmarkEnd w:id="64"/>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5" w:name="_Toc8272"/>
      <w:bookmarkStart w:id="66" w:name="_Toc19385"/>
      <w:r>
        <w:rPr>
          <w:rFonts w:hint="eastAsia" w:asciiTheme="minorEastAsia" w:hAnsiTheme="minorEastAsia" w:eastAsiaTheme="minorEastAsia" w:cstheme="minorEastAsia"/>
          <w:b/>
          <w:snapToGrid w:val="0"/>
          <w:kern w:val="0"/>
          <w:szCs w:val="21"/>
          <w:lang w:val="zh-CN"/>
        </w:rPr>
        <w:t>竞争性磋商响应文件的装订、签署和数量</w:t>
      </w:r>
      <w:bookmarkEnd w:id="65"/>
      <w:bookmarkEnd w:id="66"/>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7" w:name="_Toc26249"/>
      <w:r>
        <w:rPr>
          <w:rFonts w:hint="eastAsia" w:asciiTheme="minorEastAsia" w:hAnsiTheme="minorEastAsia" w:eastAsiaTheme="minorEastAsia" w:cstheme="minorEastAsia"/>
          <w:b/>
          <w:szCs w:val="21"/>
        </w:rPr>
        <w:t>竞争性磋商响应文件的递交</w:t>
      </w:r>
      <w:bookmarkEnd w:id="67"/>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8" w:name="_Toc18004"/>
      <w:bookmarkStart w:id="69" w:name="_Toc27305"/>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68"/>
      <w:bookmarkEnd w:id="69"/>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0" w:name="_Toc8300"/>
      <w:bookmarkStart w:id="71" w:name="_Toc17857"/>
      <w:r>
        <w:rPr>
          <w:rFonts w:hint="eastAsia" w:asciiTheme="minorEastAsia" w:hAnsiTheme="minorEastAsia" w:eastAsiaTheme="minorEastAsia" w:cstheme="minorEastAsia"/>
          <w:b/>
          <w:snapToGrid w:val="0"/>
          <w:kern w:val="0"/>
          <w:szCs w:val="21"/>
          <w:lang w:val="zh-CN"/>
        </w:rPr>
        <w:t>竞争性磋商响应文件的送达地点及截止时间</w:t>
      </w:r>
      <w:bookmarkEnd w:id="70"/>
      <w:bookmarkEnd w:id="71"/>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2" w:name="_Toc31376"/>
      <w:bookmarkStart w:id="73" w:name="_Toc18217"/>
      <w:r>
        <w:rPr>
          <w:rFonts w:hint="eastAsia" w:asciiTheme="minorEastAsia" w:hAnsiTheme="minorEastAsia" w:eastAsiaTheme="minorEastAsia" w:cstheme="minorEastAsia"/>
          <w:b/>
          <w:snapToGrid w:val="0"/>
          <w:kern w:val="0"/>
          <w:szCs w:val="21"/>
          <w:lang w:val="zh-CN"/>
        </w:rPr>
        <w:t>迟交的竞争性磋商响应文件</w:t>
      </w:r>
      <w:bookmarkEnd w:id="72"/>
      <w:bookmarkEnd w:id="73"/>
    </w:p>
    <w:p>
      <w:pPr>
        <w:numPr>
          <w:ilvl w:val="1"/>
          <w:numId w:val="30"/>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4" w:name="_Toc31760"/>
      <w:bookmarkStart w:id="75" w:name="_Toc3991"/>
      <w:r>
        <w:rPr>
          <w:rFonts w:hint="eastAsia" w:asciiTheme="minorEastAsia" w:hAnsiTheme="minorEastAsia" w:eastAsiaTheme="minorEastAsia" w:cstheme="minorEastAsia"/>
          <w:b/>
          <w:snapToGrid w:val="0"/>
          <w:kern w:val="0"/>
          <w:szCs w:val="21"/>
          <w:lang w:val="zh-CN"/>
        </w:rPr>
        <w:t>竞争性磋商响应文件的补充、修改或者撤回</w:t>
      </w:r>
      <w:bookmarkEnd w:id="74"/>
      <w:bookmarkEnd w:id="75"/>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6" w:name="_Toc11595"/>
      <w:r>
        <w:rPr>
          <w:rFonts w:hint="eastAsia" w:asciiTheme="minorEastAsia" w:hAnsiTheme="minorEastAsia" w:eastAsiaTheme="minorEastAsia" w:cstheme="minorEastAsia"/>
          <w:b/>
          <w:szCs w:val="21"/>
        </w:rPr>
        <w:t>磋商程序及步骤</w:t>
      </w:r>
      <w:bookmarkEnd w:id="76"/>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7" w:name="_Toc10346"/>
      <w:bookmarkStart w:id="78" w:name="_Toc22624"/>
      <w:r>
        <w:rPr>
          <w:rFonts w:hint="eastAsia" w:asciiTheme="minorEastAsia" w:hAnsiTheme="minorEastAsia" w:eastAsiaTheme="minorEastAsia" w:cstheme="minorEastAsia"/>
          <w:b/>
        </w:rPr>
        <w:t>竞争性磋商小组</w:t>
      </w:r>
      <w:bookmarkEnd w:id="77"/>
      <w:bookmarkEnd w:id="78"/>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9" w:name="_Toc21483"/>
      <w:bookmarkStart w:id="80" w:name="_Toc20173"/>
      <w:r>
        <w:rPr>
          <w:rFonts w:hint="eastAsia" w:asciiTheme="minorEastAsia" w:hAnsiTheme="minorEastAsia" w:eastAsiaTheme="minorEastAsia" w:cstheme="minorEastAsia"/>
          <w:b/>
        </w:rPr>
        <w:t>磋商代表</w:t>
      </w:r>
      <w:bookmarkEnd w:id="79"/>
      <w:bookmarkEnd w:id="80"/>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81" w:name="_Toc9967"/>
      <w:bookmarkStart w:id="82" w:name="_Toc32662"/>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81"/>
      <w:bookmarkEnd w:id="82"/>
      <w:r>
        <w:rPr>
          <w:rFonts w:hint="eastAsia" w:asciiTheme="minorEastAsia" w:hAnsiTheme="minorEastAsia" w:eastAsiaTheme="minorEastAsia" w:cstheme="minorEastAsia"/>
          <w:szCs w:val="21"/>
        </w:rPr>
        <w:t>磋商代表的其他要求见《供应商须知前附表》。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83" w:name="_Toc5905"/>
      <w:r>
        <w:rPr>
          <w:rFonts w:hint="eastAsia" w:asciiTheme="minorEastAsia" w:hAnsiTheme="minorEastAsia" w:eastAsiaTheme="minorEastAsia" w:cstheme="minorEastAsia"/>
          <w:b/>
        </w:rPr>
        <w:t>资格审查和符合性审查</w:t>
      </w:r>
      <w:bookmarkEnd w:id="83"/>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84" w:name="_Toc17390"/>
      <w:r>
        <w:rPr>
          <w:rFonts w:hint="eastAsia" w:asciiTheme="minorEastAsia" w:hAnsiTheme="minorEastAsia" w:eastAsiaTheme="minorEastAsia" w:cstheme="minorEastAsia"/>
          <w:b/>
        </w:rPr>
        <w:t>磋商</w:t>
      </w:r>
      <w:bookmarkEnd w:id="84"/>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5" w:name="_Toc17550"/>
      <w:r>
        <w:rPr>
          <w:rFonts w:hint="eastAsia" w:asciiTheme="minorEastAsia" w:hAnsiTheme="minorEastAsia" w:eastAsiaTheme="minorEastAsia" w:cstheme="minorEastAsia"/>
          <w:b/>
          <w:lang w:val="zh-CN"/>
        </w:rPr>
        <w:t>保密</w:t>
      </w:r>
      <w:bookmarkEnd w:id="85"/>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2"/>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86" w:name="_Toc15936"/>
      <w:bookmarkStart w:id="87" w:name="_Toc9335"/>
      <w:r>
        <w:rPr>
          <w:rFonts w:hint="eastAsia" w:asciiTheme="minorEastAsia" w:hAnsiTheme="minorEastAsia" w:eastAsiaTheme="minorEastAsia" w:cstheme="minorEastAsia"/>
          <w:b/>
          <w:szCs w:val="21"/>
        </w:rPr>
        <w:t>成交与签订合同</w:t>
      </w:r>
      <w:bookmarkEnd w:id="86"/>
      <w:bookmarkEnd w:id="87"/>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8" w:name="_Toc14605"/>
      <w:bookmarkStart w:id="89" w:name="_Toc21514"/>
      <w:r>
        <w:rPr>
          <w:rFonts w:hint="eastAsia" w:asciiTheme="minorEastAsia" w:hAnsiTheme="minorEastAsia" w:eastAsiaTheme="minorEastAsia" w:cstheme="minorEastAsia"/>
          <w:b/>
          <w:lang w:val="zh-CN"/>
        </w:rPr>
        <w:t>合同授予标准</w:t>
      </w:r>
      <w:bookmarkEnd w:id="88"/>
      <w:bookmarkEnd w:id="89"/>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0" w:name="_Toc15727"/>
      <w:bookmarkStart w:id="91" w:name="_Toc4426"/>
      <w:r>
        <w:rPr>
          <w:rFonts w:hint="eastAsia" w:asciiTheme="minorEastAsia" w:hAnsiTheme="minorEastAsia" w:eastAsiaTheme="minorEastAsia" w:cstheme="minorEastAsia"/>
          <w:b/>
          <w:lang w:val="zh-CN"/>
        </w:rPr>
        <w:t>签订合同</w:t>
      </w:r>
      <w:bookmarkEnd w:id="90"/>
      <w:bookmarkEnd w:id="91"/>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29.1 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29.2 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29.5 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29.6 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7"/>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92" w:name="_Toc13988"/>
      <w:bookmarkStart w:id="93" w:name="_Toc4883"/>
      <w:bookmarkStart w:id="94" w:name="_Toc14510"/>
      <w:r>
        <w:rPr>
          <w:rFonts w:hint="eastAsia" w:asciiTheme="minorEastAsia" w:hAnsiTheme="minorEastAsia" w:eastAsiaTheme="minorEastAsia" w:cstheme="minorEastAsia"/>
          <w:b/>
          <w:szCs w:val="21"/>
          <w:lang w:val="zh-CN"/>
        </w:rPr>
        <w:t>质疑和投诉</w:t>
      </w:r>
      <w:bookmarkEnd w:id="92"/>
      <w:bookmarkEnd w:id="93"/>
      <w:bookmarkEnd w:id="94"/>
    </w:p>
    <w:p>
      <w:pPr>
        <w:numPr>
          <w:ilvl w:val="0"/>
          <w:numId w:val="8"/>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5" w:name="_Toc20387"/>
      <w:bookmarkStart w:id="96" w:name="_Toc28100"/>
      <w:r>
        <w:rPr>
          <w:rFonts w:hint="eastAsia" w:asciiTheme="minorEastAsia" w:hAnsiTheme="minorEastAsia" w:eastAsiaTheme="minorEastAsia" w:cstheme="minorEastAsia"/>
          <w:b/>
          <w:lang w:val="zh-CN"/>
        </w:rPr>
        <w:t>质疑回复</w:t>
      </w:r>
      <w:bookmarkEnd w:id="95"/>
      <w:bookmarkEnd w:id="96"/>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7" w:name="_Toc459"/>
      <w:bookmarkStart w:id="98" w:name="_Toc29493"/>
      <w:r>
        <w:rPr>
          <w:rFonts w:hint="eastAsia" w:asciiTheme="minorEastAsia" w:hAnsiTheme="minorEastAsia" w:eastAsiaTheme="minorEastAsia" w:cstheme="minorEastAsia"/>
          <w:b/>
          <w:lang w:val="zh-CN"/>
        </w:rPr>
        <w:t>投诉</w:t>
      </w:r>
      <w:bookmarkEnd w:id="97"/>
      <w:bookmarkEnd w:id="98"/>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9" w:name="_Toc14767"/>
      <w:bookmarkStart w:id="100" w:name="_Toc5571"/>
      <w:bookmarkStart w:id="101" w:name="_Toc28705"/>
      <w:bookmarkStart w:id="102" w:name="_Toc29425"/>
      <w:bookmarkStart w:id="103" w:name="_Toc30010"/>
      <w:r>
        <w:rPr>
          <w:rFonts w:hint="eastAsia" w:asciiTheme="minorEastAsia" w:hAnsiTheme="minorEastAsia" w:eastAsiaTheme="minorEastAsia" w:cstheme="minorEastAsia"/>
          <w:b/>
          <w:szCs w:val="21"/>
          <w:lang w:val="zh-CN"/>
        </w:rPr>
        <w:t>政策</w:t>
      </w:r>
      <w:bookmarkEnd w:id="99"/>
      <w:bookmarkEnd w:id="100"/>
      <w:bookmarkEnd w:id="101"/>
      <w:bookmarkEnd w:id="102"/>
      <w:bookmarkEnd w:id="103"/>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104" w:name="_Toc28842"/>
      <w:bookmarkStart w:id="105" w:name="_Toc24961"/>
      <w:r>
        <w:rPr>
          <w:rFonts w:hint="eastAsia" w:asciiTheme="minorEastAsia" w:hAnsiTheme="minorEastAsia" w:eastAsiaTheme="minorEastAsia" w:cstheme="minorEastAsia"/>
          <w:b/>
        </w:rPr>
        <w:t>政府采购政策</w:t>
      </w:r>
      <w:bookmarkEnd w:id="104"/>
      <w:bookmarkEnd w:id="105"/>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6" w:name="_Toc25296"/>
      <w:bookmarkStart w:id="107" w:name="_Toc12983"/>
      <w:r>
        <w:rPr>
          <w:rFonts w:hint="eastAsia" w:asciiTheme="minorEastAsia" w:hAnsiTheme="minorEastAsia" w:eastAsiaTheme="minorEastAsia" w:cstheme="minorEastAsia"/>
          <w:b/>
          <w:szCs w:val="21"/>
          <w:lang w:val="zh-CN"/>
        </w:rPr>
        <w:t>其他要求</w:t>
      </w:r>
      <w:bookmarkEnd w:id="106"/>
      <w:bookmarkEnd w:id="107"/>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8" w:name="_Toc30166"/>
      <w:bookmarkStart w:id="109" w:name="_Toc28137"/>
      <w:r>
        <w:rPr>
          <w:rFonts w:hint="eastAsia" w:asciiTheme="minorEastAsia" w:hAnsiTheme="minorEastAsia" w:eastAsiaTheme="minorEastAsia" w:cstheme="minorEastAsia"/>
          <w:b/>
          <w:szCs w:val="21"/>
          <w:lang w:val="zh-CN"/>
        </w:rPr>
        <w:t>适用法律</w:t>
      </w:r>
      <w:bookmarkEnd w:id="108"/>
      <w:bookmarkEnd w:id="109"/>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b/>
          <w:bCs/>
          <w:snapToGrid w:val="0"/>
          <w:kern w:val="0"/>
          <w:szCs w:val="21"/>
          <w:lang w:val="zh-CN"/>
        </w:rPr>
        <w:t>补充说明：</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成立时间不足应提交财务报告年份要求的，按成立时间起算。</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10" w:name="_Toc8164"/>
      <w:r>
        <w:rPr>
          <w:rFonts w:hint="eastAsia" w:asciiTheme="minorEastAsia" w:hAnsiTheme="minorEastAsia" w:eastAsiaTheme="minorEastAsia" w:cstheme="minorEastAsia"/>
          <w:b/>
          <w:bCs/>
          <w:sz w:val="36"/>
          <w:szCs w:val="36"/>
        </w:rPr>
        <w:t>采购需求</w:t>
      </w:r>
      <w:bookmarkEnd w:id="110"/>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1" w:name="_Toc16493"/>
      <w:r>
        <w:rPr>
          <w:rFonts w:hint="eastAsia" w:asciiTheme="minorEastAsia" w:hAnsiTheme="minorEastAsia" w:eastAsiaTheme="minorEastAsia" w:cstheme="minorEastAsia"/>
          <w:b/>
          <w:bCs/>
          <w:sz w:val="24"/>
        </w:rPr>
        <w:t>一、技术需求</w:t>
      </w:r>
      <w:bookmarkEnd w:id="111"/>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1.项目概况：湖北工业大学东苑学生宿舍门禁更换，包括1-8栋，共有11个门厅，每个门厅安装3个双向通道。</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2.设备/货物清单</w:t>
      </w:r>
    </w:p>
    <w:tbl>
      <w:tblPr>
        <w:tblStyle w:val="26"/>
        <w:tblW w:w="88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6"/>
        <w:gridCol w:w="3519"/>
        <w:gridCol w:w="1104"/>
        <w:gridCol w:w="880"/>
        <w:gridCol w:w="1629"/>
        <w:gridCol w:w="11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46" w:type="dxa"/>
          </w:tcPr>
          <w:p>
            <w:pPr>
              <w:autoSpaceDE w:val="0"/>
              <w:autoSpaceDN w:val="0"/>
              <w:spacing w:before="141"/>
              <w:ind w:right="380"/>
              <w:jc w:val="center"/>
              <w:rPr>
                <w:rFonts w:asciiTheme="minorEastAsia" w:hAnsiTheme="minorEastAsia" w:eastAsiaTheme="minorEastAsia" w:cstheme="minorEastAsia"/>
                <w:color w:val="auto"/>
                <w:szCs w:val="21"/>
                <w:lang w:val="zh-CN" w:bidi="zh-CN"/>
              </w:rPr>
            </w:pPr>
            <w:r>
              <w:rPr>
                <w:rFonts w:hint="eastAsia" w:asciiTheme="minorEastAsia" w:hAnsiTheme="minorEastAsia" w:eastAsiaTheme="minorEastAsia" w:cstheme="minorEastAsia"/>
                <w:color w:val="auto"/>
                <w:szCs w:val="21"/>
                <w:lang w:val="zh-CN" w:bidi="zh-CN"/>
              </w:rPr>
              <w:t>序号</w:t>
            </w:r>
          </w:p>
        </w:tc>
        <w:tc>
          <w:tcPr>
            <w:tcW w:w="3519" w:type="dxa"/>
            <w:vAlign w:val="center"/>
          </w:tcPr>
          <w:p>
            <w:pPr>
              <w:bidi w:val="0"/>
              <w:jc w:val="center"/>
              <w:rPr>
                <w:rFonts w:hint="eastAsia" w:eastAsia="宋体"/>
                <w:color w:val="auto"/>
              </w:rPr>
            </w:pPr>
            <w:r>
              <w:rPr>
                <w:rFonts w:hint="eastAsia" w:eastAsia="宋体"/>
                <w:color w:val="auto"/>
              </w:rPr>
              <w:t>名称</w:t>
            </w:r>
          </w:p>
        </w:tc>
        <w:tc>
          <w:tcPr>
            <w:tcW w:w="1104" w:type="dxa"/>
            <w:vAlign w:val="center"/>
          </w:tcPr>
          <w:p>
            <w:pPr>
              <w:bidi w:val="0"/>
              <w:jc w:val="center"/>
              <w:rPr>
                <w:rFonts w:hint="eastAsia" w:eastAsia="宋体"/>
                <w:color w:val="auto"/>
              </w:rPr>
            </w:pPr>
            <w:r>
              <w:rPr>
                <w:rFonts w:hint="eastAsia" w:eastAsia="宋体"/>
                <w:color w:val="auto"/>
              </w:rPr>
              <w:t>数量</w:t>
            </w:r>
          </w:p>
        </w:tc>
        <w:tc>
          <w:tcPr>
            <w:tcW w:w="880" w:type="dxa"/>
            <w:vAlign w:val="center"/>
          </w:tcPr>
          <w:p>
            <w:pPr>
              <w:bidi w:val="0"/>
              <w:jc w:val="center"/>
              <w:rPr>
                <w:rFonts w:hint="eastAsia" w:eastAsia="宋体"/>
                <w:color w:val="auto"/>
              </w:rPr>
            </w:pPr>
            <w:r>
              <w:rPr>
                <w:rFonts w:hint="eastAsia" w:eastAsia="宋体"/>
                <w:color w:val="auto"/>
              </w:rPr>
              <w:t>单位</w:t>
            </w:r>
          </w:p>
        </w:tc>
        <w:tc>
          <w:tcPr>
            <w:tcW w:w="1629" w:type="dxa"/>
            <w:vAlign w:val="center"/>
          </w:tcPr>
          <w:p>
            <w:pPr>
              <w:bidi w:val="0"/>
              <w:jc w:val="center"/>
              <w:rPr>
                <w:rFonts w:hint="eastAsia"/>
                <w:color w:val="auto"/>
              </w:rPr>
            </w:pPr>
            <w:r>
              <w:rPr>
                <w:rFonts w:hint="eastAsia"/>
                <w:color w:val="auto"/>
              </w:rPr>
              <w:t>是否专门面向中小微企业</w:t>
            </w:r>
          </w:p>
        </w:tc>
        <w:tc>
          <w:tcPr>
            <w:tcW w:w="1186" w:type="dxa"/>
            <w:vAlign w:val="center"/>
          </w:tcPr>
          <w:p>
            <w:pPr>
              <w:bidi w:val="0"/>
              <w:jc w:val="center"/>
              <w:rPr>
                <w:rFonts w:hint="eastAsia" w:eastAsia="宋体"/>
                <w:color w:val="auto"/>
                <w:lang w:eastAsia="zh-CN"/>
              </w:rPr>
            </w:pPr>
            <w:r>
              <w:rPr>
                <w:rFonts w:hint="eastAsia"/>
                <w:color w:val="auto"/>
                <w:lang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546" w:type="dxa"/>
          </w:tcPr>
          <w:p>
            <w:pPr>
              <w:numPr>
                <w:ilvl w:val="0"/>
                <w:numId w:val="34"/>
              </w:numPr>
              <w:autoSpaceDE w:val="0"/>
              <w:autoSpaceDN w:val="0"/>
              <w:spacing w:before="165"/>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spacing w:before="7"/>
              <w:rPr>
                <w:rFonts w:asciiTheme="minorEastAsia" w:hAnsiTheme="minorEastAsia" w:eastAsiaTheme="minorEastAsia" w:cstheme="minorEastAsia"/>
                <w:color w:val="auto"/>
                <w:szCs w:val="21"/>
                <w:lang w:val="zh-CN" w:bidi="zh-CN"/>
              </w:rPr>
            </w:pPr>
            <w:r>
              <w:rPr>
                <w:rFonts w:hint="eastAsia" w:asciiTheme="minorEastAsia" w:hAnsiTheme="minorEastAsia" w:eastAsiaTheme="minorEastAsia" w:cstheme="minorEastAsia"/>
                <w:color w:val="auto"/>
                <w:szCs w:val="21"/>
                <w:lang w:bidi="zh-CN"/>
              </w:rPr>
              <w:t>摆</w:t>
            </w:r>
            <w:r>
              <w:rPr>
                <w:rFonts w:hint="eastAsia" w:asciiTheme="minorEastAsia" w:hAnsiTheme="minorEastAsia" w:eastAsiaTheme="minorEastAsia" w:cstheme="minorEastAsia"/>
                <w:color w:val="auto"/>
                <w:szCs w:val="21"/>
                <w:lang w:val="zh-CN" w:bidi="zh-CN"/>
              </w:rPr>
              <w:t>闸速通</w:t>
            </w:r>
            <w:r>
              <w:rPr>
                <w:rFonts w:hint="eastAsia" w:asciiTheme="minorEastAsia" w:hAnsiTheme="minorEastAsia" w:eastAsiaTheme="minorEastAsia" w:cstheme="minorEastAsia"/>
                <w:color w:val="auto"/>
                <w:szCs w:val="21"/>
                <w:lang w:bidi="zh-CN"/>
              </w:rPr>
              <w:t>闸</w:t>
            </w:r>
            <w:r>
              <w:rPr>
                <w:rFonts w:hint="eastAsia" w:asciiTheme="minorEastAsia" w:hAnsiTheme="minorEastAsia" w:eastAsiaTheme="minorEastAsia" w:cstheme="minorEastAsia"/>
                <w:color w:val="auto"/>
                <w:szCs w:val="21"/>
                <w:lang w:val="zh-CN" w:bidi="zh-CN"/>
              </w:rPr>
              <w:t>（室内型）</w:t>
            </w:r>
            <w:r>
              <w:rPr>
                <w:rFonts w:hint="eastAsia" w:asciiTheme="minorEastAsia" w:hAnsiTheme="minorEastAsia" w:eastAsiaTheme="minorEastAsia" w:cstheme="minorEastAsia"/>
                <w:color w:val="auto"/>
                <w:szCs w:val="21"/>
                <w:lang w:bidi="zh-CN"/>
              </w:rPr>
              <w:t>单机芯</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22</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台</w:t>
            </w:r>
          </w:p>
        </w:tc>
        <w:tc>
          <w:tcPr>
            <w:tcW w:w="1629" w:type="dxa"/>
            <w:vAlign w:val="center"/>
          </w:tcPr>
          <w:p>
            <w:pPr>
              <w:jc w:val="center"/>
              <w:rPr>
                <w:rFonts w:hint="eastAsia" w:asciiTheme="minorEastAsia" w:hAnsiTheme="minorEastAsia" w:eastAsiaTheme="minorEastAsia" w:cstheme="minorEastAsia"/>
                <w:color w:val="auto"/>
              </w:rPr>
            </w:pPr>
            <w:r>
              <w:rPr>
                <w:rFonts w:hint="eastAsia"/>
                <w:color w:val="auto"/>
              </w:rPr>
              <w:t>专门面向中小微企业</w:t>
            </w:r>
          </w:p>
        </w:tc>
        <w:tc>
          <w:tcPr>
            <w:tcW w:w="1186" w:type="dxa"/>
            <w:vAlign w:val="center"/>
          </w:tcPr>
          <w:p>
            <w:pPr>
              <w:jc w:val="center"/>
              <w:rPr>
                <w:rFonts w:hint="eastAsia"/>
                <w:b w:val="0"/>
                <w:bCs/>
                <w:color w:val="auto"/>
              </w:rPr>
            </w:pPr>
            <w:r>
              <w:rPr>
                <w:rFonts w:hint="eastAsia" w:asciiTheme="minorEastAsia" w:hAnsiTheme="minorEastAsia" w:eastAsiaTheme="minorEastAsia" w:cstheme="minorEastAsia"/>
                <w:b w:val="0"/>
                <w:bCs/>
                <w:color w:val="auto"/>
                <w:lang w:val="zh-CN"/>
              </w:rPr>
              <w:t>提供中小</w:t>
            </w:r>
            <w:r>
              <w:rPr>
                <w:rFonts w:hint="eastAsia"/>
                <w:color w:val="auto"/>
              </w:rPr>
              <w:t>微</w:t>
            </w:r>
            <w:r>
              <w:rPr>
                <w:rFonts w:hint="eastAsia" w:asciiTheme="minorEastAsia" w:hAnsiTheme="minorEastAsia" w:eastAsiaTheme="minorEastAsia" w:cstheme="minorEastAsia"/>
                <w:b w:val="0"/>
                <w:bCs/>
                <w:color w:val="auto"/>
                <w:lang w:val="zh-CN"/>
              </w:rPr>
              <w:t>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546" w:type="dxa"/>
          </w:tcPr>
          <w:p>
            <w:pPr>
              <w:numPr>
                <w:ilvl w:val="0"/>
                <w:numId w:val="34"/>
              </w:numPr>
              <w:autoSpaceDE w:val="0"/>
              <w:autoSpaceDN w:val="0"/>
              <w:spacing w:before="194"/>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spacing w:before="7"/>
              <w:rPr>
                <w:rFonts w:asciiTheme="minorEastAsia" w:hAnsiTheme="minorEastAsia" w:eastAsiaTheme="minorEastAsia" w:cstheme="minorEastAsia"/>
                <w:color w:val="auto"/>
                <w:szCs w:val="21"/>
                <w:lang w:val="zh-CN" w:bidi="zh-CN"/>
              </w:rPr>
            </w:pPr>
            <w:r>
              <w:rPr>
                <w:rFonts w:hint="eastAsia" w:asciiTheme="minorEastAsia" w:hAnsiTheme="minorEastAsia" w:eastAsiaTheme="minorEastAsia" w:cstheme="minorEastAsia"/>
                <w:color w:val="auto"/>
                <w:szCs w:val="21"/>
                <w:lang w:val="zh-CN" w:bidi="zh-CN"/>
              </w:rPr>
              <w:t>摆闸速通</w:t>
            </w:r>
            <w:r>
              <w:rPr>
                <w:rFonts w:hint="eastAsia" w:asciiTheme="minorEastAsia" w:hAnsiTheme="minorEastAsia" w:eastAsiaTheme="minorEastAsia" w:cstheme="minorEastAsia"/>
                <w:color w:val="auto"/>
                <w:szCs w:val="21"/>
                <w:lang w:bidi="zh-CN"/>
              </w:rPr>
              <w:t>闸</w:t>
            </w:r>
            <w:r>
              <w:rPr>
                <w:rFonts w:hint="eastAsia" w:asciiTheme="minorEastAsia" w:hAnsiTheme="minorEastAsia" w:eastAsiaTheme="minorEastAsia" w:cstheme="minorEastAsia"/>
                <w:color w:val="auto"/>
                <w:szCs w:val="21"/>
                <w:lang w:val="zh-CN" w:bidi="zh-CN"/>
              </w:rPr>
              <w:t>（室内型）</w:t>
            </w:r>
            <w:r>
              <w:rPr>
                <w:rFonts w:hint="eastAsia" w:asciiTheme="minorEastAsia" w:hAnsiTheme="minorEastAsia" w:eastAsiaTheme="minorEastAsia" w:cstheme="minorEastAsia"/>
                <w:color w:val="auto"/>
                <w:szCs w:val="21"/>
                <w:lang w:bidi="zh-CN"/>
              </w:rPr>
              <w:t>双机芯</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22</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台</w:t>
            </w:r>
          </w:p>
        </w:tc>
        <w:tc>
          <w:tcPr>
            <w:tcW w:w="1629" w:type="dxa"/>
            <w:vAlign w:val="center"/>
          </w:tcPr>
          <w:p>
            <w:pPr>
              <w:jc w:val="center"/>
              <w:rPr>
                <w:rFonts w:hint="eastAsia" w:asciiTheme="minorEastAsia" w:hAnsiTheme="minorEastAsia" w:eastAsiaTheme="minorEastAsia" w:cstheme="minorEastAsia"/>
                <w:color w:val="auto"/>
              </w:rPr>
            </w:pPr>
            <w:r>
              <w:rPr>
                <w:rFonts w:hint="eastAsia"/>
                <w:color w:val="auto"/>
              </w:rPr>
              <w:t>专门面向中小微企业</w:t>
            </w:r>
          </w:p>
        </w:tc>
        <w:tc>
          <w:tcPr>
            <w:tcW w:w="1186" w:type="dxa"/>
            <w:vAlign w:val="center"/>
          </w:tcPr>
          <w:p>
            <w:pPr>
              <w:jc w:val="center"/>
              <w:rPr>
                <w:rFonts w:hint="eastAsia"/>
                <w:b w:val="0"/>
                <w:bCs/>
                <w:color w:val="auto"/>
              </w:rPr>
            </w:pPr>
            <w:r>
              <w:rPr>
                <w:rFonts w:hint="eastAsia" w:asciiTheme="minorEastAsia" w:hAnsiTheme="minorEastAsia" w:eastAsiaTheme="minorEastAsia" w:cstheme="minorEastAsia"/>
                <w:b w:val="0"/>
                <w:bCs/>
                <w:color w:val="auto"/>
                <w:lang w:val="zh-CN"/>
              </w:rPr>
              <w:t>提供中小</w:t>
            </w:r>
            <w:r>
              <w:rPr>
                <w:rFonts w:hint="eastAsia"/>
                <w:color w:val="auto"/>
              </w:rPr>
              <w:t>微</w:t>
            </w:r>
            <w:r>
              <w:rPr>
                <w:rFonts w:hint="eastAsia" w:asciiTheme="minorEastAsia" w:hAnsiTheme="minorEastAsia" w:eastAsiaTheme="minorEastAsia" w:cstheme="minorEastAsia"/>
                <w:b w:val="0"/>
                <w:bCs/>
                <w:color w:val="auto"/>
                <w:lang w:val="zh-CN"/>
              </w:rPr>
              <w:t>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546" w:type="dxa"/>
          </w:tcPr>
          <w:p>
            <w:pPr>
              <w:numPr>
                <w:ilvl w:val="0"/>
                <w:numId w:val="34"/>
              </w:numPr>
              <w:autoSpaceDE w:val="0"/>
              <w:autoSpaceDN w:val="0"/>
              <w:spacing w:before="195"/>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ind w:right="760"/>
              <w:rPr>
                <w:rFonts w:asciiTheme="minorEastAsia" w:hAnsiTheme="minorEastAsia" w:eastAsiaTheme="minorEastAsia" w:cstheme="minorEastAsia"/>
                <w:color w:val="auto"/>
                <w:szCs w:val="21"/>
                <w:lang w:val="zh-CN" w:bidi="zh-CN"/>
              </w:rPr>
            </w:pPr>
            <w:r>
              <w:rPr>
                <w:rFonts w:hint="eastAsia" w:asciiTheme="minorEastAsia" w:hAnsiTheme="minorEastAsia" w:eastAsiaTheme="minorEastAsia" w:cstheme="minorEastAsia"/>
                <w:color w:val="auto"/>
                <w:szCs w:val="21"/>
                <w:lang w:bidi="zh-CN"/>
              </w:rPr>
              <w:t>人脸识别一体机</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66</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台</w:t>
            </w:r>
          </w:p>
        </w:tc>
        <w:tc>
          <w:tcPr>
            <w:tcW w:w="1629" w:type="dxa"/>
            <w:vAlign w:val="center"/>
          </w:tcPr>
          <w:p>
            <w:pPr>
              <w:jc w:val="center"/>
              <w:rPr>
                <w:rFonts w:hint="eastAsia" w:asciiTheme="minorEastAsia" w:hAnsiTheme="minorEastAsia" w:eastAsiaTheme="minorEastAsia" w:cstheme="minorEastAsia"/>
                <w:color w:val="auto"/>
              </w:rPr>
            </w:pPr>
            <w:r>
              <w:rPr>
                <w:rFonts w:hint="eastAsia"/>
                <w:color w:val="auto"/>
              </w:rPr>
              <w:t>专门面向中小微企业</w:t>
            </w:r>
          </w:p>
        </w:tc>
        <w:tc>
          <w:tcPr>
            <w:tcW w:w="1186" w:type="dxa"/>
            <w:vAlign w:val="center"/>
          </w:tcPr>
          <w:p>
            <w:pPr>
              <w:jc w:val="center"/>
              <w:rPr>
                <w:rFonts w:hint="eastAsia"/>
                <w:b w:val="0"/>
                <w:bCs/>
                <w:color w:val="auto"/>
              </w:rPr>
            </w:pPr>
            <w:r>
              <w:rPr>
                <w:rFonts w:hint="eastAsia" w:asciiTheme="minorEastAsia" w:hAnsiTheme="minorEastAsia" w:eastAsiaTheme="minorEastAsia" w:cstheme="minorEastAsia"/>
                <w:b w:val="0"/>
                <w:bCs/>
                <w:color w:val="auto"/>
                <w:lang w:val="zh-CN"/>
              </w:rPr>
              <w:t>提供中小</w:t>
            </w:r>
            <w:r>
              <w:rPr>
                <w:rFonts w:hint="eastAsia"/>
                <w:color w:val="auto"/>
              </w:rPr>
              <w:t>微</w:t>
            </w:r>
            <w:r>
              <w:rPr>
                <w:rFonts w:hint="eastAsia" w:asciiTheme="minorEastAsia" w:hAnsiTheme="minorEastAsia" w:eastAsiaTheme="minorEastAsia" w:cstheme="minorEastAsia"/>
                <w:b w:val="0"/>
                <w:bCs/>
                <w:color w:val="auto"/>
                <w:lang w:val="zh-CN"/>
              </w:rPr>
              <w:t>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46" w:type="dxa"/>
          </w:tcPr>
          <w:p>
            <w:pPr>
              <w:numPr>
                <w:ilvl w:val="0"/>
                <w:numId w:val="34"/>
              </w:numPr>
              <w:autoSpaceDE w:val="0"/>
              <w:autoSpaceDN w:val="0"/>
              <w:spacing w:before="196"/>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spacing w:line="240" w:lineRule="exact"/>
              <w:jc w:val="left"/>
              <w:rPr>
                <w:rFonts w:asciiTheme="minorEastAsia" w:hAnsiTheme="minorEastAsia" w:eastAsiaTheme="minorEastAsia" w:cstheme="minorEastAsia"/>
                <w:color w:val="auto"/>
                <w:kern w:val="0"/>
                <w:szCs w:val="21"/>
                <w:lang w:bidi="zh-CN"/>
              </w:rPr>
            </w:pPr>
            <w:r>
              <w:rPr>
                <w:rFonts w:hint="eastAsia" w:asciiTheme="minorEastAsia" w:hAnsiTheme="minorEastAsia" w:eastAsiaTheme="minorEastAsia" w:cstheme="minorEastAsia"/>
                <w:color w:val="auto"/>
                <w:kern w:val="0"/>
                <w:szCs w:val="21"/>
                <w:lang w:bidi="zh-CN"/>
              </w:rPr>
              <w:t>测温模块（集成至人脸识别一体机）</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33</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台</w:t>
            </w:r>
          </w:p>
        </w:tc>
        <w:tc>
          <w:tcPr>
            <w:tcW w:w="1629" w:type="dxa"/>
            <w:vAlign w:val="center"/>
          </w:tcPr>
          <w:p>
            <w:pPr>
              <w:jc w:val="center"/>
              <w:rPr>
                <w:rFonts w:hint="eastAsia" w:asciiTheme="minorEastAsia" w:hAnsiTheme="minorEastAsia" w:eastAsiaTheme="minorEastAsia" w:cstheme="minorEastAsia"/>
                <w:color w:val="auto"/>
              </w:rPr>
            </w:pPr>
            <w:r>
              <w:rPr>
                <w:rFonts w:hint="eastAsia"/>
                <w:color w:val="auto"/>
              </w:rPr>
              <w:t>专门面向中小微企业</w:t>
            </w:r>
          </w:p>
        </w:tc>
        <w:tc>
          <w:tcPr>
            <w:tcW w:w="1186" w:type="dxa"/>
            <w:vAlign w:val="center"/>
          </w:tcPr>
          <w:p>
            <w:pPr>
              <w:jc w:val="center"/>
              <w:rPr>
                <w:rFonts w:hint="eastAsia"/>
                <w:b w:val="0"/>
                <w:bCs/>
                <w:color w:val="auto"/>
              </w:rPr>
            </w:pPr>
            <w:r>
              <w:rPr>
                <w:rFonts w:hint="eastAsia" w:asciiTheme="minorEastAsia" w:hAnsiTheme="minorEastAsia" w:eastAsiaTheme="minorEastAsia" w:cstheme="minorEastAsia"/>
                <w:b w:val="0"/>
                <w:bCs/>
                <w:color w:val="auto"/>
                <w:lang w:val="zh-CN"/>
              </w:rPr>
              <w:t>提供中小</w:t>
            </w:r>
            <w:r>
              <w:rPr>
                <w:rFonts w:hint="eastAsia"/>
                <w:color w:val="auto"/>
              </w:rPr>
              <w:t>微</w:t>
            </w:r>
            <w:r>
              <w:rPr>
                <w:rFonts w:hint="eastAsia" w:asciiTheme="minorEastAsia" w:hAnsiTheme="minorEastAsia" w:eastAsiaTheme="minorEastAsia" w:cstheme="minorEastAsia"/>
                <w:b w:val="0"/>
                <w:bCs/>
                <w:color w:val="auto"/>
                <w:lang w:val="zh-CN"/>
              </w:rPr>
              <w:t>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46" w:type="dxa"/>
          </w:tcPr>
          <w:p>
            <w:pPr>
              <w:numPr>
                <w:ilvl w:val="0"/>
                <w:numId w:val="34"/>
              </w:numPr>
              <w:autoSpaceDE w:val="0"/>
              <w:autoSpaceDN w:val="0"/>
              <w:spacing w:before="196"/>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spacing w:line="240" w:lineRule="exact"/>
              <w:jc w:val="left"/>
              <w:rPr>
                <w:rFonts w:asciiTheme="minorEastAsia" w:hAnsiTheme="minorEastAsia" w:eastAsiaTheme="minorEastAsia" w:cstheme="minorEastAsia"/>
                <w:color w:val="auto"/>
                <w:kern w:val="0"/>
                <w:szCs w:val="21"/>
                <w:lang w:val="zh-CN" w:bidi="zh-CN"/>
              </w:rPr>
            </w:pPr>
            <w:r>
              <w:rPr>
                <w:rFonts w:hint="eastAsia" w:asciiTheme="minorEastAsia" w:hAnsiTheme="minorEastAsia" w:eastAsiaTheme="minorEastAsia" w:cstheme="minorEastAsia"/>
                <w:color w:val="auto"/>
                <w:kern w:val="0"/>
                <w:szCs w:val="21"/>
                <w:lang w:val="zh-CN" w:bidi="zh-CN"/>
              </w:rPr>
              <w:t>综合</w:t>
            </w:r>
            <w:r>
              <w:rPr>
                <w:rFonts w:hint="eastAsia" w:asciiTheme="minorEastAsia" w:hAnsiTheme="minorEastAsia" w:eastAsiaTheme="minorEastAsia" w:cstheme="minorEastAsia"/>
                <w:color w:val="auto"/>
                <w:kern w:val="0"/>
                <w:szCs w:val="21"/>
                <w:lang w:bidi="zh-CN"/>
              </w:rPr>
              <w:t>平台</w:t>
            </w:r>
            <w:r>
              <w:rPr>
                <w:rFonts w:hint="eastAsia" w:asciiTheme="minorEastAsia" w:hAnsiTheme="minorEastAsia" w:eastAsiaTheme="minorEastAsia" w:cstheme="minorEastAsia"/>
                <w:color w:val="auto"/>
                <w:kern w:val="0"/>
                <w:szCs w:val="21"/>
                <w:lang w:val="zh-CN" w:bidi="zh-CN"/>
              </w:rPr>
              <w:t>门禁管理系统</w:t>
            </w:r>
            <w:r>
              <w:rPr>
                <w:rFonts w:hint="eastAsia" w:asciiTheme="minorEastAsia" w:hAnsiTheme="minorEastAsia" w:eastAsiaTheme="minorEastAsia" w:cstheme="minorEastAsia"/>
                <w:color w:val="auto"/>
                <w:kern w:val="0"/>
                <w:szCs w:val="21"/>
                <w:lang w:bidi="zh-CN"/>
              </w:rPr>
              <w:t>软件</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套</w:t>
            </w:r>
          </w:p>
        </w:tc>
        <w:tc>
          <w:tcPr>
            <w:tcW w:w="1629" w:type="dxa"/>
            <w:vAlign w:val="center"/>
          </w:tcPr>
          <w:p>
            <w:pPr>
              <w:jc w:val="center"/>
              <w:rPr>
                <w:rFonts w:hint="eastAsia" w:asciiTheme="minorEastAsia" w:hAnsiTheme="minorEastAsia" w:eastAsiaTheme="minorEastAsia" w:cstheme="minorEastAsia"/>
                <w:color w:val="auto"/>
              </w:rPr>
            </w:pPr>
            <w:r>
              <w:rPr>
                <w:rFonts w:hint="eastAsia"/>
                <w:color w:val="auto"/>
              </w:rPr>
              <w:t>专门面向中小微企业</w:t>
            </w:r>
          </w:p>
        </w:tc>
        <w:tc>
          <w:tcPr>
            <w:tcW w:w="1186" w:type="dxa"/>
            <w:vAlign w:val="center"/>
          </w:tcPr>
          <w:p>
            <w:pPr>
              <w:jc w:val="center"/>
              <w:rPr>
                <w:rFonts w:hint="eastAsia"/>
                <w:b w:val="0"/>
                <w:bCs/>
                <w:color w:val="auto"/>
              </w:rPr>
            </w:pPr>
            <w:r>
              <w:rPr>
                <w:rFonts w:hint="eastAsia" w:asciiTheme="minorEastAsia" w:hAnsiTheme="minorEastAsia" w:eastAsiaTheme="minorEastAsia" w:cstheme="minorEastAsia"/>
                <w:b w:val="0"/>
                <w:bCs/>
                <w:color w:val="auto"/>
                <w:lang w:val="zh-CN"/>
              </w:rPr>
              <w:t>提供中小</w:t>
            </w:r>
            <w:r>
              <w:rPr>
                <w:rFonts w:hint="eastAsia"/>
                <w:color w:val="auto"/>
              </w:rPr>
              <w:t>微</w:t>
            </w:r>
            <w:r>
              <w:rPr>
                <w:rFonts w:hint="eastAsia" w:asciiTheme="minorEastAsia" w:hAnsiTheme="minorEastAsia" w:eastAsiaTheme="minorEastAsia" w:cstheme="minorEastAsia"/>
                <w:b w:val="0"/>
                <w:bCs/>
                <w:color w:val="auto"/>
                <w:lang w:val="zh-CN"/>
              </w:rPr>
              <w:t>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546" w:type="dxa"/>
          </w:tcPr>
          <w:p>
            <w:pPr>
              <w:numPr>
                <w:ilvl w:val="0"/>
                <w:numId w:val="34"/>
              </w:numPr>
              <w:autoSpaceDE w:val="0"/>
              <w:autoSpaceDN w:val="0"/>
              <w:spacing w:before="196"/>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spacing w:line="240" w:lineRule="exact"/>
              <w:jc w:val="left"/>
              <w:rPr>
                <w:rFonts w:asciiTheme="minorEastAsia" w:hAnsiTheme="minorEastAsia" w:eastAsiaTheme="minorEastAsia" w:cstheme="minorEastAsia"/>
                <w:color w:val="auto"/>
                <w:kern w:val="0"/>
                <w:szCs w:val="21"/>
                <w:lang w:val="zh-CN" w:bidi="zh-CN"/>
              </w:rPr>
            </w:pPr>
            <w:r>
              <w:rPr>
                <w:rFonts w:hint="eastAsia" w:asciiTheme="minorEastAsia" w:hAnsiTheme="minorEastAsia" w:eastAsiaTheme="minorEastAsia" w:cstheme="minorEastAsia"/>
                <w:color w:val="auto"/>
                <w:kern w:val="0"/>
                <w:szCs w:val="21"/>
                <w:lang w:val="zh-CN" w:bidi="zh-CN"/>
              </w:rPr>
              <w:t>接入交换机</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11</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台</w:t>
            </w:r>
          </w:p>
        </w:tc>
        <w:tc>
          <w:tcPr>
            <w:tcW w:w="1629" w:type="dxa"/>
            <w:vAlign w:val="center"/>
          </w:tcPr>
          <w:p>
            <w:pPr>
              <w:jc w:val="center"/>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否</w:t>
            </w:r>
          </w:p>
        </w:tc>
        <w:tc>
          <w:tcPr>
            <w:tcW w:w="1186" w:type="dxa"/>
            <w:vAlign w:val="center"/>
          </w:tcPr>
          <w:p>
            <w:pPr>
              <w:jc w:val="center"/>
              <w:rPr>
                <w:rFonts w:hint="eastAsia" w:asciiTheme="minorEastAsia" w:hAnsiTheme="minorEastAsia" w:eastAsiaTheme="minorEastAsia" w:cstheme="minorEastAsia"/>
                <w:b w:val="0"/>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46" w:type="dxa"/>
          </w:tcPr>
          <w:p>
            <w:pPr>
              <w:numPr>
                <w:ilvl w:val="0"/>
                <w:numId w:val="34"/>
              </w:numPr>
              <w:autoSpaceDE w:val="0"/>
              <w:autoSpaceDN w:val="0"/>
              <w:spacing w:before="196"/>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spacing w:line="240" w:lineRule="exact"/>
              <w:jc w:val="left"/>
              <w:rPr>
                <w:rFonts w:asciiTheme="minorEastAsia" w:hAnsiTheme="minorEastAsia" w:eastAsiaTheme="minorEastAsia" w:cstheme="minorEastAsia"/>
                <w:color w:val="auto"/>
                <w:kern w:val="0"/>
                <w:szCs w:val="21"/>
                <w:lang w:val="zh-CN" w:bidi="zh-CN"/>
              </w:rPr>
            </w:pPr>
            <w:r>
              <w:rPr>
                <w:rFonts w:hint="eastAsia" w:asciiTheme="minorEastAsia" w:hAnsiTheme="minorEastAsia" w:eastAsiaTheme="minorEastAsia" w:cstheme="minorEastAsia"/>
                <w:color w:val="auto"/>
                <w:kern w:val="0"/>
                <w:szCs w:val="21"/>
                <w:lang w:val="zh-CN" w:bidi="zh-CN"/>
              </w:rPr>
              <w:t>管理电脑</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台</w:t>
            </w:r>
          </w:p>
        </w:tc>
        <w:tc>
          <w:tcPr>
            <w:tcW w:w="1629" w:type="dxa"/>
            <w:vAlign w:val="center"/>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否</w:t>
            </w:r>
          </w:p>
        </w:tc>
        <w:tc>
          <w:tcPr>
            <w:tcW w:w="1186" w:type="dxa"/>
            <w:vAlign w:val="center"/>
          </w:tcPr>
          <w:p>
            <w:pPr>
              <w:jc w:val="center"/>
              <w:rPr>
                <w:rFonts w:hint="eastAsia" w:asciiTheme="minorEastAsia" w:hAnsiTheme="minorEastAsia" w:eastAsiaTheme="minorEastAsia" w:cstheme="minorEastAsia"/>
                <w:b w:val="0"/>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46" w:type="dxa"/>
          </w:tcPr>
          <w:p>
            <w:pPr>
              <w:numPr>
                <w:ilvl w:val="0"/>
                <w:numId w:val="34"/>
              </w:numPr>
              <w:autoSpaceDE w:val="0"/>
              <w:autoSpaceDN w:val="0"/>
              <w:spacing w:before="196"/>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spacing w:line="240" w:lineRule="exact"/>
              <w:jc w:val="left"/>
              <w:rPr>
                <w:rFonts w:asciiTheme="minorEastAsia" w:hAnsiTheme="minorEastAsia" w:eastAsiaTheme="minorEastAsia" w:cstheme="minorEastAsia"/>
                <w:color w:val="auto"/>
                <w:kern w:val="0"/>
                <w:szCs w:val="21"/>
                <w:lang w:val="zh-CN" w:bidi="zh-CN"/>
              </w:rPr>
            </w:pPr>
            <w:r>
              <w:rPr>
                <w:rFonts w:hint="eastAsia" w:asciiTheme="minorEastAsia" w:hAnsiTheme="minorEastAsia" w:eastAsiaTheme="minorEastAsia" w:cstheme="minorEastAsia"/>
                <w:color w:val="auto"/>
                <w:kern w:val="0"/>
                <w:szCs w:val="21"/>
                <w:lang w:val="zh-CN" w:bidi="zh-CN"/>
              </w:rPr>
              <w:t>汇聚交换机</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台</w:t>
            </w:r>
          </w:p>
        </w:tc>
        <w:tc>
          <w:tcPr>
            <w:tcW w:w="1629" w:type="dxa"/>
            <w:vAlign w:val="center"/>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否</w:t>
            </w:r>
          </w:p>
        </w:tc>
        <w:tc>
          <w:tcPr>
            <w:tcW w:w="1186" w:type="dxa"/>
            <w:vAlign w:val="center"/>
          </w:tcPr>
          <w:p>
            <w:pPr>
              <w:jc w:val="center"/>
              <w:rPr>
                <w:rFonts w:hint="eastAsia" w:asciiTheme="minorEastAsia" w:hAnsiTheme="minorEastAsia" w:eastAsiaTheme="minorEastAsia" w:cstheme="minorEastAsia"/>
                <w:b w:val="0"/>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546" w:type="dxa"/>
          </w:tcPr>
          <w:p>
            <w:pPr>
              <w:numPr>
                <w:ilvl w:val="0"/>
                <w:numId w:val="34"/>
              </w:numPr>
              <w:autoSpaceDE w:val="0"/>
              <w:autoSpaceDN w:val="0"/>
              <w:spacing w:before="196"/>
              <w:jc w:val="center"/>
              <w:rPr>
                <w:rFonts w:asciiTheme="minorEastAsia" w:hAnsiTheme="minorEastAsia" w:eastAsiaTheme="minorEastAsia" w:cstheme="minorEastAsia"/>
                <w:color w:val="auto"/>
                <w:szCs w:val="21"/>
                <w:lang w:val="zh-CN" w:bidi="zh-CN"/>
              </w:rPr>
            </w:pPr>
          </w:p>
        </w:tc>
        <w:tc>
          <w:tcPr>
            <w:tcW w:w="3519" w:type="dxa"/>
          </w:tcPr>
          <w:p>
            <w:pPr>
              <w:autoSpaceDE w:val="0"/>
              <w:autoSpaceDN w:val="0"/>
              <w:jc w:val="left"/>
              <w:rPr>
                <w:rFonts w:asciiTheme="minorEastAsia" w:hAnsiTheme="minorEastAsia" w:eastAsiaTheme="minorEastAsia" w:cstheme="minorEastAsia"/>
                <w:color w:val="auto"/>
                <w:kern w:val="0"/>
                <w:szCs w:val="21"/>
                <w:lang w:bidi="zh-CN"/>
              </w:rPr>
            </w:pPr>
            <w:r>
              <w:rPr>
                <w:rFonts w:hint="eastAsia" w:asciiTheme="minorEastAsia" w:hAnsiTheme="minorEastAsia" w:eastAsiaTheme="minorEastAsia" w:cstheme="minorEastAsia"/>
                <w:color w:val="auto"/>
                <w:kern w:val="0"/>
                <w:szCs w:val="21"/>
                <w:lang w:bidi="zh-CN"/>
              </w:rPr>
              <w:t>电源线、网线、</w:t>
            </w:r>
          </w:p>
          <w:p>
            <w:pPr>
              <w:autoSpaceDE w:val="0"/>
              <w:autoSpaceDN w:val="0"/>
              <w:jc w:val="left"/>
              <w:rPr>
                <w:rFonts w:asciiTheme="minorEastAsia" w:hAnsiTheme="minorEastAsia" w:eastAsiaTheme="minorEastAsia" w:cstheme="minorEastAsia"/>
                <w:color w:val="auto"/>
                <w:kern w:val="0"/>
                <w:szCs w:val="21"/>
                <w:lang w:bidi="zh-CN"/>
              </w:rPr>
            </w:pPr>
            <w:r>
              <w:rPr>
                <w:rFonts w:hint="eastAsia" w:asciiTheme="minorEastAsia" w:hAnsiTheme="minorEastAsia" w:eastAsiaTheme="minorEastAsia" w:cstheme="minorEastAsia"/>
                <w:color w:val="auto"/>
                <w:kern w:val="0"/>
                <w:szCs w:val="21"/>
                <w:lang w:val="zh-CN" w:bidi="zh-CN"/>
              </w:rPr>
              <w:t>配件、辅材</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批</w:t>
            </w:r>
          </w:p>
        </w:tc>
        <w:tc>
          <w:tcPr>
            <w:tcW w:w="1629" w:type="dxa"/>
            <w:vAlign w:val="center"/>
          </w:tcPr>
          <w:p>
            <w:pPr>
              <w:jc w:val="center"/>
              <w:rPr>
                <w:rFonts w:hint="eastAsia" w:asciiTheme="minorEastAsia" w:hAnsiTheme="minorEastAsia" w:eastAsiaTheme="minorEastAsia" w:cstheme="minorEastAsia"/>
                <w:color w:val="auto"/>
              </w:rPr>
            </w:pPr>
            <w:r>
              <w:rPr>
                <w:rFonts w:hint="eastAsia"/>
                <w:color w:val="auto"/>
              </w:rPr>
              <w:t>专门面向中小微企业</w:t>
            </w:r>
          </w:p>
        </w:tc>
        <w:tc>
          <w:tcPr>
            <w:tcW w:w="1186" w:type="dxa"/>
            <w:vAlign w:val="center"/>
          </w:tcPr>
          <w:p>
            <w:pPr>
              <w:jc w:val="center"/>
              <w:rPr>
                <w:rFonts w:hint="eastAsia"/>
                <w:b w:val="0"/>
                <w:bCs/>
                <w:color w:val="auto"/>
              </w:rPr>
            </w:pPr>
            <w:r>
              <w:rPr>
                <w:rFonts w:hint="eastAsia" w:asciiTheme="minorEastAsia" w:hAnsiTheme="minorEastAsia" w:eastAsiaTheme="minorEastAsia" w:cstheme="minorEastAsia"/>
                <w:b w:val="0"/>
                <w:bCs/>
                <w:color w:val="auto"/>
                <w:lang w:val="zh-CN"/>
              </w:rPr>
              <w:t>提供中小</w:t>
            </w:r>
            <w:r>
              <w:rPr>
                <w:rFonts w:hint="eastAsia"/>
                <w:color w:val="auto"/>
              </w:rPr>
              <w:t>微</w:t>
            </w:r>
            <w:r>
              <w:rPr>
                <w:rFonts w:hint="eastAsia" w:asciiTheme="minorEastAsia" w:hAnsiTheme="minorEastAsia" w:eastAsiaTheme="minorEastAsia" w:cstheme="minorEastAsia"/>
                <w:b w:val="0"/>
                <w:bCs/>
                <w:color w:val="auto"/>
                <w:lang w:val="zh-CN"/>
              </w:rPr>
              <w:t>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546" w:type="dxa"/>
          </w:tcPr>
          <w:p>
            <w:pPr>
              <w:numPr>
                <w:ilvl w:val="0"/>
                <w:numId w:val="34"/>
              </w:numPr>
              <w:autoSpaceDE w:val="0"/>
              <w:autoSpaceDN w:val="0"/>
              <w:spacing w:before="196"/>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jc w:val="left"/>
              <w:rPr>
                <w:rFonts w:asciiTheme="minorEastAsia" w:hAnsiTheme="minorEastAsia" w:eastAsiaTheme="minorEastAsia" w:cstheme="minorEastAsia"/>
                <w:color w:val="auto"/>
                <w:kern w:val="0"/>
                <w:szCs w:val="21"/>
                <w:lang w:val="zh-CN" w:bidi="zh-CN"/>
              </w:rPr>
            </w:pPr>
            <w:r>
              <w:rPr>
                <w:rFonts w:hint="eastAsia" w:asciiTheme="minorEastAsia" w:hAnsiTheme="minorEastAsia" w:eastAsiaTheme="minorEastAsia" w:cstheme="minorEastAsia"/>
                <w:color w:val="auto"/>
                <w:kern w:val="0"/>
                <w:szCs w:val="21"/>
                <w:lang w:val="zh-CN" w:bidi="zh-CN"/>
              </w:rPr>
              <w:t>光纤模块</w:t>
            </w:r>
          </w:p>
        </w:tc>
        <w:tc>
          <w:tcPr>
            <w:tcW w:w="1104" w:type="dxa"/>
            <w:vAlign w:val="center"/>
          </w:tcPr>
          <w:p>
            <w:pPr>
              <w:jc w:val="center"/>
              <w:rPr>
                <w:rFonts w:asciiTheme="minorEastAsia" w:hAnsiTheme="minorEastAsia" w:eastAsiaTheme="minorEastAsia" w:cstheme="minorEastAsia"/>
                <w:color w:val="auto"/>
                <w:lang w:val="zh-CN"/>
              </w:rPr>
            </w:pPr>
            <w:r>
              <w:rPr>
                <w:rFonts w:hint="eastAsia" w:asciiTheme="minorEastAsia" w:hAnsiTheme="minorEastAsia" w:eastAsiaTheme="minorEastAsia" w:cstheme="minorEastAsia"/>
                <w:color w:val="auto"/>
              </w:rPr>
              <w:t>4</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组</w:t>
            </w:r>
          </w:p>
        </w:tc>
        <w:tc>
          <w:tcPr>
            <w:tcW w:w="1629" w:type="dxa"/>
            <w:vAlign w:val="center"/>
          </w:tcPr>
          <w:p>
            <w:pPr>
              <w:jc w:val="center"/>
              <w:rPr>
                <w:rFonts w:hint="eastAsia" w:asciiTheme="minorEastAsia" w:hAnsiTheme="minorEastAsia" w:eastAsiaTheme="minorEastAsia" w:cstheme="minorEastAsia"/>
                <w:color w:val="auto"/>
              </w:rPr>
            </w:pPr>
            <w:r>
              <w:rPr>
                <w:rFonts w:hint="eastAsia"/>
                <w:color w:val="auto"/>
              </w:rPr>
              <w:t>专门面向中小微企业</w:t>
            </w:r>
          </w:p>
        </w:tc>
        <w:tc>
          <w:tcPr>
            <w:tcW w:w="1186" w:type="dxa"/>
            <w:vAlign w:val="center"/>
          </w:tcPr>
          <w:p>
            <w:pPr>
              <w:jc w:val="center"/>
              <w:rPr>
                <w:rFonts w:hint="eastAsia"/>
                <w:b w:val="0"/>
                <w:bCs/>
                <w:color w:val="auto"/>
              </w:rPr>
            </w:pPr>
            <w:r>
              <w:rPr>
                <w:rFonts w:hint="eastAsia" w:asciiTheme="minorEastAsia" w:hAnsiTheme="minorEastAsia" w:eastAsiaTheme="minorEastAsia" w:cstheme="minorEastAsia"/>
                <w:b w:val="0"/>
                <w:bCs/>
                <w:color w:val="auto"/>
                <w:lang w:val="zh-CN"/>
              </w:rPr>
              <w:t>提供中小</w:t>
            </w:r>
            <w:r>
              <w:rPr>
                <w:rFonts w:hint="eastAsia"/>
                <w:color w:val="auto"/>
              </w:rPr>
              <w:t>微</w:t>
            </w:r>
            <w:r>
              <w:rPr>
                <w:rFonts w:hint="eastAsia" w:asciiTheme="minorEastAsia" w:hAnsiTheme="minorEastAsia" w:eastAsiaTheme="minorEastAsia" w:cstheme="minorEastAsia"/>
                <w:b w:val="0"/>
                <w:bCs/>
                <w:color w:val="auto"/>
                <w:lang w:val="zh-CN"/>
              </w:rPr>
              <w:t>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46" w:type="dxa"/>
          </w:tcPr>
          <w:p>
            <w:pPr>
              <w:numPr>
                <w:ilvl w:val="0"/>
                <w:numId w:val="34"/>
              </w:numPr>
              <w:autoSpaceDE w:val="0"/>
              <w:autoSpaceDN w:val="0"/>
              <w:spacing w:before="196"/>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jc w:val="left"/>
              <w:rPr>
                <w:rFonts w:asciiTheme="minorEastAsia" w:hAnsiTheme="minorEastAsia" w:eastAsiaTheme="minorEastAsia" w:cstheme="minorEastAsia"/>
                <w:color w:val="auto"/>
                <w:kern w:val="0"/>
                <w:szCs w:val="21"/>
                <w:lang w:val="zh-CN" w:bidi="zh-CN"/>
              </w:rPr>
            </w:pPr>
            <w:r>
              <w:rPr>
                <w:rFonts w:hint="eastAsia" w:asciiTheme="minorEastAsia" w:hAnsiTheme="minorEastAsia" w:eastAsiaTheme="minorEastAsia" w:cstheme="minorEastAsia"/>
                <w:color w:val="auto"/>
                <w:kern w:val="0"/>
                <w:szCs w:val="21"/>
                <w:lang w:val="zh-CN" w:bidi="zh-CN"/>
              </w:rPr>
              <w:t>4U机柜</w:t>
            </w:r>
          </w:p>
        </w:tc>
        <w:tc>
          <w:tcPr>
            <w:tcW w:w="1104" w:type="dxa"/>
            <w:vAlign w:val="center"/>
          </w:tcPr>
          <w:p>
            <w:pPr>
              <w:jc w:val="center"/>
              <w:rPr>
                <w:rFonts w:asciiTheme="minorEastAsia" w:hAnsiTheme="minorEastAsia" w:eastAsiaTheme="minorEastAsia" w:cstheme="minorEastAsia"/>
                <w:color w:val="auto"/>
                <w:lang w:val="zh-CN"/>
              </w:rPr>
            </w:pPr>
            <w:r>
              <w:rPr>
                <w:rFonts w:hint="eastAsia" w:asciiTheme="minorEastAsia" w:hAnsiTheme="minorEastAsia" w:eastAsiaTheme="minorEastAsia" w:cstheme="minorEastAsia"/>
                <w:color w:val="auto"/>
              </w:rPr>
              <w:t>4</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台</w:t>
            </w:r>
          </w:p>
        </w:tc>
        <w:tc>
          <w:tcPr>
            <w:tcW w:w="1629" w:type="dxa"/>
            <w:vAlign w:val="center"/>
          </w:tcPr>
          <w:p>
            <w:pPr>
              <w:jc w:val="center"/>
              <w:rPr>
                <w:rFonts w:hint="eastAsia" w:asciiTheme="minorEastAsia" w:hAnsiTheme="minorEastAsia" w:eastAsiaTheme="minorEastAsia" w:cstheme="minorEastAsia"/>
                <w:color w:val="auto"/>
              </w:rPr>
            </w:pPr>
            <w:r>
              <w:rPr>
                <w:rFonts w:hint="eastAsia"/>
                <w:color w:val="auto"/>
              </w:rPr>
              <w:t>专门面向中小微企业</w:t>
            </w:r>
          </w:p>
        </w:tc>
        <w:tc>
          <w:tcPr>
            <w:tcW w:w="1186" w:type="dxa"/>
            <w:vAlign w:val="center"/>
          </w:tcPr>
          <w:p>
            <w:pPr>
              <w:jc w:val="center"/>
              <w:rPr>
                <w:rFonts w:hint="eastAsia"/>
                <w:b w:val="0"/>
                <w:bCs/>
                <w:color w:val="auto"/>
              </w:rPr>
            </w:pPr>
            <w:r>
              <w:rPr>
                <w:rFonts w:hint="eastAsia" w:asciiTheme="minorEastAsia" w:hAnsiTheme="minorEastAsia" w:eastAsiaTheme="minorEastAsia" w:cstheme="minorEastAsia"/>
                <w:b w:val="0"/>
                <w:bCs/>
                <w:color w:val="auto"/>
                <w:lang w:val="zh-CN"/>
              </w:rPr>
              <w:t>提供中小</w:t>
            </w:r>
            <w:r>
              <w:rPr>
                <w:rFonts w:hint="eastAsia"/>
                <w:color w:val="auto"/>
              </w:rPr>
              <w:t>微</w:t>
            </w:r>
            <w:r>
              <w:rPr>
                <w:rFonts w:hint="eastAsia" w:asciiTheme="minorEastAsia" w:hAnsiTheme="minorEastAsia" w:eastAsiaTheme="minorEastAsia" w:cstheme="minorEastAsia"/>
                <w:b w:val="0"/>
                <w:bCs/>
                <w:color w:val="auto"/>
                <w:lang w:val="zh-CN"/>
              </w:rPr>
              <w:t>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46" w:type="dxa"/>
          </w:tcPr>
          <w:p>
            <w:pPr>
              <w:numPr>
                <w:ilvl w:val="0"/>
                <w:numId w:val="34"/>
              </w:numPr>
              <w:autoSpaceDE w:val="0"/>
              <w:autoSpaceDN w:val="0"/>
              <w:spacing w:before="196"/>
              <w:jc w:val="center"/>
              <w:rPr>
                <w:rFonts w:asciiTheme="minorEastAsia" w:hAnsiTheme="minorEastAsia" w:eastAsiaTheme="minorEastAsia" w:cstheme="minorEastAsia"/>
                <w:color w:val="auto"/>
                <w:szCs w:val="21"/>
                <w:lang w:val="zh-CN" w:bidi="zh-CN"/>
              </w:rPr>
            </w:pPr>
          </w:p>
        </w:tc>
        <w:tc>
          <w:tcPr>
            <w:tcW w:w="3519" w:type="dxa"/>
            <w:vAlign w:val="center"/>
          </w:tcPr>
          <w:p>
            <w:pPr>
              <w:autoSpaceDE w:val="0"/>
              <w:autoSpaceDN w:val="0"/>
              <w:jc w:val="left"/>
              <w:rPr>
                <w:rFonts w:asciiTheme="minorEastAsia" w:hAnsiTheme="minorEastAsia" w:eastAsiaTheme="minorEastAsia" w:cstheme="minorEastAsia"/>
                <w:color w:val="auto"/>
                <w:kern w:val="0"/>
                <w:szCs w:val="21"/>
                <w:lang w:val="zh-CN" w:bidi="zh-CN"/>
              </w:rPr>
            </w:pPr>
            <w:r>
              <w:rPr>
                <w:rFonts w:hint="eastAsia" w:asciiTheme="minorEastAsia" w:hAnsiTheme="minorEastAsia" w:eastAsiaTheme="minorEastAsia" w:cstheme="minorEastAsia"/>
                <w:color w:val="auto"/>
                <w:kern w:val="0"/>
                <w:szCs w:val="21"/>
                <w:lang w:val="zh-CN" w:bidi="zh-CN"/>
              </w:rPr>
              <w:t>服务器</w:t>
            </w:r>
          </w:p>
        </w:tc>
        <w:tc>
          <w:tcPr>
            <w:tcW w:w="1104"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880" w:type="dxa"/>
            <w:vAlign w:val="center"/>
          </w:tcPr>
          <w:p>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台</w:t>
            </w:r>
          </w:p>
        </w:tc>
        <w:tc>
          <w:tcPr>
            <w:tcW w:w="1629" w:type="dxa"/>
            <w:vAlign w:val="center"/>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否</w:t>
            </w:r>
          </w:p>
        </w:tc>
        <w:tc>
          <w:tcPr>
            <w:tcW w:w="1186" w:type="dxa"/>
            <w:vAlign w:val="center"/>
          </w:tcPr>
          <w:p>
            <w:pPr>
              <w:jc w:val="center"/>
              <w:rPr>
                <w:rFonts w:hint="eastAsia" w:asciiTheme="minorEastAsia" w:hAnsiTheme="minorEastAsia" w:eastAsiaTheme="minorEastAsia" w:cstheme="minorEastAsia"/>
                <w:b w:val="0"/>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8864" w:type="dxa"/>
            <w:gridSpan w:val="6"/>
            <w:vAlign w:val="center"/>
          </w:tcPr>
          <w:p>
            <w:pPr>
              <w:widowControl/>
              <w:autoSpaceDE w:val="0"/>
              <w:autoSpaceDN w:val="0"/>
              <w:jc w:val="center"/>
              <w:textAlignment w:val="center"/>
              <w:rPr>
                <w:rFonts w:hint="eastAsia" w:asciiTheme="minorEastAsia" w:hAnsiTheme="minorEastAsia" w:eastAsiaTheme="minorEastAsia" w:cstheme="minorEastAsia"/>
                <w:b w:val="0"/>
                <w:bCs/>
                <w:color w:val="auto"/>
                <w:szCs w:val="21"/>
                <w:lang w:bidi="zh-CN"/>
              </w:rPr>
            </w:pPr>
            <w:r>
              <w:rPr>
                <w:rFonts w:hint="eastAsia" w:asciiTheme="minorEastAsia" w:hAnsiTheme="minorEastAsia" w:eastAsiaTheme="minorEastAsia" w:cstheme="minorEastAsia"/>
                <w:b/>
                <w:bCs/>
                <w:color w:val="auto"/>
                <w:szCs w:val="21"/>
                <w:lang w:bidi="zh-CN"/>
              </w:rPr>
              <w:t>注：为方便后期资产管理，投标供应商在响应文件</w:t>
            </w:r>
            <w:r>
              <w:rPr>
                <w:rFonts w:hint="eastAsia" w:asciiTheme="minorEastAsia" w:hAnsiTheme="minorEastAsia" w:eastAsiaTheme="minorEastAsia" w:cstheme="minorEastAsia"/>
                <w:b/>
                <w:bCs/>
                <w:color w:val="auto"/>
                <w:szCs w:val="21"/>
              </w:rPr>
              <w:t>报价费用构成表中</w:t>
            </w:r>
            <w:r>
              <w:rPr>
                <w:rFonts w:hint="eastAsia" w:asciiTheme="minorEastAsia" w:hAnsiTheme="minorEastAsia" w:eastAsiaTheme="minorEastAsia" w:cstheme="minorEastAsia"/>
                <w:b/>
                <w:bCs/>
                <w:color w:val="auto"/>
                <w:szCs w:val="21"/>
                <w:lang w:bidi="zh-CN"/>
              </w:rPr>
              <w:t>须对上述各单项进行报价。</w:t>
            </w:r>
          </w:p>
        </w:tc>
      </w:tr>
    </w:tbl>
    <w:p>
      <w:pPr>
        <w:autoSpaceDE w:val="0"/>
        <w:autoSpaceDN w:val="0"/>
        <w:adjustRightInd w:val="0"/>
        <w:spacing w:line="360" w:lineRule="auto"/>
        <w:rPr>
          <w:rFonts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3.技术规格参数要求</w:t>
      </w:r>
    </w:p>
    <w:tbl>
      <w:tblPr>
        <w:tblStyle w:val="26"/>
        <w:tblpPr w:leftFromText="180" w:rightFromText="180" w:vertAnchor="text" w:horzAnchor="page" w:tblpX="1266" w:tblpY="12"/>
        <w:tblOverlap w:val="never"/>
        <w:tblW w:w="89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879"/>
        <w:gridCol w:w="73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750" w:type="dxa"/>
            <w:vAlign w:val="top"/>
          </w:tcPr>
          <w:p>
            <w:pPr>
              <w:jc w:val="center"/>
              <w:rPr>
                <w:lang w:val="zh-CN"/>
              </w:rPr>
            </w:pPr>
            <w:r>
              <w:rPr>
                <w:rFonts w:hint="eastAsia"/>
                <w:lang w:val="zh-CN"/>
              </w:rPr>
              <w:t>序号</w:t>
            </w:r>
          </w:p>
        </w:tc>
        <w:tc>
          <w:tcPr>
            <w:tcW w:w="879" w:type="dxa"/>
          </w:tcPr>
          <w:p>
            <w:pPr>
              <w:jc w:val="center"/>
              <w:rPr>
                <w:lang w:val="zh-CN"/>
              </w:rPr>
            </w:pPr>
            <w:r>
              <w:rPr>
                <w:rFonts w:hint="eastAsia"/>
                <w:lang w:val="zh-CN"/>
              </w:rPr>
              <w:t>货物名称</w:t>
            </w:r>
          </w:p>
        </w:tc>
        <w:tc>
          <w:tcPr>
            <w:tcW w:w="7335" w:type="dxa"/>
          </w:tcPr>
          <w:p>
            <w:pPr>
              <w:jc w:val="center"/>
              <w:rPr>
                <w:lang w:val="zh-CN"/>
              </w:rPr>
            </w:pPr>
            <w:r>
              <w:rPr>
                <w:rFonts w:hint="eastAsia"/>
                <w:lang w:val="zh-CN"/>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top"/>
          </w:tcPr>
          <w:p>
            <w:pPr>
              <w:jc w:val="center"/>
              <w:rPr>
                <w:lang w:val="zh-CN"/>
              </w:rPr>
            </w:pPr>
          </w:p>
          <w:p>
            <w:pPr>
              <w:jc w:val="center"/>
              <w:rPr>
                <w:lang w:val="zh-CN"/>
              </w:rPr>
            </w:pPr>
          </w:p>
          <w:p>
            <w:pPr>
              <w:jc w:val="center"/>
              <w:rPr>
                <w:lang w:val="zh-CN"/>
              </w:rPr>
            </w:pPr>
          </w:p>
          <w:p>
            <w:pPr>
              <w:jc w:val="center"/>
              <w:rPr>
                <w:lang w:val="zh-CN"/>
              </w:rPr>
            </w:pPr>
          </w:p>
          <w:p>
            <w:pPr>
              <w:jc w:val="center"/>
              <w:rPr>
                <w:lang w:val="zh-CN"/>
              </w:rPr>
            </w:pPr>
          </w:p>
          <w:p>
            <w:pPr>
              <w:jc w:val="center"/>
              <w:rPr>
                <w:lang w:val="zh-CN"/>
              </w:rPr>
            </w:pPr>
          </w:p>
          <w:p>
            <w:pPr>
              <w:jc w:val="center"/>
              <w:rPr>
                <w:lang w:val="zh-CN"/>
              </w:rPr>
            </w:pPr>
          </w:p>
          <w:p>
            <w:pPr>
              <w:jc w:val="center"/>
              <w:rPr>
                <w:lang w:val="zh-CN"/>
              </w:rPr>
            </w:pPr>
          </w:p>
          <w:p>
            <w:pPr>
              <w:jc w:val="center"/>
              <w:rPr>
                <w:lang w:val="zh-CN"/>
              </w:rPr>
            </w:pPr>
          </w:p>
          <w:p>
            <w:pPr>
              <w:jc w:val="center"/>
              <w:rPr>
                <w:lang w:val="zh-CN"/>
              </w:rPr>
            </w:pPr>
          </w:p>
          <w:p>
            <w:pPr>
              <w:jc w:val="center"/>
              <w:rPr>
                <w:lang w:val="zh-CN"/>
              </w:rPr>
            </w:pPr>
            <w:r>
              <w:rPr>
                <w:rFonts w:hint="eastAsia"/>
                <w:lang w:val="zh-CN"/>
              </w:rPr>
              <w:t>1</w:t>
            </w:r>
          </w:p>
        </w:tc>
        <w:tc>
          <w:tcPr>
            <w:tcW w:w="879" w:type="dxa"/>
          </w:tcPr>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
          <w:p>
            <w:pPr>
              <w:rPr>
                <w:lang w:val="zh-CN"/>
              </w:rPr>
            </w:pPr>
            <w:r>
              <w:rPr>
                <w:rFonts w:hint="eastAsia"/>
              </w:rPr>
              <w:t>摆</w:t>
            </w:r>
            <w:r>
              <w:rPr>
                <w:rFonts w:hint="eastAsia"/>
                <w:lang w:val="zh-CN"/>
              </w:rPr>
              <w:t>闸速通</w:t>
            </w:r>
            <w:r>
              <w:rPr>
                <w:rFonts w:hint="eastAsia"/>
              </w:rPr>
              <w:t>闸</w:t>
            </w:r>
            <w:r>
              <w:rPr>
                <w:rFonts w:hint="eastAsia"/>
                <w:lang w:val="zh-CN"/>
              </w:rPr>
              <w:t>（室内型）</w:t>
            </w:r>
            <w:r>
              <w:rPr>
                <w:rFonts w:hint="eastAsia"/>
              </w:rPr>
              <w:t>单机芯</w:t>
            </w:r>
          </w:p>
          <w:p>
            <w:pPr>
              <w:rPr>
                <w:lang w:val="zh-CN"/>
              </w:rPr>
            </w:pPr>
          </w:p>
        </w:tc>
        <w:tc>
          <w:tcPr>
            <w:tcW w:w="7335" w:type="dxa"/>
          </w:tcPr>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1.</w:t>
            </w:r>
            <w:r>
              <w:rPr>
                <w:rFonts w:hint="eastAsia" w:asciiTheme="minorEastAsia" w:hAnsiTheme="minorEastAsia" w:eastAsiaTheme="minorEastAsia" w:cstheme="minorEastAsia"/>
                <w:lang w:val="zh-CN"/>
              </w:rPr>
              <w:t>全钢制机芯，304不锈钢金属外壳，采用光栅检测智能识别通道中的物体配置</w:t>
            </w:r>
            <w:r>
              <w:rPr>
                <w:rFonts w:hint="eastAsia" w:asciiTheme="minorEastAsia" w:hAnsiTheme="minorEastAsia" w:eastAsiaTheme="minorEastAsia" w:cstheme="minorEastAsia"/>
              </w:rPr>
              <w:t>不</w:t>
            </w:r>
            <w:r>
              <w:rPr>
                <w:rFonts w:hint="eastAsia" w:asciiTheme="minorEastAsia" w:hAnsiTheme="minorEastAsia" w:eastAsiaTheme="minorEastAsia" w:cstheme="minorEastAsia"/>
                <w:lang w:val="zh-CN"/>
              </w:rPr>
              <w:t>低于52对电眼超高密度检测（或使用红外感应射灯，≥6对红外对射电眼），通行更加安全，安全等级模式不低于40种可选择，机芯平均无故障运行次数应≥1500万次。</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2.尺寸≥1</w:t>
            </w:r>
            <w:r>
              <w:rPr>
                <w:rFonts w:hint="eastAsia" w:asciiTheme="minorEastAsia" w:hAnsiTheme="minorEastAsia" w:eastAsiaTheme="minorEastAsia" w:cstheme="minorEastAsia"/>
              </w:rPr>
              <w:t>400</w:t>
            </w:r>
            <w:r>
              <w:rPr>
                <w:rFonts w:hint="eastAsia" w:asciiTheme="minorEastAsia" w:hAnsiTheme="minorEastAsia" w:eastAsiaTheme="minorEastAsia" w:cstheme="minorEastAsia"/>
                <w:lang w:val="zh-CN"/>
              </w:rPr>
              <w:t>mm×200mm×1</w:t>
            </w:r>
            <w:r>
              <w:rPr>
                <w:rFonts w:hint="eastAsia" w:asciiTheme="minorEastAsia" w:hAnsiTheme="minorEastAsia" w:eastAsiaTheme="minorEastAsia" w:cstheme="minorEastAsia"/>
              </w:rPr>
              <w:t>200</w:t>
            </w:r>
            <w:r>
              <w:rPr>
                <w:rFonts w:hint="eastAsia" w:asciiTheme="minorEastAsia" w:hAnsiTheme="minorEastAsia" w:eastAsiaTheme="minorEastAsia" w:cstheme="minorEastAsia"/>
                <w:lang w:val="zh-CN"/>
              </w:rPr>
              <w:t>mm（长×宽×高）；外壳材料 SUS304；驱动电机直流</w:t>
            </w:r>
            <w:r>
              <w:rPr>
                <w:rFonts w:hint="eastAsia" w:asciiTheme="minorEastAsia" w:hAnsiTheme="minorEastAsia" w:eastAsiaTheme="minorEastAsia" w:cstheme="minorEastAsia"/>
              </w:rPr>
              <w:t>无</w:t>
            </w:r>
            <w:r>
              <w:rPr>
                <w:rFonts w:hint="eastAsia" w:asciiTheme="minorEastAsia" w:hAnsiTheme="minorEastAsia" w:eastAsiaTheme="minorEastAsia" w:cstheme="minorEastAsia"/>
                <w:lang w:val="zh-CN"/>
              </w:rPr>
              <w:t>刷电机。</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3.摆臂材料SUS304；通道宽</w:t>
            </w:r>
            <w:r>
              <w:rPr>
                <w:rFonts w:hint="eastAsia" w:asciiTheme="minorEastAsia" w:hAnsiTheme="minorEastAsia" w:eastAsiaTheme="minorEastAsia" w:cstheme="minorEastAsia"/>
              </w:rPr>
              <w:t>度600</w:t>
            </w:r>
            <w:r>
              <w:rPr>
                <w:rFonts w:hint="eastAsia" w:asciiTheme="minorEastAsia" w:hAnsiTheme="minorEastAsia" w:eastAsiaTheme="minorEastAsia" w:cstheme="minorEastAsia"/>
                <w:lang w:val="zh-CN"/>
              </w:rPr>
              <w:t>mm-1100mm；最大定制通道宽度 ≥1100mm；便于维护：闸盖采取上开模式</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4.钢质板材厚度≥</w:t>
            </w:r>
            <w:r>
              <w:rPr>
                <w:rFonts w:hint="eastAsia" w:asciiTheme="minorEastAsia" w:hAnsiTheme="minorEastAsia" w:eastAsiaTheme="minorEastAsia" w:cstheme="minorEastAsia"/>
              </w:rPr>
              <w:t>1.5</w:t>
            </w:r>
            <w:r>
              <w:rPr>
                <w:rFonts w:hint="eastAsia" w:asciiTheme="minorEastAsia" w:hAnsiTheme="minorEastAsia" w:eastAsiaTheme="minorEastAsia" w:cstheme="minorEastAsia"/>
                <w:lang w:val="zh-CN"/>
              </w:rPr>
              <w:t>mm；机芯防水深度≥60CM</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5.整机</w:t>
            </w:r>
            <w:r>
              <w:rPr>
                <w:rFonts w:hint="eastAsia" w:asciiTheme="minorEastAsia" w:hAnsiTheme="minorEastAsia" w:eastAsiaTheme="minorEastAsia" w:cstheme="minorEastAsia"/>
              </w:rPr>
              <w:t>应具</w:t>
            </w:r>
            <w:r>
              <w:rPr>
                <w:rFonts w:hint="eastAsia" w:asciiTheme="minorEastAsia" w:hAnsiTheme="minorEastAsia" w:eastAsiaTheme="minorEastAsia" w:cstheme="minorEastAsia"/>
                <w:lang w:val="zh-CN"/>
              </w:rPr>
              <w:t>有醒目的LED指示灯，</w:t>
            </w:r>
            <w:r>
              <w:rPr>
                <w:rFonts w:hint="eastAsia" w:asciiTheme="minorEastAsia" w:hAnsiTheme="minorEastAsia" w:eastAsiaTheme="minorEastAsia" w:cstheme="minorEastAsia"/>
              </w:rPr>
              <w:t>设备</w:t>
            </w:r>
            <w:r>
              <w:rPr>
                <w:rFonts w:hint="eastAsia" w:asciiTheme="minorEastAsia" w:hAnsiTheme="minorEastAsia" w:eastAsiaTheme="minorEastAsia" w:cstheme="minorEastAsia"/>
                <w:lang w:val="zh-CN"/>
              </w:rPr>
              <w:t>待机情</w:t>
            </w:r>
            <w:r>
              <w:rPr>
                <w:rFonts w:hint="eastAsia" w:asciiTheme="minorEastAsia" w:hAnsiTheme="minorEastAsia" w:eastAsiaTheme="minorEastAsia" w:cstheme="minorEastAsia"/>
              </w:rPr>
              <w:t>况下</w:t>
            </w:r>
            <w:r>
              <w:rPr>
                <w:rFonts w:hint="eastAsia" w:asciiTheme="minorEastAsia" w:hAnsiTheme="minorEastAsia" w:eastAsiaTheme="minorEastAsia" w:cstheme="minorEastAsia"/>
                <w:lang w:val="zh-CN"/>
              </w:rPr>
              <w:t>，鉴权成功后，无权限时</w:t>
            </w:r>
            <w:r>
              <w:rPr>
                <w:rFonts w:hint="eastAsia" w:asciiTheme="minorEastAsia" w:hAnsiTheme="minorEastAsia" w:eastAsiaTheme="minorEastAsia" w:cstheme="minorEastAsia"/>
              </w:rPr>
              <w:t>具备灯光提示</w:t>
            </w:r>
            <w:r>
              <w:rPr>
                <w:rFonts w:hint="eastAsia" w:asciiTheme="minorEastAsia" w:hAnsiTheme="minorEastAsia" w:eastAsiaTheme="minorEastAsia" w:cstheme="minorEastAsia"/>
                <w:lang w:val="zh-CN"/>
              </w:rPr>
              <w:t>并语音提示。</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6、人员进出通道或者警示状态时，设备可语音播报、灯光闪烁提示：报警与提示语音可关闭，音量大小可调整，开机自检失败时，设备可语音播报失败类型。</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7</w:t>
            </w:r>
            <w:r>
              <w:rPr>
                <w:rFonts w:hint="eastAsia" w:asciiTheme="minorEastAsia" w:hAnsiTheme="minorEastAsia" w:eastAsiaTheme="minorEastAsia" w:cstheme="minorEastAsia"/>
                <w:lang w:val="zh-CN"/>
              </w:rPr>
              <w:t>.支持翻越报警的功能，具备防夹保护的功能，满足单通道反潜回、多通道跨主机反潜回的功能，闸机集成语音模块，满足根据采购人需求自定义语音播报内容，同时可设置联动语音提示，具有消防联动接口。</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8.配备一键常开固定遥控按钮、移动遥控功能按钮。</w:t>
            </w:r>
          </w:p>
          <w:p>
            <w:pPr>
              <w:rPr>
                <w:rFonts w:asciiTheme="minorEastAsia" w:hAnsiTheme="minorEastAsia" w:eastAsiaTheme="minorEastAsia" w:cstheme="minorEastAsia"/>
              </w:rPr>
            </w:pPr>
            <w:r>
              <w:rPr>
                <w:rFonts w:hint="eastAsia" w:asciiTheme="minorEastAsia" w:hAnsiTheme="minorEastAsia" w:eastAsiaTheme="minorEastAsia" w:cstheme="minorEastAsia"/>
              </w:rPr>
              <w:t>可本地和上位机查看通信线缆状态，红外状态、门翼状态，腔体温度状态等门翼开/关门速度≤0.5s可调。</w:t>
            </w:r>
          </w:p>
          <w:p>
            <w:pPr>
              <w:rPr>
                <w:rFonts w:asciiTheme="minorEastAsia" w:hAnsiTheme="minorEastAsia" w:eastAsiaTheme="minorEastAsia" w:cstheme="minorEastAsia"/>
              </w:rPr>
            </w:pPr>
            <w:r>
              <w:rPr>
                <w:rFonts w:hint="eastAsia" w:asciiTheme="minorEastAsia" w:hAnsiTheme="minorEastAsia" w:eastAsiaTheme="minorEastAsia" w:cstheme="minorEastAsia"/>
              </w:rPr>
              <w:t>9.工作温度区间：高温（+80±2）℃，低温（-30±3）℃。</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10.设备20≤每分钟通行人数≤60。</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11.当通道中，同时通行人数超过其允许通行的人数时，设备会做尾随事件警示。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750" w:type="dxa"/>
            <w:vAlign w:val="top"/>
          </w:tcPr>
          <w:p>
            <w:pPr>
              <w:jc w:val="center"/>
              <w:rPr>
                <w:lang w:val="zh-CN"/>
              </w:rPr>
            </w:pPr>
          </w:p>
          <w:p>
            <w:pPr>
              <w:jc w:val="center"/>
              <w:rPr>
                <w:lang w:val="zh-CN"/>
              </w:rPr>
            </w:pPr>
          </w:p>
          <w:p>
            <w:pPr>
              <w:jc w:val="center"/>
              <w:rPr>
                <w:lang w:val="zh-CN"/>
              </w:rPr>
            </w:pPr>
          </w:p>
          <w:p>
            <w:pPr>
              <w:jc w:val="center"/>
              <w:rPr>
                <w:lang w:val="zh-CN"/>
              </w:rPr>
            </w:pPr>
          </w:p>
          <w:p>
            <w:pPr>
              <w:jc w:val="center"/>
              <w:rPr>
                <w:lang w:val="zh-CN"/>
              </w:rPr>
            </w:pPr>
          </w:p>
          <w:p>
            <w:pPr>
              <w:jc w:val="center"/>
              <w:rPr>
                <w:lang w:val="zh-CN"/>
              </w:rPr>
            </w:pPr>
          </w:p>
          <w:p>
            <w:pPr>
              <w:jc w:val="center"/>
              <w:rPr>
                <w:lang w:val="zh-CN"/>
              </w:rPr>
            </w:pPr>
          </w:p>
          <w:p>
            <w:pPr>
              <w:jc w:val="center"/>
              <w:rPr>
                <w:lang w:val="zh-CN"/>
              </w:rPr>
            </w:pPr>
            <w:r>
              <w:rPr>
                <w:rFonts w:hint="eastAsia"/>
                <w:lang w:val="zh-CN"/>
              </w:rPr>
              <w:t>2</w:t>
            </w:r>
          </w:p>
        </w:tc>
        <w:tc>
          <w:tcPr>
            <w:tcW w:w="879" w:type="dxa"/>
          </w:tcPr>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r>
              <w:rPr>
                <w:rFonts w:hint="eastAsia"/>
                <w:lang w:val="zh-CN"/>
              </w:rPr>
              <w:t>摆闸速通（室内型）</w:t>
            </w:r>
            <w:r>
              <w:rPr>
                <w:rFonts w:hint="eastAsia"/>
              </w:rPr>
              <w:t>双机芯</w:t>
            </w:r>
          </w:p>
        </w:tc>
        <w:tc>
          <w:tcPr>
            <w:tcW w:w="7335" w:type="dxa"/>
          </w:tcPr>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1.</w:t>
            </w:r>
            <w:r>
              <w:rPr>
                <w:rFonts w:hint="eastAsia" w:asciiTheme="minorEastAsia" w:hAnsiTheme="minorEastAsia" w:eastAsiaTheme="minorEastAsia" w:cstheme="minorEastAsia"/>
                <w:lang w:val="zh-CN"/>
              </w:rPr>
              <w:t>全钢制机芯，304不锈钢金属外壳，采用全新自研一代光栅检测智能识别通道中的物体配置</w:t>
            </w:r>
            <w:r>
              <w:rPr>
                <w:rFonts w:hint="eastAsia" w:asciiTheme="minorEastAsia" w:hAnsiTheme="minorEastAsia" w:eastAsiaTheme="minorEastAsia" w:cstheme="minorEastAsia"/>
              </w:rPr>
              <w:t>不</w:t>
            </w:r>
            <w:r>
              <w:rPr>
                <w:rFonts w:hint="eastAsia" w:asciiTheme="minorEastAsia" w:hAnsiTheme="minorEastAsia" w:eastAsiaTheme="minorEastAsia" w:cstheme="minorEastAsia"/>
                <w:lang w:val="zh-CN"/>
              </w:rPr>
              <w:t>低于52对电眼超高密度检测（或使用红外感应射灯，≥6对红外对射电眼），通行更加安全，安全</w:t>
            </w:r>
            <w:r>
              <w:rPr>
                <w:rFonts w:hint="eastAsia" w:asciiTheme="minorEastAsia" w:hAnsiTheme="minorEastAsia" w:eastAsiaTheme="minorEastAsia" w:cstheme="minorEastAsia"/>
              </w:rPr>
              <w:t>等级</w:t>
            </w:r>
            <w:r>
              <w:rPr>
                <w:rFonts w:hint="eastAsia" w:asciiTheme="minorEastAsia" w:hAnsiTheme="minorEastAsia" w:eastAsiaTheme="minorEastAsia" w:cstheme="minorEastAsia"/>
                <w:lang w:val="zh-CN"/>
              </w:rPr>
              <w:t>模式</w:t>
            </w:r>
            <w:r>
              <w:rPr>
                <w:rFonts w:hint="eastAsia" w:asciiTheme="minorEastAsia" w:hAnsiTheme="minorEastAsia" w:eastAsiaTheme="minorEastAsia" w:cstheme="minorEastAsia"/>
              </w:rPr>
              <w:t>不低于40种</w:t>
            </w:r>
            <w:r>
              <w:rPr>
                <w:rFonts w:hint="eastAsia" w:asciiTheme="minorEastAsia" w:hAnsiTheme="minorEastAsia" w:eastAsiaTheme="minorEastAsia" w:cstheme="minorEastAsia"/>
                <w:lang w:val="zh-CN"/>
              </w:rPr>
              <w:t>可选择，机芯平均无故障运行次数应≥1500万次。</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2.尺寸≥1</w:t>
            </w:r>
            <w:r>
              <w:rPr>
                <w:rFonts w:hint="eastAsia" w:asciiTheme="minorEastAsia" w:hAnsiTheme="minorEastAsia" w:eastAsiaTheme="minorEastAsia" w:cstheme="minorEastAsia"/>
              </w:rPr>
              <w:t>400</w:t>
            </w:r>
            <w:r>
              <w:rPr>
                <w:rFonts w:hint="eastAsia" w:asciiTheme="minorEastAsia" w:hAnsiTheme="minorEastAsia" w:eastAsiaTheme="minorEastAsia" w:cstheme="minorEastAsia"/>
                <w:lang w:val="zh-CN"/>
              </w:rPr>
              <w:t>mm×200mm×1</w:t>
            </w:r>
            <w:r>
              <w:rPr>
                <w:rFonts w:hint="eastAsia" w:asciiTheme="minorEastAsia" w:hAnsiTheme="minorEastAsia" w:eastAsiaTheme="minorEastAsia" w:cstheme="minorEastAsia"/>
              </w:rPr>
              <w:t>200</w:t>
            </w:r>
            <w:r>
              <w:rPr>
                <w:rFonts w:hint="eastAsia" w:asciiTheme="minorEastAsia" w:hAnsiTheme="minorEastAsia" w:eastAsiaTheme="minorEastAsia" w:cstheme="minorEastAsia"/>
                <w:lang w:val="zh-CN"/>
              </w:rPr>
              <w:t>mm（长×宽×高）；外壳材料 SUS304；驱动电机直流</w:t>
            </w:r>
            <w:r>
              <w:rPr>
                <w:rFonts w:hint="eastAsia" w:asciiTheme="minorEastAsia" w:hAnsiTheme="minorEastAsia" w:eastAsiaTheme="minorEastAsia" w:cstheme="minorEastAsia"/>
              </w:rPr>
              <w:t>无</w:t>
            </w:r>
            <w:r>
              <w:rPr>
                <w:rFonts w:hint="eastAsia" w:asciiTheme="minorEastAsia" w:hAnsiTheme="minorEastAsia" w:eastAsiaTheme="minorEastAsia" w:cstheme="minorEastAsia"/>
                <w:lang w:val="zh-CN"/>
              </w:rPr>
              <w:t>刷电机。</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3.摆臂材料SUS304；通道宽</w:t>
            </w:r>
            <w:r>
              <w:rPr>
                <w:rFonts w:hint="eastAsia" w:asciiTheme="minorEastAsia" w:hAnsiTheme="minorEastAsia" w:eastAsiaTheme="minorEastAsia" w:cstheme="minorEastAsia"/>
              </w:rPr>
              <w:t>度600</w:t>
            </w:r>
            <w:r>
              <w:rPr>
                <w:rFonts w:hint="eastAsia" w:asciiTheme="minorEastAsia" w:hAnsiTheme="minorEastAsia" w:eastAsiaTheme="minorEastAsia" w:cstheme="minorEastAsia"/>
                <w:lang w:val="zh-CN"/>
              </w:rPr>
              <w:t>mm-1100mm；最大定制通道宽度 ≥1100mm；便于维护：闸盖采取上开模式</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4.钢质板材厚度≥</w:t>
            </w:r>
            <w:r>
              <w:rPr>
                <w:rFonts w:hint="eastAsia" w:asciiTheme="minorEastAsia" w:hAnsiTheme="minorEastAsia" w:eastAsiaTheme="minorEastAsia" w:cstheme="minorEastAsia"/>
              </w:rPr>
              <w:t>1.5</w:t>
            </w:r>
            <w:r>
              <w:rPr>
                <w:rFonts w:hint="eastAsia" w:asciiTheme="minorEastAsia" w:hAnsiTheme="minorEastAsia" w:eastAsiaTheme="minorEastAsia" w:cstheme="minorEastAsia"/>
                <w:lang w:val="zh-CN"/>
              </w:rPr>
              <w:t>mm；机芯防水深度≥60CM</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5.整机</w:t>
            </w:r>
            <w:r>
              <w:rPr>
                <w:rFonts w:hint="eastAsia" w:asciiTheme="minorEastAsia" w:hAnsiTheme="minorEastAsia" w:eastAsiaTheme="minorEastAsia" w:cstheme="minorEastAsia"/>
              </w:rPr>
              <w:t>应具</w:t>
            </w:r>
            <w:r>
              <w:rPr>
                <w:rFonts w:hint="eastAsia" w:asciiTheme="minorEastAsia" w:hAnsiTheme="minorEastAsia" w:eastAsiaTheme="minorEastAsia" w:cstheme="minorEastAsia"/>
                <w:lang w:val="zh-CN"/>
              </w:rPr>
              <w:t>有醒目的LED指示灯，</w:t>
            </w:r>
            <w:r>
              <w:rPr>
                <w:rFonts w:hint="eastAsia" w:asciiTheme="minorEastAsia" w:hAnsiTheme="minorEastAsia" w:eastAsiaTheme="minorEastAsia" w:cstheme="minorEastAsia"/>
              </w:rPr>
              <w:t>设备</w:t>
            </w:r>
            <w:r>
              <w:rPr>
                <w:rFonts w:hint="eastAsia" w:asciiTheme="minorEastAsia" w:hAnsiTheme="minorEastAsia" w:eastAsiaTheme="minorEastAsia" w:cstheme="minorEastAsia"/>
                <w:lang w:val="zh-CN"/>
              </w:rPr>
              <w:t>待机情</w:t>
            </w:r>
            <w:r>
              <w:rPr>
                <w:rFonts w:hint="eastAsia" w:asciiTheme="minorEastAsia" w:hAnsiTheme="minorEastAsia" w:eastAsiaTheme="minorEastAsia" w:cstheme="minorEastAsia"/>
              </w:rPr>
              <w:t>况下</w:t>
            </w:r>
            <w:r>
              <w:rPr>
                <w:rFonts w:hint="eastAsia" w:asciiTheme="minorEastAsia" w:hAnsiTheme="minorEastAsia" w:eastAsiaTheme="minorEastAsia" w:cstheme="minorEastAsia"/>
                <w:lang w:val="zh-CN"/>
              </w:rPr>
              <w:t>，鉴权成功后，无权限时</w:t>
            </w:r>
            <w:r>
              <w:rPr>
                <w:rFonts w:hint="eastAsia" w:asciiTheme="minorEastAsia" w:hAnsiTheme="minorEastAsia" w:eastAsiaTheme="minorEastAsia" w:cstheme="minorEastAsia"/>
              </w:rPr>
              <w:t>具备灯光提示</w:t>
            </w:r>
            <w:r>
              <w:rPr>
                <w:rFonts w:hint="eastAsia" w:asciiTheme="minorEastAsia" w:hAnsiTheme="minorEastAsia" w:eastAsiaTheme="minorEastAsia" w:cstheme="minorEastAsia"/>
                <w:lang w:val="zh-CN"/>
              </w:rPr>
              <w:t>并语音提示。</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6、人员进出通道或者警示状态时，设备可语音播报、灯光闪烁提示：报警与提示语音可关闭，音量大小可调整，开机自检失败时，设备可语音播报失败类型。</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7</w:t>
            </w:r>
            <w:r>
              <w:rPr>
                <w:rFonts w:hint="eastAsia" w:asciiTheme="minorEastAsia" w:hAnsiTheme="minorEastAsia" w:eastAsiaTheme="minorEastAsia" w:cstheme="minorEastAsia"/>
                <w:lang w:val="zh-CN"/>
              </w:rPr>
              <w:t>.支持翻越报警的功能，具备防夹保护的功能，满足单通道反潜回、多通道跨主机反潜回的功能，闸机集成语音模块，满足根据采购人需求自定义语音播报内容，同时可设置联动语音提示，具有消防联动接口。</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8.配备一键常开固定遥控按钮、移动遥控功能按钮。</w:t>
            </w:r>
          </w:p>
          <w:p>
            <w:pPr>
              <w:rPr>
                <w:rFonts w:asciiTheme="minorEastAsia" w:hAnsiTheme="minorEastAsia" w:eastAsiaTheme="minorEastAsia" w:cstheme="minorEastAsia"/>
              </w:rPr>
            </w:pPr>
            <w:r>
              <w:rPr>
                <w:rFonts w:hint="eastAsia" w:asciiTheme="minorEastAsia" w:hAnsiTheme="minorEastAsia" w:eastAsiaTheme="minorEastAsia" w:cstheme="minorEastAsia"/>
              </w:rPr>
              <w:t>可本地和上位机查看通信线缆状态，红外状态、门翼状态，腔体温度状态等门翼开/关门速度≤0.5s可调。</w:t>
            </w:r>
          </w:p>
          <w:p>
            <w:pPr>
              <w:rPr>
                <w:rFonts w:asciiTheme="minorEastAsia" w:hAnsiTheme="minorEastAsia" w:eastAsiaTheme="minorEastAsia" w:cstheme="minorEastAsia"/>
              </w:rPr>
            </w:pPr>
            <w:r>
              <w:rPr>
                <w:rFonts w:hint="eastAsia" w:asciiTheme="minorEastAsia" w:hAnsiTheme="minorEastAsia" w:eastAsiaTheme="minorEastAsia" w:cstheme="minorEastAsia"/>
              </w:rPr>
              <w:t>9.工作温度区间：高温（+80±2）℃，低温（-30±3）℃。</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10.设备20≤每分钟通行人数≤60。</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11.当通道中，同时通行人数超过其允许通行的人数时，设备会做尾随事件警示。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3" w:hRule="atLeast"/>
        </w:trPr>
        <w:tc>
          <w:tcPr>
            <w:tcW w:w="750" w:type="dxa"/>
            <w:vAlign w:val="top"/>
          </w:tcPr>
          <w:p>
            <w:pPr>
              <w:jc w:val="center"/>
            </w:pPr>
          </w:p>
          <w:p>
            <w:pPr>
              <w:jc w:val="center"/>
            </w:pPr>
          </w:p>
          <w:p>
            <w:pPr>
              <w:jc w:val="center"/>
            </w:pPr>
          </w:p>
          <w:p>
            <w:pPr>
              <w:jc w:val="center"/>
            </w:pPr>
          </w:p>
          <w:p>
            <w:pPr>
              <w:jc w:val="center"/>
            </w:pPr>
            <w:r>
              <w:rPr>
                <w:rFonts w:hint="eastAsia"/>
              </w:rPr>
              <w:t>3</w:t>
            </w:r>
          </w:p>
        </w:tc>
        <w:tc>
          <w:tcPr>
            <w:tcW w:w="879" w:type="dxa"/>
          </w:tcPr>
          <w:p/>
          <w:p/>
          <w:p>
            <w:pPr>
              <w:rPr>
                <w:lang w:val="zh-CN"/>
              </w:rPr>
            </w:pPr>
            <w:r>
              <w:rPr>
                <w:rFonts w:hint="eastAsia"/>
              </w:rPr>
              <w:t>人脸识别一体机</w:t>
            </w:r>
          </w:p>
        </w:tc>
        <w:tc>
          <w:tcPr>
            <w:tcW w:w="7335" w:type="dxa"/>
          </w:tcPr>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lang w:val="zh-CN"/>
              </w:rPr>
              <w:t>1.支持显示屏≥7英寸 IPS 全视角 LCD</w:t>
            </w:r>
            <w:r>
              <w:rPr>
                <w:rFonts w:hint="eastAsia" w:asciiTheme="minorEastAsia" w:hAnsiTheme="minorEastAsia" w:eastAsiaTheme="minorEastAsia" w:cstheme="minorEastAsia"/>
                <w:color w:val="auto"/>
                <w:highlight w:val="none"/>
                <w:lang w:val="zh-CN"/>
              </w:rPr>
              <w:t xml:space="preserve"> 触摸屏 分辨率 800 × 1280RGB 摄像机 图像传感器，</w:t>
            </w:r>
            <w:r>
              <w:rPr>
                <w:rFonts w:hint="eastAsia" w:asciiTheme="minorEastAsia" w:hAnsiTheme="minorEastAsia" w:eastAsiaTheme="minorEastAsia" w:cstheme="minorEastAsia"/>
                <w:color w:val="auto"/>
                <w:highlight w:val="none"/>
              </w:rPr>
              <w:t>材质精雕工艺铝合金，钢化玻璃面板。</w:t>
            </w:r>
          </w:p>
          <w:p>
            <w:pPr>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2.支持 AEC/增益/白平衡 红外摄像机 图像传感器 1/2.7" 逐行扫描 CMOS 分辨率 1932 × 1092。</w:t>
            </w:r>
          </w:p>
          <w:p>
            <w:pPr>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3.支持电子滚动快门 3A 功能 支持 AEC/增益/白平衡。</w:t>
            </w:r>
          </w:p>
          <w:p>
            <w:pPr>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4.认证方式：人脸</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5.接口串行通讯接口 1 路 RS-232，已连接测温模块，RS485,继电器输出 1 路开门信号输出 ,HDMI接口1，韦根输出 1 路韦根 26/34 ，LED补光灯。</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6.设备在1:N识别模式下，识别率不低于99.7%。</w:t>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7.人脸识别速度≤0.3s； </w:t>
            </w:r>
          </w:p>
          <w:p>
            <w:pPr>
              <w:rPr>
                <w:rFonts w:asciiTheme="minorEastAsia" w:hAnsiTheme="minorEastAsia" w:eastAsiaTheme="minorEastAsia" w:cstheme="minorEastAsia"/>
              </w:rPr>
            </w:pPr>
            <w:r>
              <w:rPr>
                <w:rFonts w:hint="eastAsia" w:asciiTheme="minorEastAsia" w:hAnsiTheme="minorEastAsia" w:eastAsiaTheme="minorEastAsia" w:cstheme="minorEastAsia"/>
              </w:rPr>
              <w:t>人脸识别距离:0.5m~2m；</w:t>
            </w:r>
          </w:p>
          <w:p>
            <w:pPr>
              <w:rPr>
                <w:rFonts w:asciiTheme="minorEastAsia" w:hAnsiTheme="minorEastAsia" w:eastAsiaTheme="minorEastAsia" w:cstheme="minorEastAsia"/>
              </w:rPr>
            </w:pPr>
            <w:r>
              <w:rPr>
                <w:rFonts w:hint="eastAsia" w:asciiTheme="minorEastAsia" w:hAnsiTheme="minorEastAsia" w:eastAsiaTheme="minorEastAsia" w:cstheme="minorEastAsia"/>
              </w:rPr>
              <w:t>用户容量：</w:t>
            </w:r>
            <w:r>
              <w:rPr>
                <w:rFonts w:hint="eastAsia" w:asciiTheme="minorEastAsia" w:hAnsiTheme="minorEastAsia" w:eastAsiaTheme="minorEastAsia" w:cstheme="minorEastAsia"/>
                <w:lang w:val="zh-CN"/>
              </w:rPr>
              <w:t>≥</w:t>
            </w:r>
            <w:r>
              <w:rPr>
                <w:rFonts w:hint="eastAsia" w:asciiTheme="minorEastAsia" w:hAnsiTheme="minorEastAsia" w:eastAsiaTheme="minorEastAsia" w:cstheme="minorEastAsia"/>
              </w:rPr>
              <w:t>1万个用户；</w:t>
            </w:r>
          </w:p>
          <w:p>
            <w:pPr>
              <w:rPr>
                <w:rFonts w:asciiTheme="minorEastAsia" w:hAnsiTheme="minorEastAsia" w:eastAsiaTheme="minorEastAsia" w:cstheme="minorEastAsia"/>
              </w:rPr>
            </w:pPr>
            <w:r>
              <w:rPr>
                <w:rFonts w:hint="eastAsia" w:asciiTheme="minorEastAsia" w:hAnsiTheme="minorEastAsia" w:eastAsiaTheme="minorEastAsia" w:cstheme="minorEastAsia"/>
              </w:rPr>
              <w:t>人脸容量：</w:t>
            </w:r>
            <w:r>
              <w:rPr>
                <w:rFonts w:hint="eastAsia" w:asciiTheme="minorEastAsia" w:hAnsiTheme="minorEastAsia" w:eastAsiaTheme="minorEastAsia" w:cstheme="minorEastAsia"/>
                <w:lang w:val="zh-CN"/>
              </w:rPr>
              <w:t>≥</w:t>
            </w:r>
            <w:r>
              <w:rPr>
                <w:rFonts w:hint="eastAsia" w:asciiTheme="minorEastAsia" w:hAnsiTheme="minorEastAsia" w:eastAsiaTheme="minorEastAsia" w:cstheme="minorEastAsia"/>
              </w:rPr>
              <w:t>1万张， RS-485接口：1个；</w:t>
            </w:r>
          </w:p>
          <w:p>
            <w:pPr>
              <w:rPr>
                <w:rFonts w:asciiTheme="minorEastAsia" w:hAnsiTheme="minorEastAsia" w:eastAsiaTheme="minorEastAsia" w:cstheme="minorEastAsia"/>
              </w:rPr>
            </w:pPr>
            <w:r>
              <w:rPr>
                <w:rFonts w:hint="eastAsia" w:asciiTheme="minorEastAsia" w:hAnsiTheme="minorEastAsia" w:eastAsiaTheme="minorEastAsia" w:cstheme="minorEastAsia"/>
              </w:rPr>
              <w:t>RS-232接口：1个(已连接测温模块使用)；</w:t>
            </w:r>
          </w:p>
          <w:p>
            <w:pPr>
              <w:rPr>
                <w:rFonts w:asciiTheme="minorEastAsia" w:hAnsiTheme="minorEastAsia" w:eastAsiaTheme="minorEastAsia" w:cstheme="minorEastAsia"/>
              </w:rPr>
            </w:pPr>
            <w:r>
              <w:rPr>
                <w:rFonts w:hint="eastAsia" w:asciiTheme="minorEastAsia" w:hAnsiTheme="minorEastAsia" w:eastAsiaTheme="minorEastAsia" w:cstheme="minorEastAsia"/>
              </w:rPr>
              <w:t>韦根接口：1路输入/输出；</w:t>
            </w:r>
          </w:p>
          <w:p>
            <w:pPr>
              <w:rPr>
                <w:rFonts w:asciiTheme="minorEastAsia" w:hAnsiTheme="minorEastAsia" w:eastAsiaTheme="minorEastAsia" w:cstheme="minorEastAsia"/>
              </w:rPr>
            </w:pPr>
            <w:r>
              <w:rPr>
                <w:rFonts w:hint="eastAsia" w:asciiTheme="minorEastAsia" w:hAnsiTheme="minorEastAsia" w:eastAsiaTheme="minorEastAsia" w:cstheme="minorEastAsia"/>
              </w:rPr>
              <w:t>USB接口：1个USB2.0接口；</w:t>
            </w:r>
          </w:p>
          <w:p>
            <w:pPr>
              <w:rPr>
                <w:rFonts w:asciiTheme="minorEastAsia" w:hAnsiTheme="minorEastAsia" w:eastAsiaTheme="minorEastAsia" w:cstheme="minorEastAsia"/>
              </w:rPr>
            </w:pPr>
            <w:r>
              <w:rPr>
                <w:rFonts w:hint="eastAsia" w:asciiTheme="minorEastAsia" w:hAnsiTheme="minorEastAsia" w:eastAsiaTheme="minorEastAsia" w:cstheme="minorEastAsia"/>
              </w:rPr>
              <w:t>网络接口：1个100Mbps以太网口；</w:t>
            </w:r>
          </w:p>
          <w:p>
            <w:pPr>
              <w:rPr>
                <w:rFonts w:asciiTheme="minorEastAsia" w:hAnsiTheme="minorEastAsia" w:eastAsiaTheme="minorEastAsia" w:cstheme="minorEastAsia"/>
              </w:rPr>
            </w:pPr>
            <w:r>
              <w:rPr>
                <w:rFonts w:hint="eastAsia" w:asciiTheme="minorEastAsia" w:hAnsiTheme="minorEastAsia" w:eastAsiaTheme="minorEastAsia" w:cstheme="minorEastAsia"/>
              </w:rPr>
              <w:t>报警输入：2路（开关量）；</w:t>
            </w:r>
          </w:p>
          <w:p>
            <w:pPr>
              <w:rPr>
                <w:rFonts w:asciiTheme="minorEastAsia" w:hAnsiTheme="minorEastAsia" w:eastAsiaTheme="minorEastAsia" w:cstheme="minorEastAsia"/>
              </w:rPr>
            </w:pPr>
            <w:r>
              <w:rPr>
                <w:rFonts w:hint="eastAsia" w:asciiTheme="minorEastAsia" w:hAnsiTheme="minorEastAsia" w:eastAsiaTheme="minorEastAsia" w:cstheme="minorEastAsia"/>
              </w:rPr>
              <w:t>报警输出：2路（继电器）；</w:t>
            </w:r>
          </w:p>
          <w:p>
            <w:pPr>
              <w:rPr>
                <w:rFonts w:asciiTheme="minorEastAsia" w:hAnsiTheme="minorEastAsia" w:eastAsiaTheme="minorEastAsia" w:cstheme="minorEastAsia"/>
              </w:rPr>
            </w:pPr>
            <w:r>
              <w:rPr>
                <w:rFonts w:hint="eastAsia" w:asciiTheme="minorEastAsia" w:hAnsiTheme="minorEastAsia" w:eastAsiaTheme="minorEastAsia" w:cstheme="minorEastAsia"/>
              </w:rPr>
              <w:t>报警联动：支持；</w:t>
            </w:r>
          </w:p>
          <w:p>
            <w:pPr>
              <w:rPr>
                <w:rFonts w:asciiTheme="minorEastAsia" w:hAnsiTheme="minorEastAsia" w:eastAsiaTheme="minorEastAsia" w:cstheme="minorEastAsia"/>
              </w:rPr>
            </w:pPr>
            <w:r>
              <w:rPr>
                <w:rFonts w:hint="eastAsia" w:asciiTheme="minorEastAsia" w:hAnsiTheme="minorEastAsia" w:eastAsiaTheme="minorEastAsia" w:cstheme="minorEastAsia"/>
              </w:rPr>
              <w:t>开门按钮：1路；</w:t>
            </w:r>
          </w:p>
          <w:p>
            <w:pPr>
              <w:rPr>
                <w:rFonts w:asciiTheme="minorEastAsia" w:hAnsiTheme="minorEastAsia" w:eastAsiaTheme="minorEastAsia" w:cstheme="minorEastAsia"/>
              </w:rPr>
            </w:pPr>
            <w:r>
              <w:rPr>
                <w:rFonts w:hint="eastAsia" w:asciiTheme="minorEastAsia" w:hAnsiTheme="minorEastAsia" w:eastAsiaTheme="minorEastAsia" w:cstheme="minorEastAsia"/>
              </w:rPr>
              <w:t>门状态检测：1路；</w:t>
            </w:r>
          </w:p>
          <w:p>
            <w:pPr>
              <w:rPr>
                <w:rFonts w:asciiTheme="minorEastAsia" w:hAnsiTheme="minorEastAsia" w:eastAsiaTheme="minorEastAsia" w:cstheme="minorEastAsia"/>
              </w:rPr>
            </w:pPr>
            <w:r>
              <w:rPr>
                <w:rFonts w:hint="eastAsia" w:asciiTheme="minorEastAsia" w:hAnsiTheme="minorEastAsia" w:eastAsiaTheme="minorEastAsia" w:cstheme="minorEastAsia"/>
              </w:rPr>
              <w:t>门锁控制：1路；</w:t>
            </w:r>
          </w:p>
          <w:p>
            <w:pPr>
              <w:rPr>
                <w:rFonts w:asciiTheme="minorEastAsia" w:hAnsiTheme="minorEastAsia" w:eastAsiaTheme="minorEastAsia" w:cstheme="minorEastAsia"/>
              </w:rPr>
            </w:pPr>
            <w:r>
              <w:rPr>
                <w:rFonts w:hint="eastAsia" w:asciiTheme="minorEastAsia" w:hAnsiTheme="minorEastAsia" w:eastAsiaTheme="minorEastAsia" w:cstheme="minorEastAsia"/>
              </w:rPr>
              <w:t>防反潜：支持；</w:t>
            </w:r>
          </w:p>
          <w:p>
            <w:pPr>
              <w:rPr>
                <w:rFonts w:asciiTheme="minorEastAsia" w:hAnsiTheme="minorEastAsia" w:eastAsiaTheme="minorEastAsia" w:cstheme="minorEastAsia"/>
              </w:rPr>
            </w:pPr>
            <w:r>
              <w:rPr>
                <w:rFonts w:hint="eastAsia" w:asciiTheme="minorEastAsia" w:hAnsiTheme="minorEastAsia" w:eastAsiaTheme="minorEastAsia" w:cstheme="minorEastAsia"/>
              </w:rPr>
              <w:t>防拆报警：支持；</w:t>
            </w:r>
          </w:p>
          <w:p>
            <w:pPr>
              <w:rPr>
                <w:rFonts w:asciiTheme="minorEastAsia" w:hAnsiTheme="minorEastAsia" w:eastAsiaTheme="minorEastAsia" w:cstheme="minorEastAsia"/>
              </w:rPr>
            </w:pPr>
            <w:r>
              <w:rPr>
                <w:rFonts w:hint="eastAsia" w:asciiTheme="minorEastAsia" w:hAnsiTheme="minorEastAsia" w:eastAsiaTheme="minorEastAsia" w:cstheme="minorEastAsia"/>
              </w:rPr>
              <w:t>胁迫报警：支持；</w:t>
            </w:r>
          </w:p>
          <w:p>
            <w:pPr>
              <w:rPr>
                <w:rFonts w:asciiTheme="minorEastAsia" w:hAnsiTheme="minorEastAsia" w:eastAsiaTheme="minorEastAsia" w:cstheme="minorEastAsia"/>
              </w:rPr>
            </w:pPr>
            <w:r>
              <w:rPr>
                <w:rFonts w:hint="eastAsia" w:asciiTheme="minorEastAsia" w:hAnsiTheme="minorEastAsia" w:eastAsiaTheme="minorEastAsia" w:cstheme="minorEastAsia"/>
              </w:rPr>
              <w:t>门超时报警：支持；</w:t>
            </w:r>
          </w:p>
          <w:p>
            <w:pPr>
              <w:rPr>
                <w:rFonts w:asciiTheme="minorEastAsia" w:hAnsiTheme="minorEastAsia" w:eastAsiaTheme="minorEastAsia" w:cstheme="minorEastAsia"/>
              </w:rPr>
            </w:pPr>
            <w:r>
              <w:rPr>
                <w:rFonts w:hint="eastAsia" w:asciiTheme="minorEastAsia" w:hAnsiTheme="minorEastAsia" w:eastAsiaTheme="minorEastAsia" w:cstheme="minorEastAsia"/>
              </w:rPr>
              <w:t>非法闯入报警：支持；</w:t>
            </w:r>
          </w:p>
          <w:p>
            <w:pPr>
              <w:rPr>
                <w:rFonts w:asciiTheme="minorEastAsia" w:hAnsiTheme="minorEastAsia" w:eastAsiaTheme="minorEastAsia" w:cstheme="minorEastAsia"/>
              </w:rPr>
            </w:pPr>
            <w:r>
              <w:rPr>
                <w:rFonts w:hint="eastAsia" w:asciiTheme="minorEastAsia" w:hAnsiTheme="minorEastAsia" w:eastAsiaTheme="minorEastAsia" w:cstheme="minorEastAsia"/>
              </w:rPr>
              <w:t>脱机工作：支持；</w:t>
            </w:r>
          </w:p>
          <w:p>
            <w:pPr>
              <w:rPr>
                <w:rFonts w:asciiTheme="minorEastAsia" w:hAnsiTheme="minorEastAsia" w:eastAsiaTheme="minorEastAsia" w:cstheme="minorEastAsia"/>
              </w:rPr>
            </w:pPr>
            <w:r>
              <w:rPr>
                <w:rFonts w:hint="eastAsia" w:asciiTheme="minorEastAsia" w:hAnsiTheme="minorEastAsia" w:eastAsiaTheme="minorEastAsia" w:cstheme="minorEastAsia"/>
              </w:rPr>
              <w:t>供电方式：DC 12V  1A；</w:t>
            </w:r>
          </w:p>
          <w:p>
            <w:pPr>
              <w:rPr>
                <w:rFonts w:asciiTheme="minorEastAsia" w:hAnsiTheme="minorEastAsia" w:eastAsiaTheme="minorEastAsia" w:cstheme="minorEastAsia"/>
              </w:rPr>
            </w:pPr>
            <w:r>
              <w:rPr>
                <w:rFonts w:hint="eastAsia" w:asciiTheme="minorEastAsia" w:hAnsiTheme="minorEastAsia" w:eastAsiaTheme="minorEastAsia" w:cstheme="minorEastAsia"/>
              </w:rPr>
              <w:t>工作温度：-10℃~+55℃。</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8.设备应具有人脸活体检测功能。</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9.设备支持在0.001lux低照度无补光环境下正常实现人脸识别。</w:t>
            </w:r>
          </w:p>
          <w:p>
            <w:pPr>
              <w:rPr>
                <w:rFonts w:asciiTheme="minorEastAsia" w:hAnsiTheme="minorEastAsia" w:eastAsiaTheme="minorEastAsia" w:cstheme="minorEastAsia"/>
              </w:rPr>
            </w:pP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rPr>
              <w:t>10.设备支持口罩佩戴检测，并提示未佩戴口罩，可配置提醒、警示模式，提醒模式时未佩戴口罩时需能做身份识别及考勤签到同时做到提醒需带口罩，警示模式时不做身份识别且提示需戴口罩，戴口罩检测准确率应≥99%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750" w:type="dxa"/>
            <w:vAlign w:val="top"/>
          </w:tcPr>
          <w:p>
            <w:pPr>
              <w:jc w:val="center"/>
            </w:pPr>
            <w:r>
              <w:rPr>
                <w:rFonts w:hint="eastAsia"/>
              </w:rPr>
              <w:t>4</w:t>
            </w:r>
          </w:p>
        </w:tc>
        <w:tc>
          <w:tcPr>
            <w:tcW w:w="879" w:type="dxa"/>
            <w:vAlign w:val="center"/>
          </w:tcPr>
          <w:p>
            <w:r>
              <w:rPr>
                <w:rFonts w:hint="eastAsia"/>
              </w:rPr>
              <w:t>测温模块（集成至人脸识别一体机）</w:t>
            </w:r>
          </w:p>
        </w:tc>
        <w:tc>
          <w:tcPr>
            <w:tcW w:w="7335" w:type="dxa"/>
            <w:vAlign w:val="center"/>
          </w:tcPr>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测温精度：0.1℃</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测温误差：≤±0.2℃</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测温范围：30-45℃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atLeast"/>
        </w:trPr>
        <w:tc>
          <w:tcPr>
            <w:tcW w:w="750" w:type="dxa"/>
            <w:vAlign w:val="top"/>
          </w:tcPr>
          <w:p>
            <w:pPr>
              <w:jc w:val="center"/>
            </w:pPr>
          </w:p>
          <w:p>
            <w:pPr>
              <w:jc w:val="center"/>
            </w:pPr>
            <w:r>
              <w:rPr>
                <w:rFonts w:hint="eastAsia"/>
              </w:rPr>
              <w:t>5</w:t>
            </w:r>
          </w:p>
          <w:p>
            <w:pPr>
              <w:pStyle w:val="2"/>
              <w:jc w:val="center"/>
            </w:pPr>
          </w:p>
        </w:tc>
        <w:tc>
          <w:tcPr>
            <w:tcW w:w="879" w:type="dxa"/>
            <w:vAlign w:val="center"/>
          </w:tcPr>
          <w:p>
            <w:r>
              <w:rPr>
                <w:rFonts w:hint="eastAsia"/>
                <w:lang w:val="zh-CN"/>
              </w:rPr>
              <w:t>综合</w:t>
            </w:r>
            <w:r>
              <w:rPr>
                <w:rFonts w:hint="eastAsia"/>
              </w:rPr>
              <w:t>平台</w:t>
            </w:r>
            <w:r>
              <w:rPr>
                <w:rFonts w:hint="eastAsia"/>
                <w:lang w:val="zh-CN"/>
              </w:rPr>
              <w:t>门禁管理系统</w:t>
            </w:r>
            <w:r>
              <w:rPr>
                <w:rFonts w:hint="eastAsia"/>
              </w:rPr>
              <w:t>软件</w:t>
            </w:r>
          </w:p>
        </w:tc>
        <w:tc>
          <w:tcPr>
            <w:tcW w:w="7335" w:type="dxa"/>
            <w:vAlign w:val="center"/>
          </w:tcPr>
          <w:p>
            <w:pPr>
              <w:rPr>
                <w:rFonts w:asciiTheme="minorEastAsia" w:hAnsiTheme="minorEastAsia" w:eastAsiaTheme="minorEastAsia" w:cstheme="minorEastAsia"/>
              </w:rPr>
            </w:pPr>
            <w:r>
              <w:rPr>
                <w:rFonts w:hint="eastAsia" w:asciiTheme="minorEastAsia" w:hAnsiTheme="minorEastAsia" w:eastAsiaTheme="minorEastAsia" w:cstheme="minorEastAsia"/>
              </w:rPr>
              <w:t>管理平台要求：</w:t>
            </w:r>
          </w:p>
          <w:p>
            <w:pPr>
              <w:rPr>
                <w:rFonts w:asciiTheme="minorEastAsia" w:hAnsiTheme="minorEastAsia" w:eastAsiaTheme="minorEastAsia" w:cstheme="minorEastAsia"/>
              </w:rPr>
            </w:pPr>
            <w:r>
              <w:rPr>
                <w:rFonts w:hint="eastAsia" w:asciiTheme="minorEastAsia" w:hAnsiTheme="minorEastAsia" w:eastAsiaTheme="minorEastAsia" w:cstheme="minorEastAsia"/>
              </w:rPr>
              <w:t>1.数据管理权限：建设数据库，对所有学生通行数据进行记录分析，实现学生信息分析管理服务、学生数据统计分析、报表统计、学生基础信息管理、人员注册、用户管理、权限管理、设备智能化等服务。</w:t>
            </w:r>
          </w:p>
          <w:p>
            <w:pPr>
              <w:rPr>
                <w:rFonts w:asciiTheme="minorEastAsia" w:hAnsiTheme="minorEastAsia" w:eastAsiaTheme="minorEastAsia" w:cstheme="minorEastAsia"/>
              </w:rPr>
            </w:pPr>
            <w:r>
              <w:rPr>
                <w:rFonts w:hint="eastAsia" w:asciiTheme="minorEastAsia" w:hAnsiTheme="minorEastAsia" w:eastAsiaTheme="minorEastAsia" w:cstheme="minorEastAsia"/>
              </w:rPr>
              <w:t>2.学生信息建设：系统支持后台数据对接和导入。</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lang w:val="zh-CN"/>
              </w:rPr>
              <w:t>疫情管控模式：疫情管控模式下，由于疫情防控的重要性，宿舍内所有人员进出宿舍权限由宿管部门统一管理审批，审批通过后下发权限，权限有时间段限制，然后可通过手机二维码、</w:t>
            </w:r>
            <w:r>
              <w:rPr>
                <w:rFonts w:hint="eastAsia" w:asciiTheme="minorEastAsia" w:hAnsiTheme="minorEastAsia" w:eastAsiaTheme="minorEastAsia" w:cstheme="minorEastAsia"/>
              </w:rPr>
              <w:t>人脸识别</w:t>
            </w:r>
            <w:r>
              <w:rPr>
                <w:rFonts w:hint="eastAsia" w:asciiTheme="minorEastAsia" w:hAnsiTheme="minorEastAsia" w:eastAsiaTheme="minorEastAsia" w:cstheme="minorEastAsia"/>
                <w:lang w:val="zh-CN"/>
              </w:rPr>
              <w:t>进出宿舍。</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rPr>
              <w:t>6.</w:t>
            </w:r>
            <w:r>
              <w:rPr>
                <w:rFonts w:hint="eastAsia" w:asciiTheme="minorEastAsia" w:hAnsiTheme="minorEastAsia" w:eastAsiaTheme="minorEastAsia" w:cstheme="minorEastAsia"/>
                <w:lang w:val="zh-CN"/>
              </w:rPr>
              <w:t>一般</w:t>
            </w:r>
            <w:r>
              <w:rPr>
                <w:rFonts w:hint="eastAsia" w:asciiTheme="minorEastAsia" w:hAnsiTheme="minorEastAsia" w:eastAsiaTheme="minorEastAsia" w:cstheme="minorEastAsia"/>
              </w:rPr>
              <w:t>常规</w:t>
            </w:r>
            <w:r>
              <w:rPr>
                <w:rFonts w:hint="eastAsia" w:asciiTheme="minorEastAsia" w:hAnsiTheme="minorEastAsia" w:eastAsiaTheme="minorEastAsia" w:cstheme="minorEastAsia"/>
                <w:lang w:val="zh-CN"/>
              </w:rPr>
              <w:t>模式：</w:t>
            </w:r>
            <w:r>
              <w:rPr>
                <w:rFonts w:hint="eastAsia" w:asciiTheme="minorEastAsia" w:hAnsiTheme="minorEastAsia" w:eastAsiaTheme="minorEastAsia" w:cstheme="minorEastAsia"/>
              </w:rPr>
              <w:t>常规</w:t>
            </w:r>
            <w:r>
              <w:rPr>
                <w:rFonts w:hint="eastAsia" w:asciiTheme="minorEastAsia" w:hAnsiTheme="minorEastAsia" w:eastAsiaTheme="minorEastAsia" w:cstheme="minorEastAsia"/>
                <w:lang w:val="zh-CN"/>
              </w:rPr>
              <w:t>情况下，进出宿舍权限由</w:t>
            </w:r>
            <w:r>
              <w:rPr>
                <w:rFonts w:hint="eastAsia" w:asciiTheme="minorEastAsia" w:hAnsiTheme="minorEastAsia" w:eastAsiaTheme="minorEastAsia" w:cstheme="minorEastAsia"/>
              </w:rPr>
              <w:t>宿管部门</w:t>
            </w:r>
            <w:r>
              <w:rPr>
                <w:rFonts w:hint="eastAsia" w:asciiTheme="minorEastAsia" w:hAnsiTheme="minorEastAsia" w:eastAsiaTheme="minorEastAsia" w:cstheme="minorEastAsia"/>
                <w:lang w:val="zh-CN"/>
              </w:rPr>
              <w:t>自己审批，</w:t>
            </w:r>
            <w:r>
              <w:rPr>
                <w:rFonts w:hint="eastAsia" w:asciiTheme="minorEastAsia" w:hAnsiTheme="minorEastAsia" w:eastAsiaTheme="minorEastAsia" w:cstheme="minorEastAsia"/>
              </w:rPr>
              <w:t>宿管部门</w:t>
            </w:r>
            <w:r>
              <w:rPr>
                <w:rFonts w:hint="eastAsia" w:asciiTheme="minorEastAsia" w:hAnsiTheme="minorEastAsia" w:eastAsiaTheme="minorEastAsia" w:cstheme="minorEastAsia"/>
                <w:lang w:val="zh-CN"/>
              </w:rPr>
              <w:t>审批权限时，审批通过后，规定时间段内可通过手机二维码、</w:t>
            </w:r>
            <w:r>
              <w:rPr>
                <w:rFonts w:hint="eastAsia" w:asciiTheme="minorEastAsia" w:hAnsiTheme="minorEastAsia" w:eastAsiaTheme="minorEastAsia" w:cstheme="minorEastAsia"/>
              </w:rPr>
              <w:t>人脸识别</w:t>
            </w:r>
            <w:r>
              <w:rPr>
                <w:rFonts w:hint="eastAsia" w:asciiTheme="minorEastAsia" w:hAnsiTheme="minorEastAsia" w:eastAsiaTheme="minorEastAsia" w:cstheme="minorEastAsia"/>
                <w:lang w:val="zh-CN"/>
              </w:rPr>
              <w:t>进出宿舍。</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7.权限管理：系统需支持按不同管理角色分配不同的管理权限，保障数据的安全性和管理人员的便捷性，支持一、二、三级账户进行用户管理，二维码权限设置，人脸识别权限设置，设置严格的操作权限，利用日志系统、备份和恢复策略增强系统的安全性。 </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rPr>
              <w:t>8.归寝管理模式：具有通行记录查询功能，支持用户信息查询、设备信息查询、出入记录查询、长期未进出查询。可查询所有进出校记录及未归人员通行记录，显示人脸抓拍照片、姓名、测量温度、学号、通行时间、门区位置、方向、校验方式、身份标识；具备按姓名、门区位置、人员类型、校验方式进行筛选查询。</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rPr>
              <w:t>9.</w:t>
            </w:r>
            <w:r>
              <w:rPr>
                <w:rFonts w:hint="eastAsia" w:asciiTheme="minorEastAsia" w:hAnsiTheme="minorEastAsia" w:eastAsiaTheme="minorEastAsia" w:cstheme="minorEastAsia"/>
                <w:lang w:val="zh-CN"/>
              </w:rPr>
              <w:t>导入</w:t>
            </w:r>
            <w:r>
              <w:rPr>
                <w:rFonts w:hint="eastAsia" w:asciiTheme="minorEastAsia" w:hAnsiTheme="minorEastAsia" w:eastAsiaTheme="minorEastAsia" w:cstheme="minorEastAsia"/>
              </w:rPr>
              <w:t>与导出</w:t>
            </w:r>
            <w:r>
              <w:rPr>
                <w:rFonts w:hint="eastAsia" w:asciiTheme="minorEastAsia" w:hAnsiTheme="minorEastAsia" w:eastAsiaTheme="minorEastAsia" w:cstheme="minorEastAsia"/>
                <w:lang w:val="zh-CN"/>
              </w:rPr>
              <w:t>：支持按照模板导入角色，支持 xls、xlsx 文件格式，模板内容包含角色名称、所属组织架构、用户成员、</w:t>
            </w:r>
            <w:r>
              <w:rPr>
                <w:rFonts w:hint="eastAsia" w:asciiTheme="minorEastAsia" w:hAnsiTheme="minorEastAsia" w:eastAsiaTheme="minorEastAsia" w:cstheme="minorEastAsia"/>
              </w:rPr>
              <w:t>设备地址、时间、状态等</w:t>
            </w:r>
            <w:r>
              <w:rPr>
                <w:rFonts w:hint="eastAsia" w:asciiTheme="minorEastAsia" w:hAnsiTheme="minorEastAsia" w:eastAsiaTheme="minorEastAsia" w:cstheme="minorEastAsia"/>
                <w:lang w:val="zh-CN"/>
              </w:rPr>
              <w:t>。</w:t>
            </w:r>
            <w:r>
              <w:rPr>
                <w:rFonts w:hint="eastAsia" w:asciiTheme="minorEastAsia" w:hAnsiTheme="minorEastAsia" w:eastAsiaTheme="minorEastAsia" w:cstheme="minorEastAsia"/>
              </w:rPr>
              <w:t>出入人员信息可进行数字化展示。</w:t>
            </w:r>
          </w:p>
          <w:p>
            <w:pPr>
              <w:rPr>
                <w:rFonts w:asciiTheme="minorEastAsia" w:hAnsiTheme="minorEastAsia" w:eastAsiaTheme="minorEastAsia" w:cstheme="minorEastAsia"/>
              </w:rPr>
            </w:pPr>
            <w:r>
              <w:rPr>
                <w:rFonts w:hint="eastAsia" w:asciiTheme="minorEastAsia" w:hAnsiTheme="minorEastAsia" w:eastAsiaTheme="minorEastAsia" w:cstheme="minorEastAsia"/>
              </w:rPr>
              <w:t>10.系统应具备测温异常警报功能，后台可根据记录数据及时处理。</w:t>
            </w:r>
          </w:p>
          <w:p>
            <w:pPr>
              <w:rPr>
                <w:rFonts w:asciiTheme="minorEastAsia" w:hAnsiTheme="minorEastAsia" w:eastAsiaTheme="minorEastAsia" w:cstheme="minorEastAsia"/>
              </w:rPr>
            </w:pPr>
            <w:r>
              <w:rPr>
                <w:rFonts w:hint="eastAsia" w:asciiTheme="minorEastAsia" w:hAnsiTheme="minorEastAsia" w:eastAsiaTheme="minorEastAsia" w:cstheme="minorEastAsia"/>
              </w:rPr>
              <w:t>11.软件部分支持移动端管理，管理人员可便捷移动化进行审批查询等工作。</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rPr>
              <w:t>12</w:t>
            </w:r>
            <w:r>
              <w:rPr>
                <w:rFonts w:hint="eastAsia" w:asciiTheme="minorEastAsia" w:hAnsiTheme="minorEastAsia" w:eastAsiaTheme="minorEastAsia" w:cstheme="minorEastAsia"/>
                <w:lang w:val="zh-CN"/>
              </w:rPr>
              <w:t>.系统预留多个端口、可接入接出。</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13.具备设备自检功能，并后台可监测。</w:t>
            </w:r>
          </w:p>
          <w:p>
            <w:pPr>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lang w:val="zh-CN"/>
              </w:rPr>
              <w:t>▲</w:t>
            </w:r>
            <w:r>
              <w:rPr>
                <w:rFonts w:hint="eastAsia" w:asciiTheme="minorEastAsia" w:hAnsiTheme="minorEastAsia" w:eastAsiaTheme="minorEastAsia" w:cstheme="minorEastAsia"/>
                <w:highlight w:val="none"/>
              </w:rPr>
              <w:t>14</w:t>
            </w:r>
            <w:r>
              <w:rPr>
                <w:rFonts w:hint="eastAsia" w:asciiTheme="minorEastAsia" w:hAnsiTheme="minorEastAsia" w:eastAsiaTheme="minorEastAsia" w:cstheme="minorEastAsia"/>
                <w:highlight w:val="none"/>
                <w:lang w:val="zh-CN"/>
              </w:rPr>
              <w:t>.系统需免费开放数据接口并免费提供接口开发服务。支持和学校统一身份认证平台对接，根据学校统一身份认证平台提供的接口规范，实现单点登录，支持统一身份认证二维码扫码验证，支持学校智慧校园统一人脸库导入；与学校融合服务门户平台（含移动门户）进行对接，根据学校融合门户提供的接口规范，实现业务功能（包括但不限于待办、已办、消息、流程服务等功能）与学校融合服务门户的集成。</w:t>
            </w:r>
          </w:p>
          <w:p>
            <w:pPr>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lang w:val="zh-CN"/>
              </w:rPr>
              <w:t>▲</w:t>
            </w:r>
            <w:r>
              <w:rPr>
                <w:rFonts w:hint="eastAsia" w:asciiTheme="minorEastAsia" w:hAnsiTheme="minorEastAsia" w:eastAsiaTheme="minorEastAsia" w:cstheme="minorEastAsia"/>
                <w:highlight w:val="none"/>
              </w:rPr>
              <w:t>15</w:t>
            </w:r>
            <w:r>
              <w:rPr>
                <w:rFonts w:hint="eastAsia" w:asciiTheme="minorEastAsia" w:hAnsiTheme="minorEastAsia" w:eastAsiaTheme="minorEastAsia" w:cstheme="minorEastAsia"/>
                <w:highlight w:val="none"/>
                <w:lang w:val="zh-CN"/>
              </w:rPr>
              <w:t>.</w:t>
            </w:r>
            <w:r>
              <w:rPr>
                <w:rFonts w:hint="eastAsia" w:asciiTheme="minorEastAsia" w:hAnsiTheme="minorEastAsia" w:eastAsiaTheme="minorEastAsia" w:cstheme="minorEastAsia"/>
                <w:highlight w:val="none"/>
              </w:rPr>
              <w:t>系统中的所有数据按学校数据中台的建设要求，须同步到学校中心数据库中（双向交换），根据学校数据中台建设集成方案文档提供数据接口，若有字段差异项须提供数据接口的详细说明文档（包括表名含义、表字段含义、表之间的关联关系等说明）。提供的数据以及接口要求涵盖业务处理结果、业务处理过程、以及业务变更信息。系统须同步业务处理过程中所需要的外部数据，并向外部数据源回写系统对外部数据的处理结果。</w:t>
            </w:r>
          </w:p>
          <w:p>
            <w:pPr>
              <w:rPr>
                <w:rFonts w:asciiTheme="minorEastAsia" w:hAnsiTheme="minorEastAsia" w:eastAsiaTheme="minorEastAsia" w:cstheme="minorEastAsia"/>
                <w:lang w:val="zh-CN"/>
              </w:rPr>
            </w:pPr>
            <w:r>
              <w:rPr>
                <w:rFonts w:hint="eastAsia" w:asciiTheme="minorEastAsia" w:hAnsiTheme="minorEastAsia" w:eastAsiaTheme="minorEastAsia" w:cstheme="minorEastAsia"/>
                <w:szCs w:val="21"/>
                <w:highlight w:val="none"/>
                <w:lang w:val="zh-CN"/>
              </w:rPr>
              <w:t>▲</w:t>
            </w:r>
            <w:r>
              <w:rPr>
                <w:rFonts w:hint="eastAsia" w:asciiTheme="minorEastAsia" w:hAnsiTheme="minorEastAsia" w:eastAsiaTheme="minorEastAsia" w:cstheme="minorEastAsia"/>
                <w:highlight w:val="none"/>
              </w:rPr>
              <w:t>16</w:t>
            </w:r>
            <w:r>
              <w:rPr>
                <w:rFonts w:hint="eastAsia" w:asciiTheme="minorEastAsia" w:hAnsiTheme="minorEastAsia" w:eastAsiaTheme="minorEastAsia" w:cstheme="minorEastAsia"/>
                <w:highlight w:val="none"/>
                <w:lang w:val="zh-CN"/>
              </w:rPr>
              <w:t>.</w:t>
            </w:r>
            <w:r>
              <w:rPr>
                <w:rFonts w:hint="eastAsia" w:asciiTheme="minorEastAsia" w:hAnsiTheme="minorEastAsia" w:eastAsiaTheme="minorEastAsia" w:cstheme="minorEastAsia"/>
                <w:highlight w:val="none"/>
              </w:rPr>
              <w:t>系统</w:t>
            </w:r>
            <w:r>
              <w:rPr>
                <w:rFonts w:hint="eastAsia" w:asciiTheme="minorEastAsia" w:hAnsiTheme="minorEastAsia" w:eastAsiaTheme="minorEastAsia" w:cstheme="minorEastAsia"/>
                <w:szCs w:val="21"/>
                <w:highlight w:val="none"/>
              </w:rPr>
              <w:t>能够与数据中心对接，获取学工和教务信息，实现学生旷课提示及住宿异常预警</w:t>
            </w:r>
            <w:r>
              <w:rPr>
                <w:rFonts w:hint="eastAsia" w:asciiTheme="minorEastAsia" w:hAnsiTheme="minorEastAsia" w:eastAsiaTheme="minorEastAsia" w:cstheme="minorEastAsia"/>
                <w:highlight w:val="none"/>
                <w:lang w:val="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50" w:type="dxa"/>
            <w:vAlign w:val="top"/>
          </w:tcPr>
          <w:p>
            <w:pPr>
              <w:jc w:val="center"/>
            </w:pPr>
            <w:r>
              <w:rPr>
                <w:rFonts w:hint="eastAsia"/>
              </w:rPr>
              <w:t>6</w:t>
            </w:r>
          </w:p>
        </w:tc>
        <w:tc>
          <w:tcPr>
            <w:tcW w:w="879" w:type="dxa"/>
            <w:vAlign w:val="center"/>
          </w:tcPr>
          <w:p>
            <w:r>
              <w:rPr>
                <w:rFonts w:hint="eastAsia"/>
                <w:lang w:val="zh-CN"/>
              </w:rPr>
              <w:t>接入交换机</w:t>
            </w:r>
          </w:p>
        </w:tc>
        <w:tc>
          <w:tcPr>
            <w:tcW w:w="7335" w:type="dxa"/>
            <w:vAlign w:val="center"/>
          </w:tcPr>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24个10/100/1000M自适应电口，4个100M/1G SFP光口，2个复用的10/100/1000M自适应电口，固化单交流电源，无风扇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50" w:type="dxa"/>
            <w:vAlign w:val="top"/>
          </w:tcPr>
          <w:p>
            <w:pPr>
              <w:jc w:val="center"/>
            </w:pPr>
            <w:r>
              <w:rPr>
                <w:rFonts w:hint="eastAsia"/>
              </w:rPr>
              <w:t>7</w:t>
            </w:r>
          </w:p>
        </w:tc>
        <w:tc>
          <w:tcPr>
            <w:tcW w:w="879" w:type="dxa"/>
            <w:vAlign w:val="center"/>
          </w:tcPr>
          <w:p>
            <w:r>
              <w:rPr>
                <w:rFonts w:hint="eastAsia"/>
                <w:lang w:val="zh-CN"/>
              </w:rPr>
              <w:t>管理电脑</w:t>
            </w:r>
          </w:p>
        </w:tc>
        <w:tc>
          <w:tcPr>
            <w:tcW w:w="7335" w:type="dxa"/>
            <w:vAlign w:val="center"/>
          </w:tcPr>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I7-10700/8G/1TB/集显/无光驱/180W电源/PS2键盘USB鼠标/ OKR /Win10 home+21.5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50" w:type="dxa"/>
            <w:vAlign w:val="top"/>
          </w:tcPr>
          <w:p>
            <w:pPr>
              <w:jc w:val="center"/>
            </w:pPr>
            <w:r>
              <w:rPr>
                <w:rFonts w:hint="eastAsia"/>
              </w:rPr>
              <w:t>8</w:t>
            </w:r>
          </w:p>
        </w:tc>
        <w:tc>
          <w:tcPr>
            <w:tcW w:w="879" w:type="dxa"/>
            <w:vAlign w:val="center"/>
          </w:tcPr>
          <w:p>
            <w:r>
              <w:rPr>
                <w:rFonts w:hint="eastAsia"/>
                <w:lang w:val="zh-CN"/>
              </w:rPr>
              <w:t>汇聚交换机</w:t>
            </w:r>
          </w:p>
        </w:tc>
        <w:tc>
          <w:tcPr>
            <w:tcW w:w="7335" w:type="dxa"/>
            <w:vAlign w:val="center"/>
          </w:tcPr>
          <w:p>
            <w:pPr>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28口10/100/1000M自适应电口，4个复用的SFP接口（SFP为千兆/百兆口），4个1G/10G SFP+光口，2个扩展槽，2个模块化电源插槽。70W交流电源模块，支持1+1电源冗余。QSFP+光接口专用堆叠模块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750" w:type="dxa"/>
            <w:vAlign w:val="top"/>
          </w:tcPr>
          <w:p>
            <w:pPr>
              <w:jc w:val="center"/>
            </w:pPr>
            <w:r>
              <w:rPr>
                <w:rFonts w:hint="eastAsia"/>
              </w:rPr>
              <w:t>9</w:t>
            </w:r>
          </w:p>
        </w:tc>
        <w:tc>
          <w:tcPr>
            <w:tcW w:w="879" w:type="dxa"/>
          </w:tcPr>
          <w:p>
            <w:r>
              <w:rPr>
                <w:rFonts w:hint="eastAsia"/>
              </w:rPr>
              <w:t>电源线、网线、</w:t>
            </w:r>
          </w:p>
          <w:p>
            <w:pPr>
              <w:rPr>
                <w:lang w:val="zh-CN"/>
              </w:rPr>
            </w:pPr>
            <w:r>
              <w:rPr>
                <w:rFonts w:hint="eastAsia"/>
                <w:lang w:val="zh-CN"/>
              </w:rPr>
              <w:t>配件</w:t>
            </w:r>
          </w:p>
          <w:p>
            <w:r>
              <w:rPr>
                <w:rFonts w:hint="eastAsia"/>
                <w:lang w:val="zh-CN"/>
              </w:rPr>
              <w:t>辅材</w:t>
            </w:r>
          </w:p>
        </w:tc>
        <w:tc>
          <w:tcPr>
            <w:tcW w:w="7335" w:type="dxa"/>
            <w:vAlign w:val="center"/>
          </w:tcPr>
          <w:p>
            <w:pPr>
              <w:rPr>
                <w:rFonts w:asciiTheme="minorEastAsia" w:hAnsiTheme="minorEastAsia" w:eastAsiaTheme="minorEastAsia" w:cstheme="minorEastAsia"/>
              </w:rPr>
            </w:pPr>
            <w:r>
              <w:rPr>
                <w:rFonts w:hint="eastAsia" w:asciiTheme="minorEastAsia" w:hAnsiTheme="minorEastAsia" w:eastAsiaTheme="minorEastAsia" w:cstheme="minorEastAsia"/>
              </w:rPr>
              <w:t>电源线3*1.5、3*2.0、</w:t>
            </w:r>
          </w:p>
          <w:p>
            <w:pPr>
              <w:rPr>
                <w:rFonts w:asciiTheme="minorEastAsia" w:hAnsiTheme="minorEastAsia" w:eastAsiaTheme="minorEastAsia" w:cstheme="minorEastAsia"/>
              </w:rPr>
            </w:pPr>
            <w:r>
              <w:rPr>
                <w:rFonts w:hint="eastAsia" w:asciiTheme="minorEastAsia" w:hAnsiTheme="minorEastAsia" w:eastAsiaTheme="minorEastAsia" w:cstheme="minorEastAsia"/>
              </w:rPr>
              <w:t>网线六类、</w:t>
            </w:r>
          </w:p>
          <w:p>
            <w:pPr>
              <w:rPr>
                <w:rFonts w:asciiTheme="minorEastAsia" w:hAnsiTheme="minorEastAsia" w:eastAsiaTheme="minorEastAsia" w:cstheme="minorEastAsia"/>
              </w:rPr>
            </w:pPr>
            <w:r>
              <w:rPr>
                <w:rFonts w:hint="eastAsia" w:asciiTheme="minorEastAsia" w:hAnsiTheme="minorEastAsia" w:eastAsiaTheme="minorEastAsia" w:cstheme="minorEastAsia"/>
              </w:rPr>
              <w:t>线槽、线管、水晶头、硬浇筑、地面水平处理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750" w:type="dxa"/>
            <w:vAlign w:val="top"/>
          </w:tcPr>
          <w:p>
            <w:pPr>
              <w:jc w:val="center"/>
            </w:pPr>
            <w:r>
              <w:rPr>
                <w:rFonts w:hint="eastAsia"/>
              </w:rPr>
              <w:t>10</w:t>
            </w:r>
          </w:p>
        </w:tc>
        <w:tc>
          <w:tcPr>
            <w:tcW w:w="879" w:type="dxa"/>
          </w:tcPr>
          <w:p>
            <w:pPr>
              <w:rPr>
                <w:lang w:val="zh-CN"/>
              </w:rPr>
            </w:pPr>
            <w:r>
              <w:rPr>
                <w:rFonts w:hint="eastAsia"/>
                <w:lang w:val="zh-CN"/>
              </w:rPr>
              <w:t>光纤</w:t>
            </w:r>
          </w:p>
          <w:p>
            <w:r>
              <w:rPr>
                <w:rFonts w:hint="eastAsia"/>
                <w:lang w:val="zh-CN"/>
              </w:rPr>
              <w:t>模块</w:t>
            </w:r>
          </w:p>
        </w:tc>
        <w:tc>
          <w:tcPr>
            <w:tcW w:w="7335" w:type="dxa"/>
            <w:vAlign w:val="center"/>
          </w:tcPr>
          <w:p>
            <w:pPr>
              <w:rPr>
                <w:rFonts w:asciiTheme="minorEastAsia" w:hAnsiTheme="minorEastAsia" w:eastAsiaTheme="minorEastAsia" w:cstheme="minorEastAsia"/>
                <w:lang w:val="zh-CN"/>
              </w:rPr>
            </w:pPr>
            <w:r>
              <w:rPr>
                <w:rFonts w:hint="eastAsia" w:asciiTheme="minorEastAsia" w:hAnsiTheme="minorEastAsia" w:eastAsiaTheme="minorEastAsia" w:cstheme="minorEastAsia"/>
              </w:rPr>
              <w:t>光纤模块1.25G千兆单模双纤20km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750" w:type="dxa"/>
            <w:vAlign w:val="top"/>
          </w:tcPr>
          <w:p>
            <w:pPr>
              <w:jc w:val="center"/>
            </w:pPr>
            <w:r>
              <w:rPr>
                <w:rFonts w:hint="eastAsia"/>
              </w:rPr>
              <w:t>11</w:t>
            </w:r>
          </w:p>
        </w:tc>
        <w:tc>
          <w:tcPr>
            <w:tcW w:w="879" w:type="dxa"/>
          </w:tcPr>
          <w:p>
            <w:pPr>
              <w:rPr>
                <w:color w:val="auto"/>
              </w:rPr>
            </w:pPr>
            <w:r>
              <w:rPr>
                <w:rFonts w:hint="eastAsia"/>
                <w:color w:val="auto"/>
                <w:lang w:val="zh-CN"/>
              </w:rPr>
              <w:t>4U机柜</w:t>
            </w:r>
          </w:p>
        </w:tc>
        <w:tc>
          <w:tcPr>
            <w:tcW w:w="7335" w:type="dxa"/>
            <w:vAlign w:val="center"/>
          </w:tcPr>
          <w:p>
            <w:pPr>
              <w:rPr>
                <w:rFonts w:asciiTheme="minorEastAsia" w:hAnsiTheme="minorEastAsia" w:eastAsiaTheme="minorEastAsia" w:cstheme="minorEastAsia"/>
                <w:color w:val="auto"/>
                <w:lang w:val="zh-CN"/>
              </w:rPr>
            </w:pPr>
            <w:r>
              <w:rPr>
                <w:rFonts w:hint="eastAsia" w:asciiTheme="minorEastAsia" w:hAnsiTheme="minorEastAsia" w:eastAsiaTheme="minorEastAsia" w:cstheme="minorEastAsia"/>
                <w:color w:val="auto"/>
              </w:rPr>
              <w:t>600*600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750" w:type="dxa"/>
            <w:vAlign w:val="top"/>
          </w:tcPr>
          <w:p>
            <w:pPr>
              <w:jc w:val="center"/>
            </w:pPr>
            <w:r>
              <w:rPr>
                <w:rFonts w:hint="eastAsia"/>
              </w:rPr>
              <w:t>12</w:t>
            </w:r>
          </w:p>
        </w:tc>
        <w:tc>
          <w:tcPr>
            <w:tcW w:w="879" w:type="dxa"/>
          </w:tcPr>
          <w:p>
            <w:pPr>
              <w:rPr>
                <w:lang w:val="zh-CN"/>
              </w:rPr>
            </w:pPr>
            <w:r>
              <w:rPr>
                <w:rFonts w:hint="eastAsia"/>
                <w:lang w:val="zh-CN"/>
              </w:rPr>
              <w:t>服务器</w:t>
            </w:r>
          </w:p>
        </w:tc>
        <w:tc>
          <w:tcPr>
            <w:tcW w:w="7335" w:type="dxa"/>
            <w:vAlign w:val="center"/>
          </w:tcPr>
          <w:p>
            <w:pPr>
              <w:rPr>
                <w:rFonts w:asciiTheme="minorEastAsia" w:hAnsiTheme="minorEastAsia" w:eastAsiaTheme="minorEastAsia" w:cstheme="minorEastAsia"/>
              </w:rPr>
            </w:pPr>
            <w:r>
              <w:rPr>
                <w:rFonts w:hint="eastAsia" w:asciiTheme="minorEastAsia" w:hAnsiTheme="minorEastAsia" w:eastAsiaTheme="minorEastAsia" w:cstheme="minorEastAsia"/>
                <w:color w:val="auto"/>
              </w:rPr>
              <w:t>1X E-2224 /1X16GB/2TB易插拔3.5SATA硬盘背板/1X板载 软件RAID模式/集成两口千兆RJ45/1X300W/国标电源线/3年5X9/导轨/XCC标准 无光驱键鼠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8964" w:type="dxa"/>
            <w:gridSpan w:val="3"/>
            <w:vAlign w:val="center"/>
          </w:tcPr>
          <w:p>
            <w:pPr>
              <w:jc w:val="left"/>
              <w:rPr>
                <w:rFonts w:asciiTheme="minorEastAsia" w:hAnsiTheme="minorEastAsia" w:eastAsiaTheme="minorEastAsia" w:cstheme="minorEastAsia"/>
                <w:color w:val="2023EB"/>
              </w:rPr>
            </w:pPr>
            <w:r>
              <w:rPr>
                <w:rFonts w:hint="eastAsia" w:asciiTheme="minorEastAsia" w:hAnsiTheme="minorEastAsia" w:eastAsiaTheme="minorEastAsia" w:cstheme="minorEastAsia"/>
                <w:b/>
                <w:bCs/>
                <w:color w:val="0000FF"/>
              </w:rPr>
              <w:t>备注：标注有*号的参数，投标人</w:t>
            </w:r>
            <w:r>
              <w:rPr>
                <w:rFonts w:hint="eastAsia" w:asciiTheme="minorEastAsia" w:hAnsiTheme="minorEastAsia" w:eastAsiaTheme="minorEastAsia" w:cstheme="minorEastAsia"/>
                <w:b/>
                <w:bCs/>
                <w:color w:val="0000FF"/>
                <w:lang w:eastAsia="zh-CN"/>
              </w:rPr>
              <w:t>需出具第三方检测报告复印件</w:t>
            </w:r>
            <w:r>
              <w:rPr>
                <w:rFonts w:hint="eastAsia" w:asciiTheme="minorEastAsia" w:hAnsiTheme="minorEastAsia" w:eastAsiaTheme="minorEastAsia" w:cstheme="minorEastAsia"/>
                <w:b/>
                <w:bCs/>
                <w:color w:val="0000FF"/>
              </w:rPr>
              <w:t>。</w:t>
            </w:r>
          </w:p>
        </w:tc>
      </w:tr>
    </w:tbl>
    <w:p>
      <w:pPr>
        <w:pStyle w:val="12"/>
        <w:rPr>
          <w:rFonts w:asciiTheme="minorEastAsia" w:hAnsiTheme="minorEastAsia" w:eastAsiaTheme="minorEastAsia" w:cstheme="minorEastAsia"/>
          <w:szCs w:val="21"/>
        </w:rPr>
      </w:pPr>
    </w:p>
    <w:p>
      <w:pPr>
        <w:pStyle w:val="12"/>
        <w:rPr>
          <w:rFonts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numPr>
          <w:ilvl w:val="0"/>
          <w:numId w:val="35"/>
        </w:num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如涉及固定厂家品牌或规格型号的均可认为推荐，并不要求其唯一性，供应商可提供同等质量标准或更高标准产品，并提供相应技术参数证明其符合采购需求或优于采购需求，否则可视其为不满足采购需求。</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2.本项目磋商文件中标注“▲”的条款不允许负偏离，负偏离视为无效响应文件。</w:t>
      </w:r>
    </w:p>
    <w:p>
      <w:pPr>
        <w:bidi w:val="0"/>
      </w:pPr>
    </w:p>
    <w:p>
      <w:pPr>
        <w:autoSpaceDE w:val="0"/>
        <w:autoSpaceDN w:val="0"/>
        <w:adjustRightInd w:val="0"/>
        <w:spacing w:line="360" w:lineRule="auto"/>
      </w:pPr>
      <w:r>
        <w:rPr>
          <w:rFonts w:hint="eastAsia" w:asciiTheme="minorEastAsia" w:hAnsiTheme="minorEastAsia" w:eastAsiaTheme="minorEastAsia" w:cstheme="minorEastAsia"/>
          <w:szCs w:val="21"/>
        </w:rPr>
        <w:br w:type="textWrapping"/>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2" w:name="_Toc22503"/>
      <w:r>
        <w:rPr>
          <w:rFonts w:hint="eastAsia" w:asciiTheme="minorEastAsia" w:hAnsiTheme="minorEastAsia" w:eastAsiaTheme="minorEastAsia" w:cstheme="minorEastAsia"/>
          <w:b/>
          <w:bCs/>
          <w:sz w:val="24"/>
        </w:rPr>
        <w:t>二、商务需求</w:t>
      </w:r>
      <w:bookmarkEnd w:id="112"/>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1.违约责任：</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1.1 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1.2 若乙方未能在规定时间前完成本合同全部货物（含配套系统，配件备件）安装调试并达到验收标准，甲方可中止本合同，并由乙方承担由此给甲方造成的一切损失。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1.3 乙方交付甲方的全部货物（含配套系统，配件备件）及工程中使用的材料必须有合法的进货渠道，且符合协议和投标书中的质量约定，否则由乙方承担一切责任。</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r>
        <w:rPr>
          <w:rFonts w:hint="eastAsia" w:ascii="宋体" w:hAnsi="宋体" w:cs="宋体"/>
          <w:color w:val="auto"/>
          <w:szCs w:val="21"/>
        </w:rPr>
        <w:br w:type="textWrapping"/>
      </w:r>
      <w:r>
        <w:rPr>
          <w:rFonts w:hint="eastAsia" w:asciiTheme="minorEastAsia" w:hAnsiTheme="minorEastAsia" w:eastAsiaTheme="minorEastAsia" w:cstheme="minorEastAsia"/>
          <w:color w:val="auto"/>
          <w:szCs w:val="21"/>
        </w:rPr>
        <w:t>2.产品质量要求：</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2.1投标人在招标及中标后，所提供的设备，必须是合同规定厂家制造的，是全新未曾使用过的原装出厂的合格设备。</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2.2本次采购项目的质量必须完全满足中华人民共和国国家质量标准及现行规范要求，投标人应根据企业实际能力在投标文件中对项目质量予以承诺，中标后在合同中加以确认。</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2.3投标人在招标及中标后，发生侵犯专利权的行为时，其侵权责任与招标人无关，应由中标人承担相应的责任，并不得影响招标人的利益。</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3.产品进场安装、调试及验收：</w:t>
      </w:r>
    </w:p>
    <w:p>
      <w:pPr>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3.1中标人负责本项目办理运输和保险，将货物运抵现场。有关运输和保险的一切费用由乙方承担。</w:t>
      </w:r>
    </w:p>
    <w:p>
      <w:pPr>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3.2中标人负责调试和试运行的结果必须符合采购人的技术要求，同时也应达到行业有关技术规范的要求。</w:t>
      </w:r>
    </w:p>
    <w:p>
      <w:pPr>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3.3验收标准以相关行业标准及合同确定的标准为准。</w:t>
      </w:r>
    </w:p>
    <w:p>
      <w:pPr>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3.4中标人须安排具备相应资质的人员负责合同中全部货物（含配套系统、配件备件）安装调试等相关工作，负责监督安装调试和搬运人员按照安全规范进行安装调试和现场管理，保证安装调试及现场安全。若发生人员伤亡事故，乙方必须承担所有法律和经济责任，甲方概不负责；若发生设备损坏丢失、线路及设备毁损等财产损失安全事故，乙方必须承担经济赔偿。</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4.售后服务要求：</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4.1质保期、保修期内因国产货物（含配套系统、配件备件）质量或安装调试原因引起的全部维修费用（包括更换零配件的费用）均由乙方承担。</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4.2质保期、保修期外，乙方应定期回访，发现问题及时通知甲方，国产货物（含配套系统、配件备件）维修零配件以优惠价给甲方（免收人工及差旅费）。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4.3确保所采购货物和服务无质量问题，能满足质保期的要求。完成出厂检验、设备安装、系统调试、备品备件的配备、技术升级、培训（培训目的、培训场所、培训方式、培训人数、培训教材等），详细说明售后服务机构、服务人员、质量保证期（包括起止时间、缺陷处理）、故障响应和解决、应急保障以及质量保证期后需要提供的服务等。</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4.4售后服务效率要求：售后处理速度不超过24小时。</w:t>
      </w:r>
    </w:p>
    <w:p>
      <w:pPr>
        <w:pStyle w:val="1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5.实施人员要求：</w:t>
      </w:r>
      <w:r>
        <w:rPr>
          <w:rFonts w:hint="eastAsia" w:ascii="宋体" w:hAnsi="宋体" w:cs="宋体"/>
          <w:color w:val="auto"/>
          <w:szCs w:val="21"/>
        </w:rPr>
        <w:t>按本项目情况配置齐全的实施人员，且分工明确。</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6.培训要求：成交供应商</w:t>
      </w:r>
      <w:r>
        <w:rPr>
          <w:rFonts w:hint="eastAsia" w:ascii="宋体" w:hAnsi="宋体" w:cs="宋体"/>
          <w:color w:val="auto"/>
          <w:szCs w:val="21"/>
        </w:rPr>
        <w:t>必须为用户单位人员（技术人员等）免费提供现场安装培训，并到达实际操作合格要求。</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7.交货地点：</w:t>
      </w:r>
      <w:r>
        <w:rPr>
          <w:rFonts w:hint="eastAsia" w:ascii="宋体" w:hAnsi="宋体" w:cs="宋体"/>
          <w:color w:val="auto"/>
          <w:szCs w:val="21"/>
        </w:rPr>
        <w:t>采购人指定地点。</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8.履约保证金：</w:t>
      </w:r>
      <w:r>
        <w:rPr>
          <w:rFonts w:hint="eastAsia" w:ascii="宋体" w:hAnsi="宋体" w:cs="宋体"/>
          <w:color w:val="auto"/>
          <w:szCs w:val="21"/>
        </w:rPr>
        <w:t>乙方需向甲方支付合同金额的5%作为履约保证金；签订合同前5个工作日递交，以支票、汇票、本票或者金融机构、担保机构出具的保函等非现金形式提交。</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9.付款方式：</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9.1乙方</w:t>
      </w:r>
      <w:r>
        <w:rPr>
          <w:rFonts w:hint="eastAsia" w:asciiTheme="minorEastAsia" w:hAnsiTheme="minorEastAsia" w:eastAsiaTheme="minorEastAsia" w:cstheme="minorEastAsia"/>
          <w:color w:val="auto"/>
          <w:kern w:val="0"/>
          <w:szCs w:val="21"/>
        </w:rPr>
        <w:t>须提供增值税专用发票。</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rPr>
        <w:t>9.2安装调试及经甲方验收合格并收到乙方发票后15个工作日内，甲方向乙方支付合同总金额的100%，履约保证金自动转为质保金。质保期满后，如无质量及售后服务等问题及其他违约事项，采购人向乙方无息退还质量保证金。</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10.其它：供应商需针对本项目提供相关交货验收方案（交货期保障措施、验收组织流程等）、安装调试方案（安装调试步骤及措施等）、应急方案（设备故障应急处置等）、质量管控措施（质量目标、质量管理制度、质量保证措施等）、售后方案（服务标准和应急维修时间安排、质保期满后的承诺、其它服务承诺等）等本项目评审因素要求的相关材料。其他未尽事宜由成交供应商和采购人按合同进行约定。</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Cs w:val="21"/>
        </w:rPr>
      </w:pPr>
      <w:bookmarkStart w:id="113" w:name="_Toc26281"/>
      <w:r>
        <w:rPr>
          <w:rFonts w:hint="eastAsia" w:asciiTheme="minorEastAsia" w:hAnsiTheme="minorEastAsia" w:eastAsiaTheme="minorEastAsia" w:cstheme="minorEastAsia"/>
          <w:sz w:val="36"/>
          <w:szCs w:val="36"/>
        </w:rPr>
        <w:t>竞争性磋商采购评定办法</w:t>
      </w:r>
      <w:bookmarkEnd w:id="113"/>
    </w:p>
    <w:p>
      <w:pPr>
        <w:spacing w:line="360" w:lineRule="auto"/>
        <w:outlineLvl w:val="1"/>
        <w:rPr>
          <w:rFonts w:asciiTheme="minorEastAsia" w:hAnsiTheme="minorEastAsia" w:eastAsiaTheme="minorEastAsia" w:cstheme="minorEastAsia"/>
          <w:b/>
          <w:szCs w:val="21"/>
        </w:rPr>
      </w:pPr>
      <w:bookmarkStart w:id="114" w:name="_Toc14722"/>
      <w:r>
        <w:rPr>
          <w:rFonts w:hint="eastAsia" w:asciiTheme="minorEastAsia" w:hAnsiTheme="minorEastAsia" w:eastAsiaTheme="minorEastAsia" w:cstheme="minorEastAsia"/>
          <w:b/>
          <w:szCs w:val="21"/>
        </w:rPr>
        <w:t>一、评定办法前附表</w:t>
      </w:r>
      <w:bookmarkEnd w:id="114"/>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禁止性情形</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未被列入失信被执行人、重大税收违法案件当事人名单（链接：https://www.creditchina.gov.cn/），未被列入政府采购严重违法失信行为记录名单（链接：http://www.ccgp.gov.cn/search/cr/）。</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bookmarkStart w:id="241" w:name="_GoBack" w:colFirst="2" w:colLast="3"/>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落实政府采购政策需满足的资格要求</w:t>
            </w:r>
          </w:p>
        </w:tc>
        <w:tc>
          <w:tcPr>
            <w:tcW w:w="5563" w:type="dxa"/>
            <w:vAlign w:val="center"/>
          </w:tcPr>
          <w:p>
            <w:pPr>
              <w:autoSpaceDE w:val="0"/>
              <w:autoSpaceDN w:val="0"/>
              <w:jc w:val="left"/>
              <w:rPr>
                <w:rFonts w:hint="eastAsia"/>
                <w:color w:val="auto"/>
                <w:highlight w:val="none"/>
                <w:lang w:val="zh-CN" w:eastAsia="zh-CN"/>
              </w:rPr>
            </w:pPr>
            <w:r>
              <w:rPr>
                <w:rFonts w:hint="eastAsia"/>
                <w:color w:val="auto"/>
                <w:highlight w:val="none"/>
                <w:lang w:val="en-US" w:eastAsia="zh-CN"/>
              </w:rPr>
              <w:t>本项目属于整体部分面向中小企业、监狱企业、残疾人福利性单位的项目，竞标产品由中小企业制造。（部分面向中小企业的是：</w:t>
            </w:r>
            <w:r>
              <w:rPr>
                <w:rFonts w:hint="eastAsia"/>
                <w:color w:val="auto"/>
                <w:highlight w:val="none"/>
              </w:rPr>
              <w:t>摆</w:t>
            </w:r>
            <w:r>
              <w:rPr>
                <w:rFonts w:hint="eastAsia"/>
                <w:color w:val="auto"/>
                <w:highlight w:val="none"/>
                <w:lang w:val="zh-CN"/>
              </w:rPr>
              <w:t>闸速通</w:t>
            </w:r>
            <w:r>
              <w:rPr>
                <w:rFonts w:hint="eastAsia"/>
                <w:color w:val="auto"/>
                <w:highlight w:val="none"/>
              </w:rPr>
              <w:t>闸</w:t>
            </w:r>
            <w:r>
              <w:rPr>
                <w:rFonts w:hint="eastAsia"/>
                <w:color w:val="auto"/>
                <w:highlight w:val="none"/>
                <w:lang w:val="zh-CN"/>
              </w:rPr>
              <w:t>（室内型）</w:t>
            </w:r>
            <w:r>
              <w:rPr>
                <w:rFonts w:hint="eastAsia"/>
                <w:color w:val="auto"/>
                <w:highlight w:val="none"/>
              </w:rPr>
              <w:t>单机芯</w:t>
            </w:r>
            <w:r>
              <w:rPr>
                <w:rFonts w:hint="eastAsia"/>
                <w:color w:val="auto"/>
                <w:highlight w:val="none"/>
                <w:lang w:val="en-US" w:eastAsia="zh-CN"/>
              </w:rPr>
              <w:t>；</w:t>
            </w:r>
            <w:r>
              <w:rPr>
                <w:rFonts w:hint="eastAsia"/>
                <w:color w:val="auto"/>
                <w:highlight w:val="none"/>
                <w:lang w:val="zh-CN"/>
              </w:rPr>
              <w:t>摆闸速通</w:t>
            </w:r>
            <w:r>
              <w:rPr>
                <w:rFonts w:hint="eastAsia"/>
                <w:color w:val="auto"/>
                <w:highlight w:val="none"/>
              </w:rPr>
              <w:t>闸</w:t>
            </w:r>
            <w:r>
              <w:rPr>
                <w:rFonts w:hint="eastAsia"/>
                <w:color w:val="auto"/>
                <w:highlight w:val="none"/>
                <w:lang w:val="zh-CN"/>
              </w:rPr>
              <w:t>（室内型）</w:t>
            </w:r>
            <w:r>
              <w:rPr>
                <w:rFonts w:hint="eastAsia"/>
                <w:color w:val="auto"/>
                <w:highlight w:val="none"/>
              </w:rPr>
              <w:t>双机芯；人脸识别一体机；测温模块（集成至人脸识别一体机）；</w:t>
            </w:r>
            <w:r>
              <w:rPr>
                <w:rFonts w:hint="eastAsia"/>
                <w:color w:val="auto"/>
                <w:highlight w:val="none"/>
                <w:lang w:val="zh-CN"/>
              </w:rPr>
              <w:t>综合</w:t>
            </w:r>
            <w:r>
              <w:rPr>
                <w:rFonts w:hint="eastAsia"/>
                <w:color w:val="auto"/>
                <w:highlight w:val="none"/>
              </w:rPr>
              <w:t>平台</w:t>
            </w:r>
            <w:r>
              <w:rPr>
                <w:rFonts w:hint="eastAsia"/>
                <w:color w:val="auto"/>
                <w:highlight w:val="none"/>
                <w:lang w:val="zh-CN"/>
              </w:rPr>
              <w:t>门禁管理系统</w:t>
            </w:r>
            <w:r>
              <w:rPr>
                <w:rFonts w:hint="eastAsia"/>
                <w:color w:val="auto"/>
                <w:highlight w:val="none"/>
              </w:rPr>
              <w:t>软件；电源线、网线、</w:t>
            </w:r>
            <w:r>
              <w:rPr>
                <w:rFonts w:hint="eastAsia"/>
                <w:color w:val="auto"/>
                <w:highlight w:val="none"/>
                <w:lang w:val="zh-CN"/>
              </w:rPr>
              <w:t>配件、辅材；光纤模块；4U机柜</w:t>
            </w:r>
            <w:r>
              <w:rPr>
                <w:rFonts w:hint="eastAsia"/>
                <w:color w:val="auto"/>
                <w:highlight w:val="none"/>
                <w:lang w:val="en-US" w:eastAsia="zh-CN"/>
              </w:rPr>
              <w:t>）</w:t>
            </w:r>
          </w:p>
        </w:tc>
      </w:tr>
      <w:bookmarkEnd w:id="2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采购需求响应</w:t>
            </w:r>
          </w:p>
        </w:tc>
        <w:tc>
          <w:tcPr>
            <w:tcW w:w="5563" w:type="dxa"/>
            <w:vAlign w:val="center"/>
          </w:tcPr>
          <w:p>
            <w:pPr>
              <w:widowControl/>
              <w:rPr>
                <w:rFonts w:asciiTheme="minorEastAsia" w:hAnsiTheme="minorEastAsia" w:eastAsiaTheme="minorEastAsia" w:cstheme="minorEastAsia"/>
                <w:kern w:val="0"/>
                <w:szCs w:val="21"/>
                <w:highlight w:val="none"/>
              </w:rPr>
            </w:pPr>
            <w:r>
              <w:rPr>
                <w:rFonts w:hint="eastAsia" w:ascii="宋体" w:hAnsi="宋体" w:cs="宋体"/>
                <w:kern w:val="0"/>
                <w:szCs w:val="21"/>
                <w:highlight w:val="none"/>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widowControl/>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4</w:t>
            </w:r>
          </w:p>
        </w:tc>
        <w:tc>
          <w:tcPr>
            <w:tcW w:w="851"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核心产品相同品牌</w:t>
            </w:r>
          </w:p>
        </w:tc>
        <w:tc>
          <w:tcPr>
            <w:tcW w:w="2268" w:type="dxa"/>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核心产品相同品牌处理原则</w:t>
            </w:r>
            <w:r>
              <w:rPr>
                <w:rFonts w:hint="eastAsia" w:asciiTheme="minorEastAsia" w:hAnsiTheme="minorEastAsia" w:eastAsiaTheme="minorEastAsia" w:cstheme="minorEastAsia"/>
                <w:color w:val="auto"/>
                <w:szCs w:val="21"/>
              </w:rPr>
              <w:t>【本项目不适用】</w:t>
            </w:r>
          </w:p>
        </w:tc>
        <w:tc>
          <w:tcPr>
            <w:tcW w:w="5563" w:type="dxa"/>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提供相同品牌核心产品且通过资格审查、符合性审查的不同供应商参加同一合同项下竞标的，按一家供应商计算，评审后得分最高的同品牌供应商获得成交候选供应商推荐资格；评审得分相同的，由采购人确定或者采购人委托磋商小组以投票方式确定一个供应商获得成交候选供应商推荐资格，其他同品牌供应商不作为成交候选供应商。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非单一产品采购项目，采购人可以不明确核心产品，也可以根据采购项目技术构成、产品价格比重等合理确定一个核心产品，并以“核心产品”在磋商文件中标注。若核心产品不止1个，各供应商所投任一核心产品的品牌相同，则按一家供应商计算。</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多家供应商提供的核心产品品牌相同的，按上述规定处理。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kern w:val="0"/>
                <w:szCs w:val="21"/>
              </w:rPr>
              <w:t>类型</w:t>
            </w:r>
            <w:r>
              <w:rPr>
                <w:rFonts w:hint="eastAsia" w:asciiTheme="minorEastAsia" w:hAnsiTheme="minorEastAsia" w:eastAsiaTheme="minorEastAsia" w:cstheme="minorEastAsia"/>
                <w:color w:val="auto"/>
                <w:kern w:val="0"/>
                <w:szCs w:val="21"/>
              </w:rPr>
              <w:t>：</w:t>
            </w:r>
            <w:r>
              <w:rPr>
                <w:rFonts w:hint="eastAsia" w:ascii="宋体" w:hAnsi="宋体" w:cs="宋体"/>
                <w:color w:val="auto"/>
                <w:szCs w:val="21"/>
              </w:rPr>
              <w:t>批发业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szCs w:val="21"/>
        </w:rPr>
      </w:pPr>
      <w:bookmarkStart w:id="115" w:name="_Toc1927"/>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二、计算办法</w:t>
      </w:r>
      <w:bookmarkEnd w:id="115"/>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bidi w:val="0"/>
        <w:rPr>
          <w:rFonts w:hint="eastAsia"/>
        </w:rPr>
      </w:pPr>
      <w:bookmarkStart w:id="116" w:name="_Toc8676"/>
      <w:bookmarkStart w:id="117" w:name="_Toc17585"/>
      <w:bookmarkStart w:id="118" w:name="_Toc15867"/>
      <w:r>
        <w:rPr>
          <w:rFonts w:hint="eastAsia"/>
        </w:rPr>
        <w:br w:type="textWrapping"/>
      </w:r>
      <w:bookmarkEnd w:id="116"/>
      <w:bookmarkEnd w:id="117"/>
      <w:bookmarkEnd w:id="118"/>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20"/>
        <w:outlineLvl w:val="1"/>
        <w:rPr>
          <w:rStyle w:val="39"/>
        </w:rPr>
      </w:pPr>
      <w:bookmarkStart w:id="119" w:name="_Toc7304"/>
      <w:r>
        <w:rPr>
          <w:rFonts w:hint="eastAsia" w:asciiTheme="minorEastAsia" w:hAnsiTheme="minorEastAsia" w:eastAsiaTheme="minorEastAsia" w:cstheme="minorEastAsia"/>
          <w:b/>
          <w:szCs w:val="21"/>
        </w:rPr>
        <w:t>三、评分细则</w:t>
      </w:r>
      <w:bookmarkEnd w:id="119"/>
    </w:p>
    <w:tbl>
      <w:tblPr>
        <w:tblStyle w:val="26"/>
        <w:tblW w:w="945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5"/>
        <w:gridCol w:w="1066"/>
        <w:gridCol w:w="6960"/>
        <w:gridCol w:w="68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1" w:hRule="atLeast"/>
        </w:trPr>
        <w:tc>
          <w:tcPr>
            <w:tcW w:w="735" w:type="dxa"/>
            <w:tcBorders>
              <w:top w:val="single" w:color="auto" w:sz="12" w:space="0"/>
            </w:tcBorders>
            <w:vAlign w:val="center"/>
          </w:tcPr>
          <w:p>
            <w:pPr>
              <w:jc w:val="center"/>
              <w:rPr>
                <w:rFonts w:ascii="宋体" w:hAnsi="宋体" w:eastAsia="宋体" w:cs="宋体"/>
                <w:b/>
                <w:bCs/>
                <w:spacing w:val="-6"/>
                <w:szCs w:val="21"/>
              </w:rPr>
            </w:pPr>
            <w:r>
              <w:rPr>
                <w:rFonts w:hint="eastAsia" w:ascii="宋体" w:hAnsi="宋体" w:eastAsia="宋体" w:cs="宋体"/>
                <w:b/>
                <w:bCs/>
                <w:szCs w:val="21"/>
              </w:rPr>
              <w:t>类别</w:t>
            </w:r>
          </w:p>
        </w:tc>
        <w:tc>
          <w:tcPr>
            <w:tcW w:w="1066" w:type="dxa"/>
            <w:tcBorders>
              <w:top w:val="single" w:color="auto" w:sz="12" w:space="0"/>
            </w:tcBorders>
            <w:vAlign w:val="center"/>
          </w:tcPr>
          <w:p>
            <w:pPr>
              <w:jc w:val="center"/>
              <w:rPr>
                <w:rFonts w:ascii="宋体" w:hAnsi="宋体" w:eastAsia="宋体" w:cs="宋体"/>
                <w:b/>
                <w:bCs/>
                <w:spacing w:val="-6"/>
                <w:szCs w:val="21"/>
              </w:rPr>
            </w:pPr>
            <w:r>
              <w:rPr>
                <w:rFonts w:hint="eastAsia" w:ascii="宋体" w:hAnsi="宋体" w:eastAsia="宋体" w:cs="宋体"/>
                <w:b/>
                <w:bCs/>
                <w:szCs w:val="21"/>
              </w:rPr>
              <w:t>评审因素</w:t>
            </w:r>
          </w:p>
        </w:tc>
        <w:tc>
          <w:tcPr>
            <w:tcW w:w="6960" w:type="dxa"/>
            <w:tcBorders>
              <w:top w:val="single" w:color="auto" w:sz="12" w:space="0"/>
            </w:tcBorders>
            <w:vAlign w:val="center"/>
          </w:tcPr>
          <w:p>
            <w:pPr>
              <w:jc w:val="center"/>
              <w:rPr>
                <w:rFonts w:ascii="宋体" w:hAnsi="宋体" w:eastAsia="宋体" w:cs="宋体"/>
                <w:b/>
                <w:bCs/>
                <w:spacing w:val="-6"/>
                <w:szCs w:val="21"/>
              </w:rPr>
            </w:pPr>
            <w:r>
              <w:rPr>
                <w:rFonts w:hint="eastAsia" w:ascii="宋体" w:hAnsi="宋体" w:eastAsia="宋体" w:cs="宋体"/>
                <w:b/>
                <w:bCs/>
                <w:szCs w:val="21"/>
              </w:rPr>
              <w:t>评审标准</w:t>
            </w:r>
          </w:p>
        </w:tc>
        <w:tc>
          <w:tcPr>
            <w:tcW w:w="689" w:type="dxa"/>
            <w:tcBorders>
              <w:top w:val="single" w:color="auto" w:sz="12" w:space="0"/>
            </w:tcBorders>
            <w:vAlign w:val="center"/>
          </w:tcPr>
          <w:p>
            <w:pPr>
              <w:jc w:val="center"/>
              <w:rPr>
                <w:rFonts w:ascii="宋体" w:hAnsi="宋体" w:eastAsia="宋体" w:cs="宋体"/>
                <w:b/>
                <w:bCs/>
                <w:szCs w:val="21"/>
              </w:rPr>
            </w:pPr>
            <w:r>
              <w:rPr>
                <w:rFonts w:hint="eastAsia" w:ascii="宋体" w:hAnsi="宋体" w:eastAsia="宋体" w:cs="宋体"/>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351" w:hRule="atLeast"/>
        </w:trPr>
        <w:tc>
          <w:tcPr>
            <w:tcW w:w="735" w:type="dxa"/>
            <w:vAlign w:val="center"/>
          </w:tcPr>
          <w:p>
            <w:pPr>
              <w:widowControl/>
              <w:jc w:val="center"/>
              <w:textAlignment w:val="center"/>
              <w:rPr>
                <w:rFonts w:ascii="宋体" w:hAnsi="宋体" w:eastAsia="宋体" w:cs="宋体"/>
                <w:color w:val="auto"/>
                <w:spacing w:val="-6"/>
                <w:szCs w:val="21"/>
              </w:rPr>
            </w:pPr>
            <w:r>
              <w:rPr>
                <w:rFonts w:hint="eastAsia" w:ascii="宋体" w:hAnsi="宋体" w:eastAsia="宋体" w:cs="宋体"/>
                <w:color w:val="auto"/>
                <w:kern w:val="0"/>
                <w:szCs w:val="21"/>
              </w:rPr>
              <w:t>竞标报价</w:t>
            </w:r>
            <w:r>
              <w:rPr>
                <w:rFonts w:hint="eastAsia" w:ascii="宋体" w:hAnsi="宋体" w:eastAsia="宋体" w:cs="宋体"/>
                <w:color w:val="auto"/>
                <w:kern w:val="0"/>
                <w:szCs w:val="21"/>
              </w:rPr>
              <w:br w:type="textWrapping"/>
            </w:r>
            <w:r>
              <w:rPr>
                <w:rFonts w:hint="eastAsia" w:ascii="宋体" w:hAnsi="宋体" w:eastAsia="宋体" w:cs="宋体"/>
                <w:color w:val="auto"/>
                <w:kern w:val="0"/>
                <w:szCs w:val="21"/>
                <w:lang w:val="en-US" w:eastAsia="zh-CN"/>
              </w:rPr>
              <w:t>50</w:t>
            </w:r>
            <w:r>
              <w:rPr>
                <w:rFonts w:hint="eastAsia" w:ascii="宋体" w:hAnsi="宋体" w:eastAsia="宋体" w:cs="宋体"/>
                <w:color w:val="auto"/>
                <w:kern w:val="0"/>
                <w:szCs w:val="21"/>
              </w:rPr>
              <w:t>分</w:t>
            </w:r>
          </w:p>
        </w:tc>
        <w:tc>
          <w:tcPr>
            <w:tcW w:w="1066" w:type="dxa"/>
            <w:vAlign w:val="center"/>
          </w:tcPr>
          <w:p>
            <w:pPr>
              <w:widowControl/>
              <w:jc w:val="center"/>
              <w:textAlignment w:val="center"/>
              <w:rPr>
                <w:rFonts w:ascii="宋体" w:hAnsi="宋体" w:eastAsia="宋体" w:cs="宋体"/>
                <w:color w:val="auto"/>
                <w:spacing w:val="-6"/>
                <w:szCs w:val="21"/>
              </w:rPr>
            </w:pPr>
            <w:r>
              <w:rPr>
                <w:rFonts w:hint="eastAsia" w:ascii="宋体" w:hAnsi="宋体" w:eastAsia="宋体" w:cs="宋体"/>
                <w:color w:val="auto"/>
                <w:kern w:val="0"/>
                <w:szCs w:val="21"/>
              </w:rPr>
              <w:t>最后报价</w:t>
            </w:r>
          </w:p>
        </w:tc>
        <w:tc>
          <w:tcPr>
            <w:tcW w:w="6960"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1、报价采用低价优先法计算，即满足磋商采购文件要求且报价最低的报价为磋商基准价，其报价分为满分</w:t>
            </w:r>
            <w:r>
              <w:rPr>
                <w:rFonts w:hint="eastAsia" w:ascii="宋体" w:hAnsi="宋体" w:eastAsia="宋体" w:cs="宋体"/>
                <w:color w:val="auto"/>
                <w:szCs w:val="21"/>
                <w:lang w:val="en-US" w:eastAsia="zh-CN"/>
              </w:rPr>
              <w:t>50</w:t>
            </w:r>
            <w:r>
              <w:rPr>
                <w:rFonts w:hint="eastAsia" w:ascii="宋体" w:hAnsi="宋体" w:eastAsia="宋体" w:cs="宋体"/>
                <w:color w:val="auto"/>
                <w:szCs w:val="21"/>
              </w:rPr>
              <w:t>分；</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2、其他供应商的报价分按照下列公式计算：</w:t>
            </w:r>
          </w:p>
          <w:p>
            <w:pPr>
              <w:widowControl/>
              <w:jc w:val="left"/>
              <w:textAlignment w:val="center"/>
              <w:rPr>
                <w:rFonts w:hint="default" w:ascii="宋体" w:hAnsi="宋体" w:eastAsia="宋体" w:cs="宋体"/>
                <w:color w:val="auto"/>
                <w:szCs w:val="21"/>
                <w:lang w:val="en-US" w:eastAsia="zh-CN"/>
              </w:rPr>
            </w:pPr>
            <w:r>
              <w:rPr>
                <w:rFonts w:hint="eastAsia" w:ascii="宋体" w:hAnsi="宋体" w:eastAsia="宋体" w:cs="宋体"/>
                <w:color w:val="auto"/>
                <w:szCs w:val="21"/>
              </w:rPr>
              <w:t>报价分=（磋商基准价/磋商报价）×</w:t>
            </w:r>
            <w:r>
              <w:rPr>
                <w:rFonts w:hint="eastAsia" w:ascii="宋体" w:hAnsi="宋体" w:eastAsia="宋体" w:cs="宋体"/>
                <w:color w:val="auto"/>
                <w:szCs w:val="21"/>
                <w:lang w:val="en-US" w:eastAsia="zh-CN"/>
              </w:rPr>
              <w:t>50</w:t>
            </w:r>
          </w:p>
          <w:p>
            <w:pPr>
              <w:widowControl/>
              <w:jc w:val="left"/>
              <w:textAlignment w:val="center"/>
              <w:rPr>
                <w:rFonts w:ascii="宋体" w:hAnsi="宋体" w:eastAsia="宋体" w:cs="宋体"/>
                <w:b/>
                <w:bCs/>
                <w:color w:val="auto"/>
                <w:szCs w:val="21"/>
              </w:rPr>
            </w:pPr>
            <w:r>
              <w:rPr>
                <w:rFonts w:hint="eastAsia" w:ascii="宋体" w:hAnsi="宋体" w:eastAsia="宋体" w:cs="宋体"/>
                <w:b/>
                <w:bCs/>
                <w:color w:val="auto"/>
                <w:szCs w:val="21"/>
              </w:rPr>
              <w:t>备注：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jc w:val="left"/>
              <w:textAlignment w:val="center"/>
              <w:rPr>
                <w:rFonts w:ascii="宋体" w:hAnsi="宋体" w:eastAsia="宋体" w:cs="宋体"/>
                <w:color w:val="auto"/>
                <w:szCs w:val="21"/>
              </w:rPr>
            </w:pPr>
            <w:r>
              <w:rPr>
                <w:rFonts w:hint="eastAsia" w:ascii="宋体" w:hAnsi="宋体" w:eastAsia="宋体" w:cs="宋体"/>
                <w:b/>
                <w:bCs/>
                <w:color w:val="auto"/>
                <w:szCs w:val="21"/>
              </w:rPr>
              <w:t>2、符合本磋商文件第四章“政策支持”条件的，在评审时予以价格扣除，用扣除后的价格参与评审。</w:t>
            </w:r>
          </w:p>
        </w:tc>
        <w:tc>
          <w:tcPr>
            <w:tcW w:w="689" w:type="dxa"/>
            <w:vAlign w:val="center"/>
          </w:tcPr>
          <w:p>
            <w:pPr>
              <w:widowControl/>
              <w:jc w:val="center"/>
              <w:textAlignment w:val="center"/>
              <w:rPr>
                <w:rFonts w:ascii="宋体" w:hAnsi="宋体" w:eastAsia="宋体" w:cs="宋体"/>
                <w:color w:val="auto"/>
                <w:szCs w:val="21"/>
              </w:rPr>
            </w:pPr>
            <w:r>
              <w:rPr>
                <w:rFonts w:hint="eastAsia" w:ascii="宋体" w:hAnsi="宋体" w:eastAsia="宋体" w:cs="宋体"/>
                <w:color w:val="auto"/>
                <w:kern w:val="0"/>
                <w:szCs w:val="21"/>
                <w:lang w:val="en-US" w:eastAsia="zh-CN"/>
              </w:rPr>
              <w:t>50</w:t>
            </w:r>
            <w:r>
              <w:rPr>
                <w:rFonts w:hint="eastAsia" w:ascii="宋体" w:hAnsi="宋体" w:eastAsia="宋体" w:cs="宋体"/>
                <w:color w:val="auto"/>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78" w:hRule="atLeast"/>
        </w:trPr>
        <w:tc>
          <w:tcPr>
            <w:tcW w:w="735" w:type="dxa"/>
            <w:vMerge w:val="restart"/>
            <w:vAlign w:val="center"/>
          </w:tcPr>
          <w:p>
            <w:pPr>
              <w:jc w:val="center"/>
              <w:rPr>
                <w:rFonts w:ascii="宋体" w:hAnsi="宋体" w:eastAsia="宋体" w:cs="宋体"/>
                <w:color w:val="auto"/>
                <w:spacing w:val="-6"/>
                <w:szCs w:val="21"/>
              </w:rPr>
            </w:pPr>
            <w:r>
              <w:rPr>
                <w:rFonts w:hint="eastAsia" w:ascii="宋体" w:hAnsi="宋体" w:eastAsia="宋体" w:cs="宋体"/>
                <w:color w:val="auto"/>
                <w:spacing w:val="-6"/>
                <w:szCs w:val="21"/>
              </w:rPr>
              <w:t>商务</w:t>
            </w:r>
            <w:r>
              <w:rPr>
                <w:rFonts w:hint="eastAsia" w:ascii="宋体" w:hAnsi="宋体" w:cs="宋体"/>
                <w:color w:val="auto"/>
                <w:spacing w:val="-6"/>
                <w:szCs w:val="21"/>
                <w:lang w:val="en-US" w:eastAsia="zh-CN"/>
              </w:rPr>
              <w:t>10</w:t>
            </w:r>
            <w:r>
              <w:rPr>
                <w:rFonts w:hint="eastAsia" w:ascii="宋体" w:hAnsi="宋体" w:eastAsia="宋体" w:cs="宋体"/>
                <w:color w:val="auto"/>
                <w:spacing w:val="-6"/>
                <w:szCs w:val="21"/>
              </w:rPr>
              <w:t>分</w:t>
            </w:r>
          </w:p>
        </w:tc>
        <w:tc>
          <w:tcPr>
            <w:tcW w:w="1066" w:type="dxa"/>
            <w:vAlign w:val="center"/>
          </w:tcPr>
          <w:p>
            <w:pPr>
              <w:jc w:val="center"/>
              <w:rPr>
                <w:rFonts w:ascii="宋体" w:hAnsi="宋体" w:eastAsia="宋体" w:cs="宋体"/>
                <w:color w:val="auto"/>
                <w:spacing w:val="-6"/>
                <w:kern w:val="0"/>
                <w:szCs w:val="21"/>
              </w:rPr>
            </w:pPr>
            <w:r>
              <w:rPr>
                <w:rFonts w:hint="eastAsia" w:ascii="宋体" w:hAnsi="宋体" w:eastAsia="宋体" w:cs="宋体"/>
                <w:color w:val="auto"/>
                <w:kern w:val="0"/>
                <w:szCs w:val="21"/>
              </w:rPr>
              <w:t>体系认证</w:t>
            </w:r>
          </w:p>
        </w:tc>
        <w:tc>
          <w:tcPr>
            <w:tcW w:w="6960" w:type="dxa"/>
            <w:vAlign w:val="center"/>
          </w:tcPr>
          <w:p>
            <w:pPr>
              <w:rPr>
                <w:rFonts w:ascii="宋体" w:hAnsi="宋体" w:eastAsia="宋体" w:cs="宋体"/>
                <w:color w:val="auto"/>
                <w:spacing w:val="-6"/>
                <w:szCs w:val="21"/>
              </w:rPr>
            </w:pPr>
            <w:r>
              <w:rPr>
                <w:rFonts w:hint="eastAsia" w:ascii="宋体" w:hAnsi="宋体" w:eastAsia="宋体" w:cs="宋体"/>
                <w:color w:val="auto"/>
                <w:kern w:val="0"/>
                <w:szCs w:val="21"/>
              </w:rPr>
              <w:t>具有有效期内的质量管理体系认证证书、环境管理体系认证证书、职业健康安全管理体系认证证书的，每提供一个得1分，未提供不得分，共计3分。</w:t>
            </w:r>
          </w:p>
        </w:tc>
        <w:tc>
          <w:tcPr>
            <w:tcW w:w="689" w:type="dxa"/>
            <w:vAlign w:val="center"/>
          </w:tcPr>
          <w:p>
            <w:pPr>
              <w:jc w:val="center"/>
              <w:rPr>
                <w:rFonts w:ascii="宋体" w:hAnsi="宋体" w:eastAsia="宋体" w:cs="宋体"/>
                <w:color w:val="auto"/>
                <w:spacing w:val="-6"/>
                <w:szCs w:val="21"/>
              </w:rPr>
            </w:pPr>
            <w:r>
              <w:rPr>
                <w:rFonts w:hint="eastAsia" w:ascii="宋体" w:hAnsi="宋体" w:eastAsia="宋体" w:cs="宋体"/>
                <w:color w:val="auto"/>
                <w:spacing w:val="-6"/>
                <w:szCs w:val="21"/>
                <w:lang w:val="en-US" w:eastAsia="zh-CN"/>
              </w:rPr>
              <w:t>3</w:t>
            </w:r>
            <w:r>
              <w:rPr>
                <w:rFonts w:hint="eastAsia" w:ascii="宋体" w:hAnsi="宋体" w:eastAsia="宋体" w:cs="宋体"/>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4" w:hRule="atLeast"/>
        </w:trPr>
        <w:tc>
          <w:tcPr>
            <w:tcW w:w="735" w:type="dxa"/>
            <w:vMerge w:val="continue"/>
            <w:vAlign w:val="center"/>
          </w:tcPr>
          <w:p>
            <w:pPr>
              <w:jc w:val="center"/>
              <w:rPr>
                <w:rFonts w:ascii="宋体" w:hAnsi="宋体" w:eastAsia="宋体" w:cs="宋体"/>
                <w:color w:val="auto"/>
                <w:szCs w:val="21"/>
              </w:rPr>
            </w:pPr>
          </w:p>
        </w:tc>
        <w:tc>
          <w:tcPr>
            <w:tcW w:w="1066" w:type="dxa"/>
            <w:vAlign w:val="center"/>
          </w:tcPr>
          <w:p>
            <w:pPr>
              <w:widowControl/>
              <w:jc w:val="center"/>
              <w:textAlignment w:val="center"/>
              <w:rPr>
                <w:rFonts w:ascii="宋体" w:hAnsi="宋体" w:eastAsia="宋体" w:cs="宋体"/>
                <w:color w:val="0000FF"/>
                <w:spacing w:val="-6"/>
                <w:szCs w:val="21"/>
              </w:rPr>
            </w:pPr>
            <w:r>
              <w:rPr>
                <w:rFonts w:hint="eastAsia" w:ascii="宋体" w:hAnsi="宋体" w:eastAsia="宋体" w:cs="宋体"/>
                <w:color w:val="0000FF"/>
                <w:szCs w:val="21"/>
              </w:rPr>
              <w:t>类似业绩</w:t>
            </w:r>
          </w:p>
        </w:tc>
        <w:tc>
          <w:tcPr>
            <w:tcW w:w="6960" w:type="dxa"/>
            <w:vAlign w:val="center"/>
          </w:tcPr>
          <w:p>
            <w:pPr>
              <w:autoSpaceDE w:val="0"/>
              <w:autoSpaceDN w:val="0"/>
              <w:adjustRightInd w:val="0"/>
              <w:ind w:right="71" w:rightChars="34"/>
              <w:rPr>
                <w:rFonts w:hint="eastAsia" w:ascii="宋体" w:hAnsi="宋体" w:eastAsia="宋体" w:cs="宋体"/>
                <w:color w:val="0000FF"/>
                <w:spacing w:val="-6"/>
                <w:szCs w:val="21"/>
                <w:lang w:eastAsia="zh-CN"/>
              </w:rPr>
            </w:pPr>
            <w:r>
              <w:rPr>
                <w:rFonts w:hint="eastAsia" w:ascii="宋体" w:hAnsi="宋体" w:eastAsia="宋体" w:cs="宋体"/>
                <w:color w:val="0000FF"/>
                <w:szCs w:val="21"/>
              </w:rPr>
              <w:t>近三年（磋商截止时间往前推算36个月）类似业绩</w:t>
            </w:r>
            <w:r>
              <w:rPr>
                <w:rFonts w:hint="eastAsia" w:ascii="宋体" w:hAnsi="宋体" w:eastAsia="宋体" w:cs="宋体"/>
                <w:color w:val="0000FF"/>
                <w:szCs w:val="21"/>
                <w:lang w:eastAsia="zh-CN"/>
              </w:rPr>
              <w:t>，</w:t>
            </w:r>
            <w:r>
              <w:rPr>
                <w:rFonts w:hint="eastAsia" w:ascii="宋体" w:hAnsi="宋体" w:eastAsia="宋体" w:cs="宋体"/>
                <w:color w:val="0000FF"/>
                <w:szCs w:val="21"/>
              </w:rPr>
              <w:t>提供一个得1分，最高</w:t>
            </w:r>
            <w:r>
              <w:rPr>
                <w:rFonts w:hint="eastAsia" w:ascii="宋体" w:hAnsi="宋体" w:eastAsia="宋体" w:cs="宋体"/>
                <w:color w:val="0000FF"/>
                <w:szCs w:val="21"/>
                <w:lang w:eastAsia="zh-CN"/>
              </w:rPr>
              <w:t>得</w:t>
            </w:r>
            <w:r>
              <w:rPr>
                <w:rFonts w:hint="eastAsia" w:ascii="宋体" w:hAnsi="宋体" w:cs="宋体"/>
                <w:color w:val="0000FF"/>
                <w:szCs w:val="21"/>
                <w:lang w:val="en-US" w:eastAsia="zh-CN"/>
              </w:rPr>
              <w:t>7</w:t>
            </w:r>
            <w:r>
              <w:rPr>
                <w:rFonts w:hint="eastAsia" w:ascii="宋体" w:hAnsi="宋体" w:eastAsia="宋体" w:cs="宋体"/>
                <w:color w:val="0000FF"/>
                <w:szCs w:val="21"/>
              </w:rPr>
              <w:t>分。（需提供合同或成交通知书复印件加盖供应商公章）</w:t>
            </w:r>
            <w:r>
              <w:rPr>
                <w:rFonts w:hint="eastAsia" w:ascii="宋体" w:hAnsi="宋体" w:eastAsia="宋体" w:cs="宋体"/>
                <w:color w:val="0000FF"/>
                <w:szCs w:val="21"/>
                <w:lang w:eastAsia="zh-CN"/>
              </w:rPr>
              <w:t>。</w:t>
            </w:r>
          </w:p>
        </w:tc>
        <w:tc>
          <w:tcPr>
            <w:tcW w:w="689" w:type="dxa"/>
            <w:vAlign w:val="center"/>
          </w:tcPr>
          <w:p>
            <w:pPr>
              <w:widowControl/>
              <w:jc w:val="center"/>
              <w:textAlignment w:val="center"/>
              <w:rPr>
                <w:rFonts w:ascii="宋体" w:hAnsi="宋体" w:eastAsia="宋体" w:cs="宋体"/>
                <w:color w:val="0000FF"/>
                <w:spacing w:val="-6"/>
                <w:szCs w:val="21"/>
              </w:rPr>
            </w:pPr>
            <w:r>
              <w:rPr>
                <w:rFonts w:hint="eastAsia" w:ascii="宋体" w:hAnsi="宋体" w:cs="宋体"/>
                <w:color w:val="0000FF"/>
                <w:szCs w:val="21"/>
                <w:lang w:val="en-US" w:eastAsia="zh-CN"/>
              </w:rPr>
              <w:t>7</w:t>
            </w:r>
            <w:r>
              <w:rPr>
                <w:rFonts w:hint="eastAsia" w:ascii="宋体" w:hAnsi="宋体" w:eastAsia="宋体" w:cs="宋体"/>
                <w:color w:val="0000FF"/>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45" w:hRule="atLeast"/>
        </w:trPr>
        <w:tc>
          <w:tcPr>
            <w:tcW w:w="735" w:type="dxa"/>
            <w:vMerge w:val="restart"/>
            <w:vAlign w:val="center"/>
          </w:tcPr>
          <w:p>
            <w:pPr>
              <w:jc w:val="center"/>
              <w:rPr>
                <w:rFonts w:ascii="宋体" w:hAnsi="宋体" w:eastAsia="宋体" w:cs="宋体"/>
                <w:color w:val="auto"/>
                <w:spacing w:val="-6"/>
                <w:szCs w:val="21"/>
              </w:rPr>
            </w:pPr>
            <w:r>
              <w:rPr>
                <w:rFonts w:hint="eastAsia" w:ascii="宋体" w:hAnsi="宋体" w:eastAsia="宋体" w:cs="宋体"/>
                <w:color w:val="auto"/>
                <w:spacing w:val="-6"/>
                <w:szCs w:val="21"/>
              </w:rPr>
              <w:t>技术服务</w:t>
            </w:r>
            <w:r>
              <w:rPr>
                <w:rFonts w:hint="eastAsia" w:ascii="宋体" w:hAnsi="宋体" w:cs="宋体"/>
                <w:color w:val="auto"/>
                <w:spacing w:val="-6"/>
                <w:szCs w:val="21"/>
                <w:lang w:val="en-US" w:eastAsia="zh-CN"/>
              </w:rPr>
              <w:t>40</w:t>
            </w:r>
            <w:r>
              <w:rPr>
                <w:rFonts w:hint="eastAsia" w:ascii="宋体" w:hAnsi="宋体" w:eastAsia="宋体" w:cs="宋体"/>
                <w:color w:val="auto"/>
                <w:spacing w:val="-6"/>
                <w:szCs w:val="21"/>
              </w:rPr>
              <w:t>分</w:t>
            </w:r>
          </w:p>
        </w:tc>
        <w:tc>
          <w:tcPr>
            <w:tcW w:w="1066" w:type="dxa"/>
            <w:vAlign w:val="center"/>
          </w:tcPr>
          <w:p>
            <w:pPr>
              <w:jc w:val="center"/>
              <w:rPr>
                <w:rFonts w:ascii="宋体" w:hAnsi="宋体" w:eastAsia="宋体" w:cs="宋体"/>
                <w:color w:val="auto"/>
                <w:spacing w:val="-6"/>
                <w:szCs w:val="21"/>
              </w:rPr>
            </w:pPr>
            <w:r>
              <w:rPr>
                <w:rFonts w:hint="eastAsia" w:ascii="宋体" w:hAnsi="宋体" w:eastAsia="宋体" w:cs="宋体"/>
                <w:color w:val="auto"/>
                <w:szCs w:val="21"/>
              </w:rPr>
              <w:t>设备技术响应</w:t>
            </w:r>
          </w:p>
        </w:tc>
        <w:tc>
          <w:tcPr>
            <w:tcW w:w="6960" w:type="dxa"/>
            <w:vAlign w:val="center"/>
          </w:tcPr>
          <w:p>
            <w:pPr>
              <w:rPr>
                <w:rFonts w:ascii="宋体" w:hAnsi="宋体" w:eastAsia="宋体" w:cs="宋体"/>
                <w:color w:val="auto"/>
                <w:spacing w:val="-6"/>
                <w:szCs w:val="21"/>
              </w:rPr>
            </w:pPr>
            <w:r>
              <w:rPr>
                <w:rFonts w:hint="eastAsia" w:ascii="宋体" w:hAnsi="宋体" w:eastAsia="宋体" w:cs="宋体"/>
                <w:color w:val="auto"/>
                <w:szCs w:val="21"/>
              </w:rPr>
              <w:t>设备技术性能及参数完全满足招标要求的得</w:t>
            </w:r>
            <w:r>
              <w:rPr>
                <w:rFonts w:hint="eastAsia" w:ascii="宋体" w:hAnsi="宋体" w:eastAsia="宋体" w:cs="宋体"/>
                <w:color w:val="auto"/>
                <w:szCs w:val="21"/>
                <w:lang w:val="en-US" w:eastAsia="zh-CN"/>
              </w:rPr>
              <w:t>25</w:t>
            </w:r>
            <w:r>
              <w:rPr>
                <w:rFonts w:hint="eastAsia" w:ascii="宋体" w:hAnsi="宋体" w:eastAsia="宋体" w:cs="宋体"/>
                <w:color w:val="auto"/>
                <w:szCs w:val="21"/>
              </w:rPr>
              <w:t>分，具体由磋商小组根据供应商的响应文件中产品情况、《技术响应、偏离说明表》等有关资料打分。其中：完全满足招标技术参数要求的得</w:t>
            </w:r>
            <w:r>
              <w:rPr>
                <w:rFonts w:hint="eastAsia" w:ascii="宋体" w:hAnsi="宋体" w:eastAsia="宋体" w:cs="宋体"/>
                <w:color w:val="auto"/>
                <w:szCs w:val="21"/>
                <w:lang w:val="en-US" w:eastAsia="zh-CN"/>
              </w:rPr>
              <w:t>25</w:t>
            </w:r>
            <w:r>
              <w:rPr>
                <w:rFonts w:hint="eastAsia" w:ascii="宋体" w:hAnsi="宋体" w:eastAsia="宋体" w:cs="宋体"/>
                <w:color w:val="auto"/>
                <w:szCs w:val="21"/>
              </w:rPr>
              <w:t>分；在此基础上，标注 “</w:t>
            </w:r>
            <w:r>
              <w:rPr>
                <w:rFonts w:hint="eastAsia" w:asciiTheme="minorEastAsia" w:hAnsiTheme="minorEastAsia" w:eastAsiaTheme="minorEastAsia" w:cstheme="minorEastAsia"/>
                <w:b/>
                <w:bCs/>
                <w:color w:val="auto"/>
                <w:sz w:val="24"/>
              </w:rPr>
              <w:t>*</w:t>
            </w:r>
            <w:r>
              <w:rPr>
                <w:rFonts w:hint="eastAsia" w:ascii="宋体" w:hAnsi="宋体" w:eastAsia="宋体" w:cs="宋体"/>
                <w:color w:val="auto"/>
                <w:szCs w:val="21"/>
              </w:rPr>
              <w:t>”的内容为重要条款，一项不满足扣</w:t>
            </w:r>
            <w:r>
              <w:rPr>
                <w:rFonts w:hint="eastAsia" w:ascii="宋体" w:hAnsi="宋体" w:eastAsia="宋体" w:cs="宋体"/>
                <w:color w:val="auto"/>
                <w:szCs w:val="21"/>
                <w:lang w:val="en-US" w:eastAsia="zh-CN"/>
              </w:rPr>
              <w:t>2</w:t>
            </w:r>
            <w:r>
              <w:rPr>
                <w:rFonts w:hint="eastAsia" w:ascii="宋体" w:hAnsi="宋体" w:eastAsia="宋体" w:cs="宋体"/>
                <w:color w:val="auto"/>
                <w:szCs w:val="21"/>
              </w:rPr>
              <w:t>分；未标注“</w:t>
            </w:r>
            <w:r>
              <w:rPr>
                <w:rFonts w:hint="eastAsia" w:asciiTheme="minorEastAsia" w:hAnsiTheme="minorEastAsia" w:eastAsiaTheme="minorEastAsia" w:cstheme="minorEastAsia"/>
                <w:b/>
                <w:bCs/>
                <w:color w:val="auto"/>
                <w:sz w:val="24"/>
              </w:rPr>
              <w:t>*</w:t>
            </w:r>
            <w:r>
              <w:rPr>
                <w:rFonts w:hint="eastAsia" w:ascii="宋体" w:hAnsi="宋体" w:eastAsia="宋体" w:cs="宋体"/>
                <w:color w:val="auto"/>
                <w:szCs w:val="21"/>
              </w:rPr>
              <w:t>”的内容有一项不符合的则每项扣1分；扣完为止。</w:t>
            </w:r>
            <w:r>
              <w:rPr>
                <w:rFonts w:hint="eastAsia" w:ascii="宋体" w:hAnsi="宋体" w:eastAsia="宋体" w:cs="宋体"/>
                <w:b/>
                <w:bCs/>
                <w:color w:val="auto"/>
                <w:szCs w:val="21"/>
              </w:rPr>
              <w:br w:type="textWrapping"/>
            </w:r>
            <w:r>
              <w:rPr>
                <w:rFonts w:hint="eastAsia" w:ascii="宋体" w:hAnsi="宋体" w:eastAsia="宋体" w:cs="宋体"/>
                <w:b/>
                <w:bCs/>
                <w:color w:val="2421D4"/>
                <w:szCs w:val="21"/>
              </w:rPr>
              <w:t>备注：标注“</w:t>
            </w:r>
            <w:r>
              <w:rPr>
                <w:rFonts w:hint="eastAsia" w:ascii="宋体" w:hAnsi="宋体" w:eastAsia="宋体" w:cs="宋体"/>
                <w:b/>
                <w:bCs/>
                <w:color w:val="2421D4"/>
                <w:sz w:val="24"/>
              </w:rPr>
              <w:t>*</w:t>
            </w:r>
            <w:r>
              <w:rPr>
                <w:rFonts w:hint="eastAsia" w:ascii="宋体" w:hAnsi="宋体" w:eastAsia="宋体" w:cs="宋体"/>
                <w:b/>
                <w:bCs/>
                <w:color w:val="2421D4"/>
                <w:szCs w:val="21"/>
              </w:rPr>
              <w:t>”的重要条款</w:t>
            </w:r>
            <w:r>
              <w:rPr>
                <w:rFonts w:hint="eastAsia" w:ascii="宋体" w:hAnsi="宋体" w:eastAsia="宋体" w:cs="宋体"/>
                <w:b/>
                <w:bCs/>
                <w:color w:val="2421D4"/>
                <w:szCs w:val="21"/>
                <w:lang w:eastAsia="zh-CN"/>
              </w:rPr>
              <w:t>，</w:t>
            </w:r>
            <w:r>
              <w:rPr>
                <w:rFonts w:hint="eastAsia" w:ascii="宋体" w:hAnsi="宋体" w:eastAsia="宋体" w:cs="宋体"/>
                <w:b/>
                <w:color w:val="2421D4"/>
                <w:szCs w:val="21"/>
              </w:rPr>
              <w:t>投标人</w:t>
            </w:r>
            <w:r>
              <w:rPr>
                <w:rFonts w:hint="eastAsia" w:ascii="宋体" w:hAnsi="宋体" w:eastAsia="宋体" w:cs="宋体"/>
                <w:b/>
                <w:color w:val="2421D4"/>
                <w:szCs w:val="21"/>
                <w:lang w:eastAsia="zh-CN"/>
              </w:rPr>
              <w:t>需出具第三方检测报告复印件</w:t>
            </w:r>
            <w:r>
              <w:rPr>
                <w:rFonts w:hint="eastAsia" w:ascii="宋体" w:hAnsi="宋体" w:eastAsia="宋体" w:cs="宋体"/>
                <w:b/>
                <w:color w:val="2421D4"/>
                <w:szCs w:val="21"/>
              </w:rPr>
              <w:t>。</w:t>
            </w:r>
          </w:p>
        </w:tc>
        <w:tc>
          <w:tcPr>
            <w:tcW w:w="689" w:type="dxa"/>
            <w:vAlign w:val="center"/>
          </w:tcPr>
          <w:p>
            <w:pPr>
              <w:ind w:left="-4" w:leftChars="-2" w:firstLine="1" w:firstLineChars="1"/>
              <w:rPr>
                <w:rFonts w:ascii="宋体" w:hAnsi="宋体" w:eastAsia="宋体" w:cs="宋体"/>
                <w:color w:val="auto"/>
                <w:spacing w:val="-6"/>
                <w:szCs w:val="21"/>
              </w:rPr>
            </w:pPr>
            <w:r>
              <w:rPr>
                <w:rFonts w:hint="eastAsia" w:ascii="宋体" w:hAnsi="宋体" w:eastAsia="宋体" w:cs="宋体"/>
                <w:color w:val="auto"/>
                <w:spacing w:val="-6"/>
                <w:szCs w:val="21"/>
                <w:lang w:val="en-US" w:eastAsia="zh-CN"/>
              </w:rPr>
              <w:t>25</w:t>
            </w:r>
            <w:r>
              <w:rPr>
                <w:rFonts w:hint="eastAsia" w:ascii="宋体" w:hAnsi="宋体" w:eastAsia="宋体" w:cs="宋体"/>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57" w:hRule="atLeast"/>
        </w:trPr>
        <w:tc>
          <w:tcPr>
            <w:tcW w:w="735" w:type="dxa"/>
            <w:vMerge w:val="continue"/>
            <w:vAlign w:val="center"/>
          </w:tcPr>
          <w:p>
            <w:pPr>
              <w:jc w:val="center"/>
              <w:rPr>
                <w:rFonts w:ascii="宋体" w:hAnsi="宋体" w:eastAsia="宋体" w:cs="宋体"/>
                <w:color w:val="auto"/>
                <w:szCs w:val="21"/>
              </w:rPr>
            </w:pPr>
          </w:p>
        </w:tc>
        <w:tc>
          <w:tcPr>
            <w:tcW w:w="1066" w:type="dxa"/>
            <w:vAlign w:val="center"/>
          </w:tcPr>
          <w:p>
            <w:pPr>
              <w:adjustRightInd w:val="0"/>
              <w:snapToGrid w:val="0"/>
              <w:jc w:val="center"/>
              <w:rPr>
                <w:rFonts w:ascii="宋体" w:hAnsi="宋体" w:eastAsia="宋体" w:cs="宋体"/>
                <w:color w:val="auto"/>
                <w:spacing w:val="-6"/>
                <w:szCs w:val="21"/>
              </w:rPr>
            </w:pPr>
            <w:r>
              <w:rPr>
                <w:rFonts w:hint="eastAsia" w:ascii="宋体" w:hAnsi="宋体" w:eastAsia="宋体" w:cs="宋体"/>
                <w:color w:val="auto"/>
                <w:spacing w:val="-6"/>
                <w:szCs w:val="21"/>
              </w:rPr>
              <w:t>项目整体</w:t>
            </w:r>
          </w:p>
          <w:p>
            <w:pPr>
              <w:jc w:val="center"/>
              <w:rPr>
                <w:rFonts w:ascii="宋体" w:hAnsi="宋体" w:eastAsia="宋体" w:cs="宋体"/>
                <w:color w:val="auto"/>
                <w:spacing w:val="-6"/>
                <w:szCs w:val="21"/>
              </w:rPr>
            </w:pPr>
            <w:r>
              <w:rPr>
                <w:rFonts w:hint="eastAsia" w:ascii="宋体" w:hAnsi="宋体" w:eastAsia="宋体" w:cs="宋体"/>
                <w:color w:val="auto"/>
                <w:spacing w:val="-6"/>
                <w:szCs w:val="21"/>
              </w:rPr>
              <w:t>方案设计</w:t>
            </w:r>
          </w:p>
        </w:tc>
        <w:tc>
          <w:tcPr>
            <w:tcW w:w="6960" w:type="dxa"/>
            <w:vAlign w:val="center"/>
          </w:tcPr>
          <w:p>
            <w:pPr>
              <w:rPr>
                <w:rFonts w:ascii="宋体" w:hAnsi="宋体" w:eastAsia="宋体" w:cs="宋体"/>
                <w:color w:val="auto"/>
                <w:szCs w:val="21"/>
              </w:rPr>
            </w:pPr>
            <w:r>
              <w:rPr>
                <w:rFonts w:hint="eastAsia" w:ascii="宋体" w:hAnsi="宋体" w:eastAsia="宋体" w:cs="宋体"/>
                <w:color w:val="auto"/>
                <w:szCs w:val="21"/>
              </w:rPr>
              <w:t>根据投标人提供本项目的实施方案（包含但不限于：人员组织安排的合理性、项目实施步骤、质量控制、进度规划、项目验收等）进行评分。</w:t>
            </w:r>
          </w:p>
          <w:p>
            <w:pPr>
              <w:rPr>
                <w:rFonts w:ascii="宋体" w:hAnsi="宋体" w:eastAsia="宋体" w:cs="宋体"/>
                <w:color w:val="auto"/>
                <w:szCs w:val="21"/>
              </w:rPr>
            </w:pPr>
            <w:r>
              <w:rPr>
                <w:rFonts w:hint="eastAsia" w:ascii="宋体" w:hAnsi="宋体" w:eastAsia="宋体" w:cs="宋体"/>
                <w:color w:val="auto"/>
                <w:szCs w:val="21"/>
              </w:rPr>
              <w:t>方案全面详细、科学合理、可行，针对安装过程中关键点、难点描述详细且有保障的，得5分；</w:t>
            </w:r>
          </w:p>
          <w:p>
            <w:pPr>
              <w:rPr>
                <w:rFonts w:ascii="宋体" w:hAnsi="宋体" w:eastAsia="宋体" w:cs="宋体"/>
                <w:color w:val="auto"/>
                <w:szCs w:val="21"/>
              </w:rPr>
            </w:pPr>
            <w:r>
              <w:rPr>
                <w:rFonts w:hint="eastAsia" w:ascii="宋体" w:hAnsi="宋体" w:eastAsia="宋体" w:cs="宋体"/>
                <w:color w:val="auto"/>
                <w:szCs w:val="21"/>
              </w:rPr>
              <w:t>方案全面详细、合理、可行，针对安装过程中关键点、难点描述详细且有保障的，得3分；</w:t>
            </w:r>
          </w:p>
          <w:p>
            <w:pPr>
              <w:rPr>
                <w:rFonts w:ascii="宋体" w:hAnsi="宋体" w:eastAsia="宋体" w:cs="宋体"/>
                <w:color w:val="auto"/>
                <w:szCs w:val="21"/>
              </w:rPr>
            </w:pPr>
            <w:r>
              <w:rPr>
                <w:rFonts w:hint="eastAsia" w:ascii="宋体" w:hAnsi="宋体" w:eastAsia="宋体" w:cs="宋体"/>
                <w:color w:val="auto"/>
                <w:szCs w:val="21"/>
              </w:rPr>
              <w:t>方案基本详细、可行，针对安装过程中关键点、难点描述基本详细且有保障的，得1分；</w:t>
            </w:r>
          </w:p>
          <w:p>
            <w:pPr>
              <w:rPr>
                <w:rFonts w:ascii="宋体" w:hAnsi="宋体" w:eastAsia="宋体" w:cs="宋体"/>
                <w:color w:val="auto"/>
                <w:szCs w:val="21"/>
              </w:rPr>
            </w:pPr>
            <w:r>
              <w:rPr>
                <w:rFonts w:hint="eastAsia" w:ascii="宋体" w:hAnsi="宋体" w:eastAsia="宋体" w:cs="宋体"/>
                <w:color w:val="auto"/>
                <w:szCs w:val="21"/>
              </w:rPr>
              <w:t>未提供、不可行的，的0分。</w:t>
            </w:r>
          </w:p>
        </w:tc>
        <w:tc>
          <w:tcPr>
            <w:tcW w:w="689" w:type="dxa"/>
            <w:vAlign w:val="center"/>
          </w:tcPr>
          <w:p>
            <w:pPr>
              <w:jc w:val="center"/>
              <w:rPr>
                <w:rFonts w:ascii="宋体" w:hAnsi="宋体" w:eastAsia="宋体" w:cs="宋体"/>
                <w:color w:val="auto"/>
                <w:spacing w:val="-6"/>
                <w:szCs w:val="21"/>
              </w:rPr>
            </w:pPr>
            <w:r>
              <w:rPr>
                <w:rFonts w:hint="eastAsia" w:ascii="宋体" w:hAnsi="宋体" w:eastAsia="宋体" w:cs="宋体"/>
                <w:color w:val="auto"/>
                <w:spacing w:val="-6"/>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204" w:hRule="atLeast"/>
        </w:trPr>
        <w:tc>
          <w:tcPr>
            <w:tcW w:w="735" w:type="dxa"/>
            <w:vMerge w:val="continue"/>
            <w:vAlign w:val="center"/>
          </w:tcPr>
          <w:p>
            <w:pPr>
              <w:jc w:val="center"/>
              <w:rPr>
                <w:rFonts w:ascii="宋体" w:hAnsi="宋体" w:eastAsia="宋体" w:cs="宋体"/>
                <w:color w:val="auto"/>
                <w:szCs w:val="21"/>
              </w:rPr>
            </w:pPr>
          </w:p>
        </w:tc>
        <w:tc>
          <w:tcPr>
            <w:tcW w:w="1066" w:type="dxa"/>
            <w:vAlign w:val="center"/>
          </w:tcPr>
          <w:p>
            <w:pPr>
              <w:jc w:val="center"/>
              <w:rPr>
                <w:rFonts w:ascii="宋体" w:hAnsi="宋体" w:eastAsia="宋体" w:cs="宋体"/>
                <w:color w:val="auto"/>
                <w:spacing w:val="-6"/>
                <w:szCs w:val="21"/>
              </w:rPr>
            </w:pPr>
            <w:r>
              <w:rPr>
                <w:rFonts w:hint="eastAsia" w:ascii="宋体" w:hAnsi="宋体" w:eastAsia="宋体" w:cs="宋体"/>
                <w:color w:val="auto"/>
                <w:spacing w:val="-6"/>
                <w:szCs w:val="21"/>
              </w:rPr>
              <w:t>施工组织计划</w:t>
            </w:r>
          </w:p>
        </w:tc>
        <w:tc>
          <w:tcPr>
            <w:tcW w:w="6960" w:type="dxa"/>
            <w:vAlign w:val="center"/>
          </w:tcPr>
          <w:p>
            <w:pPr>
              <w:rPr>
                <w:rFonts w:ascii="宋体" w:hAnsi="宋体" w:eastAsia="宋体" w:cs="宋体"/>
                <w:color w:val="auto"/>
                <w:spacing w:val="-6"/>
                <w:szCs w:val="21"/>
              </w:rPr>
            </w:pPr>
            <w:r>
              <w:rPr>
                <w:rFonts w:hint="eastAsia" w:ascii="宋体" w:hAnsi="宋体" w:eastAsia="宋体" w:cs="宋体"/>
                <w:color w:val="auto"/>
                <w:spacing w:val="-6"/>
                <w:szCs w:val="21"/>
              </w:rPr>
              <w:t>根据</w:t>
            </w:r>
            <w:r>
              <w:rPr>
                <w:rFonts w:hint="eastAsia" w:ascii="宋体" w:hAnsi="宋体" w:eastAsia="宋体" w:cs="宋体"/>
                <w:color w:val="auto"/>
                <w:szCs w:val="21"/>
              </w:rPr>
              <w:t>投标人</w:t>
            </w:r>
            <w:r>
              <w:rPr>
                <w:rFonts w:hint="eastAsia" w:ascii="宋体" w:hAnsi="宋体" w:eastAsia="宋体" w:cs="宋体"/>
                <w:color w:val="auto"/>
                <w:spacing w:val="-6"/>
                <w:szCs w:val="21"/>
              </w:rPr>
              <w:t>提供本项目的施工组织计划（包含但不限于：施工方法、投入的主要物资计划、劳动力安排计划，确保安全生产、文明施工的具体措施，施工进度表等）进行评分。</w:t>
            </w:r>
          </w:p>
          <w:p>
            <w:pPr>
              <w:rPr>
                <w:rFonts w:ascii="宋体" w:hAnsi="宋体" w:eastAsia="宋体" w:cs="宋体"/>
                <w:color w:val="auto"/>
                <w:spacing w:val="-6"/>
                <w:szCs w:val="21"/>
              </w:rPr>
            </w:pPr>
            <w:r>
              <w:rPr>
                <w:rFonts w:hint="eastAsia" w:ascii="宋体" w:hAnsi="宋体" w:eastAsia="宋体" w:cs="宋体"/>
                <w:color w:val="auto"/>
                <w:spacing w:val="-6"/>
                <w:szCs w:val="21"/>
              </w:rPr>
              <w:t>计划完整、合理，进度安排详细、清晰，得</w:t>
            </w:r>
            <w:r>
              <w:rPr>
                <w:rFonts w:hint="eastAsia" w:ascii="宋体" w:hAnsi="宋体" w:cs="宋体"/>
                <w:color w:val="auto"/>
                <w:spacing w:val="-6"/>
                <w:szCs w:val="21"/>
                <w:lang w:val="en-US" w:eastAsia="zh-CN"/>
              </w:rPr>
              <w:t>5</w:t>
            </w:r>
            <w:r>
              <w:rPr>
                <w:rFonts w:hint="eastAsia" w:ascii="宋体" w:hAnsi="宋体" w:eastAsia="宋体" w:cs="宋体"/>
                <w:color w:val="auto"/>
                <w:spacing w:val="-6"/>
                <w:szCs w:val="21"/>
              </w:rPr>
              <w:t>分；</w:t>
            </w:r>
          </w:p>
          <w:p>
            <w:pPr>
              <w:rPr>
                <w:rFonts w:ascii="宋体" w:hAnsi="宋体" w:eastAsia="宋体" w:cs="宋体"/>
                <w:color w:val="auto"/>
                <w:spacing w:val="-6"/>
                <w:szCs w:val="21"/>
              </w:rPr>
            </w:pPr>
            <w:r>
              <w:rPr>
                <w:rFonts w:hint="eastAsia" w:ascii="宋体" w:hAnsi="宋体" w:eastAsia="宋体" w:cs="宋体"/>
                <w:color w:val="auto"/>
                <w:spacing w:val="-6"/>
                <w:szCs w:val="21"/>
              </w:rPr>
              <w:t>计划完整，进度安排基本合理，得</w:t>
            </w:r>
            <w:r>
              <w:rPr>
                <w:rFonts w:hint="eastAsia" w:ascii="宋体" w:hAnsi="宋体" w:cs="宋体"/>
                <w:color w:val="auto"/>
                <w:spacing w:val="-6"/>
                <w:szCs w:val="21"/>
                <w:lang w:val="en-US" w:eastAsia="zh-CN"/>
              </w:rPr>
              <w:t>3</w:t>
            </w:r>
            <w:r>
              <w:rPr>
                <w:rFonts w:hint="eastAsia" w:ascii="宋体" w:hAnsi="宋体" w:eastAsia="宋体" w:cs="宋体"/>
                <w:color w:val="auto"/>
                <w:spacing w:val="-6"/>
                <w:szCs w:val="21"/>
              </w:rPr>
              <w:t>分；</w:t>
            </w:r>
          </w:p>
          <w:p>
            <w:pPr>
              <w:rPr>
                <w:rFonts w:ascii="宋体" w:hAnsi="宋体" w:eastAsia="宋体" w:cs="宋体"/>
                <w:color w:val="auto"/>
                <w:spacing w:val="-6"/>
                <w:szCs w:val="21"/>
              </w:rPr>
            </w:pPr>
            <w:r>
              <w:rPr>
                <w:rFonts w:hint="eastAsia" w:ascii="宋体" w:hAnsi="宋体" w:eastAsia="宋体" w:cs="宋体"/>
                <w:color w:val="auto"/>
                <w:spacing w:val="-6"/>
                <w:szCs w:val="21"/>
              </w:rPr>
              <w:t>整体计划、各项进度安排一般，不能具体体现各项进度情况，得1分；</w:t>
            </w:r>
          </w:p>
          <w:p>
            <w:pPr>
              <w:rPr>
                <w:rFonts w:ascii="宋体" w:hAnsi="宋体" w:eastAsia="宋体" w:cs="宋体"/>
                <w:color w:val="auto"/>
                <w:spacing w:val="-6"/>
                <w:szCs w:val="21"/>
              </w:rPr>
            </w:pPr>
            <w:r>
              <w:rPr>
                <w:rFonts w:hint="eastAsia" w:ascii="宋体" w:hAnsi="宋体" w:eastAsia="宋体" w:cs="宋体"/>
                <w:color w:val="auto"/>
                <w:spacing w:val="-6"/>
                <w:szCs w:val="21"/>
              </w:rPr>
              <w:t>无施工组织设计，各项计划安排不明确，得0分</w:t>
            </w:r>
          </w:p>
        </w:tc>
        <w:tc>
          <w:tcPr>
            <w:tcW w:w="689" w:type="dxa"/>
            <w:vAlign w:val="center"/>
          </w:tcPr>
          <w:p>
            <w:pPr>
              <w:jc w:val="center"/>
              <w:rPr>
                <w:rFonts w:ascii="宋体" w:hAnsi="宋体" w:eastAsia="宋体" w:cs="宋体"/>
                <w:color w:val="auto"/>
                <w:spacing w:val="-6"/>
                <w:szCs w:val="21"/>
              </w:rPr>
            </w:pPr>
            <w:r>
              <w:rPr>
                <w:rFonts w:hint="eastAsia" w:ascii="宋体" w:hAnsi="宋体" w:cs="宋体"/>
                <w:color w:val="auto"/>
                <w:spacing w:val="-6"/>
                <w:szCs w:val="21"/>
                <w:lang w:val="en-US" w:eastAsia="zh-CN"/>
              </w:rPr>
              <w:t>5</w:t>
            </w:r>
            <w:r>
              <w:rPr>
                <w:rFonts w:hint="eastAsia" w:ascii="宋体" w:hAnsi="宋体" w:eastAsia="宋体" w:cs="宋体"/>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28" w:hRule="atLeast"/>
        </w:trPr>
        <w:tc>
          <w:tcPr>
            <w:tcW w:w="735" w:type="dxa"/>
            <w:vMerge w:val="continue"/>
            <w:vAlign w:val="center"/>
          </w:tcPr>
          <w:p>
            <w:pPr>
              <w:jc w:val="center"/>
              <w:rPr>
                <w:rFonts w:ascii="宋体" w:hAnsi="宋体" w:eastAsia="宋体" w:cs="宋体"/>
                <w:color w:val="auto"/>
                <w:szCs w:val="21"/>
              </w:rPr>
            </w:pPr>
          </w:p>
        </w:tc>
        <w:tc>
          <w:tcPr>
            <w:tcW w:w="1066" w:type="dxa"/>
            <w:vAlign w:val="center"/>
          </w:tcPr>
          <w:p>
            <w:pPr>
              <w:jc w:val="center"/>
              <w:rPr>
                <w:rFonts w:ascii="宋体" w:hAnsi="宋体" w:eastAsia="宋体" w:cs="宋体"/>
                <w:color w:val="auto"/>
                <w:spacing w:val="-6"/>
                <w:szCs w:val="21"/>
              </w:rPr>
            </w:pPr>
            <w:r>
              <w:rPr>
                <w:rFonts w:hint="eastAsia" w:ascii="宋体" w:hAnsi="宋体" w:eastAsia="宋体" w:cs="宋体"/>
                <w:color w:val="auto"/>
                <w:spacing w:val="-6"/>
                <w:szCs w:val="21"/>
              </w:rPr>
              <w:t>售后服务</w:t>
            </w:r>
          </w:p>
        </w:tc>
        <w:tc>
          <w:tcPr>
            <w:tcW w:w="6960" w:type="dxa"/>
            <w:vAlign w:val="center"/>
          </w:tcPr>
          <w:p>
            <w:pPr>
              <w:jc w:val="left"/>
              <w:rPr>
                <w:rFonts w:ascii="Times New Roman" w:hAnsi="Times New Roman" w:eastAsia="宋体" w:cs="Times New Roman"/>
                <w:color w:val="auto"/>
              </w:rPr>
            </w:pPr>
            <w:r>
              <w:rPr>
                <w:rFonts w:hint="eastAsia" w:ascii="宋体" w:hAnsi="宋体" w:eastAsia="宋体" w:cs="宋体"/>
                <w:color w:val="auto"/>
                <w:szCs w:val="21"/>
              </w:rPr>
              <w:t>根据投标人提供本项目的售后方案（包含但不限于：</w:t>
            </w:r>
            <w:r>
              <w:rPr>
                <w:rFonts w:hint="eastAsia" w:ascii="Times New Roman" w:hAnsi="Times New Roman" w:eastAsia="宋体" w:cs="Times New Roman"/>
                <w:color w:val="auto"/>
              </w:rPr>
              <w:t>售后服务机构、售后人员数量、服务能力、响应时间、驻点情况等）进行评分。</w:t>
            </w:r>
          </w:p>
          <w:p>
            <w:pPr>
              <w:jc w:val="left"/>
              <w:rPr>
                <w:rFonts w:ascii="宋体" w:hAnsi="宋体" w:eastAsia="宋体" w:cs="宋体"/>
                <w:color w:val="auto"/>
                <w:szCs w:val="21"/>
              </w:rPr>
            </w:pPr>
            <w:r>
              <w:rPr>
                <w:rFonts w:hint="eastAsia" w:ascii="宋体" w:hAnsi="宋体" w:eastAsia="宋体" w:cs="宋体"/>
                <w:color w:val="auto"/>
                <w:szCs w:val="21"/>
              </w:rPr>
              <w:t>方案切实可行，内容完备，合理、针对性强的，得</w:t>
            </w:r>
            <w:r>
              <w:rPr>
                <w:rFonts w:hint="eastAsia" w:ascii="宋体" w:hAnsi="宋体" w:cs="宋体"/>
                <w:color w:val="auto"/>
                <w:szCs w:val="21"/>
                <w:lang w:val="en-US" w:eastAsia="zh-CN"/>
              </w:rPr>
              <w:t>5</w:t>
            </w:r>
            <w:r>
              <w:rPr>
                <w:rFonts w:hint="eastAsia" w:ascii="宋体" w:hAnsi="宋体" w:eastAsia="宋体" w:cs="宋体"/>
                <w:color w:val="auto"/>
                <w:szCs w:val="21"/>
              </w:rPr>
              <w:t>分；</w:t>
            </w:r>
          </w:p>
          <w:p>
            <w:pPr>
              <w:jc w:val="left"/>
              <w:rPr>
                <w:rFonts w:ascii="宋体" w:hAnsi="宋体" w:eastAsia="宋体" w:cs="宋体"/>
                <w:color w:val="auto"/>
                <w:szCs w:val="21"/>
              </w:rPr>
            </w:pPr>
            <w:r>
              <w:rPr>
                <w:rFonts w:hint="eastAsia" w:ascii="宋体" w:hAnsi="宋体" w:eastAsia="宋体" w:cs="宋体"/>
                <w:color w:val="auto"/>
                <w:szCs w:val="21"/>
              </w:rPr>
              <w:t>方案可行，内容完备，合理、有针对性的，得</w:t>
            </w:r>
            <w:r>
              <w:rPr>
                <w:rFonts w:hint="eastAsia" w:ascii="宋体" w:hAnsi="宋体" w:cs="宋体"/>
                <w:color w:val="auto"/>
                <w:szCs w:val="21"/>
                <w:lang w:val="en-US" w:eastAsia="zh-CN"/>
              </w:rPr>
              <w:t>3</w:t>
            </w:r>
            <w:r>
              <w:rPr>
                <w:rFonts w:hint="eastAsia" w:ascii="宋体" w:hAnsi="宋体" w:eastAsia="宋体" w:cs="宋体"/>
                <w:color w:val="auto"/>
                <w:szCs w:val="21"/>
              </w:rPr>
              <w:t>分；</w:t>
            </w:r>
          </w:p>
          <w:p>
            <w:pPr>
              <w:jc w:val="left"/>
              <w:rPr>
                <w:rFonts w:ascii="宋体" w:hAnsi="宋体" w:eastAsia="宋体" w:cs="宋体"/>
                <w:color w:val="auto"/>
                <w:szCs w:val="21"/>
              </w:rPr>
            </w:pPr>
            <w:r>
              <w:rPr>
                <w:rFonts w:hint="eastAsia" w:ascii="宋体" w:hAnsi="宋体" w:eastAsia="宋体" w:cs="宋体"/>
                <w:color w:val="auto"/>
                <w:szCs w:val="21"/>
              </w:rPr>
              <w:t>完整、合理、基本可行的，得1分，</w:t>
            </w:r>
          </w:p>
          <w:p>
            <w:pPr>
              <w:rPr>
                <w:rFonts w:ascii="Times New Roman" w:hAnsi="Times New Roman" w:eastAsia="宋体" w:cs="Times New Roman"/>
                <w:color w:val="auto"/>
              </w:rPr>
            </w:pPr>
            <w:r>
              <w:rPr>
                <w:rFonts w:hint="eastAsia" w:ascii="宋体" w:hAnsi="宋体" w:eastAsia="宋体" w:cs="宋体"/>
                <w:color w:val="auto"/>
                <w:szCs w:val="21"/>
              </w:rPr>
              <w:t>不可行不得分。</w:t>
            </w:r>
          </w:p>
        </w:tc>
        <w:tc>
          <w:tcPr>
            <w:tcW w:w="689" w:type="dxa"/>
            <w:vAlign w:val="center"/>
          </w:tcPr>
          <w:p>
            <w:pPr>
              <w:jc w:val="center"/>
              <w:rPr>
                <w:rFonts w:ascii="宋体" w:hAnsi="宋体" w:eastAsia="宋体" w:cs="宋体"/>
                <w:color w:val="auto"/>
                <w:spacing w:val="-6"/>
                <w:szCs w:val="21"/>
              </w:rPr>
            </w:pPr>
            <w:r>
              <w:rPr>
                <w:rFonts w:hint="eastAsia" w:ascii="宋体" w:hAnsi="宋体" w:cs="宋体"/>
                <w:color w:val="auto"/>
                <w:spacing w:val="-6"/>
                <w:szCs w:val="21"/>
                <w:lang w:val="en-US" w:eastAsia="zh-CN"/>
              </w:rPr>
              <w:t>5</w:t>
            </w:r>
            <w:r>
              <w:rPr>
                <w:rFonts w:hint="eastAsia" w:ascii="宋体" w:hAnsi="宋体" w:eastAsia="宋体" w:cs="宋体"/>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735" w:type="dxa"/>
            <w:vAlign w:val="center"/>
          </w:tcPr>
          <w:p>
            <w:pPr>
              <w:jc w:val="center"/>
              <w:rPr>
                <w:rFonts w:ascii="宋体" w:hAnsi="宋体" w:eastAsia="宋体" w:cs="宋体"/>
                <w:szCs w:val="21"/>
              </w:rPr>
            </w:pPr>
            <w:r>
              <w:rPr>
                <w:rFonts w:hint="eastAsia" w:ascii="宋体" w:hAnsi="宋体" w:eastAsia="宋体" w:cs="宋体"/>
                <w:szCs w:val="21"/>
              </w:rPr>
              <w:t>总分</w:t>
            </w:r>
          </w:p>
        </w:tc>
        <w:tc>
          <w:tcPr>
            <w:tcW w:w="8715" w:type="dxa"/>
            <w:gridSpan w:val="3"/>
            <w:vAlign w:val="center"/>
          </w:tcPr>
          <w:p>
            <w:pPr>
              <w:jc w:val="center"/>
              <w:rPr>
                <w:rFonts w:ascii="宋体" w:hAnsi="宋体" w:eastAsia="宋体" w:cs="宋体"/>
                <w:spacing w:val="-6"/>
                <w:szCs w:val="21"/>
              </w:rPr>
            </w:pPr>
            <w:r>
              <w:rPr>
                <w:rFonts w:hint="eastAsia" w:ascii="宋体" w:hAnsi="宋体" w:eastAsia="宋体" w:cs="宋体"/>
                <w:spacing w:val="-6"/>
                <w:szCs w:val="21"/>
              </w:rPr>
              <w:t>100</w:t>
            </w:r>
          </w:p>
        </w:tc>
      </w:tr>
    </w:tbl>
    <w:p>
      <w:pPr>
        <w:spacing w:line="360" w:lineRule="auto"/>
        <w:rPr>
          <w:rFonts w:hint="eastAsia" w:asciiTheme="minorEastAsia" w:hAnsiTheme="minorEastAsia" w:eastAsiaTheme="minorEastAsia" w:cstheme="minorEastAsia"/>
          <w:b/>
          <w:szCs w:val="21"/>
        </w:rPr>
      </w:pPr>
    </w:p>
    <w:p>
      <w:pPr>
        <w:spacing w:line="360" w:lineRule="auto"/>
        <w:rPr>
          <w:rFonts w:hint="eastAsia" w:asciiTheme="minorEastAsia" w:hAnsiTheme="minorEastAsia" w:eastAsiaTheme="minorEastAsia" w:cstheme="minorEastAsia"/>
          <w:b/>
          <w:szCs w:val="21"/>
        </w:rPr>
      </w:pPr>
    </w:p>
    <w:p>
      <w:pPr>
        <w:spacing w:line="360" w:lineRule="auto"/>
        <w:rPr>
          <w:rFonts w:hint="eastAsia" w:asciiTheme="minorEastAsia" w:hAnsiTheme="minorEastAsia" w:eastAsiaTheme="minorEastAsia" w:cstheme="minorEastAsia"/>
          <w:b/>
          <w:szCs w:val="21"/>
        </w:rPr>
      </w:pPr>
    </w:p>
    <w:p>
      <w:pPr>
        <w:spacing w:line="360" w:lineRule="auto"/>
        <w:rPr>
          <w:rFonts w:hint="eastAsia" w:asciiTheme="minorEastAsia" w:hAnsiTheme="minorEastAsia" w:eastAsiaTheme="minorEastAsia" w:cstheme="minorEastAsia"/>
          <w:b/>
          <w:szCs w:val="21"/>
        </w:rPr>
      </w:pPr>
    </w:p>
    <w:p>
      <w:pPr>
        <w:spacing w:line="360" w:lineRule="auto"/>
        <w:rPr>
          <w:rFonts w:hint="eastAsia" w:asciiTheme="minorEastAsia" w:hAnsiTheme="minorEastAsia" w:eastAsiaTheme="minorEastAsia" w:cstheme="minorEastAsia"/>
          <w:b/>
          <w:szCs w:val="21"/>
        </w:rPr>
      </w:pPr>
    </w:p>
    <w:p>
      <w:pPr>
        <w:spacing w:line="360" w:lineRule="auto"/>
        <w:rPr>
          <w:rFonts w:asciiTheme="minorEastAsia" w:hAnsiTheme="minorEastAsia" w:eastAsiaTheme="minorEastAsia" w:cstheme="minorEastAsia"/>
          <w:b/>
          <w:szCs w:val="21"/>
        </w:rPr>
        <w:sectPr>
          <w:footerReference r:id="rId7" w:type="default"/>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20" w:name="_Toc4308"/>
      <w:r>
        <w:rPr>
          <w:rFonts w:hint="eastAsia" w:asciiTheme="minorEastAsia" w:hAnsiTheme="minorEastAsia" w:eastAsiaTheme="minorEastAsia" w:cstheme="minorEastAsia"/>
          <w:b/>
          <w:szCs w:val="21"/>
        </w:rPr>
        <w:t>四、评定办法</w:t>
      </w:r>
      <w:bookmarkEnd w:id="120"/>
    </w:p>
    <w:p>
      <w:pPr>
        <w:numPr>
          <w:ilvl w:val="3"/>
          <w:numId w:val="36"/>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37"/>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37"/>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37"/>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6"/>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6"/>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6"/>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21" w:name="_Toc775"/>
      <w:r>
        <w:rPr>
          <w:rFonts w:hint="eastAsia" w:asciiTheme="minorEastAsia" w:hAnsiTheme="minorEastAsia" w:eastAsiaTheme="minorEastAsia" w:cstheme="minorEastAsia"/>
          <w:b/>
          <w:szCs w:val="21"/>
        </w:rPr>
        <w:t>五、磋商及评审步骤</w:t>
      </w:r>
      <w:bookmarkEnd w:id="121"/>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szCs w:val="28"/>
        </w:rP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3"/>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22" w:name="_Toc211783328"/>
      <w:bookmarkStart w:id="123" w:name="_Toc318643471"/>
    </w:p>
    <w:p>
      <w:pPr>
        <w:pStyle w:val="3"/>
        <w:numPr>
          <w:ilvl w:val="0"/>
          <w:numId w:val="4"/>
        </w:numPr>
        <w:spacing w:line="240" w:lineRule="auto"/>
        <w:jc w:val="center"/>
        <w:rPr>
          <w:rFonts w:asciiTheme="minorEastAsia" w:hAnsiTheme="minorEastAsia" w:eastAsiaTheme="minorEastAsia" w:cstheme="minorEastAsia"/>
          <w:b w:val="0"/>
          <w:kern w:val="0"/>
          <w:szCs w:val="21"/>
        </w:rPr>
      </w:pPr>
      <w:bookmarkStart w:id="124" w:name="_Toc30997"/>
      <w:r>
        <w:rPr>
          <w:rFonts w:hint="eastAsia" w:asciiTheme="minorEastAsia" w:hAnsiTheme="minorEastAsia" w:eastAsiaTheme="minorEastAsia" w:cstheme="minorEastAsia"/>
          <w:sz w:val="36"/>
          <w:szCs w:val="36"/>
        </w:rPr>
        <w:t>合同书</w:t>
      </w:r>
      <w:bookmarkEnd w:id="122"/>
      <w:bookmarkEnd w:id="123"/>
      <w:r>
        <w:rPr>
          <w:rFonts w:hint="eastAsia" w:asciiTheme="minorEastAsia" w:hAnsiTheme="minorEastAsia" w:eastAsiaTheme="minorEastAsia" w:cstheme="minorEastAsia"/>
          <w:sz w:val="36"/>
          <w:szCs w:val="36"/>
        </w:rPr>
        <w:t>格式</w:t>
      </w:r>
      <w:bookmarkEnd w:id="124"/>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合同号：</w:t>
      </w:r>
    </w:p>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项目编号：                                                                                            </w:t>
      </w:r>
    </w:p>
    <w:p>
      <w:pPr>
        <w:spacing w:line="360" w:lineRule="auto"/>
        <w:ind w:firstLine="4080" w:firstLineChars="1700"/>
        <w:rPr>
          <w:rFonts w:asciiTheme="minorEastAsia" w:hAnsiTheme="minorEastAsia" w:eastAsiaTheme="minorEastAsia" w:cstheme="minorEastAsia"/>
          <w:sz w:val="24"/>
          <w:u w:val="single"/>
        </w:rPr>
      </w:pP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购货单位：</w:t>
      </w:r>
      <w:r>
        <w:rPr>
          <w:rFonts w:hint="eastAsia" w:asciiTheme="minorEastAsia" w:hAnsiTheme="minorEastAsia" w:eastAsiaTheme="minorEastAsia" w:cstheme="minorEastAsia"/>
          <w:b/>
          <w:sz w:val="24"/>
          <w:u w:val="single"/>
        </w:rPr>
        <w:t>湖北工业大学</w:t>
      </w:r>
      <w:r>
        <w:rPr>
          <w:rFonts w:hint="eastAsia" w:asciiTheme="minorEastAsia" w:hAnsiTheme="minorEastAsia" w:eastAsiaTheme="minorEastAsia" w:cstheme="minorEastAsia"/>
          <w:b/>
          <w:sz w:val="24"/>
        </w:rPr>
        <w:t>（以下简称甲方）</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住所：武汉市洪山区南李路28号</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法定代表人：彭育园</w:t>
      </w: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供货单位：（以下简称乙方）</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住所：</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法定代表人：</w:t>
      </w:r>
    </w:p>
    <w:p>
      <w:pPr>
        <w:spacing w:line="360" w:lineRule="auto"/>
        <w:rPr>
          <w:rFonts w:asciiTheme="minorEastAsia" w:hAnsiTheme="minorEastAsia" w:eastAsiaTheme="minorEastAsia" w:cstheme="minorEastAsia"/>
          <w:b/>
          <w:sz w:val="24"/>
        </w:rPr>
      </w:pPr>
    </w:p>
    <w:p>
      <w:pPr>
        <w:spacing w:after="120"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甲乙双方根据《中华人民共和国民法典》相关规定，为增强双方的责任，经甲乙双方协商一致，特订立本合同，以资甲乙双方共同遵守。</w:t>
      </w:r>
    </w:p>
    <w:p>
      <w:pPr>
        <w:spacing w:line="360" w:lineRule="auto"/>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一、货物名称、规格、配置、数量及价格如下</w:t>
      </w:r>
      <w:r>
        <w:rPr>
          <w:rFonts w:hint="eastAsia" w:asciiTheme="minorEastAsia" w:hAnsiTheme="minorEastAsia" w:eastAsiaTheme="minorEastAsia" w:cstheme="minorEastAsia"/>
          <w:b/>
          <w:bCs/>
          <w:sz w:val="24"/>
        </w:rPr>
        <w:t>:</w:t>
      </w:r>
    </w:p>
    <w:tbl>
      <w:tblPr>
        <w:tblStyle w:val="26"/>
        <w:tblW w:w="9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b/>
                <w:bCs/>
                <w:snapToGrid w:val="0"/>
                <w:kern w:val="0"/>
                <w:sz w:val="24"/>
              </w:rPr>
            </w:pPr>
          </w:p>
        </w:tc>
        <w:tc>
          <w:tcPr>
            <w:tcW w:w="1369"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sz w:val="24"/>
              </w:rPr>
              <w:t>货物</w:t>
            </w:r>
            <w:r>
              <w:rPr>
                <w:rFonts w:hint="eastAsia" w:asciiTheme="minorEastAsia" w:hAnsiTheme="minorEastAsia" w:eastAsiaTheme="minorEastAsia" w:cstheme="minorEastAsia"/>
                <w:b/>
                <w:bCs/>
                <w:snapToGrid w:val="0"/>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1369"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806"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vAlign w:val="center"/>
          </w:tcPr>
          <w:p>
            <w:pPr>
              <w:adjustRightInd w:val="0"/>
              <w:snapToGrid w:val="0"/>
              <w:spacing w:line="360" w:lineRule="auto"/>
              <w:rPr>
                <w:rFonts w:asciiTheme="minorEastAsia" w:hAnsiTheme="minorEastAsia" w:eastAsiaTheme="minorEastAsia" w:cstheme="minorEastAsia"/>
                <w:snapToGrid w:val="0"/>
                <w:kern w:val="0"/>
                <w:sz w:val="24"/>
              </w:rPr>
            </w:pPr>
          </w:p>
        </w:tc>
        <w:tc>
          <w:tcPr>
            <w:tcW w:w="720"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vAlign w:val="center"/>
          </w:tcPr>
          <w:p>
            <w:pPr>
              <w:adjustRightInd w:val="0"/>
              <w:snapToGrid w:val="0"/>
              <w:spacing w:line="360" w:lineRule="auto"/>
              <w:rPr>
                <w:rFonts w:asciiTheme="minorEastAsia" w:hAnsiTheme="minorEastAsia" w:eastAsiaTheme="minorEastAsia" w:cstheme="minorEastAsia"/>
                <w:snapToGrid w:val="0"/>
                <w:kern w:val="0"/>
                <w:sz w:val="24"/>
              </w:rPr>
            </w:pPr>
          </w:p>
        </w:tc>
        <w:tc>
          <w:tcPr>
            <w:tcW w:w="1440" w:type="dxa"/>
            <w:vAlign w:val="center"/>
          </w:tcPr>
          <w:p>
            <w:pPr>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vAlign w:val="center"/>
          </w:tcPr>
          <w:p>
            <w:pPr>
              <w:kinsoku w:val="0"/>
              <w:overflowPunct w:val="0"/>
              <w:autoSpaceDE w:val="0"/>
              <w:autoSpaceDN w:val="0"/>
              <w:adjustRightInd w:val="0"/>
              <w:snapToGrid w:val="0"/>
              <w:spacing w:line="360" w:lineRule="auto"/>
              <w:rPr>
                <w:rStyle w:val="29"/>
                <w:rFonts w:asciiTheme="minorEastAsia" w:hAnsiTheme="minorEastAsia" w:eastAsiaTheme="minorEastAsia" w:cstheme="minorEastAsia"/>
                <w:b w:val="0"/>
                <w:bCs w:val="0"/>
                <w:snapToGrid w:val="0"/>
                <w:kern w:val="0"/>
              </w:rPr>
            </w:pPr>
          </w:p>
        </w:tc>
        <w:tc>
          <w:tcPr>
            <w:tcW w:w="72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01" w:type="dxa"/>
            <w:vAlign w:val="center"/>
          </w:tcPr>
          <w:p>
            <w:pPr>
              <w:kinsoku w:val="0"/>
              <w:overflowPunct w:val="0"/>
              <w:autoSpaceDE w:val="0"/>
              <w:autoSpaceDN w:val="0"/>
              <w:adjustRightInd w:val="0"/>
              <w:snapToGrid w:val="0"/>
              <w:spacing w:line="360" w:lineRule="auto"/>
              <w:rPr>
                <w:rStyle w:val="29"/>
                <w:rFonts w:asciiTheme="minorEastAsia" w:hAnsiTheme="minorEastAsia" w:eastAsiaTheme="minorEastAsia" w:cstheme="minorEastAsia"/>
                <w:b w:val="0"/>
                <w:bCs w:val="0"/>
                <w:snapToGrid w:val="0"/>
                <w:kern w:val="0"/>
              </w:rPr>
            </w:pPr>
          </w:p>
        </w:tc>
        <w:tc>
          <w:tcPr>
            <w:tcW w:w="1440" w:type="dxa"/>
            <w:vAlign w:val="center"/>
          </w:tcPr>
          <w:p>
            <w:pPr>
              <w:kinsoku w:val="0"/>
              <w:overflowPunct w:val="0"/>
              <w:autoSpaceDE w:val="0"/>
              <w:autoSpaceDN w:val="0"/>
              <w:adjustRightInd w:val="0"/>
              <w:snapToGrid w:val="0"/>
              <w:spacing w:line="360" w:lineRule="auto"/>
              <w:rPr>
                <w:rStyle w:val="29"/>
                <w:rFonts w:asciiTheme="minorEastAsia" w:hAnsiTheme="minorEastAsia" w:eastAsiaTheme="minorEastAsia" w:cstheme="minorEastAsia"/>
                <w:b w:val="0"/>
                <w:bCs w:val="0"/>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81" w:type="dxa"/>
            <w:gridSpan w:val="8"/>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b/>
                <w:kern w:val="0"/>
                <w:sz w:val="24"/>
              </w:rPr>
            </w:pPr>
            <w:r>
              <w:rPr>
                <w:rFonts w:hint="eastAsia" w:asciiTheme="minorEastAsia" w:hAnsiTheme="minorEastAsia" w:eastAsiaTheme="minorEastAsia" w:cstheme="minorEastAsia"/>
                <w:snapToGrid w:val="0"/>
                <w:kern w:val="0"/>
                <w:sz w:val="24"/>
              </w:rPr>
              <w:t>合计</w:t>
            </w:r>
            <w:r>
              <w:rPr>
                <w:rFonts w:hint="eastAsia" w:asciiTheme="minorEastAsia" w:hAnsiTheme="minorEastAsia" w:eastAsiaTheme="minorEastAsia" w:cstheme="minorEastAsia"/>
                <w:b/>
                <w:sz w:val="24"/>
              </w:rPr>
              <w:t xml:space="preserve">（人民币）:          </w:t>
            </w:r>
            <w:r>
              <w:rPr>
                <w:rFonts w:hint="eastAsia" w:asciiTheme="minorEastAsia" w:hAnsiTheme="minorEastAsia" w:eastAsiaTheme="minorEastAsia" w:cstheme="minorEastAsia"/>
                <w:b/>
                <w:kern w:val="0"/>
                <w:sz w:val="24"/>
              </w:rPr>
              <w:t>元整（￥：    元）</w:t>
            </w:r>
          </w:p>
        </w:tc>
      </w:tr>
    </w:tbl>
    <w:p>
      <w:pPr>
        <w:spacing w:line="360" w:lineRule="auto"/>
        <w:ind w:left="359" w:leftChars="171"/>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技术负责人（签字）：      部门负责人（签字）：</w:t>
      </w:r>
    </w:p>
    <w:p>
      <w:pPr>
        <w:spacing w:line="360" w:lineRule="auto"/>
        <w:ind w:firstLine="482"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二、合同总金额（人民币）:          </w:t>
      </w:r>
      <w:r>
        <w:rPr>
          <w:rFonts w:hint="eastAsia" w:asciiTheme="minorEastAsia" w:hAnsiTheme="minorEastAsia" w:eastAsiaTheme="minorEastAsia" w:cstheme="minorEastAsia"/>
          <w:b/>
          <w:kern w:val="0"/>
          <w:sz w:val="24"/>
        </w:rPr>
        <w:t>元整（￥：  元）</w:t>
      </w:r>
      <w:r>
        <w:rPr>
          <w:rFonts w:hint="eastAsia" w:asciiTheme="minorEastAsia" w:hAnsiTheme="minorEastAsia" w:eastAsiaTheme="minorEastAsia" w:cstheme="minorEastAsia"/>
          <w:b/>
          <w:sz w:val="24"/>
        </w:rPr>
        <w:t>。含增值税、运费、安装调试费等，甲方无需支付其他费用。</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三、交货：</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1.交货时间：乙方应在20  年 月  日前完成全部货物（含配套系统、配件备件）的安装调试工作。</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2.交货地点：甲方指定地点。</w:t>
      </w:r>
    </w:p>
    <w:p>
      <w:pPr>
        <w:spacing w:line="360" w:lineRule="auto"/>
        <w:ind w:left="359" w:leftChars="171"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3.交货方式：乙方负责安排运输到甲方指定地点。</w:t>
      </w:r>
      <w:r>
        <w:rPr>
          <w:rFonts w:hint="eastAsia" w:asciiTheme="minorEastAsia" w:hAnsiTheme="minorEastAsia" w:eastAsiaTheme="minorEastAsia" w:cstheme="minorEastAsia"/>
          <w:bCs/>
          <w:sz w:val="24"/>
        </w:rPr>
        <w:t>乙方承担</w:t>
      </w:r>
      <w:r>
        <w:rPr>
          <w:rFonts w:hint="eastAsia" w:asciiTheme="minorEastAsia" w:hAnsiTheme="minorEastAsia" w:eastAsiaTheme="minorEastAsia" w:cstheme="minorEastAsia"/>
          <w:sz w:val="24"/>
        </w:rPr>
        <w:t>货物（含配套系统、配件备件）</w:t>
      </w:r>
      <w:r>
        <w:rPr>
          <w:rFonts w:hint="eastAsia" w:asciiTheme="minorEastAsia" w:hAnsiTheme="minorEastAsia" w:eastAsiaTheme="minorEastAsia" w:cstheme="minorEastAsia"/>
          <w:bCs/>
          <w:sz w:val="24"/>
        </w:rPr>
        <w:t>交付甲方前的一切费用及风险（本条款所指交付是乙方将货物</w:t>
      </w:r>
      <w:r>
        <w:rPr>
          <w:rFonts w:hint="eastAsia" w:asciiTheme="minorEastAsia" w:hAnsiTheme="minorEastAsia" w:eastAsiaTheme="minorEastAsia" w:cstheme="minorEastAsia"/>
          <w:sz w:val="24"/>
        </w:rPr>
        <w:t>（含配套系统、配件备件）</w:t>
      </w:r>
      <w:r>
        <w:rPr>
          <w:rFonts w:hint="eastAsia" w:asciiTheme="minorEastAsia" w:hAnsiTheme="minorEastAsia" w:eastAsiaTheme="minorEastAsia" w:cstheme="minorEastAsia"/>
          <w:bCs/>
          <w:sz w:val="24"/>
        </w:rPr>
        <w:t>运送至甲方指定地点，并经甲方验收合格并出具验收合格证明后视为交付）。</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4.乙方所提供货物（含配套系统、配件备件）必须为全新无瑕疵。</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5.交货时，乙方应将货物（含配套系统、配件备件）的产品说明书、使用说明书，出厂合格证、用户手册、保修手册等单证交付给甲方，前述单证未交付完整的，视为未完全交货。</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6.如果乙方提供货物（含配套系统、配件备件）属于国家或上级部门相关法律法规管制的，则乙方应当提供相关证明并协助甲方办理相关手续。</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四、合同验收</w:t>
      </w:r>
    </w:p>
    <w:p>
      <w:pPr>
        <w:spacing w:line="360" w:lineRule="auto"/>
        <w:ind w:firstLine="723"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1. 验收标准：</w:t>
      </w:r>
      <w:r>
        <w:rPr>
          <w:rFonts w:hint="eastAsia" w:asciiTheme="minorEastAsia" w:hAnsiTheme="minorEastAsia" w:eastAsiaTheme="minorEastAsia" w:cstheme="minorEastAsia"/>
          <w:sz w:val="24"/>
        </w:rPr>
        <w:t>本合同相关约定、国家相关规范和标准、招标文件、响应文件及磋商报告相关要求、相关技术文件验收。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2.验收方式：合同内全部货物（含配套系统、配件备件）整体验收。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3.验收组织：甲方组织技术人员验收。（含配套系统、配件备件）质量验收合格的，甲方签署验收报告，验收不合格的，甲方向乙方出具书面质量异议意见。 </w:t>
      </w:r>
    </w:p>
    <w:p>
      <w:pPr>
        <w:spacing w:line="360" w:lineRule="auto"/>
        <w:ind w:left="3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4..甲方完成验收并不免除乙方对（含配套系统、配件备件）质量应当承担的责任。          </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五、付款方式：</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1.本合同正式签订前，乙方需向甲方支付合同金额的5%即人民币    元整（小写：￥    元）作为履约保证金；</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全部货物（含配套系统、配件备件）经甲方验收合格后十五个工作日内，甲方向乙方支付全额货款即人民币    元整（小写：￥    元），上述履约保证金转为质保金，</w:t>
      </w:r>
      <w:r>
        <w:rPr>
          <w:rFonts w:hint="eastAsia" w:asciiTheme="minorEastAsia" w:hAnsiTheme="minorEastAsia" w:eastAsiaTheme="minorEastAsia" w:cstheme="minorEastAsia"/>
          <w:bCs/>
          <w:sz w:val="24"/>
        </w:rPr>
        <w:t>产品验收合格满</w:t>
      </w:r>
      <w:r>
        <w:rPr>
          <w:rFonts w:hint="eastAsia" w:asciiTheme="minorEastAsia" w:hAnsiTheme="minorEastAsia" w:eastAsiaTheme="minorEastAsia" w:cstheme="minorEastAsia"/>
          <w:sz w:val="24"/>
        </w:rPr>
        <w:t>年后，若无质量问题甲方将质保金全额无息退还给乙方；</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３.国产货物（含配套系统、配件备件）须提供增值税专用发票。</w:t>
      </w:r>
    </w:p>
    <w:p>
      <w:pPr>
        <w:spacing w:line="360" w:lineRule="auto"/>
        <w:ind w:firstLine="482"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
          <w:sz w:val="24"/>
        </w:rPr>
        <w:t>七、售后服务</w:t>
      </w:r>
      <w:r>
        <w:rPr>
          <w:rFonts w:hint="eastAsia" w:asciiTheme="minorEastAsia" w:hAnsiTheme="minorEastAsia" w:eastAsiaTheme="minorEastAsia" w:cstheme="minorEastAsia"/>
          <w:b/>
          <w:bCs/>
          <w:sz w:val="24"/>
        </w:rPr>
        <w:t xml:space="preserve"> （</w:t>
      </w:r>
      <w:r>
        <w:rPr>
          <w:rFonts w:hint="eastAsia" w:asciiTheme="minorEastAsia" w:hAnsiTheme="minorEastAsia" w:eastAsiaTheme="minorEastAsia" w:cstheme="minorEastAsia"/>
          <w:bCs/>
          <w:sz w:val="24"/>
        </w:rPr>
        <w:t>根据具体项目的响应文件填写</w:t>
      </w:r>
      <w:r>
        <w:rPr>
          <w:rFonts w:hint="eastAsia" w:asciiTheme="minorEastAsia" w:hAnsiTheme="minorEastAsia" w:eastAsiaTheme="minorEastAsia" w:cstheme="minorEastAsia"/>
          <w:b/>
          <w:bCs/>
          <w:sz w:val="24"/>
        </w:rPr>
        <w:t>）</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w:t>
      </w:r>
      <w:r>
        <w:rPr>
          <w:rFonts w:hint="eastAsia" w:asciiTheme="minorEastAsia" w:hAnsiTheme="minorEastAsia" w:eastAsiaTheme="minorEastAsia" w:cstheme="minorEastAsia"/>
          <w:sz w:val="24"/>
        </w:rPr>
        <w:t xml:space="preserve"> 国产货物（含配套系统、配件备件）</w:t>
      </w:r>
      <w:r>
        <w:rPr>
          <w:rFonts w:hint="eastAsia" w:asciiTheme="minorEastAsia" w:hAnsiTheme="minorEastAsia" w:eastAsiaTheme="minorEastAsia" w:cstheme="minorEastAsia"/>
          <w:bCs/>
          <w:sz w:val="24"/>
        </w:rPr>
        <w:t>验收合格之日起质保期    年，并提供售后服务    年。</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2.质保期、保修期内因</w:t>
      </w:r>
      <w:r>
        <w:rPr>
          <w:rFonts w:hint="eastAsia" w:asciiTheme="minorEastAsia" w:hAnsiTheme="minorEastAsia" w:eastAsiaTheme="minorEastAsia" w:cstheme="minorEastAsia"/>
          <w:sz w:val="24"/>
        </w:rPr>
        <w:t>国产货物（含配套系统、配件备件）</w:t>
      </w:r>
      <w:r>
        <w:rPr>
          <w:rFonts w:hint="eastAsia" w:asciiTheme="minorEastAsia" w:hAnsiTheme="minorEastAsia" w:eastAsiaTheme="minorEastAsia" w:cstheme="minorEastAsia"/>
          <w:bCs/>
          <w:sz w:val="24"/>
        </w:rPr>
        <w:t>质量或安装调试原因引起的全部维修费用（包括更换零配件的费用）均由乙方承担。</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3.质保期、保修期外，乙方应定期回访，发现问题及时通知甲方，</w:t>
      </w:r>
      <w:r>
        <w:rPr>
          <w:rFonts w:hint="eastAsia" w:asciiTheme="minorEastAsia" w:hAnsiTheme="minorEastAsia" w:eastAsiaTheme="minorEastAsia" w:cstheme="minorEastAsia"/>
          <w:sz w:val="24"/>
        </w:rPr>
        <w:t>国产货物（含配套系统、配件备件）</w:t>
      </w:r>
      <w:r>
        <w:rPr>
          <w:rFonts w:hint="eastAsia" w:asciiTheme="minorEastAsia" w:hAnsiTheme="minorEastAsia" w:eastAsiaTheme="minorEastAsia" w:cstheme="minorEastAsia"/>
          <w:bCs/>
          <w:sz w:val="24"/>
        </w:rPr>
        <w:t>维修零配件以优惠价给甲方（免收人工及差旅费）。</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八、安装调试和搬运安全</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1.乙方须严格按照相关安全规范负责合同中全部货物（含配套系统、配件备件）安装调试、搬运和施工现场管理工作，并严守安装调试、搬运和施工现场各项安全规定。</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乙方须安排具备相应资质的人员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乙方必须承担所有法律和经济责任，甲方概不负责；若发生房屋损坏、设备损坏丢失、线路及设备毁损等财产损失安全事故，乙方必须承担经济赔偿。</w:t>
      </w:r>
    </w:p>
    <w:p>
      <w:pPr>
        <w:spacing w:line="360" w:lineRule="auto"/>
        <w:ind w:left="479" w:leftChars="172" w:hanging="118" w:hangingChars="49"/>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九、违约责任</w:t>
      </w:r>
    </w:p>
    <w:p>
      <w:pPr>
        <w:spacing w:line="360" w:lineRule="auto"/>
        <w:ind w:left="540" w:leftChars="257"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2．若乙方未能在20  年  月  日前完成本合同全部货物（含配套系统、配件备件）安装调试并达到验收标准，甲方可中止本合同，并由乙方承担由此给甲方造成的一切损失。</w:t>
      </w:r>
    </w:p>
    <w:p>
      <w:pPr>
        <w:spacing w:line="360" w:lineRule="auto"/>
        <w:ind w:left="540" w:leftChars="257"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4．乙方交付甲方的全部货物（含配套系统、配件备件）及施工过程中使用的材料必须有合法的进货渠道，且符合合同和投标书中的质量约定，否则由乙方承担一切责任。</w:t>
      </w:r>
    </w:p>
    <w:p>
      <w:pPr>
        <w:spacing w:line="360" w:lineRule="auto"/>
        <w:ind w:left="540" w:leftChars="257"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5. 乙方保证本合同项内</w:t>
      </w:r>
      <w:r>
        <w:rPr>
          <w:rFonts w:hint="eastAsia" w:asciiTheme="minorEastAsia" w:hAnsiTheme="minorEastAsia" w:eastAsiaTheme="minorEastAsia" w:cstheme="minorEastAsia"/>
          <w:sz w:val="24"/>
        </w:rPr>
        <w:t>全部货物（含配套系统、配件备件）</w:t>
      </w:r>
      <w:r>
        <w:rPr>
          <w:rFonts w:hint="eastAsia" w:asciiTheme="minorEastAsia" w:hAnsiTheme="minorEastAsia" w:eastAsiaTheme="minorEastAsia" w:cstheme="minorEastAsia"/>
          <w:bCs/>
          <w:sz w:val="24"/>
        </w:rPr>
        <w:t>的权利无瑕疵，包括</w:t>
      </w:r>
      <w:r>
        <w:rPr>
          <w:rFonts w:hint="eastAsia" w:asciiTheme="minorEastAsia" w:hAnsiTheme="minorEastAsia" w:eastAsiaTheme="minorEastAsia" w:cstheme="minorEastAsia"/>
          <w:sz w:val="24"/>
        </w:rPr>
        <w:t>全部货物（含配套系统、配件备件）</w:t>
      </w:r>
      <w:r>
        <w:rPr>
          <w:rFonts w:hint="eastAsia" w:asciiTheme="minorEastAsia" w:hAnsiTheme="minorEastAsia" w:eastAsiaTheme="minorEastAsia" w:cstheme="minorEastAsia"/>
          <w:bCs/>
          <w:sz w:val="24"/>
        </w:rPr>
        <w:t>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w:t>
      </w:r>
      <w:r>
        <w:rPr>
          <w:rFonts w:hint="eastAsia" w:asciiTheme="minorEastAsia" w:hAnsiTheme="minorEastAsia" w:eastAsiaTheme="minorEastAsia" w:cstheme="minorEastAsia"/>
          <w:sz w:val="24"/>
        </w:rPr>
        <w:t>5%</w:t>
      </w:r>
      <w:r>
        <w:rPr>
          <w:rFonts w:hint="eastAsia" w:asciiTheme="minorEastAsia" w:hAnsiTheme="minorEastAsia" w:eastAsiaTheme="minorEastAsia" w:cstheme="minorEastAsia"/>
          <w:bCs/>
          <w:sz w:val="24"/>
        </w:rPr>
        <w:t>向甲方支付违约金。</w:t>
      </w:r>
    </w:p>
    <w:p>
      <w:pPr>
        <w:spacing w:line="360" w:lineRule="auto"/>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十、在履行本合同过程中，如发生争议，双方应友好协商解决，如协商不能解决，双方同意由武汉仲裁委员会仲裁或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十一、本合同一式柒份，甲方持陆份，乙方持壹份,具有同等法律效力。</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十二、本合同自双方签字并盖章之日起生效。</w:t>
      </w:r>
    </w:p>
    <w:p>
      <w:pPr>
        <w:spacing w:line="360" w:lineRule="auto"/>
        <w:ind w:left="-178" w:leftChars="-85" w:right="-359" w:rightChars="-171" w:firstLine="144" w:firstLineChars="60"/>
        <w:rPr>
          <w:rFonts w:asciiTheme="minorEastAsia" w:hAnsiTheme="minorEastAsia" w:eastAsiaTheme="minorEastAsia" w:cstheme="minorEastAsia"/>
          <w:sz w:val="24"/>
        </w:rPr>
      </w:pPr>
    </w:p>
    <w:p>
      <w:pPr>
        <w:spacing w:line="360" w:lineRule="auto"/>
        <w:ind w:left="178" w:leftChars="85" w:right="-359" w:rightChars="-17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甲 方（盖章）：</w:t>
      </w:r>
      <w:r>
        <w:rPr>
          <w:rFonts w:hint="eastAsia" w:asciiTheme="minorEastAsia" w:hAnsiTheme="minorEastAsia" w:eastAsiaTheme="minorEastAsia" w:cstheme="minorEastAsia"/>
          <w:b/>
          <w:bCs/>
          <w:sz w:val="24"/>
        </w:rPr>
        <w:t xml:space="preserve">湖北工业大学                </w:t>
      </w:r>
      <w:r>
        <w:rPr>
          <w:rFonts w:hint="eastAsia" w:asciiTheme="minorEastAsia" w:hAnsiTheme="minorEastAsia" w:eastAsiaTheme="minorEastAsia" w:cstheme="minorEastAsia"/>
          <w:sz w:val="24"/>
        </w:rPr>
        <w:t>乙 方（盖章）：</w:t>
      </w:r>
    </w:p>
    <w:p>
      <w:pPr>
        <w:spacing w:line="360" w:lineRule="auto"/>
        <w:ind w:left="178" w:leftChars="85" w:right="-178" w:rightChars="-85"/>
        <w:rPr>
          <w:rFonts w:asciiTheme="minorEastAsia" w:hAnsiTheme="minorEastAsia" w:eastAsiaTheme="minorEastAsia" w:cstheme="minorEastAsia"/>
          <w:sz w:val="24"/>
        </w:rPr>
      </w:pPr>
    </w:p>
    <w:p>
      <w:pPr>
        <w:spacing w:line="360" w:lineRule="auto"/>
        <w:ind w:left="178" w:leftChars="85" w:right="-178" w:rightChars="-8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部门（单位）主要负责人（签名）：</w:t>
      </w:r>
    </w:p>
    <w:p>
      <w:pPr>
        <w:spacing w:line="360" w:lineRule="auto"/>
        <w:ind w:left="178" w:leftChars="85" w:right="-178" w:rightChars="-8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法人或授权代表（签名）：                   法人或授权代表（签名）：</w:t>
      </w:r>
    </w:p>
    <w:p>
      <w:pPr>
        <w:spacing w:line="360" w:lineRule="auto"/>
        <w:ind w:left="178" w:leftChars="85" w:right="-171"/>
        <w:rPr>
          <w:rFonts w:asciiTheme="minorEastAsia" w:hAnsiTheme="minorEastAsia" w:eastAsiaTheme="minorEastAsia" w:cstheme="minorEastAsia"/>
          <w:sz w:val="24"/>
        </w:rPr>
      </w:pPr>
    </w:p>
    <w:p>
      <w:pPr>
        <w:spacing w:line="360" w:lineRule="auto"/>
        <w:ind w:left="178" w:leftChars="85" w:right="-17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联系方式：02759750213                    联系方式：</w:t>
      </w:r>
    </w:p>
    <w:p>
      <w:pPr>
        <w:spacing w:line="360" w:lineRule="auto"/>
        <w:ind w:left="178" w:leftChars="85" w:right="-17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开户银行：</w:t>
      </w:r>
    </w:p>
    <w:p>
      <w:pPr>
        <w:spacing w:line="360" w:lineRule="auto"/>
        <w:ind w:left="178" w:leftChars="85" w:right="-171"/>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z w:val="24"/>
        </w:rPr>
        <w:t xml:space="preserve">                                         银行账号：</w:t>
      </w:r>
    </w:p>
    <w:p>
      <w:pPr>
        <w:spacing w:line="360" w:lineRule="auto"/>
        <w:ind w:left="178" w:leftChars="85" w:right="-171"/>
        <w:rPr>
          <w:rFonts w:asciiTheme="minorEastAsia" w:hAnsiTheme="minorEastAsia" w:eastAsiaTheme="minorEastAsia" w:cstheme="minorEastAsia"/>
          <w:sz w:val="24"/>
        </w:rPr>
      </w:pPr>
    </w:p>
    <w:p>
      <w:pPr>
        <w:spacing w:line="360" w:lineRule="auto"/>
        <w:ind w:left="178" w:leftChars="85"/>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日  期： 二○   年   月    日         日   期：二○   年   月   日</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pPr>
        <w:pStyle w:val="3"/>
        <w:numPr>
          <w:ilvl w:val="0"/>
          <w:numId w:val="4"/>
        </w:numPr>
        <w:jc w:val="center"/>
        <w:rPr>
          <w:rFonts w:asciiTheme="minorEastAsia" w:hAnsiTheme="minorEastAsia" w:eastAsiaTheme="minorEastAsia" w:cstheme="minorEastAsia"/>
          <w:sz w:val="36"/>
          <w:szCs w:val="36"/>
        </w:rPr>
      </w:pPr>
      <w:bookmarkStart w:id="125" w:name="_Toc4991"/>
      <w:r>
        <w:rPr>
          <w:rFonts w:hint="eastAsia" w:asciiTheme="minorEastAsia" w:hAnsiTheme="minorEastAsia" w:eastAsiaTheme="minorEastAsia" w:cstheme="minorEastAsia"/>
          <w:sz w:val="36"/>
          <w:szCs w:val="36"/>
        </w:rPr>
        <w:t>竞争性磋商响应文件格式</w:t>
      </w:r>
      <w:bookmarkEnd w:id="125"/>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政府采购</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宋体" w:hAnsi="宋体" w:cs="宋体"/>
          <w:b/>
          <w:bCs/>
          <w:sz w:val="30"/>
          <w:szCs w:val="30"/>
        </w:rPr>
        <w:t>采购计划备案号</w:t>
      </w:r>
      <w:r>
        <w:rPr>
          <w:rFonts w:hint="eastAsia" w:asciiTheme="minorEastAsia" w:hAnsiTheme="minorEastAsia" w:eastAsiaTheme="minorEastAsia" w:cstheme="minorEastAsia"/>
          <w:b/>
          <w:bCs/>
          <w:sz w:val="30"/>
          <w:szCs w:val="30"/>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bookmarkStart w:id="126" w:name="_Toc5751"/>
      <w:bookmarkStart w:id="127" w:name="_Toc23858"/>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期：年月日</w:t>
      </w:r>
    </w:p>
    <w:bookmarkEnd w:id="126"/>
    <w:bookmarkEnd w:id="127"/>
    <w:p>
      <w:pPr>
        <w:autoSpaceDE w:val="0"/>
        <w:autoSpaceDN w:val="0"/>
        <w:adjustRightInd w:val="0"/>
        <w:spacing w:line="360" w:lineRule="auto"/>
        <w:jc w:val="center"/>
        <w:rPr>
          <w:rFonts w:asciiTheme="minorEastAsia" w:hAnsiTheme="minorEastAsia" w:eastAsiaTheme="minorEastAsia" w:cstheme="minorEastAsia"/>
          <w:b/>
          <w:bCs/>
          <w:sz w:val="24"/>
        </w:rPr>
      </w:pPr>
      <w:bookmarkStart w:id="128" w:name="_Toc264644272"/>
      <w:bookmarkStart w:id="129" w:name="_Toc360174584"/>
      <w:bookmarkStart w:id="130" w:name="_Toc211783342"/>
      <w:bookmarkStart w:id="131" w:name="_Toc11320441"/>
      <w:bookmarkStart w:id="132" w:name="_Toc533331084"/>
      <w:bookmarkStart w:id="133" w:name="_Toc533330957"/>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28"/>
      <w:bookmarkEnd w:id="129"/>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34" w:name="_Toc29261"/>
      <w:r>
        <w:rPr>
          <w:rFonts w:hint="eastAsia" w:ascii="宋体" w:hAnsi="宋体" w:cs="宋体"/>
          <w:b/>
          <w:szCs w:val="21"/>
        </w:rPr>
        <w:br w:type="textWrapping"/>
      </w:r>
      <w:r>
        <w:rPr>
          <w:rFonts w:hint="eastAsia" w:ascii="宋体" w:hAnsi="宋体" w:cs="宋体"/>
          <w:b/>
          <w:szCs w:val="21"/>
        </w:rPr>
        <w:t>一、评分标准索引表</w:t>
      </w:r>
      <w:bookmarkEnd w:id="134"/>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spacing w:val="-6"/>
                <w:szCs w:val="21"/>
              </w:rPr>
            </w:pPr>
          </w:p>
        </w:tc>
        <w:tc>
          <w:tcPr>
            <w:tcW w:w="1285" w:type="dxa"/>
            <w:vAlign w:val="center"/>
          </w:tcPr>
          <w:p>
            <w:pPr>
              <w:widowControl/>
              <w:spacing w:line="360" w:lineRule="auto"/>
              <w:jc w:val="center"/>
              <w:textAlignment w:val="center"/>
              <w:rPr>
                <w:rFonts w:ascii="宋体" w:hAnsi="宋体" w:cs="宋体"/>
                <w:spacing w:val="-6"/>
                <w:szCs w:val="21"/>
              </w:rPr>
            </w:pPr>
          </w:p>
        </w:tc>
        <w:tc>
          <w:tcPr>
            <w:tcW w:w="5358" w:type="dxa"/>
            <w:vAlign w:val="center"/>
          </w:tcPr>
          <w:p>
            <w:pPr>
              <w:widowControl/>
              <w:spacing w:line="360" w:lineRule="auto"/>
              <w:jc w:val="left"/>
              <w:textAlignment w:val="center"/>
              <w:rPr>
                <w:rFonts w:ascii="宋体" w:hAnsi="宋体" w:cs="宋体"/>
                <w:szCs w:val="21"/>
              </w:rPr>
            </w:pPr>
          </w:p>
        </w:tc>
        <w:tc>
          <w:tcPr>
            <w:tcW w:w="825" w:type="dxa"/>
            <w:vAlign w:val="center"/>
          </w:tcPr>
          <w:p>
            <w:pPr>
              <w:widowControl/>
              <w:spacing w:line="360" w:lineRule="auto"/>
              <w:jc w:val="center"/>
              <w:textAlignment w:val="center"/>
              <w:rPr>
                <w:rFonts w:ascii="宋体" w:hAnsi="宋体" w:cs="宋体"/>
                <w:szCs w:val="21"/>
              </w:rPr>
            </w:pPr>
          </w:p>
        </w:tc>
        <w:tc>
          <w:tcPr>
            <w:tcW w:w="1133" w:type="dxa"/>
            <w:vAlign w:val="center"/>
          </w:tcPr>
          <w:p>
            <w:pPr>
              <w:widowControl/>
              <w:spacing w:line="360" w:lineRule="auto"/>
              <w:jc w:val="center"/>
              <w:textAlignment w:val="center"/>
              <w:rPr>
                <w:rFonts w:ascii="宋体" w:hAnsi="宋体" w:cs="宋体"/>
                <w:color w:val="FF0000"/>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color w:val="000000"/>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rP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35" w:name="_Toc30144"/>
      <w:bookmarkStart w:id="136" w:name="_Toc15789"/>
      <w:bookmarkStart w:id="137" w:name="_Toc479184125"/>
      <w:bookmarkStart w:id="138" w:name="_Toc3570"/>
      <w:r>
        <w:rPr>
          <w:rFonts w:hint="eastAsia" w:asciiTheme="minorEastAsia" w:hAnsiTheme="minorEastAsia" w:eastAsiaTheme="minorEastAsia" w:cstheme="minorEastAsia"/>
          <w:b/>
        </w:rPr>
        <w:t>二、磋商书</w:t>
      </w:r>
      <w:bookmarkEnd w:id="135"/>
      <w:bookmarkEnd w:id="136"/>
      <w:bookmarkEnd w:id="137"/>
      <w:bookmarkEnd w:id="138"/>
    </w:p>
    <w:p>
      <w:pPr>
        <w:pStyle w:val="20"/>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依据贵方（项目名称/项目编号）项目第包货物的磋商邀请，我方代表（姓名、职务）经正式授权并代表供应商（供应商的名称、地址）提交下述文件正本一份，副本份。</w:t>
      </w:r>
    </w:p>
    <w:p>
      <w:pPr>
        <w:numPr>
          <w:ilvl w:val="1"/>
          <w:numId w:val="38"/>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8"/>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8"/>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39"/>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39"/>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39"/>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39"/>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40"/>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39" w:name="_Toc479184126"/>
      <w:bookmarkStart w:id="140" w:name="_Toc24205"/>
      <w:bookmarkStart w:id="141" w:name="_Toc13969"/>
      <w:bookmarkStart w:id="142" w:name="_Toc3140"/>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t>三、法定代表人授权书</w:t>
      </w:r>
      <w:bookmarkEnd w:id="139"/>
      <w:bookmarkEnd w:id="140"/>
      <w:bookmarkEnd w:id="141"/>
      <w:bookmarkEnd w:id="142"/>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采购活动的供应商代表人（磋商代表），全权代表我公司处理在该项目采购活动中的一切事宜。代理期限从年 月日起至年 月日止。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签发日期：年 月日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3" w:name="_Toc424832832"/>
      <w:bookmarkStart w:id="144" w:name="_Toc29904"/>
      <w:bookmarkStart w:id="145" w:name="_Toc30476"/>
      <w:bookmarkStart w:id="146" w:name="_Toc30245"/>
      <w:bookmarkStart w:id="147" w:name="_Toc432149008"/>
      <w:bookmarkStart w:id="148" w:name="_Toc360120184"/>
      <w:bookmarkStart w:id="149" w:name="_Toc479184127"/>
      <w:bookmarkStart w:id="150" w:name="_Toc28987"/>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43"/>
      <w:bookmarkEnd w:id="144"/>
      <w:bookmarkEnd w:id="145"/>
      <w:bookmarkEnd w:id="146"/>
      <w:bookmarkEnd w:id="147"/>
      <w:bookmarkEnd w:id="148"/>
      <w:bookmarkEnd w:id="149"/>
      <w:bookmarkEnd w:id="150"/>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兹证明（姓名）</w:t>
      </w:r>
      <w:r>
        <w:rPr>
          <w:rFonts w:hint="eastAsia" w:asciiTheme="minorEastAsia" w:hAnsiTheme="minorEastAsia" w:eastAsiaTheme="minorEastAsia" w:cstheme="minorEastAsia"/>
          <w:szCs w:val="21"/>
        </w:rPr>
        <w:t>在我单位任职务</w:t>
      </w:r>
      <w:r>
        <w:rPr>
          <w:rFonts w:hint="eastAsia" w:asciiTheme="minorEastAsia" w:hAnsiTheme="minorEastAsia" w:eastAsiaTheme="minorEastAsia" w:cstheme="minorEastAsia"/>
          <w:kern w:val="0"/>
          <w:szCs w:val="21"/>
        </w:rPr>
        <w:t>，系（供应商）的法定代表人。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性别：年龄：</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年月日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1" w:name="_Toc432149006"/>
      <w:bookmarkStart w:id="152" w:name="_Toc422466732"/>
      <w:r>
        <w:rPr>
          <w:rFonts w:hint="eastAsia" w:asciiTheme="minorEastAsia" w:hAnsiTheme="minorEastAsia" w:eastAsiaTheme="minorEastAsia" w:cstheme="minorEastAsia"/>
          <w:b/>
          <w:bCs/>
          <w:sz w:val="24"/>
        </w:rPr>
        <w:br w:type="page"/>
      </w:r>
      <w:bookmarkStart w:id="153" w:name="_Toc479184128"/>
      <w:bookmarkStart w:id="154" w:name="_Toc4301"/>
      <w:bookmarkStart w:id="155" w:name="_Toc4741"/>
      <w:bookmarkStart w:id="156" w:name="_Toc26496"/>
      <w:r>
        <w:rPr>
          <w:rFonts w:hint="eastAsia" w:asciiTheme="minorEastAsia" w:hAnsiTheme="minorEastAsia" w:eastAsiaTheme="minorEastAsia" w:cstheme="minorEastAsia"/>
          <w:b/>
          <w:bCs/>
          <w:szCs w:val="21"/>
        </w:rPr>
        <w:t>五、报价一览表</w:t>
      </w:r>
      <w:bookmarkEnd w:id="151"/>
      <w:bookmarkEnd w:id="152"/>
      <w:bookmarkEnd w:id="153"/>
      <w:bookmarkEnd w:id="154"/>
      <w:bookmarkEnd w:id="155"/>
      <w:bookmarkEnd w:id="156"/>
    </w:p>
    <w:p>
      <w:pPr>
        <w:adjustRightInd w:val="0"/>
        <w:snapToGrid w:val="0"/>
        <w:ind w:left="-88" w:leftChars="-42"/>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color w:val="FF0000"/>
                <w:szCs w:val="21"/>
                <w:u w:val="single"/>
              </w:rPr>
              <w:t xml:space="preserve">大写：      </w:t>
            </w:r>
            <w:r>
              <w:rPr>
                <w:rFonts w:hint="eastAsia" w:asciiTheme="minorEastAsia" w:hAnsiTheme="minorEastAsia" w:eastAsiaTheme="minorEastAsia" w:cstheme="minorEastAsia"/>
                <w:color w:val="FF0000"/>
                <w:szCs w:val="21"/>
              </w:rPr>
              <w:br w:type="textWrapping"/>
            </w:r>
            <w:r>
              <w:rPr>
                <w:rFonts w:hint="eastAsia" w:asciiTheme="minorEastAsia" w:hAnsiTheme="minorEastAsia" w:eastAsiaTheme="minorEastAsia" w:cstheme="minorEastAsia"/>
                <w:color w:val="FF0000"/>
                <w:szCs w:val="21"/>
                <w:u w:val="single"/>
              </w:rPr>
              <w:t xml:space="preserve">小写：      </w:t>
            </w:r>
            <w:r>
              <w:rPr>
                <w:rFonts w:hint="eastAsia" w:asciiTheme="minorEastAsia" w:hAnsiTheme="minorEastAsia" w:eastAsiaTheme="minorEastAsia" w:cstheme="minorEastAsia"/>
                <w:color w:val="FF0000"/>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color w:val="FF0000"/>
                <w:szCs w:val="21"/>
              </w:rPr>
            </w:pPr>
            <w:r>
              <w:rPr>
                <w:rFonts w:hint="eastAsia" w:asciiTheme="minorEastAsia" w:hAnsiTheme="minorEastAsia" w:eastAsiaTheme="minorEastAsia" w:cstheme="minorEastAsia"/>
                <w:bCs/>
                <w:color w:val="FF0000"/>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8"/>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bookmarkStart w:id="157" w:name="_Toc460258117"/>
      <w:bookmarkStart w:id="158" w:name="_Toc259028723"/>
      <w:bookmarkStart w:id="159" w:name="_Toc424832831"/>
      <w:bookmarkStart w:id="160" w:name="_Toc432149007"/>
      <w:r>
        <w:rPr>
          <w:rFonts w:hint="eastAsia" w:asciiTheme="minorEastAsia" w:hAnsiTheme="minorEastAsia" w:eastAsiaTheme="minorEastAsia" w:cstheme="minorEastAsia"/>
          <w:b/>
          <w:bCs/>
          <w:sz w:val="24"/>
        </w:rPr>
        <w:br w:type="page"/>
      </w:r>
      <w:bookmarkStart w:id="161" w:name="_Toc479184129"/>
      <w:bookmarkStart w:id="162" w:name="_Toc18559"/>
      <w:bookmarkStart w:id="163" w:name="_Toc1079"/>
      <w:bookmarkStart w:id="164" w:name="_Toc1634"/>
      <w:r>
        <w:rPr>
          <w:rFonts w:hint="eastAsia" w:asciiTheme="minorEastAsia" w:hAnsiTheme="minorEastAsia" w:eastAsiaTheme="minorEastAsia" w:cstheme="minorEastAsia"/>
          <w:b/>
          <w:bCs/>
          <w:szCs w:val="21"/>
        </w:rPr>
        <w:t>六、</w:t>
      </w:r>
      <w:bookmarkEnd w:id="157"/>
      <w:bookmarkEnd w:id="158"/>
      <w:bookmarkEnd w:id="161"/>
      <w:bookmarkEnd w:id="162"/>
      <w:bookmarkEnd w:id="163"/>
      <w:r>
        <w:rPr>
          <w:rFonts w:hint="eastAsia" w:asciiTheme="minorEastAsia" w:hAnsiTheme="minorEastAsia" w:eastAsiaTheme="minorEastAsia" w:cstheme="minorEastAsia"/>
          <w:b/>
          <w:bCs/>
          <w:szCs w:val="21"/>
        </w:rPr>
        <w:t>报价费用构成表</w:t>
      </w:r>
      <w:bookmarkEnd w:id="164"/>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8"/>
        <w:gridCol w:w="1875"/>
        <w:gridCol w:w="1428"/>
        <w:gridCol w:w="741"/>
        <w:gridCol w:w="828"/>
        <w:gridCol w:w="736"/>
        <w:gridCol w:w="727"/>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87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4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741"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7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w:t>
            </w:r>
          </w:p>
        </w:tc>
        <w:tc>
          <w:tcPr>
            <w:tcW w:w="72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719"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09"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41"/>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41"/>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41"/>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41"/>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4.1国产设备请填写“中国”，国内生产的国外品牌请填写“中国”；</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5" w:name="_Toc479184130"/>
      <w:bookmarkStart w:id="166" w:name="_Toc28656"/>
      <w:bookmarkStart w:id="167" w:name="_Toc26825"/>
      <w:bookmarkStart w:id="168" w:name="_Toc4378"/>
      <w:r>
        <w:rPr>
          <w:rFonts w:hint="eastAsia" w:asciiTheme="minorEastAsia" w:hAnsiTheme="minorEastAsia" w:eastAsiaTheme="minorEastAsia" w:cstheme="minorEastAsia"/>
          <w:b/>
          <w:bCs/>
          <w:szCs w:val="21"/>
        </w:rPr>
        <w:t>七、耗材清单</w:t>
      </w:r>
      <w:bookmarkEnd w:id="165"/>
      <w:bookmarkEnd w:id="166"/>
      <w:bookmarkEnd w:id="167"/>
      <w:bookmarkEnd w:id="168"/>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9" w:name="_Toc32726"/>
      <w:bookmarkStart w:id="170" w:name="_Toc13703"/>
      <w:bookmarkStart w:id="171" w:name="_Toc7535"/>
      <w:bookmarkStart w:id="172" w:name="_Toc479184131"/>
      <w:r>
        <w:rPr>
          <w:rFonts w:hint="eastAsia" w:asciiTheme="minorEastAsia" w:hAnsiTheme="minorEastAsia" w:eastAsiaTheme="minorEastAsia" w:cstheme="minorEastAsia"/>
          <w:b/>
          <w:bCs/>
          <w:szCs w:val="21"/>
        </w:rPr>
        <w:t>八、拟投入设备/备件、工具情况</w:t>
      </w:r>
      <w:bookmarkEnd w:id="169"/>
      <w:bookmarkEnd w:id="170"/>
      <w:bookmarkEnd w:id="171"/>
      <w:bookmarkEnd w:id="172"/>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73" w:name="_Toc450827818"/>
      <w:bookmarkStart w:id="174" w:name="_Toc27053"/>
      <w:bookmarkStart w:id="175" w:name="_Toc10449"/>
      <w:bookmarkStart w:id="176" w:name="_Toc479184132"/>
      <w:bookmarkStart w:id="177" w:name="_Toc19061"/>
      <w:r>
        <w:rPr>
          <w:rFonts w:hint="eastAsia" w:asciiTheme="minorEastAsia" w:hAnsiTheme="minorEastAsia" w:eastAsiaTheme="minorEastAsia" w:cstheme="minorEastAsia"/>
          <w:b/>
          <w:bCs/>
          <w:szCs w:val="21"/>
        </w:rPr>
        <w:t>九、缴纳保证金的银行凭证</w:t>
      </w:r>
      <w:bookmarkEnd w:id="173"/>
      <w:bookmarkEnd w:id="174"/>
      <w:bookmarkEnd w:id="175"/>
      <w:bookmarkEnd w:id="176"/>
      <w:r>
        <w:rPr>
          <w:rFonts w:hint="eastAsia" w:asciiTheme="minorEastAsia" w:hAnsiTheme="minorEastAsia" w:eastAsiaTheme="minorEastAsia" w:cstheme="minorEastAsia"/>
          <w:b/>
          <w:bCs/>
          <w:szCs w:val="21"/>
        </w:rPr>
        <w:t>（如有）</w:t>
      </w:r>
      <w:bookmarkEnd w:id="177"/>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中经国际招标集团有限公司：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间：年月日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59"/>
    <w:bookmarkEnd w:id="160"/>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78" w:name="_Toc479184133"/>
      <w:bookmarkStart w:id="179" w:name="_Toc28200"/>
      <w:bookmarkStart w:id="180" w:name="_Toc422466736"/>
      <w:bookmarkStart w:id="181" w:name="_Toc432149012"/>
      <w:bookmarkStart w:id="182" w:name="_Toc1591"/>
      <w:bookmarkStart w:id="183" w:name="_Toc21818"/>
      <w:r>
        <w:rPr>
          <w:rFonts w:hint="eastAsia" w:asciiTheme="minorEastAsia" w:hAnsiTheme="minorEastAsia" w:eastAsiaTheme="minorEastAsia" w:cstheme="minorEastAsia"/>
          <w:b/>
          <w:bCs/>
          <w:szCs w:val="21"/>
        </w:rPr>
        <w:t>十、偏离说明表</w:t>
      </w:r>
      <w:bookmarkEnd w:id="178"/>
      <w:bookmarkEnd w:id="179"/>
      <w:bookmarkEnd w:id="180"/>
      <w:bookmarkEnd w:id="181"/>
      <w:bookmarkEnd w:id="182"/>
      <w:bookmarkEnd w:id="183"/>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2"/>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2"/>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br w:type="page"/>
      </w:r>
      <w:bookmarkStart w:id="184" w:name="_Toc28283"/>
      <w:bookmarkStart w:id="185" w:name="_Toc32060"/>
      <w:bookmarkStart w:id="186" w:name="_Toc362935521"/>
      <w:bookmarkStart w:id="187" w:name="_Toc479184134"/>
      <w:bookmarkStart w:id="188" w:name="_Toc432149013"/>
      <w:bookmarkStart w:id="189" w:name="_Toc10164"/>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184"/>
      <w:bookmarkEnd w:id="185"/>
      <w:bookmarkEnd w:id="186"/>
      <w:bookmarkEnd w:id="187"/>
      <w:bookmarkEnd w:id="188"/>
      <w:r>
        <w:rPr>
          <w:rFonts w:hint="eastAsia" w:asciiTheme="minorEastAsia" w:hAnsiTheme="minorEastAsia" w:eastAsiaTheme="minorEastAsia" w:cstheme="minorEastAsia"/>
          <w:b/>
          <w:bCs/>
          <w:szCs w:val="21"/>
        </w:rPr>
        <w:br w:type="textWrapping"/>
      </w:r>
      <w:bookmarkEnd w:id="189"/>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2.公开竞标成交的类似业绩，还应提供成交/中标公告网页链接。</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3.经查实存在虚假信息（服务单位联系人与实际不符或合同金额不符等）将被取消资格。</w:t>
      </w:r>
    </w:p>
    <w:p>
      <w:pPr>
        <w:spacing w:line="360" w:lineRule="auto"/>
        <w:rPr>
          <w:rFonts w:asciiTheme="minorEastAsia" w:hAnsiTheme="minorEastAsia" w:eastAsiaTheme="minorEastAsia" w:cstheme="minorEastAsia"/>
          <w:szCs w:val="21"/>
        </w:rPr>
      </w:pPr>
      <w:bookmarkStart w:id="190" w:name="_Toc460258118"/>
      <w:bookmarkStart w:id="191" w:name="_Toc454806053"/>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92" w:name="_Toc479184135"/>
      <w:bookmarkStart w:id="193" w:name="_Toc4834"/>
      <w:bookmarkStart w:id="194" w:name="_Toc30455"/>
      <w:bookmarkStart w:id="195" w:name="_Toc10652"/>
      <w:r>
        <w:rPr>
          <w:rFonts w:hint="eastAsia" w:asciiTheme="minorEastAsia" w:hAnsiTheme="minorEastAsia" w:eastAsiaTheme="minorEastAsia" w:cstheme="minorEastAsia"/>
          <w:b/>
          <w:bCs/>
          <w:szCs w:val="21"/>
        </w:rPr>
        <w:t>十二、拟投入项目组人员一览表</w:t>
      </w:r>
      <w:bookmarkEnd w:id="190"/>
      <w:bookmarkEnd w:id="191"/>
      <w:bookmarkEnd w:id="192"/>
      <w:bookmarkEnd w:id="193"/>
      <w:bookmarkEnd w:id="194"/>
      <w:bookmarkEnd w:id="195"/>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196" w:name="_Toc422466737"/>
      <w:bookmarkStart w:id="197" w:name="_Toc432149014"/>
      <w:bookmarkStart w:id="198" w:name="_Toc26838"/>
      <w:bookmarkStart w:id="199" w:name="_Toc479184136"/>
      <w:bookmarkStart w:id="200" w:name="_Toc722"/>
      <w:bookmarkStart w:id="201" w:name="_Toc10429"/>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196"/>
      <w:bookmarkEnd w:id="197"/>
      <w:bookmarkEnd w:id="198"/>
      <w:bookmarkEnd w:id="199"/>
      <w:bookmarkEnd w:id="200"/>
      <w:bookmarkEnd w:id="201"/>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 邮箱：</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 传真：</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   净值：</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02" w:name="_Toc479184137"/>
      <w:bookmarkStart w:id="203" w:name="_Toc17527"/>
      <w:bookmarkStart w:id="204" w:name="_Toc450827823"/>
      <w:bookmarkStart w:id="205" w:name="_Toc259028731"/>
      <w:bookmarkStart w:id="206" w:name="_Toc14741"/>
      <w:bookmarkStart w:id="207" w:name="_Toc17331"/>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202"/>
      <w:bookmarkEnd w:id="203"/>
      <w:bookmarkEnd w:id="204"/>
      <w:bookmarkEnd w:id="205"/>
      <w:bookmarkEnd w:id="206"/>
      <w:bookmarkEnd w:id="207"/>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bookmarkStart w:id="208" w:name="_Toc18555"/>
      <w:bookmarkStart w:id="209" w:name="_Toc5793"/>
      <w:bookmarkStart w:id="210" w:name="_Toc364868916"/>
      <w:bookmarkStart w:id="211" w:name="_Toc358447587"/>
      <w:bookmarkStart w:id="212" w:name="_Toc290207179"/>
      <w:bookmarkStart w:id="213" w:name="_Toc32187"/>
      <w:bookmarkStart w:id="214" w:name="_Toc427239751"/>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15" w:name="_Toc28810"/>
      <w:r>
        <w:rPr>
          <w:rFonts w:hint="eastAsia" w:asciiTheme="minorEastAsia" w:hAnsiTheme="minorEastAsia" w:eastAsiaTheme="minorEastAsia" w:cstheme="minorEastAsia"/>
          <w:b/>
          <w:bCs/>
          <w:kern w:val="0"/>
          <w:szCs w:val="21"/>
        </w:rPr>
        <w:t>十五、</w:t>
      </w:r>
      <w:bookmarkEnd w:id="208"/>
      <w:bookmarkEnd w:id="209"/>
      <w:bookmarkEnd w:id="210"/>
      <w:bookmarkEnd w:id="211"/>
      <w:bookmarkEnd w:id="212"/>
      <w:bookmarkEnd w:id="213"/>
      <w:bookmarkEnd w:id="214"/>
      <w:bookmarkStart w:id="216" w:name="_Toc460258123"/>
      <w:bookmarkStart w:id="217" w:name="_Toc29785"/>
      <w:bookmarkStart w:id="218" w:name="_Toc479184138"/>
      <w:bookmarkStart w:id="219" w:name="_Toc27229"/>
      <w:r>
        <w:rPr>
          <w:rFonts w:hint="eastAsia" w:asciiTheme="minorEastAsia" w:hAnsiTheme="minorEastAsia" w:eastAsiaTheme="minorEastAsia" w:cstheme="minorEastAsia"/>
          <w:b/>
          <w:bCs/>
          <w:kern w:val="0"/>
          <w:szCs w:val="21"/>
        </w:rPr>
        <w:t>报价技术文件</w:t>
      </w:r>
      <w:bookmarkEnd w:id="215"/>
      <w:bookmarkEnd w:id="216"/>
      <w:bookmarkEnd w:id="217"/>
      <w:bookmarkEnd w:id="218"/>
      <w:bookmarkEnd w:id="219"/>
    </w:p>
    <w:p>
      <w:pPr>
        <w:rPr>
          <w:rFonts w:asciiTheme="minorEastAsia" w:hAnsiTheme="minorEastAsia" w:eastAsiaTheme="minorEastAsia" w:cstheme="minorEastAsia"/>
          <w:szCs w:val="21"/>
        </w:rPr>
      </w:pPr>
    </w:p>
    <w:p>
      <w:pPr>
        <w:pStyle w:val="102"/>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3"/>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20" w:name="_Toc479184140"/>
      <w:bookmarkStart w:id="221" w:name="_Toc12119"/>
      <w:bookmarkStart w:id="222" w:name="_Toc8098"/>
      <w:bookmarkStart w:id="223" w:name="_Toc355802499"/>
      <w:bookmarkStart w:id="224" w:name="_Toc422466739"/>
      <w:bookmarkStart w:id="225" w:name="_Toc22465"/>
      <w:bookmarkStart w:id="226" w:name="_Toc2101"/>
      <w:bookmarkStart w:id="227" w:name="_Toc432149016"/>
      <w:bookmarkStart w:id="228" w:name="_Toc356836516"/>
      <w:bookmarkStart w:id="229" w:name="_Toc4767"/>
      <w:r>
        <w:rPr>
          <w:rFonts w:hint="eastAsia" w:asciiTheme="minorEastAsia" w:hAnsiTheme="minorEastAsia" w:eastAsiaTheme="minorEastAsia" w:cstheme="minorEastAsia"/>
          <w:b/>
        </w:rPr>
        <w:t>十六、</w:t>
      </w:r>
      <w:bookmarkEnd w:id="220"/>
      <w:bookmarkEnd w:id="221"/>
      <w:bookmarkEnd w:id="222"/>
      <w:bookmarkEnd w:id="223"/>
      <w:bookmarkEnd w:id="224"/>
      <w:bookmarkEnd w:id="225"/>
      <w:bookmarkEnd w:id="226"/>
      <w:bookmarkEnd w:id="227"/>
      <w:bookmarkEnd w:id="228"/>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9"/>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ascii="宋体" w:hAnsi="宋体" w:cs="宋体"/>
          <w:szCs w:val="21"/>
          <w:u w:val="single"/>
        </w:rPr>
        <w:t>（单位名称）</w:t>
      </w:r>
      <w:r>
        <w:rPr>
          <w:rFonts w:ascii="宋体" w:hAnsi="宋体" w:cs="宋体"/>
          <w:szCs w:val="21"/>
        </w:rPr>
        <w:t>的</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rPr>
          <w:rFonts w:ascii="宋体" w:hAnsi="宋体" w:cs="宋体"/>
          <w:szCs w:val="21"/>
        </w:rPr>
        <w:br w:type="textWrapping"/>
      </w:r>
      <w:r>
        <w:rPr>
          <w:rFonts w:ascii="宋体" w:hAnsi="宋体" w:cs="宋体"/>
          <w:szCs w:val="21"/>
        </w:rPr>
        <w:t xml:space="preserve">1. </w:t>
      </w:r>
      <w:r>
        <w:rPr>
          <w:rFonts w:ascii="宋体" w:hAnsi="宋体" w:cs="宋体"/>
          <w:szCs w:val="21"/>
          <w:u w:val="single"/>
        </w:rPr>
        <w:t>（</w:t>
      </w:r>
      <w:r>
        <w:rPr>
          <w:rFonts w:hint="eastAsia" w:ascii="宋体" w:hAnsi="宋体" w:cs="宋体"/>
          <w:color w:val="2A20DC"/>
          <w:szCs w:val="21"/>
          <w:u w:val="single"/>
        </w:rPr>
        <w:t>摆</w:t>
      </w:r>
      <w:r>
        <w:rPr>
          <w:rFonts w:hint="eastAsia" w:ascii="宋体" w:hAnsi="宋体" w:cs="宋体"/>
          <w:color w:val="2A20DC"/>
          <w:szCs w:val="21"/>
          <w:u w:val="single"/>
          <w:lang w:val="zh-CN"/>
        </w:rPr>
        <w:t>闸速通</w:t>
      </w:r>
      <w:r>
        <w:rPr>
          <w:rFonts w:hint="eastAsia" w:ascii="宋体" w:hAnsi="宋体" w:cs="宋体"/>
          <w:color w:val="2A20DC"/>
          <w:szCs w:val="21"/>
          <w:u w:val="single"/>
        </w:rPr>
        <w:t>闸</w:t>
      </w:r>
      <w:r>
        <w:rPr>
          <w:rFonts w:hint="eastAsia" w:ascii="宋体" w:hAnsi="宋体" w:cs="宋体"/>
          <w:color w:val="2A20DC"/>
          <w:szCs w:val="21"/>
          <w:u w:val="single"/>
          <w:lang w:val="zh-CN"/>
        </w:rPr>
        <w:t>（室内型）</w:t>
      </w:r>
      <w:r>
        <w:rPr>
          <w:rFonts w:hint="eastAsia" w:ascii="宋体" w:hAnsi="宋体" w:cs="宋体"/>
          <w:color w:val="2A20DC"/>
          <w:szCs w:val="21"/>
          <w:u w:val="single"/>
        </w:rPr>
        <w:t>单机芯</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 xml:space="preserve"> 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br w:type="textWrapping"/>
      </w:r>
      <w:r>
        <w:rPr>
          <w:rFonts w:ascii="宋体" w:hAnsi="宋体" w:cs="宋体"/>
          <w:szCs w:val="21"/>
        </w:rPr>
        <w:t xml:space="preserve">2. </w:t>
      </w:r>
      <w:r>
        <w:rPr>
          <w:rFonts w:ascii="宋体" w:hAnsi="宋体" w:cs="宋体"/>
          <w:szCs w:val="21"/>
          <w:u w:val="single"/>
        </w:rPr>
        <w:t>（</w:t>
      </w:r>
      <w:r>
        <w:rPr>
          <w:rFonts w:hint="eastAsia" w:ascii="宋体" w:hAnsi="宋体" w:cs="宋体"/>
          <w:color w:val="2A20DC"/>
          <w:szCs w:val="21"/>
          <w:u w:val="single"/>
          <w:lang w:val="zh-CN"/>
        </w:rPr>
        <w:t>摆闸速通</w:t>
      </w:r>
      <w:r>
        <w:rPr>
          <w:rFonts w:hint="eastAsia" w:ascii="宋体" w:hAnsi="宋体" w:cs="宋体"/>
          <w:color w:val="2A20DC"/>
          <w:szCs w:val="21"/>
          <w:u w:val="single"/>
        </w:rPr>
        <w:t>闸</w:t>
      </w:r>
      <w:r>
        <w:rPr>
          <w:rFonts w:hint="eastAsia" w:ascii="宋体" w:hAnsi="宋体" w:cs="宋体"/>
          <w:color w:val="2A20DC"/>
          <w:szCs w:val="21"/>
          <w:u w:val="single"/>
          <w:lang w:val="zh-CN"/>
        </w:rPr>
        <w:t>（室内型）</w:t>
      </w:r>
      <w:r>
        <w:rPr>
          <w:rFonts w:hint="eastAsia" w:ascii="宋体" w:hAnsi="宋体" w:cs="宋体"/>
          <w:color w:val="2A20DC"/>
          <w:szCs w:val="21"/>
          <w:u w:val="single"/>
        </w:rPr>
        <w:t>双机芯</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lang w:val="en-US" w:eastAsia="zh-CN"/>
        </w:rPr>
        <w:t>3</w:t>
      </w:r>
      <w:r>
        <w:rPr>
          <w:rFonts w:ascii="宋体" w:hAnsi="宋体" w:cs="宋体"/>
          <w:szCs w:val="21"/>
        </w:rPr>
        <w:t xml:space="preserve">. </w:t>
      </w:r>
      <w:r>
        <w:rPr>
          <w:rFonts w:ascii="宋体" w:hAnsi="宋体" w:cs="宋体"/>
          <w:szCs w:val="21"/>
          <w:u w:val="single"/>
        </w:rPr>
        <w:t>（</w:t>
      </w:r>
      <w:r>
        <w:rPr>
          <w:rFonts w:hint="eastAsia" w:ascii="宋体" w:hAnsi="宋体" w:cs="宋体"/>
          <w:color w:val="2A20DC"/>
          <w:szCs w:val="21"/>
          <w:u w:val="single"/>
          <w:lang w:val="zh-CN"/>
        </w:rPr>
        <w:t>人脸识别一体机</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 xml:space="preserve"> 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br w:type="textWrapping"/>
      </w:r>
      <w:r>
        <w:rPr>
          <w:rFonts w:hint="eastAsia" w:ascii="宋体" w:hAnsi="宋体" w:cs="宋体"/>
          <w:szCs w:val="21"/>
          <w:lang w:val="en-US" w:eastAsia="zh-CN"/>
        </w:rPr>
        <w:t>4</w:t>
      </w:r>
      <w:r>
        <w:rPr>
          <w:rFonts w:ascii="宋体" w:hAnsi="宋体" w:cs="宋体"/>
          <w:szCs w:val="21"/>
        </w:rPr>
        <w:t xml:space="preserve">. </w:t>
      </w:r>
      <w:r>
        <w:rPr>
          <w:rFonts w:ascii="宋体" w:hAnsi="宋体" w:cs="宋体"/>
          <w:szCs w:val="21"/>
          <w:u w:val="single"/>
        </w:rPr>
        <w:t>（</w:t>
      </w:r>
      <w:r>
        <w:rPr>
          <w:rFonts w:hint="eastAsia" w:ascii="宋体" w:hAnsi="宋体" w:cs="宋体"/>
          <w:color w:val="2A20DC"/>
          <w:szCs w:val="21"/>
          <w:u w:val="single"/>
          <w:lang w:val="zh-CN"/>
        </w:rPr>
        <w:t>测温模块（集成至人脸识别一体机）</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lang w:val="en-US" w:eastAsia="zh-CN"/>
        </w:rPr>
        <w:t>5</w:t>
      </w:r>
      <w:r>
        <w:rPr>
          <w:rFonts w:ascii="宋体" w:hAnsi="宋体" w:cs="宋体"/>
          <w:szCs w:val="21"/>
        </w:rPr>
        <w:t xml:space="preserve">. </w:t>
      </w:r>
      <w:r>
        <w:rPr>
          <w:rFonts w:ascii="宋体" w:hAnsi="宋体" w:cs="宋体"/>
          <w:szCs w:val="21"/>
          <w:u w:val="single"/>
        </w:rPr>
        <w:t>（</w:t>
      </w:r>
      <w:r>
        <w:rPr>
          <w:rFonts w:hint="eastAsia" w:ascii="宋体" w:hAnsi="宋体" w:cs="宋体"/>
          <w:color w:val="2A20DC"/>
          <w:szCs w:val="21"/>
          <w:u w:val="single"/>
          <w:lang w:val="zh-CN"/>
        </w:rPr>
        <w:t>综合平台门禁管理系统软件</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 xml:space="preserve"> 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br w:type="textWrapping"/>
      </w:r>
      <w:r>
        <w:rPr>
          <w:rFonts w:hint="eastAsia" w:ascii="宋体" w:hAnsi="宋体" w:cs="宋体"/>
          <w:szCs w:val="21"/>
          <w:lang w:val="en-US" w:eastAsia="zh-CN"/>
        </w:rPr>
        <w:t>6</w:t>
      </w:r>
      <w:r>
        <w:rPr>
          <w:rFonts w:ascii="宋体" w:hAnsi="宋体" w:cs="宋体"/>
          <w:szCs w:val="21"/>
        </w:rPr>
        <w:t xml:space="preserve">. </w:t>
      </w:r>
      <w:r>
        <w:rPr>
          <w:rFonts w:ascii="宋体" w:hAnsi="宋体" w:cs="宋体"/>
          <w:szCs w:val="21"/>
          <w:u w:val="single"/>
        </w:rPr>
        <w:t>（</w:t>
      </w:r>
      <w:r>
        <w:rPr>
          <w:rFonts w:hint="eastAsia" w:ascii="宋体" w:hAnsi="宋体" w:cs="宋体"/>
          <w:color w:val="2A20DC"/>
          <w:szCs w:val="21"/>
          <w:u w:val="single"/>
          <w:lang w:val="zh-CN"/>
        </w:rPr>
        <w:t>电源线、网线、配件、辅材</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lang w:val="en-US" w:eastAsia="zh-CN"/>
        </w:rPr>
        <w:t>7</w:t>
      </w:r>
      <w:r>
        <w:rPr>
          <w:rFonts w:ascii="宋体" w:hAnsi="宋体" w:cs="宋体"/>
          <w:szCs w:val="21"/>
        </w:rPr>
        <w:t xml:space="preserve">. </w:t>
      </w:r>
      <w:r>
        <w:rPr>
          <w:rFonts w:ascii="宋体" w:hAnsi="宋体" w:cs="宋体"/>
          <w:szCs w:val="21"/>
          <w:u w:val="single"/>
        </w:rPr>
        <w:t>（</w:t>
      </w:r>
      <w:r>
        <w:rPr>
          <w:rFonts w:hint="eastAsia" w:ascii="宋体" w:hAnsi="宋体" w:cs="宋体"/>
          <w:color w:val="2A20DC"/>
          <w:szCs w:val="21"/>
          <w:u w:val="single"/>
          <w:lang w:val="zh-CN"/>
        </w:rPr>
        <w:t>光纤模块</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 xml:space="preserve"> 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br w:type="textWrapping"/>
      </w:r>
      <w:r>
        <w:rPr>
          <w:rFonts w:hint="eastAsia" w:ascii="宋体" w:hAnsi="宋体" w:cs="宋体"/>
          <w:szCs w:val="21"/>
          <w:lang w:val="en-US" w:eastAsia="zh-CN"/>
        </w:rPr>
        <w:t>8</w:t>
      </w:r>
      <w:r>
        <w:rPr>
          <w:rFonts w:ascii="宋体" w:hAnsi="宋体" w:cs="宋体"/>
          <w:szCs w:val="21"/>
        </w:rPr>
        <w:t xml:space="preserve">. </w:t>
      </w:r>
      <w:r>
        <w:rPr>
          <w:rFonts w:ascii="宋体" w:hAnsi="宋体" w:cs="宋体"/>
          <w:szCs w:val="21"/>
          <w:u w:val="single"/>
        </w:rPr>
        <w:t>（</w:t>
      </w:r>
      <w:r>
        <w:rPr>
          <w:rFonts w:hint="eastAsia" w:ascii="宋体" w:hAnsi="宋体" w:cs="宋体"/>
          <w:color w:val="2A20DC"/>
          <w:szCs w:val="21"/>
          <w:u w:val="single"/>
          <w:lang w:val="zh-CN"/>
        </w:rPr>
        <w:t>4U机柜</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ascii="宋体" w:hAnsi="宋体" w:cs="宋体"/>
          <w:szCs w:val="21"/>
        </w:rPr>
        <w:t xml:space="preserve">…… </w:t>
      </w:r>
      <w:r>
        <w:rPr>
          <w:rFonts w:ascii="宋体" w:hAnsi="宋体" w:cs="宋体"/>
          <w:szCs w:val="21"/>
        </w:rPr>
        <w:br w:type="textWrapping"/>
      </w:r>
      <w:r>
        <w:rPr>
          <w:rFonts w:ascii="宋体" w:hAnsi="宋体" w:cs="宋体"/>
          <w:szCs w:val="21"/>
        </w:rPr>
        <w:t xml:space="preserve">以上企业，不属于大企业的分支机构，不存在控股股东为大企业的情形，也不存在与大企业的负责人为同一人的情形。 </w:t>
      </w:r>
      <w:r>
        <w:rPr>
          <w:rFonts w:ascii="宋体" w:hAnsi="宋体" w:cs="宋体"/>
          <w:szCs w:val="21"/>
        </w:rPr>
        <w:br w:type="textWrapping"/>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p>
    <w:p>
      <w:pPr>
        <w:spacing w:line="360" w:lineRule="auto"/>
        <w:ind w:firstLine="444"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r>
        <w:rPr>
          <w:rFonts w:hint="eastAsia" w:asciiTheme="minorEastAsia" w:hAnsiTheme="minorEastAsia" w:eastAsiaTheme="minorEastAsia" w:cstheme="minorEastAsia"/>
          <w:szCs w:val="21"/>
        </w:rPr>
        <w:br w:type="textWrapping"/>
      </w:r>
    </w:p>
    <w:bookmarkEnd w:id="130"/>
    <w:bookmarkEnd w:id="131"/>
    <w:bookmarkEnd w:id="132"/>
    <w:bookmarkEnd w:id="133"/>
    <w:p>
      <w:pPr>
        <w:rPr>
          <w:rFonts w:hint="eastAsia" w:asciiTheme="minorEastAsia" w:hAnsiTheme="minorEastAsia" w:eastAsiaTheme="minorEastAsia" w:cstheme="minorEastAsia"/>
          <w:b/>
          <w:bCs/>
          <w:spacing w:val="6"/>
          <w:szCs w:val="21"/>
        </w:rPr>
      </w:pPr>
      <w:bookmarkStart w:id="230" w:name="_Toc3443"/>
      <w:bookmarkStart w:id="231" w:name="_Toc476839034"/>
      <w:bookmarkStart w:id="232" w:name="_Toc4320"/>
      <w:bookmarkStart w:id="233" w:name="_Toc479184141"/>
      <w:bookmarkStart w:id="234" w:name="_Toc7229"/>
      <w:bookmarkStart w:id="235" w:name="_Toc30406"/>
      <w:r>
        <w:rPr>
          <w:rFonts w:hint="eastAsia" w:asciiTheme="minorEastAsia" w:hAnsiTheme="minorEastAsia" w:eastAsiaTheme="minorEastAsia" w:cstheme="minorEastAsia"/>
          <w:b/>
          <w:bCs/>
          <w:spacing w:val="6"/>
          <w:szCs w:val="21"/>
        </w:rPr>
        <w:br w:type="page"/>
      </w:r>
    </w:p>
    <w:p>
      <w:pPr>
        <w:adjustRightInd w:val="0"/>
        <w:snapToGrid w:val="0"/>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0"/>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p>
    <w:p>
      <w:pPr>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
      <w:pPr>
        <w:adjustRightInd w:val="0"/>
        <w:snapToGrid w:val="0"/>
        <w:jc w:val="center"/>
        <w:outlineLvl w:val="1"/>
        <w:rPr>
          <w:rFonts w:asciiTheme="minorEastAsia" w:hAnsiTheme="minorEastAsia" w:eastAsiaTheme="minorEastAsia" w:cstheme="minorEastAsia"/>
          <w:b/>
          <w:lang w:val="zh-CN"/>
        </w:rPr>
      </w:pPr>
      <w:bookmarkStart w:id="236" w:name="_Toc6130"/>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6"/>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4"/>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4"/>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4"/>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4"/>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37" w:name="_Toc27893"/>
      <w:r>
        <w:rPr>
          <w:rFonts w:hint="eastAsia" w:asciiTheme="minorEastAsia" w:hAnsiTheme="minorEastAsia" w:eastAsiaTheme="minorEastAsia" w:cstheme="minorEastAsia"/>
          <w:b/>
        </w:rPr>
        <w:t>十九、节能环保产品证明材料（若符合）</w:t>
      </w:r>
      <w:bookmarkEnd w:id="237"/>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p>
    <w:p>
      <w:pPr>
        <w:spacing w:before="100" w:beforeAutospacing="1" w:after="100" w:afterAutospacing="1"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rPr>
      </w:pPr>
      <w:bookmarkStart w:id="238" w:name="_Toc8218"/>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31"/>
      <w:bookmarkEnd w:id="232"/>
      <w:bookmarkEnd w:id="233"/>
      <w:bookmarkEnd w:id="234"/>
      <w:bookmarkEnd w:id="235"/>
      <w:bookmarkEnd w:id="238"/>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kern w:val="0"/>
          <w:szCs w:val="21"/>
          <w:shd w:val="clear" w:color="auto" w:fill="FFFFFF"/>
        </w:rPr>
        <w:br w:type="textWrapping"/>
      </w:r>
    </w:p>
    <w:p>
      <w:pPr>
        <w:jc w:val="center"/>
        <w:outlineLvl w:val="1"/>
        <w:rPr>
          <w:rFonts w:asciiTheme="minorEastAsia" w:hAnsiTheme="minorEastAsia" w:eastAsiaTheme="minorEastAsia" w:cstheme="minorEastAsia"/>
          <w:spacing w:val="6"/>
          <w:szCs w:val="21"/>
        </w:rPr>
      </w:pPr>
      <w:bookmarkStart w:id="239" w:name="_Toc10829"/>
      <w:bookmarkStart w:id="240" w:name="_Toc268"/>
      <w:r>
        <w:rPr>
          <w:rFonts w:hint="eastAsia" w:asciiTheme="minorEastAsia" w:hAnsiTheme="minorEastAsia" w:eastAsiaTheme="minorEastAsia" w:cstheme="minorEastAsia"/>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239"/>
      <w:r>
        <w:rPr>
          <w:rFonts w:hint="eastAsia" w:asciiTheme="minorEastAsia" w:hAnsiTheme="minorEastAsia" w:eastAsiaTheme="minorEastAsia" w:cstheme="minorEastAsia"/>
          <w:b/>
          <w:bCs/>
          <w:kern w:val="0"/>
          <w:szCs w:val="21"/>
          <w:shd w:val="clear" w:color="auto" w:fill="FFFFFF"/>
        </w:rPr>
        <w:br w:type="textWrapping"/>
      </w:r>
      <w:bookmarkEnd w:id="240"/>
    </w:p>
    <w:tbl>
      <w:tblPr>
        <w:tblStyle w:val="26"/>
        <w:tblW w:w="5484" w:type="pct"/>
        <w:tblInd w:w="-466" w:type="dxa"/>
        <w:tblLayout w:type="fixed"/>
        <w:tblCellMar>
          <w:top w:w="0" w:type="dxa"/>
          <w:left w:w="0" w:type="dxa"/>
          <w:bottom w:w="0" w:type="dxa"/>
          <w:right w:w="0" w:type="dxa"/>
        </w:tblCellMar>
      </w:tblPr>
      <w:tblGrid>
        <w:gridCol w:w="1163"/>
        <w:gridCol w:w="662"/>
        <w:gridCol w:w="760"/>
        <w:gridCol w:w="819"/>
        <w:gridCol w:w="665"/>
        <w:gridCol w:w="783"/>
        <w:gridCol w:w="783"/>
        <w:gridCol w:w="657"/>
        <w:gridCol w:w="767"/>
        <w:gridCol w:w="747"/>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sz w:val="40"/>
                <w:szCs w:val="40"/>
              </w:rPr>
            </w:pPr>
            <w:r>
              <w:rPr>
                <w:rFonts w:hint="eastAsia" w:ascii="黑体" w:hAnsi="宋体" w:eastAsia="黑体" w:cs="黑体"/>
                <w:b/>
                <w:kern w:val="0"/>
                <w:sz w:val="40"/>
                <w:szCs w:val="40"/>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中小微型企业（</w:t>
            </w:r>
            <w:r>
              <w:rPr>
                <w:rFonts w:hint="eastAsia" w:ascii="宋体" w:hAnsi="宋体" w:cs="宋体"/>
                <w:b/>
                <w:kern w:val="0"/>
                <w:szCs w:val="21"/>
              </w:rPr>
              <w:t>或</w:t>
            </w:r>
            <w:r>
              <w:rPr>
                <w:rFonts w:hint="eastAsia" w:ascii="宋体" w:hAnsi="宋体" w:cs="宋体"/>
                <w:kern w:val="0"/>
                <w:szCs w:val="21"/>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中型企业（</w:t>
            </w:r>
            <w:r>
              <w:rPr>
                <w:rFonts w:hint="eastAsia" w:ascii="宋体" w:hAnsi="宋体" w:cs="宋体"/>
                <w:b/>
                <w:kern w:val="0"/>
                <w:szCs w:val="21"/>
              </w:rPr>
              <w:t>且</w:t>
            </w:r>
            <w:r>
              <w:rPr>
                <w:rFonts w:hint="eastAsia" w:ascii="宋体" w:hAnsi="宋体" w:cs="宋体"/>
                <w:kern w:val="0"/>
                <w:szCs w:val="21"/>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小型企业（</w:t>
            </w:r>
            <w:r>
              <w:rPr>
                <w:rFonts w:hint="eastAsia" w:ascii="宋体" w:hAnsi="宋体" w:cs="宋体"/>
                <w:b/>
                <w:kern w:val="0"/>
                <w:szCs w:val="21"/>
              </w:rPr>
              <w:t>且</w:t>
            </w:r>
            <w:r>
              <w:rPr>
                <w:rFonts w:hint="eastAsia" w:ascii="宋体" w:hAnsi="宋体" w:cs="宋体"/>
                <w:kern w:val="0"/>
                <w:szCs w:val="21"/>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微型企业（</w:t>
            </w:r>
            <w:r>
              <w:rPr>
                <w:rFonts w:hint="eastAsia" w:ascii="宋体" w:hAnsi="宋体" w:cs="宋体"/>
                <w:b/>
                <w:kern w:val="0"/>
                <w:szCs w:val="21"/>
              </w:rPr>
              <w:t>或</w:t>
            </w:r>
            <w:r>
              <w:rPr>
                <w:rFonts w:hint="eastAsia" w:ascii="宋体" w:hAnsi="宋体" w:cs="宋体"/>
                <w:kern w:val="0"/>
                <w:szCs w:val="21"/>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rPr>
              <w:t>本规定适用于在中华人民共和国境内依法设立的各类所有制和各种组织形式的企业。</w:t>
            </w:r>
            <w:r>
              <w:rPr>
                <w:rFonts w:hint="eastAsia" w:ascii="宋体" w:hAnsi="宋体" w:cs="宋体"/>
                <w:b/>
                <w:kern w:val="0"/>
                <w:szCs w:val="21"/>
              </w:rPr>
              <w:t>个体工商户</w:t>
            </w:r>
            <w:r>
              <w:rPr>
                <w:rFonts w:hint="eastAsia" w:ascii="宋体" w:hAnsi="宋体" w:cs="宋体"/>
                <w:kern w:val="0"/>
                <w:szCs w:val="21"/>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000000"/>
                <w:szCs w:val="21"/>
              </w:rPr>
            </w:pPr>
            <w:r>
              <w:rPr>
                <w:rFonts w:hint="eastAsia" w:ascii="宋体" w:hAnsi="宋体" w:cs="宋体"/>
                <w:color w:val="000000"/>
                <w:kern w:val="0"/>
                <w:szCs w:val="21"/>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0000000000000000000"/>
    <w:charset w:val="86"/>
    <w:family w:val="auto"/>
    <w:pitch w:val="default"/>
    <w:sig w:usb0="00000000" w:usb1="00000000" w:usb2="00000010" w:usb3="00000000" w:csb0="0004009F" w:csb1="0000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29" w:usb3="00000000" w:csb0="000101FF" w:csb1="00000000"/>
  </w:font>
  <w:font w:name="Microsoft Sans Serif">
    <w:panose1 w:val="020B0604020202020204"/>
    <w:charset w:val="00"/>
    <w:family w:val="auto"/>
    <w:pitch w:val="default"/>
    <w:sig w:usb0="E1002AFF" w:usb1="C0000002" w:usb2="00000008"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rPr>
        <w:lang w:val="zh-CN"/>
      </w:rPr>
      <w:t>37</w:t>
    </w:r>
    <w:r>
      <w:rPr>
        <w:lang w:val="zh-CN"/>
      </w:rP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7216;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32F347E"/>
    <w:multiLevelType w:val="singleLevel"/>
    <w:tmpl w:val="032F347E"/>
    <w:lvl w:ilvl="0" w:tentative="0">
      <w:start w:val="1"/>
      <w:numFmt w:val="decimal"/>
      <w:lvlText w:val="%1."/>
      <w:lvlJc w:val="left"/>
      <w:pPr>
        <w:tabs>
          <w:tab w:val="left" w:pos="312"/>
        </w:tabs>
      </w:pPr>
    </w:lvl>
  </w:abstractNum>
  <w:abstractNum w:abstractNumId="3">
    <w:nsid w:val="044F5BAD"/>
    <w:multiLevelType w:val="singleLevel"/>
    <w:tmpl w:val="044F5BAD"/>
    <w:lvl w:ilvl="0" w:tentative="0">
      <w:start w:val="1"/>
      <w:numFmt w:val="decimal"/>
      <w:suff w:val="nothing"/>
      <w:lvlText w:val="（%1）"/>
      <w:lvlJc w:val="left"/>
    </w:lvl>
  </w:abstractNum>
  <w:abstractNum w:abstractNumId="4">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7">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9">
    <w:nsid w:val="15907297"/>
    <w:multiLevelType w:val="multilevel"/>
    <w:tmpl w:val="15907297"/>
    <w:lvl w:ilvl="0" w:tentative="0">
      <w:start w:val="1"/>
      <w:numFmt w:val="decimal"/>
      <w:pStyle w:val="84"/>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6"/>
      <w:lvlText w:val="%1.%2.%3"/>
      <w:lvlJc w:val="left"/>
      <w:pPr>
        <w:tabs>
          <w:tab w:val="left" w:pos="720"/>
        </w:tabs>
        <w:ind w:left="720" w:hanging="153"/>
      </w:pPr>
      <w:rPr>
        <w:rFonts w:hint="eastAsia"/>
      </w:rPr>
    </w:lvl>
    <w:lvl w:ilvl="3" w:tentative="0">
      <w:start w:val="1"/>
      <w:numFmt w:val="decimal"/>
      <w:pStyle w:val="83"/>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0">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1">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1BF1AAB1"/>
    <w:multiLevelType w:val="singleLevel"/>
    <w:tmpl w:val="1BF1AAB1"/>
    <w:lvl w:ilvl="0" w:tentative="0">
      <w:start w:val="1"/>
      <w:numFmt w:val="decimal"/>
      <w:lvlText w:val="%1."/>
      <w:lvlJc w:val="left"/>
      <w:pPr>
        <w:ind w:left="425" w:hanging="425"/>
      </w:pPr>
      <w:rPr>
        <w:rFonts w:hint="default"/>
      </w:rPr>
    </w:lvl>
  </w:abstractNum>
  <w:abstractNum w:abstractNumId="14">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5">
    <w:nsid w:val="20BA2AF0"/>
    <w:multiLevelType w:val="singleLevel"/>
    <w:tmpl w:val="20BA2AF0"/>
    <w:lvl w:ilvl="0" w:tentative="0">
      <w:start w:val="1"/>
      <w:numFmt w:val="decimal"/>
      <w:suff w:val="space"/>
      <w:lvlText w:val="%1）"/>
      <w:lvlJc w:val="left"/>
    </w:lvl>
  </w:abstractNum>
  <w:abstractNum w:abstractNumId="16">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7">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8">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90"/>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9">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0">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1">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2">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3">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4">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5">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6">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7">
    <w:nsid w:val="4B331C36"/>
    <w:multiLevelType w:val="multilevel"/>
    <w:tmpl w:val="4B331C36"/>
    <w:lvl w:ilvl="0" w:tentative="0">
      <w:start w:val="1"/>
      <w:numFmt w:val="japaneseCounting"/>
      <w:pStyle w:val="95"/>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9">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0">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31">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3">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4">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5">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6">
    <w:nsid w:val="6CEA2025"/>
    <w:multiLevelType w:val="multilevel"/>
    <w:tmpl w:val="6CEA2025"/>
    <w:lvl w:ilvl="0" w:tentative="0">
      <w:start w:val="1"/>
      <w:numFmt w:val="none"/>
      <w:pStyle w:val="72"/>
      <w:suff w:val="nothing"/>
      <w:lvlText w:val="%1"/>
      <w:lvlJc w:val="left"/>
      <w:pPr>
        <w:ind w:left="0" w:firstLine="0"/>
      </w:pPr>
      <w:rPr>
        <w:rFonts w:hint="default" w:ascii="Times New Roman" w:hAnsi="Times New Roman"/>
        <w:b/>
        <w:i w:val="0"/>
        <w:sz w:val="21"/>
      </w:rPr>
    </w:lvl>
    <w:lvl w:ilvl="1" w:tentative="0">
      <w:start w:val="1"/>
      <w:numFmt w:val="decimal"/>
      <w:pStyle w:val="75"/>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81"/>
      <w:suff w:val="nothing"/>
      <w:lvlText w:val="%1%2.%3　"/>
      <w:lvlJc w:val="left"/>
      <w:pPr>
        <w:ind w:left="720" w:firstLine="0"/>
      </w:pPr>
      <w:rPr>
        <w:rFonts w:hint="eastAsia" w:ascii="黑体" w:hAnsi="Times New Roman" w:eastAsia="黑体"/>
        <w:b w:val="0"/>
        <w:i w:val="0"/>
        <w:sz w:val="21"/>
      </w:rPr>
    </w:lvl>
    <w:lvl w:ilvl="3" w:tentative="0">
      <w:start w:val="1"/>
      <w:numFmt w:val="decimal"/>
      <w:pStyle w:val="80"/>
      <w:suff w:val="nothing"/>
      <w:lvlText w:val="%1%2.4.%4　"/>
      <w:lvlJc w:val="left"/>
      <w:pPr>
        <w:ind w:left="420" w:firstLine="0"/>
      </w:pPr>
      <w:rPr>
        <w:rFonts w:hint="eastAsia" w:ascii="黑体" w:hAnsi="Times New Roman" w:eastAsia="黑体"/>
        <w:b w:val="0"/>
        <w:i w:val="0"/>
        <w:sz w:val="21"/>
      </w:rPr>
    </w:lvl>
    <w:lvl w:ilvl="4" w:tentative="0">
      <w:start w:val="1"/>
      <w:numFmt w:val="decimal"/>
      <w:pStyle w:val="87"/>
      <w:suff w:val="nothing"/>
      <w:lvlText w:val="5.%12.5.%5　"/>
      <w:lvlJc w:val="left"/>
      <w:pPr>
        <w:ind w:left="420" w:firstLine="0"/>
      </w:pPr>
      <w:rPr>
        <w:rFonts w:hint="eastAsia" w:ascii="黑体" w:hAnsi="Times New Roman" w:eastAsia="黑体"/>
        <w:b w:val="0"/>
        <w:i w:val="0"/>
        <w:sz w:val="21"/>
      </w:rPr>
    </w:lvl>
    <w:lvl w:ilvl="5" w:tentative="0">
      <w:start w:val="1"/>
      <w:numFmt w:val="decimal"/>
      <w:pStyle w:val="93"/>
      <w:suff w:val="nothing"/>
      <w:lvlText w:val="%1%2.%3.%4.%5.%6　"/>
      <w:lvlJc w:val="left"/>
      <w:pPr>
        <w:ind w:left="0" w:firstLine="0"/>
      </w:pPr>
      <w:rPr>
        <w:rFonts w:hint="eastAsia" w:ascii="黑体" w:hAnsi="Times New Roman" w:eastAsia="黑体"/>
        <w:b w:val="0"/>
        <w:i w:val="0"/>
        <w:sz w:val="21"/>
      </w:rPr>
    </w:lvl>
    <w:lvl w:ilvl="6" w:tentative="0">
      <w:start w:val="1"/>
      <w:numFmt w:val="decimal"/>
      <w:pStyle w:val="9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7">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8">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9">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1">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2">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3">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6"/>
  </w:num>
  <w:num w:numId="2">
    <w:abstractNumId w:val="9"/>
  </w:num>
  <w:num w:numId="3">
    <w:abstractNumId w:val="18"/>
  </w:num>
  <w:num w:numId="4">
    <w:abstractNumId w:val="27"/>
  </w:num>
  <w:num w:numId="5">
    <w:abstractNumId w:val="12"/>
  </w:num>
  <w:num w:numId="6">
    <w:abstractNumId w:val="11"/>
  </w:num>
  <w:num w:numId="7">
    <w:abstractNumId w:val="7"/>
  </w:num>
  <w:num w:numId="8">
    <w:abstractNumId w:val="14"/>
  </w:num>
  <w:num w:numId="9">
    <w:abstractNumId w:val="32"/>
  </w:num>
  <w:num w:numId="10">
    <w:abstractNumId w:val="42"/>
  </w:num>
  <w:num w:numId="11">
    <w:abstractNumId w:val="43"/>
  </w:num>
  <w:num w:numId="12">
    <w:abstractNumId w:val="26"/>
  </w:num>
  <w:num w:numId="13">
    <w:abstractNumId w:val="29"/>
  </w:num>
  <w:num w:numId="14">
    <w:abstractNumId w:val="31"/>
  </w:num>
  <w:num w:numId="15">
    <w:abstractNumId w:val="33"/>
  </w:num>
  <w:num w:numId="16">
    <w:abstractNumId w:val="1"/>
  </w:num>
  <w:num w:numId="17">
    <w:abstractNumId w:val="35"/>
  </w:num>
  <w:num w:numId="18">
    <w:abstractNumId w:val="4"/>
  </w:num>
  <w:num w:numId="19">
    <w:abstractNumId w:val="24"/>
  </w:num>
  <w:num w:numId="20">
    <w:abstractNumId w:val="20"/>
  </w:num>
  <w:num w:numId="21">
    <w:abstractNumId w:val="38"/>
  </w:num>
  <w:num w:numId="22">
    <w:abstractNumId w:val="10"/>
  </w:num>
  <w:num w:numId="23">
    <w:abstractNumId w:val="25"/>
  </w:num>
  <w:num w:numId="24">
    <w:abstractNumId w:val="6"/>
  </w:num>
  <w:num w:numId="25">
    <w:abstractNumId w:val="37"/>
  </w:num>
  <w:num w:numId="26">
    <w:abstractNumId w:val="41"/>
  </w:num>
  <w:num w:numId="27">
    <w:abstractNumId w:val="28"/>
  </w:num>
  <w:num w:numId="28">
    <w:abstractNumId w:val="22"/>
  </w:num>
  <w:num w:numId="29">
    <w:abstractNumId w:val="8"/>
  </w:num>
  <w:num w:numId="30">
    <w:abstractNumId w:val="19"/>
  </w:num>
  <w:num w:numId="31">
    <w:abstractNumId w:val="40"/>
  </w:num>
  <w:num w:numId="32">
    <w:abstractNumId w:val="23"/>
  </w:num>
  <w:num w:numId="33">
    <w:abstractNumId w:val="15"/>
  </w:num>
  <w:num w:numId="34">
    <w:abstractNumId w:val="13"/>
  </w:num>
  <w:num w:numId="35">
    <w:abstractNumId w:val="2"/>
  </w:num>
  <w:num w:numId="36">
    <w:abstractNumId w:val="39"/>
  </w:num>
  <w:num w:numId="37">
    <w:abstractNumId w:val="34"/>
  </w:num>
  <w:num w:numId="38">
    <w:abstractNumId w:val="16"/>
  </w:num>
  <w:num w:numId="39">
    <w:abstractNumId w:val="30"/>
  </w:num>
  <w:num w:numId="40">
    <w:abstractNumId w:val="0"/>
  </w:num>
  <w:num w:numId="41">
    <w:abstractNumId w:val="17"/>
  </w:num>
  <w:num w:numId="42">
    <w:abstractNumId w:val="21"/>
  </w:num>
  <w:num w:numId="43">
    <w:abstractNumId w:val="5"/>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TE4N2M1ZTgyYTVmMTM3ZTYyMzBkOTkxNDIwNDViMWM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B7C"/>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0A7B"/>
    <w:rsid w:val="000A1233"/>
    <w:rsid w:val="000A20A7"/>
    <w:rsid w:val="000A3F65"/>
    <w:rsid w:val="000A50F6"/>
    <w:rsid w:val="000A54F4"/>
    <w:rsid w:val="000A6C98"/>
    <w:rsid w:val="000A7BB4"/>
    <w:rsid w:val="000B0404"/>
    <w:rsid w:val="000B0E4B"/>
    <w:rsid w:val="000B1147"/>
    <w:rsid w:val="000B1258"/>
    <w:rsid w:val="000B1404"/>
    <w:rsid w:val="000B25DE"/>
    <w:rsid w:val="000B27B8"/>
    <w:rsid w:val="000B3274"/>
    <w:rsid w:val="000B4D1A"/>
    <w:rsid w:val="000B6702"/>
    <w:rsid w:val="000C005A"/>
    <w:rsid w:val="000C114A"/>
    <w:rsid w:val="000C2471"/>
    <w:rsid w:val="000C2993"/>
    <w:rsid w:val="000C3488"/>
    <w:rsid w:val="000C3DA3"/>
    <w:rsid w:val="000C420C"/>
    <w:rsid w:val="000C6D16"/>
    <w:rsid w:val="000C7ACA"/>
    <w:rsid w:val="000D017D"/>
    <w:rsid w:val="000D0DD2"/>
    <w:rsid w:val="000D3FD9"/>
    <w:rsid w:val="000D51A3"/>
    <w:rsid w:val="000D680D"/>
    <w:rsid w:val="000D75EB"/>
    <w:rsid w:val="000E044D"/>
    <w:rsid w:val="000E1552"/>
    <w:rsid w:val="000E1D32"/>
    <w:rsid w:val="000E2E3B"/>
    <w:rsid w:val="000E4823"/>
    <w:rsid w:val="000F09C3"/>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49C7"/>
    <w:rsid w:val="00145432"/>
    <w:rsid w:val="001478B2"/>
    <w:rsid w:val="00150976"/>
    <w:rsid w:val="00150BBE"/>
    <w:rsid w:val="00150C35"/>
    <w:rsid w:val="00151409"/>
    <w:rsid w:val="00151CA6"/>
    <w:rsid w:val="00152ED9"/>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5D42"/>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0C1F"/>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2F71F9"/>
    <w:rsid w:val="00300A17"/>
    <w:rsid w:val="00300DE8"/>
    <w:rsid w:val="00301075"/>
    <w:rsid w:val="00303733"/>
    <w:rsid w:val="00304C84"/>
    <w:rsid w:val="00306010"/>
    <w:rsid w:val="00306DBB"/>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27A4"/>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088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B5ABE"/>
    <w:rsid w:val="006C0618"/>
    <w:rsid w:val="006C11E1"/>
    <w:rsid w:val="006C1B17"/>
    <w:rsid w:val="006C1FBB"/>
    <w:rsid w:val="006C5486"/>
    <w:rsid w:val="006C6067"/>
    <w:rsid w:val="006C667E"/>
    <w:rsid w:val="006D001D"/>
    <w:rsid w:val="006D04DA"/>
    <w:rsid w:val="006D171A"/>
    <w:rsid w:val="006D1ABC"/>
    <w:rsid w:val="006D46BF"/>
    <w:rsid w:val="006D4C38"/>
    <w:rsid w:val="006D65EF"/>
    <w:rsid w:val="006D7C32"/>
    <w:rsid w:val="006E08C5"/>
    <w:rsid w:val="006E0B77"/>
    <w:rsid w:val="006E2B1D"/>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53FF"/>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BD3"/>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6289"/>
    <w:rsid w:val="00827143"/>
    <w:rsid w:val="00827B66"/>
    <w:rsid w:val="00827F6B"/>
    <w:rsid w:val="00830F70"/>
    <w:rsid w:val="00832C0C"/>
    <w:rsid w:val="00832EEC"/>
    <w:rsid w:val="00833768"/>
    <w:rsid w:val="00833D7A"/>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33B5"/>
    <w:rsid w:val="00894B51"/>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364"/>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1CB9"/>
    <w:rsid w:val="009928DA"/>
    <w:rsid w:val="00992BB0"/>
    <w:rsid w:val="009938D0"/>
    <w:rsid w:val="00995CC4"/>
    <w:rsid w:val="0099610A"/>
    <w:rsid w:val="00996BC0"/>
    <w:rsid w:val="009A0565"/>
    <w:rsid w:val="009A15EA"/>
    <w:rsid w:val="009A27C5"/>
    <w:rsid w:val="009A3164"/>
    <w:rsid w:val="009A4BE1"/>
    <w:rsid w:val="009A768D"/>
    <w:rsid w:val="009A7B8A"/>
    <w:rsid w:val="009A7F27"/>
    <w:rsid w:val="009B1812"/>
    <w:rsid w:val="009B1C94"/>
    <w:rsid w:val="009B354A"/>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A05"/>
    <w:rsid w:val="00A41BC5"/>
    <w:rsid w:val="00A42929"/>
    <w:rsid w:val="00A43083"/>
    <w:rsid w:val="00A442B8"/>
    <w:rsid w:val="00A468C1"/>
    <w:rsid w:val="00A47FB8"/>
    <w:rsid w:val="00A47FE4"/>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6072"/>
    <w:rsid w:val="00AC0904"/>
    <w:rsid w:val="00AC28BC"/>
    <w:rsid w:val="00AC2FB0"/>
    <w:rsid w:val="00AC40BD"/>
    <w:rsid w:val="00AC48C4"/>
    <w:rsid w:val="00AC5864"/>
    <w:rsid w:val="00AC5D4F"/>
    <w:rsid w:val="00AC715E"/>
    <w:rsid w:val="00AD0673"/>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5F9"/>
    <w:rsid w:val="00C67B1C"/>
    <w:rsid w:val="00C70B7D"/>
    <w:rsid w:val="00C71F13"/>
    <w:rsid w:val="00C74990"/>
    <w:rsid w:val="00C755C2"/>
    <w:rsid w:val="00C756CA"/>
    <w:rsid w:val="00C76323"/>
    <w:rsid w:val="00C7768B"/>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23BB"/>
    <w:rsid w:val="00EA6092"/>
    <w:rsid w:val="00EA7517"/>
    <w:rsid w:val="00EA7BC9"/>
    <w:rsid w:val="00EB103B"/>
    <w:rsid w:val="00EB287E"/>
    <w:rsid w:val="00EB553B"/>
    <w:rsid w:val="00EB5BFE"/>
    <w:rsid w:val="00EB7491"/>
    <w:rsid w:val="00EC0F99"/>
    <w:rsid w:val="00EC25B9"/>
    <w:rsid w:val="00EC4122"/>
    <w:rsid w:val="00EC61CE"/>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32BF"/>
    <w:rsid w:val="00FA5904"/>
    <w:rsid w:val="00FA618E"/>
    <w:rsid w:val="00FA6954"/>
    <w:rsid w:val="00FB101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61ACD"/>
    <w:rsid w:val="01675BA9"/>
    <w:rsid w:val="01757860"/>
    <w:rsid w:val="018D0205"/>
    <w:rsid w:val="01C12A88"/>
    <w:rsid w:val="01CC76EC"/>
    <w:rsid w:val="01D07706"/>
    <w:rsid w:val="0221271C"/>
    <w:rsid w:val="022D649C"/>
    <w:rsid w:val="02351774"/>
    <w:rsid w:val="023A6ECB"/>
    <w:rsid w:val="02420646"/>
    <w:rsid w:val="028223A8"/>
    <w:rsid w:val="02A9706C"/>
    <w:rsid w:val="02AF6599"/>
    <w:rsid w:val="02DE374B"/>
    <w:rsid w:val="03044359"/>
    <w:rsid w:val="03173665"/>
    <w:rsid w:val="031C67BA"/>
    <w:rsid w:val="03442A09"/>
    <w:rsid w:val="03492D3A"/>
    <w:rsid w:val="03511571"/>
    <w:rsid w:val="035E37BC"/>
    <w:rsid w:val="03715197"/>
    <w:rsid w:val="03824212"/>
    <w:rsid w:val="03A25185"/>
    <w:rsid w:val="03A92E0C"/>
    <w:rsid w:val="03A93F07"/>
    <w:rsid w:val="03DD17F0"/>
    <w:rsid w:val="03F730D5"/>
    <w:rsid w:val="040E2332"/>
    <w:rsid w:val="040E4213"/>
    <w:rsid w:val="040F4D38"/>
    <w:rsid w:val="04137380"/>
    <w:rsid w:val="04160294"/>
    <w:rsid w:val="0421064D"/>
    <w:rsid w:val="0424709F"/>
    <w:rsid w:val="04273734"/>
    <w:rsid w:val="042C6AE4"/>
    <w:rsid w:val="0439748C"/>
    <w:rsid w:val="045F4428"/>
    <w:rsid w:val="04663DEE"/>
    <w:rsid w:val="048B6224"/>
    <w:rsid w:val="049C3EF3"/>
    <w:rsid w:val="04BC1BA0"/>
    <w:rsid w:val="04CC4566"/>
    <w:rsid w:val="04E52637"/>
    <w:rsid w:val="04FD23FC"/>
    <w:rsid w:val="05005426"/>
    <w:rsid w:val="055A38B5"/>
    <w:rsid w:val="056A185A"/>
    <w:rsid w:val="059C5F8E"/>
    <w:rsid w:val="05AD5736"/>
    <w:rsid w:val="05BB241B"/>
    <w:rsid w:val="05CA2818"/>
    <w:rsid w:val="05CF4780"/>
    <w:rsid w:val="05FA06DD"/>
    <w:rsid w:val="06023A8F"/>
    <w:rsid w:val="0611621E"/>
    <w:rsid w:val="063F258E"/>
    <w:rsid w:val="065044F8"/>
    <w:rsid w:val="0653482B"/>
    <w:rsid w:val="06663620"/>
    <w:rsid w:val="06934DBE"/>
    <w:rsid w:val="06B7286F"/>
    <w:rsid w:val="06BF75C9"/>
    <w:rsid w:val="06C116BD"/>
    <w:rsid w:val="06C767F8"/>
    <w:rsid w:val="06EA2FBD"/>
    <w:rsid w:val="06ED1770"/>
    <w:rsid w:val="06FE4AAE"/>
    <w:rsid w:val="070157D1"/>
    <w:rsid w:val="07117CDC"/>
    <w:rsid w:val="072A2DEB"/>
    <w:rsid w:val="07354BE2"/>
    <w:rsid w:val="073C402C"/>
    <w:rsid w:val="074F11C6"/>
    <w:rsid w:val="07506DDE"/>
    <w:rsid w:val="078360F1"/>
    <w:rsid w:val="079555F7"/>
    <w:rsid w:val="07AA21A6"/>
    <w:rsid w:val="07B323DD"/>
    <w:rsid w:val="07CB1191"/>
    <w:rsid w:val="07D33E7D"/>
    <w:rsid w:val="07DA2552"/>
    <w:rsid w:val="07E61182"/>
    <w:rsid w:val="07F876CF"/>
    <w:rsid w:val="07FA3FC0"/>
    <w:rsid w:val="081A4BB6"/>
    <w:rsid w:val="08376BE0"/>
    <w:rsid w:val="08424D1E"/>
    <w:rsid w:val="08483779"/>
    <w:rsid w:val="085D5FC0"/>
    <w:rsid w:val="0886626A"/>
    <w:rsid w:val="08912C45"/>
    <w:rsid w:val="08AD0CF8"/>
    <w:rsid w:val="08AD503B"/>
    <w:rsid w:val="08B604BF"/>
    <w:rsid w:val="08C76CFD"/>
    <w:rsid w:val="08E340CC"/>
    <w:rsid w:val="08E95B0E"/>
    <w:rsid w:val="090C54BE"/>
    <w:rsid w:val="090C7B69"/>
    <w:rsid w:val="09271627"/>
    <w:rsid w:val="092936B1"/>
    <w:rsid w:val="096A4BCE"/>
    <w:rsid w:val="09710521"/>
    <w:rsid w:val="097513F5"/>
    <w:rsid w:val="098226D8"/>
    <w:rsid w:val="09894939"/>
    <w:rsid w:val="09A02CD8"/>
    <w:rsid w:val="09D771B0"/>
    <w:rsid w:val="09DA500D"/>
    <w:rsid w:val="0A165448"/>
    <w:rsid w:val="0A3F61A5"/>
    <w:rsid w:val="0A502EA2"/>
    <w:rsid w:val="0A5758F7"/>
    <w:rsid w:val="0A67144A"/>
    <w:rsid w:val="0A71618F"/>
    <w:rsid w:val="0A7E1671"/>
    <w:rsid w:val="0AB610B3"/>
    <w:rsid w:val="0AC16F66"/>
    <w:rsid w:val="0AE86D78"/>
    <w:rsid w:val="0AEF5AEE"/>
    <w:rsid w:val="0B435CD5"/>
    <w:rsid w:val="0B456825"/>
    <w:rsid w:val="0B4B17AC"/>
    <w:rsid w:val="0B4C1B40"/>
    <w:rsid w:val="0B4F5787"/>
    <w:rsid w:val="0B625354"/>
    <w:rsid w:val="0B6438A9"/>
    <w:rsid w:val="0BB80799"/>
    <w:rsid w:val="0BC22757"/>
    <w:rsid w:val="0BD0342B"/>
    <w:rsid w:val="0BE3070D"/>
    <w:rsid w:val="0BE659E2"/>
    <w:rsid w:val="0BE9473D"/>
    <w:rsid w:val="0BE94FBA"/>
    <w:rsid w:val="0C367BBD"/>
    <w:rsid w:val="0C3C4113"/>
    <w:rsid w:val="0C4225D4"/>
    <w:rsid w:val="0C49239C"/>
    <w:rsid w:val="0C4E57C8"/>
    <w:rsid w:val="0C7336D0"/>
    <w:rsid w:val="0CC36F40"/>
    <w:rsid w:val="0CCE2CF7"/>
    <w:rsid w:val="0CE75800"/>
    <w:rsid w:val="0CF0134E"/>
    <w:rsid w:val="0CF02600"/>
    <w:rsid w:val="0D162766"/>
    <w:rsid w:val="0D30615A"/>
    <w:rsid w:val="0D4A590E"/>
    <w:rsid w:val="0D4C5E85"/>
    <w:rsid w:val="0D50445B"/>
    <w:rsid w:val="0D7807F1"/>
    <w:rsid w:val="0D895A46"/>
    <w:rsid w:val="0D9A6FA7"/>
    <w:rsid w:val="0D9B67EB"/>
    <w:rsid w:val="0DA45AD2"/>
    <w:rsid w:val="0DE86CEC"/>
    <w:rsid w:val="0E0541B5"/>
    <w:rsid w:val="0E057004"/>
    <w:rsid w:val="0E0A51BD"/>
    <w:rsid w:val="0E141CA7"/>
    <w:rsid w:val="0E1D6D0A"/>
    <w:rsid w:val="0E21730E"/>
    <w:rsid w:val="0E386D2E"/>
    <w:rsid w:val="0E3D1DE5"/>
    <w:rsid w:val="0E3F3BA6"/>
    <w:rsid w:val="0E442D5B"/>
    <w:rsid w:val="0E4E7B59"/>
    <w:rsid w:val="0E6E5960"/>
    <w:rsid w:val="0EAB7B80"/>
    <w:rsid w:val="0EAE4301"/>
    <w:rsid w:val="0ED27024"/>
    <w:rsid w:val="0ED94F19"/>
    <w:rsid w:val="0EDC5EDB"/>
    <w:rsid w:val="0F0A381F"/>
    <w:rsid w:val="0F1B0DB7"/>
    <w:rsid w:val="0F3425BB"/>
    <w:rsid w:val="0F5A5FCA"/>
    <w:rsid w:val="0F6C7EA7"/>
    <w:rsid w:val="0FA03F81"/>
    <w:rsid w:val="0FC5121F"/>
    <w:rsid w:val="0FC52200"/>
    <w:rsid w:val="0FC57219"/>
    <w:rsid w:val="0FCD54FE"/>
    <w:rsid w:val="0FF11896"/>
    <w:rsid w:val="0FF743B8"/>
    <w:rsid w:val="104114BC"/>
    <w:rsid w:val="104F21E7"/>
    <w:rsid w:val="10522A43"/>
    <w:rsid w:val="105950B7"/>
    <w:rsid w:val="10681B45"/>
    <w:rsid w:val="10C05C14"/>
    <w:rsid w:val="10D545EB"/>
    <w:rsid w:val="10E51E7E"/>
    <w:rsid w:val="110045E6"/>
    <w:rsid w:val="110937B1"/>
    <w:rsid w:val="1109548A"/>
    <w:rsid w:val="110E4212"/>
    <w:rsid w:val="11156035"/>
    <w:rsid w:val="111F2499"/>
    <w:rsid w:val="11296D36"/>
    <w:rsid w:val="1146103D"/>
    <w:rsid w:val="116C7384"/>
    <w:rsid w:val="117E53FE"/>
    <w:rsid w:val="12305D0B"/>
    <w:rsid w:val="1247677B"/>
    <w:rsid w:val="124B307E"/>
    <w:rsid w:val="12595354"/>
    <w:rsid w:val="12676ACE"/>
    <w:rsid w:val="128C79F5"/>
    <w:rsid w:val="12987FD1"/>
    <w:rsid w:val="12D57C7C"/>
    <w:rsid w:val="12DE2F04"/>
    <w:rsid w:val="12F453F7"/>
    <w:rsid w:val="135A65CD"/>
    <w:rsid w:val="13681291"/>
    <w:rsid w:val="13731B36"/>
    <w:rsid w:val="13877EBC"/>
    <w:rsid w:val="139A72A6"/>
    <w:rsid w:val="13D75C16"/>
    <w:rsid w:val="141A71FC"/>
    <w:rsid w:val="14393E39"/>
    <w:rsid w:val="1439492C"/>
    <w:rsid w:val="144E282E"/>
    <w:rsid w:val="148B16AC"/>
    <w:rsid w:val="14905D77"/>
    <w:rsid w:val="14C13D98"/>
    <w:rsid w:val="14C818C6"/>
    <w:rsid w:val="14D17473"/>
    <w:rsid w:val="14D2285A"/>
    <w:rsid w:val="14E97911"/>
    <w:rsid w:val="14F848F0"/>
    <w:rsid w:val="152D2F19"/>
    <w:rsid w:val="1533008F"/>
    <w:rsid w:val="153D3401"/>
    <w:rsid w:val="155142E7"/>
    <w:rsid w:val="15855A36"/>
    <w:rsid w:val="158E06A1"/>
    <w:rsid w:val="15932B1E"/>
    <w:rsid w:val="15A213FF"/>
    <w:rsid w:val="15AF36C0"/>
    <w:rsid w:val="15CA175D"/>
    <w:rsid w:val="15D73E4B"/>
    <w:rsid w:val="15EE7CEF"/>
    <w:rsid w:val="160D691C"/>
    <w:rsid w:val="16333435"/>
    <w:rsid w:val="16391530"/>
    <w:rsid w:val="16550678"/>
    <w:rsid w:val="166C136C"/>
    <w:rsid w:val="168C0198"/>
    <w:rsid w:val="168D3A3C"/>
    <w:rsid w:val="169237EC"/>
    <w:rsid w:val="16C6539F"/>
    <w:rsid w:val="16C83962"/>
    <w:rsid w:val="16ED23AA"/>
    <w:rsid w:val="17195883"/>
    <w:rsid w:val="173E2364"/>
    <w:rsid w:val="173E4E07"/>
    <w:rsid w:val="1761710C"/>
    <w:rsid w:val="176B01E9"/>
    <w:rsid w:val="17812612"/>
    <w:rsid w:val="1789592C"/>
    <w:rsid w:val="17933C9F"/>
    <w:rsid w:val="17991E91"/>
    <w:rsid w:val="17B13E29"/>
    <w:rsid w:val="17D67A38"/>
    <w:rsid w:val="17DB1463"/>
    <w:rsid w:val="17E97C5D"/>
    <w:rsid w:val="17ED5B45"/>
    <w:rsid w:val="18260DD1"/>
    <w:rsid w:val="182656C2"/>
    <w:rsid w:val="182E7A85"/>
    <w:rsid w:val="18303541"/>
    <w:rsid w:val="183735E3"/>
    <w:rsid w:val="18403BFF"/>
    <w:rsid w:val="18485D36"/>
    <w:rsid w:val="18744310"/>
    <w:rsid w:val="189448FE"/>
    <w:rsid w:val="189F530B"/>
    <w:rsid w:val="18A12DFD"/>
    <w:rsid w:val="18A922F3"/>
    <w:rsid w:val="18B137E8"/>
    <w:rsid w:val="18BB2661"/>
    <w:rsid w:val="18D46399"/>
    <w:rsid w:val="18F56002"/>
    <w:rsid w:val="192F50C9"/>
    <w:rsid w:val="19633F03"/>
    <w:rsid w:val="196F047E"/>
    <w:rsid w:val="19943641"/>
    <w:rsid w:val="199E02FC"/>
    <w:rsid w:val="19BA1CE3"/>
    <w:rsid w:val="19DF55C2"/>
    <w:rsid w:val="1A0C61A8"/>
    <w:rsid w:val="1A132F57"/>
    <w:rsid w:val="1A300E03"/>
    <w:rsid w:val="1A5F760F"/>
    <w:rsid w:val="1A6F3E95"/>
    <w:rsid w:val="1A6F6E85"/>
    <w:rsid w:val="1AD22ED2"/>
    <w:rsid w:val="1AD51B88"/>
    <w:rsid w:val="1B2058A0"/>
    <w:rsid w:val="1B2D037E"/>
    <w:rsid w:val="1B566A66"/>
    <w:rsid w:val="1B8565CF"/>
    <w:rsid w:val="1B9104B0"/>
    <w:rsid w:val="1BA96293"/>
    <w:rsid w:val="1BAC363D"/>
    <w:rsid w:val="1BD60F79"/>
    <w:rsid w:val="1C075926"/>
    <w:rsid w:val="1C0C60A0"/>
    <w:rsid w:val="1C261B3D"/>
    <w:rsid w:val="1C2A710A"/>
    <w:rsid w:val="1C41527E"/>
    <w:rsid w:val="1C49412F"/>
    <w:rsid w:val="1C4D3DCD"/>
    <w:rsid w:val="1C4F5FC4"/>
    <w:rsid w:val="1C64078D"/>
    <w:rsid w:val="1C81524F"/>
    <w:rsid w:val="1CA121A3"/>
    <w:rsid w:val="1CDF257F"/>
    <w:rsid w:val="1CE40841"/>
    <w:rsid w:val="1CF405AE"/>
    <w:rsid w:val="1CFB22F4"/>
    <w:rsid w:val="1D014450"/>
    <w:rsid w:val="1D2A2C86"/>
    <w:rsid w:val="1D2A6659"/>
    <w:rsid w:val="1D41310E"/>
    <w:rsid w:val="1D426DC5"/>
    <w:rsid w:val="1D4377C2"/>
    <w:rsid w:val="1D54682E"/>
    <w:rsid w:val="1D575B51"/>
    <w:rsid w:val="1D83301E"/>
    <w:rsid w:val="1D836FC7"/>
    <w:rsid w:val="1D956BB8"/>
    <w:rsid w:val="1D9F4A19"/>
    <w:rsid w:val="1DA05599"/>
    <w:rsid w:val="1DAB519B"/>
    <w:rsid w:val="1DC65420"/>
    <w:rsid w:val="1DC94DC3"/>
    <w:rsid w:val="1DD04ECF"/>
    <w:rsid w:val="1E0649A4"/>
    <w:rsid w:val="1E144E53"/>
    <w:rsid w:val="1E474E6F"/>
    <w:rsid w:val="1E6843C7"/>
    <w:rsid w:val="1E84688B"/>
    <w:rsid w:val="1EA60FCA"/>
    <w:rsid w:val="1EA87417"/>
    <w:rsid w:val="1ED70A99"/>
    <w:rsid w:val="1F181D4B"/>
    <w:rsid w:val="1F35766F"/>
    <w:rsid w:val="1F65672E"/>
    <w:rsid w:val="1F6B4880"/>
    <w:rsid w:val="1F6D18D3"/>
    <w:rsid w:val="1F7222CF"/>
    <w:rsid w:val="1F855EC8"/>
    <w:rsid w:val="1F865B87"/>
    <w:rsid w:val="1F8D0E35"/>
    <w:rsid w:val="1F9C4CF0"/>
    <w:rsid w:val="1FB611E4"/>
    <w:rsid w:val="1FBA2E91"/>
    <w:rsid w:val="1FC02D54"/>
    <w:rsid w:val="1FD92D82"/>
    <w:rsid w:val="1FEE1F52"/>
    <w:rsid w:val="20313878"/>
    <w:rsid w:val="207471CF"/>
    <w:rsid w:val="20950348"/>
    <w:rsid w:val="20981E88"/>
    <w:rsid w:val="20A06A24"/>
    <w:rsid w:val="20A10137"/>
    <w:rsid w:val="20A76189"/>
    <w:rsid w:val="20B97750"/>
    <w:rsid w:val="20BD2343"/>
    <w:rsid w:val="20C125E5"/>
    <w:rsid w:val="20EC5CA4"/>
    <w:rsid w:val="20F77EBA"/>
    <w:rsid w:val="20FE0571"/>
    <w:rsid w:val="21040EE9"/>
    <w:rsid w:val="212F48FD"/>
    <w:rsid w:val="21592DC8"/>
    <w:rsid w:val="216135E4"/>
    <w:rsid w:val="218E60D2"/>
    <w:rsid w:val="21B23C30"/>
    <w:rsid w:val="21D5663A"/>
    <w:rsid w:val="21FF37BF"/>
    <w:rsid w:val="220D5F91"/>
    <w:rsid w:val="220F017A"/>
    <w:rsid w:val="223A4047"/>
    <w:rsid w:val="223D6488"/>
    <w:rsid w:val="224F423C"/>
    <w:rsid w:val="22590C76"/>
    <w:rsid w:val="227710AB"/>
    <w:rsid w:val="229B4E78"/>
    <w:rsid w:val="22C77F82"/>
    <w:rsid w:val="22E50F21"/>
    <w:rsid w:val="22F1211F"/>
    <w:rsid w:val="22F562BD"/>
    <w:rsid w:val="23054BAA"/>
    <w:rsid w:val="231C3AC6"/>
    <w:rsid w:val="23261385"/>
    <w:rsid w:val="233970A1"/>
    <w:rsid w:val="2390118C"/>
    <w:rsid w:val="23A33225"/>
    <w:rsid w:val="23A3458B"/>
    <w:rsid w:val="23A83880"/>
    <w:rsid w:val="23AC3B0D"/>
    <w:rsid w:val="23AC7B00"/>
    <w:rsid w:val="23AE3EA4"/>
    <w:rsid w:val="23BD797B"/>
    <w:rsid w:val="23C71028"/>
    <w:rsid w:val="23CC13DF"/>
    <w:rsid w:val="241374BB"/>
    <w:rsid w:val="241B46A2"/>
    <w:rsid w:val="241C0641"/>
    <w:rsid w:val="24210897"/>
    <w:rsid w:val="242E0AC8"/>
    <w:rsid w:val="24474E0A"/>
    <w:rsid w:val="244E4AD0"/>
    <w:rsid w:val="246B4679"/>
    <w:rsid w:val="248A767B"/>
    <w:rsid w:val="249900C5"/>
    <w:rsid w:val="24BF7D42"/>
    <w:rsid w:val="255D2F2A"/>
    <w:rsid w:val="256C5A3D"/>
    <w:rsid w:val="257963F1"/>
    <w:rsid w:val="257D2B89"/>
    <w:rsid w:val="25A7402B"/>
    <w:rsid w:val="25D966A6"/>
    <w:rsid w:val="25FE15DC"/>
    <w:rsid w:val="25FF1757"/>
    <w:rsid w:val="26272FA3"/>
    <w:rsid w:val="262E57BC"/>
    <w:rsid w:val="26571428"/>
    <w:rsid w:val="26653EC4"/>
    <w:rsid w:val="26806C09"/>
    <w:rsid w:val="26863962"/>
    <w:rsid w:val="268F15B2"/>
    <w:rsid w:val="26983FA4"/>
    <w:rsid w:val="26FA6E39"/>
    <w:rsid w:val="271E4603"/>
    <w:rsid w:val="27264DFC"/>
    <w:rsid w:val="272A0710"/>
    <w:rsid w:val="272D636F"/>
    <w:rsid w:val="27555997"/>
    <w:rsid w:val="276E4B45"/>
    <w:rsid w:val="277E0E1B"/>
    <w:rsid w:val="27C13C20"/>
    <w:rsid w:val="27E47883"/>
    <w:rsid w:val="27F93F69"/>
    <w:rsid w:val="2807271F"/>
    <w:rsid w:val="28120519"/>
    <w:rsid w:val="281327C3"/>
    <w:rsid w:val="28151112"/>
    <w:rsid w:val="28195AAE"/>
    <w:rsid w:val="28323569"/>
    <w:rsid w:val="28326E12"/>
    <w:rsid w:val="28504863"/>
    <w:rsid w:val="28674296"/>
    <w:rsid w:val="287013AF"/>
    <w:rsid w:val="28934004"/>
    <w:rsid w:val="28943CBF"/>
    <w:rsid w:val="28B9246E"/>
    <w:rsid w:val="28E96526"/>
    <w:rsid w:val="28F77A34"/>
    <w:rsid w:val="28FB2B17"/>
    <w:rsid w:val="2905469E"/>
    <w:rsid w:val="29213FAC"/>
    <w:rsid w:val="292C4C71"/>
    <w:rsid w:val="294019F3"/>
    <w:rsid w:val="295C30A0"/>
    <w:rsid w:val="295F6F3A"/>
    <w:rsid w:val="2978542E"/>
    <w:rsid w:val="298168E8"/>
    <w:rsid w:val="29880DC9"/>
    <w:rsid w:val="299658C8"/>
    <w:rsid w:val="29B07321"/>
    <w:rsid w:val="29C74336"/>
    <w:rsid w:val="29FF6BE7"/>
    <w:rsid w:val="2A0C4705"/>
    <w:rsid w:val="2A104C01"/>
    <w:rsid w:val="2A2219FF"/>
    <w:rsid w:val="2A2649D3"/>
    <w:rsid w:val="2A2F0453"/>
    <w:rsid w:val="2A375CB0"/>
    <w:rsid w:val="2A4F7A8E"/>
    <w:rsid w:val="2A5C693A"/>
    <w:rsid w:val="2A783A41"/>
    <w:rsid w:val="2A7C052B"/>
    <w:rsid w:val="2A97058D"/>
    <w:rsid w:val="2A9D1044"/>
    <w:rsid w:val="2AA14EFF"/>
    <w:rsid w:val="2AC52B69"/>
    <w:rsid w:val="2AE42B9F"/>
    <w:rsid w:val="2AFA4FF0"/>
    <w:rsid w:val="2AFF35D3"/>
    <w:rsid w:val="2B0A651F"/>
    <w:rsid w:val="2B132D50"/>
    <w:rsid w:val="2B4604CF"/>
    <w:rsid w:val="2B6076B4"/>
    <w:rsid w:val="2B617D56"/>
    <w:rsid w:val="2B631EFF"/>
    <w:rsid w:val="2B6E542D"/>
    <w:rsid w:val="2BAC408F"/>
    <w:rsid w:val="2BDD0A2E"/>
    <w:rsid w:val="2BEB27E3"/>
    <w:rsid w:val="2BEB2E9D"/>
    <w:rsid w:val="2BF61207"/>
    <w:rsid w:val="2C1713D1"/>
    <w:rsid w:val="2C2E6F83"/>
    <w:rsid w:val="2C3A1B18"/>
    <w:rsid w:val="2C620007"/>
    <w:rsid w:val="2CA8063D"/>
    <w:rsid w:val="2CD367CC"/>
    <w:rsid w:val="2CDD2B9E"/>
    <w:rsid w:val="2D09394F"/>
    <w:rsid w:val="2D1C132F"/>
    <w:rsid w:val="2D51298D"/>
    <w:rsid w:val="2D6345E9"/>
    <w:rsid w:val="2D7E4209"/>
    <w:rsid w:val="2D8F2096"/>
    <w:rsid w:val="2D9B288E"/>
    <w:rsid w:val="2DBD42B5"/>
    <w:rsid w:val="2DCB5DC1"/>
    <w:rsid w:val="2DCE5309"/>
    <w:rsid w:val="2DE2242A"/>
    <w:rsid w:val="2E0E5DA3"/>
    <w:rsid w:val="2E4225F7"/>
    <w:rsid w:val="2E463849"/>
    <w:rsid w:val="2E5A5340"/>
    <w:rsid w:val="2E6E73D5"/>
    <w:rsid w:val="2E81141D"/>
    <w:rsid w:val="2E9A7ADA"/>
    <w:rsid w:val="2EC2396D"/>
    <w:rsid w:val="2EF80558"/>
    <w:rsid w:val="2F1B0798"/>
    <w:rsid w:val="2F4F0438"/>
    <w:rsid w:val="2F506BFB"/>
    <w:rsid w:val="2F7E2CC0"/>
    <w:rsid w:val="2F871ABC"/>
    <w:rsid w:val="2F921764"/>
    <w:rsid w:val="2F98405A"/>
    <w:rsid w:val="2FAF32EB"/>
    <w:rsid w:val="2FD11EB8"/>
    <w:rsid w:val="2FE1749B"/>
    <w:rsid w:val="303606F3"/>
    <w:rsid w:val="303D5772"/>
    <w:rsid w:val="303E2207"/>
    <w:rsid w:val="30533443"/>
    <w:rsid w:val="306E40F7"/>
    <w:rsid w:val="306F4499"/>
    <w:rsid w:val="30B15581"/>
    <w:rsid w:val="30B93848"/>
    <w:rsid w:val="30BB37BA"/>
    <w:rsid w:val="30BE1DE8"/>
    <w:rsid w:val="31253510"/>
    <w:rsid w:val="313177AD"/>
    <w:rsid w:val="31341EAD"/>
    <w:rsid w:val="313712DD"/>
    <w:rsid w:val="313A5932"/>
    <w:rsid w:val="31423CC5"/>
    <w:rsid w:val="31570161"/>
    <w:rsid w:val="3157256E"/>
    <w:rsid w:val="3160159B"/>
    <w:rsid w:val="316102EA"/>
    <w:rsid w:val="31665B97"/>
    <w:rsid w:val="31711EF3"/>
    <w:rsid w:val="31854B7E"/>
    <w:rsid w:val="31E86EE4"/>
    <w:rsid w:val="31F00167"/>
    <w:rsid w:val="31FD6157"/>
    <w:rsid w:val="32171B71"/>
    <w:rsid w:val="322B53E9"/>
    <w:rsid w:val="32915ABA"/>
    <w:rsid w:val="329C1497"/>
    <w:rsid w:val="32D72576"/>
    <w:rsid w:val="32D93319"/>
    <w:rsid w:val="32E04086"/>
    <w:rsid w:val="32F96A45"/>
    <w:rsid w:val="330D0307"/>
    <w:rsid w:val="331D384C"/>
    <w:rsid w:val="332C3D97"/>
    <w:rsid w:val="33331964"/>
    <w:rsid w:val="3360351F"/>
    <w:rsid w:val="33620CB2"/>
    <w:rsid w:val="33777078"/>
    <w:rsid w:val="33982E2E"/>
    <w:rsid w:val="33B17CDB"/>
    <w:rsid w:val="33E04B57"/>
    <w:rsid w:val="33FA7456"/>
    <w:rsid w:val="34024883"/>
    <w:rsid w:val="342C6E98"/>
    <w:rsid w:val="344F7140"/>
    <w:rsid w:val="345214F8"/>
    <w:rsid w:val="34714E70"/>
    <w:rsid w:val="347510A6"/>
    <w:rsid w:val="34755DB1"/>
    <w:rsid w:val="34935876"/>
    <w:rsid w:val="349E0FB2"/>
    <w:rsid w:val="34A96A1A"/>
    <w:rsid w:val="34B370D1"/>
    <w:rsid w:val="34CA52FD"/>
    <w:rsid w:val="34E622D6"/>
    <w:rsid w:val="35073B82"/>
    <w:rsid w:val="3518700F"/>
    <w:rsid w:val="352F2FF3"/>
    <w:rsid w:val="35375748"/>
    <w:rsid w:val="35486C73"/>
    <w:rsid w:val="359E09BB"/>
    <w:rsid w:val="361A4DE1"/>
    <w:rsid w:val="361F592F"/>
    <w:rsid w:val="362F79EA"/>
    <w:rsid w:val="36516B14"/>
    <w:rsid w:val="36556C85"/>
    <w:rsid w:val="365B1C96"/>
    <w:rsid w:val="36603459"/>
    <w:rsid w:val="366D2C19"/>
    <w:rsid w:val="3675230B"/>
    <w:rsid w:val="36766F5C"/>
    <w:rsid w:val="36777C43"/>
    <w:rsid w:val="367E7A3F"/>
    <w:rsid w:val="36C1347A"/>
    <w:rsid w:val="36C31B41"/>
    <w:rsid w:val="36C532A1"/>
    <w:rsid w:val="36CE234D"/>
    <w:rsid w:val="36D347D3"/>
    <w:rsid w:val="36DA50A9"/>
    <w:rsid w:val="36F46372"/>
    <w:rsid w:val="372F4949"/>
    <w:rsid w:val="3736228A"/>
    <w:rsid w:val="37671725"/>
    <w:rsid w:val="376F122C"/>
    <w:rsid w:val="377A54BF"/>
    <w:rsid w:val="3798526A"/>
    <w:rsid w:val="37B72EB1"/>
    <w:rsid w:val="37C1607A"/>
    <w:rsid w:val="37C42A0D"/>
    <w:rsid w:val="37C806F3"/>
    <w:rsid w:val="37C85C3C"/>
    <w:rsid w:val="37CF1603"/>
    <w:rsid w:val="38585500"/>
    <w:rsid w:val="385D1C71"/>
    <w:rsid w:val="386038B3"/>
    <w:rsid w:val="38684A38"/>
    <w:rsid w:val="388E1434"/>
    <w:rsid w:val="38BA5460"/>
    <w:rsid w:val="38C62FF5"/>
    <w:rsid w:val="38D62476"/>
    <w:rsid w:val="38E27127"/>
    <w:rsid w:val="39027E88"/>
    <w:rsid w:val="39075875"/>
    <w:rsid w:val="391904A1"/>
    <w:rsid w:val="391C718D"/>
    <w:rsid w:val="394D30B0"/>
    <w:rsid w:val="394F6067"/>
    <w:rsid w:val="39624091"/>
    <w:rsid w:val="39687274"/>
    <w:rsid w:val="397C6037"/>
    <w:rsid w:val="39847B53"/>
    <w:rsid w:val="39D43B66"/>
    <w:rsid w:val="39EC03FA"/>
    <w:rsid w:val="3A1D058F"/>
    <w:rsid w:val="3A1E303B"/>
    <w:rsid w:val="3A1F74C9"/>
    <w:rsid w:val="3A2A1F54"/>
    <w:rsid w:val="3A2D40D1"/>
    <w:rsid w:val="3A314B02"/>
    <w:rsid w:val="3A487E89"/>
    <w:rsid w:val="3A5C2602"/>
    <w:rsid w:val="3A79657B"/>
    <w:rsid w:val="3A8B77C7"/>
    <w:rsid w:val="3A8F7DE5"/>
    <w:rsid w:val="3A9A32EA"/>
    <w:rsid w:val="3ACD391F"/>
    <w:rsid w:val="3B026D00"/>
    <w:rsid w:val="3B1471CB"/>
    <w:rsid w:val="3B3836C7"/>
    <w:rsid w:val="3B5F2B46"/>
    <w:rsid w:val="3B655681"/>
    <w:rsid w:val="3B6C4553"/>
    <w:rsid w:val="3B6F3ABC"/>
    <w:rsid w:val="3B7527F4"/>
    <w:rsid w:val="3B7754EB"/>
    <w:rsid w:val="3BAA143A"/>
    <w:rsid w:val="3BAC7D85"/>
    <w:rsid w:val="3BC378A6"/>
    <w:rsid w:val="3BDC08FD"/>
    <w:rsid w:val="3BE42ECD"/>
    <w:rsid w:val="3BFE1CAB"/>
    <w:rsid w:val="3C10260E"/>
    <w:rsid w:val="3C274A05"/>
    <w:rsid w:val="3C43437F"/>
    <w:rsid w:val="3C491F3C"/>
    <w:rsid w:val="3C4F746D"/>
    <w:rsid w:val="3C6324B8"/>
    <w:rsid w:val="3C6A66D6"/>
    <w:rsid w:val="3C731D72"/>
    <w:rsid w:val="3C7511AE"/>
    <w:rsid w:val="3CA977D2"/>
    <w:rsid w:val="3CBF0958"/>
    <w:rsid w:val="3CC733AF"/>
    <w:rsid w:val="3CCB1880"/>
    <w:rsid w:val="3CD72551"/>
    <w:rsid w:val="3CDC71EC"/>
    <w:rsid w:val="3CF76813"/>
    <w:rsid w:val="3CFC6063"/>
    <w:rsid w:val="3D1319B5"/>
    <w:rsid w:val="3D260CA6"/>
    <w:rsid w:val="3D3D73C9"/>
    <w:rsid w:val="3D520CCB"/>
    <w:rsid w:val="3D5C6974"/>
    <w:rsid w:val="3D5E6367"/>
    <w:rsid w:val="3D6678B0"/>
    <w:rsid w:val="3D772181"/>
    <w:rsid w:val="3D823D30"/>
    <w:rsid w:val="3DCE6FB3"/>
    <w:rsid w:val="3DD16176"/>
    <w:rsid w:val="3E104E3F"/>
    <w:rsid w:val="3E1D6E9C"/>
    <w:rsid w:val="3E4A1BED"/>
    <w:rsid w:val="3E56070B"/>
    <w:rsid w:val="3E662345"/>
    <w:rsid w:val="3E82228B"/>
    <w:rsid w:val="3E8242C1"/>
    <w:rsid w:val="3EB33AF3"/>
    <w:rsid w:val="3EE139B6"/>
    <w:rsid w:val="3EFD0DF6"/>
    <w:rsid w:val="3EFE49C6"/>
    <w:rsid w:val="3F0A5B5C"/>
    <w:rsid w:val="3F1A0890"/>
    <w:rsid w:val="3F3F5846"/>
    <w:rsid w:val="3F71500B"/>
    <w:rsid w:val="3F7B33F8"/>
    <w:rsid w:val="3F801023"/>
    <w:rsid w:val="3F8064EB"/>
    <w:rsid w:val="3F950FB5"/>
    <w:rsid w:val="3F982DCA"/>
    <w:rsid w:val="3FCB5632"/>
    <w:rsid w:val="3FD12D26"/>
    <w:rsid w:val="3FDE4917"/>
    <w:rsid w:val="3FE2412F"/>
    <w:rsid w:val="402F3ADF"/>
    <w:rsid w:val="40306F5A"/>
    <w:rsid w:val="40476BB3"/>
    <w:rsid w:val="40546FB6"/>
    <w:rsid w:val="40554803"/>
    <w:rsid w:val="407A60D5"/>
    <w:rsid w:val="407D4F24"/>
    <w:rsid w:val="408B6A39"/>
    <w:rsid w:val="409060CF"/>
    <w:rsid w:val="40961808"/>
    <w:rsid w:val="40AB4DEE"/>
    <w:rsid w:val="40D24BBE"/>
    <w:rsid w:val="40E82A0A"/>
    <w:rsid w:val="40EC4043"/>
    <w:rsid w:val="41166469"/>
    <w:rsid w:val="412008E0"/>
    <w:rsid w:val="413A6D3B"/>
    <w:rsid w:val="41515AC7"/>
    <w:rsid w:val="41902B9F"/>
    <w:rsid w:val="41C02331"/>
    <w:rsid w:val="41C13A63"/>
    <w:rsid w:val="41C67037"/>
    <w:rsid w:val="41D229E1"/>
    <w:rsid w:val="41EC6E94"/>
    <w:rsid w:val="41F72149"/>
    <w:rsid w:val="41F778D1"/>
    <w:rsid w:val="4228585D"/>
    <w:rsid w:val="42415ACC"/>
    <w:rsid w:val="427D539F"/>
    <w:rsid w:val="42991E30"/>
    <w:rsid w:val="42CC19F4"/>
    <w:rsid w:val="42CE0B28"/>
    <w:rsid w:val="42CF6367"/>
    <w:rsid w:val="42D36FBC"/>
    <w:rsid w:val="42DE1CCC"/>
    <w:rsid w:val="4308546B"/>
    <w:rsid w:val="431D1A44"/>
    <w:rsid w:val="43263445"/>
    <w:rsid w:val="433A587E"/>
    <w:rsid w:val="434157E3"/>
    <w:rsid w:val="43494860"/>
    <w:rsid w:val="434D380E"/>
    <w:rsid w:val="436907EE"/>
    <w:rsid w:val="43934189"/>
    <w:rsid w:val="439D4850"/>
    <w:rsid w:val="43C27232"/>
    <w:rsid w:val="43ED069F"/>
    <w:rsid w:val="442A6E5A"/>
    <w:rsid w:val="44356E29"/>
    <w:rsid w:val="44403BC7"/>
    <w:rsid w:val="445C4B8F"/>
    <w:rsid w:val="447C2A1B"/>
    <w:rsid w:val="447F5CBE"/>
    <w:rsid w:val="44833851"/>
    <w:rsid w:val="4496365E"/>
    <w:rsid w:val="44982752"/>
    <w:rsid w:val="44BF6F86"/>
    <w:rsid w:val="44C45031"/>
    <w:rsid w:val="44D53AB2"/>
    <w:rsid w:val="44DA00B4"/>
    <w:rsid w:val="44F27B0D"/>
    <w:rsid w:val="45151583"/>
    <w:rsid w:val="45174CA4"/>
    <w:rsid w:val="45485BDE"/>
    <w:rsid w:val="457D4A3F"/>
    <w:rsid w:val="4582194C"/>
    <w:rsid w:val="458571EC"/>
    <w:rsid w:val="45945C30"/>
    <w:rsid w:val="459F2306"/>
    <w:rsid w:val="45A832FE"/>
    <w:rsid w:val="45AB6174"/>
    <w:rsid w:val="45BA63E5"/>
    <w:rsid w:val="45CC5EDC"/>
    <w:rsid w:val="45DD7F0D"/>
    <w:rsid w:val="45F73D47"/>
    <w:rsid w:val="462D2575"/>
    <w:rsid w:val="46467FD8"/>
    <w:rsid w:val="46601D33"/>
    <w:rsid w:val="4666746C"/>
    <w:rsid w:val="467505FA"/>
    <w:rsid w:val="467B6008"/>
    <w:rsid w:val="468720BA"/>
    <w:rsid w:val="46895AFC"/>
    <w:rsid w:val="468E6A9E"/>
    <w:rsid w:val="46BC623F"/>
    <w:rsid w:val="46D855B9"/>
    <w:rsid w:val="46E73403"/>
    <w:rsid w:val="470D2C74"/>
    <w:rsid w:val="47176AEE"/>
    <w:rsid w:val="47236E19"/>
    <w:rsid w:val="477570F1"/>
    <w:rsid w:val="477A2FD0"/>
    <w:rsid w:val="47AD33FA"/>
    <w:rsid w:val="47B41AAA"/>
    <w:rsid w:val="47CD38AD"/>
    <w:rsid w:val="47D66741"/>
    <w:rsid w:val="47DB16D8"/>
    <w:rsid w:val="4816693B"/>
    <w:rsid w:val="481726F3"/>
    <w:rsid w:val="48416760"/>
    <w:rsid w:val="48466F81"/>
    <w:rsid w:val="48486B18"/>
    <w:rsid w:val="484D02A2"/>
    <w:rsid w:val="486B647A"/>
    <w:rsid w:val="48896934"/>
    <w:rsid w:val="489B48B9"/>
    <w:rsid w:val="48C12AEC"/>
    <w:rsid w:val="48D072A1"/>
    <w:rsid w:val="48D1341D"/>
    <w:rsid w:val="48D63F90"/>
    <w:rsid w:val="48E0279A"/>
    <w:rsid w:val="48E64C8E"/>
    <w:rsid w:val="48FA7B87"/>
    <w:rsid w:val="49023E07"/>
    <w:rsid w:val="4919356E"/>
    <w:rsid w:val="492A7740"/>
    <w:rsid w:val="49300AA7"/>
    <w:rsid w:val="49391CB0"/>
    <w:rsid w:val="493C3A20"/>
    <w:rsid w:val="49401E21"/>
    <w:rsid w:val="49526EB9"/>
    <w:rsid w:val="495E7463"/>
    <w:rsid w:val="49684311"/>
    <w:rsid w:val="496D00AD"/>
    <w:rsid w:val="49742114"/>
    <w:rsid w:val="49754CB4"/>
    <w:rsid w:val="49921F0F"/>
    <w:rsid w:val="49CE6B8E"/>
    <w:rsid w:val="49D72FF3"/>
    <w:rsid w:val="49E0102B"/>
    <w:rsid w:val="49F46B77"/>
    <w:rsid w:val="4A2945F2"/>
    <w:rsid w:val="4A615154"/>
    <w:rsid w:val="4A951DA3"/>
    <w:rsid w:val="4A96607C"/>
    <w:rsid w:val="4AA91ED6"/>
    <w:rsid w:val="4AB92E92"/>
    <w:rsid w:val="4B076156"/>
    <w:rsid w:val="4B2134B8"/>
    <w:rsid w:val="4B24233C"/>
    <w:rsid w:val="4B330A0B"/>
    <w:rsid w:val="4B3756CC"/>
    <w:rsid w:val="4B494971"/>
    <w:rsid w:val="4B5E55F9"/>
    <w:rsid w:val="4B685D82"/>
    <w:rsid w:val="4B7B4674"/>
    <w:rsid w:val="4B7C663B"/>
    <w:rsid w:val="4B812078"/>
    <w:rsid w:val="4BF71347"/>
    <w:rsid w:val="4BF97932"/>
    <w:rsid w:val="4C107D48"/>
    <w:rsid w:val="4C141E75"/>
    <w:rsid w:val="4C2A4039"/>
    <w:rsid w:val="4C6949FE"/>
    <w:rsid w:val="4C736F36"/>
    <w:rsid w:val="4CAE60E3"/>
    <w:rsid w:val="4CCA2D58"/>
    <w:rsid w:val="4CD3619C"/>
    <w:rsid w:val="4CEE1D13"/>
    <w:rsid w:val="4D032DA9"/>
    <w:rsid w:val="4D0C6DBE"/>
    <w:rsid w:val="4D25615C"/>
    <w:rsid w:val="4D321566"/>
    <w:rsid w:val="4D36054D"/>
    <w:rsid w:val="4D41137F"/>
    <w:rsid w:val="4D4D3B7A"/>
    <w:rsid w:val="4D524AEA"/>
    <w:rsid w:val="4D5724F7"/>
    <w:rsid w:val="4D757452"/>
    <w:rsid w:val="4D8C3F82"/>
    <w:rsid w:val="4DBC14B8"/>
    <w:rsid w:val="4DE936C7"/>
    <w:rsid w:val="4DF23555"/>
    <w:rsid w:val="4E050D4C"/>
    <w:rsid w:val="4E06569E"/>
    <w:rsid w:val="4E093792"/>
    <w:rsid w:val="4E173610"/>
    <w:rsid w:val="4E1D26B7"/>
    <w:rsid w:val="4E1D3A0D"/>
    <w:rsid w:val="4E1F052C"/>
    <w:rsid w:val="4E451D41"/>
    <w:rsid w:val="4E7A454C"/>
    <w:rsid w:val="4E820B4C"/>
    <w:rsid w:val="4E85341C"/>
    <w:rsid w:val="4E93713A"/>
    <w:rsid w:val="4E9B7B12"/>
    <w:rsid w:val="4EC47712"/>
    <w:rsid w:val="4EDD3C61"/>
    <w:rsid w:val="4EE43E79"/>
    <w:rsid w:val="4EF1457F"/>
    <w:rsid w:val="4F2C40A0"/>
    <w:rsid w:val="4F2F3B98"/>
    <w:rsid w:val="4F380B7A"/>
    <w:rsid w:val="4F424B82"/>
    <w:rsid w:val="4F4B0CB3"/>
    <w:rsid w:val="4F4F0EBF"/>
    <w:rsid w:val="4F586D8F"/>
    <w:rsid w:val="4F8C4B40"/>
    <w:rsid w:val="4FAA5CD5"/>
    <w:rsid w:val="4FBD187E"/>
    <w:rsid w:val="4FC56067"/>
    <w:rsid w:val="4FD11AC0"/>
    <w:rsid w:val="4FEA4E33"/>
    <w:rsid w:val="502F75EB"/>
    <w:rsid w:val="50400243"/>
    <w:rsid w:val="50494336"/>
    <w:rsid w:val="50784012"/>
    <w:rsid w:val="50813C12"/>
    <w:rsid w:val="5087463E"/>
    <w:rsid w:val="508825A3"/>
    <w:rsid w:val="50A11680"/>
    <w:rsid w:val="50B77550"/>
    <w:rsid w:val="50C773AE"/>
    <w:rsid w:val="50CD6602"/>
    <w:rsid w:val="50E6022F"/>
    <w:rsid w:val="510D0F23"/>
    <w:rsid w:val="51197B59"/>
    <w:rsid w:val="516105A3"/>
    <w:rsid w:val="51615030"/>
    <w:rsid w:val="51627812"/>
    <w:rsid w:val="51B372C9"/>
    <w:rsid w:val="51C136D4"/>
    <w:rsid w:val="51D33F6D"/>
    <w:rsid w:val="51DB1448"/>
    <w:rsid w:val="52045DB4"/>
    <w:rsid w:val="522C275E"/>
    <w:rsid w:val="524C13A2"/>
    <w:rsid w:val="529000F6"/>
    <w:rsid w:val="5296149A"/>
    <w:rsid w:val="52A65672"/>
    <w:rsid w:val="52BA4073"/>
    <w:rsid w:val="52CA2507"/>
    <w:rsid w:val="52CD7B31"/>
    <w:rsid w:val="52D32A37"/>
    <w:rsid w:val="52D576F4"/>
    <w:rsid w:val="52DF170A"/>
    <w:rsid w:val="52E25B6D"/>
    <w:rsid w:val="52F362FB"/>
    <w:rsid w:val="52F4161A"/>
    <w:rsid w:val="52F965A5"/>
    <w:rsid w:val="53081AD8"/>
    <w:rsid w:val="53235275"/>
    <w:rsid w:val="53240623"/>
    <w:rsid w:val="53321C03"/>
    <w:rsid w:val="533415F9"/>
    <w:rsid w:val="534823B8"/>
    <w:rsid w:val="535657D0"/>
    <w:rsid w:val="535868CC"/>
    <w:rsid w:val="53597EDB"/>
    <w:rsid w:val="538D066D"/>
    <w:rsid w:val="53934B1D"/>
    <w:rsid w:val="53A2278E"/>
    <w:rsid w:val="53CB788B"/>
    <w:rsid w:val="53E32E36"/>
    <w:rsid w:val="54203B94"/>
    <w:rsid w:val="5424233E"/>
    <w:rsid w:val="542A3DC2"/>
    <w:rsid w:val="542C299E"/>
    <w:rsid w:val="543527D7"/>
    <w:rsid w:val="543642C1"/>
    <w:rsid w:val="5461235D"/>
    <w:rsid w:val="54667BA2"/>
    <w:rsid w:val="547E7555"/>
    <w:rsid w:val="547F6CF8"/>
    <w:rsid w:val="54806F19"/>
    <w:rsid w:val="54A01FAE"/>
    <w:rsid w:val="54A478E7"/>
    <w:rsid w:val="54A57E45"/>
    <w:rsid w:val="54AC3148"/>
    <w:rsid w:val="54C0256E"/>
    <w:rsid w:val="54C334B7"/>
    <w:rsid w:val="54D4667D"/>
    <w:rsid w:val="54D55C56"/>
    <w:rsid w:val="54D809B5"/>
    <w:rsid w:val="54EC389B"/>
    <w:rsid w:val="54F847D9"/>
    <w:rsid w:val="55126190"/>
    <w:rsid w:val="555F3833"/>
    <w:rsid w:val="55667780"/>
    <w:rsid w:val="556E493A"/>
    <w:rsid w:val="55725F14"/>
    <w:rsid w:val="55941D63"/>
    <w:rsid w:val="559C0CE1"/>
    <w:rsid w:val="55B42D88"/>
    <w:rsid w:val="55D11119"/>
    <w:rsid w:val="55DB1F79"/>
    <w:rsid w:val="55F65474"/>
    <w:rsid w:val="560A42BD"/>
    <w:rsid w:val="560C1D89"/>
    <w:rsid w:val="56353B20"/>
    <w:rsid w:val="563A6A4D"/>
    <w:rsid w:val="56443B98"/>
    <w:rsid w:val="56453A77"/>
    <w:rsid w:val="56757259"/>
    <w:rsid w:val="568B7EB7"/>
    <w:rsid w:val="56BC078F"/>
    <w:rsid w:val="56CB4BCB"/>
    <w:rsid w:val="56EC33E9"/>
    <w:rsid w:val="56FB75FE"/>
    <w:rsid w:val="572F42F6"/>
    <w:rsid w:val="57391A95"/>
    <w:rsid w:val="573F3C9E"/>
    <w:rsid w:val="574028CB"/>
    <w:rsid w:val="574C52C4"/>
    <w:rsid w:val="57526FDB"/>
    <w:rsid w:val="57572F35"/>
    <w:rsid w:val="575B33A4"/>
    <w:rsid w:val="57674A5D"/>
    <w:rsid w:val="57684EDC"/>
    <w:rsid w:val="579775E1"/>
    <w:rsid w:val="57982E6E"/>
    <w:rsid w:val="57C90530"/>
    <w:rsid w:val="57CE0836"/>
    <w:rsid w:val="582F44F7"/>
    <w:rsid w:val="58350045"/>
    <w:rsid w:val="583F27F2"/>
    <w:rsid w:val="58455B6D"/>
    <w:rsid w:val="584D29B0"/>
    <w:rsid w:val="584F7C49"/>
    <w:rsid w:val="5888302C"/>
    <w:rsid w:val="5889129A"/>
    <w:rsid w:val="588C748F"/>
    <w:rsid w:val="58A70AE5"/>
    <w:rsid w:val="58AD528C"/>
    <w:rsid w:val="58B31955"/>
    <w:rsid w:val="58BA45A1"/>
    <w:rsid w:val="594F6915"/>
    <w:rsid w:val="59737A65"/>
    <w:rsid w:val="59842DF4"/>
    <w:rsid w:val="598A5B01"/>
    <w:rsid w:val="59947CE9"/>
    <w:rsid w:val="59A0359A"/>
    <w:rsid w:val="59E52D9A"/>
    <w:rsid w:val="5A300449"/>
    <w:rsid w:val="5A482DEE"/>
    <w:rsid w:val="5A55295D"/>
    <w:rsid w:val="5A7E104A"/>
    <w:rsid w:val="5A8208A0"/>
    <w:rsid w:val="5A861FD5"/>
    <w:rsid w:val="5AE3253A"/>
    <w:rsid w:val="5AEA30C9"/>
    <w:rsid w:val="5AEA3475"/>
    <w:rsid w:val="5AF54C6B"/>
    <w:rsid w:val="5B087B94"/>
    <w:rsid w:val="5B0C2FBE"/>
    <w:rsid w:val="5B0E3E89"/>
    <w:rsid w:val="5B124740"/>
    <w:rsid w:val="5B31434D"/>
    <w:rsid w:val="5B3A10B7"/>
    <w:rsid w:val="5B3F60FF"/>
    <w:rsid w:val="5B3F66E7"/>
    <w:rsid w:val="5B872AE6"/>
    <w:rsid w:val="5BA5048F"/>
    <w:rsid w:val="5BA77753"/>
    <w:rsid w:val="5BB60E53"/>
    <w:rsid w:val="5BC025EF"/>
    <w:rsid w:val="5BC76675"/>
    <w:rsid w:val="5C077640"/>
    <w:rsid w:val="5C0A0115"/>
    <w:rsid w:val="5C1203C7"/>
    <w:rsid w:val="5C1F35AE"/>
    <w:rsid w:val="5C3905BF"/>
    <w:rsid w:val="5C66397A"/>
    <w:rsid w:val="5C7349B6"/>
    <w:rsid w:val="5C824C05"/>
    <w:rsid w:val="5C8725EE"/>
    <w:rsid w:val="5CB0251A"/>
    <w:rsid w:val="5CB97030"/>
    <w:rsid w:val="5CC97332"/>
    <w:rsid w:val="5CD21B5F"/>
    <w:rsid w:val="5D073AE3"/>
    <w:rsid w:val="5D187049"/>
    <w:rsid w:val="5D1D2427"/>
    <w:rsid w:val="5D756277"/>
    <w:rsid w:val="5D760215"/>
    <w:rsid w:val="5D7D3B34"/>
    <w:rsid w:val="5D955FBD"/>
    <w:rsid w:val="5DA62524"/>
    <w:rsid w:val="5DAC3919"/>
    <w:rsid w:val="5DB36259"/>
    <w:rsid w:val="5DBD33B2"/>
    <w:rsid w:val="5DC223CB"/>
    <w:rsid w:val="5DE66B5A"/>
    <w:rsid w:val="5DF66637"/>
    <w:rsid w:val="5DFF6858"/>
    <w:rsid w:val="5E0F2B0E"/>
    <w:rsid w:val="5E185132"/>
    <w:rsid w:val="5E21523D"/>
    <w:rsid w:val="5E2A0167"/>
    <w:rsid w:val="5E5D68E8"/>
    <w:rsid w:val="5E6737E7"/>
    <w:rsid w:val="5E802A96"/>
    <w:rsid w:val="5E9074FF"/>
    <w:rsid w:val="5EAD0273"/>
    <w:rsid w:val="5EAE1AF2"/>
    <w:rsid w:val="5EB62A77"/>
    <w:rsid w:val="5EB80355"/>
    <w:rsid w:val="5EBB2226"/>
    <w:rsid w:val="5EBE5F24"/>
    <w:rsid w:val="5EF07004"/>
    <w:rsid w:val="5F0E1E9A"/>
    <w:rsid w:val="5F860C23"/>
    <w:rsid w:val="5F882EE8"/>
    <w:rsid w:val="5FC44411"/>
    <w:rsid w:val="5FE426E2"/>
    <w:rsid w:val="605C7AA6"/>
    <w:rsid w:val="605F132B"/>
    <w:rsid w:val="608510A4"/>
    <w:rsid w:val="608762FF"/>
    <w:rsid w:val="609E1C45"/>
    <w:rsid w:val="60B74397"/>
    <w:rsid w:val="60BD4FD1"/>
    <w:rsid w:val="60BF6C76"/>
    <w:rsid w:val="60C23FA5"/>
    <w:rsid w:val="60D507D0"/>
    <w:rsid w:val="60E07610"/>
    <w:rsid w:val="60EA1511"/>
    <w:rsid w:val="60EB6C34"/>
    <w:rsid w:val="60FD5C7B"/>
    <w:rsid w:val="610C1CA3"/>
    <w:rsid w:val="612501A6"/>
    <w:rsid w:val="613D7E7B"/>
    <w:rsid w:val="61425C7D"/>
    <w:rsid w:val="617162E9"/>
    <w:rsid w:val="618D2E68"/>
    <w:rsid w:val="61A52BAA"/>
    <w:rsid w:val="61C36FD5"/>
    <w:rsid w:val="61CF1360"/>
    <w:rsid w:val="61FA0AE4"/>
    <w:rsid w:val="621D7EC3"/>
    <w:rsid w:val="62221C10"/>
    <w:rsid w:val="623438BB"/>
    <w:rsid w:val="62352B2C"/>
    <w:rsid w:val="624B10F0"/>
    <w:rsid w:val="624F3E48"/>
    <w:rsid w:val="62516C98"/>
    <w:rsid w:val="62635981"/>
    <w:rsid w:val="629B3E75"/>
    <w:rsid w:val="629B5D43"/>
    <w:rsid w:val="62A36D1F"/>
    <w:rsid w:val="62A40365"/>
    <w:rsid w:val="62A469A9"/>
    <w:rsid w:val="62A92FF1"/>
    <w:rsid w:val="62B90FFE"/>
    <w:rsid w:val="62E10186"/>
    <w:rsid w:val="62E35D87"/>
    <w:rsid w:val="62F6018D"/>
    <w:rsid w:val="63016E3A"/>
    <w:rsid w:val="63034141"/>
    <w:rsid w:val="63045E00"/>
    <w:rsid w:val="630A731B"/>
    <w:rsid w:val="631A3570"/>
    <w:rsid w:val="63386B48"/>
    <w:rsid w:val="633A3FE7"/>
    <w:rsid w:val="63410B16"/>
    <w:rsid w:val="63562840"/>
    <w:rsid w:val="637141EC"/>
    <w:rsid w:val="63805B1F"/>
    <w:rsid w:val="63834973"/>
    <w:rsid w:val="638F3DC7"/>
    <w:rsid w:val="6397194C"/>
    <w:rsid w:val="63AB4D19"/>
    <w:rsid w:val="63DA4B5E"/>
    <w:rsid w:val="63DE2C24"/>
    <w:rsid w:val="64273E62"/>
    <w:rsid w:val="642E2892"/>
    <w:rsid w:val="643B736C"/>
    <w:rsid w:val="64AD7C37"/>
    <w:rsid w:val="64B0399F"/>
    <w:rsid w:val="64B05758"/>
    <w:rsid w:val="64BE4B0D"/>
    <w:rsid w:val="65075A96"/>
    <w:rsid w:val="650E600B"/>
    <w:rsid w:val="650F0C7B"/>
    <w:rsid w:val="651541F8"/>
    <w:rsid w:val="652B691A"/>
    <w:rsid w:val="65B221E6"/>
    <w:rsid w:val="65BB5F2E"/>
    <w:rsid w:val="65CC6636"/>
    <w:rsid w:val="65E939D5"/>
    <w:rsid w:val="66426031"/>
    <w:rsid w:val="66593B74"/>
    <w:rsid w:val="665D2DD8"/>
    <w:rsid w:val="66651C8A"/>
    <w:rsid w:val="66675176"/>
    <w:rsid w:val="669F2C65"/>
    <w:rsid w:val="66BE6B53"/>
    <w:rsid w:val="66C55FD8"/>
    <w:rsid w:val="66C96C89"/>
    <w:rsid w:val="66D333AF"/>
    <w:rsid w:val="67023742"/>
    <w:rsid w:val="67192A34"/>
    <w:rsid w:val="674A4927"/>
    <w:rsid w:val="6760233B"/>
    <w:rsid w:val="677243C5"/>
    <w:rsid w:val="678568CD"/>
    <w:rsid w:val="67904A3A"/>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A1EFF"/>
    <w:rsid w:val="68A8123A"/>
    <w:rsid w:val="68B84F4C"/>
    <w:rsid w:val="68F23DC7"/>
    <w:rsid w:val="69055229"/>
    <w:rsid w:val="6929374C"/>
    <w:rsid w:val="692F20BB"/>
    <w:rsid w:val="69784C3F"/>
    <w:rsid w:val="69C1095D"/>
    <w:rsid w:val="6A0138F7"/>
    <w:rsid w:val="6A1E155A"/>
    <w:rsid w:val="6A682BD4"/>
    <w:rsid w:val="6A7B5447"/>
    <w:rsid w:val="6AB3617C"/>
    <w:rsid w:val="6AD14E1A"/>
    <w:rsid w:val="6ADB012D"/>
    <w:rsid w:val="6AE258AE"/>
    <w:rsid w:val="6AE3748E"/>
    <w:rsid w:val="6AE83C5F"/>
    <w:rsid w:val="6AF53FAE"/>
    <w:rsid w:val="6B012062"/>
    <w:rsid w:val="6B1C3EC6"/>
    <w:rsid w:val="6B3F4C28"/>
    <w:rsid w:val="6B574638"/>
    <w:rsid w:val="6B5F5B98"/>
    <w:rsid w:val="6B615C8D"/>
    <w:rsid w:val="6B67068F"/>
    <w:rsid w:val="6B6E2E8D"/>
    <w:rsid w:val="6B977A86"/>
    <w:rsid w:val="6BAB6FBB"/>
    <w:rsid w:val="6BB568D4"/>
    <w:rsid w:val="6BDF720E"/>
    <w:rsid w:val="6BDF79C7"/>
    <w:rsid w:val="6BE146ED"/>
    <w:rsid w:val="6C0B074D"/>
    <w:rsid w:val="6C1458EF"/>
    <w:rsid w:val="6C231806"/>
    <w:rsid w:val="6C275F8B"/>
    <w:rsid w:val="6C2C76C9"/>
    <w:rsid w:val="6C3B15FF"/>
    <w:rsid w:val="6C3B431E"/>
    <w:rsid w:val="6C3E5116"/>
    <w:rsid w:val="6C4A65DC"/>
    <w:rsid w:val="6C725FD7"/>
    <w:rsid w:val="6C8379F5"/>
    <w:rsid w:val="6C852D02"/>
    <w:rsid w:val="6CEA2C90"/>
    <w:rsid w:val="6CFA5C74"/>
    <w:rsid w:val="6D272DFD"/>
    <w:rsid w:val="6D2C4A68"/>
    <w:rsid w:val="6D3B2E78"/>
    <w:rsid w:val="6D3C3AC0"/>
    <w:rsid w:val="6D410335"/>
    <w:rsid w:val="6D4305C3"/>
    <w:rsid w:val="6D48445E"/>
    <w:rsid w:val="6D4A0EB4"/>
    <w:rsid w:val="6D500B73"/>
    <w:rsid w:val="6D666AA6"/>
    <w:rsid w:val="6D687043"/>
    <w:rsid w:val="6D7D6DC8"/>
    <w:rsid w:val="6D885EAB"/>
    <w:rsid w:val="6D953F0C"/>
    <w:rsid w:val="6DB67EBB"/>
    <w:rsid w:val="6DEF52E3"/>
    <w:rsid w:val="6E0E6A1E"/>
    <w:rsid w:val="6E2D763E"/>
    <w:rsid w:val="6E420FB1"/>
    <w:rsid w:val="6E6B46D3"/>
    <w:rsid w:val="6E8E3A5E"/>
    <w:rsid w:val="6E941D46"/>
    <w:rsid w:val="6E953983"/>
    <w:rsid w:val="6E95768E"/>
    <w:rsid w:val="6EA14900"/>
    <w:rsid w:val="6EB27AA3"/>
    <w:rsid w:val="6EBD1CFE"/>
    <w:rsid w:val="6EF9461D"/>
    <w:rsid w:val="6F1348E9"/>
    <w:rsid w:val="6F2A01FE"/>
    <w:rsid w:val="6F2A71A4"/>
    <w:rsid w:val="6F3464F3"/>
    <w:rsid w:val="6F5D1EE4"/>
    <w:rsid w:val="6F802AAD"/>
    <w:rsid w:val="6F9415EA"/>
    <w:rsid w:val="6FB72F84"/>
    <w:rsid w:val="6FCA5E7C"/>
    <w:rsid w:val="6FE11F22"/>
    <w:rsid w:val="6FE3419F"/>
    <w:rsid w:val="6FF778F1"/>
    <w:rsid w:val="700346D4"/>
    <w:rsid w:val="700972F0"/>
    <w:rsid w:val="70287F2C"/>
    <w:rsid w:val="70304C2A"/>
    <w:rsid w:val="703E3D2A"/>
    <w:rsid w:val="70AF69EB"/>
    <w:rsid w:val="70C667BE"/>
    <w:rsid w:val="70DE2249"/>
    <w:rsid w:val="70F97D93"/>
    <w:rsid w:val="710E13DA"/>
    <w:rsid w:val="71181113"/>
    <w:rsid w:val="711D7CA6"/>
    <w:rsid w:val="71226ACC"/>
    <w:rsid w:val="71227E63"/>
    <w:rsid w:val="71614B6B"/>
    <w:rsid w:val="718D2905"/>
    <w:rsid w:val="719909D2"/>
    <w:rsid w:val="719B61D4"/>
    <w:rsid w:val="71A10922"/>
    <w:rsid w:val="71D214DD"/>
    <w:rsid w:val="71E107C1"/>
    <w:rsid w:val="71F62920"/>
    <w:rsid w:val="72091DAA"/>
    <w:rsid w:val="72267D97"/>
    <w:rsid w:val="723734D4"/>
    <w:rsid w:val="724E29D1"/>
    <w:rsid w:val="728564F5"/>
    <w:rsid w:val="728B7ACE"/>
    <w:rsid w:val="728E70EC"/>
    <w:rsid w:val="729701CD"/>
    <w:rsid w:val="72AB431D"/>
    <w:rsid w:val="72DA09BB"/>
    <w:rsid w:val="72E745EF"/>
    <w:rsid w:val="72E97F76"/>
    <w:rsid w:val="72FA735C"/>
    <w:rsid w:val="73031A5D"/>
    <w:rsid w:val="730E0485"/>
    <w:rsid w:val="730E4D7D"/>
    <w:rsid w:val="731466EF"/>
    <w:rsid w:val="73212A01"/>
    <w:rsid w:val="73322FF0"/>
    <w:rsid w:val="733712FB"/>
    <w:rsid w:val="73460FB0"/>
    <w:rsid w:val="73513F28"/>
    <w:rsid w:val="735A7119"/>
    <w:rsid w:val="736127BE"/>
    <w:rsid w:val="739E0038"/>
    <w:rsid w:val="73B34591"/>
    <w:rsid w:val="73D850A2"/>
    <w:rsid w:val="73DE7F6C"/>
    <w:rsid w:val="73E07E7C"/>
    <w:rsid w:val="73E365CE"/>
    <w:rsid w:val="73E64B1D"/>
    <w:rsid w:val="740735EA"/>
    <w:rsid w:val="7408106C"/>
    <w:rsid w:val="7412351E"/>
    <w:rsid w:val="74130252"/>
    <w:rsid w:val="749F2D9C"/>
    <w:rsid w:val="74BB4279"/>
    <w:rsid w:val="74BE4E97"/>
    <w:rsid w:val="74D504C8"/>
    <w:rsid w:val="74F679F1"/>
    <w:rsid w:val="74F841F7"/>
    <w:rsid w:val="75003D28"/>
    <w:rsid w:val="750445F2"/>
    <w:rsid w:val="751D637E"/>
    <w:rsid w:val="751F2555"/>
    <w:rsid w:val="753504B8"/>
    <w:rsid w:val="75466A74"/>
    <w:rsid w:val="757F267E"/>
    <w:rsid w:val="758418D8"/>
    <w:rsid w:val="75A17528"/>
    <w:rsid w:val="75AA6AC3"/>
    <w:rsid w:val="75B749A9"/>
    <w:rsid w:val="75CB1443"/>
    <w:rsid w:val="75CD3F16"/>
    <w:rsid w:val="75EA5BFB"/>
    <w:rsid w:val="761730D6"/>
    <w:rsid w:val="761A34DA"/>
    <w:rsid w:val="765061FC"/>
    <w:rsid w:val="76781DCD"/>
    <w:rsid w:val="76D84698"/>
    <w:rsid w:val="771816DB"/>
    <w:rsid w:val="775865D7"/>
    <w:rsid w:val="775A33B3"/>
    <w:rsid w:val="775B4584"/>
    <w:rsid w:val="776234AF"/>
    <w:rsid w:val="776D12AE"/>
    <w:rsid w:val="776F6C29"/>
    <w:rsid w:val="77895532"/>
    <w:rsid w:val="77AD0FE0"/>
    <w:rsid w:val="77BE7384"/>
    <w:rsid w:val="780801F1"/>
    <w:rsid w:val="780F37EC"/>
    <w:rsid w:val="787A6E12"/>
    <w:rsid w:val="78821B50"/>
    <w:rsid w:val="788E2A2A"/>
    <w:rsid w:val="78C511C6"/>
    <w:rsid w:val="78C52EE0"/>
    <w:rsid w:val="78D23C9C"/>
    <w:rsid w:val="7913610A"/>
    <w:rsid w:val="791A167A"/>
    <w:rsid w:val="794D119C"/>
    <w:rsid w:val="796B6F7E"/>
    <w:rsid w:val="79935707"/>
    <w:rsid w:val="799A2128"/>
    <w:rsid w:val="79C001D9"/>
    <w:rsid w:val="79C0552F"/>
    <w:rsid w:val="79C30D65"/>
    <w:rsid w:val="79CC3295"/>
    <w:rsid w:val="79D37E29"/>
    <w:rsid w:val="7A0B1561"/>
    <w:rsid w:val="7A25258A"/>
    <w:rsid w:val="7A2C646D"/>
    <w:rsid w:val="7A441CE6"/>
    <w:rsid w:val="7A55546C"/>
    <w:rsid w:val="7A743686"/>
    <w:rsid w:val="7A824E2E"/>
    <w:rsid w:val="7A911DBA"/>
    <w:rsid w:val="7A9E7BE0"/>
    <w:rsid w:val="7AFF6437"/>
    <w:rsid w:val="7B021BF1"/>
    <w:rsid w:val="7B3F689A"/>
    <w:rsid w:val="7B4950F7"/>
    <w:rsid w:val="7B794768"/>
    <w:rsid w:val="7B9F2862"/>
    <w:rsid w:val="7BA9751C"/>
    <w:rsid w:val="7BAB44F6"/>
    <w:rsid w:val="7BB856C6"/>
    <w:rsid w:val="7BBB27D3"/>
    <w:rsid w:val="7BC24A45"/>
    <w:rsid w:val="7BC60866"/>
    <w:rsid w:val="7BD52A90"/>
    <w:rsid w:val="7C076616"/>
    <w:rsid w:val="7C0D60AB"/>
    <w:rsid w:val="7C295DFC"/>
    <w:rsid w:val="7C4B37FA"/>
    <w:rsid w:val="7C58255B"/>
    <w:rsid w:val="7C5B5FF8"/>
    <w:rsid w:val="7C910DB6"/>
    <w:rsid w:val="7C9E490F"/>
    <w:rsid w:val="7CF03F88"/>
    <w:rsid w:val="7CF73786"/>
    <w:rsid w:val="7D091FF0"/>
    <w:rsid w:val="7D4C6AE0"/>
    <w:rsid w:val="7D573168"/>
    <w:rsid w:val="7D5E51C4"/>
    <w:rsid w:val="7D7525FB"/>
    <w:rsid w:val="7DC111D1"/>
    <w:rsid w:val="7DC43A43"/>
    <w:rsid w:val="7DC74225"/>
    <w:rsid w:val="7DDA69EF"/>
    <w:rsid w:val="7DDD18D5"/>
    <w:rsid w:val="7E6C26A2"/>
    <w:rsid w:val="7EB35583"/>
    <w:rsid w:val="7EB5276C"/>
    <w:rsid w:val="7EBC57D7"/>
    <w:rsid w:val="7ED0794B"/>
    <w:rsid w:val="7ED70A6F"/>
    <w:rsid w:val="7EE20D78"/>
    <w:rsid w:val="7EFF38D3"/>
    <w:rsid w:val="7F3206AA"/>
    <w:rsid w:val="7F5E6382"/>
    <w:rsid w:val="7F5F2553"/>
    <w:rsid w:val="7F89742A"/>
    <w:rsid w:val="7F9B22D0"/>
    <w:rsid w:val="7F9F74D0"/>
    <w:rsid w:val="7FA200C0"/>
    <w:rsid w:val="7FA23B7F"/>
    <w:rsid w:val="7FBE60DA"/>
    <w:rsid w:val="7FBF3588"/>
    <w:rsid w:val="7FDE4F4F"/>
    <w:rsid w:val="7FEB69A3"/>
    <w:rsid w:val="7FFB01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9"/>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3"/>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37"/>
    <w:qFormat/>
    <w:uiPriority w:val="0"/>
    <w:pPr>
      <w:keepNext/>
      <w:keepLines/>
      <w:spacing w:before="260" w:after="260" w:line="416" w:lineRule="auto"/>
      <w:outlineLvl w:val="2"/>
    </w:pPr>
    <w:rPr>
      <w:b/>
      <w:bCs/>
      <w:sz w:val="32"/>
      <w:szCs w:val="32"/>
    </w:rPr>
  </w:style>
  <w:style w:type="paragraph" w:styleId="2">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Document Map"/>
    <w:basedOn w:val="1"/>
    <w:link w:val="41"/>
    <w:qFormat/>
    <w:uiPriority w:val="0"/>
    <w:rPr>
      <w:rFonts w:ascii="宋体" w:hAnsi="Tahoma"/>
      <w:sz w:val="18"/>
      <w:szCs w:val="18"/>
    </w:rPr>
  </w:style>
  <w:style w:type="paragraph" w:styleId="8">
    <w:name w:val="annotation text"/>
    <w:basedOn w:val="1"/>
    <w:link w:val="69"/>
    <w:semiHidden/>
    <w:qFormat/>
    <w:uiPriority w:val="99"/>
    <w:pPr>
      <w:jc w:val="left"/>
    </w:pPr>
    <w:rPr>
      <w:rFonts w:ascii="Tahoma" w:hAnsi="Tahoma"/>
    </w:rPr>
  </w:style>
  <w:style w:type="paragraph" w:styleId="9">
    <w:name w:val="Body Text 3"/>
    <w:basedOn w:val="1"/>
    <w:qFormat/>
    <w:uiPriority w:val="0"/>
    <w:rPr>
      <w:kern w:val="0"/>
      <w:sz w:val="16"/>
      <w:szCs w:val="16"/>
    </w:rPr>
  </w:style>
  <w:style w:type="paragraph" w:styleId="10">
    <w:name w:val="Body Text"/>
    <w:basedOn w:val="1"/>
    <w:next w:val="1"/>
    <w:qFormat/>
    <w:uiPriority w:val="0"/>
    <w:pPr>
      <w:spacing w:after="120"/>
    </w:pPr>
  </w:style>
  <w:style w:type="paragraph" w:styleId="11">
    <w:name w:val="Body Text Indent"/>
    <w:basedOn w:val="1"/>
    <w:qFormat/>
    <w:uiPriority w:val="0"/>
    <w:pPr>
      <w:spacing w:after="120"/>
      <w:ind w:left="420" w:leftChars="200"/>
    </w:pPr>
  </w:style>
  <w:style w:type="paragraph" w:styleId="12">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3">
    <w:name w:val="toc 3"/>
    <w:basedOn w:val="1"/>
    <w:next w:val="1"/>
    <w:unhideWhenUsed/>
    <w:qFormat/>
    <w:uiPriority w:val="39"/>
    <w:pPr>
      <w:ind w:left="840" w:leftChars="400"/>
    </w:pPr>
    <w:rPr>
      <w:sz w:val="28"/>
    </w:rPr>
  </w:style>
  <w:style w:type="paragraph" w:styleId="14">
    <w:name w:val="Plain Text"/>
    <w:basedOn w:val="1"/>
    <w:qFormat/>
    <w:uiPriority w:val="0"/>
    <w:rPr>
      <w:rFonts w:ascii="宋体" w:hAnsi="Courier New" w:eastAsia="楷体_GB2312"/>
      <w:snapToGrid w:val="0"/>
      <w:color w:val="000000"/>
      <w:kern w:val="0"/>
      <w:sz w:val="32"/>
      <w:szCs w:val="21"/>
    </w:rPr>
  </w:style>
  <w:style w:type="paragraph" w:styleId="15">
    <w:name w:val="Date"/>
    <w:basedOn w:val="1"/>
    <w:next w:val="1"/>
    <w:qFormat/>
    <w:uiPriority w:val="0"/>
    <w:rPr>
      <w:rFonts w:ascii="楷体_GB2312" w:eastAsia="楷体_GB2312"/>
      <w:color w:val="000000"/>
      <w:kern w:val="0"/>
      <w:sz w:val="32"/>
      <w:szCs w:val="32"/>
    </w:rPr>
  </w:style>
  <w:style w:type="paragraph" w:styleId="16">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7">
    <w:name w:val="Balloon Text"/>
    <w:basedOn w:val="1"/>
    <w:unhideWhenUsed/>
    <w:qFormat/>
    <w:uiPriority w:val="0"/>
    <w:rPr>
      <w:sz w:val="18"/>
      <w:szCs w:val="18"/>
    </w:rPr>
  </w:style>
  <w:style w:type="paragraph" w:styleId="18">
    <w:name w:val="footer"/>
    <w:basedOn w:val="1"/>
    <w:link w:val="63"/>
    <w:qFormat/>
    <w:uiPriority w:val="99"/>
    <w:pPr>
      <w:tabs>
        <w:tab w:val="center" w:pos="4153"/>
        <w:tab w:val="right" w:pos="8306"/>
      </w:tabs>
      <w:snapToGrid w:val="0"/>
      <w:jc w:val="left"/>
    </w:pPr>
    <w:rPr>
      <w:rFonts w:ascii="Tahoma" w:hAnsi="Tahoma"/>
      <w:sz w:val="18"/>
      <w:szCs w:val="18"/>
    </w:rPr>
  </w:style>
  <w:style w:type="paragraph" w:styleId="19">
    <w:name w:val="header"/>
    <w:basedOn w:val="1"/>
    <w:next w:val="12"/>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8"/>
    <w:next w:val="8"/>
    <w:link w:val="67"/>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Emphasis"/>
    <w:basedOn w:val="28"/>
    <w:qFormat/>
    <w:uiPriority w:val="0"/>
    <w:rPr>
      <w:color w:val="D73130"/>
      <w:sz w:val="24"/>
      <w:szCs w:val="24"/>
    </w:rPr>
  </w:style>
  <w:style w:type="character" w:styleId="33">
    <w:name w:val="Hyperlink"/>
    <w:qFormat/>
    <w:uiPriority w:val="99"/>
    <w:rPr>
      <w:rFonts w:ascii="Tahoma" w:hAnsi="Tahoma"/>
      <w:color w:val="0000FF"/>
      <w:sz w:val="24"/>
      <w:u w:val="single"/>
    </w:rPr>
  </w:style>
  <w:style w:type="character" w:styleId="34">
    <w:name w:val="HTML Code"/>
    <w:basedOn w:val="28"/>
    <w:semiHidden/>
    <w:unhideWhenUsed/>
    <w:qFormat/>
    <w:uiPriority w:val="0"/>
    <w:rPr>
      <w:rFonts w:ascii="Courier New" w:hAnsi="Courier New"/>
      <w:sz w:val="20"/>
    </w:rPr>
  </w:style>
  <w:style w:type="character" w:styleId="35">
    <w:name w:val="annotation reference"/>
    <w:unhideWhenUsed/>
    <w:qFormat/>
    <w:uiPriority w:val="99"/>
    <w:rPr>
      <w:rFonts w:ascii="Tahoma" w:hAnsi="Tahoma"/>
      <w:sz w:val="21"/>
      <w:szCs w:val="21"/>
    </w:rPr>
  </w:style>
  <w:style w:type="character" w:styleId="36">
    <w:name w:val="HTML Cite"/>
    <w:basedOn w:val="28"/>
    <w:qFormat/>
    <w:uiPriority w:val="0"/>
    <w:rPr>
      <w:sz w:val="24"/>
      <w:szCs w:val="24"/>
    </w:rPr>
  </w:style>
  <w:style w:type="character" w:customStyle="1" w:styleId="37">
    <w:name w:val="标题 3 Char"/>
    <w:link w:val="5"/>
    <w:qFormat/>
    <w:uiPriority w:val="0"/>
    <w:rPr>
      <w:b/>
      <w:bCs/>
      <w:sz w:val="32"/>
      <w:szCs w:val="32"/>
    </w:rPr>
  </w:style>
  <w:style w:type="character" w:customStyle="1" w:styleId="38">
    <w:name w:val="标题 2 Char"/>
    <w:qFormat/>
    <w:uiPriority w:val="0"/>
    <w:rPr>
      <w:rFonts w:ascii="Arial" w:hAnsi="Arial" w:eastAsia="黑体"/>
      <w:b/>
      <w:bCs/>
      <w:kern w:val="2"/>
      <w:sz w:val="32"/>
      <w:szCs w:val="32"/>
      <w:lang w:val="en-US" w:eastAsia="zh-CN" w:bidi="ar-SA"/>
    </w:rPr>
  </w:style>
  <w:style w:type="character" w:customStyle="1" w:styleId="39">
    <w:name w:val="标题 1 Char"/>
    <w:link w:val="3"/>
    <w:qFormat/>
    <w:uiPriority w:val="0"/>
    <w:rPr>
      <w:b/>
      <w:bCs/>
      <w:kern w:val="44"/>
      <w:sz w:val="44"/>
      <w:szCs w:val="44"/>
    </w:rPr>
  </w:style>
  <w:style w:type="character" w:customStyle="1" w:styleId="40">
    <w:name w:val="cfdate"/>
    <w:basedOn w:val="28"/>
    <w:qFormat/>
    <w:uiPriority w:val="0"/>
    <w:rPr>
      <w:color w:val="333333"/>
      <w:sz w:val="18"/>
      <w:szCs w:val="18"/>
    </w:rPr>
  </w:style>
  <w:style w:type="character" w:customStyle="1" w:styleId="41">
    <w:name w:val="文档结构图 Char"/>
    <w:link w:val="7"/>
    <w:qFormat/>
    <w:uiPriority w:val="0"/>
    <w:rPr>
      <w:rFonts w:ascii="宋体" w:hAnsi="Tahoma"/>
      <w:kern w:val="2"/>
      <w:sz w:val="18"/>
      <w:szCs w:val="18"/>
    </w:rPr>
  </w:style>
  <w:style w:type="character" w:customStyle="1" w:styleId="42">
    <w:name w:val="copyright"/>
    <w:basedOn w:val="28"/>
    <w:qFormat/>
    <w:uiPriority w:val="0"/>
  </w:style>
  <w:style w:type="character" w:customStyle="1" w:styleId="43">
    <w:name w:val="Char Char6"/>
    <w:qFormat/>
    <w:uiPriority w:val="0"/>
    <w:rPr>
      <w:rFonts w:ascii="Tahoma" w:hAnsi="Tahoma" w:eastAsia="宋体"/>
      <w:b/>
      <w:bCs/>
      <w:kern w:val="2"/>
      <w:sz w:val="32"/>
      <w:szCs w:val="32"/>
      <w:lang w:val="en-US" w:eastAsia="zh-CN" w:bidi="ar-SA"/>
    </w:rPr>
  </w:style>
  <w:style w:type="character" w:customStyle="1" w:styleId="44">
    <w:name w:val="qxdate"/>
    <w:basedOn w:val="28"/>
    <w:qFormat/>
    <w:uiPriority w:val="0"/>
    <w:rPr>
      <w:color w:val="333333"/>
      <w:sz w:val="18"/>
      <w:szCs w:val="18"/>
    </w:rPr>
  </w:style>
  <w:style w:type="character" w:customStyle="1" w:styleId="45">
    <w:name w:val="gjfg"/>
    <w:basedOn w:val="28"/>
    <w:qFormat/>
    <w:uiPriority w:val="0"/>
  </w:style>
  <w:style w:type="character" w:customStyle="1" w:styleId="46">
    <w:name w:val="Char Char3"/>
    <w:semiHidden/>
    <w:qFormat/>
    <w:uiPriority w:val="0"/>
    <w:rPr>
      <w:rFonts w:ascii="Tahoma" w:hAnsi="Tahoma" w:eastAsia="宋体"/>
      <w:kern w:val="2"/>
      <w:sz w:val="18"/>
      <w:szCs w:val="18"/>
      <w:lang w:val="en-US" w:eastAsia="zh-CN" w:bidi="ar-SA"/>
    </w:rPr>
  </w:style>
  <w:style w:type="character" w:customStyle="1" w:styleId="47">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8">
    <w:name w:val="Char Char4"/>
    <w:qFormat/>
    <w:uiPriority w:val="0"/>
    <w:rPr>
      <w:rFonts w:ascii="Tahoma" w:hAnsi="Tahoma" w:eastAsia="宋体"/>
      <w:kern w:val="2"/>
      <w:sz w:val="18"/>
      <w:szCs w:val="18"/>
      <w:lang w:val="en-US" w:eastAsia="zh-CN" w:bidi="ar-SA"/>
    </w:rPr>
  </w:style>
  <w:style w:type="character" w:customStyle="1" w:styleId="49">
    <w:name w:val="font51"/>
    <w:qFormat/>
    <w:uiPriority w:val="0"/>
    <w:rPr>
      <w:rFonts w:hint="eastAsia" w:ascii="宋体" w:hAnsi="宋体" w:eastAsia="宋体" w:cs="宋体"/>
      <w:color w:val="000000"/>
      <w:sz w:val="21"/>
      <w:szCs w:val="21"/>
      <w:u w:val="none"/>
    </w:rPr>
  </w:style>
  <w:style w:type="character" w:customStyle="1" w:styleId="50">
    <w:name w:val="Char Char1"/>
    <w:semiHidden/>
    <w:qFormat/>
    <w:uiPriority w:val="0"/>
    <w:rPr>
      <w:rFonts w:ascii="Tahoma" w:hAnsi="Tahoma" w:eastAsia="宋体"/>
      <w:kern w:val="2"/>
      <w:sz w:val="28"/>
      <w:lang w:val="en-US" w:eastAsia="zh-CN" w:bidi="ar-SA"/>
    </w:rPr>
  </w:style>
  <w:style w:type="character" w:customStyle="1" w:styleId="51">
    <w:name w:val="profont1"/>
    <w:qFormat/>
    <w:uiPriority w:val="0"/>
    <w:rPr>
      <w:rFonts w:hint="default" w:ascii="Verdana" w:hAnsi="Verdana"/>
      <w:b/>
      <w:bCs/>
      <w:color w:val="333333"/>
      <w:sz w:val="24"/>
      <w:szCs w:val="24"/>
      <w:u w:val="none"/>
    </w:rPr>
  </w:style>
  <w:style w:type="character" w:customStyle="1" w:styleId="52">
    <w:name w:val="Char Char5"/>
    <w:qFormat/>
    <w:uiPriority w:val="0"/>
    <w:rPr>
      <w:rFonts w:ascii="Tahoma" w:hAnsi="Tahoma" w:eastAsia="宋体"/>
      <w:kern w:val="2"/>
      <w:sz w:val="18"/>
      <w:szCs w:val="18"/>
      <w:lang w:val="en-US" w:eastAsia="zh-CN" w:bidi="ar-SA"/>
    </w:rPr>
  </w:style>
  <w:style w:type="character" w:customStyle="1" w:styleId="53">
    <w:name w:val="标题 1.1 Char1"/>
    <w:qFormat/>
    <w:uiPriority w:val="0"/>
    <w:rPr>
      <w:rFonts w:ascii="Arial" w:hAnsi="Arial" w:eastAsia="黑体"/>
      <w:b/>
      <w:bCs/>
      <w:kern w:val="2"/>
      <w:sz w:val="32"/>
      <w:szCs w:val="32"/>
      <w:lang w:val="en-US" w:eastAsia="zh-CN" w:bidi="ar-SA"/>
    </w:rPr>
  </w:style>
  <w:style w:type="character" w:customStyle="1" w:styleId="54">
    <w:name w:val="font01"/>
    <w:qFormat/>
    <w:uiPriority w:val="0"/>
    <w:rPr>
      <w:rFonts w:hint="eastAsia" w:ascii="宋体" w:hAnsi="宋体" w:eastAsia="宋体" w:cs="宋体"/>
      <w:color w:val="000000"/>
      <w:sz w:val="24"/>
      <w:szCs w:val="24"/>
      <w:u w:val="none"/>
    </w:rPr>
  </w:style>
  <w:style w:type="character" w:customStyle="1" w:styleId="55">
    <w:name w:val="font11"/>
    <w:qFormat/>
    <w:uiPriority w:val="0"/>
    <w:rPr>
      <w:rFonts w:hint="eastAsia" w:ascii="宋体" w:hAnsi="宋体" w:eastAsia="宋体" w:cs="宋体"/>
      <w:b/>
      <w:color w:val="000000"/>
      <w:sz w:val="24"/>
      <w:szCs w:val="24"/>
      <w:u w:val="none"/>
    </w:rPr>
  </w:style>
  <w:style w:type="character" w:customStyle="1" w:styleId="56">
    <w:name w:val="Char Char"/>
    <w:qFormat/>
    <w:uiPriority w:val="0"/>
    <w:rPr>
      <w:rFonts w:ascii="Tahoma" w:hAnsi="Tahoma"/>
      <w:kern w:val="2"/>
      <w:sz w:val="21"/>
      <w:szCs w:val="24"/>
    </w:rPr>
  </w:style>
  <w:style w:type="character" w:customStyle="1" w:styleId="57">
    <w:name w:val="style111"/>
    <w:qFormat/>
    <w:uiPriority w:val="0"/>
    <w:rPr>
      <w:rFonts w:ascii="Tahoma" w:hAnsi="Tahoma"/>
      <w:sz w:val="22"/>
      <w:szCs w:val="22"/>
    </w:rPr>
  </w:style>
  <w:style w:type="character" w:customStyle="1" w:styleId="58">
    <w:name w:val="displayarti"/>
    <w:basedOn w:val="28"/>
    <w:qFormat/>
    <w:uiPriority w:val="0"/>
    <w:rPr>
      <w:color w:val="FFFFFF"/>
      <w:shd w:val="clear" w:color="auto" w:fill="A00000"/>
    </w:rPr>
  </w:style>
  <w:style w:type="character" w:customStyle="1" w:styleId="59">
    <w:name w:val="Char Char7"/>
    <w:qFormat/>
    <w:uiPriority w:val="0"/>
    <w:rPr>
      <w:rFonts w:ascii="Tahoma" w:hAnsi="Tahoma" w:eastAsia="宋体"/>
      <w:b/>
      <w:bCs/>
      <w:kern w:val="44"/>
      <w:sz w:val="44"/>
      <w:szCs w:val="44"/>
      <w:lang w:val="en-US" w:eastAsia="zh-CN" w:bidi="ar-SA"/>
    </w:rPr>
  </w:style>
  <w:style w:type="character" w:customStyle="1" w:styleId="60">
    <w:name w:val="font31"/>
    <w:qFormat/>
    <w:uiPriority w:val="0"/>
    <w:rPr>
      <w:rFonts w:hint="eastAsia" w:ascii="宋体" w:hAnsi="宋体" w:eastAsia="宋体" w:cs="宋体"/>
      <w:color w:val="000000"/>
      <w:sz w:val="21"/>
      <w:szCs w:val="21"/>
      <w:u w:val="none"/>
    </w:rPr>
  </w:style>
  <w:style w:type="character" w:customStyle="1" w:styleId="61">
    <w:name w:val="Char Char2"/>
    <w:qFormat/>
    <w:uiPriority w:val="0"/>
    <w:rPr>
      <w:rFonts w:ascii="华文仿宋" w:hAnsi="华文仿宋" w:eastAsia="华文仿宋"/>
      <w:color w:val="000000"/>
      <w:sz w:val="32"/>
      <w:szCs w:val="32"/>
      <w:lang w:val="en-US" w:eastAsia="zh-CN" w:bidi="ar-SA"/>
    </w:rPr>
  </w:style>
  <w:style w:type="character" w:customStyle="1" w:styleId="62">
    <w:name w:val="style51"/>
    <w:qFormat/>
    <w:uiPriority w:val="0"/>
    <w:rPr>
      <w:rFonts w:ascii="Tahoma" w:hAnsi="Tahoma"/>
      <w:b/>
      <w:bCs/>
      <w:color w:val="814107"/>
      <w:sz w:val="21"/>
      <w:szCs w:val="21"/>
    </w:rPr>
  </w:style>
  <w:style w:type="character" w:customStyle="1" w:styleId="63">
    <w:name w:val="页脚 Char"/>
    <w:link w:val="18"/>
    <w:qFormat/>
    <w:uiPriority w:val="99"/>
    <w:rPr>
      <w:rFonts w:ascii="Tahoma" w:hAnsi="Tahoma"/>
      <w:kern w:val="2"/>
      <w:sz w:val="18"/>
      <w:szCs w:val="18"/>
    </w:rPr>
  </w:style>
  <w:style w:type="character" w:customStyle="1" w:styleId="64">
    <w:name w:val="标题 1.1 Char"/>
    <w:qFormat/>
    <w:uiPriority w:val="0"/>
    <w:rPr>
      <w:rFonts w:ascii="仿宋_GB2312" w:hAnsi="Arial" w:eastAsia="仿宋_GB2312" w:cs="Arial"/>
      <w:b/>
      <w:bCs/>
      <w:kern w:val="2"/>
      <w:sz w:val="24"/>
      <w:szCs w:val="24"/>
      <w:lang w:val="en-US" w:eastAsia="zh-CN" w:bidi="ar-SA"/>
    </w:rPr>
  </w:style>
  <w:style w:type="character" w:customStyle="1" w:styleId="65">
    <w:name w:val="普通文字 Char1"/>
    <w:qFormat/>
    <w:uiPriority w:val="0"/>
    <w:rPr>
      <w:rFonts w:ascii="宋体" w:hAnsi="Courier New" w:eastAsia="宋体"/>
      <w:kern w:val="2"/>
      <w:sz w:val="21"/>
      <w:szCs w:val="21"/>
      <w:lang w:val="en-US" w:eastAsia="zh-CN" w:bidi="ar-SA"/>
    </w:rPr>
  </w:style>
  <w:style w:type="character" w:customStyle="1" w:styleId="66">
    <w:name w:val="font41"/>
    <w:qFormat/>
    <w:uiPriority w:val="0"/>
    <w:rPr>
      <w:rFonts w:ascii="font-weight : 400" w:hAnsi="font-weight : 400" w:eastAsia="font-weight : 400" w:cs="font-weight : 400"/>
      <w:color w:val="000000"/>
      <w:sz w:val="21"/>
      <w:szCs w:val="21"/>
      <w:u w:val="none"/>
    </w:rPr>
  </w:style>
  <w:style w:type="character" w:customStyle="1" w:styleId="67">
    <w:name w:val="批注主题 Char"/>
    <w:link w:val="25"/>
    <w:qFormat/>
    <w:uiPriority w:val="0"/>
    <w:rPr>
      <w:rFonts w:ascii="Tahoma" w:hAnsi="Tahoma"/>
      <w:b/>
      <w:bCs/>
      <w:kern w:val="2"/>
      <w:sz w:val="21"/>
      <w:szCs w:val="24"/>
    </w:rPr>
  </w:style>
  <w:style w:type="character" w:customStyle="1" w:styleId="68">
    <w:name w:val="redfilefwwh"/>
    <w:basedOn w:val="28"/>
    <w:qFormat/>
    <w:uiPriority w:val="0"/>
    <w:rPr>
      <w:color w:val="BA2636"/>
      <w:sz w:val="18"/>
      <w:szCs w:val="18"/>
    </w:rPr>
  </w:style>
  <w:style w:type="character" w:customStyle="1" w:styleId="69">
    <w:name w:val="批注文字 Char"/>
    <w:link w:val="8"/>
    <w:semiHidden/>
    <w:qFormat/>
    <w:uiPriority w:val="99"/>
    <w:rPr>
      <w:rFonts w:ascii="Tahoma" w:hAnsi="Tahoma"/>
      <w:kern w:val="2"/>
      <w:sz w:val="21"/>
      <w:szCs w:val="24"/>
    </w:rPr>
  </w:style>
  <w:style w:type="character" w:customStyle="1" w:styleId="70">
    <w:name w:val="redfilenumber"/>
    <w:basedOn w:val="28"/>
    <w:qFormat/>
    <w:uiPriority w:val="0"/>
    <w:rPr>
      <w:color w:val="BA2636"/>
      <w:sz w:val="18"/>
      <w:szCs w:val="18"/>
    </w:rPr>
  </w:style>
  <w:style w:type="paragraph" w:customStyle="1" w:styleId="71">
    <w:name w:val="Char1 Char Char Char"/>
    <w:basedOn w:val="1"/>
    <w:qFormat/>
    <w:uiPriority w:val="0"/>
    <w:pPr>
      <w:adjustRightInd w:val="0"/>
      <w:spacing w:line="360" w:lineRule="auto"/>
    </w:pPr>
    <w:rPr>
      <w:kern w:val="0"/>
      <w:sz w:val="24"/>
      <w:szCs w:val="20"/>
    </w:rPr>
  </w:style>
  <w:style w:type="paragraph" w:customStyle="1" w:styleId="72">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3">
    <w:name w:val="_Style 2"/>
    <w:basedOn w:val="1"/>
    <w:qFormat/>
    <w:uiPriority w:val="34"/>
    <w:pPr>
      <w:ind w:firstLine="420" w:firstLineChars="200"/>
    </w:pPr>
  </w:style>
  <w:style w:type="paragraph" w:customStyle="1" w:styleId="74">
    <w:name w:val="Char Char Char Char Char Char"/>
    <w:basedOn w:val="1"/>
    <w:qFormat/>
    <w:uiPriority w:val="0"/>
    <w:rPr>
      <w:rFonts w:ascii="Tahoma" w:hAnsi="Tahoma"/>
      <w:sz w:val="24"/>
    </w:rPr>
  </w:style>
  <w:style w:type="paragraph" w:customStyle="1" w:styleId="75">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6">
    <w:name w:val="Char Char Char"/>
    <w:basedOn w:val="1"/>
    <w:qFormat/>
    <w:uiPriority w:val="0"/>
    <w:rPr>
      <w:rFonts w:ascii="Tahoma" w:hAnsi="Tahoma"/>
      <w:sz w:val="24"/>
      <w:szCs w:val="20"/>
    </w:rPr>
  </w:style>
  <w:style w:type="paragraph" w:customStyle="1" w:styleId="77">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8">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79">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80">
    <w:name w:val="二级条标题"/>
    <w:basedOn w:val="81"/>
    <w:next w:val="1"/>
    <w:qFormat/>
    <w:uiPriority w:val="0"/>
    <w:pPr>
      <w:numPr>
        <w:ilvl w:val="3"/>
      </w:numPr>
      <w:outlineLvl w:val="3"/>
    </w:pPr>
  </w:style>
  <w:style w:type="paragraph" w:customStyle="1" w:styleId="81">
    <w:name w:val="一级条标题"/>
    <w:basedOn w:val="75"/>
    <w:next w:val="1"/>
    <w:qFormat/>
    <w:uiPriority w:val="0"/>
    <w:pPr>
      <w:numPr>
        <w:ilvl w:val="2"/>
      </w:numPr>
      <w:spacing w:beforeLines="0" w:afterLines="0"/>
      <w:outlineLvl w:val="2"/>
    </w:pPr>
  </w:style>
  <w:style w:type="paragraph" w:customStyle="1" w:styleId="82">
    <w:name w:val="Char Char Char1"/>
    <w:basedOn w:val="1"/>
    <w:qFormat/>
    <w:uiPriority w:val="0"/>
    <w:rPr>
      <w:rFonts w:ascii="Tahoma" w:hAnsi="Tahoma"/>
      <w:sz w:val="24"/>
      <w:szCs w:val="20"/>
    </w:rPr>
  </w:style>
  <w:style w:type="paragraph" w:customStyle="1" w:styleId="83">
    <w:name w:val="样式5"/>
    <w:basedOn w:val="84"/>
    <w:qFormat/>
    <w:uiPriority w:val="0"/>
    <w:pPr>
      <w:numPr>
        <w:ilvl w:val="3"/>
      </w:numPr>
      <w:tabs>
        <w:tab w:val="left" w:pos="432"/>
      </w:tabs>
      <w:spacing w:before="156"/>
    </w:pPr>
  </w:style>
  <w:style w:type="paragraph" w:customStyle="1" w:styleId="84">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5">
    <w:name w:val="Char"/>
    <w:basedOn w:val="1"/>
    <w:qFormat/>
    <w:uiPriority w:val="0"/>
    <w:pPr>
      <w:adjustRightInd w:val="0"/>
      <w:spacing w:line="360" w:lineRule="auto"/>
    </w:pPr>
    <w:rPr>
      <w:kern w:val="0"/>
      <w:sz w:val="24"/>
      <w:szCs w:val="20"/>
    </w:rPr>
  </w:style>
  <w:style w:type="paragraph" w:customStyle="1" w:styleId="86">
    <w:name w:val="Char1"/>
    <w:basedOn w:val="1"/>
    <w:qFormat/>
    <w:uiPriority w:val="0"/>
    <w:pPr>
      <w:adjustRightInd w:val="0"/>
      <w:spacing w:line="360" w:lineRule="auto"/>
    </w:pPr>
    <w:rPr>
      <w:kern w:val="0"/>
      <w:sz w:val="24"/>
      <w:szCs w:val="20"/>
    </w:rPr>
  </w:style>
  <w:style w:type="paragraph" w:customStyle="1" w:styleId="87">
    <w:name w:val="三级条标题"/>
    <w:basedOn w:val="80"/>
    <w:next w:val="1"/>
    <w:qFormat/>
    <w:uiPriority w:val="0"/>
    <w:pPr>
      <w:numPr>
        <w:ilvl w:val="4"/>
      </w:numPr>
      <w:outlineLvl w:val="4"/>
    </w:pPr>
  </w:style>
  <w:style w:type="paragraph" w:customStyle="1" w:styleId="88">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9">
    <w:name w:val="Char Char Char Char Char Char Char"/>
    <w:basedOn w:val="1"/>
    <w:qFormat/>
    <w:uiPriority w:val="0"/>
    <w:rPr>
      <w:rFonts w:ascii="Tahoma" w:hAnsi="Tahoma" w:cs="Arial"/>
      <w:szCs w:val="21"/>
    </w:rPr>
  </w:style>
  <w:style w:type="paragraph" w:customStyle="1" w:styleId="90">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1">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2">
    <w:name w:val="五级条标题"/>
    <w:basedOn w:val="93"/>
    <w:next w:val="1"/>
    <w:qFormat/>
    <w:uiPriority w:val="0"/>
    <w:pPr>
      <w:numPr>
        <w:ilvl w:val="6"/>
      </w:numPr>
      <w:outlineLvl w:val="6"/>
    </w:pPr>
  </w:style>
  <w:style w:type="paragraph" w:customStyle="1" w:styleId="93">
    <w:name w:val="四级条标题"/>
    <w:basedOn w:val="87"/>
    <w:next w:val="1"/>
    <w:qFormat/>
    <w:uiPriority w:val="0"/>
    <w:pPr>
      <w:numPr>
        <w:ilvl w:val="5"/>
      </w:numPr>
      <w:outlineLvl w:val="5"/>
    </w:pPr>
  </w:style>
  <w:style w:type="paragraph" w:customStyle="1" w:styleId="94">
    <w:name w:val="Normal Indent1"/>
    <w:basedOn w:val="1"/>
    <w:qFormat/>
    <w:uiPriority w:val="99"/>
    <w:pPr>
      <w:autoSpaceDE w:val="0"/>
      <w:autoSpaceDN w:val="0"/>
      <w:adjustRightInd w:val="0"/>
      <w:ind w:firstLine="420"/>
    </w:pPr>
    <w:rPr>
      <w:kern w:val="0"/>
      <w:szCs w:val="21"/>
    </w:rPr>
  </w:style>
  <w:style w:type="paragraph" w:customStyle="1" w:styleId="95">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6">
    <w:name w:val="样式6"/>
    <w:basedOn w:val="84"/>
    <w:qFormat/>
    <w:uiPriority w:val="0"/>
    <w:pPr>
      <w:numPr>
        <w:ilvl w:val="2"/>
      </w:numPr>
      <w:tabs>
        <w:tab w:val="clear" w:pos="432"/>
      </w:tabs>
      <w:spacing w:before="156"/>
      <w:outlineLvl w:val="4"/>
    </w:pPr>
    <w:rPr>
      <w:rFonts w:ascii="MS Shell Dlg" w:hAnsi="MS Shell Dlg"/>
    </w:rPr>
  </w:style>
  <w:style w:type="paragraph" w:styleId="97">
    <w:name w:val="List Paragraph"/>
    <w:basedOn w:val="1"/>
    <w:qFormat/>
    <w:uiPriority w:val="34"/>
    <w:pPr>
      <w:ind w:firstLine="420" w:firstLineChars="200"/>
    </w:pPr>
    <w:rPr>
      <w:sz w:val="28"/>
    </w:rPr>
  </w:style>
  <w:style w:type="paragraph" w:customStyle="1" w:styleId="98">
    <w:name w:val="列出段落1"/>
    <w:basedOn w:val="1"/>
    <w:qFormat/>
    <w:uiPriority w:val="0"/>
    <w:pPr>
      <w:ind w:firstLine="420" w:firstLineChars="200"/>
    </w:pPr>
    <w:rPr>
      <w:rFonts w:ascii="Calibri" w:hAnsi="Calibri"/>
      <w:kern w:val="0"/>
      <w:sz w:val="20"/>
      <w:szCs w:val="20"/>
    </w:rPr>
  </w:style>
  <w:style w:type="paragraph" w:customStyle="1" w:styleId="99">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00">
    <w:name w:val="Table Paragraph"/>
    <w:basedOn w:val="1"/>
    <w:unhideWhenUsed/>
    <w:qFormat/>
    <w:uiPriority w:val="1"/>
    <w:rPr>
      <w:rFonts w:hint="eastAsia"/>
      <w:sz w:val="24"/>
    </w:rPr>
  </w:style>
  <w:style w:type="paragraph" w:customStyle="1" w:styleId="101">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02">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3">
    <w:name w:val="标题 2 Char1"/>
    <w:link w:val="4"/>
    <w:qFormat/>
    <w:uiPriority w:val="0"/>
    <w:rPr>
      <w:rFonts w:ascii="Arial" w:hAnsi="Arial" w:eastAsia="黑体"/>
      <w:b/>
      <w:bCs/>
      <w:sz w:val="32"/>
      <w:szCs w:val="32"/>
    </w:rPr>
  </w:style>
  <w:style w:type="character" w:customStyle="1" w:styleId="104">
    <w:name w:val="label"/>
    <w:basedOn w:val="28"/>
    <w:qFormat/>
    <w:uiPriority w:val="0"/>
    <w:rPr>
      <w:color w:val="999999"/>
    </w:rPr>
  </w:style>
  <w:style w:type="character" w:customStyle="1" w:styleId="105">
    <w:name w:val="hover10"/>
    <w:basedOn w:val="28"/>
    <w:qFormat/>
    <w:uiPriority w:val="0"/>
  </w:style>
  <w:style w:type="character" w:customStyle="1" w:styleId="106">
    <w:name w:val="layui-laypage-curr"/>
    <w:basedOn w:val="28"/>
    <w:qFormat/>
    <w:uiPriority w:val="0"/>
  </w:style>
  <w:style w:type="paragraph" w:customStyle="1" w:styleId="10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08">
    <w:name w:val="page_next"/>
    <w:basedOn w:val="28"/>
    <w:qFormat/>
    <w:uiPriority w:val="0"/>
  </w:style>
  <w:style w:type="character" w:customStyle="1" w:styleId="109">
    <w:name w:val="page_prev"/>
    <w:basedOn w:val="28"/>
    <w:qFormat/>
    <w:uiPriority w:val="0"/>
  </w:style>
  <w:style w:type="character" w:customStyle="1" w:styleId="110">
    <w:name w:val="hover9"/>
    <w:basedOn w:val="28"/>
    <w:qFormat/>
    <w:uiPriority w:val="0"/>
    <w:rPr>
      <w:color w:val="FFFFFF"/>
    </w:rPr>
  </w:style>
  <w:style w:type="character" w:customStyle="1" w:styleId="111">
    <w:name w:val="active2"/>
    <w:basedOn w:val="28"/>
    <w:qFormat/>
    <w:uiPriority w:val="0"/>
    <w:rPr>
      <w:color w:val="FFFFFF"/>
    </w:rPr>
  </w:style>
  <w:style w:type="character" w:customStyle="1" w:styleId="112">
    <w:name w:val="hover36"/>
    <w:basedOn w:val="28"/>
    <w:qFormat/>
    <w:uiPriority w:val="0"/>
    <w:rPr>
      <w:color w:val="FFFFFF"/>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B27AA1-DC5F-436E-B588-CEBA7FEE2BD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67</Pages>
  <Words>38122</Words>
  <Characters>40300</Characters>
  <Lines>333</Lines>
  <Paragraphs>93</Paragraphs>
  <TotalTime>2</TotalTime>
  <ScaleCrop>false</ScaleCrop>
  <LinksUpToDate>false</LinksUpToDate>
  <CharactersWithSpaces>42096</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2018-07-02T23:53:00Z</dcterms:created>
  <dc:creator>风之客</dc:creator>
  <cp:lastModifiedBy>ying</cp:lastModifiedBy>
  <cp:lastPrinted>2022-07-08T02:50:00Z</cp:lastPrinted>
  <dcterms:modified xsi:type="dcterms:W3CDTF">2022-07-25T08:52:46Z</dcterms:modified>
  <dc:title>湖 北  招 标</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0893775613E244AFB9EB63BD0AF6EFDD</vt:lpwstr>
  </property>
</Properties>
</file>