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9"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p>
    <w:p>
      <w:pPr>
        <w:pStyle w:val="12"/>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2"/>
        <w:kinsoku w:val="0"/>
        <w:overflowPunct w:val="0"/>
        <w:rPr>
          <w:rFonts w:asciiTheme="minorEastAsia" w:hAnsiTheme="minorEastAsia" w:eastAsiaTheme="minorEastAsia" w:cstheme="minorEastAsia"/>
          <w:sz w:val="20"/>
        </w:rPr>
      </w:pPr>
    </w:p>
    <w:p>
      <w:pPr>
        <w:pStyle w:val="12"/>
        <w:kinsoku w:val="0"/>
        <w:overflowPunct w:val="0"/>
        <w:jc w:val="center"/>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2" w:after="1"/>
        <w:rPr>
          <w:rFonts w:asciiTheme="minorEastAsia" w:hAnsiTheme="minorEastAsia" w:eastAsiaTheme="minorEastAsia" w:cstheme="minorEastAsia"/>
          <w:sz w:val="11"/>
        </w:rPr>
      </w:pPr>
    </w:p>
    <w:tbl>
      <w:tblPr>
        <w:tblStyle w:val="26"/>
        <w:tblW w:w="8146" w:type="dxa"/>
        <w:tblInd w:w="690" w:type="dxa"/>
        <w:tblLayout w:type="fixed"/>
        <w:tblCellMar>
          <w:top w:w="0" w:type="dxa"/>
          <w:left w:w="0" w:type="dxa"/>
          <w:bottom w:w="0" w:type="dxa"/>
          <w:right w:w="0" w:type="dxa"/>
        </w:tblCellMar>
      </w:tblPr>
      <w:tblGrid>
        <w:gridCol w:w="2093"/>
        <w:gridCol w:w="6053"/>
      </w:tblGrid>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9"/>
              <w:kinsoku w:val="0"/>
              <w:overflowPunct w:val="0"/>
              <w:spacing w:line="320"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预算执行计划：</w:t>
            </w:r>
          </w:p>
        </w:tc>
        <w:tc>
          <w:tcPr>
            <w:tcW w:w="6053" w:type="dxa"/>
            <w:tcBorders>
              <w:top w:val="nil"/>
              <w:left w:val="nil"/>
              <w:bottom w:val="nil"/>
              <w:right w:val="nil"/>
              <w:tl2br w:val="nil"/>
              <w:tr2bl w:val="nil"/>
            </w:tcBorders>
            <w:vAlign w:val="center"/>
          </w:tcPr>
          <w:p>
            <w:pPr>
              <w:pStyle w:val="99"/>
              <w:kinsoku w:val="0"/>
              <w:overflowPunct w:val="0"/>
              <w:spacing w:line="320"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9"/>
              <w:kinsoku w:val="0"/>
              <w:overflowPunct w:val="0"/>
              <w:spacing w:before="122"/>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编 号：</w:t>
            </w:r>
          </w:p>
        </w:tc>
        <w:tc>
          <w:tcPr>
            <w:tcW w:w="6053" w:type="dxa"/>
            <w:tcBorders>
              <w:top w:val="nil"/>
              <w:left w:val="nil"/>
              <w:bottom w:val="nil"/>
              <w:right w:val="nil"/>
              <w:tl2br w:val="nil"/>
              <w:tr2bl w:val="nil"/>
            </w:tcBorders>
            <w:vAlign w:val="center"/>
          </w:tcPr>
          <w:p>
            <w:pPr>
              <w:pStyle w:val="99"/>
              <w:kinsoku w:val="0"/>
              <w:overflowPunct w:val="0"/>
              <w:spacing w:before="122"/>
              <w:ind w:left="55"/>
              <w:rPr>
                <w:rFonts w:hint="default" w:eastAsia="微软雅黑" w:asciiTheme="minorEastAsia" w:hAnsiTheme="minorEastAsia" w:cstheme="minorEastAsia"/>
                <w:b/>
                <w:sz w:val="28"/>
              </w:rPr>
            </w:pPr>
            <w:r>
              <w:rPr>
                <w:rFonts w:asciiTheme="minorEastAsia" w:hAnsiTheme="minorEastAsia" w:eastAsiaTheme="minorEastAsia" w:cstheme="minorEastAsia"/>
                <w:b/>
                <w:sz w:val="28"/>
              </w:rPr>
              <w:t>HGDXW21-075/ZJZB-202109-260</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9"/>
              <w:kinsoku w:val="0"/>
              <w:overflowPunct w:val="0"/>
              <w:spacing w:before="123"/>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名 称：</w:t>
            </w:r>
          </w:p>
        </w:tc>
        <w:tc>
          <w:tcPr>
            <w:tcW w:w="6053" w:type="dxa"/>
            <w:tcBorders>
              <w:top w:val="nil"/>
              <w:left w:val="nil"/>
              <w:bottom w:val="nil"/>
              <w:right w:val="nil"/>
              <w:tl2br w:val="nil"/>
              <w:tr2bl w:val="nil"/>
            </w:tcBorders>
            <w:vAlign w:val="center"/>
          </w:tcPr>
          <w:p>
            <w:pPr>
              <w:pStyle w:val="99"/>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湖北工业大学经济与管理学院银行客户信用风险评估项目综合实训平台</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方 式：</w:t>
            </w:r>
          </w:p>
        </w:tc>
        <w:tc>
          <w:tcPr>
            <w:tcW w:w="6053" w:type="dxa"/>
            <w:tcBorders>
              <w:top w:val="nil"/>
              <w:left w:val="nil"/>
              <w:bottom w:val="nil"/>
              <w:right w:val="nil"/>
              <w:tl2br w:val="nil"/>
              <w:tr2bl w:val="nil"/>
            </w:tcBorders>
            <w:vAlign w:val="center"/>
          </w:tcPr>
          <w:p>
            <w:pPr>
              <w:pStyle w:val="99"/>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类 别：</w:t>
            </w:r>
          </w:p>
        </w:tc>
        <w:tc>
          <w:tcPr>
            <w:tcW w:w="6053" w:type="dxa"/>
            <w:tcBorders>
              <w:top w:val="nil"/>
              <w:left w:val="nil"/>
              <w:bottom w:val="nil"/>
              <w:right w:val="nil"/>
              <w:tl2br w:val="nil"/>
              <w:tr2bl w:val="nil"/>
            </w:tcBorders>
            <w:vAlign w:val="center"/>
          </w:tcPr>
          <w:p>
            <w:pPr>
              <w:pStyle w:val="99"/>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bookmarkStart w:id="240" w:name="_GoBack"/>
      <w:bookmarkEnd w:id="240"/>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41"/>
        <w:gridCol w:w="6082"/>
      </w:tblGrid>
      <w:tr>
        <w:tblPrEx>
          <w:tblCellMar>
            <w:top w:w="0" w:type="dxa"/>
            <w:left w:w="0" w:type="dxa"/>
            <w:bottom w:w="0" w:type="dxa"/>
            <w:right w:w="0" w:type="dxa"/>
          </w:tblCellMar>
        </w:tblPrEx>
        <w:trPr>
          <w:trHeight w:val="441" w:hRule="atLeast"/>
        </w:trPr>
        <w:tc>
          <w:tcPr>
            <w:tcW w:w="2041"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82"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41"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82"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trPr>
        <w:tc>
          <w:tcPr>
            <w:tcW w:w="2041"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 ：</w:t>
            </w:r>
          </w:p>
        </w:tc>
        <w:tc>
          <w:tcPr>
            <w:tcW w:w="6082" w:type="dxa"/>
            <w:tcBorders>
              <w:top w:val="nil"/>
              <w:left w:val="nil"/>
              <w:bottom w:val="nil"/>
              <w:right w:val="nil"/>
              <w:tl2br w:val="nil"/>
              <w:tr2bl w:val="nil"/>
            </w:tcBorders>
            <w:vAlign w:val="center"/>
          </w:tcPr>
          <w:p>
            <w:pPr>
              <w:pStyle w:val="99"/>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2021年</w:t>
            </w:r>
            <w:r>
              <w:rPr>
                <w:rFonts w:hint="eastAsia" w:asciiTheme="minorEastAsia" w:hAnsiTheme="minorEastAsia" w:eastAsiaTheme="minorEastAsia" w:cstheme="minorEastAsia"/>
                <w:b/>
                <w:sz w:val="28"/>
                <w:lang w:val="en-US" w:eastAsia="zh-CN"/>
              </w:rPr>
              <w:t>10</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"_Toc25194" </w:instrText>
      </w:r>
      <w:r>
        <w:fldChar w:fldCharType="separate"/>
      </w:r>
      <w:r>
        <w:rPr>
          <w:bCs/>
          <w:szCs w:val="36"/>
        </w:rPr>
        <w:t xml:space="preserve">第一章 </w:t>
      </w:r>
      <w:r>
        <w:rPr>
          <w:rFonts w:hint="eastAsia" w:ascii="宋体" w:hAnsi="宋体" w:cs="宋体"/>
          <w:szCs w:val="36"/>
        </w:rPr>
        <w:t>竞争性磋商公告</w:t>
      </w:r>
      <w:r>
        <w:tab/>
      </w:r>
      <w:r>
        <w:fldChar w:fldCharType="begin"/>
      </w:r>
      <w:r>
        <w:instrText xml:space="preserve"> PAGEREF _Toc25194 </w:instrText>
      </w:r>
      <w:r>
        <w:fldChar w:fldCharType="separate"/>
      </w:r>
      <w:r>
        <w:t>5</w:t>
      </w:r>
      <w:r>
        <w:fldChar w:fldCharType="end"/>
      </w:r>
      <w:r>
        <w:fldChar w:fldCharType="end"/>
      </w:r>
    </w:p>
    <w:p>
      <w:pPr>
        <w:pStyle w:val="22"/>
        <w:tabs>
          <w:tab w:val="right" w:leader="dot" w:pos="9072"/>
        </w:tabs>
        <w:spacing w:line="360" w:lineRule="auto"/>
      </w:pPr>
      <w:r>
        <w:fldChar w:fldCharType="begin"/>
      </w:r>
      <w:r>
        <w:instrText xml:space="preserve"> HYPERLINK \l "_Toc29388" </w:instrText>
      </w:r>
      <w:r>
        <w:fldChar w:fldCharType="separate"/>
      </w:r>
      <w:r>
        <w:rPr>
          <w:rFonts w:hint="eastAsia" w:ascii="宋体" w:hAnsi="宋体" w:cs="宋体"/>
          <w:szCs w:val="21"/>
        </w:rPr>
        <w:t>一、 项目基本情况</w:t>
      </w:r>
      <w:r>
        <w:tab/>
      </w:r>
      <w:r>
        <w:fldChar w:fldCharType="begin"/>
      </w:r>
      <w:r>
        <w:instrText xml:space="preserve"> PAGEREF _Toc29388 </w:instrText>
      </w:r>
      <w:r>
        <w:fldChar w:fldCharType="separate"/>
      </w:r>
      <w:r>
        <w:t>5</w:t>
      </w:r>
      <w:r>
        <w:fldChar w:fldCharType="end"/>
      </w:r>
      <w:r>
        <w:fldChar w:fldCharType="end"/>
      </w:r>
    </w:p>
    <w:p>
      <w:pPr>
        <w:pStyle w:val="22"/>
        <w:tabs>
          <w:tab w:val="right" w:leader="dot" w:pos="9072"/>
        </w:tabs>
        <w:spacing w:line="360" w:lineRule="auto"/>
      </w:pPr>
      <w:r>
        <w:fldChar w:fldCharType="begin"/>
      </w:r>
      <w:r>
        <w:instrText xml:space="preserve"> HYPERLINK \l "_Toc32323" </w:instrText>
      </w:r>
      <w:r>
        <w:fldChar w:fldCharType="separate"/>
      </w:r>
      <w:r>
        <w:rPr>
          <w:rFonts w:hint="eastAsia" w:ascii="宋体" w:hAnsi="宋体" w:cs="宋体"/>
          <w:szCs w:val="21"/>
        </w:rPr>
        <w:t>二、 申请人的资格要求</w:t>
      </w:r>
      <w:r>
        <w:tab/>
      </w:r>
      <w:r>
        <w:fldChar w:fldCharType="begin"/>
      </w:r>
      <w:r>
        <w:instrText xml:space="preserve"> PAGEREF _Toc32323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"_Toc31037" </w:instrText>
      </w:r>
      <w:r>
        <w:fldChar w:fldCharType="separate"/>
      </w:r>
      <w:r>
        <w:rPr>
          <w:rFonts w:hint="eastAsia" w:ascii="宋体" w:hAnsi="宋体" w:cs="宋体"/>
          <w:szCs w:val="21"/>
        </w:rPr>
        <w:t>三、 获取采购文件</w:t>
      </w:r>
      <w:r>
        <w:tab/>
      </w:r>
      <w:r>
        <w:fldChar w:fldCharType="begin"/>
      </w:r>
      <w:r>
        <w:instrText xml:space="preserve"> PAGEREF _Toc31037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"_Toc30368" </w:instrText>
      </w:r>
      <w:r>
        <w:fldChar w:fldCharType="separate"/>
      </w:r>
      <w:r>
        <w:rPr>
          <w:rFonts w:hint="eastAsia" w:ascii="宋体" w:hAnsi="宋体" w:cs="宋体"/>
          <w:szCs w:val="21"/>
        </w:rPr>
        <w:t>四、 响应文件提交</w:t>
      </w:r>
      <w:r>
        <w:tab/>
      </w:r>
      <w:r>
        <w:fldChar w:fldCharType="begin"/>
      </w:r>
      <w:r>
        <w:instrText xml:space="preserve"> PAGEREF _Toc30368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"_Toc8237" </w:instrText>
      </w:r>
      <w:r>
        <w:fldChar w:fldCharType="separate"/>
      </w:r>
      <w:r>
        <w:rPr>
          <w:rFonts w:hint="eastAsia"/>
          <w:szCs w:val="21"/>
        </w:rPr>
        <w:t xml:space="preserve">五、 </w:t>
      </w:r>
      <w:r>
        <w:rPr>
          <w:rFonts w:hint="eastAsia" w:ascii="宋体" w:hAnsi="宋体" w:cs="宋体"/>
          <w:szCs w:val="21"/>
        </w:rPr>
        <w:t>开启</w:t>
      </w:r>
      <w:r>
        <w:tab/>
      </w:r>
      <w:r>
        <w:fldChar w:fldCharType="begin"/>
      </w:r>
      <w:r>
        <w:instrText xml:space="preserve"> PAGEREF _Toc8237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"_Toc14422" </w:instrText>
      </w:r>
      <w:r>
        <w:fldChar w:fldCharType="separate"/>
      </w:r>
      <w:r>
        <w:rPr>
          <w:rFonts w:hint="eastAsia" w:ascii="宋体" w:hAnsi="宋体" w:cs="宋体"/>
          <w:szCs w:val="21"/>
        </w:rPr>
        <w:t>六、 公告期限</w:t>
      </w:r>
      <w:r>
        <w:tab/>
      </w:r>
      <w:r>
        <w:fldChar w:fldCharType="begin"/>
      </w:r>
      <w:r>
        <w:instrText xml:space="preserve"> PAGEREF _Toc14422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"_Toc925" </w:instrText>
      </w:r>
      <w:r>
        <w:fldChar w:fldCharType="separate"/>
      </w:r>
      <w:r>
        <w:rPr>
          <w:rFonts w:hint="eastAsia" w:ascii="宋体" w:hAnsi="宋体" w:cs="宋体"/>
          <w:szCs w:val="21"/>
        </w:rPr>
        <w:t>七、 其他补充事宜</w:t>
      </w:r>
      <w:r>
        <w:tab/>
      </w:r>
      <w:r>
        <w:fldChar w:fldCharType="begin"/>
      </w:r>
      <w:r>
        <w:instrText xml:space="preserve"> PAGEREF _Toc925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"_Toc12269" </w:instrText>
      </w:r>
      <w:r>
        <w:fldChar w:fldCharType="separate"/>
      </w:r>
      <w:r>
        <w:rPr>
          <w:rFonts w:hint="eastAsia" w:ascii="宋体" w:hAnsi="宋体" w:cs="宋体"/>
          <w:szCs w:val="21"/>
        </w:rPr>
        <w:t>八、 凡对本次采购提出询问，请按以下方式联系</w:t>
      </w:r>
      <w:r>
        <w:tab/>
      </w:r>
      <w:r>
        <w:fldChar w:fldCharType="begin"/>
      </w:r>
      <w:r>
        <w:instrText xml:space="preserve"> PAGEREF _Toc12269 </w:instrText>
      </w:r>
      <w:r>
        <w:fldChar w:fldCharType="separate"/>
      </w:r>
      <w:r>
        <w:t>8</w:t>
      </w:r>
      <w:r>
        <w:fldChar w:fldCharType="end"/>
      </w:r>
      <w:r>
        <w:fldChar w:fldCharType="end"/>
      </w:r>
    </w:p>
    <w:p>
      <w:pPr>
        <w:pStyle w:val="22"/>
        <w:tabs>
          <w:tab w:val="right" w:leader="dot" w:pos="9072"/>
        </w:tabs>
        <w:spacing w:line="360" w:lineRule="auto"/>
      </w:pPr>
      <w:r>
        <w:fldChar w:fldCharType="begin"/>
      </w:r>
      <w:r>
        <w:instrText xml:space="preserve"> HYPERLINK \l "_Toc25662" </w:instrText>
      </w:r>
      <w:r>
        <w:fldChar w:fldCharType="separate"/>
      </w:r>
      <w:r>
        <w:rPr>
          <w:rFonts w:hint="eastAsia" w:asciiTheme="minorEastAsia" w:hAnsiTheme="minorEastAsia" w:eastAsiaTheme="minorEastAsia" w:cstheme="minorEastAsia"/>
          <w:szCs w:val="21"/>
        </w:rPr>
        <w:t>九、 注意事项</w:t>
      </w:r>
      <w:r>
        <w:tab/>
      </w:r>
      <w:r>
        <w:fldChar w:fldCharType="begin"/>
      </w:r>
      <w:r>
        <w:instrText xml:space="preserve"> PAGEREF _Toc25662 </w:instrText>
      </w:r>
      <w:r>
        <w:fldChar w:fldCharType="separate"/>
      </w:r>
      <w:r>
        <w:t>8</w:t>
      </w:r>
      <w:r>
        <w:fldChar w:fldCharType="end"/>
      </w:r>
      <w:r>
        <w:fldChar w:fldCharType="end"/>
      </w:r>
    </w:p>
    <w:p>
      <w:pPr>
        <w:pStyle w:val="20"/>
        <w:tabs>
          <w:tab w:val="right" w:leader="dot" w:pos="9072"/>
        </w:tabs>
        <w:spacing w:line="360" w:lineRule="auto"/>
      </w:pPr>
      <w:r>
        <w:fldChar w:fldCharType="begin"/>
      </w:r>
      <w:r>
        <w:instrText xml:space="preserve"> HYPERLINK \l "_Toc12411"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_Toc12411 </w:instrText>
      </w:r>
      <w:r>
        <w:fldChar w:fldCharType="separate"/>
      </w:r>
      <w:r>
        <w:t>9</w:t>
      </w:r>
      <w:r>
        <w:fldChar w:fldCharType="end"/>
      </w:r>
      <w:r>
        <w:fldChar w:fldCharType="end"/>
      </w:r>
    </w:p>
    <w:p>
      <w:pPr>
        <w:pStyle w:val="22"/>
        <w:tabs>
          <w:tab w:val="right" w:leader="dot" w:pos="9072"/>
        </w:tabs>
        <w:spacing w:line="360" w:lineRule="auto"/>
      </w:pPr>
      <w:r>
        <w:fldChar w:fldCharType="begin"/>
      </w:r>
      <w:r>
        <w:instrText xml:space="preserve"> HYPERLINK \l "_Toc4456" </w:instrText>
      </w:r>
      <w: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_Toc4456 </w:instrText>
      </w:r>
      <w:r>
        <w:fldChar w:fldCharType="separate"/>
      </w:r>
      <w:r>
        <w:t>9</w:t>
      </w:r>
      <w:r>
        <w:fldChar w:fldCharType="end"/>
      </w:r>
      <w:r>
        <w:fldChar w:fldCharType="end"/>
      </w:r>
    </w:p>
    <w:p>
      <w:pPr>
        <w:pStyle w:val="22"/>
        <w:tabs>
          <w:tab w:val="right" w:leader="dot" w:pos="9072"/>
        </w:tabs>
        <w:spacing w:line="360" w:lineRule="auto"/>
      </w:pPr>
      <w:r>
        <w:fldChar w:fldCharType="begin"/>
      </w:r>
      <w:r>
        <w:instrText xml:space="preserve"> HYPERLINK \l "_Toc23075" </w:instrText>
      </w:r>
      <w: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_Toc23075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"_Toc18457"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_Toc18457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"_Toc17841"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_Toc17841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"_Toc22187"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_Toc22187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"_Toc9707"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_Toc9707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"_Toc4948"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_Toc4948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"_Toc21644"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_Toc21644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"_Toc25534"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_Toc25534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"_Toc12297"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_Toc12297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"_Toc17968"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_Toc17968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"_Toc6290"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_Toc6290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"_Toc4380"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_Toc4380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"_Toc3554"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_Toc3554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"_Toc1043"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_Toc1043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"_Toc15588"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_Toc15588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"_Toc23921"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_Toc23921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"_Toc827"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_Toc827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"_Toc569"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_Toc569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"_Toc24609"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_Toc24609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"_Toc29173"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_Toc29173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"_Toc17731"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_Toc17731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"_Toc20134"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_Toc20134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"_Toc3975"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_Toc3975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"_Toc16633"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_Toc16633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"_Toc28372"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_Toc28372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"_Toc863"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_Toc863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"_Toc32091"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_Toc32091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"_Toc29375"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_Toc29375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"_Toc2550"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_Toc2550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"_Toc14809"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_Toc14809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"_Toc30347"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_Toc30347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"_Toc5263"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_Toc5263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"_Toc21157"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_Toc21157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"_Toc21170"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_Toc21170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"_Toc23443"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_Toc23443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"_Toc15879"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_Toc15879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"_Toc5844"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_Toc5844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"_Toc26015"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_Toc26015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"_Toc8349"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_Toc8349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"_Toc8371"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_Toc8371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"_Toc22449"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_Toc22449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"_Toc28070"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_Toc28070 </w:instrText>
      </w:r>
      <w:r>
        <w:fldChar w:fldCharType="separate"/>
      </w:r>
      <w:r>
        <w:t>25</w:t>
      </w:r>
      <w:r>
        <w:fldChar w:fldCharType="end"/>
      </w:r>
      <w:r>
        <w:fldChar w:fldCharType="end"/>
      </w:r>
    </w:p>
    <w:p>
      <w:pPr>
        <w:pStyle w:val="20"/>
        <w:tabs>
          <w:tab w:val="right" w:leader="dot" w:pos="9072"/>
        </w:tabs>
        <w:spacing w:line="360" w:lineRule="auto"/>
      </w:pPr>
      <w:r>
        <w:fldChar w:fldCharType="begin"/>
      </w:r>
      <w:r>
        <w:instrText xml:space="preserve"> HYPERLINK \l "_Toc6380"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_Toc6380 </w:instrText>
      </w:r>
      <w:r>
        <w:fldChar w:fldCharType="separate"/>
      </w:r>
      <w:r>
        <w:t>26</w:t>
      </w:r>
      <w:r>
        <w:fldChar w:fldCharType="end"/>
      </w:r>
      <w:r>
        <w:fldChar w:fldCharType="end"/>
      </w:r>
    </w:p>
    <w:p>
      <w:pPr>
        <w:pStyle w:val="22"/>
        <w:tabs>
          <w:tab w:val="right" w:leader="dot" w:pos="9072"/>
        </w:tabs>
        <w:spacing w:line="360" w:lineRule="auto"/>
      </w:pPr>
      <w:r>
        <w:fldChar w:fldCharType="begin"/>
      </w:r>
      <w:r>
        <w:instrText xml:space="preserve"> HYPERLINK \l "_Toc13790"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_Toc13790 </w:instrText>
      </w:r>
      <w:r>
        <w:fldChar w:fldCharType="separate"/>
      </w:r>
      <w:r>
        <w:t>26</w:t>
      </w:r>
      <w:r>
        <w:fldChar w:fldCharType="end"/>
      </w:r>
      <w:r>
        <w:fldChar w:fldCharType="end"/>
      </w:r>
    </w:p>
    <w:p>
      <w:pPr>
        <w:pStyle w:val="22"/>
        <w:tabs>
          <w:tab w:val="right" w:leader="dot" w:pos="9072"/>
        </w:tabs>
        <w:spacing w:line="360" w:lineRule="auto"/>
      </w:pPr>
      <w:r>
        <w:fldChar w:fldCharType="begin"/>
      </w:r>
      <w:r>
        <w:instrText xml:space="preserve"> HYPERLINK \l "_Toc4139"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_Toc4139 </w:instrText>
      </w:r>
      <w:r>
        <w:fldChar w:fldCharType="separate"/>
      </w:r>
      <w:r>
        <w:t>27</w:t>
      </w:r>
      <w:r>
        <w:fldChar w:fldCharType="end"/>
      </w:r>
      <w:r>
        <w:fldChar w:fldCharType="end"/>
      </w:r>
    </w:p>
    <w:p>
      <w:pPr>
        <w:pStyle w:val="20"/>
        <w:tabs>
          <w:tab w:val="right" w:leader="dot" w:pos="9072"/>
        </w:tabs>
        <w:spacing w:line="360" w:lineRule="auto"/>
      </w:pPr>
      <w:r>
        <w:fldChar w:fldCharType="begin"/>
      </w:r>
      <w:r>
        <w:instrText xml:space="preserve"> HYPERLINK \l "_Toc1421"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_Toc1421 </w:instrText>
      </w:r>
      <w:r>
        <w:fldChar w:fldCharType="separate"/>
      </w:r>
      <w:r>
        <w:t>28</w:t>
      </w:r>
      <w:r>
        <w:fldChar w:fldCharType="end"/>
      </w:r>
      <w:r>
        <w:fldChar w:fldCharType="end"/>
      </w:r>
    </w:p>
    <w:p>
      <w:pPr>
        <w:pStyle w:val="22"/>
        <w:tabs>
          <w:tab w:val="right" w:leader="dot" w:pos="9072"/>
        </w:tabs>
        <w:spacing w:line="360" w:lineRule="auto"/>
      </w:pPr>
      <w:r>
        <w:fldChar w:fldCharType="begin"/>
      </w:r>
      <w:r>
        <w:instrText xml:space="preserve"> HYPERLINK \l "_Toc4474" </w:instrText>
      </w:r>
      <w: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_Toc4474 </w:instrText>
      </w:r>
      <w:r>
        <w:fldChar w:fldCharType="separate"/>
      </w:r>
      <w:r>
        <w:t>28</w:t>
      </w:r>
      <w:r>
        <w:fldChar w:fldCharType="end"/>
      </w:r>
      <w:r>
        <w:fldChar w:fldCharType="end"/>
      </w:r>
    </w:p>
    <w:p>
      <w:pPr>
        <w:pStyle w:val="22"/>
        <w:tabs>
          <w:tab w:val="right" w:leader="dot" w:pos="9072"/>
        </w:tabs>
        <w:spacing w:line="360" w:lineRule="auto"/>
      </w:pPr>
      <w:r>
        <w:fldChar w:fldCharType="begin"/>
      </w:r>
      <w:r>
        <w:instrText xml:space="preserve"> HYPERLINK \l "_Toc32423" </w:instrText>
      </w:r>
      <w: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_Toc32423 </w:instrText>
      </w:r>
      <w:r>
        <w:fldChar w:fldCharType="separate"/>
      </w:r>
      <w:r>
        <w:t>31</w:t>
      </w:r>
      <w:r>
        <w:fldChar w:fldCharType="end"/>
      </w:r>
      <w:r>
        <w:fldChar w:fldCharType="end"/>
      </w:r>
    </w:p>
    <w:p>
      <w:pPr>
        <w:pStyle w:val="22"/>
        <w:tabs>
          <w:tab w:val="right" w:leader="dot" w:pos="9072"/>
        </w:tabs>
        <w:spacing w:line="360" w:lineRule="auto"/>
      </w:pPr>
      <w:r>
        <w:fldChar w:fldCharType="begin"/>
      </w:r>
      <w:r>
        <w:instrText xml:space="preserve"> HYPERLINK \l "_Toc18578" </w:instrText>
      </w:r>
      <w: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_Toc18578 </w:instrText>
      </w:r>
      <w:r>
        <w:fldChar w:fldCharType="separate"/>
      </w:r>
      <w:r>
        <w:t>32</w:t>
      </w:r>
      <w:r>
        <w:fldChar w:fldCharType="end"/>
      </w:r>
      <w:r>
        <w:fldChar w:fldCharType="end"/>
      </w:r>
    </w:p>
    <w:p>
      <w:pPr>
        <w:pStyle w:val="22"/>
        <w:tabs>
          <w:tab w:val="right" w:leader="dot" w:pos="9072"/>
        </w:tabs>
        <w:spacing w:line="360" w:lineRule="auto"/>
      </w:pPr>
      <w:r>
        <w:fldChar w:fldCharType="begin"/>
      </w:r>
      <w:r>
        <w:instrText xml:space="preserve"> HYPERLINK \l "_Toc32480" </w:instrText>
      </w:r>
      <w: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_Toc32480 </w:instrText>
      </w:r>
      <w:r>
        <w:fldChar w:fldCharType="separate"/>
      </w:r>
      <w:r>
        <w:t>34</w:t>
      </w:r>
      <w:r>
        <w:fldChar w:fldCharType="end"/>
      </w:r>
      <w:r>
        <w:fldChar w:fldCharType="end"/>
      </w:r>
    </w:p>
    <w:p>
      <w:pPr>
        <w:pStyle w:val="22"/>
        <w:tabs>
          <w:tab w:val="right" w:leader="dot" w:pos="9072"/>
        </w:tabs>
        <w:spacing w:line="360" w:lineRule="auto"/>
      </w:pPr>
      <w:r>
        <w:fldChar w:fldCharType="begin"/>
      </w:r>
      <w:r>
        <w:instrText xml:space="preserve"> HYPERLINK \l "_Toc2647" </w:instrText>
      </w:r>
      <w: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_Toc2647 </w:instrText>
      </w:r>
      <w:r>
        <w:fldChar w:fldCharType="separate"/>
      </w:r>
      <w:r>
        <w:t>35</w:t>
      </w:r>
      <w:r>
        <w:fldChar w:fldCharType="end"/>
      </w:r>
      <w:r>
        <w:fldChar w:fldCharType="end"/>
      </w:r>
    </w:p>
    <w:p>
      <w:pPr>
        <w:pStyle w:val="20"/>
        <w:tabs>
          <w:tab w:val="right" w:leader="dot" w:pos="9072"/>
        </w:tabs>
        <w:spacing w:line="360" w:lineRule="auto"/>
      </w:pPr>
      <w:r>
        <w:fldChar w:fldCharType="begin"/>
      </w:r>
      <w:r>
        <w:instrText xml:space="preserve"> HYPERLINK \l "_Toc11100" </w:instrText>
      </w:r>
      <w:r>
        <w:fldChar w:fldCharType="separate"/>
      </w:r>
      <w:r>
        <w:rPr>
          <w:rFonts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_Toc11100 </w:instrText>
      </w:r>
      <w:r>
        <w:fldChar w:fldCharType="separate"/>
      </w:r>
      <w:r>
        <w:t>37</w:t>
      </w:r>
      <w:r>
        <w:fldChar w:fldCharType="end"/>
      </w:r>
      <w:r>
        <w:fldChar w:fldCharType="end"/>
      </w:r>
    </w:p>
    <w:p>
      <w:pPr>
        <w:pStyle w:val="20"/>
        <w:tabs>
          <w:tab w:val="right" w:leader="dot" w:pos="9072"/>
        </w:tabs>
        <w:spacing w:line="360" w:lineRule="auto"/>
      </w:pPr>
      <w:r>
        <w:fldChar w:fldCharType="begin"/>
      </w:r>
      <w:r>
        <w:instrText xml:space="preserve"> HYPERLINK \l "_Toc17015" </w:instrText>
      </w:r>
      <w:r>
        <w:fldChar w:fldCharType="separate"/>
      </w:r>
      <w:r>
        <w:rPr>
          <w:rFonts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_Toc17015 </w:instrText>
      </w:r>
      <w:r>
        <w:fldChar w:fldCharType="separate"/>
      </w:r>
      <w:r>
        <w:t>39</w:t>
      </w:r>
      <w:r>
        <w:fldChar w:fldCharType="end"/>
      </w:r>
      <w:r>
        <w:fldChar w:fldCharType="end"/>
      </w:r>
    </w:p>
    <w:p>
      <w:pPr>
        <w:pStyle w:val="22"/>
        <w:tabs>
          <w:tab w:val="right" w:leader="dot" w:pos="9072"/>
        </w:tabs>
        <w:spacing w:line="360" w:lineRule="auto"/>
      </w:pPr>
      <w:r>
        <w:fldChar w:fldCharType="begin"/>
      </w:r>
      <w:r>
        <w:instrText xml:space="preserve"> HYPERLINK \l "_Toc14065" </w:instrText>
      </w:r>
      <w:r>
        <w:fldChar w:fldCharType="separate"/>
      </w:r>
      <w:r>
        <w:rPr>
          <w:rFonts w:hint="eastAsia" w:ascii="宋体" w:hAnsi="宋体" w:cs="宋体"/>
          <w:szCs w:val="21"/>
        </w:rPr>
        <w:t>一、评分标准索引表</w:t>
      </w:r>
      <w:r>
        <w:tab/>
      </w:r>
      <w:r>
        <w:fldChar w:fldCharType="begin"/>
      </w:r>
      <w:r>
        <w:instrText xml:space="preserve"> PAGEREF _Toc14065 </w:instrText>
      </w:r>
      <w:r>
        <w:fldChar w:fldCharType="separate"/>
      </w:r>
      <w:r>
        <w:t>40</w:t>
      </w:r>
      <w:r>
        <w:fldChar w:fldCharType="end"/>
      </w:r>
      <w:r>
        <w:fldChar w:fldCharType="end"/>
      </w:r>
    </w:p>
    <w:p>
      <w:pPr>
        <w:pStyle w:val="22"/>
        <w:tabs>
          <w:tab w:val="right" w:leader="dot" w:pos="9072"/>
        </w:tabs>
        <w:spacing w:line="360" w:lineRule="auto"/>
      </w:pPr>
      <w:r>
        <w:fldChar w:fldCharType="begin"/>
      </w:r>
      <w:r>
        <w:instrText xml:space="preserve"> HYPERLINK \l "_Toc8850" </w:instrText>
      </w:r>
      <w:r>
        <w:fldChar w:fldCharType="separate"/>
      </w:r>
      <w:r>
        <w:rPr>
          <w:rFonts w:hint="eastAsia" w:asciiTheme="minorEastAsia" w:hAnsiTheme="minorEastAsia" w:eastAsiaTheme="minorEastAsia" w:cstheme="minorEastAsia"/>
        </w:rPr>
        <w:t>二、磋商书</w:t>
      </w:r>
      <w:r>
        <w:tab/>
      </w:r>
      <w:r>
        <w:fldChar w:fldCharType="begin"/>
      </w:r>
      <w:r>
        <w:instrText xml:space="preserve"> PAGEREF _Toc8850 </w:instrText>
      </w:r>
      <w:r>
        <w:fldChar w:fldCharType="separate"/>
      </w:r>
      <w:r>
        <w:t>41</w:t>
      </w:r>
      <w:r>
        <w:fldChar w:fldCharType="end"/>
      </w:r>
      <w:r>
        <w:fldChar w:fldCharType="end"/>
      </w:r>
    </w:p>
    <w:p>
      <w:pPr>
        <w:pStyle w:val="22"/>
        <w:tabs>
          <w:tab w:val="right" w:leader="dot" w:pos="9072"/>
        </w:tabs>
        <w:spacing w:line="360" w:lineRule="auto"/>
      </w:pPr>
      <w:r>
        <w:fldChar w:fldCharType="begin"/>
      </w:r>
      <w:r>
        <w:instrText xml:space="preserve"> HYPERLINK \l "_Toc24882" </w:instrText>
      </w:r>
      <w: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_Toc24882 </w:instrText>
      </w:r>
      <w:r>
        <w:fldChar w:fldCharType="separate"/>
      </w:r>
      <w:r>
        <w:t>42</w:t>
      </w:r>
      <w:r>
        <w:fldChar w:fldCharType="end"/>
      </w:r>
      <w:r>
        <w:fldChar w:fldCharType="end"/>
      </w:r>
    </w:p>
    <w:p>
      <w:pPr>
        <w:pStyle w:val="22"/>
        <w:tabs>
          <w:tab w:val="right" w:leader="dot" w:pos="9072"/>
        </w:tabs>
        <w:spacing w:line="360" w:lineRule="auto"/>
      </w:pPr>
      <w:r>
        <w:fldChar w:fldCharType="begin"/>
      </w:r>
      <w:r>
        <w:instrText xml:space="preserve"> HYPERLINK \l "_Toc19133"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_Toc19133 </w:instrText>
      </w:r>
      <w:r>
        <w:fldChar w:fldCharType="separate"/>
      </w:r>
      <w:r>
        <w:t>43</w:t>
      </w:r>
      <w:r>
        <w:fldChar w:fldCharType="end"/>
      </w:r>
      <w:r>
        <w:fldChar w:fldCharType="end"/>
      </w:r>
    </w:p>
    <w:p>
      <w:pPr>
        <w:pStyle w:val="22"/>
        <w:tabs>
          <w:tab w:val="right" w:leader="dot" w:pos="9072"/>
        </w:tabs>
        <w:spacing w:line="360" w:lineRule="auto"/>
      </w:pPr>
      <w:r>
        <w:fldChar w:fldCharType="begin"/>
      </w:r>
      <w:r>
        <w:instrText xml:space="preserve"> HYPERLINK \l "_Toc24587" </w:instrText>
      </w:r>
      <w: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_Toc24587 </w:instrText>
      </w:r>
      <w:r>
        <w:fldChar w:fldCharType="separate"/>
      </w:r>
      <w:r>
        <w:t>44</w:t>
      </w:r>
      <w:r>
        <w:fldChar w:fldCharType="end"/>
      </w:r>
      <w:r>
        <w:fldChar w:fldCharType="end"/>
      </w:r>
    </w:p>
    <w:p>
      <w:pPr>
        <w:pStyle w:val="22"/>
        <w:tabs>
          <w:tab w:val="right" w:leader="dot" w:pos="9072"/>
        </w:tabs>
        <w:spacing w:line="360" w:lineRule="auto"/>
      </w:pPr>
      <w:r>
        <w:fldChar w:fldCharType="begin"/>
      </w:r>
      <w:r>
        <w:instrText xml:space="preserve"> HYPERLINK \l "_Toc9154" </w:instrText>
      </w:r>
      <w: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_Toc9154 </w:instrText>
      </w:r>
      <w:r>
        <w:fldChar w:fldCharType="separate"/>
      </w:r>
      <w:r>
        <w:t>45</w:t>
      </w:r>
      <w:r>
        <w:fldChar w:fldCharType="end"/>
      </w:r>
      <w:r>
        <w:fldChar w:fldCharType="end"/>
      </w:r>
    </w:p>
    <w:p>
      <w:pPr>
        <w:pStyle w:val="22"/>
        <w:tabs>
          <w:tab w:val="right" w:leader="dot" w:pos="9072"/>
        </w:tabs>
        <w:spacing w:line="360" w:lineRule="auto"/>
      </w:pPr>
      <w:r>
        <w:fldChar w:fldCharType="begin"/>
      </w:r>
      <w:r>
        <w:instrText xml:space="preserve"> HYPERLINK \l "_Toc8555" </w:instrText>
      </w:r>
      <w: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_Toc8555 </w:instrText>
      </w:r>
      <w:r>
        <w:fldChar w:fldCharType="separate"/>
      </w:r>
      <w:r>
        <w:t>46</w:t>
      </w:r>
      <w:r>
        <w:fldChar w:fldCharType="end"/>
      </w:r>
      <w:r>
        <w:fldChar w:fldCharType="end"/>
      </w:r>
    </w:p>
    <w:p>
      <w:pPr>
        <w:pStyle w:val="22"/>
        <w:tabs>
          <w:tab w:val="right" w:leader="dot" w:pos="9072"/>
        </w:tabs>
        <w:spacing w:line="360" w:lineRule="auto"/>
      </w:pPr>
      <w:r>
        <w:fldChar w:fldCharType="begin"/>
      </w:r>
      <w:r>
        <w:instrText xml:space="preserve"> HYPERLINK \l "_Toc4858" </w:instrText>
      </w:r>
      <w: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_Toc4858 </w:instrText>
      </w:r>
      <w:r>
        <w:fldChar w:fldCharType="separate"/>
      </w:r>
      <w:r>
        <w:t>47</w:t>
      </w:r>
      <w:r>
        <w:fldChar w:fldCharType="end"/>
      </w:r>
      <w:r>
        <w:fldChar w:fldCharType="end"/>
      </w:r>
    </w:p>
    <w:p>
      <w:pPr>
        <w:pStyle w:val="22"/>
        <w:tabs>
          <w:tab w:val="right" w:leader="dot" w:pos="9072"/>
        </w:tabs>
        <w:spacing w:line="360" w:lineRule="auto"/>
      </w:pPr>
      <w:r>
        <w:fldChar w:fldCharType="begin"/>
      </w:r>
      <w:r>
        <w:instrText xml:space="preserve"> HYPERLINK \l "_Toc28637" </w:instrText>
      </w:r>
      <w: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_Toc28637 </w:instrText>
      </w:r>
      <w:r>
        <w:fldChar w:fldCharType="separate"/>
      </w:r>
      <w:r>
        <w:t>48</w:t>
      </w:r>
      <w:r>
        <w:fldChar w:fldCharType="end"/>
      </w:r>
      <w:r>
        <w:fldChar w:fldCharType="end"/>
      </w:r>
    </w:p>
    <w:p>
      <w:pPr>
        <w:pStyle w:val="22"/>
        <w:tabs>
          <w:tab w:val="right" w:leader="dot" w:pos="9072"/>
        </w:tabs>
        <w:spacing w:line="360" w:lineRule="auto"/>
      </w:pPr>
      <w:r>
        <w:fldChar w:fldCharType="begin"/>
      </w:r>
      <w:r>
        <w:instrText xml:space="preserve"> HYPERLINK \l "_Toc12530" </w:instrText>
      </w:r>
      <w: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_Toc12530 </w:instrText>
      </w:r>
      <w:r>
        <w:fldChar w:fldCharType="separate"/>
      </w:r>
      <w:r>
        <w:t>49</w:t>
      </w:r>
      <w:r>
        <w:fldChar w:fldCharType="end"/>
      </w:r>
      <w:r>
        <w:fldChar w:fldCharType="end"/>
      </w:r>
    </w:p>
    <w:p>
      <w:pPr>
        <w:pStyle w:val="22"/>
        <w:tabs>
          <w:tab w:val="right" w:leader="dot" w:pos="9072"/>
        </w:tabs>
        <w:spacing w:line="360" w:lineRule="auto"/>
      </w:pPr>
      <w:r>
        <w:fldChar w:fldCharType="begin"/>
      </w:r>
      <w:r>
        <w:instrText xml:space="preserve"> HYPERLINK \l "_Toc24869"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_Toc24869 </w:instrText>
      </w:r>
      <w:r>
        <w:fldChar w:fldCharType="separate"/>
      </w:r>
      <w:r>
        <w:t>50</w:t>
      </w:r>
      <w:r>
        <w:fldChar w:fldCharType="end"/>
      </w:r>
      <w:r>
        <w:fldChar w:fldCharType="end"/>
      </w:r>
    </w:p>
    <w:p>
      <w:pPr>
        <w:pStyle w:val="22"/>
        <w:tabs>
          <w:tab w:val="right" w:leader="dot" w:pos="9072"/>
        </w:tabs>
        <w:spacing w:line="360" w:lineRule="auto"/>
      </w:pPr>
      <w:r>
        <w:fldChar w:fldCharType="begin"/>
      </w:r>
      <w:r>
        <w:instrText xml:space="preserve"> HYPERLINK \l "_Toc17955" </w:instrText>
      </w:r>
      <w: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_Toc17955 </w:instrText>
      </w:r>
      <w:r>
        <w:fldChar w:fldCharType="separate"/>
      </w:r>
      <w:r>
        <w:t>51</w:t>
      </w:r>
      <w:r>
        <w:fldChar w:fldCharType="end"/>
      </w:r>
      <w:r>
        <w:fldChar w:fldCharType="end"/>
      </w:r>
    </w:p>
    <w:p>
      <w:pPr>
        <w:pStyle w:val="22"/>
        <w:tabs>
          <w:tab w:val="right" w:leader="dot" w:pos="9072"/>
        </w:tabs>
        <w:spacing w:line="360" w:lineRule="auto"/>
      </w:pPr>
      <w:r>
        <w:fldChar w:fldCharType="begin"/>
      </w:r>
      <w:r>
        <w:instrText xml:space="preserve"> HYPERLINK \l "_Toc1688"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_Toc1688 </w:instrText>
      </w:r>
      <w:r>
        <w:fldChar w:fldCharType="separate"/>
      </w:r>
      <w:r>
        <w:t>52</w:t>
      </w:r>
      <w:r>
        <w:fldChar w:fldCharType="end"/>
      </w:r>
      <w:r>
        <w:fldChar w:fldCharType="end"/>
      </w:r>
    </w:p>
    <w:p>
      <w:pPr>
        <w:pStyle w:val="22"/>
        <w:tabs>
          <w:tab w:val="right" w:leader="dot" w:pos="9072"/>
        </w:tabs>
        <w:spacing w:line="360" w:lineRule="auto"/>
      </w:pPr>
      <w:r>
        <w:fldChar w:fldCharType="begin"/>
      </w:r>
      <w:r>
        <w:instrText xml:space="preserve"> HYPERLINK \l "_Toc18017"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_Toc18017 </w:instrText>
      </w:r>
      <w:r>
        <w:fldChar w:fldCharType="separate"/>
      </w:r>
      <w:r>
        <w:t>53</w:t>
      </w:r>
      <w:r>
        <w:fldChar w:fldCharType="end"/>
      </w:r>
      <w:r>
        <w:fldChar w:fldCharType="end"/>
      </w:r>
    </w:p>
    <w:p>
      <w:pPr>
        <w:pStyle w:val="22"/>
        <w:tabs>
          <w:tab w:val="right" w:leader="dot" w:pos="9072"/>
        </w:tabs>
        <w:spacing w:line="360" w:lineRule="auto"/>
      </w:pPr>
      <w:r>
        <w:fldChar w:fldCharType="begin"/>
      </w:r>
      <w:r>
        <w:instrText xml:space="preserve"> HYPERLINK \l "_Toc21818" </w:instrText>
      </w:r>
      <w: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_Toc21818 </w:instrText>
      </w:r>
      <w:r>
        <w:fldChar w:fldCharType="separate"/>
      </w:r>
      <w:r>
        <w:t>54</w:t>
      </w:r>
      <w:r>
        <w:fldChar w:fldCharType="end"/>
      </w:r>
      <w:r>
        <w:fldChar w:fldCharType="end"/>
      </w:r>
    </w:p>
    <w:p>
      <w:pPr>
        <w:pStyle w:val="22"/>
        <w:tabs>
          <w:tab w:val="right" w:leader="dot" w:pos="9072"/>
        </w:tabs>
        <w:spacing w:line="360" w:lineRule="auto"/>
      </w:pPr>
      <w:r>
        <w:fldChar w:fldCharType="begin"/>
      </w:r>
      <w:r>
        <w:instrText xml:space="preserve"> HYPERLINK \l "_Toc2302"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_Toc2302 </w:instrText>
      </w:r>
      <w:r>
        <w:fldChar w:fldCharType="separate"/>
      </w:r>
      <w:r>
        <w:t>55</w:t>
      </w:r>
      <w:r>
        <w:fldChar w:fldCharType="end"/>
      </w:r>
      <w:r>
        <w:fldChar w:fldCharType="end"/>
      </w:r>
    </w:p>
    <w:p>
      <w:pPr>
        <w:pStyle w:val="22"/>
        <w:tabs>
          <w:tab w:val="right" w:leader="dot" w:pos="9072"/>
        </w:tabs>
        <w:spacing w:line="360" w:lineRule="auto"/>
      </w:pPr>
      <w:r>
        <w:fldChar w:fldCharType="begin"/>
      </w:r>
      <w:r>
        <w:instrText xml:space="preserve"> HYPERLINK \l "_Toc11257"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_Toc11257 </w:instrText>
      </w:r>
      <w:r>
        <w:fldChar w:fldCharType="separate"/>
      </w:r>
      <w:r>
        <w:t>56</w:t>
      </w:r>
      <w:r>
        <w:fldChar w:fldCharType="end"/>
      </w:r>
      <w:r>
        <w:fldChar w:fldCharType="end"/>
      </w:r>
    </w:p>
    <w:p>
      <w:pPr>
        <w:pStyle w:val="22"/>
        <w:tabs>
          <w:tab w:val="right" w:leader="dot" w:pos="9072"/>
        </w:tabs>
        <w:spacing w:line="360" w:lineRule="auto"/>
      </w:pPr>
      <w:r>
        <w:fldChar w:fldCharType="begin"/>
      </w:r>
      <w:r>
        <w:instrText xml:space="preserve"> HYPERLINK \l "_Toc10919" </w:instrText>
      </w:r>
      <w: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_Toc10919 </w:instrText>
      </w:r>
      <w:r>
        <w:fldChar w:fldCharType="separate"/>
      </w:r>
      <w:r>
        <w:t>57</w:t>
      </w:r>
      <w:r>
        <w:fldChar w:fldCharType="end"/>
      </w:r>
      <w:r>
        <w:fldChar w:fldCharType="end"/>
      </w:r>
    </w:p>
    <w:p>
      <w:pPr>
        <w:pStyle w:val="22"/>
        <w:tabs>
          <w:tab w:val="right" w:leader="dot" w:pos="9072"/>
        </w:tabs>
        <w:spacing w:line="360" w:lineRule="auto"/>
      </w:pPr>
      <w:r>
        <w:fldChar w:fldCharType="begin"/>
      </w:r>
      <w:r>
        <w:instrText xml:space="preserve"> HYPERLINK \l "_Toc20592" </w:instrText>
      </w:r>
      <w: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_Toc20592 </w:instrText>
      </w:r>
      <w:r>
        <w:fldChar w:fldCharType="separate"/>
      </w:r>
      <w:r>
        <w:t>58</w:t>
      </w:r>
      <w:r>
        <w:fldChar w:fldCharType="end"/>
      </w:r>
      <w:r>
        <w:fldChar w:fldCharType="end"/>
      </w:r>
    </w:p>
    <w:p>
      <w:pPr>
        <w:pStyle w:val="22"/>
        <w:tabs>
          <w:tab w:val="right" w:leader="dot" w:pos="9072"/>
        </w:tabs>
        <w:spacing w:line="360" w:lineRule="auto"/>
      </w:pPr>
      <w:r>
        <w:fldChar w:fldCharType="begin"/>
      </w:r>
      <w:r>
        <w:instrText xml:space="preserve"> HYPERLINK \l "_Toc12167"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_Toc12167 </w:instrText>
      </w:r>
      <w:r>
        <w:fldChar w:fldCharType="separate"/>
      </w:r>
      <w:r>
        <w:t>59</w:t>
      </w:r>
      <w:r>
        <w:fldChar w:fldCharType="end"/>
      </w:r>
      <w:r>
        <w:fldChar w:fldCharType="end"/>
      </w:r>
    </w:p>
    <w:p>
      <w:pPr>
        <w:pStyle w:val="22"/>
        <w:tabs>
          <w:tab w:val="right" w:leader="dot" w:pos="9072"/>
        </w:tabs>
        <w:spacing w:line="360" w:lineRule="auto"/>
      </w:pPr>
      <w:r>
        <w:fldChar w:fldCharType="begin"/>
      </w:r>
      <w:r>
        <w:instrText xml:space="preserve"> HYPERLINK \l "_Toc16157"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_Toc16157 </w:instrText>
      </w:r>
      <w:r>
        <w:fldChar w:fldCharType="separate"/>
      </w:r>
      <w:r>
        <w:t>59</w:t>
      </w:r>
      <w:r>
        <w:fldChar w:fldCharType="end"/>
      </w:r>
      <w: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6866"/>
      <w:bookmarkStart w:id="1" w:name="_Toc25194"/>
      <w:r>
        <w:rPr>
          <w:rFonts w:hint="eastAsia" w:ascii="宋体" w:hAnsi="宋体" w:cs="宋体"/>
          <w:b/>
          <w:sz w:val="36"/>
          <w:szCs w:val="36"/>
        </w:rPr>
        <w:t>竞争性磋商公告</w:t>
      </w:r>
      <w:bookmarkEnd w:id="0"/>
      <w:bookmarkEnd w:id="1"/>
      <w:bookmarkStart w:id="2" w:name="_Toc524908844"/>
      <w:bookmarkStart w:id="3" w:name="_Toc9976"/>
      <w:bookmarkStart w:id="4" w:name="_Toc152042288"/>
      <w:bookmarkStart w:id="5" w:name="_Toc144974480"/>
      <w:bookmarkStart w:id="6" w:name="_Toc152045512"/>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u w:val="single"/>
        </w:rPr>
        <w:t>湖北工业大学经济与管理学院银行客户信用风险评估项目综合实训平台</w:t>
      </w:r>
      <w:r>
        <w:rPr>
          <w:rFonts w:hint="eastAsia" w:ascii="宋体" w:hAnsi="宋体" w:cs="宋体"/>
          <w:szCs w:val="21"/>
        </w:rPr>
        <w:t>采购项目的潜在供应商应在</w:t>
      </w:r>
      <w:r>
        <w:rPr>
          <w:rFonts w:hint="eastAsia" w:ascii="宋体" w:hAnsi="宋体" w:cs="宋体"/>
          <w:szCs w:val="21"/>
          <w:u w:val="single"/>
        </w:rPr>
        <w:t>中经国际招标集团有限公司（武昌区中北路岳家嘴立交山河企业大厦48楼4805室）</w:t>
      </w:r>
      <w:r>
        <w:rPr>
          <w:rFonts w:hint="eastAsia" w:ascii="宋体" w:hAnsi="宋体" w:cs="宋体"/>
          <w:szCs w:val="21"/>
        </w:rPr>
        <w:t>获取采购文件，并于</w:t>
      </w:r>
      <w:r>
        <w:rPr>
          <w:rFonts w:hint="eastAsia" w:ascii="宋体" w:hAnsi="宋体" w:cs="宋体"/>
          <w:szCs w:val="21"/>
          <w:u w:val="single"/>
        </w:rPr>
        <w:t>2021年</w:t>
      </w:r>
      <w:r>
        <w:rPr>
          <w:rFonts w:hint="eastAsia" w:ascii="宋体" w:hAnsi="宋体" w:cs="宋体"/>
          <w:szCs w:val="21"/>
          <w:u w:val="single"/>
          <w:lang w:val="en-US" w:eastAsia="zh-CN"/>
        </w:rPr>
        <w:t>10</w:t>
      </w:r>
      <w:r>
        <w:rPr>
          <w:rFonts w:hint="eastAsia" w:ascii="宋体" w:hAnsi="宋体" w:cs="宋体"/>
          <w:szCs w:val="21"/>
          <w:u w:val="single"/>
        </w:rPr>
        <w:t>月</w:t>
      </w:r>
      <w:r>
        <w:rPr>
          <w:rFonts w:hint="eastAsia" w:ascii="宋体" w:hAnsi="宋体" w:cs="宋体"/>
          <w:szCs w:val="21"/>
          <w:u w:val="single"/>
          <w:lang w:val="en-US" w:eastAsia="zh-CN"/>
        </w:rPr>
        <w:t>20</w:t>
      </w:r>
      <w:r>
        <w:rPr>
          <w:rFonts w:hint="eastAsia" w:ascii="宋体" w:hAnsi="宋体" w:cs="宋体"/>
          <w:szCs w:val="21"/>
          <w:u w:val="single"/>
        </w:rPr>
        <w:t>日</w:t>
      </w:r>
      <w:r>
        <w:rPr>
          <w:rFonts w:hint="eastAsia" w:ascii="宋体" w:hAnsi="宋体" w:cs="宋体"/>
          <w:szCs w:val="21"/>
          <w:u w:val="single"/>
          <w:lang w:val="en-US" w:eastAsia="zh-CN"/>
        </w:rPr>
        <w:t>14</w:t>
      </w:r>
      <w:r>
        <w:rPr>
          <w:rFonts w:hint="eastAsia" w:ascii="宋体" w:hAnsi="宋体" w:cs="宋体"/>
          <w:szCs w:val="21"/>
          <w:u w:val="single"/>
        </w:rPr>
        <w:t>点</w:t>
      </w:r>
      <w:r>
        <w:rPr>
          <w:rFonts w:hint="eastAsia" w:ascii="宋体" w:hAnsi="宋体" w:cs="宋体"/>
          <w:szCs w:val="21"/>
          <w:u w:val="single"/>
          <w:lang w:val="en-US" w:eastAsia="zh-CN"/>
        </w:rPr>
        <w:t>00</w:t>
      </w:r>
      <w:r>
        <w:rPr>
          <w:rFonts w:hint="eastAsia" w:ascii="宋体" w:hAnsi="宋体" w:cs="宋体"/>
          <w:szCs w:val="21"/>
          <w:u w:val="single"/>
        </w:rPr>
        <w:t>分</w:t>
      </w:r>
      <w:r>
        <w:rPr>
          <w:rFonts w:hint="eastAsia" w:ascii="宋体" w:hAnsi="宋体" w:cs="宋体"/>
          <w:szCs w:val="21"/>
        </w:rPr>
        <w:t>（北京时间）前递交响应文件。</w:t>
      </w:r>
    </w:p>
    <w:p>
      <w:pPr>
        <w:pStyle w:val="5"/>
        <w:numPr>
          <w:ilvl w:val="0"/>
          <w:numId w:val="6"/>
        </w:numPr>
        <w:spacing w:line="360" w:lineRule="auto"/>
        <w:jc w:val="left"/>
        <w:rPr>
          <w:rFonts w:ascii="宋体" w:hAnsi="宋体" w:eastAsia="宋体" w:cs="宋体"/>
          <w:color w:val="000000"/>
          <w:sz w:val="21"/>
          <w:szCs w:val="21"/>
        </w:rPr>
      </w:pPr>
      <w:bookmarkStart w:id="8" w:name="_Toc29388"/>
      <w:r>
        <w:rPr>
          <w:rFonts w:hint="eastAsia" w:ascii="宋体" w:hAnsi="宋体" w:eastAsia="宋体" w:cs="宋体"/>
          <w:color w:val="000000"/>
          <w:sz w:val="21"/>
          <w:szCs w:val="21"/>
        </w:rPr>
        <w:t>项目基本情况</w:t>
      </w:r>
      <w:bookmarkEnd w:id="8"/>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1.项目编号：HGDXW21-075/ZJZB-202109-260</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3.项目名称：湖北工业大学经济与管理学院银行客户信用风险评估项目综合实训平台</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26</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26</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7.采购需求：采购银行客户信用风险评估项目综合实训平台。</w:t>
      </w:r>
      <w:r>
        <w:rPr>
          <w:rFonts w:hint="eastAsia" w:asciiTheme="minorEastAsia" w:hAnsiTheme="minorEastAsia" w:eastAsiaTheme="minorEastAsia" w:cstheme="minorEastAsia"/>
          <w:szCs w:val="21"/>
        </w:rPr>
        <w:t>(详</w:t>
      </w:r>
      <w:r>
        <w:rPr>
          <w:rFonts w:hint="eastAsia" w:asciiTheme="minorEastAsia" w:hAnsiTheme="minorEastAsia" w:eastAsiaTheme="minorEastAsia" w:cstheme="minorEastAsia"/>
          <w:color w:val="000000"/>
          <w:szCs w:val="21"/>
        </w:rPr>
        <w:t>见采购文件第三章“项目采购需求”）</w:t>
      </w:r>
    </w:p>
    <w:p>
      <w:p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（1）类别：</w:t>
      </w:r>
      <w:r>
        <w:rPr>
          <w:rFonts w:hint="eastAsia" w:ascii="宋体" w:hAnsi="宋体" w:cs="宋体"/>
          <w:szCs w:val="21"/>
        </w:rPr>
        <w:t>货物</w:t>
      </w:r>
    </w:p>
    <w:p>
      <w:pPr>
        <w:spacing w:line="360" w:lineRule="auto"/>
        <w:ind w:firstLine="420" w:firstLineChars="200"/>
        <w:jc w:val="left"/>
        <w:rPr>
          <w:rFonts w:ascii="宋体" w:hAnsi="宋体" w:cs="宋体"/>
          <w:szCs w:val="21"/>
        </w:rPr>
      </w:pPr>
      <w:r>
        <w:rPr>
          <w:rFonts w:hint="eastAsia" w:ascii="宋体" w:hAnsi="宋体" w:cs="宋体"/>
          <w:szCs w:val="21"/>
        </w:rPr>
        <w:t>（2）交货期：合同签订后</w:t>
      </w:r>
      <w:r>
        <w:rPr>
          <w:rFonts w:hint="eastAsia" w:ascii="宋体" w:hAnsi="宋体" w:cs="宋体"/>
          <w:szCs w:val="21"/>
          <w:u w:val="single"/>
        </w:rPr>
        <w:t xml:space="preserve"> </w:t>
      </w:r>
      <w:r>
        <w:rPr>
          <w:rFonts w:ascii="宋体" w:hAnsi="宋体" w:cs="宋体"/>
          <w:szCs w:val="21"/>
          <w:u w:val="single"/>
        </w:rPr>
        <w:t>9</w:t>
      </w:r>
      <w:r>
        <w:rPr>
          <w:rFonts w:hint="eastAsia" w:ascii="宋体" w:hAnsi="宋体" w:cs="宋体"/>
          <w:szCs w:val="21"/>
          <w:u w:val="single"/>
        </w:rPr>
        <w:t xml:space="preserve"> </w:t>
      </w:r>
      <w:r>
        <w:rPr>
          <w:rFonts w:hint="eastAsia" w:ascii="宋体" w:hAnsi="宋体" w:cs="宋体"/>
          <w:szCs w:val="21"/>
        </w:rPr>
        <w:t>日历天内供货，到货后</w:t>
      </w:r>
      <w:r>
        <w:rPr>
          <w:rFonts w:hint="eastAsia" w:ascii="宋体" w:hAnsi="宋体" w:cs="宋体"/>
          <w:szCs w:val="21"/>
          <w:u w:val="single"/>
        </w:rPr>
        <w:t xml:space="preserve"> </w:t>
      </w:r>
      <w:r>
        <w:rPr>
          <w:rFonts w:ascii="宋体" w:hAnsi="宋体" w:cs="宋体"/>
          <w:szCs w:val="21"/>
          <w:u w:val="single"/>
        </w:rPr>
        <w:t>5</w:t>
      </w:r>
      <w:r>
        <w:rPr>
          <w:rFonts w:hint="eastAsia" w:ascii="宋体" w:hAnsi="宋体" w:cs="宋体"/>
          <w:szCs w:val="21"/>
          <w:u w:val="single"/>
        </w:rPr>
        <w:t xml:space="preserve"> </w:t>
      </w:r>
      <w:r>
        <w:rPr>
          <w:rFonts w:hint="eastAsia" w:ascii="宋体" w:hAnsi="宋体" w:cs="宋体"/>
          <w:szCs w:val="21"/>
        </w:rPr>
        <w:t>天内完成安装调试</w:t>
      </w:r>
    </w:p>
    <w:p>
      <w:pPr>
        <w:spacing w:line="360" w:lineRule="auto"/>
        <w:ind w:firstLine="420" w:firstLineChars="200"/>
        <w:jc w:val="left"/>
        <w:rPr>
          <w:rFonts w:ascii="宋体" w:hAnsi="宋体" w:cs="宋体"/>
          <w:color w:val="000000"/>
          <w:szCs w:val="21"/>
        </w:rPr>
      </w:pPr>
      <w:r>
        <w:rPr>
          <w:rFonts w:hint="eastAsia" w:ascii="宋体" w:hAnsi="宋体" w:cs="宋体"/>
          <w:szCs w:val="21"/>
        </w:rPr>
        <w:t>（3）质保期/保修期：</w:t>
      </w:r>
      <w:r>
        <w:rPr>
          <w:rFonts w:hint="eastAsia" w:hAnsi="宋体"/>
          <w:szCs w:val="21"/>
        </w:rPr>
        <w:t>可终身使用，质保期3年内免费升级。</w:t>
      </w:r>
    </w:p>
    <w:p>
      <w:p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（4）质量标准：达到国家或行业颁布的其他现行各项技术标准和验收规范规定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（5）其他：供应商参加竞标的报价超过该包采购最高限价的，该包竞标无效；供应商报价须包含该采购需求的全部内容。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color w:val="000000"/>
          <w:szCs w:val="21"/>
        </w:rPr>
        <w:t>8.</w:t>
      </w:r>
      <w:r>
        <w:rPr>
          <w:rFonts w:hint="eastAsia" w:ascii="宋体" w:hAnsi="宋体" w:cs="宋体"/>
          <w:szCs w:val="21"/>
        </w:rPr>
        <w:t>合同履行期限：</w:t>
      </w:r>
      <w:r>
        <w:rPr>
          <w:rFonts w:hint="eastAsia" w:ascii="宋体" w:hAnsi="宋体" w:cs="宋体"/>
          <w:szCs w:val="21"/>
          <w:u w:val="single"/>
        </w:rPr>
        <w:t xml:space="preserve"> 见交货期；    </w:t>
      </w:r>
      <w:r>
        <w:rPr>
          <w:rFonts w:hint="eastAsia" w:ascii="宋体" w:hAnsi="宋体" w:cs="宋体"/>
          <w:color w:val="FF0000"/>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ascii="宋体" w:hAnsi="宋体" w:cs="宋体"/>
          <w:szCs w:val="21"/>
        </w:rPr>
      </w:pPr>
      <w:r>
        <w:rPr>
          <w:rFonts w:hint="eastAsia" w:asciiTheme="minorEastAsia" w:hAnsiTheme="minorEastAsia" w:eastAsiaTheme="minorEastAsia" w:cstheme="minorEastAsia"/>
          <w:szCs w:val="21"/>
        </w:rPr>
        <w:t>11.本项目（是/否）专门面向中小微企业：否</w:t>
      </w:r>
    </w:p>
    <w:p>
      <w:pPr>
        <w:pStyle w:val="5"/>
        <w:numPr>
          <w:ilvl w:val="0"/>
          <w:numId w:val="6"/>
        </w:numPr>
        <w:spacing w:line="360" w:lineRule="auto"/>
        <w:jc w:val="left"/>
        <w:rPr>
          <w:rFonts w:ascii="宋体" w:hAnsi="宋体" w:eastAsia="宋体" w:cs="宋体"/>
          <w:sz w:val="21"/>
          <w:szCs w:val="21"/>
        </w:rPr>
      </w:pPr>
      <w:bookmarkStart w:id="9" w:name="_Toc32323"/>
      <w:r>
        <w:rPr>
          <w:rFonts w:hint="eastAsia" w:ascii="宋体" w:hAnsi="宋体" w:eastAsia="宋体" w:cs="宋体"/>
          <w:sz w:val="21"/>
          <w:szCs w:val="21"/>
        </w:rPr>
        <w:t>申请人的资格要求</w:t>
      </w:r>
      <w:bookmarkEnd w:id="9"/>
    </w:p>
    <w:p>
      <w:pPr>
        <w:numPr>
          <w:ilvl w:val="0"/>
          <w:numId w:val="7"/>
        </w:num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未被列入失信被执行人、重大税收违法案件当事人名单，未被列入政府采购严重违法失信行为记录名单。</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5.落实政府采购政策需满足的资格要求：本项目整体非专门面向中小企业，即小微企业参与本项目可享受政府采购中小企业扶持政策，本项目企业划分标准所属行业为“其他未列明行业”。</w:t>
      </w:r>
    </w:p>
    <w:p>
      <w:pPr>
        <w:spacing w:line="360" w:lineRule="auto"/>
        <w:ind w:left="420" w:leftChars="200"/>
        <w:jc w:val="left"/>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6.本项目的特定资格要求：无</w:t>
      </w:r>
    </w:p>
    <w:p>
      <w:pPr>
        <w:pStyle w:val="5"/>
        <w:numPr>
          <w:ilvl w:val="0"/>
          <w:numId w:val="6"/>
        </w:numPr>
        <w:spacing w:line="360" w:lineRule="auto"/>
        <w:jc w:val="left"/>
        <w:rPr>
          <w:rFonts w:ascii="宋体" w:hAnsi="宋体" w:eastAsia="宋体" w:cs="宋体"/>
          <w:sz w:val="21"/>
          <w:szCs w:val="21"/>
        </w:rPr>
      </w:pPr>
      <w:bookmarkStart w:id="10" w:name="_Toc31037"/>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szCs w:val="21"/>
          <w:u w:val="single"/>
        </w:rPr>
        <w:t>2021年</w:t>
      </w:r>
      <w:r>
        <w:rPr>
          <w:rFonts w:hint="eastAsia" w:ascii="宋体" w:hAnsi="宋体" w:cs="宋体"/>
          <w:szCs w:val="21"/>
          <w:u w:val="single"/>
          <w:lang w:val="en-US" w:eastAsia="zh-CN"/>
        </w:rPr>
        <w:t>10</w:t>
      </w:r>
      <w:r>
        <w:rPr>
          <w:rFonts w:hint="eastAsia" w:ascii="宋体" w:hAnsi="宋体" w:cs="宋体"/>
          <w:szCs w:val="21"/>
          <w:u w:val="single"/>
        </w:rPr>
        <w:t>月</w:t>
      </w:r>
      <w:r>
        <w:rPr>
          <w:rFonts w:hint="eastAsia" w:ascii="宋体" w:hAnsi="宋体" w:cs="宋体"/>
          <w:szCs w:val="21"/>
          <w:u w:val="single"/>
          <w:lang w:val="en-US" w:eastAsia="zh-CN"/>
        </w:rPr>
        <w:t>8</w:t>
      </w:r>
      <w:r>
        <w:rPr>
          <w:rFonts w:hint="eastAsia" w:ascii="宋体" w:hAnsi="宋体" w:cs="宋体"/>
          <w:szCs w:val="21"/>
          <w:u w:val="single"/>
        </w:rPr>
        <w:t>日至2021年</w:t>
      </w:r>
      <w:r>
        <w:rPr>
          <w:rFonts w:hint="eastAsia" w:ascii="宋体" w:hAnsi="宋体" w:cs="宋体"/>
          <w:szCs w:val="21"/>
          <w:u w:val="single"/>
          <w:lang w:val="en-US" w:eastAsia="zh-CN"/>
        </w:rPr>
        <w:t>10</w:t>
      </w:r>
      <w:r>
        <w:rPr>
          <w:rFonts w:hint="eastAsia" w:ascii="宋体" w:hAnsi="宋体" w:cs="宋体"/>
          <w:szCs w:val="21"/>
          <w:u w:val="single"/>
        </w:rPr>
        <w:t>月</w:t>
      </w:r>
      <w:r>
        <w:rPr>
          <w:rFonts w:hint="eastAsia" w:ascii="宋体" w:hAnsi="宋体" w:cs="宋体"/>
          <w:szCs w:val="21"/>
          <w:u w:val="single"/>
          <w:lang w:val="en-US" w:eastAsia="zh-CN"/>
        </w:rPr>
        <w:t>13</w:t>
      </w:r>
      <w:r>
        <w:rPr>
          <w:rFonts w:hint="eastAsia" w:ascii="宋体" w:hAnsi="宋体" w:cs="宋体"/>
          <w:szCs w:val="21"/>
          <w:u w:val="single"/>
        </w:rPr>
        <w:t>日</w:t>
      </w:r>
      <w:r>
        <w:rPr>
          <w:rFonts w:hint="eastAsia" w:ascii="宋体" w:hAnsi="宋体" w:cs="宋体"/>
          <w:szCs w:val="21"/>
        </w:rPr>
        <w:t>，每天上午09:00至12:00，下午14:30至17:00（北京时间，法定节假日除外）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w:t>
      </w:r>
    </w:p>
    <w:bookmarkEnd w:id="11"/>
    <w:p>
      <w:pPr>
        <w:spacing w:line="360" w:lineRule="auto"/>
        <w:ind w:firstLine="420" w:firstLineChars="200"/>
        <w:jc w:val="left"/>
        <w:rPr>
          <w:rFonts w:ascii="宋体" w:hAnsi="宋体" w:cs="宋体"/>
          <w:szCs w:val="21"/>
        </w:rPr>
      </w:pPr>
      <w:r>
        <w:rPr>
          <w:rFonts w:hint="eastAsia" w:ascii="宋体" w:hAnsi="宋体" w:cs="宋体"/>
          <w:szCs w:val="21"/>
        </w:rPr>
        <w:t>线上获取：因疫情原因，采取网上获取文件的方式，请各供应商将以下附件资料加盖公章扫描后传至2102252595@qq.com（邮件主题名称必须备注所投项目名称及公司姓名，否则不予受理），以邮箱显示收到的时间为准，递交资料后请联系代理机构工作人员支付磋商文件费用并确认后获取磋商文件。采购文件售后不退，不办理邮寄；</w:t>
      </w:r>
      <w:r>
        <w:rPr>
          <w:rFonts w:hint="eastAsia" w:ascii="宋体" w:hAnsi="宋体" w:cs="宋体"/>
          <w:szCs w:val="21"/>
        </w:rPr>
        <w:br w:type="textWrapping"/>
      </w:r>
      <w:r>
        <w:rPr>
          <w:rFonts w:hint="eastAsia" w:ascii="宋体" w:hAnsi="宋体" w:cs="宋体"/>
          <w:b/>
          <w:bCs/>
          <w:szCs w:val="21"/>
        </w:rPr>
        <w:t xml:space="preserve">    </w:t>
      </w:r>
      <w:r>
        <w:rPr>
          <w:rFonts w:hint="eastAsia" w:ascii="宋体" w:hAnsi="宋体" w:cs="宋体"/>
          <w:szCs w:val="21"/>
        </w:rPr>
        <w:t>售价：400（元）；</w:t>
      </w:r>
    </w:p>
    <w:p>
      <w:pPr>
        <w:pStyle w:val="5"/>
        <w:numPr>
          <w:ilvl w:val="0"/>
          <w:numId w:val="6"/>
        </w:numPr>
        <w:spacing w:line="360" w:lineRule="auto"/>
        <w:jc w:val="left"/>
        <w:rPr>
          <w:rFonts w:ascii="宋体" w:hAnsi="宋体" w:eastAsia="宋体" w:cs="宋体"/>
          <w:sz w:val="21"/>
          <w:szCs w:val="21"/>
        </w:rPr>
      </w:pPr>
      <w:bookmarkStart w:id="12" w:name="_Toc30368"/>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开始时间：2021年</w:t>
      </w:r>
      <w:r>
        <w:rPr>
          <w:rFonts w:hint="eastAsia" w:asciiTheme="minorEastAsia" w:hAnsiTheme="minorEastAsia" w:eastAsiaTheme="minorEastAsia" w:cstheme="minorEastAsia"/>
          <w:szCs w:val="21"/>
          <w:lang w:val="en-US" w:eastAsia="zh-CN"/>
        </w:rPr>
        <w:t>10</w:t>
      </w:r>
      <w:r>
        <w:rPr>
          <w:rFonts w:hint="eastAsia" w:asciiTheme="minorEastAsia" w:hAnsiTheme="minorEastAsia" w:eastAsiaTheme="minorEastAsia" w:cstheme="minorEastAsia"/>
          <w:szCs w:val="21"/>
        </w:rPr>
        <w:t>月20日</w:t>
      </w:r>
      <w:r>
        <w:rPr>
          <w:rFonts w:hint="eastAsia" w:asciiTheme="minorEastAsia" w:hAnsiTheme="minorEastAsia" w:eastAsiaTheme="minorEastAsia" w:cstheme="minorEastAsia"/>
          <w:szCs w:val="21"/>
          <w:lang w:val="en-US" w:eastAsia="zh-CN"/>
        </w:rPr>
        <w:t>08</w:t>
      </w:r>
      <w:r>
        <w:rPr>
          <w:rFonts w:hint="eastAsia" w:asciiTheme="minorEastAsia" w:hAnsiTheme="minorEastAsia" w:eastAsiaTheme="minorEastAsia" w:cstheme="minorEastAsia"/>
          <w:szCs w:val="21"/>
        </w:rPr>
        <w:t>点</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截止时间：2021年10月20日14点00分（北京时间）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地点：武昌区中北路岳家嘴立交山河企业大厦4806室，凡是购买了磋商文件且已回复确定参加竞标的潜在供应商，于竞标当日临时放弃竞标的，应及时以电话告知形式通知采购代理机构。</w:t>
      </w:r>
    </w:p>
    <w:p>
      <w:pPr>
        <w:pStyle w:val="5"/>
        <w:numPr>
          <w:ilvl w:val="0"/>
          <w:numId w:val="6"/>
        </w:numPr>
        <w:spacing w:line="360" w:lineRule="auto"/>
        <w:jc w:val="left"/>
        <w:rPr>
          <w:rFonts w:eastAsia="宋体"/>
          <w:sz w:val="21"/>
          <w:szCs w:val="21"/>
        </w:rPr>
      </w:pPr>
      <w:bookmarkStart w:id="13" w:name="_Toc8237"/>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Theme="minorEastAsia" w:hAnsiTheme="minorEastAsia" w:eastAsiaTheme="minorEastAsia" w:cstheme="minorEastAsia"/>
          <w:szCs w:val="21"/>
        </w:rPr>
        <w:t>2021年10月20日14点00分</w:t>
      </w:r>
      <w:r>
        <w:rPr>
          <w:rFonts w:hint="eastAsia" w:ascii="宋体" w:hAnsi="宋体" w:cs="宋体"/>
          <w:szCs w:val="21"/>
        </w:rPr>
        <w:t>（北京时间）</w:t>
      </w:r>
    </w:p>
    <w:p>
      <w:pPr>
        <w:pStyle w:val="5"/>
        <w:numPr>
          <w:ilvl w:val="0"/>
          <w:numId w:val="6"/>
        </w:numPr>
        <w:spacing w:line="360" w:lineRule="auto"/>
        <w:jc w:val="left"/>
        <w:rPr>
          <w:rFonts w:ascii="宋体" w:hAnsi="宋体" w:eastAsia="宋体" w:cs="宋体"/>
          <w:sz w:val="21"/>
          <w:szCs w:val="21"/>
        </w:rPr>
      </w:pPr>
      <w:bookmarkStart w:id="14" w:name="_Toc14422"/>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259607751"/>
      <w:bookmarkStart w:id="16" w:name="_Toc317262251"/>
      <w:bookmarkStart w:id="17" w:name="_Toc320898024"/>
      <w:bookmarkStart w:id="18" w:name="_Toc334539188"/>
      <w:bookmarkStart w:id="19" w:name="_Toc276368888"/>
      <w:bookmarkStart w:id="20" w:name="_Toc6021"/>
      <w:r>
        <w:rPr>
          <w:rFonts w:hint="eastAsia" w:ascii="宋体" w:hAnsi="宋体" w:cs="宋体"/>
          <w:szCs w:val="21"/>
        </w:rPr>
        <w:t>自本公告发布之日起3个工作日</w:t>
      </w:r>
    </w:p>
    <w:bookmarkEnd w:id="15"/>
    <w:bookmarkEnd w:id="16"/>
    <w:bookmarkEnd w:id="17"/>
    <w:bookmarkEnd w:id="18"/>
    <w:bookmarkEnd w:id="19"/>
    <w:bookmarkEnd w:id="20"/>
    <w:p>
      <w:pPr>
        <w:pStyle w:val="5"/>
        <w:numPr>
          <w:ilvl w:val="0"/>
          <w:numId w:val="6"/>
        </w:numPr>
        <w:spacing w:line="360" w:lineRule="auto"/>
        <w:jc w:val="left"/>
        <w:rPr>
          <w:rFonts w:ascii="宋体" w:hAnsi="宋体" w:eastAsia="宋体" w:cs="宋体"/>
          <w:sz w:val="21"/>
          <w:szCs w:val="21"/>
        </w:rPr>
      </w:pPr>
      <w:bookmarkStart w:id="21" w:name="_Toc925"/>
      <w:r>
        <w:rPr>
          <w:rFonts w:hint="eastAsia" w:ascii="宋体" w:hAnsi="宋体" w:eastAsia="宋体" w:cs="宋体"/>
          <w:sz w:val="21"/>
          <w:szCs w:val="21"/>
        </w:rPr>
        <w:t>其他补充事宜</w:t>
      </w:r>
      <w:bookmarkEnd w:id="21"/>
    </w:p>
    <w:p>
      <w:pPr>
        <w:spacing w:line="360" w:lineRule="auto"/>
        <w:ind w:firstLine="420" w:firstLineChars="200"/>
        <w:jc w:val="left"/>
        <w:rPr>
          <w:rFonts w:hint="eastAsia" w:ascii="宋体" w:hAnsi="宋体" w:cs="宋体" w:eastAsiaTheme="minorEastAsia"/>
          <w:szCs w:val="21"/>
          <w:lang w:eastAsia="zh-CN"/>
        </w:rPr>
      </w:pPr>
      <w:bookmarkStart w:id="22" w:name="_Toc259028279"/>
      <w:r>
        <w:rPr>
          <w:rFonts w:hint="eastAsia" w:ascii="宋体" w:hAnsi="宋体" w:cs="宋体"/>
          <w:szCs w:val="21"/>
        </w:rPr>
        <w:t>1.</w:t>
      </w:r>
      <w:r>
        <w:rPr>
          <w:rFonts w:hint="eastAsia" w:asciiTheme="minorEastAsia" w:hAnsiTheme="minorEastAsia" w:eastAsiaTheme="minorEastAsia" w:cstheme="minorEastAsia"/>
          <w:szCs w:val="21"/>
        </w:rPr>
        <w:t>本项目资金性质为：</w:t>
      </w:r>
      <w:r>
        <w:rPr>
          <w:rFonts w:hint="eastAsia" w:asciiTheme="minorEastAsia" w:hAnsiTheme="minorEastAsia" w:eastAsiaTheme="minorEastAsia" w:cstheme="minorEastAsia"/>
          <w:szCs w:val="21"/>
          <w:lang w:eastAsia="zh-CN"/>
        </w:rPr>
        <w:t>自筹资金</w:t>
      </w:r>
    </w:p>
    <w:p>
      <w:pPr>
        <w:spacing w:line="360" w:lineRule="auto"/>
        <w:ind w:firstLine="420" w:firstLineChars="200"/>
        <w:jc w:val="left"/>
        <w:rPr>
          <w:rFonts w:ascii="宋体" w:hAnsi="宋体" w:cs="宋体"/>
          <w:szCs w:val="21"/>
        </w:rPr>
      </w:pPr>
      <w:r>
        <w:rPr>
          <w:rFonts w:hint="eastAsia" w:ascii="宋体" w:hAnsi="宋体" w:cs="宋体"/>
          <w:szCs w:val="21"/>
        </w:rPr>
        <w:t>2.供应商如需查询技术要求可到我处查阅采购文件第三章相关内容。</w:t>
      </w:r>
      <w:r>
        <w:rPr>
          <w:rFonts w:hint="eastAsia" w:ascii="宋体" w:hAnsi="宋体" w:cs="宋体"/>
          <w:szCs w:val="21"/>
        </w:rPr>
        <w:br w:type="textWrapping"/>
      </w:r>
      <w:r>
        <w:rPr>
          <w:rFonts w:hint="eastAsia" w:ascii="宋体" w:hAnsi="宋体" w:cs="宋体"/>
          <w:szCs w:val="21"/>
        </w:rPr>
        <w:t xml:space="preserve">    3.本项目将在以下网站发布所有信息，请参加本项目竞标的供应商密切关注。</w:t>
      </w:r>
      <w:r>
        <w:rPr>
          <w:rFonts w:hint="eastAsia" w:ascii="宋体" w:hAnsi="宋体" w:cs="宋体"/>
          <w:szCs w:val="21"/>
        </w:rPr>
        <w:br w:type="textWrapping"/>
      </w:r>
      <w:r>
        <w:rPr>
          <w:rFonts w:hint="eastAsia" w:ascii="宋体" w:hAnsi="宋体" w:cs="宋体"/>
          <w:szCs w:val="21"/>
        </w:rPr>
        <w:t xml:space="preserve">    （一）《中经国际招标集团有限公司官网》（网址：</w:t>
      </w:r>
      <w:r>
        <w:fldChar w:fldCharType="begin"/>
      </w:r>
      <w:r>
        <w:instrText xml:space="preserve"> HYPERLINK "http://www.ceitcl.com/）" </w:instrText>
      </w:r>
      <w:r>
        <w:fldChar w:fldCharType="separate"/>
      </w:r>
      <w:r>
        <w:rPr>
          <w:rFonts w:hint="eastAsia" w:ascii="宋体" w:hAnsi="宋体" w:cs="宋体"/>
          <w:szCs w:val="21"/>
        </w:rPr>
        <w:t>http://www.ceitcl.com/）</w:t>
      </w:r>
      <w:r>
        <w:rPr>
          <w:rFonts w:hint="eastAsia" w:ascii="宋体" w:hAnsi="宋体" w:cs="宋体"/>
          <w:szCs w:val="21"/>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 xml:space="preserve">（二）《湖北工业大学采招网》（网址： </w:t>
      </w:r>
      <w:r>
        <w:fldChar w:fldCharType="begin"/>
      </w:r>
      <w:r>
        <w:instrText xml:space="preserve"> HYPERLINK "http://tend.hbut.edu.cn/index.chtml" </w:instrText>
      </w:r>
      <w:r>
        <w:fldChar w:fldCharType="separate"/>
      </w:r>
      <w:r>
        <w:rPr>
          <w:rFonts w:hint="eastAsia" w:ascii="宋体" w:hAnsi="宋体" w:cs="宋体"/>
          <w:szCs w:val="21"/>
        </w:rPr>
        <w:t>http://tend.hbut.edu.cn/index.chtml</w:t>
      </w:r>
      <w:r>
        <w:rPr>
          <w:rFonts w:hint="eastAsia" w:ascii="宋体" w:hAnsi="宋体" w:cs="宋体"/>
          <w:szCs w:val="21"/>
        </w:rPr>
        <w:fldChar w:fldCharType="end"/>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cs="宋体" w:asciiTheme="minorEastAsia" w:hAnsiTheme="minorEastAsia" w:eastAsiaTheme="minorEastAsia"/>
          <w:szCs w:val="21"/>
        </w:rPr>
        <w:t>4.防疫要求：</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(1)投标人（中高风险区）可将投标文件邮寄至我司，投标文件的接受时效以代理公司签收时间为准，截止时间同现场递交时间，过时或快递有破损不予签收。因快递延误导致的未在截止时间前签收的风险因素，投标人自行承担。</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(2)现场递交投标文件的，递交投标文件的代表须出示健康码且为绿码方可进入我司。代表须戴好口罩、间隔1米排队递交投标文件，请投标人预留足够的排队时间。</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(3)有疫情接触史、按湖北省健康码“红码”、“黄码”管理的人员、个人行程码提示14天内到过疫情中高风险地区的、近期有发热、咳嗽等新型冠状病毒感染疑似症状的人员均不能进行报名及投标等事宜，如有隐瞒行为，将依法依规追责；</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(4)参与政府采购活动要严格落实“四必”防控措施（口罩必戴、体温必测、健康码必扫、大数据行程卡必出示）并做好个人防护措施，服从现场工作人员的管理和安排。</w:t>
      </w:r>
    </w:p>
    <w:bookmarkEnd w:id="22"/>
    <w:p>
      <w:pPr>
        <w:pStyle w:val="5"/>
        <w:numPr>
          <w:ilvl w:val="0"/>
          <w:numId w:val="6"/>
        </w:numPr>
        <w:spacing w:line="360" w:lineRule="auto"/>
        <w:jc w:val="left"/>
        <w:rPr>
          <w:rFonts w:ascii="宋体" w:hAnsi="宋体" w:eastAsia="宋体" w:cs="宋体"/>
          <w:sz w:val="21"/>
          <w:szCs w:val="21"/>
        </w:rPr>
      </w:pPr>
      <w:bookmarkStart w:id="23" w:name="_Toc12269"/>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1.采购人信息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w:t>
      </w:r>
      <w:r>
        <w:rPr>
          <w:rFonts w:hint="eastAsia" w:asciiTheme="minorEastAsia" w:hAnsiTheme="minorEastAsia" w:eastAsiaTheme="minorEastAsia" w:cstheme="minorEastAsia"/>
          <w:szCs w:val="21"/>
        </w:rPr>
        <w:t>湖北工业大学</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w:t>
      </w:r>
      <w:r>
        <w:rPr>
          <w:rFonts w:hint="eastAsia" w:asciiTheme="minorEastAsia" w:hAnsiTheme="minorEastAsia" w:eastAsiaTheme="minorEastAsia" w:cstheme="minorEastAsia"/>
          <w:szCs w:val="21"/>
        </w:rPr>
        <w:t>湖北省武汉市洪山区南李路28号</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w:t>
      </w:r>
      <w:r>
        <w:rPr>
          <w:rFonts w:hint="eastAsia" w:asciiTheme="minorEastAsia" w:hAnsiTheme="minorEastAsia" w:eastAsiaTheme="minorEastAsia" w:cstheme="minorEastAsia"/>
          <w:szCs w:val="21"/>
        </w:rPr>
        <w:t>王老师、027-59750213</w:t>
      </w:r>
      <w:r>
        <w:rPr>
          <w:rFonts w:hint="eastAsia" w:cs="宋体" w:asciiTheme="minorEastAsia" w:hAnsiTheme="minorEastAsia" w:eastAsiaTheme="minorEastAsia"/>
          <w:szCs w:val="21"/>
        </w:rPr>
        <w:t xml:space="preserve">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2.采购代理机构信息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称：中经国际招标集团有限公司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址：武昌区中北路岳家嘴立交山河企业大厦48楼4805、4806室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联系方式：027-87820788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3.项目联系方式</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cs="宋体" w:asciiTheme="minorEastAsia" w:hAnsiTheme="minorEastAsia" w:eastAsiaTheme="minorEastAsia"/>
          <w:szCs w:val="21"/>
        </w:rPr>
        <w:t>电    　话：027-87820788</w:t>
      </w:r>
      <w:r>
        <w:rPr>
          <w:rFonts w:hint="eastAsia" w:ascii="宋体" w:hAnsi="宋体" w:cs="宋体"/>
          <w:szCs w:val="21"/>
        </w:rPr>
        <w:t>　　</w:t>
      </w:r>
    </w:p>
    <w:p>
      <w:pPr>
        <w:pStyle w:val="5"/>
        <w:numPr>
          <w:ilvl w:val="0"/>
          <w:numId w:val="6"/>
        </w:numPr>
        <w:spacing w:line="44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bookmarkStart w:id="24" w:name="_Toc25662"/>
      <w:r>
        <w:rPr>
          <w:rFonts w:hint="eastAsia" w:asciiTheme="minorEastAsia" w:hAnsiTheme="minorEastAsia" w:eastAsiaTheme="minorEastAsia" w:cstheme="minorEastAsia"/>
          <w:sz w:val="21"/>
          <w:szCs w:val="21"/>
        </w:rPr>
        <w:t>注意事项</w:t>
      </w:r>
      <w:bookmarkEnd w:id="24"/>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2021年</w:t>
      </w:r>
      <w:r>
        <w:rPr>
          <w:rFonts w:hint="eastAsia" w:asciiTheme="minorEastAsia" w:hAnsiTheme="minorEastAsia" w:eastAsiaTheme="minorEastAsia" w:cstheme="minorEastAsia"/>
          <w:szCs w:val="21"/>
          <w:lang w:val="en-US" w:eastAsia="zh-CN"/>
        </w:rPr>
        <w:t>10</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4"/>
        <w:numPr>
          <w:ilvl w:val="0"/>
          <w:numId w:val="4"/>
        </w:numPr>
        <w:jc w:val="center"/>
        <w:rPr>
          <w:rFonts w:asciiTheme="minorEastAsia" w:hAnsiTheme="minorEastAsia" w:eastAsiaTheme="minorEastAsia" w:cstheme="minorEastAsia"/>
          <w:sz w:val="32"/>
          <w:szCs w:val="32"/>
        </w:rPr>
      </w:pPr>
      <w:bookmarkStart w:id="25" w:name="_Toc12411"/>
      <w:r>
        <w:rPr>
          <w:rFonts w:hint="eastAsia" w:asciiTheme="minorEastAsia" w:hAnsiTheme="minorEastAsia" w:eastAsiaTheme="minorEastAsia" w:cstheme="minorEastAsia"/>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6" w:name="_Toc4456"/>
      <w:r>
        <w:rPr>
          <w:rFonts w:hint="eastAsia" w:asciiTheme="minorEastAsia" w:hAnsiTheme="minorEastAsia" w:eastAsiaTheme="minorEastAsia" w:cstheme="minorEastAsia"/>
          <w:b/>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中标人按国家发展计划委员会计价格【2002】1980号文规定的取费标准向采购代理机构支付招标代理服务费。招标代理服务费由中标人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lang w:val="zh-CN"/>
              </w:rPr>
              <w:t>应提交的其它资格证明文件（实质性</w:t>
            </w:r>
            <w:r>
              <w:rPr>
                <w:rFonts w:hint="eastAsia" w:asciiTheme="minorEastAsia" w:hAnsiTheme="minorEastAsia" w:eastAsiaTheme="minorEastAsia" w:cstheme="minorEastAsia"/>
                <w:b/>
                <w:bCs/>
                <w:szCs w:val="21"/>
              </w:rPr>
              <w:t>内容</w:t>
            </w:r>
            <w:r>
              <w:rPr>
                <w:rFonts w:hint="eastAsia" w:asciiTheme="minorEastAsia" w:hAnsiTheme="minorEastAsia" w:eastAsiaTheme="minorEastAsia" w:cstheme="minorEastAsia"/>
                <w:b/>
                <w:bCs/>
                <w:szCs w:val="21"/>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金    额：/</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户    名：中经国际招标集团有限公司湖北分公司</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开户银行：中国农业银行股份有限公司武汉岳家嘴支行</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帐    号：17053001040009288</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r>
              <w:fldChar w:fldCharType="begin"/>
            </w:r>
            <w:r>
              <w:instrText xml:space="preserve"> HYPERLINK "mailto:投标人交纳投标保证金必须从投标人的基本帐户以支票、汇票、本票、电汇或者金融机构、担保机构出具的保函等非现金形式一次性汇至中经国际招标集团有限公司湖北分公司专用账户,截止时间为递交响应文件截止时间。成交供应商签订合同后须将合同扫描件（PDF版）发送至2102252595@qq.com邮箱备案后方可退还保证金。" </w:instrText>
            </w:r>
            <w:r>
              <w:fldChar w:fldCharType="separate"/>
            </w:r>
            <w:r>
              <w:rPr>
                <w:rFonts w:hint="eastAsia" w:asciiTheme="minorEastAsia" w:hAnsiTheme="minorEastAsia" w:eastAsiaTheme="minorEastAsia" w:cstheme="minorEastAsia"/>
                <w:szCs w:val="21"/>
              </w:rPr>
              <w:t>供应商缴纳投标保证金必须从供应商的基本帐户以支票、汇票、本票、电汇或者金融机构、担保机构出具的保函等非现金形式一次性汇至中经国际招标集团有限公司湖北分公司专用账户,截止时间为递交响应文件截止时间，以采购代理公司银行到账信息为准。成交供应商签订合同后须将合同扫描件（PDF版）发送至2102252595@qq.com邮箱备案后方可退还保证金。</w:t>
            </w:r>
            <w:r>
              <w:rPr>
                <w:rFonts w:hint="eastAsia" w:asciiTheme="minorEastAsia" w:hAnsiTheme="minorEastAsia" w:eastAsiaTheme="minorEastAsia" w:cstheme="minorEastAsia"/>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rPr>
              <w:t>响应文件电子版格式：</w:t>
            </w:r>
            <w:r>
              <w:rPr>
                <w:rFonts w:hint="eastAsia" w:asciiTheme="minorEastAsia" w:hAnsiTheme="minorEastAsia" w:eastAsiaTheme="minorEastAsia" w:cstheme="minorEastAsia"/>
                <w:szCs w:val="21"/>
              </w:rPr>
              <w:t>WORD格式和加</w:t>
            </w:r>
            <w:r>
              <w:rPr>
                <w:rFonts w:hint="eastAsia" w:asciiTheme="minorEastAsia" w:hAnsiTheme="minorEastAsia" w:eastAsiaTheme="minorEastAsia" w:cstheme="minorEastAsia"/>
                <w:szCs w:val="21"/>
                <w:u w:val="single"/>
              </w:rPr>
              <w:t>盖公章后的PDF扫描件格式；</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核心产品</w:t>
            </w:r>
            <w:r>
              <w:rPr>
                <w:rFonts w:hint="eastAsia" w:asciiTheme="minorEastAsia" w:hAnsiTheme="minorEastAsia" w:eastAsiaTheme="minorEastAsia" w:cstheme="minorEastAsia"/>
                <w:b/>
                <w:bCs/>
                <w:szCs w:val="21"/>
              </w:rPr>
              <w:t>（本项目不适用）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本项目核心产品：</w:t>
            </w:r>
            <w:r>
              <w:rPr>
                <w:rFonts w:hint="eastAsia" w:asciiTheme="minorEastAsia" w:hAnsiTheme="minorEastAsia" w:eastAsiaTheme="minorEastAsia" w:cstheme="minorEastAsia"/>
                <w:szCs w:val="21"/>
                <w:u w:val="single"/>
              </w:rPr>
              <w:t>/</w:t>
            </w:r>
            <w:r>
              <w:rPr>
                <w:rFonts w:hint="eastAsia" w:asciiTheme="minorEastAsia" w:hAnsiTheme="minorEastAsia" w:eastAsiaTheme="minorEastAsia" w:cstheme="minorEastAsia"/>
                <w:szCs w:val="21"/>
              </w:rPr>
              <w:t xml:space="preserve">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核心产品且通过资格审查、符合性审查的不同供应商参加同一合同项下竞标的，按一家供应商计算，评审后得分最高的同品牌供应商获得成交供应商推荐资格；评审得分相同的，采取随机抽取方式确定，其他同品牌供应商不作为中标候选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（2）若核心产品不止 1 个，各供应商所投任一核心产品的品牌相同，</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则按一家供应商计算。</w:t>
            </w:r>
          </w:p>
        </w:tc>
      </w:tr>
    </w:tbl>
    <w:p>
      <w:pPr>
        <w:spacing w:line="360" w:lineRule="auto"/>
        <w:outlineLvl w:val="1"/>
        <w:rPr>
          <w:rFonts w:asciiTheme="minorEastAsia" w:hAnsiTheme="minorEastAsia" w:eastAsiaTheme="minorEastAsia" w:cstheme="minorEastAsia"/>
          <w:b/>
          <w:szCs w:val="21"/>
        </w:rPr>
      </w:pPr>
      <w:bookmarkStart w:id="27" w:name="_Toc23075"/>
      <w:r>
        <w:rPr>
          <w:rFonts w:hint="eastAsia" w:asciiTheme="minorEastAsia" w:hAnsiTheme="minorEastAsia" w:eastAsiaTheme="minorEastAsia" w:cstheme="minorEastAsia"/>
          <w:b/>
          <w:szCs w:val="21"/>
        </w:rPr>
        <w:t>供应商须知</w:t>
      </w:r>
      <w:bookmarkEnd w:id="27"/>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8" w:name="_Toc18457"/>
      <w:r>
        <w:rPr>
          <w:rFonts w:hint="eastAsia" w:asciiTheme="minorEastAsia" w:hAnsiTheme="minorEastAsia" w:eastAsiaTheme="minorEastAsia" w:cstheme="minorEastAsia"/>
          <w:b/>
          <w:szCs w:val="21"/>
        </w:rPr>
        <w:t>总则</w:t>
      </w:r>
      <w:bookmarkEnd w:id="28"/>
    </w:p>
    <w:p>
      <w:pPr>
        <w:numPr>
          <w:ilvl w:val="0"/>
          <w:numId w:val="9"/>
        </w:numPr>
        <w:spacing w:line="360" w:lineRule="auto"/>
        <w:ind w:hanging="540"/>
        <w:outlineLvl w:val="1"/>
        <w:rPr>
          <w:rFonts w:asciiTheme="minorEastAsia" w:hAnsiTheme="minorEastAsia" w:eastAsiaTheme="minorEastAsia" w:cstheme="minorEastAsia"/>
          <w:b/>
          <w:szCs w:val="21"/>
        </w:rPr>
      </w:pPr>
      <w:bookmarkStart w:id="29" w:name="_Toc17841"/>
      <w:bookmarkStart w:id="30" w:name="_Toc27243"/>
      <w:r>
        <w:rPr>
          <w:rFonts w:hint="eastAsia" w:asciiTheme="minorEastAsia" w:hAnsiTheme="minorEastAsia" w:eastAsiaTheme="minorEastAsia" w:cstheme="minorEastAsia"/>
          <w:b/>
          <w:szCs w:val="21"/>
        </w:rPr>
        <w:t>适用法律及范围</w:t>
      </w:r>
      <w:bookmarkEnd w:id="29"/>
      <w:bookmarkEnd w:id="30"/>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1" w:name="_Toc30547"/>
      <w:bookmarkStart w:id="32" w:name="_Toc22187"/>
      <w:r>
        <w:rPr>
          <w:rFonts w:hint="eastAsia" w:asciiTheme="minorEastAsia" w:hAnsiTheme="minorEastAsia" w:eastAsiaTheme="minorEastAsia" w:cstheme="minorEastAsia"/>
          <w:b/>
          <w:szCs w:val="21"/>
        </w:rPr>
        <w:t>定义</w:t>
      </w:r>
      <w:bookmarkEnd w:id="31"/>
      <w:bookmarkEnd w:id="32"/>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3" w:name="_Toc30503"/>
      <w:bookmarkStart w:id="34" w:name="_Toc9707"/>
      <w:r>
        <w:rPr>
          <w:rFonts w:hint="eastAsia" w:asciiTheme="minorEastAsia" w:hAnsiTheme="minorEastAsia" w:eastAsiaTheme="minorEastAsia" w:cstheme="minorEastAsia"/>
          <w:b/>
          <w:snapToGrid w:val="0"/>
          <w:kern w:val="0"/>
          <w:szCs w:val="21"/>
          <w:lang w:val="zh-CN"/>
        </w:rPr>
        <w:t>工程、货物及服务</w:t>
      </w:r>
      <w:bookmarkEnd w:id="33"/>
      <w:bookmarkEnd w:id="34"/>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5" w:name="_Toc4948"/>
      <w:bookmarkStart w:id="36" w:name="_Toc9974"/>
      <w:r>
        <w:rPr>
          <w:rFonts w:hint="eastAsia" w:asciiTheme="minorEastAsia" w:hAnsiTheme="minorEastAsia" w:eastAsiaTheme="minorEastAsia" w:cstheme="minorEastAsia"/>
          <w:b/>
          <w:szCs w:val="21"/>
        </w:rPr>
        <w:t>费用</w:t>
      </w:r>
      <w:bookmarkEnd w:id="35"/>
      <w:bookmarkEnd w:id="36"/>
      <w:r>
        <w:rPr>
          <w:rFonts w:hint="eastAsia" w:asciiTheme="minorEastAsia" w:hAnsiTheme="minorEastAsia" w:eastAsiaTheme="minorEastAsia" w:cstheme="minorEastAsia"/>
          <w:b/>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7" w:name="_Toc21644"/>
      <w:r>
        <w:rPr>
          <w:rFonts w:hint="eastAsia" w:asciiTheme="minorEastAsia" w:hAnsiTheme="minorEastAsia" w:eastAsiaTheme="minorEastAsia" w:cstheme="minorEastAsia"/>
          <w:b/>
          <w:szCs w:val="21"/>
        </w:rPr>
        <w:t>竞争性磋商采购文件</w:t>
      </w:r>
      <w:bookmarkEnd w:id="37"/>
    </w:p>
    <w:p>
      <w:pPr>
        <w:numPr>
          <w:ilvl w:val="0"/>
          <w:numId w:val="9"/>
        </w:numPr>
        <w:spacing w:line="360" w:lineRule="auto"/>
        <w:ind w:hanging="540"/>
        <w:outlineLvl w:val="1"/>
        <w:rPr>
          <w:rFonts w:asciiTheme="minorEastAsia" w:hAnsiTheme="minorEastAsia" w:eastAsiaTheme="minorEastAsia" w:cstheme="minorEastAsia"/>
          <w:b/>
          <w:szCs w:val="21"/>
        </w:rPr>
      </w:pPr>
      <w:bookmarkStart w:id="38" w:name="_Toc4547"/>
      <w:bookmarkStart w:id="39" w:name="_Toc25534"/>
      <w:r>
        <w:rPr>
          <w:rFonts w:hint="eastAsia" w:asciiTheme="minorEastAsia" w:hAnsiTheme="minorEastAsia" w:eastAsiaTheme="minorEastAsia" w:cstheme="minorEastAsia"/>
          <w:b/>
          <w:szCs w:val="21"/>
        </w:rPr>
        <w:t>竞争性磋商采购文件的构成</w:t>
      </w:r>
      <w:bookmarkEnd w:id="38"/>
      <w:bookmarkEnd w:id="39"/>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0" w:name="_Toc12297"/>
      <w:bookmarkStart w:id="41" w:name="_Toc29700"/>
      <w:r>
        <w:rPr>
          <w:rFonts w:hint="eastAsia" w:asciiTheme="minorEastAsia" w:hAnsiTheme="minorEastAsia" w:eastAsiaTheme="minorEastAsia" w:cstheme="minorEastAsia"/>
          <w:b/>
          <w:snapToGrid w:val="0"/>
          <w:kern w:val="0"/>
          <w:szCs w:val="21"/>
          <w:lang w:val="zh-CN"/>
        </w:rPr>
        <w:t>竞争性磋商采购文件的澄清</w:t>
      </w:r>
      <w:bookmarkEnd w:id="40"/>
      <w:bookmarkEnd w:id="41"/>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2" w:name="_Toc17968"/>
      <w:bookmarkStart w:id="43" w:name="_Toc31761"/>
      <w:r>
        <w:rPr>
          <w:rFonts w:hint="eastAsia" w:asciiTheme="minorEastAsia" w:hAnsiTheme="minorEastAsia" w:eastAsiaTheme="minorEastAsia" w:cstheme="minorEastAsia"/>
          <w:b/>
          <w:snapToGrid w:val="0"/>
          <w:kern w:val="0"/>
          <w:szCs w:val="21"/>
          <w:lang w:val="zh-CN"/>
        </w:rPr>
        <w:t>竞争性磋商采购文件的修改</w:t>
      </w:r>
      <w:bookmarkEnd w:id="42"/>
      <w:bookmarkEnd w:id="43"/>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4" w:name="_Toc6290"/>
      <w:r>
        <w:rPr>
          <w:rFonts w:hint="eastAsia" w:asciiTheme="minorEastAsia" w:hAnsiTheme="minorEastAsia" w:eastAsiaTheme="minorEastAsia" w:cstheme="minorEastAsia"/>
          <w:b/>
          <w:szCs w:val="21"/>
        </w:rPr>
        <w:t>竞争性磋商响应文件</w:t>
      </w:r>
      <w:bookmarkEnd w:id="44"/>
    </w:p>
    <w:p>
      <w:pPr>
        <w:numPr>
          <w:ilvl w:val="0"/>
          <w:numId w:val="9"/>
        </w:numPr>
        <w:spacing w:line="360" w:lineRule="auto"/>
        <w:ind w:hanging="540"/>
        <w:outlineLvl w:val="1"/>
        <w:rPr>
          <w:rFonts w:asciiTheme="minorEastAsia" w:hAnsiTheme="minorEastAsia" w:eastAsiaTheme="minorEastAsia" w:cstheme="minorEastAsia"/>
          <w:snapToGrid w:val="0"/>
          <w:kern w:val="0"/>
          <w:szCs w:val="21"/>
          <w:lang w:val="zh-CN"/>
        </w:rPr>
      </w:pPr>
      <w:bookmarkStart w:id="45" w:name="_Toc30987"/>
      <w:bookmarkStart w:id="46" w:name="_Toc4380"/>
      <w:r>
        <w:rPr>
          <w:rFonts w:hint="eastAsia" w:asciiTheme="minorEastAsia" w:hAnsiTheme="minorEastAsia" w:eastAsiaTheme="minorEastAsia" w:cstheme="minorEastAsia"/>
          <w:b/>
          <w:snapToGrid w:val="0"/>
          <w:kern w:val="0"/>
          <w:szCs w:val="21"/>
          <w:lang w:val="zh-CN"/>
        </w:rPr>
        <w:t>语言和计量单位</w:t>
      </w:r>
      <w:bookmarkEnd w:id="45"/>
      <w:bookmarkEnd w:id="46"/>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7" w:name="_Toc3554"/>
      <w:bookmarkStart w:id="48" w:name="_Toc32272"/>
      <w:r>
        <w:rPr>
          <w:rFonts w:hint="eastAsia" w:asciiTheme="minorEastAsia" w:hAnsiTheme="minorEastAsia" w:eastAsiaTheme="minorEastAsia" w:cstheme="minorEastAsia"/>
          <w:b/>
          <w:snapToGrid w:val="0"/>
          <w:kern w:val="0"/>
          <w:szCs w:val="21"/>
          <w:lang w:val="zh-CN"/>
        </w:rPr>
        <w:t>竞争性磋商响应文件的构成</w:t>
      </w:r>
      <w:bookmarkEnd w:id="47"/>
      <w:bookmarkEnd w:id="48"/>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9" w:name="_Toc25217"/>
      <w:bookmarkStart w:id="50" w:name="_Toc1043"/>
      <w:r>
        <w:rPr>
          <w:rFonts w:hint="eastAsia" w:asciiTheme="minorEastAsia" w:hAnsiTheme="minorEastAsia" w:eastAsiaTheme="minorEastAsia" w:cstheme="minorEastAsia"/>
          <w:b/>
          <w:snapToGrid w:val="0"/>
          <w:kern w:val="0"/>
          <w:szCs w:val="21"/>
          <w:lang w:val="zh-CN"/>
        </w:rPr>
        <w:t>竞争性磋商响应文件的编制</w:t>
      </w:r>
      <w:bookmarkEnd w:id="49"/>
      <w:bookmarkEnd w:id="50"/>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51" w:name="_Toc15588"/>
      <w:bookmarkStart w:id="52" w:name="_Toc24544"/>
      <w:r>
        <w:rPr>
          <w:rFonts w:hint="eastAsia" w:asciiTheme="minorEastAsia" w:hAnsiTheme="minorEastAsia" w:eastAsiaTheme="minorEastAsia" w:cstheme="minorEastAsia"/>
          <w:b/>
          <w:snapToGrid w:val="0"/>
          <w:kern w:val="0"/>
          <w:szCs w:val="21"/>
          <w:lang w:val="zh-CN"/>
        </w:rPr>
        <w:t>磋商报价</w:t>
      </w:r>
      <w:bookmarkEnd w:id="51"/>
      <w:bookmarkEnd w:id="52"/>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3" w:name="_Toc23921"/>
      <w:bookmarkStart w:id="54" w:name="_Toc6176"/>
      <w:r>
        <w:rPr>
          <w:rFonts w:hint="eastAsia" w:asciiTheme="minorEastAsia" w:hAnsiTheme="minorEastAsia" w:eastAsiaTheme="minorEastAsia" w:cstheme="minorEastAsia"/>
          <w:b/>
          <w:snapToGrid w:val="0"/>
          <w:kern w:val="0"/>
          <w:szCs w:val="21"/>
          <w:lang w:val="zh-CN"/>
        </w:rPr>
        <w:t>备选方案</w:t>
      </w:r>
      <w:bookmarkEnd w:id="53"/>
      <w:bookmarkEnd w:id="54"/>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5" w:name="_Toc827"/>
      <w:bookmarkStart w:id="56" w:name="_Toc3324"/>
      <w:r>
        <w:rPr>
          <w:rFonts w:hint="eastAsia" w:asciiTheme="minorEastAsia" w:hAnsiTheme="minorEastAsia" w:eastAsiaTheme="minorEastAsia" w:cstheme="minorEastAsia"/>
          <w:b/>
          <w:snapToGrid w:val="0"/>
          <w:kern w:val="0"/>
          <w:szCs w:val="21"/>
          <w:lang w:val="zh-CN"/>
        </w:rPr>
        <w:t>联合体</w:t>
      </w:r>
      <w:bookmarkEnd w:id="55"/>
      <w:bookmarkEnd w:id="56"/>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7" w:name="_Toc2434"/>
      <w:bookmarkStart w:id="58" w:name="_Toc569"/>
      <w:r>
        <w:rPr>
          <w:rFonts w:hint="eastAsia" w:asciiTheme="minorEastAsia" w:hAnsiTheme="minorEastAsia" w:eastAsiaTheme="minorEastAsia" w:cstheme="minorEastAsia"/>
          <w:b/>
          <w:snapToGrid w:val="0"/>
          <w:kern w:val="0"/>
          <w:szCs w:val="21"/>
          <w:lang w:val="zh-CN"/>
        </w:rPr>
        <w:t>供应商资格证明文件</w:t>
      </w:r>
      <w:bookmarkEnd w:id="57"/>
      <w:bookmarkEnd w:id="58"/>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9" w:name="_Toc24609"/>
      <w:bookmarkStart w:id="60" w:name="_Toc9935"/>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9"/>
      <w:bookmarkEnd w:id="60"/>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1" w:name="_Toc27068"/>
      <w:bookmarkStart w:id="62" w:name="_Toc29173"/>
      <w:r>
        <w:rPr>
          <w:rFonts w:hint="eastAsia" w:asciiTheme="minorEastAsia" w:hAnsiTheme="minorEastAsia" w:eastAsiaTheme="minorEastAsia" w:cstheme="minorEastAsia"/>
          <w:b/>
          <w:snapToGrid w:val="0"/>
          <w:kern w:val="0"/>
          <w:szCs w:val="21"/>
          <w:lang w:val="zh-CN"/>
        </w:rPr>
        <w:t>磋商保证金</w:t>
      </w:r>
      <w:bookmarkEnd w:id="61"/>
      <w:bookmarkEnd w:id="62"/>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3" w:name="_Toc5668"/>
      <w:bookmarkStart w:id="64" w:name="_Toc17731"/>
      <w:r>
        <w:rPr>
          <w:rFonts w:hint="eastAsia" w:asciiTheme="minorEastAsia" w:hAnsiTheme="minorEastAsia" w:eastAsiaTheme="minorEastAsia" w:cstheme="minorEastAsia"/>
          <w:b/>
          <w:snapToGrid w:val="0"/>
          <w:kern w:val="0"/>
          <w:szCs w:val="21"/>
          <w:lang w:val="zh-CN"/>
        </w:rPr>
        <w:t>磋商有效期</w:t>
      </w:r>
      <w:bookmarkEnd w:id="63"/>
      <w:bookmarkEnd w:id="64"/>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5" w:name="_Toc20134"/>
      <w:bookmarkStart w:id="66" w:name="_Toc8272"/>
      <w:r>
        <w:rPr>
          <w:rFonts w:hint="eastAsia" w:asciiTheme="minorEastAsia" w:hAnsiTheme="minorEastAsia" w:eastAsiaTheme="minorEastAsia" w:cstheme="minorEastAsia"/>
          <w:b/>
          <w:snapToGrid w:val="0"/>
          <w:kern w:val="0"/>
          <w:szCs w:val="21"/>
          <w:lang w:val="zh-CN"/>
        </w:rPr>
        <w:t>竞争性磋商响应文件的装订、签署和数量</w:t>
      </w:r>
      <w:bookmarkEnd w:id="65"/>
      <w:bookmarkEnd w:id="66"/>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7" w:name="_Toc3975"/>
      <w:r>
        <w:rPr>
          <w:rFonts w:hint="eastAsia" w:asciiTheme="minorEastAsia" w:hAnsiTheme="minorEastAsia" w:eastAsiaTheme="minorEastAsia" w:cstheme="minorEastAsia"/>
          <w:b/>
          <w:szCs w:val="21"/>
        </w:rPr>
        <w:t>竞争性磋商响应文件的递交</w:t>
      </w:r>
      <w:bookmarkEnd w:id="6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8" w:name="_Toc27305"/>
      <w:bookmarkStart w:id="69" w:name="_Toc16633"/>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8"/>
      <w:bookmarkEnd w:id="69"/>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0" w:name="_Toc28372"/>
      <w:bookmarkStart w:id="71" w:name="_Toc17857"/>
      <w:r>
        <w:rPr>
          <w:rFonts w:hint="eastAsia" w:asciiTheme="minorEastAsia" w:hAnsiTheme="minorEastAsia" w:eastAsiaTheme="minorEastAsia" w:cstheme="minorEastAsia"/>
          <w:b/>
          <w:snapToGrid w:val="0"/>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2" w:name="_Toc31376"/>
      <w:bookmarkStart w:id="73" w:name="_Toc863"/>
      <w:r>
        <w:rPr>
          <w:rFonts w:hint="eastAsia" w:asciiTheme="minorEastAsia" w:hAnsiTheme="minorEastAsia" w:eastAsiaTheme="minorEastAsia" w:cstheme="minorEastAsia"/>
          <w:b/>
          <w:snapToGrid w:val="0"/>
          <w:kern w:val="0"/>
          <w:szCs w:val="21"/>
          <w:lang w:val="zh-CN"/>
        </w:rPr>
        <w:t>迟交的竞争性磋商响应文件</w:t>
      </w:r>
      <w:bookmarkEnd w:id="72"/>
      <w:bookmarkEnd w:id="73"/>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4" w:name="_Toc31760"/>
      <w:bookmarkStart w:id="75" w:name="_Toc32091"/>
      <w:r>
        <w:rPr>
          <w:rFonts w:hint="eastAsia" w:asciiTheme="minorEastAsia" w:hAnsiTheme="minorEastAsia" w:eastAsiaTheme="minorEastAsia" w:cstheme="minorEastAsia"/>
          <w:b/>
          <w:snapToGrid w:val="0"/>
          <w:kern w:val="0"/>
          <w:szCs w:val="21"/>
          <w:lang w:val="zh-CN"/>
        </w:rPr>
        <w:t>竞争性磋商响应文件的补充、修改或者撤回</w:t>
      </w:r>
      <w:bookmarkEnd w:id="74"/>
      <w:bookmarkEnd w:id="75"/>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6" w:name="_Toc29375"/>
      <w:r>
        <w:rPr>
          <w:rFonts w:hint="eastAsia" w:asciiTheme="minorEastAsia" w:hAnsiTheme="minorEastAsia" w:eastAsiaTheme="minorEastAsia" w:cstheme="minorEastAsia"/>
          <w:b/>
          <w:szCs w:val="21"/>
        </w:rPr>
        <w:t>磋商程序及步骤</w:t>
      </w:r>
      <w:bookmarkEnd w:id="7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7" w:name="_Toc22624"/>
      <w:bookmarkStart w:id="78" w:name="_Toc2550"/>
      <w:r>
        <w:rPr>
          <w:rFonts w:hint="eastAsia" w:asciiTheme="minorEastAsia" w:hAnsiTheme="minorEastAsia" w:eastAsiaTheme="minorEastAsia" w:cstheme="minorEastAsia"/>
          <w:b/>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9" w:name="_Toc21483"/>
      <w:bookmarkStart w:id="80" w:name="_Toc14809"/>
      <w:r>
        <w:rPr>
          <w:rFonts w:hint="eastAsia" w:asciiTheme="minorEastAsia" w:hAnsiTheme="minorEastAsia" w:eastAsiaTheme="minorEastAsia" w:cstheme="minorEastAsia"/>
          <w:b/>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1" w:name="_Toc32662"/>
      <w:bookmarkStart w:id="82" w:name="_Toc99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30347"/>
      <w:r>
        <w:rPr>
          <w:rFonts w:hint="eastAsia" w:asciiTheme="minorEastAsia" w:hAnsiTheme="minorEastAsia" w:eastAsiaTheme="minorEastAsia" w:cstheme="minorEastAsia"/>
          <w:b/>
        </w:rPr>
        <w:t>资格审查和符合性审查</w:t>
      </w:r>
      <w:bookmarkEnd w:id="83"/>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4" w:name="_Toc5263"/>
      <w:r>
        <w:rPr>
          <w:rFonts w:hint="eastAsia" w:asciiTheme="minorEastAsia" w:hAnsiTheme="minorEastAsia" w:eastAsiaTheme="minorEastAsia" w:cstheme="minorEastAsia"/>
          <w:b/>
        </w:rPr>
        <w:t>磋商</w:t>
      </w:r>
      <w:bookmarkEnd w:id="84"/>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5" w:name="_Toc21157"/>
      <w:r>
        <w:rPr>
          <w:rFonts w:hint="eastAsia" w:asciiTheme="minorEastAsia" w:hAnsiTheme="minorEastAsia" w:eastAsiaTheme="minorEastAsia" w:cstheme="minorEastAsia"/>
          <w:b/>
          <w:lang w:val="zh-CN"/>
        </w:rPr>
        <w:t>保密</w:t>
      </w:r>
      <w:bookmarkEnd w:id="85"/>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3"/>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6" w:name="_Toc15936"/>
      <w:bookmarkStart w:id="87" w:name="_Toc21170"/>
      <w:r>
        <w:rPr>
          <w:rFonts w:hint="eastAsia" w:asciiTheme="minorEastAsia" w:hAnsiTheme="minorEastAsia" w:eastAsiaTheme="minorEastAsia" w:cstheme="minorEastAsia"/>
          <w:b/>
          <w:szCs w:val="21"/>
        </w:rPr>
        <w:t>成交与签订合同</w:t>
      </w:r>
      <w:bookmarkEnd w:id="86"/>
      <w:bookmarkEnd w:id="8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8" w:name="_Toc23443"/>
      <w:bookmarkStart w:id="89" w:name="_Toc21514"/>
      <w:r>
        <w:rPr>
          <w:rFonts w:hint="eastAsia" w:asciiTheme="minorEastAsia" w:hAnsiTheme="minorEastAsia" w:eastAsiaTheme="minorEastAsia" w:cstheme="minorEastAsia"/>
          <w:b/>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0" w:name="_Toc15727"/>
      <w:bookmarkStart w:id="91" w:name="_Toc15879"/>
      <w:r>
        <w:rPr>
          <w:rFonts w:hint="eastAsia" w:asciiTheme="minorEastAsia" w:hAnsiTheme="minorEastAsia" w:eastAsiaTheme="minorEastAsia" w:cstheme="minorEastAsia"/>
          <w:b/>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2" w:name="_Toc4883"/>
      <w:bookmarkStart w:id="93" w:name="_Toc13988"/>
      <w:bookmarkStart w:id="94" w:name="_Toc14510"/>
      <w:r>
        <w:rPr>
          <w:rFonts w:hint="eastAsia" w:asciiTheme="minorEastAsia" w:hAnsiTheme="minorEastAsia" w:eastAsiaTheme="minorEastAsia" w:cstheme="minorEastAsia"/>
          <w:b/>
          <w:szCs w:val="21"/>
          <w:lang w:val="zh-CN"/>
        </w:rPr>
        <w:t>质疑和投诉</w:t>
      </w:r>
      <w:bookmarkEnd w:id="92"/>
      <w:bookmarkEnd w:id="93"/>
      <w:bookmarkEnd w:id="94"/>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技术部,联系人：张梦；联系电话：027-87820788。</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5" w:name="_Toc20387"/>
      <w:bookmarkStart w:id="96" w:name="_Toc5844"/>
      <w:r>
        <w:rPr>
          <w:rFonts w:hint="eastAsia" w:asciiTheme="minorEastAsia" w:hAnsiTheme="minorEastAsia" w:eastAsiaTheme="minorEastAsia" w:cstheme="minorEastAsia"/>
          <w:b/>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7" w:name="_Toc459"/>
      <w:bookmarkStart w:id="98" w:name="_Toc26015"/>
      <w:r>
        <w:rPr>
          <w:rFonts w:hint="eastAsia" w:asciiTheme="minorEastAsia" w:hAnsiTheme="minorEastAsia" w:eastAsiaTheme="minorEastAsia" w:cstheme="minorEastAsia"/>
          <w:b/>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9" w:name="_Toc8349"/>
      <w:bookmarkStart w:id="100" w:name="_Toc30010"/>
      <w:bookmarkStart w:id="101" w:name="_Toc28705"/>
      <w:bookmarkStart w:id="102" w:name="_Toc14767"/>
      <w:bookmarkStart w:id="103" w:name="_Toc5571"/>
      <w:r>
        <w:rPr>
          <w:rFonts w:hint="eastAsia" w:asciiTheme="minorEastAsia" w:hAnsiTheme="minorEastAsia" w:eastAsiaTheme="minorEastAsia" w:cstheme="minorEastAsia"/>
          <w:b/>
          <w:szCs w:val="21"/>
          <w:lang w:val="zh-CN"/>
        </w:rPr>
        <w:t>政策</w:t>
      </w:r>
      <w:bookmarkEnd w:id="99"/>
      <w:bookmarkEnd w:id="100"/>
      <w:bookmarkEnd w:id="101"/>
      <w:bookmarkEnd w:id="102"/>
      <w:bookmarkEnd w:id="103"/>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04" w:name="_Toc8371"/>
      <w:bookmarkStart w:id="105" w:name="_Toc28842"/>
      <w:r>
        <w:rPr>
          <w:rFonts w:hint="eastAsia" w:asciiTheme="minorEastAsia" w:hAnsiTheme="minorEastAsia" w:eastAsiaTheme="minorEastAsia" w:cstheme="minorEastAsia"/>
          <w:b/>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6" w:name="_Toc22449"/>
      <w:bookmarkStart w:id="107" w:name="_Toc25296"/>
      <w:r>
        <w:rPr>
          <w:rFonts w:hint="eastAsia" w:asciiTheme="minorEastAsia" w:hAnsiTheme="minorEastAsia" w:eastAsiaTheme="minorEastAsia" w:cstheme="minorEastAsia"/>
          <w:b/>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8" w:name="_Toc28137"/>
      <w:bookmarkStart w:id="109" w:name="_Toc28070"/>
      <w:r>
        <w:rPr>
          <w:rFonts w:hint="eastAsia" w:asciiTheme="minorEastAsia" w:hAnsiTheme="minorEastAsia" w:eastAsiaTheme="minorEastAsia" w:cstheme="minorEastAsia"/>
          <w:b/>
          <w:szCs w:val="21"/>
          <w:lang w:val="zh-CN"/>
        </w:rPr>
        <w:t>适用法律</w:t>
      </w:r>
      <w:bookmarkEnd w:id="108"/>
      <w:bookmarkEnd w:id="109"/>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5"/>
        </w:numPr>
        <w:autoSpaceDE w:val="0"/>
        <w:autoSpaceDN w:val="0"/>
        <w:adjustRightInd w:val="0"/>
        <w:spacing w:line="360" w:lineRule="auto"/>
        <w:ind w:left="539" w:hanging="539"/>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10" w:name="_Toc6380"/>
      <w:r>
        <w:rPr>
          <w:rFonts w:hint="eastAsia" w:asciiTheme="minorEastAsia" w:hAnsiTheme="minorEastAsia" w:eastAsiaTheme="minorEastAsia" w:cstheme="minorEastAsia"/>
          <w:b/>
          <w:bCs/>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13790"/>
      <w:r>
        <w:rPr>
          <w:rFonts w:hint="eastAsia" w:asciiTheme="minorEastAsia" w:hAnsiTheme="minorEastAsia" w:eastAsiaTheme="minorEastAsia" w:cstheme="minorEastAsia"/>
          <w:b/>
          <w:bCs/>
          <w:sz w:val="24"/>
        </w:rPr>
        <w:t>一、技术需求</w:t>
      </w:r>
      <w:bookmarkEnd w:id="111"/>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针对目前学生所学大数据课程知识不连贯，缺乏实践性，大部分学生缺少或无项目经验的现状。平台通过将稀有的完整的实际工程项目拆解成模块进行教学和训练。为学生提供了一个真实项目实践平台，引导学生从零开始，完成一个真实完整的项目。</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w:t>
      </w:r>
    </w:p>
    <w:tbl>
      <w:tblPr>
        <w:tblStyle w:val="27"/>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338"/>
        <w:gridCol w:w="5815"/>
        <w:gridCol w:w="693"/>
        <w:gridCol w:w="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670" w:type="dxa"/>
            <w:vAlign w:val="center"/>
          </w:tcPr>
          <w:p>
            <w:pPr>
              <w:pStyle w:val="107"/>
              <w:jc w:val="center"/>
              <w:rPr>
                <w:rFonts w:hAnsi="宋体"/>
                <w:color w:val="auto"/>
                <w:sz w:val="21"/>
                <w:szCs w:val="21"/>
              </w:rPr>
            </w:pPr>
            <w:r>
              <w:rPr>
                <w:rFonts w:hint="eastAsia" w:hAnsi="宋体"/>
                <w:color w:val="auto"/>
                <w:sz w:val="21"/>
                <w:szCs w:val="21"/>
              </w:rPr>
              <w:t>序号</w:t>
            </w:r>
          </w:p>
        </w:tc>
        <w:tc>
          <w:tcPr>
            <w:tcW w:w="1338" w:type="dxa"/>
            <w:vAlign w:val="center"/>
          </w:tcPr>
          <w:p>
            <w:pPr>
              <w:pStyle w:val="107"/>
              <w:jc w:val="center"/>
              <w:rPr>
                <w:rFonts w:hAnsi="宋体"/>
                <w:color w:val="auto"/>
                <w:sz w:val="21"/>
                <w:szCs w:val="21"/>
              </w:rPr>
            </w:pPr>
            <w:r>
              <w:rPr>
                <w:rFonts w:hint="eastAsia" w:hAnsi="宋体"/>
                <w:color w:val="auto"/>
                <w:sz w:val="21"/>
                <w:szCs w:val="21"/>
              </w:rPr>
              <w:t>设备名称</w:t>
            </w:r>
          </w:p>
        </w:tc>
        <w:tc>
          <w:tcPr>
            <w:tcW w:w="5815" w:type="dxa"/>
            <w:vAlign w:val="center"/>
          </w:tcPr>
          <w:p>
            <w:pPr>
              <w:pStyle w:val="107"/>
              <w:jc w:val="center"/>
              <w:rPr>
                <w:rFonts w:hAnsi="宋体"/>
                <w:color w:val="auto"/>
                <w:sz w:val="21"/>
                <w:szCs w:val="21"/>
              </w:rPr>
            </w:pPr>
            <w:r>
              <w:rPr>
                <w:rFonts w:hint="eastAsia" w:hAnsi="宋体"/>
                <w:color w:val="auto"/>
                <w:sz w:val="21"/>
                <w:szCs w:val="21"/>
              </w:rPr>
              <w:t>技术参数</w:t>
            </w:r>
          </w:p>
        </w:tc>
        <w:tc>
          <w:tcPr>
            <w:tcW w:w="693" w:type="dxa"/>
            <w:vAlign w:val="center"/>
          </w:tcPr>
          <w:p>
            <w:pPr>
              <w:pStyle w:val="107"/>
              <w:jc w:val="center"/>
              <w:rPr>
                <w:rFonts w:hAnsi="宋体"/>
                <w:color w:val="auto"/>
                <w:sz w:val="21"/>
                <w:szCs w:val="21"/>
              </w:rPr>
            </w:pPr>
            <w:r>
              <w:rPr>
                <w:rFonts w:hint="eastAsia" w:hAnsi="宋体"/>
                <w:color w:val="auto"/>
                <w:sz w:val="21"/>
                <w:szCs w:val="21"/>
              </w:rPr>
              <w:t>数量</w:t>
            </w:r>
          </w:p>
        </w:tc>
        <w:tc>
          <w:tcPr>
            <w:tcW w:w="841" w:type="dxa"/>
            <w:vAlign w:val="center"/>
          </w:tcPr>
          <w:p>
            <w:pPr>
              <w:pStyle w:val="107"/>
              <w:jc w:val="center"/>
              <w:rPr>
                <w:rFonts w:hAnsi="宋体"/>
                <w:color w:val="auto"/>
                <w:sz w:val="21"/>
                <w:szCs w:val="21"/>
              </w:rPr>
            </w:pPr>
            <w:r>
              <w:rPr>
                <w:rFonts w:hint="eastAsia" w:hAnsi="宋体"/>
                <w:color w:val="auto"/>
                <w:sz w:val="21"/>
                <w:szCs w:val="21"/>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5" w:hRule="atLeast"/>
        </w:trPr>
        <w:tc>
          <w:tcPr>
            <w:tcW w:w="670" w:type="dxa"/>
          </w:tcPr>
          <w:p>
            <w:pPr>
              <w:pStyle w:val="107"/>
              <w:jc w:val="center"/>
              <w:rPr>
                <w:rFonts w:hAnsi="宋体"/>
                <w:color w:val="auto"/>
                <w:sz w:val="21"/>
                <w:szCs w:val="21"/>
              </w:rPr>
            </w:pPr>
            <w:r>
              <w:rPr>
                <w:rFonts w:hint="eastAsia" w:hAnsi="宋体"/>
                <w:color w:val="auto"/>
                <w:sz w:val="21"/>
                <w:szCs w:val="21"/>
              </w:rPr>
              <w:t>1</w:t>
            </w:r>
          </w:p>
        </w:tc>
        <w:tc>
          <w:tcPr>
            <w:tcW w:w="1338" w:type="dxa"/>
          </w:tcPr>
          <w:p>
            <w:pPr>
              <w:pStyle w:val="107"/>
              <w:jc w:val="center"/>
              <w:rPr>
                <w:rFonts w:hAnsi="宋体"/>
                <w:color w:val="auto"/>
                <w:sz w:val="21"/>
                <w:szCs w:val="21"/>
              </w:rPr>
            </w:pPr>
            <w:r>
              <w:rPr>
                <w:rFonts w:hint="eastAsia" w:hAnsi="宋体"/>
                <w:color w:val="auto"/>
                <w:sz w:val="21"/>
                <w:szCs w:val="21"/>
              </w:rPr>
              <w:t>银行客户信用风险评估项目综合实训平台</w:t>
            </w:r>
          </w:p>
        </w:tc>
        <w:tc>
          <w:tcPr>
            <w:tcW w:w="5815" w:type="dxa"/>
          </w:tcPr>
          <w:p>
            <w:pPr>
              <w:pStyle w:val="107"/>
              <w:jc w:val="both"/>
              <w:rPr>
                <w:rFonts w:hAnsi="宋体"/>
                <w:color w:val="auto"/>
                <w:sz w:val="21"/>
                <w:szCs w:val="21"/>
              </w:rPr>
            </w:pPr>
            <w:r>
              <w:rPr>
                <w:rFonts w:hint="eastAsia" w:hAnsi="宋体"/>
                <w:color w:val="auto"/>
                <w:sz w:val="21"/>
                <w:szCs w:val="21"/>
              </w:rPr>
              <w:t>一、总体要求</w:t>
            </w:r>
          </w:p>
          <w:p>
            <w:pPr>
              <w:pStyle w:val="107"/>
              <w:ind w:firstLine="210" w:firstLineChars="100"/>
              <w:jc w:val="both"/>
              <w:rPr>
                <w:rFonts w:hAnsi="宋体"/>
                <w:color w:val="auto"/>
                <w:sz w:val="21"/>
                <w:szCs w:val="21"/>
              </w:rPr>
            </w:pPr>
            <w:r>
              <w:rPr>
                <w:rFonts w:hint="eastAsia" w:hAnsi="宋体"/>
                <w:color w:val="auto"/>
                <w:sz w:val="21"/>
                <w:szCs w:val="21"/>
              </w:rPr>
              <w:t>1.本地部署，可根据实验室终端数量定制采购</w:t>
            </w:r>
          </w:p>
          <w:p>
            <w:pPr>
              <w:pStyle w:val="107"/>
              <w:ind w:firstLine="210" w:firstLineChars="100"/>
              <w:jc w:val="both"/>
              <w:rPr>
                <w:rFonts w:hAnsi="宋体"/>
                <w:color w:val="auto"/>
                <w:sz w:val="21"/>
                <w:szCs w:val="21"/>
              </w:rPr>
            </w:pPr>
            <w:r>
              <w:rPr>
                <w:rFonts w:hint="eastAsia" w:hAnsi="宋体"/>
                <w:color w:val="auto"/>
                <w:sz w:val="21"/>
                <w:szCs w:val="21"/>
              </w:rPr>
              <w:t>2.实验环境需要满足参考配置，来支撑终端数量的并发。</w:t>
            </w:r>
          </w:p>
          <w:p>
            <w:pPr>
              <w:pStyle w:val="107"/>
              <w:ind w:firstLine="210" w:firstLineChars="100"/>
              <w:jc w:val="both"/>
              <w:rPr>
                <w:rFonts w:hAnsi="宋体"/>
                <w:color w:val="auto"/>
                <w:sz w:val="21"/>
                <w:szCs w:val="21"/>
              </w:rPr>
            </w:pPr>
            <w:r>
              <w:rPr>
                <w:rFonts w:hint="eastAsia" w:hAnsi="宋体"/>
                <w:color w:val="auto"/>
                <w:sz w:val="21"/>
                <w:szCs w:val="21"/>
              </w:rPr>
              <w:t>3.系统包含教师与学生两种角色，根据角色要求提供服务。</w:t>
            </w:r>
          </w:p>
          <w:p>
            <w:pPr>
              <w:pStyle w:val="107"/>
              <w:ind w:firstLine="210" w:firstLineChars="100"/>
              <w:jc w:val="both"/>
              <w:rPr>
                <w:rFonts w:hAnsi="宋体"/>
                <w:color w:val="auto"/>
                <w:sz w:val="21"/>
                <w:szCs w:val="21"/>
              </w:rPr>
            </w:pPr>
            <w:r>
              <w:rPr>
                <w:rFonts w:hint="eastAsia" w:hAnsi="宋体"/>
                <w:color w:val="auto"/>
                <w:sz w:val="21"/>
                <w:szCs w:val="21"/>
              </w:rPr>
              <w:t>4.提供自由实训和可验证实训两种实训模式</w:t>
            </w:r>
          </w:p>
          <w:p>
            <w:pPr>
              <w:pStyle w:val="107"/>
              <w:jc w:val="both"/>
              <w:rPr>
                <w:rFonts w:hAnsi="宋体"/>
                <w:color w:val="auto"/>
                <w:sz w:val="21"/>
                <w:szCs w:val="21"/>
              </w:rPr>
            </w:pPr>
            <w:r>
              <w:rPr>
                <w:rFonts w:hint="eastAsia" w:hAnsi="宋体"/>
                <w:color w:val="auto"/>
                <w:sz w:val="21"/>
                <w:szCs w:val="21"/>
              </w:rPr>
              <w:t>二、学生实训功能</w:t>
            </w:r>
          </w:p>
          <w:p>
            <w:pPr>
              <w:pStyle w:val="107"/>
              <w:ind w:firstLine="210" w:firstLineChars="100"/>
              <w:jc w:val="both"/>
              <w:rPr>
                <w:rFonts w:hAnsi="宋体"/>
                <w:color w:val="auto"/>
                <w:sz w:val="21"/>
                <w:szCs w:val="21"/>
              </w:rPr>
            </w:pPr>
            <w:r>
              <w:rPr>
                <w:rFonts w:hint="eastAsia" w:hAnsi="宋体"/>
                <w:color w:val="auto"/>
                <w:sz w:val="21"/>
                <w:szCs w:val="21"/>
              </w:rPr>
              <w:t>1.支持学生选择自由实训模式，随意选择感兴趣的实验环节开展实践。</w:t>
            </w:r>
          </w:p>
          <w:p>
            <w:pPr>
              <w:pStyle w:val="107"/>
              <w:ind w:firstLine="210" w:firstLineChars="100"/>
              <w:jc w:val="both"/>
              <w:rPr>
                <w:rFonts w:hAnsi="宋体"/>
                <w:color w:val="auto"/>
                <w:sz w:val="21"/>
                <w:szCs w:val="21"/>
              </w:rPr>
            </w:pPr>
            <w:r>
              <w:rPr>
                <w:rFonts w:hint="eastAsia" w:hAnsi="宋体"/>
                <w:color w:val="auto"/>
                <w:sz w:val="21"/>
                <w:szCs w:val="21"/>
              </w:rPr>
              <w:t>2.支持学生选择可验证实训，严格按照项目流程完成实训。每个实训小节支持验证，验证学生的代码结果是否正确，正确后才可继续下一小节实训。</w:t>
            </w:r>
          </w:p>
          <w:p>
            <w:pPr>
              <w:pStyle w:val="107"/>
              <w:ind w:firstLine="210" w:firstLineChars="100"/>
              <w:jc w:val="both"/>
              <w:rPr>
                <w:rFonts w:hAnsi="宋体"/>
                <w:color w:val="auto"/>
                <w:sz w:val="21"/>
                <w:szCs w:val="21"/>
              </w:rPr>
            </w:pPr>
            <w:r>
              <w:rPr>
                <w:rFonts w:hint="eastAsia" w:hAnsi="宋体"/>
                <w:color w:val="auto"/>
                <w:sz w:val="21"/>
                <w:szCs w:val="21"/>
              </w:rPr>
              <w:t>3.为学生提供自主研发的在线编程环境，支持代码补全、代码检验、变量描述等功能。</w:t>
            </w:r>
          </w:p>
          <w:p>
            <w:pPr>
              <w:pStyle w:val="107"/>
              <w:ind w:firstLine="210" w:firstLineChars="100"/>
              <w:jc w:val="both"/>
              <w:rPr>
                <w:rFonts w:hAnsi="宋体"/>
                <w:color w:val="auto"/>
                <w:sz w:val="21"/>
                <w:szCs w:val="21"/>
              </w:rPr>
            </w:pPr>
            <w:r>
              <w:rPr>
                <w:rFonts w:hint="eastAsia" w:hAnsi="宋体"/>
                <w:color w:val="auto"/>
                <w:sz w:val="21"/>
                <w:szCs w:val="21"/>
              </w:rPr>
              <w:t>4.</w:t>
            </w:r>
            <w:r>
              <w:rPr>
                <w:rFonts w:hint="eastAsia" w:hAnsi="宋体"/>
                <w:color w:val="auto"/>
                <w:szCs w:val="21"/>
              </w:rPr>
              <w:t>※</w:t>
            </w:r>
            <w:r>
              <w:rPr>
                <w:rFonts w:hint="eastAsia" w:hAnsi="宋体"/>
                <w:color w:val="auto"/>
                <w:sz w:val="21"/>
                <w:szCs w:val="21"/>
              </w:rPr>
              <w:t>学生在开展实训之前可以选择知识检索，检验学生知识储备情况，对后续项目开展技能要求进行初步评估。</w:t>
            </w:r>
          </w:p>
          <w:p>
            <w:pPr>
              <w:pStyle w:val="107"/>
              <w:ind w:firstLine="210" w:firstLineChars="100"/>
              <w:jc w:val="both"/>
              <w:rPr>
                <w:rFonts w:hAnsi="宋体"/>
                <w:color w:val="auto"/>
                <w:sz w:val="21"/>
                <w:szCs w:val="21"/>
              </w:rPr>
            </w:pPr>
            <w:r>
              <w:rPr>
                <w:rFonts w:hint="eastAsia" w:hAnsi="宋体"/>
                <w:color w:val="auto"/>
                <w:sz w:val="21"/>
                <w:szCs w:val="21"/>
              </w:rPr>
              <w:t>5.</w:t>
            </w:r>
            <w:r>
              <w:rPr>
                <w:rFonts w:hint="eastAsia" w:hAnsi="宋体"/>
                <w:color w:val="auto"/>
                <w:szCs w:val="21"/>
              </w:rPr>
              <w:t>※</w:t>
            </w:r>
            <w:r>
              <w:rPr>
                <w:rFonts w:hint="eastAsia" w:hAnsi="宋体"/>
                <w:color w:val="auto"/>
                <w:sz w:val="21"/>
                <w:szCs w:val="21"/>
              </w:rPr>
              <w:t>在知识检索模块，单题进行解答提交。</w:t>
            </w:r>
          </w:p>
          <w:p>
            <w:pPr>
              <w:pStyle w:val="107"/>
              <w:ind w:firstLine="210" w:firstLineChars="100"/>
              <w:jc w:val="both"/>
              <w:rPr>
                <w:rFonts w:hAnsi="宋体"/>
                <w:color w:val="auto"/>
                <w:sz w:val="21"/>
                <w:szCs w:val="21"/>
              </w:rPr>
            </w:pPr>
            <w:r>
              <w:rPr>
                <w:rFonts w:hint="eastAsia" w:hAnsi="宋体"/>
                <w:color w:val="auto"/>
                <w:sz w:val="21"/>
                <w:szCs w:val="21"/>
              </w:rPr>
              <w:t>6.记录学生各个小节完成情况，查漏补缺。</w:t>
            </w:r>
          </w:p>
          <w:p>
            <w:pPr>
              <w:pStyle w:val="107"/>
              <w:ind w:firstLine="210" w:firstLineChars="100"/>
              <w:jc w:val="both"/>
              <w:rPr>
                <w:rFonts w:hAnsi="宋体"/>
                <w:color w:val="auto"/>
                <w:sz w:val="21"/>
                <w:szCs w:val="21"/>
              </w:rPr>
            </w:pPr>
            <w:r>
              <w:rPr>
                <w:rFonts w:hint="eastAsia" w:hAnsi="宋体"/>
                <w:color w:val="auto"/>
                <w:sz w:val="21"/>
                <w:szCs w:val="21"/>
              </w:rPr>
              <w:t>7.实训过程中可以记录笔记，笔记支持数学公式,标注难点、相关知识补充，支持笔记导出。</w:t>
            </w:r>
          </w:p>
          <w:p>
            <w:pPr>
              <w:pStyle w:val="107"/>
              <w:ind w:firstLine="210" w:firstLineChars="100"/>
              <w:jc w:val="both"/>
              <w:rPr>
                <w:rFonts w:hAnsi="宋体"/>
                <w:color w:val="auto"/>
                <w:sz w:val="21"/>
                <w:szCs w:val="21"/>
              </w:rPr>
            </w:pPr>
            <w:r>
              <w:rPr>
                <w:rFonts w:hint="eastAsia" w:hAnsi="宋体"/>
                <w:color w:val="auto"/>
                <w:sz w:val="21"/>
                <w:szCs w:val="21"/>
              </w:rPr>
              <w:t>8.在可验证模式下系统自动导入实训结果中的图标和数据，生成报告内容，支持写入主观分析内容。</w:t>
            </w:r>
          </w:p>
          <w:p>
            <w:pPr>
              <w:pStyle w:val="107"/>
              <w:ind w:firstLine="210" w:firstLineChars="100"/>
              <w:jc w:val="both"/>
              <w:rPr>
                <w:rFonts w:hAnsi="宋体"/>
                <w:color w:val="auto"/>
                <w:sz w:val="21"/>
                <w:szCs w:val="21"/>
              </w:rPr>
            </w:pPr>
            <w:r>
              <w:rPr>
                <w:rFonts w:hint="eastAsia" w:hAnsi="宋体"/>
                <w:color w:val="auto"/>
                <w:sz w:val="21"/>
                <w:szCs w:val="21"/>
              </w:rPr>
              <w:t>9.学生可以随时编辑报告、删除报告、提交报告等操作，实时统计报告进度。</w:t>
            </w:r>
          </w:p>
          <w:p>
            <w:pPr>
              <w:pStyle w:val="107"/>
              <w:jc w:val="both"/>
              <w:rPr>
                <w:rFonts w:hAnsi="宋体"/>
                <w:color w:val="auto"/>
                <w:sz w:val="21"/>
                <w:szCs w:val="21"/>
              </w:rPr>
            </w:pPr>
            <w:r>
              <w:rPr>
                <w:rFonts w:hint="eastAsia" w:hAnsi="宋体"/>
                <w:color w:val="auto"/>
                <w:sz w:val="21"/>
                <w:szCs w:val="21"/>
              </w:rPr>
              <w:t>三、教师管理功能</w:t>
            </w:r>
          </w:p>
          <w:p>
            <w:pPr>
              <w:pStyle w:val="107"/>
              <w:ind w:firstLine="210" w:firstLineChars="100"/>
              <w:jc w:val="both"/>
              <w:rPr>
                <w:rFonts w:hAnsi="宋体"/>
                <w:color w:val="auto"/>
                <w:sz w:val="21"/>
                <w:szCs w:val="21"/>
              </w:rPr>
            </w:pPr>
            <w:r>
              <w:rPr>
                <w:rFonts w:hint="eastAsia" w:hAnsi="宋体"/>
                <w:color w:val="auto"/>
                <w:sz w:val="21"/>
                <w:szCs w:val="21"/>
              </w:rPr>
              <w:t>1.为教师提供整个项目概览，支持每个实训环节可以查答案。</w:t>
            </w:r>
          </w:p>
          <w:p>
            <w:pPr>
              <w:pStyle w:val="107"/>
              <w:ind w:firstLine="210" w:firstLineChars="100"/>
              <w:jc w:val="both"/>
              <w:rPr>
                <w:rFonts w:hAnsi="宋体"/>
                <w:color w:val="auto"/>
                <w:sz w:val="21"/>
                <w:szCs w:val="21"/>
              </w:rPr>
            </w:pPr>
            <w:r>
              <w:rPr>
                <w:rFonts w:hint="eastAsia" w:hAnsi="宋体"/>
                <w:color w:val="auto"/>
                <w:sz w:val="21"/>
                <w:szCs w:val="21"/>
              </w:rPr>
              <w:t>2.为教师提供实训项目课件，根据课件完成实训教学内容。</w:t>
            </w:r>
          </w:p>
          <w:p>
            <w:pPr>
              <w:pStyle w:val="107"/>
              <w:ind w:firstLine="210" w:firstLineChars="100"/>
              <w:jc w:val="both"/>
              <w:rPr>
                <w:rFonts w:hAnsi="宋体"/>
                <w:color w:val="auto"/>
                <w:sz w:val="21"/>
                <w:szCs w:val="21"/>
              </w:rPr>
            </w:pPr>
            <w:r>
              <w:rPr>
                <w:rFonts w:hint="eastAsia" w:hAnsi="宋体"/>
                <w:color w:val="auto"/>
                <w:sz w:val="21"/>
                <w:szCs w:val="21"/>
              </w:rPr>
              <w:t>3.教师可以查看学生提交的报告和报告完成率，了解每个学生的项目进展。</w:t>
            </w:r>
          </w:p>
          <w:p>
            <w:pPr>
              <w:pStyle w:val="107"/>
              <w:ind w:firstLine="210" w:firstLineChars="100"/>
              <w:jc w:val="both"/>
              <w:rPr>
                <w:rFonts w:hAnsi="宋体"/>
                <w:color w:val="auto"/>
                <w:sz w:val="21"/>
                <w:szCs w:val="21"/>
              </w:rPr>
            </w:pPr>
            <w:r>
              <w:rPr>
                <w:rFonts w:hint="eastAsia" w:hAnsi="宋体"/>
                <w:color w:val="auto"/>
                <w:sz w:val="21"/>
                <w:szCs w:val="21"/>
              </w:rPr>
              <w:t>4.支持教师导出所有学生的项目报告</w:t>
            </w:r>
          </w:p>
          <w:p>
            <w:pPr>
              <w:pStyle w:val="107"/>
              <w:ind w:firstLine="210" w:firstLineChars="100"/>
              <w:jc w:val="both"/>
              <w:rPr>
                <w:rFonts w:hAnsi="宋体"/>
                <w:color w:val="auto"/>
                <w:sz w:val="21"/>
                <w:szCs w:val="21"/>
              </w:rPr>
            </w:pPr>
            <w:r>
              <w:rPr>
                <w:rFonts w:hint="eastAsia" w:hAnsi="宋体"/>
                <w:color w:val="auto"/>
                <w:sz w:val="21"/>
                <w:szCs w:val="21"/>
              </w:rPr>
              <w:t>5.每名学生的报告保持最新版本，方便教师检阅。</w:t>
            </w:r>
          </w:p>
          <w:p>
            <w:pPr>
              <w:pStyle w:val="107"/>
              <w:ind w:firstLine="210" w:firstLineChars="100"/>
              <w:jc w:val="both"/>
              <w:rPr>
                <w:rFonts w:hAnsi="宋体"/>
                <w:color w:val="auto"/>
                <w:sz w:val="21"/>
                <w:szCs w:val="21"/>
              </w:rPr>
            </w:pPr>
            <w:r>
              <w:rPr>
                <w:rFonts w:hint="eastAsia" w:hAnsi="宋体"/>
                <w:color w:val="auto"/>
                <w:sz w:val="21"/>
                <w:szCs w:val="21"/>
              </w:rPr>
              <w:t>6.支持教师分组管理学生的报告</w:t>
            </w:r>
          </w:p>
          <w:p>
            <w:pPr>
              <w:pStyle w:val="107"/>
              <w:jc w:val="both"/>
              <w:rPr>
                <w:rFonts w:hAnsi="宋体"/>
                <w:color w:val="auto"/>
                <w:sz w:val="21"/>
                <w:szCs w:val="21"/>
              </w:rPr>
            </w:pPr>
            <w:r>
              <w:rPr>
                <w:rFonts w:hint="eastAsia" w:hAnsi="宋体"/>
                <w:color w:val="auto"/>
                <w:sz w:val="21"/>
                <w:szCs w:val="21"/>
              </w:rPr>
              <w:t>四、实训内容</w:t>
            </w:r>
          </w:p>
          <w:p>
            <w:pPr>
              <w:pStyle w:val="107"/>
              <w:jc w:val="both"/>
              <w:rPr>
                <w:rFonts w:hAnsi="宋体"/>
                <w:color w:val="auto"/>
                <w:sz w:val="21"/>
                <w:szCs w:val="21"/>
              </w:rPr>
            </w:pPr>
            <w:r>
              <w:rPr>
                <w:rFonts w:hint="eastAsia" w:hAnsi="宋体"/>
                <w:color w:val="auto"/>
                <w:sz w:val="21"/>
                <w:szCs w:val="21"/>
              </w:rPr>
              <w:t>软件包含银行客户的脱敏数据集，通过分析客户的个人基本信息、信用历史、消费与偿还能力等指标，利用有监督学习等方法建立个人信用风险评估模型，预测申请贷款的客户是否有违约风险。实验任务包括：数据描述与解析，数据探索分析，建立信用评估指标体系，构建客户风险评估模型，模型预测及分析。</w:t>
            </w:r>
          </w:p>
          <w:p>
            <w:pPr>
              <w:pStyle w:val="107"/>
              <w:ind w:firstLine="210" w:firstLineChars="100"/>
              <w:jc w:val="both"/>
              <w:rPr>
                <w:rFonts w:hAnsi="宋体"/>
                <w:color w:val="auto"/>
                <w:sz w:val="21"/>
                <w:szCs w:val="21"/>
              </w:rPr>
            </w:pPr>
            <w:r>
              <w:rPr>
                <w:rFonts w:hint="eastAsia" w:hAnsi="宋体"/>
                <w:color w:val="auto"/>
                <w:sz w:val="21"/>
                <w:szCs w:val="21"/>
              </w:rPr>
              <w:t>1、</w:t>
            </w:r>
            <w:r>
              <w:rPr>
                <w:rFonts w:hint="eastAsia" w:hAnsi="宋体"/>
                <w:color w:val="auto"/>
                <w:szCs w:val="21"/>
              </w:rPr>
              <w:t>※</w:t>
            </w:r>
            <w:r>
              <w:rPr>
                <w:rFonts w:hint="eastAsia" w:hAnsi="宋体"/>
                <w:color w:val="auto"/>
                <w:sz w:val="21"/>
                <w:szCs w:val="21"/>
              </w:rPr>
              <w:t>所需数据集为脱敏数据集，记录了其公安、银行、运营商和法院等多种来源的信息</w:t>
            </w:r>
            <w:r>
              <w:rPr>
                <w:rFonts w:hint="eastAsia" w:hAnsi="宋体"/>
                <w:b/>
                <w:bCs/>
                <w:color w:val="auto"/>
                <w:sz w:val="21"/>
                <w:szCs w:val="21"/>
              </w:rPr>
              <w:t>（需现场演示）</w:t>
            </w:r>
          </w:p>
          <w:p>
            <w:pPr>
              <w:pStyle w:val="107"/>
              <w:ind w:firstLine="210" w:firstLineChars="100"/>
              <w:jc w:val="both"/>
              <w:rPr>
                <w:rFonts w:hAnsi="宋体"/>
                <w:color w:val="auto"/>
                <w:sz w:val="21"/>
                <w:szCs w:val="21"/>
              </w:rPr>
            </w:pPr>
            <w:r>
              <w:rPr>
                <w:rFonts w:hint="eastAsia" w:hAnsi="宋体"/>
                <w:color w:val="auto"/>
                <w:sz w:val="21"/>
                <w:szCs w:val="21"/>
              </w:rPr>
              <w:t>2、</w:t>
            </w:r>
            <w:r>
              <w:rPr>
                <w:rFonts w:hint="eastAsia" w:hAnsi="宋体"/>
                <w:color w:val="auto"/>
                <w:szCs w:val="21"/>
              </w:rPr>
              <w:t>※</w:t>
            </w:r>
            <w:r>
              <w:rPr>
                <w:rFonts w:hint="eastAsia" w:hAnsi="宋体"/>
                <w:color w:val="auto"/>
                <w:sz w:val="21"/>
                <w:szCs w:val="21"/>
              </w:rPr>
              <w:t>提供的原始数据需要有一定的缺失率，根据特征类型和特征意义采用不同的缺失值处理方法对数据进行预处理。</w:t>
            </w:r>
          </w:p>
          <w:p>
            <w:pPr>
              <w:pStyle w:val="107"/>
              <w:ind w:firstLine="210" w:firstLineChars="100"/>
              <w:jc w:val="both"/>
              <w:rPr>
                <w:rFonts w:hAnsi="宋体"/>
                <w:color w:val="auto"/>
                <w:sz w:val="21"/>
                <w:szCs w:val="21"/>
              </w:rPr>
            </w:pPr>
            <w:r>
              <w:rPr>
                <w:rFonts w:hint="eastAsia" w:hAnsi="宋体"/>
                <w:color w:val="auto"/>
                <w:sz w:val="21"/>
                <w:szCs w:val="21"/>
              </w:rPr>
              <w:t>3、</w:t>
            </w:r>
            <w:r>
              <w:rPr>
                <w:rFonts w:hint="eastAsia" w:hAnsi="宋体"/>
                <w:color w:val="auto"/>
                <w:szCs w:val="21"/>
              </w:rPr>
              <w:t>※</w:t>
            </w:r>
            <w:r>
              <w:rPr>
                <w:rFonts w:hint="eastAsia" w:hAnsi="宋体"/>
                <w:color w:val="auto"/>
                <w:sz w:val="21"/>
                <w:szCs w:val="21"/>
              </w:rPr>
              <w:t>在对数据进行预处理后，需要参照国际信用评分指标体系的建立方式，建立信用评估指标体系：分为个人信息、信用历史、偿债能力、消费能力四大指标类。</w:t>
            </w:r>
            <w:r>
              <w:rPr>
                <w:rFonts w:hint="eastAsia" w:hAnsi="宋体"/>
                <w:b/>
                <w:bCs/>
                <w:color w:val="auto"/>
                <w:sz w:val="21"/>
                <w:szCs w:val="21"/>
              </w:rPr>
              <w:t>（需现场演示）</w:t>
            </w:r>
          </w:p>
          <w:p>
            <w:pPr>
              <w:pStyle w:val="107"/>
              <w:ind w:firstLine="210" w:firstLineChars="100"/>
              <w:jc w:val="both"/>
              <w:rPr>
                <w:rFonts w:hAnsi="宋体"/>
                <w:color w:val="auto"/>
                <w:sz w:val="21"/>
                <w:szCs w:val="21"/>
              </w:rPr>
            </w:pPr>
            <w:r>
              <w:rPr>
                <w:rFonts w:hint="eastAsia" w:hAnsi="宋体"/>
                <w:color w:val="auto"/>
                <w:sz w:val="21"/>
                <w:szCs w:val="21"/>
              </w:rPr>
              <w:t>4、</w:t>
            </w:r>
            <w:r>
              <w:rPr>
                <w:rFonts w:hint="eastAsia" w:hAnsi="宋体"/>
                <w:color w:val="auto"/>
                <w:szCs w:val="21"/>
              </w:rPr>
              <w:t>※</w:t>
            </w:r>
            <w:r>
              <w:rPr>
                <w:rFonts w:hint="eastAsia" w:hAnsi="宋体"/>
                <w:color w:val="auto"/>
                <w:sz w:val="21"/>
                <w:szCs w:val="21"/>
              </w:rPr>
              <w:t>在对数据进行探索分析之后，需要基于信用评估指标体系，构建“客户风险评估模型”。 构建风险评估模型的基本流程为： 训练集与测试集划分、构建风控模型、模型参数调优。</w:t>
            </w:r>
            <w:r>
              <w:rPr>
                <w:rFonts w:hint="eastAsia" w:hAnsi="宋体"/>
                <w:b/>
                <w:bCs/>
                <w:color w:val="auto"/>
                <w:sz w:val="21"/>
                <w:szCs w:val="21"/>
              </w:rPr>
              <w:t>（需现场演示）</w:t>
            </w:r>
          </w:p>
          <w:p>
            <w:pPr>
              <w:pStyle w:val="107"/>
              <w:ind w:firstLine="210" w:firstLineChars="100"/>
              <w:jc w:val="both"/>
              <w:rPr>
                <w:rFonts w:hAnsi="宋体"/>
                <w:color w:val="auto"/>
                <w:sz w:val="21"/>
                <w:szCs w:val="21"/>
              </w:rPr>
            </w:pPr>
            <w:r>
              <w:rPr>
                <w:rFonts w:hint="eastAsia" w:hAnsi="宋体"/>
                <w:color w:val="auto"/>
                <w:sz w:val="21"/>
                <w:szCs w:val="21"/>
              </w:rPr>
              <w:t>5、</w:t>
            </w:r>
            <w:r>
              <w:rPr>
                <w:rFonts w:hint="eastAsia" w:hAnsi="宋体"/>
                <w:color w:val="auto"/>
                <w:szCs w:val="21"/>
              </w:rPr>
              <w:t>※</w:t>
            </w:r>
            <w:r>
              <w:rPr>
                <w:rFonts w:hint="eastAsia" w:hAnsi="宋体"/>
                <w:color w:val="auto"/>
                <w:sz w:val="21"/>
                <w:szCs w:val="21"/>
              </w:rPr>
              <w:t>系统使用逻辑回归和随机森林两种算法来进行客户风险评估模型的构建，并分别对两种算法进行了调参优化工作。</w:t>
            </w:r>
            <w:r>
              <w:rPr>
                <w:rFonts w:hint="eastAsia" w:hAnsi="宋体"/>
                <w:b/>
                <w:bCs/>
                <w:color w:val="auto"/>
                <w:sz w:val="21"/>
                <w:szCs w:val="21"/>
              </w:rPr>
              <w:t>（需现场演示）</w:t>
            </w:r>
          </w:p>
          <w:p>
            <w:pPr>
              <w:pStyle w:val="107"/>
              <w:ind w:firstLine="210" w:firstLineChars="100"/>
              <w:jc w:val="both"/>
              <w:rPr>
                <w:rFonts w:hAnsi="宋体"/>
                <w:color w:val="auto"/>
                <w:sz w:val="21"/>
                <w:szCs w:val="21"/>
              </w:rPr>
            </w:pPr>
            <w:r>
              <w:rPr>
                <w:rFonts w:hint="eastAsia" w:hAnsi="宋体"/>
                <w:color w:val="auto"/>
                <w:sz w:val="21"/>
                <w:szCs w:val="21"/>
              </w:rPr>
              <w:t>6、</w:t>
            </w:r>
            <w:r>
              <w:rPr>
                <w:rFonts w:hint="eastAsia" w:hAnsi="宋体"/>
                <w:color w:val="auto"/>
                <w:szCs w:val="21"/>
              </w:rPr>
              <w:t>※</w:t>
            </w:r>
            <w:r>
              <w:rPr>
                <w:rFonts w:hint="eastAsia" w:hAnsi="宋体"/>
                <w:color w:val="auto"/>
                <w:sz w:val="21"/>
                <w:szCs w:val="21"/>
              </w:rPr>
              <w:t>在模型有效的前提下，用外推样本对模型进行稳定性和可解释性的评估，对模型进行更全面的评价，从三个角度评价模型：准确性、稳定性、和可解释性 。</w:t>
            </w:r>
            <w:r>
              <w:rPr>
                <w:rFonts w:hint="eastAsia" w:hAnsi="宋体"/>
                <w:b/>
                <w:bCs/>
                <w:color w:val="auto"/>
                <w:sz w:val="21"/>
                <w:szCs w:val="21"/>
              </w:rPr>
              <w:t>（需现场演示）</w:t>
            </w:r>
          </w:p>
          <w:p>
            <w:pPr>
              <w:pStyle w:val="107"/>
              <w:ind w:firstLine="210" w:firstLineChars="100"/>
              <w:jc w:val="both"/>
              <w:rPr>
                <w:rFonts w:hAnsi="宋体"/>
                <w:b/>
                <w:bCs/>
                <w:color w:val="auto"/>
                <w:sz w:val="21"/>
                <w:szCs w:val="21"/>
              </w:rPr>
            </w:pPr>
            <w:r>
              <w:rPr>
                <w:rFonts w:hint="eastAsia" w:hAnsi="宋体"/>
                <w:color w:val="auto"/>
                <w:sz w:val="21"/>
                <w:szCs w:val="21"/>
              </w:rPr>
              <w:t>7、</w:t>
            </w:r>
            <w:r>
              <w:rPr>
                <w:rFonts w:hint="eastAsia" w:hAnsi="宋体"/>
                <w:color w:val="auto"/>
                <w:szCs w:val="21"/>
              </w:rPr>
              <w:t>※</w:t>
            </w:r>
            <w:r>
              <w:rPr>
                <w:rFonts w:hint="eastAsia" w:hAnsi="宋体"/>
                <w:color w:val="auto"/>
                <w:sz w:val="21"/>
                <w:szCs w:val="21"/>
              </w:rPr>
              <w:t>实训项目知识点须覆盖数据清洗、数据可视化、Pandas数据分析、机器学习、数据科学导引等相关知识。</w:t>
            </w:r>
            <w:r>
              <w:rPr>
                <w:rFonts w:hint="eastAsia" w:hAnsi="宋体"/>
                <w:b/>
                <w:bCs/>
                <w:color w:val="auto"/>
                <w:sz w:val="21"/>
                <w:szCs w:val="21"/>
              </w:rPr>
              <w:t>（需现场演示）</w:t>
            </w:r>
          </w:p>
          <w:p>
            <w:pPr>
              <w:pStyle w:val="107"/>
              <w:jc w:val="both"/>
              <w:rPr>
                <w:rFonts w:hAnsi="宋体"/>
                <w:color w:val="auto"/>
                <w:sz w:val="21"/>
                <w:szCs w:val="21"/>
              </w:rPr>
            </w:pPr>
            <w:r>
              <w:rPr>
                <w:rFonts w:hint="eastAsia" w:hAnsi="宋体"/>
                <w:color w:val="auto"/>
                <w:sz w:val="21"/>
                <w:szCs w:val="21"/>
              </w:rPr>
              <w:t>五、可终身使用，质保期3年内免费升级。</w:t>
            </w:r>
          </w:p>
          <w:p>
            <w:pPr>
              <w:pStyle w:val="107"/>
              <w:jc w:val="both"/>
              <w:rPr>
                <w:rFonts w:hAnsi="宋体"/>
                <w:color w:val="auto"/>
                <w:sz w:val="21"/>
                <w:szCs w:val="21"/>
              </w:rPr>
            </w:pPr>
            <w:r>
              <w:rPr>
                <w:rFonts w:hint="eastAsia" w:hAnsi="宋体"/>
                <w:color w:val="auto"/>
                <w:sz w:val="21"/>
                <w:szCs w:val="21"/>
              </w:rPr>
              <w:t>注：提供生产厂家出具针对本项目的售后服务承诺函（加盖生产厂商公章的真彩扫描件）</w:t>
            </w:r>
          </w:p>
          <w:p>
            <w:pPr>
              <w:pStyle w:val="107"/>
              <w:jc w:val="both"/>
              <w:rPr>
                <w:rFonts w:hAnsi="宋体"/>
                <w:color w:val="auto"/>
                <w:sz w:val="21"/>
                <w:szCs w:val="21"/>
              </w:rPr>
            </w:pPr>
            <w:r>
              <w:rPr>
                <w:rFonts w:hint="eastAsia" w:hAnsi="宋体"/>
                <w:color w:val="auto"/>
                <w:sz w:val="21"/>
                <w:szCs w:val="21"/>
              </w:rPr>
              <w:t>提供生产厂家参数资料（加盖生产厂商公章的真彩扫描件）或产品宣传官网网址截图</w:t>
            </w:r>
          </w:p>
        </w:tc>
        <w:tc>
          <w:tcPr>
            <w:tcW w:w="693" w:type="dxa"/>
          </w:tcPr>
          <w:p>
            <w:pPr>
              <w:pStyle w:val="107"/>
              <w:jc w:val="center"/>
              <w:rPr>
                <w:rFonts w:hAnsi="宋体"/>
                <w:color w:val="auto"/>
                <w:sz w:val="21"/>
                <w:szCs w:val="21"/>
              </w:rPr>
            </w:pPr>
            <w:r>
              <w:rPr>
                <w:rFonts w:hint="eastAsia" w:hAnsi="宋体"/>
                <w:color w:val="auto"/>
                <w:sz w:val="21"/>
                <w:szCs w:val="21"/>
              </w:rPr>
              <w:t>1</w:t>
            </w:r>
          </w:p>
        </w:tc>
        <w:tc>
          <w:tcPr>
            <w:tcW w:w="841" w:type="dxa"/>
          </w:tcPr>
          <w:p>
            <w:pPr>
              <w:pStyle w:val="107"/>
              <w:jc w:val="center"/>
              <w:rPr>
                <w:rFonts w:hAnsi="宋体"/>
                <w:color w:val="auto"/>
                <w:sz w:val="21"/>
                <w:szCs w:val="21"/>
              </w:rPr>
            </w:pPr>
            <w:r>
              <w:rPr>
                <w:rFonts w:hint="eastAsia" w:hAnsi="宋体"/>
                <w:color w:val="auto"/>
                <w:sz w:val="21"/>
                <w:szCs w:val="21"/>
              </w:rPr>
              <w:t>套</w:t>
            </w:r>
          </w:p>
        </w:tc>
      </w:tr>
    </w:tbl>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如涉及固定厂家品牌或规格型号的均可认为推荐，并不要求其唯一性，供应商可提供同等质量标准或更高标准产品，并提供相应技术参数证明其符合采购需求或优于采购需求，否则可视其为不满足采购需求。</w:t>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2" w:name="_Toc4139"/>
      <w:r>
        <w:rPr>
          <w:rFonts w:hint="eastAsia" w:asciiTheme="minorEastAsia" w:hAnsiTheme="minorEastAsia" w:eastAsiaTheme="minorEastAsia" w:cstheme="minorEastAsia"/>
          <w:b/>
          <w:bCs/>
          <w:sz w:val="24"/>
        </w:rPr>
        <w:t>二、商务需求</w:t>
      </w:r>
      <w:bookmarkEnd w:id="112"/>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1.违约责任：</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Theme="minorEastAsia" w:hAnsiTheme="minorEastAsia" w:eastAsiaTheme="minorEastAsia" w:cstheme="minorEastAsia"/>
          <w:b/>
          <w:bCs/>
          <w:color w:val="FF0000"/>
          <w:szCs w:val="21"/>
        </w:rPr>
        <w:br w:type="textWrapping"/>
      </w:r>
      <w:r>
        <w:rPr>
          <w:rFonts w:hint="eastAsia" w:asciiTheme="minorEastAsia" w:hAnsiTheme="minorEastAsia" w:eastAsiaTheme="minorEastAsia" w:cstheme="minorEastAsia"/>
          <w:szCs w:val="21"/>
        </w:rPr>
        <w:t>2.产品质量要求：</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2.1满足执行的国家相关标准、行业标准、地方标准或其他标准，规范；</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2.2所有产品是否满足磋商文件的要求及响应文件的承诺；</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2.3供应商须提供设备的相应参数和技术支持材料，不得完全照搬磋商文件技术参数要求内容或标示无偏离或者符合等。</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2.4本次采购项目的质量必须完全满足中华人民共和国国家质量标准及现行规范要求，供应商应根据企业实际能力在响应文件中对项目质量予以承诺，中标后在合同中加以确认。</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2.5如有在本磋商文件中未说明的设备运行所必须的其他辅助设备及软件系统，请在响应文件中提供详细说明及相关报价。</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2.6供应商在招标及中标后，发生侵犯专利权的行为时，其侵权责任与招标人无关，应由中标人承担相应的责任，并不得影响招标人的利益。</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产品进场安装、调试及验收：成交供应商须负责设备系统（包括硬件、操作系统）的安装、调试、与应用软件的集成安装、联调等工作。最终的验收在用户所在地进行，内容包括：各项参数及性能检验、设备精度检测等。</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4.1成交供应商需要确保货物质保期内免费升级。质保期内对技术支持与服务的及时性。提供工作日24小时电话响应，48小时上门服务。</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4.2本项目采购的产品质保期时间自产品最终验收合格双方签字并交付使用之日起算。</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成交供应商应调配技术过硬的技术人员提供各类技术支持服务(包括电话技术支持和现场技术支持等)，成交供应商向采购人提供7×24小时热线电话服务，并通过多种形式实现技术咨询和故障报修，成交供应商向采购人提供系统操作使用说明书，并进行人员培训。</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4.4成交供应商应提供定期回访，就系统使用情况进行定期检查，便于及时发现故障以及隐患。</w:t>
      </w:r>
      <w:r>
        <w:rPr>
          <w:rFonts w:hint="eastAsia" w:ascii="宋体" w:hAnsi="宋体" w:cs="宋体"/>
          <w:szCs w:val="21"/>
        </w:rPr>
        <w:br w:type="textWrapping"/>
      </w:r>
      <w:r>
        <w:rPr>
          <w:rFonts w:hint="eastAsia" w:asciiTheme="minorEastAsia" w:hAnsiTheme="minorEastAsia" w:eastAsiaTheme="minorEastAsia" w:cstheme="minorEastAsia"/>
          <w:szCs w:val="21"/>
        </w:rPr>
        <w:t>5.实施人员要求：</w:t>
      </w:r>
      <w:r>
        <w:rPr>
          <w:rFonts w:hint="eastAsia" w:ascii="宋体" w:hAnsi="宋体" w:cs="宋体"/>
          <w:szCs w:val="21"/>
        </w:rPr>
        <w:t>按本项目情况配置齐全的实施人员，且分工明确。</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6.培训要求：</w:t>
      </w:r>
      <w:r>
        <w:rPr>
          <w:rFonts w:hint="eastAsia" w:ascii="宋体" w:hAnsi="宋体" w:cs="宋体"/>
          <w:szCs w:val="21"/>
        </w:rPr>
        <w:t>对设备使用者进行设备操作和维护进行培训，使被培训人员达到能够熟练使用，培训费用由卖方承担。</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7.交货地点：</w:t>
      </w:r>
      <w:r>
        <w:rPr>
          <w:rFonts w:hint="eastAsia" w:ascii="宋体" w:hAnsi="宋体" w:cs="宋体"/>
          <w:szCs w:val="21"/>
        </w:rPr>
        <w:t>采购人指定地点。</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8.履约保证金：合同总金额的5%；签订合同前5个工作日递交，以支票、汇票、本票或者金融机构、担保机构出具的保函等非现金形式提交。</w:t>
      </w:r>
    </w:p>
    <w:p>
      <w:pPr>
        <w:autoSpaceDE w:val="0"/>
        <w:autoSpaceDN w:val="0"/>
        <w:adjustRightInd w:val="0"/>
        <w:spacing w:line="360" w:lineRule="auto"/>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szCs w:val="21"/>
        </w:rPr>
        <w:t>9.付款方式：合同签订前，乙方向甲方支付合同总额的5%作为履约保证金。安装调试及经甲方验收合格并收到乙方发票后15个工作日内，甲方向乙方支付合同总金额的100%，履约保证金自动转为质保金，一年后如无质量及售后服务等问题及其他违约事项，采购人向成交供应商无息退还质量保证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10.其它：其他未尽事宜由成交供应商和采购人按合同进行约定。</w:t>
      </w:r>
      <w:r>
        <w:rPr>
          <w:rFonts w:hint="eastAsia" w:asciiTheme="minorEastAsia" w:hAnsiTheme="minorEastAsia" w:eastAsiaTheme="minorEastAsia" w:cstheme="minorEastAsia"/>
          <w:szCs w:val="21"/>
        </w:rPr>
        <w:br w:type="textWrapping"/>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p>
    <w:p>
      <w:pPr>
        <w:pStyle w:val="4"/>
        <w:numPr>
          <w:ilvl w:val="0"/>
          <w:numId w:val="4"/>
        </w:numPr>
        <w:jc w:val="center"/>
        <w:rPr>
          <w:rFonts w:asciiTheme="minorEastAsia" w:hAnsiTheme="minorEastAsia" w:eastAsiaTheme="minorEastAsia" w:cstheme="minorEastAsia"/>
          <w:szCs w:val="21"/>
        </w:rPr>
      </w:pPr>
      <w:bookmarkStart w:id="113" w:name="_Toc1421"/>
      <w:r>
        <w:rPr>
          <w:rFonts w:hint="eastAsia" w:asciiTheme="minorEastAsia" w:hAnsiTheme="minorEastAsia" w:eastAsiaTheme="minorEastAsia" w:cstheme="minorEastAsia"/>
          <w:sz w:val="36"/>
          <w:szCs w:val="36"/>
        </w:rPr>
        <w:t>竞争性磋商采购评定办法</w:t>
      </w:r>
      <w:bookmarkEnd w:id="113"/>
    </w:p>
    <w:p>
      <w:pPr>
        <w:spacing w:line="360" w:lineRule="auto"/>
        <w:outlineLvl w:val="1"/>
        <w:rPr>
          <w:rFonts w:asciiTheme="minorEastAsia" w:hAnsiTheme="minorEastAsia" w:eastAsiaTheme="minorEastAsia" w:cstheme="minorEastAsia"/>
          <w:b/>
          <w:szCs w:val="21"/>
        </w:rPr>
      </w:pPr>
      <w:bookmarkStart w:id="114" w:name="_Toc4474"/>
      <w:r>
        <w:rPr>
          <w:rFonts w:hint="eastAsia" w:asciiTheme="minorEastAsia" w:hAnsiTheme="minorEastAsia" w:eastAsiaTheme="minorEastAsia" w:cstheme="minorEastAsia"/>
          <w:b/>
          <w:szCs w:val="21"/>
        </w:rPr>
        <w:t>一、评定办法前附表</w:t>
      </w:r>
      <w:bookmarkEnd w:id="114"/>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不得存在的情形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未被列入失信被执行人、重大税收违法案件当事人名单（链接：https://www.creditchina.gov.cn/），未被列入政府采购严重违法失信行为记录名单（链接：http://www.ccgp.gov.cn/search/cr/）。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信誉情况</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参加本</w:t>
            </w:r>
            <w:r>
              <w:rPr>
                <w:rFonts w:hint="eastAsia" w:ascii="宋体" w:hAnsi="宋体" w:cs="宋体"/>
                <w:kern w:val="0"/>
                <w:szCs w:val="21"/>
                <w:shd w:val="clear" w:color="auto" w:fill="FFFFFF"/>
              </w:rPr>
              <w:t>次政府采购活动前三年内，是否有不良经济纠纷记录和违法行为（供应商提供声明或承诺书，格式自拟）；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4</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核心产品相同品牌</w:t>
            </w:r>
          </w:p>
        </w:tc>
        <w:tc>
          <w:tcPr>
            <w:tcW w:w="2268" w:type="dxa"/>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核心产品相同品牌处理原则</w:t>
            </w:r>
            <w:r>
              <w:rPr>
                <w:rFonts w:hint="eastAsia" w:asciiTheme="minorEastAsia" w:hAnsiTheme="minorEastAsia" w:eastAsiaTheme="minorEastAsia" w:cstheme="minorEastAsia"/>
                <w:szCs w:val="21"/>
              </w:rPr>
              <w:t>【本项目不适用】</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多家供应商提供的核心产品品牌相同的，按上述规定处理。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类型：其他未列明行业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的相关规定在评定时对小型和微型企业产品的价格给予6%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2%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5" w:name="_Toc32423"/>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0"/>
        <w:outlineLvl w:val="1"/>
        <w:rPr>
          <w:rFonts w:asciiTheme="minorEastAsia" w:hAnsiTheme="minorEastAsia" w:eastAsiaTheme="minorEastAsia" w:cstheme="minorEastAsia"/>
        </w:rPr>
        <w:sectPr>
          <w:footerReference r:id="rId7" w:type="default"/>
          <w:type w:val="continuous"/>
          <w:pgSz w:w="11906" w:h="16838"/>
          <w:pgMar w:top="1417" w:right="1417" w:bottom="1417" w:left="1417" w:header="851" w:footer="992" w:gutter="0"/>
          <w:cols w:space="720" w:num="1"/>
          <w:docGrid w:type="lines" w:linePitch="312" w:charSpace="0"/>
        </w:sectPr>
      </w:pPr>
      <w:bookmarkStart w:id="116" w:name="_Toc17585"/>
      <w:bookmarkStart w:id="117" w:name="_Toc8676"/>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bookmarkEnd w:id="116"/>
      <w:bookmarkEnd w:id="117"/>
    </w:p>
    <w:p>
      <w:pPr>
        <w:pStyle w:val="20"/>
        <w:outlineLvl w:val="1"/>
        <w:rPr>
          <w:rStyle w:val="103"/>
        </w:rPr>
      </w:pPr>
      <w:bookmarkStart w:id="118" w:name="_Toc18578"/>
      <w:r>
        <w:rPr>
          <w:rFonts w:hint="eastAsia" w:asciiTheme="minorEastAsia" w:hAnsiTheme="minorEastAsia" w:eastAsiaTheme="minorEastAsia" w:cstheme="minorEastAsia"/>
          <w:b/>
          <w:szCs w:val="21"/>
        </w:rPr>
        <w:t>三、评分细则</w:t>
      </w:r>
      <w:bookmarkEnd w:id="118"/>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竞标报价</w:t>
            </w:r>
            <w:r>
              <w:rPr>
                <w:rFonts w:hint="eastAsia" w:asciiTheme="minorEastAsia" w:hAnsiTheme="minorEastAsia" w:eastAsiaTheme="minorEastAsia" w:cstheme="minorEastAsia"/>
                <w:kern w:val="0"/>
                <w:szCs w:val="21"/>
                <w:lang w:bidi="ar"/>
              </w:rPr>
              <w:br w:type="textWrapping"/>
            </w:r>
            <w:r>
              <w:rPr>
                <w:rFonts w:hint="eastAsia" w:asciiTheme="minorEastAsia" w:hAnsiTheme="minorEastAsia" w:eastAsiaTheme="minorEastAsia" w:cstheme="minorEastAsia"/>
                <w:kern w:val="0"/>
                <w:szCs w:val="21"/>
                <w:lang w:bidi="ar"/>
              </w:rPr>
              <w:t>40分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w:t>
            </w:r>
            <w:r>
              <w:rPr>
                <w:rFonts w:hint="eastAsia" w:asciiTheme="minorEastAsia" w:hAnsiTheme="minorEastAsia" w:eastAsiaTheme="minorEastAsia" w:cstheme="minorEastAsia"/>
                <w:kern w:val="0"/>
                <w:szCs w:val="21"/>
                <w:lang w:bidi="ar"/>
              </w:rPr>
              <w:t>40分</w:t>
            </w:r>
            <w:r>
              <w:rPr>
                <w:rFonts w:hint="eastAsia" w:asciiTheme="minorEastAsia" w:hAnsiTheme="minorEastAsia" w:eastAsiaTheme="minorEastAsia" w:cstheme="minorEastAsia"/>
              </w:rPr>
              <w:t>；</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rPr>
              <w:t>报价分=（磋商基准价/磋商报价）×</w:t>
            </w:r>
            <w:r>
              <w:rPr>
                <w:rFonts w:hint="eastAsia" w:asciiTheme="minorEastAsia" w:hAnsiTheme="minorEastAsia" w:eastAsiaTheme="minorEastAsia" w:cstheme="minorEastAsia"/>
                <w:kern w:val="0"/>
                <w:szCs w:val="21"/>
                <w:lang w:bidi="ar"/>
              </w:rPr>
              <w:t>40</w:t>
            </w:r>
          </w:p>
          <w:p>
            <w:pPr>
              <w:widowControl/>
              <w:spacing w:line="260" w:lineRule="exact"/>
              <w:jc w:val="left"/>
              <w:textAlignment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b/>
                <w:bCs/>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lang w:bidi="ar"/>
              </w:rPr>
              <w:t>40分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商务</w:t>
            </w:r>
          </w:p>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10分</w:t>
            </w:r>
          </w:p>
        </w:tc>
        <w:tc>
          <w:tcPr>
            <w:tcW w:w="1376" w:type="dxa"/>
            <w:vAlign w:val="center"/>
          </w:tcPr>
          <w:p>
            <w:pPr>
              <w:jc w:val="center"/>
              <w:rPr>
                <w:rFonts w:ascii="宋体" w:hAnsi="宋体" w:cs="宋体"/>
                <w:strike/>
                <w:color w:val="auto"/>
                <w:spacing w:val="-6"/>
                <w:kern w:val="0"/>
                <w:szCs w:val="21"/>
              </w:rPr>
            </w:pPr>
            <w:r>
              <w:rPr>
                <w:rFonts w:hint="eastAsia" w:asciiTheme="minorEastAsia" w:hAnsiTheme="minorEastAsia" w:eastAsiaTheme="minorEastAsia" w:cstheme="minorEastAsia"/>
                <w:color w:val="auto"/>
                <w:spacing w:val="-6"/>
                <w:kern w:val="0"/>
                <w:szCs w:val="21"/>
              </w:rPr>
              <w:t>质保期</w:t>
            </w:r>
          </w:p>
        </w:tc>
        <w:tc>
          <w:tcPr>
            <w:tcW w:w="6512" w:type="dxa"/>
            <w:vAlign w:val="center"/>
          </w:tcPr>
          <w:p>
            <w:pPr>
              <w:rPr>
                <w:rFonts w:ascii="宋体" w:hAnsi="宋体" w:cs="宋体"/>
                <w:strike/>
                <w:color w:val="auto"/>
                <w:szCs w:val="21"/>
              </w:rPr>
            </w:pPr>
            <w:r>
              <w:rPr>
                <w:rFonts w:hint="eastAsia" w:asciiTheme="minorEastAsia" w:hAnsiTheme="minorEastAsia" w:eastAsiaTheme="minorEastAsia" w:cstheme="minorEastAsia"/>
                <w:color w:val="auto"/>
                <w:kern w:val="0"/>
                <w:szCs w:val="21"/>
                <w:lang w:bidi="ar"/>
              </w:rPr>
              <w:t>投标人所投产品质保期在满足招标人需求的基础上，每增加一年得2分，最多得 4分。</w:t>
            </w:r>
          </w:p>
        </w:tc>
        <w:tc>
          <w:tcPr>
            <w:tcW w:w="664" w:type="dxa"/>
            <w:vAlign w:val="center"/>
          </w:tcPr>
          <w:p>
            <w:pPr>
              <w:jc w:val="center"/>
              <w:rPr>
                <w:rFonts w:asciiTheme="minorEastAsia" w:hAnsiTheme="minorEastAsia" w:eastAsiaTheme="minorEastAsia" w:cstheme="minorEastAsia"/>
                <w:strike/>
                <w:color w:val="auto"/>
                <w:spacing w:val="-6"/>
                <w:szCs w:val="21"/>
              </w:rPr>
            </w:pPr>
            <w:r>
              <w:rPr>
                <w:rFonts w:hint="eastAsia" w:asciiTheme="minorEastAsia" w:hAnsiTheme="minorEastAsia" w:eastAsiaTheme="minorEastAsia" w:cstheme="minorEastAsia"/>
                <w:color w:val="auto"/>
                <w:spacing w:val="-6"/>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rPr>
                <w:rFonts w:asciiTheme="minorEastAsia" w:hAnsiTheme="minorEastAsia" w:eastAsiaTheme="minorEastAsia" w:cstheme="minorEastAsia"/>
                <w:szCs w:val="21"/>
              </w:rPr>
            </w:pPr>
          </w:p>
        </w:tc>
        <w:tc>
          <w:tcPr>
            <w:tcW w:w="1376" w:type="dxa"/>
            <w:vAlign w:val="center"/>
          </w:tcPr>
          <w:p>
            <w:pPr>
              <w:jc w:val="center"/>
              <w:rPr>
                <w:rFonts w:asciiTheme="minorEastAsia" w:hAnsiTheme="minorEastAsia" w:eastAsiaTheme="minorEastAsia" w:cstheme="minorEastAsia"/>
                <w:spacing w:val="-6"/>
                <w:kern w:val="0"/>
                <w:szCs w:val="21"/>
              </w:rPr>
            </w:pPr>
            <w:r>
              <w:rPr>
                <w:rFonts w:hint="eastAsia" w:ascii="宋体" w:hAnsi="宋体" w:cs="宋体"/>
                <w:spacing w:val="-6"/>
                <w:kern w:val="0"/>
                <w:szCs w:val="21"/>
              </w:rPr>
              <w:t>类似业绩</w:t>
            </w:r>
          </w:p>
        </w:tc>
        <w:tc>
          <w:tcPr>
            <w:tcW w:w="6512" w:type="dxa"/>
            <w:vAlign w:val="center"/>
          </w:tcPr>
          <w:p>
            <w:pPr>
              <w:rPr>
                <w:rFonts w:asciiTheme="minorEastAsia" w:hAnsiTheme="minorEastAsia" w:eastAsiaTheme="minorEastAsia" w:cstheme="minorEastAsia"/>
                <w:spacing w:val="-6"/>
                <w:kern w:val="0"/>
                <w:szCs w:val="21"/>
              </w:rPr>
            </w:pPr>
            <w:r>
              <w:rPr>
                <w:rFonts w:hint="eastAsia" w:ascii="宋体" w:hAnsi="宋体" w:cs="宋体"/>
                <w:szCs w:val="21"/>
              </w:rPr>
              <w:t>近三年（磋商截止时间往前推算36个月）具有类似采购业绩的，每提供一个得</w:t>
            </w:r>
            <w:r>
              <w:rPr>
                <w:rFonts w:ascii="宋体" w:hAnsi="宋体" w:cs="宋体"/>
                <w:szCs w:val="21"/>
              </w:rPr>
              <w:t>3</w:t>
            </w:r>
            <w:r>
              <w:rPr>
                <w:rFonts w:hint="eastAsia" w:ascii="宋体" w:hAnsi="宋体" w:cs="宋体"/>
                <w:szCs w:val="21"/>
              </w:rPr>
              <w:t>分，最多得</w:t>
            </w:r>
            <w:r>
              <w:rPr>
                <w:rFonts w:ascii="宋体" w:hAnsi="宋体" w:cs="宋体"/>
                <w:szCs w:val="21"/>
              </w:rPr>
              <w:t>6</w:t>
            </w:r>
            <w:r>
              <w:rPr>
                <w:rFonts w:hint="eastAsia" w:ascii="宋体" w:hAnsi="宋体" w:cs="宋体"/>
                <w:szCs w:val="21"/>
              </w:rPr>
              <w:t>分，不提供的不得分。（需提供成交通知书及合同真彩扫描件）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spacing w:val="-6"/>
                <w:kern w:val="0"/>
                <w:szCs w:val="21"/>
              </w:rPr>
            </w:pPr>
            <w:r>
              <w:rPr>
                <w:rFonts w:asciiTheme="minorEastAsia" w:hAnsiTheme="minorEastAsia" w:eastAsiaTheme="minorEastAsia" w:cstheme="minorEastAsia"/>
                <w:spacing w:val="-6"/>
                <w:kern w:val="0"/>
                <w:szCs w:val="21"/>
              </w:rPr>
              <w:t>6</w:t>
            </w:r>
            <w:r>
              <w:rPr>
                <w:rFonts w:hint="eastAsia" w:asciiTheme="minorEastAsia" w:hAnsiTheme="minorEastAsia" w:eastAsiaTheme="minorEastAsia" w:cstheme="minorEastAsia"/>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技术服务</w:t>
            </w:r>
          </w:p>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50分</w:t>
            </w:r>
          </w:p>
        </w:tc>
        <w:tc>
          <w:tcPr>
            <w:tcW w:w="1376" w:type="dxa"/>
            <w:vAlign w:val="center"/>
          </w:tcPr>
          <w:p>
            <w:pPr>
              <w:jc w:val="center"/>
              <w:rPr>
                <w:rFonts w:asciiTheme="minorEastAsia" w:hAnsiTheme="minorEastAsia" w:eastAsiaTheme="minorEastAsia" w:cstheme="minorEastAsia"/>
                <w:spacing w:val="-6"/>
                <w:szCs w:val="21"/>
              </w:rPr>
            </w:pPr>
            <w:r>
              <w:rPr>
                <w:rFonts w:hint="eastAsia" w:ascii="宋体" w:hAnsi="宋体" w:cs="宋体"/>
                <w:szCs w:val="21"/>
              </w:rPr>
              <w:t>设备技术响应</w:t>
            </w:r>
          </w:p>
        </w:tc>
        <w:tc>
          <w:tcPr>
            <w:tcW w:w="6512" w:type="dxa"/>
            <w:vAlign w:val="center"/>
          </w:tcPr>
          <w:p>
            <w:pPr>
              <w:rPr>
                <w:rFonts w:asciiTheme="minorEastAsia" w:hAnsiTheme="minorEastAsia" w:cstheme="minorEastAsia"/>
                <w:spacing w:val="-6"/>
                <w:szCs w:val="21"/>
              </w:rPr>
            </w:pPr>
            <w:r>
              <w:rPr>
                <w:rFonts w:hint="eastAsia" w:ascii="宋体" w:hAnsi="宋体" w:cs="宋体"/>
                <w:szCs w:val="21"/>
              </w:rPr>
              <w:t>设备技术性能及参数完全满足招标要求的得15分，具体由磋商小组根据供应商的响应文件中产品情况、《技术响应、偏离说明表》等有关资料打分。其中：完全满足招标技术参数要求的得15分；在此基础上，标注 “※”的内容为重要条款，一项不满足扣2分；未标注“※”的内容有一项不符合的则每项扣1分；扣完为止。</w:t>
            </w:r>
            <w:r>
              <w:rPr>
                <w:rFonts w:hint="eastAsia" w:ascii="宋体" w:hAnsi="宋体" w:cs="宋体"/>
                <w:b/>
                <w:bCs/>
                <w:szCs w:val="21"/>
              </w:rPr>
              <w:br w:type="textWrapping"/>
            </w:r>
            <w:r>
              <w:rPr>
                <w:rFonts w:hint="eastAsia" w:ascii="宋体" w:hAnsi="宋体" w:cs="宋体"/>
                <w:b/>
                <w:bCs/>
                <w:szCs w:val="21"/>
              </w:rPr>
              <w:t>备注：标注“※”的重要条款需要供应商根据实际应标情况逐条响应，完全复制粘贴磋商文件技术要求的将可能按负偏离处理。</w:t>
            </w:r>
          </w:p>
        </w:tc>
        <w:tc>
          <w:tcPr>
            <w:tcW w:w="664" w:type="dxa"/>
            <w:vAlign w:val="center"/>
          </w:tcPr>
          <w:p>
            <w:pPr>
              <w:ind w:left="-4" w:leftChars="-2" w:firstLine="1" w:firstLineChars="1"/>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kern w:val="0"/>
                <w:szCs w:val="21"/>
              </w:rPr>
              <w:t>现场演示（</w:t>
            </w:r>
            <w:r>
              <w:rPr>
                <w:rFonts w:hint="eastAsia" w:ascii="宋体" w:hAnsi="宋体" w:cs="宋体"/>
                <w:szCs w:val="21"/>
              </w:rPr>
              <w:t>各投标人自带笔记本电脑进行演示，演示时间每家不超过10分钟。</w:t>
            </w:r>
            <w:r>
              <w:rPr>
                <w:rFonts w:hint="eastAsia" w:ascii="宋体" w:hAnsi="宋体" w:cs="宋体"/>
                <w:kern w:val="0"/>
                <w:szCs w:val="21"/>
              </w:rPr>
              <w:t>）</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软件核心功能现场演示：以下功能要求提供软件现场演示，演示时间为10分钟。</w:t>
            </w:r>
          </w:p>
          <w:p>
            <w:pPr>
              <w:ind w:left="-4" w:leftChars="-2" w:firstLine="2" w:firstLineChars="1"/>
              <w:rPr>
                <w:rFonts w:ascii="宋体" w:hAnsi="宋体" w:cs="宋体"/>
                <w:szCs w:val="21"/>
              </w:rPr>
            </w:pPr>
            <w:r>
              <w:rPr>
                <w:rFonts w:hint="eastAsia" w:ascii="宋体" w:hAnsi="宋体" w:cs="宋体"/>
                <w:szCs w:val="21"/>
              </w:rPr>
              <w:t>（以下每一项演示内容完整、完全满足要求的，得2分，最多得12分；每一项演示内容基本完整、基本满足要求的得1分，每一项演示内容不完全、不成功的，得0分。）</w:t>
            </w:r>
          </w:p>
          <w:p>
            <w:pPr>
              <w:ind w:left="-4" w:leftChars="-2" w:firstLine="2" w:firstLineChars="1"/>
              <w:rPr>
                <w:rFonts w:ascii="宋体" w:hAnsi="宋体" w:cs="宋体"/>
                <w:szCs w:val="21"/>
              </w:rPr>
            </w:pPr>
            <w:r>
              <w:rPr>
                <w:rFonts w:ascii="宋体" w:hAnsi="宋体" w:cs="宋体"/>
                <w:szCs w:val="21"/>
              </w:rPr>
              <w:t>①</w:t>
            </w:r>
            <w:r>
              <w:rPr>
                <w:rFonts w:hint="eastAsia" w:ascii="宋体" w:hAnsi="宋体" w:cs="宋体"/>
                <w:szCs w:val="21"/>
              </w:rPr>
              <w:t>、所需数据集为脱敏数据集，记录了其公安、银行、运营商和法院等多种来源的信息。</w:t>
            </w:r>
          </w:p>
          <w:p>
            <w:pPr>
              <w:ind w:left="-4" w:leftChars="-2" w:firstLine="2" w:firstLineChars="1"/>
              <w:rPr>
                <w:rFonts w:ascii="宋体" w:hAnsi="宋体" w:cs="宋体"/>
                <w:szCs w:val="21"/>
              </w:rPr>
            </w:pPr>
            <w:r>
              <w:rPr>
                <w:rFonts w:ascii="宋体" w:hAnsi="宋体" w:cs="宋体"/>
                <w:szCs w:val="21"/>
              </w:rPr>
              <w:t>②</w:t>
            </w:r>
            <w:r>
              <w:rPr>
                <w:rFonts w:hint="eastAsia" w:ascii="宋体" w:hAnsi="宋体" w:cs="宋体"/>
                <w:szCs w:val="21"/>
              </w:rPr>
              <w:t>、在对数据进行预处理后，需要参照国际信用评分指标体系的建立方式，建立信用评估指标体系：分为个人信息、信用历史、偿债能力、消费能力四大指标类。</w:t>
            </w:r>
          </w:p>
          <w:p>
            <w:pPr>
              <w:ind w:left="-4" w:leftChars="-2" w:firstLine="2" w:firstLineChars="1"/>
              <w:rPr>
                <w:rFonts w:ascii="宋体" w:hAnsi="宋体" w:cs="宋体"/>
                <w:szCs w:val="21"/>
              </w:rPr>
            </w:pPr>
            <w:r>
              <w:rPr>
                <w:rFonts w:ascii="宋体" w:hAnsi="宋体" w:cs="宋体"/>
                <w:szCs w:val="21"/>
              </w:rPr>
              <w:t>③</w:t>
            </w:r>
            <w:r>
              <w:rPr>
                <w:rFonts w:hint="eastAsia" w:ascii="宋体" w:hAnsi="宋体" w:cs="宋体"/>
                <w:szCs w:val="21"/>
              </w:rPr>
              <w:t>、在对数据进行探索分析之后，需要基于信用评估指标体系，构建“客户风险评估模型”。 构建风险评估模型的基本流程为： 训练集与测试集划分、构建风控模型、模型参数调优。</w:t>
            </w:r>
          </w:p>
          <w:p>
            <w:pPr>
              <w:ind w:left="-4" w:leftChars="-2" w:firstLine="2" w:firstLineChars="1"/>
              <w:rPr>
                <w:rFonts w:ascii="宋体" w:hAnsi="宋体" w:cs="宋体"/>
                <w:szCs w:val="21"/>
              </w:rPr>
            </w:pPr>
            <w:r>
              <w:rPr>
                <w:rFonts w:hint="eastAsia" w:ascii="宋体" w:hAnsi="宋体" w:cs="宋体"/>
                <w:szCs w:val="21"/>
              </w:rPr>
              <w:t>④、系统使用逻辑回归和随机森林两种算法来进行客户风险评估模型的构建，并分别对两种算法进行了调参优化工作。</w:t>
            </w:r>
          </w:p>
          <w:p>
            <w:pPr>
              <w:ind w:left="-4" w:leftChars="-2" w:firstLine="2" w:firstLineChars="1"/>
              <w:rPr>
                <w:rFonts w:ascii="宋体" w:hAnsi="宋体" w:cs="宋体"/>
                <w:szCs w:val="21"/>
              </w:rPr>
            </w:pPr>
            <w:r>
              <w:rPr>
                <w:rFonts w:hint="eastAsia" w:ascii="宋体" w:hAnsi="宋体" w:cs="宋体"/>
                <w:szCs w:val="21"/>
              </w:rPr>
              <w:t>⑤、在模型有效的前提下，用外推样本对模型进行稳定性和可解释性的评估，对模型进行更全面的评价，从三个角度评价模型：准确性、稳定性、和可解释性 。</w:t>
            </w:r>
          </w:p>
          <w:p>
            <w:pPr>
              <w:ind w:left="-4" w:leftChars="-2" w:firstLine="2" w:firstLineChars="1"/>
              <w:rPr>
                <w:rFonts w:ascii="宋体" w:hAnsi="宋体" w:cs="宋体"/>
                <w:szCs w:val="21"/>
              </w:rPr>
            </w:pPr>
            <w:r>
              <w:rPr>
                <w:rFonts w:hint="eastAsia" w:ascii="宋体" w:hAnsi="宋体" w:cs="宋体"/>
                <w:szCs w:val="21"/>
              </w:rPr>
              <w:t>⑥、实训项目知识点须覆盖数据清洗、数据可视化、Pandas数据分析、机器学习、数据科学导引等相关知识。</w:t>
            </w:r>
          </w:p>
        </w:tc>
        <w:tc>
          <w:tcPr>
            <w:tcW w:w="664" w:type="dxa"/>
            <w:vAlign w:val="center"/>
          </w:tcPr>
          <w:p>
            <w:pPr>
              <w:ind w:left="-4" w:leftChars="-2" w:firstLine="1" w:firstLineChars="1"/>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ind w:left="-4" w:leftChars="-2" w:firstLine="2" w:firstLineChars="1"/>
              <w:rPr>
                <w:rFonts w:asciiTheme="minorEastAsia" w:hAnsiTheme="minorEastAsia" w:eastAsiaTheme="minorEastAsia" w:cstheme="minorEastAsia"/>
                <w:szCs w:val="21"/>
              </w:rPr>
            </w:pPr>
          </w:p>
        </w:tc>
        <w:tc>
          <w:tcPr>
            <w:tcW w:w="1376" w:type="dxa"/>
            <w:vAlign w:val="center"/>
          </w:tcPr>
          <w:p>
            <w:pPr>
              <w:jc w:val="center"/>
              <w:rPr>
                <w:rFonts w:asciiTheme="minorEastAsia" w:hAnsiTheme="minorEastAsia" w:eastAsiaTheme="minorEastAsia" w:cstheme="minorEastAsia"/>
                <w:szCs w:val="21"/>
              </w:rPr>
            </w:pPr>
            <w:r>
              <w:rPr>
                <w:rFonts w:hint="eastAsia" w:ascii="宋体" w:hAnsi="宋体" w:cs="宋体"/>
                <w:szCs w:val="21"/>
              </w:rPr>
              <w:t>售后服务方案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根据供应商提供的售后服务方案设计的完整性、可行性等进行综合评分：</w:t>
            </w:r>
          </w:p>
          <w:p>
            <w:pPr>
              <w:ind w:left="-4" w:leftChars="-2" w:firstLine="2" w:firstLineChars="1"/>
              <w:rPr>
                <w:rFonts w:ascii="宋体" w:hAnsi="宋体" w:cs="宋体"/>
                <w:szCs w:val="21"/>
              </w:rPr>
            </w:pPr>
            <w:r>
              <w:rPr>
                <w:rFonts w:hint="eastAsia" w:ascii="宋体" w:hAnsi="宋体" w:cs="宋体"/>
                <w:szCs w:val="21"/>
              </w:rPr>
              <w:t>方案切实可行，内容完备，合理、针对性强的，得6分；</w:t>
            </w:r>
          </w:p>
          <w:p>
            <w:pPr>
              <w:ind w:left="-4" w:leftChars="-2" w:firstLine="2" w:firstLineChars="1"/>
              <w:rPr>
                <w:rFonts w:ascii="宋体" w:hAnsi="宋体" w:cs="宋体"/>
                <w:szCs w:val="21"/>
              </w:rPr>
            </w:pPr>
            <w:r>
              <w:rPr>
                <w:rFonts w:hint="eastAsia" w:ascii="宋体" w:hAnsi="宋体" w:cs="宋体"/>
                <w:szCs w:val="21"/>
              </w:rPr>
              <w:t>方案可行，内容完备，合理、有针对性的，得4分；</w:t>
            </w:r>
          </w:p>
          <w:p>
            <w:pPr>
              <w:ind w:left="-4" w:leftChars="-2" w:firstLine="2" w:firstLineChars="1"/>
              <w:rPr>
                <w:rFonts w:ascii="宋体" w:hAnsi="宋体" w:cs="宋体"/>
                <w:szCs w:val="21"/>
              </w:rPr>
            </w:pPr>
            <w:r>
              <w:rPr>
                <w:rFonts w:hint="eastAsia" w:ascii="宋体" w:hAnsi="宋体" w:cs="宋体"/>
                <w:szCs w:val="21"/>
              </w:rPr>
              <w:t>完整、合理、基本可行的，得2分，</w:t>
            </w:r>
          </w:p>
          <w:p>
            <w:pPr>
              <w:ind w:left="-4" w:leftChars="-2" w:firstLine="2" w:firstLineChars="1"/>
              <w:rPr>
                <w:rFonts w:ascii="宋体" w:hAnsi="宋体" w:cs="宋体"/>
                <w:szCs w:val="21"/>
              </w:rPr>
            </w:pPr>
            <w:r>
              <w:rPr>
                <w:rFonts w:hint="eastAsia" w:ascii="宋体" w:hAnsi="宋体" w:cs="宋体"/>
                <w:szCs w:val="21"/>
              </w:rPr>
              <w:t>不可行不得分。</w:t>
            </w:r>
          </w:p>
        </w:tc>
        <w:tc>
          <w:tcPr>
            <w:tcW w:w="664" w:type="dxa"/>
            <w:vAlign w:val="center"/>
          </w:tcPr>
          <w:p>
            <w:pPr>
              <w:ind w:left="-4" w:leftChars="-2" w:firstLine="2" w:firstLineChars="1"/>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szCs w:val="21"/>
              </w:rPr>
            </w:pPr>
          </w:p>
        </w:tc>
        <w:tc>
          <w:tcPr>
            <w:tcW w:w="1376" w:type="dxa"/>
            <w:vAlign w:val="center"/>
          </w:tcPr>
          <w:p>
            <w:pPr>
              <w:ind w:left="-4" w:leftChars="-2" w:firstLine="2" w:firstLineChars="1"/>
              <w:jc w:val="center"/>
              <w:rPr>
                <w:rFonts w:asciiTheme="minorEastAsia" w:hAnsiTheme="minorEastAsia" w:eastAsiaTheme="minorEastAsia" w:cstheme="minorEastAsia"/>
                <w:spacing w:val="-6"/>
                <w:kern w:val="0"/>
                <w:szCs w:val="21"/>
              </w:rPr>
            </w:pPr>
            <w:r>
              <w:rPr>
                <w:rFonts w:hint="eastAsia" w:ascii="宋体" w:hAnsi="宋体" w:cs="宋体"/>
                <w:szCs w:val="21"/>
              </w:rPr>
              <w:t>安装调试及验收</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根据供应商提供的安装及验收方案的合理性及完整性进行评分：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方案切实可行，内容完备，合理、针对性强的，得6分；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方案可行，内容完备，合理、有针对性的，得4分；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完整、合理、基本可行的，得2分，</w:t>
            </w:r>
          </w:p>
          <w:p>
            <w:pPr>
              <w:ind w:left="-4" w:leftChars="-2" w:firstLine="1" w:firstLineChars="1"/>
              <w:rPr>
                <w:rFonts w:asciiTheme="minorEastAsia" w:hAnsiTheme="minorEastAsia" w:eastAsiaTheme="minorEastAsia" w:cstheme="minorEastAsia"/>
                <w:spacing w:val="-6"/>
                <w:kern w:val="0"/>
                <w:szCs w:val="21"/>
              </w:rPr>
            </w:pPr>
            <w:r>
              <w:rPr>
                <w:rFonts w:hint="eastAsia" w:asciiTheme="minorEastAsia" w:hAnsiTheme="minorEastAsia" w:eastAsiaTheme="minorEastAsia" w:cstheme="minorEastAsia"/>
                <w:spacing w:val="-6"/>
                <w:szCs w:val="21"/>
              </w:rPr>
              <w:t>不可行不得分。</w:t>
            </w:r>
          </w:p>
        </w:tc>
        <w:tc>
          <w:tcPr>
            <w:tcW w:w="664" w:type="dxa"/>
            <w:vAlign w:val="center"/>
          </w:tcPr>
          <w:p>
            <w:pPr>
              <w:autoSpaceDE w:val="0"/>
              <w:autoSpaceDN w:val="0"/>
              <w:adjustRightInd w:val="0"/>
              <w:jc w:val="center"/>
              <w:rPr>
                <w:rFonts w:asciiTheme="minorEastAsia" w:hAnsiTheme="minorEastAsia" w:eastAsiaTheme="minorEastAsia" w:cstheme="minorEastAsia"/>
                <w:spacing w:val="-6"/>
                <w:kern w:val="0"/>
                <w:szCs w:val="21"/>
              </w:rPr>
            </w:pPr>
            <w:r>
              <w:rPr>
                <w:rFonts w:hint="eastAsia" w:asciiTheme="minorEastAsia" w:hAnsiTheme="minorEastAsia" w:eastAsiaTheme="minorEastAsia" w:cstheme="minorEastAsia"/>
                <w:spacing w:val="-6"/>
                <w:kern w:val="0"/>
                <w:szCs w:val="21"/>
              </w:rPr>
              <w:t>6分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szCs w:val="21"/>
              </w:rPr>
            </w:pPr>
          </w:p>
        </w:tc>
        <w:tc>
          <w:tcPr>
            <w:tcW w:w="1376" w:type="dxa"/>
            <w:vAlign w:val="center"/>
          </w:tcPr>
          <w:p>
            <w:pPr>
              <w:ind w:left="-4" w:leftChars="-2" w:firstLine="2" w:firstLineChars="1"/>
              <w:jc w:val="center"/>
              <w:rPr>
                <w:rFonts w:asciiTheme="minorEastAsia" w:hAnsiTheme="minorEastAsia" w:eastAsiaTheme="minorEastAsia" w:cstheme="minorEastAsia"/>
                <w:spacing w:val="-6"/>
                <w:szCs w:val="21"/>
              </w:rPr>
            </w:pPr>
            <w:r>
              <w:rPr>
                <w:rFonts w:hint="eastAsia" w:ascii="宋体" w:hAnsi="宋体" w:cs="宋体"/>
                <w:szCs w:val="21"/>
              </w:rPr>
              <w:t>技术培训</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根据供应商提供的服务过程中现场技术培训方案等进行综合评分：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方案切实可行，内容完备，合理、针对性强的，得6分；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方案可行，内容完备，合理、有针对性的，得4分；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完整、合理、基本可行的，得2分，</w:t>
            </w:r>
          </w:p>
          <w:p>
            <w:pPr>
              <w:ind w:left="-4" w:leftChars="-2" w:firstLine="1" w:firstLineChars="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不可行不得分。</w:t>
            </w:r>
          </w:p>
        </w:tc>
        <w:tc>
          <w:tcPr>
            <w:tcW w:w="664" w:type="dxa"/>
            <w:vAlign w:val="center"/>
          </w:tcPr>
          <w:p>
            <w:pPr>
              <w:ind w:left="-4" w:leftChars="-2" w:firstLine="1" w:firstLineChars="1"/>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6分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szCs w:val="21"/>
              </w:rPr>
            </w:pPr>
          </w:p>
        </w:tc>
        <w:tc>
          <w:tcPr>
            <w:tcW w:w="1376" w:type="dxa"/>
            <w:vAlign w:val="center"/>
          </w:tcPr>
          <w:p>
            <w:pPr>
              <w:widowControl/>
              <w:jc w:val="center"/>
              <w:rPr>
                <w:rFonts w:asciiTheme="minorEastAsia" w:hAnsiTheme="minorEastAsia" w:eastAsiaTheme="minorEastAsia" w:cstheme="minorEastAsia"/>
                <w:spacing w:val="-6"/>
                <w:szCs w:val="21"/>
              </w:rPr>
            </w:pPr>
            <w:r>
              <w:rPr>
                <w:rFonts w:hint="eastAsia" w:ascii="宋体" w:hAnsi="宋体" w:cs="宋体"/>
                <w:szCs w:val="21"/>
              </w:rPr>
              <w:t>应急方案</w:t>
            </w:r>
          </w:p>
        </w:tc>
        <w:tc>
          <w:tcPr>
            <w:tcW w:w="6512" w:type="dxa"/>
            <w:vAlign w:val="center"/>
          </w:tcPr>
          <w:p>
            <w:pPr>
              <w:widowControl/>
              <w:rPr>
                <w:rFonts w:ascii="宋体" w:hAnsi="宋体" w:cs="宋体"/>
                <w:szCs w:val="21"/>
              </w:rPr>
            </w:pPr>
            <w:r>
              <w:rPr>
                <w:rFonts w:hint="eastAsia" w:ascii="宋体" w:hAnsi="宋体" w:cs="宋体"/>
                <w:szCs w:val="21"/>
              </w:rPr>
              <w:t>根据供应商提供的项目应急方案，根据对设备故障时处理方案等的描述及可行性等进行评分：</w:t>
            </w:r>
          </w:p>
          <w:p>
            <w:pPr>
              <w:widowControl/>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方案切实可行，内容完备，合理、针对性强的，得5分；</w:t>
            </w:r>
          </w:p>
          <w:p>
            <w:pPr>
              <w:widowControl/>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方案可行，内容完备，合理、有针对性的，得3分；</w:t>
            </w:r>
          </w:p>
          <w:p>
            <w:pPr>
              <w:widowControl/>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完整、合理、基本可行的，得1分，</w:t>
            </w:r>
          </w:p>
          <w:p>
            <w:pPr>
              <w:widowControl/>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不可行不得分。</w:t>
            </w:r>
          </w:p>
        </w:tc>
        <w:tc>
          <w:tcPr>
            <w:tcW w:w="664" w:type="dxa"/>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19" w:name="_Toc32480"/>
      <w:r>
        <w:rPr>
          <w:rFonts w:hint="eastAsia" w:asciiTheme="minorEastAsia" w:hAnsiTheme="minorEastAsia" w:eastAsiaTheme="minorEastAsia" w:cstheme="minorEastAsia"/>
          <w:b/>
          <w:szCs w:val="21"/>
        </w:rPr>
        <w:t>四、评定办法</w:t>
      </w:r>
      <w:bookmarkEnd w:id="119"/>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0" w:name="_Toc2647"/>
      <w:r>
        <w:rPr>
          <w:rFonts w:hint="eastAsia" w:asciiTheme="minorEastAsia" w:hAnsiTheme="minorEastAsia" w:eastAsiaTheme="minorEastAsia" w:cstheme="minorEastAsia"/>
          <w:b/>
          <w:szCs w:val="21"/>
        </w:rPr>
        <w:t>五、磋商及评审步骤</w:t>
      </w:r>
      <w:bookmarkEnd w:id="120"/>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4"/>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1" w:name="_Toc318643471"/>
      <w:bookmarkStart w:id="122" w:name="_Toc211783328"/>
    </w:p>
    <w:bookmarkEnd w:id="121"/>
    <w:bookmarkEnd w:id="122"/>
    <w:p>
      <w:pPr>
        <w:pStyle w:val="4"/>
        <w:numPr>
          <w:ilvl w:val="0"/>
          <w:numId w:val="4"/>
        </w:numPr>
        <w:spacing w:line="240" w:lineRule="auto"/>
        <w:jc w:val="center"/>
        <w:rPr>
          <w:rFonts w:asciiTheme="minorEastAsia" w:hAnsiTheme="minorEastAsia" w:eastAsiaTheme="minorEastAsia" w:cstheme="minorEastAsia"/>
          <w:b w:val="0"/>
          <w:kern w:val="0"/>
          <w:szCs w:val="21"/>
        </w:rPr>
      </w:pPr>
      <w:bookmarkStart w:id="123" w:name="_Toc11100"/>
      <w:bookmarkStart w:id="124" w:name="_Toc17015"/>
      <w:r>
        <w:rPr>
          <w:rFonts w:hint="eastAsia" w:asciiTheme="minorEastAsia" w:hAnsiTheme="minorEastAsia" w:eastAsiaTheme="minorEastAsia" w:cstheme="minorEastAsia"/>
          <w:sz w:val="36"/>
          <w:szCs w:val="36"/>
        </w:rPr>
        <w:t>合同书格式</w:t>
      </w:r>
      <w:bookmarkEnd w:id="123"/>
    </w:p>
    <w:p>
      <w:pPr>
        <w:spacing w:line="360" w:lineRule="auto"/>
        <w:jc w:val="center"/>
        <w:rPr>
          <w:rFonts w:ascii="宋体" w:hAnsi="宋体" w:cs="宋体"/>
          <w:b/>
          <w:szCs w:val="21"/>
          <w:u w:val="double"/>
        </w:rPr>
      </w:pPr>
      <w:r>
        <w:rPr>
          <w:rFonts w:hint="eastAsia" w:ascii="宋体" w:hAnsi="宋体" w:cs="宋体"/>
          <w:b/>
          <w:szCs w:val="21"/>
          <w:u w:val="double"/>
        </w:rPr>
        <w:t>合      同</w:t>
      </w:r>
    </w:p>
    <w:p>
      <w:pPr>
        <w:spacing w:line="360" w:lineRule="auto"/>
        <w:rPr>
          <w:rFonts w:ascii="宋体" w:hAnsi="宋体" w:cs="宋体"/>
          <w:szCs w:val="21"/>
        </w:rPr>
      </w:pPr>
      <w:r>
        <w:rPr>
          <w:rFonts w:hint="eastAsia" w:ascii="宋体" w:hAnsi="宋体" w:cs="宋体"/>
          <w:szCs w:val="21"/>
        </w:rPr>
        <w:t>合同号：</w:t>
      </w:r>
    </w:p>
    <w:p>
      <w:pPr>
        <w:spacing w:line="360" w:lineRule="auto"/>
        <w:rPr>
          <w:rFonts w:ascii="宋体" w:hAnsi="宋体" w:cs="宋体"/>
          <w:szCs w:val="21"/>
          <w:u w:val="single"/>
        </w:rPr>
      </w:pPr>
      <w:r>
        <w:rPr>
          <w:rFonts w:hint="eastAsia" w:ascii="宋体" w:hAnsi="宋体" w:cs="宋体"/>
          <w:szCs w:val="21"/>
        </w:rPr>
        <w:t xml:space="preserve">项目编号：                                                                                            </w:t>
      </w:r>
    </w:p>
    <w:p>
      <w:pPr>
        <w:spacing w:line="360" w:lineRule="auto"/>
        <w:ind w:firstLine="3570" w:firstLineChars="1700"/>
        <w:rPr>
          <w:rFonts w:ascii="宋体" w:hAnsi="宋体" w:cs="宋体"/>
          <w:szCs w:val="21"/>
          <w:u w:val="single"/>
        </w:rPr>
      </w:pPr>
    </w:p>
    <w:p>
      <w:pPr>
        <w:spacing w:line="360" w:lineRule="auto"/>
        <w:rPr>
          <w:rFonts w:ascii="宋体" w:hAnsi="宋体" w:cs="宋体"/>
          <w:b/>
          <w:szCs w:val="21"/>
        </w:rPr>
      </w:pPr>
      <w:r>
        <w:rPr>
          <w:rFonts w:hint="eastAsia" w:ascii="宋体" w:hAnsi="宋体" w:cs="宋体"/>
          <w:b/>
          <w:szCs w:val="21"/>
        </w:rPr>
        <w:t>购货单位：</w:t>
      </w:r>
      <w:r>
        <w:rPr>
          <w:rFonts w:hint="eastAsia" w:ascii="宋体" w:hAnsi="宋体" w:cs="宋体"/>
          <w:b/>
          <w:szCs w:val="21"/>
          <w:u w:val="single"/>
        </w:rPr>
        <w:t>湖北工业大学</w:t>
      </w:r>
      <w:r>
        <w:rPr>
          <w:rFonts w:hint="eastAsia" w:ascii="宋体" w:hAnsi="宋体" w:cs="宋体"/>
          <w:b/>
          <w:szCs w:val="21"/>
        </w:rPr>
        <w:t>（以下简称甲方）</w:t>
      </w:r>
    </w:p>
    <w:p>
      <w:pPr>
        <w:spacing w:line="360" w:lineRule="auto"/>
        <w:rPr>
          <w:rFonts w:ascii="宋体" w:hAnsi="宋体" w:cs="宋体"/>
          <w:b/>
          <w:szCs w:val="21"/>
        </w:rPr>
      </w:pPr>
      <w:r>
        <w:rPr>
          <w:rFonts w:hint="eastAsia" w:ascii="宋体" w:hAnsi="宋体" w:cs="宋体"/>
          <w:b/>
          <w:szCs w:val="21"/>
        </w:rPr>
        <w:t>住所：武汉市洪山区南李路28号</w:t>
      </w:r>
    </w:p>
    <w:p>
      <w:pPr>
        <w:spacing w:line="360" w:lineRule="auto"/>
        <w:rPr>
          <w:rFonts w:ascii="宋体" w:hAnsi="宋体" w:cs="宋体"/>
          <w:b/>
          <w:szCs w:val="21"/>
        </w:rPr>
      </w:pPr>
      <w:r>
        <w:rPr>
          <w:rFonts w:hint="eastAsia" w:ascii="宋体" w:hAnsi="宋体" w:cs="宋体"/>
          <w:b/>
          <w:szCs w:val="21"/>
        </w:rPr>
        <w:t>法定代表人：彭育园</w:t>
      </w:r>
    </w:p>
    <w:p>
      <w:pPr>
        <w:spacing w:line="360" w:lineRule="auto"/>
        <w:rPr>
          <w:rFonts w:ascii="宋体" w:hAnsi="宋体" w:cs="宋体"/>
          <w:b/>
          <w:szCs w:val="21"/>
        </w:rPr>
      </w:pPr>
    </w:p>
    <w:p>
      <w:pPr>
        <w:spacing w:line="360" w:lineRule="auto"/>
        <w:rPr>
          <w:rFonts w:ascii="宋体" w:hAnsi="宋体" w:cs="宋体"/>
          <w:b/>
          <w:szCs w:val="21"/>
        </w:rPr>
      </w:pPr>
      <w:r>
        <w:rPr>
          <w:rFonts w:hint="eastAsia" w:ascii="宋体" w:hAnsi="宋体" w:cs="宋体"/>
          <w:b/>
          <w:szCs w:val="21"/>
        </w:rPr>
        <w:t>供货单位：</w:t>
      </w:r>
      <w:r>
        <w:rPr>
          <w:rFonts w:hint="eastAsia" w:ascii="宋体" w:hAnsi="宋体" w:cs="宋体"/>
          <w:b/>
          <w:szCs w:val="21"/>
          <w:u w:val="single"/>
        </w:rPr>
        <w:t xml:space="preserve">               </w:t>
      </w:r>
      <w:r>
        <w:rPr>
          <w:rFonts w:hint="eastAsia" w:ascii="宋体" w:hAnsi="宋体" w:cs="宋体"/>
          <w:b/>
          <w:szCs w:val="21"/>
        </w:rPr>
        <w:t>（以下简称乙方）</w:t>
      </w:r>
    </w:p>
    <w:p>
      <w:pPr>
        <w:spacing w:line="360" w:lineRule="auto"/>
        <w:rPr>
          <w:rFonts w:ascii="宋体" w:hAnsi="宋体" w:cs="宋体"/>
          <w:b/>
          <w:szCs w:val="21"/>
        </w:rPr>
      </w:pPr>
      <w:r>
        <w:rPr>
          <w:rFonts w:hint="eastAsia" w:ascii="宋体" w:hAnsi="宋体" w:cs="宋体"/>
          <w:b/>
          <w:szCs w:val="21"/>
        </w:rPr>
        <w:t>住所：</w:t>
      </w:r>
    </w:p>
    <w:p>
      <w:pPr>
        <w:spacing w:line="360" w:lineRule="auto"/>
        <w:rPr>
          <w:rFonts w:ascii="宋体" w:hAnsi="宋体" w:cs="宋体"/>
          <w:b/>
          <w:szCs w:val="21"/>
        </w:rPr>
      </w:pPr>
      <w:r>
        <w:rPr>
          <w:rFonts w:hint="eastAsia" w:ascii="宋体" w:hAnsi="宋体" w:cs="宋体"/>
          <w:b/>
          <w:szCs w:val="21"/>
        </w:rPr>
        <w:t>法定代表人：</w:t>
      </w:r>
    </w:p>
    <w:p>
      <w:pPr>
        <w:spacing w:line="360" w:lineRule="auto"/>
        <w:rPr>
          <w:rFonts w:ascii="宋体" w:hAnsi="宋体" w:cs="宋体"/>
          <w:b/>
          <w:szCs w:val="21"/>
        </w:rPr>
      </w:pPr>
    </w:p>
    <w:p>
      <w:pPr>
        <w:spacing w:line="360" w:lineRule="auto"/>
        <w:ind w:firstLine="420" w:firstLineChars="200"/>
        <w:rPr>
          <w:rFonts w:ascii="宋体" w:hAnsi="宋体" w:cs="宋体"/>
          <w:szCs w:val="21"/>
        </w:rPr>
      </w:pPr>
      <w:r>
        <w:rPr>
          <w:rFonts w:hint="eastAsia" w:ascii="宋体" w:hAnsi="宋体" w:cs="宋体"/>
          <w:szCs w:val="21"/>
        </w:rPr>
        <w:t>甲乙双方根据《中华人民共和国民法典》相关规定，为增强双方的责任，经甲乙双方协商一致，特订立本合同，以资甲乙双方共同遵守。</w:t>
      </w:r>
    </w:p>
    <w:p>
      <w:pPr>
        <w:spacing w:line="360" w:lineRule="auto"/>
        <w:rPr>
          <w:rFonts w:ascii="宋体" w:hAnsi="宋体" w:cs="宋体"/>
          <w:b/>
          <w:bCs/>
          <w:szCs w:val="21"/>
        </w:rPr>
      </w:pPr>
      <w:r>
        <w:rPr>
          <w:rFonts w:hint="eastAsia" w:ascii="宋体" w:hAnsi="宋体" w:cs="宋体"/>
          <w:b/>
          <w:szCs w:val="21"/>
        </w:rPr>
        <w:t>一、货物名称、规格、配置、数量及价格如下</w:t>
      </w:r>
      <w:r>
        <w:rPr>
          <w:rFonts w:hint="eastAsia" w:ascii="宋体" w:hAnsi="宋体" w:cs="宋体"/>
          <w:b/>
          <w:bCs/>
          <w:szCs w:val="21"/>
        </w:rPr>
        <w:t>:</w:t>
      </w:r>
    </w:p>
    <w:tbl>
      <w:tblPr>
        <w:tblStyle w:val="26"/>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Cs w:val="21"/>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Cs w:val="21"/>
              </w:rPr>
            </w:pPr>
            <w:r>
              <w:rPr>
                <w:rFonts w:hint="eastAsia" w:ascii="宋体" w:hAnsi="宋体" w:cs="宋体"/>
                <w:b/>
                <w:szCs w:val="21"/>
              </w:rPr>
              <w:t>货物</w:t>
            </w:r>
            <w:r>
              <w:rPr>
                <w:rFonts w:hint="eastAsia" w:ascii="宋体" w:hAnsi="宋体" w:cs="宋体"/>
                <w:b/>
                <w:bCs/>
                <w:snapToGrid w:val="0"/>
                <w:kern w:val="0"/>
                <w:szCs w:val="21"/>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Cs w:val="21"/>
              </w:rPr>
            </w:pPr>
            <w:r>
              <w:rPr>
                <w:rFonts w:hint="eastAsia" w:ascii="宋体" w:hAnsi="宋体" w:cs="宋体"/>
                <w:b/>
                <w:bCs/>
                <w:snapToGrid w:val="0"/>
                <w:kern w:val="0"/>
                <w:szCs w:val="21"/>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adjustRightInd w:val="0"/>
              <w:snapToGrid w:val="0"/>
              <w:spacing w:line="360" w:lineRule="auto"/>
              <w:jc w:val="center"/>
              <w:rPr>
                <w:rFonts w:ascii="宋体" w:hAnsi="宋体" w:cs="宋体"/>
                <w:snapToGrid w:val="0"/>
                <w:kern w:val="0"/>
                <w:szCs w:val="21"/>
              </w:rPr>
            </w:pPr>
          </w:p>
        </w:tc>
        <w:tc>
          <w:tcPr>
            <w:tcW w:w="1369" w:type="dxa"/>
            <w:vAlign w:val="center"/>
          </w:tcPr>
          <w:p>
            <w:pPr>
              <w:adjustRightInd w:val="0"/>
              <w:snapToGrid w:val="0"/>
              <w:spacing w:line="360" w:lineRule="auto"/>
              <w:jc w:val="center"/>
              <w:rPr>
                <w:rFonts w:ascii="宋体" w:hAnsi="宋体" w:cs="宋体"/>
                <w:snapToGrid w:val="0"/>
                <w:kern w:val="0"/>
                <w:szCs w:val="21"/>
              </w:rPr>
            </w:pPr>
          </w:p>
        </w:tc>
        <w:tc>
          <w:tcPr>
            <w:tcW w:w="806" w:type="dxa"/>
            <w:vAlign w:val="center"/>
          </w:tcPr>
          <w:p>
            <w:pPr>
              <w:adjustRightInd w:val="0"/>
              <w:snapToGrid w:val="0"/>
              <w:spacing w:line="360" w:lineRule="auto"/>
              <w:jc w:val="center"/>
              <w:rPr>
                <w:rFonts w:ascii="宋体" w:hAnsi="宋体" w:cs="宋体"/>
                <w:snapToGrid w:val="0"/>
                <w:kern w:val="0"/>
                <w:szCs w:val="21"/>
              </w:rPr>
            </w:pPr>
          </w:p>
        </w:tc>
        <w:tc>
          <w:tcPr>
            <w:tcW w:w="705" w:type="dxa"/>
            <w:vAlign w:val="center"/>
          </w:tcPr>
          <w:p>
            <w:pPr>
              <w:adjustRightInd w:val="0"/>
              <w:snapToGrid w:val="0"/>
              <w:spacing w:line="360" w:lineRule="auto"/>
              <w:jc w:val="center"/>
              <w:rPr>
                <w:rFonts w:ascii="宋体" w:hAnsi="宋体" w:cs="宋体"/>
                <w:snapToGrid w:val="0"/>
                <w:kern w:val="0"/>
                <w:szCs w:val="21"/>
              </w:rPr>
            </w:pPr>
          </w:p>
        </w:tc>
        <w:tc>
          <w:tcPr>
            <w:tcW w:w="2700" w:type="dxa"/>
            <w:vAlign w:val="center"/>
          </w:tcPr>
          <w:p>
            <w:pPr>
              <w:adjustRightInd w:val="0"/>
              <w:snapToGrid w:val="0"/>
              <w:spacing w:line="360" w:lineRule="auto"/>
              <w:rPr>
                <w:rFonts w:ascii="宋体" w:hAnsi="宋体" w:cs="宋体"/>
                <w:snapToGrid w:val="0"/>
                <w:kern w:val="0"/>
                <w:szCs w:val="21"/>
              </w:rPr>
            </w:pPr>
          </w:p>
        </w:tc>
        <w:tc>
          <w:tcPr>
            <w:tcW w:w="720" w:type="dxa"/>
            <w:vAlign w:val="center"/>
          </w:tcPr>
          <w:p>
            <w:pPr>
              <w:adjustRightInd w:val="0"/>
              <w:snapToGrid w:val="0"/>
              <w:spacing w:line="360" w:lineRule="auto"/>
              <w:jc w:val="center"/>
              <w:rPr>
                <w:rFonts w:ascii="宋体" w:hAnsi="宋体" w:cs="宋体"/>
                <w:snapToGrid w:val="0"/>
                <w:kern w:val="0"/>
                <w:szCs w:val="21"/>
              </w:rPr>
            </w:pPr>
          </w:p>
        </w:tc>
        <w:tc>
          <w:tcPr>
            <w:tcW w:w="1301" w:type="dxa"/>
            <w:vAlign w:val="center"/>
          </w:tcPr>
          <w:p>
            <w:pPr>
              <w:adjustRightInd w:val="0"/>
              <w:snapToGrid w:val="0"/>
              <w:spacing w:line="360" w:lineRule="auto"/>
              <w:rPr>
                <w:rFonts w:ascii="宋体" w:hAnsi="宋体" w:cs="宋体"/>
                <w:snapToGrid w:val="0"/>
                <w:kern w:val="0"/>
                <w:szCs w:val="21"/>
              </w:rPr>
            </w:pPr>
          </w:p>
        </w:tc>
        <w:tc>
          <w:tcPr>
            <w:tcW w:w="1440" w:type="dxa"/>
            <w:vAlign w:val="center"/>
          </w:tcPr>
          <w:p>
            <w:pPr>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Cs w:val="21"/>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Cs w:val="21"/>
              </w:rPr>
            </w:pPr>
          </w:p>
        </w:tc>
        <w:tc>
          <w:tcPr>
            <w:tcW w:w="2700"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kern w:val="0"/>
                <w:sz w:val="21"/>
                <w:szCs w:val="21"/>
              </w:rPr>
            </w:pPr>
          </w:p>
        </w:tc>
        <w:tc>
          <w:tcPr>
            <w:tcW w:w="72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kern w:val="0"/>
                <w:sz w:val="21"/>
                <w:szCs w:val="21"/>
              </w:rPr>
            </w:pPr>
          </w:p>
        </w:tc>
        <w:tc>
          <w:tcPr>
            <w:tcW w:w="1301"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kern w:val="0"/>
                <w:sz w:val="21"/>
                <w:szCs w:val="21"/>
              </w:rPr>
            </w:pPr>
          </w:p>
        </w:tc>
        <w:tc>
          <w:tcPr>
            <w:tcW w:w="1440"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color w:val="000000"/>
                <w:kern w:val="0"/>
                <w:szCs w:val="21"/>
              </w:rPr>
            </w:pPr>
            <w:r>
              <w:rPr>
                <w:rFonts w:hint="eastAsia" w:ascii="宋体" w:hAnsi="宋体" w:cs="宋体"/>
                <w:snapToGrid w:val="0"/>
                <w:kern w:val="0"/>
                <w:szCs w:val="21"/>
              </w:rPr>
              <w:t>合计</w:t>
            </w:r>
            <w:r>
              <w:rPr>
                <w:rFonts w:hint="eastAsia" w:ascii="宋体" w:hAnsi="宋体" w:cs="宋体"/>
                <w:b/>
                <w:szCs w:val="21"/>
              </w:rPr>
              <w:t xml:space="preserve">（人民币）:          </w:t>
            </w:r>
            <w:r>
              <w:rPr>
                <w:rFonts w:hint="eastAsia" w:ascii="宋体" w:hAnsi="宋体" w:cs="宋体"/>
                <w:b/>
                <w:color w:val="000000"/>
                <w:kern w:val="0"/>
                <w:szCs w:val="21"/>
              </w:rPr>
              <w:t>元整（￥：    元）</w:t>
            </w:r>
          </w:p>
        </w:tc>
      </w:tr>
    </w:tbl>
    <w:p>
      <w:pPr>
        <w:spacing w:line="360" w:lineRule="auto"/>
        <w:ind w:left="359" w:leftChars="171"/>
        <w:rPr>
          <w:rFonts w:ascii="宋体" w:hAnsi="宋体" w:cs="宋体"/>
          <w:b/>
          <w:szCs w:val="21"/>
        </w:rPr>
      </w:pPr>
      <w:r>
        <w:rPr>
          <w:rFonts w:hint="eastAsia" w:ascii="宋体" w:hAnsi="宋体" w:cs="宋体"/>
          <w:b/>
          <w:szCs w:val="21"/>
        </w:rPr>
        <w:t>技术负责人（签字）：</w:t>
      </w:r>
      <w:r>
        <w:rPr>
          <w:rFonts w:hint="eastAsia" w:ascii="宋体" w:hAnsi="宋体" w:cs="宋体"/>
          <w:b/>
          <w:szCs w:val="21"/>
          <w:u w:val="single"/>
        </w:rPr>
        <w:t xml:space="preserve">               </w:t>
      </w:r>
      <w:r>
        <w:rPr>
          <w:rFonts w:hint="eastAsia" w:ascii="宋体" w:hAnsi="宋体" w:cs="宋体"/>
          <w:b/>
          <w:szCs w:val="21"/>
        </w:rPr>
        <w:t xml:space="preserve">      部门负责人（签字）：</w:t>
      </w:r>
      <w:r>
        <w:rPr>
          <w:rFonts w:hint="eastAsia" w:ascii="宋体" w:hAnsi="宋体" w:cs="宋体"/>
          <w:b/>
          <w:szCs w:val="21"/>
          <w:u w:val="single"/>
        </w:rPr>
        <w:t xml:space="preserve">                 </w:t>
      </w:r>
    </w:p>
    <w:p>
      <w:pPr>
        <w:spacing w:line="360" w:lineRule="auto"/>
        <w:rPr>
          <w:rFonts w:ascii="宋体" w:hAnsi="宋体" w:cs="宋体"/>
          <w:szCs w:val="21"/>
        </w:rPr>
      </w:pPr>
      <w:r>
        <w:rPr>
          <w:rFonts w:hint="eastAsia" w:ascii="宋体" w:hAnsi="宋体" w:cs="宋体"/>
          <w:b/>
          <w:szCs w:val="21"/>
        </w:rPr>
        <w:t xml:space="preserve">二、合同总金额（人民币）:          </w:t>
      </w:r>
      <w:r>
        <w:rPr>
          <w:rFonts w:hint="eastAsia" w:ascii="宋体" w:hAnsi="宋体" w:cs="宋体"/>
          <w:b/>
          <w:color w:val="000000"/>
          <w:kern w:val="0"/>
          <w:szCs w:val="21"/>
        </w:rPr>
        <w:t>元整（￥：  元）</w:t>
      </w:r>
      <w:r>
        <w:rPr>
          <w:rFonts w:hint="eastAsia" w:ascii="宋体" w:hAnsi="宋体" w:cs="宋体"/>
          <w:b/>
          <w:szCs w:val="21"/>
        </w:rPr>
        <w:t>。含增值税、运费、安装调试费等，甲方无需支付其他费用。</w:t>
      </w:r>
    </w:p>
    <w:p>
      <w:pPr>
        <w:spacing w:line="360" w:lineRule="auto"/>
        <w:rPr>
          <w:rFonts w:ascii="宋体" w:hAnsi="宋体" w:cs="宋体"/>
          <w:b/>
          <w:szCs w:val="21"/>
        </w:rPr>
      </w:pPr>
      <w:r>
        <w:rPr>
          <w:rFonts w:hint="eastAsia" w:ascii="宋体" w:hAnsi="宋体" w:cs="宋体"/>
          <w:b/>
          <w:szCs w:val="21"/>
        </w:rPr>
        <w:t>三、交货：</w:t>
      </w:r>
    </w:p>
    <w:p>
      <w:pPr>
        <w:spacing w:line="360" w:lineRule="auto"/>
        <w:ind w:firstLine="420" w:firstLineChars="200"/>
        <w:rPr>
          <w:rFonts w:ascii="宋体" w:hAnsi="宋体" w:cs="宋体"/>
          <w:szCs w:val="21"/>
        </w:rPr>
      </w:pPr>
      <w:r>
        <w:rPr>
          <w:rFonts w:hint="eastAsia" w:ascii="宋体" w:hAnsi="宋体" w:cs="宋体"/>
          <w:szCs w:val="21"/>
        </w:rPr>
        <w:t>1.交货时间：乙方应在20  年 月  日前完成全部货物（含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）的安装调试工作。</w:t>
      </w:r>
    </w:p>
    <w:p>
      <w:pPr>
        <w:spacing w:line="360" w:lineRule="auto"/>
        <w:ind w:firstLine="420" w:firstLineChars="200"/>
        <w:rPr>
          <w:rFonts w:ascii="宋体" w:hAnsi="宋体" w:cs="宋体"/>
          <w:szCs w:val="21"/>
        </w:rPr>
      </w:pPr>
      <w:r>
        <w:rPr>
          <w:rFonts w:hint="eastAsia" w:ascii="宋体" w:hAnsi="宋体" w:cs="宋体"/>
          <w:szCs w:val="21"/>
        </w:rPr>
        <w:t>2.交货地点：甲方指定地点。</w:t>
      </w:r>
    </w:p>
    <w:p>
      <w:pPr>
        <w:spacing w:line="360" w:lineRule="auto"/>
        <w:ind w:firstLine="420" w:firstLineChars="200"/>
        <w:rPr>
          <w:rFonts w:ascii="宋体" w:hAnsi="宋体" w:cs="宋体"/>
          <w:szCs w:val="21"/>
        </w:rPr>
      </w:pPr>
      <w:r>
        <w:rPr>
          <w:rFonts w:hint="eastAsia" w:ascii="宋体" w:hAnsi="宋体" w:cs="宋体"/>
          <w:szCs w:val="21"/>
        </w:rPr>
        <w:t>3.交货方式：乙方负责安排运输到甲方指定地点。乙方承担货物（含配套系统、配件备件）交付甲方前的一切费用及风险（本条款所指交付是乙方将货物（含配套系统、配件备件）运送至甲方指定地点，并经甲方验收合格并出具验收合格证明后视为交付）。</w:t>
      </w:r>
    </w:p>
    <w:p>
      <w:pPr>
        <w:spacing w:line="360" w:lineRule="auto"/>
        <w:ind w:firstLine="420" w:firstLineChars="200"/>
        <w:rPr>
          <w:rFonts w:ascii="宋体" w:hAnsi="宋体" w:cs="宋体"/>
          <w:szCs w:val="21"/>
        </w:rPr>
      </w:pPr>
      <w:r>
        <w:rPr>
          <w:rFonts w:hint="eastAsia" w:ascii="宋体" w:hAnsi="宋体" w:cs="宋体"/>
          <w:szCs w:val="21"/>
        </w:rPr>
        <w:t>4.乙方所提供货物（含配套系统、配件备件）必须为全新无瑕疵。</w:t>
      </w:r>
    </w:p>
    <w:p>
      <w:pPr>
        <w:spacing w:line="360" w:lineRule="auto"/>
        <w:ind w:firstLine="420" w:firstLineChars="200"/>
        <w:rPr>
          <w:rFonts w:ascii="宋体" w:hAnsi="宋体" w:cs="宋体"/>
          <w:szCs w:val="21"/>
        </w:rPr>
      </w:pPr>
      <w:r>
        <w:rPr>
          <w:rFonts w:hint="eastAsia" w:ascii="宋体" w:hAnsi="宋体" w:cs="宋体"/>
          <w:szCs w:val="21"/>
        </w:rPr>
        <w:t>5.交货时，乙方应将货物（含配套系统、配件备件）的产品说明书、使用说明书，出厂合格证、用户手册、保修手册等单证交付给甲方，前述单证未交付完整的，视为未完全交货。</w:t>
      </w:r>
    </w:p>
    <w:p>
      <w:pPr>
        <w:spacing w:line="360" w:lineRule="auto"/>
        <w:ind w:firstLine="420" w:firstLineChars="200"/>
        <w:rPr>
          <w:rFonts w:ascii="宋体" w:hAnsi="宋体" w:cs="宋体"/>
          <w:szCs w:val="21"/>
        </w:rPr>
      </w:pPr>
      <w:r>
        <w:rPr>
          <w:rFonts w:hint="eastAsia" w:ascii="宋体" w:hAnsi="宋体" w:cs="宋体"/>
          <w:szCs w:val="21"/>
        </w:rPr>
        <w:t>6.如果乙方提供货物（含配套系统、配件备件）属于国家或上级部门相关法律法规管制的，则乙方应当提供相关证明并协助甲方办理相关手续。</w:t>
      </w:r>
    </w:p>
    <w:p>
      <w:pPr>
        <w:spacing w:line="360" w:lineRule="auto"/>
        <w:rPr>
          <w:rFonts w:ascii="宋体" w:hAnsi="宋体" w:cs="宋体"/>
          <w:b/>
          <w:szCs w:val="21"/>
        </w:rPr>
      </w:pPr>
      <w:r>
        <w:rPr>
          <w:rFonts w:hint="eastAsia" w:ascii="宋体" w:hAnsi="宋体" w:cs="宋体"/>
          <w:b/>
          <w:szCs w:val="21"/>
        </w:rPr>
        <w:t>四、合</w:t>
      </w:r>
      <w:r>
        <w:rPr>
          <w:rFonts w:ascii="宋体" w:hAnsi="宋体" w:cs="宋体"/>
          <w:b/>
          <w:szCs w:val="21"/>
        </w:rPr>
        <w:t>同</w:t>
      </w:r>
      <w:r>
        <w:rPr>
          <w:rFonts w:hint="eastAsia" w:ascii="宋体" w:hAnsi="宋体" w:cs="宋体"/>
          <w:b/>
          <w:szCs w:val="21"/>
        </w:rPr>
        <w:t>验收</w:t>
      </w:r>
    </w:p>
    <w:p>
      <w:pPr>
        <w:spacing w:line="360" w:lineRule="auto"/>
        <w:ind w:firstLine="420" w:firstLineChars="200"/>
        <w:rPr>
          <w:rFonts w:ascii="宋体" w:hAnsi="宋体" w:cs="宋体"/>
          <w:szCs w:val="21"/>
        </w:rPr>
      </w:pPr>
      <w:r>
        <w:rPr>
          <w:rFonts w:hint="eastAsia" w:ascii="宋体" w:hAnsi="宋体" w:cs="宋体"/>
          <w:szCs w:val="21"/>
        </w:rPr>
        <w:t>1.验收标准：本合同相关约定、国家相关规范和标准、招标文件、响应文件及磋商报告相关要求、相关技术文件验收。</w:t>
      </w:r>
    </w:p>
    <w:p>
      <w:pPr>
        <w:spacing w:line="360" w:lineRule="auto"/>
        <w:ind w:firstLine="420" w:firstLineChars="200"/>
        <w:rPr>
          <w:rFonts w:ascii="宋体" w:hAnsi="宋体" w:cs="宋体"/>
          <w:szCs w:val="21"/>
        </w:rPr>
      </w:pPr>
      <w:r>
        <w:rPr>
          <w:rFonts w:hint="eastAsia" w:ascii="宋体" w:hAnsi="宋体" w:cs="宋体"/>
          <w:szCs w:val="21"/>
        </w:rPr>
        <w:t>2.验收方式：合同内全部货物（含配套系统、配件备件）整体验收。</w:t>
      </w:r>
    </w:p>
    <w:p>
      <w:pPr>
        <w:spacing w:line="360" w:lineRule="auto"/>
        <w:ind w:firstLine="420" w:firstLineChars="200"/>
        <w:rPr>
          <w:rFonts w:ascii="宋体" w:hAnsi="宋体" w:cs="宋体"/>
          <w:szCs w:val="21"/>
        </w:rPr>
      </w:pPr>
      <w:r>
        <w:rPr>
          <w:rFonts w:hint="eastAsia" w:ascii="宋体" w:hAnsi="宋体" w:cs="宋体"/>
          <w:szCs w:val="21"/>
        </w:rPr>
        <w:t xml:space="preserve">3.验收组织：甲方组织技术人员验收。（含配套系统、配件备件）质量验收合格的，甲方签署验收报告，验收不合格的，甲方向乙方出具书面质量异议意见。 </w:t>
      </w:r>
    </w:p>
    <w:p>
      <w:pPr>
        <w:spacing w:line="360" w:lineRule="auto"/>
        <w:ind w:firstLine="420" w:firstLineChars="200"/>
        <w:rPr>
          <w:rFonts w:ascii="宋体" w:hAnsi="宋体" w:cs="宋体"/>
          <w:szCs w:val="21"/>
        </w:rPr>
      </w:pPr>
      <w:r>
        <w:rPr>
          <w:rFonts w:hint="eastAsia" w:ascii="宋体" w:hAnsi="宋体" w:cs="宋体"/>
          <w:szCs w:val="21"/>
        </w:rPr>
        <w:t xml:space="preserve">4.甲方完成验收并不免除乙方对（含配套系统、配件备件）质量应当承担的责任。          </w:t>
      </w:r>
    </w:p>
    <w:p>
      <w:pPr>
        <w:spacing w:line="360" w:lineRule="auto"/>
        <w:rPr>
          <w:rFonts w:ascii="宋体" w:hAnsi="宋体" w:cs="宋体"/>
          <w:b/>
          <w:szCs w:val="21"/>
        </w:rPr>
      </w:pPr>
      <w:r>
        <w:rPr>
          <w:rFonts w:hint="eastAsia" w:ascii="宋体" w:hAnsi="宋体" w:cs="宋体"/>
          <w:b/>
          <w:szCs w:val="21"/>
        </w:rPr>
        <w:t>五、付款方式：</w:t>
      </w:r>
    </w:p>
    <w:p>
      <w:pPr>
        <w:spacing w:line="360" w:lineRule="auto"/>
        <w:ind w:firstLine="420" w:firstLineChars="200"/>
        <w:rPr>
          <w:rFonts w:ascii="宋体" w:hAnsi="宋体" w:cs="宋体"/>
          <w:szCs w:val="21"/>
        </w:rPr>
      </w:pPr>
      <w:r>
        <w:rPr>
          <w:rFonts w:hint="eastAsia" w:ascii="宋体" w:hAnsi="宋体" w:cs="宋体"/>
          <w:szCs w:val="21"/>
        </w:rPr>
        <w:t>1.本合同正式签订前，乙方需向甲方支付合同金额的5%即人民币    元整（小写：￥    元）作为履约保证金；</w:t>
      </w:r>
    </w:p>
    <w:p>
      <w:pPr>
        <w:spacing w:line="360" w:lineRule="auto"/>
        <w:ind w:firstLine="420" w:firstLineChars="200"/>
        <w:rPr>
          <w:rFonts w:ascii="宋体" w:hAnsi="宋体" w:cs="宋体"/>
          <w:szCs w:val="21"/>
        </w:rPr>
      </w:pPr>
      <w:r>
        <w:rPr>
          <w:rFonts w:hint="eastAsia" w:ascii="宋体" w:hAnsi="宋体" w:cs="宋体"/>
          <w:szCs w:val="21"/>
        </w:rPr>
        <w:t>2.全部货物（含配套系统、配件备件）经甲方验收合格后十五个工作日内，甲方向乙方支付全额货款即人民币    元整（小写：￥    元），上述履约保证金转为质保金，产品验收合格满</w:t>
      </w:r>
      <w:r>
        <w:rPr>
          <w:rFonts w:hint="eastAsia" w:ascii="宋体" w:hAnsi="宋体" w:cs="宋体"/>
          <w:szCs w:val="21"/>
          <w:u w:val="single"/>
        </w:rPr>
        <w:t xml:space="preserve">  </w:t>
      </w:r>
      <w:r>
        <w:rPr>
          <w:rFonts w:hint="eastAsia" w:ascii="宋体" w:hAnsi="宋体" w:cs="宋体"/>
          <w:szCs w:val="21"/>
        </w:rPr>
        <w:t>年后，若无质量问题甲方将质保金全额无息退还给乙方；</w:t>
      </w:r>
    </w:p>
    <w:p>
      <w:pPr>
        <w:spacing w:line="360" w:lineRule="auto"/>
        <w:ind w:firstLine="420" w:firstLineChars="200"/>
        <w:rPr>
          <w:rFonts w:ascii="宋体" w:hAnsi="宋体" w:cs="宋体"/>
          <w:szCs w:val="21"/>
        </w:rPr>
      </w:pPr>
      <w:r>
        <w:rPr>
          <w:rFonts w:hint="eastAsia" w:ascii="宋体" w:hAnsi="宋体" w:cs="宋体"/>
          <w:szCs w:val="21"/>
        </w:rPr>
        <w:t>3.国产货物（含配套系统、配件备件）须提供增值税专用发票。</w:t>
      </w:r>
    </w:p>
    <w:p>
      <w:pPr>
        <w:spacing w:line="360" w:lineRule="auto"/>
        <w:rPr>
          <w:rFonts w:ascii="宋体" w:hAnsi="宋体" w:cs="宋体"/>
          <w:bCs/>
          <w:color w:val="FF0000"/>
          <w:szCs w:val="21"/>
        </w:rPr>
      </w:pPr>
      <w:r>
        <w:rPr>
          <w:rFonts w:hint="eastAsia" w:ascii="宋体" w:hAnsi="宋体" w:cs="宋体"/>
          <w:b/>
          <w:szCs w:val="21"/>
        </w:rPr>
        <w:t>七、售后服务</w:t>
      </w:r>
      <w:r>
        <w:rPr>
          <w:rFonts w:hint="eastAsia" w:ascii="宋体" w:hAnsi="宋体" w:cs="宋体"/>
          <w:b/>
          <w:bCs/>
          <w:szCs w:val="21"/>
        </w:rPr>
        <w:t xml:space="preserve"> （</w:t>
      </w:r>
      <w:r>
        <w:rPr>
          <w:rFonts w:hint="eastAsia" w:ascii="宋体" w:hAnsi="宋体" w:cs="宋体"/>
          <w:bCs/>
          <w:szCs w:val="21"/>
        </w:rPr>
        <w:t>根据具体项目的响应文件填写</w:t>
      </w:r>
      <w:r>
        <w:rPr>
          <w:rFonts w:hint="eastAsia" w:ascii="宋体" w:hAnsi="宋体" w:cs="宋体"/>
          <w:b/>
          <w:bCs/>
          <w:szCs w:val="21"/>
        </w:rPr>
        <w:t>）</w:t>
      </w:r>
    </w:p>
    <w:p>
      <w:pPr>
        <w:spacing w:line="360" w:lineRule="auto"/>
        <w:ind w:firstLine="420" w:firstLineChars="200"/>
        <w:rPr>
          <w:rFonts w:ascii="宋体" w:hAnsi="宋体" w:cs="宋体"/>
          <w:szCs w:val="21"/>
        </w:rPr>
      </w:pPr>
      <w:r>
        <w:rPr>
          <w:rFonts w:hint="eastAsia" w:ascii="宋体" w:hAnsi="宋体" w:cs="宋体"/>
          <w:szCs w:val="21"/>
        </w:rPr>
        <w:t>1. 国产货物（含配套系统、配件备件）验收合格之日起质保期    年，并提供售后服务    年。</w:t>
      </w:r>
    </w:p>
    <w:p>
      <w:pPr>
        <w:spacing w:line="360" w:lineRule="auto"/>
        <w:ind w:firstLine="420" w:firstLineChars="200"/>
        <w:rPr>
          <w:rFonts w:ascii="宋体" w:hAnsi="宋体" w:cs="宋体"/>
          <w:szCs w:val="21"/>
        </w:rPr>
      </w:pPr>
      <w:r>
        <w:rPr>
          <w:rFonts w:hint="eastAsia" w:ascii="宋体" w:hAnsi="宋体" w:cs="宋体"/>
          <w:szCs w:val="21"/>
        </w:rPr>
        <w:t>2.质保期、保修期内因国产货物（含配套系统、配件备件）质量或安装调试原因引起的全部维修费用（包括更换零配件的费用）均由乙方承担。</w:t>
      </w:r>
    </w:p>
    <w:p>
      <w:pPr>
        <w:spacing w:line="360" w:lineRule="auto"/>
        <w:ind w:firstLine="420" w:firstLineChars="200"/>
        <w:rPr>
          <w:rFonts w:ascii="宋体" w:hAnsi="宋体" w:cs="宋体"/>
          <w:szCs w:val="21"/>
        </w:rPr>
      </w:pPr>
      <w:r>
        <w:rPr>
          <w:rFonts w:hint="eastAsia" w:ascii="宋体" w:hAnsi="宋体" w:cs="宋体"/>
          <w:szCs w:val="21"/>
        </w:rPr>
        <w:t>3.质保期、保修期外，乙方应定期回访，发现问题及时通知甲方，国产货物（含配套系统、配件备件）维修零配件以优惠价给甲方（免收人工及差旅费）。</w:t>
      </w:r>
    </w:p>
    <w:p>
      <w:pPr>
        <w:spacing w:line="360" w:lineRule="auto"/>
        <w:ind w:firstLine="420" w:firstLineChars="200"/>
        <w:rPr>
          <w:rFonts w:ascii="宋体" w:hAnsi="宋体" w:cs="宋体"/>
          <w:szCs w:val="21"/>
        </w:rPr>
      </w:pPr>
      <w:r>
        <w:rPr>
          <w:rFonts w:hint="eastAsia" w:ascii="宋体" w:hAnsi="宋体" w:cs="宋体"/>
          <w:szCs w:val="21"/>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rPr>
          <w:rFonts w:ascii="宋体" w:hAnsi="宋体" w:cs="宋体"/>
          <w:b/>
          <w:szCs w:val="21"/>
        </w:rPr>
      </w:pPr>
      <w:r>
        <w:rPr>
          <w:rFonts w:hint="eastAsia" w:ascii="宋体" w:hAnsi="宋体" w:cs="宋体"/>
          <w:b/>
          <w:szCs w:val="21"/>
        </w:rPr>
        <w:t>八、安装调试和搬运安全</w:t>
      </w:r>
    </w:p>
    <w:p>
      <w:pPr>
        <w:spacing w:line="360" w:lineRule="auto"/>
        <w:ind w:firstLine="420" w:firstLineChars="200"/>
        <w:rPr>
          <w:rFonts w:ascii="宋体" w:hAnsi="宋体" w:cs="宋体"/>
          <w:szCs w:val="21"/>
        </w:rPr>
      </w:pPr>
      <w:r>
        <w:rPr>
          <w:rFonts w:hint="eastAsia" w:ascii="宋体" w:hAnsi="宋体" w:cs="宋体"/>
          <w:szCs w:val="21"/>
        </w:rPr>
        <w:t>1.乙方须严格按照相关安全规范负责合同中全部货物（含配套系统、配件备件）安装调试、搬运和施工现场管理工作，并严守安装调试、搬运和施工现场各项安全规定。</w:t>
      </w:r>
    </w:p>
    <w:p>
      <w:pPr>
        <w:spacing w:line="360" w:lineRule="auto"/>
        <w:ind w:firstLine="420" w:firstLineChars="200"/>
        <w:rPr>
          <w:rFonts w:ascii="宋体" w:hAnsi="宋体" w:cs="宋体"/>
          <w:szCs w:val="21"/>
        </w:rPr>
      </w:pPr>
      <w:r>
        <w:rPr>
          <w:rFonts w:hint="eastAsia" w:ascii="宋体" w:hAnsi="宋体" w:cs="宋体"/>
          <w:szCs w:val="21"/>
        </w:rPr>
        <w:t>2.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pPr>
        <w:spacing w:line="360" w:lineRule="auto"/>
        <w:rPr>
          <w:rFonts w:ascii="宋体" w:hAnsi="宋体" w:cs="宋体"/>
          <w:szCs w:val="21"/>
        </w:rPr>
      </w:pPr>
      <w:r>
        <w:rPr>
          <w:rFonts w:hint="eastAsia" w:ascii="宋体" w:hAnsi="宋体" w:cs="宋体"/>
          <w:b/>
          <w:bCs/>
          <w:szCs w:val="21"/>
        </w:rPr>
        <w:t>九、违约责任</w:t>
      </w:r>
    </w:p>
    <w:p>
      <w:pPr>
        <w:spacing w:line="360" w:lineRule="auto"/>
        <w:ind w:firstLine="420" w:firstLineChars="200"/>
        <w:rPr>
          <w:rFonts w:ascii="宋体" w:hAnsi="宋体" w:cs="宋体"/>
          <w:szCs w:val="21"/>
        </w:rPr>
      </w:pPr>
      <w:r>
        <w:rPr>
          <w:rFonts w:hint="eastAsia" w:ascii="宋体" w:hAnsi="宋体" w:cs="宋体"/>
          <w:szCs w:val="21"/>
        </w:rPr>
        <w:t>1.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spacing w:line="360" w:lineRule="auto"/>
        <w:ind w:firstLine="420" w:firstLineChars="200"/>
        <w:rPr>
          <w:rFonts w:ascii="宋体" w:hAnsi="宋体" w:cs="宋体"/>
          <w:szCs w:val="21"/>
        </w:rPr>
      </w:pPr>
      <w:r>
        <w:rPr>
          <w:rFonts w:hint="eastAsia" w:ascii="宋体" w:hAnsi="宋体" w:cs="宋体"/>
          <w:szCs w:val="21"/>
        </w:rPr>
        <w:t>2．若乙方未能在20  年  月  日前完成本合同全部货物（含配套系统、配件备件）安装调试并达到验收标准，甲方可中止本合同，并由乙方承担由此给甲方造成的一切损失。</w:t>
      </w:r>
    </w:p>
    <w:p>
      <w:pPr>
        <w:spacing w:line="360" w:lineRule="auto"/>
        <w:ind w:firstLine="420" w:firstLineChars="200"/>
        <w:rPr>
          <w:rFonts w:ascii="宋体" w:hAnsi="宋体" w:cs="宋体"/>
          <w:szCs w:val="21"/>
        </w:rPr>
      </w:pPr>
      <w:r>
        <w:rPr>
          <w:rFonts w:hint="eastAsia" w:ascii="宋体" w:hAnsi="宋体" w:cs="宋体"/>
          <w:szCs w:val="21"/>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firstLine="420" w:firstLineChars="200"/>
        <w:rPr>
          <w:rFonts w:ascii="宋体" w:hAnsi="宋体" w:cs="宋体"/>
          <w:szCs w:val="21"/>
        </w:rPr>
      </w:pPr>
      <w:r>
        <w:rPr>
          <w:rFonts w:hint="eastAsia" w:ascii="宋体" w:hAnsi="宋体" w:cs="宋体"/>
          <w:szCs w:val="21"/>
        </w:rPr>
        <w:t>4．乙方交付甲方的全部货物（含配套系统、配件备件）及施工过程中使用的材料必须有合法的进货渠道，且符合合同和投标书中的质量约定，否则由乙方承担一切责任。</w:t>
      </w:r>
    </w:p>
    <w:p>
      <w:pPr>
        <w:spacing w:line="360" w:lineRule="auto"/>
        <w:ind w:firstLine="420" w:firstLineChars="200"/>
        <w:rPr>
          <w:rFonts w:ascii="宋体" w:hAnsi="宋体" w:cs="宋体"/>
          <w:szCs w:val="21"/>
        </w:rPr>
      </w:pPr>
      <w:r>
        <w:rPr>
          <w:rFonts w:hint="eastAsia" w:ascii="宋体" w:hAnsi="宋体" w:cs="宋体"/>
          <w:szCs w:val="21"/>
        </w:rPr>
        <w:t>5. 乙方保证本合同项内全部货物（含配套系统、配件备件）的权利无瑕疵，包括全部货物（含配套系统、配件备件）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spacing w:line="360" w:lineRule="auto"/>
        <w:rPr>
          <w:rFonts w:ascii="宋体" w:hAnsi="宋体" w:cs="宋体"/>
          <w:b/>
          <w:bCs/>
          <w:szCs w:val="21"/>
        </w:rPr>
      </w:pPr>
      <w:r>
        <w:rPr>
          <w:rFonts w:hint="eastAsia" w:ascii="宋体" w:hAnsi="宋体" w:cs="宋体"/>
          <w:b/>
          <w:szCs w:val="21"/>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rPr>
          <w:rFonts w:ascii="宋体" w:hAnsi="宋体" w:cs="宋体"/>
          <w:b/>
          <w:szCs w:val="21"/>
        </w:rPr>
      </w:pPr>
      <w:r>
        <w:rPr>
          <w:rFonts w:hint="eastAsia" w:ascii="宋体" w:hAnsi="宋体" w:cs="宋体"/>
          <w:b/>
          <w:szCs w:val="21"/>
        </w:rPr>
        <w:t>十一、本合同一式柒份，甲方持陆份，</w:t>
      </w:r>
      <w:r>
        <w:rPr>
          <w:rFonts w:hint="eastAsia" w:ascii="宋体" w:hAnsi="宋体"/>
          <w:b/>
          <w:szCs w:val="21"/>
        </w:rPr>
        <w:t>乙方持壹份,具有同等法律效力。</w:t>
      </w:r>
    </w:p>
    <w:p>
      <w:pPr>
        <w:spacing w:line="360" w:lineRule="auto"/>
        <w:rPr>
          <w:rFonts w:ascii="宋体" w:hAnsi="宋体" w:cs="宋体"/>
          <w:b/>
          <w:szCs w:val="21"/>
        </w:rPr>
      </w:pPr>
      <w:r>
        <w:rPr>
          <w:rFonts w:hint="eastAsia" w:ascii="宋体" w:hAnsi="宋体" w:cs="宋体"/>
          <w:b/>
          <w:szCs w:val="21"/>
        </w:rPr>
        <w:t>十二、本合同自双方签字并盖章之日起生效。</w:t>
      </w:r>
    </w:p>
    <w:p>
      <w:pPr>
        <w:spacing w:line="360" w:lineRule="auto"/>
        <w:ind w:left="-178" w:leftChars="-85" w:right="-359" w:rightChars="-171" w:firstLine="126" w:firstLineChars="60"/>
        <w:rPr>
          <w:rFonts w:ascii="宋体" w:hAnsi="宋体" w:cs="宋体"/>
          <w:szCs w:val="21"/>
        </w:rPr>
      </w:pPr>
    </w:p>
    <w:p>
      <w:pPr>
        <w:spacing w:line="360" w:lineRule="auto"/>
        <w:ind w:left="178" w:leftChars="85" w:right="-359" w:rightChars="-171"/>
        <w:rPr>
          <w:rFonts w:ascii="宋体" w:hAnsi="宋体" w:cs="宋体"/>
          <w:szCs w:val="21"/>
        </w:rPr>
      </w:pPr>
      <w:r>
        <w:rPr>
          <w:rFonts w:hint="eastAsia" w:ascii="宋体" w:hAnsi="宋体" w:cs="宋体"/>
          <w:szCs w:val="21"/>
        </w:rPr>
        <w:t>甲 方（盖章）：</w:t>
      </w:r>
      <w:r>
        <w:rPr>
          <w:rFonts w:hint="eastAsia" w:ascii="宋体" w:hAnsi="宋体" w:cs="宋体"/>
          <w:b/>
          <w:bCs/>
          <w:szCs w:val="21"/>
        </w:rPr>
        <w:t xml:space="preserve">湖北工业大学                </w:t>
      </w:r>
      <w:r>
        <w:rPr>
          <w:rFonts w:hint="eastAsia" w:ascii="宋体" w:hAnsi="宋体" w:cs="宋体"/>
          <w:szCs w:val="21"/>
        </w:rPr>
        <w:t>乙 方（盖章）：</w:t>
      </w:r>
      <w:r>
        <w:rPr>
          <w:rFonts w:hint="eastAsia" w:ascii="宋体" w:hAnsi="宋体" w:cs="宋体"/>
          <w:snapToGrid w:val="0"/>
          <w:kern w:val="0"/>
          <w:szCs w:val="21"/>
        </w:rPr>
        <w:t xml:space="preserve">                      </w:t>
      </w:r>
    </w:p>
    <w:p>
      <w:pPr>
        <w:spacing w:line="360" w:lineRule="auto"/>
        <w:ind w:left="178" w:leftChars="85" w:right="-178" w:rightChars="-85"/>
        <w:rPr>
          <w:rFonts w:ascii="宋体" w:hAnsi="宋体" w:cs="宋体"/>
          <w:szCs w:val="21"/>
        </w:rPr>
      </w:pPr>
    </w:p>
    <w:p>
      <w:pPr>
        <w:spacing w:line="360" w:lineRule="auto"/>
        <w:ind w:left="178" w:leftChars="85" w:right="-178" w:rightChars="-85"/>
        <w:rPr>
          <w:rFonts w:ascii="宋体" w:hAnsi="宋体" w:cs="宋体"/>
          <w:szCs w:val="21"/>
        </w:rPr>
      </w:pPr>
      <w:r>
        <w:rPr>
          <w:rFonts w:hint="eastAsia" w:ascii="宋体" w:hAnsi="宋体" w:cs="宋体"/>
          <w:szCs w:val="21"/>
        </w:rPr>
        <w:t>部门（单位）主要负责人（签名）：</w:t>
      </w:r>
    </w:p>
    <w:p>
      <w:pPr>
        <w:spacing w:line="360" w:lineRule="auto"/>
        <w:ind w:left="178" w:leftChars="85" w:right="-178" w:rightChars="-85"/>
        <w:rPr>
          <w:rFonts w:ascii="宋体" w:hAnsi="宋体" w:cs="宋体"/>
          <w:szCs w:val="21"/>
        </w:rPr>
      </w:pPr>
      <w:r>
        <w:rPr>
          <w:rFonts w:hint="eastAsia" w:ascii="宋体" w:hAnsi="宋体" w:cs="宋体"/>
          <w:szCs w:val="21"/>
        </w:rPr>
        <w:t>法人或授权代表（签名）：                   法人或授权代表（签名）：</w:t>
      </w:r>
    </w:p>
    <w:p>
      <w:pPr>
        <w:spacing w:line="360" w:lineRule="auto"/>
        <w:ind w:left="178" w:leftChars="85" w:right="-171"/>
        <w:rPr>
          <w:rFonts w:ascii="宋体" w:hAnsi="宋体" w:cs="宋体"/>
          <w:szCs w:val="21"/>
        </w:rPr>
      </w:pPr>
    </w:p>
    <w:p>
      <w:pPr>
        <w:spacing w:line="360" w:lineRule="auto"/>
        <w:ind w:left="178" w:leftChars="85" w:right="-171"/>
        <w:rPr>
          <w:rFonts w:ascii="宋体" w:hAnsi="宋体" w:cs="宋体"/>
          <w:szCs w:val="21"/>
        </w:rPr>
      </w:pPr>
      <w:r>
        <w:rPr>
          <w:rFonts w:hint="eastAsia" w:ascii="宋体" w:hAnsi="宋体" w:cs="宋体"/>
          <w:szCs w:val="21"/>
        </w:rPr>
        <w:t>联系方式：02759750213                    联系方式：</w:t>
      </w:r>
    </w:p>
    <w:p>
      <w:pPr>
        <w:spacing w:line="360" w:lineRule="auto"/>
        <w:ind w:left="178" w:leftChars="85" w:right="-171"/>
        <w:rPr>
          <w:rFonts w:ascii="宋体" w:hAnsi="宋体" w:cs="宋体"/>
          <w:szCs w:val="21"/>
        </w:rPr>
      </w:pPr>
      <w:r>
        <w:rPr>
          <w:rFonts w:hint="eastAsia" w:ascii="宋体" w:hAnsi="宋体" w:cs="宋体"/>
          <w:szCs w:val="21"/>
        </w:rPr>
        <w:t xml:space="preserve">                                         开户银行：</w:t>
      </w:r>
    </w:p>
    <w:p>
      <w:pPr>
        <w:spacing w:line="360" w:lineRule="auto"/>
        <w:ind w:left="178" w:leftChars="85" w:right="-171"/>
        <w:rPr>
          <w:rFonts w:ascii="宋体" w:hAnsi="宋体" w:cs="宋体"/>
          <w:snapToGrid w:val="0"/>
          <w:kern w:val="0"/>
          <w:szCs w:val="21"/>
        </w:rPr>
      </w:pPr>
      <w:r>
        <w:rPr>
          <w:rFonts w:hint="eastAsia" w:ascii="宋体" w:hAnsi="宋体" w:cs="宋体"/>
          <w:szCs w:val="21"/>
        </w:rPr>
        <w:t xml:space="preserve">                                         银行账号：</w:t>
      </w:r>
    </w:p>
    <w:p>
      <w:pPr>
        <w:spacing w:line="360" w:lineRule="auto"/>
        <w:ind w:left="178" w:leftChars="85" w:right="-171"/>
        <w:rPr>
          <w:rFonts w:ascii="宋体" w:hAnsi="宋体" w:cs="宋体"/>
          <w:szCs w:val="21"/>
        </w:rPr>
      </w:pPr>
      <w:r>
        <w:rPr>
          <w:rFonts w:hint="eastAsia" w:ascii="宋体" w:hAnsi="宋体" w:cs="宋体"/>
          <w:snapToGrid w:val="0"/>
          <w:kern w:val="0"/>
          <w:szCs w:val="21"/>
        </w:rPr>
        <w:t xml:space="preserve">                                  </w:t>
      </w:r>
    </w:p>
    <w:p>
      <w:pPr>
        <w:pStyle w:val="16"/>
        <w:spacing w:line="360" w:lineRule="auto"/>
        <w:ind w:left="178" w:leftChars="85"/>
        <w:jc w:val="left"/>
        <w:rPr>
          <w:rFonts w:ascii="宋体" w:hAnsi="宋体" w:eastAsia="宋体"/>
          <w:bCs/>
          <w:color w:val="auto"/>
          <w:kern w:val="2"/>
          <w:sz w:val="21"/>
          <w:szCs w:val="21"/>
        </w:rPr>
      </w:pPr>
      <w:r>
        <w:rPr>
          <w:rFonts w:hint="eastAsia" w:ascii="宋体" w:hAnsi="宋体" w:eastAsia="宋体"/>
          <w:bCs/>
          <w:color w:val="auto"/>
          <w:kern w:val="2"/>
          <w:sz w:val="21"/>
          <w:szCs w:val="21"/>
        </w:rPr>
        <w:t>日  期： 二○   年   月    日         日   期：二○   年   月   日</w:t>
      </w:r>
    </w:p>
    <w:p>
      <w:pPr>
        <w:rPr>
          <w:rFonts w:ascii="宋体" w:hAnsi="宋体"/>
          <w:bCs/>
          <w:sz w:val="24"/>
        </w:rPr>
      </w:pPr>
      <w:r>
        <w:rPr>
          <w:rFonts w:hint="eastAsia" w:ascii="宋体" w:hAnsi="宋体"/>
          <w:bCs/>
          <w:sz w:val="24"/>
        </w:rPr>
        <w:br w:type="page"/>
      </w:r>
    </w:p>
    <w:p>
      <w:pPr>
        <w:pStyle w:val="4"/>
        <w:numPr>
          <w:ilvl w:val="0"/>
          <w:numId w:val="4"/>
        </w:numPr>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竞争性磋商响应文件格式</w:t>
      </w:r>
      <w:bookmarkEnd w:id="124"/>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预算执行计划：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5" w:name="_Toc23858"/>
      <w:bookmarkStart w:id="126" w:name="_Toc5751"/>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5"/>
    <w:bookmarkEnd w:id="126"/>
    <w:p>
      <w:pPr>
        <w:autoSpaceDE w:val="0"/>
        <w:autoSpaceDN w:val="0"/>
        <w:adjustRightInd w:val="0"/>
        <w:spacing w:line="360" w:lineRule="auto"/>
        <w:jc w:val="center"/>
        <w:rPr>
          <w:rFonts w:asciiTheme="minorEastAsia" w:hAnsiTheme="minorEastAsia" w:eastAsiaTheme="minorEastAsia" w:cstheme="minorEastAsia"/>
          <w:b/>
          <w:bCs/>
          <w:sz w:val="24"/>
        </w:rPr>
      </w:pPr>
      <w:bookmarkStart w:id="127" w:name="_Toc360174584"/>
      <w:bookmarkStart w:id="128" w:name="_Toc264644272"/>
      <w:bookmarkStart w:id="129" w:name="_Toc533330957"/>
      <w:bookmarkStart w:id="130" w:name="_Toc211783342"/>
      <w:bookmarkStart w:id="131" w:name="_Toc533331084"/>
      <w:bookmarkStart w:id="132" w:name="_Toc11320441"/>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7"/>
      <w:bookmarkEnd w:id="128"/>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3" w:name="_Toc14065"/>
      <w:r>
        <w:rPr>
          <w:rFonts w:hint="eastAsia" w:ascii="宋体" w:hAnsi="宋体" w:cs="宋体"/>
          <w:b/>
          <w:szCs w:val="21"/>
        </w:rPr>
        <w:br w:type="textWrapping"/>
      </w:r>
      <w:r>
        <w:rPr>
          <w:rFonts w:hint="eastAsia" w:ascii="宋体" w:hAnsi="宋体" w:cs="宋体"/>
          <w:b/>
          <w:szCs w:val="21"/>
        </w:rPr>
        <w:t>一、评分标准索引表</w:t>
      </w:r>
      <w:bookmarkEnd w:id="133"/>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4" w:name="_Toc479184125"/>
      <w:bookmarkStart w:id="135" w:name="_Toc15789"/>
      <w:bookmarkStart w:id="136" w:name="_Toc30144"/>
      <w:bookmarkStart w:id="137" w:name="_Toc8850"/>
      <w:r>
        <w:rPr>
          <w:rFonts w:hint="eastAsia" w:asciiTheme="minorEastAsia" w:hAnsiTheme="minorEastAsia" w:eastAsiaTheme="minorEastAsia" w:cstheme="minorEastAsia"/>
          <w:b/>
        </w:rPr>
        <w:t>二、磋商书</w:t>
      </w:r>
      <w:bookmarkEnd w:id="134"/>
      <w:bookmarkEnd w:id="135"/>
      <w:bookmarkEnd w:id="136"/>
      <w:bookmarkEnd w:id="137"/>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日历天。</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8" w:name="_Toc479184126"/>
      <w:bookmarkStart w:id="139" w:name="_Toc24882"/>
      <w:bookmarkStart w:id="140" w:name="_Toc13969"/>
      <w:bookmarkStart w:id="141" w:name="_Toc24205"/>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8"/>
      <w:bookmarkEnd w:id="139"/>
      <w:bookmarkEnd w:id="140"/>
      <w:bookmarkEnd w:id="141"/>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2" w:name="_Toc479184127"/>
      <w:bookmarkStart w:id="143" w:name="_Toc29904"/>
      <w:bookmarkStart w:id="144" w:name="_Toc432149008"/>
      <w:bookmarkStart w:id="145" w:name="_Toc30476"/>
      <w:bookmarkStart w:id="146" w:name="_Toc30245"/>
      <w:bookmarkStart w:id="147" w:name="_Toc360120184"/>
      <w:bookmarkStart w:id="148" w:name="_Toc19133"/>
      <w:bookmarkStart w:id="149" w:name="_Toc424832832"/>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2"/>
      <w:bookmarkEnd w:id="143"/>
      <w:bookmarkEnd w:id="144"/>
      <w:bookmarkEnd w:id="145"/>
      <w:bookmarkEnd w:id="146"/>
      <w:bookmarkEnd w:id="147"/>
      <w:bookmarkEnd w:id="148"/>
      <w:bookmarkEnd w:id="149"/>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0" w:name="_Toc422466732"/>
      <w:bookmarkStart w:id="151" w:name="_Toc432149006"/>
      <w:r>
        <w:rPr>
          <w:rFonts w:hint="eastAsia" w:asciiTheme="minorEastAsia" w:hAnsiTheme="minorEastAsia" w:eastAsiaTheme="minorEastAsia" w:cstheme="minorEastAsia"/>
          <w:b/>
          <w:bCs/>
          <w:sz w:val="24"/>
        </w:rPr>
        <w:br w:type="page"/>
      </w:r>
      <w:bookmarkStart w:id="152" w:name="_Toc24587"/>
      <w:bookmarkStart w:id="153" w:name="_Toc4301"/>
      <w:bookmarkStart w:id="154" w:name="_Toc479184128"/>
      <w:bookmarkStart w:id="155" w:name="_Toc4741"/>
      <w:r>
        <w:rPr>
          <w:rFonts w:hint="eastAsia" w:asciiTheme="minorEastAsia" w:hAnsiTheme="minorEastAsia" w:eastAsiaTheme="minorEastAsia" w:cstheme="minorEastAsia"/>
          <w:b/>
          <w:bCs/>
          <w:szCs w:val="21"/>
        </w:rPr>
        <w:t>五、报价一览表</w:t>
      </w:r>
      <w:bookmarkEnd w:id="150"/>
      <w:bookmarkEnd w:id="151"/>
      <w:bookmarkEnd w:id="152"/>
      <w:bookmarkEnd w:id="153"/>
      <w:bookmarkEnd w:id="154"/>
      <w:bookmarkEnd w:id="155"/>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10"/>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6" w:name="_Toc259028723"/>
      <w:bookmarkStart w:id="157" w:name="_Toc460258117"/>
      <w:bookmarkStart w:id="158" w:name="_Toc424832831"/>
      <w:bookmarkStart w:id="159" w:name="_Toc432149007"/>
      <w:r>
        <w:rPr>
          <w:rFonts w:hint="eastAsia" w:asciiTheme="minorEastAsia" w:hAnsiTheme="minorEastAsia" w:eastAsiaTheme="minorEastAsia" w:cstheme="minorEastAsia"/>
          <w:b/>
          <w:bCs/>
          <w:sz w:val="24"/>
        </w:rPr>
        <w:br w:type="page"/>
      </w:r>
      <w:bookmarkStart w:id="160" w:name="_Toc18559"/>
      <w:bookmarkStart w:id="161" w:name="_Toc479184129"/>
      <w:bookmarkStart w:id="162" w:name="_Toc1079"/>
      <w:bookmarkStart w:id="163" w:name="_Toc9154"/>
      <w:r>
        <w:rPr>
          <w:rFonts w:hint="eastAsia" w:asciiTheme="minorEastAsia" w:hAnsiTheme="minorEastAsia" w:eastAsiaTheme="minorEastAsia" w:cstheme="minorEastAsia"/>
          <w:b/>
          <w:bCs/>
          <w:szCs w:val="21"/>
        </w:rPr>
        <w:t>六、</w:t>
      </w:r>
      <w:bookmarkEnd w:id="156"/>
      <w:bookmarkEnd w:id="157"/>
      <w:bookmarkEnd w:id="160"/>
      <w:bookmarkEnd w:id="161"/>
      <w:bookmarkEnd w:id="162"/>
      <w:r>
        <w:rPr>
          <w:rFonts w:hint="eastAsia" w:asciiTheme="minorEastAsia" w:hAnsiTheme="minorEastAsia" w:eastAsiaTheme="minorEastAsia" w:cstheme="minorEastAsia"/>
          <w:b/>
          <w:bCs/>
          <w:szCs w:val="21"/>
        </w:rPr>
        <w:t>报价费用构成表</w:t>
      </w:r>
      <w:bookmarkEnd w:id="163"/>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1"/>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4" w:name="_Toc8555"/>
      <w:bookmarkStart w:id="165" w:name="_Toc26825"/>
      <w:bookmarkStart w:id="166" w:name="_Toc28656"/>
      <w:bookmarkStart w:id="167" w:name="_Toc479184130"/>
      <w:r>
        <w:rPr>
          <w:rFonts w:hint="eastAsia" w:asciiTheme="minorEastAsia" w:hAnsiTheme="minorEastAsia" w:eastAsiaTheme="minorEastAsia" w:cstheme="minorEastAsia"/>
          <w:b/>
          <w:bCs/>
          <w:szCs w:val="21"/>
        </w:rPr>
        <w:t>七、耗材清单</w:t>
      </w:r>
      <w:bookmarkEnd w:id="164"/>
      <w:bookmarkEnd w:id="165"/>
      <w:bookmarkEnd w:id="166"/>
      <w:bookmarkEnd w:id="167"/>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8" w:name="_Toc4858"/>
      <w:bookmarkStart w:id="169" w:name="_Toc32726"/>
      <w:bookmarkStart w:id="170" w:name="_Toc479184131"/>
      <w:bookmarkStart w:id="171" w:name="_Toc7535"/>
      <w:r>
        <w:rPr>
          <w:rFonts w:hint="eastAsia" w:asciiTheme="minorEastAsia" w:hAnsiTheme="minorEastAsia" w:eastAsiaTheme="minorEastAsia" w:cstheme="minorEastAsia"/>
          <w:b/>
          <w:bCs/>
          <w:szCs w:val="21"/>
        </w:rPr>
        <w:t>八、拟投入设备/备件、工具情况</w:t>
      </w:r>
      <w:bookmarkEnd w:id="168"/>
      <w:bookmarkEnd w:id="169"/>
      <w:bookmarkEnd w:id="170"/>
      <w:bookmarkEnd w:id="171"/>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2" w:name="_Toc27053"/>
      <w:bookmarkStart w:id="173" w:name="_Toc479184132"/>
      <w:bookmarkStart w:id="174" w:name="_Toc450827818"/>
      <w:bookmarkStart w:id="175" w:name="_Toc10449"/>
      <w:bookmarkStart w:id="176" w:name="_Toc28637"/>
      <w:r>
        <w:rPr>
          <w:rFonts w:hint="eastAsia" w:asciiTheme="minorEastAsia" w:hAnsiTheme="minorEastAsia" w:eastAsiaTheme="minorEastAsia" w:cstheme="minorEastAsia"/>
          <w:b/>
          <w:bCs/>
          <w:szCs w:val="21"/>
        </w:rPr>
        <w:t>九、缴纳保证金的银行凭证</w:t>
      </w:r>
      <w:bookmarkEnd w:id="172"/>
      <w:bookmarkEnd w:id="173"/>
      <w:bookmarkEnd w:id="174"/>
      <w:bookmarkEnd w:id="175"/>
      <w:r>
        <w:rPr>
          <w:rFonts w:hint="eastAsia" w:asciiTheme="minorEastAsia" w:hAnsiTheme="minorEastAsia" w:eastAsiaTheme="minorEastAsia" w:cstheme="minorEastAsia"/>
          <w:b/>
          <w:bCs/>
          <w:szCs w:val="21"/>
        </w:rPr>
        <w:t>（如有）</w:t>
      </w:r>
      <w:bookmarkEnd w:id="176"/>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8"/>
    <w:bookmarkEnd w:id="159"/>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7" w:name="_Toc479184133"/>
      <w:bookmarkStart w:id="178" w:name="_Toc432149012"/>
      <w:bookmarkStart w:id="179" w:name="_Toc1591"/>
      <w:bookmarkStart w:id="180" w:name="_Toc422466736"/>
      <w:bookmarkStart w:id="181" w:name="_Toc28200"/>
      <w:bookmarkStart w:id="182" w:name="_Toc12530"/>
      <w:r>
        <w:rPr>
          <w:rFonts w:hint="eastAsia" w:asciiTheme="minorEastAsia" w:hAnsiTheme="minorEastAsia" w:eastAsiaTheme="minorEastAsia" w:cstheme="minorEastAsia"/>
          <w:b/>
          <w:bCs/>
          <w:szCs w:val="21"/>
        </w:rPr>
        <w:t>十、偏离说明表</w:t>
      </w:r>
      <w:bookmarkEnd w:id="177"/>
      <w:bookmarkEnd w:id="178"/>
      <w:bookmarkEnd w:id="179"/>
      <w:bookmarkEnd w:id="180"/>
      <w:bookmarkEnd w:id="181"/>
      <w:bookmarkEnd w:id="182"/>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2"/>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2"/>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3" w:name="_Toc362935521"/>
      <w:bookmarkStart w:id="184" w:name="_Toc479184134"/>
      <w:bookmarkStart w:id="185" w:name="_Toc28283"/>
      <w:bookmarkStart w:id="186" w:name="_Toc32060"/>
      <w:bookmarkStart w:id="187" w:name="_Toc432149013"/>
      <w:bookmarkStart w:id="188" w:name="_Toc24869"/>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3"/>
      <w:bookmarkEnd w:id="184"/>
      <w:bookmarkEnd w:id="185"/>
      <w:bookmarkEnd w:id="186"/>
      <w:bookmarkEnd w:id="187"/>
      <w:r>
        <w:rPr>
          <w:rFonts w:hint="eastAsia" w:asciiTheme="minorEastAsia" w:hAnsiTheme="minorEastAsia" w:eastAsiaTheme="minorEastAsia" w:cstheme="minorEastAsia"/>
          <w:b/>
          <w:bCs/>
          <w:szCs w:val="21"/>
        </w:rPr>
        <w:br w:type="textWrapping"/>
      </w:r>
      <w:bookmarkEnd w:id="188"/>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p>
    <w:p>
      <w:pPr>
        <w:spacing w:line="360" w:lineRule="auto"/>
        <w:rPr>
          <w:rFonts w:asciiTheme="minorEastAsia" w:hAnsiTheme="minorEastAsia" w:eastAsiaTheme="minorEastAsia" w:cstheme="minorEastAsia"/>
          <w:szCs w:val="21"/>
        </w:rPr>
      </w:pPr>
      <w:bookmarkStart w:id="189" w:name="_Toc460258118"/>
      <w:bookmarkStart w:id="190"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1" w:name="_Toc30455"/>
      <w:bookmarkStart w:id="192" w:name="_Toc4834"/>
      <w:bookmarkStart w:id="193" w:name="_Toc17955"/>
      <w:bookmarkStart w:id="194" w:name="_Toc479184135"/>
      <w:r>
        <w:rPr>
          <w:rFonts w:hint="eastAsia" w:asciiTheme="minorEastAsia" w:hAnsiTheme="minorEastAsia" w:eastAsiaTheme="minorEastAsia" w:cstheme="minorEastAsia"/>
          <w:b/>
          <w:bCs/>
          <w:szCs w:val="21"/>
        </w:rPr>
        <w:t>十二、拟投入项目组人员一览表</w:t>
      </w:r>
      <w:bookmarkEnd w:id="189"/>
      <w:bookmarkEnd w:id="190"/>
      <w:bookmarkEnd w:id="191"/>
      <w:bookmarkEnd w:id="192"/>
      <w:bookmarkEnd w:id="193"/>
      <w:bookmarkEnd w:id="194"/>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5" w:name="_Toc432149014"/>
      <w:bookmarkStart w:id="196" w:name="_Toc1688"/>
      <w:bookmarkStart w:id="197" w:name="_Toc26838"/>
      <w:bookmarkStart w:id="198" w:name="_Toc10429"/>
      <w:bookmarkStart w:id="199" w:name="_Toc479184136"/>
      <w:bookmarkStart w:id="200" w:name="_Toc422466737"/>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5"/>
      <w:bookmarkEnd w:id="196"/>
      <w:bookmarkEnd w:id="197"/>
      <w:bookmarkEnd w:id="198"/>
      <w:bookmarkEnd w:id="199"/>
      <w:bookmarkEnd w:id="200"/>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1" w:name="_Toc17331"/>
      <w:bookmarkStart w:id="202" w:name="_Toc450827823"/>
      <w:bookmarkStart w:id="203" w:name="_Toc17527"/>
      <w:bookmarkStart w:id="204" w:name="_Toc479184137"/>
      <w:bookmarkStart w:id="205" w:name="_Toc259028731"/>
      <w:bookmarkStart w:id="206" w:name="_Toc18017"/>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1"/>
      <w:bookmarkEnd w:id="202"/>
      <w:bookmarkEnd w:id="203"/>
      <w:bookmarkEnd w:id="204"/>
      <w:bookmarkEnd w:id="205"/>
      <w:bookmarkEnd w:id="206"/>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7" w:name="_Toc364868916"/>
      <w:bookmarkStart w:id="208" w:name="_Toc5793"/>
      <w:bookmarkStart w:id="209" w:name="_Toc290207179"/>
      <w:bookmarkStart w:id="210" w:name="_Toc32187"/>
      <w:bookmarkStart w:id="211" w:name="_Toc427239751"/>
      <w:bookmarkStart w:id="212" w:name="_Toc18555"/>
      <w:bookmarkStart w:id="213" w:name="_Toc358447587"/>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4" w:name="_Toc21818"/>
      <w:r>
        <w:rPr>
          <w:rFonts w:hint="eastAsia" w:asciiTheme="minorEastAsia" w:hAnsiTheme="minorEastAsia" w:eastAsiaTheme="minorEastAsia" w:cstheme="minorEastAsia"/>
          <w:b/>
          <w:bCs/>
          <w:kern w:val="0"/>
          <w:szCs w:val="21"/>
        </w:rPr>
        <w:t>十五、</w:t>
      </w:r>
      <w:bookmarkEnd w:id="207"/>
      <w:bookmarkEnd w:id="208"/>
      <w:bookmarkEnd w:id="209"/>
      <w:bookmarkEnd w:id="210"/>
      <w:bookmarkEnd w:id="211"/>
      <w:bookmarkEnd w:id="212"/>
      <w:bookmarkEnd w:id="213"/>
      <w:bookmarkStart w:id="215" w:name="_Toc27229"/>
      <w:bookmarkStart w:id="216" w:name="_Toc29785"/>
      <w:bookmarkStart w:id="217" w:name="_Toc460258123"/>
      <w:bookmarkStart w:id="218" w:name="_Toc479184138"/>
      <w:r>
        <w:rPr>
          <w:rFonts w:hint="eastAsia" w:asciiTheme="minorEastAsia" w:hAnsiTheme="minorEastAsia" w:eastAsiaTheme="minorEastAsia" w:cstheme="minorEastAsia"/>
          <w:b/>
          <w:bCs/>
          <w:kern w:val="0"/>
          <w:szCs w:val="21"/>
        </w:rPr>
        <w:t>报价技术文件</w:t>
      </w:r>
      <w:bookmarkEnd w:id="214"/>
      <w:bookmarkEnd w:id="215"/>
      <w:bookmarkEnd w:id="216"/>
      <w:bookmarkEnd w:id="217"/>
      <w:bookmarkEnd w:id="218"/>
    </w:p>
    <w:p>
      <w:pPr>
        <w:rPr>
          <w:rFonts w:asciiTheme="minorEastAsia" w:hAnsiTheme="minorEastAsia" w:eastAsiaTheme="minorEastAsia" w:cstheme="minorEastAsia"/>
          <w:szCs w:val="21"/>
        </w:rPr>
      </w:pPr>
    </w:p>
    <w:p>
      <w:pPr>
        <w:pStyle w:val="101"/>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19" w:name="_Toc422466739"/>
      <w:bookmarkStart w:id="220" w:name="_Toc479184140"/>
      <w:bookmarkStart w:id="221" w:name="_Toc2101"/>
      <w:bookmarkStart w:id="222" w:name="_Toc355802499"/>
      <w:bookmarkStart w:id="223" w:name="_Toc356836516"/>
      <w:bookmarkStart w:id="224" w:name="_Toc432149016"/>
      <w:bookmarkStart w:id="225" w:name="_Toc22465"/>
      <w:bookmarkStart w:id="226" w:name="_Toc12119"/>
      <w:bookmarkStart w:id="227" w:name="_Toc8098"/>
      <w:bookmarkStart w:id="228" w:name="_Toc2302"/>
      <w:r>
        <w:rPr>
          <w:rFonts w:hint="eastAsia" w:asciiTheme="minorEastAsia" w:hAnsiTheme="minorEastAsia" w:eastAsiaTheme="minorEastAsia" w:cstheme="minorEastAsia"/>
          <w:b/>
        </w:rPr>
        <w:t>十六、</w:t>
      </w:r>
      <w:bookmarkEnd w:id="219"/>
      <w:bookmarkEnd w:id="220"/>
      <w:bookmarkEnd w:id="221"/>
      <w:bookmarkEnd w:id="222"/>
      <w:bookmarkEnd w:id="223"/>
      <w:bookmarkEnd w:id="224"/>
      <w:bookmarkEnd w:id="225"/>
      <w:bookmarkEnd w:id="226"/>
      <w:bookmarkEnd w:id="227"/>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8"/>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29"/>
    <w:bookmarkEnd w:id="130"/>
    <w:bookmarkEnd w:id="131"/>
    <w:bookmarkEnd w:id="132"/>
    <w:p>
      <w:pPr>
        <w:adjustRightInd w:val="0"/>
        <w:snapToGrid w:val="0"/>
        <w:jc w:val="center"/>
        <w:outlineLvl w:val="1"/>
        <w:rPr>
          <w:rFonts w:asciiTheme="minorEastAsia" w:hAnsiTheme="minorEastAsia" w:eastAsiaTheme="minorEastAsia" w:cstheme="minorEastAsia"/>
          <w:b/>
        </w:rPr>
      </w:pPr>
      <w:bookmarkStart w:id="229" w:name="_Toc11257"/>
      <w:bookmarkStart w:id="230" w:name="_Toc30406"/>
      <w:bookmarkStart w:id="231" w:name="_Toc7229"/>
      <w:bookmarkStart w:id="232" w:name="_Toc4320"/>
      <w:bookmarkStart w:id="233" w:name="_Toc479184141"/>
      <w:bookmarkStart w:id="234" w:name="_Toc476839034"/>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9"/>
    </w:p>
    <w:p>
      <w:pPr>
        <w:adjustRightInd w:val="0"/>
        <w:snapToGrid w:val="0"/>
        <w:jc w:val="center"/>
        <w:rPr>
          <w:rFonts w:asciiTheme="minorEastAsia" w:hAnsiTheme="minorEastAsia" w:eastAsiaTheme="minorEastAsia" w:cstheme="minorEastAsia"/>
          <w:spacing w:val="6"/>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adjustRightInd w:val="0"/>
        <w:snapToGrid w:val="0"/>
        <w:rPr>
          <w:rFonts w:asciiTheme="minorEastAsia" w:hAnsiTheme="minorEastAsia" w:eastAsiaTheme="minorEastAsia" w:cstheme="minorEastAsia"/>
          <w:spacing w:val="6"/>
          <w:szCs w:val="21"/>
        </w:rPr>
      </w:pPr>
    </w:p>
    <w:p>
      <w:pPr>
        <w:adjustRightInd w:val="0"/>
        <w:snapToGrid w:val="0"/>
        <w:rPr>
          <w:rFonts w:asciiTheme="minorEastAsia" w:hAnsiTheme="minorEastAsia" w:eastAsiaTheme="minorEastAsia" w:cstheme="minorEastAsia"/>
          <w:spacing w:val="6"/>
          <w:szCs w:val="21"/>
        </w:rPr>
      </w:pPr>
    </w:p>
    <w:p>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p>
    <w:p>
      <w:pPr>
        <w:adjustRightInd w:val="0"/>
        <w:snapToGrid w:val="0"/>
        <w:jc w:val="center"/>
        <w:outlineLvl w:val="1"/>
        <w:rPr>
          <w:rFonts w:asciiTheme="minorEastAsia" w:hAnsiTheme="minorEastAsia" w:eastAsiaTheme="minorEastAsia" w:cstheme="minorEastAsia"/>
          <w:b/>
          <w:lang w:val="zh-CN"/>
        </w:rPr>
      </w:pPr>
      <w:bookmarkStart w:id="235" w:name="_Toc10919"/>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5"/>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spacing w:line="360" w:lineRule="auto"/>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spacing w:line="360" w:lineRule="auto"/>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spacing w:line="360" w:lineRule="auto"/>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6" w:name="_Toc20592"/>
      <w:r>
        <w:rPr>
          <w:rFonts w:hint="eastAsia" w:asciiTheme="minorEastAsia" w:hAnsiTheme="minorEastAsia" w:eastAsiaTheme="minorEastAsia" w:cstheme="minorEastAsia"/>
          <w:b/>
        </w:rPr>
        <w:t>十九、节能环保产品证明材料（若符合）</w:t>
      </w:r>
      <w:bookmarkEnd w:id="236"/>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7" w:name="_Toc12167"/>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30"/>
      <w:bookmarkEnd w:id="231"/>
      <w:bookmarkEnd w:id="232"/>
      <w:bookmarkEnd w:id="233"/>
      <w:bookmarkEnd w:id="234"/>
      <w:bookmarkEnd w:id="237"/>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8" w:name="_Toc10829"/>
      <w:bookmarkStart w:id="239" w:name="_Toc16157"/>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8"/>
      <w:r>
        <w:rPr>
          <w:rFonts w:hint="eastAsia" w:asciiTheme="minorEastAsia" w:hAnsiTheme="minorEastAsia" w:eastAsiaTheme="minorEastAsia" w:cstheme="minorEastAsia"/>
          <w:b/>
          <w:bCs/>
          <w:kern w:val="0"/>
          <w:szCs w:val="21"/>
          <w:shd w:val="clear" w:color="auto" w:fill="FFFFFF"/>
        </w:rPr>
        <w:br w:type="textWrapping"/>
      </w:r>
      <w:bookmarkEnd w:id="239"/>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宋体"/>
    <w:panose1 w:val="00000000000000000000"/>
    <w:charset w:val="86"/>
    <w:family w:val="auto"/>
    <w:pitch w:val="default"/>
    <w:sig w:usb0="00000000" w:usb1="00000000" w:usb2="00000010" w:usb3="00000000" w:csb0="0004009F" w:csb1="00000000"/>
  </w:font>
  <w:font w:name="Consolas">
    <w:panose1 w:val="020B0609020204030204"/>
    <w:charset w:val="00"/>
    <w:family w:val="auto"/>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0"/>
      </w:rPr>
    </w:pPr>
    <w:r>
      <w:fldChar w:fldCharType="begin"/>
    </w:r>
    <w:r>
      <w:rPr>
        <w:rStyle w:val="30"/>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46</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57A492"/>
    <w:multiLevelType w:val="singleLevel"/>
    <w:tmpl w:val="D757A492"/>
    <w:lvl w:ilvl="0" w:tentative="0">
      <w:start w:val="1"/>
      <w:numFmt w:val="decimal"/>
      <w:suff w:val="space"/>
      <w:lvlText w:val="%1）"/>
      <w:lvlJc w:val="left"/>
    </w:lvl>
  </w:abstractNum>
  <w:abstractNum w:abstractNumId="1">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2">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3">
    <w:nsid w:val="044F5BAD"/>
    <w:multiLevelType w:val="singleLevel"/>
    <w:tmpl w:val="044F5BAD"/>
    <w:lvl w:ilvl="0" w:tentative="0">
      <w:start w:val="1"/>
      <w:numFmt w:val="decimal"/>
      <w:suff w:val="nothing"/>
      <w:lvlText w:val="（%1）"/>
      <w:lvlJc w:val="left"/>
    </w:lvl>
  </w:abstractNum>
  <w:abstractNum w:abstractNumId="4">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7">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15907297"/>
    <w:multiLevelType w:val="multilevel"/>
    <w:tmpl w:val="15907297"/>
    <w:lvl w:ilvl="0" w:tentative="0">
      <w:start w:val="1"/>
      <w:numFmt w:val="decimal"/>
      <w:pStyle w:val="8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5"/>
      <w:lvlText w:val="%1.%2.%3"/>
      <w:lvlJc w:val="left"/>
      <w:pPr>
        <w:tabs>
          <w:tab w:val="left" w:pos="720"/>
        </w:tabs>
        <w:ind w:left="720" w:hanging="153"/>
      </w:pPr>
      <w:rPr>
        <w:rFonts w:hint="eastAsia"/>
      </w:rPr>
    </w:lvl>
    <w:lvl w:ilvl="3" w:tentative="0">
      <w:start w:val="1"/>
      <w:numFmt w:val="decimal"/>
      <w:pStyle w:val="82"/>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1">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0BA2AF0"/>
    <w:multiLevelType w:val="singleLevel"/>
    <w:tmpl w:val="20BA2AF0"/>
    <w:lvl w:ilvl="0" w:tentative="0">
      <w:start w:val="1"/>
      <w:numFmt w:val="decimal"/>
      <w:suff w:val="space"/>
      <w:lvlText w:val="%1）"/>
      <w:lvlJc w:val="left"/>
    </w:lvl>
  </w:abstractNum>
  <w:abstractNum w:abstractNumId="15">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6">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7">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9"/>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1">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3">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4">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5">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6">
    <w:nsid w:val="4B331C36"/>
    <w:multiLevelType w:val="multilevel"/>
    <w:tmpl w:val="4B331C36"/>
    <w:lvl w:ilvl="0" w:tentative="0">
      <w:start w:val="1"/>
      <w:numFmt w:val="japaneseCounting"/>
      <w:pStyle w:val="94"/>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0">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1">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4">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6">
    <w:nsid w:val="6CEA2025"/>
    <w:multiLevelType w:val="multilevel"/>
    <w:tmpl w:val="6CEA2025"/>
    <w:lvl w:ilvl="0" w:tentative="0">
      <w:start w:val="1"/>
      <w:numFmt w:val="none"/>
      <w:pStyle w:val="71"/>
      <w:suff w:val="nothing"/>
      <w:lvlText w:val="%1"/>
      <w:lvlJc w:val="left"/>
      <w:pPr>
        <w:ind w:left="0" w:firstLine="0"/>
      </w:pPr>
      <w:rPr>
        <w:rFonts w:hint="default" w:ascii="Times New Roman" w:hAnsi="Times New Roman"/>
        <w:b/>
        <w:i w:val="0"/>
        <w:sz w:val="21"/>
      </w:rPr>
    </w:lvl>
    <w:lvl w:ilvl="1" w:tentative="0">
      <w:start w:val="1"/>
      <w:numFmt w:val="decimal"/>
      <w:pStyle w:val="74"/>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0"/>
      <w:suff w:val="nothing"/>
      <w:lvlText w:val="%1%2.%3　"/>
      <w:lvlJc w:val="left"/>
      <w:pPr>
        <w:ind w:left="720" w:firstLine="0"/>
      </w:pPr>
      <w:rPr>
        <w:rFonts w:hint="eastAsia" w:ascii="黑体" w:hAnsi="Times New Roman" w:eastAsia="黑体"/>
        <w:b w:val="0"/>
        <w:i w:val="0"/>
        <w:sz w:val="21"/>
      </w:rPr>
    </w:lvl>
    <w:lvl w:ilvl="3" w:tentative="0">
      <w:start w:val="1"/>
      <w:numFmt w:val="decimal"/>
      <w:pStyle w:val="79"/>
      <w:suff w:val="nothing"/>
      <w:lvlText w:val="%1%2.4.%4　"/>
      <w:lvlJc w:val="left"/>
      <w:pPr>
        <w:ind w:left="420" w:firstLine="0"/>
      </w:pPr>
      <w:rPr>
        <w:rFonts w:hint="eastAsia" w:ascii="黑体" w:hAnsi="Times New Roman" w:eastAsia="黑体"/>
        <w:b w:val="0"/>
        <w:i w:val="0"/>
        <w:sz w:val="21"/>
      </w:rPr>
    </w:lvl>
    <w:lvl w:ilvl="4" w:tentative="0">
      <w:start w:val="1"/>
      <w:numFmt w:val="decimal"/>
      <w:pStyle w:val="86"/>
      <w:suff w:val="nothing"/>
      <w:lvlText w:val="5.%12.5.%5　"/>
      <w:lvlJc w:val="left"/>
      <w:pPr>
        <w:ind w:left="420" w:firstLine="0"/>
      </w:pPr>
      <w:rPr>
        <w:rFonts w:hint="eastAsia" w:ascii="黑体" w:hAnsi="Times New Roman" w:eastAsia="黑体"/>
        <w:b w:val="0"/>
        <w:i w:val="0"/>
        <w:sz w:val="21"/>
      </w:rPr>
    </w:lvl>
    <w:lvl w:ilvl="5" w:tentative="0">
      <w:start w:val="1"/>
      <w:numFmt w:val="decimal"/>
      <w:pStyle w:val="92"/>
      <w:suff w:val="nothing"/>
      <w:lvlText w:val="%1%2.%3.%4.%5.%6　"/>
      <w:lvlJc w:val="left"/>
      <w:pPr>
        <w:ind w:left="0" w:firstLine="0"/>
      </w:pPr>
      <w:rPr>
        <w:rFonts w:hint="eastAsia" w:ascii="黑体" w:hAnsi="Times New Roman" w:eastAsia="黑体"/>
        <w:b w:val="0"/>
        <w:i w:val="0"/>
        <w:sz w:val="21"/>
      </w:rPr>
    </w:lvl>
    <w:lvl w:ilvl="6" w:tentative="0">
      <w:start w:val="1"/>
      <w:numFmt w:val="decimal"/>
      <w:pStyle w:val="9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7">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8">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1">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3">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6"/>
  </w:num>
  <w:num w:numId="2">
    <w:abstractNumId w:val="9"/>
  </w:num>
  <w:num w:numId="3">
    <w:abstractNumId w:val="17"/>
  </w:num>
  <w:num w:numId="4">
    <w:abstractNumId w:val="26"/>
  </w:num>
  <w:num w:numId="5">
    <w:abstractNumId w:val="12"/>
  </w:num>
  <w:num w:numId="6">
    <w:abstractNumId w:val="11"/>
  </w:num>
  <w:num w:numId="7">
    <w:abstractNumId w:val="30"/>
  </w:num>
  <w:num w:numId="8">
    <w:abstractNumId w:val="7"/>
  </w:num>
  <w:num w:numId="9">
    <w:abstractNumId w:val="13"/>
  </w:num>
  <w:num w:numId="10">
    <w:abstractNumId w:val="32"/>
  </w:num>
  <w:num w:numId="11">
    <w:abstractNumId w:val="42"/>
  </w:num>
  <w:num w:numId="12">
    <w:abstractNumId w:val="43"/>
  </w:num>
  <w:num w:numId="13">
    <w:abstractNumId w:val="25"/>
  </w:num>
  <w:num w:numId="14">
    <w:abstractNumId w:val="28"/>
  </w:num>
  <w:num w:numId="15">
    <w:abstractNumId w:val="31"/>
  </w:num>
  <w:num w:numId="16">
    <w:abstractNumId w:val="33"/>
  </w:num>
  <w:num w:numId="17">
    <w:abstractNumId w:val="2"/>
  </w:num>
  <w:num w:numId="18">
    <w:abstractNumId w:val="35"/>
  </w:num>
  <w:num w:numId="19">
    <w:abstractNumId w:val="4"/>
  </w:num>
  <w:num w:numId="20">
    <w:abstractNumId w:val="23"/>
  </w:num>
  <w:num w:numId="21">
    <w:abstractNumId w:val="19"/>
  </w:num>
  <w:num w:numId="22">
    <w:abstractNumId w:val="38"/>
  </w:num>
  <w:num w:numId="23">
    <w:abstractNumId w:val="10"/>
  </w:num>
  <w:num w:numId="24">
    <w:abstractNumId w:val="24"/>
  </w:num>
  <w:num w:numId="25">
    <w:abstractNumId w:val="6"/>
  </w:num>
  <w:num w:numId="26">
    <w:abstractNumId w:val="37"/>
  </w:num>
  <w:num w:numId="27">
    <w:abstractNumId w:val="41"/>
  </w:num>
  <w:num w:numId="28">
    <w:abstractNumId w:val="27"/>
  </w:num>
  <w:num w:numId="29">
    <w:abstractNumId w:val="21"/>
  </w:num>
  <w:num w:numId="30">
    <w:abstractNumId w:val="8"/>
  </w:num>
  <w:num w:numId="31">
    <w:abstractNumId w:val="18"/>
  </w:num>
  <w:num w:numId="32">
    <w:abstractNumId w:val="40"/>
  </w:num>
  <w:num w:numId="33">
    <w:abstractNumId w:val="22"/>
  </w:num>
  <w:num w:numId="34">
    <w:abstractNumId w:val="14"/>
  </w:num>
  <w:num w:numId="35">
    <w:abstractNumId w:val="0"/>
  </w:num>
  <w:num w:numId="36">
    <w:abstractNumId w:val="39"/>
  </w:num>
  <w:num w:numId="37">
    <w:abstractNumId w:val="34"/>
  </w:num>
  <w:num w:numId="38">
    <w:abstractNumId w:val="15"/>
  </w:num>
  <w:num w:numId="39">
    <w:abstractNumId w:val="29"/>
  </w:num>
  <w:num w:numId="40">
    <w:abstractNumId w:val="1"/>
  </w:num>
  <w:num w:numId="41">
    <w:abstractNumId w:val="16"/>
  </w:num>
  <w:num w:numId="42">
    <w:abstractNumId w:val="20"/>
  </w:num>
  <w:num w:numId="43">
    <w:abstractNumId w:val="5"/>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56B"/>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04F4"/>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52CC"/>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55"/>
    <w:rsid w:val="002C4CD2"/>
    <w:rsid w:val="002C5671"/>
    <w:rsid w:val="002C57F2"/>
    <w:rsid w:val="002C62DA"/>
    <w:rsid w:val="002D44D6"/>
    <w:rsid w:val="002D4D2D"/>
    <w:rsid w:val="002D682B"/>
    <w:rsid w:val="002D6D47"/>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1FA6"/>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C16"/>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57043"/>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219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65FE8"/>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EB2"/>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E7F5A"/>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1D5B"/>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2CC6"/>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C07"/>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55D56"/>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5ED1"/>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B70"/>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5141E0"/>
    <w:rsid w:val="01757860"/>
    <w:rsid w:val="018D0205"/>
    <w:rsid w:val="01C12A88"/>
    <w:rsid w:val="01D07706"/>
    <w:rsid w:val="0221271C"/>
    <w:rsid w:val="02251B68"/>
    <w:rsid w:val="022D649C"/>
    <w:rsid w:val="02351774"/>
    <w:rsid w:val="023A6ECB"/>
    <w:rsid w:val="02420646"/>
    <w:rsid w:val="027D6D31"/>
    <w:rsid w:val="028223A8"/>
    <w:rsid w:val="02A9706C"/>
    <w:rsid w:val="02AF6599"/>
    <w:rsid w:val="02DE374B"/>
    <w:rsid w:val="03044359"/>
    <w:rsid w:val="03173665"/>
    <w:rsid w:val="031C67BA"/>
    <w:rsid w:val="03442A09"/>
    <w:rsid w:val="03511571"/>
    <w:rsid w:val="035E37BC"/>
    <w:rsid w:val="03715197"/>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C1BA0"/>
    <w:rsid w:val="04CC4566"/>
    <w:rsid w:val="04D4540F"/>
    <w:rsid w:val="04FD23FC"/>
    <w:rsid w:val="05005426"/>
    <w:rsid w:val="055A38B5"/>
    <w:rsid w:val="059C5F8E"/>
    <w:rsid w:val="05AD5736"/>
    <w:rsid w:val="05BB241B"/>
    <w:rsid w:val="05CA2818"/>
    <w:rsid w:val="05CF4780"/>
    <w:rsid w:val="05FA06DD"/>
    <w:rsid w:val="06023A8F"/>
    <w:rsid w:val="0611621E"/>
    <w:rsid w:val="063F258E"/>
    <w:rsid w:val="065044F8"/>
    <w:rsid w:val="0653482B"/>
    <w:rsid w:val="06A50CC1"/>
    <w:rsid w:val="06B7286F"/>
    <w:rsid w:val="06C116BD"/>
    <w:rsid w:val="06C767F8"/>
    <w:rsid w:val="06EA2FBD"/>
    <w:rsid w:val="06ED1770"/>
    <w:rsid w:val="06FE4AAE"/>
    <w:rsid w:val="070157D1"/>
    <w:rsid w:val="07117CDC"/>
    <w:rsid w:val="07354BE2"/>
    <w:rsid w:val="073C402C"/>
    <w:rsid w:val="07506DDE"/>
    <w:rsid w:val="0761208C"/>
    <w:rsid w:val="078140BA"/>
    <w:rsid w:val="078360F1"/>
    <w:rsid w:val="079555F7"/>
    <w:rsid w:val="07AA21A6"/>
    <w:rsid w:val="07B323DD"/>
    <w:rsid w:val="07CB1191"/>
    <w:rsid w:val="07D33E7D"/>
    <w:rsid w:val="07DA2552"/>
    <w:rsid w:val="07E61182"/>
    <w:rsid w:val="07F876CF"/>
    <w:rsid w:val="07FA3FC0"/>
    <w:rsid w:val="08376BE0"/>
    <w:rsid w:val="08424D1E"/>
    <w:rsid w:val="08483779"/>
    <w:rsid w:val="085D5FC0"/>
    <w:rsid w:val="0886626A"/>
    <w:rsid w:val="08912C45"/>
    <w:rsid w:val="08AD0CF8"/>
    <w:rsid w:val="08AD503B"/>
    <w:rsid w:val="08B604BF"/>
    <w:rsid w:val="08C76CFD"/>
    <w:rsid w:val="08E31D19"/>
    <w:rsid w:val="08E340CC"/>
    <w:rsid w:val="08E95B0E"/>
    <w:rsid w:val="090C54BE"/>
    <w:rsid w:val="09271627"/>
    <w:rsid w:val="092936B1"/>
    <w:rsid w:val="096A4BCE"/>
    <w:rsid w:val="09710521"/>
    <w:rsid w:val="098226D8"/>
    <w:rsid w:val="09894939"/>
    <w:rsid w:val="09953F60"/>
    <w:rsid w:val="09A02CD8"/>
    <w:rsid w:val="09D771B0"/>
    <w:rsid w:val="09DA500D"/>
    <w:rsid w:val="09E831EB"/>
    <w:rsid w:val="09F348EE"/>
    <w:rsid w:val="0A165448"/>
    <w:rsid w:val="0A3F61A5"/>
    <w:rsid w:val="0A502EA2"/>
    <w:rsid w:val="0A5758F7"/>
    <w:rsid w:val="0A67144A"/>
    <w:rsid w:val="0A71618F"/>
    <w:rsid w:val="0A7E1671"/>
    <w:rsid w:val="0AB610B3"/>
    <w:rsid w:val="0AC16F66"/>
    <w:rsid w:val="0AE86D78"/>
    <w:rsid w:val="0B435CD5"/>
    <w:rsid w:val="0B456825"/>
    <w:rsid w:val="0B4B17AC"/>
    <w:rsid w:val="0B4C1B40"/>
    <w:rsid w:val="0B4F5787"/>
    <w:rsid w:val="0B625354"/>
    <w:rsid w:val="0B6438A9"/>
    <w:rsid w:val="0BB80799"/>
    <w:rsid w:val="0BC22757"/>
    <w:rsid w:val="0BD0342B"/>
    <w:rsid w:val="0BE3070D"/>
    <w:rsid w:val="0BE94FBA"/>
    <w:rsid w:val="0C0563F3"/>
    <w:rsid w:val="0C367BBD"/>
    <w:rsid w:val="0C3C4113"/>
    <w:rsid w:val="0C4225D4"/>
    <w:rsid w:val="0C49239C"/>
    <w:rsid w:val="0C4E57C8"/>
    <w:rsid w:val="0C7336D0"/>
    <w:rsid w:val="0CC36F40"/>
    <w:rsid w:val="0CCE2CF7"/>
    <w:rsid w:val="0CE75800"/>
    <w:rsid w:val="0CF02600"/>
    <w:rsid w:val="0D162766"/>
    <w:rsid w:val="0D30615A"/>
    <w:rsid w:val="0D4A590E"/>
    <w:rsid w:val="0D4C5E85"/>
    <w:rsid w:val="0D50445B"/>
    <w:rsid w:val="0D7807F1"/>
    <w:rsid w:val="0D895A46"/>
    <w:rsid w:val="0D9B67EB"/>
    <w:rsid w:val="0DA45AD2"/>
    <w:rsid w:val="0DE86CEC"/>
    <w:rsid w:val="0E057004"/>
    <w:rsid w:val="0E0A51BD"/>
    <w:rsid w:val="0E141CA7"/>
    <w:rsid w:val="0E1D6D0A"/>
    <w:rsid w:val="0E386D2E"/>
    <w:rsid w:val="0E3D1DE5"/>
    <w:rsid w:val="0E442D5B"/>
    <w:rsid w:val="0E4E7B59"/>
    <w:rsid w:val="0E6E5960"/>
    <w:rsid w:val="0EAB7B80"/>
    <w:rsid w:val="0EAE4301"/>
    <w:rsid w:val="0ED27024"/>
    <w:rsid w:val="0ED94F19"/>
    <w:rsid w:val="0EDC5EDB"/>
    <w:rsid w:val="0F0A381F"/>
    <w:rsid w:val="0F1B0DB7"/>
    <w:rsid w:val="0F3425BB"/>
    <w:rsid w:val="0F5A5FCA"/>
    <w:rsid w:val="0F6C7EA7"/>
    <w:rsid w:val="0FA03F81"/>
    <w:rsid w:val="0FC5121F"/>
    <w:rsid w:val="0FC52200"/>
    <w:rsid w:val="0FC57219"/>
    <w:rsid w:val="0FCD54FE"/>
    <w:rsid w:val="0FF11896"/>
    <w:rsid w:val="0FF743B8"/>
    <w:rsid w:val="104114BC"/>
    <w:rsid w:val="104F21E7"/>
    <w:rsid w:val="10522A43"/>
    <w:rsid w:val="105950B7"/>
    <w:rsid w:val="10681B45"/>
    <w:rsid w:val="10D545EB"/>
    <w:rsid w:val="10E51E7E"/>
    <w:rsid w:val="110045E6"/>
    <w:rsid w:val="1109548A"/>
    <w:rsid w:val="110E4212"/>
    <w:rsid w:val="11156035"/>
    <w:rsid w:val="111F2499"/>
    <w:rsid w:val="11296D36"/>
    <w:rsid w:val="1146103D"/>
    <w:rsid w:val="116C7384"/>
    <w:rsid w:val="12305D0B"/>
    <w:rsid w:val="124B307E"/>
    <w:rsid w:val="12595354"/>
    <w:rsid w:val="12676ACE"/>
    <w:rsid w:val="126A04E1"/>
    <w:rsid w:val="128C79F5"/>
    <w:rsid w:val="12987FD1"/>
    <w:rsid w:val="12A617A0"/>
    <w:rsid w:val="12D57C7C"/>
    <w:rsid w:val="12DE2F04"/>
    <w:rsid w:val="12F453F7"/>
    <w:rsid w:val="135A65CD"/>
    <w:rsid w:val="13681291"/>
    <w:rsid w:val="139A72A6"/>
    <w:rsid w:val="13D75C16"/>
    <w:rsid w:val="141A71FC"/>
    <w:rsid w:val="14393E39"/>
    <w:rsid w:val="1439492C"/>
    <w:rsid w:val="144E282E"/>
    <w:rsid w:val="148B16AC"/>
    <w:rsid w:val="14905D77"/>
    <w:rsid w:val="14C13D98"/>
    <w:rsid w:val="14C818C6"/>
    <w:rsid w:val="14D17473"/>
    <w:rsid w:val="14D2285A"/>
    <w:rsid w:val="14F848F0"/>
    <w:rsid w:val="152D2F19"/>
    <w:rsid w:val="1533008F"/>
    <w:rsid w:val="15342922"/>
    <w:rsid w:val="153D3401"/>
    <w:rsid w:val="155142E7"/>
    <w:rsid w:val="15855A36"/>
    <w:rsid w:val="158E06A1"/>
    <w:rsid w:val="15932B1E"/>
    <w:rsid w:val="15AF36C0"/>
    <w:rsid w:val="15CA175D"/>
    <w:rsid w:val="15D73E4B"/>
    <w:rsid w:val="15E05127"/>
    <w:rsid w:val="15EE7CEF"/>
    <w:rsid w:val="160D691C"/>
    <w:rsid w:val="16333435"/>
    <w:rsid w:val="16391530"/>
    <w:rsid w:val="16550678"/>
    <w:rsid w:val="166C136C"/>
    <w:rsid w:val="168C0198"/>
    <w:rsid w:val="16C6539F"/>
    <w:rsid w:val="16C83962"/>
    <w:rsid w:val="16ED23AA"/>
    <w:rsid w:val="17195883"/>
    <w:rsid w:val="173E2364"/>
    <w:rsid w:val="173E4E07"/>
    <w:rsid w:val="1761710C"/>
    <w:rsid w:val="17812612"/>
    <w:rsid w:val="1789592C"/>
    <w:rsid w:val="17933C9F"/>
    <w:rsid w:val="17943DAB"/>
    <w:rsid w:val="17B13E29"/>
    <w:rsid w:val="17D67A38"/>
    <w:rsid w:val="17DB1463"/>
    <w:rsid w:val="17E97C5D"/>
    <w:rsid w:val="17ED5B45"/>
    <w:rsid w:val="18260DD1"/>
    <w:rsid w:val="182656C2"/>
    <w:rsid w:val="182E7A85"/>
    <w:rsid w:val="18303541"/>
    <w:rsid w:val="183735E3"/>
    <w:rsid w:val="18485D36"/>
    <w:rsid w:val="18744310"/>
    <w:rsid w:val="189F530B"/>
    <w:rsid w:val="18A12DFD"/>
    <w:rsid w:val="18A922F3"/>
    <w:rsid w:val="18B137E8"/>
    <w:rsid w:val="18D46399"/>
    <w:rsid w:val="18F56002"/>
    <w:rsid w:val="192F50C9"/>
    <w:rsid w:val="19633F03"/>
    <w:rsid w:val="196F047E"/>
    <w:rsid w:val="19943641"/>
    <w:rsid w:val="199E02FC"/>
    <w:rsid w:val="19A62934"/>
    <w:rsid w:val="19BA1CE3"/>
    <w:rsid w:val="19DF55C2"/>
    <w:rsid w:val="1A014F94"/>
    <w:rsid w:val="1A0C61A8"/>
    <w:rsid w:val="1A132F57"/>
    <w:rsid w:val="1A300E03"/>
    <w:rsid w:val="1A5F760F"/>
    <w:rsid w:val="1A6F3E95"/>
    <w:rsid w:val="1A6F6E85"/>
    <w:rsid w:val="1A8D4F39"/>
    <w:rsid w:val="1AD22ED2"/>
    <w:rsid w:val="1AD51B88"/>
    <w:rsid w:val="1B2058A0"/>
    <w:rsid w:val="1B566A66"/>
    <w:rsid w:val="1B8565CF"/>
    <w:rsid w:val="1B9104B0"/>
    <w:rsid w:val="1BA96293"/>
    <w:rsid w:val="1BAC363D"/>
    <w:rsid w:val="1BD60F79"/>
    <w:rsid w:val="1C0C60A0"/>
    <w:rsid w:val="1C261B3D"/>
    <w:rsid w:val="1C2A710A"/>
    <w:rsid w:val="1C3E2ADD"/>
    <w:rsid w:val="1C41527E"/>
    <w:rsid w:val="1C49412F"/>
    <w:rsid w:val="1C4D3DCD"/>
    <w:rsid w:val="1C4F5FC4"/>
    <w:rsid w:val="1C64078D"/>
    <w:rsid w:val="1C81524F"/>
    <w:rsid w:val="1CA121A3"/>
    <w:rsid w:val="1CDF257F"/>
    <w:rsid w:val="1CE40841"/>
    <w:rsid w:val="1CF405AE"/>
    <w:rsid w:val="1CFB22F4"/>
    <w:rsid w:val="1D014450"/>
    <w:rsid w:val="1D2A2C86"/>
    <w:rsid w:val="1D2A6659"/>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144E53"/>
    <w:rsid w:val="1E474E6F"/>
    <w:rsid w:val="1E6843C7"/>
    <w:rsid w:val="1EA60FCA"/>
    <w:rsid w:val="1EA87417"/>
    <w:rsid w:val="1ED70A99"/>
    <w:rsid w:val="1F35766F"/>
    <w:rsid w:val="1F65672E"/>
    <w:rsid w:val="1F6B4880"/>
    <w:rsid w:val="1F6D18D3"/>
    <w:rsid w:val="1F7222CF"/>
    <w:rsid w:val="1F855EC8"/>
    <w:rsid w:val="1F865B87"/>
    <w:rsid w:val="1F8D0E35"/>
    <w:rsid w:val="1FB611E4"/>
    <w:rsid w:val="1FB76665"/>
    <w:rsid w:val="1FBA2E91"/>
    <w:rsid w:val="1FC02D54"/>
    <w:rsid w:val="1FD92D82"/>
    <w:rsid w:val="1FEE1F52"/>
    <w:rsid w:val="207471CF"/>
    <w:rsid w:val="20950348"/>
    <w:rsid w:val="20981E88"/>
    <w:rsid w:val="20A06A24"/>
    <w:rsid w:val="20A10137"/>
    <w:rsid w:val="20A76189"/>
    <w:rsid w:val="20B97750"/>
    <w:rsid w:val="20BD2343"/>
    <w:rsid w:val="20C125E5"/>
    <w:rsid w:val="20F77EBA"/>
    <w:rsid w:val="20FE0571"/>
    <w:rsid w:val="21040EE9"/>
    <w:rsid w:val="212F48FD"/>
    <w:rsid w:val="21592DC8"/>
    <w:rsid w:val="216135E4"/>
    <w:rsid w:val="21B23C30"/>
    <w:rsid w:val="21D5663A"/>
    <w:rsid w:val="21FF37BF"/>
    <w:rsid w:val="220D5F91"/>
    <w:rsid w:val="220F017A"/>
    <w:rsid w:val="223D6488"/>
    <w:rsid w:val="224F423C"/>
    <w:rsid w:val="225D00CF"/>
    <w:rsid w:val="227710AB"/>
    <w:rsid w:val="229B4E78"/>
    <w:rsid w:val="22C77F82"/>
    <w:rsid w:val="22E50F21"/>
    <w:rsid w:val="22F562BD"/>
    <w:rsid w:val="23054BAA"/>
    <w:rsid w:val="231C3AC6"/>
    <w:rsid w:val="23261385"/>
    <w:rsid w:val="233970A1"/>
    <w:rsid w:val="2390118C"/>
    <w:rsid w:val="23A33225"/>
    <w:rsid w:val="23A3458B"/>
    <w:rsid w:val="23A8144C"/>
    <w:rsid w:val="23A83880"/>
    <w:rsid w:val="23AC3B0D"/>
    <w:rsid w:val="23AC7B00"/>
    <w:rsid w:val="23AE3EA4"/>
    <w:rsid w:val="23BD797B"/>
    <w:rsid w:val="23CC13DF"/>
    <w:rsid w:val="24006C0B"/>
    <w:rsid w:val="241374BB"/>
    <w:rsid w:val="24210897"/>
    <w:rsid w:val="242E0AC8"/>
    <w:rsid w:val="24474E0A"/>
    <w:rsid w:val="244E4AD0"/>
    <w:rsid w:val="246B4679"/>
    <w:rsid w:val="248A767B"/>
    <w:rsid w:val="24962455"/>
    <w:rsid w:val="249900C5"/>
    <w:rsid w:val="24BF7D42"/>
    <w:rsid w:val="255D2F2A"/>
    <w:rsid w:val="256C5A3D"/>
    <w:rsid w:val="257963F1"/>
    <w:rsid w:val="257D2B89"/>
    <w:rsid w:val="25A7402B"/>
    <w:rsid w:val="25D966A6"/>
    <w:rsid w:val="25FE15DC"/>
    <w:rsid w:val="26653EC4"/>
    <w:rsid w:val="266E6547"/>
    <w:rsid w:val="26806C09"/>
    <w:rsid w:val="26863962"/>
    <w:rsid w:val="268F15B2"/>
    <w:rsid w:val="26983FA4"/>
    <w:rsid w:val="26FA6E39"/>
    <w:rsid w:val="271E4603"/>
    <w:rsid w:val="27264DFC"/>
    <w:rsid w:val="272A0710"/>
    <w:rsid w:val="27555997"/>
    <w:rsid w:val="276E4B45"/>
    <w:rsid w:val="277E0E1B"/>
    <w:rsid w:val="27C13C20"/>
    <w:rsid w:val="27E47883"/>
    <w:rsid w:val="2807271F"/>
    <w:rsid w:val="28120519"/>
    <w:rsid w:val="281327C3"/>
    <w:rsid w:val="28195AAE"/>
    <w:rsid w:val="28323569"/>
    <w:rsid w:val="28326E12"/>
    <w:rsid w:val="28504863"/>
    <w:rsid w:val="28674296"/>
    <w:rsid w:val="287013AF"/>
    <w:rsid w:val="28934004"/>
    <w:rsid w:val="28943CBF"/>
    <w:rsid w:val="28E96526"/>
    <w:rsid w:val="28F77A34"/>
    <w:rsid w:val="28FB2B17"/>
    <w:rsid w:val="29213FAC"/>
    <w:rsid w:val="294019F3"/>
    <w:rsid w:val="2947787C"/>
    <w:rsid w:val="295C30A0"/>
    <w:rsid w:val="295F6F3A"/>
    <w:rsid w:val="2978542E"/>
    <w:rsid w:val="298168E8"/>
    <w:rsid w:val="29880DC9"/>
    <w:rsid w:val="299658C8"/>
    <w:rsid w:val="29C74336"/>
    <w:rsid w:val="29FF6BE7"/>
    <w:rsid w:val="2A0C4705"/>
    <w:rsid w:val="2A104C01"/>
    <w:rsid w:val="2A2219FF"/>
    <w:rsid w:val="2A2649D3"/>
    <w:rsid w:val="2A2F0453"/>
    <w:rsid w:val="2A375CB0"/>
    <w:rsid w:val="2A4F7A8E"/>
    <w:rsid w:val="2A5C693A"/>
    <w:rsid w:val="2A7C052B"/>
    <w:rsid w:val="2A9D1044"/>
    <w:rsid w:val="2AA14EFF"/>
    <w:rsid w:val="2AC52B69"/>
    <w:rsid w:val="2AE42B9F"/>
    <w:rsid w:val="2AFA4FF0"/>
    <w:rsid w:val="2AFF35D3"/>
    <w:rsid w:val="2B0A651F"/>
    <w:rsid w:val="2B132D50"/>
    <w:rsid w:val="2B414EF3"/>
    <w:rsid w:val="2B4604CF"/>
    <w:rsid w:val="2B6076B4"/>
    <w:rsid w:val="2B617D56"/>
    <w:rsid w:val="2B631EFF"/>
    <w:rsid w:val="2B6E542D"/>
    <w:rsid w:val="2BAC408F"/>
    <w:rsid w:val="2BDD0A2E"/>
    <w:rsid w:val="2BEB27E3"/>
    <w:rsid w:val="2BEB2E9D"/>
    <w:rsid w:val="2BF61207"/>
    <w:rsid w:val="2C1713D1"/>
    <w:rsid w:val="2C1D201E"/>
    <w:rsid w:val="2C2E6F83"/>
    <w:rsid w:val="2C620007"/>
    <w:rsid w:val="2CA8063D"/>
    <w:rsid w:val="2CD367CC"/>
    <w:rsid w:val="2CDD2B9E"/>
    <w:rsid w:val="2CEE36BC"/>
    <w:rsid w:val="2D09394F"/>
    <w:rsid w:val="2D51298D"/>
    <w:rsid w:val="2D6345E9"/>
    <w:rsid w:val="2D7E4209"/>
    <w:rsid w:val="2D9B288E"/>
    <w:rsid w:val="2DBD42B5"/>
    <w:rsid w:val="2DCB5DC1"/>
    <w:rsid w:val="2DCE5309"/>
    <w:rsid w:val="2DE2242A"/>
    <w:rsid w:val="2E4225F7"/>
    <w:rsid w:val="2E463849"/>
    <w:rsid w:val="2E5A5340"/>
    <w:rsid w:val="2E6E73D5"/>
    <w:rsid w:val="2E81141D"/>
    <w:rsid w:val="2E9A7ADA"/>
    <w:rsid w:val="2EC2396D"/>
    <w:rsid w:val="2EF80558"/>
    <w:rsid w:val="2F1B0798"/>
    <w:rsid w:val="2F4F0438"/>
    <w:rsid w:val="2F506BFB"/>
    <w:rsid w:val="2F7E2CC0"/>
    <w:rsid w:val="2F871ABC"/>
    <w:rsid w:val="2F921764"/>
    <w:rsid w:val="2F98405A"/>
    <w:rsid w:val="2FAF32EB"/>
    <w:rsid w:val="2FD11EB8"/>
    <w:rsid w:val="2FE1749B"/>
    <w:rsid w:val="303606F3"/>
    <w:rsid w:val="303D5772"/>
    <w:rsid w:val="303E2207"/>
    <w:rsid w:val="30533443"/>
    <w:rsid w:val="306E40F7"/>
    <w:rsid w:val="306F4499"/>
    <w:rsid w:val="30B15581"/>
    <w:rsid w:val="30B93848"/>
    <w:rsid w:val="30BA3CA7"/>
    <w:rsid w:val="30BB37BA"/>
    <w:rsid w:val="30BE1DE8"/>
    <w:rsid w:val="31253510"/>
    <w:rsid w:val="313177AD"/>
    <w:rsid w:val="31341EAD"/>
    <w:rsid w:val="313712DD"/>
    <w:rsid w:val="31423CC5"/>
    <w:rsid w:val="3157256E"/>
    <w:rsid w:val="3160159B"/>
    <w:rsid w:val="316102EA"/>
    <w:rsid w:val="31665B97"/>
    <w:rsid w:val="31686E86"/>
    <w:rsid w:val="31711EF3"/>
    <w:rsid w:val="31854B7E"/>
    <w:rsid w:val="31E86EE4"/>
    <w:rsid w:val="31F00167"/>
    <w:rsid w:val="31FD6157"/>
    <w:rsid w:val="32171B71"/>
    <w:rsid w:val="322B53E9"/>
    <w:rsid w:val="32915ABA"/>
    <w:rsid w:val="329C1497"/>
    <w:rsid w:val="32D72576"/>
    <w:rsid w:val="32D93319"/>
    <w:rsid w:val="32E04086"/>
    <w:rsid w:val="32F96A45"/>
    <w:rsid w:val="330D0307"/>
    <w:rsid w:val="331D384C"/>
    <w:rsid w:val="332C3D97"/>
    <w:rsid w:val="335C5CD7"/>
    <w:rsid w:val="3360351F"/>
    <w:rsid w:val="33620CB2"/>
    <w:rsid w:val="33777078"/>
    <w:rsid w:val="33B17CDB"/>
    <w:rsid w:val="33E04B57"/>
    <w:rsid w:val="33FA7456"/>
    <w:rsid w:val="34024883"/>
    <w:rsid w:val="342C6E98"/>
    <w:rsid w:val="344F7140"/>
    <w:rsid w:val="34714E70"/>
    <w:rsid w:val="34755DB1"/>
    <w:rsid w:val="34935876"/>
    <w:rsid w:val="349E0FB2"/>
    <w:rsid w:val="34A96A1A"/>
    <w:rsid w:val="34B370D1"/>
    <w:rsid w:val="34CA52FD"/>
    <w:rsid w:val="34E622D6"/>
    <w:rsid w:val="35073B82"/>
    <w:rsid w:val="3518700F"/>
    <w:rsid w:val="352F2FF3"/>
    <w:rsid w:val="35375748"/>
    <w:rsid w:val="35486C73"/>
    <w:rsid w:val="35952125"/>
    <w:rsid w:val="359E09BB"/>
    <w:rsid w:val="361A4DE1"/>
    <w:rsid w:val="361F592F"/>
    <w:rsid w:val="362F79EA"/>
    <w:rsid w:val="36516B14"/>
    <w:rsid w:val="36556C85"/>
    <w:rsid w:val="365B1C96"/>
    <w:rsid w:val="36603459"/>
    <w:rsid w:val="366D2C19"/>
    <w:rsid w:val="3675230B"/>
    <w:rsid w:val="36766F5C"/>
    <w:rsid w:val="36777C43"/>
    <w:rsid w:val="367E7A3F"/>
    <w:rsid w:val="36AA7374"/>
    <w:rsid w:val="36C1347A"/>
    <w:rsid w:val="36C31B41"/>
    <w:rsid w:val="36C532A1"/>
    <w:rsid w:val="36CE234D"/>
    <w:rsid w:val="36D347D3"/>
    <w:rsid w:val="36DA50A9"/>
    <w:rsid w:val="36F46372"/>
    <w:rsid w:val="372F4949"/>
    <w:rsid w:val="3736228A"/>
    <w:rsid w:val="37671725"/>
    <w:rsid w:val="376F122C"/>
    <w:rsid w:val="3781366E"/>
    <w:rsid w:val="3798526A"/>
    <w:rsid w:val="37B72EB1"/>
    <w:rsid w:val="37C1607A"/>
    <w:rsid w:val="37C42A0D"/>
    <w:rsid w:val="37C806F3"/>
    <w:rsid w:val="37C85C3C"/>
    <w:rsid w:val="37CF1603"/>
    <w:rsid w:val="38585500"/>
    <w:rsid w:val="385D1C71"/>
    <w:rsid w:val="386038B3"/>
    <w:rsid w:val="38684A38"/>
    <w:rsid w:val="388E1434"/>
    <w:rsid w:val="38BA5460"/>
    <w:rsid w:val="38C62FF5"/>
    <w:rsid w:val="38D62476"/>
    <w:rsid w:val="38E27127"/>
    <w:rsid w:val="38EB04FF"/>
    <w:rsid w:val="39027E88"/>
    <w:rsid w:val="39075875"/>
    <w:rsid w:val="391904A1"/>
    <w:rsid w:val="391C718D"/>
    <w:rsid w:val="394D30B0"/>
    <w:rsid w:val="394F6067"/>
    <w:rsid w:val="39624091"/>
    <w:rsid w:val="397C6037"/>
    <w:rsid w:val="39D43B66"/>
    <w:rsid w:val="39EC03FA"/>
    <w:rsid w:val="3A1D058F"/>
    <w:rsid w:val="3A1E303B"/>
    <w:rsid w:val="3A1F74C9"/>
    <w:rsid w:val="3A2A1F54"/>
    <w:rsid w:val="3A2D40D1"/>
    <w:rsid w:val="3A314B02"/>
    <w:rsid w:val="3A5C2602"/>
    <w:rsid w:val="3A79657B"/>
    <w:rsid w:val="3A8B77C7"/>
    <w:rsid w:val="3A8F7DE5"/>
    <w:rsid w:val="3A9A32EA"/>
    <w:rsid w:val="3ACD391F"/>
    <w:rsid w:val="3B026D00"/>
    <w:rsid w:val="3B1471CB"/>
    <w:rsid w:val="3B5F2B46"/>
    <w:rsid w:val="3B655681"/>
    <w:rsid w:val="3B6C4553"/>
    <w:rsid w:val="3B6F3ABC"/>
    <w:rsid w:val="3B7527F4"/>
    <w:rsid w:val="3BAA143A"/>
    <w:rsid w:val="3BAC7D85"/>
    <w:rsid w:val="3BC378A6"/>
    <w:rsid w:val="3BDC08FD"/>
    <w:rsid w:val="3BE42ECD"/>
    <w:rsid w:val="3BFE1CAB"/>
    <w:rsid w:val="3C0D43B1"/>
    <w:rsid w:val="3C10260E"/>
    <w:rsid w:val="3C274A05"/>
    <w:rsid w:val="3C43437F"/>
    <w:rsid w:val="3C4F746D"/>
    <w:rsid w:val="3C6A66D6"/>
    <w:rsid w:val="3C7511AE"/>
    <w:rsid w:val="3C9B76EA"/>
    <w:rsid w:val="3CA977D2"/>
    <w:rsid w:val="3CBF0958"/>
    <w:rsid w:val="3CC733AF"/>
    <w:rsid w:val="3CCB1880"/>
    <w:rsid w:val="3CD72551"/>
    <w:rsid w:val="3CE949FD"/>
    <w:rsid w:val="3CF76813"/>
    <w:rsid w:val="3CFC6063"/>
    <w:rsid w:val="3D1319B5"/>
    <w:rsid w:val="3D260CA6"/>
    <w:rsid w:val="3D520CCB"/>
    <w:rsid w:val="3D5C6974"/>
    <w:rsid w:val="3D6678B0"/>
    <w:rsid w:val="3D772181"/>
    <w:rsid w:val="3D823D30"/>
    <w:rsid w:val="3DCE6FB3"/>
    <w:rsid w:val="3DD16176"/>
    <w:rsid w:val="3DD73F69"/>
    <w:rsid w:val="3E104E3F"/>
    <w:rsid w:val="3E1D6E9C"/>
    <w:rsid w:val="3E4A1BED"/>
    <w:rsid w:val="3E662345"/>
    <w:rsid w:val="3E82228B"/>
    <w:rsid w:val="3E8242C1"/>
    <w:rsid w:val="3EB33AF3"/>
    <w:rsid w:val="3EFD0DF6"/>
    <w:rsid w:val="3EFE49C6"/>
    <w:rsid w:val="3F0A5B5C"/>
    <w:rsid w:val="3F1A0890"/>
    <w:rsid w:val="3F3F5846"/>
    <w:rsid w:val="3F71500B"/>
    <w:rsid w:val="3F7B33F8"/>
    <w:rsid w:val="3F801023"/>
    <w:rsid w:val="3F8064EB"/>
    <w:rsid w:val="3F950FB5"/>
    <w:rsid w:val="3F982DCA"/>
    <w:rsid w:val="3FCB5632"/>
    <w:rsid w:val="3FD12D26"/>
    <w:rsid w:val="3FDE4917"/>
    <w:rsid w:val="3FE2412F"/>
    <w:rsid w:val="402F3ADF"/>
    <w:rsid w:val="40306F5A"/>
    <w:rsid w:val="40476BB3"/>
    <w:rsid w:val="40546FB6"/>
    <w:rsid w:val="40554803"/>
    <w:rsid w:val="407A60D5"/>
    <w:rsid w:val="407D4F24"/>
    <w:rsid w:val="40961808"/>
    <w:rsid w:val="40AB4DEE"/>
    <w:rsid w:val="40C74C14"/>
    <w:rsid w:val="40D24BBE"/>
    <w:rsid w:val="40EC4043"/>
    <w:rsid w:val="41003516"/>
    <w:rsid w:val="41166469"/>
    <w:rsid w:val="412008E0"/>
    <w:rsid w:val="413A6D3B"/>
    <w:rsid w:val="41515AC7"/>
    <w:rsid w:val="41902B9F"/>
    <w:rsid w:val="41C02331"/>
    <w:rsid w:val="41C13A63"/>
    <w:rsid w:val="41C67037"/>
    <w:rsid w:val="41D229E1"/>
    <w:rsid w:val="41EC6E94"/>
    <w:rsid w:val="41F72149"/>
    <w:rsid w:val="4228585D"/>
    <w:rsid w:val="42415ACC"/>
    <w:rsid w:val="427D539F"/>
    <w:rsid w:val="42991E30"/>
    <w:rsid w:val="42CC19F4"/>
    <w:rsid w:val="42CE0B28"/>
    <w:rsid w:val="42CF6367"/>
    <w:rsid w:val="42D36FBC"/>
    <w:rsid w:val="42DE1CCC"/>
    <w:rsid w:val="42F42FCF"/>
    <w:rsid w:val="4308546B"/>
    <w:rsid w:val="43263445"/>
    <w:rsid w:val="434157E3"/>
    <w:rsid w:val="43494860"/>
    <w:rsid w:val="434D380E"/>
    <w:rsid w:val="43934189"/>
    <w:rsid w:val="439D4850"/>
    <w:rsid w:val="43C27232"/>
    <w:rsid w:val="43ED069F"/>
    <w:rsid w:val="442A6E5A"/>
    <w:rsid w:val="44356E29"/>
    <w:rsid w:val="445C4B8F"/>
    <w:rsid w:val="447C2A1B"/>
    <w:rsid w:val="447F5CBE"/>
    <w:rsid w:val="44833851"/>
    <w:rsid w:val="44982752"/>
    <w:rsid w:val="44BF6F86"/>
    <w:rsid w:val="44C45031"/>
    <w:rsid w:val="44D53AB2"/>
    <w:rsid w:val="44DA00B4"/>
    <w:rsid w:val="44F27B0D"/>
    <w:rsid w:val="45151583"/>
    <w:rsid w:val="45174CA4"/>
    <w:rsid w:val="45485BDE"/>
    <w:rsid w:val="457D4A3F"/>
    <w:rsid w:val="458571EC"/>
    <w:rsid w:val="45945C30"/>
    <w:rsid w:val="459F2306"/>
    <w:rsid w:val="45A832FE"/>
    <w:rsid w:val="45AB6174"/>
    <w:rsid w:val="45BA63E5"/>
    <w:rsid w:val="45CC5EDC"/>
    <w:rsid w:val="45F73D47"/>
    <w:rsid w:val="462D2575"/>
    <w:rsid w:val="46467FD8"/>
    <w:rsid w:val="46601D33"/>
    <w:rsid w:val="4666746C"/>
    <w:rsid w:val="467505FA"/>
    <w:rsid w:val="467B6008"/>
    <w:rsid w:val="468720BA"/>
    <w:rsid w:val="46895AFC"/>
    <w:rsid w:val="468E6A9E"/>
    <w:rsid w:val="46BC623F"/>
    <w:rsid w:val="46D855B9"/>
    <w:rsid w:val="470D2C74"/>
    <w:rsid w:val="47176AEE"/>
    <w:rsid w:val="47236E19"/>
    <w:rsid w:val="477570F1"/>
    <w:rsid w:val="47AD33FA"/>
    <w:rsid w:val="47B41AAA"/>
    <w:rsid w:val="47CD38AD"/>
    <w:rsid w:val="47DB16D8"/>
    <w:rsid w:val="481726F3"/>
    <w:rsid w:val="48416760"/>
    <w:rsid w:val="48466F81"/>
    <w:rsid w:val="484D02A2"/>
    <w:rsid w:val="486B647A"/>
    <w:rsid w:val="48896934"/>
    <w:rsid w:val="489B48B9"/>
    <w:rsid w:val="48C12AEC"/>
    <w:rsid w:val="48D072A1"/>
    <w:rsid w:val="48D1341D"/>
    <w:rsid w:val="48D63F90"/>
    <w:rsid w:val="48E0279A"/>
    <w:rsid w:val="48E64C8E"/>
    <w:rsid w:val="48FA7B87"/>
    <w:rsid w:val="49023E07"/>
    <w:rsid w:val="4919356E"/>
    <w:rsid w:val="492A7740"/>
    <w:rsid w:val="49300AA7"/>
    <w:rsid w:val="49391CB0"/>
    <w:rsid w:val="493C3A20"/>
    <w:rsid w:val="49401E21"/>
    <w:rsid w:val="49434233"/>
    <w:rsid w:val="49526EB9"/>
    <w:rsid w:val="49684311"/>
    <w:rsid w:val="496D00AD"/>
    <w:rsid w:val="49742114"/>
    <w:rsid w:val="49754CB4"/>
    <w:rsid w:val="49921F0F"/>
    <w:rsid w:val="49CE6B8E"/>
    <w:rsid w:val="49D72FF3"/>
    <w:rsid w:val="49E0102B"/>
    <w:rsid w:val="4A2945F2"/>
    <w:rsid w:val="4A615154"/>
    <w:rsid w:val="4A96607C"/>
    <w:rsid w:val="4AA91ED6"/>
    <w:rsid w:val="4AB92E92"/>
    <w:rsid w:val="4B2134B8"/>
    <w:rsid w:val="4B24233C"/>
    <w:rsid w:val="4B330A0B"/>
    <w:rsid w:val="4B3756CC"/>
    <w:rsid w:val="4B5E55F9"/>
    <w:rsid w:val="4B685D82"/>
    <w:rsid w:val="4B7B4674"/>
    <w:rsid w:val="4B7C663B"/>
    <w:rsid w:val="4B812078"/>
    <w:rsid w:val="4BF71347"/>
    <w:rsid w:val="4BF97932"/>
    <w:rsid w:val="4C141E75"/>
    <w:rsid w:val="4C2A4039"/>
    <w:rsid w:val="4C5F4148"/>
    <w:rsid w:val="4C736F36"/>
    <w:rsid w:val="4CAE60E3"/>
    <w:rsid w:val="4CEE1D13"/>
    <w:rsid w:val="4D032DA9"/>
    <w:rsid w:val="4D0C6DBE"/>
    <w:rsid w:val="4D25615C"/>
    <w:rsid w:val="4D36054D"/>
    <w:rsid w:val="4D41137F"/>
    <w:rsid w:val="4D4D3B7A"/>
    <w:rsid w:val="4D524AEA"/>
    <w:rsid w:val="4D5724F7"/>
    <w:rsid w:val="4D757452"/>
    <w:rsid w:val="4D8C3F82"/>
    <w:rsid w:val="4DBC14B8"/>
    <w:rsid w:val="4DD41D5C"/>
    <w:rsid w:val="4DE936C7"/>
    <w:rsid w:val="4DF23555"/>
    <w:rsid w:val="4E050D4C"/>
    <w:rsid w:val="4E06569E"/>
    <w:rsid w:val="4E093792"/>
    <w:rsid w:val="4E1D26B7"/>
    <w:rsid w:val="4E1D3A0D"/>
    <w:rsid w:val="4E1F052C"/>
    <w:rsid w:val="4E451D41"/>
    <w:rsid w:val="4E7A454C"/>
    <w:rsid w:val="4E820B4C"/>
    <w:rsid w:val="4E85341C"/>
    <w:rsid w:val="4E9B7B12"/>
    <w:rsid w:val="4EC47712"/>
    <w:rsid w:val="4EDD3C61"/>
    <w:rsid w:val="4EF1457F"/>
    <w:rsid w:val="4F2C40A0"/>
    <w:rsid w:val="4F2F3B98"/>
    <w:rsid w:val="4F380B7A"/>
    <w:rsid w:val="4F424B82"/>
    <w:rsid w:val="4F4B0CB3"/>
    <w:rsid w:val="4F4F0EBF"/>
    <w:rsid w:val="4F586D8F"/>
    <w:rsid w:val="4F8C4B40"/>
    <w:rsid w:val="4FAA5CD5"/>
    <w:rsid w:val="4FBD187E"/>
    <w:rsid w:val="4FC56067"/>
    <w:rsid w:val="4FD11AC0"/>
    <w:rsid w:val="4FEA4E33"/>
    <w:rsid w:val="502F75EB"/>
    <w:rsid w:val="50400243"/>
    <w:rsid w:val="50494336"/>
    <w:rsid w:val="506B6423"/>
    <w:rsid w:val="50784012"/>
    <w:rsid w:val="50813C12"/>
    <w:rsid w:val="5087463E"/>
    <w:rsid w:val="50A11680"/>
    <w:rsid w:val="50B77550"/>
    <w:rsid w:val="50C773AE"/>
    <w:rsid w:val="50CD6602"/>
    <w:rsid w:val="50E6022F"/>
    <w:rsid w:val="510D0F23"/>
    <w:rsid w:val="51197B59"/>
    <w:rsid w:val="51615030"/>
    <w:rsid w:val="51627812"/>
    <w:rsid w:val="51C136D4"/>
    <w:rsid w:val="51D33F6D"/>
    <w:rsid w:val="51DB1448"/>
    <w:rsid w:val="52045DB4"/>
    <w:rsid w:val="522C275E"/>
    <w:rsid w:val="524C13A2"/>
    <w:rsid w:val="529000F6"/>
    <w:rsid w:val="5296149A"/>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8D066D"/>
    <w:rsid w:val="53934B1D"/>
    <w:rsid w:val="53A2278E"/>
    <w:rsid w:val="53CB788B"/>
    <w:rsid w:val="53E32E36"/>
    <w:rsid w:val="54203B94"/>
    <w:rsid w:val="5424233E"/>
    <w:rsid w:val="542A3DC2"/>
    <w:rsid w:val="542C299E"/>
    <w:rsid w:val="543527D7"/>
    <w:rsid w:val="543642C1"/>
    <w:rsid w:val="5461235D"/>
    <w:rsid w:val="54667BA2"/>
    <w:rsid w:val="547E7555"/>
    <w:rsid w:val="54806F19"/>
    <w:rsid w:val="54901690"/>
    <w:rsid w:val="54A01FAE"/>
    <w:rsid w:val="54A478E7"/>
    <w:rsid w:val="54AC3148"/>
    <w:rsid w:val="54C0256E"/>
    <w:rsid w:val="54C334B7"/>
    <w:rsid w:val="54D4667D"/>
    <w:rsid w:val="54D55C56"/>
    <w:rsid w:val="54EC389B"/>
    <w:rsid w:val="54F847D9"/>
    <w:rsid w:val="55126190"/>
    <w:rsid w:val="555F3833"/>
    <w:rsid w:val="55667780"/>
    <w:rsid w:val="556E493A"/>
    <w:rsid w:val="55725F14"/>
    <w:rsid w:val="55941D63"/>
    <w:rsid w:val="559C0CE1"/>
    <w:rsid w:val="55B42D88"/>
    <w:rsid w:val="55D11119"/>
    <w:rsid w:val="55DB1F79"/>
    <w:rsid w:val="560A42BD"/>
    <w:rsid w:val="560C1D89"/>
    <w:rsid w:val="56353B20"/>
    <w:rsid w:val="563A6A4D"/>
    <w:rsid w:val="56443B98"/>
    <w:rsid w:val="56453A77"/>
    <w:rsid w:val="56757259"/>
    <w:rsid w:val="568B7EB7"/>
    <w:rsid w:val="56BC078F"/>
    <w:rsid w:val="56CB4BCB"/>
    <w:rsid w:val="56FB75FE"/>
    <w:rsid w:val="572F42F6"/>
    <w:rsid w:val="57391A95"/>
    <w:rsid w:val="573F3C9E"/>
    <w:rsid w:val="574028CB"/>
    <w:rsid w:val="574C52C4"/>
    <w:rsid w:val="57526FDB"/>
    <w:rsid w:val="57572F35"/>
    <w:rsid w:val="575B33A4"/>
    <w:rsid w:val="57674A5D"/>
    <w:rsid w:val="579775E1"/>
    <w:rsid w:val="57A26647"/>
    <w:rsid w:val="57C90530"/>
    <w:rsid w:val="57CE0836"/>
    <w:rsid w:val="582F44F7"/>
    <w:rsid w:val="583F27F2"/>
    <w:rsid w:val="58455B6D"/>
    <w:rsid w:val="584D29B0"/>
    <w:rsid w:val="584F7C49"/>
    <w:rsid w:val="5888302C"/>
    <w:rsid w:val="5889129A"/>
    <w:rsid w:val="58A70AE5"/>
    <w:rsid w:val="58AD528C"/>
    <w:rsid w:val="58B31955"/>
    <w:rsid w:val="58BA45A1"/>
    <w:rsid w:val="594F6915"/>
    <w:rsid w:val="59737A65"/>
    <w:rsid w:val="59842DF4"/>
    <w:rsid w:val="59947CE9"/>
    <w:rsid w:val="59A0359A"/>
    <w:rsid w:val="59B80DE8"/>
    <w:rsid w:val="59E52D9A"/>
    <w:rsid w:val="5A18350C"/>
    <w:rsid w:val="5A300449"/>
    <w:rsid w:val="5A482DEE"/>
    <w:rsid w:val="5A55295D"/>
    <w:rsid w:val="5A7E104A"/>
    <w:rsid w:val="5A8208A0"/>
    <w:rsid w:val="5A861FD5"/>
    <w:rsid w:val="5A952E27"/>
    <w:rsid w:val="5AE3253A"/>
    <w:rsid w:val="5AEA30C9"/>
    <w:rsid w:val="5AEA3475"/>
    <w:rsid w:val="5AF54C6B"/>
    <w:rsid w:val="5B087B94"/>
    <w:rsid w:val="5B0C2FBE"/>
    <w:rsid w:val="5B0E3E89"/>
    <w:rsid w:val="5B124740"/>
    <w:rsid w:val="5B31434D"/>
    <w:rsid w:val="5B3F60FF"/>
    <w:rsid w:val="5B3F66E7"/>
    <w:rsid w:val="5B872AE6"/>
    <w:rsid w:val="5BA77753"/>
    <w:rsid w:val="5BB60E53"/>
    <w:rsid w:val="5BC025EF"/>
    <w:rsid w:val="5C077640"/>
    <w:rsid w:val="5C1203C7"/>
    <w:rsid w:val="5C1F35AE"/>
    <w:rsid w:val="5C3905BF"/>
    <w:rsid w:val="5C66397A"/>
    <w:rsid w:val="5C7349B6"/>
    <w:rsid w:val="5C824C05"/>
    <w:rsid w:val="5C8725EE"/>
    <w:rsid w:val="5CB0251A"/>
    <w:rsid w:val="5CB97030"/>
    <w:rsid w:val="5CC97332"/>
    <w:rsid w:val="5D073AE3"/>
    <w:rsid w:val="5D187049"/>
    <w:rsid w:val="5D1D2427"/>
    <w:rsid w:val="5D756277"/>
    <w:rsid w:val="5D760215"/>
    <w:rsid w:val="5D955FBD"/>
    <w:rsid w:val="5DA62524"/>
    <w:rsid w:val="5DAC3919"/>
    <w:rsid w:val="5DB36259"/>
    <w:rsid w:val="5DBD33B2"/>
    <w:rsid w:val="5DC223CB"/>
    <w:rsid w:val="5DF66637"/>
    <w:rsid w:val="5DFF6858"/>
    <w:rsid w:val="5E0F2B0E"/>
    <w:rsid w:val="5E185132"/>
    <w:rsid w:val="5E21523D"/>
    <w:rsid w:val="5E2A0167"/>
    <w:rsid w:val="5E5D68E8"/>
    <w:rsid w:val="5E802A96"/>
    <w:rsid w:val="5E9074FF"/>
    <w:rsid w:val="5EAD0273"/>
    <w:rsid w:val="5EAE1AF2"/>
    <w:rsid w:val="5EB62A77"/>
    <w:rsid w:val="5EB80355"/>
    <w:rsid w:val="5EBB2226"/>
    <w:rsid w:val="5EBE5F24"/>
    <w:rsid w:val="5ECB4C82"/>
    <w:rsid w:val="5EF07004"/>
    <w:rsid w:val="5F0E1E9A"/>
    <w:rsid w:val="5F860C23"/>
    <w:rsid w:val="5FC44411"/>
    <w:rsid w:val="5FE426E2"/>
    <w:rsid w:val="605C7AA6"/>
    <w:rsid w:val="605F132B"/>
    <w:rsid w:val="608510A4"/>
    <w:rsid w:val="608762FF"/>
    <w:rsid w:val="609E1C45"/>
    <w:rsid w:val="60B74397"/>
    <w:rsid w:val="60BD4FD1"/>
    <w:rsid w:val="60C23FA5"/>
    <w:rsid w:val="60D507D0"/>
    <w:rsid w:val="60EA1511"/>
    <w:rsid w:val="60EB6C34"/>
    <w:rsid w:val="60FD5C7B"/>
    <w:rsid w:val="610C1CA3"/>
    <w:rsid w:val="613D7E7B"/>
    <w:rsid w:val="61425C7D"/>
    <w:rsid w:val="615C7A02"/>
    <w:rsid w:val="617162E9"/>
    <w:rsid w:val="61A52BAA"/>
    <w:rsid w:val="61CF1360"/>
    <w:rsid w:val="61FA0AE4"/>
    <w:rsid w:val="621D7EC3"/>
    <w:rsid w:val="62221C10"/>
    <w:rsid w:val="623438BB"/>
    <w:rsid w:val="62352B2C"/>
    <w:rsid w:val="624B10F0"/>
    <w:rsid w:val="624F3E48"/>
    <w:rsid w:val="62635981"/>
    <w:rsid w:val="629B3E75"/>
    <w:rsid w:val="629B5D43"/>
    <w:rsid w:val="629F73EC"/>
    <w:rsid w:val="62A36D1F"/>
    <w:rsid w:val="62A40365"/>
    <w:rsid w:val="62A469A9"/>
    <w:rsid w:val="62A92FF1"/>
    <w:rsid w:val="62B90FFE"/>
    <w:rsid w:val="62E10186"/>
    <w:rsid w:val="62F6018D"/>
    <w:rsid w:val="63016E3A"/>
    <w:rsid w:val="63034141"/>
    <w:rsid w:val="63045E00"/>
    <w:rsid w:val="630A731B"/>
    <w:rsid w:val="63386B48"/>
    <w:rsid w:val="633A3FE7"/>
    <w:rsid w:val="63410B16"/>
    <w:rsid w:val="63562840"/>
    <w:rsid w:val="637141EC"/>
    <w:rsid w:val="63805B1F"/>
    <w:rsid w:val="63834973"/>
    <w:rsid w:val="638F3DC7"/>
    <w:rsid w:val="6397194C"/>
    <w:rsid w:val="63AB4D19"/>
    <w:rsid w:val="63DA4B5E"/>
    <w:rsid w:val="63DE2C24"/>
    <w:rsid w:val="64273E62"/>
    <w:rsid w:val="642E2892"/>
    <w:rsid w:val="643B736C"/>
    <w:rsid w:val="64AD7C37"/>
    <w:rsid w:val="64B0399F"/>
    <w:rsid w:val="64B05758"/>
    <w:rsid w:val="64BE4B0D"/>
    <w:rsid w:val="65075A96"/>
    <w:rsid w:val="650E600B"/>
    <w:rsid w:val="650F0C7B"/>
    <w:rsid w:val="651541F8"/>
    <w:rsid w:val="652B691A"/>
    <w:rsid w:val="656F07C7"/>
    <w:rsid w:val="657A264B"/>
    <w:rsid w:val="65B221E6"/>
    <w:rsid w:val="65BB5F2E"/>
    <w:rsid w:val="65E939D5"/>
    <w:rsid w:val="66426031"/>
    <w:rsid w:val="66593B74"/>
    <w:rsid w:val="665D2DD8"/>
    <w:rsid w:val="66651C8A"/>
    <w:rsid w:val="66675176"/>
    <w:rsid w:val="669F2C65"/>
    <w:rsid w:val="66BE6B53"/>
    <w:rsid w:val="66C55FD8"/>
    <w:rsid w:val="66C96C89"/>
    <w:rsid w:val="66D333AF"/>
    <w:rsid w:val="67023742"/>
    <w:rsid w:val="67192A34"/>
    <w:rsid w:val="674A4927"/>
    <w:rsid w:val="677243C5"/>
    <w:rsid w:val="678568CD"/>
    <w:rsid w:val="67904A3A"/>
    <w:rsid w:val="67A24F14"/>
    <w:rsid w:val="67BB4EAD"/>
    <w:rsid w:val="67CA0AAF"/>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9055229"/>
    <w:rsid w:val="6929374C"/>
    <w:rsid w:val="692F20BB"/>
    <w:rsid w:val="69784C3F"/>
    <w:rsid w:val="69C1095D"/>
    <w:rsid w:val="6A0138F7"/>
    <w:rsid w:val="6A1E155A"/>
    <w:rsid w:val="6A2E4919"/>
    <w:rsid w:val="6A7B5447"/>
    <w:rsid w:val="6ADB012D"/>
    <w:rsid w:val="6AE3748E"/>
    <w:rsid w:val="6AF53FAE"/>
    <w:rsid w:val="6B1C3EC6"/>
    <w:rsid w:val="6B3F4C28"/>
    <w:rsid w:val="6B574638"/>
    <w:rsid w:val="6B5F5B98"/>
    <w:rsid w:val="6B615C8D"/>
    <w:rsid w:val="6B67068F"/>
    <w:rsid w:val="6B6E2E8D"/>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725FD7"/>
    <w:rsid w:val="6C8379F5"/>
    <w:rsid w:val="6C852D02"/>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DFC2DBD"/>
    <w:rsid w:val="6E0E6A1E"/>
    <w:rsid w:val="6E2D763E"/>
    <w:rsid w:val="6E420FB1"/>
    <w:rsid w:val="6E6B46D3"/>
    <w:rsid w:val="6E953983"/>
    <w:rsid w:val="6E95768E"/>
    <w:rsid w:val="6EA14900"/>
    <w:rsid w:val="6EB27AA3"/>
    <w:rsid w:val="6EBD1CFE"/>
    <w:rsid w:val="6EF9461D"/>
    <w:rsid w:val="6F1348E9"/>
    <w:rsid w:val="6F2A01FE"/>
    <w:rsid w:val="6F2A71A4"/>
    <w:rsid w:val="6F5D1EE4"/>
    <w:rsid w:val="6F9415EA"/>
    <w:rsid w:val="6FB72F84"/>
    <w:rsid w:val="6FC76B75"/>
    <w:rsid w:val="6FCA5E7C"/>
    <w:rsid w:val="6FE11F22"/>
    <w:rsid w:val="6FE3419F"/>
    <w:rsid w:val="6FF778F1"/>
    <w:rsid w:val="700346D4"/>
    <w:rsid w:val="700972F0"/>
    <w:rsid w:val="70287F2C"/>
    <w:rsid w:val="70AF69EB"/>
    <w:rsid w:val="70C667BE"/>
    <w:rsid w:val="70DE2249"/>
    <w:rsid w:val="70F97D93"/>
    <w:rsid w:val="710E13DA"/>
    <w:rsid w:val="71181113"/>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E29D1"/>
    <w:rsid w:val="728564F5"/>
    <w:rsid w:val="728B7ACE"/>
    <w:rsid w:val="728E70EC"/>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9E0038"/>
    <w:rsid w:val="73AF49FE"/>
    <w:rsid w:val="73B34591"/>
    <w:rsid w:val="73D850A2"/>
    <w:rsid w:val="73DE7F6C"/>
    <w:rsid w:val="73E365CE"/>
    <w:rsid w:val="73E64B1D"/>
    <w:rsid w:val="740735EA"/>
    <w:rsid w:val="7408106C"/>
    <w:rsid w:val="7412351E"/>
    <w:rsid w:val="749F2D9C"/>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749A9"/>
    <w:rsid w:val="75C05042"/>
    <w:rsid w:val="75CB1443"/>
    <w:rsid w:val="75CD3F16"/>
    <w:rsid w:val="75EA5BFB"/>
    <w:rsid w:val="761A34DA"/>
    <w:rsid w:val="76781DCD"/>
    <w:rsid w:val="767B12A0"/>
    <w:rsid w:val="76D84698"/>
    <w:rsid w:val="772F172B"/>
    <w:rsid w:val="775865D7"/>
    <w:rsid w:val="775A33B3"/>
    <w:rsid w:val="775B4584"/>
    <w:rsid w:val="776234AF"/>
    <w:rsid w:val="776D12AE"/>
    <w:rsid w:val="77895532"/>
    <w:rsid w:val="77AD0FE0"/>
    <w:rsid w:val="77BE7384"/>
    <w:rsid w:val="780F37EC"/>
    <w:rsid w:val="78486CA9"/>
    <w:rsid w:val="786F52AD"/>
    <w:rsid w:val="787A6E12"/>
    <w:rsid w:val="78821B50"/>
    <w:rsid w:val="788E2A2A"/>
    <w:rsid w:val="78C52EE0"/>
    <w:rsid w:val="78D23C9C"/>
    <w:rsid w:val="7913610A"/>
    <w:rsid w:val="791A167A"/>
    <w:rsid w:val="794D119C"/>
    <w:rsid w:val="796B6F7E"/>
    <w:rsid w:val="79935707"/>
    <w:rsid w:val="799A2128"/>
    <w:rsid w:val="79C0552F"/>
    <w:rsid w:val="79C30D65"/>
    <w:rsid w:val="79CC3295"/>
    <w:rsid w:val="79D37E29"/>
    <w:rsid w:val="7A0B1561"/>
    <w:rsid w:val="7A25258A"/>
    <w:rsid w:val="7A2C646D"/>
    <w:rsid w:val="7A441CE6"/>
    <w:rsid w:val="7A55546C"/>
    <w:rsid w:val="7A743686"/>
    <w:rsid w:val="7A824E2E"/>
    <w:rsid w:val="7A9E7BE0"/>
    <w:rsid w:val="7AFF6437"/>
    <w:rsid w:val="7B021BF1"/>
    <w:rsid w:val="7B4950F7"/>
    <w:rsid w:val="7B9F2862"/>
    <w:rsid w:val="7BA9751C"/>
    <w:rsid w:val="7BAB44F6"/>
    <w:rsid w:val="7BB856C6"/>
    <w:rsid w:val="7BBB27D3"/>
    <w:rsid w:val="7BC24A45"/>
    <w:rsid w:val="7BD52A90"/>
    <w:rsid w:val="7C076616"/>
    <w:rsid w:val="7C0D60AB"/>
    <w:rsid w:val="7C295DFC"/>
    <w:rsid w:val="7C4B37FA"/>
    <w:rsid w:val="7C58255B"/>
    <w:rsid w:val="7C5B5FF8"/>
    <w:rsid w:val="7C910DB6"/>
    <w:rsid w:val="7C9E490F"/>
    <w:rsid w:val="7CF03F88"/>
    <w:rsid w:val="7CF73786"/>
    <w:rsid w:val="7D091FF0"/>
    <w:rsid w:val="7D4C6AE0"/>
    <w:rsid w:val="7D573168"/>
    <w:rsid w:val="7D5E51C4"/>
    <w:rsid w:val="7D7525FB"/>
    <w:rsid w:val="7DC111D1"/>
    <w:rsid w:val="7DC43A43"/>
    <w:rsid w:val="7DC74225"/>
    <w:rsid w:val="7DDA69EF"/>
    <w:rsid w:val="7DDD18D5"/>
    <w:rsid w:val="7E394AEA"/>
    <w:rsid w:val="7E6C26A2"/>
    <w:rsid w:val="7EA5023D"/>
    <w:rsid w:val="7EB35583"/>
    <w:rsid w:val="7EB5276C"/>
    <w:rsid w:val="7EBC57D7"/>
    <w:rsid w:val="7ED0794B"/>
    <w:rsid w:val="7ED70A6F"/>
    <w:rsid w:val="7EE20D78"/>
    <w:rsid w:val="7EFF38D3"/>
    <w:rsid w:val="7F3206AA"/>
    <w:rsid w:val="7F5E6382"/>
    <w:rsid w:val="7F5F2553"/>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3"/>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02"/>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4"/>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paragraph" w:styleId="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8">
    <w:name w:val="Normal Indent"/>
    <w:basedOn w:val="1"/>
    <w:qFormat/>
    <w:uiPriority w:val="0"/>
    <w:pPr>
      <w:ind w:firstLine="420"/>
    </w:pPr>
    <w:rPr>
      <w:szCs w:val="20"/>
    </w:rPr>
  </w:style>
  <w:style w:type="paragraph" w:styleId="9">
    <w:name w:val="Document Map"/>
    <w:basedOn w:val="1"/>
    <w:link w:val="39"/>
    <w:qFormat/>
    <w:uiPriority w:val="0"/>
    <w:rPr>
      <w:rFonts w:ascii="宋体" w:hAnsi="Tahoma"/>
      <w:sz w:val="18"/>
      <w:szCs w:val="18"/>
    </w:rPr>
  </w:style>
  <w:style w:type="paragraph" w:styleId="10">
    <w:name w:val="annotation text"/>
    <w:basedOn w:val="1"/>
    <w:link w:val="68"/>
    <w:semiHidden/>
    <w:qFormat/>
    <w:uiPriority w:val="99"/>
    <w:pPr>
      <w:jc w:val="left"/>
    </w:pPr>
    <w:rPr>
      <w:rFonts w:ascii="Tahoma" w:hAnsi="Tahoma"/>
    </w:rPr>
  </w:style>
  <w:style w:type="paragraph" w:styleId="11">
    <w:name w:val="Body Text 3"/>
    <w:basedOn w:val="1"/>
    <w:qFormat/>
    <w:uiPriority w:val="0"/>
    <w:rPr>
      <w:kern w:val="0"/>
      <w:sz w:val="16"/>
      <w:szCs w:val="16"/>
    </w:rPr>
  </w:style>
  <w:style w:type="paragraph" w:styleId="12">
    <w:name w:val="Body Text"/>
    <w:basedOn w:val="1"/>
    <w:qFormat/>
    <w:uiPriority w:val="0"/>
    <w:pPr>
      <w:spacing w:after="120"/>
    </w:pPr>
  </w:style>
  <w:style w:type="paragraph" w:styleId="13">
    <w:name w:val="Body Text Indent"/>
    <w:basedOn w:val="1"/>
    <w:qFormat/>
    <w:uiPriority w:val="0"/>
    <w:pPr>
      <w:spacing w:after="120"/>
      <w:ind w:left="420" w:leftChars="200"/>
    </w:p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62"/>
    <w:qFormat/>
    <w:uiPriority w:val="99"/>
    <w:pPr>
      <w:tabs>
        <w:tab w:val="center" w:pos="4153"/>
        <w:tab w:val="right" w:pos="8306"/>
      </w:tabs>
      <w:snapToGrid w:val="0"/>
      <w:jc w:val="left"/>
    </w:pPr>
    <w:rPr>
      <w:rFonts w:ascii="Tahoma" w:hAnsi="Tahoma"/>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10"/>
    <w:next w:val="10"/>
    <w:link w:val="66"/>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TML Definition"/>
    <w:basedOn w:val="28"/>
    <w:qFormat/>
    <w:uiPriority w:val="0"/>
    <w:rPr>
      <w:i/>
      <w:iCs/>
    </w:rPr>
  </w:style>
  <w:style w:type="character" w:styleId="33">
    <w:name w:val="Hyperlink"/>
    <w:qFormat/>
    <w:uiPriority w:val="99"/>
    <w:rPr>
      <w:rFonts w:ascii="Tahoma" w:hAnsi="Tahoma"/>
      <w:color w:val="0000FF"/>
      <w:sz w:val="24"/>
      <w:u w:val="single"/>
    </w:rPr>
  </w:style>
  <w:style w:type="character" w:styleId="34">
    <w:name w:val="HTML Code"/>
    <w:basedOn w:val="28"/>
    <w:qFormat/>
    <w:uiPriority w:val="0"/>
    <w:rPr>
      <w:rFonts w:hint="default" w:ascii="Consolas" w:hAnsi="Consolas" w:eastAsia="Consolas" w:cs="Consolas"/>
      <w:color w:val="C7254E"/>
      <w:sz w:val="21"/>
      <w:szCs w:val="21"/>
      <w:shd w:val="clear" w:color="auto" w:fill="F9F2F4"/>
    </w:rPr>
  </w:style>
  <w:style w:type="character" w:styleId="35">
    <w:name w:val="annotation reference"/>
    <w:unhideWhenUsed/>
    <w:qFormat/>
    <w:uiPriority w:val="99"/>
    <w:rPr>
      <w:rFonts w:ascii="Tahoma" w:hAnsi="Tahoma"/>
      <w:sz w:val="21"/>
      <w:szCs w:val="21"/>
    </w:rPr>
  </w:style>
  <w:style w:type="character" w:styleId="36">
    <w:name w:val="HTML Keyboard"/>
    <w:basedOn w:val="28"/>
    <w:qFormat/>
    <w:uiPriority w:val="0"/>
    <w:rPr>
      <w:rFonts w:hint="default" w:ascii="Consolas" w:hAnsi="Consolas" w:eastAsia="Consolas" w:cs="Consolas"/>
      <w:color w:val="FFFFFF"/>
      <w:sz w:val="21"/>
      <w:szCs w:val="21"/>
      <w:shd w:val="clear" w:color="auto" w:fill="333333"/>
    </w:rPr>
  </w:style>
  <w:style w:type="character" w:styleId="37">
    <w:name w:val="HTML Sample"/>
    <w:basedOn w:val="28"/>
    <w:qFormat/>
    <w:uiPriority w:val="0"/>
    <w:rPr>
      <w:rFonts w:ascii="Consolas" w:hAnsi="Consolas" w:eastAsia="Consolas" w:cs="Consolas"/>
      <w:sz w:val="21"/>
      <w:szCs w:val="21"/>
    </w:rPr>
  </w:style>
  <w:style w:type="character" w:customStyle="1" w:styleId="38">
    <w:name w:val="cfdate"/>
    <w:basedOn w:val="28"/>
    <w:qFormat/>
    <w:uiPriority w:val="0"/>
    <w:rPr>
      <w:color w:val="333333"/>
      <w:sz w:val="18"/>
      <w:szCs w:val="18"/>
    </w:rPr>
  </w:style>
  <w:style w:type="character" w:customStyle="1" w:styleId="39">
    <w:name w:val="文档结构图 字符"/>
    <w:link w:val="9"/>
    <w:qFormat/>
    <w:uiPriority w:val="0"/>
    <w:rPr>
      <w:rFonts w:ascii="宋体" w:hAnsi="Tahoma"/>
      <w:kern w:val="2"/>
      <w:sz w:val="18"/>
      <w:szCs w:val="18"/>
    </w:rPr>
  </w:style>
  <w:style w:type="character" w:customStyle="1" w:styleId="40">
    <w:name w:val="copyright"/>
    <w:basedOn w:val="28"/>
    <w:qFormat/>
    <w:uiPriority w:val="0"/>
  </w:style>
  <w:style w:type="character" w:customStyle="1" w:styleId="41">
    <w:name w:val="Char Char6"/>
    <w:qFormat/>
    <w:uiPriority w:val="0"/>
    <w:rPr>
      <w:rFonts w:ascii="Tahoma" w:hAnsi="Tahoma" w:eastAsia="宋体"/>
      <w:b/>
      <w:bCs/>
      <w:kern w:val="2"/>
      <w:sz w:val="32"/>
      <w:szCs w:val="32"/>
      <w:lang w:val="en-US" w:eastAsia="zh-CN" w:bidi="ar-SA"/>
    </w:rPr>
  </w:style>
  <w:style w:type="character" w:customStyle="1" w:styleId="42">
    <w:name w:val="qxdate"/>
    <w:basedOn w:val="28"/>
    <w:qFormat/>
    <w:uiPriority w:val="0"/>
    <w:rPr>
      <w:color w:val="333333"/>
      <w:sz w:val="18"/>
      <w:szCs w:val="18"/>
    </w:rPr>
  </w:style>
  <w:style w:type="character" w:customStyle="1" w:styleId="43">
    <w:name w:val="gjfg"/>
    <w:basedOn w:val="28"/>
    <w:qFormat/>
    <w:uiPriority w:val="0"/>
  </w:style>
  <w:style w:type="character" w:customStyle="1" w:styleId="44">
    <w:name w:val="Char Char3"/>
    <w:semiHidden/>
    <w:qFormat/>
    <w:uiPriority w:val="0"/>
    <w:rPr>
      <w:rFonts w:ascii="Tahoma" w:hAnsi="Tahoma" w:eastAsia="宋体"/>
      <w:kern w:val="2"/>
      <w:sz w:val="18"/>
      <w:szCs w:val="18"/>
      <w:lang w:val="en-US" w:eastAsia="zh-CN" w:bidi="ar-SA"/>
    </w:rPr>
  </w:style>
  <w:style w:type="character" w:customStyle="1" w:styleId="45">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6">
    <w:name w:val="Char Char4"/>
    <w:qFormat/>
    <w:uiPriority w:val="0"/>
    <w:rPr>
      <w:rFonts w:ascii="Tahoma" w:hAnsi="Tahoma" w:eastAsia="宋体"/>
      <w:kern w:val="2"/>
      <w:sz w:val="18"/>
      <w:szCs w:val="18"/>
      <w:lang w:val="en-US" w:eastAsia="zh-CN" w:bidi="ar-SA"/>
    </w:rPr>
  </w:style>
  <w:style w:type="character" w:customStyle="1" w:styleId="47">
    <w:name w:val="font51"/>
    <w:qFormat/>
    <w:uiPriority w:val="0"/>
    <w:rPr>
      <w:rFonts w:hint="eastAsia" w:ascii="宋体" w:hAnsi="宋体" w:eastAsia="宋体" w:cs="宋体"/>
      <w:color w:val="000000"/>
      <w:sz w:val="21"/>
      <w:szCs w:val="21"/>
      <w:u w:val="none"/>
    </w:rPr>
  </w:style>
  <w:style w:type="character" w:customStyle="1" w:styleId="48">
    <w:name w:val="Char Char1"/>
    <w:semiHidden/>
    <w:qFormat/>
    <w:uiPriority w:val="0"/>
    <w:rPr>
      <w:rFonts w:ascii="Tahoma" w:hAnsi="Tahoma" w:eastAsia="宋体"/>
      <w:kern w:val="2"/>
      <w:sz w:val="28"/>
      <w:lang w:val="en-US" w:eastAsia="zh-CN" w:bidi="ar-SA"/>
    </w:rPr>
  </w:style>
  <w:style w:type="character" w:customStyle="1" w:styleId="49">
    <w:name w:val="profont1"/>
    <w:qFormat/>
    <w:uiPriority w:val="0"/>
    <w:rPr>
      <w:rFonts w:hint="default" w:ascii="Verdana" w:hAnsi="Verdana"/>
      <w:b/>
      <w:bCs/>
      <w:color w:val="333333"/>
      <w:sz w:val="24"/>
      <w:szCs w:val="24"/>
      <w:u w:val="none"/>
    </w:rPr>
  </w:style>
  <w:style w:type="character" w:customStyle="1" w:styleId="50">
    <w:name w:val="标题 2 Char"/>
    <w:qFormat/>
    <w:uiPriority w:val="0"/>
    <w:rPr>
      <w:rFonts w:ascii="Arial" w:hAnsi="Arial" w:eastAsia="黑体"/>
      <w:b/>
      <w:bCs/>
      <w:kern w:val="2"/>
      <w:sz w:val="32"/>
      <w:szCs w:val="32"/>
      <w:lang w:val="en-US" w:eastAsia="zh-CN" w:bidi="ar-SA"/>
    </w:rPr>
  </w:style>
  <w:style w:type="character" w:customStyle="1" w:styleId="51">
    <w:name w:val="Char Char5"/>
    <w:qFormat/>
    <w:uiPriority w:val="0"/>
    <w:rPr>
      <w:rFonts w:ascii="Tahoma" w:hAnsi="Tahoma" w:eastAsia="宋体"/>
      <w:kern w:val="2"/>
      <w:sz w:val="18"/>
      <w:szCs w:val="18"/>
      <w:lang w:val="en-US" w:eastAsia="zh-CN" w:bidi="ar-SA"/>
    </w:rPr>
  </w:style>
  <w:style w:type="character" w:customStyle="1" w:styleId="52">
    <w:name w:val="标题 1.1 Char1"/>
    <w:qFormat/>
    <w:uiPriority w:val="0"/>
    <w:rPr>
      <w:rFonts w:ascii="Arial" w:hAnsi="Arial" w:eastAsia="黑体"/>
      <w:b/>
      <w:bCs/>
      <w:kern w:val="2"/>
      <w:sz w:val="32"/>
      <w:szCs w:val="32"/>
      <w:lang w:val="en-US" w:eastAsia="zh-CN" w:bidi="ar-SA"/>
    </w:rPr>
  </w:style>
  <w:style w:type="character" w:customStyle="1" w:styleId="53">
    <w:name w:val="font01"/>
    <w:qFormat/>
    <w:uiPriority w:val="0"/>
    <w:rPr>
      <w:rFonts w:hint="eastAsia" w:ascii="宋体" w:hAnsi="宋体" w:eastAsia="宋体" w:cs="宋体"/>
      <w:color w:val="000000"/>
      <w:sz w:val="24"/>
      <w:szCs w:val="24"/>
      <w:u w:val="none"/>
    </w:rPr>
  </w:style>
  <w:style w:type="character" w:customStyle="1" w:styleId="54">
    <w:name w:val="font11"/>
    <w:qFormat/>
    <w:uiPriority w:val="0"/>
    <w:rPr>
      <w:rFonts w:hint="eastAsia" w:ascii="宋体" w:hAnsi="宋体" w:eastAsia="宋体" w:cs="宋体"/>
      <w:b/>
      <w:color w:val="000000"/>
      <w:sz w:val="24"/>
      <w:szCs w:val="24"/>
      <w:u w:val="none"/>
    </w:rPr>
  </w:style>
  <w:style w:type="character" w:customStyle="1" w:styleId="55">
    <w:name w:val="Char Char"/>
    <w:qFormat/>
    <w:uiPriority w:val="0"/>
    <w:rPr>
      <w:rFonts w:ascii="Tahoma" w:hAnsi="Tahoma"/>
      <w:kern w:val="2"/>
      <w:sz w:val="21"/>
      <w:szCs w:val="24"/>
    </w:rPr>
  </w:style>
  <w:style w:type="character" w:customStyle="1" w:styleId="56">
    <w:name w:val="style111"/>
    <w:qFormat/>
    <w:uiPriority w:val="0"/>
    <w:rPr>
      <w:rFonts w:ascii="Tahoma" w:hAnsi="Tahoma"/>
      <w:sz w:val="22"/>
      <w:szCs w:val="22"/>
    </w:rPr>
  </w:style>
  <w:style w:type="character" w:customStyle="1" w:styleId="57">
    <w:name w:val="displayarti"/>
    <w:basedOn w:val="28"/>
    <w:qFormat/>
    <w:uiPriority w:val="0"/>
    <w:rPr>
      <w:color w:val="FFFFFF"/>
      <w:shd w:val="clear" w:color="auto" w:fill="A00000"/>
    </w:rPr>
  </w:style>
  <w:style w:type="character" w:customStyle="1" w:styleId="58">
    <w:name w:val="Char Char7"/>
    <w:qFormat/>
    <w:uiPriority w:val="0"/>
    <w:rPr>
      <w:rFonts w:ascii="Tahoma" w:hAnsi="Tahoma" w:eastAsia="宋体"/>
      <w:b/>
      <w:bCs/>
      <w:kern w:val="44"/>
      <w:sz w:val="44"/>
      <w:szCs w:val="44"/>
      <w:lang w:val="en-US" w:eastAsia="zh-CN" w:bidi="ar-SA"/>
    </w:rPr>
  </w:style>
  <w:style w:type="character" w:customStyle="1" w:styleId="59">
    <w:name w:val="font31"/>
    <w:qFormat/>
    <w:uiPriority w:val="0"/>
    <w:rPr>
      <w:rFonts w:hint="eastAsia" w:ascii="宋体" w:hAnsi="宋体" w:eastAsia="宋体" w:cs="宋体"/>
      <w:color w:val="000000"/>
      <w:sz w:val="21"/>
      <w:szCs w:val="21"/>
      <w:u w:val="none"/>
    </w:rPr>
  </w:style>
  <w:style w:type="character" w:customStyle="1" w:styleId="60">
    <w:name w:val="Char Char2"/>
    <w:qFormat/>
    <w:uiPriority w:val="0"/>
    <w:rPr>
      <w:rFonts w:ascii="华文仿宋" w:hAnsi="华文仿宋" w:eastAsia="华文仿宋"/>
      <w:color w:val="000000"/>
      <w:sz w:val="32"/>
      <w:szCs w:val="32"/>
      <w:lang w:val="en-US" w:eastAsia="zh-CN" w:bidi="ar-SA"/>
    </w:rPr>
  </w:style>
  <w:style w:type="character" w:customStyle="1" w:styleId="61">
    <w:name w:val="style51"/>
    <w:qFormat/>
    <w:uiPriority w:val="0"/>
    <w:rPr>
      <w:rFonts w:ascii="Tahoma" w:hAnsi="Tahoma"/>
      <w:b/>
      <w:bCs/>
      <w:color w:val="814107"/>
      <w:sz w:val="21"/>
      <w:szCs w:val="21"/>
    </w:rPr>
  </w:style>
  <w:style w:type="character" w:customStyle="1" w:styleId="62">
    <w:name w:val="页脚 字符"/>
    <w:link w:val="19"/>
    <w:qFormat/>
    <w:uiPriority w:val="99"/>
    <w:rPr>
      <w:rFonts w:ascii="Tahoma" w:hAnsi="Tahoma"/>
      <w:kern w:val="2"/>
      <w:sz w:val="18"/>
      <w:szCs w:val="18"/>
    </w:rPr>
  </w:style>
  <w:style w:type="character" w:customStyle="1" w:styleId="63">
    <w:name w:val="标题 1.1 Char"/>
    <w:qFormat/>
    <w:uiPriority w:val="0"/>
    <w:rPr>
      <w:rFonts w:ascii="仿宋_GB2312" w:hAnsi="Arial" w:eastAsia="仿宋_GB2312" w:cs="Arial"/>
      <w:b/>
      <w:bCs/>
      <w:kern w:val="2"/>
      <w:sz w:val="24"/>
      <w:szCs w:val="24"/>
      <w:lang w:val="en-US" w:eastAsia="zh-CN" w:bidi="ar-SA"/>
    </w:rPr>
  </w:style>
  <w:style w:type="character" w:customStyle="1" w:styleId="64">
    <w:name w:val="普通文字 Char1"/>
    <w:qFormat/>
    <w:uiPriority w:val="0"/>
    <w:rPr>
      <w:rFonts w:ascii="宋体" w:hAnsi="Courier New" w:eastAsia="宋体"/>
      <w:kern w:val="2"/>
      <w:sz w:val="21"/>
      <w:szCs w:val="21"/>
      <w:lang w:val="en-US" w:eastAsia="zh-CN" w:bidi="ar-SA"/>
    </w:rPr>
  </w:style>
  <w:style w:type="character" w:customStyle="1" w:styleId="65">
    <w:name w:val="font41"/>
    <w:qFormat/>
    <w:uiPriority w:val="0"/>
    <w:rPr>
      <w:rFonts w:ascii="font-weight : 400" w:hAnsi="font-weight : 400" w:eastAsia="font-weight : 400" w:cs="font-weight : 400"/>
      <w:color w:val="000000"/>
      <w:sz w:val="21"/>
      <w:szCs w:val="21"/>
      <w:u w:val="none"/>
    </w:rPr>
  </w:style>
  <w:style w:type="character" w:customStyle="1" w:styleId="66">
    <w:name w:val="批注主题 字符"/>
    <w:link w:val="25"/>
    <w:qFormat/>
    <w:uiPriority w:val="0"/>
    <w:rPr>
      <w:rFonts w:ascii="Tahoma" w:hAnsi="Tahoma"/>
      <w:b/>
      <w:bCs/>
      <w:kern w:val="2"/>
      <w:sz w:val="21"/>
      <w:szCs w:val="24"/>
    </w:rPr>
  </w:style>
  <w:style w:type="character" w:customStyle="1" w:styleId="67">
    <w:name w:val="redfilefwwh"/>
    <w:basedOn w:val="28"/>
    <w:qFormat/>
    <w:uiPriority w:val="0"/>
    <w:rPr>
      <w:color w:val="BA2636"/>
      <w:sz w:val="18"/>
      <w:szCs w:val="18"/>
    </w:rPr>
  </w:style>
  <w:style w:type="character" w:customStyle="1" w:styleId="68">
    <w:name w:val="批注文字 字符"/>
    <w:link w:val="10"/>
    <w:semiHidden/>
    <w:qFormat/>
    <w:uiPriority w:val="99"/>
    <w:rPr>
      <w:rFonts w:ascii="Tahoma" w:hAnsi="Tahoma"/>
      <w:kern w:val="2"/>
      <w:sz w:val="21"/>
      <w:szCs w:val="24"/>
    </w:rPr>
  </w:style>
  <w:style w:type="character" w:customStyle="1" w:styleId="69">
    <w:name w:val="redfilenumber"/>
    <w:basedOn w:val="28"/>
    <w:qFormat/>
    <w:uiPriority w:val="0"/>
    <w:rPr>
      <w:color w:val="BA2636"/>
      <w:sz w:val="18"/>
      <w:szCs w:val="18"/>
    </w:rPr>
  </w:style>
  <w:style w:type="paragraph" w:customStyle="1" w:styleId="70">
    <w:name w:val="Char1 Char Char Char"/>
    <w:basedOn w:val="1"/>
    <w:qFormat/>
    <w:uiPriority w:val="0"/>
    <w:pPr>
      <w:adjustRightInd w:val="0"/>
      <w:spacing w:line="360" w:lineRule="auto"/>
    </w:pPr>
    <w:rPr>
      <w:kern w:val="0"/>
      <w:sz w:val="24"/>
      <w:szCs w:val="20"/>
    </w:rPr>
  </w:style>
  <w:style w:type="paragraph" w:customStyle="1" w:styleId="71">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2">
    <w:name w:val="_Style 2"/>
    <w:basedOn w:val="1"/>
    <w:qFormat/>
    <w:uiPriority w:val="34"/>
    <w:pPr>
      <w:ind w:firstLine="420" w:firstLineChars="200"/>
    </w:pPr>
  </w:style>
  <w:style w:type="paragraph" w:customStyle="1" w:styleId="73">
    <w:name w:val="Char Char Char Char Char Char"/>
    <w:basedOn w:val="1"/>
    <w:qFormat/>
    <w:uiPriority w:val="0"/>
    <w:rPr>
      <w:rFonts w:ascii="Tahoma" w:hAnsi="Tahoma"/>
      <w:sz w:val="24"/>
    </w:rPr>
  </w:style>
  <w:style w:type="paragraph" w:customStyle="1" w:styleId="74">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5">
    <w:name w:val="Char Char Char"/>
    <w:basedOn w:val="1"/>
    <w:qFormat/>
    <w:uiPriority w:val="0"/>
    <w:rPr>
      <w:rFonts w:ascii="Tahoma" w:hAnsi="Tahoma"/>
      <w:sz w:val="24"/>
      <w:szCs w:val="20"/>
    </w:rPr>
  </w:style>
  <w:style w:type="paragraph" w:customStyle="1" w:styleId="7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7">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8">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二级条标题"/>
    <w:basedOn w:val="80"/>
    <w:next w:val="1"/>
    <w:qFormat/>
    <w:uiPriority w:val="0"/>
    <w:pPr>
      <w:numPr>
        <w:ilvl w:val="3"/>
      </w:numPr>
      <w:outlineLvl w:val="3"/>
    </w:pPr>
  </w:style>
  <w:style w:type="paragraph" w:customStyle="1" w:styleId="80">
    <w:name w:val="一级条标题"/>
    <w:basedOn w:val="74"/>
    <w:next w:val="1"/>
    <w:qFormat/>
    <w:uiPriority w:val="0"/>
    <w:pPr>
      <w:numPr>
        <w:ilvl w:val="2"/>
      </w:numPr>
      <w:spacing w:beforeLines="0" w:afterLines="0"/>
      <w:outlineLvl w:val="2"/>
    </w:pPr>
  </w:style>
  <w:style w:type="paragraph" w:customStyle="1" w:styleId="81">
    <w:name w:val="Char Char Char1"/>
    <w:basedOn w:val="1"/>
    <w:qFormat/>
    <w:uiPriority w:val="0"/>
    <w:rPr>
      <w:rFonts w:ascii="Tahoma" w:hAnsi="Tahoma"/>
      <w:sz w:val="24"/>
      <w:szCs w:val="20"/>
    </w:rPr>
  </w:style>
  <w:style w:type="paragraph" w:customStyle="1" w:styleId="82">
    <w:name w:val="样式5"/>
    <w:basedOn w:val="83"/>
    <w:qFormat/>
    <w:uiPriority w:val="0"/>
    <w:pPr>
      <w:numPr>
        <w:ilvl w:val="3"/>
      </w:numPr>
      <w:tabs>
        <w:tab w:val="left" w:pos="432"/>
      </w:tabs>
      <w:spacing w:before="156"/>
    </w:pPr>
  </w:style>
  <w:style w:type="paragraph" w:customStyle="1" w:styleId="83">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4">
    <w:name w:val="Char"/>
    <w:basedOn w:val="1"/>
    <w:qFormat/>
    <w:uiPriority w:val="0"/>
    <w:pPr>
      <w:adjustRightInd w:val="0"/>
      <w:spacing w:line="360" w:lineRule="auto"/>
    </w:pPr>
    <w:rPr>
      <w:kern w:val="0"/>
      <w:sz w:val="24"/>
      <w:szCs w:val="20"/>
    </w:rPr>
  </w:style>
  <w:style w:type="paragraph" w:customStyle="1" w:styleId="85">
    <w:name w:val="Char1"/>
    <w:basedOn w:val="1"/>
    <w:qFormat/>
    <w:uiPriority w:val="0"/>
    <w:pPr>
      <w:adjustRightInd w:val="0"/>
      <w:spacing w:line="360" w:lineRule="auto"/>
    </w:pPr>
    <w:rPr>
      <w:kern w:val="0"/>
      <w:sz w:val="24"/>
      <w:szCs w:val="20"/>
    </w:rPr>
  </w:style>
  <w:style w:type="paragraph" w:customStyle="1" w:styleId="86">
    <w:name w:val="三级条标题"/>
    <w:basedOn w:val="79"/>
    <w:next w:val="1"/>
    <w:qFormat/>
    <w:uiPriority w:val="0"/>
    <w:pPr>
      <w:numPr>
        <w:ilvl w:val="4"/>
      </w:numPr>
      <w:outlineLvl w:val="4"/>
    </w:pPr>
  </w:style>
  <w:style w:type="paragraph" w:customStyle="1" w:styleId="87">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8">
    <w:name w:val="Char Char Char Char Char Char Char"/>
    <w:basedOn w:val="1"/>
    <w:qFormat/>
    <w:uiPriority w:val="0"/>
    <w:rPr>
      <w:rFonts w:ascii="Tahoma" w:hAnsi="Tahoma" w:cs="Arial"/>
      <w:szCs w:val="21"/>
    </w:rPr>
  </w:style>
  <w:style w:type="paragraph" w:customStyle="1" w:styleId="89">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0">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1">
    <w:name w:val="五级条标题"/>
    <w:basedOn w:val="92"/>
    <w:next w:val="1"/>
    <w:qFormat/>
    <w:uiPriority w:val="0"/>
    <w:pPr>
      <w:numPr>
        <w:ilvl w:val="6"/>
      </w:numPr>
      <w:outlineLvl w:val="6"/>
    </w:pPr>
  </w:style>
  <w:style w:type="paragraph" w:customStyle="1" w:styleId="92">
    <w:name w:val="四级条标题"/>
    <w:basedOn w:val="86"/>
    <w:next w:val="1"/>
    <w:qFormat/>
    <w:uiPriority w:val="0"/>
    <w:pPr>
      <w:numPr>
        <w:ilvl w:val="5"/>
      </w:numPr>
      <w:outlineLvl w:val="5"/>
    </w:pPr>
  </w:style>
  <w:style w:type="paragraph" w:customStyle="1" w:styleId="93">
    <w:name w:val="Normal Indent1"/>
    <w:basedOn w:val="1"/>
    <w:qFormat/>
    <w:uiPriority w:val="99"/>
    <w:pPr>
      <w:autoSpaceDE w:val="0"/>
      <w:autoSpaceDN w:val="0"/>
      <w:adjustRightInd w:val="0"/>
      <w:ind w:firstLine="420"/>
    </w:pPr>
    <w:rPr>
      <w:kern w:val="0"/>
      <w:szCs w:val="21"/>
    </w:rPr>
  </w:style>
  <w:style w:type="paragraph" w:customStyle="1" w:styleId="94">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5">
    <w:name w:val="样式6"/>
    <w:basedOn w:val="83"/>
    <w:qFormat/>
    <w:uiPriority w:val="0"/>
    <w:pPr>
      <w:numPr>
        <w:ilvl w:val="2"/>
      </w:numPr>
      <w:tabs>
        <w:tab w:val="clear" w:pos="432"/>
      </w:tabs>
      <w:spacing w:before="156"/>
      <w:outlineLvl w:val="4"/>
    </w:pPr>
    <w:rPr>
      <w:rFonts w:ascii="MS Shell Dlg" w:hAnsi="MS Shell Dlg"/>
    </w:rPr>
  </w:style>
  <w:style w:type="paragraph" w:styleId="96">
    <w:name w:val="List Paragraph"/>
    <w:basedOn w:val="1"/>
    <w:qFormat/>
    <w:uiPriority w:val="34"/>
    <w:pPr>
      <w:ind w:firstLine="420" w:firstLineChars="200"/>
    </w:pPr>
    <w:rPr>
      <w:sz w:val="28"/>
    </w:rPr>
  </w:style>
  <w:style w:type="paragraph" w:customStyle="1" w:styleId="97">
    <w:name w:val="列出段落1"/>
    <w:basedOn w:val="1"/>
    <w:qFormat/>
    <w:uiPriority w:val="0"/>
    <w:pPr>
      <w:ind w:firstLine="420" w:firstLineChars="200"/>
    </w:pPr>
    <w:rPr>
      <w:rFonts w:ascii="Calibri" w:hAnsi="Calibri"/>
      <w:kern w:val="0"/>
      <w:sz w:val="20"/>
      <w:szCs w:val="20"/>
    </w:rPr>
  </w:style>
  <w:style w:type="paragraph" w:customStyle="1" w:styleId="98">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99">
    <w:name w:val="Table Paragraph"/>
    <w:basedOn w:val="1"/>
    <w:unhideWhenUsed/>
    <w:qFormat/>
    <w:uiPriority w:val="1"/>
    <w:rPr>
      <w:rFonts w:hint="eastAsia"/>
      <w:sz w:val="24"/>
    </w:rPr>
  </w:style>
  <w:style w:type="paragraph" w:customStyle="1" w:styleId="100">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101">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2">
    <w:name w:val="标题 2 字符"/>
    <w:link w:val="5"/>
    <w:qFormat/>
    <w:uiPriority w:val="0"/>
    <w:rPr>
      <w:rFonts w:ascii="Arial" w:hAnsi="Arial" w:eastAsia="黑体"/>
      <w:b/>
      <w:bCs/>
      <w:sz w:val="32"/>
      <w:szCs w:val="32"/>
    </w:rPr>
  </w:style>
  <w:style w:type="character" w:customStyle="1" w:styleId="103">
    <w:name w:val="标题 1 字符"/>
    <w:link w:val="4"/>
    <w:qFormat/>
    <w:uiPriority w:val="0"/>
    <w:rPr>
      <w:b/>
      <w:bCs/>
      <w:kern w:val="44"/>
      <w:sz w:val="44"/>
      <w:szCs w:val="44"/>
    </w:rPr>
  </w:style>
  <w:style w:type="character" w:customStyle="1" w:styleId="104">
    <w:name w:val="标题 3 字符"/>
    <w:link w:val="6"/>
    <w:qFormat/>
    <w:uiPriority w:val="0"/>
    <w:rPr>
      <w:b/>
      <w:bCs/>
      <w:sz w:val="32"/>
      <w:szCs w:val="32"/>
    </w:rPr>
  </w:style>
  <w:style w:type="character" w:customStyle="1" w:styleId="105">
    <w:name w:val="label"/>
    <w:basedOn w:val="28"/>
    <w:qFormat/>
    <w:uiPriority w:val="0"/>
    <w:rPr>
      <w:color w:val="999999"/>
    </w:rPr>
  </w:style>
  <w:style w:type="character" w:customStyle="1" w:styleId="106">
    <w:name w:val="layui-laypage-curr"/>
    <w:basedOn w:val="28"/>
    <w:qFormat/>
    <w:uiPriority w:val="0"/>
  </w:style>
  <w:style w:type="paragraph" w:customStyle="1" w:styleId="1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08">
    <w:name w:val="time4"/>
    <w:basedOn w:val="28"/>
    <w:qFormat/>
    <w:uiPriority w:val="0"/>
    <w:rPr>
      <w:color w:val="484848"/>
    </w:rPr>
  </w:style>
  <w:style w:type="character" w:customStyle="1" w:styleId="109">
    <w:name w:val="time"/>
    <w:basedOn w:val="28"/>
    <w:qFormat/>
    <w:uiPriority w:val="0"/>
    <w:rPr>
      <w:color w:val="484848"/>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9AF57-27B5-49DB-BD11-75B5B17BEBE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65</Pages>
  <Words>7383</Words>
  <Characters>42087</Characters>
  <Lines>350</Lines>
  <Paragraphs>98</Paragraphs>
  <TotalTime>2</TotalTime>
  <ScaleCrop>false</ScaleCrop>
  <LinksUpToDate>false</LinksUpToDate>
  <CharactersWithSpaces>49372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2019-09-01T07:55:00Z</cp:lastPrinted>
  <dcterms:modified xsi:type="dcterms:W3CDTF">2021-10-08T01:34:39Z</dcterms:modified>
  <dc:title>湖 北  招 标</dc:title>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0893775613E244AFB9EB63BD0AF6EFDD</vt:lpwstr>
  </property>
</Properties>
</file>