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宋体" w:hAnsi="宋体" w:cs="宋体"/>
          <w:sz w:val="28"/>
        </w:rPr>
        <w:drawing>
          <wp:anchor distT="0" distB="0" distL="114300" distR="114300" simplePos="0" relativeHeight="251662336" behindDoc="0" locked="0" layoutInCell="1" allowOverlap="1">
            <wp:simplePos x="0" y="0"/>
            <wp:positionH relativeFrom="column">
              <wp:posOffset>5117465</wp:posOffset>
            </wp:positionH>
            <wp:positionV relativeFrom="paragraph">
              <wp:posOffset>69215</wp:posOffset>
            </wp:positionV>
            <wp:extent cx="1444625" cy="341630"/>
            <wp:effectExtent l="5080" t="0" r="0" b="172720"/>
            <wp:wrapNone/>
            <wp:docPr id="1" name="图片 4" descr="20170807174919_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20170807174919_93367"/>
                    <pic:cNvPicPr>
                      <a:picLocks noChangeAspect="1"/>
                    </pic:cNvPicPr>
                  </pic:nvPicPr>
                  <pic:blipFill>
                    <a:blip r:embed="rId13"/>
                    <a:srcRect r="10705"/>
                    <a:stretch>
                      <a:fillRect/>
                    </a:stretch>
                  </pic:blipFill>
                  <pic:spPr>
                    <a:xfrm>
                      <a:off x="0" y="0"/>
                      <a:ext cx="1444625" cy="341630"/>
                    </a:xfrm>
                    <a:prstGeom prst="rect">
                      <a:avLst/>
                    </a:prstGeom>
                    <a:effectLst>
                      <a:reflection blurRad="6350" stA="52000" endA="300" endPos="35000" dir="5400000" sy="-100000" algn="bl"/>
                    </a:effectLst>
                  </pic:spPr>
                </pic:pic>
              </a:graphicData>
            </a:graphic>
          </wp:anchor>
        </w:drawing>
      </w:r>
      <w:r>
        <w:rPr>
          <w:rFonts w:hint="eastAsia" w:ascii="宋体" w:hAnsi="宋体" w:cs="宋体"/>
          <w:sz w:val="28"/>
        </w:rPr>
        <w:drawing>
          <wp:anchor distT="0" distB="0" distL="114300" distR="114300" simplePos="0" relativeHeight="251661312" behindDoc="1" locked="0" layoutInCell="1" allowOverlap="1">
            <wp:simplePos x="0" y="0"/>
            <wp:positionH relativeFrom="column">
              <wp:posOffset>-759460</wp:posOffset>
            </wp:positionH>
            <wp:positionV relativeFrom="paragraph">
              <wp:posOffset>-897890</wp:posOffset>
            </wp:positionV>
            <wp:extent cx="7557135" cy="10709910"/>
            <wp:effectExtent l="0" t="0" r="5715" b="15240"/>
            <wp:wrapNone/>
            <wp:docPr id="3" name="图片 3" descr="文字文稿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文字文稿7_01"/>
                    <pic:cNvPicPr>
                      <a:picLocks noChangeAspect="1"/>
                    </pic:cNvPicPr>
                  </pic:nvPicPr>
                  <pic:blipFill>
                    <a:blip r:embed="rId14"/>
                    <a:stretch>
                      <a:fillRect/>
                    </a:stretch>
                  </pic:blipFill>
                  <pic:spPr>
                    <a:xfrm>
                      <a:off x="0" y="0"/>
                      <a:ext cx="7557135" cy="10709910"/>
                    </a:xfrm>
                    <a:prstGeom prst="rect">
                      <a:avLst/>
                    </a:prstGeom>
                    <a:ln w="12700">
                      <a:noFill/>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br w:type="textWrapping"/>
      </w:r>
      <w:r>
        <w:br w:type="textWrapping"/>
      </w:r>
    </w:p>
    <w:p>
      <w:pPr>
        <w:pStyle w:val="2"/>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竞争性磋商采购文件</w:t>
      </w:r>
    </w:p>
    <w:p>
      <w:pPr>
        <w:pStyle w:val="2"/>
        <w:kinsoku w:val="0"/>
        <w:overflowPunct w:val="0"/>
        <w:rPr>
          <w:rFonts w:asciiTheme="minorEastAsia" w:hAnsiTheme="minorEastAsia" w:eastAsiaTheme="minorEastAsia" w:cstheme="minorEastAsia"/>
          <w:sz w:val="20"/>
        </w:rPr>
      </w:pPr>
    </w:p>
    <w:p>
      <w:pPr>
        <w:pStyle w:val="2"/>
        <w:kinsoku w:val="0"/>
        <w:overflowPunct w:val="0"/>
        <w:jc w:val="center"/>
        <w:rPr>
          <w:rFonts w:asciiTheme="minorEastAsia" w:hAnsiTheme="minorEastAsia" w:eastAsiaTheme="minorEastAsia" w:cstheme="minorEastAsia"/>
          <w:sz w:val="20"/>
        </w:rPr>
      </w:pPr>
    </w:p>
    <w:p>
      <w:pPr>
        <w:pStyle w:val="2"/>
        <w:kinsoku w:val="0"/>
        <w:overflowPunct w:val="0"/>
        <w:rPr>
          <w:rFonts w:asciiTheme="minorEastAsia" w:hAnsiTheme="minorEastAsia" w:eastAsiaTheme="minorEastAsia" w:cstheme="minorEastAsia"/>
          <w:sz w:val="20"/>
        </w:rPr>
      </w:pPr>
    </w:p>
    <w:p>
      <w:pPr>
        <w:pStyle w:val="2"/>
        <w:kinsoku w:val="0"/>
        <w:overflowPunct w:val="0"/>
        <w:rPr>
          <w:rFonts w:asciiTheme="minorEastAsia" w:hAnsiTheme="minorEastAsia" w:eastAsiaTheme="minorEastAsia" w:cstheme="minorEastAsia"/>
          <w:sz w:val="20"/>
        </w:rPr>
      </w:pPr>
    </w:p>
    <w:p>
      <w:pPr>
        <w:pStyle w:val="2"/>
        <w:kinsoku w:val="0"/>
        <w:overflowPunct w:val="0"/>
        <w:spacing w:before="2" w:after="1"/>
        <w:rPr>
          <w:rFonts w:asciiTheme="minorEastAsia" w:hAnsiTheme="minorEastAsia" w:eastAsiaTheme="minorEastAsia" w:cstheme="minorEastAsia"/>
          <w:sz w:val="11"/>
        </w:rPr>
      </w:pPr>
    </w:p>
    <w:tbl>
      <w:tblPr>
        <w:tblStyle w:val="26"/>
        <w:tblW w:w="8504" w:type="dxa"/>
        <w:tblInd w:w="690" w:type="dxa"/>
        <w:tblLayout w:type="fixed"/>
        <w:tblCellMar>
          <w:top w:w="0" w:type="dxa"/>
          <w:left w:w="0" w:type="dxa"/>
          <w:bottom w:w="0" w:type="dxa"/>
          <w:right w:w="0" w:type="dxa"/>
        </w:tblCellMar>
      </w:tblPr>
      <w:tblGrid>
        <w:gridCol w:w="2120"/>
        <w:gridCol w:w="6384"/>
      </w:tblGrid>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9"/>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项目编号：</w:t>
            </w:r>
          </w:p>
        </w:tc>
        <w:tc>
          <w:tcPr>
            <w:tcW w:w="6384" w:type="dxa"/>
            <w:tcBorders>
              <w:top w:val="nil"/>
              <w:left w:val="nil"/>
              <w:bottom w:val="nil"/>
              <w:right w:val="nil"/>
              <w:tl2br w:val="nil"/>
              <w:tr2bl w:val="nil"/>
            </w:tcBorders>
            <w:vAlign w:val="center"/>
          </w:tcPr>
          <w:p>
            <w:pPr>
              <w:pStyle w:val="99"/>
              <w:kinsoku w:val="0"/>
              <w:overflowPunct w:val="0"/>
              <w:spacing w:before="122"/>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HGDXW23-076/ZCHM-202310-237</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9"/>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项目名称：</w:t>
            </w:r>
          </w:p>
        </w:tc>
        <w:tc>
          <w:tcPr>
            <w:tcW w:w="6384" w:type="dxa"/>
            <w:tcBorders>
              <w:top w:val="nil"/>
              <w:left w:val="nil"/>
              <w:bottom w:val="nil"/>
              <w:right w:val="nil"/>
              <w:tl2br w:val="nil"/>
              <w:tr2bl w:val="nil"/>
            </w:tcBorders>
            <w:vAlign w:val="center"/>
          </w:tcPr>
          <w:p>
            <w:pPr>
              <w:pStyle w:val="99"/>
              <w:kinsoku w:val="0"/>
              <w:overflowPunct w:val="0"/>
              <w:spacing w:before="123" w:line="242" w:lineRule="auto"/>
              <w:ind w:left="55" w:right="136"/>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湖北工业大学高频开关电源测量设备项目</w:t>
            </w:r>
            <w:r>
              <w:rPr>
                <w:rFonts w:hint="eastAsia" w:asciiTheme="minorEastAsia" w:hAnsiTheme="minorEastAsia" w:eastAsiaTheme="minorEastAsia" w:cstheme="minorEastAsia"/>
                <w:b/>
                <w:sz w:val="28"/>
                <w:lang w:eastAsia="zh-CN"/>
              </w:rPr>
              <w:t>（二次）</w:t>
            </w:r>
            <w:r>
              <w:rPr>
                <w:rFonts w:asciiTheme="minorEastAsia" w:hAnsiTheme="minorEastAsia" w:eastAsiaTheme="minorEastAsia" w:cstheme="minorEastAsia"/>
                <w:b/>
                <w:sz w:val="28"/>
              </w:rPr>
              <w:t xml:space="preserve">   </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9"/>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采购方式：</w:t>
            </w:r>
          </w:p>
        </w:tc>
        <w:tc>
          <w:tcPr>
            <w:tcW w:w="6384" w:type="dxa"/>
            <w:tcBorders>
              <w:top w:val="nil"/>
              <w:left w:val="nil"/>
              <w:bottom w:val="nil"/>
              <w:right w:val="nil"/>
              <w:tl2br w:val="nil"/>
              <w:tr2bl w:val="nil"/>
            </w:tcBorders>
            <w:vAlign w:val="center"/>
          </w:tcPr>
          <w:p>
            <w:pPr>
              <w:pStyle w:val="99"/>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9"/>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采购类别：</w:t>
            </w:r>
          </w:p>
        </w:tc>
        <w:tc>
          <w:tcPr>
            <w:tcW w:w="6384" w:type="dxa"/>
            <w:tcBorders>
              <w:top w:val="nil"/>
              <w:left w:val="nil"/>
              <w:bottom w:val="nil"/>
              <w:right w:val="nil"/>
              <w:tl2br w:val="nil"/>
              <w:tr2bl w:val="nil"/>
            </w:tcBorders>
            <w:vAlign w:val="center"/>
          </w:tcPr>
          <w:p>
            <w:pPr>
              <w:pStyle w:val="99"/>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2"/>
        <w:kinsoku w:val="0"/>
        <w:overflowPunct w:val="0"/>
        <w:rPr>
          <w:rFonts w:asciiTheme="minorEastAsia" w:hAnsiTheme="minorEastAsia" w:eastAsiaTheme="minorEastAsia" w:cstheme="minorEastAsia"/>
          <w:sz w:val="20"/>
        </w:rPr>
      </w:pPr>
    </w:p>
    <w:p>
      <w:pPr>
        <w:pStyle w:val="2"/>
        <w:kinsoku w:val="0"/>
        <w:overflowPunct w:val="0"/>
        <w:rPr>
          <w:rFonts w:asciiTheme="minorEastAsia" w:hAnsiTheme="minorEastAsia" w:eastAsiaTheme="minorEastAsia" w:cstheme="minorEastAsia"/>
          <w:sz w:val="20"/>
        </w:rPr>
      </w:pPr>
    </w:p>
    <w:p>
      <w:pPr>
        <w:pStyle w:val="2"/>
        <w:kinsoku w:val="0"/>
        <w:overflowPunct w:val="0"/>
        <w:rPr>
          <w:rFonts w:asciiTheme="minorEastAsia" w:hAnsiTheme="minorEastAsia" w:eastAsiaTheme="minorEastAsia" w:cstheme="minorEastAsia"/>
          <w:sz w:val="20"/>
        </w:rPr>
      </w:pPr>
    </w:p>
    <w:p>
      <w:pPr>
        <w:pStyle w:val="2"/>
        <w:kinsoku w:val="0"/>
        <w:overflowPunct w:val="0"/>
        <w:rPr>
          <w:rFonts w:asciiTheme="minorEastAsia" w:hAnsiTheme="minorEastAsia" w:eastAsiaTheme="minorEastAsia" w:cstheme="minorEastAsia"/>
          <w:sz w:val="20"/>
        </w:rPr>
      </w:pPr>
    </w:p>
    <w:p>
      <w:pPr>
        <w:pStyle w:val="2"/>
        <w:kinsoku w:val="0"/>
        <w:overflowPunct w:val="0"/>
        <w:rPr>
          <w:rFonts w:asciiTheme="minorEastAsia" w:hAnsiTheme="minorEastAsia" w:eastAsiaTheme="minorEastAsia" w:cstheme="minorEastAsia"/>
          <w:sz w:val="20"/>
        </w:rPr>
      </w:pPr>
    </w:p>
    <w:p>
      <w:pPr>
        <w:pStyle w:val="2"/>
        <w:kinsoku w:val="0"/>
        <w:overflowPunct w:val="0"/>
        <w:rPr>
          <w:rFonts w:asciiTheme="minorEastAsia" w:hAnsiTheme="minorEastAsia" w:eastAsiaTheme="minorEastAsia" w:cstheme="minorEastAsia"/>
          <w:sz w:val="20"/>
        </w:rPr>
      </w:pPr>
    </w:p>
    <w:p>
      <w:pPr>
        <w:pStyle w:val="2"/>
        <w:kinsoku w:val="0"/>
        <w:overflowPunct w:val="0"/>
        <w:rPr>
          <w:rFonts w:asciiTheme="minorEastAsia" w:hAnsiTheme="minorEastAsia" w:eastAsiaTheme="minorEastAsia" w:cstheme="minorEastAsia"/>
          <w:sz w:val="20"/>
        </w:rPr>
      </w:pPr>
    </w:p>
    <w:p>
      <w:pPr>
        <w:pStyle w:val="2"/>
        <w:kinsoku w:val="0"/>
        <w:overflowPunct w:val="0"/>
        <w:spacing w:before="4"/>
        <w:rPr>
          <w:rFonts w:asciiTheme="minorEastAsia" w:hAnsiTheme="minorEastAsia" w:eastAsiaTheme="minorEastAsia" w:cstheme="minorEastAsia"/>
          <w:sz w:val="20"/>
        </w:rPr>
      </w:pPr>
    </w:p>
    <w:tbl>
      <w:tblPr>
        <w:tblStyle w:val="26"/>
        <w:tblW w:w="8123" w:type="dxa"/>
        <w:tblInd w:w="713" w:type="dxa"/>
        <w:tblLayout w:type="fixed"/>
        <w:tblCellMar>
          <w:top w:w="0" w:type="dxa"/>
          <w:left w:w="0" w:type="dxa"/>
          <w:bottom w:w="0" w:type="dxa"/>
          <w:right w:w="0" w:type="dxa"/>
        </w:tblCellMar>
      </w:tblPr>
      <w:tblGrid>
        <w:gridCol w:w="2097"/>
        <w:gridCol w:w="6026"/>
      </w:tblGrid>
      <w:tr>
        <w:tblPrEx>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pPr>
              <w:pStyle w:val="99"/>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26"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pPr>
              <w:pStyle w:val="99"/>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26"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中创恒梦工程咨询有限公司</w:t>
            </w:r>
          </w:p>
        </w:tc>
      </w:tr>
      <w:tr>
        <w:tblPrEx>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pPr>
              <w:pStyle w:val="99"/>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w:t>
            </w:r>
          </w:p>
        </w:tc>
        <w:tc>
          <w:tcPr>
            <w:tcW w:w="6026"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2023年</w:t>
            </w:r>
            <w:r>
              <w:rPr>
                <w:rFonts w:hint="eastAsia" w:asciiTheme="minorEastAsia" w:hAnsiTheme="minorEastAsia" w:eastAsiaTheme="minorEastAsia" w:cstheme="minorEastAsia"/>
                <w:b/>
                <w:sz w:val="28"/>
                <w:lang w:val="en-US" w:eastAsia="zh-CN"/>
              </w:rPr>
              <w:t>11</w:t>
            </w:r>
            <w:r>
              <w:rPr>
                <w:rFonts w:asciiTheme="minorEastAsia" w:hAnsiTheme="minorEastAsia" w:eastAsiaTheme="minorEastAsia" w:cstheme="minorEastAsia"/>
                <w:b/>
                <w:sz w:val="28"/>
              </w:rPr>
              <w:t>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tab/>
      </w:r>
      <w:r>
        <w:rPr>
          <w:rFonts w:hint="eastAsia" w:asciiTheme="minorEastAsia" w:hAnsiTheme="minorEastAsia" w:eastAsiaTheme="minorEastAsia" w:cstheme="minorEastAsia"/>
          <w:b/>
          <w:bCs/>
          <w:sz w:val="24"/>
          <w:lang w:val="zh-CN"/>
        </w:rPr>
        <w:t>目  录</w:t>
      </w:r>
      <w:r>
        <w:tab/>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_Toc5335 </w:instrText>
      </w:r>
      <w:r>
        <w:rPr>
          <w:rFonts w:hint="eastAsia" w:asciiTheme="minorEastAsia" w:hAnsiTheme="minorEastAsia" w:eastAsiaTheme="minorEastAsia" w:cstheme="minorEastAsia"/>
          <w:szCs w:val="21"/>
        </w:rPr>
        <w:fldChar w:fldCharType="separate"/>
      </w:r>
      <w:r>
        <w:rPr>
          <w:rFonts w:hint="default"/>
          <w:bCs/>
          <w:szCs w:val="36"/>
        </w:rPr>
        <w:t xml:space="preserve">第一章 </w:t>
      </w:r>
      <w:r>
        <w:rPr>
          <w:rFonts w:hint="eastAsia" w:ascii="宋体" w:hAnsi="宋体" w:cs="宋体"/>
          <w:szCs w:val="36"/>
        </w:rPr>
        <w:t>竞争性磋商公告</w:t>
      </w:r>
      <w:r>
        <w:tab/>
      </w:r>
      <w:r>
        <w:fldChar w:fldCharType="begin"/>
      </w:r>
      <w:r>
        <w:instrText xml:space="preserve"> PAGEREF _Toc5335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_Toc27038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一、 </w:t>
      </w:r>
      <w:r>
        <w:rPr>
          <w:rFonts w:hint="eastAsia" w:ascii="宋体" w:hAnsi="宋体" w:eastAsia="宋体" w:cs="宋体"/>
          <w:szCs w:val="21"/>
        </w:rPr>
        <w:t>项目基本情况</w:t>
      </w:r>
      <w:r>
        <w:tab/>
      </w:r>
      <w:r>
        <w:fldChar w:fldCharType="begin"/>
      </w:r>
      <w:r>
        <w:instrText xml:space="preserve"> PAGEREF _Toc27038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_Toc31730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二、 </w:t>
      </w:r>
      <w:r>
        <w:rPr>
          <w:rFonts w:hint="eastAsia" w:ascii="宋体" w:hAnsi="宋体" w:eastAsia="宋体" w:cs="宋体"/>
          <w:szCs w:val="21"/>
        </w:rPr>
        <w:t>申请人的资格要求</w:t>
      </w:r>
      <w:r>
        <w:tab/>
      </w:r>
      <w:r>
        <w:fldChar w:fldCharType="begin"/>
      </w:r>
      <w:r>
        <w:instrText xml:space="preserve"> PAGEREF _Toc31730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_Toc29804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三、 </w:t>
      </w:r>
      <w:r>
        <w:rPr>
          <w:rFonts w:hint="eastAsia" w:ascii="宋体" w:hAnsi="宋体" w:eastAsia="宋体" w:cs="宋体"/>
          <w:szCs w:val="21"/>
        </w:rPr>
        <w:t>获取采购文件</w:t>
      </w:r>
      <w:r>
        <w:tab/>
      </w:r>
      <w:r>
        <w:fldChar w:fldCharType="begin"/>
      </w:r>
      <w:r>
        <w:instrText xml:space="preserve"> PAGEREF _Toc29804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_Toc6228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四、 </w:t>
      </w:r>
      <w:r>
        <w:rPr>
          <w:rFonts w:hint="eastAsia" w:ascii="宋体" w:hAnsi="宋体" w:eastAsia="宋体" w:cs="宋体"/>
          <w:szCs w:val="21"/>
        </w:rPr>
        <w:t>响应文件提交</w:t>
      </w:r>
      <w:r>
        <w:tab/>
      </w:r>
      <w:r>
        <w:fldChar w:fldCharType="begin"/>
      </w:r>
      <w:r>
        <w:instrText xml:space="preserve"> PAGEREF _Toc6228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_Toc29063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五、 </w:t>
      </w:r>
      <w:r>
        <w:rPr>
          <w:rFonts w:hint="eastAsia" w:ascii="宋体" w:hAnsi="宋体" w:eastAsia="宋体" w:cs="宋体"/>
          <w:szCs w:val="21"/>
        </w:rPr>
        <w:t>开启</w:t>
      </w:r>
      <w:r>
        <w:tab/>
      </w:r>
      <w:r>
        <w:fldChar w:fldCharType="begin"/>
      </w:r>
      <w:r>
        <w:instrText xml:space="preserve"> PAGEREF _Toc29063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_Toc4183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六、 </w:t>
      </w:r>
      <w:r>
        <w:rPr>
          <w:rFonts w:hint="eastAsia" w:ascii="宋体" w:hAnsi="宋体" w:eastAsia="宋体" w:cs="宋体"/>
          <w:szCs w:val="21"/>
        </w:rPr>
        <w:t>公告期限</w:t>
      </w:r>
      <w:r>
        <w:tab/>
      </w:r>
      <w:r>
        <w:fldChar w:fldCharType="begin"/>
      </w:r>
      <w:r>
        <w:instrText xml:space="preserve"> PAGEREF _Toc4183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_Toc2329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七、 </w:t>
      </w:r>
      <w:r>
        <w:rPr>
          <w:rFonts w:hint="eastAsia" w:ascii="宋体" w:hAnsi="宋体" w:eastAsia="宋体" w:cs="宋体"/>
          <w:szCs w:val="21"/>
        </w:rPr>
        <w:t>其他补充事宜</w:t>
      </w:r>
      <w:r>
        <w:tab/>
      </w:r>
      <w:r>
        <w:fldChar w:fldCharType="begin"/>
      </w:r>
      <w:r>
        <w:instrText xml:space="preserve"> PAGEREF _Toc2329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_Toc25074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八、 </w:t>
      </w:r>
      <w:r>
        <w:rPr>
          <w:rFonts w:hint="eastAsia" w:ascii="宋体" w:hAnsi="宋体" w:eastAsia="宋体" w:cs="宋体"/>
          <w:szCs w:val="21"/>
        </w:rPr>
        <w:t>凡对本次采购提出询问，请按以下方式联系</w:t>
      </w:r>
      <w:r>
        <w:tab/>
      </w:r>
      <w:r>
        <w:fldChar w:fldCharType="begin"/>
      </w:r>
      <w:r>
        <w:instrText xml:space="preserve"> PAGEREF _Toc25074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_Toc1534 </w:instrText>
      </w:r>
      <w:r>
        <w:rPr>
          <w:rFonts w:hint="eastAsia" w:asciiTheme="minorEastAsia" w:hAnsiTheme="minorEastAsia" w:eastAsiaTheme="minorEastAsia" w:cstheme="minorEastAsia"/>
          <w:szCs w:val="21"/>
        </w:rPr>
        <w:fldChar w:fldCharType="separate"/>
      </w:r>
      <w:r>
        <w:rPr>
          <w:rFonts w:hint="default" w:ascii="宋体" w:hAnsi="宋体" w:cs="宋体"/>
          <w:szCs w:val="36"/>
        </w:rPr>
        <w:t xml:space="preserve">第二章 </w:t>
      </w:r>
      <w:r>
        <w:rPr>
          <w:rFonts w:hint="eastAsia" w:ascii="宋体" w:hAnsi="宋体" w:cs="宋体"/>
          <w:szCs w:val="36"/>
        </w:rPr>
        <w:t>供应商须知</w:t>
      </w:r>
      <w:r>
        <w:tab/>
      </w:r>
      <w:r>
        <w:fldChar w:fldCharType="begin"/>
      </w:r>
      <w:r>
        <w:instrText xml:space="preserve"> PAGEREF _Toc1534 \h </w:instrText>
      </w:r>
      <w:r>
        <w:fldChar w:fldCharType="separate"/>
      </w:r>
      <w:r>
        <w:t>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_Toc26176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_Toc26176 \h </w:instrText>
      </w:r>
      <w:r>
        <w:fldChar w:fldCharType="separate"/>
      </w:r>
      <w:r>
        <w:t>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_Toc6069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_Toc6069 \h </w:instrText>
      </w:r>
      <w:r>
        <w:fldChar w:fldCharType="separate"/>
      </w:r>
      <w:r>
        <w:t>12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_Toc9816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_Toc9816 \h </w:instrText>
      </w:r>
      <w:r>
        <w:fldChar w:fldCharType="separate"/>
      </w:r>
      <w:r>
        <w:t>12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_Toc1119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_Toc1119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_Toc13224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_Toc13224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_Toc21534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_Toc21534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_Toc2170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_Toc2170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_Toc2076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_Toc2076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_Toc22857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_Toc22857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_Toc17139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_Toc17139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_Toc17935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_Toc17935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_Toc13663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_Toc13663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_Toc4789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_Toc4789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_Toc31060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_Toc31060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_Toc2118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_Toc2118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_Toc5873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_Toc5873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_Toc27809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_Toc27809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_Toc2537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_Toc2537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_Toc11444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_Toc11444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_Toc4954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_Toc4954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_Toc30084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_Toc30084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_Toc17190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_Toc17190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_Toc6801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_Toc6801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_Toc15690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_Toc15690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_Toc23649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_Toc23649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_Toc8909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_Toc8909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_Toc30757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_Toc30757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_Toc823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_Toc823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_Toc29152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_Toc29152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_Toc8884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_Toc8884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_Toc21629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_Toc21629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_Toc584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_Toc584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_Toc16292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_Toc16292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_Toc17096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_Toc17096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_Toc6498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_Toc6498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_Toc114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_Toc10713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_Toc10713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_Toc29778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_Toc29778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_Toc22924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_Toc22924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_Toc20961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_Toc20961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_Toc20236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_Toc20236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_Toc19065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_Toc19065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_Toc20242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_Toc20242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_Toc11673 </w:instrText>
      </w:r>
      <w:r>
        <w:rPr>
          <w:rFonts w:hint="eastAsia" w:asciiTheme="minorEastAsia" w:hAnsiTheme="minorEastAsia" w:eastAsiaTheme="minorEastAsia" w:cstheme="minorEastAsia"/>
          <w:szCs w:val="21"/>
        </w:rPr>
        <w:fldChar w:fldCharType="separate"/>
      </w:r>
      <w:r>
        <w:rPr>
          <w:rFonts w:hint="eastAsia" w:ascii="宋体" w:hAnsi="宋体" w:cs="宋体"/>
          <w:szCs w:val="36"/>
        </w:rPr>
        <w:t>第三章 采购需求</w:t>
      </w:r>
      <w:r>
        <w:tab/>
      </w:r>
      <w:r>
        <w:fldChar w:fldCharType="begin"/>
      </w:r>
      <w:r>
        <w:instrText xml:space="preserve"> PAGEREF _Toc11673 \h </w:instrText>
      </w:r>
      <w:r>
        <w:fldChar w:fldCharType="separate"/>
      </w:r>
      <w:r>
        <w:t>26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_Toc6720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_Toc6720 \h </w:instrText>
      </w:r>
      <w:r>
        <w:fldChar w:fldCharType="separate"/>
      </w:r>
      <w:r>
        <w:t>26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_Toc5128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_Toc5128 \h </w:instrText>
      </w:r>
      <w:r>
        <w:fldChar w:fldCharType="separate"/>
      </w:r>
      <w:r>
        <w:t>28</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_Toc7717 </w:instrText>
      </w:r>
      <w:r>
        <w:rPr>
          <w:rFonts w:hint="eastAsia" w:asciiTheme="minorEastAsia" w:hAnsiTheme="minorEastAsia" w:eastAsiaTheme="minorEastAsia" w:cstheme="minorEastAsia"/>
          <w:szCs w:val="21"/>
        </w:rPr>
        <w:fldChar w:fldCharType="separate"/>
      </w:r>
      <w:r>
        <w:rPr>
          <w:rFonts w:hint="eastAsia" w:ascii="宋体" w:hAnsi="宋体" w:cs="宋体"/>
          <w:szCs w:val="36"/>
        </w:rPr>
        <w:t>第四章 竞争性磋商采购评定办法</w:t>
      </w:r>
      <w:r>
        <w:tab/>
      </w:r>
      <w:r>
        <w:fldChar w:fldCharType="begin"/>
      </w:r>
      <w:r>
        <w:instrText xml:space="preserve"> PAGEREF _Toc7717 \h </w:instrText>
      </w:r>
      <w:r>
        <w:fldChar w:fldCharType="separate"/>
      </w:r>
      <w:r>
        <w:t>31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_Toc13661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_Toc13661 \h </w:instrText>
      </w:r>
      <w:r>
        <w:fldChar w:fldCharType="separate"/>
      </w:r>
      <w:r>
        <w:t>31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_Toc15166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_Toc15166 \h </w:instrText>
      </w:r>
      <w:r>
        <w:fldChar w:fldCharType="separate"/>
      </w:r>
      <w:r>
        <w:t>33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_Toc12286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_Toc12286 \h </w:instrText>
      </w:r>
      <w:r>
        <w:fldChar w:fldCharType="separate"/>
      </w:r>
      <w:r>
        <w:t>35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_Toc13519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_Toc13519 \h </w:instrText>
      </w:r>
      <w:r>
        <w:fldChar w:fldCharType="separate"/>
      </w:r>
      <w:r>
        <w:t>37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_Toc31020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_Toc31020 \h </w:instrText>
      </w:r>
      <w:r>
        <w:fldChar w:fldCharType="separate"/>
      </w:r>
      <w:r>
        <w:t>38</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_Toc14869 </w:instrText>
      </w:r>
      <w:r>
        <w:rPr>
          <w:rFonts w:hint="eastAsia" w:asciiTheme="minorEastAsia" w:hAnsiTheme="minorEastAsia" w:eastAsiaTheme="minorEastAsia" w:cstheme="minorEastAsia"/>
          <w:szCs w:val="21"/>
        </w:rPr>
        <w:fldChar w:fldCharType="separate"/>
      </w:r>
      <w:r>
        <w:rPr>
          <w:rFonts w:hint="eastAsia" w:ascii="宋体" w:hAnsi="宋体" w:cs="宋体"/>
          <w:szCs w:val="36"/>
        </w:rPr>
        <w:t>第五章 合同书格式</w:t>
      </w:r>
      <w:r>
        <w:tab/>
      </w:r>
      <w:r>
        <w:fldChar w:fldCharType="begin"/>
      </w:r>
      <w:r>
        <w:instrText xml:space="preserve"> PAGEREF _Toc14869 \h </w:instrText>
      </w:r>
      <w:r>
        <w:fldChar w:fldCharType="separate"/>
      </w:r>
      <w:r>
        <w:t>40</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_Toc23514 </w:instrText>
      </w:r>
      <w:r>
        <w:rPr>
          <w:rFonts w:hint="eastAsia" w:asciiTheme="minorEastAsia" w:hAnsiTheme="minorEastAsia" w:eastAsiaTheme="minorEastAsia" w:cstheme="minorEastAsia"/>
          <w:szCs w:val="21"/>
        </w:rPr>
        <w:fldChar w:fldCharType="separate"/>
      </w:r>
      <w:r>
        <w:rPr>
          <w:rFonts w:hint="eastAsia" w:ascii="宋体" w:hAnsi="宋体" w:cs="宋体"/>
          <w:szCs w:val="36"/>
        </w:rPr>
        <w:t>第六章 竞争性磋商响应文件格式</w:t>
      </w:r>
      <w:r>
        <w:tab/>
      </w:r>
      <w:r>
        <w:fldChar w:fldCharType="begin"/>
      </w:r>
      <w:r>
        <w:instrText xml:space="preserve"> PAGEREF _Toc23514 \h </w:instrText>
      </w:r>
      <w:r>
        <w:fldChar w:fldCharType="separate"/>
      </w:r>
      <w:r>
        <w:t>44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_Toc4961 </w:instrText>
      </w:r>
      <w:r>
        <w:rPr>
          <w:rFonts w:hint="eastAsia" w:asciiTheme="minorEastAsia" w:hAnsiTheme="minorEastAsia" w:eastAsiaTheme="minorEastAsia" w:cstheme="minorEastAsia"/>
          <w:szCs w:val="21"/>
        </w:rPr>
        <w:fldChar w:fldCharType="separate"/>
      </w:r>
      <w:r>
        <w:rPr>
          <w:rFonts w:hint="eastAsia" w:ascii="宋体" w:hAnsi="宋体" w:cs="宋体"/>
          <w:szCs w:val="21"/>
        </w:rPr>
        <w:t>一、评分标准索引表</w:t>
      </w:r>
      <w:r>
        <w:tab/>
      </w:r>
      <w:r>
        <w:fldChar w:fldCharType="begin"/>
      </w:r>
      <w:r>
        <w:instrText xml:space="preserve"> PAGEREF _Toc4961 \h </w:instrText>
      </w:r>
      <w:r>
        <w:fldChar w:fldCharType="separate"/>
      </w:r>
      <w:r>
        <w:t>45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_Toc10169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二、磋商书</w:t>
      </w:r>
      <w:r>
        <w:tab/>
      </w:r>
      <w:r>
        <w:fldChar w:fldCharType="begin"/>
      </w:r>
      <w:r>
        <w:instrText xml:space="preserve"> PAGEREF _Toc10169 \h </w:instrText>
      </w:r>
      <w:r>
        <w:fldChar w:fldCharType="separate"/>
      </w:r>
      <w:r>
        <w:t>46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_Toc17812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_Toc17812 \h </w:instrText>
      </w:r>
      <w:r>
        <w:fldChar w:fldCharType="separate"/>
      </w:r>
      <w:r>
        <w:t>47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_Toc30797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_Toc30797 \h </w:instrText>
      </w:r>
      <w:r>
        <w:fldChar w:fldCharType="separate"/>
      </w:r>
      <w:r>
        <w:t>48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_Toc9336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_Toc9336 \h </w:instrText>
      </w:r>
      <w:r>
        <w:fldChar w:fldCharType="separate"/>
      </w:r>
      <w:r>
        <w:t>49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_Toc22371 </w:instrText>
      </w:r>
      <w:r>
        <w:rPr>
          <w:rFonts w:hint="eastAsia" w:asciiTheme="minorEastAsia" w:hAnsiTheme="minorEastAsia" w:eastAsiaTheme="minorEastAsia" w:cstheme="minorEastAsia"/>
          <w:szCs w:val="21"/>
        </w:rPr>
        <w:fldChar w:fldCharType="separate"/>
      </w:r>
      <w:r>
        <w:rPr>
          <w:rFonts w:hint="eastAsia" w:ascii="宋体" w:hAnsi="宋体" w:cs="宋体"/>
          <w:bCs/>
          <w:szCs w:val="21"/>
        </w:rPr>
        <w:t>六、报价费用构成表</w:t>
      </w:r>
      <w:r>
        <w:tab/>
      </w:r>
      <w:r>
        <w:fldChar w:fldCharType="begin"/>
      </w:r>
      <w:r>
        <w:instrText xml:space="preserve"> PAGEREF _Toc22371 \h </w:instrText>
      </w:r>
      <w:r>
        <w:fldChar w:fldCharType="separate"/>
      </w:r>
      <w:r>
        <w:t>50</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_Toc19211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七、耗材清单</w:t>
      </w:r>
      <w:r>
        <w:tab/>
      </w:r>
      <w:r>
        <w:fldChar w:fldCharType="begin"/>
      </w:r>
      <w:r>
        <w:instrText xml:space="preserve"> PAGEREF _Toc19211 \h </w:instrText>
      </w:r>
      <w:r>
        <w:fldChar w:fldCharType="separate"/>
      </w:r>
      <w:r>
        <w:t>51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_Toc29384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八、拟投入设备/备件、工具情况</w:t>
      </w:r>
      <w:r>
        <w:tab/>
      </w:r>
      <w:r>
        <w:fldChar w:fldCharType="begin"/>
      </w:r>
      <w:r>
        <w:instrText xml:space="preserve"> PAGEREF _Toc29384 \h </w:instrText>
      </w:r>
      <w:r>
        <w:fldChar w:fldCharType="separate"/>
      </w:r>
      <w:r>
        <w:t>52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_Toc15267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九、缴纳保证金的银行凭证（如有）</w:t>
      </w:r>
      <w:r>
        <w:tab/>
      </w:r>
      <w:r>
        <w:fldChar w:fldCharType="begin"/>
      </w:r>
      <w:r>
        <w:instrText xml:space="preserve"> PAGEREF _Toc15267 \h </w:instrText>
      </w:r>
      <w:r>
        <w:fldChar w:fldCharType="separate"/>
      </w:r>
      <w:r>
        <w:t>53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_Toc2121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十、偏离说明表</w:t>
      </w:r>
      <w:r>
        <w:tab/>
      </w:r>
      <w:r>
        <w:fldChar w:fldCharType="begin"/>
      </w:r>
      <w:r>
        <w:instrText xml:space="preserve"> PAGEREF _Toc2121 \h </w:instrText>
      </w:r>
      <w:r>
        <w:fldChar w:fldCharType="separate"/>
      </w:r>
      <w:r>
        <w:t>54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_Toc13925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类似业绩一览表</w:t>
      </w:r>
      <w:r>
        <w:t xml:space="preserve"> </w:t>
      </w:r>
      <w:r>
        <w:tab/>
      </w:r>
      <w:r>
        <w:fldChar w:fldCharType="begin"/>
      </w:r>
      <w:r>
        <w:instrText xml:space="preserve"> PAGEREF _Toc13925 \h </w:instrText>
      </w:r>
      <w:r>
        <w:fldChar w:fldCharType="separate"/>
      </w:r>
      <w:r>
        <w:t>55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_Toc4828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十二、拟投入项目组人员一览表</w:t>
      </w:r>
      <w:r>
        <w:tab/>
      </w:r>
      <w:r>
        <w:fldChar w:fldCharType="begin"/>
      </w:r>
      <w:r>
        <w:instrText xml:space="preserve"> PAGEREF _Toc4828 \h </w:instrText>
      </w:r>
      <w:r>
        <w:fldChar w:fldCharType="separate"/>
      </w:r>
      <w:r>
        <w:t>56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_Toc8258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tab/>
      </w:r>
      <w:r>
        <w:fldChar w:fldCharType="begin"/>
      </w:r>
      <w:r>
        <w:instrText xml:space="preserve"> PAGEREF _Toc8258 \h </w:instrText>
      </w:r>
      <w:r>
        <w:fldChar w:fldCharType="separate"/>
      </w:r>
      <w:r>
        <w:t>57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_Toc18972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tab/>
      </w:r>
      <w:r>
        <w:fldChar w:fldCharType="begin"/>
      </w:r>
      <w:r>
        <w:instrText xml:space="preserve"> PAGEREF _Toc18972 \h </w:instrText>
      </w:r>
      <w:r>
        <w:fldChar w:fldCharType="separate"/>
      </w:r>
      <w:r>
        <w:t>58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_Toc26395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十五、报价技术文件</w:t>
      </w:r>
      <w:r>
        <w:tab/>
      </w:r>
      <w:r>
        <w:fldChar w:fldCharType="begin"/>
      </w:r>
      <w:r>
        <w:instrText xml:space="preserve"> PAGEREF _Toc26395 \h </w:instrText>
      </w:r>
      <w:r>
        <w:fldChar w:fldCharType="separate"/>
      </w:r>
      <w:r>
        <w:t>58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_Toc20078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）（若符合）</w:t>
      </w:r>
      <w:r>
        <w:tab/>
      </w:r>
      <w:r>
        <w:fldChar w:fldCharType="begin"/>
      </w:r>
      <w:r>
        <w:instrText xml:space="preserve"> PAGEREF _Toc20078 \h </w:instrText>
      </w:r>
      <w:r>
        <w:fldChar w:fldCharType="separate"/>
      </w:r>
      <w:r>
        <w:t>59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_Toc29621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_Toc29621 \h </w:instrText>
      </w:r>
      <w:r>
        <w:fldChar w:fldCharType="separate"/>
      </w:r>
      <w:r>
        <w:t>60</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_Toc28558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_Toc28558 \h </w:instrText>
      </w:r>
      <w:r>
        <w:fldChar w:fldCharType="separate"/>
      </w:r>
      <w:r>
        <w:t>60</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十九、节能环保产品证明材料（若符合）</w:t>
      </w:r>
      <w:r>
        <w:tab/>
      </w:r>
      <w:r>
        <w:fldChar w:fldCharType="begin"/>
      </w:r>
      <w:r>
        <w:instrText xml:space="preserve"> PAGEREF _Toc167 \h </w:instrText>
      </w:r>
      <w:r>
        <w:fldChar w:fldCharType="separate"/>
      </w:r>
      <w:r>
        <w:t>61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_Toc10332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tab/>
      </w:r>
      <w:r>
        <w:fldChar w:fldCharType="begin"/>
      </w:r>
      <w:r>
        <w:instrText xml:space="preserve"> PAGEREF _Toc10332 \h </w:instrText>
      </w:r>
      <w:r>
        <w:fldChar w:fldCharType="separate"/>
      </w:r>
      <w:r>
        <w:t>62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24"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_Toc9582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shd w:val="clear" w:color="auto" w:fill="FFFFFF"/>
        </w:rPr>
        <w:t>二十一、磋商供应商认为应该提交的其它文件（格式自拟）</w:t>
      </w:r>
      <w:r>
        <w:t xml:space="preserve"> </w:t>
      </w:r>
      <w:r>
        <w:tab/>
      </w:r>
      <w:r>
        <w:fldChar w:fldCharType="begin"/>
      </w:r>
      <w:r>
        <w:instrText xml:space="preserve"> PAGEREF _Toc9582 \h </w:instrText>
      </w:r>
      <w:r>
        <w:fldChar w:fldCharType="separate"/>
      </w:r>
      <w:r>
        <w:t>62</w:t>
      </w:r>
      <w:r>
        <w:fldChar w:fldCharType="end"/>
      </w:r>
      <w:r>
        <w:rPr>
          <w:rFonts w:hint="eastAsia" w:asciiTheme="minorEastAsia" w:hAnsiTheme="minorEastAsia" w:eastAsiaTheme="minorEastAsia" w:cstheme="minorEastAsia"/>
          <w:szCs w:val="21"/>
        </w:rPr>
        <w:fldChar w:fldCharType="end"/>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spacing w:line="360" w:lineRule="auto"/>
        <w:jc w:val="right"/>
        <w:rPr>
          <w:rFonts w:asciiTheme="minorEastAsia" w:hAnsiTheme="minorEastAsia" w:eastAsiaTheme="minorEastAsia" w:cstheme="minorEastAsia"/>
          <w:sz w:val="36"/>
          <w:szCs w:val="36"/>
        </w:rPr>
      </w:pPr>
    </w:p>
    <w:p>
      <w:pPr>
        <w:spacing w:line="360" w:lineRule="auto"/>
        <w:jc w:val="right"/>
        <w:rPr>
          <w:rFonts w:asciiTheme="minorEastAsia" w:hAnsiTheme="minorEastAsia" w:eastAsiaTheme="minorEastAsia" w:cstheme="minorEastAsia"/>
          <w:sz w:val="36"/>
          <w:szCs w:val="36"/>
        </w:rPr>
      </w:pPr>
    </w:p>
    <w:p>
      <w:pPr>
        <w:rPr>
          <w:rFonts w:eastAsia="方正小标宋简体"/>
          <w:bCs/>
          <w:sz w:val="32"/>
          <w:szCs w:val="32"/>
        </w:rPr>
      </w:pPr>
      <w:r>
        <w:br w:type="page"/>
      </w:r>
    </w:p>
    <w:p>
      <w:pPr>
        <w:spacing w:line="560" w:lineRule="exact"/>
        <w:jc w:val="center"/>
        <w:rPr>
          <w:rFonts w:eastAsia="方正小标宋简体"/>
          <w:bCs/>
          <w:sz w:val="44"/>
          <w:szCs w:val="44"/>
        </w:rPr>
      </w:pPr>
      <w:r>
        <w:rPr>
          <w:rFonts w:eastAsia="方正小标宋简体"/>
          <w:bCs/>
          <w:sz w:val="32"/>
          <w:szCs w:val="32"/>
        </w:rPr>
        <w:t>特别提示：投标注意事项</w:t>
      </w:r>
    </w:p>
    <w:p>
      <w:pPr>
        <w:pStyle w:val="104"/>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投标供应商应诚实守信,不得虚假投标。投标供应商对所提供材料的真实性负责，无论何时，如发现投标供应商提供虚假的材料，将按照《中华人民共和国政府采购法》及本项目招标文件的有关规定进行严肃处理。请认真阅读本章提示内容。</w:t>
      </w:r>
    </w:p>
    <w:p>
      <w:pPr>
        <w:pStyle w:val="104"/>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二、投标供应商应特别留意招标文件上载明的投标起始截止时间</w:t>
      </w:r>
      <w:r>
        <w:rPr>
          <w:rFonts w:hint="eastAsia" w:asciiTheme="minorEastAsia" w:hAnsiTheme="minorEastAsia" w:eastAsiaTheme="minorEastAsia" w:cstheme="minorEastAsia"/>
          <w:b/>
          <w:color w:val="auto"/>
          <w:sz w:val="24"/>
          <w:szCs w:val="24"/>
        </w:rPr>
        <w:t>。</w:t>
      </w:r>
    </w:p>
    <w:p>
      <w:pPr>
        <w:pStyle w:val="104"/>
        <w:spacing w:line="520" w:lineRule="exact"/>
        <w:ind w:firstLine="480" w:firstLineChars="200"/>
        <w:textAlignment w:val="auto"/>
        <w:rPr>
          <w:rFonts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rPr>
        <w:t>三、请仔细检查投标文件是否按要求盖单位公章、签名、签署日期、胶装要求、密封。</w:t>
      </w:r>
      <w:r>
        <w:rPr>
          <w:rFonts w:hint="eastAsia" w:asciiTheme="minorEastAsia" w:hAnsiTheme="minorEastAsia" w:eastAsiaTheme="minorEastAsia" w:cstheme="minorEastAsia"/>
          <w:i/>
          <w:iCs/>
          <w:color w:val="auto"/>
          <w:sz w:val="24"/>
          <w:szCs w:val="24"/>
          <w:u w:val="single"/>
        </w:rPr>
        <w:t>（为便于评审及规范统一，建议投标文件根据编写的顺序和格式，统一编目编码及评审导航表。打印投标文件按照环保节约的原则，具备条件的建议双面打印。）</w:t>
      </w:r>
    </w:p>
    <w:p>
      <w:pPr>
        <w:pStyle w:val="104"/>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四、带</w:t>
      </w:r>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color w:val="auto"/>
          <w:sz w:val="24"/>
          <w:szCs w:val="24"/>
        </w:rPr>
        <w:t>号条款均为实质性响应指标要求，必须全部响应。若有一项带</w:t>
      </w:r>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color w:val="auto"/>
          <w:sz w:val="24"/>
          <w:szCs w:val="24"/>
        </w:rPr>
        <w:t>条款未响应或不满足，均视为非实质性响应招标文件，按无效投标处理。</w:t>
      </w:r>
    </w:p>
    <w:p>
      <w:pPr>
        <w:pStyle w:val="104"/>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五、投标供应商编制投标文件时，应仔细按照招标文件第四章要求的资格性审查一览表、符合性审查一览表，认真填写。资料不齐全将导致投标失败。</w:t>
      </w:r>
    </w:p>
    <w:p>
      <w:pPr>
        <w:pStyle w:val="104"/>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六、投标文件中相关复印资料应清晰、可辨认，如因资料模糊，导致无法正常评审的，后果自负。</w:t>
      </w:r>
    </w:p>
    <w:p>
      <w:pPr>
        <w:pStyle w:val="104"/>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请投标供应商仔细阅读本项目招标文件的全部条文，对于文件中存在的任何含糊、遗漏、相互矛盾之处，或是对于采购范围的界定和采购内容的要求不清楚，认为存在歧义的，投标供应商可按本文件规定的时限向采购代理机构寻求书面澄清；未提出澄清要求的，则认同为完全理解本文件要求并接受采购人或采购代理机构可能作出的任何最终解释。</w:t>
      </w:r>
    </w:p>
    <w:p>
      <w:pPr>
        <w:pStyle w:val="104"/>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关于本项目招标文件有关内容的澄清、修改及变更等通知将通过书面形式经邮箱通知各投标供应商同时电话告知，若采购人或采购代理机构未收到回执或回复，视为收悉，并默认通知内容。若因投标供应商自身原因接收消息不及时，导致投标受影响，其后果自行承担。</w:t>
      </w:r>
    </w:p>
    <w:p>
      <w:pPr>
        <w:spacing w:line="520" w:lineRule="exact"/>
        <w:jc w:val="left"/>
        <w:rPr>
          <w:rFonts w:asciiTheme="minorEastAsia" w:hAnsiTheme="minorEastAsia" w:eastAsiaTheme="minorEastAsia" w:cstheme="minorEastAsia"/>
        </w:rPr>
        <w:sectPr>
          <w:headerReference r:id="rId7" w:type="default"/>
          <w:footerReference r:id="rId9" w:type="default"/>
          <w:headerReference r:id="rId8" w:type="even"/>
          <w:footerReference r:id="rId10" w:type="even"/>
          <w:type w:val="continuous"/>
          <w:pgSz w:w="11906" w:h="16838"/>
          <w:pgMar w:top="1417" w:right="1417" w:bottom="1417" w:left="1417" w:header="851" w:footer="992" w:gutter="0"/>
          <w:pgNumType w:fmt="numberInDash"/>
          <w:cols w:space="720" w:num="1"/>
          <w:docGrid w:type="lines" w:linePitch="312" w:charSpace="0"/>
        </w:sectPr>
      </w:pPr>
    </w:p>
    <w:p>
      <w:pPr>
        <w:spacing w:line="360" w:lineRule="auto"/>
        <w:jc w:val="right"/>
        <w:rPr>
          <w:rFonts w:asciiTheme="minorEastAsia" w:hAnsiTheme="minorEastAsia" w:eastAsiaTheme="minorEastAsia" w:cstheme="minorEastAsia"/>
          <w:szCs w:val="21"/>
        </w:rPr>
      </w:pPr>
      <w:r>
        <w:br w:type="page"/>
      </w:r>
    </w:p>
    <w:p>
      <w:pPr>
        <w:numPr>
          <w:ilvl w:val="0"/>
          <w:numId w:val="5"/>
        </w:numPr>
        <w:spacing w:line="360" w:lineRule="auto"/>
        <w:jc w:val="center"/>
        <w:outlineLvl w:val="0"/>
        <w:rPr>
          <w:b/>
          <w:bCs/>
          <w:sz w:val="24"/>
        </w:rPr>
      </w:pPr>
      <w:bookmarkStart w:id="0" w:name="_Toc6866"/>
      <w:bookmarkEnd w:id="0"/>
      <w:bookmarkStart w:id="1" w:name="_Toc5335"/>
      <w:r>
        <w:rPr>
          <w:rFonts w:hint="eastAsia" w:ascii="宋体" w:hAnsi="宋体" w:cs="宋体"/>
          <w:b/>
          <w:sz w:val="36"/>
          <w:szCs w:val="36"/>
        </w:rPr>
        <w:t>竞争性磋商公告</w:t>
      </w:r>
      <w:bookmarkEnd w:id="1"/>
    </w:p>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szCs w:val="21"/>
        </w:rPr>
      </w:pPr>
      <w:r>
        <w:rPr>
          <w:rFonts w:hint="eastAsia" w:ascii="宋体" w:hAnsi="宋体" w:cs="宋体"/>
          <w:b/>
          <w:bCs/>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湖北工业大学高频开关电源测量设备项目</w:t>
      </w:r>
      <w:r>
        <w:rPr>
          <w:rFonts w:hint="eastAsia" w:ascii="宋体" w:hAnsi="宋体" w:cs="宋体"/>
          <w:szCs w:val="21"/>
          <w:u w:val="single"/>
          <w:lang w:eastAsia="zh-CN"/>
        </w:rPr>
        <w:t>（二次）</w:t>
      </w:r>
      <w:r>
        <w:rPr>
          <w:rFonts w:hint="eastAsia" w:ascii="宋体" w:hAnsi="宋体" w:cs="宋体"/>
          <w:szCs w:val="21"/>
        </w:rPr>
        <w:t>采购项目的潜在供应商应在</w:t>
      </w:r>
      <w:r>
        <w:rPr>
          <w:rFonts w:hint="eastAsia" w:ascii="宋体" w:hAnsi="宋体" w:cs="宋体"/>
          <w:szCs w:val="21"/>
          <w:u w:val="single"/>
        </w:rPr>
        <w:t>武昌区中北路岳家嘴立交山河企业大厦48楼4805室或电子服务平台或邮箱</w:t>
      </w:r>
      <w:r>
        <w:rPr>
          <w:rFonts w:hint="eastAsia" w:ascii="宋体" w:hAnsi="宋体" w:cs="宋体"/>
          <w:szCs w:val="21"/>
        </w:rPr>
        <w:t>获取采购文件，并于</w:t>
      </w:r>
      <w:r>
        <w:rPr>
          <w:rFonts w:hint="eastAsia" w:ascii="宋体" w:hAnsi="宋体" w:cs="宋体"/>
          <w:color w:val="2327E9"/>
          <w:szCs w:val="21"/>
          <w:u w:val="single"/>
        </w:rPr>
        <w:t>2023年</w:t>
      </w:r>
      <w:r>
        <w:rPr>
          <w:rFonts w:hint="eastAsia" w:ascii="宋体" w:hAnsi="宋体" w:cs="宋体"/>
          <w:color w:val="2327E9"/>
          <w:szCs w:val="21"/>
          <w:u w:val="single"/>
          <w:lang w:val="en-US" w:eastAsia="zh-CN"/>
        </w:rPr>
        <w:t>11</w:t>
      </w:r>
      <w:r>
        <w:rPr>
          <w:rFonts w:hint="eastAsia" w:ascii="宋体" w:hAnsi="宋体" w:cs="宋体"/>
          <w:color w:val="2327E9"/>
          <w:szCs w:val="21"/>
          <w:u w:val="single"/>
        </w:rPr>
        <w:t>月</w:t>
      </w:r>
      <w:r>
        <w:rPr>
          <w:rFonts w:hint="eastAsia" w:ascii="宋体" w:hAnsi="宋体" w:cs="宋体"/>
          <w:color w:val="2327E9"/>
          <w:szCs w:val="21"/>
          <w:u w:val="single"/>
          <w:lang w:val="en-US" w:eastAsia="zh-CN"/>
        </w:rPr>
        <w:t>27</w:t>
      </w:r>
      <w:r>
        <w:rPr>
          <w:rFonts w:hint="eastAsia" w:ascii="宋体" w:hAnsi="宋体" w:cs="宋体"/>
          <w:color w:val="2327E9"/>
          <w:szCs w:val="21"/>
          <w:u w:val="single"/>
        </w:rPr>
        <w:t>日</w:t>
      </w:r>
      <w:r>
        <w:rPr>
          <w:rFonts w:hint="eastAsia" w:ascii="宋体" w:hAnsi="宋体" w:cs="宋体"/>
          <w:color w:val="2327E9"/>
          <w:szCs w:val="21"/>
          <w:u w:val="single"/>
          <w:lang w:val="en-US" w:eastAsia="zh-CN"/>
        </w:rPr>
        <w:t xml:space="preserve">  10</w:t>
      </w:r>
      <w:r>
        <w:rPr>
          <w:rFonts w:hint="eastAsia" w:ascii="宋体" w:hAnsi="宋体" w:cs="宋体"/>
          <w:color w:val="2327E9"/>
          <w:szCs w:val="21"/>
          <w:u w:val="single"/>
        </w:rPr>
        <w:t>点</w:t>
      </w:r>
      <w:r>
        <w:rPr>
          <w:rFonts w:hint="eastAsia" w:ascii="宋体" w:hAnsi="宋体" w:cs="宋体"/>
          <w:color w:val="2327E9"/>
          <w:szCs w:val="21"/>
          <w:u w:val="single"/>
          <w:lang w:val="en-US" w:eastAsia="zh-CN"/>
        </w:rPr>
        <w:t>00</w:t>
      </w:r>
      <w:r>
        <w:rPr>
          <w:rFonts w:hint="eastAsia" w:ascii="宋体" w:hAnsi="宋体" w:cs="宋体"/>
          <w:color w:val="2327E9"/>
          <w:szCs w:val="21"/>
          <w:u w:val="single"/>
        </w:rPr>
        <w:t>分</w:t>
      </w:r>
      <w:r>
        <w:rPr>
          <w:rFonts w:hint="eastAsia" w:ascii="宋体" w:hAnsi="宋体" w:cs="宋体"/>
          <w:szCs w:val="21"/>
        </w:rPr>
        <w:t>（北京时间）前递交响应文件。</w:t>
      </w:r>
    </w:p>
    <w:p>
      <w:pPr>
        <w:pStyle w:val="4"/>
        <w:numPr>
          <w:ilvl w:val="0"/>
          <w:numId w:val="6"/>
        </w:numPr>
        <w:spacing w:line="360" w:lineRule="auto"/>
        <w:jc w:val="left"/>
        <w:rPr>
          <w:rFonts w:ascii="宋体" w:hAnsi="宋体" w:eastAsia="宋体" w:cs="宋体"/>
          <w:sz w:val="21"/>
          <w:szCs w:val="21"/>
        </w:rPr>
      </w:pPr>
      <w:bookmarkStart w:id="2" w:name="_Toc27038"/>
      <w:r>
        <w:rPr>
          <w:rFonts w:hint="eastAsia" w:ascii="宋体" w:hAnsi="宋体" w:eastAsia="宋体" w:cs="宋体"/>
          <w:sz w:val="21"/>
          <w:szCs w:val="21"/>
        </w:rPr>
        <w:t>项目基本情况</w:t>
      </w:r>
      <w:bookmarkEnd w:id="2"/>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1.项目编号：HGDXW23-076/ZCHM-202310-237</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2.项目名称：湖北工业大学高频开关电源测量设备项目</w:t>
      </w:r>
      <w:r>
        <w:rPr>
          <w:rFonts w:hint="eastAsia" w:asciiTheme="minorEastAsia" w:hAnsiTheme="minorEastAsia" w:eastAsiaTheme="minorEastAsia" w:cstheme="minorEastAsia"/>
          <w:szCs w:val="21"/>
          <w:lang w:eastAsia="zh-CN"/>
        </w:rPr>
        <w:t>（二次）</w:t>
      </w:r>
      <w:r>
        <w:rPr>
          <w:rFonts w:hint="eastAsia" w:asciiTheme="minorEastAsia" w:hAnsiTheme="minorEastAsia" w:eastAsiaTheme="minorEastAsia" w:cstheme="minorEastAsia"/>
          <w:szCs w:val="21"/>
        </w:rPr>
        <w:t xml:space="preserve">   </w:t>
      </w:r>
      <w:r>
        <w:br w:type="textWrapping"/>
      </w:r>
      <w:r>
        <w:rPr>
          <w:rFonts w:hint="eastAsia" w:asciiTheme="minorEastAsia" w:hAnsiTheme="minorEastAsia" w:eastAsiaTheme="minorEastAsia" w:cstheme="minorEastAsia"/>
          <w:szCs w:val="21"/>
        </w:rPr>
        <w:t>3.采购方式：竞争性磋商</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4.预算金额：人民币</w:t>
      </w:r>
      <w:r>
        <w:rPr>
          <w:rFonts w:hint="eastAsia" w:asciiTheme="minorEastAsia" w:hAnsiTheme="minorEastAsia" w:eastAsiaTheme="minorEastAsia" w:cstheme="minorEastAsia"/>
          <w:szCs w:val="21"/>
          <w:u w:val="single"/>
        </w:rPr>
        <w:t xml:space="preserve"> 28.4</w:t>
      </w:r>
      <w:r>
        <w:rPr>
          <w:rFonts w:hint="eastAsia" w:asciiTheme="minorEastAsia" w:hAnsiTheme="minorEastAsia" w:eastAsiaTheme="minorEastAsia" w:cstheme="minorEastAsia"/>
          <w:szCs w:val="21"/>
        </w:rPr>
        <w:t>万元</w:t>
      </w:r>
      <w:r>
        <w:br w:type="textWrapping"/>
      </w:r>
      <w:r>
        <w:rPr>
          <w:rFonts w:hint="eastAsia" w:asciiTheme="minorEastAsia" w:hAnsiTheme="minorEastAsia" w:eastAsiaTheme="minorEastAsia" w:cstheme="minorEastAsia"/>
          <w:szCs w:val="21"/>
        </w:rPr>
        <w:t>5.最高限价：人民币</w:t>
      </w:r>
      <w:r>
        <w:rPr>
          <w:rFonts w:hint="eastAsia" w:asciiTheme="minorEastAsia" w:hAnsiTheme="minorEastAsia" w:eastAsiaTheme="minorEastAsia" w:cstheme="minorEastAsia"/>
          <w:szCs w:val="21"/>
          <w:u w:val="single"/>
        </w:rPr>
        <w:t xml:space="preserve"> 28.4</w:t>
      </w:r>
      <w:r>
        <w:rPr>
          <w:rFonts w:hint="eastAsia" w:asciiTheme="minorEastAsia" w:hAnsiTheme="minorEastAsia" w:eastAsiaTheme="minorEastAsia" w:cstheme="minorEastAsia"/>
          <w:szCs w:val="21"/>
        </w:rPr>
        <w:t>万元</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6.采购需求：本项目共为1个包。采购内容包含直流电源、电子元件参数测量仪、直流重叠电源、电磁场分析仪。(详见采购文件第三章“项目采购需求”）</w:t>
      </w:r>
    </w:p>
    <w:p>
      <w:pPr>
        <w:spacing w:line="360" w:lineRule="auto"/>
        <w:ind w:firstLine="420" w:firstLineChars="200"/>
        <w:jc w:val="left"/>
        <w:rPr>
          <w:rFonts w:ascii="宋体" w:hAnsi="宋体" w:cs="宋体"/>
          <w:szCs w:val="21"/>
        </w:rPr>
      </w:pPr>
      <w:r>
        <w:rPr>
          <w:rFonts w:hint="eastAsia" w:ascii="宋体" w:hAnsi="宋体" w:cs="宋体"/>
          <w:szCs w:val="21"/>
        </w:rPr>
        <w:t>（1）类别：货物</w:t>
      </w:r>
    </w:p>
    <w:p>
      <w:pPr>
        <w:spacing w:line="360" w:lineRule="auto"/>
        <w:ind w:firstLine="420" w:firstLineChars="200"/>
        <w:jc w:val="left"/>
        <w:rPr>
          <w:rFonts w:ascii="宋体" w:hAnsi="宋体" w:cs="宋体"/>
          <w:szCs w:val="21"/>
        </w:rPr>
      </w:pPr>
      <w:r>
        <w:rPr>
          <w:rFonts w:hint="eastAsia" w:ascii="宋体" w:hAnsi="宋体" w:cs="宋体"/>
          <w:szCs w:val="21"/>
        </w:rPr>
        <w:t>（2）质量标准：达到国家或行业颁布的其他现行各项技术标准和验收规范规定</w:t>
      </w:r>
    </w:p>
    <w:p>
      <w:pPr>
        <w:spacing w:line="360" w:lineRule="auto"/>
        <w:ind w:firstLine="420" w:firstLineChars="200"/>
        <w:jc w:val="left"/>
        <w:rPr>
          <w:rFonts w:ascii="宋体" w:hAnsi="宋体" w:cs="宋体"/>
          <w:szCs w:val="21"/>
        </w:rPr>
      </w:pPr>
      <w:r>
        <w:rPr>
          <w:rFonts w:hint="eastAsia" w:ascii="宋体" w:hAnsi="宋体" w:cs="宋体"/>
          <w:szCs w:val="21"/>
        </w:rPr>
        <w:t>（3）其他：供应商参加竞标的报价超过该包采购最高限价的，该包竞标无效；供应商报价须包含该采购需求的全部内容。</w:t>
      </w:r>
    </w:p>
    <w:p>
      <w:pPr>
        <w:spacing w:line="360" w:lineRule="auto"/>
        <w:jc w:val="left"/>
        <w:rPr>
          <w:rFonts w:ascii="宋体" w:hAnsi="宋体" w:cs="宋体"/>
          <w:strike/>
          <w:szCs w:val="21"/>
        </w:rPr>
      </w:pPr>
      <w:r>
        <w:rPr>
          <w:rFonts w:hint="eastAsia" w:ascii="宋体" w:hAnsi="宋体" w:cs="宋体"/>
          <w:szCs w:val="21"/>
        </w:rPr>
        <w:t>7.合同履行期限：</w:t>
      </w:r>
      <w:r>
        <w:rPr>
          <w:rFonts w:hint="eastAsia" w:ascii="宋体" w:hAnsi="宋体" w:cs="宋体"/>
          <w:szCs w:val="21"/>
          <w:u w:val="single"/>
        </w:rPr>
        <w:t>交货期：</w:t>
      </w:r>
      <w:r>
        <w:rPr>
          <w:rFonts w:hint="eastAsia"/>
          <w:u w:val="single"/>
        </w:rPr>
        <w:t>自签订合同之日起</w:t>
      </w:r>
      <w:r>
        <w:rPr>
          <w:u w:val="single"/>
        </w:rPr>
        <w:t>15</w:t>
      </w:r>
      <w:r>
        <w:rPr>
          <w:rFonts w:hint="eastAsia"/>
          <w:u w:val="single"/>
        </w:rPr>
        <w:t>天内完成供货、安装、调试工作。质保期/保修期：验收合格之日起壹年。</w:t>
      </w:r>
      <w:r>
        <w:rPr>
          <w:rFonts w:hint="eastAsia" w:ascii="宋体" w:hAnsi="宋体" w:cs="宋体"/>
          <w:szCs w:val="21"/>
          <w:u w:val="single"/>
        </w:rPr>
        <w:t xml:space="preserve">                  </w:t>
      </w:r>
    </w:p>
    <w:p>
      <w:pPr>
        <w:spacing w:line="360" w:lineRule="auto"/>
        <w:jc w:val="left"/>
        <w:rPr>
          <w:rFonts w:ascii="宋体" w:hAnsi="宋体" w:cs="宋体"/>
          <w:szCs w:val="21"/>
          <w:highlight w:val="yellow"/>
        </w:rPr>
      </w:pPr>
      <w:r>
        <w:rPr>
          <w:rFonts w:hint="eastAsia" w:ascii="宋体" w:hAnsi="宋体" w:cs="宋体"/>
          <w:szCs w:val="21"/>
        </w:rPr>
        <w:t>8.本项目（是/否）接受联合体投标：否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9.是否可采购进口产品：否</w:t>
      </w:r>
    </w:p>
    <w:p>
      <w:pPr>
        <w:spacing w:line="360" w:lineRule="auto"/>
        <w:jc w:val="left"/>
        <w:rPr>
          <w:rFonts w:ascii="宋体" w:hAnsi="宋体" w:cs="宋体" w:eastAsiaTheme="minorEastAsia"/>
          <w:szCs w:val="21"/>
        </w:rPr>
      </w:pPr>
      <w:r>
        <w:rPr>
          <w:rFonts w:hint="eastAsia" w:asciiTheme="minorEastAsia" w:hAnsiTheme="minorEastAsia" w:eastAsiaTheme="minorEastAsia" w:cstheme="minorEastAsia"/>
          <w:szCs w:val="21"/>
        </w:rPr>
        <w:t>10.本项目（是/否）专门面向中小微企业：否</w:t>
      </w:r>
    </w:p>
    <w:p>
      <w:pPr>
        <w:pStyle w:val="4"/>
        <w:numPr>
          <w:ilvl w:val="0"/>
          <w:numId w:val="6"/>
        </w:numPr>
        <w:spacing w:line="360" w:lineRule="auto"/>
        <w:jc w:val="left"/>
        <w:rPr>
          <w:rFonts w:ascii="宋体" w:hAnsi="宋体" w:eastAsia="宋体" w:cs="宋体"/>
          <w:sz w:val="21"/>
          <w:szCs w:val="21"/>
        </w:rPr>
      </w:pPr>
      <w:bookmarkStart w:id="3" w:name="_Toc31730"/>
      <w:r>
        <w:rPr>
          <w:rFonts w:hint="eastAsia" w:ascii="宋体" w:hAnsi="宋体" w:eastAsia="宋体" w:cs="宋体"/>
          <w:sz w:val="21"/>
          <w:szCs w:val="21"/>
        </w:rPr>
        <w:t>申请人的资格要求</w:t>
      </w:r>
      <w:bookmarkEnd w:id="3"/>
    </w:p>
    <w:p>
      <w:pPr>
        <w:spacing w:line="360" w:lineRule="auto"/>
        <w:ind w:firstLine="420" w:firstLineChars="200"/>
        <w:jc w:val="left"/>
        <w:rPr>
          <w:rFonts w:ascii="宋体" w:hAnsi="宋体" w:cs="宋体"/>
          <w:szCs w:val="21"/>
        </w:rPr>
      </w:pPr>
      <w:r>
        <w:rPr>
          <w:rFonts w:hint="eastAsia" w:ascii="宋体" w:hAnsi="宋体" w:cs="宋体"/>
          <w:szCs w:val="21"/>
        </w:rPr>
        <w:t>1.满足《中华人民共和国政府采购法》第二十二条规定；</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p>
      <w:pPr>
        <w:spacing w:line="360" w:lineRule="auto"/>
        <w:ind w:firstLine="420" w:firstLineChars="200"/>
        <w:jc w:val="left"/>
        <w:rPr>
          <w:rFonts w:ascii="宋体" w:hAnsi="宋体" w:cs="宋体"/>
          <w:szCs w:val="21"/>
        </w:rPr>
      </w:pPr>
      <w:r>
        <w:rPr>
          <w:rFonts w:hint="eastAsia" w:ascii="宋体" w:hAnsi="宋体" w:cs="宋体"/>
          <w:szCs w:val="21"/>
        </w:rPr>
        <w:t>2.单位负责人为同一人或者存在直接控股、管理关系的不同供应商，不得参加本项目同一合同项下的政府采购活动。</w:t>
      </w:r>
    </w:p>
    <w:p>
      <w:pPr>
        <w:spacing w:line="360" w:lineRule="auto"/>
        <w:ind w:firstLine="420" w:firstLineChars="200"/>
        <w:jc w:val="left"/>
        <w:rPr>
          <w:rFonts w:ascii="宋体" w:hAnsi="宋体" w:cs="宋体"/>
          <w:szCs w:val="21"/>
        </w:rPr>
      </w:pPr>
      <w:r>
        <w:rPr>
          <w:rFonts w:hint="eastAsia" w:ascii="宋体" w:hAnsi="宋体" w:cs="宋体"/>
          <w:szCs w:val="21"/>
        </w:rPr>
        <w:t>3.为本采购项目提供整体设计、规范编制或者项目管理、监理、检测等服务的，不得再参加本项目的其他招标采购活动。</w:t>
      </w:r>
    </w:p>
    <w:p>
      <w:pPr>
        <w:spacing w:line="360" w:lineRule="auto"/>
        <w:ind w:firstLine="420" w:firstLineChars="200"/>
        <w:jc w:val="left"/>
        <w:rPr>
          <w:rFonts w:ascii="宋体" w:hAnsi="宋体" w:cs="宋体"/>
          <w:szCs w:val="21"/>
        </w:rPr>
      </w:pPr>
      <w:r>
        <w:rPr>
          <w:rFonts w:hint="eastAsia" w:ascii="宋体" w:hAnsi="宋体" w:cs="宋体"/>
          <w:szCs w:val="21"/>
        </w:rPr>
        <w:t>4.未被列入失信被执行人、重大税收违法案件当事人名单，未被列入政府采购严重违法失信行为记录名单。</w:t>
      </w:r>
    </w:p>
    <w:p>
      <w:pPr>
        <w:spacing w:line="360" w:lineRule="auto"/>
        <w:ind w:firstLine="420" w:firstLineChars="200"/>
        <w:jc w:val="left"/>
        <w:rPr>
          <w:rFonts w:ascii="宋体" w:hAnsi="宋体" w:cs="宋体"/>
          <w:szCs w:val="21"/>
        </w:rPr>
      </w:pPr>
      <w:r>
        <w:rPr>
          <w:rFonts w:hint="eastAsia" w:ascii="宋体" w:hAnsi="宋体" w:cs="宋体"/>
          <w:szCs w:val="21"/>
        </w:rPr>
        <w:t>5.落实政府采购政策需满足的资格要求：本项目整体非专门面向中小企业，即小微企业参与本项目可享受政府采购中小企业扶持政策，本项目企业划分标准所属行业为“</w:t>
      </w:r>
      <w:r>
        <w:rPr>
          <w:rFonts w:hint="eastAsia" w:asciiTheme="minorEastAsia" w:hAnsiTheme="minorEastAsia" w:eastAsiaTheme="minorEastAsia" w:cstheme="minorEastAsia"/>
          <w:szCs w:val="21"/>
        </w:rPr>
        <w:t>工业</w:t>
      </w:r>
      <w:r>
        <w:rPr>
          <w:rFonts w:hint="eastAsia" w:ascii="宋体" w:hAnsi="宋体" w:cs="宋体"/>
          <w:szCs w:val="21"/>
        </w:rPr>
        <w:t>”</w:t>
      </w:r>
      <w:r>
        <w:rPr>
          <w:rFonts w:hint="eastAsia" w:asciiTheme="minorEastAsia" w:hAnsiTheme="minorEastAsia" w:eastAsiaTheme="minorEastAsia" w:cstheme="minorEastAsia"/>
          <w:szCs w:val="21"/>
        </w:rPr>
        <w:t>。</w:t>
      </w:r>
    </w:p>
    <w:p>
      <w:pPr>
        <w:spacing w:line="360" w:lineRule="auto"/>
        <w:ind w:firstLine="422" w:firstLineChars="200"/>
        <w:jc w:val="left"/>
        <w:rPr>
          <w:rFonts w:ascii="宋体" w:hAnsi="宋体" w:cs="宋体"/>
          <w:szCs w:val="21"/>
        </w:rPr>
      </w:pPr>
      <w:r>
        <w:rPr>
          <w:rFonts w:hint="eastAsia" w:asciiTheme="minorEastAsia" w:hAnsiTheme="minorEastAsia" w:eastAsiaTheme="minorEastAsia" w:cstheme="minorEastAsia"/>
          <w:b/>
          <w:bCs/>
          <w:szCs w:val="21"/>
        </w:rPr>
        <w:t>6.本项目的特定资格要求：无。</w:t>
      </w:r>
    </w:p>
    <w:p>
      <w:pPr>
        <w:pStyle w:val="4"/>
        <w:numPr>
          <w:ilvl w:val="0"/>
          <w:numId w:val="6"/>
        </w:numPr>
        <w:spacing w:line="360" w:lineRule="auto"/>
        <w:jc w:val="left"/>
        <w:rPr>
          <w:rFonts w:ascii="宋体" w:hAnsi="宋体" w:eastAsia="宋体" w:cs="宋体"/>
          <w:sz w:val="21"/>
          <w:szCs w:val="21"/>
        </w:rPr>
      </w:pPr>
      <w:bookmarkStart w:id="4" w:name="_Toc29804"/>
      <w:r>
        <w:rPr>
          <w:rFonts w:hint="eastAsia" w:ascii="宋体" w:hAnsi="宋体" w:eastAsia="宋体" w:cs="宋体"/>
          <w:sz w:val="21"/>
          <w:szCs w:val="21"/>
        </w:rPr>
        <w:t>获取采购文件</w:t>
      </w:r>
      <w:bookmarkEnd w:id="4"/>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2327E9"/>
          <w:szCs w:val="21"/>
          <w:u w:val="single"/>
        </w:rPr>
        <w:t>2023年</w:t>
      </w:r>
      <w:r>
        <w:rPr>
          <w:rFonts w:hint="eastAsia" w:ascii="宋体" w:hAnsi="宋体" w:cs="宋体"/>
          <w:color w:val="2327E9"/>
          <w:szCs w:val="21"/>
          <w:u w:val="single"/>
          <w:lang w:val="en-US" w:eastAsia="zh-CN"/>
        </w:rPr>
        <w:t>11</w:t>
      </w:r>
      <w:r>
        <w:rPr>
          <w:rFonts w:hint="eastAsia" w:ascii="宋体" w:hAnsi="宋体" w:cs="宋体"/>
          <w:color w:val="2327E9"/>
          <w:szCs w:val="21"/>
          <w:u w:val="single"/>
        </w:rPr>
        <w:t>月</w:t>
      </w:r>
      <w:r>
        <w:rPr>
          <w:rFonts w:hint="eastAsia" w:ascii="宋体" w:hAnsi="宋体" w:cs="宋体"/>
          <w:color w:val="2327E9"/>
          <w:szCs w:val="21"/>
          <w:u w:val="single"/>
          <w:lang w:val="en-US" w:eastAsia="zh-CN"/>
        </w:rPr>
        <w:t>14</w:t>
      </w:r>
      <w:r>
        <w:rPr>
          <w:rFonts w:hint="eastAsia" w:ascii="宋体" w:hAnsi="宋体" w:cs="宋体"/>
          <w:color w:val="2327E9"/>
          <w:szCs w:val="21"/>
          <w:u w:val="single"/>
        </w:rPr>
        <w:t>日至2023年</w:t>
      </w:r>
      <w:r>
        <w:rPr>
          <w:rFonts w:hint="eastAsia" w:ascii="宋体" w:hAnsi="宋体" w:cs="宋体"/>
          <w:color w:val="2327E9"/>
          <w:szCs w:val="21"/>
          <w:u w:val="single"/>
          <w:lang w:val="en-US" w:eastAsia="zh-CN"/>
        </w:rPr>
        <w:t>11</w:t>
      </w:r>
      <w:r>
        <w:rPr>
          <w:rFonts w:hint="eastAsia" w:ascii="宋体" w:hAnsi="宋体" w:cs="宋体"/>
          <w:color w:val="2327E9"/>
          <w:szCs w:val="21"/>
          <w:u w:val="single"/>
        </w:rPr>
        <w:t>月</w:t>
      </w:r>
      <w:r>
        <w:rPr>
          <w:rFonts w:hint="eastAsia" w:ascii="宋体" w:hAnsi="宋体" w:cs="宋体"/>
          <w:color w:val="2327E9"/>
          <w:szCs w:val="21"/>
          <w:u w:val="single"/>
          <w:lang w:val="en-US" w:eastAsia="zh-CN"/>
        </w:rPr>
        <w:t>20</w:t>
      </w:r>
      <w:bookmarkStart w:id="222" w:name="_GoBack"/>
      <w:bookmarkEnd w:id="222"/>
      <w:r>
        <w:rPr>
          <w:rFonts w:hint="eastAsia" w:ascii="宋体" w:hAnsi="宋体" w:cs="宋体"/>
          <w:color w:val="2327E9"/>
          <w:szCs w:val="21"/>
          <w:u w:val="single"/>
        </w:rPr>
        <w:t>日</w:t>
      </w:r>
      <w:r>
        <w:rPr>
          <w:rFonts w:hint="eastAsia" w:ascii="宋体" w:hAnsi="宋体" w:cs="宋体"/>
          <w:szCs w:val="21"/>
        </w:rPr>
        <w:t>，每天上午09:00至12:00，下午14:00至17:00（北京时间，法定节假日除外）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地点：武昌区中北路岳家嘴立交山河企业大厦48楼4805室或电子服务平台或邮箱；</w:t>
      </w:r>
    </w:p>
    <w:p>
      <w:pPr>
        <w:spacing w:line="360" w:lineRule="auto"/>
        <w:ind w:firstLine="420" w:firstLineChars="200"/>
        <w:jc w:val="left"/>
        <w:rPr>
          <w:rFonts w:ascii="宋体" w:hAnsi="宋体" w:cs="宋体"/>
          <w:szCs w:val="21"/>
        </w:rPr>
      </w:pPr>
      <w:r>
        <w:rPr>
          <w:rFonts w:hint="eastAsia" w:ascii="宋体" w:hAnsi="宋体" w:cs="宋体"/>
          <w:szCs w:val="21"/>
        </w:rPr>
        <w:t>方式：以下三种方式任意一种均可，采购文件售后不退，不办理邮寄；</w:t>
      </w:r>
    </w:p>
    <w:p>
      <w:pPr>
        <w:spacing w:line="360" w:lineRule="auto"/>
        <w:ind w:firstLine="420" w:firstLineChars="200"/>
        <w:jc w:val="left"/>
        <w:rPr>
          <w:rFonts w:ascii="宋体" w:hAnsi="宋体" w:cs="宋体"/>
          <w:szCs w:val="21"/>
        </w:rPr>
      </w:pPr>
      <w:r>
        <w:rPr>
          <w:rFonts w:hint="eastAsia" w:ascii="宋体" w:hAnsi="宋体" w:cs="宋体"/>
          <w:szCs w:val="21"/>
        </w:rPr>
        <w:t>（1）现场获取:供应商将公告后附件资料加盖公章送达至指定地点；</w:t>
      </w:r>
    </w:p>
    <w:p>
      <w:pPr>
        <w:spacing w:line="360" w:lineRule="auto"/>
        <w:ind w:firstLine="420" w:firstLineChars="200"/>
        <w:jc w:val="left"/>
        <w:rPr>
          <w:rFonts w:ascii="宋体" w:hAnsi="宋体" w:cs="宋体"/>
          <w:szCs w:val="21"/>
        </w:rPr>
      </w:pPr>
      <w:r>
        <w:rPr>
          <w:rFonts w:hint="eastAsia" w:ascii="宋体" w:hAnsi="宋体" w:cs="宋体"/>
          <w:szCs w:val="21"/>
        </w:rPr>
        <w:t>（2）平台获取：供应商登陆诚亿达电子招标服务平台（http://zb.hubeidream.com/#/login），按照“操作指引”完成获取。</w:t>
      </w:r>
      <w:r>
        <w:br w:type="textWrapping"/>
      </w:r>
      <w:r>
        <w:rPr>
          <w:rFonts w:hint="eastAsia" w:ascii="宋体" w:hAnsi="宋体" w:cs="宋体"/>
          <w:szCs w:val="21"/>
        </w:rPr>
        <w:t xml:space="preserve">    （3）邮箱获取：</w:t>
      </w:r>
      <w:r>
        <w:fldChar w:fldCharType="begin"/>
      </w:r>
      <w:r>
        <w:instrText xml:space="preserve">HYPERLINK "mailto:供应商将公告后附件资料加盖公章扫描后传至3265768009@qq.com【邮件主题名称必须按照如下格式，否则不予受理。项目名称+公司全称+授权委托人姓名及联系方式】，以邮箱显示收到的时间为准，各供应商递交资料后请耐心等待代理机构工作人员后台确认，资料确认无误的，工作人员会及时发送采购文件。"</w:instrText>
      </w:r>
      <w:r>
        <w:fldChar w:fldCharType="separate"/>
      </w:r>
      <w:r>
        <w:rPr>
          <w:rStyle w:val="32"/>
          <w:rFonts w:hint="eastAsia" w:ascii="宋体" w:hAnsi="宋体" w:cs="宋体"/>
          <w:color w:val="auto"/>
          <w:sz w:val="21"/>
          <w:szCs w:val="21"/>
          <w:u w:val="none"/>
        </w:rPr>
        <w:t>供应商将公告后附件资料加盖公章扫描后传至3265768009@qq.com【邮件主题名称必须按照如下格式，否则不予受理。项目名称+公司全称+授权委托人姓名及联系方式】，以邮箱显示收到的时间为准，各供应商递交资料后请耐心等待代理机构工作人员后台确认，资料确认无误的，工作人员会及时发送采购文件。</w:t>
      </w:r>
      <w:r>
        <w:rPr>
          <w:rStyle w:val="32"/>
          <w:rFonts w:ascii="宋体" w:hAnsi="宋体" w:cs="宋体"/>
          <w:color w:val="auto"/>
          <w:sz w:val="21"/>
          <w:szCs w:val="21"/>
          <w:u w:val="none"/>
        </w:rPr>
        <w:fldChar w:fldCharType="end"/>
      </w:r>
    </w:p>
    <w:p>
      <w:pPr>
        <w:spacing w:line="360" w:lineRule="auto"/>
        <w:ind w:firstLine="420" w:firstLineChars="200"/>
        <w:jc w:val="left"/>
        <w:rPr>
          <w:rFonts w:ascii="宋体" w:hAnsi="宋体" w:cs="宋体"/>
          <w:szCs w:val="21"/>
        </w:rPr>
      </w:pPr>
      <w:r>
        <w:rPr>
          <w:rFonts w:hint="eastAsia" w:ascii="宋体" w:hAnsi="宋体" w:cs="宋体"/>
          <w:szCs w:val="21"/>
        </w:rPr>
        <w:t>售价：400（元）；</w:t>
      </w:r>
    </w:p>
    <w:p>
      <w:pPr>
        <w:pStyle w:val="4"/>
        <w:numPr>
          <w:ilvl w:val="0"/>
          <w:numId w:val="6"/>
        </w:numPr>
        <w:spacing w:before="100" w:after="100" w:line="360" w:lineRule="auto"/>
        <w:jc w:val="left"/>
        <w:rPr>
          <w:rFonts w:ascii="宋体" w:hAnsi="宋体" w:eastAsia="宋体" w:cs="宋体"/>
          <w:sz w:val="21"/>
          <w:szCs w:val="21"/>
        </w:rPr>
      </w:pPr>
      <w:bookmarkStart w:id="5" w:name="_Toc6228"/>
      <w:r>
        <w:rPr>
          <w:rFonts w:hint="eastAsia" w:ascii="宋体" w:hAnsi="宋体" w:eastAsia="宋体" w:cs="宋体"/>
          <w:sz w:val="21"/>
          <w:szCs w:val="21"/>
        </w:rPr>
        <w:t>响应文件提交</w:t>
      </w:r>
      <w:bookmarkEnd w:id="5"/>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w:t>
      </w:r>
      <w:r>
        <w:rPr>
          <w:rFonts w:hint="eastAsia" w:ascii="宋体" w:hAnsi="宋体" w:cs="宋体"/>
          <w:color w:val="2327E9"/>
          <w:szCs w:val="21"/>
          <w:u w:val="none"/>
        </w:rPr>
        <w:t>2023年</w:t>
      </w:r>
      <w:r>
        <w:rPr>
          <w:rFonts w:hint="eastAsia" w:ascii="宋体" w:hAnsi="宋体" w:cs="宋体"/>
          <w:color w:val="2327E9"/>
          <w:szCs w:val="21"/>
          <w:u w:val="none"/>
          <w:lang w:val="en-US" w:eastAsia="zh-CN"/>
        </w:rPr>
        <w:t>11</w:t>
      </w:r>
      <w:r>
        <w:rPr>
          <w:rFonts w:hint="eastAsia" w:ascii="宋体" w:hAnsi="宋体" w:cs="宋体"/>
          <w:color w:val="2327E9"/>
          <w:szCs w:val="21"/>
          <w:u w:val="none"/>
        </w:rPr>
        <w:t>月</w:t>
      </w:r>
      <w:r>
        <w:rPr>
          <w:rFonts w:hint="eastAsia" w:ascii="宋体" w:hAnsi="宋体" w:cs="宋体"/>
          <w:color w:val="2327E9"/>
          <w:szCs w:val="21"/>
          <w:u w:val="none"/>
          <w:lang w:val="en-US" w:eastAsia="zh-CN"/>
        </w:rPr>
        <w:t>27</w:t>
      </w:r>
      <w:r>
        <w:rPr>
          <w:rFonts w:hint="eastAsia" w:ascii="宋体" w:hAnsi="宋体" w:cs="宋体"/>
          <w:color w:val="2327E9"/>
          <w:szCs w:val="21"/>
          <w:u w:val="none"/>
        </w:rPr>
        <w:t>日</w:t>
      </w:r>
      <w:r>
        <w:rPr>
          <w:rFonts w:hint="eastAsia" w:ascii="宋体" w:hAnsi="宋体" w:cs="宋体"/>
          <w:color w:val="2327E9"/>
          <w:szCs w:val="21"/>
          <w:u w:val="none"/>
          <w:lang w:val="en-US" w:eastAsia="zh-CN"/>
        </w:rPr>
        <w:t>08</w:t>
      </w:r>
      <w:r>
        <w:rPr>
          <w:rFonts w:hint="eastAsia" w:ascii="宋体" w:hAnsi="宋体" w:cs="宋体"/>
          <w:color w:val="2327E9"/>
          <w:szCs w:val="21"/>
          <w:u w:val="none"/>
        </w:rPr>
        <w:t>点</w:t>
      </w:r>
      <w:r>
        <w:rPr>
          <w:rFonts w:hint="eastAsia" w:ascii="宋体" w:hAnsi="宋体" w:cs="宋体"/>
          <w:color w:val="2327E9"/>
          <w:szCs w:val="21"/>
          <w:u w:val="none"/>
          <w:lang w:val="en-US" w:eastAsia="zh-CN"/>
        </w:rPr>
        <w:t>30</w:t>
      </w:r>
      <w:r>
        <w:rPr>
          <w:rFonts w:hint="eastAsia" w:ascii="宋体" w:hAnsi="宋体" w:cs="宋体"/>
          <w:color w:val="2327E9"/>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w:t>
      </w:r>
      <w:r>
        <w:rPr>
          <w:rFonts w:hint="eastAsia" w:ascii="宋体" w:hAnsi="宋体" w:cs="宋体"/>
          <w:color w:val="2327E9"/>
          <w:szCs w:val="21"/>
          <w:u w:val="none"/>
        </w:rPr>
        <w:t>2023年</w:t>
      </w:r>
      <w:r>
        <w:rPr>
          <w:rFonts w:hint="eastAsia" w:ascii="宋体" w:hAnsi="宋体" w:cs="宋体"/>
          <w:color w:val="2327E9"/>
          <w:szCs w:val="21"/>
          <w:u w:val="none"/>
          <w:lang w:val="en-US" w:eastAsia="zh-CN"/>
        </w:rPr>
        <w:t>11</w:t>
      </w:r>
      <w:r>
        <w:rPr>
          <w:rFonts w:hint="eastAsia" w:ascii="宋体" w:hAnsi="宋体" w:cs="宋体"/>
          <w:color w:val="2327E9"/>
          <w:szCs w:val="21"/>
          <w:u w:val="none"/>
        </w:rPr>
        <w:t>月</w:t>
      </w:r>
      <w:r>
        <w:rPr>
          <w:rFonts w:hint="eastAsia" w:ascii="宋体" w:hAnsi="宋体" w:cs="宋体"/>
          <w:color w:val="2327E9"/>
          <w:szCs w:val="21"/>
          <w:u w:val="none"/>
          <w:lang w:val="en-US" w:eastAsia="zh-CN"/>
        </w:rPr>
        <w:t>27</w:t>
      </w:r>
      <w:r>
        <w:rPr>
          <w:rFonts w:hint="eastAsia" w:ascii="宋体" w:hAnsi="宋体" w:cs="宋体"/>
          <w:color w:val="2327E9"/>
          <w:szCs w:val="21"/>
          <w:u w:val="none"/>
        </w:rPr>
        <w:t>日</w:t>
      </w:r>
      <w:r>
        <w:rPr>
          <w:rFonts w:hint="eastAsia" w:ascii="宋体" w:hAnsi="宋体" w:cs="宋体"/>
          <w:color w:val="2327E9"/>
          <w:szCs w:val="21"/>
          <w:u w:val="none"/>
          <w:lang w:val="en-US" w:eastAsia="zh-CN"/>
        </w:rPr>
        <w:t>10</w:t>
      </w:r>
      <w:r>
        <w:rPr>
          <w:rFonts w:hint="eastAsia" w:ascii="宋体" w:hAnsi="宋体" w:cs="宋体"/>
          <w:color w:val="2327E9"/>
          <w:szCs w:val="21"/>
          <w:u w:val="none"/>
        </w:rPr>
        <w:t>点</w:t>
      </w:r>
      <w:r>
        <w:rPr>
          <w:rFonts w:hint="eastAsia" w:ascii="宋体" w:hAnsi="宋体" w:cs="宋体"/>
          <w:color w:val="2327E9"/>
          <w:szCs w:val="21"/>
          <w:u w:val="none"/>
          <w:lang w:val="en-US" w:eastAsia="zh-CN"/>
        </w:rPr>
        <w:t>00</w:t>
      </w:r>
      <w:r>
        <w:rPr>
          <w:rFonts w:hint="eastAsia" w:ascii="宋体" w:hAnsi="宋体" w:cs="宋体"/>
          <w:color w:val="2327E9"/>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w:t>
      </w:r>
    </w:p>
    <w:p>
      <w:pPr>
        <w:pStyle w:val="4"/>
        <w:numPr>
          <w:ilvl w:val="0"/>
          <w:numId w:val="6"/>
        </w:numPr>
        <w:spacing w:before="100" w:after="100" w:line="360" w:lineRule="auto"/>
        <w:jc w:val="left"/>
        <w:rPr>
          <w:rFonts w:ascii="宋体" w:hAnsi="宋体" w:eastAsia="宋体" w:cs="宋体"/>
          <w:sz w:val="21"/>
          <w:szCs w:val="21"/>
        </w:rPr>
      </w:pPr>
      <w:bookmarkStart w:id="6" w:name="_Toc29063"/>
      <w:r>
        <w:rPr>
          <w:rFonts w:hint="eastAsia" w:ascii="宋体" w:hAnsi="宋体" w:eastAsia="宋体" w:cs="宋体"/>
          <w:sz w:val="21"/>
          <w:szCs w:val="21"/>
        </w:rPr>
        <w:t>开启</w:t>
      </w:r>
      <w:bookmarkEnd w:id="6"/>
    </w:p>
    <w:p>
      <w:pPr>
        <w:spacing w:line="360" w:lineRule="auto"/>
        <w:ind w:firstLine="420" w:firstLineChars="200"/>
        <w:jc w:val="left"/>
        <w:rPr>
          <w:szCs w:val="21"/>
        </w:rPr>
      </w:pPr>
      <w:r>
        <w:rPr>
          <w:rFonts w:hint="eastAsia" w:ascii="宋体" w:hAnsi="宋体" w:cs="宋体"/>
          <w:szCs w:val="21"/>
        </w:rPr>
        <w:t>时间：</w:t>
      </w:r>
      <w:r>
        <w:rPr>
          <w:rFonts w:hint="eastAsia" w:ascii="宋体" w:hAnsi="宋体" w:cs="宋体"/>
          <w:color w:val="2327E9"/>
          <w:szCs w:val="21"/>
          <w:u w:val="none"/>
        </w:rPr>
        <w:t>2023年</w:t>
      </w:r>
      <w:r>
        <w:rPr>
          <w:rFonts w:hint="eastAsia" w:ascii="宋体" w:hAnsi="宋体" w:cs="宋体"/>
          <w:color w:val="2327E9"/>
          <w:szCs w:val="21"/>
          <w:u w:val="none"/>
          <w:lang w:val="en-US" w:eastAsia="zh-CN"/>
        </w:rPr>
        <w:t>11</w:t>
      </w:r>
      <w:r>
        <w:rPr>
          <w:rFonts w:hint="eastAsia" w:ascii="宋体" w:hAnsi="宋体" w:cs="宋体"/>
          <w:color w:val="2327E9"/>
          <w:szCs w:val="21"/>
          <w:u w:val="none"/>
        </w:rPr>
        <w:t>月</w:t>
      </w:r>
      <w:r>
        <w:rPr>
          <w:rFonts w:hint="eastAsia" w:ascii="宋体" w:hAnsi="宋体" w:cs="宋体"/>
          <w:color w:val="2327E9"/>
          <w:szCs w:val="21"/>
          <w:u w:val="none"/>
          <w:lang w:val="en-US" w:eastAsia="zh-CN"/>
        </w:rPr>
        <w:t>27</w:t>
      </w:r>
      <w:r>
        <w:rPr>
          <w:rFonts w:hint="eastAsia" w:ascii="宋体" w:hAnsi="宋体" w:cs="宋体"/>
          <w:color w:val="2327E9"/>
          <w:szCs w:val="21"/>
          <w:u w:val="none"/>
        </w:rPr>
        <w:t>日</w:t>
      </w:r>
      <w:r>
        <w:rPr>
          <w:rFonts w:hint="eastAsia" w:ascii="宋体" w:hAnsi="宋体" w:cs="宋体"/>
          <w:color w:val="2327E9"/>
          <w:szCs w:val="21"/>
          <w:u w:val="none"/>
          <w:lang w:val="en-US" w:eastAsia="zh-CN"/>
        </w:rPr>
        <w:t>10</w:t>
      </w:r>
      <w:r>
        <w:rPr>
          <w:rFonts w:hint="eastAsia" w:ascii="宋体" w:hAnsi="宋体" w:cs="宋体"/>
          <w:color w:val="2327E9"/>
          <w:szCs w:val="21"/>
          <w:u w:val="none"/>
        </w:rPr>
        <w:t>点</w:t>
      </w:r>
      <w:r>
        <w:rPr>
          <w:rFonts w:hint="eastAsia" w:ascii="宋体" w:hAnsi="宋体" w:cs="宋体"/>
          <w:color w:val="2327E9"/>
          <w:szCs w:val="21"/>
          <w:u w:val="none"/>
          <w:lang w:val="en-US" w:eastAsia="zh-CN"/>
        </w:rPr>
        <w:t>00</w:t>
      </w:r>
      <w:r>
        <w:rPr>
          <w:rFonts w:hint="eastAsia" w:ascii="宋体" w:hAnsi="宋体" w:cs="宋体"/>
          <w:color w:val="2327E9"/>
          <w:szCs w:val="21"/>
          <w:u w:val="none"/>
        </w:rPr>
        <w:t>分</w:t>
      </w:r>
      <w:r>
        <w:rPr>
          <w:rFonts w:hint="eastAsia" w:ascii="宋体" w:hAnsi="宋体" w:cs="宋体"/>
          <w:szCs w:val="21"/>
        </w:rPr>
        <w:t>（北京时间）</w:t>
      </w:r>
    </w:p>
    <w:p>
      <w:pPr>
        <w:pStyle w:val="4"/>
        <w:numPr>
          <w:ilvl w:val="0"/>
          <w:numId w:val="6"/>
        </w:numPr>
        <w:spacing w:before="100" w:after="100" w:line="360" w:lineRule="auto"/>
        <w:jc w:val="left"/>
        <w:rPr>
          <w:rFonts w:ascii="宋体" w:hAnsi="宋体" w:eastAsia="宋体" w:cs="宋体"/>
          <w:sz w:val="21"/>
          <w:szCs w:val="21"/>
        </w:rPr>
      </w:pPr>
      <w:bookmarkStart w:id="7" w:name="_Toc4183"/>
      <w:r>
        <w:rPr>
          <w:rFonts w:hint="eastAsia" w:ascii="宋体" w:hAnsi="宋体" w:eastAsia="宋体" w:cs="宋体"/>
          <w:sz w:val="21"/>
          <w:szCs w:val="21"/>
        </w:rPr>
        <w:t>公告期限</w:t>
      </w:r>
      <w:bookmarkEnd w:id="7"/>
    </w:p>
    <w:p>
      <w:pPr>
        <w:spacing w:line="360" w:lineRule="auto"/>
        <w:ind w:firstLine="420" w:firstLineChars="200"/>
        <w:jc w:val="left"/>
        <w:rPr>
          <w:rFonts w:ascii="宋体" w:hAnsi="宋体" w:cs="宋体"/>
          <w:szCs w:val="21"/>
        </w:rPr>
      </w:pPr>
      <w:r>
        <w:rPr>
          <w:rFonts w:hint="eastAsia" w:ascii="宋体" w:hAnsi="宋体" w:cs="宋体"/>
          <w:szCs w:val="21"/>
        </w:rPr>
        <w:t>自本公告发布之日起3个工作日</w:t>
      </w:r>
    </w:p>
    <w:p>
      <w:pPr>
        <w:pStyle w:val="4"/>
        <w:numPr>
          <w:ilvl w:val="0"/>
          <w:numId w:val="6"/>
        </w:numPr>
        <w:spacing w:before="100" w:after="100" w:line="360" w:lineRule="auto"/>
        <w:jc w:val="left"/>
        <w:rPr>
          <w:rFonts w:ascii="宋体" w:hAnsi="宋体" w:eastAsia="宋体" w:cs="宋体"/>
          <w:sz w:val="21"/>
          <w:szCs w:val="21"/>
        </w:rPr>
      </w:pPr>
      <w:bookmarkStart w:id="8" w:name="_Toc2329"/>
      <w:r>
        <w:rPr>
          <w:rFonts w:hint="eastAsia" w:ascii="宋体" w:hAnsi="宋体" w:eastAsia="宋体" w:cs="宋体"/>
          <w:sz w:val="21"/>
          <w:szCs w:val="21"/>
        </w:rPr>
        <w:t>其他补充事宜</w:t>
      </w:r>
      <w:bookmarkEnd w:id="8"/>
    </w:p>
    <w:p>
      <w:pPr>
        <w:spacing w:line="360" w:lineRule="auto"/>
        <w:ind w:firstLine="420" w:firstLineChars="200"/>
        <w:jc w:val="left"/>
        <w:rPr>
          <w:rFonts w:ascii="宋体" w:hAnsi="宋体" w:cs="宋体"/>
          <w:szCs w:val="21"/>
        </w:rPr>
      </w:pPr>
      <w:r>
        <w:rPr>
          <w:rFonts w:hint="eastAsia" w:ascii="宋体" w:hAnsi="宋体" w:cs="宋体"/>
          <w:szCs w:val="21"/>
        </w:rPr>
        <w:t>1.供应商如需查询技术要求可到我处查阅采购文件第三章相关内容。</w:t>
      </w:r>
    </w:p>
    <w:p>
      <w:pPr>
        <w:spacing w:line="360" w:lineRule="auto"/>
        <w:ind w:firstLine="420" w:firstLineChars="200"/>
        <w:jc w:val="left"/>
        <w:rPr>
          <w:rFonts w:ascii="宋体" w:hAnsi="宋体" w:cs="宋体"/>
          <w:szCs w:val="21"/>
        </w:rPr>
      </w:pPr>
      <w:r>
        <w:rPr>
          <w:rFonts w:hint="eastAsia" w:ascii="宋体" w:hAnsi="宋体" w:cs="宋体"/>
          <w:szCs w:val="21"/>
        </w:rPr>
        <w:t>2.本项目将在以下网站发布所有信息，请参加本项目竞标的供应商密切关注。</w:t>
      </w:r>
    </w:p>
    <w:p>
      <w:pPr>
        <w:spacing w:line="360" w:lineRule="auto"/>
        <w:ind w:firstLine="420" w:firstLineChars="200"/>
        <w:jc w:val="left"/>
        <w:rPr>
          <w:rFonts w:ascii="宋体" w:hAnsi="宋体" w:cs="宋体"/>
          <w:szCs w:val="21"/>
        </w:rPr>
      </w:pPr>
      <w:r>
        <w:rPr>
          <w:rFonts w:hint="eastAsia" w:ascii="宋体" w:hAnsi="宋体" w:cs="宋体"/>
          <w:szCs w:val="21"/>
        </w:rPr>
        <w:t>（1）《中国政府采购网》（网址：</w:t>
      </w:r>
      <w:r>
        <w:fldChar w:fldCharType="begin"/>
      </w:r>
      <w:r>
        <w:instrText xml:space="preserve">HYPERLINK "http://www.ccgp.gov.cn/）"</w:instrText>
      </w:r>
      <w:r>
        <w:fldChar w:fldCharType="separate"/>
      </w:r>
      <w:r>
        <w:rPr>
          <w:rFonts w:hint="eastAsia" w:ascii="宋体" w:hAnsi="宋体" w:cs="宋体"/>
          <w:szCs w:val="21"/>
        </w:rPr>
        <w:t>http://www.ccgp.gov.cn/）</w:t>
      </w:r>
      <w:r>
        <w:rPr>
          <w:rFonts w:ascii="宋体" w:hAnsi="宋体" w:cs="宋体"/>
          <w:szCs w:val="21"/>
        </w:rPr>
        <w:fldChar w:fldCharType="end"/>
      </w:r>
    </w:p>
    <w:p>
      <w:pPr>
        <w:spacing w:line="360" w:lineRule="auto"/>
        <w:ind w:firstLine="420" w:firstLineChars="200"/>
        <w:jc w:val="left"/>
        <w:rPr>
          <w:rFonts w:ascii="宋体" w:hAnsi="宋体" w:cs="宋体"/>
          <w:b/>
          <w:bCs/>
          <w:szCs w:val="21"/>
        </w:rPr>
      </w:pPr>
      <w:r>
        <w:rPr>
          <w:rFonts w:hint="eastAsia" w:ascii="宋体" w:hAnsi="宋体" w:cs="宋体"/>
          <w:szCs w:val="21"/>
        </w:rPr>
        <w:t>（2）《湖北工业大学》（网址：http://tend.hbut.edu.cn/index.chtml）</w:t>
      </w:r>
    </w:p>
    <w:p>
      <w:pPr>
        <w:pStyle w:val="4"/>
        <w:numPr>
          <w:ilvl w:val="0"/>
          <w:numId w:val="6"/>
        </w:numPr>
        <w:spacing w:before="100" w:after="100" w:line="360" w:lineRule="auto"/>
        <w:jc w:val="left"/>
        <w:rPr>
          <w:rFonts w:ascii="宋体" w:hAnsi="宋体" w:eastAsia="宋体" w:cs="宋体"/>
          <w:sz w:val="21"/>
          <w:szCs w:val="21"/>
        </w:rPr>
      </w:pPr>
      <w:bookmarkStart w:id="9" w:name="_Toc25074"/>
      <w:r>
        <w:rPr>
          <w:rFonts w:hint="eastAsia" w:ascii="宋体" w:hAnsi="宋体" w:eastAsia="宋体" w:cs="宋体"/>
          <w:sz w:val="21"/>
          <w:szCs w:val="21"/>
        </w:rPr>
        <w:t>凡对本次采购提出询问，请按以下方式联系</w:t>
      </w:r>
      <w:bookmarkEnd w:id="9"/>
    </w:p>
    <w:p>
      <w:pPr>
        <w:spacing w:line="360" w:lineRule="auto"/>
        <w:ind w:firstLine="420" w:firstLineChars="200"/>
        <w:jc w:val="left"/>
        <w:rPr>
          <w:rFonts w:ascii="宋体" w:hAnsi="宋体" w:cs="宋体"/>
          <w:szCs w:val="21"/>
        </w:rPr>
      </w:pPr>
      <w:r>
        <w:rPr>
          <w:rFonts w:hint="eastAsia" w:ascii="宋体" w:hAnsi="宋体" w:cs="宋体"/>
          <w:szCs w:val="21"/>
        </w:rPr>
        <w:t>1.采购人信息</w:t>
      </w:r>
    </w:p>
    <w:p>
      <w:pPr>
        <w:spacing w:line="360" w:lineRule="auto"/>
        <w:ind w:firstLine="420" w:firstLineChars="200"/>
        <w:jc w:val="left"/>
        <w:rPr>
          <w:rFonts w:ascii="宋体" w:hAnsi="宋体" w:cs="宋体"/>
          <w:szCs w:val="21"/>
        </w:rPr>
      </w:pPr>
      <w:r>
        <w:rPr>
          <w:rFonts w:hint="eastAsia" w:ascii="宋体" w:hAnsi="宋体" w:cs="宋体"/>
          <w:szCs w:val="21"/>
        </w:rPr>
        <w:t>名 称：湖北工业大学　　　　　　　　　　　　</w:t>
      </w:r>
    </w:p>
    <w:p>
      <w:pPr>
        <w:spacing w:line="360" w:lineRule="auto"/>
        <w:ind w:firstLine="420" w:firstLineChars="200"/>
        <w:jc w:val="left"/>
        <w:rPr>
          <w:rFonts w:ascii="宋体" w:hAnsi="宋体" w:cs="宋体"/>
          <w:szCs w:val="21"/>
        </w:rPr>
      </w:pPr>
      <w:r>
        <w:rPr>
          <w:rFonts w:hint="eastAsia" w:ascii="宋体" w:hAnsi="宋体" w:cs="宋体"/>
          <w:szCs w:val="21"/>
        </w:rPr>
        <w:t>地 址：湖北省武汉市洪山区南李路28号　　　　　　　　　　　　</w:t>
      </w:r>
    </w:p>
    <w:p>
      <w:pPr>
        <w:spacing w:line="360" w:lineRule="auto"/>
        <w:ind w:firstLine="420" w:firstLineChars="200"/>
        <w:jc w:val="left"/>
        <w:rPr>
          <w:rFonts w:ascii="宋体" w:hAnsi="宋体" w:cs="宋体"/>
          <w:szCs w:val="21"/>
        </w:rPr>
      </w:pPr>
      <w:r>
        <w:rPr>
          <w:rFonts w:hint="eastAsia" w:ascii="宋体" w:hAnsi="宋体" w:cs="宋体"/>
          <w:szCs w:val="21"/>
        </w:rPr>
        <w:t xml:space="preserve">联系方式：刘老师、027-59750213　　　　　　　　　　　 </w:t>
      </w:r>
    </w:p>
    <w:p>
      <w:pPr>
        <w:spacing w:line="360" w:lineRule="auto"/>
        <w:ind w:firstLine="420" w:firstLineChars="200"/>
        <w:jc w:val="left"/>
        <w:rPr>
          <w:rFonts w:ascii="宋体" w:hAnsi="宋体" w:cs="宋体"/>
          <w:szCs w:val="21"/>
        </w:rPr>
      </w:pPr>
      <w:r>
        <w:rPr>
          <w:rFonts w:hint="eastAsia" w:ascii="宋体" w:hAnsi="宋体" w:cs="宋体"/>
          <w:szCs w:val="21"/>
        </w:rPr>
        <w:t>2.采购代理机构信息</w:t>
      </w:r>
    </w:p>
    <w:p>
      <w:pPr>
        <w:spacing w:line="360" w:lineRule="auto"/>
        <w:ind w:firstLine="420" w:firstLineChars="200"/>
        <w:jc w:val="left"/>
        <w:rPr>
          <w:rFonts w:ascii="宋体" w:hAnsi="宋体" w:cs="宋体"/>
          <w:szCs w:val="21"/>
        </w:rPr>
      </w:pPr>
      <w:r>
        <w:rPr>
          <w:rFonts w:hint="eastAsia" w:ascii="宋体" w:hAnsi="宋体" w:cs="宋体"/>
          <w:szCs w:val="21"/>
        </w:rPr>
        <w:t>名  称：中创恒梦工程咨询有限公司　　　　　　　　　　　　</w:t>
      </w:r>
    </w:p>
    <w:p>
      <w:pPr>
        <w:spacing w:line="360" w:lineRule="auto"/>
        <w:ind w:firstLine="420" w:firstLineChars="200"/>
        <w:jc w:val="left"/>
        <w:rPr>
          <w:rFonts w:ascii="宋体" w:hAnsi="宋体" w:cs="宋体"/>
          <w:szCs w:val="21"/>
        </w:rPr>
      </w:pPr>
      <w:r>
        <w:rPr>
          <w:rFonts w:hint="eastAsia" w:ascii="宋体" w:hAnsi="宋体" w:cs="宋体"/>
          <w:szCs w:val="21"/>
        </w:rPr>
        <w:t>地　址：武昌区中北路岳家嘴立交山河企业大厦48楼4805、4806室　　　　　　　　　　　　</w:t>
      </w:r>
    </w:p>
    <w:p>
      <w:pPr>
        <w:spacing w:line="360" w:lineRule="auto"/>
        <w:ind w:firstLine="420" w:firstLineChars="200"/>
        <w:jc w:val="left"/>
        <w:rPr>
          <w:rFonts w:ascii="宋体" w:hAnsi="宋体" w:cs="宋体"/>
          <w:szCs w:val="21"/>
        </w:rPr>
      </w:pPr>
      <w:r>
        <w:rPr>
          <w:rFonts w:hint="eastAsia" w:ascii="宋体" w:hAnsi="宋体" w:cs="宋体"/>
          <w:szCs w:val="21"/>
        </w:rPr>
        <w:t>联系方式：027-87820788　　　　　　　　　　　　</w:t>
      </w:r>
    </w:p>
    <w:p>
      <w:pPr>
        <w:spacing w:line="360" w:lineRule="auto"/>
        <w:ind w:firstLine="420" w:firstLineChars="200"/>
        <w:jc w:val="left"/>
        <w:rPr>
          <w:rFonts w:ascii="宋体" w:hAnsi="宋体" w:cs="宋体"/>
          <w:szCs w:val="21"/>
        </w:rPr>
      </w:pPr>
      <w:r>
        <w:rPr>
          <w:rFonts w:hint="eastAsia" w:ascii="宋体" w:hAnsi="宋体" w:cs="宋体"/>
          <w:szCs w:val="21"/>
        </w:rPr>
        <w:t>3.项目联系方式</w:t>
      </w:r>
    </w:p>
    <w:p>
      <w:pPr>
        <w:spacing w:line="360" w:lineRule="auto"/>
        <w:ind w:firstLine="420" w:firstLineChars="200"/>
        <w:jc w:val="left"/>
        <w:rPr>
          <w:rFonts w:ascii="宋体" w:hAnsi="宋体" w:cs="宋体"/>
          <w:szCs w:val="21"/>
        </w:rPr>
      </w:pPr>
      <w:r>
        <w:rPr>
          <w:rFonts w:hint="eastAsia" w:ascii="宋体" w:hAnsi="宋体" w:cs="宋体"/>
          <w:szCs w:val="21"/>
        </w:rPr>
        <w:t>项目联系人：张梦、应翠翠</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电    　话：027-87820788　　</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中创恒梦工程咨询有限公司</w:t>
      </w:r>
    </w:p>
    <w:p>
      <w:pPr>
        <w:spacing w:line="440" w:lineRule="exact"/>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Cs w:val="21"/>
        </w:rPr>
        <w:t xml:space="preserve">                                                                     2023年</w:t>
      </w:r>
      <w:r>
        <w:rPr>
          <w:rFonts w:hint="eastAsia" w:asciiTheme="minorEastAsia" w:hAnsiTheme="minorEastAsia" w:eastAsiaTheme="minorEastAsia" w:cstheme="minorEastAsia"/>
          <w:szCs w:val="21"/>
          <w:lang w:val="en-US" w:eastAsia="zh-CN"/>
        </w:rPr>
        <w:t>11</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13</w:t>
      </w:r>
      <w:r>
        <w:rPr>
          <w:rFonts w:hint="eastAsia" w:asciiTheme="minorEastAsia" w:hAnsiTheme="minorEastAsia" w:eastAsiaTheme="minorEastAsia" w:cstheme="minorEastAsia"/>
          <w:szCs w:val="21"/>
        </w:rPr>
        <w:t>日</w:t>
      </w:r>
      <w:r>
        <w:br w:type="page"/>
      </w:r>
    </w:p>
    <w:p>
      <w:pPr>
        <w:numPr>
          <w:ilvl w:val="0"/>
          <w:numId w:val="5"/>
        </w:numPr>
        <w:spacing w:line="360" w:lineRule="auto"/>
        <w:jc w:val="center"/>
        <w:outlineLvl w:val="0"/>
        <w:rPr>
          <w:rFonts w:ascii="宋体" w:hAnsi="宋体" w:cs="宋体"/>
          <w:b/>
          <w:sz w:val="36"/>
          <w:szCs w:val="36"/>
        </w:rPr>
      </w:pPr>
      <w:bookmarkStart w:id="10" w:name="_Toc1534"/>
      <w:r>
        <w:rPr>
          <w:rFonts w:hint="eastAsia" w:ascii="宋体" w:hAnsi="宋体" w:cs="宋体"/>
          <w:b/>
          <w:sz w:val="36"/>
          <w:szCs w:val="36"/>
        </w:rPr>
        <w:t>供应商须知</w:t>
      </w:r>
      <w:bookmarkEnd w:id="10"/>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11" w:name="_Toc26176"/>
      <w:r>
        <w:rPr>
          <w:rFonts w:hint="eastAsia" w:asciiTheme="minorEastAsia" w:hAnsiTheme="minorEastAsia" w:eastAsiaTheme="minorEastAsia" w:cstheme="minorEastAsia"/>
          <w:b/>
          <w:szCs w:val="21"/>
        </w:rPr>
        <w:t>《供应商须知前附表》</w:t>
      </w:r>
      <w:bookmarkEnd w:id="11"/>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采购人</w:t>
            </w:r>
          </w:p>
        </w:tc>
        <w:tc>
          <w:tcPr>
            <w:tcW w:w="6130" w:type="dxa"/>
            <w:vAlign w:val="center"/>
          </w:tcPr>
          <w:p>
            <w:pPr>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4"/>
              <w:autoSpaceDE w:val="0"/>
              <w:autoSpaceDN w:val="0"/>
              <w:adjustRightInd w:val="0"/>
              <w:spacing w:before="0" w:beforeAutospacing="0" w:after="0" w:afterAutospacing="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4"/>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中创恒梦工程咨询有限公司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4"/>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根据国家发展与改革委员会办公厅发改办价格【2003】857号文的规定，经与采购人协商，由成交供应商按国家发展计划委员会计价格【2002】1980号文规定的取费标准的</w:t>
            </w:r>
            <w:r>
              <w:rPr>
                <w:rFonts w:hint="eastAsia" w:ascii="宋体" w:hAnsi="宋体" w:cs="宋体"/>
                <w:szCs w:val="21"/>
              </w:rPr>
              <w:t>80%</w:t>
            </w:r>
            <w:r>
              <w:rPr>
                <w:rFonts w:hint="eastAsia" w:asciiTheme="minorEastAsia" w:hAnsiTheme="minorEastAsia" w:eastAsiaTheme="minorEastAsia" w:cstheme="minorEastAsia"/>
                <w:szCs w:val="21"/>
              </w:rPr>
              <w:t>向采购代理机构支付招标代理服务费。招标代理服务费由成交供应商在领取成交通知书的同时，向采购代理机构支付。详见成交公告。不足3000元的按照保</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底服务费3000元收取。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4"/>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4"/>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4"/>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书面形式向采购人或采购代理机构提出。供应商在法定质疑期内应一次性提出针对同一采购程序环节的质疑事项。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4"/>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应提交的其它资格证明文件</w:t>
            </w: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shd w:val="clear" w:color="FFFFFF" w:fill="D9D9D9"/>
                <w:lang w:val="zh-CN"/>
              </w:rPr>
              <w:t>（实质性</w:t>
            </w:r>
            <w:r>
              <w:rPr>
                <w:rFonts w:hint="eastAsia" w:asciiTheme="minorEastAsia" w:hAnsiTheme="minorEastAsia" w:eastAsiaTheme="minorEastAsia" w:cstheme="minorEastAsia"/>
                <w:b/>
                <w:bCs/>
                <w:szCs w:val="21"/>
                <w:shd w:val="clear" w:color="FFFFFF" w:fill="D9D9D9"/>
              </w:rPr>
              <w:t>内容</w:t>
            </w:r>
            <w:r>
              <w:rPr>
                <w:rFonts w:hint="eastAsia" w:asciiTheme="minorEastAsia" w:hAnsiTheme="minorEastAsia" w:eastAsiaTheme="minorEastAsia" w:cstheme="minorEastAsia"/>
                <w:b/>
                <w:bCs/>
                <w:szCs w:val="21"/>
                <w:shd w:val="clear" w:color="FFFFFF" w:fill="D9D9D9"/>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成立不足一年的可提供存款证明即可。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。（或提供承诺函）</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或提供承诺函）</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3" w:firstLineChars="4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shd w:val="clear" w:color="auto" w:fill="FFFFFF"/>
              </w:rPr>
              <w:t>响应文件电子版格式：</w:t>
            </w:r>
            <w:r>
              <w:rPr>
                <w:rFonts w:hint="eastAsia" w:asciiTheme="minorEastAsia" w:hAnsiTheme="minorEastAsia" w:eastAsiaTheme="minorEastAsia" w:cstheme="minorEastAsia"/>
                <w:b/>
                <w:bCs/>
                <w:szCs w:val="21"/>
              </w:rPr>
              <w:t>WORD格式和加</w:t>
            </w:r>
            <w:r>
              <w:rPr>
                <w:rFonts w:hint="eastAsia" w:asciiTheme="minorEastAsia" w:hAnsiTheme="minorEastAsia" w:eastAsiaTheme="minorEastAsia" w:cstheme="minorEastAsia"/>
                <w:b/>
                <w:bCs/>
                <w:szCs w:val="21"/>
                <w:u w:val="single"/>
              </w:rPr>
              <w:t>盖公章后的PDF扫描件格式，如不满足作废标处理。</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napToGrid w:val="0"/>
                <w:kern w:val="0"/>
                <w:szCs w:val="21"/>
                <w:lang w:val="zh-CN"/>
              </w:rPr>
              <w:t>（</w:t>
            </w:r>
            <w:r>
              <w:rPr>
                <w:rFonts w:hint="eastAsia" w:asciiTheme="minorEastAsia" w:hAnsiTheme="minorEastAsia" w:eastAsiaTheme="minorEastAsia" w:cstheme="minorEastAsia"/>
                <w:snapToGrid w:val="0"/>
                <w:kern w:val="0"/>
                <w:szCs w:val="21"/>
              </w:rPr>
              <w:t>本项目不适用</w:t>
            </w:r>
            <w:r>
              <w:rPr>
                <w:rFonts w:hint="eastAsia" w:asciiTheme="minorEastAsia" w:hAnsiTheme="minorEastAsia" w:eastAsiaTheme="minorEastAsia" w:cstheme="minorEastAsia"/>
                <w:snapToGrid w:val="0"/>
                <w:kern w:val="0"/>
                <w:szCs w:val="21"/>
                <w:lang w:val="zh-CN"/>
              </w:rPr>
              <w:t>）</w:t>
            </w:r>
          </w:p>
        </w:tc>
        <w:tc>
          <w:tcPr>
            <w:tcW w:w="6130" w:type="dxa"/>
            <w:vAlign w:val="center"/>
          </w:tcPr>
          <w:p>
            <w:pPr>
              <w:autoSpaceDE w:val="0"/>
              <w:autoSpaceDN w:val="0"/>
              <w:adjustRightInd w:val="0"/>
              <w:jc w:val="left"/>
              <w:rPr>
                <w:lang w:val="zh-CN"/>
              </w:rPr>
            </w:pPr>
            <w:r>
              <w:rPr>
                <w:rFonts w:hint="eastAsia" w:asciiTheme="minorEastAsia" w:hAnsiTheme="minorEastAsia" w:eastAsiaTheme="minorEastAsia" w:cstheme="minorEastAsia"/>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是否接受进口产品</w:t>
            </w:r>
          </w:p>
        </w:tc>
        <w:tc>
          <w:tcPr>
            <w:tcW w:w="6130" w:type="dxa"/>
            <w:vAlign w:val="center"/>
          </w:tcPr>
          <w:p>
            <w:pPr>
              <w:autoSpaceDE w:val="0"/>
              <w:autoSpaceDN w:val="0"/>
              <w:adjustRightInd w:val="0"/>
              <w:snapToGrid w:val="0"/>
              <w:spacing w:before="31" w:beforeLines="10" w:after="31" w:afterLines="10"/>
              <w:ind w:right="21" w:rightChars="10"/>
              <w:jc w:val="left"/>
              <w:rPr>
                <w:u w:val="single"/>
              </w:rPr>
            </w:pPr>
            <w:r>
              <w:rPr>
                <w:rFonts w:hint="eastAsia"/>
              </w:rPr>
              <w:t>☑不接受；    □接  受；</w:t>
            </w:r>
            <w:r>
              <w:br w:type="textWrapping"/>
            </w:r>
            <w:r>
              <w:rPr>
                <w:rFonts w:hint="eastAsia"/>
              </w:rPr>
              <w:t>经财政部门审核同意购买的进口产品为：</w:t>
            </w:r>
            <w:r>
              <w:rPr>
                <w:rFonts w:hint="eastAsia"/>
                <w:u w:val="single"/>
              </w:rPr>
              <w:t>         </w:t>
            </w:r>
          </w:p>
          <w:p>
            <w:pPr>
              <w:pStyle w:val="2"/>
            </w:pPr>
            <w:r>
              <w:rPr>
                <w:rFonts w:hint="eastAsia"/>
              </w:rPr>
              <w:t>备注：上述列明的货物均已履行相关论证手续，财政部门已审核同意购买进口产品。</w:t>
            </w:r>
          </w:p>
          <w:p>
            <w:pPr>
              <w:pStyle w:val="2"/>
            </w:pPr>
            <w:r>
              <w:rPr>
                <w:rFonts w:hint="eastAsia"/>
              </w:rPr>
              <w:t>在采购文件中明确规定可以采购进口产品的货物，不限制满足招标文件要求的国内产品参与竞争，如果因信息不对称等原因，仍有满足需求的国内产品要求参与采购竞争的，采购人及其委托的采购代理机构不得对其加以限制，应当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相同品牌的要求【本项目不适用】</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本项目要求不同品牌的产品：</w:t>
            </w:r>
            <w:r>
              <w:rPr>
                <w:rFonts w:hint="eastAsia" w:asciiTheme="minorEastAsia" w:hAnsiTheme="minorEastAsia" w:eastAsiaTheme="minorEastAsia" w:cstheme="minorEastAsia"/>
                <w:szCs w:val="21"/>
                <w:u w:val="single"/>
              </w:rPr>
              <w:t>/</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提供相同品牌主要产品且通过资格审查、符合性审查的不同供应商参加同一合同项下竞标的，按一家供应商计算，评审后得分最高的同品牌供应商获得成交供应商推荐资格；评审得分相同的，采取随机抽取方式确定，其他同品牌供应商不作为成交候选人。</w:t>
            </w:r>
          </w:p>
        </w:tc>
      </w:tr>
    </w:tbl>
    <w:p>
      <w:pPr>
        <w:spacing w:line="360" w:lineRule="auto"/>
        <w:outlineLvl w:val="1"/>
        <w:rPr>
          <w:rFonts w:asciiTheme="minorEastAsia" w:hAnsiTheme="minorEastAsia" w:eastAsiaTheme="minorEastAsia" w:cstheme="minorEastAsia"/>
          <w:b/>
          <w:szCs w:val="21"/>
        </w:rPr>
      </w:pPr>
      <w:bookmarkStart w:id="12" w:name="_Toc6069"/>
      <w:r>
        <w:rPr>
          <w:rFonts w:hint="eastAsia" w:asciiTheme="minorEastAsia" w:hAnsiTheme="minorEastAsia" w:eastAsiaTheme="minorEastAsia" w:cstheme="minorEastAsia"/>
          <w:b/>
          <w:szCs w:val="21"/>
        </w:rPr>
        <w:t>供应商须知</w:t>
      </w:r>
      <w:bookmarkEnd w:id="12"/>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13" w:name="_Toc9816"/>
      <w:r>
        <w:rPr>
          <w:rFonts w:hint="eastAsia" w:asciiTheme="minorEastAsia" w:hAnsiTheme="minorEastAsia" w:eastAsiaTheme="minorEastAsia" w:cstheme="minorEastAsia"/>
          <w:b/>
          <w:szCs w:val="21"/>
        </w:rPr>
        <w:t>总则</w:t>
      </w:r>
      <w:bookmarkEnd w:id="13"/>
    </w:p>
    <w:p>
      <w:pPr>
        <w:numPr>
          <w:ilvl w:val="0"/>
          <w:numId w:val="8"/>
        </w:numPr>
        <w:spacing w:line="360" w:lineRule="auto"/>
        <w:ind w:hanging="540"/>
        <w:outlineLvl w:val="1"/>
        <w:rPr>
          <w:rFonts w:asciiTheme="minorEastAsia" w:hAnsiTheme="minorEastAsia" w:eastAsiaTheme="minorEastAsia" w:cstheme="minorEastAsia"/>
          <w:b/>
          <w:szCs w:val="21"/>
        </w:rPr>
      </w:pPr>
      <w:bookmarkStart w:id="14" w:name="_Toc27243"/>
      <w:bookmarkEnd w:id="14"/>
      <w:bookmarkStart w:id="15" w:name="_Toc1119"/>
      <w:r>
        <w:rPr>
          <w:rFonts w:hint="eastAsia" w:asciiTheme="minorEastAsia" w:hAnsiTheme="minorEastAsia" w:eastAsiaTheme="minorEastAsia" w:cstheme="minorEastAsia"/>
          <w:b/>
          <w:szCs w:val="21"/>
        </w:rPr>
        <w:t>适用法律及范围</w:t>
      </w:r>
      <w:bookmarkEnd w:id="15"/>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16" w:name="_Toc30547"/>
      <w:bookmarkEnd w:id="16"/>
      <w:bookmarkStart w:id="17" w:name="_Toc13224"/>
      <w:r>
        <w:rPr>
          <w:rFonts w:hint="eastAsia" w:asciiTheme="minorEastAsia" w:hAnsiTheme="minorEastAsia" w:eastAsiaTheme="minorEastAsia" w:cstheme="minorEastAsia"/>
          <w:b/>
          <w:szCs w:val="21"/>
        </w:rPr>
        <w:t>定义</w:t>
      </w:r>
      <w:bookmarkEnd w:id="17"/>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18" w:name="_Toc30503"/>
      <w:bookmarkEnd w:id="18"/>
      <w:bookmarkStart w:id="19" w:name="_Toc21534"/>
      <w:r>
        <w:rPr>
          <w:rFonts w:hint="eastAsia" w:asciiTheme="minorEastAsia" w:hAnsiTheme="minorEastAsia" w:eastAsiaTheme="minorEastAsia" w:cstheme="minorEastAsia"/>
          <w:b/>
          <w:snapToGrid w:val="0"/>
          <w:kern w:val="0"/>
          <w:szCs w:val="21"/>
          <w:lang w:val="zh-CN"/>
        </w:rPr>
        <w:t>工程、货物及服务</w:t>
      </w:r>
      <w:bookmarkEnd w:id="19"/>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20" w:name="_Toc9974"/>
      <w:bookmarkEnd w:id="20"/>
      <w:bookmarkStart w:id="21" w:name="_Toc2170"/>
      <w:r>
        <w:rPr>
          <w:rFonts w:hint="eastAsia" w:asciiTheme="minorEastAsia" w:hAnsiTheme="minorEastAsia" w:eastAsiaTheme="minorEastAsia" w:cstheme="minorEastAsia"/>
          <w:b/>
          <w:szCs w:val="21"/>
        </w:rPr>
        <w:t>费用</w:t>
      </w:r>
      <w:bookmarkEnd w:id="21"/>
      <w:r>
        <w:rPr>
          <w:rFonts w:hint="eastAsia" w:asciiTheme="minorEastAsia" w:hAnsiTheme="minorEastAsia" w:eastAsiaTheme="minorEastAsia" w:cstheme="minorEastAsia"/>
          <w:b/>
          <w:szCs w:val="21"/>
        </w:rPr>
        <w:t xml:space="preserve">  </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2" w:name="_Toc2076"/>
      <w:r>
        <w:rPr>
          <w:rFonts w:hint="eastAsia" w:asciiTheme="minorEastAsia" w:hAnsiTheme="minorEastAsia" w:eastAsiaTheme="minorEastAsia" w:cstheme="minorEastAsia"/>
          <w:b/>
          <w:szCs w:val="21"/>
        </w:rPr>
        <w:t>竞争性磋商采购文件</w:t>
      </w:r>
      <w:bookmarkEnd w:id="22"/>
    </w:p>
    <w:p>
      <w:pPr>
        <w:numPr>
          <w:ilvl w:val="0"/>
          <w:numId w:val="8"/>
        </w:numPr>
        <w:spacing w:line="360" w:lineRule="auto"/>
        <w:ind w:hanging="540"/>
        <w:outlineLvl w:val="1"/>
        <w:rPr>
          <w:rFonts w:asciiTheme="minorEastAsia" w:hAnsiTheme="minorEastAsia" w:eastAsiaTheme="minorEastAsia" w:cstheme="minorEastAsia"/>
          <w:b/>
          <w:szCs w:val="21"/>
        </w:rPr>
      </w:pPr>
      <w:bookmarkStart w:id="23" w:name="_Toc4547"/>
      <w:bookmarkEnd w:id="23"/>
      <w:bookmarkStart w:id="24" w:name="_Toc22857"/>
      <w:r>
        <w:rPr>
          <w:rFonts w:hint="eastAsia" w:asciiTheme="minorEastAsia" w:hAnsiTheme="minorEastAsia" w:eastAsiaTheme="minorEastAsia" w:cstheme="minorEastAsia"/>
          <w:b/>
          <w:szCs w:val="21"/>
        </w:rPr>
        <w:t>竞争性磋商采购文件的构成</w:t>
      </w:r>
      <w:bookmarkEnd w:id="24"/>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25" w:name="_Toc29700"/>
      <w:bookmarkEnd w:id="25"/>
      <w:bookmarkStart w:id="26" w:name="_Toc17139"/>
      <w:r>
        <w:rPr>
          <w:rFonts w:hint="eastAsia" w:asciiTheme="minorEastAsia" w:hAnsiTheme="minorEastAsia" w:eastAsiaTheme="minorEastAsia" w:cstheme="minorEastAsia"/>
          <w:b/>
          <w:snapToGrid w:val="0"/>
          <w:kern w:val="0"/>
          <w:szCs w:val="21"/>
          <w:lang w:val="zh-CN"/>
        </w:rPr>
        <w:t>竞争性磋商采购文件的澄清</w:t>
      </w:r>
      <w:bookmarkEnd w:id="26"/>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27" w:name="_Toc31761"/>
      <w:bookmarkEnd w:id="27"/>
      <w:bookmarkStart w:id="28" w:name="_Toc17935"/>
      <w:r>
        <w:rPr>
          <w:rFonts w:hint="eastAsia" w:asciiTheme="minorEastAsia" w:hAnsiTheme="minorEastAsia" w:eastAsiaTheme="minorEastAsia" w:cstheme="minorEastAsia"/>
          <w:b/>
          <w:snapToGrid w:val="0"/>
          <w:kern w:val="0"/>
          <w:szCs w:val="21"/>
          <w:lang w:val="zh-CN"/>
        </w:rPr>
        <w:t>竞争性磋商采购文件的修改</w:t>
      </w:r>
      <w:bookmarkEnd w:id="28"/>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5"/>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个工作日的，采购人、采购代理机构将顺延提交首次响应文件截止之日。</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9" w:name="_Toc13663"/>
      <w:r>
        <w:rPr>
          <w:rFonts w:hint="eastAsia" w:asciiTheme="minorEastAsia" w:hAnsiTheme="minorEastAsia" w:eastAsiaTheme="minorEastAsia" w:cstheme="minorEastAsia"/>
          <w:b/>
          <w:szCs w:val="21"/>
        </w:rPr>
        <w:t>竞争性磋商响应文件</w:t>
      </w:r>
      <w:bookmarkEnd w:id="29"/>
    </w:p>
    <w:p>
      <w:pPr>
        <w:numPr>
          <w:ilvl w:val="0"/>
          <w:numId w:val="8"/>
        </w:numPr>
        <w:spacing w:line="360" w:lineRule="auto"/>
        <w:ind w:hanging="540"/>
        <w:outlineLvl w:val="1"/>
        <w:rPr>
          <w:rFonts w:asciiTheme="minorEastAsia" w:hAnsiTheme="minorEastAsia" w:eastAsiaTheme="minorEastAsia" w:cstheme="minorEastAsia"/>
          <w:snapToGrid w:val="0"/>
          <w:kern w:val="0"/>
          <w:szCs w:val="21"/>
          <w:lang w:val="zh-CN"/>
        </w:rPr>
      </w:pPr>
      <w:bookmarkStart w:id="30" w:name="_Toc30987"/>
      <w:bookmarkEnd w:id="30"/>
      <w:bookmarkStart w:id="31" w:name="_Toc4789"/>
      <w:r>
        <w:rPr>
          <w:rFonts w:hint="eastAsia" w:asciiTheme="minorEastAsia" w:hAnsiTheme="minorEastAsia" w:eastAsiaTheme="minorEastAsia" w:cstheme="minorEastAsia"/>
          <w:b/>
          <w:snapToGrid w:val="0"/>
          <w:kern w:val="0"/>
          <w:szCs w:val="21"/>
          <w:lang w:val="zh-CN"/>
        </w:rPr>
        <w:t>语言和计量单位</w:t>
      </w:r>
      <w:bookmarkEnd w:id="31"/>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32" w:name="_Toc32272"/>
      <w:bookmarkEnd w:id="32"/>
      <w:bookmarkStart w:id="33" w:name="_Toc31060"/>
      <w:r>
        <w:rPr>
          <w:rFonts w:hint="eastAsia" w:asciiTheme="minorEastAsia" w:hAnsiTheme="minorEastAsia" w:eastAsiaTheme="minorEastAsia" w:cstheme="minorEastAsia"/>
          <w:b/>
          <w:snapToGrid w:val="0"/>
          <w:kern w:val="0"/>
          <w:szCs w:val="21"/>
          <w:lang w:val="zh-CN"/>
        </w:rPr>
        <w:t>竞争性磋商响应文件的构成</w:t>
      </w:r>
      <w:bookmarkEnd w:id="33"/>
    </w:p>
    <w:p>
      <w:pPr>
        <w:numPr>
          <w:ilvl w:val="1"/>
          <w:numId w:val="17"/>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34" w:name="_Toc25217"/>
      <w:bookmarkEnd w:id="34"/>
      <w:bookmarkStart w:id="35" w:name="_Toc2118"/>
      <w:r>
        <w:rPr>
          <w:rFonts w:hint="eastAsia" w:asciiTheme="minorEastAsia" w:hAnsiTheme="minorEastAsia" w:eastAsiaTheme="minorEastAsia" w:cstheme="minorEastAsia"/>
          <w:b/>
          <w:snapToGrid w:val="0"/>
          <w:kern w:val="0"/>
          <w:szCs w:val="21"/>
          <w:lang w:val="zh-CN"/>
        </w:rPr>
        <w:t>竞争性磋商响应文件的编制</w:t>
      </w:r>
      <w:bookmarkEnd w:id="35"/>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36" w:name="_Toc24544"/>
      <w:bookmarkEnd w:id="36"/>
      <w:bookmarkStart w:id="37" w:name="_Toc5873"/>
      <w:r>
        <w:rPr>
          <w:rFonts w:hint="eastAsia" w:asciiTheme="minorEastAsia" w:hAnsiTheme="minorEastAsia" w:eastAsiaTheme="minorEastAsia" w:cstheme="minorEastAsia"/>
          <w:b/>
          <w:snapToGrid w:val="0"/>
          <w:kern w:val="0"/>
          <w:szCs w:val="21"/>
          <w:lang w:val="zh-CN"/>
        </w:rPr>
        <w:t>磋商报价</w:t>
      </w:r>
      <w:bookmarkEnd w:id="37"/>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38" w:name="_Toc6176"/>
      <w:bookmarkEnd w:id="38"/>
      <w:bookmarkStart w:id="39" w:name="_Toc27809"/>
      <w:r>
        <w:rPr>
          <w:rFonts w:hint="eastAsia" w:asciiTheme="minorEastAsia" w:hAnsiTheme="minorEastAsia" w:eastAsiaTheme="minorEastAsia" w:cstheme="minorEastAsia"/>
          <w:b/>
          <w:snapToGrid w:val="0"/>
          <w:kern w:val="0"/>
          <w:szCs w:val="21"/>
          <w:lang w:val="zh-CN"/>
        </w:rPr>
        <w:t>备选方案</w:t>
      </w:r>
      <w:bookmarkEnd w:id="39"/>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40" w:name="_Toc3324"/>
      <w:bookmarkEnd w:id="40"/>
      <w:bookmarkStart w:id="41" w:name="_Toc2537"/>
      <w:r>
        <w:rPr>
          <w:rFonts w:hint="eastAsia" w:asciiTheme="minorEastAsia" w:hAnsiTheme="minorEastAsia" w:eastAsiaTheme="minorEastAsia" w:cstheme="minorEastAsia"/>
          <w:b/>
          <w:snapToGrid w:val="0"/>
          <w:kern w:val="0"/>
          <w:szCs w:val="21"/>
          <w:lang w:val="zh-CN"/>
        </w:rPr>
        <w:t>联合体</w:t>
      </w:r>
      <w:bookmarkEnd w:id="41"/>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42" w:name="_Toc2434"/>
      <w:bookmarkEnd w:id="42"/>
      <w:bookmarkStart w:id="43" w:name="_Toc11444"/>
      <w:r>
        <w:rPr>
          <w:rFonts w:hint="eastAsia" w:asciiTheme="minorEastAsia" w:hAnsiTheme="minorEastAsia" w:eastAsiaTheme="minorEastAsia" w:cstheme="minorEastAsia"/>
          <w:b/>
          <w:snapToGrid w:val="0"/>
          <w:kern w:val="0"/>
          <w:szCs w:val="21"/>
          <w:lang w:val="zh-CN"/>
        </w:rPr>
        <w:t>供应商资格证明文件</w:t>
      </w:r>
      <w:bookmarkEnd w:id="43"/>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3"/>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44" w:name="_Toc9935"/>
      <w:bookmarkEnd w:id="44"/>
      <w:bookmarkStart w:id="45" w:name="_Toc4954"/>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45"/>
    </w:p>
    <w:p>
      <w:pPr>
        <w:numPr>
          <w:ilvl w:val="1"/>
          <w:numId w:val="24"/>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46" w:name="_Toc27068"/>
      <w:bookmarkEnd w:id="46"/>
      <w:bookmarkStart w:id="47" w:name="_Toc30084"/>
      <w:r>
        <w:rPr>
          <w:rFonts w:hint="eastAsia" w:asciiTheme="minorEastAsia" w:hAnsiTheme="minorEastAsia" w:eastAsiaTheme="minorEastAsia" w:cstheme="minorEastAsia"/>
          <w:b/>
          <w:snapToGrid w:val="0"/>
          <w:kern w:val="0"/>
          <w:szCs w:val="21"/>
          <w:lang w:val="zh-CN"/>
        </w:rPr>
        <w:t>磋商保证金</w:t>
      </w:r>
      <w:bookmarkEnd w:id="47"/>
    </w:p>
    <w:p>
      <w:pPr>
        <w:numPr>
          <w:ilvl w:val="1"/>
          <w:numId w:val="25"/>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48" w:name="_Toc5668"/>
      <w:bookmarkEnd w:id="48"/>
      <w:bookmarkStart w:id="49" w:name="_Toc17190"/>
      <w:r>
        <w:rPr>
          <w:rFonts w:hint="eastAsia" w:asciiTheme="minorEastAsia" w:hAnsiTheme="minorEastAsia" w:eastAsiaTheme="minorEastAsia" w:cstheme="minorEastAsia"/>
          <w:b/>
          <w:snapToGrid w:val="0"/>
          <w:kern w:val="0"/>
          <w:szCs w:val="21"/>
          <w:lang w:val="zh-CN"/>
        </w:rPr>
        <w:t>磋商有效期</w:t>
      </w:r>
      <w:bookmarkEnd w:id="49"/>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0" w:name="_Toc8272"/>
      <w:bookmarkEnd w:id="50"/>
      <w:bookmarkStart w:id="51" w:name="_Toc6801"/>
      <w:r>
        <w:rPr>
          <w:rFonts w:hint="eastAsia" w:asciiTheme="minorEastAsia" w:hAnsiTheme="minorEastAsia" w:eastAsiaTheme="minorEastAsia" w:cstheme="minorEastAsia"/>
          <w:b/>
          <w:snapToGrid w:val="0"/>
          <w:kern w:val="0"/>
          <w:szCs w:val="21"/>
          <w:lang w:val="zh-CN"/>
        </w:rPr>
        <w:t>竞争性磋商响应文件的装订、签署和数量</w:t>
      </w:r>
      <w:bookmarkEnd w:id="51"/>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52" w:name="_Toc15690"/>
      <w:r>
        <w:rPr>
          <w:rFonts w:hint="eastAsia" w:asciiTheme="minorEastAsia" w:hAnsiTheme="minorEastAsia" w:eastAsiaTheme="minorEastAsia" w:cstheme="minorEastAsia"/>
          <w:b/>
          <w:szCs w:val="21"/>
        </w:rPr>
        <w:t>竞争性磋商响应文件的递交</w:t>
      </w:r>
      <w:bookmarkEnd w:id="52"/>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3" w:name="_Toc27305"/>
      <w:bookmarkEnd w:id="53"/>
      <w:bookmarkStart w:id="54" w:name="_Toc23649"/>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54"/>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5" w:name="_Toc17857"/>
      <w:bookmarkEnd w:id="55"/>
      <w:bookmarkStart w:id="56" w:name="_Toc8909"/>
      <w:r>
        <w:rPr>
          <w:rFonts w:hint="eastAsia" w:asciiTheme="minorEastAsia" w:hAnsiTheme="minorEastAsia" w:eastAsiaTheme="minorEastAsia" w:cstheme="minorEastAsia"/>
          <w:b/>
          <w:snapToGrid w:val="0"/>
          <w:kern w:val="0"/>
          <w:szCs w:val="21"/>
          <w:lang w:val="zh-CN"/>
        </w:rPr>
        <w:t>竞争性磋商响应文件的送达地点及截止时间</w:t>
      </w:r>
      <w:bookmarkEnd w:id="56"/>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b/>
          <w:snapToGrid w:val="0"/>
          <w:kern w:val="0"/>
          <w:szCs w:val="21"/>
        </w:rPr>
        <w:t xml:space="preserve"> </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7" w:name="_Toc31376"/>
      <w:bookmarkEnd w:id="57"/>
      <w:bookmarkStart w:id="58" w:name="_Toc30757"/>
      <w:r>
        <w:rPr>
          <w:rFonts w:hint="eastAsia" w:asciiTheme="minorEastAsia" w:hAnsiTheme="minorEastAsia" w:eastAsiaTheme="minorEastAsia" w:cstheme="minorEastAsia"/>
          <w:b/>
          <w:snapToGrid w:val="0"/>
          <w:kern w:val="0"/>
          <w:szCs w:val="21"/>
          <w:lang w:val="zh-CN"/>
        </w:rPr>
        <w:t>迟交的竞争性磋商响应文件</w:t>
      </w:r>
      <w:bookmarkEnd w:id="58"/>
    </w:p>
    <w:p>
      <w:pPr>
        <w:numPr>
          <w:ilvl w:val="1"/>
          <w:numId w:val="30"/>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9" w:name="_Toc31760"/>
      <w:bookmarkEnd w:id="59"/>
      <w:bookmarkStart w:id="60" w:name="_Toc823"/>
      <w:r>
        <w:rPr>
          <w:rFonts w:hint="eastAsia" w:asciiTheme="minorEastAsia" w:hAnsiTheme="minorEastAsia" w:eastAsiaTheme="minorEastAsia" w:cstheme="minorEastAsia"/>
          <w:b/>
          <w:snapToGrid w:val="0"/>
          <w:kern w:val="0"/>
          <w:szCs w:val="21"/>
          <w:lang w:val="zh-CN"/>
        </w:rPr>
        <w:t>竞争性磋商响应文件的补充、修改或者撤回</w:t>
      </w:r>
      <w:bookmarkEnd w:id="60"/>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1" w:name="_Toc29152"/>
      <w:r>
        <w:rPr>
          <w:rFonts w:hint="eastAsia" w:asciiTheme="minorEastAsia" w:hAnsiTheme="minorEastAsia" w:eastAsiaTheme="minorEastAsia" w:cstheme="minorEastAsia"/>
          <w:b/>
          <w:szCs w:val="21"/>
        </w:rPr>
        <w:t>磋商程序及步骤</w:t>
      </w:r>
      <w:bookmarkEnd w:id="61"/>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2" w:name="_Toc22624"/>
      <w:bookmarkEnd w:id="62"/>
      <w:bookmarkStart w:id="63" w:name="_Toc8884"/>
      <w:r>
        <w:rPr>
          <w:rFonts w:hint="eastAsia" w:asciiTheme="minorEastAsia" w:hAnsiTheme="minorEastAsia" w:eastAsiaTheme="minorEastAsia" w:cstheme="minorEastAsia"/>
          <w:b/>
        </w:rPr>
        <w:t>竞争性磋商小组</w:t>
      </w:r>
      <w:bookmarkEnd w:id="63"/>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4" w:name="_Toc21483"/>
      <w:bookmarkEnd w:id="64"/>
      <w:bookmarkStart w:id="65" w:name="_Toc21629"/>
      <w:r>
        <w:rPr>
          <w:rFonts w:hint="eastAsia" w:asciiTheme="minorEastAsia" w:hAnsiTheme="minorEastAsia" w:eastAsiaTheme="minorEastAsia" w:cstheme="minorEastAsia"/>
          <w:b/>
        </w:rPr>
        <w:t>磋商代表</w:t>
      </w:r>
      <w:bookmarkEnd w:id="65"/>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66" w:name="_Toc9967"/>
      <w:bookmarkEnd w:id="66"/>
      <w:bookmarkStart w:id="67" w:name="_Toc32662"/>
      <w:bookmarkEnd w:id="67"/>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磋商代表的其他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68" w:name="_Toc584"/>
      <w:r>
        <w:rPr>
          <w:rFonts w:hint="eastAsia" w:asciiTheme="minorEastAsia" w:hAnsiTheme="minorEastAsia" w:eastAsiaTheme="minorEastAsia" w:cstheme="minorEastAsia"/>
          <w:b/>
        </w:rPr>
        <w:t>资格审查和符合性审查</w:t>
      </w:r>
      <w:bookmarkEnd w:id="68"/>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69" w:name="_Toc16292"/>
      <w:r>
        <w:rPr>
          <w:rFonts w:hint="eastAsia" w:asciiTheme="minorEastAsia" w:hAnsiTheme="minorEastAsia" w:eastAsiaTheme="minorEastAsia" w:cstheme="minorEastAsia"/>
          <w:b/>
        </w:rPr>
        <w:t>磋商</w:t>
      </w:r>
      <w:bookmarkEnd w:id="69"/>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firstLine="115" w:firstLineChars="55"/>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70" w:name="_Toc17096"/>
      <w:r>
        <w:rPr>
          <w:rFonts w:hint="eastAsia" w:asciiTheme="minorEastAsia" w:hAnsiTheme="minorEastAsia" w:eastAsiaTheme="minorEastAsia" w:cstheme="minorEastAsia"/>
          <w:b/>
          <w:lang w:val="zh-CN"/>
        </w:rPr>
        <w:t>保密</w:t>
      </w:r>
      <w:bookmarkEnd w:id="70"/>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2"/>
        </w:numPr>
        <w:autoSpaceDE w:val="0"/>
        <w:autoSpaceDN w:val="0"/>
        <w:adjustRightInd w:val="0"/>
        <w:spacing w:line="360" w:lineRule="auto"/>
        <w:jc w:val="left"/>
        <w:rPr>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71" w:name="_Toc15936"/>
      <w:bookmarkEnd w:id="71"/>
      <w:bookmarkStart w:id="72" w:name="_Toc6498"/>
      <w:r>
        <w:rPr>
          <w:rFonts w:hint="eastAsia" w:asciiTheme="minorEastAsia" w:hAnsiTheme="minorEastAsia" w:eastAsiaTheme="minorEastAsia" w:cstheme="minorEastAsia"/>
          <w:b/>
          <w:szCs w:val="21"/>
        </w:rPr>
        <w:t>成交与签订合同</w:t>
      </w:r>
      <w:bookmarkEnd w:id="72"/>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73" w:name="_Toc21514"/>
      <w:bookmarkEnd w:id="73"/>
      <w:bookmarkStart w:id="74" w:name="_Toc114"/>
      <w:r>
        <w:rPr>
          <w:rFonts w:hint="eastAsia" w:asciiTheme="minorEastAsia" w:hAnsiTheme="minorEastAsia" w:eastAsiaTheme="minorEastAsia" w:cstheme="minorEastAsia"/>
          <w:b/>
          <w:lang w:val="zh-CN"/>
        </w:rPr>
        <w:t>合同授予标准</w:t>
      </w:r>
      <w:bookmarkEnd w:id="74"/>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w:t>
      </w:r>
      <w:r>
        <w:rPr>
          <w:rFonts w:hint="eastAsia" w:asciiTheme="minorEastAsia" w:hAnsiTheme="minorEastAsia" w:eastAsiaTheme="minorEastAsia" w:cstheme="minorEastAsia"/>
          <w:iCs/>
          <w:snapToGrid w:val="0"/>
          <w:kern w:val="0"/>
          <w:szCs w:val="21"/>
        </w:rPr>
        <w:t xml:space="preserve">  </w:t>
      </w:r>
      <w:r>
        <w:rPr>
          <w:rFonts w:hint="eastAsia" w:asciiTheme="minorEastAsia" w:hAnsiTheme="minorEastAsia" w:eastAsiaTheme="minorEastAsia" w:cstheme="minorEastAsia"/>
          <w:iCs/>
          <w:snapToGrid w:val="0"/>
          <w:kern w:val="0"/>
          <w:szCs w:val="21"/>
          <w:lang w:val="zh-CN"/>
        </w:rPr>
        <w:t>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ascii="宋体" w:hAnsi="宋体" w:cs="宋体"/>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r>
        <w:rPr>
          <w:rFonts w:ascii="宋体" w:hAnsi="宋体" w:cs="宋体"/>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75" w:name="_Toc15727"/>
      <w:bookmarkEnd w:id="75"/>
      <w:bookmarkStart w:id="76" w:name="_Toc10713"/>
      <w:r>
        <w:rPr>
          <w:rFonts w:hint="eastAsia" w:asciiTheme="minorEastAsia" w:hAnsiTheme="minorEastAsia" w:eastAsiaTheme="minorEastAsia" w:cstheme="minorEastAsia"/>
          <w:b/>
          <w:lang w:val="zh-CN"/>
        </w:rPr>
        <w:t>签订合同</w:t>
      </w:r>
      <w:bookmarkEnd w:id="76"/>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29.1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 xml:space="preserve">29.2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29.5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 xml:space="preserve">29.6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7"/>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77" w:name="_Toc14510"/>
      <w:bookmarkEnd w:id="77"/>
      <w:bookmarkStart w:id="78" w:name="_Toc13988"/>
      <w:bookmarkEnd w:id="78"/>
      <w:bookmarkStart w:id="79" w:name="_Toc4883"/>
      <w:bookmarkEnd w:id="79"/>
      <w:r>
        <w:rPr>
          <w:rFonts w:hint="eastAsia" w:asciiTheme="minorEastAsia" w:hAnsiTheme="minorEastAsia" w:eastAsiaTheme="minorEastAsia" w:cstheme="minorEastAsia"/>
          <w:b/>
          <w:szCs w:val="21"/>
          <w:lang w:val="zh-CN"/>
        </w:rPr>
        <w:t>质疑和投诉</w:t>
      </w:r>
    </w:p>
    <w:p>
      <w:pPr>
        <w:numPr>
          <w:ilvl w:val="0"/>
          <w:numId w:val="8"/>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（4）</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（5）</w:t>
      </w:r>
      <w:r>
        <w:rPr>
          <w:rFonts w:hint="eastAsia" w:ascii="宋体" w:hAnsi="宋体" w:cs="宋体"/>
          <w:snapToGrid w:val="0"/>
          <w:kern w:val="0"/>
          <w:szCs w:val="21"/>
        </w:rPr>
        <w:t xml:space="preserve"> </w:t>
      </w:r>
      <w:r>
        <w:rPr>
          <w:rFonts w:hint="eastAsia" w:ascii="宋体" w:hAnsi="宋体" w:cs="宋体"/>
          <w:snapToGrid w:val="0"/>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（6）</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（7）</w:t>
      </w:r>
      <w:r>
        <w:rPr>
          <w:rFonts w:hint="eastAsia" w:ascii="宋体" w:hAnsi="宋体" w:cs="宋体"/>
          <w:snapToGrid w:val="0"/>
          <w:kern w:val="0"/>
          <w:szCs w:val="21"/>
        </w:rPr>
        <w:t xml:space="preserve"> </w:t>
      </w:r>
      <w:r>
        <w:rPr>
          <w:rFonts w:hint="eastAsia" w:ascii="宋体" w:hAnsi="宋体" w:cs="宋体"/>
          <w:snapToGrid w:val="0"/>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kern w:val="0"/>
          <w:szCs w:val="21"/>
          <w:lang w:val="zh-CN"/>
        </w:rPr>
      </w:pPr>
      <w:r>
        <w:rPr>
          <w:rFonts w:hint="eastAsia" w:ascii="宋体" w:hAnsi="宋体" w:cs="宋体"/>
          <w:snapToGrid w:val="0"/>
          <w:kern w:val="0"/>
          <w:szCs w:val="21"/>
          <w:lang w:val="zh-CN"/>
        </w:rPr>
        <w:t>质疑书不符合上述要求的，采购人或代理机构应书面告知具体事项，质疑人应当按要求进行修改或补充，并在质疑有效期限内提交。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0" w:name="_Toc20387"/>
      <w:bookmarkEnd w:id="80"/>
      <w:bookmarkStart w:id="81" w:name="_Toc29778"/>
      <w:r>
        <w:rPr>
          <w:rFonts w:hint="eastAsia" w:asciiTheme="minorEastAsia" w:hAnsiTheme="minorEastAsia" w:eastAsiaTheme="minorEastAsia" w:cstheme="minorEastAsia"/>
          <w:b/>
          <w:lang w:val="zh-CN"/>
        </w:rPr>
        <w:t>质疑回复</w:t>
      </w:r>
      <w:bookmarkEnd w:id="81"/>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质疑答复应当包括下列内容：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（6）质疑答复日期。</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2" w:name="_Toc459"/>
      <w:bookmarkEnd w:id="82"/>
      <w:bookmarkStart w:id="83" w:name="_Toc22924"/>
      <w:r>
        <w:rPr>
          <w:rFonts w:hint="eastAsia" w:asciiTheme="minorEastAsia" w:hAnsiTheme="minorEastAsia" w:eastAsiaTheme="minorEastAsia" w:cstheme="minorEastAsia"/>
          <w:b/>
          <w:lang w:val="zh-CN"/>
        </w:rPr>
        <w:t>投诉</w:t>
      </w:r>
      <w:bookmarkEnd w:id="83"/>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供应商对采购人、采购代理机构的答复不满意或者采购人、采购代理机构未在规定的时间内作出答复的，可以在答复期满后15个工作日内向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监督管理部门应当在收到投诉后30个工作日内，对投诉事项作出处理决定，并以书面形式通知投诉人和与投诉事项有关的当事人。处理投诉事项，需要检验、检测、鉴定、专家评审以及需要投诉人补正材料的，所需时间不计算在投诉处理期限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84" w:name="_Toc5571"/>
      <w:bookmarkEnd w:id="84"/>
      <w:bookmarkStart w:id="85" w:name="_Toc30010"/>
      <w:bookmarkEnd w:id="85"/>
      <w:bookmarkStart w:id="86" w:name="_Toc14767"/>
      <w:bookmarkEnd w:id="86"/>
      <w:bookmarkStart w:id="87" w:name="_Toc28705"/>
      <w:bookmarkEnd w:id="87"/>
      <w:bookmarkStart w:id="88" w:name="_Toc20961"/>
      <w:r>
        <w:rPr>
          <w:rFonts w:hint="eastAsia" w:asciiTheme="minorEastAsia" w:hAnsiTheme="minorEastAsia" w:eastAsiaTheme="minorEastAsia" w:cstheme="minorEastAsia"/>
          <w:b/>
          <w:szCs w:val="21"/>
          <w:lang w:val="zh-CN"/>
        </w:rPr>
        <w:t>政策</w:t>
      </w:r>
      <w:bookmarkEnd w:id="88"/>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89" w:name="_Toc28842"/>
      <w:bookmarkEnd w:id="89"/>
      <w:bookmarkStart w:id="90" w:name="_Toc20236"/>
      <w:r>
        <w:rPr>
          <w:rFonts w:hint="eastAsia" w:asciiTheme="minorEastAsia" w:hAnsiTheme="minorEastAsia" w:eastAsiaTheme="minorEastAsia" w:cstheme="minorEastAsia"/>
          <w:b/>
        </w:rPr>
        <w:t>政府采购政策</w:t>
      </w:r>
      <w:bookmarkEnd w:id="90"/>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spacing w:val="-2"/>
          <w:kern w:val="0"/>
          <w:szCs w:val="21"/>
          <w:lang w:val="zh-CN"/>
        </w:rPr>
        <w:t>除非“供应商须知前附表”中有特殊规定，本项目所采购的货物</w:t>
      </w:r>
      <w:r>
        <w:rPr>
          <w:rFonts w:hint="eastAsia" w:ascii="宋体" w:hAnsi="宋体" w:cs="宋体"/>
          <w:snapToGrid w:val="0"/>
          <w:spacing w:val="-2"/>
          <w:kern w:val="0"/>
          <w:szCs w:val="21"/>
        </w:rPr>
        <w:t>或服务或工程</w:t>
      </w:r>
      <w:r>
        <w:rPr>
          <w:rFonts w:hint="eastAsia" w:ascii="宋体" w:hAnsi="宋体" w:cs="宋体"/>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为促进中小企业发展，本项目供应商如符合工信部联企业【</w:t>
      </w:r>
      <w:r>
        <w:rPr>
          <w:rFonts w:hint="eastAsia" w:ascii="宋体" w:hAnsi="宋体" w:cs="宋体"/>
          <w:snapToGrid w:val="0"/>
          <w:kern w:val="0"/>
          <w:szCs w:val="21"/>
        </w:rPr>
        <w:t>2011</w:t>
      </w:r>
      <w:r>
        <w:rPr>
          <w:rFonts w:hint="eastAsia" w:ascii="宋体" w:hAnsi="宋体" w:cs="宋体"/>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w:t>
      </w:r>
      <w:r>
        <w:rPr>
          <w:rFonts w:hint="eastAsia" w:ascii="宋体" w:hAnsi="宋体" w:cs="宋体"/>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33.</w:t>
      </w:r>
      <w:r>
        <w:rPr>
          <w:rFonts w:hint="eastAsia" w:ascii="宋体" w:hAnsi="宋体" w:cs="宋体"/>
          <w:snapToGrid w:val="0"/>
          <w:kern w:val="0"/>
          <w:szCs w:val="21"/>
        </w:rPr>
        <w:t xml:space="preserve">6  </w:t>
      </w:r>
      <w:r>
        <w:rPr>
          <w:rFonts w:hint="eastAsia" w:ascii="宋体" w:hAnsi="宋体" w:cs="宋体"/>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lang w:val="zh-CN"/>
        </w:rPr>
      </w:pPr>
      <w:r>
        <w:rPr>
          <w:rFonts w:hint="eastAsia" w:ascii="宋体" w:hAnsi="宋体" w:cs="宋体"/>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1" w:name="_Toc25296"/>
      <w:bookmarkEnd w:id="91"/>
      <w:bookmarkStart w:id="92" w:name="_Toc19065"/>
      <w:r>
        <w:rPr>
          <w:rFonts w:hint="eastAsia" w:asciiTheme="minorEastAsia" w:hAnsiTheme="minorEastAsia" w:eastAsiaTheme="minorEastAsia" w:cstheme="minorEastAsia"/>
          <w:b/>
          <w:szCs w:val="21"/>
          <w:lang w:val="zh-CN"/>
        </w:rPr>
        <w:t>其他要求</w:t>
      </w:r>
      <w:bookmarkEnd w:id="92"/>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3" w:name="_Toc28137"/>
      <w:bookmarkEnd w:id="93"/>
      <w:bookmarkStart w:id="94" w:name="_Toc20242"/>
      <w:r>
        <w:rPr>
          <w:rFonts w:hint="eastAsia" w:asciiTheme="minorEastAsia" w:hAnsiTheme="minorEastAsia" w:eastAsiaTheme="minorEastAsia" w:cstheme="minorEastAsia"/>
          <w:b/>
          <w:szCs w:val="21"/>
          <w:lang w:val="zh-CN"/>
        </w:rPr>
        <w:t>适用法律</w:t>
      </w:r>
      <w:bookmarkEnd w:id="94"/>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b/>
          <w:bCs/>
        </w:rPr>
        <w:t>采购人或者采购代理机构和供应商的一切采购活动均适用于《湖北工业大学招标管理办法》等校级相关规章制度的规定。采购人另有要求时，可参照执行《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kern w:val="0"/>
          <w:szCs w:val="21"/>
          <w:lang w:val="zh-CN"/>
        </w:rPr>
        <w:t>。</w:t>
      </w:r>
      <w:r>
        <w:br w:type="textWrapping"/>
      </w:r>
      <w:r>
        <w:rPr>
          <w:rFonts w:hint="eastAsia" w:asciiTheme="minorEastAsia" w:hAnsiTheme="minorEastAsia" w:eastAsiaTheme="minorEastAsia" w:cstheme="minorEastAsia"/>
          <w:b/>
          <w:bCs/>
          <w:snapToGrid w:val="0"/>
          <w:kern w:val="0"/>
          <w:szCs w:val="21"/>
          <w:lang w:val="zh-CN"/>
        </w:rPr>
        <w:t>补充说明：</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kern w:val="0"/>
          <w:szCs w:val="21"/>
        </w:rPr>
        <w:t>则</w:t>
      </w:r>
      <w:r>
        <w:rPr>
          <w:rFonts w:hint="eastAsia" w:asciiTheme="minorEastAsia" w:hAnsiTheme="minorEastAsia" w:eastAsiaTheme="minorEastAsia" w:cstheme="minorEastAsia"/>
          <w:snapToGrid w:val="0"/>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6 月 9 日，则“近三年”</w:t>
      </w:r>
      <w:r>
        <w:rPr>
          <w:rFonts w:hint="eastAsia" w:asciiTheme="minorEastAsia" w:hAnsiTheme="minorEastAsia" w:eastAsiaTheme="minorEastAsia" w:cstheme="minorEastAsia"/>
          <w:snapToGrid w:val="0"/>
          <w:kern w:val="0"/>
          <w:szCs w:val="21"/>
        </w:rPr>
        <w:t>是</w:t>
      </w:r>
      <w:r>
        <w:rPr>
          <w:rFonts w:hint="eastAsia" w:asciiTheme="minorEastAsia" w:hAnsiTheme="minorEastAsia" w:eastAsiaTheme="minorEastAsia" w:cstheme="minorEastAsia"/>
          <w:snapToGrid w:val="0"/>
          <w:kern w:val="0"/>
          <w:szCs w:val="21"/>
          <w:lang w:val="zh-CN"/>
        </w:rPr>
        <w:t>指 201</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8</w:t>
      </w:r>
      <w:r>
        <w:rPr>
          <w:rFonts w:hint="eastAsia" w:asciiTheme="minorEastAsia" w:hAnsiTheme="minorEastAsia" w:eastAsiaTheme="minorEastAsia" w:cstheme="minorEastAsia"/>
          <w:snapToGrid w:val="0"/>
          <w:kern w:val="0"/>
          <w:szCs w:val="21"/>
          <w:lang w:val="zh-CN"/>
        </w:rPr>
        <w:t>年度。</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成立时间不足应提交财务报告年份要求的，按成立时间起算。</w:t>
      </w:r>
      <w:r>
        <w:br w:type="textWrapping"/>
      </w:r>
      <w:r>
        <w:br w:type="textWrapping"/>
      </w:r>
      <w:r>
        <w:br w:type="textWrapping"/>
      </w:r>
    </w:p>
    <w:p>
      <w:pPr>
        <w:jc w:val="center"/>
        <w:outlineLvl w:val="0"/>
        <w:rPr>
          <w:rFonts w:ascii="宋体" w:hAnsi="宋体" w:cs="宋体"/>
          <w:b/>
          <w:sz w:val="36"/>
          <w:szCs w:val="36"/>
        </w:rPr>
      </w:pPr>
      <w:r>
        <w:br w:type="page"/>
      </w:r>
      <w:bookmarkStart w:id="95" w:name="_Toc11673"/>
      <w:r>
        <w:rPr>
          <w:rFonts w:hint="eastAsia" w:ascii="宋体" w:hAnsi="宋体" w:cs="宋体"/>
          <w:b/>
          <w:sz w:val="36"/>
          <w:szCs w:val="36"/>
        </w:rPr>
        <w:t>第三章 采购需求</w:t>
      </w:r>
      <w:bookmarkEnd w:id="95"/>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96" w:name="_Toc6720"/>
      <w:r>
        <w:rPr>
          <w:rFonts w:hint="eastAsia" w:asciiTheme="minorEastAsia" w:hAnsiTheme="minorEastAsia" w:eastAsiaTheme="minorEastAsia" w:cstheme="minorEastAsia"/>
          <w:b/>
          <w:bCs/>
          <w:sz w:val="24"/>
        </w:rPr>
        <w:t>一、技术需求</w:t>
      </w:r>
      <w:bookmarkEnd w:id="96"/>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1.项目概况：</w:t>
      </w:r>
      <w:r>
        <w:rPr>
          <w:rFonts w:hint="eastAsia" w:asciiTheme="minorEastAsia" w:hAnsiTheme="minorEastAsia" w:eastAsiaTheme="minorEastAsia" w:cstheme="minorEastAsia"/>
          <w:szCs w:val="21"/>
        </w:rPr>
        <w:t>本项目共为1个包。采购内容包含直流电源、电子元件参数测量仪、直流重叠电源、电磁场分析仪。</w:t>
      </w:r>
    </w:p>
    <w:p>
      <w:pPr>
        <w:autoSpaceDE w:val="0"/>
        <w:autoSpaceDN w:val="0"/>
        <w:adjustRightIn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2.设备/货物清单：</w:t>
      </w:r>
    </w:p>
    <w:p>
      <w:pPr>
        <w:autoSpaceDE w:val="0"/>
        <w:autoSpaceDN w:val="0"/>
        <w:adjustRightInd w:val="0"/>
        <w:spacing w:line="360" w:lineRule="auto"/>
        <w:ind w:firstLine="211" w:firstLineChars="1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2.1货物清单</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5" w:type="dxa"/>
          <w:bottom w:w="0" w:type="dxa"/>
          <w:right w:w="15" w:type="dxa"/>
        </w:tblCellMar>
      </w:tblPr>
      <w:tblGrid>
        <w:gridCol w:w="798"/>
        <w:gridCol w:w="2271"/>
        <w:gridCol w:w="1286"/>
        <w:gridCol w:w="1363"/>
        <w:gridCol w:w="1827"/>
        <w:gridCol w:w="1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524" w:hRule="atLeast"/>
          <w:jc w:val="center"/>
        </w:trPr>
        <w:tc>
          <w:tcPr>
            <w:tcW w:w="439" w:type="pct"/>
            <w:vAlign w:val="center"/>
          </w:tcPr>
          <w:p>
            <w:pPr>
              <w:kinsoku w:val="0"/>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序号</w:t>
            </w:r>
          </w:p>
        </w:tc>
        <w:tc>
          <w:tcPr>
            <w:tcW w:w="1248" w:type="pct"/>
            <w:vAlign w:val="center"/>
          </w:tcPr>
          <w:p>
            <w:pPr>
              <w:kinsoku w:val="0"/>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货物名称</w:t>
            </w:r>
          </w:p>
        </w:tc>
        <w:tc>
          <w:tcPr>
            <w:tcW w:w="707" w:type="pct"/>
            <w:vAlign w:val="center"/>
          </w:tcPr>
          <w:p>
            <w:pPr>
              <w:kinsoku w:val="0"/>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单位</w:t>
            </w:r>
          </w:p>
        </w:tc>
        <w:tc>
          <w:tcPr>
            <w:tcW w:w="749" w:type="pct"/>
            <w:vAlign w:val="center"/>
          </w:tcPr>
          <w:p>
            <w:pPr>
              <w:kinsoku w:val="0"/>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数量</w:t>
            </w:r>
          </w:p>
        </w:tc>
        <w:tc>
          <w:tcPr>
            <w:tcW w:w="1004" w:type="pct"/>
            <w:vAlign w:val="center"/>
          </w:tcPr>
          <w:p>
            <w:pPr>
              <w:kinsoku w:val="0"/>
              <w:autoSpaceDE w:val="0"/>
              <w:autoSpaceDN w:val="0"/>
              <w:adjustRightInd w:val="0"/>
              <w:snapToGrid w:val="0"/>
              <w:jc w:val="center"/>
              <w:rPr>
                <w:rFonts w:ascii="宋体" w:hAnsi="宋体" w:cs="宋体"/>
                <w:b/>
                <w:kern w:val="0"/>
                <w:szCs w:val="21"/>
              </w:rPr>
            </w:pPr>
            <w:r>
              <w:rPr>
                <w:rFonts w:hint="eastAsia" w:ascii="宋体" w:hAnsi="宋体" w:cs="宋体"/>
                <w:b/>
                <w:kern w:val="0"/>
                <w:szCs w:val="21"/>
              </w:rPr>
              <w:t>投标最高单价限价</w:t>
            </w:r>
          </w:p>
          <w:p>
            <w:pPr>
              <w:kinsoku w:val="0"/>
              <w:autoSpaceDE w:val="0"/>
              <w:autoSpaceDN w:val="0"/>
              <w:adjustRightInd w:val="0"/>
              <w:snapToGrid w:val="0"/>
              <w:jc w:val="center"/>
              <w:rPr>
                <w:rFonts w:ascii="宋体" w:hAnsi="宋体" w:cs="宋体"/>
                <w:b/>
                <w:kern w:val="0"/>
                <w:szCs w:val="21"/>
              </w:rPr>
            </w:pPr>
            <w:r>
              <w:rPr>
                <w:rFonts w:hint="eastAsia" w:ascii="宋体" w:hAnsi="宋体" w:cs="宋体"/>
                <w:b/>
                <w:kern w:val="0"/>
                <w:szCs w:val="21"/>
              </w:rPr>
              <w:t>（元）</w:t>
            </w:r>
          </w:p>
        </w:tc>
        <w:tc>
          <w:tcPr>
            <w:tcW w:w="850" w:type="pct"/>
            <w:vAlign w:val="center"/>
          </w:tcPr>
          <w:p>
            <w:pPr>
              <w:kinsoku w:val="0"/>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是否进口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62" w:hRule="atLeast"/>
          <w:jc w:val="center"/>
        </w:trPr>
        <w:tc>
          <w:tcPr>
            <w:tcW w:w="439" w:type="pct"/>
            <w:vAlign w:val="center"/>
          </w:tcPr>
          <w:p>
            <w:pPr>
              <w:numPr>
                <w:ilvl w:val="0"/>
                <w:numId w:val="34"/>
              </w:numPr>
              <w:kinsoku w:val="0"/>
              <w:autoSpaceDE w:val="0"/>
              <w:autoSpaceDN w:val="0"/>
              <w:adjustRightInd w:val="0"/>
              <w:snapToGrid w:val="0"/>
              <w:spacing w:line="360" w:lineRule="auto"/>
              <w:jc w:val="center"/>
              <w:rPr>
                <w:rFonts w:ascii="宋体" w:hAnsi="宋体" w:cs="宋体"/>
                <w:kern w:val="0"/>
                <w:szCs w:val="21"/>
              </w:rPr>
            </w:pPr>
          </w:p>
        </w:tc>
        <w:tc>
          <w:tcPr>
            <w:tcW w:w="1248"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 xml:space="preserve">直流电源 </w:t>
            </w:r>
          </w:p>
        </w:tc>
        <w:tc>
          <w:tcPr>
            <w:tcW w:w="707"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台</w:t>
            </w:r>
          </w:p>
        </w:tc>
        <w:tc>
          <w:tcPr>
            <w:tcW w:w="749"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1</w:t>
            </w:r>
          </w:p>
        </w:tc>
        <w:tc>
          <w:tcPr>
            <w:tcW w:w="1004"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98000</w:t>
            </w:r>
          </w:p>
        </w:tc>
        <w:tc>
          <w:tcPr>
            <w:tcW w:w="850"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62" w:hRule="atLeast"/>
          <w:jc w:val="center"/>
        </w:trPr>
        <w:tc>
          <w:tcPr>
            <w:tcW w:w="439" w:type="pct"/>
            <w:vAlign w:val="center"/>
          </w:tcPr>
          <w:p>
            <w:pPr>
              <w:numPr>
                <w:ilvl w:val="0"/>
                <w:numId w:val="34"/>
              </w:numPr>
              <w:kinsoku w:val="0"/>
              <w:autoSpaceDE w:val="0"/>
              <w:autoSpaceDN w:val="0"/>
              <w:adjustRightInd w:val="0"/>
              <w:snapToGrid w:val="0"/>
              <w:spacing w:line="360" w:lineRule="auto"/>
              <w:jc w:val="center"/>
              <w:rPr>
                <w:rFonts w:ascii="宋体" w:hAnsi="宋体" w:cs="宋体"/>
                <w:kern w:val="0"/>
                <w:szCs w:val="21"/>
              </w:rPr>
            </w:pPr>
          </w:p>
        </w:tc>
        <w:tc>
          <w:tcPr>
            <w:tcW w:w="1248"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 xml:space="preserve">电子元件参数测量仪 </w:t>
            </w:r>
          </w:p>
        </w:tc>
        <w:tc>
          <w:tcPr>
            <w:tcW w:w="707"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台</w:t>
            </w:r>
          </w:p>
        </w:tc>
        <w:tc>
          <w:tcPr>
            <w:tcW w:w="749"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1</w:t>
            </w:r>
          </w:p>
        </w:tc>
        <w:tc>
          <w:tcPr>
            <w:tcW w:w="1004"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52000</w:t>
            </w:r>
          </w:p>
        </w:tc>
        <w:tc>
          <w:tcPr>
            <w:tcW w:w="850"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62" w:hRule="atLeast"/>
          <w:jc w:val="center"/>
        </w:trPr>
        <w:tc>
          <w:tcPr>
            <w:tcW w:w="439" w:type="pct"/>
            <w:vAlign w:val="center"/>
          </w:tcPr>
          <w:p>
            <w:pPr>
              <w:numPr>
                <w:ilvl w:val="0"/>
                <w:numId w:val="34"/>
              </w:numPr>
              <w:kinsoku w:val="0"/>
              <w:autoSpaceDE w:val="0"/>
              <w:autoSpaceDN w:val="0"/>
              <w:adjustRightInd w:val="0"/>
              <w:snapToGrid w:val="0"/>
              <w:spacing w:line="360" w:lineRule="auto"/>
              <w:jc w:val="center"/>
              <w:rPr>
                <w:rFonts w:ascii="宋体" w:hAnsi="宋体" w:cs="宋体"/>
                <w:kern w:val="0"/>
                <w:szCs w:val="21"/>
              </w:rPr>
            </w:pPr>
          </w:p>
        </w:tc>
        <w:tc>
          <w:tcPr>
            <w:tcW w:w="1248"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直流重叠电源</w:t>
            </w:r>
          </w:p>
        </w:tc>
        <w:tc>
          <w:tcPr>
            <w:tcW w:w="707"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台</w:t>
            </w:r>
          </w:p>
        </w:tc>
        <w:tc>
          <w:tcPr>
            <w:tcW w:w="749"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1</w:t>
            </w:r>
          </w:p>
        </w:tc>
        <w:tc>
          <w:tcPr>
            <w:tcW w:w="1004"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35000</w:t>
            </w:r>
          </w:p>
        </w:tc>
        <w:tc>
          <w:tcPr>
            <w:tcW w:w="850"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72" w:hRule="atLeast"/>
          <w:jc w:val="center"/>
        </w:trPr>
        <w:tc>
          <w:tcPr>
            <w:tcW w:w="439" w:type="pct"/>
            <w:vAlign w:val="center"/>
          </w:tcPr>
          <w:p>
            <w:pPr>
              <w:numPr>
                <w:ilvl w:val="0"/>
                <w:numId w:val="34"/>
              </w:numPr>
              <w:kinsoku w:val="0"/>
              <w:autoSpaceDE w:val="0"/>
              <w:autoSpaceDN w:val="0"/>
              <w:adjustRightInd w:val="0"/>
              <w:snapToGrid w:val="0"/>
              <w:spacing w:line="360" w:lineRule="auto"/>
              <w:jc w:val="center"/>
              <w:rPr>
                <w:rFonts w:ascii="宋体" w:hAnsi="宋体" w:cs="宋体"/>
                <w:kern w:val="0"/>
                <w:szCs w:val="21"/>
              </w:rPr>
            </w:pPr>
          </w:p>
        </w:tc>
        <w:tc>
          <w:tcPr>
            <w:tcW w:w="1248"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电磁场分析仪</w:t>
            </w:r>
          </w:p>
        </w:tc>
        <w:tc>
          <w:tcPr>
            <w:tcW w:w="707"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台</w:t>
            </w:r>
          </w:p>
        </w:tc>
        <w:tc>
          <w:tcPr>
            <w:tcW w:w="749"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1</w:t>
            </w:r>
          </w:p>
        </w:tc>
        <w:tc>
          <w:tcPr>
            <w:tcW w:w="1004"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99000</w:t>
            </w:r>
          </w:p>
        </w:tc>
        <w:tc>
          <w:tcPr>
            <w:tcW w:w="850"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697" w:hRule="atLeast"/>
          <w:jc w:val="center"/>
        </w:trPr>
        <w:tc>
          <w:tcPr>
            <w:tcW w:w="5000" w:type="pct"/>
            <w:gridSpan w:val="6"/>
            <w:vAlign w:val="center"/>
          </w:tcPr>
          <w:p>
            <w:pPr>
              <w:kinsoku w:val="0"/>
              <w:autoSpaceDE w:val="0"/>
              <w:autoSpaceDN w:val="0"/>
              <w:adjustRightInd w:val="0"/>
              <w:snapToGrid w:val="0"/>
              <w:jc w:val="left"/>
              <w:rPr>
                <w:rFonts w:ascii="宋体" w:hAnsi="宋体" w:cs="宋体"/>
                <w:kern w:val="0"/>
                <w:szCs w:val="21"/>
              </w:rPr>
            </w:pPr>
            <w:r>
              <w:rPr>
                <w:rFonts w:hint="eastAsia" w:ascii="宋体" w:hAnsi="宋体"/>
                <w:b/>
                <w:bCs/>
                <w:sz w:val="22"/>
                <w:szCs w:val="22"/>
              </w:rPr>
              <w:t>注：投标人所投上述产品的报价单价超过相对应的投标最高单价限价的，作废标处理。</w:t>
            </w:r>
          </w:p>
        </w:tc>
      </w:tr>
    </w:tbl>
    <w:p>
      <w:pPr>
        <w:autoSpaceDE w:val="0"/>
        <w:autoSpaceDN w:val="0"/>
        <w:adjustRightInd w:val="0"/>
        <w:spacing w:line="360" w:lineRule="auto"/>
        <w:ind w:firstLine="211" w:firstLineChars="1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2.2技术要求及参数</w:t>
      </w:r>
    </w:p>
    <w:tbl>
      <w:tblPr>
        <w:tblStyle w:val="26"/>
        <w:tblW w:w="50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5" w:type="dxa"/>
          <w:bottom w:w="0" w:type="dxa"/>
          <w:right w:w="15" w:type="dxa"/>
        </w:tblCellMar>
      </w:tblPr>
      <w:tblGrid>
        <w:gridCol w:w="466"/>
        <w:gridCol w:w="1025"/>
        <w:gridCol w:w="7094"/>
        <w:gridCol w:w="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513" w:hRule="atLeast"/>
          <w:jc w:val="center"/>
        </w:trPr>
        <w:tc>
          <w:tcPr>
            <w:tcW w:w="251" w:type="pct"/>
            <w:vAlign w:val="center"/>
          </w:tcPr>
          <w:p>
            <w:pPr>
              <w:kinsoku w:val="0"/>
              <w:autoSpaceDE w:val="0"/>
              <w:autoSpaceDN w:val="0"/>
              <w:adjustRightInd w:val="0"/>
              <w:snapToGrid w:val="0"/>
              <w:jc w:val="center"/>
              <w:rPr>
                <w:rFonts w:ascii="宋体" w:hAnsi="宋体" w:cs="宋体"/>
                <w:b/>
                <w:kern w:val="0"/>
                <w:szCs w:val="21"/>
              </w:rPr>
            </w:pPr>
            <w:r>
              <w:rPr>
                <w:rFonts w:hint="eastAsia" w:ascii="宋体" w:hAnsi="宋体" w:cs="宋体"/>
                <w:b/>
                <w:kern w:val="0"/>
                <w:szCs w:val="21"/>
              </w:rPr>
              <w:t>序号</w:t>
            </w:r>
          </w:p>
        </w:tc>
        <w:tc>
          <w:tcPr>
            <w:tcW w:w="552" w:type="pct"/>
            <w:vAlign w:val="center"/>
          </w:tcPr>
          <w:p>
            <w:pPr>
              <w:kinsoku w:val="0"/>
              <w:autoSpaceDE w:val="0"/>
              <w:autoSpaceDN w:val="0"/>
              <w:adjustRightInd w:val="0"/>
              <w:snapToGrid w:val="0"/>
              <w:jc w:val="center"/>
              <w:rPr>
                <w:rFonts w:ascii="宋体" w:hAnsi="宋体" w:cs="宋体"/>
                <w:b/>
                <w:kern w:val="0"/>
                <w:szCs w:val="21"/>
              </w:rPr>
            </w:pPr>
            <w:r>
              <w:rPr>
                <w:rFonts w:hint="eastAsia" w:ascii="宋体" w:hAnsi="宋体" w:cs="宋体"/>
                <w:b/>
                <w:kern w:val="0"/>
                <w:szCs w:val="21"/>
              </w:rPr>
              <w:t>货物名称</w:t>
            </w:r>
          </w:p>
        </w:tc>
        <w:tc>
          <w:tcPr>
            <w:tcW w:w="3821" w:type="pct"/>
            <w:vAlign w:val="center"/>
          </w:tcPr>
          <w:p>
            <w:pPr>
              <w:kinsoku w:val="0"/>
              <w:autoSpaceDE w:val="0"/>
              <w:autoSpaceDN w:val="0"/>
              <w:adjustRightInd w:val="0"/>
              <w:snapToGrid w:val="0"/>
              <w:jc w:val="center"/>
              <w:rPr>
                <w:rFonts w:ascii="宋体" w:hAnsi="宋体" w:cs="宋体"/>
                <w:b/>
                <w:kern w:val="0"/>
                <w:szCs w:val="21"/>
              </w:rPr>
            </w:pPr>
            <w:r>
              <w:rPr>
                <w:rFonts w:hint="eastAsia" w:ascii="宋体" w:hAnsi="宋体" w:cs="宋体"/>
                <w:b/>
                <w:kern w:val="0"/>
                <w:szCs w:val="21"/>
              </w:rPr>
              <w:t>技术参数</w:t>
            </w:r>
          </w:p>
        </w:tc>
        <w:tc>
          <w:tcPr>
            <w:tcW w:w="374" w:type="pct"/>
            <w:vAlign w:val="center"/>
          </w:tcPr>
          <w:p>
            <w:pPr>
              <w:kinsoku w:val="0"/>
              <w:autoSpaceDE w:val="0"/>
              <w:autoSpaceDN w:val="0"/>
              <w:adjustRightInd w:val="0"/>
              <w:snapToGrid w:val="0"/>
              <w:jc w:val="center"/>
              <w:rPr>
                <w:rFonts w:ascii="宋体" w:hAnsi="宋体" w:cs="宋体"/>
                <w:b/>
                <w:kern w:val="0"/>
                <w:szCs w:val="21"/>
              </w:rPr>
            </w:pPr>
            <w:r>
              <w:rPr>
                <w:rFonts w:hint="eastAsia" w:ascii="宋体" w:hAnsi="宋体" w:cs="宋体"/>
                <w:b/>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2404" w:hRule="atLeast"/>
          <w:jc w:val="center"/>
        </w:trPr>
        <w:tc>
          <w:tcPr>
            <w:tcW w:w="251"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1</w:t>
            </w:r>
          </w:p>
        </w:tc>
        <w:tc>
          <w:tcPr>
            <w:tcW w:w="552"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 xml:space="preserve">直流电源 </w:t>
            </w:r>
          </w:p>
        </w:tc>
        <w:tc>
          <w:tcPr>
            <w:tcW w:w="3821" w:type="pct"/>
            <w:vAlign w:val="center"/>
          </w:tcPr>
          <w:p>
            <w:pPr>
              <w:jc w:val="left"/>
              <w:rPr>
                <w:color w:val="000000"/>
                <w:szCs w:val="21"/>
              </w:rPr>
            </w:pPr>
            <w:r>
              <w:rPr>
                <w:rFonts w:hint="eastAsia"/>
                <w:color w:val="000000"/>
                <w:szCs w:val="21"/>
              </w:rPr>
              <w:t xml:space="preserve">1、频准响应 : 20Hz~1MHz； </w:t>
            </w:r>
          </w:p>
          <w:p>
            <w:pPr>
              <w:jc w:val="left"/>
              <w:rPr>
                <w:color w:val="000000"/>
                <w:szCs w:val="21"/>
              </w:rPr>
            </w:pPr>
            <w:r>
              <w:rPr>
                <w:rFonts w:hint="eastAsia" w:asciiTheme="minorEastAsia" w:hAnsiTheme="minorEastAsia" w:eastAsiaTheme="minorEastAsia" w:cstheme="minorEastAsia"/>
                <w:szCs w:val="21"/>
              </w:rPr>
              <w:t>★</w:t>
            </w:r>
            <w:r>
              <w:rPr>
                <w:color w:val="000000"/>
                <w:szCs w:val="21"/>
              </w:rPr>
              <w:t>2</w:t>
            </w:r>
            <w:r>
              <w:rPr>
                <w:rFonts w:hint="eastAsia"/>
                <w:color w:val="000000"/>
                <w:szCs w:val="21"/>
              </w:rPr>
              <w:t>、0.001A~20.00A，150W输出功能，可扩增最大到300Adc；</w:t>
            </w:r>
          </w:p>
          <w:p>
            <w:pPr>
              <w:jc w:val="left"/>
              <w:rPr>
                <w:color w:val="000000"/>
                <w:szCs w:val="21"/>
              </w:rPr>
            </w:pPr>
            <w:r>
              <w:rPr>
                <w:color w:val="000000"/>
                <w:szCs w:val="21"/>
              </w:rPr>
              <w:t>3</w:t>
            </w:r>
            <w:r>
              <w:rPr>
                <w:rFonts w:hint="eastAsia"/>
                <w:color w:val="000000"/>
                <w:szCs w:val="21"/>
              </w:rPr>
              <w:t>、电流精度：1.001A~20.00A范围时，≤2%；</w:t>
            </w:r>
          </w:p>
          <w:p>
            <w:pPr>
              <w:jc w:val="left"/>
              <w:rPr>
                <w:color w:val="000000"/>
                <w:szCs w:val="21"/>
              </w:rPr>
            </w:pPr>
            <w:r>
              <w:rPr>
                <w:color w:val="000000"/>
                <w:szCs w:val="21"/>
              </w:rPr>
              <w:t>4</w:t>
            </w:r>
            <w:r>
              <w:rPr>
                <w:rFonts w:hint="eastAsia"/>
                <w:color w:val="000000"/>
                <w:szCs w:val="21"/>
              </w:rPr>
              <w:t>、正反向电流切换功能；</w:t>
            </w:r>
          </w:p>
          <w:p>
            <w:pPr>
              <w:jc w:val="left"/>
              <w:rPr>
                <w:color w:val="000000"/>
                <w:szCs w:val="21"/>
              </w:rPr>
            </w:pPr>
            <w:r>
              <w:rPr>
                <w:color w:val="000000"/>
                <w:szCs w:val="21"/>
              </w:rPr>
              <w:t>5</w:t>
            </w:r>
            <w:r>
              <w:rPr>
                <w:rFonts w:hint="eastAsia"/>
                <w:color w:val="000000"/>
                <w:szCs w:val="21"/>
              </w:rPr>
              <w:t>、标准GPIB，HANDLER接口 ；</w:t>
            </w:r>
          </w:p>
          <w:p>
            <w:pPr>
              <w:jc w:val="left"/>
              <w:rPr>
                <w:color w:val="000000"/>
                <w:szCs w:val="21"/>
              </w:rPr>
            </w:pPr>
            <w:r>
              <w:rPr>
                <w:rFonts w:hint="eastAsia" w:asciiTheme="minorEastAsia" w:hAnsiTheme="minorEastAsia" w:eastAsiaTheme="minorEastAsia" w:cstheme="minorEastAsia"/>
                <w:szCs w:val="21"/>
              </w:rPr>
              <w:t>★</w:t>
            </w:r>
            <w:r>
              <w:rPr>
                <w:rFonts w:hint="eastAsia"/>
                <w:color w:val="000000"/>
                <w:szCs w:val="21"/>
              </w:rPr>
              <w:t>6、自动或手动触发偏压电流扫瞄频率(2~21点)；</w:t>
            </w:r>
          </w:p>
          <w:p>
            <w:pPr>
              <w:jc w:val="left"/>
              <w:rPr>
                <w:color w:val="000000"/>
                <w:szCs w:val="21"/>
              </w:rPr>
            </w:pPr>
            <w:r>
              <w:rPr>
                <w:color w:val="000000"/>
                <w:szCs w:val="21"/>
              </w:rPr>
              <w:t>7</w:t>
            </w:r>
            <w:r>
              <w:rPr>
                <w:rFonts w:hint="eastAsia"/>
                <w:color w:val="000000"/>
                <w:szCs w:val="21"/>
              </w:rPr>
              <w:t xml:space="preserve">、LCD文字显示器； </w:t>
            </w:r>
          </w:p>
          <w:p>
            <w:pPr>
              <w:jc w:val="left"/>
              <w:rPr>
                <w:color w:val="000000"/>
                <w:szCs w:val="21"/>
              </w:rPr>
            </w:pPr>
            <w:r>
              <w:rPr>
                <w:color w:val="000000"/>
                <w:szCs w:val="21"/>
              </w:rPr>
              <w:t>8</w:t>
            </w:r>
            <w:r>
              <w:rPr>
                <w:rFonts w:hint="eastAsia"/>
                <w:color w:val="000000"/>
                <w:szCs w:val="21"/>
              </w:rPr>
              <w:t>、0.01mΩ~199.99Ω DCR 量测功能；</w:t>
            </w:r>
          </w:p>
          <w:p>
            <w:pPr>
              <w:jc w:val="left"/>
              <w:rPr>
                <w:color w:val="000000"/>
                <w:szCs w:val="21"/>
              </w:rPr>
            </w:pPr>
            <w:r>
              <w:rPr>
                <w:color w:val="000000"/>
                <w:szCs w:val="21"/>
              </w:rPr>
              <w:t>9</w:t>
            </w:r>
            <w:r>
              <w:rPr>
                <w:rFonts w:hint="eastAsia"/>
                <w:color w:val="000000"/>
                <w:szCs w:val="21"/>
              </w:rPr>
              <w:t>、50 组内部仪器设定可供储存及呼叫 ；</w:t>
            </w:r>
          </w:p>
          <w:p>
            <w:pPr>
              <w:kinsoku w:val="0"/>
              <w:autoSpaceDE w:val="0"/>
              <w:autoSpaceDN w:val="0"/>
              <w:adjustRightInd w:val="0"/>
              <w:snapToGrid w:val="0"/>
              <w:spacing w:line="360" w:lineRule="auto"/>
              <w:jc w:val="left"/>
              <w:rPr>
                <w:rFonts w:ascii="宋体" w:hAnsi="宋体" w:cs="宋体"/>
                <w:spacing w:val="9"/>
                <w:kern w:val="0"/>
                <w:szCs w:val="21"/>
              </w:rPr>
            </w:pPr>
            <w:r>
              <w:rPr>
                <w:color w:val="000000"/>
                <w:szCs w:val="21"/>
              </w:rPr>
              <w:t>10</w:t>
            </w:r>
            <w:r>
              <w:rPr>
                <w:rFonts w:hint="eastAsia"/>
                <w:color w:val="000000"/>
                <w:szCs w:val="21"/>
              </w:rPr>
              <w:t>、单点电流定时测试 (24小时) 。</w:t>
            </w:r>
          </w:p>
        </w:tc>
        <w:tc>
          <w:tcPr>
            <w:tcW w:w="374" w:type="pct"/>
            <w:vAlign w:val="center"/>
          </w:tcPr>
          <w:p>
            <w:pPr>
              <w:kinsoku w:val="0"/>
              <w:autoSpaceDE w:val="0"/>
              <w:autoSpaceDN w:val="0"/>
              <w:adjustRightInd w:val="0"/>
              <w:snapToGrid w:val="0"/>
              <w:spacing w:line="360" w:lineRule="auto"/>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54" w:hRule="atLeast"/>
          <w:jc w:val="center"/>
        </w:trPr>
        <w:tc>
          <w:tcPr>
            <w:tcW w:w="251" w:type="pct"/>
            <w:vAlign w:val="center"/>
          </w:tcPr>
          <w:p>
            <w:pPr>
              <w:kinsoku w:val="0"/>
              <w:autoSpaceDE w:val="0"/>
              <w:autoSpaceDN w:val="0"/>
              <w:adjustRightInd w:val="0"/>
              <w:snapToGrid w:val="0"/>
              <w:spacing w:line="360" w:lineRule="auto"/>
              <w:jc w:val="center"/>
              <w:rPr>
                <w:rFonts w:ascii="宋体" w:hAnsi="宋体" w:cs="宋体"/>
                <w:kern w:val="0"/>
                <w:szCs w:val="21"/>
              </w:rPr>
            </w:pPr>
            <w:r>
              <w:rPr>
                <w:rFonts w:hint="eastAsia" w:ascii="宋体" w:hAnsi="宋体" w:cs="宋体"/>
                <w:kern w:val="0"/>
                <w:szCs w:val="21"/>
              </w:rPr>
              <w:t>2</w:t>
            </w:r>
          </w:p>
        </w:tc>
        <w:tc>
          <w:tcPr>
            <w:tcW w:w="552"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 xml:space="preserve">电子元件参数测量仪 </w:t>
            </w:r>
          </w:p>
        </w:tc>
        <w:tc>
          <w:tcPr>
            <w:tcW w:w="3821" w:type="pct"/>
            <w:vAlign w:val="center"/>
          </w:tcPr>
          <w:p>
            <w:pPr>
              <w:jc w:val="left"/>
              <w:rPr>
                <w:color w:val="000000"/>
                <w:szCs w:val="21"/>
              </w:rPr>
            </w:pPr>
            <w:r>
              <w:rPr>
                <w:rFonts w:hint="eastAsia" w:asciiTheme="minorEastAsia" w:hAnsiTheme="minorEastAsia" w:eastAsiaTheme="minorEastAsia" w:cstheme="minorEastAsia"/>
                <w:szCs w:val="21"/>
              </w:rPr>
              <w:t>★</w:t>
            </w:r>
            <w:r>
              <w:rPr>
                <w:rFonts w:hint="eastAsia"/>
                <w:color w:val="000000"/>
                <w:szCs w:val="21"/>
              </w:rPr>
              <w:t>1、变压器及电感器测量参数：Turn Ratio, Phase, Turn, L, Q, Leakage L, Balance, ACR, Cp, DCR, Pin Shor；</w:t>
            </w:r>
          </w:p>
          <w:p>
            <w:pPr>
              <w:rPr>
                <w:color w:val="000000"/>
                <w:szCs w:val="21"/>
              </w:rPr>
            </w:pPr>
            <w:r>
              <w:rPr>
                <w:rFonts w:hint="eastAsia" w:asciiTheme="minorEastAsia" w:hAnsiTheme="minorEastAsia" w:eastAsiaTheme="minorEastAsia" w:cstheme="minorEastAsia"/>
                <w:szCs w:val="21"/>
              </w:rPr>
              <w:t>★</w:t>
            </w:r>
            <w:r>
              <w:rPr>
                <w:color w:val="000000"/>
                <w:szCs w:val="21"/>
              </w:rPr>
              <w:t>2</w:t>
            </w:r>
            <w:r>
              <w:rPr>
                <w:rFonts w:hint="eastAsia"/>
                <w:color w:val="000000"/>
                <w:szCs w:val="21"/>
              </w:rPr>
              <w:t>、LCR测量参数：L, C, R, |Z|, Y, DCR, Q, D, R, X,θ, Ratio (dB；</w:t>
            </w:r>
          </w:p>
          <w:p>
            <w:pPr>
              <w:jc w:val="left"/>
              <w:rPr>
                <w:color w:val="000000"/>
                <w:szCs w:val="21"/>
              </w:rPr>
            </w:pPr>
            <w:r>
              <w:rPr>
                <w:color w:val="000000"/>
                <w:szCs w:val="21"/>
              </w:rPr>
              <w:t>3</w:t>
            </w:r>
            <w:r>
              <w:rPr>
                <w:rFonts w:hint="eastAsia"/>
                <w:color w:val="000000"/>
                <w:szCs w:val="21"/>
              </w:rPr>
              <w:t>、测试频率 20Hz~200kHz</w:t>
            </w:r>
            <w:r>
              <w:rPr>
                <w:color w:val="000000"/>
                <w:szCs w:val="21"/>
              </w:rPr>
              <w:t xml:space="preserve"> </w:t>
            </w:r>
            <w:r>
              <w:rPr>
                <w:rFonts w:hint="eastAsia"/>
                <w:color w:val="000000"/>
                <w:szCs w:val="21"/>
              </w:rPr>
              <w:t>/1MHz，精确度0.02%；</w:t>
            </w:r>
          </w:p>
          <w:p>
            <w:pPr>
              <w:jc w:val="left"/>
              <w:rPr>
                <w:color w:val="000000"/>
                <w:szCs w:val="21"/>
              </w:rPr>
            </w:pPr>
            <w:r>
              <w:rPr>
                <w:color w:val="000000"/>
                <w:szCs w:val="21"/>
              </w:rPr>
              <w:t>4</w:t>
            </w:r>
            <w:r>
              <w:rPr>
                <w:rFonts w:hint="eastAsia"/>
                <w:color w:val="000000"/>
                <w:szCs w:val="21"/>
              </w:rPr>
              <w:t>、测试电压：10mV~10V；</w:t>
            </w:r>
          </w:p>
          <w:p>
            <w:pPr>
              <w:rPr>
                <w:color w:val="000000"/>
                <w:szCs w:val="21"/>
              </w:rPr>
            </w:pPr>
            <w:r>
              <w:rPr>
                <w:color w:val="000000"/>
                <w:szCs w:val="21"/>
              </w:rPr>
              <w:t>5</w:t>
            </w:r>
            <w:r>
              <w:rPr>
                <w:rFonts w:hint="eastAsia"/>
                <w:color w:val="000000"/>
                <w:szCs w:val="21"/>
              </w:rPr>
              <w:t>、LCR量测，最快80次/秒；DCR量测，最快50次/秒；</w:t>
            </w:r>
          </w:p>
          <w:p>
            <w:pPr>
              <w:rPr>
                <w:color w:val="000000"/>
                <w:szCs w:val="21"/>
              </w:rPr>
            </w:pPr>
            <w:r>
              <w:rPr>
                <w:rFonts w:hint="eastAsia" w:asciiTheme="minorEastAsia" w:hAnsiTheme="minorEastAsia" w:eastAsiaTheme="minorEastAsia" w:cstheme="minorEastAsia"/>
                <w:szCs w:val="21"/>
              </w:rPr>
              <w:t>★</w:t>
            </w:r>
            <w:r>
              <w:rPr>
                <w:color w:val="000000"/>
                <w:szCs w:val="21"/>
              </w:rPr>
              <w:t>6</w:t>
            </w:r>
            <w:r>
              <w:rPr>
                <w:rFonts w:hint="eastAsia"/>
                <w:color w:val="000000"/>
                <w:szCs w:val="21"/>
              </w:rPr>
              <w:t>、提供漏感100Bin 分类与漏感平衡功能、自动位准补偿功能、治具杂散容量补偿功能 ;</w:t>
            </w:r>
          </w:p>
          <w:p>
            <w:pPr>
              <w:rPr>
                <w:color w:val="000000"/>
                <w:szCs w:val="21"/>
              </w:rPr>
            </w:pPr>
            <w:r>
              <w:rPr>
                <w:color w:val="000000"/>
                <w:szCs w:val="21"/>
              </w:rPr>
              <w:t>7</w:t>
            </w:r>
            <w:r>
              <w:rPr>
                <w:rFonts w:hint="eastAsia"/>
                <w:color w:val="000000"/>
                <w:szCs w:val="21"/>
              </w:rPr>
              <w:t>、10级分类及计数功能；</w:t>
            </w:r>
          </w:p>
          <w:p>
            <w:pPr>
              <w:kinsoku w:val="0"/>
              <w:autoSpaceDE w:val="0"/>
              <w:autoSpaceDN w:val="0"/>
              <w:adjustRightInd w:val="0"/>
              <w:snapToGrid w:val="0"/>
              <w:spacing w:line="360" w:lineRule="auto"/>
              <w:jc w:val="left"/>
              <w:rPr>
                <w:rFonts w:ascii="Arial" w:hAnsi="Arial" w:eastAsia="Arial" w:cs="Arial"/>
                <w:kern w:val="0"/>
                <w:szCs w:val="21"/>
              </w:rPr>
            </w:pPr>
            <w:r>
              <w:rPr>
                <w:color w:val="000000"/>
                <w:szCs w:val="21"/>
              </w:rPr>
              <w:t>8</w:t>
            </w:r>
            <w:r>
              <w:rPr>
                <w:rFonts w:hint="eastAsia"/>
                <w:color w:val="000000"/>
                <w:szCs w:val="21"/>
              </w:rPr>
              <w:t>、15组内部仪器设定可供储存及呼叫。</w:t>
            </w:r>
          </w:p>
        </w:tc>
        <w:tc>
          <w:tcPr>
            <w:tcW w:w="374" w:type="pct"/>
            <w:vAlign w:val="center"/>
          </w:tcPr>
          <w:p>
            <w:pPr>
              <w:kinsoku w:val="0"/>
              <w:autoSpaceDE w:val="0"/>
              <w:autoSpaceDN w:val="0"/>
              <w:adjustRightInd w:val="0"/>
              <w:snapToGrid w:val="0"/>
              <w:spacing w:line="360" w:lineRule="auto"/>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850" w:hRule="atLeast"/>
          <w:jc w:val="center"/>
        </w:trPr>
        <w:tc>
          <w:tcPr>
            <w:tcW w:w="251" w:type="pct"/>
            <w:vAlign w:val="center"/>
          </w:tcPr>
          <w:p>
            <w:pPr>
              <w:kinsoku w:val="0"/>
              <w:autoSpaceDE w:val="0"/>
              <w:autoSpaceDN w:val="0"/>
              <w:adjustRightInd w:val="0"/>
              <w:snapToGrid w:val="0"/>
              <w:spacing w:line="360" w:lineRule="auto"/>
              <w:jc w:val="center"/>
              <w:rPr>
                <w:rFonts w:ascii="宋体" w:hAnsi="宋体" w:cs="宋体"/>
                <w:kern w:val="0"/>
                <w:szCs w:val="21"/>
              </w:rPr>
            </w:pPr>
            <w:r>
              <w:rPr>
                <w:rFonts w:hint="eastAsia" w:ascii="宋体" w:hAnsi="宋体" w:cs="宋体"/>
                <w:kern w:val="0"/>
                <w:szCs w:val="21"/>
              </w:rPr>
              <w:t>3</w:t>
            </w:r>
          </w:p>
        </w:tc>
        <w:tc>
          <w:tcPr>
            <w:tcW w:w="552"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直流重叠电源</w:t>
            </w:r>
          </w:p>
        </w:tc>
        <w:tc>
          <w:tcPr>
            <w:tcW w:w="3821" w:type="pct"/>
            <w:vAlign w:val="center"/>
          </w:tcPr>
          <w:p>
            <w:pPr>
              <w:rPr>
                <w:color w:val="000000"/>
                <w:szCs w:val="21"/>
              </w:rPr>
            </w:pPr>
            <w:r>
              <w:rPr>
                <w:rFonts w:hint="eastAsia" w:asciiTheme="minorEastAsia" w:hAnsiTheme="minorEastAsia" w:eastAsiaTheme="minorEastAsia" w:cstheme="minorEastAsia"/>
                <w:szCs w:val="21"/>
              </w:rPr>
              <w:t>★</w:t>
            </w:r>
            <w:r>
              <w:rPr>
                <w:rFonts w:hint="eastAsia"/>
                <w:color w:val="000000"/>
                <w:szCs w:val="21"/>
              </w:rPr>
              <w:t>1、用于扩展测试电流的从机，要求频准响应 : 20Hz~1MHz； 0.001A~20.00A，150W输出功能，正反向电流切换功能；</w:t>
            </w:r>
          </w:p>
          <w:p>
            <w:pPr>
              <w:rPr>
                <w:color w:val="000000"/>
                <w:szCs w:val="21"/>
              </w:rPr>
            </w:pPr>
            <w:r>
              <w:rPr>
                <w:rFonts w:hint="eastAsia" w:asciiTheme="minorEastAsia" w:hAnsiTheme="minorEastAsia" w:eastAsiaTheme="minorEastAsia" w:cstheme="minorEastAsia"/>
                <w:szCs w:val="21"/>
              </w:rPr>
              <w:t>★</w:t>
            </w:r>
            <w:r>
              <w:rPr>
                <w:color w:val="000000"/>
                <w:szCs w:val="21"/>
              </w:rPr>
              <w:t>2</w:t>
            </w:r>
            <w:r>
              <w:rPr>
                <w:rFonts w:hint="eastAsia"/>
                <w:color w:val="000000"/>
                <w:szCs w:val="21"/>
              </w:rPr>
              <w:t>、能整合自动零件分析仪和直流重叠电源，能实现正反向电流切换与扫描的控制；</w:t>
            </w:r>
          </w:p>
          <w:p>
            <w:pPr>
              <w:rPr>
                <w:color w:val="000000"/>
                <w:szCs w:val="21"/>
              </w:rPr>
            </w:pPr>
            <w:r>
              <w:rPr>
                <w:color w:val="000000"/>
                <w:szCs w:val="21"/>
              </w:rPr>
              <w:t>3</w:t>
            </w:r>
            <w:r>
              <w:rPr>
                <w:rFonts w:hint="eastAsia"/>
                <w:color w:val="000000"/>
                <w:szCs w:val="21"/>
              </w:rPr>
              <w:t>、扩充性强，最大可扩增到300Adc；组立式系统，维护容易；</w:t>
            </w:r>
          </w:p>
          <w:p>
            <w:pPr>
              <w:rPr>
                <w:color w:val="000000"/>
                <w:szCs w:val="21"/>
              </w:rPr>
            </w:pPr>
            <w:r>
              <w:rPr>
                <w:color w:val="000000"/>
                <w:szCs w:val="21"/>
              </w:rPr>
              <w:t>4</w:t>
            </w:r>
            <w:r>
              <w:rPr>
                <w:rFonts w:hint="eastAsia"/>
                <w:color w:val="000000"/>
                <w:szCs w:val="21"/>
              </w:rPr>
              <w:t>、搭配多功能四端测试治具；</w:t>
            </w:r>
          </w:p>
          <w:p>
            <w:pPr>
              <w:rPr>
                <w:color w:val="000000"/>
                <w:szCs w:val="21"/>
              </w:rPr>
            </w:pPr>
            <w:r>
              <w:rPr>
                <w:rFonts w:hint="eastAsia" w:asciiTheme="minorEastAsia" w:hAnsiTheme="minorEastAsia" w:eastAsiaTheme="minorEastAsia" w:cstheme="minorEastAsia"/>
                <w:szCs w:val="21"/>
              </w:rPr>
              <w:t>★</w:t>
            </w:r>
            <w:r>
              <w:rPr>
                <w:color w:val="000000"/>
                <w:szCs w:val="21"/>
              </w:rPr>
              <w:t>5</w:t>
            </w:r>
            <w:r>
              <w:rPr>
                <w:rFonts w:hint="eastAsia"/>
                <w:color w:val="000000"/>
                <w:szCs w:val="21"/>
              </w:rPr>
              <w:t>、采低ESR(&lt; 10m ohm)设计连接直流重叠电流源；</w:t>
            </w:r>
          </w:p>
          <w:p>
            <w:pPr>
              <w:kinsoku w:val="0"/>
              <w:autoSpaceDE w:val="0"/>
              <w:autoSpaceDN w:val="0"/>
              <w:adjustRightInd w:val="0"/>
              <w:snapToGrid w:val="0"/>
              <w:spacing w:line="360" w:lineRule="auto"/>
              <w:jc w:val="left"/>
              <w:rPr>
                <w:rFonts w:ascii="宋体" w:hAnsi="宋体" w:cs="宋体"/>
                <w:kern w:val="0"/>
                <w:szCs w:val="21"/>
              </w:rPr>
            </w:pPr>
            <w:r>
              <w:rPr>
                <w:color w:val="000000"/>
                <w:szCs w:val="21"/>
              </w:rPr>
              <w:t>6</w:t>
            </w:r>
            <w:r>
              <w:rPr>
                <w:rFonts w:hint="eastAsia"/>
                <w:color w:val="000000"/>
                <w:szCs w:val="21"/>
              </w:rPr>
              <w:t>、提供Power Choke扫描特性分析图形；包含电感质量检阅和产品功能分析。</w:t>
            </w:r>
          </w:p>
        </w:tc>
        <w:tc>
          <w:tcPr>
            <w:tcW w:w="374" w:type="pct"/>
            <w:vAlign w:val="center"/>
          </w:tcPr>
          <w:p>
            <w:pPr>
              <w:kinsoku w:val="0"/>
              <w:autoSpaceDE w:val="0"/>
              <w:autoSpaceDN w:val="0"/>
              <w:adjustRightInd w:val="0"/>
              <w:snapToGrid w:val="0"/>
              <w:spacing w:line="360" w:lineRule="auto"/>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54" w:hRule="atLeast"/>
          <w:jc w:val="center"/>
        </w:trPr>
        <w:tc>
          <w:tcPr>
            <w:tcW w:w="251" w:type="pct"/>
            <w:vAlign w:val="center"/>
          </w:tcPr>
          <w:p>
            <w:pPr>
              <w:kinsoku w:val="0"/>
              <w:autoSpaceDE w:val="0"/>
              <w:autoSpaceDN w:val="0"/>
              <w:adjustRightInd w:val="0"/>
              <w:snapToGrid w:val="0"/>
              <w:spacing w:line="360" w:lineRule="auto"/>
              <w:jc w:val="center"/>
              <w:rPr>
                <w:rFonts w:ascii="宋体" w:hAnsi="宋体" w:cs="宋体"/>
                <w:kern w:val="0"/>
                <w:szCs w:val="21"/>
              </w:rPr>
            </w:pPr>
            <w:r>
              <w:rPr>
                <w:rFonts w:hint="eastAsia" w:ascii="宋体" w:hAnsi="宋体" w:cs="宋体"/>
                <w:kern w:val="0"/>
                <w:szCs w:val="21"/>
              </w:rPr>
              <w:t>4</w:t>
            </w:r>
          </w:p>
        </w:tc>
        <w:tc>
          <w:tcPr>
            <w:tcW w:w="552" w:type="pct"/>
            <w:vAlign w:val="center"/>
          </w:tcPr>
          <w:p>
            <w:pPr>
              <w:kinsoku w:val="0"/>
              <w:autoSpaceDE w:val="0"/>
              <w:autoSpaceDN w:val="0"/>
              <w:adjustRightInd w:val="0"/>
              <w:snapToGrid w:val="0"/>
              <w:jc w:val="center"/>
              <w:rPr>
                <w:rFonts w:ascii="宋体" w:hAnsi="宋体" w:cs="宋体"/>
                <w:kern w:val="0"/>
                <w:szCs w:val="21"/>
              </w:rPr>
            </w:pPr>
            <w:r>
              <w:rPr>
                <w:rFonts w:hint="eastAsia" w:ascii="宋体" w:hAnsi="宋体" w:cs="宋体"/>
                <w:kern w:val="0"/>
                <w:szCs w:val="21"/>
              </w:rPr>
              <w:t>电磁场分析仪</w:t>
            </w:r>
          </w:p>
        </w:tc>
        <w:tc>
          <w:tcPr>
            <w:tcW w:w="3821" w:type="pct"/>
            <w:vAlign w:val="center"/>
          </w:tcPr>
          <w:p>
            <w:pPr>
              <w:rPr>
                <w:color w:val="000000"/>
                <w:szCs w:val="21"/>
              </w:rPr>
            </w:pPr>
            <w:r>
              <w:rPr>
                <w:rFonts w:hint="eastAsia" w:asciiTheme="minorEastAsia" w:hAnsiTheme="minorEastAsia" w:eastAsiaTheme="minorEastAsia" w:cstheme="minorEastAsia"/>
                <w:szCs w:val="21"/>
              </w:rPr>
              <w:t>★</w:t>
            </w:r>
            <w:r>
              <w:rPr>
                <w:color w:val="000000"/>
                <w:szCs w:val="21"/>
              </w:rPr>
              <w:t>1、频率范围：最低频率≤1Hz，最高频率≥400kHz；</w:t>
            </w:r>
          </w:p>
          <w:p>
            <w:pPr>
              <w:rPr>
                <w:color w:val="000000"/>
                <w:szCs w:val="21"/>
              </w:rPr>
            </w:pPr>
            <w:r>
              <w:rPr>
                <w:color w:val="000000"/>
                <w:szCs w:val="21"/>
              </w:rPr>
              <w:t>2、测试类型：电场，磁场，支持同时测量电场和磁场；</w:t>
            </w:r>
          </w:p>
          <w:p>
            <w:pPr>
              <w:rPr>
                <w:color w:val="000000"/>
                <w:szCs w:val="21"/>
              </w:rPr>
            </w:pPr>
            <w:r>
              <w:rPr>
                <w:rFonts w:hint="eastAsia" w:asciiTheme="minorEastAsia" w:hAnsiTheme="minorEastAsia" w:eastAsiaTheme="minorEastAsia" w:cstheme="minorEastAsia"/>
                <w:szCs w:val="21"/>
              </w:rPr>
              <w:t>★</w:t>
            </w:r>
            <w:r>
              <w:rPr>
                <w:color w:val="000000"/>
                <w:szCs w:val="21"/>
              </w:rPr>
              <w:t>3、工作方式多样性：支持通过光纤连接便携主机使用，与通过光纤连接PC使用，支持独立运行工作。可使用Window平板电脑作为显示单元，提供实物照片证明材料及相关描述；</w:t>
            </w:r>
          </w:p>
          <w:p>
            <w:pPr>
              <w:rPr>
                <w:color w:val="000000"/>
                <w:szCs w:val="21"/>
              </w:rPr>
            </w:pPr>
            <w:r>
              <w:rPr>
                <w:color w:val="000000"/>
                <w:szCs w:val="21"/>
              </w:rPr>
              <w:t>4、量程：电场测量范围：10mV~100kV/m，动态范围：≥100 dB；磁场测量范围：0.5nT~10mT，动态范围：≥100 dB；</w:t>
            </w:r>
          </w:p>
          <w:p>
            <w:pPr>
              <w:rPr>
                <w:color w:val="000000"/>
                <w:szCs w:val="21"/>
              </w:rPr>
            </w:pPr>
            <w:r>
              <w:rPr>
                <w:color w:val="000000"/>
                <w:szCs w:val="21"/>
              </w:rPr>
              <w:t>5、平坦度：在40 Hz ~100 kHz频段内≤±0.35 dB；在100 kHz~400 kHz频段内≤±0.5 dB；</w:t>
            </w:r>
          </w:p>
          <w:p>
            <w:pPr>
              <w:rPr>
                <w:color w:val="000000"/>
                <w:szCs w:val="21"/>
              </w:rPr>
            </w:pPr>
            <w:r>
              <w:rPr>
                <w:rFonts w:hint="eastAsia" w:asciiTheme="minorEastAsia" w:hAnsiTheme="minorEastAsia" w:eastAsiaTheme="minorEastAsia" w:cstheme="minorEastAsia"/>
                <w:szCs w:val="21"/>
              </w:rPr>
              <w:t>★</w:t>
            </w:r>
            <w:r>
              <w:rPr>
                <w:color w:val="000000"/>
                <w:szCs w:val="21"/>
              </w:rPr>
              <w:t>6、最小分辨率不大于0.5Hz@50Hz，可准确测量工频（50Hz）电磁辐射。提供频谱分析的界面截图等证明材料及相关描述；</w:t>
            </w:r>
          </w:p>
          <w:p>
            <w:pPr>
              <w:rPr>
                <w:color w:val="000000"/>
                <w:szCs w:val="21"/>
              </w:rPr>
            </w:pPr>
            <w:r>
              <w:rPr>
                <w:rFonts w:hint="eastAsia" w:asciiTheme="minorEastAsia" w:hAnsiTheme="minorEastAsia" w:eastAsiaTheme="minorEastAsia" w:cstheme="minorEastAsia"/>
                <w:szCs w:val="21"/>
              </w:rPr>
              <w:t>★</w:t>
            </w:r>
            <w:r>
              <w:rPr>
                <w:color w:val="000000"/>
                <w:szCs w:val="21"/>
              </w:rPr>
              <w:t>7、具有计权峰值模式，频率范围：1Hz~400kHz。可依据GB8702标准给出百分比的结果。提供计权模式的界面截图等证明材料及相关描述；</w:t>
            </w:r>
          </w:p>
          <w:p>
            <w:pPr>
              <w:rPr>
                <w:color w:val="000000"/>
                <w:szCs w:val="21"/>
              </w:rPr>
            </w:pPr>
            <w:r>
              <w:rPr>
                <w:color w:val="000000"/>
                <w:szCs w:val="21"/>
              </w:rPr>
              <w:t>8、探头采用光纤连接，避免内置或使用WIFI/蓝牙等通讯收发模组带来测试自干扰；</w:t>
            </w:r>
          </w:p>
          <w:p>
            <w:pPr>
              <w:rPr>
                <w:color w:val="000000"/>
                <w:szCs w:val="21"/>
              </w:rPr>
            </w:pPr>
            <w:r>
              <w:rPr>
                <w:rFonts w:hint="eastAsia" w:asciiTheme="minorEastAsia" w:hAnsiTheme="minorEastAsia" w:eastAsiaTheme="minorEastAsia" w:cstheme="minorEastAsia"/>
                <w:szCs w:val="21"/>
              </w:rPr>
              <w:t>★</w:t>
            </w:r>
            <w:r>
              <w:rPr>
                <w:color w:val="000000"/>
                <w:szCs w:val="21"/>
              </w:rPr>
              <w:t>9、具有远程控制功能，可通过光纤实现对仪器的完全控制，低频电磁场测量仪上的所有功能都可在软件上实现。提供说明书和软件截图等证明文件及相关描述。</w:t>
            </w:r>
          </w:p>
        </w:tc>
        <w:tc>
          <w:tcPr>
            <w:tcW w:w="374" w:type="pct"/>
            <w:vAlign w:val="center"/>
          </w:tcPr>
          <w:p>
            <w:pPr>
              <w:kinsoku w:val="0"/>
              <w:autoSpaceDE w:val="0"/>
              <w:autoSpaceDN w:val="0"/>
              <w:adjustRightInd w:val="0"/>
              <w:snapToGrid w:val="0"/>
              <w:spacing w:line="360" w:lineRule="auto"/>
              <w:jc w:val="center"/>
              <w:rPr>
                <w:rFonts w:ascii="宋体" w:hAnsi="宋体" w:cs="宋体"/>
                <w:kern w:val="0"/>
                <w:szCs w:val="21"/>
              </w:rPr>
            </w:pPr>
          </w:p>
        </w:tc>
      </w:tr>
    </w:tbl>
    <w:p>
      <w:pPr>
        <w:autoSpaceDE w:val="0"/>
        <w:autoSpaceDN w:val="0"/>
        <w:adjustRightInd w:val="0"/>
        <w:spacing w:line="360" w:lineRule="auto"/>
        <w:rPr>
          <w:rFonts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2.如涉及固定厂家品牌或规格型号的均可认为推荐，并不要求其唯一性，供应商可提供同等质量标准或更高标准产品，并提供相应技术参数证明其符合采购需求或优于采购需求，否则可视其为不满足采购需求。</w:t>
      </w:r>
      <w:r>
        <w:br w:type="textWrapping"/>
      </w:r>
      <w:r>
        <w:rPr>
          <w:rFonts w:hint="eastAsia" w:asciiTheme="minorEastAsia" w:hAnsiTheme="minorEastAsia" w:eastAsiaTheme="minorEastAsia" w:cstheme="minorEastAsia"/>
          <w:szCs w:val="21"/>
        </w:rPr>
        <w:t>3.本项目磋商文件中标注</w:t>
      </w: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szCs w:val="21"/>
        </w:rPr>
        <w:t>的条款不允许负偏离，负偏离视为无效响应文件。</w:t>
      </w:r>
    </w:p>
    <w:p>
      <w:pPr>
        <w:autoSpaceDE w:val="0"/>
        <w:autoSpaceDN w:val="0"/>
        <w:adjustRightInd w:val="0"/>
        <w:spacing w:line="360" w:lineRule="auto"/>
        <w:rPr>
          <w:rFonts w:asciiTheme="minorEastAsia" w:hAnsiTheme="minorEastAsia" w:eastAsiaTheme="minorEastAsia" w:cstheme="minorEastAsia"/>
          <w:szCs w:val="21"/>
        </w:rPr>
      </w:pPr>
      <w:r>
        <w:br w:type="page"/>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97" w:name="_Toc2194"/>
      <w:bookmarkEnd w:id="97"/>
      <w:bookmarkStart w:id="98" w:name="_Toc5128"/>
      <w:r>
        <w:rPr>
          <w:rFonts w:hint="eastAsia" w:asciiTheme="minorEastAsia" w:hAnsiTheme="minorEastAsia" w:eastAsiaTheme="minorEastAsia" w:cstheme="minorEastAsia"/>
          <w:b/>
          <w:bCs/>
          <w:sz w:val="24"/>
        </w:rPr>
        <w:t>二、商务需求</w:t>
      </w:r>
      <w:bookmarkEnd w:id="98"/>
    </w:p>
    <w:p>
      <w:pPr>
        <w:autoSpaceDE w:val="0"/>
        <w:autoSpaceDN w:val="0"/>
        <w:adjustRightInd w:val="0"/>
        <w:spacing w:line="360" w:lineRule="auto"/>
        <w:jc w:val="left"/>
        <w:rPr>
          <w:rFonts w:ascii="宋体" w:hAnsi="宋体" w:cs="宋体"/>
          <w:szCs w:val="21"/>
        </w:rPr>
      </w:pPr>
      <w:r>
        <w:rPr>
          <w:rFonts w:hint="eastAsia" w:ascii="宋体" w:hAnsi="宋体" w:cs="宋体"/>
          <w:szCs w:val="21"/>
        </w:rPr>
        <w:t>1.违约责任：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1.1 若乙方未能按合同所规定的交货时间前完成本合同全部货物（含配套配件备件）安装调试并达到验收标准，每延迟一天，按合同总额的千分之一向甲方交纳违约金,违约金缴纳总额不超过合同总金额的百分之五。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1.2 若乙方未能在规定时间前完成本合同全部货物（含配件备件）安装调试并达到验收标准，甲方可中止本合同，并由乙方承担由此给甲方造成的一切损失。</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1.3 乙方交付甲方的全部货物（含配件备件）及工程中使用的材料必须有合法的进货渠道，且符合协议和投标书中的质量约定，否则由乙方承担一切责任。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2.产品质量要求：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2.1投标供应商在招标及成交后，所提供的货物（含配套配件备件）必须为全新无瑕疵。</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2.2本次采购项目的质量必须完全满足中华人民共和国国家质量标准及现行规范要求，投标供应商应根据企业实际能力在投标响应文件中对项目质量予以承诺，成交后在合同中加以确认。</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2.3投标供应商在招标及成交后，发生侵犯专利权的行为时，其侵权责任与采购人无关，应由成交供应商承担相应的责任，并不得影响采购人的利益。</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3.产品进场安装、调试及验收：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3.1成交供应商负责本项目办理运输和保险，将货物运抵采购人指定现场。有关运输和保险的一切费用由乙方承担。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3.2成交供应商负责调试和试运行的结果必须符合采购人的技术要求，同时也应达到行业有关技术规范的要求。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3.3交货时，乙方应将货物（含配套配件备件）的产品说明书、使用说明书，出厂合格证、用户手册、保修手册等单证交付给甲方，前述单证未交付完整的，视为未完全交货。</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3.4验收标准：符合国家相关规范和标准、采购文件及响应文件的要求及相关技术文件验收。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3.5采购人完成验收并不免除成交供应商对（含配套配件备件）质量应当承担的责任。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3.6成交供应商应安排专人负责合同中全部货物（含配套配件备件）安装调试、搬运和施工现场管安全管理工作，负责监督安装调试和搬运人员按照安全规范进行安装调试、搬运和施工现场管理，保证安装调试、搬运和施工现场安全。若发生人员伤亡事故，成交供应商必须承担所有法律和经济责任，采购人概不负责；若发生房屋损坏、设备损坏丢失、线路及设备毁损等财产损失安全事故，成交供应商必须承担经济赔偿。</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4.售后服务要求：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4.1质保期、保修期内因国产货物（含配套配件备件）质量或安装调试原因引起的全部维修费用（包括更换零配件的费用）均由成交供应商承担。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4.2质保期、保修期外，成交供应商应定期回访，发现问题及时通知甲方，国产货物（含配套配件备件）维修零配件以优惠价给甲方（免收人工及差旅费）。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4.3确保所采购货物和服务无质量问题，能满足质保期的要求。完成出厂检验、设备安装、调试、备品备件的配备、详细说明售后服务机构、服务人员、质量保证期（包括起止时间、缺陷处理）、故障响应和解决、应急保障以及质量保证期后需要提供的服务等。</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4.4售后服务效率要求：接到采购人故障通知后在24小时之内上门服务，小型故障在3天内解决，大故障在15天内解决，若成交供应商怠于履行维修义务，则采购人有权委托第三人维修，所产生的所有费用由成交供应商承担。</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5.实施人员要求：按本项目情况配置齐全的实施人员，且分工明确。</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6.培训要求：成交供应商必须为用户单位人员（技术人员等）免费提供现场安装培训，并到达实际操作合格要求。</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7.交货地点：采购人指定地点。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8.履约保证金：本项目合同正式签订前，成交供应商需向采购人支付合同金额的5%作为履约保证金（优先以金融机构、担保机构出具的保函或者支票、汇票、本票等非现金形式提交）。</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9.付款方式：</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9.1成交供应商须提供增值税专用发票。</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9.2全部货物（含配套系统、配件备件）经采购人验收合格并收到成交供应商发票后15个工作日内，采购人向成交供应商支付合同总金额的100%，上述履约保证金在产品验收合格满 1 年后，若无质量问题甲方将全额无息退还给乙方。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10.其它：</w:t>
      </w:r>
    </w:p>
    <w:p>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10.1供应商需针对本项目提供相关交货实施方案（包含但不限于：项目对接、人员安排、交货计划、货物运输、交货期保障措施、安装调试步骤及措施等）、质量管控措施（包含但不限于：质量目标、质量管理制度、质量保证措施等）、售后方案（包含但不限于：服务标准和应急维修时间安排、质保期满后的承诺、备品备件、其它服务承诺等）与本项目评审因素要求的相关材料。</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10.2其他未尽事宜由成交供应商和采购人按合同进行约定。</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szCs w:val="21"/>
        </w:rPr>
      </w:pPr>
      <w:r>
        <w:br w:type="page"/>
      </w:r>
    </w:p>
    <w:p>
      <w:pPr>
        <w:jc w:val="center"/>
        <w:outlineLvl w:val="0"/>
        <w:rPr>
          <w:rFonts w:ascii="宋体" w:hAnsi="宋体" w:cs="宋体"/>
          <w:b/>
          <w:sz w:val="36"/>
          <w:szCs w:val="36"/>
        </w:rPr>
      </w:pPr>
      <w:bookmarkStart w:id="99" w:name="_Toc7717"/>
      <w:r>
        <w:rPr>
          <w:rFonts w:hint="eastAsia" w:ascii="宋体" w:hAnsi="宋体" w:cs="宋体"/>
          <w:b/>
          <w:sz w:val="36"/>
          <w:szCs w:val="36"/>
        </w:rPr>
        <w:t>第四章 竞争性磋商采购评定办法</w:t>
      </w:r>
      <w:bookmarkEnd w:id="99"/>
    </w:p>
    <w:p>
      <w:pPr>
        <w:spacing w:line="360" w:lineRule="auto"/>
        <w:outlineLvl w:val="1"/>
        <w:rPr>
          <w:rFonts w:asciiTheme="minorEastAsia" w:hAnsiTheme="minorEastAsia" w:eastAsiaTheme="minorEastAsia" w:cstheme="minorEastAsia"/>
          <w:b/>
          <w:szCs w:val="21"/>
        </w:rPr>
      </w:pPr>
      <w:bookmarkStart w:id="100" w:name="_Toc13661"/>
      <w:r>
        <w:rPr>
          <w:rFonts w:hint="eastAsia" w:asciiTheme="minorEastAsia" w:hAnsiTheme="minorEastAsia" w:eastAsiaTheme="minorEastAsia" w:cstheme="minorEastAsia"/>
          <w:b/>
          <w:szCs w:val="21"/>
        </w:rPr>
        <w:t>一、评定办法前附表</w:t>
      </w:r>
      <w:bookmarkEnd w:id="100"/>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szCs w:val="21"/>
              </w:rPr>
            </w:pPr>
          </w:p>
        </w:tc>
        <w:tc>
          <w:tcPr>
            <w:tcW w:w="2268" w:type="dxa"/>
            <w:vMerge w:val="restart"/>
            <w:vAlign w:val="center"/>
          </w:tcPr>
          <w:p>
            <w:pPr>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规定事项</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szCs w:val="21"/>
              </w:rPr>
            </w:pPr>
          </w:p>
        </w:tc>
        <w:tc>
          <w:tcPr>
            <w:tcW w:w="2268" w:type="dxa"/>
            <w:vMerge w:val="continue"/>
            <w:vAlign w:val="center"/>
          </w:tcPr>
          <w:p>
            <w:pPr>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szCs w:val="21"/>
              </w:rPr>
            </w:pPr>
          </w:p>
        </w:tc>
        <w:tc>
          <w:tcPr>
            <w:tcW w:w="2268" w:type="dxa"/>
            <w:vMerge w:val="continue"/>
            <w:vAlign w:val="center"/>
          </w:tcPr>
          <w:p>
            <w:pPr>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未被列入失信被执行人、重大税收违法案件当事人名单（链接：https://www.creditchina.gov.cn/），未被列入政府采购严重违法失信行为记录名单（链接：http://www.ccgp.gov.cn/search/cr/）。</w:t>
            </w:r>
            <w:r>
              <w:br w:type="textWrapping"/>
            </w:r>
            <w:r>
              <w:rPr>
                <w:rFonts w:hint="eastAsia" w:asciiTheme="minorEastAsia" w:hAnsiTheme="minorEastAsia" w:eastAsiaTheme="minorEastAsia" w:cstheme="minorEastAsia"/>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szCs w:val="21"/>
              </w:rPr>
            </w:pPr>
          </w:p>
        </w:tc>
        <w:tc>
          <w:tcPr>
            <w:tcW w:w="2268" w:type="dxa"/>
            <w:vAlign w:val="center"/>
          </w:tcPr>
          <w:p>
            <w:pPr>
              <w:spacing w:line="280" w:lineRule="exact"/>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szCs w:val="21"/>
              </w:rPr>
            </w:pPr>
          </w:p>
        </w:tc>
        <w:tc>
          <w:tcPr>
            <w:tcW w:w="2268" w:type="dxa"/>
            <w:vAlign w:val="center"/>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bCs/>
                <w:kern w:val="0"/>
                <w:szCs w:val="21"/>
              </w:rPr>
            </w:pP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bCs/>
                <w:kern w:val="0"/>
                <w:szCs w:val="21"/>
              </w:rPr>
            </w:pPr>
          </w:p>
        </w:tc>
        <w:tc>
          <w:tcPr>
            <w:tcW w:w="2268" w:type="dxa"/>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bCs/>
                <w:kern w:val="0"/>
                <w:szCs w:val="21"/>
              </w:rPr>
            </w:pP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bCs/>
                <w:kern w:val="0"/>
                <w:szCs w:val="21"/>
              </w:rPr>
            </w:pPr>
          </w:p>
        </w:tc>
        <w:tc>
          <w:tcPr>
            <w:tcW w:w="2268" w:type="dxa"/>
            <w:vMerge w:val="restart"/>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采购需求响应</w:t>
            </w:r>
          </w:p>
        </w:tc>
        <w:tc>
          <w:tcPr>
            <w:tcW w:w="5563" w:type="dxa"/>
            <w:vAlign w:val="center"/>
          </w:tcPr>
          <w:p>
            <w:pPr>
              <w:rPr>
                <w:rFonts w:asciiTheme="minorEastAsia" w:hAnsiTheme="minorEastAsia" w:eastAsiaTheme="minorEastAsia" w:cstheme="minorEastAsia"/>
                <w:kern w:val="0"/>
                <w:szCs w:val="21"/>
              </w:rPr>
            </w:pPr>
            <w:r>
              <w:rPr>
                <w:rFonts w:hint="eastAsia" w:ascii="宋体" w:hAnsi="宋体" w:cs="宋体"/>
                <w:kern w:val="0"/>
                <w:szCs w:val="21"/>
                <w:shd w:val="clear" w:color="auto" w:fill="FFFFFF"/>
              </w:rPr>
              <w:t>带</w:t>
            </w:r>
            <w:r>
              <w:rPr>
                <w:rFonts w:hint="eastAsia" w:asciiTheme="minorEastAsia" w:hAnsiTheme="minorEastAsia" w:eastAsiaTheme="minorEastAsia" w:cstheme="minorEastAsia"/>
                <w:b/>
                <w:bCs/>
                <w:sz w:val="24"/>
              </w:rPr>
              <w:t>“☆”</w:t>
            </w:r>
            <w:r>
              <w:rPr>
                <w:rFonts w:hint="eastAsia" w:ascii="宋体" w:hAnsi="宋体" w:cs="宋体"/>
                <w:kern w:val="0"/>
                <w:szCs w:val="21"/>
                <w:shd w:val="clear" w:color="auto" w:fill="FFFFFF"/>
              </w:rPr>
              <w:t>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bCs/>
                <w:kern w:val="0"/>
                <w:szCs w:val="21"/>
              </w:rPr>
            </w:pPr>
          </w:p>
        </w:tc>
        <w:tc>
          <w:tcPr>
            <w:tcW w:w="2268" w:type="dxa"/>
            <w:vMerge w:val="continue"/>
            <w:vAlign w:val="center"/>
          </w:tcPr>
          <w:p>
            <w:pPr>
              <w:jc w:val="center"/>
              <w:rPr>
                <w:rFonts w:asciiTheme="minorEastAsia" w:hAnsiTheme="minorEastAsia" w:eastAsiaTheme="minorEastAsia" w:cstheme="minorEastAsia"/>
                <w:kern w:val="0"/>
                <w:szCs w:val="21"/>
              </w:rPr>
            </w:pPr>
          </w:p>
        </w:tc>
        <w:tc>
          <w:tcPr>
            <w:tcW w:w="5563" w:type="dxa"/>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宋体" w:hAnsi="宋体"/>
                <w:szCs w:val="21"/>
              </w:rPr>
            </w:pPr>
            <w:r>
              <w:rPr>
                <w:rFonts w:hint="eastAsia" w:ascii="宋体" w:hAnsi="宋体"/>
                <w:szCs w:val="21"/>
              </w:rPr>
              <w:t>其他要求（一）</w:t>
            </w:r>
          </w:p>
        </w:tc>
        <w:tc>
          <w:tcPr>
            <w:tcW w:w="5563" w:type="dxa"/>
            <w:vAlign w:val="center"/>
          </w:tcPr>
          <w:p>
            <w:pPr>
              <w:autoSpaceDE w:val="0"/>
              <w:autoSpaceDN w:val="0"/>
              <w:adjustRightInd w:val="0"/>
              <w:snapToGrid w:val="0"/>
              <w:rPr>
                <w:rFonts w:ascii="宋体" w:hAnsi="宋体"/>
                <w:szCs w:val="21"/>
              </w:rPr>
            </w:pPr>
            <w:r>
              <w:rPr>
                <w:rFonts w:hint="eastAsia" w:ascii="宋体" w:hAnsi="宋体"/>
                <w:szCs w:val="21"/>
              </w:rPr>
              <w:t>供应商未有下列任一情形：</w:t>
            </w:r>
          </w:p>
          <w:p>
            <w:pPr>
              <w:autoSpaceDE w:val="0"/>
              <w:autoSpaceDN w:val="0"/>
              <w:adjustRightInd w:val="0"/>
              <w:snapToGrid w:val="0"/>
              <w:rPr>
                <w:rFonts w:ascii="宋体" w:hAnsi="宋体"/>
                <w:szCs w:val="21"/>
              </w:rPr>
            </w:pPr>
            <w:r>
              <w:rPr>
                <w:rFonts w:hint="eastAsia" w:ascii="宋体" w:hAnsi="宋体"/>
                <w:szCs w:val="21"/>
              </w:rPr>
              <w:t>（1）不同供应商的响应文件由同一单位或者个人编制；</w:t>
            </w:r>
          </w:p>
          <w:p>
            <w:pPr>
              <w:autoSpaceDE w:val="0"/>
              <w:autoSpaceDN w:val="0"/>
              <w:adjustRightInd w:val="0"/>
              <w:snapToGrid w:val="0"/>
              <w:rPr>
                <w:rFonts w:ascii="宋体" w:hAnsi="宋体"/>
                <w:szCs w:val="21"/>
              </w:rPr>
            </w:pPr>
            <w:r>
              <w:rPr>
                <w:rFonts w:hint="eastAsia" w:ascii="宋体" w:hAnsi="宋体"/>
                <w:szCs w:val="21"/>
              </w:rPr>
              <w:t>（2）不同供应商委托同一单位或者个人办理投标事宜；</w:t>
            </w:r>
          </w:p>
          <w:p>
            <w:pPr>
              <w:autoSpaceDE w:val="0"/>
              <w:autoSpaceDN w:val="0"/>
              <w:adjustRightInd w:val="0"/>
              <w:snapToGrid w:val="0"/>
              <w:rPr>
                <w:rFonts w:ascii="宋体" w:hAnsi="宋体"/>
                <w:szCs w:val="21"/>
              </w:rPr>
            </w:pPr>
            <w:r>
              <w:rPr>
                <w:rFonts w:hint="eastAsia" w:ascii="宋体" w:hAnsi="宋体"/>
                <w:szCs w:val="21"/>
              </w:rPr>
              <w:t>（3）不同供应商的响应文件载明的项目管理成员或者联系人员为同一人；</w:t>
            </w:r>
          </w:p>
          <w:p>
            <w:pPr>
              <w:autoSpaceDE w:val="0"/>
              <w:autoSpaceDN w:val="0"/>
              <w:adjustRightInd w:val="0"/>
              <w:snapToGrid w:val="0"/>
              <w:rPr>
                <w:rFonts w:ascii="宋体" w:hAnsi="宋体"/>
                <w:szCs w:val="21"/>
              </w:rPr>
            </w:pPr>
            <w:r>
              <w:rPr>
                <w:rFonts w:hint="eastAsia" w:ascii="宋体" w:hAnsi="宋体"/>
                <w:szCs w:val="21"/>
              </w:rPr>
              <w:t>（4）不同供应商的响应文件异常一致或者投标报价呈规律性差异；</w:t>
            </w:r>
          </w:p>
          <w:p>
            <w:pPr>
              <w:autoSpaceDE w:val="0"/>
              <w:autoSpaceDN w:val="0"/>
              <w:adjustRightInd w:val="0"/>
              <w:snapToGrid w:val="0"/>
              <w:rPr>
                <w:rFonts w:ascii="宋体" w:hAnsi="宋体"/>
                <w:szCs w:val="21"/>
              </w:rPr>
            </w:pPr>
            <w:r>
              <w:rPr>
                <w:rFonts w:hint="eastAsia" w:ascii="宋体" w:hAnsi="宋体"/>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bCs/>
                <w:kern w:val="0"/>
                <w:szCs w:val="21"/>
              </w:rPr>
            </w:pP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rPr>
                <w:rFonts w:asciiTheme="minorEastAsia" w:hAnsiTheme="minorEastAsia" w:eastAsiaTheme="minorEastAsia" w:cstheme="minorEastAsia"/>
                <w:kern w:val="0"/>
                <w:szCs w:val="21"/>
              </w:rPr>
            </w:pPr>
            <w:r>
              <w:rPr>
                <w:rFonts w:hint="eastAsia" w:ascii="宋体" w:hAnsi="宋体" w:cs="宋体"/>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jc w:val="center"/>
              <w:rPr>
                <w:rFonts w:asciiTheme="minorEastAsia" w:hAnsiTheme="minorEastAsia" w:eastAsiaTheme="minorEastAsia" w:cstheme="minorEastAsia"/>
                <w:bCs/>
                <w:kern w:val="0"/>
                <w:szCs w:val="21"/>
              </w:rPr>
            </w:pPr>
          </w:p>
        </w:tc>
        <w:tc>
          <w:tcPr>
            <w:tcW w:w="851" w:type="dxa"/>
            <w:vMerge w:val="continue"/>
            <w:vAlign w:val="center"/>
          </w:tcPr>
          <w:p>
            <w:pPr>
              <w:jc w:val="center"/>
              <w:rPr>
                <w:rFonts w:asciiTheme="minorEastAsia" w:hAnsiTheme="minorEastAsia" w:eastAsiaTheme="minorEastAsia" w:cstheme="minorEastAsia"/>
                <w:bCs/>
                <w:kern w:val="0"/>
                <w:szCs w:val="21"/>
              </w:rPr>
            </w:pPr>
          </w:p>
        </w:tc>
        <w:tc>
          <w:tcPr>
            <w:tcW w:w="2268" w:type="dxa"/>
            <w:vAlign w:val="center"/>
          </w:tcPr>
          <w:p>
            <w:pPr>
              <w:spacing w:line="36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其他要求（三）（如有）</w:t>
            </w:r>
          </w:p>
        </w:tc>
        <w:tc>
          <w:tcPr>
            <w:tcW w:w="5563" w:type="dxa"/>
            <w:vAlign w:val="center"/>
          </w:tcPr>
          <w:p>
            <w:pPr>
              <w:spacing w:line="360" w:lineRule="auto"/>
              <w:rPr>
                <w:rFonts w:ascii="宋体" w:hAnsi="宋体" w:cs="宋体"/>
                <w:kern w:val="0"/>
                <w:szCs w:val="21"/>
              </w:rPr>
            </w:pPr>
            <w:r>
              <w:rPr>
                <w:rFonts w:hint="eastAsia" w:ascii="宋体" w:hAnsi="宋体" w:cs="宋体"/>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jc w:val="center"/>
              <w:rPr>
                <w:rFonts w:asciiTheme="minorEastAsia" w:hAnsiTheme="minorEastAsia" w:eastAsiaTheme="minorEastAsia" w:cstheme="minorEastAsia"/>
                <w:kern w:val="0"/>
                <w:szCs w:val="21"/>
              </w:rPr>
            </w:pPr>
          </w:p>
        </w:tc>
        <w:tc>
          <w:tcPr>
            <w:tcW w:w="851" w:type="dxa"/>
            <w:vMerge w:val="continue"/>
            <w:vAlign w:val="center"/>
          </w:tcPr>
          <w:p>
            <w:pPr>
              <w:jc w:val="center"/>
              <w:rPr>
                <w:rFonts w:asciiTheme="minorEastAsia" w:hAnsiTheme="minorEastAsia" w:eastAsiaTheme="minorEastAsia" w:cstheme="minorEastAsia"/>
                <w:kern w:val="0"/>
                <w:szCs w:val="21"/>
              </w:rPr>
            </w:pPr>
          </w:p>
        </w:tc>
        <w:tc>
          <w:tcPr>
            <w:tcW w:w="2268" w:type="dxa"/>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磋商文件不能完整、明确列明采购需求，需要由供应商提供最终设计方案或者解决方案的</w:t>
            </w:r>
          </w:p>
        </w:tc>
        <w:tc>
          <w:tcPr>
            <w:tcW w:w="5563" w:type="dxa"/>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类型：工业</w:t>
            </w:r>
          </w:p>
          <w:p>
            <w:pPr>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 xml:space="preserve"> </w:t>
            </w:r>
            <w: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 xml:space="preserve"> </w:t>
            </w:r>
            <w: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及其它相关规定在评定时对小型和微型企业产品的价格给予10%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4%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kern w:val="0"/>
                <w:szCs w:val="21"/>
                <w:lang w:val="zh-CN"/>
              </w:rPr>
            </w:pPr>
          </w:p>
          <w:p>
            <w:pPr>
              <w:autoSpaceDE w:val="0"/>
              <w:autoSpaceDN w:val="0"/>
              <w:adjustRightInd w:val="0"/>
              <w:jc w:val="center"/>
              <w:rPr>
                <w:rFonts w:asciiTheme="minorEastAsia" w:hAnsiTheme="minorEastAsia" w:cstheme="minorEastAsia"/>
                <w:kern w:val="0"/>
                <w:szCs w:val="21"/>
              </w:rPr>
            </w:pPr>
            <w:r>
              <w:rPr>
                <w:rFonts w:hint="eastAsia" w:ascii="宋体" w:hAnsi="宋体" w:cs="宋体"/>
                <w:snapToGrid w:val="0"/>
                <w:kern w:val="0"/>
                <w:szCs w:val="21"/>
                <w:lang w:val="zh-CN"/>
              </w:rPr>
              <w:t>节能</w:t>
            </w:r>
            <w:r>
              <w:rPr>
                <w:rFonts w:hint="eastAsia" w:ascii="宋体" w:hAnsi="宋体" w:cs="宋体"/>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szCs w:val="21"/>
        </w:rPr>
      </w:pPr>
      <w:bookmarkStart w:id="101" w:name="_Toc15166"/>
      <w:r>
        <w:br w:type="textWrapping"/>
      </w:r>
      <w:r>
        <w:br w:type="textWrapping"/>
      </w:r>
      <w:r>
        <w:rPr>
          <w:rFonts w:hint="eastAsia" w:asciiTheme="minorEastAsia" w:hAnsiTheme="minorEastAsia" w:eastAsiaTheme="minorEastAsia" w:cstheme="minorEastAsia"/>
          <w:b/>
          <w:szCs w:val="21"/>
        </w:rPr>
        <w:t>二、计算办法</w:t>
      </w:r>
      <w:bookmarkEnd w:id="101"/>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pStyle w:val="20"/>
        <w:outlineLvl w:val="1"/>
        <w:rPr>
          <w:rFonts w:asciiTheme="minorEastAsia" w:hAnsiTheme="minorEastAsia" w:eastAsiaTheme="minorEastAsia" w:cstheme="minorEastAsia"/>
        </w:rPr>
        <w:sectPr>
          <w:footerReference r:id="rId11" w:type="default"/>
          <w:type w:val="continuous"/>
          <w:pgSz w:w="11906" w:h="16838"/>
          <w:pgMar w:top="1417" w:right="1417" w:bottom="1417" w:left="1417" w:header="851" w:footer="992" w:gutter="0"/>
          <w:cols w:space="720" w:num="1"/>
          <w:docGrid w:type="lines" w:linePitch="312" w:charSpace="0"/>
        </w:sectPr>
      </w:pPr>
      <w:bookmarkStart w:id="102" w:name="_Toc2596"/>
      <w:bookmarkEnd w:id="102"/>
      <w:bookmarkStart w:id="103" w:name="_Toc17585"/>
      <w:bookmarkEnd w:id="103"/>
      <w:bookmarkStart w:id="104" w:name="_Toc8676"/>
      <w:bookmarkEnd w:id="104"/>
      <w:bookmarkStart w:id="105" w:name="_Toc17010"/>
      <w:bookmarkStart w:id="106" w:name="_Toc19020"/>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bookmarkEnd w:id="105"/>
      <w:bookmarkEnd w:id="106"/>
    </w:p>
    <w:p>
      <w:pPr>
        <w:pStyle w:val="20"/>
        <w:outlineLvl w:val="1"/>
        <w:rPr>
          <w:rStyle w:val="35"/>
        </w:rPr>
      </w:pPr>
      <w:bookmarkStart w:id="107" w:name="_Toc12286"/>
      <w:r>
        <w:rPr>
          <w:rFonts w:hint="eastAsia" w:asciiTheme="minorEastAsia" w:hAnsiTheme="minorEastAsia" w:eastAsiaTheme="minorEastAsia" w:cstheme="minorEastAsia"/>
          <w:b/>
          <w:szCs w:val="21"/>
        </w:rPr>
        <w:t>三、评分细则</w:t>
      </w:r>
      <w:bookmarkEnd w:id="107"/>
    </w:p>
    <w:tbl>
      <w:tblPr>
        <w:tblStyle w:val="26"/>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87"/>
        <w:gridCol w:w="1110"/>
        <w:gridCol w:w="6210"/>
        <w:gridCol w:w="78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1187" w:type="dxa"/>
            <w:tcBorders>
              <w:top w:val="single" w:color="auto" w:sz="12" w:space="0"/>
            </w:tcBorders>
            <w:vAlign w:val="center"/>
          </w:tcPr>
          <w:p>
            <w:pPr>
              <w:spacing w:line="360" w:lineRule="auto"/>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类别</w:t>
            </w:r>
          </w:p>
        </w:tc>
        <w:tc>
          <w:tcPr>
            <w:tcW w:w="1110" w:type="dxa"/>
            <w:tcBorders>
              <w:top w:val="single" w:color="auto" w:sz="12" w:space="0"/>
            </w:tcBorders>
            <w:vAlign w:val="center"/>
          </w:tcPr>
          <w:p>
            <w:pPr>
              <w:spacing w:line="360" w:lineRule="auto"/>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评审因素</w:t>
            </w:r>
          </w:p>
        </w:tc>
        <w:tc>
          <w:tcPr>
            <w:tcW w:w="6210" w:type="dxa"/>
            <w:tcBorders>
              <w:top w:val="single" w:color="auto" w:sz="12" w:space="0"/>
            </w:tcBorders>
            <w:vAlign w:val="center"/>
          </w:tcPr>
          <w:p>
            <w:pPr>
              <w:spacing w:line="360" w:lineRule="auto"/>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评审标准</w:t>
            </w:r>
          </w:p>
        </w:tc>
        <w:tc>
          <w:tcPr>
            <w:tcW w:w="781" w:type="dxa"/>
            <w:tcBorders>
              <w:top w:val="single" w:color="auto" w:sz="12" w:space="0"/>
            </w:tcBorders>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8" w:hRule="atLeast"/>
        </w:trPr>
        <w:tc>
          <w:tcPr>
            <w:tcW w:w="1187" w:type="dxa"/>
            <w:vAlign w:val="center"/>
          </w:tcPr>
          <w:p>
            <w:pPr>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竞标报价</w:t>
            </w:r>
            <w:r>
              <w:br w:type="textWrapping"/>
            </w:r>
            <w:r>
              <w:rPr>
                <w:rFonts w:hint="eastAsia" w:asciiTheme="minorEastAsia" w:hAnsiTheme="minorEastAsia" w:eastAsiaTheme="minorEastAsia" w:cstheme="minorEastAsia"/>
                <w:kern w:val="0"/>
                <w:szCs w:val="21"/>
                <w:lang w:bidi="ar"/>
              </w:rPr>
              <w:t>50分</w:t>
            </w:r>
          </w:p>
        </w:tc>
        <w:tc>
          <w:tcPr>
            <w:tcW w:w="1110" w:type="dxa"/>
            <w:vAlign w:val="center"/>
          </w:tcPr>
          <w:p>
            <w:pPr>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最后报价</w:t>
            </w:r>
          </w:p>
        </w:tc>
        <w:tc>
          <w:tcPr>
            <w:tcW w:w="6210" w:type="dxa"/>
            <w:vAlign w:val="center"/>
          </w:tcPr>
          <w:p>
            <w:pPr>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（1）报价采用低价优先法计算，即满足磋商采购文件要求且报价最低的报价为磋商基准价，其报价分为满分50分；</w:t>
            </w:r>
          </w:p>
          <w:p>
            <w:pPr>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（2）其他供应商的报价分按照下列公式计算：</w:t>
            </w:r>
          </w:p>
          <w:p>
            <w:pPr>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报价分=（磋商基准价/磋商报价）×50</w:t>
            </w:r>
          </w:p>
          <w:p>
            <w:pPr>
              <w:spacing w:line="260" w:lineRule="exact"/>
              <w:jc w:val="left"/>
              <w:textAlignment w:val="center"/>
            </w:pPr>
            <w:r>
              <w:rPr>
                <w:rFonts w:hint="eastAsia" w:asciiTheme="minorEastAsia" w:hAnsiTheme="minorEastAsia" w:eastAsiaTheme="minorEastAsia" w:cstheme="minorEastAsia"/>
                <w:b/>
                <w:bCs/>
              </w:rPr>
              <w:t>备注：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r>
              <w:rPr>
                <w:rFonts w:hint="eastAsia" w:ascii="宋体" w:hAnsi="宋体" w:cs="宋体"/>
                <w:b/>
                <w:bCs/>
              </w:rPr>
              <w:t>2）符合本磋商文件第四章“政策支持”条件的，在评审时予以价格扣除，用扣除后的价格参与评审。</w:t>
            </w:r>
          </w:p>
        </w:tc>
        <w:tc>
          <w:tcPr>
            <w:tcW w:w="781" w:type="dxa"/>
            <w:vAlign w:val="center"/>
          </w:tcPr>
          <w:p>
            <w:pPr>
              <w:spacing w:line="260" w:lineRule="exact"/>
              <w:jc w:val="center"/>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lang w:bidi="ar"/>
              </w:rPr>
              <w:t>50分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restart"/>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商务</w:t>
            </w:r>
          </w:p>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10分</w:t>
            </w:r>
          </w:p>
        </w:tc>
        <w:tc>
          <w:tcPr>
            <w:tcW w:w="1110" w:type="dxa"/>
            <w:vAlign w:val="center"/>
          </w:tcPr>
          <w:p>
            <w:pPr>
              <w:jc w:val="center"/>
              <w:rPr>
                <w:rFonts w:asciiTheme="minorEastAsia" w:hAnsiTheme="minorEastAsia" w:eastAsiaTheme="minorEastAsia" w:cstheme="minorEastAsia"/>
                <w:spacing w:val="-6"/>
                <w:kern w:val="0"/>
                <w:szCs w:val="21"/>
              </w:rPr>
            </w:pPr>
            <w:r>
              <w:rPr>
                <w:rFonts w:hint="eastAsia" w:ascii="宋体" w:hAnsi="宋体" w:cs="宋体"/>
                <w:spacing w:val="-6"/>
                <w:kern w:val="0"/>
                <w:szCs w:val="21"/>
              </w:rPr>
              <w:t>体系认证</w:t>
            </w:r>
          </w:p>
        </w:tc>
        <w:tc>
          <w:tcPr>
            <w:tcW w:w="6210" w:type="dxa"/>
            <w:vAlign w:val="center"/>
          </w:tcPr>
          <w:p>
            <w:pPr>
              <w:rPr>
                <w:rFonts w:asciiTheme="minorEastAsia" w:hAnsiTheme="minorEastAsia" w:eastAsiaTheme="minorEastAsia" w:cstheme="minorEastAsia"/>
                <w:spacing w:val="-6"/>
                <w:szCs w:val="21"/>
              </w:rPr>
            </w:pPr>
            <w:r>
              <w:rPr>
                <w:rFonts w:hint="eastAsia" w:ascii="宋体" w:hAnsi="宋体" w:cs="宋体"/>
                <w:szCs w:val="21"/>
              </w:rPr>
              <w:t>供应商具有职业健康安全管理体系认证证书、质量管理体系认证证书、环境管理体系认证。每提供1个证书得1分，最多得3分。不提供的不得分。</w:t>
            </w:r>
          </w:p>
        </w:tc>
        <w:tc>
          <w:tcPr>
            <w:tcW w:w="781" w:type="dxa"/>
            <w:vAlign w:val="center"/>
          </w:tcPr>
          <w:p>
            <w:pPr>
              <w:spacing w:line="360" w:lineRule="auto"/>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continue"/>
            <w:vAlign w:val="center"/>
          </w:tcPr>
          <w:p>
            <w:pPr>
              <w:rPr>
                <w:rFonts w:asciiTheme="minorEastAsia" w:hAnsiTheme="minorEastAsia" w:eastAsiaTheme="minorEastAsia" w:cstheme="minorEastAsia"/>
                <w:szCs w:val="21"/>
              </w:rPr>
            </w:pPr>
          </w:p>
        </w:tc>
        <w:tc>
          <w:tcPr>
            <w:tcW w:w="1110" w:type="dxa"/>
            <w:vAlign w:val="center"/>
          </w:tcPr>
          <w:p>
            <w:pPr>
              <w:jc w:val="center"/>
              <w:rPr>
                <w:rFonts w:asciiTheme="minorEastAsia" w:hAnsiTheme="minorEastAsia" w:eastAsiaTheme="minorEastAsia" w:cstheme="minorEastAsia"/>
                <w:spacing w:val="-6"/>
                <w:kern w:val="0"/>
                <w:szCs w:val="21"/>
              </w:rPr>
            </w:pPr>
            <w:r>
              <w:rPr>
                <w:rFonts w:hint="eastAsia" w:ascii="宋体" w:hAnsi="宋体" w:cs="宋体"/>
                <w:spacing w:val="-6"/>
                <w:kern w:val="0"/>
                <w:szCs w:val="21"/>
              </w:rPr>
              <w:t>类似业绩</w:t>
            </w:r>
          </w:p>
        </w:tc>
        <w:tc>
          <w:tcPr>
            <w:tcW w:w="6210" w:type="dxa"/>
            <w:vAlign w:val="center"/>
          </w:tcPr>
          <w:p>
            <w:pPr>
              <w:rPr>
                <w:rFonts w:asciiTheme="minorEastAsia" w:hAnsiTheme="minorEastAsia" w:eastAsiaTheme="minorEastAsia" w:cstheme="minorEastAsia"/>
                <w:spacing w:val="-6"/>
                <w:kern w:val="0"/>
                <w:szCs w:val="21"/>
              </w:rPr>
            </w:pPr>
            <w:r>
              <w:rPr>
                <w:rFonts w:hint="eastAsia" w:ascii="宋体" w:hAnsi="宋体" w:cs="宋体"/>
                <w:szCs w:val="21"/>
              </w:rPr>
              <w:t>供应商提供近三年（磋商截止时间往前推算36个月）具有类似采购业绩的，每个得1分，最多得3分；（需提供成交通知书和合同真彩扫描件）</w:t>
            </w:r>
          </w:p>
        </w:tc>
        <w:tc>
          <w:tcPr>
            <w:tcW w:w="781" w:type="dxa"/>
            <w:vAlign w:val="center"/>
          </w:tcPr>
          <w:p>
            <w:pPr>
              <w:autoSpaceDE w:val="0"/>
              <w:autoSpaceDN w:val="0"/>
              <w:adjustRightInd w:val="0"/>
              <w:spacing w:line="360" w:lineRule="auto"/>
              <w:ind w:right="71" w:rightChars="34"/>
              <w:jc w:val="center"/>
              <w:rPr>
                <w:rFonts w:asciiTheme="minorEastAsia" w:hAnsiTheme="minorEastAsia" w:eastAsiaTheme="minorEastAsia" w:cstheme="minorEastAsia"/>
                <w:spacing w:val="-6"/>
                <w:kern w:val="0"/>
                <w:szCs w:val="21"/>
              </w:rPr>
            </w:pPr>
            <w:r>
              <w:rPr>
                <w:rFonts w:hint="eastAsia" w:asciiTheme="minorEastAsia" w:hAnsiTheme="minorEastAsia" w:eastAsiaTheme="minorEastAsia" w:cstheme="minorEastAsia"/>
                <w:spacing w:val="-6"/>
                <w:kern w:val="0"/>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continue"/>
            <w:vAlign w:val="center"/>
          </w:tcPr>
          <w:p>
            <w:pPr>
              <w:rPr>
                <w:rFonts w:asciiTheme="minorEastAsia" w:hAnsiTheme="minorEastAsia" w:eastAsiaTheme="minorEastAsia" w:cstheme="minorEastAsia"/>
                <w:szCs w:val="21"/>
              </w:rPr>
            </w:pPr>
          </w:p>
        </w:tc>
        <w:tc>
          <w:tcPr>
            <w:tcW w:w="1110" w:type="dxa"/>
            <w:vAlign w:val="center"/>
          </w:tcPr>
          <w:p>
            <w:pPr>
              <w:jc w:val="center"/>
              <w:rPr>
                <w:rFonts w:asciiTheme="minorEastAsia" w:hAnsiTheme="minorEastAsia" w:eastAsiaTheme="minorEastAsia" w:cstheme="minorEastAsia"/>
                <w:spacing w:val="-6"/>
                <w:szCs w:val="21"/>
              </w:rPr>
            </w:pPr>
            <w:r>
              <w:rPr>
                <w:rFonts w:hint="eastAsia" w:ascii="宋体" w:hAnsi="宋体" w:cs="宋体"/>
                <w:szCs w:val="21"/>
                <w:lang w:val="zh-CN"/>
              </w:rPr>
              <w:t>用户反馈</w:t>
            </w:r>
          </w:p>
        </w:tc>
        <w:tc>
          <w:tcPr>
            <w:tcW w:w="6210" w:type="dxa"/>
            <w:vAlign w:val="center"/>
          </w:tcPr>
          <w:p>
            <w:pPr>
              <w:rPr>
                <w:rFonts w:asciiTheme="minorEastAsia" w:hAnsiTheme="minorEastAsia" w:eastAsiaTheme="minorEastAsia" w:cstheme="minorEastAsia"/>
                <w:spacing w:val="-6"/>
                <w:szCs w:val="21"/>
              </w:rPr>
            </w:pPr>
            <w:r>
              <w:rPr>
                <w:rFonts w:hint="eastAsia" w:ascii="宋体" w:hAnsi="宋体" w:cs="宋体"/>
                <w:szCs w:val="21"/>
              </w:rPr>
              <w:t>供应商</w:t>
            </w:r>
            <w:r>
              <w:rPr>
                <w:rFonts w:hint="eastAsia" w:ascii="宋体" w:hAnsi="宋体" w:cs="宋体"/>
                <w:szCs w:val="21"/>
                <w:lang w:val="zh-CN"/>
              </w:rPr>
              <w:t>提供近三年（磋商截止时间往前推算36个月）用户出具的满意评价证明（盖用户单位公章），每提供一个得</w:t>
            </w:r>
            <w:r>
              <w:rPr>
                <w:rFonts w:hint="eastAsia" w:ascii="宋体" w:hAnsi="宋体" w:cs="宋体"/>
                <w:szCs w:val="21"/>
              </w:rPr>
              <w:t>1</w:t>
            </w:r>
            <w:r>
              <w:rPr>
                <w:rFonts w:hint="eastAsia" w:ascii="宋体" w:hAnsi="宋体" w:cs="宋体"/>
                <w:szCs w:val="21"/>
                <w:lang w:val="zh-CN"/>
              </w:rPr>
              <w:t>分，最高得</w:t>
            </w:r>
            <w:r>
              <w:rPr>
                <w:rFonts w:hint="eastAsia" w:ascii="宋体" w:hAnsi="宋体" w:cs="宋体"/>
                <w:szCs w:val="21"/>
              </w:rPr>
              <w:t>2</w:t>
            </w:r>
            <w:r>
              <w:rPr>
                <w:rFonts w:hint="eastAsia" w:ascii="宋体" w:hAnsi="宋体" w:cs="宋体"/>
                <w:szCs w:val="21"/>
                <w:lang w:val="zh-CN"/>
              </w:rPr>
              <w:t>分。（需提供不同单位出具加盖公章的满意评价证明）</w:t>
            </w:r>
          </w:p>
        </w:tc>
        <w:tc>
          <w:tcPr>
            <w:tcW w:w="781" w:type="dxa"/>
            <w:vAlign w:val="center"/>
          </w:tcPr>
          <w:p>
            <w:pPr>
              <w:autoSpaceDE w:val="0"/>
              <w:autoSpaceDN w:val="0"/>
              <w:adjustRightInd w:val="0"/>
              <w:spacing w:line="360" w:lineRule="auto"/>
              <w:ind w:right="71" w:rightChars="34"/>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continue"/>
            <w:vAlign w:val="center"/>
          </w:tcPr>
          <w:p>
            <w:pPr>
              <w:rPr>
                <w:rFonts w:asciiTheme="minorEastAsia" w:hAnsiTheme="minorEastAsia" w:eastAsiaTheme="minorEastAsia" w:cstheme="minorEastAsia"/>
                <w:szCs w:val="21"/>
              </w:rPr>
            </w:pPr>
          </w:p>
        </w:tc>
        <w:tc>
          <w:tcPr>
            <w:tcW w:w="1110" w:type="dxa"/>
            <w:tcBorders>
              <w:bottom w:val="single" w:color="auto" w:sz="4" w:space="0"/>
            </w:tcBorders>
            <w:vAlign w:val="center"/>
          </w:tcPr>
          <w:p>
            <w:pPr>
              <w:jc w:val="center"/>
              <w:textAlignment w:val="center"/>
              <w:rPr>
                <w:rFonts w:asciiTheme="minorEastAsia" w:hAnsiTheme="minorEastAsia" w:eastAsiaTheme="minorEastAsia" w:cstheme="minorEastAsia"/>
                <w:spacing w:val="-6"/>
                <w:kern w:val="0"/>
                <w:szCs w:val="21"/>
              </w:rPr>
            </w:pPr>
            <w:r>
              <w:rPr>
                <w:rFonts w:hint="eastAsia" w:ascii="宋体" w:hAnsi="宋体" w:cs="宋体"/>
                <w:szCs w:val="21"/>
              </w:rPr>
              <w:t>质保期/保修期</w:t>
            </w:r>
          </w:p>
        </w:tc>
        <w:tc>
          <w:tcPr>
            <w:tcW w:w="6210" w:type="dxa"/>
            <w:tcBorders>
              <w:bottom w:val="single" w:color="auto" w:sz="4" w:space="0"/>
            </w:tcBorders>
            <w:vAlign w:val="center"/>
          </w:tcPr>
          <w:p>
            <w:pPr>
              <w:jc w:val="left"/>
              <w:textAlignment w:val="center"/>
              <w:rPr>
                <w:rFonts w:asciiTheme="minorEastAsia" w:hAnsiTheme="minorEastAsia" w:eastAsiaTheme="minorEastAsia" w:cstheme="minorEastAsia"/>
                <w:spacing w:val="-6"/>
                <w:kern w:val="0"/>
                <w:szCs w:val="21"/>
              </w:rPr>
            </w:pPr>
            <w:r>
              <w:rPr>
                <w:rFonts w:hint="eastAsia" w:ascii="宋体" w:hAnsi="宋体" w:cs="宋体"/>
                <w:szCs w:val="21"/>
              </w:rPr>
              <w:t>质保期/保修期在满足采购文件最低要求的基础上，每增加一年得1分，最多得2分。（需提供承诺书，否则不得分）。</w:t>
            </w:r>
          </w:p>
        </w:tc>
        <w:tc>
          <w:tcPr>
            <w:tcW w:w="781" w:type="dxa"/>
            <w:tcBorders>
              <w:bottom w:val="single" w:color="auto" w:sz="4" w:space="0"/>
            </w:tcBorders>
            <w:vAlign w:val="center"/>
          </w:tcPr>
          <w:p>
            <w:pPr>
              <w:spacing w:line="260" w:lineRule="exact"/>
              <w:jc w:val="center"/>
              <w:textAlignment w:val="center"/>
              <w:rPr>
                <w:rFonts w:asciiTheme="minorEastAsia" w:hAnsiTheme="minorEastAsia" w:eastAsiaTheme="minorEastAsia" w:cstheme="minorEastAsia"/>
                <w:spacing w:val="-6"/>
                <w:kern w:val="0"/>
                <w:szCs w:val="21"/>
              </w:rPr>
            </w:pPr>
            <w:r>
              <w:rPr>
                <w:rFonts w:hint="eastAsia" w:ascii="宋体" w:hAnsi="宋体" w:cs="宋体"/>
                <w:kern w:val="0"/>
                <w:szCs w:val="21"/>
                <w:lang w:val="en-US" w:eastAsia="zh-CN"/>
              </w:rPr>
              <w:t>2</w:t>
            </w:r>
            <w:r>
              <w:rPr>
                <w:rFonts w:hint="eastAsia" w:ascii="宋体" w:hAnsi="宋体" w:cs="宋体"/>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restart"/>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技术服务</w:t>
            </w:r>
          </w:p>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40分</w:t>
            </w:r>
          </w:p>
        </w:tc>
        <w:tc>
          <w:tcPr>
            <w:tcW w:w="1110" w:type="dxa"/>
            <w:vAlign w:val="center"/>
          </w:tcPr>
          <w:p>
            <w:pPr>
              <w:jc w:val="center"/>
              <w:rPr>
                <w:rFonts w:asciiTheme="minorEastAsia" w:hAnsiTheme="minorEastAsia" w:eastAsiaTheme="minorEastAsia" w:cstheme="minorEastAsia"/>
                <w:spacing w:val="-6"/>
                <w:szCs w:val="21"/>
              </w:rPr>
            </w:pPr>
            <w:r>
              <w:rPr>
                <w:rFonts w:hint="eastAsia" w:ascii="宋体" w:hAnsi="宋体" w:cs="宋体"/>
                <w:szCs w:val="21"/>
              </w:rPr>
              <w:t>设备技术响应</w:t>
            </w:r>
          </w:p>
        </w:tc>
        <w:tc>
          <w:tcPr>
            <w:tcW w:w="6210" w:type="dxa"/>
            <w:vAlign w:val="center"/>
          </w:tcPr>
          <w:p>
            <w:pPr>
              <w:rPr>
                <w:rFonts w:hint="eastAsia"/>
              </w:rPr>
            </w:pPr>
            <w:r>
              <w:rPr>
                <w:rFonts w:hint="eastAsia"/>
              </w:rPr>
              <w:t>设备技术性能及参数完全满足招标要求的得31分，具体由磋商小组根据投标供应商的响应文件中产品情况、《技术响应、偏离说明表》等有关资料打分。</w:t>
            </w:r>
          </w:p>
          <w:p>
            <w:r>
              <w:rPr>
                <w:rFonts w:hint="eastAsia"/>
              </w:rPr>
              <w:t>其中：完全满足招标技术参数要求的得31分；在此基础上，标注 “★”的内容为重要条款，一项不满足扣2分；未标注“★”的内容有一项不符合的则每项扣0.25分；扣完为止。</w:t>
            </w:r>
          </w:p>
          <w:p>
            <w:r>
              <w:rPr>
                <w:rFonts w:hint="eastAsia"/>
              </w:rPr>
              <w:t>备注：以提供的技术参数（原厂确认并盖章）或原厂出具的产品宣传彩页或官网参数查询截图</w:t>
            </w:r>
            <w:r>
              <w:rPr>
                <w:rFonts w:hint="eastAsia"/>
                <w:lang w:val="zh-CN"/>
              </w:rPr>
              <w:t>或第三方机构检验报告或其他相关证明材料</w:t>
            </w:r>
            <w:r>
              <w:rPr>
                <w:rFonts w:hint="eastAsia"/>
              </w:rPr>
              <w:t>资料为</w:t>
            </w:r>
            <w:r>
              <w:rPr>
                <w:rFonts w:hint="eastAsia"/>
                <w:color w:val="auto"/>
              </w:rPr>
              <w:t>准</w:t>
            </w:r>
            <w:r>
              <w:rPr>
                <w:rFonts w:hint="eastAsia"/>
                <w:color w:val="auto"/>
                <w:lang w:eastAsia="zh-CN"/>
              </w:rPr>
              <w:t>（如有要求的则按技术参数中的要求提供）</w:t>
            </w:r>
            <w:r>
              <w:rPr>
                <w:rFonts w:hint="eastAsia"/>
                <w:color w:val="auto"/>
              </w:rPr>
              <w:t>。</w:t>
            </w:r>
            <w:r>
              <w:rPr>
                <w:rFonts w:hint="eastAsia"/>
                <w:color w:val="auto"/>
                <w:lang w:val="zh-CN"/>
              </w:rPr>
              <w:t>未提供有效证明材料或证明材料中内容与所填报指标不一致的，该</w:t>
            </w:r>
            <w:r>
              <w:rPr>
                <w:rFonts w:hint="eastAsia"/>
                <w:lang w:val="zh-CN"/>
              </w:rPr>
              <w:t>条款按不</w:t>
            </w:r>
            <w:r>
              <w:rPr>
                <w:rFonts w:hint="eastAsia"/>
              </w:rPr>
              <w:t>响应</w:t>
            </w:r>
            <w:r>
              <w:rPr>
                <w:rFonts w:hint="eastAsia"/>
                <w:lang w:val="zh-CN"/>
              </w:rPr>
              <w:t>处理。</w:t>
            </w:r>
          </w:p>
        </w:tc>
        <w:tc>
          <w:tcPr>
            <w:tcW w:w="781" w:type="dxa"/>
            <w:vAlign w:val="center"/>
          </w:tcPr>
          <w:p>
            <w:pPr>
              <w:jc w:val="center"/>
              <w:rPr>
                <w:rFonts w:asciiTheme="minorEastAsia" w:hAnsiTheme="minorEastAsia" w:eastAsiaTheme="minorEastAsia" w:cstheme="minorEastAsia"/>
                <w:spacing w:val="-6"/>
                <w:szCs w:val="21"/>
              </w:rPr>
            </w:pPr>
            <w:r>
              <w:rPr>
                <w:rFonts w:hint="eastAsia" w:ascii="宋体" w:hAnsi="宋体" w:cs="宋体"/>
                <w:spacing w:val="-6"/>
                <w:szCs w:val="21"/>
              </w:rPr>
              <w:t>31分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87" w:type="dxa"/>
            <w:vMerge w:val="continue"/>
            <w:vAlign w:val="center"/>
          </w:tcPr>
          <w:p>
            <w:pPr>
              <w:rPr>
                <w:rFonts w:asciiTheme="minorEastAsia" w:hAnsiTheme="minorEastAsia" w:eastAsiaTheme="minorEastAsia" w:cstheme="minorEastAsia"/>
                <w:color w:val="2816E7"/>
                <w:szCs w:val="21"/>
              </w:rPr>
            </w:pPr>
          </w:p>
        </w:tc>
        <w:tc>
          <w:tcPr>
            <w:tcW w:w="1110" w:type="dxa"/>
            <w:vAlign w:val="center"/>
          </w:tcPr>
          <w:p>
            <w:pPr>
              <w:jc w:val="center"/>
              <w:rPr>
                <w:rFonts w:ascii="宋体" w:hAnsi="宋体" w:cs="宋体"/>
                <w:szCs w:val="21"/>
              </w:rPr>
            </w:pPr>
            <w:r>
              <w:rPr>
                <w:rFonts w:hint="eastAsia" w:ascii="宋体" w:hAnsi="宋体" w:cs="宋体"/>
                <w:szCs w:val="21"/>
              </w:rPr>
              <w:t>交货实施方案</w:t>
            </w:r>
          </w:p>
        </w:tc>
        <w:tc>
          <w:tcPr>
            <w:tcW w:w="6210"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根据投标供应商针对本项目提供的交货实施方案（包含项目对接、人员安排、交货计划、货物运输、交货期保障措施、安装调试步骤及措施等）的合理性及及完整性进行评分：</w:t>
            </w:r>
          </w:p>
          <w:p>
            <w:pPr>
              <w:ind w:left="-4" w:leftChars="-2" w:firstLine="2" w:firstLineChars="1"/>
              <w:rPr>
                <w:rFonts w:ascii="宋体" w:hAnsi="宋体" w:cs="宋体"/>
                <w:szCs w:val="21"/>
              </w:rPr>
            </w:pPr>
            <w:r>
              <w:rPr>
                <w:rFonts w:hint="eastAsia" w:ascii="宋体" w:hAnsi="宋体" w:cs="宋体"/>
                <w:szCs w:val="21"/>
              </w:rPr>
              <w:t>方案全面详细、科学合理、可行，</w:t>
            </w:r>
            <w:r>
              <w:rPr>
                <w:rFonts w:hint="eastAsia" w:ascii="宋体" w:hAnsi="宋体" w:cs="宋体"/>
                <w:spacing w:val="-6"/>
                <w:szCs w:val="21"/>
              </w:rPr>
              <w:t>得3分；</w:t>
            </w:r>
          </w:p>
          <w:p>
            <w:pPr>
              <w:ind w:left="-4" w:leftChars="-2" w:firstLine="2" w:firstLineChars="1"/>
              <w:rPr>
                <w:rFonts w:ascii="宋体" w:hAnsi="宋体" w:cs="宋体"/>
                <w:szCs w:val="21"/>
              </w:rPr>
            </w:pPr>
            <w:r>
              <w:rPr>
                <w:rFonts w:hint="eastAsia" w:ascii="宋体" w:hAnsi="宋体" w:cs="宋体"/>
                <w:szCs w:val="21"/>
              </w:rPr>
              <w:t>方案全面详细、合理、可行，</w:t>
            </w:r>
            <w:r>
              <w:rPr>
                <w:rFonts w:hint="eastAsia" w:ascii="宋体" w:hAnsi="宋体" w:cs="宋体"/>
                <w:spacing w:val="-6"/>
                <w:szCs w:val="21"/>
              </w:rPr>
              <w:t>得2分；</w:t>
            </w:r>
          </w:p>
          <w:p>
            <w:pPr>
              <w:ind w:left="-4" w:leftChars="-2" w:firstLine="2" w:firstLineChars="1"/>
              <w:rPr>
                <w:rFonts w:ascii="宋体" w:hAnsi="宋体" w:cs="宋体"/>
                <w:szCs w:val="21"/>
              </w:rPr>
            </w:pPr>
            <w:r>
              <w:rPr>
                <w:rFonts w:hint="eastAsia" w:ascii="宋体" w:hAnsi="宋体" w:cs="宋体"/>
                <w:szCs w:val="21"/>
              </w:rPr>
              <w:t>方案基本详细、可行，</w:t>
            </w:r>
            <w:r>
              <w:rPr>
                <w:rFonts w:hint="eastAsia" w:ascii="宋体" w:hAnsi="宋体" w:cs="宋体"/>
                <w:spacing w:val="-6"/>
                <w:szCs w:val="21"/>
              </w:rPr>
              <w:t>得1分；</w:t>
            </w:r>
          </w:p>
          <w:p>
            <w:pPr>
              <w:ind w:left="-4" w:leftChars="-2" w:firstLine="2" w:firstLineChars="1"/>
              <w:rPr>
                <w:rFonts w:ascii="宋体" w:hAnsi="宋体" w:cs="宋体"/>
                <w:szCs w:val="21"/>
                <w:highlight w:val="yellow"/>
              </w:rPr>
            </w:pPr>
            <w:r>
              <w:rPr>
                <w:rFonts w:hint="eastAsia" w:ascii="宋体" w:hAnsi="宋体" w:cs="宋体"/>
                <w:szCs w:val="21"/>
              </w:rPr>
              <w:t>未提供或不可行的，</w:t>
            </w:r>
            <w:r>
              <w:rPr>
                <w:rFonts w:hint="eastAsia" w:ascii="宋体" w:hAnsi="宋体" w:cs="宋体"/>
                <w:spacing w:val="-6"/>
                <w:szCs w:val="21"/>
              </w:rPr>
              <w:t>得0分</w:t>
            </w:r>
            <w:r>
              <w:rPr>
                <w:rFonts w:hint="eastAsia" w:ascii="宋体" w:hAnsi="宋体" w:cs="宋体"/>
                <w:szCs w:val="21"/>
              </w:rPr>
              <w:t>。</w:t>
            </w:r>
          </w:p>
        </w:tc>
        <w:tc>
          <w:tcPr>
            <w:tcW w:w="781" w:type="dxa"/>
            <w:vAlign w:val="center"/>
          </w:tcPr>
          <w:p>
            <w:pPr>
              <w:jc w:val="center"/>
              <w:rPr>
                <w:rFonts w:ascii="宋体" w:hAnsi="宋体" w:cs="宋体"/>
                <w:szCs w:val="21"/>
                <w:highlight w:val="yellow"/>
              </w:rPr>
            </w:pPr>
            <w:r>
              <w:rPr>
                <w:rFonts w:hint="eastAsia" w:ascii="宋体" w:hAnsi="宋体" w:cs="宋体"/>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5" w:hRule="atLeast"/>
        </w:trPr>
        <w:tc>
          <w:tcPr>
            <w:tcW w:w="1187" w:type="dxa"/>
            <w:vMerge w:val="continue"/>
            <w:vAlign w:val="center"/>
          </w:tcPr>
          <w:p>
            <w:pPr>
              <w:rPr>
                <w:rFonts w:asciiTheme="minorEastAsia" w:hAnsiTheme="minorEastAsia" w:eastAsiaTheme="minorEastAsia" w:cstheme="minorEastAsia"/>
                <w:color w:val="2816E7"/>
                <w:szCs w:val="21"/>
              </w:rPr>
            </w:pPr>
          </w:p>
        </w:tc>
        <w:tc>
          <w:tcPr>
            <w:tcW w:w="1110" w:type="dxa"/>
            <w:vAlign w:val="center"/>
          </w:tcPr>
          <w:p>
            <w:pPr>
              <w:jc w:val="center"/>
              <w:rPr>
                <w:rFonts w:ascii="宋体" w:hAnsi="宋体" w:cs="宋体"/>
                <w:szCs w:val="21"/>
              </w:rPr>
            </w:pPr>
            <w:r>
              <w:rPr>
                <w:rFonts w:hint="eastAsia" w:ascii="宋体" w:hAnsi="宋体" w:cs="宋体"/>
                <w:szCs w:val="21"/>
              </w:rPr>
              <w:t>质量管控措施</w:t>
            </w:r>
          </w:p>
        </w:tc>
        <w:tc>
          <w:tcPr>
            <w:tcW w:w="6210"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根据投标供应商针对本项目提供的质量管控措施（包含质量目标、质量管理制度、质量保证措施等）的合理性及及完整性进行评分：</w:t>
            </w:r>
          </w:p>
          <w:p>
            <w:pPr>
              <w:ind w:left="-4" w:leftChars="-2" w:firstLine="2" w:firstLineChars="1"/>
              <w:rPr>
                <w:rFonts w:ascii="宋体" w:hAnsi="宋体" w:cs="宋体"/>
                <w:szCs w:val="21"/>
              </w:rPr>
            </w:pPr>
            <w:r>
              <w:rPr>
                <w:rFonts w:hint="eastAsia" w:ascii="宋体" w:hAnsi="宋体" w:cs="宋体"/>
                <w:szCs w:val="21"/>
              </w:rPr>
              <w:t>方案全面详细、科学合理、可行，</w:t>
            </w:r>
            <w:r>
              <w:rPr>
                <w:rFonts w:hint="eastAsia" w:ascii="宋体" w:hAnsi="宋体" w:cs="宋体"/>
                <w:spacing w:val="-6"/>
                <w:szCs w:val="21"/>
              </w:rPr>
              <w:t>得3分；</w:t>
            </w:r>
          </w:p>
          <w:p>
            <w:pPr>
              <w:ind w:left="-4" w:leftChars="-2" w:firstLine="2" w:firstLineChars="1"/>
              <w:rPr>
                <w:rFonts w:ascii="宋体" w:hAnsi="宋体" w:cs="宋体"/>
                <w:szCs w:val="21"/>
              </w:rPr>
            </w:pPr>
            <w:r>
              <w:rPr>
                <w:rFonts w:hint="eastAsia" w:ascii="宋体" w:hAnsi="宋体" w:cs="宋体"/>
                <w:szCs w:val="21"/>
              </w:rPr>
              <w:t>方案全面详细、合理、可行，</w:t>
            </w:r>
            <w:r>
              <w:rPr>
                <w:rFonts w:hint="eastAsia" w:ascii="宋体" w:hAnsi="宋体" w:cs="宋体"/>
                <w:spacing w:val="-6"/>
                <w:szCs w:val="21"/>
              </w:rPr>
              <w:t>得2分；</w:t>
            </w:r>
          </w:p>
          <w:p>
            <w:pPr>
              <w:ind w:left="-4" w:leftChars="-2" w:firstLine="2" w:firstLineChars="1"/>
              <w:rPr>
                <w:rFonts w:ascii="宋体" w:hAnsi="宋体" w:cs="宋体"/>
                <w:szCs w:val="21"/>
              </w:rPr>
            </w:pPr>
            <w:r>
              <w:rPr>
                <w:rFonts w:hint="eastAsia" w:ascii="宋体" w:hAnsi="宋体" w:cs="宋体"/>
                <w:szCs w:val="21"/>
              </w:rPr>
              <w:t>方案基本详细、可行，</w:t>
            </w:r>
            <w:r>
              <w:rPr>
                <w:rFonts w:hint="eastAsia" w:ascii="宋体" w:hAnsi="宋体" w:cs="宋体"/>
                <w:spacing w:val="-6"/>
                <w:szCs w:val="21"/>
              </w:rPr>
              <w:t>得1分；</w:t>
            </w:r>
          </w:p>
          <w:p>
            <w:pPr>
              <w:ind w:left="-4" w:leftChars="-2" w:firstLine="2" w:firstLineChars="1"/>
              <w:rPr>
                <w:rFonts w:ascii="仿宋" w:hAnsi="仿宋" w:cs="仿宋"/>
                <w:szCs w:val="21"/>
                <w:highlight w:val="yellow"/>
              </w:rPr>
            </w:pPr>
            <w:r>
              <w:rPr>
                <w:rFonts w:hint="eastAsia" w:ascii="宋体" w:hAnsi="宋体" w:cs="宋体"/>
                <w:szCs w:val="21"/>
              </w:rPr>
              <w:t>未提供或不可行的，</w:t>
            </w:r>
            <w:r>
              <w:rPr>
                <w:rFonts w:hint="eastAsia" w:ascii="宋体" w:hAnsi="宋体" w:cs="宋体"/>
                <w:spacing w:val="-6"/>
                <w:szCs w:val="21"/>
              </w:rPr>
              <w:t>得0分</w:t>
            </w:r>
            <w:r>
              <w:rPr>
                <w:rFonts w:hint="eastAsia" w:ascii="宋体" w:hAnsi="宋体" w:cs="宋体"/>
                <w:szCs w:val="21"/>
              </w:rPr>
              <w:t>。</w:t>
            </w:r>
          </w:p>
        </w:tc>
        <w:tc>
          <w:tcPr>
            <w:tcW w:w="781" w:type="dxa"/>
            <w:vAlign w:val="center"/>
          </w:tcPr>
          <w:p>
            <w:pPr>
              <w:jc w:val="center"/>
              <w:rPr>
                <w:rFonts w:ascii="宋体" w:hAnsi="宋体" w:cs="宋体"/>
                <w:szCs w:val="21"/>
                <w:highlight w:val="yellow"/>
              </w:rPr>
            </w:pPr>
            <w:r>
              <w:rPr>
                <w:rFonts w:hint="eastAsia" w:ascii="宋体" w:hAnsi="宋体" w:cs="宋体"/>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5" w:hRule="atLeast"/>
        </w:trPr>
        <w:tc>
          <w:tcPr>
            <w:tcW w:w="1187" w:type="dxa"/>
            <w:vMerge w:val="continue"/>
            <w:vAlign w:val="center"/>
          </w:tcPr>
          <w:p>
            <w:pPr>
              <w:rPr>
                <w:rFonts w:asciiTheme="minorEastAsia" w:hAnsiTheme="minorEastAsia" w:eastAsiaTheme="minorEastAsia" w:cstheme="minorEastAsia"/>
                <w:color w:val="2816E7"/>
                <w:szCs w:val="21"/>
              </w:rPr>
            </w:pPr>
          </w:p>
        </w:tc>
        <w:tc>
          <w:tcPr>
            <w:tcW w:w="1110" w:type="dxa"/>
            <w:vAlign w:val="center"/>
          </w:tcPr>
          <w:p>
            <w:pPr>
              <w:jc w:val="center"/>
              <w:rPr>
                <w:rFonts w:ascii="宋体" w:hAnsi="宋体" w:cs="宋体"/>
                <w:szCs w:val="21"/>
              </w:rPr>
            </w:pPr>
            <w:r>
              <w:rPr>
                <w:rFonts w:hint="eastAsia" w:ascii="宋体" w:hAnsi="宋体" w:cs="宋体"/>
                <w:szCs w:val="21"/>
              </w:rPr>
              <w:t>售后方案</w:t>
            </w:r>
          </w:p>
        </w:tc>
        <w:tc>
          <w:tcPr>
            <w:tcW w:w="6210"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根据投标供应商针对本项目提供的售后方案（包含服务标准和应急维修时间安排、质保期满后的承诺、备品备件、其它服务承诺等）的合理性及及完整性进行评分：</w:t>
            </w:r>
          </w:p>
          <w:p>
            <w:pPr>
              <w:ind w:left="-4" w:leftChars="-2" w:firstLine="2" w:firstLineChars="1"/>
              <w:rPr>
                <w:rFonts w:ascii="宋体" w:hAnsi="宋体" w:cs="宋体"/>
                <w:szCs w:val="21"/>
              </w:rPr>
            </w:pPr>
            <w:r>
              <w:rPr>
                <w:rFonts w:hint="eastAsia" w:ascii="宋体" w:hAnsi="宋体" w:cs="宋体"/>
                <w:szCs w:val="21"/>
              </w:rPr>
              <w:t>方案全面详细、科学合理、可行，</w:t>
            </w:r>
            <w:r>
              <w:rPr>
                <w:rFonts w:hint="eastAsia" w:ascii="宋体" w:hAnsi="宋体" w:cs="宋体"/>
                <w:spacing w:val="-6"/>
                <w:szCs w:val="21"/>
              </w:rPr>
              <w:t>得3分；</w:t>
            </w:r>
          </w:p>
          <w:p>
            <w:pPr>
              <w:ind w:left="-4" w:leftChars="-2" w:firstLine="2" w:firstLineChars="1"/>
              <w:rPr>
                <w:rFonts w:ascii="宋体" w:hAnsi="宋体" w:cs="宋体"/>
                <w:szCs w:val="21"/>
              </w:rPr>
            </w:pPr>
            <w:r>
              <w:rPr>
                <w:rFonts w:hint="eastAsia" w:ascii="宋体" w:hAnsi="宋体" w:cs="宋体"/>
                <w:szCs w:val="21"/>
              </w:rPr>
              <w:t>方案全面详细、合理、可行，</w:t>
            </w:r>
            <w:r>
              <w:rPr>
                <w:rFonts w:hint="eastAsia" w:ascii="宋体" w:hAnsi="宋体" w:cs="宋体"/>
                <w:spacing w:val="-6"/>
                <w:szCs w:val="21"/>
              </w:rPr>
              <w:t>得2分；</w:t>
            </w:r>
          </w:p>
          <w:p>
            <w:pPr>
              <w:ind w:left="-4" w:leftChars="-2" w:firstLine="2" w:firstLineChars="1"/>
              <w:rPr>
                <w:rFonts w:ascii="宋体" w:hAnsi="宋体" w:cs="宋体"/>
                <w:szCs w:val="21"/>
              </w:rPr>
            </w:pPr>
            <w:r>
              <w:rPr>
                <w:rFonts w:hint="eastAsia" w:ascii="宋体" w:hAnsi="宋体" w:cs="宋体"/>
                <w:szCs w:val="21"/>
              </w:rPr>
              <w:t>方案基本详细、可行，</w:t>
            </w:r>
            <w:r>
              <w:rPr>
                <w:rFonts w:hint="eastAsia" w:ascii="宋体" w:hAnsi="宋体" w:cs="宋体"/>
                <w:spacing w:val="-6"/>
                <w:szCs w:val="21"/>
              </w:rPr>
              <w:t>得1分；</w:t>
            </w:r>
          </w:p>
          <w:p>
            <w:pPr>
              <w:rPr>
                <w:rFonts w:ascii="宋体" w:hAnsi="宋体" w:cs="宋体"/>
                <w:szCs w:val="21"/>
              </w:rPr>
            </w:pPr>
            <w:r>
              <w:rPr>
                <w:rFonts w:hint="eastAsia" w:ascii="宋体" w:hAnsi="宋体" w:cs="宋体"/>
                <w:szCs w:val="21"/>
              </w:rPr>
              <w:t>未提供或不可行的，</w:t>
            </w:r>
            <w:r>
              <w:rPr>
                <w:rFonts w:hint="eastAsia" w:ascii="宋体" w:hAnsi="宋体" w:cs="宋体"/>
                <w:spacing w:val="-6"/>
                <w:szCs w:val="21"/>
              </w:rPr>
              <w:t>得0分</w:t>
            </w:r>
            <w:r>
              <w:rPr>
                <w:rFonts w:hint="eastAsia" w:ascii="宋体" w:hAnsi="宋体" w:cs="宋体"/>
                <w:szCs w:val="21"/>
              </w:rPr>
              <w:t>。</w:t>
            </w:r>
          </w:p>
        </w:tc>
        <w:tc>
          <w:tcPr>
            <w:tcW w:w="781" w:type="dxa"/>
            <w:vAlign w:val="center"/>
          </w:tcPr>
          <w:p>
            <w:pPr>
              <w:jc w:val="center"/>
              <w:rPr>
                <w:rFonts w:ascii="宋体" w:hAnsi="宋体" w:cs="宋体"/>
                <w:spacing w:val="-6"/>
                <w:szCs w:val="21"/>
              </w:rPr>
            </w:pPr>
            <w:r>
              <w:rPr>
                <w:rFonts w:hint="eastAsia" w:ascii="宋体" w:hAnsi="宋体" w:cs="宋体"/>
                <w:spacing w:val="-6"/>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5" w:hRule="atLeast"/>
        </w:trPr>
        <w:tc>
          <w:tcPr>
            <w:tcW w:w="1187"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总分</w:t>
            </w:r>
          </w:p>
        </w:tc>
        <w:tc>
          <w:tcPr>
            <w:tcW w:w="8101" w:type="dxa"/>
            <w:gridSpan w:val="3"/>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100</w:t>
            </w:r>
          </w:p>
        </w:tc>
      </w:tr>
    </w:tbl>
    <w:p>
      <w:pPr>
        <w:spacing w:line="360" w:lineRule="auto"/>
        <w:rPr>
          <w:rFonts w:asciiTheme="minorEastAsia" w:hAnsiTheme="minorEastAsia" w:eastAsiaTheme="minorEastAsia" w:cstheme="minorEastAsia"/>
          <w:b/>
          <w:szCs w:val="21"/>
        </w:rPr>
        <w:sectPr>
          <w:pgSz w:w="11906" w:h="16838"/>
          <w:pgMar w:top="1417" w:right="1417" w:bottom="1417" w:left="1417" w:header="851" w:footer="992" w:gutter="0"/>
          <w:cols w:space="720" w:num="1"/>
          <w:docGrid w:type="lines" w:linePitch="312" w:charSpace="0"/>
        </w:sectPr>
      </w:pPr>
      <w:r>
        <w:br w:type="textWrapping"/>
      </w: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08" w:name="_Toc13519"/>
      <w:r>
        <w:rPr>
          <w:rFonts w:hint="eastAsia" w:asciiTheme="minorEastAsia" w:hAnsiTheme="minorEastAsia" w:eastAsiaTheme="minorEastAsia" w:cstheme="minorEastAsia"/>
          <w:b/>
          <w:szCs w:val="21"/>
        </w:rPr>
        <w:t>四、评定办法</w:t>
      </w:r>
      <w:bookmarkEnd w:id="108"/>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
    <w:p/>
    <w:p/>
    <w:p>
      <w:pPr>
        <w:spacing w:line="360" w:lineRule="auto"/>
        <w:outlineLvl w:val="1"/>
        <w:rPr>
          <w:rFonts w:asciiTheme="minorEastAsia" w:hAnsiTheme="minorEastAsia" w:eastAsiaTheme="minorEastAsia" w:cstheme="minorEastAsia"/>
          <w:b/>
          <w:szCs w:val="21"/>
        </w:rPr>
      </w:pPr>
      <w:bookmarkStart w:id="109" w:name="_Toc31020"/>
      <w:r>
        <w:rPr>
          <w:rFonts w:hint="eastAsia" w:asciiTheme="minorEastAsia" w:hAnsiTheme="minorEastAsia" w:eastAsiaTheme="minorEastAsia" w:cstheme="minorEastAsia"/>
          <w:b/>
          <w:szCs w:val="21"/>
        </w:rPr>
        <w:t>五、磋商及评审步骤</w:t>
      </w:r>
      <w:bookmarkEnd w:id="109"/>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1.验证委托代理人身份、响应文件密封检查</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2.资格和符合性审查</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br w:type="textWrapping"/>
      </w:r>
    </w:p>
    <w:p>
      <w:pPr>
        <w:spacing w:line="360" w:lineRule="auto"/>
        <w:ind w:left="420" w:leftChars="200"/>
        <w:rPr>
          <w:rFonts w:asciiTheme="minorEastAsia" w:hAnsiTheme="minorEastAsia" w:eastAsiaTheme="minorEastAsia" w:cstheme="minorEastAsia"/>
          <w:szCs w:val="28"/>
        </w:rPr>
      </w:pPr>
    </w:p>
    <w:p>
      <w:pPr>
        <w:spacing w:line="360" w:lineRule="auto"/>
        <w:ind w:left="420" w:leftChars="200"/>
        <w:rPr>
          <w:rFonts w:asciiTheme="minorEastAsia" w:hAnsiTheme="minorEastAsia" w:eastAsiaTheme="minorEastAsia" w:cstheme="minorEastAsia"/>
          <w:szCs w:val="28"/>
        </w:rPr>
      </w:pPr>
    </w:p>
    <w:p>
      <w:pPr>
        <w:pStyle w:val="3"/>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10" w:name="_Toc318643471"/>
      <w:bookmarkStart w:id="111" w:name="_Toc211783328"/>
    </w:p>
    <w:bookmarkEnd w:id="110"/>
    <w:bookmarkEnd w:id="111"/>
    <w:p>
      <w:pPr>
        <w:jc w:val="center"/>
        <w:outlineLvl w:val="0"/>
        <w:rPr>
          <w:rFonts w:ascii="宋体" w:hAnsi="宋体" w:cs="宋体"/>
          <w:b/>
          <w:sz w:val="36"/>
          <w:szCs w:val="36"/>
        </w:rPr>
      </w:pPr>
      <w:bookmarkStart w:id="112" w:name="_Toc14869"/>
      <w:r>
        <w:rPr>
          <w:rFonts w:hint="eastAsia" w:ascii="宋体" w:hAnsi="宋体" w:cs="宋体"/>
          <w:b/>
          <w:sz w:val="36"/>
          <w:szCs w:val="36"/>
        </w:rPr>
        <w:t>第五章 合同书格式</w:t>
      </w:r>
      <w:bookmarkEnd w:id="112"/>
    </w:p>
    <w:p>
      <w:pPr>
        <w:spacing w:line="360" w:lineRule="auto"/>
        <w:rPr>
          <w:rFonts w:ascii="宋体" w:hAnsi="宋体" w:cs="宋体"/>
          <w:sz w:val="24"/>
        </w:rPr>
      </w:pPr>
      <w:r>
        <w:rPr>
          <w:rFonts w:hint="eastAsia" w:ascii="宋体" w:hAnsi="宋体" w:cs="宋体"/>
          <w:sz w:val="24"/>
        </w:rPr>
        <w:t>合同号：</w:t>
      </w:r>
    </w:p>
    <w:p>
      <w:pPr>
        <w:spacing w:line="360" w:lineRule="auto"/>
        <w:rPr>
          <w:rFonts w:ascii="宋体" w:hAnsi="宋体" w:cs="宋体"/>
          <w:sz w:val="24"/>
        </w:rPr>
      </w:pPr>
      <w:r>
        <w:rPr>
          <w:rFonts w:hint="eastAsia" w:ascii="宋体" w:hAnsi="宋体" w:cs="宋体"/>
          <w:sz w:val="24"/>
        </w:rPr>
        <w:t>项目编号：</w:t>
      </w:r>
    </w:p>
    <w:p>
      <w:pPr>
        <w:spacing w:line="360" w:lineRule="auto"/>
        <w:rPr>
          <w:rFonts w:ascii="宋体" w:hAnsi="宋体" w:cs="宋体"/>
          <w:sz w:val="24"/>
          <w:u w:val="single"/>
        </w:rPr>
      </w:pPr>
      <w:r>
        <w:rPr>
          <w:rFonts w:hint="eastAsia" w:ascii="宋体" w:hAnsi="宋体" w:cs="宋体"/>
          <w:sz w:val="24"/>
        </w:rPr>
        <w:t xml:space="preserve">项目名称：                                                                                            </w:t>
      </w:r>
    </w:p>
    <w:p>
      <w:pPr>
        <w:spacing w:line="360" w:lineRule="auto"/>
        <w:ind w:firstLine="4080" w:firstLineChars="1700"/>
        <w:rPr>
          <w:rFonts w:ascii="宋体" w:hAnsi="宋体" w:cs="宋体"/>
          <w:sz w:val="24"/>
          <w:u w:val="single"/>
        </w:rPr>
      </w:pPr>
    </w:p>
    <w:p>
      <w:pPr>
        <w:spacing w:line="360" w:lineRule="auto"/>
        <w:rPr>
          <w:rFonts w:ascii="宋体" w:hAnsi="宋体" w:cs="宋体"/>
          <w:b/>
          <w:sz w:val="24"/>
        </w:rPr>
      </w:pPr>
      <w:r>
        <w:rPr>
          <w:rFonts w:hint="eastAsia" w:ascii="宋体" w:hAnsi="宋体" w:cs="宋体"/>
          <w:b/>
          <w:sz w:val="24"/>
        </w:rPr>
        <w:t>购货单位：</w:t>
      </w:r>
      <w:r>
        <w:rPr>
          <w:rFonts w:hint="eastAsia" w:ascii="宋体" w:hAnsi="宋体" w:cs="宋体"/>
          <w:b/>
          <w:sz w:val="24"/>
          <w:u w:val="single"/>
        </w:rPr>
        <w:t>湖北工业大学</w:t>
      </w:r>
      <w:r>
        <w:rPr>
          <w:rFonts w:hint="eastAsia" w:ascii="宋体" w:hAnsi="宋体" w:cs="宋体"/>
          <w:b/>
          <w:sz w:val="24"/>
        </w:rPr>
        <w:t>（以下简称甲方）</w:t>
      </w:r>
    </w:p>
    <w:p>
      <w:pPr>
        <w:spacing w:line="360" w:lineRule="auto"/>
        <w:rPr>
          <w:rFonts w:ascii="宋体" w:hAnsi="宋体" w:cs="宋体"/>
          <w:b/>
          <w:sz w:val="24"/>
        </w:rPr>
      </w:pPr>
      <w:r>
        <w:rPr>
          <w:rFonts w:hint="eastAsia" w:ascii="宋体" w:hAnsi="宋体" w:cs="宋体"/>
          <w:b/>
          <w:sz w:val="24"/>
        </w:rPr>
        <w:t>住所：武汉市洪山区南李路28号</w:t>
      </w:r>
    </w:p>
    <w:p>
      <w:pPr>
        <w:spacing w:line="360" w:lineRule="auto"/>
        <w:rPr>
          <w:rFonts w:ascii="宋体" w:hAnsi="宋体" w:cs="宋体"/>
          <w:b/>
          <w:sz w:val="24"/>
        </w:rPr>
      </w:pPr>
      <w:r>
        <w:rPr>
          <w:rFonts w:hint="eastAsia" w:ascii="宋体" w:hAnsi="宋体" w:cs="宋体"/>
          <w:b/>
          <w:sz w:val="24"/>
        </w:rPr>
        <w:t>法定代表人：冯征</w:t>
      </w:r>
    </w:p>
    <w:p>
      <w:pPr>
        <w:spacing w:line="360" w:lineRule="auto"/>
        <w:rPr>
          <w:rFonts w:ascii="宋体" w:hAnsi="宋体" w:cs="宋体"/>
          <w:b/>
          <w:sz w:val="24"/>
        </w:rPr>
      </w:pPr>
    </w:p>
    <w:p>
      <w:pPr>
        <w:spacing w:line="360" w:lineRule="auto"/>
        <w:rPr>
          <w:rFonts w:ascii="宋体" w:hAnsi="宋体" w:cs="宋体"/>
          <w:b/>
          <w:sz w:val="24"/>
        </w:rPr>
      </w:pPr>
      <w:r>
        <w:rPr>
          <w:rFonts w:hint="eastAsia" w:ascii="宋体" w:hAnsi="宋体" w:cs="宋体"/>
          <w:b/>
          <w:sz w:val="24"/>
        </w:rPr>
        <w:t>供货单位：</w:t>
      </w:r>
      <w:r>
        <w:rPr>
          <w:rFonts w:hint="eastAsia" w:ascii="宋体" w:hAnsi="宋体" w:cs="宋体"/>
          <w:b/>
          <w:sz w:val="24"/>
          <w:u w:val="single"/>
        </w:rPr>
        <w:t xml:space="preserve">               </w:t>
      </w:r>
      <w:r>
        <w:rPr>
          <w:rFonts w:hint="eastAsia" w:ascii="宋体" w:hAnsi="宋体" w:cs="宋体"/>
          <w:b/>
          <w:sz w:val="24"/>
        </w:rPr>
        <w:t>（以下简称乙方）</w:t>
      </w:r>
    </w:p>
    <w:p>
      <w:pPr>
        <w:spacing w:line="360" w:lineRule="auto"/>
        <w:rPr>
          <w:rFonts w:ascii="宋体" w:hAnsi="宋体" w:cs="宋体"/>
          <w:b/>
          <w:sz w:val="24"/>
        </w:rPr>
      </w:pPr>
      <w:r>
        <w:rPr>
          <w:rFonts w:hint="eastAsia" w:ascii="宋体" w:hAnsi="宋体" w:cs="宋体"/>
          <w:b/>
          <w:sz w:val="24"/>
        </w:rPr>
        <w:t>企业类型：（</w:t>
      </w:r>
      <w:r>
        <w:rPr>
          <w:rFonts w:hint="eastAsia" w:ascii="宋体" w:hAnsi="宋体" w:cs="宋体"/>
          <w:b/>
          <w:sz w:val="24"/>
        </w:rPr>
        <w:sym w:font="Wingdings 2" w:char="00A3"/>
      </w:r>
      <w:r>
        <w:rPr>
          <w:rFonts w:hint="eastAsia" w:ascii="宋体" w:hAnsi="宋体" w:cs="宋体"/>
          <w:b/>
          <w:sz w:val="24"/>
        </w:rPr>
        <w:t>大型、</w:t>
      </w:r>
      <w:r>
        <w:rPr>
          <w:rFonts w:hint="eastAsia" w:ascii="宋体" w:hAnsi="宋体" w:cs="宋体"/>
          <w:b/>
          <w:sz w:val="24"/>
        </w:rPr>
        <w:sym w:font="Wingdings 2" w:char="00A3"/>
      </w:r>
      <w:r>
        <w:rPr>
          <w:rFonts w:hint="eastAsia" w:ascii="宋体" w:hAnsi="宋体" w:cs="宋体"/>
          <w:b/>
          <w:sz w:val="24"/>
        </w:rPr>
        <w:t>中型、</w:t>
      </w:r>
      <w:r>
        <w:rPr>
          <w:rFonts w:hint="eastAsia" w:ascii="宋体" w:hAnsi="宋体" w:cs="宋体"/>
          <w:b/>
          <w:sz w:val="24"/>
        </w:rPr>
        <w:sym w:font="Wingdings 2" w:char="00A3"/>
      </w:r>
      <w:r>
        <w:rPr>
          <w:rFonts w:hint="eastAsia" w:ascii="宋体" w:hAnsi="宋体" w:cs="宋体"/>
          <w:b/>
          <w:sz w:val="24"/>
        </w:rPr>
        <w:t>小型、</w:t>
      </w:r>
      <w:r>
        <w:rPr>
          <w:rFonts w:hint="eastAsia" w:ascii="宋体" w:hAnsi="宋体" w:cs="宋体"/>
          <w:b/>
          <w:sz w:val="24"/>
        </w:rPr>
        <w:sym w:font="Wingdings 2" w:char="00A3"/>
      </w:r>
      <w:r>
        <w:rPr>
          <w:rFonts w:hint="eastAsia" w:ascii="宋体" w:hAnsi="宋体" w:cs="宋体"/>
          <w:b/>
          <w:sz w:val="24"/>
        </w:rPr>
        <w:t>微型）</w:t>
      </w:r>
    </w:p>
    <w:p>
      <w:pPr>
        <w:spacing w:line="360" w:lineRule="auto"/>
        <w:rPr>
          <w:rFonts w:ascii="宋体" w:hAnsi="宋体" w:cs="宋体"/>
          <w:b/>
          <w:sz w:val="24"/>
        </w:rPr>
      </w:pPr>
      <w:r>
        <w:rPr>
          <w:rFonts w:hint="eastAsia" w:ascii="宋体" w:hAnsi="宋体" w:cs="宋体"/>
          <w:b/>
          <w:sz w:val="24"/>
        </w:rPr>
        <w:t>住所：</w:t>
      </w:r>
    </w:p>
    <w:p>
      <w:pPr>
        <w:spacing w:line="360" w:lineRule="auto"/>
        <w:rPr>
          <w:rFonts w:ascii="宋体" w:hAnsi="宋体" w:cs="宋体"/>
          <w:b/>
          <w:sz w:val="24"/>
        </w:rPr>
      </w:pPr>
      <w:r>
        <w:rPr>
          <w:rFonts w:hint="eastAsia" w:ascii="宋体" w:hAnsi="宋体" w:cs="宋体"/>
          <w:b/>
          <w:sz w:val="24"/>
        </w:rPr>
        <w:t>法定代表人：</w:t>
      </w:r>
    </w:p>
    <w:p>
      <w:pPr>
        <w:spacing w:line="360" w:lineRule="auto"/>
        <w:rPr>
          <w:rFonts w:ascii="宋体" w:hAnsi="宋体" w:cs="宋体"/>
          <w:b/>
          <w:sz w:val="24"/>
        </w:rPr>
      </w:pPr>
    </w:p>
    <w:p>
      <w:pPr>
        <w:spacing w:line="360" w:lineRule="auto"/>
        <w:ind w:firstLine="480" w:firstLineChars="200"/>
        <w:rPr>
          <w:rFonts w:ascii="宋体" w:hAnsi="宋体" w:cs="宋体"/>
          <w:sz w:val="24"/>
        </w:rPr>
      </w:pPr>
      <w:r>
        <w:rPr>
          <w:rFonts w:hint="eastAsia" w:ascii="宋体" w:hAnsi="宋体" w:cs="宋体"/>
          <w:sz w:val="24"/>
        </w:rPr>
        <w:t>甲乙双方根据《中华人民共和国民</w:t>
      </w:r>
      <w:r>
        <w:rPr>
          <w:rFonts w:ascii="宋体" w:hAnsi="宋体" w:cs="宋体"/>
          <w:sz w:val="24"/>
        </w:rPr>
        <w:t>法典</w:t>
      </w:r>
      <w:r>
        <w:rPr>
          <w:rFonts w:hint="eastAsia" w:ascii="宋体" w:hAnsi="宋体" w:cs="宋体"/>
          <w:sz w:val="24"/>
        </w:rPr>
        <w:t>》相关规定，为增强双方的责任，经甲乙双方协商一致，特订立本合同，以资甲乙双方共同遵守。</w:t>
      </w:r>
    </w:p>
    <w:p>
      <w:pPr>
        <w:spacing w:line="360" w:lineRule="auto"/>
        <w:ind w:firstLine="482" w:firstLineChars="200"/>
        <w:rPr>
          <w:rFonts w:ascii="宋体" w:hAnsi="宋体" w:cs="宋体"/>
          <w:b/>
          <w:bCs/>
          <w:sz w:val="24"/>
        </w:rPr>
      </w:pPr>
      <w:r>
        <w:rPr>
          <w:rFonts w:hint="eastAsia" w:ascii="宋体" w:hAnsi="宋体" w:cs="宋体"/>
          <w:b/>
          <w:sz w:val="24"/>
        </w:rPr>
        <w:t>一、货物名称、规格、配置、数量及价格如下</w:t>
      </w:r>
      <w:r>
        <w:rPr>
          <w:rFonts w:hint="eastAsia" w:ascii="宋体" w:hAnsi="宋体" w:cs="宋体"/>
          <w:b/>
          <w:bCs/>
          <w:sz w:val="24"/>
        </w:rPr>
        <w:t>:</w:t>
      </w:r>
    </w:p>
    <w:tbl>
      <w:tblPr>
        <w:tblStyle w:val="26"/>
        <w:tblW w:w="9581"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p>
        </w:tc>
        <w:tc>
          <w:tcPr>
            <w:tcW w:w="1369"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r>
              <w:rPr>
                <w:rFonts w:hint="eastAsia" w:ascii="宋体" w:hAnsi="宋体" w:cs="宋体"/>
                <w:b/>
                <w:sz w:val="24"/>
              </w:rPr>
              <w:t>货物</w:t>
            </w:r>
            <w:r>
              <w:rPr>
                <w:rFonts w:hint="eastAsia" w:ascii="宋体" w:hAnsi="宋体" w:cs="宋体"/>
                <w:b/>
                <w:bCs/>
                <w:snapToGrid w:val="0"/>
                <w:kern w:val="0"/>
                <w:sz w:val="24"/>
              </w:rPr>
              <w:t>名称</w:t>
            </w: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品牌</w:t>
            </w: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型号</w:t>
            </w:r>
          </w:p>
        </w:tc>
        <w:tc>
          <w:tcPr>
            <w:tcW w:w="270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数量</w:t>
            </w:r>
          </w:p>
        </w:tc>
        <w:tc>
          <w:tcPr>
            <w:tcW w:w="1301"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单价（元）</w:t>
            </w:r>
          </w:p>
        </w:tc>
        <w:tc>
          <w:tcPr>
            <w:tcW w:w="144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adjustRightInd w:val="0"/>
              <w:snapToGrid w:val="0"/>
              <w:spacing w:line="360" w:lineRule="auto"/>
              <w:jc w:val="center"/>
              <w:rPr>
                <w:rFonts w:ascii="宋体" w:hAnsi="宋体" w:cs="宋体"/>
                <w:snapToGrid w:val="0"/>
                <w:kern w:val="0"/>
                <w:sz w:val="24"/>
              </w:rPr>
            </w:pPr>
          </w:p>
        </w:tc>
        <w:tc>
          <w:tcPr>
            <w:tcW w:w="1369" w:type="dxa"/>
            <w:vAlign w:val="center"/>
          </w:tcPr>
          <w:p>
            <w:pPr>
              <w:adjustRightInd w:val="0"/>
              <w:snapToGrid w:val="0"/>
              <w:spacing w:line="360" w:lineRule="auto"/>
              <w:jc w:val="center"/>
              <w:rPr>
                <w:rFonts w:ascii="宋体" w:hAnsi="宋体" w:cs="宋体"/>
                <w:snapToGrid w:val="0"/>
                <w:kern w:val="0"/>
                <w:sz w:val="24"/>
              </w:rPr>
            </w:pPr>
          </w:p>
        </w:tc>
        <w:tc>
          <w:tcPr>
            <w:tcW w:w="806" w:type="dxa"/>
            <w:vAlign w:val="center"/>
          </w:tcPr>
          <w:p>
            <w:pPr>
              <w:adjustRightInd w:val="0"/>
              <w:snapToGrid w:val="0"/>
              <w:spacing w:line="360" w:lineRule="auto"/>
              <w:jc w:val="center"/>
              <w:rPr>
                <w:rFonts w:ascii="宋体" w:hAnsi="宋体" w:cs="宋体"/>
                <w:snapToGrid w:val="0"/>
                <w:kern w:val="0"/>
                <w:sz w:val="24"/>
              </w:rPr>
            </w:pPr>
          </w:p>
        </w:tc>
        <w:tc>
          <w:tcPr>
            <w:tcW w:w="705" w:type="dxa"/>
            <w:vAlign w:val="center"/>
          </w:tcPr>
          <w:p>
            <w:pPr>
              <w:adjustRightInd w:val="0"/>
              <w:snapToGrid w:val="0"/>
              <w:spacing w:line="360" w:lineRule="auto"/>
              <w:jc w:val="center"/>
              <w:rPr>
                <w:rFonts w:ascii="宋体" w:hAnsi="宋体" w:cs="宋体"/>
                <w:snapToGrid w:val="0"/>
                <w:kern w:val="0"/>
                <w:sz w:val="24"/>
              </w:rPr>
            </w:pPr>
          </w:p>
        </w:tc>
        <w:tc>
          <w:tcPr>
            <w:tcW w:w="2700" w:type="dxa"/>
            <w:vAlign w:val="center"/>
          </w:tcPr>
          <w:p>
            <w:pPr>
              <w:adjustRightInd w:val="0"/>
              <w:snapToGrid w:val="0"/>
              <w:spacing w:line="360" w:lineRule="auto"/>
              <w:rPr>
                <w:rFonts w:ascii="宋体" w:hAnsi="宋体" w:cs="宋体"/>
                <w:snapToGrid w:val="0"/>
                <w:kern w:val="0"/>
                <w:sz w:val="24"/>
              </w:rPr>
            </w:pPr>
          </w:p>
        </w:tc>
        <w:tc>
          <w:tcPr>
            <w:tcW w:w="720" w:type="dxa"/>
            <w:vAlign w:val="center"/>
          </w:tcPr>
          <w:p>
            <w:pPr>
              <w:adjustRightInd w:val="0"/>
              <w:snapToGrid w:val="0"/>
              <w:spacing w:line="360" w:lineRule="auto"/>
              <w:jc w:val="center"/>
              <w:rPr>
                <w:rFonts w:ascii="宋体" w:hAnsi="宋体" w:cs="宋体"/>
                <w:snapToGrid w:val="0"/>
                <w:kern w:val="0"/>
                <w:sz w:val="24"/>
              </w:rPr>
            </w:pPr>
          </w:p>
        </w:tc>
        <w:tc>
          <w:tcPr>
            <w:tcW w:w="1301" w:type="dxa"/>
            <w:vAlign w:val="center"/>
          </w:tcPr>
          <w:p>
            <w:pPr>
              <w:adjustRightInd w:val="0"/>
              <w:snapToGrid w:val="0"/>
              <w:spacing w:line="360" w:lineRule="auto"/>
              <w:rPr>
                <w:rFonts w:ascii="宋体" w:hAnsi="宋体" w:cs="宋体"/>
                <w:snapToGrid w:val="0"/>
                <w:kern w:val="0"/>
                <w:sz w:val="24"/>
              </w:rPr>
            </w:pPr>
          </w:p>
        </w:tc>
        <w:tc>
          <w:tcPr>
            <w:tcW w:w="1440" w:type="dxa"/>
            <w:vAlign w:val="center"/>
          </w:tcPr>
          <w:p>
            <w:pPr>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81" w:type="dxa"/>
            <w:gridSpan w:val="8"/>
            <w:vAlign w:val="center"/>
          </w:tcPr>
          <w:p>
            <w:pPr>
              <w:kinsoku w:val="0"/>
              <w:overflowPunct w:val="0"/>
              <w:autoSpaceDE w:val="0"/>
              <w:autoSpaceDN w:val="0"/>
              <w:adjustRightInd w:val="0"/>
              <w:snapToGrid w:val="0"/>
              <w:spacing w:line="360" w:lineRule="auto"/>
              <w:rPr>
                <w:rFonts w:ascii="宋体" w:hAnsi="宋体" w:cs="宋体"/>
                <w:b/>
                <w:kern w:val="0"/>
                <w:sz w:val="24"/>
              </w:rPr>
            </w:pPr>
            <w:r>
              <w:rPr>
                <w:rFonts w:hint="eastAsia" w:ascii="宋体" w:hAnsi="宋体" w:cs="宋体"/>
                <w:snapToGrid w:val="0"/>
                <w:kern w:val="0"/>
                <w:sz w:val="24"/>
              </w:rPr>
              <w:t>合计</w:t>
            </w:r>
            <w:r>
              <w:rPr>
                <w:rFonts w:hint="eastAsia" w:ascii="宋体" w:hAnsi="宋体" w:cs="宋体"/>
                <w:b/>
                <w:sz w:val="24"/>
              </w:rPr>
              <w:t xml:space="preserve">（人民币）:          </w:t>
            </w:r>
            <w:r>
              <w:rPr>
                <w:rFonts w:hint="eastAsia" w:ascii="宋体" w:hAnsi="宋体" w:cs="宋体"/>
                <w:b/>
                <w:kern w:val="0"/>
                <w:sz w:val="24"/>
              </w:rPr>
              <w:t>元整（￥：    元）</w:t>
            </w:r>
          </w:p>
        </w:tc>
      </w:tr>
    </w:tbl>
    <w:p>
      <w:pPr>
        <w:spacing w:line="360" w:lineRule="auto"/>
        <w:ind w:left="359" w:leftChars="171"/>
        <w:rPr>
          <w:rFonts w:ascii="宋体" w:hAnsi="宋体" w:cs="宋体"/>
          <w:b/>
          <w:sz w:val="24"/>
        </w:rPr>
      </w:pPr>
      <w:r>
        <w:rPr>
          <w:rFonts w:hint="eastAsia" w:ascii="宋体" w:hAnsi="宋体" w:cs="宋体"/>
          <w:b/>
          <w:sz w:val="24"/>
        </w:rPr>
        <w:t>技术负责人（签字）：</w:t>
      </w:r>
      <w:r>
        <w:rPr>
          <w:rFonts w:hint="eastAsia" w:ascii="宋体" w:hAnsi="宋体" w:cs="宋体"/>
          <w:b/>
          <w:sz w:val="24"/>
          <w:u w:val="single"/>
        </w:rPr>
        <w:t xml:space="preserve">               </w:t>
      </w:r>
      <w:r>
        <w:rPr>
          <w:rFonts w:hint="eastAsia" w:ascii="宋体" w:hAnsi="宋体" w:cs="宋体"/>
          <w:b/>
          <w:sz w:val="24"/>
        </w:rPr>
        <w:t xml:space="preserve">      部门负责人（签字）：</w:t>
      </w:r>
      <w:r>
        <w:rPr>
          <w:rFonts w:hint="eastAsia" w:ascii="宋体" w:hAnsi="宋体" w:cs="宋体"/>
          <w:b/>
          <w:sz w:val="24"/>
          <w:u w:val="single"/>
        </w:rPr>
        <w:t xml:space="preserve">                 </w:t>
      </w:r>
    </w:p>
    <w:p>
      <w:pPr>
        <w:spacing w:line="360" w:lineRule="auto"/>
        <w:ind w:firstLine="482" w:firstLineChars="200"/>
        <w:rPr>
          <w:rFonts w:ascii="宋体" w:hAnsi="宋体" w:cs="宋体"/>
          <w:sz w:val="24"/>
        </w:rPr>
      </w:pPr>
      <w:r>
        <w:rPr>
          <w:rFonts w:hint="eastAsia" w:ascii="宋体" w:hAnsi="宋体" w:cs="宋体"/>
          <w:b/>
          <w:sz w:val="24"/>
        </w:rPr>
        <w:t xml:space="preserve">二、合同总金额（人民币）:          </w:t>
      </w:r>
      <w:r>
        <w:rPr>
          <w:rFonts w:hint="eastAsia" w:ascii="宋体" w:hAnsi="宋体" w:cs="宋体"/>
          <w:b/>
          <w:kern w:val="0"/>
          <w:sz w:val="24"/>
        </w:rPr>
        <w:t>元整（￥：  元）</w:t>
      </w:r>
      <w:r>
        <w:rPr>
          <w:rFonts w:hint="eastAsia" w:ascii="宋体" w:hAnsi="宋体" w:cs="宋体"/>
          <w:b/>
          <w:sz w:val="24"/>
        </w:rPr>
        <w:t>。含增值税、运费、安装调试费等，甲方无需支付其他费用。</w:t>
      </w:r>
    </w:p>
    <w:p>
      <w:pPr>
        <w:spacing w:line="360" w:lineRule="auto"/>
        <w:ind w:firstLine="482" w:firstLineChars="200"/>
        <w:rPr>
          <w:rFonts w:ascii="宋体" w:hAnsi="宋体" w:cs="宋体"/>
          <w:b/>
          <w:sz w:val="24"/>
        </w:rPr>
      </w:pPr>
      <w:r>
        <w:rPr>
          <w:rFonts w:hint="eastAsia" w:ascii="宋体" w:hAnsi="宋体" w:cs="宋体"/>
          <w:b/>
          <w:sz w:val="24"/>
        </w:rPr>
        <w:t>三、交货：</w:t>
      </w:r>
    </w:p>
    <w:p>
      <w:pPr>
        <w:spacing w:line="360" w:lineRule="auto"/>
        <w:ind w:left="360" w:firstLine="480" w:firstLineChars="200"/>
        <w:rPr>
          <w:rFonts w:ascii="宋体" w:hAnsi="宋体" w:cs="宋体"/>
          <w:sz w:val="24"/>
        </w:rPr>
      </w:pPr>
      <w:r>
        <w:rPr>
          <w:rFonts w:hint="eastAsia" w:ascii="宋体" w:hAnsi="宋体" w:cs="宋体"/>
          <w:sz w:val="24"/>
        </w:rPr>
        <w:t>1.交货时间：乙方应在20  年 月  日前完成全部货物（含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）的安装调试工作。</w:t>
      </w:r>
    </w:p>
    <w:p>
      <w:pPr>
        <w:spacing w:line="360" w:lineRule="auto"/>
        <w:ind w:left="360" w:firstLine="480" w:firstLineChars="200"/>
        <w:rPr>
          <w:rFonts w:ascii="宋体" w:hAnsi="宋体" w:cs="宋体"/>
          <w:sz w:val="24"/>
        </w:rPr>
      </w:pPr>
      <w:r>
        <w:rPr>
          <w:rFonts w:hint="eastAsia" w:ascii="宋体" w:hAnsi="宋体" w:cs="宋体"/>
          <w:sz w:val="24"/>
        </w:rPr>
        <w:t>2.交货地点：甲方指定地点。</w:t>
      </w:r>
    </w:p>
    <w:p>
      <w:pPr>
        <w:spacing w:line="360" w:lineRule="auto"/>
        <w:ind w:left="359" w:leftChars="171" w:firstLine="480" w:firstLineChars="200"/>
        <w:rPr>
          <w:rFonts w:ascii="宋体" w:hAnsi="宋体" w:cs="宋体"/>
          <w:sz w:val="24"/>
        </w:rPr>
      </w:pPr>
      <w:r>
        <w:rPr>
          <w:rFonts w:hint="eastAsia" w:ascii="宋体" w:hAnsi="宋体" w:cs="宋体"/>
          <w:sz w:val="24"/>
        </w:rPr>
        <w:t>3.交货方式：乙方负责安排运输到甲方指定地点。</w:t>
      </w:r>
      <w:r>
        <w:rPr>
          <w:rFonts w:hint="eastAsia" w:ascii="宋体" w:hAnsi="宋体" w:cs="宋体"/>
          <w:bCs/>
          <w:sz w:val="24"/>
        </w:rPr>
        <w:t>乙方承担</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交付甲方前的一切费用及风险（本条款所指交付是乙方将货物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运送至甲方指定地点，并经甲方验收合格并出具验收合格证明后视为交付）。</w:t>
      </w:r>
    </w:p>
    <w:p>
      <w:pPr>
        <w:spacing w:line="360" w:lineRule="auto"/>
        <w:ind w:firstLine="720" w:firstLineChars="300"/>
        <w:rPr>
          <w:rFonts w:ascii="宋体" w:hAnsi="宋体" w:cs="宋体"/>
          <w:sz w:val="24"/>
        </w:rPr>
      </w:pPr>
      <w:r>
        <w:rPr>
          <w:rFonts w:hint="eastAsia" w:ascii="宋体" w:hAnsi="宋体" w:cs="宋体"/>
          <w:sz w:val="24"/>
        </w:rPr>
        <w:t>4.乙方所提供货物（含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）必须为全新无瑕疵。</w:t>
      </w:r>
    </w:p>
    <w:p>
      <w:pPr>
        <w:spacing w:line="360" w:lineRule="auto"/>
        <w:ind w:firstLine="720" w:firstLineChars="300"/>
        <w:rPr>
          <w:rFonts w:ascii="宋体" w:hAnsi="宋体" w:cs="宋体"/>
          <w:sz w:val="24"/>
        </w:rPr>
      </w:pPr>
      <w:r>
        <w:rPr>
          <w:rFonts w:hint="eastAsia" w:ascii="宋体" w:hAnsi="宋体" w:cs="宋体"/>
          <w:sz w:val="24"/>
        </w:rPr>
        <w:t>5.交货时，乙方应将货物（含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）的产品说明书、使用说明书，出厂合格证、用户手册、保修手册等单证交付给甲方，前述单证未交付完整的，视为未完全交货。</w:t>
      </w:r>
    </w:p>
    <w:p>
      <w:pPr>
        <w:spacing w:line="360" w:lineRule="auto"/>
        <w:ind w:firstLine="720" w:firstLineChars="300"/>
        <w:rPr>
          <w:rFonts w:ascii="宋体" w:hAnsi="宋体" w:cs="宋体"/>
          <w:sz w:val="24"/>
        </w:rPr>
      </w:pPr>
      <w:r>
        <w:rPr>
          <w:rFonts w:hint="eastAsia" w:ascii="宋体" w:hAnsi="宋体" w:cs="宋体"/>
          <w:sz w:val="24"/>
        </w:rPr>
        <w:t>6.如果乙</w:t>
      </w:r>
      <w:r>
        <w:rPr>
          <w:rFonts w:ascii="宋体" w:hAnsi="宋体" w:cs="宋体"/>
          <w:sz w:val="24"/>
        </w:rPr>
        <w:t>方提供</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）属于国</w:t>
      </w:r>
      <w:r>
        <w:rPr>
          <w:rFonts w:ascii="宋体" w:hAnsi="宋体" w:cs="宋体"/>
          <w:sz w:val="24"/>
        </w:rPr>
        <w:t>家</w:t>
      </w:r>
      <w:r>
        <w:rPr>
          <w:rFonts w:hint="eastAsia" w:ascii="宋体" w:hAnsi="宋体" w:cs="宋体"/>
          <w:sz w:val="24"/>
        </w:rPr>
        <w:t>或</w:t>
      </w:r>
      <w:r>
        <w:rPr>
          <w:rFonts w:ascii="宋体" w:hAnsi="宋体" w:cs="宋体"/>
          <w:sz w:val="24"/>
        </w:rPr>
        <w:t>上级部门</w:t>
      </w:r>
      <w:r>
        <w:rPr>
          <w:rFonts w:hint="eastAsia" w:ascii="宋体" w:hAnsi="宋体" w:cs="宋体"/>
          <w:sz w:val="24"/>
        </w:rPr>
        <w:t>相</w:t>
      </w:r>
      <w:r>
        <w:rPr>
          <w:rFonts w:ascii="宋体" w:hAnsi="宋体" w:cs="宋体"/>
          <w:sz w:val="24"/>
        </w:rPr>
        <w:t>关法律法规管制</w:t>
      </w:r>
      <w:r>
        <w:rPr>
          <w:rFonts w:hint="eastAsia" w:ascii="宋体" w:hAnsi="宋体" w:cs="宋体"/>
          <w:sz w:val="24"/>
        </w:rPr>
        <w:t>的，则乙方应当提供相关证明并协助甲方办理相关手续。</w:t>
      </w:r>
    </w:p>
    <w:p>
      <w:pPr>
        <w:spacing w:line="360" w:lineRule="auto"/>
        <w:ind w:firstLine="482" w:firstLineChars="200"/>
        <w:rPr>
          <w:rFonts w:ascii="宋体" w:hAnsi="宋体" w:cs="宋体"/>
          <w:b/>
          <w:sz w:val="24"/>
        </w:rPr>
      </w:pPr>
      <w:r>
        <w:rPr>
          <w:rFonts w:hint="eastAsia" w:ascii="宋体" w:hAnsi="宋体" w:cs="宋体"/>
          <w:b/>
          <w:sz w:val="24"/>
        </w:rPr>
        <w:t>四、合</w:t>
      </w:r>
      <w:r>
        <w:rPr>
          <w:rFonts w:ascii="宋体" w:hAnsi="宋体" w:cs="宋体"/>
          <w:b/>
          <w:sz w:val="24"/>
        </w:rPr>
        <w:t>同</w:t>
      </w:r>
      <w:r>
        <w:rPr>
          <w:rFonts w:hint="eastAsia" w:ascii="宋体" w:hAnsi="宋体" w:cs="宋体"/>
          <w:b/>
          <w:sz w:val="24"/>
        </w:rPr>
        <w:t>验收</w:t>
      </w:r>
    </w:p>
    <w:p>
      <w:pPr>
        <w:spacing w:line="360" w:lineRule="auto"/>
        <w:ind w:firstLine="723" w:firstLineChars="300"/>
        <w:rPr>
          <w:rFonts w:ascii="宋体" w:hAnsi="宋体" w:cs="宋体"/>
          <w:sz w:val="24"/>
        </w:rPr>
      </w:pPr>
      <w:r>
        <w:rPr>
          <w:rFonts w:hint="eastAsia" w:ascii="宋体" w:hAnsi="宋体" w:cs="宋体"/>
          <w:b/>
          <w:sz w:val="24"/>
        </w:rPr>
        <w:t>1. 验收标准：</w:t>
      </w:r>
      <w:r>
        <w:rPr>
          <w:rFonts w:hint="eastAsia" w:ascii="宋体" w:hAnsi="宋体" w:cs="宋体"/>
          <w:sz w:val="24"/>
        </w:rPr>
        <w:t>本合同相关约定、国家相关规范和标准、招标文件、响应文件及磋商报告相关要求、相关技术文件验收。</w:t>
      </w:r>
    </w:p>
    <w:p>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验</w:t>
      </w:r>
      <w:r>
        <w:rPr>
          <w:rFonts w:ascii="宋体" w:hAnsi="宋体" w:cs="宋体"/>
          <w:sz w:val="24"/>
        </w:rPr>
        <w:t>收方式：合同内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）整</w:t>
      </w:r>
      <w:r>
        <w:rPr>
          <w:rFonts w:ascii="宋体" w:hAnsi="宋体" w:cs="宋体"/>
          <w:sz w:val="24"/>
        </w:rPr>
        <w:t>体验收。</w:t>
      </w:r>
    </w:p>
    <w:p>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w:t>
      </w:r>
      <w:r>
        <w:rPr>
          <w:rFonts w:ascii="宋体" w:hAnsi="宋体" w:cs="宋体"/>
          <w:sz w:val="24"/>
        </w:rPr>
        <w:t>验收</w:t>
      </w:r>
      <w:r>
        <w:rPr>
          <w:rFonts w:hint="eastAsia" w:ascii="宋体" w:hAnsi="宋体" w:cs="宋体"/>
          <w:sz w:val="24"/>
        </w:rPr>
        <w:t>组织</w:t>
      </w:r>
      <w:r>
        <w:rPr>
          <w:rFonts w:ascii="宋体" w:hAnsi="宋体" w:cs="宋体"/>
          <w:sz w:val="24"/>
        </w:rPr>
        <w:t>：</w:t>
      </w:r>
      <w:r>
        <w:rPr>
          <w:rFonts w:hint="eastAsia" w:ascii="宋体" w:hAnsi="宋体" w:cs="宋体"/>
          <w:sz w:val="24"/>
        </w:rPr>
        <w:t>甲方组织技术人员验收。（含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）质量验收合格的，甲方签署验收报告，验收不合格的，甲方向乙方出具书面质量异议意见。 </w:t>
      </w:r>
    </w:p>
    <w:p>
      <w:pPr>
        <w:spacing w:line="360" w:lineRule="auto"/>
        <w:ind w:left="360"/>
        <w:rPr>
          <w:rFonts w:ascii="宋体" w:hAnsi="宋体" w:cs="宋体"/>
          <w:sz w:val="24"/>
        </w:rPr>
      </w:pPr>
      <w:r>
        <w:rPr>
          <w:rFonts w:ascii="宋体" w:hAnsi="宋体" w:cs="宋体"/>
          <w:sz w:val="24"/>
        </w:rPr>
        <w:t>4.</w:t>
      </w:r>
      <w:r>
        <w:rPr>
          <w:rFonts w:hint="eastAsia" w:ascii="宋体" w:hAnsi="宋体" w:cs="宋体"/>
          <w:sz w:val="24"/>
        </w:rPr>
        <w:t>.甲方完成验收并不免除乙方对（含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）质量应当承担的责任。          </w:t>
      </w:r>
    </w:p>
    <w:p>
      <w:pPr>
        <w:spacing w:line="360" w:lineRule="auto"/>
        <w:ind w:firstLine="482" w:firstLineChars="200"/>
        <w:rPr>
          <w:rFonts w:ascii="宋体" w:hAnsi="宋体" w:cs="宋体"/>
          <w:b/>
          <w:sz w:val="24"/>
        </w:rPr>
      </w:pPr>
      <w:r>
        <w:rPr>
          <w:rFonts w:hint="eastAsia" w:ascii="宋体" w:hAnsi="宋体" w:cs="宋体"/>
          <w:b/>
          <w:sz w:val="24"/>
        </w:rPr>
        <w:t>五、付款方式：</w:t>
      </w:r>
    </w:p>
    <w:p>
      <w:pPr>
        <w:spacing w:line="360" w:lineRule="auto"/>
        <w:ind w:left="360" w:firstLine="480" w:firstLineChars="200"/>
        <w:rPr>
          <w:rFonts w:ascii="宋体" w:hAnsi="宋体" w:cs="宋体"/>
          <w:sz w:val="24"/>
        </w:rPr>
      </w:pPr>
      <w:r>
        <w:rPr>
          <w:rFonts w:hint="eastAsia" w:ascii="宋体" w:hAnsi="宋体" w:cs="宋体"/>
          <w:sz w:val="24"/>
        </w:rPr>
        <w:t>1.本合同正式签订前，乙方需向甲方支付合同金额的5%即人民币    元整（小写：￥    元）作为履约保证金（优先以金融机构、担保机构出具的保函或者支票、汇票、本票等非现金形式提交）；</w:t>
      </w:r>
    </w:p>
    <w:p>
      <w:pPr>
        <w:spacing w:line="360" w:lineRule="auto"/>
        <w:ind w:left="360" w:firstLine="480" w:firstLineChars="200"/>
        <w:rPr>
          <w:rFonts w:ascii="宋体" w:hAnsi="宋体" w:cs="宋体"/>
          <w:sz w:val="24"/>
        </w:rPr>
      </w:pPr>
      <w:r>
        <w:rPr>
          <w:rFonts w:hint="eastAsia" w:ascii="宋体" w:hAnsi="宋体" w:cs="宋体"/>
          <w:sz w:val="24"/>
        </w:rPr>
        <w:t>2. 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）经甲方验收合格后十五个工作日内，甲方向乙方支付全额货款即人民币    元整（小写：￥    元），上述履约保证金在</w:t>
      </w:r>
      <w:r>
        <w:rPr>
          <w:rFonts w:hint="eastAsia" w:ascii="宋体" w:hAnsi="宋体" w:cs="宋体"/>
          <w:bCs/>
          <w:sz w:val="24"/>
        </w:rPr>
        <w:t>产品验收合格满</w:t>
      </w:r>
      <w:r>
        <w:rPr>
          <w:rFonts w:hint="eastAsia" w:ascii="宋体" w:hAnsi="宋体" w:cs="宋体"/>
          <w:bCs/>
          <w:sz w:val="24"/>
          <w:u w:val="single"/>
        </w:rPr>
        <w:t xml:space="preserve"> 1 </w:t>
      </w:r>
      <w:r>
        <w:rPr>
          <w:rFonts w:hint="eastAsia" w:ascii="宋体" w:hAnsi="宋体" w:cs="宋体"/>
          <w:sz w:val="24"/>
        </w:rPr>
        <w:t>年后，若无质量问题甲方将全额无息退还给乙方；</w:t>
      </w:r>
    </w:p>
    <w:p>
      <w:pPr>
        <w:spacing w:line="360" w:lineRule="auto"/>
        <w:ind w:left="360" w:firstLine="480" w:firstLineChars="200"/>
        <w:rPr>
          <w:rFonts w:ascii="宋体" w:hAnsi="宋体" w:cs="宋体"/>
          <w:sz w:val="24"/>
        </w:rPr>
      </w:pPr>
      <w:r>
        <w:rPr>
          <w:rFonts w:hint="eastAsia" w:ascii="宋体" w:hAnsi="宋体" w:cs="宋体"/>
          <w:sz w:val="24"/>
        </w:rPr>
        <w:t>３.国产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）须提供增值税专用发票。</w:t>
      </w:r>
    </w:p>
    <w:p>
      <w:pPr>
        <w:spacing w:line="360" w:lineRule="auto"/>
        <w:ind w:firstLine="482" w:firstLineChars="200"/>
        <w:rPr>
          <w:rFonts w:ascii="宋体" w:hAnsi="宋体" w:cs="宋体"/>
          <w:bCs/>
          <w:sz w:val="24"/>
        </w:rPr>
      </w:pPr>
      <w:r>
        <w:rPr>
          <w:rFonts w:hint="eastAsia" w:ascii="宋体" w:hAnsi="宋体" w:cs="宋体"/>
          <w:b/>
          <w:sz w:val="24"/>
        </w:rPr>
        <w:t>六、售后服务</w:t>
      </w:r>
      <w:r>
        <w:rPr>
          <w:rFonts w:hint="eastAsia" w:ascii="宋体" w:hAnsi="宋体" w:cs="宋体"/>
          <w:b/>
          <w:bCs/>
          <w:sz w:val="24"/>
        </w:rPr>
        <w:t xml:space="preserve"> （</w:t>
      </w:r>
      <w:r>
        <w:rPr>
          <w:rFonts w:hint="eastAsia" w:ascii="宋体" w:hAnsi="宋体" w:cs="宋体"/>
          <w:bCs/>
          <w:sz w:val="24"/>
        </w:rPr>
        <w:t>根据具体项目的响应文件填写</w:t>
      </w:r>
      <w:r>
        <w:rPr>
          <w:rFonts w:hint="eastAsia" w:ascii="宋体" w:hAnsi="宋体" w:cs="宋体"/>
          <w:b/>
          <w:bCs/>
          <w:sz w:val="24"/>
        </w:rPr>
        <w:t>）</w:t>
      </w:r>
    </w:p>
    <w:p>
      <w:pPr>
        <w:spacing w:line="360" w:lineRule="auto"/>
        <w:ind w:left="479" w:leftChars="228" w:firstLine="480" w:firstLineChars="200"/>
        <w:rPr>
          <w:rFonts w:ascii="宋体" w:hAnsi="宋体" w:cs="宋体"/>
          <w:bCs/>
          <w:sz w:val="24"/>
        </w:rPr>
      </w:pPr>
      <w:r>
        <w:rPr>
          <w:rFonts w:hint="eastAsia" w:ascii="宋体" w:hAnsi="宋体" w:cs="宋体"/>
          <w:bCs/>
          <w:sz w:val="24"/>
        </w:rPr>
        <w:t>1.</w:t>
      </w:r>
      <w:r>
        <w:rPr>
          <w:rFonts w:ascii="宋体" w:hAnsi="宋体" w:cs="宋体"/>
          <w:sz w:val="24"/>
        </w:rPr>
        <w:t xml:space="preserve"> </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验收合格之日起质保期    年，并提供售后服务    年。</w:t>
      </w:r>
    </w:p>
    <w:p>
      <w:pPr>
        <w:spacing w:line="360" w:lineRule="auto"/>
        <w:ind w:left="479" w:leftChars="228" w:firstLine="480" w:firstLineChars="200"/>
        <w:rPr>
          <w:rFonts w:ascii="宋体" w:hAnsi="宋体" w:cs="宋体"/>
          <w:bCs/>
          <w:sz w:val="24"/>
        </w:rPr>
      </w:pPr>
      <w:r>
        <w:rPr>
          <w:rFonts w:hint="eastAsia" w:ascii="宋体" w:hAnsi="宋体" w:cs="宋体"/>
          <w:bCs/>
          <w:sz w:val="24"/>
        </w:rPr>
        <w:t>2.质保期、保修期内因</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质量或安装调试原因引起的全部维修费用（包括更换零配件的费用）均由乙方承担。</w:t>
      </w:r>
    </w:p>
    <w:p>
      <w:pPr>
        <w:spacing w:line="360" w:lineRule="auto"/>
        <w:ind w:left="479" w:leftChars="228" w:firstLine="480" w:firstLineChars="200"/>
        <w:rPr>
          <w:rFonts w:ascii="宋体" w:hAnsi="宋体" w:cs="宋体"/>
          <w:bCs/>
          <w:sz w:val="24"/>
        </w:rPr>
      </w:pPr>
      <w:r>
        <w:rPr>
          <w:rFonts w:hint="eastAsia" w:ascii="宋体" w:hAnsi="宋体" w:cs="宋体"/>
          <w:bCs/>
          <w:sz w:val="24"/>
        </w:rPr>
        <w:t>3.质保期、保修期外，乙方应定期回访，发现问题及时通知甲方，</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维修零配件以优惠价给甲方（免收人工及差旅费）。</w:t>
      </w:r>
    </w:p>
    <w:p>
      <w:pPr>
        <w:spacing w:line="360" w:lineRule="auto"/>
        <w:ind w:left="479" w:leftChars="228" w:firstLine="480" w:firstLineChars="200"/>
        <w:rPr>
          <w:rFonts w:ascii="宋体" w:hAnsi="宋体" w:cs="宋体"/>
          <w:bCs/>
          <w:sz w:val="24"/>
        </w:rPr>
      </w:pPr>
      <w:r>
        <w:rPr>
          <w:rFonts w:hint="eastAsia" w:ascii="宋体" w:hAnsi="宋体" w:cs="宋体"/>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ascii="宋体" w:hAnsi="宋体" w:cs="宋体"/>
          <w:b/>
          <w:sz w:val="24"/>
        </w:rPr>
      </w:pPr>
      <w:r>
        <w:rPr>
          <w:rFonts w:hint="eastAsia" w:ascii="宋体" w:hAnsi="宋体" w:cs="宋体"/>
          <w:b/>
          <w:sz w:val="24"/>
        </w:rPr>
        <w:t>七、安装调试和搬运安全</w:t>
      </w:r>
    </w:p>
    <w:p>
      <w:pPr>
        <w:spacing w:line="360" w:lineRule="auto"/>
        <w:ind w:left="360" w:firstLine="480" w:firstLineChars="200"/>
        <w:rPr>
          <w:rFonts w:ascii="宋体" w:hAnsi="宋体" w:cs="宋体"/>
          <w:sz w:val="24"/>
        </w:rPr>
      </w:pPr>
      <w:r>
        <w:rPr>
          <w:rFonts w:hint="eastAsia" w:ascii="宋体" w:hAnsi="宋体" w:cs="宋体"/>
          <w:sz w:val="24"/>
        </w:rPr>
        <w:t>1.乙方须严格按照相关安全规范负责合同中全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施工现场管理</w:t>
      </w:r>
      <w:r>
        <w:rPr>
          <w:rFonts w:hint="eastAsia" w:ascii="宋体" w:hAnsi="宋体" w:cs="宋体"/>
          <w:sz w:val="24"/>
        </w:rPr>
        <w:t>工作，并严守安装调试、搬运和</w:t>
      </w:r>
      <w:r>
        <w:rPr>
          <w:rFonts w:ascii="宋体" w:hAnsi="宋体" w:cs="宋体"/>
          <w:sz w:val="24"/>
        </w:rPr>
        <w:t>施工现场</w:t>
      </w:r>
      <w:r>
        <w:rPr>
          <w:rFonts w:hint="eastAsia" w:ascii="宋体" w:hAnsi="宋体" w:cs="宋体"/>
          <w:sz w:val="24"/>
        </w:rPr>
        <w:t>各项安全规定。</w:t>
      </w:r>
    </w:p>
    <w:p>
      <w:pPr>
        <w:spacing w:line="360" w:lineRule="auto"/>
        <w:ind w:left="360" w:firstLine="480" w:firstLineChars="200"/>
        <w:rPr>
          <w:rFonts w:ascii="宋体" w:hAnsi="宋体" w:cs="宋体"/>
          <w:sz w:val="24"/>
        </w:rPr>
      </w:pPr>
      <w:r>
        <w:rPr>
          <w:rFonts w:hint="eastAsia" w:ascii="宋体" w:hAnsi="宋体" w:cs="宋体"/>
          <w:sz w:val="24"/>
        </w:rPr>
        <w:t>2.乙方须安排具备相应资质的人员负责合同中全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w:t>
      </w:r>
      <w:r>
        <w:rPr>
          <w:rFonts w:hint="eastAsia" w:ascii="宋体" w:hAnsi="宋体" w:cs="宋体"/>
          <w:sz w:val="24"/>
        </w:rPr>
        <w:t>管安</w:t>
      </w:r>
      <w:r>
        <w:rPr>
          <w:rFonts w:ascii="宋体" w:hAnsi="宋体" w:cs="宋体"/>
          <w:sz w:val="24"/>
        </w:rPr>
        <w:t>全管理</w:t>
      </w:r>
      <w:r>
        <w:rPr>
          <w:rFonts w:hint="eastAsia" w:ascii="宋体" w:hAnsi="宋体" w:cs="宋体"/>
          <w:sz w:val="24"/>
        </w:rPr>
        <w:t>工作，负责监督安装调试和搬运人员按照安全规范进行安装调试、搬运和</w:t>
      </w:r>
      <w:r>
        <w:rPr>
          <w:rFonts w:ascii="宋体" w:hAnsi="宋体" w:cs="宋体"/>
          <w:sz w:val="24"/>
        </w:rPr>
        <w:t>施工现场管理</w:t>
      </w:r>
      <w:r>
        <w:rPr>
          <w:rFonts w:hint="eastAsia" w:ascii="宋体" w:hAnsi="宋体" w:cs="宋体"/>
          <w:sz w:val="24"/>
        </w:rPr>
        <w:t>，保证安装调试、搬运和</w:t>
      </w:r>
      <w:r>
        <w:rPr>
          <w:rFonts w:ascii="宋体" w:hAnsi="宋体" w:cs="宋体"/>
          <w:sz w:val="24"/>
        </w:rPr>
        <w:t>施工现场</w:t>
      </w:r>
      <w:r>
        <w:rPr>
          <w:rFonts w:hint="eastAsia" w:ascii="宋体" w:hAnsi="宋体" w:cs="宋体"/>
          <w:sz w:val="24"/>
        </w:rPr>
        <w:t>安全。若发生人员伤亡事故，乙方必须承担所有法律和经济责任，甲方概不负责；若发生房屋损坏、设备损坏丢失、线路及设备毁损等财</w:t>
      </w:r>
      <w:r>
        <w:rPr>
          <w:rFonts w:ascii="宋体" w:hAnsi="宋体" w:cs="宋体"/>
          <w:sz w:val="24"/>
        </w:rPr>
        <w:t>产</w:t>
      </w:r>
      <w:r>
        <w:rPr>
          <w:rFonts w:hint="eastAsia" w:ascii="宋体" w:hAnsi="宋体" w:cs="宋体"/>
          <w:sz w:val="24"/>
        </w:rPr>
        <w:t>损失安全事故，乙方必须承担经济赔偿。</w:t>
      </w:r>
    </w:p>
    <w:p>
      <w:pPr>
        <w:spacing w:line="360" w:lineRule="auto"/>
        <w:ind w:left="479" w:leftChars="172" w:hanging="118" w:hangingChars="49"/>
        <w:rPr>
          <w:rFonts w:ascii="宋体" w:hAnsi="宋体" w:cs="宋体"/>
          <w:sz w:val="24"/>
        </w:rPr>
      </w:pPr>
      <w:r>
        <w:rPr>
          <w:rFonts w:hint="eastAsia" w:ascii="宋体" w:hAnsi="宋体" w:cs="宋体"/>
          <w:b/>
          <w:bCs/>
          <w:sz w:val="24"/>
        </w:rPr>
        <w:t>八、违约责任</w:t>
      </w:r>
    </w:p>
    <w:p>
      <w:pPr>
        <w:spacing w:line="360" w:lineRule="auto"/>
        <w:ind w:left="540" w:leftChars="257" w:firstLine="480" w:firstLineChars="200"/>
        <w:rPr>
          <w:rFonts w:ascii="宋体" w:hAnsi="宋体" w:cs="宋体"/>
          <w:sz w:val="24"/>
        </w:rPr>
      </w:pPr>
      <w:r>
        <w:rPr>
          <w:rFonts w:hint="eastAsia" w:ascii="宋体" w:hAnsi="宋体" w:cs="宋体"/>
          <w:sz w:val="24"/>
        </w:rPr>
        <w:t>1.若乙方未能按合同所规定的交货时间前完成本合同全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ascii="宋体" w:hAnsi="宋体" w:cs="宋体"/>
          <w:sz w:val="24"/>
        </w:rPr>
      </w:pPr>
      <w:r>
        <w:rPr>
          <w:rFonts w:hint="eastAsia" w:ascii="宋体" w:hAnsi="宋体" w:cs="宋体"/>
          <w:sz w:val="24"/>
        </w:rPr>
        <w:t>2．若乙方未能在20  年  月  日前完成本合同全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）安装调试并达到验收标准，甲方可中止本合同，并由乙方承担由此给甲方造成的一切损失。</w:t>
      </w:r>
    </w:p>
    <w:p>
      <w:pPr>
        <w:spacing w:line="360" w:lineRule="auto"/>
        <w:ind w:left="540" w:leftChars="257" w:firstLine="480" w:firstLineChars="200"/>
        <w:rPr>
          <w:rFonts w:ascii="宋体" w:hAnsi="宋体" w:cs="宋体"/>
          <w:sz w:val="24"/>
        </w:rPr>
      </w:pPr>
      <w:r>
        <w:rPr>
          <w:rFonts w:hint="eastAsia" w:ascii="宋体" w:hAnsi="宋体" w:cs="宋体"/>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ascii="宋体" w:hAnsi="宋体" w:cs="宋体"/>
          <w:bCs/>
          <w:sz w:val="24"/>
        </w:rPr>
      </w:pPr>
      <w:r>
        <w:rPr>
          <w:rFonts w:hint="eastAsia" w:ascii="宋体" w:hAnsi="宋体" w:cs="宋体"/>
          <w:sz w:val="24"/>
        </w:rPr>
        <w:t>4．乙方交付甲方的全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）及施工过</w:t>
      </w:r>
      <w:r>
        <w:rPr>
          <w:rFonts w:ascii="宋体" w:hAnsi="宋体" w:cs="宋体"/>
          <w:sz w:val="24"/>
        </w:rPr>
        <w:t>程</w:t>
      </w:r>
      <w:r>
        <w:rPr>
          <w:rFonts w:hint="eastAsia" w:ascii="宋体" w:hAnsi="宋体" w:cs="宋体"/>
          <w:sz w:val="24"/>
        </w:rPr>
        <w:t>中使用的材料必须有合法的进货渠道，且符合合同和投标书中的质量约定，否则由乙方承担一切责任。</w:t>
      </w:r>
    </w:p>
    <w:p>
      <w:pPr>
        <w:spacing w:line="360" w:lineRule="auto"/>
        <w:ind w:left="540" w:leftChars="257" w:firstLine="480" w:firstLineChars="200"/>
        <w:rPr>
          <w:rFonts w:ascii="宋体" w:hAnsi="宋体" w:cs="宋体"/>
          <w:bCs/>
          <w:sz w:val="24"/>
        </w:rPr>
      </w:pPr>
      <w:r>
        <w:rPr>
          <w:rFonts w:hint="eastAsia" w:ascii="宋体" w:hAnsi="宋体" w:cs="宋体"/>
          <w:bCs/>
          <w:sz w:val="24"/>
        </w:rPr>
        <w:t>5.</w:t>
      </w:r>
      <w:r>
        <w:rPr>
          <w:rFonts w:hint="eastAsia" w:ascii="宋体" w:hAnsi="宋体"/>
          <w:bCs/>
          <w:sz w:val="24"/>
        </w:rPr>
        <w:t xml:space="preserve"> 乙方保证本合同项内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的权利无瑕疵，包括</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所有权及知识产权等权利无瑕疵。如任何第三方经法院（或仲裁机构）裁决有权对上述货物主张权利或国家机关依法对货物进行没收查处的，乙方除应在接到甲方全额返还已收货款通知五日</w:t>
      </w:r>
      <w:r>
        <w:rPr>
          <w:rFonts w:ascii="宋体" w:hAnsi="宋体"/>
          <w:bCs/>
          <w:sz w:val="24"/>
        </w:rPr>
        <w:t>内</w:t>
      </w:r>
      <w:r>
        <w:rPr>
          <w:rFonts w:hint="eastAsia" w:ascii="宋体" w:hAnsi="宋体"/>
          <w:bCs/>
          <w:sz w:val="24"/>
        </w:rPr>
        <w:t>返</w:t>
      </w:r>
      <w:r>
        <w:rPr>
          <w:rFonts w:ascii="宋体" w:hAnsi="宋体"/>
          <w:bCs/>
          <w:sz w:val="24"/>
        </w:rPr>
        <w:t>还甲方</w:t>
      </w:r>
      <w:r>
        <w:rPr>
          <w:rFonts w:hint="eastAsia" w:ascii="宋体" w:hAnsi="宋体"/>
          <w:bCs/>
          <w:sz w:val="24"/>
        </w:rPr>
        <w:t>已付货款外，还应按合同总价的</w:t>
      </w:r>
      <w:r>
        <w:rPr>
          <w:rFonts w:hint="eastAsia" w:ascii="宋体" w:hAnsi="宋体" w:cs="宋体"/>
          <w:sz w:val="24"/>
        </w:rPr>
        <w:t>5%</w:t>
      </w:r>
      <w:r>
        <w:rPr>
          <w:rFonts w:hint="eastAsia" w:ascii="宋体" w:hAnsi="宋体"/>
          <w:bCs/>
          <w:sz w:val="24"/>
        </w:rPr>
        <w:t>向甲方支付违约金。</w:t>
      </w:r>
    </w:p>
    <w:p>
      <w:pPr>
        <w:spacing w:line="360" w:lineRule="auto"/>
        <w:ind w:firstLine="482" w:firstLineChars="200"/>
        <w:rPr>
          <w:rFonts w:ascii="宋体" w:hAnsi="宋体" w:cs="宋体"/>
          <w:b/>
          <w:bCs/>
          <w:sz w:val="24"/>
        </w:rPr>
      </w:pPr>
      <w:r>
        <w:rPr>
          <w:rFonts w:hint="eastAsia" w:ascii="宋体" w:hAnsi="宋体" w:cs="宋体"/>
          <w:b/>
          <w:sz w:val="24"/>
        </w:rPr>
        <w:t>九、在履行本合同过程中，如发生争议，双方应友好协商解决，如协商不能解决，双方同意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ascii="宋体" w:hAnsi="宋体" w:cs="宋体"/>
          <w:b/>
          <w:sz w:val="24"/>
        </w:rPr>
      </w:pPr>
      <w:r>
        <w:rPr>
          <w:rFonts w:hint="eastAsia" w:ascii="宋体" w:hAnsi="宋体" w:cs="宋体"/>
          <w:b/>
          <w:sz w:val="24"/>
        </w:rPr>
        <w:t>十、本合同一式柒份，甲方持陆份，</w:t>
      </w:r>
      <w:r>
        <w:rPr>
          <w:rFonts w:hint="eastAsia" w:ascii="宋体" w:hAnsi="宋体"/>
          <w:b/>
          <w:sz w:val="24"/>
        </w:rPr>
        <w:t>乙方持壹份,具有同等法律效力。</w:t>
      </w:r>
    </w:p>
    <w:p>
      <w:pPr>
        <w:spacing w:line="360" w:lineRule="auto"/>
        <w:ind w:firstLine="482" w:firstLineChars="200"/>
        <w:rPr>
          <w:rFonts w:ascii="宋体" w:hAnsi="宋体" w:cs="宋体"/>
          <w:b/>
          <w:sz w:val="24"/>
        </w:rPr>
      </w:pPr>
      <w:r>
        <w:rPr>
          <w:rFonts w:hint="eastAsia" w:ascii="宋体" w:hAnsi="宋体" w:cs="宋体"/>
          <w:b/>
          <w:sz w:val="24"/>
        </w:rPr>
        <w:t>十一、本合同自双方签字并盖章之日起生效。</w:t>
      </w:r>
    </w:p>
    <w:p>
      <w:pPr>
        <w:spacing w:line="360" w:lineRule="auto"/>
        <w:ind w:left="-178" w:leftChars="-85" w:right="-359" w:rightChars="-171" w:firstLine="144" w:firstLineChars="60"/>
        <w:rPr>
          <w:rFonts w:ascii="宋体" w:hAnsi="宋体" w:cs="宋体"/>
          <w:sz w:val="24"/>
        </w:rPr>
      </w:pPr>
    </w:p>
    <w:p>
      <w:pPr>
        <w:spacing w:line="360" w:lineRule="auto"/>
        <w:ind w:left="178" w:leftChars="85" w:right="-359" w:rightChars="-171"/>
        <w:rPr>
          <w:rFonts w:ascii="宋体" w:hAnsi="宋体" w:cs="宋体"/>
          <w:sz w:val="24"/>
        </w:rPr>
      </w:pPr>
      <w:r>
        <w:rPr>
          <w:rFonts w:hint="eastAsia" w:ascii="宋体" w:hAnsi="宋体" w:cs="宋体"/>
          <w:sz w:val="24"/>
        </w:rPr>
        <w:t>甲 方（盖章）：</w:t>
      </w:r>
      <w:r>
        <w:rPr>
          <w:rFonts w:hint="eastAsia" w:ascii="宋体" w:hAnsi="宋体" w:cs="宋体"/>
          <w:b/>
          <w:bCs/>
          <w:sz w:val="24"/>
        </w:rPr>
        <w:t xml:space="preserve">湖北工业大学                </w:t>
      </w:r>
      <w:r>
        <w:rPr>
          <w:rFonts w:hint="eastAsia" w:ascii="宋体" w:hAnsi="宋体" w:cs="宋体"/>
          <w:sz w:val="24"/>
        </w:rPr>
        <w:t>乙 方（盖章）：</w:t>
      </w:r>
      <w:r>
        <w:rPr>
          <w:rFonts w:hint="eastAsia" w:ascii="宋体" w:hAnsi="宋体" w:cs="宋体"/>
          <w:snapToGrid w:val="0"/>
          <w:kern w:val="0"/>
          <w:sz w:val="24"/>
        </w:rPr>
        <w:t xml:space="preserve">                      </w:t>
      </w:r>
    </w:p>
    <w:p>
      <w:pPr>
        <w:spacing w:line="360" w:lineRule="auto"/>
        <w:ind w:left="178" w:leftChars="85" w:right="-178" w:rightChars="-85"/>
        <w:rPr>
          <w:rFonts w:ascii="宋体" w:hAnsi="宋体" w:cs="宋体"/>
          <w:sz w:val="24"/>
        </w:rPr>
      </w:pPr>
    </w:p>
    <w:p>
      <w:pPr>
        <w:spacing w:line="360" w:lineRule="auto"/>
        <w:ind w:left="178" w:leftChars="85" w:right="-178" w:rightChars="-85"/>
        <w:rPr>
          <w:rFonts w:ascii="宋体" w:hAnsi="宋体" w:cs="宋体"/>
          <w:sz w:val="24"/>
        </w:rPr>
      </w:pPr>
      <w:r>
        <w:rPr>
          <w:rFonts w:hint="eastAsia" w:ascii="宋体" w:hAnsi="宋体" w:cs="宋体"/>
          <w:sz w:val="24"/>
        </w:rPr>
        <w:t>部门（单位）主要负责人（签名）：</w:t>
      </w:r>
    </w:p>
    <w:p>
      <w:pPr>
        <w:spacing w:line="360" w:lineRule="auto"/>
        <w:ind w:left="178" w:leftChars="85" w:right="-178" w:rightChars="-85"/>
        <w:rPr>
          <w:rFonts w:ascii="宋体" w:hAnsi="宋体" w:cs="宋体"/>
          <w:sz w:val="24"/>
        </w:rPr>
      </w:pPr>
      <w:r>
        <w:rPr>
          <w:rFonts w:hint="eastAsia" w:ascii="宋体" w:hAnsi="宋体" w:cs="宋体"/>
          <w:sz w:val="24"/>
        </w:rPr>
        <w:t>法人或授权代表（签名）：                   法人或授权代表（签名）：</w:t>
      </w:r>
    </w:p>
    <w:p>
      <w:pPr>
        <w:spacing w:line="360" w:lineRule="auto"/>
        <w:ind w:left="178" w:leftChars="85" w:right="-171"/>
        <w:rPr>
          <w:rFonts w:ascii="宋体" w:hAnsi="宋体" w:cs="宋体"/>
          <w:sz w:val="24"/>
        </w:rPr>
      </w:pPr>
    </w:p>
    <w:p>
      <w:pPr>
        <w:spacing w:line="360" w:lineRule="auto"/>
        <w:ind w:left="178" w:leftChars="85" w:right="-171"/>
        <w:rPr>
          <w:rFonts w:ascii="宋体" w:hAnsi="宋体" w:cs="宋体"/>
          <w:sz w:val="24"/>
        </w:rPr>
      </w:pPr>
      <w:r>
        <w:rPr>
          <w:rFonts w:hint="eastAsia" w:ascii="宋体" w:hAnsi="宋体" w:cs="宋体"/>
          <w:sz w:val="24"/>
        </w:rPr>
        <w:t>联系方式：02759750213                    联系方式：</w:t>
      </w:r>
    </w:p>
    <w:p>
      <w:pPr>
        <w:spacing w:line="360" w:lineRule="auto"/>
        <w:ind w:left="178" w:leftChars="85" w:right="-171"/>
        <w:rPr>
          <w:rFonts w:ascii="宋体" w:hAnsi="宋体" w:cs="宋体"/>
          <w:sz w:val="24"/>
        </w:rPr>
      </w:pPr>
      <w:r>
        <w:rPr>
          <w:rFonts w:hint="eastAsia" w:ascii="宋体" w:hAnsi="宋体" w:cs="宋体"/>
          <w:sz w:val="24"/>
        </w:rPr>
        <w:t xml:space="preserve">                                         开户银行：</w:t>
      </w:r>
    </w:p>
    <w:p>
      <w:pPr>
        <w:spacing w:line="360" w:lineRule="auto"/>
        <w:ind w:left="178" w:leftChars="85" w:right="-171"/>
        <w:rPr>
          <w:rFonts w:ascii="宋体" w:hAnsi="宋体" w:cs="宋体"/>
          <w:snapToGrid w:val="0"/>
          <w:kern w:val="0"/>
          <w:sz w:val="24"/>
        </w:rPr>
      </w:pPr>
      <w:r>
        <w:rPr>
          <w:rFonts w:hint="eastAsia" w:ascii="宋体" w:hAnsi="宋体" w:cs="宋体"/>
          <w:sz w:val="24"/>
        </w:rPr>
        <w:t xml:space="preserve">                                         银行账号：</w:t>
      </w:r>
    </w:p>
    <w:p>
      <w:pPr>
        <w:spacing w:line="360" w:lineRule="auto"/>
        <w:ind w:left="178" w:leftChars="85" w:right="-171"/>
        <w:rPr>
          <w:rFonts w:ascii="宋体" w:hAnsi="宋体" w:cs="宋体"/>
          <w:sz w:val="24"/>
        </w:rPr>
      </w:pPr>
      <w:r>
        <w:rPr>
          <w:rFonts w:hint="eastAsia" w:ascii="宋体" w:hAnsi="宋体" w:cs="宋体"/>
          <w:snapToGrid w:val="0"/>
          <w:kern w:val="0"/>
          <w:sz w:val="24"/>
        </w:rPr>
        <w:t xml:space="preserve">                                  </w:t>
      </w:r>
    </w:p>
    <w:p>
      <w:pPr>
        <w:spacing w:line="360" w:lineRule="auto"/>
        <w:ind w:left="178" w:leftChars="85"/>
        <w:jc w:val="left"/>
        <w:rPr>
          <w:rFonts w:ascii="宋体" w:hAnsi="宋体" w:cs="宋体"/>
          <w:sz w:val="24"/>
        </w:rPr>
      </w:pPr>
      <w:r>
        <w:rPr>
          <w:rFonts w:hint="eastAsia" w:ascii="宋体" w:hAnsi="宋体" w:cs="宋体"/>
          <w:sz w:val="24"/>
        </w:rPr>
        <w:t xml:space="preserve">日  期： </w:t>
      </w:r>
      <w:r>
        <w:rPr>
          <w:rFonts w:hint="eastAsia" w:ascii="宋体" w:hAnsi="宋体" w:cs="宋体"/>
          <w:b/>
          <w:sz w:val="24"/>
        </w:rPr>
        <w:t xml:space="preserve">二○   年   月    日   </w:t>
      </w:r>
      <w:r>
        <w:rPr>
          <w:rFonts w:hint="eastAsia" w:ascii="宋体" w:hAnsi="宋体" w:cs="宋体"/>
          <w:sz w:val="24"/>
        </w:rPr>
        <w:t xml:space="preserve">      日   期：二○   年   月   日</w:t>
      </w:r>
    </w:p>
    <w:p>
      <w:pPr>
        <w:spacing w:line="360" w:lineRule="auto"/>
        <w:ind w:left="420"/>
        <w:rPr>
          <w:rFonts w:ascii="宋体" w:hAnsi="宋体" w:cs="宋体"/>
          <w:sz w:val="24"/>
        </w:rPr>
      </w:pPr>
    </w:p>
    <w:p>
      <w:r>
        <w:br w:type="page"/>
      </w:r>
    </w:p>
    <w:p>
      <w:pPr>
        <w:jc w:val="center"/>
        <w:outlineLvl w:val="0"/>
        <w:rPr>
          <w:rFonts w:ascii="宋体" w:hAnsi="宋体" w:cs="宋体"/>
          <w:b/>
          <w:sz w:val="36"/>
          <w:szCs w:val="36"/>
        </w:rPr>
      </w:pPr>
      <w:bookmarkStart w:id="113" w:name="_Toc23514"/>
      <w:r>
        <w:rPr>
          <w:rFonts w:hint="eastAsia" w:ascii="宋体" w:hAnsi="宋体" w:cs="宋体"/>
          <w:b/>
          <w:sz w:val="36"/>
          <w:szCs w:val="36"/>
        </w:rPr>
        <w:t>第六章 竞争性磋商响应文件格式</w:t>
      </w:r>
      <w:bookmarkEnd w:id="113"/>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 </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r>
        <w:rPr>
          <w:rFonts w:hint="eastAsia" w:asciiTheme="minorEastAsia" w:hAnsiTheme="minorEastAsia" w:eastAsiaTheme="minorEastAsia" w:cstheme="minorEastAsia"/>
          <w:b/>
          <w:bCs/>
          <w:sz w:val="32"/>
          <w:u w:val="single"/>
        </w:rPr>
        <w:t xml:space="preserve">                       </w:t>
      </w:r>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autoSpaceDE w:val="0"/>
        <w:autoSpaceDN w:val="0"/>
        <w:adjustRightInd w:val="0"/>
        <w:spacing w:line="360" w:lineRule="auto"/>
        <w:jc w:val="center"/>
        <w:rPr>
          <w:rFonts w:asciiTheme="minorEastAsia" w:hAnsiTheme="minorEastAsia" w:eastAsiaTheme="minorEastAsia" w:cstheme="minorEastAsia"/>
          <w:b/>
          <w:bCs/>
          <w:sz w:val="24"/>
        </w:rPr>
      </w:pPr>
      <w:bookmarkStart w:id="114" w:name="_Toc360174584"/>
      <w:bookmarkEnd w:id="114"/>
      <w:bookmarkStart w:id="115" w:name="_Toc264644272"/>
      <w:bookmarkEnd w:id="115"/>
      <w:r>
        <w:br w:type="page"/>
      </w:r>
      <w:r>
        <w:rPr>
          <w:rFonts w:hint="eastAsia" w:asciiTheme="minorEastAsia" w:hAnsiTheme="minorEastAsia" w:eastAsiaTheme="minorEastAsia" w:cstheme="minorEastAsia"/>
          <w:b/>
          <w:bCs/>
          <w:sz w:val="24"/>
        </w:rPr>
        <w:t>响应文件目录</w:t>
      </w:r>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autoSpaceDE w:val="0"/>
        <w:autoSpaceDN w:val="0"/>
        <w:adjustRightInd w:val="0"/>
        <w:spacing w:line="360" w:lineRule="auto"/>
        <w:jc w:val="center"/>
        <w:outlineLvl w:val="1"/>
        <w:rPr>
          <w:rFonts w:ascii="宋体" w:hAnsi="宋体" w:cs="宋体"/>
          <w:b/>
          <w:szCs w:val="21"/>
        </w:rPr>
      </w:pPr>
      <w:bookmarkStart w:id="116" w:name="_Toc4961"/>
      <w:r>
        <w:br w:type="textWrapping"/>
      </w:r>
      <w:r>
        <w:rPr>
          <w:rFonts w:hint="eastAsia" w:ascii="宋体" w:hAnsi="宋体" w:cs="宋体"/>
          <w:b/>
          <w:szCs w:val="21"/>
        </w:rPr>
        <w:t>一、评分标准索引表</w:t>
      </w:r>
      <w:bookmarkEnd w:id="116"/>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spacing w:line="360" w:lineRule="auto"/>
              <w:jc w:val="center"/>
              <w:textAlignment w:val="center"/>
              <w:rPr>
                <w:rFonts w:ascii="宋体" w:hAnsi="宋体" w:cs="宋体"/>
                <w:spacing w:val="-6"/>
                <w:szCs w:val="21"/>
              </w:rPr>
            </w:pPr>
          </w:p>
        </w:tc>
        <w:tc>
          <w:tcPr>
            <w:tcW w:w="1285" w:type="dxa"/>
            <w:vAlign w:val="center"/>
          </w:tcPr>
          <w:p>
            <w:pPr>
              <w:spacing w:line="360" w:lineRule="auto"/>
              <w:jc w:val="center"/>
              <w:textAlignment w:val="center"/>
              <w:rPr>
                <w:rFonts w:ascii="宋体" w:hAnsi="宋体" w:cs="宋体"/>
                <w:spacing w:val="-6"/>
                <w:szCs w:val="21"/>
              </w:rPr>
            </w:pPr>
          </w:p>
        </w:tc>
        <w:tc>
          <w:tcPr>
            <w:tcW w:w="5358" w:type="dxa"/>
            <w:vAlign w:val="center"/>
          </w:tcPr>
          <w:p>
            <w:pPr>
              <w:spacing w:line="360" w:lineRule="auto"/>
              <w:jc w:val="left"/>
              <w:textAlignment w:val="center"/>
              <w:rPr>
                <w:rFonts w:ascii="宋体" w:hAnsi="宋体" w:cs="宋体"/>
                <w:szCs w:val="21"/>
              </w:rPr>
            </w:pPr>
          </w:p>
        </w:tc>
        <w:tc>
          <w:tcPr>
            <w:tcW w:w="825" w:type="dxa"/>
            <w:vAlign w:val="center"/>
          </w:tcPr>
          <w:p>
            <w:pPr>
              <w:spacing w:line="360" w:lineRule="auto"/>
              <w:jc w:val="center"/>
              <w:textAlignment w:val="center"/>
              <w:rPr>
                <w:rFonts w:ascii="宋体" w:hAnsi="宋体" w:cs="宋体"/>
                <w:szCs w:val="21"/>
              </w:rPr>
            </w:pPr>
          </w:p>
        </w:tc>
        <w:tc>
          <w:tcPr>
            <w:tcW w:w="1133" w:type="dxa"/>
            <w:vAlign w:val="center"/>
          </w:tcPr>
          <w:p>
            <w:pPr>
              <w:spacing w:line="360" w:lineRule="auto"/>
              <w:jc w:val="center"/>
              <w:textAlignment w:val="center"/>
              <w:rPr>
                <w:rFonts w:ascii="宋体" w:hAnsi="宋体" w:cs="宋体"/>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szCs w:val="21"/>
              </w:rPr>
            </w:pPr>
          </w:p>
        </w:tc>
        <w:tc>
          <w:tcPr>
            <w:tcW w:w="825" w:type="dxa"/>
            <w:vAlign w:val="center"/>
          </w:tcPr>
          <w:p>
            <w:pPr>
              <w:autoSpaceDE w:val="0"/>
              <w:autoSpaceDN w:val="0"/>
              <w:adjustRightInd w:val="0"/>
              <w:spacing w:line="360" w:lineRule="auto"/>
              <w:ind w:right="71" w:rightChars="34"/>
              <w:rPr>
                <w:rFonts w:ascii="宋体" w:hAnsi="宋体" w:cs="宋体"/>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br w:type="textWrapping"/>
      </w:r>
    </w:p>
    <w:p>
      <w:pPr>
        <w:adjustRightInd w:val="0"/>
        <w:snapToGrid w:val="0"/>
        <w:spacing w:line="480" w:lineRule="auto"/>
        <w:jc w:val="center"/>
        <w:outlineLvl w:val="1"/>
        <w:rPr>
          <w:rFonts w:asciiTheme="minorEastAsia" w:hAnsiTheme="minorEastAsia" w:eastAsiaTheme="minorEastAsia" w:cstheme="minorEastAsia"/>
          <w:b/>
        </w:rPr>
      </w:pPr>
      <w:bookmarkStart w:id="117" w:name="_Toc30144"/>
      <w:bookmarkEnd w:id="117"/>
      <w:bookmarkStart w:id="118" w:name="_Toc15789"/>
      <w:bookmarkEnd w:id="118"/>
      <w:bookmarkStart w:id="119" w:name="_Toc479184125"/>
      <w:bookmarkEnd w:id="119"/>
      <w:bookmarkStart w:id="120" w:name="_Toc10169"/>
      <w:r>
        <w:rPr>
          <w:rFonts w:hint="eastAsia" w:asciiTheme="minorEastAsia" w:hAnsiTheme="minorEastAsia" w:eastAsiaTheme="minorEastAsia" w:cstheme="minorEastAsia"/>
          <w:b/>
        </w:rPr>
        <w:t>二、磋商书</w:t>
      </w:r>
      <w:bookmarkEnd w:id="120"/>
    </w:p>
    <w:p>
      <w:pPr>
        <w:pStyle w:val="20"/>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份。</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r>
        <w:rPr>
          <w:rFonts w:hint="eastAsia" w:asciiTheme="minorEastAsia" w:hAnsiTheme="minorEastAsia" w:eastAsiaTheme="minorEastAsia" w:cstheme="minorEastAsia"/>
        </w:rPr>
        <w:t xml:space="preserve">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w:t>
      </w:r>
      <w: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rPr>
      </w:pPr>
      <w:bookmarkStart w:id="121" w:name="_Toc13969"/>
      <w:bookmarkEnd w:id="121"/>
      <w:bookmarkStart w:id="122" w:name="_Toc479184126"/>
      <w:bookmarkEnd w:id="122"/>
      <w:bookmarkStart w:id="123" w:name="_Toc24205"/>
      <w:bookmarkEnd w:id="123"/>
      <w:bookmarkStart w:id="124" w:name="_Toc17812"/>
      <w:r>
        <w:br w:type="textWrapping"/>
      </w:r>
      <w:r>
        <w:br w:type="textWrapping"/>
      </w:r>
      <w:r>
        <w:br w:type="textWrapping"/>
      </w:r>
      <w:r>
        <w:rPr>
          <w:rFonts w:hint="eastAsia" w:asciiTheme="minorEastAsia" w:hAnsiTheme="minorEastAsia" w:eastAsiaTheme="minorEastAsia" w:cstheme="minorEastAsia"/>
          <w:b/>
        </w:rPr>
        <w:t>三、法定代表人授权书</w:t>
      </w:r>
      <w:bookmarkEnd w:id="124"/>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日起至</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签发日期：</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r>
        <w:rPr>
          <w:rFonts w:hint="eastAsia" w:asciiTheme="minorEastAsia" w:hAnsiTheme="minorEastAsia" w:eastAsiaTheme="minorEastAsia" w:cstheme="minorEastAsia"/>
          <w:kern w:val="0"/>
          <w:szCs w:val="21"/>
          <w:u w:val="single"/>
        </w:rPr>
        <w:t xml:space="preserve">                                                                                    </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25" w:name="_Toc360120184"/>
      <w:bookmarkEnd w:id="125"/>
      <w:bookmarkStart w:id="126" w:name="_Toc30476"/>
      <w:bookmarkEnd w:id="126"/>
      <w:bookmarkStart w:id="127" w:name="_Toc29904"/>
      <w:bookmarkEnd w:id="127"/>
      <w:bookmarkStart w:id="128" w:name="_Toc432149008"/>
      <w:bookmarkEnd w:id="128"/>
      <w:bookmarkStart w:id="129" w:name="_Toc424832832"/>
      <w:bookmarkEnd w:id="129"/>
      <w:bookmarkStart w:id="130" w:name="_Toc30245"/>
      <w:bookmarkEnd w:id="130"/>
      <w:bookmarkStart w:id="131" w:name="_Toc479184127"/>
      <w:bookmarkEnd w:id="131"/>
      <w:bookmarkStart w:id="132" w:name="_Toc30797"/>
      <w:r>
        <w:br w:type="textWrapping"/>
      </w:r>
      <w:r>
        <w:br w:type="textWrapping"/>
      </w: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32"/>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（姓名）</w:t>
      </w:r>
      <w:r>
        <w:rPr>
          <w:rFonts w:hint="eastAsia" w:asciiTheme="minorEastAsia" w:hAnsiTheme="minorEastAsia" w:eastAsiaTheme="minorEastAsia" w:cstheme="minorEastAsia"/>
          <w:szCs w:val="21"/>
        </w:rPr>
        <w:t>在我单位任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职务</w:t>
      </w:r>
      <w:r>
        <w:rPr>
          <w:rFonts w:hint="eastAsia" w:asciiTheme="minorEastAsia" w:hAnsiTheme="minorEastAsia" w:eastAsiaTheme="minorEastAsia" w:cstheme="minorEastAsia"/>
          <w:kern w:val="0"/>
          <w:szCs w:val="21"/>
        </w:rPr>
        <w:t>，系</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年龄：</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r>
        <w:rPr>
          <w:rFonts w:hint="eastAsia" w:asciiTheme="minorEastAsia" w:hAnsiTheme="minorEastAsia" w:eastAsiaTheme="minorEastAsia" w:cstheme="minorEastAsia"/>
          <w:kern w:val="0"/>
          <w:szCs w:val="21"/>
          <w:u w:val="single"/>
        </w:rPr>
        <w:t xml:space="preserve">                  </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33" w:name="_Toc4741"/>
      <w:bookmarkEnd w:id="133"/>
      <w:bookmarkStart w:id="134" w:name="_Toc4301"/>
      <w:bookmarkEnd w:id="134"/>
      <w:bookmarkStart w:id="135" w:name="_Toc422466732"/>
      <w:bookmarkEnd w:id="135"/>
      <w:bookmarkStart w:id="136" w:name="_Toc432149006"/>
      <w:bookmarkEnd w:id="136"/>
      <w:bookmarkStart w:id="137" w:name="_Toc479184128"/>
      <w:bookmarkEnd w:id="137"/>
      <w:r>
        <w:br w:type="page"/>
      </w:r>
      <w:bookmarkStart w:id="138" w:name="_Toc9336"/>
      <w:r>
        <w:rPr>
          <w:rFonts w:hint="eastAsia" w:asciiTheme="minorEastAsia" w:hAnsiTheme="minorEastAsia" w:eastAsiaTheme="minorEastAsia" w:cstheme="minorEastAsia"/>
          <w:b/>
          <w:bCs/>
          <w:szCs w:val="21"/>
        </w:rPr>
        <w:t>五、报价一览表</w:t>
      </w:r>
      <w:bookmarkEnd w:id="138"/>
    </w:p>
    <w:p>
      <w:pPr>
        <w:adjustRightInd w:val="0"/>
        <w:snapToGrid w:val="0"/>
        <w:ind w:left="-88" w:leftChars="-42"/>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tbl>
      <w:tblPr>
        <w:tblStyle w:val="26"/>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大写：      </w:t>
            </w:r>
            <w:r>
              <w:br w:type="textWrapping"/>
            </w:r>
            <w:r>
              <w:rPr>
                <w:rFonts w:hint="eastAsia" w:asciiTheme="minorEastAsia" w:hAnsiTheme="minorEastAsia" w:eastAsiaTheme="minorEastAsia" w:cstheme="minorEastAsia"/>
                <w:szCs w:val="21"/>
                <w:u w:val="single"/>
              </w:rPr>
              <w:t xml:space="preserve">小写：      </w:t>
            </w:r>
            <w:r>
              <w:rPr>
                <w:rFonts w:hint="eastAsia" w:asciiTheme="minorEastAsia" w:hAnsiTheme="minorEastAsia" w:eastAsiaTheme="minorEastAsia" w:cstheme="minorEastAsia"/>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ahoma" w:hAnsi="Tahoma"/>
              </w:rPr>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宋体" w:hAnsi="宋体" w:cs="宋体"/>
          <w:szCs w:val="21"/>
          <w:u w:val="single"/>
        </w:rPr>
      </w:pPr>
      <w:bookmarkStart w:id="139" w:name="_Toc479184130"/>
      <w:bookmarkEnd w:id="139"/>
      <w:bookmarkStart w:id="140" w:name="_Toc259028723"/>
      <w:bookmarkEnd w:id="140"/>
      <w:bookmarkStart w:id="141" w:name="_Toc28656"/>
      <w:bookmarkEnd w:id="141"/>
      <w:bookmarkStart w:id="142" w:name="_Toc26825"/>
      <w:bookmarkEnd w:id="142"/>
      <w:bookmarkStart w:id="143" w:name="_Toc460258117"/>
      <w:bookmarkEnd w:id="143"/>
      <w:r>
        <w:br w:type="page"/>
      </w:r>
      <w:bookmarkStart w:id="144" w:name="_Toc18559"/>
      <w:bookmarkStart w:id="145" w:name="_Toc1079"/>
      <w:bookmarkStart w:id="146" w:name="_Toc479184129"/>
      <w:bookmarkStart w:id="147" w:name="_Toc22371"/>
      <w:bookmarkStart w:id="148" w:name="_Toc9154"/>
      <w:r>
        <w:rPr>
          <w:rFonts w:hint="eastAsia" w:ascii="宋体" w:hAnsi="宋体" w:cs="宋体"/>
          <w:b/>
          <w:bCs/>
          <w:szCs w:val="21"/>
        </w:rPr>
        <w:t>六、</w:t>
      </w:r>
      <w:bookmarkEnd w:id="144"/>
      <w:bookmarkEnd w:id="145"/>
      <w:bookmarkEnd w:id="146"/>
      <w:r>
        <w:rPr>
          <w:rFonts w:hint="eastAsia" w:ascii="宋体" w:hAnsi="宋体" w:cs="宋体"/>
          <w:b/>
          <w:bCs/>
          <w:szCs w:val="21"/>
        </w:rPr>
        <w:t>报价费用构成表</w:t>
      </w:r>
      <w:bookmarkEnd w:id="147"/>
      <w:bookmarkEnd w:id="148"/>
      <w:r>
        <w:rPr>
          <w:rFonts w:hint="eastAsia" w:ascii="宋体" w:hAnsi="宋体" w:cs="宋体"/>
          <w:szCs w:val="21"/>
          <w:u w:val="single"/>
        </w:rPr>
        <w:t xml:space="preserve">        </w:t>
      </w:r>
    </w:p>
    <w:p>
      <w:pPr>
        <w:adjustRightInd w:val="0"/>
        <w:snapToGrid w:val="0"/>
        <w:spacing w:line="360" w:lineRule="auto"/>
        <w:rPr>
          <w:rFonts w:ascii="宋体" w:hAnsi="宋体" w:cs="宋体"/>
          <w:szCs w:val="21"/>
          <w:u w:val="single"/>
        </w:rPr>
      </w:pPr>
      <w:r>
        <w:rPr>
          <w:rFonts w:hint="eastAsia" w:ascii="宋体" w:hAnsi="宋体" w:cs="宋体"/>
          <w:szCs w:val="21"/>
        </w:rPr>
        <w:t>项目名称：</w:t>
      </w:r>
      <w:r>
        <w:rPr>
          <w:rFonts w:hint="eastAsia" w:ascii="宋体" w:hAnsi="宋体" w:cs="宋体"/>
          <w:szCs w:val="21"/>
          <w:u w:val="single"/>
        </w:rPr>
        <w:t xml:space="preserve">                         </w:t>
      </w:r>
    </w:p>
    <w:p>
      <w:pPr>
        <w:adjustRightInd w:val="0"/>
        <w:snapToGrid w:val="0"/>
        <w:spacing w:line="360" w:lineRule="auto"/>
        <w:rPr>
          <w:rFonts w:ascii="宋体" w:hAnsi="宋体" w:cs="宋体"/>
          <w:szCs w:val="21"/>
        </w:rPr>
      </w:pPr>
      <w:r>
        <w:rPr>
          <w:rFonts w:hint="eastAsia" w:ascii="宋体" w:hAnsi="宋体" w:cs="宋体"/>
          <w:szCs w:val="21"/>
        </w:rPr>
        <w:t>项目编号：</w:t>
      </w:r>
      <w:r>
        <w:rPr>
          <w:rFonts w:hint="eastAsia" w:ascii="宋体" w:hAnsi="宋体" w:cs="宋体"/>
          <w:szCs w:val="21"/>
          <w:u w:val="single"/>
        </w:rPr>
        <w:t xml:space="preserve">                         </w:t>
      </w:r>
    </w:p>
    <w:tbl>
      <w:tblPr>
        <w:tblStyle w:val="26"/>
        <w:tblW w:w="10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477"/>
        <w:gridCol w:w="1157"/>
        <w:gridCol w:w="1189"/>
        <w:gridCol w:w="772"/>
        <w:gridCol w:w="835"/>
        <w:gridCol w:w="1479"/>
        <w:gridCol w:w="1018"/>
        <w:gridCol w:w="739"/>
        <w:gridCol w:w="7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5"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序号</w:t>
            </w:r>
          </w:p>
        </w:tc>
        <w:tc>
          <w:tcPr>
            <w:tcW w:w="1477"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名称</w:t>
            </w:r>
          </w:p>
        </w:tc>
        <w:tc>
          <w:tcPr>
            <w:tcW w:w="1157"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规格型号（如有）</w:t>
            </w:r>
          </w:p>
        </w:tc>
        <w:tc>
          <w:tcPr>
            <w:tcW w:w="1189"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制造商名称（如有）</w:t>
            </w:r>
          </w:p>
        </w:tc>
        <w:tc>
          <w:tcPr>
            <w:tcW w:w="772"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产地</w:t>
            </w:r>
          </w:p>
        </w:tc>
        <w:tc>
          <w:tcPr>
            <w:tcW w:w="835"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数量</w:t>
            </w:r>
          </w:p>
        </w:tc>
        <w:tc>
          <w:tcPr>
            <w:tcW w:w="1479"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投标最高单价限价</w:t>
            </w:r>
          </w:p>
          <w:p>
            <w:pPr>
              <w:adjustRightInd w:val="0"/>
              <w:snapToGrid w:val="0"/>
              <w:jc w:val="center"/>
              <w:rPr>
                <w:rFonts w:ascii="宋体" w:hAnsi="宋体" w:cs="宋体"/>
                <w:color w:val="auto"/>
                <w:szCs w:val="21"/>
              </w:rPr>
            </w:pPr>
            <w:r>
              <w:rPr>
                <w:rFonts w:hint="eastAsia" w:ascii="宋体" w:hAnsi="宋体" w:cs="宋体"/>
                <w:color w:val="auto"/>
                <w:szCs w:val="21"/>
              </w:rPr>
              <w:t>（元）</w:t>
            </w:r>
          </w:p>
        </w:tc>
        <w:tc>
          <w:tcPr>
            <w:tcW w:w="1018"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投标单价（元）</w:t>
            </w:r>
          </w:p>
        </w:tc>
        <w:tc>
          <w:tcPr>
            <w:tcW w:w="739"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总价</w:t>
            </w:r>
          </w:p>
        </w:tc>
        <w:tc>
          <w:tcPr>
            <w:tcW w:w="707"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45"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1</w:t>
            </w:r>
          </w:p>
        </w:tc>
        <w:tc>
          <w:tcPr>
            <w:tcW w:w="1477" w:type="dxa"/>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 xml:space="preserve">直流电源 </w:t>
            </w:r>
          </w:p>
        </w:tc>
        <w:tc>
          <w:tcPr>
            <w:tcW w:w="1157" w:type="dxa"/>
            <w:vAlign w:val="center"/>
          </w:tcPr>
          <w:p>
            <w:pPr>
              <w:adjustRightInd w:val="0"/>
              <w:snapToGrid w:val="0"/>
              <w:jc w:val="center"/>
              <w:rPr>
                <w:rFonts w:ascii="宋体" w:hAnsi="宋体" w:cs="宋体"/>
                <w:color w:val="auto"/>
                <w:szCs w:val="21"/>
              </w:rPr>
            </w:pPr>
          </w:p>
        </w:tc>
        <w:tc>
          <w:tcPr>
            <w:tcW w:w="1189" w:type="dxa"/>
            <w:vAlign w:val="center"/>
          </w:tcPr>
          <w:p>
            <w:pPr>
              <w:adjustRightInd w:val="0"/>
              <w:snapToGrid w:val="0"/>
              <w:jc w:val="center"/>
              <w:rPr>
                <w:rFonts w:ascii="宋体" w:hAnsi="宋体" w:cs="宋体"/>
                <w:color w:val="auto"/>
                <w:szCs w:val="21"/>
              </w:rPr>
            </w:pPr>
          </w:p>
        </w:tc>
        <w:tc>
          <w:tcPr>
            <w:tcW w:w="772" w:type="dxa"/>
            <w:vAlign w:val="center"/>
          </w:tcPr>
          <w:p>
            <w:pPr>
              <w:adjustRightInd w:val="0"/>
              <w:snapToGrid w:val="0"/>
              <w:jc w:val="center"/>
              <w:rPr>
                <w:rFonts w:ascii="宋体" w:hAnsi="宋体" w:cs="宋体"/>
                <w:color w:val="auto"/>
                <w:szCs w:val="21"/>
              </w:rPr>
            </w:pPr>
          </w:p>
        </w:tc>
        <w:tc>
          <w:tcPr>
            <w:tcW w:w="835" w:type="dxa"/>
            <w:vAlign w:val="center"/>
          </w:tcPr>
          <w:p>
            <w:pPr>
              <w:adjustRightInd w:val="0"/>
              <w:snapToGrid w:val="0"/>
              <w:jc w:val="center"/>
              <w:rPr>
                <w:rFonts w:ascii="宋体" w:hAnsi="宋体" w:cs="宋体"/>
                <w:color w:val="auto"/>
                <w:szCs w:val="21"/>
              </w:rPr>
            </w:pPr>
          </w:p>
        </w:tc>
        <w:tc>
          <w:tcPr>
            <w:tcW w:w="1479" w:type="dxa"/>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98000</w:t>
            </w:r>
          </w:p>
        </w:tc>
        <w:tc>
          <w:tcPr>
            <w:tcW w:w="1018" w:type="dxa"/>
            <w:vAlign w:val="center"/>
          </w:tcPr>
          <w:p>
            <w:pPr>
              <w:adjustRightInd w:val="0"/>
              <w:snapToGrid w:val="0"/>
              <w:jc w:val="center"/>
              <w:rPr>
                <w:rFonts w:ascii="宋体" w:hAnsi="宋体" w:cs="宋体"/>
                <w:color w:val="auto"/>
                <w:szCs w:val="21"/>
              </w:rPr>
            </w:pPr>
          </w:p>
        </w:tc>
        <w:tc>
          <w:tcPr>
            <w:tcW w:w="739" w:type="dxa"/>
            <w:vAlign w:val="center"/>
          </w:tcPr>
          <w:p>
            <w:pPr>
              <w:adjustRightInd w:val="0"/>
              <w:snapToGrid w:val="0"/>
              <w:jc w:val="center"/>
              <w:rPr>
                <w:rFonts w:ascii="宋体" w:hAnsi="宋体" w:cs="宋体"/>
                <w:color w:val="auto"/>
                <w:szCs w:val="21"/>
              </w:rPr>
            </w:pPr>
          </w:p>
        </w:tc>
        <w:tc>
          <w:tcPr>
            <w:tcW w:w="707" w:type="dxa"/>
            <w:vAlign w:val="center"/>
          </w:tcPr>
          <w:p>
            <w:pPr>
              <w:adjustRightInd w:val="0"/>
              <w:snapToGrid w:val="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645"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2</w:t>
            </w:r>
          </w:p>
        </w:tc>
        <w:tc>
          <w:tcPr>
            <w:tcW w:w="1477" w:type="dxa"/>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 xml:space="preserve">电子元件参数测量仪 </w:t>
            </w:r>
          </w:p>
        </w:tc>
        <w:tc>
          <w:tcPr>
            <w:tcW w:w="1157" w:type="dxa"/>
            <w:vAlign w:val="center"/>
          </w:tcPr>
          <w:p>
            <w:pPr>
              <w:adjustRightInd w:val="0"/>
              <w:snapToGrid w:val="0"/>
              <w:jc w:val="center"/>
              <w:rPr>
                <w:rFonts w:ascii="宋体" w:hAnsi="宋体" w:cs="宋体"/>
                <w:color w:val="auto"/>
                <w:szCs w:val="21"/>
              </w:rPr>
            </w:pPr>
          </w:p>
        </w:tc>
        <w:tc>
          <w:tcPr>
            <w:tcW w:w="1189" w:type="dxa"/>
            <w:vAlign w:val="center"/>
          </w:tcPr>
          <w:p>
            <w:pPr>
              <w:adjustRightInd w:val="0"/>
              <w:snapToGrid w:val="0"/>
              <w:jc w:val="center"/>
              <w:rPr>
                <w:rFonts w:ascii="宋体" w:hAnsi="宋体" w:cs="宋体"/>
                <w:color w:val="auto"/>
                <w:szCs w:val="21"/>
              </w:rPr>
            </w:pPr>
          </w:p>
        </w:tc>
        <w:tc>
          <w:tcPr>
            <w:tcW w:w="772" w:type="dxa"/>
            <w:vAlign w:val="center"/>
          </w:tcPr>
          <w:p>
            <w:pPr>
              <w:adjustRightInd w:val="0"/>
              <w:snapToGrid w:val="0"/>
              <w:jc w:val="center"/>
              <w:rPr>
                <w:rFonts w:ascii="宋体" w:hAnsi="宋体" w:cs="宋体"/>
                <w:color w:val="auto"/>
                <w:szCs w:val="21"/>
              </w:rPr>
            </w:pPr>
          </w:p>
        </w:tc>
        <w:tc>
          <w:tcPr>
            <w:tcW w:w="835" w:type="dxa"/>
            <w:vAlign w:val="center"/>
          </w:tcPr>
          <w:p>
            <w:pPr>
              <w:adjustRightInd w:val="0"/>
              <w:snapToGrid w:val="0"/>
              <w:jc w:val="center"/>
              <w:rPr>
                <w:rFonts w:ascii="宋体" w:hAnsi="宋体" w:cs="宋体"/>
                <w:color w:val="auto"/>
                <w:szCs w:val="21"/>
              </w:rPr>
            </w:pPr>
          </w:p>
        </w:tc>
        <w:tc>
          <w:tcPr>
            <w:tcW w:w="1479" w:type="dxa"/>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52000</w:t>
            </w:r>
          </w:p>
        </w:tc>
        <w:tc>
          <w:tcPr>
            <w:tcW w:w="1018" w:type="dxa"/>
            <w:vAlign w:val="center"/>
          </w:tcPr>
          <w:p>
            <w:pPr>
              <w:adjustRightInd w:val="0"/>
              <w:snapToGrid w:val="0"/>
              <w:jc w:val="center"/>
              <w:rPr>
                <w:rFonts w:ascii="宋体" w:hAnsi="宋体" w:cs="宋体"/>
                <w:color w:val="auto"/>
                <w:szCs w:val="21"/>
              </w:rPr>
            </w:pPr>
          </w:p>
        </w:tc>
        <w:tc>
          <w:tcPr>
            <w:tcW w:w="739" w:type="dxa"/>
            <w:vAlign w:val="center"/>
          </w:tcPr>
          <w:p>
            <w:pPr>
              <w:adjustRightInd w:val="0"/>
              <w:snapToGrid w:val="0"/>
              <w:jc w:val="center"/>
              <w:rPr>
                <w:rFonts w:ascii="宋体" w:hAnsi="宋体" w:cs="宋体"/>
                <w:color w:val="auto"/>
                <w:szCs w:val="21"/>
              </w:rPr>
            </w:pPr>
          </w:p>
        </w:tc>
        <w:tc>
          <w:tcPr>
            <w:tcW w:w="707" w:type="dxa"/>
            <w:vAlign w:val="center"/>
          </w:tcPr>
          <w:p>
            <w:pPr>
              <w:adjustRightInd w:val="0"/>
              <w:snapToGrid w:val="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45"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3</w:t>
            </w:r>
          </w:p>
        </w:tc>
        <w:tc>
          <w:tcPr>
            <w:tcW w:w="1477" w:type="dxa"/>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直流重叠电源</w:t>
            </w:r>
          </w:p>
        </w:tc>
        <w:tc>
          <w:tcPr>
            <w:tcW w:w="1157" w:type="dxa"/>
            <w:vAlign w:val="center"/>
          </w:tcPr>
          <w:p>
            <w:pPr>
              <w:adjustRightInd w:val="0"/>
              <w:snapToGrid w:val="0"/>
              <w:jc w:val="center"/>
              <w:rPr>
                <w:rFonts w:ascii="宋体" w:hAnsi="宋体" w:cs="宋体"/>
                <w:color w:val="auto"/>
                <w:szCs w:val="21"/>
              </w:rPr>
            </w:pPr>
          </w:p>
        </w:tc>
        <w:tc>
          <w:tcPr>
            <w:tcW w:w="1189" w:type="dxa"/>
            <w:vAlign w:val="center"/>
          </w:tcPr>
          <w:p>
            <w:pPr>
              <w:adjustRightInd w:val="0"/>
              <w:snapToGrid w:val="0"/>
              <w:jc w:val="center"/>
              <w:rPr>
                <w:rFonts w:ascii="宋体" w:hAnsi="宋体" w:cs="宋体"/>
                <w:color w:val="auto"/>
                <w:szCs w:val="21"/>
              </w:rPr>
            </w:pPr>
          </w:p>
        </w:tc>
        <w:tc>
          <w:tcPr>
            <w:tcW w:w="772" w:type="dxa"/>
            <w:vAlign w:val="center"/>
          </w:tcPr>
          <w:p>
            <w:pPr>
              <w:adjustRightInd w:val="0"/>
              <w:snapToGrid w:val="0"/>
              <w:jc w:val="center"/>
              <w:rPr>
                <w:rFonts w:ascii="宋体" w:hAnsi="宋体" w:cs="宋体"/>
                <w:color w:val="auto"/>
                <w:szCs w:val="21"/>
              </w:rPr>
            </w:pPr>
          </w:p>
        </w:tc>
        <w:tc>
          <w:tcPr>
            <w:tcW w:w="835" w:type="dxa"/>
            <w:vAlign w:val="center"/>
          </w:tcPr>
          <w:p>
            <w:pPr>
              <w:adjustRightInd w:val="0"/>
              <w:snapToGrid w:val="0"/>
              <w:jc w:val="center"/>
              <w:rPr>
                <w:rFonts w:ascii="宋体" w:hAnsi="宋体" w:cs="宋体"/>
                <w:color w:val="auto"/>
                <w:szCs w:val="21"/>
              </w:rPr>
            </w:pPr>
          </w:p>
        </w:tc>
        <w:tc>
          <w:tcPr>
            <w:tcW w:w="1479" w:type="dxa"/>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35000</w:t>
            </w:r>
          </w:p>
        </w:tc>
        <w:tc>
          <w:tcPr>
            <w:tcW w:w="1018" w:type="dxa"/>
            <w:vAlign w:val="center"/>
          </w:tcPr>
          <w:p>
            <w:pPr>
              <w:adjustRightInd w:val="0"/>
              <w:snapToGrid w:val="0"/>
              <w:jc w:val="center"/>
              <w:rPr>
                <w:rFonts w:ascii="宋体" w:hAnsi="宋体" w:cs="宋体"/>
                <w:color w:val="auto"/>
                <w:szCs w:val="21"/>
              </w:rPr>
            </w:pPr>
          </w:p>
        </w:tc>
        <w:tc>
          <w:tcPr>
            <w:tcW w:w="739" w:type="dxa"/>
            <w:vAlign w:val="center"/>
          </w:tcPr>
          <w:p>
            <w:pPr>
              <w:adjustRightInd w:val="0"/>
              <w:snapToGrid w:val="0"/>
              <w:jc w:val="center"/>
              <w:rPr>
                <w:rFonts w:ascii="宋体" w:hAnsi="宋体" w:cs="宋体"/>
                <w:color w:val="auto"/>
                <w:szCs w:val="21"/>
              </w:rPr>
            </w:pPr>
          </w:p>
        </w:tc>
        <w:tc>
          <w:tcPr>
            <w:tcW w:w="707" w:type="dxa"/>
            <w:vAlign w:val="center"/>
          </w:tcPr>
          <w:p>
            <w:pPr>
              <w:adjustRightInd w:val="0"/>
              <w:snapToGrid w:val="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45" w:type="dxa"/>
            <w:vAlign w:val="center"/>
          </w:tcPr>
          <w:p>
            <w:pPr>
              <w:adjustRightInd w:val="0"/>
              <w:snapToGrid w:val="0"/>
              <w:jc w:val="center"/>
              <w:rPr>
                <w:rFonts w:ascii="宋体" w:hAnsi="宋体" w:cs="宋体"/>
                <w:color w:val="auto"/>
                <w:szCs w:val="21"/>
              </w:rPr>
            </w:pPr>
            <w:r>
              <w:rPr>
                <w:rFonts w:hint="eastAsia" w:ascii="宋体" w:hAnsi="宋体" w:cs="宋体"/>
                <w:color w:val="auto"/>
                <w:szCs w:val="21"/>
              </w:rPr>
              <w:t>4</w:t>
            </w:r>
          </w:p>
        </w:tc>
        <w:tc>
          <w:tcPr>
            <w:tcW w:w="1477" w:type="dxa"/>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电磁场分析仪</w:t>
            </w:r>
          </w:p>
        </w:tc>
        <w:tc>
          <w:tcPr>
            <w:tcW w:w="1157" w:type="dxa"/>
            <w:vAlign w:val="center"/>
          </w:tcPr>
          <w:p>
            <w:pPr>
              <w:adjustRightInd w:val="0"/>
              <w:snapToGrid w:val="0"/>
              <w:jc w:val="center"/>
              <w:rPr>
                <w:rFonts w:ascii="宋体" w:hAnsi="宋体" w:cs="宋体"/>
                <w:color w:val="auto"/>
                <w:szCs w:val="21"/>
              </w:rPr>
            </w:pPr>
          </w:p>
        </w:tc>
        <w:tc>
          <w:tcPr>
            <w:tcW w:w="1189" w:type="dxa"/>
            <w:vAlign w:val="center"/>
          </w:tcPr>
          <w:p>
            <w:pPr>
              <w:adjustRightInd w:val="0"/>
              <w:snapToGrid w:val="0"/>
              <w:jc w:val="center"/>
              <w:rPr>
                <w:rFonts w:ascii="宋体" w:hAnsi="宋体" w:cs="宋体"/>
                <w:color w:val="auto"/>
                <w:szCs w:val="21"/>
              </w:rPr>
            </w:pPr>
          </w:p>
        </w:tc>
        <w:tc>
          <w:tcPr>
            <w:tcW w:w="772" w:type="dxa"/>
            <w:vAlign w:val="center"/>
          </w:tcPr>
          <w:p>
            <w:pPr>
              <w:adjustRightInd w:val="0"/>
              <w:snapToGrid w:val="0"/>
              <w:jc w:val="center"/>
              <w:rPr>
                <w:rFonts w:ascii="宋体" w:hAnsi="宋体" w:cs="宋体"/>
                <w:color w:val="auto"/>
                <w:szCs w:val="21"/>
              </w:rPr>
            </w:pPr>
          </w:p>
        </w:tc>
        <w:tc>
          <w:tcPr>
            <w:tcW w:w="835" w:type="dxa"/>
            <w:vAlign w:val="center"/>
          </w:tcPr>
          <w:p>
            <w:pPr>
              <w:adjustRightInd w:val="0"/>
              <w:snapToGrid w:val="0"/>
              <w:jc w:val="center"/>
              <w:rPr>
                <w:rFonts w:ascii="宋体" w:hAnsi="宋体" w:cs="宋体"/>
                <w:color w:val="auto"/>
                <w:szCs w:val="21"/>
              </w:rPr>
            </w:pPr>
          </w:p>
        </w:tc>
        <w:tc>
          <w:tcPr>
            <w:tcW w:w="1479" w:type="dxa"/>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99000</w:t>
            </w:r>
          </w:p>
        </w:tc>
        <w:tc>
          <w:tcPr>
            <w:tcW w:w="1018" w:type="dxa"/>
            <w:vAlign w:val="center"/>
          </w:tcPr>
          <w:p>
            <w:pPr>
              <w:adjustRightInd w:val="0"/>
              <w:snapToGrid w:val="0"/>
              <w:jc w:val="center"/>
              <w:rPr>
                <w:rFonts w:ascii="宋体" w:hAnsi="宋体" w:cs="宋体"/>
                <w:color w:val="auto"/>
                <w:szCs w:val="21"/>
              </w:rPr>
            </w:pPr>
          </w:p>
        </w:tc>
        <w:tc>
          <w:tcPr>
            <w:tcW w:w="739" w:type="dxa"/>
            <w:vAlign w:val="center"/>
          </w:tcPr>
          <w:p>
            <w:pPr>
              <w:adjustRightInd w:val="0"/>
              <w:snapToGrid w:val="0"/>
              <w:jc w:val="center"/>
              <w:rPr>
                <w:rFonts w:ascii="宋体" w:hAnsi="宋体" w:cs="宋体"/>
                <w:color w:val="auto"/>
                <w:szCs w:val="21"/>
              </w:rPr>
            </w:pPr>
          </w:p>
        </w:tc>
        <w:tc>
          <w:tcPr>
            <w:tcW w:w="707" w:type="dxa"/>
            <w:vAlign w:val="center"/>
          </w:tcPr>
          <w:p>
            <w:pPr>
              <w:adjustRightInd w:val="0"/>
              <w:snapToGrid w:val="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572" w:type="dxa"/>
            <w:gridSpan w:val="8"/>
            <w:vAlign w:val="center"/>
          </w:tcPr>
          <w:p>
            <w:pPr>
              <w:adjustRightInd w:val="0"/>
              <w:snapToGrid w:val="0"/>
              <w:jc w:val="center"/>
              <w:rPr>
                <w:rFonts w:ascii="宋体" w:hAnsi="宋体" w:cs="宋体"/>
                <w:color w:val="auto"/>
                <w:szCs w:val="21"/>
              </w:rPr>
            </w:pPr>
            <w:r>
              <w:rPr>
                <w:rFonts w:hint="eastAsia" w:ascii="宋体" w:hAnsi="宋体" w:cs="宋体"/>
                <w:color w:val="auto"/>
                <w:szCs w:val="21"/>
              </w:rPr>
              <w:t>总计</w:t>
            </w:r>
          </w:p>
        </w:tc>
        <w:tc>
          <w:tcPr>
            <w:tcW w:w="739" w:type="dxa"/>
            <w:vAlign w:val="center"/>
          </w:tcPr>
          <w:p>
            <w:pPr>
              <w:adjustRightInd w:val="0"/>
              <w:snapToGrid w:val="0"/>
              <w:jc w:val="center"/>
              <w:rPr>
                <w:rFonts w:ascii="宋体" w:hAnsi="宋体" w:cs="宋体"/>
                <w:color w:val="auto"/>
                <w:szCs w:val="21"/>
              </w:rPr>
            </w:pPr>
          </w:p>
        </w:tc>
        <w:tc>
          <w:tcPr>
            <w:tcW w:w="707" w:type="dxa"/>
            <w:vAlign w:val="center"/>
          </w:tcPr>
          <w:p>
            <w:pPr>
              <w:adjustRightInd w:val="0"/>
              <w:snapToGrid w:val="0"/>
              <w:jc w:val="center"/>
              <w:rPr>
                <w:rFonts w:ascii="宋体" w:hAnsi="宋体" w:cs="宋体"/>
                <w:color w:val="auto"/>
                <w:szCs w:val="21"/>
              </w:rPr>
            </w:pPr>
          </w:p>
        </w:tc>
      </w:tr>
    </w:tbl>
    <w:p>
      <w:pPr>
        <w:adjustRightInd w:val="0"/>
        <w:snapToGrid w:val="0"/>
        <w:rPr>
          <w:rFonts w:ascii="宋体" w:hAnsi="宋体" w:cs="宋体"/>
          <w:szCs w:val="21"/>
        </w:rPr>
      </w:pPr>
    </w:p>
    <w:p>
      <w:pPr>
        <w:adjustRightInd w:val="0"/>
        <w:snapToGrid w:val="0"/>
        <w:rPr>
          <w:rFonts w:ascii="宋体" w:hAnsi="宋体" w:cs="宋体"/>
          <w:szCs w:val="21"/>
        </w:rPr>
      </w:pPr>
      <w:r>
        <w:rPr>
          <w:rFonts w:hint="eastAsia" w:ascii="宋体" w:hAnsi="宋体" w:cs="宋体"/>
          <w:szCs w:val="21"/>
        </w:rPr>
        <w:t>说明：</w:t>
      </w:r>
    </w:p>
    <w:p>
      <w:pPr>
        <w:numPr>
          <w:ilvl w:val="0"/>
          <w:numId w:val="40"/>
        </w:numPr>
        <w:adjustRightInd w:val="0"/>
        <w:snapToGrid w:val="0"/>
        <w:rPr>
          <w:rFonts w:ascii="宋体" w:hAnsi="宋体" w:cs="宋体"/>
          <w:szCs w:val="21"/>
        </w:rPr>
      </w:pPr>
      <w:r>
        <w:rPr>
          <w:rFonts w:hint="eastAsia" w:ascii="宋体" w:hAnsi="宋体" w:cs="宋体"/>
          <w:szCs w:val="21"/>
        </w:rPr>
        <w:t>所有价格按照“供应商须知”要求执行。</w:t>
      </w:r>
    </w:p>
    <w:p>
      <w:pPr>
        <w:numPr>
          <w:ilvl w:val="0"/>
          <w:numId w:val="40"/>
        </w:numPr>
        <w:adjustRightInd w:val="0"/>
        <w:snapToGrid w:val="0"/>
        <w:rPr>
          <w:rFonts w:ascii="宋体" w:hAnsi="宋体" w:cs="宋体"/>
          <w:szCs w:val="21"/>
        </w:rPr>
      </w:pPr>
      <w:r>
        <w:rPr>
          <w:rFonts w:hint="eastAsia" w:ascii="宋体" w:hAnsi="宋体" w:cs="宋体"/>
          <w:szCs w:val="21"/>
        </w:rPr>
        <w:t>分项报价总计价格必须与《报价一览表》报价一致。</w:t>
      </w:r>
    </w:p>
    <w:p>
      <w:pPr>
        <w:numPr>
          <w:ilvl w:val="0"/>
          <w:numId w:val="40"/>
        </w:numPr>
        <w:adjustRightInd w:val="0"/>
        <w:snapToGrid w:val="0"/>
        <w:rPr>
          <w:rFonts w:ascii="宋体" w:hAnsi="宋体" w:cs="宋体"/>
          <w:szCs w:val="21"/>
        </w:rPr>
      </w:pPr>
      <w:r>
        <w:rPr>
          <w:rFonts w:hint="eastAsia" w:ascii="宋体" w:hAnsi="宋体" w:cs="宋体"/>
          <w:szCs w:val="21"/>
        </w:rPr>
        <w:t>如果不提供详细的报价费用构成可能将被视为没有实质性响应磋商文件。</w:t>
      </w:r>
    </w:p>
    <w:p>
      <w:pPr>
        <w:numPr>
          <w:ilvl w:val="0"/>
          <w:numId w:val="40"/>
        </w:numPr>
        <w:adjustRightInd w:val="0"/>
        <w:snapToGrid w:val="0"/>
        <w:rPr>
          <w:rFonts w:ascii="宋体" w:hAnsi="宋体" w:cs="宋体"/>
          <w:b/>
          <w:bCs/>
          <w:szCs w:val="21"/>
        </w:rPr>
      </w:pPr>
      <w:r>
        <w:rPr>
          <w:rFonts w:hint="eastAsia" w:ascii="宋体" w:hAnsi="宋体" w:cs="宋体"/>
          <w:b/>
          <w:bCs/>
          <w:szCs w:val="21"/>
        </w:rPr>
        <w:t>针对产地一栏，请供应商熟读《政府采购进口产品管理办法》，如实慎重填写；</w:t>
      </w:r>
      <w:r>
        <w:rPr>
          <w:rFonts w:hint="eastAsia" w:ascii="宋体" w:hAnsi="宋体" w:cs="宋体"/>
          <w:b/>
          <w:bCs/>
          <w:szCs w:val="21"/>
        </w:rPr>
        <w:br w:type="textWrapping"/>
      </w:r>
      <w:r>
        <w:rPr>
          <w:rFonts w:hint="eastAsia" w:ascii="宋体" w:hAnsi="宋体" w:cs="宋体"/>
          <w:b/>
          <w:bCs/>
          <w:szCs w:val="21"/>
        </w:rPr>
        <w:t>4.1国产设备请填写“中国”，国内生产的国外品牌请填写“中国”；</w:t>
      </w:r>
      <w:r>
        <w:rPr>
          <w:rFonts w:hint="eastAsia" w:ascii="宋体" w:hAnsi="宋体" w:cs="宋体"/>
          <w:b/>
          <w:bCs/>
          <w:szCs w:val="21"/>
        </w:rPr>
        <w:br w:type="textWrapping"/>
      </w:r>
      <w:r>
        <w:rPr>
          <w:rFonts w:hint="eastAsia" w:ascii="宋体" w:hAnsi="宋体" w:cs="宋体"/>
          <w:b/>
          <w:bCs/>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宋体" w:hAnsi="宋体" w:cs="宋体"/>
          <w:b/>
          <w:bCs/>
          <w:szCs w:val="21"/>
        </w:rPr>
      </w:pPr>
    </w:p>
    <w:p>
      <w:pPr>
        <w:spacing w:line="360" w:lineRule="auto"/>
        <w:rPr>
          <w:rFonts w:ascii="宋体" w:hAnsi="宋体" w:cs="宋体"/>
          <w:szCs w:val="21"/>
        </w:rPr>
      </w:pPr>
    </w:p>
    <w:p>
      <w:pPr>
        <w:spacing w:line="360" w:lineRule="auto"/>
        <w:rPr>
          <w:rFonts w:ascii="宋体" w:hAnsi="宋体" w:cs="宋体"/>
          <w:szCs w:val="21"/>
        </w:rPr>
      </w:pPr>
      <w:r>
        <w:rPr>
          <w:rFonts w:hint="eastAsia" w:ascii="宋体" w:hAnsi="宋体" w:cs="宋体"/>
          <w:szCs w:val="21"/>
        </w:rPr>
        <w:t>磋商供应商法定代表人（签字）：</w:t>
      </w:r>
    </w:p>
    <w:p>
      <w:pPr>
        <w:spacing w:line="360" w:lineRule="auto"/>
        <w:rPr>
          <w:rFonts w:ascii="宋体" w:hAnsi="宋体" w:cs="宋体"/>
          <w:szCs w:val="21"/>
        </w:rPr>
      </w:pPr>
      <w:r>
        <w:rPr>
          <w:rFonts w:hint="eastAsia" w:ascii="宋体" w:hAnsi="宋体" w:cs="宋体"/>
          <w:szCs w:val="21"/>
        </w:rPr>
        <w:t>磋商供应商授权代表（签字）：</w:t>
      </w:r>
      <w:r>
        <w:rPr>
          <w:rFonts w:hint="eastAsia" w:ascii="宋体" w:hAnsi="宋体" w:cs="宋体"/>
          <w:szCs w:val="21"/>
          <w:u w:val="single"/>
        </w:rPr>
        <w:t xml:space="preserve">                        </w:t>
      </w:r>
    </w:p>
    <w:p>
      <w:pPr>
        <w:spacing w:line="360" w:lineRule="auto"/>
        <w:rPr>
          <w:rFonts w:ascii="宋体" w:hAnsi="宋体" w:cs="宋体"/>
          <w:szCs w:val="21"/>
          <w:u w:val="single"/>
        </w:rPr>
      </w:pPr>
      <w:r>
        <w:rPr>
          <w:rFonts w:hint="eastAsia" w:ascii="宋体" w:hAnsi="宋体" w:cs="宋体"/>
          <w:szCs w:val="21"/>
        </w:rPr>
        <w:t>磋商供应商名称（盖章）：</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时                 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pacing w:line="360" w:lineRule="auto"/>
        <w:rPr>
          <w:rFonts w:ascii="宋体" w:hAnsi="宋体" w:cs="宋体"/>
          <w:szCs w:val="21"/>
        </w:rPr>
      </w:pPr>
    </w:p>
    <w:p>
      <w:r>
        <w:rPr>
          <w:rFonts w:hint="eastAsia" w:ascii="宋体" w:hAnsi="宋体" w:cs="宋体"/>
          <w:szCs w:val="21"/>
        </w:rPr>
        <w:br w:type="page"/>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9" w:name="_Toc19211"/>
      <w:r>
        <w:rPr>
          <w:rFonts w:hint="eastAsia" w:asciiTheme="minorEastAsia" w:hAnsiTheme="minorEastAsia" w:eastAsiaTheme="minorEastAsia" w:cstheme="minorEastAsia"/>
          <w:b/>
          <w:bCs/>
          <w:szCs w:val="21"/>
        </w:rPr>
        <w:t>七、耗材清单</w:t>
      </w:r>
      <w:bookmarkEnd w:id="149"/>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left"/>
              <w:rPr>
                <w:rFonts w:asciiTheme="minorEastAsia" w:hAnsiTheme="minorEastAsia" w:eastAsiaTheme="minorEastAsia" w:cstheme="minorEastAsia"/>
                <w:kern w:val="0"/>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0" w:name="_Toc479184131"/>
      <w:bookmarkEnd w:id="150"/>
      <w:bookmarkStart w:id="151" w:name="_Toc7535"/>
      <w:bookmarkEnd w:id="151"/>
      <w:bookmarkStart w:id="152" w:name="_Toc32726"/>
      <w:bookmarkEnd w:id="152"/>
      <w:r>
        <w:br w:type="page"/>
      </w:r>
      <w:bookmarkStart w:id="153" w:name="_Toc29384"/>
      <w:r>
        <w:rPr>
          <w:rFonts w:hint="eastAsia" w:asciiTheme="minorEastAsia" w:hAnsiTheme="minorEastAsia" w:eastAsiaTheme="minorEastAsia" w:cstheme="minorEastAsia"/>
          <w:b/>
          <w:bCs/>
          <w:szCs w:val="21"/>
        </w:rPr>
        <w:t>八、拟投入设备/备件、工具情况</w:t>
      </w:r>
      <w:bookmarkEnd w:id="153"/>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left"/>
              <w:rPr>
                <w:rFonts w:asciiTheme="minorEastAsia" w:hAnsiTheme="minorEastAsia" w:eastAsiaTheme="minorEastAsia" w:cstheme="minorEastAsia"/>
                <w:kern w:val="0"/>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4" w:name="_Toc479184132"/>
      <w:bookmarkEnd w:id="154"/>
      <w:bookmarkStart w:id="155" w:name="_Toc450827818"/>
      <w:bookmarkEnd w:id="155"/>
      <w:bookmarkStart w:id="156" w:name="_Toc10449"/>
      <w:bookmarkEnd w:id="156"/>
      <w:bookmarkStart w:id="157" w:name="_Toc27053"/>
      <w:bookmarkEnd w:id="157"/>
      <w:r>
        <w:br w:type="page"/>
      </w:r>
      <w:bookmarkStart w:id="158" w:name="_Toc15267"/>
      <w:r>
        <w:rPr>
          <w:rFonts w:hint="eastAsia" w:asciiTheme="minorEastAsia" w:hAnsiTheme="minorEastAsia" w:eastAsiaTheme="minorEastAsia" w:cstheme="minorEastAsia"/>
          <w:b/>
          <w:bCs/>
          <w:szCs w:val="21"/>
        </w:rPr>
        <w:t>九、缴纳保证金的银行凭证（如有）</w:t>
      </w:r>
      <w:bookmarkEnd w:id="158"/>
    </w:p>
    <w:p>
      <w:pPr>
        <w:spacing w:line="360" w:lineRule="auto"/>
        <w:jc w:val="center"/>
        <w:rPr>
          <w:rFonts w:asciiTheme="minorEastAsia" w:hAnsiTheme="minorEastAsia" w:eastAsiaTheme="minorEastAsia" w:cstheme="minorEastAsia"/>
          <w:bCs/>
          <w:szCs w:val="21"/>
        </w:rPr>
      </w:pPr>
      <w:r>
        <w:tab/>
      </w:r>
      <w:r>
        <w:tab/>
      </w:r>
      <w:r>
        <w:tab/>
      </w:r>
      <w:r>
        <w:tab/>
      </w:r>
      <w:r>
        <w:tab/>
      </w:r>
      <w:r>
        <w:tab/>
      </w:r>
      <w:r>
        <w:tab/>
      </w:r>
      <w:r>
        <w:tab/>
      </w:r>
      <w:r>
        <w:tab/>
      </w:r>
      <w:r>
        <w:rPr>
          <w:rFonts w:hint="eastAsia" w:asciiTheme="minorEastAsia" w:hAnsiTheme="minorEastAsia" w:eastAsiaTheme="minorEastAsia" w:cstheme="minorEastAsia"/>
          <w:bCs/>
          <w:szCs w:val="21"/>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中创恒梦工程咨询有限公司：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9" w:name="_Toc432149012"/>
      <w:bookmarkEnd w:id="159"/>
      <w:bookmarkStart w:id="160" w:name="_Toc28200"/>
      <w:bookmarkEnd w:id="160"/>
      <w:bookmarkStart w:id="161" w:name="_Toc422466736"/>
      <w:bookmarkEnd w:id="161"/>
      <w:bookmarkStart w:id="162" w:name="_Toc1591"/>
      <w:bookmarkEnd w:id="162"/>
      <w:bookmarkStart w:id="163" w:name="_Toc479184133"/>
      <w:bookmarkEnd w:id="163"/>
      <w:r>
        <w:br w:type="page"/>
      </w:r>
      <w:bookmarkStart w:id="164" w:name="_Toc2121"/>
      <w:r>
        <w:rPr>
          <w:rFonts w:hint="eastAsia" w:asciiTheme="minorEastAsia" w:hAnsiTheme="minorEastAsia" w:eastAsiaTheme="minorEastAsia" w:cstheme="minorEastAsia"/>
          <w:b/>
          <w:bCs/>
          <w:szCs w:val="21"/>
        </w:rPr>
        <w:t>十、偏离说明表</w:t>
      </w:r>
      <w:bookmarkEnd w:id="164"/>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41"/>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1"/>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65" w:name="_Toc432149013"/>
      <w:bookmarkEnd w:id="165"/>
      <w:bookmarkStart w:id="166" w:name="_Toc362935521"/>
      <w:bookmarkEnd w:id="166"/>
      <w:bookmarkStart w:id="167" w:name="_Toc479184134"/>
      <w:bookmarkEnd w:id="167"/>
      <w:bookmarkStart w:id="168" w:name="_Toc32060"/>
      <w:bookmarkEnd w:id="168"/>
      <w:bookmarkStart w:id="169" w:name="_Toc28283"/>
      <w:bookmarkEnd w:id="169"/>
      <w:r>
        <w:br w:type="page"/>
      </w:r>
      <w:bookmarkStart w:id="170" w:name="_Toc13925"/>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r>
        <w:br w:type="textWrapping"/>
      </w:r>
      <w:bookmarkEnd w:id="170"/>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br w:type="textWrapping"/>
      </w:r>
      <w:r>
        <w:rPr>
          <w:rFonts w:hint="eastAsia" w:asciiTheme="minorEastAsia" w:hAnsiTheme="minorEastAsia" w:eastAsiaTheme="minorEastAsia" w:cstheme="minorEastAsia"/>
          <w:szCs w:val="21"/>
        </w:rPr>
        <w:t>2.公开竞标成交的类似业绩，还应提供成交/中标公告网页链接。</w:t>
      </w:r>
      <w:r>
        <w:br w:type="textWrapping"/>
      </w:r>
      <w:r>
        <w:rPr>
          <w:rFonts w:hint="eastAsia" w:asciiTheme="minorEastAsia" w:hAnsiTheme="minorEastAsia" w:eastAsiaTheme="minorEastAsia" w:cstheme="minorEastAsia"/>
          <w:szCs w:val="21"/>
        </w:rPr>
        <w:t>3.经查实存在虚假信息（服务单位联系人与实际不符或合同金额不符等）将被取消资格。</w:t>
      </w:r>
    </w:p>
    <w:p>
      <w:pPr>
        <w:spacing w:line="360" w:lineRule="auto"/>
        <w:rPr>
          <w:rFonts w:asciiTheme="minorEastAsia" w:hAnsiTheme="minorEastAsia" w:eastAsiaTheme="minorEastAsia" w:cstheme="minorEastAsia"/>
          <w:szCs w:val="21"/>
        </w:rPr>
      </w:pPr>
      <w:bookmarkStart w:id="171" w:name="_Toc460258118"/>
      <w:bookmarkStart w:id="172" w:name="_Toc454806053"/>
      <w:r>
        <w:br w:type="textWrapping"/>
      </w:r>
      <w: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bookmarkEnd w:id="171"/>
    <w:bookmarkEnd w:id="172"/>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73" w:name="_Toc4834"/>
      <w:bookmarkEnd w:id="173"/>
      <w:bookmarkStart w:id="174" w:name="_Toc30455"/>
      <w:bookmarkEnd w:id="174"/>
      <w:bookmarkStart w:id="175" w:name="_Toc479184135"/>
      <w:bookmarkEnd w:id="175"/>
      <w:r>
        <w:br w:type="page"/>
      </w:r>
      <w:bookmarkStart w:id="176" w:name="_Toc4828"/>
      <w:r>
        <w:rPr>
          <w:rFonts w:hint="eastAsia" w:asciiTheme="minorEastAsia" w:hAnsiTheme="minorEastAsia" w:eastAsiaTheme="minorEastAsia" w:cstheme="minorEastAsia"/>
          <w:b/>
          <w:bCs/>
          <w:szCs w:val="21"/>
        </w:rPr>
        <w:t>十二、拟投入项目组人员一览表</w:t>
      </w:r>
      <w:bookmarkEnd w:id="176"/>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br w:type="textWrapping"/>
      </w:r>
      <w: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77" w:name="_Toc432149014"/>
      <w:bookmarkEnd w:id="177"/>
      <w:bookmarkStart w:id="178" w:name="_Toc422466737"/>
      <w:bookmarkEnd w:id="178"/>
      <w:bookmarkStart w:id="179" w:name="_Toc10429"/>
      <w:bookmarkEnd w:id="179"/>
      <w:bookmarkStart w:id="180" w:name="_Toc479184136"/>
      <w:bookmarkEnd w:id="180"/>
      <w:bookmarkStart w:id="181" w:name="_Toc26838"/>
      <w:bookmarkEnd w:id="181"/>
      <w:r>
        <w:br w:type="page"/>
      </w:r>
      <w:bookmarkStart w:id="182" w:name="_Toc8258"/>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182"/>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净值：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83" w:name="_Toc479184137"/>
      <w:bookmarkEnd w:id="183"/>
      <w:bookmarkStart w:id="184" w:name="_Toc17527"/>
      <w:bookmarkEnd w:id="184"/>
      <w:bookmarkStart w:id="185" w:name="_Toc450827823"/>
      <w:bookmarkEnd w:id="185"/>
      <w:bookmarkStart w:id="186" w:name="_Toc259028731"/>
      <w:bookmarkEnd w:id="186"/>
      <w:bookmarkStart w:id="187" w:name="_Toc17331"/>
      <w:bookmarkEnd w:id="187"/>
      <w:r>
        <w:br w:type="page"/>
      </w:r>
      <w:bookmarkStart w:id="188" w:name="_Toc18972"/>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188"/>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提供第一章第二款资格要求的资格证明文件的真彩扫描件，详见第二章供应商须知前附表14.1条款内容。</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br w:type="textWrapping"/>
      </w:r>
      <w:r>
        <w:br w:type="textWrapping"/>
      </w:r>
      <w:r>
        <w:br w:type="textWrapping"/>
      </w:r>
      <w:r>
        <w:br w:type="textWrapping"/>
      </w:r>
      <w:r>
        <w:br w:type="textWrapping"/>
      </w:r>
      <w:r>
        <w:br w:type="textWrapping"/>
      </w:r>
      <w:r>
        <w:br w:type="textWrapping"/>
      </w:r>
    </w:p>
    <w:p>
      <w:pPr>
        <w:spacing w:line="360" w:lineRule="auto"/>
        <w:ind w:left="168" w:leftChars="80"/>
        <w:jc w:val="center"/>
        <w:rPr>
          <w:rFonts w:asciiTheme="minorEastAsia" w:hAnsiTheme="minorEastAsia" w:eastAsiaTheme="minorEastAsia" w:cstheme="minorEastAsia"/>
          <w:bCs/>
          <w:szCs w:val="21"/>
        </w:rPr>
      </w:pPr>
      <w:bookmarkStart w:id="189" w:name="_Toc364868916"/>
      <w:bookmarkStart w:id="190" w:name="_Toc427239751"/>
      <w:bookmarkStart w:id="191" w:name="_Toc32187"/>
      <w:bookmarkStart w:id="192" w:name="_Toc358447587"/>
      <w:bookmarkStart w:id="193" w:name="_Toc5793"/>
      <w:bookmarkStart w:id="194" w:name="_Toc290207179"/>
      <w:bookmarkStart w:id="195" w:name="_Toc18555"/>
      <w:r>
        <w:br w:type="textWrapping"/>
      </w:r>
      <w:r>
        <w:br w:type="textWrapping"/>
      </w:r>
    </w:p>
    <w:bookmarkEnd w:id="189"/>
    <w:bookmarkEnd w:id="190"/>
    <w:bookmarkEnd w:id="191"/>
    <w:bookmarkEnd w:id="192"/>
    <w:bookmarkEnd w:id="193"/>
    <w:bookmarkEnd w:id="194"/>
    <w:bookmarkEnd w:id="195"/>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196" w:name="_Toc460258123"/>
      <w:bookmarkEnd w:id="196"/>
      <w:bookmarkStart w:id="197" w:name="_Toc479184138"/>
      <w:bookmarkEnd w:id="197"/>
      <w:bookmarkStart w:id="198" w:name="_Toc27229"/>
      <w:bookmarkEnd w:id="198"/>
      <w:bookmarkStart w:id="199" w:name="_Toc29785"/>
      <w:bookmarkEnd w:id="199"/>
      <w:bookmarkStart w:id="200" w:name="_Toc26395"/>
      <w:r>
        <w:rPr>
          <w:rFonts w:hint="eastAsia" w:asciiTheme="minorEastAsia" w:hAnsiTheme="minorEastAsia" w:eastAsiaTheme="minorEastAsia" w:cstheme="minorEastAsia"/>
          <w:b/>
          <w:bCs/>
          <w:kern w:val="0"/>
          <w:szCs w:val="21"/>
        </w:rPr>
        <w:t>十五、报价技术文件</w:t>
      </w:r>
      <w:bookmarkEnd w:id="200"/>
    </w:p>
    <w:p>
      <w:pPr>
        <w:rPr>
          <w:rFonts w:asciiTheme="minorEastAsia" w:hAnsiTheme="minorEastAsia" w:eastAsiaTheme="minorEastAsia" w:cstheme="minorEastAsia"/>
          <w:szCs w:val="21"/>
        </w:rPr>
      </w:pPr>
    </w:p>
    <w:p>
      <w:pPr>
        <w:pStyle w:val="101"/>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bookmarkStart w:id="201" w:name="_Toc356836516"/>
      <w:bookmarkEnd w:id="201"/>
      <w:bookmarkStart w:id="202" w:name="_Toc12119"/>
      <w:bookmarkEnd w:id="202"/>
      <w:bookmarkStart w:id="203" w:name="_Toc8098"/>
      <w:bookmarkEnd w:id="203"/>
      <w:bookmarkStart w:id="204" w:name="_Toc2101"/>
      <w:bookmarkEnd w:id="204"/>
      <w:bookmarkStart w:id="205" w:name="_Toc432149016"/>
      <w:bookmarkEnd w:id="205"/>
      <w:bookmarkStart w:id="206" w:name="_Toc479184140"/>
      <w:bookmarkEnd w:id="206"/>
      <w:bookmarkStart w:id="207" w:name="_Toc22465"/>
      <w:bookmarkEnd w:id="207"/>
      <w:bookmarkStart w:id="208" w:name="_Toc422466739"/>
      <w:bookmarkEnd w:id="208"/>
      <w:bookmarkStart w:id="209" w:name="_Toc355802499"/>
      <w:bookmarkEnd w:id="209"/>
      <w:r>
        <w:br w:type="page"/>
      </w:r>
      <w:bookmarkStart w:id="210" w:name="_Toc20078"/>
      <w:r>
        <w:rPr>
          <w:rFonts w:hint="eastAsia" w:asciiTheme="minorEastAsia" w:hAnsiTheme="minorEastAsia" w:eastAsiaTheme="minorEastAsia" w:cstheme="minorEastAsia"/>
          <w:b/>
        </w:rPr>
        <w:t>十六、</w:t>
      </w:r>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）（若符合）</w:t>
      </w:r>
      <w:bookmarkEnd w:id="210"/>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hint="eastAsia" w:ascii="宋体" w:hAnsi="宋体" w:cs="宋体"/>
          <w:szCs w:val="21"/>
          <w:u w:val="single"/>
        </w:rPr>
        <w:t xml:space="preserve">          </w:t>
      </w:r>
      <w:r>
        <w:rPr>
          <w:rFonts w:ascii="宋体" w:hAnsi="宋体" w:cs="宋体"/>
          <w:szCs w:val="21"/>
          <w:u w:val="single"/>
        </w:rPr>
        <w:t>（单位名称）</w:t>
      </w:r>
      <w:r>
        <w:rPr>
          <w:rFonts w:ascii="宋体" w:hAnsi="宋体" w:cs="宋体"/>
          <w:szCs w:val="21"/>
        </w:rPr>
        <w:t>的</w:t>
      </w:r>
      <w:r>
        <w:rPr>
          <w:rFonts w:hint="eastAsia" w:ascii="宋体" w:hAnsi="宋体" w:cs="宋体"/>
          <w:szCs w:val="21"/>
          <w:u w:val="single"/>
        </w:rPr>
        <w:t xml:space="preserve">          </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br w:type="textWrapping"/>
      </w:r>
      <w:r>
        <w:rPr>
          <w:rFonts w:hint="eastAsia" w:ascii="宋体" w:hAnsi="宋体" w:cs="宋体"/>
          <w:szCs w:val="21"/>
        </w:rPr>
        <w:t xml:space="preserve">    </w:t>
      </w:r>
      <w:r>
        <w:rPr>
          <w:rFonts w:ascii="宋体" w:hAnsi="宋体" w:cs="宋体"/>
          <w:szCs w:val="21"/>
        </w:rPr>
        <w:t xml:space="preserve">1.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 xml:space="preserve"> 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br w:type="textWrapping"/>
      </w:r>
      <w:r>
        <w:rPr>
          <w:rFonts w:hint="eastAsia" w:ascii="宋体" w:hAnsi="宋体" w:cs="宋体"/>
          <w:szCs w:val="21"/>
        </w:rPr>
        <w:t xml:space="preserve">    </w:t>
      </w:r>
      <w:r>
        <w:rPr>
          <w:rFonts w:ascii="宋体" w:hAnsi="宋体" w:cs="宋体"/>
          <w:szCs w:val="21"/>
        </w:rPr>
        <w:t xml:space="preserve">2.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br w:type="textWrapping"/>
      </w:r>
      <w:r>
        <w:rPr>
          <w:rFonts w:hint="eastAsia" w:ascii="宋体" w:hAnsi="宋体" w:cs="宋体"/>
          <w:szCs w:val="21"/>
        </w:rPr>
        <w:t xml:space="preserve">    </w:t>
      </w:r>
      <w:r>
        <w:rPr>
          <w:rFonts w:ascii="宋体" w:hAnsi="宋体" w:cs="宋体"/>
          <w:szCs w:val="21"/>
        </w:rPr>
        <w:t xml:space="preserve">…… </w:t>
      </w:r>
      <w:r>
        <w:br w:type="textWrapping"/>
      </w:r>
      <w:r>
        <w:rPr>
          <w:rFonts w:hint="eastAsia" w:ascii="宋体" w:hAnsi="宋体" w:cs="宋体"/>
          <w:szCs w:val="21"/>
        </w:rPr>
        <w:t xml:space="preserve">    </w:t>
      </w:r>
      <w:r>
        <w:rPr>
          <w:rFonts w:ascii="宋体" w:hAnsi="宋体" w:cs="宋体"/>
          <w:szCs w:val="21"/>
        </w:rPr>
        <w:t xml:space="preserve">以上企业，不属于大企业的分支机构，不存在控股股东为大企业的情形，也不存在与大企业的负责人为同一人的情形。 </w:t>
      </w:r>
      <w:r>
        <w:br w:type="textWrapping"/>
      </w:r>
      <w:r>
        <w:rPr>
          <w:rFonts w:hint="eastAsia" w:ascii="宋体" w:hAnsi="宋体" w:cs="宋体"/>
          <w:szCs w:val="21"/>
        </w:rPr>
        <w:t xml:space="preserve">    </w:t>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hint="eastAsia" w:ascii="宋体" w:hAnsi="宋体" w:cs="宋体"/>
          <w:szCs w:val="21"/>
        </w:rPr>
        <w:t xml:space="preserve">                                                </w:t>
      </w: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w:t>
      </w:r>
    </w:p>
    <w:p>
      <w:pPr>
        <w:spacing w:line="360" w:lineRule="auto"/>
        <w:ind w:firstLine="420" w:firstLineChars="200"/>
        <w:rPr>
          <w:rFonts w:asciiTheme="minorEastAsia" w:hAnsiTheme="minorEastAsia" w:eastAsiaTheme="minorEastAsia" w:cstheme="minorEastAsia"/>
          <w:szCs w:val="21"/>
        </w:rPr>
      </w:pPr>
      <w:r>
        <w:br w:type="textWrapping"/>
      </w:r>
      <w: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r>
        <w:br w:type="textWrapping"/>
      </w:r>
    </w:p>
    <w:p>
      <w:pPr>
        <w:adjustRightInd w:val="0"/>
        <w:snapToGrid w:val="0"/>
        <w:jc w:val="center"/>
        <w:outlineLvl w:val="1"/>
        <w:rPr>
          <w:rFonts w:asciiTheme="minorEastAsia" w:hAnsiTheme="minorEastAsia" w:eastAsiaTheme="minorEastAsia" w:cstheme="minorEastAsia"/>
          <w:b/>
        </w:rPr>
      </w:pPr>
      <w:bookmarkStart w:id="211" w:name="_Toc29621"/>
      <w:bookmarkStart w:id="212" w:name="_Toc30406"/>
      <w:bookmarkStart w:id="213" w:name="_Toc476839034"/>
      <w:bookmarkStart w:id="214" w:name="_Toc479184141"/>
      <w:bookmarkStart w:id="215" w:name="_Toc7229"/>
      <w:bookmarkStart w:id="216" w:name="_Toc4320"/>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11"/>
    </w:p>
    <w:p>
      <w:pPr>
        <w:rPr>
          <w:rFonts w:asciiTheme="minorEastAsia" w:hAnsiTheme="minorEastAsia" w:eastAsiaTheme="minorEastAsia" w:cstheme="minorEastAsia"/>
          <w:szCs w:val="21"/>
        </w:rPr>
      </w:pPr>
      <w:r>
        <w:br w:type="textWrapping"/>
      </w:r>
      <w:r>
        <w:rPr>
          <w:rFonts w:hint="eastAsia" w:asciiTheme="minorEastAsia" w:hAnsiTheme="minorEastAsia" w:eastAsiaTheme="minorEastAsia" w:cstheme="minorEastAsia"/>
          <w:spacing w:val="6"/>
          <w:szCs w:val="21"/>
        </w:rPr>
        <w:t>供应商如是监狱企业，提供相关证明文件。</w:t>
      </w:r>
      <w: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
      <w:pPr>
        <w:adjustRightInd w:val="0"/>
        <w:snapToGrid w:val="0"/>
        <w:jc w:val="center"/>
        <w:outlineLvl w:val="1"/>
        <w:rPr>
          <w:rFonts w:asciiTheme="minorEastAsia" w:hAnsiTheme="minorEastAsia" w:eastAsiaTheme="minorEastAsia" w:cstheme="minorEastAsia"/>
          <w:b/>
          <w:lang w:val="zh-CN"/>
        </w:rPr>
      </w:pPr>
      <w:bookmarkStart w:id="217" w:name="_Toc28558"/>
      <w:r>
        <w:br w:type="textWrapping"/>
      </w: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17"/>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4"/>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4"/>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4"/>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18" w:name="_Toc167"/>
      <w:r>
        <w:rPr>
          <w:rFonts w:hint="eastAsia" w:asciiTheme="minorEastAsia" w:hAnsiTheme="minorEastAsia" w:eastAsiaTheme="minorEastAsia" w:cstheme="minorEastAsia"/>
          <w:b/>
        </w:rPr>
        <w:t>十九、节能环保产品证明材料（若符合）</w:t>
      </w:r>
      <w:bookmarkEnd w:id="218"/>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br w:type="textWrapping"/>
      </w:r>
      <w:r>
        <w:rPr>
          <w:rFonts w:hint="eastAsia" w:asciiTheme="minorEastAsia" w:hAnsiTheme="minorEastAsia" w:eastAsiaTheme="minorEastAsia" w:cstheme="minorEastAsia"/>
          <w:szCs w:val="21"/>
        </w:rPr>
        <w:t>（1）节能产品：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br w:type="textWrapping"/>
      </w:r>
      <w:r>
        <w:br w:type="textWrapping"/>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before="100" w:beforeAutospacing="1" w:after="100" w:afterAutospacing="1" w:line="360" w:lineRule="auto"/>
        <w:rPr>
          <w:rFonts w:asciiTheme="minorEastAsia" w:hAnsiTheme="minorEastAsia" w:eastAsiaTheme="minorEastAsia" w:cstheme="minorEastAsia"/>
          <w:szCs w:val="21"/>
        </w:rPr>
      </w:pPr>
      <w:r>
        <w:br w:type="textWrapping"/>
      </w:r>
    </w:p>
    <w:bookmarkEnd w:id="212"/>
    <w:bookmarkEnd w:id="213"/>
    <w:bookmarkEnd w:id="214"/>
    <w:bookmarkEnd w:id="215"/>
    <w:bookmarkEnd w:id="216"/>
    <w:p>
      <w:pPr>
        <w:adjustRightInd w:val="0"/>
        <w:snapToGrid w:val="0"/>
        <w:spacing w:line="360" w:lineRule="auto"/>
        <w:jc w:val="center"/>
        <w:outlineLvl w:val="1"/>
        <w:rPr>
          <w:rFonts w:asciiTheme="minorEastAsia" w:hAnsiTheme="minorEastAsia" w:eastAsiaTheme="minorEastAsia" w:cstheme="minorEastAsia"/>
          <w:b/>
        </w:rPr>
      </w:pPr>
      <w:bookmarkStart w:id="219" w:name="_Toc10332"/>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219"/>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br w:type="textWrapping"/>
      </w:r>
    </w:p>
    <w:p>
      <w:pPr>
        <w:jc w:val="center"/>
        <w:outlineLvl w:val="1"/>
        <w:rPr>
          <w:rFonts w:asciiTheme="minorEastAsia" w:hAnsiTheme="minorEastAsia" w:eastAsiaTheme="minorEastAsia" w:cstheme="minorEastAsia"/>
          <w:spacing w:val="6"/>
          <w:szCs w:val="21"/>
        </w:rPr>
      </w:pPr>
      <w:bookmarkStart w:id="220" w:name="_Toc10829"/>
      <w:bookmarkEnd w:id="220"/>
      <w:bookmarkStart w:id="221" w:name="_Toc9582"/>
      <w:r>
        <w:br w:type="textWrapping"/>
      </w: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r>
        <w:br w:type="textWrapping"/>
      </w:r>
      <w:bookmarkEnd w:id="221"/>
    </w:p>
    <w:tbl>
      <w:tblPr>
        <w:tblStyle w:val="26"/>
        <w:tblW w:w="5484" w:type="pct"/>
        <w:tblInd w:w="-466" w:type="dxa"/>
        <w:tblLayout w:type="fixed"/>
        <w:tblCellMar>
          <w:top w:w="0" w:type="dxa"/>
          <w:left w:w="0" w:type="dxa"/>
          <w:bottom w:w="0" w:type="dxa"/>
          <w:right w:w="0" w:type="dxa"/>
        </w:tblCellMar>
      </w:tblPr>
      <w:tblGrid>
        <w:gridCol w:w="1163"/>
        <w:gridCol w:w="663"/>
        <w:gridCol w:w="761"/>
        <w:gridCol w:w="819"/>
        <w:gridCol w:w="665"/>
        <w:gridCol w:w="783"/>
        <w:gridCol w:w="783"/>
        <w:gridCol w:w="657"/>
        <w:gridCol w:w="767"/>
        <w:gridCol w:w="746"/>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jc w:val="center"/>
              <w:textAlignment w:val="center"/>
              <w:rPr>
                <w:rFonts w:ascii="黑体" w:hAnsi="宋体" w:eastAsia="黑体" w:cs="黑体"/>
                <w:b/>
                <w:sz w:val="40"/>
                <w:szCs w:val="40"/>
              </w:rPr>
            </w:pPr>
            <w:r>
              <w:rPr>
                <w:rFonts w:hint="eastAsia" w:ascii="黑体" w:hAnsi="宋体" w:eastAsia="黑体" w:cs="黑体"/>
                <w:b/>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中小微型企业（</w:t>
            </w:r>
            <w:r>
              <w:rPr>
                <w:rFonts w:hint="eastAsia" w:ascii="宋体" w:hAnsi="宋体" w:cs="宋体"/>
                <w:b/>
                <w:kern w:val="0"/>
                <w:szCs w:val="21"/>
                <w:lang w:bidi="ar"/>
              </w:rPr>
              <w:t>或</w:t>
            </w:r>
            <w:r>
              <w:rPr>
                <w:rFonts w:hint="eastAsia" w:ascii="宋体" w:hAnsi="宋体" w:cs="宋体"/>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中型企业（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小型企业（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微型企业（</w:t>
            </w:r>
            <w:r>
              <w:rPr>
                <w:rFonts w:hint="eastAsia" w:ascii="宋体" w:hAnsi="宋体" w:cs="宋体"/>
                <w:b/>
                <w:kern w:val="0"/>
                <w:szCs w:val="21"/>
                <w:lang w:bidi="ar"/>
              </w:rPr>
              <w:t>或</w:t>
            </w:r>
            <w:r>
              <w:rPr>
                <w:rFonts w:hint="eastAsia" w:ascii="宋体" w:hAnsi="宋体" w:cs="宋体"/>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本规定适用于在中华人民共和国境内依法设立的各类所有制和各种组织形式的企业。</w:t>
            </w:r>
            <w:r>
              <w:rPr>
                <w:rFonts w:hint="eastAsia" w:ascii="宋体" w:hAnsi="宋体" w:cs="宋体"/>
                <w:b/>
                <w:kern w:val="0"/>
                <w:szCs w:val="21"/>
                <w:lang w:bidi="ar"/>
              </w:rPr>
              <w:t>个体工商户</w:t>
            </w:r>
            <w:r>
              <w:rPr>
                <w:rFonts w:hint="eastAsia" w:ascii="宋体" w:hAnsi="宋体" w:cs="宋体"/>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29" w:usb3="00000000" w:csb0="000101FF" w:csb1="00000000"/>
  </w:font>
  <w:font w:name="Microsoft YaHei UI">
    <w:altName w:val="宋体"/>
    <w:panose1 w:val="020B0503020204020204"/>
    <w:charset w:val="86"/>
    <w:family w:val="swiss"/>
    <w:pitch w:val="default"/>
    <w:sig w:usb0="00000000" w:usb1="00000000" w:usb2="00000016" w:usb3="00000000" w:csb0="0004001F" w:csb1="00000000"/>
  </w:font>
  <w:font w:name="方正小标宋简体">
    <w:altName w:val="黑体"/>
    <w:panose1 w:val="02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Microsoft Sans Serif">
    <w:panose1 w:val="020B0604020202020204"/>
    <w:charset w:val="00"/>
    <w:family w:val="auto"/>
    <w:pitch w:val="default"/>
    <w:sig w:usb0="E1002AFF" w:usb1="C0000002" w:usb2="00000008"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0"/>
      </w:rPr>
    </w:pPr>
    <w:r>
      <w:fldChar w:fldCharType="begin"/>
    </w:r>
    <w:r>
      <w:rPr>
        <w:rStyle w:val="30"/>
      </w:rPr>
      <w:instrText xml:space="preserve">PAGE  </w:instrText>
    </w:r>
    <w: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0"/>
      </w:rPr>
    </w:pPr>
    <w:r>
      <w:fldChar w:fldCharType="begin"/>
    </w:r>
    <w:r>
      <w:rPr>
        <w:rStyle w:val="30"/>
      </w:rPr>
      <w:instrText xml:space="preserve">PAGE  </w:instrText>
    </w:r>
    <w:r>
      <w:fldChar w:fldCharType="end"/>
    </w:r>
  </w:p>
  <w:p>
    <w:pPr>
      <w:pStyle w:val="1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 PAGE   \* MERGEFORMAT </w:instrText>
    </w:r>
    <w:r>
      <w:fldChar w:fldCharType="separate"/>
    </w:r>
    <w:r>
      <w:rPr>
        <w:lang w:val="zh-CN"/>
      </w:rPr>
      <w:t>6</w:t>
    </w:r>
    <w: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drawing>
        <wp:anchor distT="0" distB="0" distL="0" distR="0" simplePos="0" relativeHeight="251659264" behindDoc="1" locked="0" layoutInCell="1" allowOverlap="1">
          <wp:simplePos x="0" y="0"/>
          <wp:positionH relativeFrom="page">
            <wp:align>center</wp:align>
          </wp:positionH>
          <wp:positionV relativeFrom="page">
            <wp:align>center</wp:align>
          </wp:positionV>
          <wp:extent cx="7632700" cy="2540000"/>
          <wp:effectExtent l="0" t="0" r="0" b="0"/>
          <wp:wrapNone/>
          <wp:docPr id="16" name="PowerPlusWaterMarkObject2"/>
          <wp:cNvGraphicFramePr/>
          <a:graphic xmlns:a="http://schemas.openxmlformats.org/drawingml/2006/main">
            <a:graphicData uri="http://schemas.openxmlformats.org/drawingml/2006/picture">
              <pic:pic xmlns:pic="http://schemas.openxmlformats.org/drawingml/2006/picture">
                <pic:nvPicPr>
                  <pic:cNvPr id="16" name="PowerPlusWaterMarkObject2"/>
                  <pic:cNvPicPr/>
                </pic:nvPicPr>
                <pic:blipFill>
                  <a:blip/>
                </pic:blip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drawing>
        <wp:anchor distT="0" distB="0" distL="0" distR="0" simplePos="0" relativeHeight="251660288" behindDoc="1" locked="0" layoutInCell="1" allowOverlap="1">
          <wp:simplePos x="0" y="0"/>
          <wp:positionH relativeFrom="page">
            <wp:align>center</wp:align>
          </wp:positionH>
          <wp:positionV relativeFrom="page">
            <wp:align>center</wp:align>
          </wp:positionV>
          <wp:extent cx="7632700" cy="2540000"/>
          <wp:effectExtent l="0" t="0" r="0" b="0"/>
          <wp:wrapNone/>
          <wp:docPr id="15" name="_x0000_s2050"/>
          <wp:cNvGraphicFramePr/>
          <a:graphic xmlns:a="http://schemas.openxmlformats.org/drawingml/2006/main">
            <a:graphicData uri="http://schemas.openxmlformats.org/drawingml/2006/picture">
              <pic:pic xmlns:pic="http://schemas.openxmlformats.org/drawingml/2006/picture">
                <pic:nvPicPr>
                  <pic:cNvPr id="15" name="_x0000_s2050"/>
                  <pic:cNvPicPr/>
                </pic:nvPicPr>
                <pic:blipFill>
                  <a:blip/>
                </pic:blip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2">
    <w:nsid w:val="044F5BAD"/>
    <w:multiLevelType w:val="singleLevel"/>
    <w:tmpl w:val="044F5BAD"/>
    <w:lvl w:ilvl="0" w:tentative="0">
      <w:start w:val="1"/>
      <w:numFmt w:val="decimal"/>
      <w:suff w:val="nothing"/>
      <w:lvlText w:val="（%1）"/>
      <w:lvlJc w:val="left"/>
    </w:lvl>
  </w:abstractNum>
  <w:abstractNum w:abstractNumId="3">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15907297"/>
    <w:multiLevelType w:val="multilevel"/>
    <w:tmpl w:val="15907297"/>
    <w:lvl w:ilvl="0" w:tentative="0">
      <w:start w:val="1"/>
      <w:numFmt w:val="decimal"/>
      <w:pStyle w:val="84"/>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decimal"/>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20BA2AF0"/>
    <w:multiLevelType w:val="singleLevel"/>
    <w:tmpl w:val="20BA2AF0"/>
    <w:lvl w:ilvl="0" w:tentative="0">
      <w:start w:val="1"/>
      <w:numFmt w:val="decimal"/>
      <w:suff w:val="space"/>
      <w:lvlText w:val="%1）"/>
      <w:lvlJc w:val="left"/>
    </w:lvl>
  </w:abstractNum>
  <w:abstractNum w:abstractNumId="14">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5">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6">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90"/>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7">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8">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0">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1">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lvlText w:val="%1.%2"/>
      <w:lvlJc w:val="left"/>
      <w:pPr>
        <w:ind w:left="510" w:hanging="510"/>
      </w:pPr>
      <w:rPr>
        <w:rFonts w:hint="default"/>
      </w:rPr>
    </w:lvl>
    <w:lvl w:ilvl="2" w:tentative="0">
      <w:start w:val="1"/>
      <w:numFmt w:val="decimal"/>
      <w:lvlText w:val="%1.%2.%3"/>
      <w:lvlJc w:val="left"/>
      <w:pPr>
        <w:ind w:left="510" w:hanging="510"/>
      </w:pPr>
      <w:rPr>
        <w:rFonts w:hint="default"/>
      </w:rPr>
    </w:lvl>
    <w:lvl w:ilvl="3" w:tentative="0">
      <w:start w:val="1"/>
      <w:numFmt w:val="decimal"/>
      <w:lvlText w:val="%1.%2.%3.%4"/>
      <w:lvlJc w:val="left"/>
      <w:pPr>
        <w:ind w:left="510" w:hanging="510"/>
      </w:pPr>
      <w:rPr>
        <w:rFonts w:hint="default"/>
      </w:rPr>
    </w:lvl>
    <w:lvl w:ilvl="4" w:tentative="0">
      <w:start w:val="1"/>
      <w:numFmt w:val="decimal"/>
      <w:lvlText w:val="%1.%2.%3.%4.%5"/>
      <w:lvlJc w:val="left"/>
      <w:pPr>
        <w:ind w:left="510" w:hanging="510"/>
      </w:pPr>
      <w:rPr>
        <w:rFonts w:hint="default"/>
      </w:rPr>
    </w:lvl>
    <w:lvl w:ilvl="5" w:tentative="0">
      <w:start w:val="1"/>
      <w:numFmt w:val="decimal"/>
      <w:lvlText w:val="%1.%2.%3.%4.%5.%6"/>
      <w:lvlJc w:val="left"/>
      <w:pPr>
        <w:ind w:left="510" w:hanging="510"/>
      </w:pPr>
      <w:rPr>
        <w:rFonts w:hint="default"/>
      </w:rPr>
    </w:lvl>
    <w:lvl w:ilvl="6" w:tentative="0">
      <w:start w:val="1"/>
      <w:numFmt w:val="decimal"/>
      <w:lvlText w:val="%1.%2.%3.%4.%5.%6.%7"/>
      <w:lvlJc w:val="left"/>
      <w:pPr>
        <w:ind w:left="510" w:hanging="510"/>
      </w:pPr>
      <w:rPr>
        <w:rFonts w:hint="default"/>
      </w:rPr>
    </w:lvl>
    <w:lvl w:ilvl="7" w:tentative="0">
      <w:start w:val="1"/>
      <w:numFmt w:val="decimal"/>
      <w:lvlText w:val="%1.%2.%3.%4.%5.%6.%7.%8"/>
      <w:lvlJc w:val="left"/>
      <w:pPr>
        <w:ind w:left="510" w:hanging="510"/>
      </w:pPr>
      <w:rPr>
        <w:rFonts w:hint="default"/>
      </w:rPr>
    </w:lvl>
    <w:lvl w:ilvl="8" w:tentative="0">
      <w:start w:val="1"/>
      <w:numFmt w:val="decimal"/>
      <w:lvlText w:val="%1.%2.%3.%4.%5.%6.%7.%8.%9"/>
      <w:lvlJc w:val="left"/>
      <w:pPr>
        <w:ind w:left="510" w:hanging="510"/>
      </w:pPr>
      <w:rPr>
        <w:rFonts w:hint="default"/>
      </w:rPr>
    </w:lvl>
  </w:abstractNum>
  <w:abstractNum w:abstractNumId="22">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3">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4">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5">
    <w:nsid w:val="4A667C00"/>
    <w:multiLevelType w:val="multilevel"/>
    <w:tmpl w:val="4A667C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4B331C36"/>
    <w:multiLevelType w:val="multilevel"/>
    <w:tmpl w:val="4B331C36"/>
    <w:lvl w:ilvl="0" w:tentative="0">
      <w:start w:val="1"/>
      <w:numFmt w:val="japaneseCounting"/>
      <w:pStyle w:val="95"/>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8">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9">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30">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1">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3">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4">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5">
    <w:nsid w:val="6CEA2025"/>
    <w:multiLevelType w:val="multilevel"/>
    <w:tmpl w:val="6CEA2025"/>
    <w:lvl w:ilvl="0" w:tentative="0">
      <w:start w:val="1"/>
      <w:numFmt w:val="none"/>
      <w:pStyle w:val="72"/>
      <w:suff w:val="nothing"/>
      <w:lvlText w:val="%1"/>
      <w:lvlJc w:val="left"/>
      <w:pPr>
        <w:ind w:left="0" w:firstLine="0"/>
      </w:pPr>
      <w:rPr>
        <w:rFonts w:hint="default" w:ascii="Times New Roman" w:hAnsi="Times New Roman"/>
        <w:b/>
        <w:i w:val="0"/>
        <w:sz w:val="21"/>
      </w:rPr>
    </w:lvl>
    <w:lvl w:ilvl="1" w:tentative="0">
      <w:start w:val="1"/>
      <w:numFmt w:val="decimal"/>
      <w:pStyle w:val="75"/>
      <w:suff w:val="nothing"/>
      <w:lvlText w:val="%1%2　"/>
      <w:lvlJc w:val="left"/>
      <w:pPr>
        <w:ind w:left="180" w:firstLine="0"/>
      </w:pPr>
      <w:rPr>
        <w:rFonts w:hint="eastAsia" w:ascii="黑体" w:hAnsi="Times New Roman" w:eastAsia="黑体"/>
        <w:b/>
        <w:i w:val="0"/>
        <w:sz w:val="24"/>
        <w:szCs w:val="24"/>
      </w:rPr>
    </w:lvl>
    <w:lvl w:ilvl="2" w:tentative="0">
      <w:start w:val="1"/>
      <w:numFmt w:val="decimal"/>
      <w:suff w:val="nothing"/>
      <w:lvlText w:val="%1%2.%3　"/>
      <w:lvlJc w:val="left"/>
      <w:pPr>
        <w:ind w:left="720" w:firstLine="0"/>
      </w:pPr>
      <w:rPr>
        <w:rFonts w:hint="eastAsia" w:ascii="黑体" w:hAnsi="Times New Roman" w:eastAsia="黑体"/>
        <w:b w:val="0"/>
        <w:i w:val="0"/>
        <w:sz w:val="21"/>
      </w:rPr>
    </w:lvl>
    <w:lvl w:ilvl="3" w:tentative="0">
      <w:start w:val="1"/>
      <w:numFmt w:val="decimal"/>
      <w:suff w:val="nothing"/>
      <w:lvlText w:val="%1%2.4.%4　"/>
      <w:lvlJc w:val="left"/>
      <w:pPr>
        <w:ind w:left="420" w:firstLine="0"/>
      </w:pPr>
      <w:rPr>
        <w:rFonts w:hint="eastAsia" w:ascii="黑体" w:hAnsi="Times New Roman" w:eastAsia="黑体"/>
        <w:b w:val="0"/>
        <w:i w:val="0"/>
        <w:sz w:val="21"/>
      </w:rPr>
    </w:lvl>
    <w:lvl w:ilvl="4" w:tentative="0">
      <w:start w:val="1"/>
      <w:numFmt w:val="decimal"/>
      <w:suff w:val="nothing"/>
      <w:lvlText w:val="5.%12.5.%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6">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7">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8">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0">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1">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2">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5"/>
  </w:num>
  <w:num w:numId="2">
    <w:abstractNumId w:val="8"/>
  </w:num>
  <w:num w:numId="3">
    <w:abstractNumId w:val="16"/>
  </w:num>
  <w:num w:numId="4">
    <w:abstractNumId w:val="26"/>
  </w:num>
  <w:num w:numId="5">
    <w:abstractNumId w:val="11"/>
  </w:num>
  <w:num w:numId="6">
    <w:abstractNumId w:val="10"/>
  </w:num>
  <w:num w:numId="7">
    <w:abstractNumId w:val="6"/>
  </w:num>
  <w:num w:numId="8">
    <w:abstractNumId w:val="12"/>
  </w:num>
  <w:num w:numId="9">
    <w:abstractNumId w:val="31"/>
  </w:num>
  <w:num w:numId="10">
    <w:abstractNumId w:val="41"/>
  </w:num>
  <w:num w:numId="11">
    <w:abstractNumId w:val="42"/>
  </w:num>
  <w:num w:numId="12">
    <w:abstractNumId w:val="24"/>
  </w:num>
  <w:num w:numId="13">
    <w:abstractNumId w:val="28"/>
  </w:num>
  <w:num w:numId="14">
    <w:abstractNumId w:val="30"/>
  </w:num>
  <w:num w:numId="15">
    <w:abstractNumId w:val="32"/>
  </w:num>
  <w:num w:numId="16">
    <w:abstractNumId w:val="1"/>
  </w:num>
  <w:num w:numId="17">
    <w:abstractNumId w:val="34"/>
  </w:num>
  <w:num w:numId="18">
    <w:abstractNumId w:val="3"/>
  </w:num>
  <w:num w:numId="19">
    <w:abstractNumId w:val="22"/>
  </w:num>
  <w:num w:numId="20">
    <w:abstractNumId w:val="18"/>
  </w:num>
  <w:num w:numId="21">
    <w:abstractNumId w:val="37"/>
  </w:num>
  <w:num w:numId="22">
    <w:abstractNumId w:val="9"/>
  </w:num>
  <w:num w:numId="23">
    <w:abstractNumId w:val="23"/>
  </w:num>
  <w:num w:numId="24">
    <w:abstractNumId w:val="5"/>
  </w:num>
  <w:num w:numId="25">
    <w:abstractNumId w:val="36"/>
  </w:num>
  <w:num w:numId="26">
    <w:abstractNumId w:val="40"/>
  </w:num>
  <w:num w:numId="27">
    <w:abstractNumId w:val="27"/>
  </w:num>
  <w:num w:numId="28">
    <w:abstractNumId w:val="20"/>
  </w:num>
  <w:num w:numId="29">
    <w:abstractNumId w:val="7"/>
  </w:num>
  <w:num w:numId="30">
    <w:abstractNumId w:val="17"/>
  </w:num>
  <w:num w:numId="31">
    <w:abstractNumId w:val="39"/>
  </w:num>
  <w:num w:numId="32">
    <w:abstractNumId w:val="21"/>
  </w:num>
  <w:num w:numId="33">
    <w:abstractNumId w:val="13"/>
  </w:num>
  <w:num w:numId="34">
    <w:abstractNumId w:val="25"/>
  </w:num>
  <w:num w:numId="35">
    <w:abstractNumId w:val="38"/>
  </w:num>
  <w:num w:numId="36">
    <w:abstractNumId w:val="33"/>
  </w:num>
  <w:num w:numId="37">
    <w:abstractNumId w:val="14"/>
  </w:num>
  <w:num w:numId="38">
    <w:abstractNumId w:val="29"/>
  </w:num>
  <w:num w:numId="39">
    <w:abstractNumId w:val="0"/>
  </w:num>
  <w:num w:numId="40">
    <w:abstractNumId w:val="15"/>
  </w:num>
  <w:num w:numId="41">
    <w:abstractNumId w:val="19"/>
  </w:num>
  <w:num w:numId="42">
    <w:abstractNumId w:val="4"/>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E4N2M1ZTgyYTVmMTM3ZTYyMzBkOTkxNDIwNDViMWMifQ=="/>
  </w:docVars>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3059B"/>
    <w:rsid w:val="000314BC"/>
    <w:rsid w:val="0003259A"/>
    <w:rsid w:val="0003403B"/>
    <w:rsid w:val="00034188"/>
    <w:rsid w:val="00034401"/>
    <w:rsid w:val="00034C37"/>
    <w:rsid w:val="00034DD0"/>
    <w:rsid w:val="00036612"/>
    <w:rsid w:val="00040CD1"/>
    <w:rsid w:val="00041FF2"/>
    <w:rsid w:val="00042D58"/>
    <w:rsid w:val="00043B68"/>
    <w:rsid w:val="00044766"/>
    <w:rsid w:val="00045299"/>
    <w:rsid w:val="00045D5C"/>
    <w:rsid w:val="00047217"/>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3E20"/>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1233"/>
    <w:rsid w:val="000A20A7"/>
    <w:rsid w:val="000A305F"/>
    <w:rsid w:val="000A3F65"/>
    <w:rsid w:val="000A50F6"/>
    <w:rsid w:val="000A54F4"/>
    <w:rsid w:val="000A6C98"/>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680D"/>
    <w:rsid w:val="000D75EB"/>
    <w:rsid w:val="000E044D"/>
    <w:rsid w:val="000E1552"/>
    <w:rsid w:val="000E1D32"/>
    <w:rsid w:val="000E2E3B"/>
    <w:rsid w:val="000E32DB"/>
    <w:rsid w:val="000E4823"/>
    <w:rsid w:val="000F09C3"/>
    <w:rsid w:val="000F25D9"/>
    <w:rsid w:val="000F2A59"/>
    <w:rsid w:val="000F661F"/>
    <w:rsid w:val="00100A0F"/>
    <w:rsid w:val="00101897"/>
    <w:rsid w:val="001025BD"/>
    <w:rsid w:val="00102981"/>
    <w:rsid w:val="00102DF0"/>
    <w:rsid w:val="00103BEA"/>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3BA7"/>
    <w:rsid w:val="001C43C7"/>
    <w:rsid w:val="001C4413"/>
    <w:rsid w:val="001C5A5B"/>
    <w:rsid w:val="001C6428"/>
    <w:rsid w:val="001C6B84"/>
    <w:rsid w:val="001D4194"/>
    <w:rsid w:val="001D4319"/>
    <w:rsid w:val="001D572B"/>
    <w:rsid w:val="001D7585"/>
    <w:rsid w:val="001E0C05"/>
    <w:rsid w:val="001E3837"/>
    <w:rsid w:val="001E3E08"/>
    <w:rsid w:val="001E3F69"/>
    <w:rsid w:val="001E4AC7"/>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1123"/>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875F3"/>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1A1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579EE"/>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4E4"/>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4CB8"/>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0F54"/>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84796"/>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542E"/>
    <w:rsid w:val="005F5ED3"/>
    <w:rsid w:val="006001B3"/>
    <w:rsid w:val="00601AE5"/>
    <w:rsid w:val="0060350F"/>
    <w:rsid w:val="00603B97"/>
    <w:rsid w:val="00603BB1"/>
    <w:rsid w:val="00604B0F"/>
    <w:rsid w:val="00604C27"/>
    <w:rsid w:val="00605E39"/>
    <w:rsid w:val="00610024"/>
    <w:rsid w:val="006100F0"/>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2E52"/>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0B3"/>
    <w:rsid w:val="006E5F4F"/>
    <w:rsid w:val="006E6948"/>
    <w:rsid w:val="006E7106"/>
    <w:rsid w:val="006E7519"/>
    <w:rsid w:val="006F04AD"/>
    <w:rsid w:val="006F1B49"/>
    <w:rsid w:val="006F571B"/>
    <w:rsid w:val="006F7746"/>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FB3"/>
    <w:rsid w:val="007804D2"/>
    <w:rsid w:val="00780BC2"/>
    <w:rsid w:val="00781507"/>
    <w:rsid w:val="00781ABE"/>
    <w:rsid w:val="007836C9"/>
    <w:rsid w:val="00785C0A"/>
    <w:rsid w:val="007864D7"/>
    <w:rsid w:val="00791159"/>
    <w:rsid w:val="00791934"/>
    <w:rsid w:val="0079516C"/>
    <w:rsid w:val="00796976"/>
    <w:rsid w:val="00797750"/>
    <w:rsid w:val="007A196A"/>
    <w:rsid w:val="007A25EF"/>
    <w:rsid w:val="007A294B"/>
    <w:rsid w:val="007A3999"/>
    <w:rsid w:val="007B3F0C"/>
    <w:rsid w:val="007B3F75"/>
    <w:rsid w:val="007B6C3A"/>
    <w:rsid w:val="007B6DA5"/>
    <w:rsid w:val="007B732F"/>
    <w:rsid w:val="007C0895"/>
    <w:rsid w:val="007C1124"/>
    <w:rsid w:val="007C1383"/>
    <w:rsid w:val="007C1FED"/>
    <w:rsid w:val="007C31C0"/>
    <w:rsid w:val="007C3714"/>
    <w:rsid w:val="007C48B8"/>
    <w:rsid w:val="007C5ABA"/>
    <w:rsid w:val="007C631A"/>
    <w:rsid w:val="007D050F"/>
    <w:rsid w:val="007D21B0"/>
    <w:rsid w:val="007D24DD"/>
    <w:rsid w:val="007D3CB1"/>
    <w:rsid w:val="007D45A7"/>
    <w:rsid w:val="007D6D18"/>
    <w:rsid w:val="007D72D3"/>
    <w:rsid w:val="007E5890"/>
    <w:rsid w:val="007F1C25"/>
    <w:rsid w:val="007F3188"/>
    <w:rsid w:val="007F3E56"/>
    <w:rsid w:val="007F41A7"/>
    <w:rsid w:val="007F557A"/>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3B38"/>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0E2"/>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183"/>
    <w:rsid w:val="00895994"/>
    <w:rsid w:val="008966B7"/>
    <w:rsid w:val="00896C4D"/>
    <w:rsid w:val="008A01C7"/>
    <w:rsid w:val="008A0C04"/>
    <w:rsid w:val="008A2560"/>
    <w:rsid w:val="008A3C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51A1"/>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3F1C"/>
    <w:rsid w:val="00984980"/>
    <w:rsid w:val="00985BD5"/>
    <w:rsid w:val="00985D2D"/>
    <w:rsid w:val="009864A9"/>
    <w:rsid w:val="0098656F"/>
    <w:rsid w:val="00990834"/>
    <w:rsid w:val="009908BA"/>
    <w:rsid w:val="009928DA"/>
    <w:rsid w:val="00992BB0"/>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3E0C"/>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323"/>
    <w:rsid w:val="00A41BC5"/>
    <w:rsid w:val="00A42929"/>
    <w:rsid w:val="00A43083"/>
    <w:rsid w:val="00A432BE"/>
    <w:rsid w:val="00A442B8"/>
    <w:rsid w:val="00A468C1"/>
    <w:rsid w:val="00A47FB8"/>
    <w:rsid w:val="00A523FE"/>
    <w:rsid w:val="00A525FE"/>
    <w:rsid w:val="00A528E9"/>
    <w:rsid w:val="00A536B2"/>
    <w:rsid w:val="00A53EE5"/>
    <w:rsid w:val="00A54301"/>
    <w:rsid w:val="00A54DC0"/>
    <w:rsid w:val="00A57C3F"/>
    <w:rsid w:val="00A60CC2"/>
    <w:rsid w:val="00A61805"/>
    <w:rsid w:val="00A61E5C"/>
    <w:rsid w:val="00A64C1E"/>
    <w:rsid w:val="00A66DDD"/>
    <w:rsid w:val="00A676D7"/>
    <w:rsid w:val="00A67C90"/>
    <w:rsid w:val="00A7003F"/>
    <w:rsid w:val="00A705D2"/>
    <w:rsid w:val="00A729CB"/>
    <w:rsid w:val="00A75944"/>
    <w:rsid w:val="00A7764B"/>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679C"/>
    <w:rsid w:val="00AB0731"/>
    <w:rsid w:val="00AB1663"/>
    <w:rsid w:val="00AB4505"/>
    <w:rsid w:val="00AB550D"/>
    <w:rsid w:val="00AB5E0F"/>
    <w:rsid w:val="00AB6072"/>
    <w:rsid w:val="00AC0904"/>
    <w:rsid w:val="00AC28BC"/>
    <w:rsid w:val="00AC2FB0"/>
    <w:rsid w:val="00AC48C4"/>
    <w:rsid w:val="00AC5864"/>
    <w:rsid w:val="00AC5D4F"/>
    <w:rsid w:val="00AC715E"/>
    <w:rsid w:val="00AC7895"/>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2242"/>
    <w:rsid w:val="00B5371E"/>
    <w:rsid w:val="00B553E9"/>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B7"/>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3DEC"/>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02B5"/>
    <w:rsid w:val="00C02FDF"/>
    <w:rsid w:val="00C05D13"/>
    <w:rsid w:val="00C06A5E"/>
    <w:rsid w:val="00C07810"/>
    <w:rsid w:val="00C07DF7"/>
    <w:rsid w:val="00C110CF"/>
    <w:rsid w:val="00C1247A"/>
    <w:rsid w:val="00C128BA"/>
    <w:rsid w:val="00C12B4F"/>
    <w:rsid w:val="00C135B6"/>
    <w:rsid w:val="00C13671"/>
    <w:rsid w:val="00C13C97"/>
    <w:rsid w:val="00C140AF"/>
    <w:rsid w:val="00C14851"/>
    <w:rsid w:val="00C1499B"/>
    <w:rsid w:val="00C14CEA"/>
    <w:rsid w:val="00C1588A"/>
    <w:rsid w:val="00C163FC"/>
    <w:rsid w:val="00C16FED"/>
    <w:rsid w:val="00C21B3A"/>
    <w:rsid w:val="00C224D2"/>
    <w:rsid w:val="00C22576"/>
    <w:rsid w:val="00C2315C"/>
    <w:rsid w:val="00C240F4"/>
    <w:rsid w:val="00C24558"/>
    <w:rsid w:val="00C245ED"/>
    <w:rsid w:val="00C2619E"/>
    <w:rsid w:val="00C306AC"/>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29C9"/>
    <w:rsid w:val="00C53D0A"/>
    <w:rsid w:val="00C56227"/>
    <w:rsid w:val="00C576BB"/>
    <w:rsid w:val="00C64E40"/>
    <w:rsid w:val="00C655F9"/>
    <w:rsid w:val="00C67B1C"/>
    <w:rsid w:val="00C70B7D"/>
    <w:rsid w:val="00C71F13"/>
    <w:rsid w:val="00C74990"/>
    <w:rsid w:val="00C755C2"/>
    <w:rsid w:val="00C76323"/>
    <w:rsid w:val="00C7768B"/>
    <w:rsid w:val="00C77D8A"/>
    <w:rsid w:val="00C83AA7"/>
    <w:rsid w:val="00C843FB"/>
    <w:rsid w:val="00C84AA3"/>
    <w:rsid w:val="00C84FB0"/>
    <w:rsid w:val="00C919FC"/>
    <w:rsid w:val="00C948C2"/>
    <w:rsid w:val="00C954EA"/>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556BC"/>
    <w:rsid w:val="00D612D3"/>
    <w:rsid w:val="00D61731"/>
    <w:rsid w:val="00D62FB1"/>
    <w:rsid w:val="00D63289"/>
    <w:rsid w:val="00D6386B"/>
    <w:rsid w:val="00D63A65"/>
    <w:rsid w:val="00D64B1C"/>
    <w:rsid w:val="00D65F11"/>
    <w:rsid w:val="00D66546"/>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27E8"/>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6BD"/>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6092"/>
    <w:rsid w:val="00EA7517"/>
    <w:rsid w:val="00EA7BC9"/>
    <w:rsid w:val="00EB103B"/>
    <w:rsid w:val="00EB287E"/>
    <w:rsid w:val="00EB553B"/>
    <w:rsid w:val="00EB5BFE"/>
    <w:rsid w:val="00EB693A"/>
    <w:rsid w:val="00EB7491"/>
    <w:rsid w:val="00EC25B9"/>
    <w:rsid w:val="00EC4122"/>
    <w:rsid w:val="00EC61CE"/>
    <w:rsid w:val="00EC7ECD"/>
    <w:rsid w:val="00ED18AC"/>
    <w:rsid w:val="00ED298B"/>
    <w:rsid w:val="00ED5833"/>
    <w:rsid w:val="00ED59A7"/>
    <w:rsid w:val="00ED670D"/>
    <w:rsid w:val="00EE0C22"/>
    <w:rsid w:val="00EE36DB"/>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4EB4"/>
    <w:rsid w:val="00F15112"/>
    <w:rsid w:val="00F23168"/>
    <w:rsid w:val="00F245B7"/>
    <w:rsid w:val="00F2575A"/>
    <w:rsid w:val="00F26A21"/>
    <w:rsid w:val="00F30ABF"/>
    <w:rsid w:val="00F30DCE"/>
    <w:rsid w:val="00F31A10"/>
    <w:rsid w:val="00F32776"/>
    <w:rsid w:val="00F32D0E"/>
    <w:rsid w:val="00F343EB"/>
    <w:rsid w:val="00F35E25"/>
    <w:rsid w:val="00F362F9"/>
    <w:rsid w:val="00F364D0"/>
    <w:rsid w:val="00F36871"/>
    <w:rsid w:val="00F40477"/>
    <w:rsid w:val="00F44260"/>
    <w:rsid w:val="00F449B9"/>
    <w:rsid w:val="00F449BD"/>
    <w:rsid w:val="00F507A1"/>
    <w:rsid w:val="00F53FEA"/>
    <w:rsid w:val="00F55C2D"/>
    <w:rsid w:val="00F56FF4"/>
    <w:rsid w:val="00F578AE"/>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142"/>
    <w:rsid w:val="00FB378E"/>
    <w:rsid w:val="00FB49C9"/>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11432"/>
    <w:rsid w:val="010B1330"/>
    <w:rsid w:val="01461ACD"/>
    <w:rsid w:val="01757860"/>
    <w:rsid w:val="018D0205"/>
    <w:rsid w:val="01AE3368"/>
    <w:rsid w:val="01C12A88"/>
    <w:rsid w:val="01CC76EC"/>
    <w:rsid w:val="01D07706"/>
    <w:rsid w:val="01D50BD5"/>
    <w:rsid w:val="0221271C"/>
    <w:rsid w:val="022D649C"/>
    <w:rsid w:val="02351774"/>
    <w:rsid w:val="023A6ECB"/>
    <w:rsid w:val="02420646"/>
    <w:rsid w:val="028223A8"/>
    <w:rsid w:val="028432E5"/>
    <w:rsid w:val="02A9706C"/>
    <w:rsid w:val="02AF6599"/>
    <w:rsid w:val="02DE374B"/>
    <w:rsid w:val="02F72868"/>
    <w:rsid w:val="03044359"/>
    <w:rsid w:val="03173665"/>
    <w:rsid w:val="031C67BA"/>
    <w:rsid w:val="03442A09"/>
    <w:rsid w:val="03511571"/>
    <w:rsid w:val="035E37BC"/>
    <w:rsid w:val="03715197"/>
    <w:rsid w:val="03A25185"/>
    <w:rsid w:val="03A92E0C"/>
    <w:rsid w:val="03A93F07"/>
    <w:rsid w:val="03DD17F0"/>
    <w:rsid w:val="03F51E23"/>
    <w:rsid w:val="03F730D5"/>
    <w:rsid w:val="040E2332"/>
    <w:rsid w:val="040E4213"/>
    <w:rsid w:val="04137380"/>
    <w:rsid w:val="04160294"/>
    <w:rsid w:val="0421064D"/>
    <w:rsid w:val="0424709F"/>
    <w:rsid w:val="04273734"/>
    <w:rsid w:val="042C6AE4"/>
    <w:rsid w:val="04333CD3"/>
    <w:rsid w:val="0439748C"/>
    <w:rsid w:val="045F4428"/>
    <w:rsid w:val="04663DEE"/>
    <w:rsid w:val="048B6224"/>
    <w:rsid w:val="049C3EF3"/>
    <w:rsid w:val="04BC1BA0"/>
    <w:rsid w:val="04CC4566"/>
    <w:rsid w:val="04DB553C"/>
    <w:rsid w:val="04E52637"/>
    <w:rsid w:val="04FD23FC"/>
    <w:rsid w:val="04FF72E6"/>
    <w:rsid w:val="05005426"/>
    <w:rsid w:val="053201CC"/>
    <w:rsid w:val="055A38B5"/>
    <w:rsid w:val="059C5F8E"/>
    <w:rsid w:val="05AD5736"/>
    <w:rsid w:val="05AD7DDA"/>
    <w:rsid w:val="05BB241B"/>
    <w:rsid w:val="05CA2818"/>
    <w:rsid w:val="05CF4780"/>
    <w:rsid w:val="05E14B07"/>
    <w:rsid w:val="05FA06DD"/>
    <w:rsid w:val="06023A8F"/>
    <w:rsid w:val="0611621E"/>
    <w:rsid w:val="063F258E"/>
    <w:rsid w:val="065044F8"/>
    <w:rsid w:val="0653482B"/>
    <w:rsid w:val="06710E08"/>
    <w:rsid w:val="06B7286F"/>
    <w:rsid w:val="06BF75C9"/>
    <w:rsid w:val="06C116BD"/>
    <w:rsid w:val="06C6516F"/>
    <w:rsid w:val="06C767F8"/>
    <w:rsid w:val="06EA2FBD"/>
    <w:rsid w:val="06ED1770"/>
    <w:rsid w:val="06FE4AAE"/>
    <w:rsid w:val="070157D1"/>
    <w:rsid w:val="07117CDC"/>
    <w:rsid w:val="07230E2A"/>
    <w:rsid w:val="07354BE2"/>
    <w:rsid w:val="073C402C"/>
    <w:rsid w:val="07506DDE"/>
    <w:rsid w:val="07637D5C"/>
    <w:rsid w:val="078360F1"/>
    <w:rsid w:val="079555F7"/>
    <w:rsid w:val="079E3E7E"/>
    <w:rsid w:val="07AA21A6"/>
    <w:rsid w:val="07B323DD"/>
    <w:rsid w:val="07CB1191"/>
    <w:rsid w:val="07D33E7D"/>
    <w:rsid w:val="07DA2552"/>
    <w:rsid w:val="07E61182"/>
    <w:rsid w:val="07F876CF"/>
    <w:rsid w:val="07FA3FC0"/>
    <w:rsid w:val="08337E2C"/>
    <w:rsid w:val="08376BE0"/>
    <w:rsid w:val="08424D1E"/>
    <w:rsid w:val="08483779"/>
    <w:rsid w:val="085D5FC0"/>
    <w:rsid w:val="086D3042"/>
    <w:rsid w:val="0886626A"/>
    <w:rsid w:val="08912C45"/>
    <w:rsid w:val="08AD0CF8"/>
    <w:rsid w:val="08AD503B"/>
    <w:rsid w:val="08B604BF"/>
    <w:rsid w:val="08C76CFD"/>
    <w:rsid w:val="08E340CC"/>
    <w:rsid w:val="08E95B0E"/>
    <w:rsid w:val="08FD2E27"/>
    <w:rsid w:val="090C54BE"/>
    <w:rsid w:val="09271627"/>
    <w:rsid w:val="092936B1"/>
    <w:rsid w:val="096A4BCE"/>
    <w:rsid w:val="09710521"/>
    <w:rsid w:val="098226D8"/>
    <w:rsid w:val="09894939"/>
    <w:rsid w:val="09A02CD8"/>
    <w:rsid w:val="09D771B0"/>
    <w:rsid w:val="09DA500D"/>
    <w:rsid w:val="0A165448"/>
    <w:rsid w:val="0A1F0C00"/>
    <w:rsid w:val="0A3F61A5"/>
    <w:rsid w:val="0A502EA2"/>
    <w:rsid w:val="0A5758F7"/>
    <w:rsid w:val="0A67144A"/>
    <w:rsid w:val="0A71618F"/>
    <w:rsid w:val="0A7E1671"/>
    <w:rsid w:val="0AB610B3"/>
    <w:rsid w:val="0AC16F66"/>
    <w:rsid w:val="0AE86D78"/>
    <w:rsid w:val="0B435CD5"/>
    <w:rsid w:val="0B456825"/>
    <w:rsid w:val="0B4B17AC"/>
    <w:rsid w:val="0B4C1B40"/>
    <w:rsid w:val="0B4F5787"/>
    <w:rsid w:val="0B625354"/>
    <w:rsid w:val="0B6438A9"/>
    <w:rsid w:val="0BB80799"/>
    <w:rsid w:val="0BC22757"/>
    <w:rsid w:val="0BD0342B"/>
    <w:rsid w:val="0BE3070D"/>
    <w:rsid w:val="0BE659E2"/>
    <w:rsid w:val="0BE94FBA"/>
    <w:rsid w:val="0C1E558E"/>
    <w:rsid w:val="0C367BBD"/>
    <w:rsid w:val="0C3C4113"/>
    <w:rsid w:val="0C4225D4"/>
    <w:rsid w:val="0C49239C"/>
    <w:rsid w:val="0C4E57C8"/>
    <w:rsid w:val="0C7336D0"/>
    <w:rsid w:val="0C896AD7"/>
    <w:rsid w:val="0CB01184"/>
    <w:rsid w:val="0CC36F40"/>
    <w:rsid w:val="0CCE2CF7"/>
    <w:rsid w:val="0CE75800"/>
    <w:rsid w:val="0CEE2338"/>
    <w:rsid w:val="0CF02600"/>
    <w:rsid w:val="0D162766"/>
    <w:rsid w:val="0D30615A"/>
    <w:rsid w:val="0D3F7772"/>
    <w:rsid w:val="0D431886"/>
    <w:rsid w:val="0D4A590E"/>
    <w:rsid w:val="0D4C5E85"/>
    <w:rsid w:val="0D50445B"/>
    <w:rsid w:val="0D7807F1"/>
    <w:rsid w:val="0D895A46"/>
    <w:rsid w:val="0D9B67EB"/>
    <w:rsid w:val="0DA45AD2"/>
    <w:rsid w:val="0DE86CEC"/>
    <w:rsid w:val="0E057004"/>
    <w:rsid w:val="0E0A51BD"/>
    <w:rsid w:val="0E141CA7"/>
    <w:rsid w:val="0E1D6D0A"/>
    <w:rsid w:val="0E1F0234"/>
    <w:rsid w:val="0E386D2E"/>
    <w:rsid w:val="0E3D1DE5"/>
    <w:rsid w:val="0E442D5B"/>
    <w:rsid w:val="0E4E7B59"/>
    <w:rsid w:val="0E6E5960"/>
    <w:rsid w:val="0EA21BDD"/>
    <w:rsid w:val="0EAB7B80"/>
    <w:rsid w:val="0EAE4301"/>
    <w:rsid w:val="0ED27024"/>
    <w:rsid w:val="0ED94F19"/>
    <w:rsid w:val="0EDC5EDB"/>
    <w:rsid w:val="0F0A381F"/>
    <w:rsid w:val="0F1B0DB7"/>
    <w:rsid w:val="0F3425BB"/>
    <w:rsid w:val="0F5A5FCA"/>
    <w:rsid w:val="0F6C7EA7"/>
    <w:rsid w:val="0F7A2457"/>
    <w:rsid w:val="0FA03F81"/>
    <w:rsid w:val="0FB7129D"/>
    <w:rsid w:val="0FC5121F"/>
    <w:rsid w:val="0FC52200"/>
    <w:rsid w:val="0FC57219"/>
    <w:rsid w:val="0FCD54FE"/>
    <w:rsid w:val="0FD905B4"/>
    <w:rsid w:val="0FDB1E2E"/>
    <w:rsid w:val="0FE268D2"/>
    <w:rsid w:val="0FF11896"/>
    <w:rsid w:val="0FF743B8"/>
    <w:rsid w:val="100205EE"/>
    <w:rsid w:val="104114BC"/>
    <w:rsid w:val="1045758D"/>
    <w:rsid w:val="104F21E7"/>
    <w:rsid w:val="10522A43"/>
    <w:rsid w:val="105950B7"/>
    <w:rsid w:val="10681B45"/>
    <w:rsid w:val="10D545EB"/>
    <w:rsid w:val="10E14BD5"/>
    <w:rsid w:val="10E51E7E"/>
    <w:rsid w:val="110045E6"/>
    <w:rsid w:val="1109548A"/>
    <w:rsid w:val="110E4212"/>
    <w:rsid w:val="11156035"/>
    <w:rsid w:val="111F2499"/>
    <w:rsid w:val="11296D36"/>
    <w:rsid w:val="1146103D"/>
    <w:rsid w:val="116C7384"/>
    <w:rsid w:val="11DD37F5"/>
    <w:rsid w:val="120C7C36"/>
    <w:rsid w:val="12305D0B"/>
    <w:rsid w:val="124B307E"/>
    <w:rsid w:val="12595354"/>
    <w:rsid w:val="12676ACE"/>
    <w:rsid w:val="128C79F5"/>
    <w:rsid w:val="12987FD1"/>
    <w:rsid w:val="12B26A30"/>
    <w:rsid w:val="12D57C7C"/>
    <w:rsid w:val="12DE2F04"/>
    <w:rsid w:val="12E84200"/>
    <w:rsid w:val="12F453F7"/>
    <w:rsid w:val="130D6A57"/>
    <w:rsid w:val="135A65CD"/>
    <w:rsid w:val="13681291"/>
    <w:rsid w:val="139A72A6"/>
    <w:rsid w:val="13D75C16"/>
    <w:rsid w:val="14060DFB"/>
    <w:rsid w:val="141A71FC"/>
    <w:rsid w:val="14393E39"/>
    <w:rsid w:val="1439492C"/>
    <w:rsid w:val="144E282E"/>
    <w:rsid w:val="148B16AC"/>
    <w:rsid w:val="14905D77"/>
    <w:rsid w:val="14B00E80"/>
    <w:rsid w:val="14B97AE2"/>
    <w:rsid w:val="14C13D98"/>
    <w:rsid w:val="14C818C6"/>
    <w:rsid w:val="14D17473"/>
    <w:rsid w:val="14D2285A"/>
    <w:rsid w:val="14F848F0"/>
    <w:rsid w:val="152D2F19"/>
    <w:rsid w:val="1533008F"/>
    <w:rsid w:val="153D3401"/>
    <w:rsid w:val="155142E7"/>
    <w:rsid w:val="15855A36"/>
    <w:rsid w:val="158E06A1"/>
    <w:rsid w:val="15932B1E"/>
    <w:rsid w:val="15AF36C0"/>
    <w:rsid w:val="15CA175D"/>
    <w:rsid w:val="15D73E4B"/>
    <w:rsid w:val="15E33907"/>
    <w:rsid w:val="15EE7CEF"/>
    <w:rsid w:val="160D691C"/>
    <w:rsid w:val="163329C3"/>
    <w:rsid w:val="16333435"/>
    <w:rsid w:val="16391530"/>
    <w:rsid w:val="16550678"/>
    <w:rsid w:val="166C136C"/>
    <w:rsid w:val="168C0198"/>
    <w:rsid w:val="16C6539F"/>
    <w:rsid w:val="16C83962"/>
    <w:rsid w:val="16ED23AA"/>
    <w:rsid w:val="17195883"/>
    <w:rsid w:val="173E2364"/>
    <w:rsid w:val="173E4E07"/>
    <w:rsid w:val="1761710C"/>
    <w:rsid w:val="17812612"/>
    <w:rsid w:val="1789592C"/>
    <w:rsid w:val="17933C9F"/>
    <w:rsid w:val="17936E30"/>
    <w:rsid w:val="17B13E29"/>
    <w:rsid w:val="17D67A38"/>
    <w:rsid w:val="17DB1463"/>
    <w:rsid w:val="17E77319"/>
    <w:rsid w:val="17E97C5D"/>
    <w:rsid w:val="17ED5B45"/>
    <w:rsid w:val="1815603A"/>
    <w:rsid w:val="18260DD1"/>
    <w:rsid w:val="182656C2"/>
    <w:rsid w:val="182E7A85"/>
    <w:rsid w:val="18303541"/>
    <w:rsid w:val="183735E3"/>
    <w:rsid w:val="18485D36"/>
    <w:rsid w:val="18744310"/>
    <w:rsid w:val="189F530B"/>
    <w:rsid w:val="18A12DFD"/>
    <w:rsid w:val="18A922F3"/>
    <w:rsid w:val="18B137E8"/>
    <w:rsid w:val="18BB2661"/>
    <w:rsid w:val="18D46399"/>
    <w:rsid w:val="18DD438F"/>
    <w:rsid w:val="18EA09E3"/>
    <w:rsid w:val="18F10945"/>
    <w:rsid w:val="18F56002"/>
    <w:rsid w:val="19212219"/>
    <w:rsid w:val="192F50C9"/>
    <w:rsid w:val="195E66AA"/>
    <w:rsid w:val="19633F03"/>
    <w:rsid w:val="196F047E"/>
    <w:rsid w:val="19943641"/>
    <w:rsid w:val="199E02FC"/>
    <w:rsid w:val="19BA1CE3"/>
    <w:rsid w:val="19DF55C2"/>
    <w:rsid w:val="1A0C61A8"/>
    <w:rsid w:val="1A132F57"/>
    <w:rsid w:val="1A300E03"/>
    <w:rsid w:val="1A5F760F"/>
    <w:rsid w:val="1A6F3E95"/>
    <w:rsid w:val="1A6F6E85"/>
    <w:rsid w:val="1ABD1026"/>
    <w:rsid w:val="1AD22ED2"/>
    <w:rsid w:val="1AD51B88"/>
    <w:rsid w:val="1B0167A6"/>
    <w:rsid w:val="1B0405EF"/>
    <w:rsid w:val="1B2058A0"/>
    <w:rsid w:val="1B2D037E"/>
    <w:rsid w:val="1B566A66"/>
    <w:rsid w:val="1B80591D"/>
    <w:rsid w:val="1B8565CF"/>
    <w:rsid w:val="1B9104B0"/>
    <w:rsid w:val="1BA96293"/>
    <w:rsid w:val="1BAC363D"/>
    <w:rsid w:val="1BCC6EA6"/>
    <w:rsid w:val="1BD60F79"/>
    <w:rsid w:val="1C075926"/>
    <w:rsid w:val="1C0C60A0"/>
    <w:rsid w:val="1C261B3D"/>
    <w:rsid w:val="1C2A710A"/>
    <w:rsid w:val="1C41527E"/>
    <w:rsid w:val="1C49412F"/>
    <w:rsid w:val="1C4D3DCD"/>
    <w:rsid w:val="1C4F5FC4"/>
    <w:rsid w:val="1C64078D"/>
    <w:rsid w:val="1C81524F"/>
    <w:rsid w:val="1CA121A3"/>
    <w:rsid w:val="1CDF257F"/>
    <w:rsid w:val="1CDF48C5"/>
    <w:rsid w:val="1CE40841"/>
    <w:rsid w:val="1CF405AE"/>
    <w:rsid w:val="1CFB22F4"/>
    <w:rsid w:val="1D014450"/>
    <w:rsid w:val="1D1D3BBA"/>
    <w:rsid w:val="1D2131AC"/>
    <w:rsid w:val="1D2A2C86"/>
    <w:rsid w:val="1D2A6659"/>
    <w:rsid w:val="1D41310E"/>
    <w:rsid w:val="1D426DC5"/>
    <w:rsid w:val="1D4377C2"/>
    <w:rsid w:val="1D54682E"/>
    <w:rsid w:val="1D575B51"/>
    <w:rsid w:val="1D83301E"/>
    <w:rsid w:val="1D836FC7"/>
    <w:rsid w:val="1D8D5AA7"/>
    <w:rsid w:val="1D956BB8"/>
    <w:rsid w:val="1D9F4A19"/>
    <w:rsid w:val="1DA05599"/>
    <w:rsid w:val="1DAB519B"/>
    <w:rsid w:val="1DC65420"/>
    <w:rsid w:val="1DC94DC3"/>
    <w:rsid w:val="1DD04ECF"/>
    <w:rsid w:val="1DD44A27"/>
    <w:rsid w:val="1DFE319E"/>
    <w:rsid w:val="1E0649A4"/>
    <w:rsid w:val="1E144E53"/>
    <w:rsid w:val="1E474E6F"/>
    <w:rsid w:val="1E6843C7"/>
    <w:rsid w:val="1E84688B"/>
    <w:rsid w:val="1EA60FCA"/>
    <w:rsid w:val="1EA87417"/>
    <w:rsid w:val="1ED70A99"/>
    <w:rsid w:val="1F35766F"/>
    <w:rsid w:val="1F65672E"/>
    <w:rsid w:val="1F6B4880"/>
    <w:rsid w:val="1F6D18D3"/>
    <w:rsid w:val="1F7222CF"/>
    <w:rsid w:val="1F855EC8"/>
    <w:rsid w:val="1F865B87"/>
    <w:rsid w:val="1F8D0E35"/>
    <w:rsid w:val="1FB611E4"/>
    <w:rsid w:val="1FBA2E91"/>
    <w:rsid w:val="1FC02D54"/>
    <w:rsid w:val="1FD92D82"/>
    <w:rsid w:val="1FE56E8A"/>
    <w:rsid w:val="1FEE1F52"/>
    <w:rsid w:val="207471CF"/>
    <w:rsid w:val="20950348"/>
    <w:rsid w:val="20981E88"/>
    <w:rsid w:val="20A06A24"/>
    <w:rsid w:val="20A10137"/>
    <w:rsid w:val="20A76189"/>
    <w:rsid w:val="20B31279"/>
    <w:rsid w:val="20B97750"/>
    <w:rsid w:val="20BD2343"/>
    <w:rsid w:val="20C125E5"/>
    <w:rsid w:val="20F77EBA"/>
    <w:rsid w:val="20FE0571"/>
    <w:rsid w:val="21040EE9"/>
    <w:rsid w:val="212F48FD"/>
    <w:rsid w:val="21441300"/>
    <w:rsid w:val="21592DC8"/>
    <w:rsid w:val="216135E4"/>
    <w:rsid w:val="218E60D2"/>
    <w:rsid w:val="21A41CE3"/>
    <w:rsid w:val="21B23C30"/>
    <w:rsid w:val="21D5663A"/>
    <w:rsid w:val="21FF37BF"/>
    <w:rsid w:val="220D5F91"/>
    <w:rsid w:val="220F017A"/>
    <w:rsid w:val="221A07BB"/>
    <w:rsid w:val="223A4047"/>
    <w:rsid w:val="223D6488"/>
    <w:rsid w:val="224F423C"/>
    <w:rsid w:val="22590C76"/>
    <w:rsid w:val="227710AB"/>
    <w:rsid w:val="229B4E78"/>
    <w:rsid w:val="22C77F82"/>
    <w:rsid w:val="22E50F21"/>
    <w:rsid w:val="22F211C2"/>
    <w:rsid w:val="22F562BD"/>
    <w:rsid w:val="23054BAA"/>
    <w:rsid w:val="231C3AC6"/>
    <w:rsid w:val="23261385"/>
    <w:rsid w:val="233970A1"/>
    <w:rsid w:val="23452FA8"/>
    <w:rsid w:val="2390118C"/>
    <w:rsid w:val="239A7798"/>
    <w:rsid w:val="23A33225"/>
    <w:rsid w:val="23A3458B"/>
    <w:rsid w:val="23A83880"/>
    <w:rsid w:val="23AC3B0D"/>
    <w:rsid w:val="23AC7B00"/>
    <w:rsid w:val="23AE3EA4"/>
    <w:rsid w:val="23BD797B"/>
    <w:rsid w:val="23CC13DF"/>
    <w:rsid w:val="241374BB"/>
    <w:rsid w:val="24163F6F"/>
    <w:rsid w:val="24174945"/>
    <w:rsid w:val="241C0641"/>
    <w:rsid w:val="24210897"/>
    <w:rsid w:val="242E0AC8"/>
    <w:rsid w:val="24474E0A"/>
    <w:rsid w:val="244E4AD0"/>
    <w:rsid w:val="2457213D"/>
    <w:rsid w:val="246B4679"/>
    <w:rsid w:val="248A767B"/>
    <w:rsid w:val="249900C5"/>
    <w:rsid w:val="249929CE"/>
    <w:rsid w:val="24BF7D42"/>
    <w:rsid w:val="25330BB7"/>
    <w:rsid w:val="253B4094"/>
    <w:rsid w:val="255D2F2A"/>
    <w:rsid w:val="256C5A3D"/>
    <w:rsid w:val="257963F1"/>
    <w:rsid w:val="257D2B89"/>
    <w:rsid w:val="259734FD"/>
    <w:rsid w:val="25A12DD9"/>
    <w:rsid w:val="25A7402B"/>
    <w:rsid w:val="25D966A6"/>
    <w:rsid w:val="25FE15DC"/>
    <w:rsid w:val="26272FA3"/>
    <w:rsid w:val="26363B13"/>
    <w:rsid w:val="26571428"/>
    <w:rsid w:val="26653EC4"/>
    <w:rsid w:val="26806C09"/>
    <w:rsid w:val="26863962"/>
    <w:rsid w:val="268F15B2"/>
    <w:rsid w:val="26983FA4"/>
    <w:rsid w:val="26F40F6D"/>
    <w:rsid w:val="26FA6E39"/>
    <w:rsid w:val="271E4603"/>
    <w:rsid w:val="272342DC"/>
    <w:rsid w:val="27264DFC"/>
    <w:rsid w:val="272A0710"/>
    <w:rsid w:val="27555997"/>
    <w:rsid w:val="27594874"/>
    <w:rsid w:val="276E4B45"/>
    <w:rsid w:val="277E0E1B"/>
    <w:rsid w:val="27B150B0"/>
    <w:rsid w:val="27C13C20"/>
    <w:rsid w:val="27E47883"/>
    <w:rsid w:val="27EA0124"/>
    <w:rsid w:val="2807271F"/>
    <w:rsid w:val="28120519"/>
    <w:rsid w:val="281327C3"/>
    <w:rsid w:val="28195AAE"/>
    <w:rsid w:val="282E5A61"/>
    <w:rsid w:val="28323569"/>
    <w:rsid w:val="28326E12"/>
    <w:rsid w:val="28504863"/>
    <w:rsid w:val="28674296"/>
    <w:rsid w:val="287013AF"/>
    <w:rsid w:val="28934004"/>
    <w:rsid w:val="28943CBF"/>
    <w:rsid w:val="28B9246E"/>
    <w:rsid w:val="28E96526"/>
    <w:rsid w:val="28F77A34"/>
    <w:rsid w:val="28FB2B17"/>
    <w:rsid w:val="2905469E"/>
    <w:rsid w:val="29213FAC"/>
    <w:rsid w:val="29220014"/>
    <w:rsid w:val="2922131A"/>
    <w:rsid w:val="294019F3"/>
    <w:rsid w:val="295C30A0"/>
    <w:rsid w:val="295F6F3A"/>
    <w:rsid w:val="2978542E"/>
    <w:rsid w:val="298168E8"/>
    <w:rsid w:val="29880DC9"/>
    <w:rsid w:val="29890866"/>
    <w:rsid w:val="299658C8"/>
    <w:rsid w:val="29C74336"/>
    <w:rsid w:val="29EB473E"/>
    <w:rsid w:val="29FF6BE7"/>
    <w:rsid w:val="2A0C4705"/>
    <w:rsid w:val="2A104C01"/>
    <w:rsid w:val="2A2219FF"/>
    <w:rsid w:val="2A2649D3"/>
    <w:rsid w:val="2A2F0453"/>
    <w:rsid w:val="2A375CB0"/>
    <w:rsid w:val="2A3A4C96"/>
    <w:rsid w:val="2A4F7A8E"/>
    <w:rsid w:val="2A5C693A"/>
    <w:rsid w:val="2A783A41"/>
    <w:rsid w:val="2A7C052B"/>
    <w:rsid w:val="2A9D1044"/>
    <w:rsid w:val="2AA14EFF"/>
    <w:rsid w:val="2AC52B69"/>
    <w:rsid w:val="2AD22CF3"/>
    <w:rsid w:val="2AE42B9F"/>
    <w:rsid w:val="2AFA4FF0"/>
    <w:rsid w:val="2AFF35D3"/>
    <w:rsid w:val="2B0A651F"/>
    <w:rsid w:val="2B132D50"/>
    <w:rsid w:val="2B4604CF"/>
    <w:rsid w:val="2B6076B4"/>
    <w:rsid w:val="2B617D56"/>
    <w:rsid w:val="2B631EFF"/>
    <w:rsid w:val="2B6E542D"/>
    <w:rsid w:val="2BAC408F"/>
    <w:rsid w:val="2BAF7830"/>
    <w:rsid w:val="2BDD0A2E"/>
    <w:rsid w:val="2BEB27E3"/>
    <w:rsid w:val="2BEB2E9D"/>
    <w:rsid w:val="2BF06A06"/>
    <w:rsid w:val="2BF61207"/>
    <w:rsid w:val="2C1713D1"/>
    <w:rsid w:val="2C2E6F83"/>
    <w:rsid w:val="2C620007"/>
    <w:rsid w:val="2C842FD5"/>
    <w:rsid w:val="2CA8063D"/>
    <w:rsid w:val="2CD367CC"/>
    <w:rsid w:val="2CDD2B9E"/>
    <w:rsid w:val="2D09394F"/>
    <w:rsid w:val="2D1C132F"/>
    <w:rsid w:val="2D51298D"/>
    <w:rsid w:val="2D6345E9"/>
    <w:rsid w:val="2D7B23E8"/>
    <w:rsid w:val="2D7E3C87"/>
    <w:rsid w:val="2D7E4209"/>
    <w:rsid w:val="2D9B288E"/>
    <w:rsid w:val="2DBD42B5"/>
    <w:rsid w:val="2DC60B8D"/>
    <w:rsid w:val="2DCB5DC1"/>
    <w:rsid w:val="2DCE5309"/>
    <w:rsid w:val="2DE2242A"/>
    <w:rsid w:val="2E400D4B"/>
    <w:rsid w:val="2E4225F7"/>
    <w:rsid w:val="2E463849"/>
    <w:rsid w:val="2E5A5340"/>
    <w:rsid w:val="2E6E73D5"/>
    <w:rsid w:val="2E81141D"/>
    <w:rsid w:val="2E9A7ADA"/>
    <w:rsid w:val="2EC2396D"/>
    <w:rsid w:val="2ECC1FF9"/>
    <w:rsid w:val="2EF80558"/>
    <w:rsid w:val="2F1B0798"/>
    <w:rsid w:val="2F491BA5"/>
    <w:rsid w:val="2F4F0438"/>
    <w:rsid w:val="2F506BFB"/>
    <w:rsid w:val="2F7E2CC0"/>
    <w:rsid w:val="2F871ABC"/>
    <w:rsid w:val="2F921764"/>
    <w:rsid w:val="2F98405A"/>
    <w:rsid w:val="2FA276F4"/>
    <w:rsid w:val="2FAF32EB"/>
    <w:rsid w:val="2FD11EB8"/>
    <w:rsid w:val="2FE1749B"/>
    <w:rsid w:val="301A4E81"/>
    <w:rsid w:val="303606F3"/>
    <w:rsid w:val="303D5772"/>
    <w:rsid w:val="303E1ECD"/>
    <w:rsid w:val="303E2207"/>
    <w:rsid w:val="30533443"/>
    <w:rsid w:val="306E40F7"/>
    <w:rsid w:val="306F4499"/>
    <w:rsid w:val="309335A5"/>
    <w:rsid w:val="30A604B3"/>
    <w:rsid w:val="30B15581"/>
    <w:rsid w:val="30B32EF2"/>
    <w:rsid w:val="30B93848"/>
    <w:rsid w:val="30BB37BA"/>
    <w:rsid w:val="30BE1DE8"/>
    <w:rsid w:val="31181417"/>
    <w:rsid w:val="31253510"/>
    <w:rsid w:val="313177AD"/>
    <w:rsid w:val="31341EAD"/>
    <w:rsid w:val="313712DD"/>
    <w:rsid w:val="31423CC5"/>
    <w:rsid w:val="31532C6E"/>
    <w:rsid w:val="3157256E"/>
    <w:rsid w:val="3160159B"/>
    <w:rsid w:val="316102EA"/>
    <w:rsid w:val="31665B97"/>
    <w:rsid w:val="31711EF3"/>
    <w:rsid w:val="317433D6"/>
    <w:rsid w:val="31854B7E"/>
    <w:rsid w:val="31E86EE4"/>
    <w:rsid w:val="31F00167"/>
    <w:rsid w:val="31FD6157"/>
    <w:rsid w:val="32171B71"/>
    <w:rsid w:val="322B53E9"/>
    <w:rsid w:val="3242780E"/>
    <w:rsid w:val="3259778C"/>
    <w:rsid w:val="32915ABA"/>
    <w:rsid w:val="329C1497"/>
    <w:rsid w:val="32D72576"/>
    <w:rsid w:val="32D93319"/>
    <w:rsid w:val="32E04086"/>
    <w:rsid w:val="32F96A45"/>
    <w:rsid w:val="330D0307"/>
    <w:rsid w:val="331D384C"/>
    <w:rsid w:val="332C3D97"/>
    <w:rsid w:val="3360351F"/>
    <w:rsid w:val="33620CB2"/>
    <w:rsid w:val="33777078"/>
    <w:rsid w:val="33B17CDB"/>
    <w:rsid w:val="33BB673F"/>
    <w:rsid w:val="33E04B57"/>
    <w:rsid w:val="33FA7456"/>
    <w:rsid w:val="34024883"/>
    <w:rsid w:val="342C6E98"/>
    <w:rsid w:val="343B422E"/>
    <w:rsid w:val="344F7140"/>
    <w:rsid w:val="34714E70"/>
    <w:rsid w:val="34755DB1"/>
    <w:rsid w:val="34935876"/>
    <w:rsid w:val="349E0FB2"/>
    <w:rsid w:val="34A96A1A"/>
    <w:rsid w:val="34B370D1"/>
    <w:rsid w:val="34CA52FD"/>
    <w:rsid w:val="34D32B0A"/>
    <w:rsid w:val="34E622D6"/>
    <w:rsid w:val="35073B82"/>
    <w:rsid w:val="3518700F"/>
    <w:rsid w:val="352F2FF3"/>
    <w:rsid w:val="35375748"/>
    <w:rsid w:val="35486C73"/>
    <w:rsid w:val="35862EB2"/>
    <w:rsid w:val="359E09BB"/>
    <w:rsid w:val="35C556EC"/>
    <w:rsid w:val="35ED13C3"/>
    <w:rsid w:val="361A4DE1"/>
    <w:rsid w:val="361F592F"/>
    <w:rsid w:val="362F79EA"/>
    <w:rsid w:val="36516B14"/>
    <w:rsid w:val="36556C85"/>
    <w:rsid w:val="365B1C96"/>
    <w:rsid w:val="36603459"/>
    <w:rsid w:val="366D2C19"/>
    <w:rsid w:val="3675230B"/>
    <w:rsid w:val="36766F5C"/>
    <w:rsid w:val="36777C43"/>
    <w:rsid w:val="367E7A3F"/>
    <w:rsid w:val="36C1347A"/>
    <w:rsid w:val="36C31B41"/>
    <w:rsid w:val="36C532A1"/>
    <w:rsid w:val="36CE234D"/>
    <w:rsid w:val="36D347D3"/>
    <w:rsid w:val="36DA50A9"/>
    <w:rsid w:val="36F46372"/>
    <w:rsid w:val="371F3DE4"/>
    <w:rsid w:val="372F4949"/>
    <w:rsid w:val="3736228A"/>
    <w:rsid w:val="37671725"/>
    <w:rsid w:val="376F122C"/>
    <w:rsid w:val="3798526A"/>
    <w:rsid w:val="37B72EB1"/>
    <w:rsid w:val="37C1607A"/>
    <w:rsid w:val="37C42A0D"/>
    <w:rsid w:val="37C806F3"/>
    <w:rsid w:val="37C85C3C"/>
    <w:rsid w:val="37CF1603"/>
    <w:rsid w:val="37D12506"/>
    <w:rsid w:val="384635F3"/>
    <w:rsid w:val="38585500"/>
    <w:rsid w:val="385D1C71"/>
    <w:rsid w:val="386038B3"/>
    <w:rsid w:val="38684A38"/>
    <w:rsid w:val="388E1434"/>
    <w:rsid w:val="38952A16"/>
    <w:rsid w:val="38BA5460"/>
    <w:rsid w:val="38C62FF5"/>
    <w:rsid w:val="38D62476"/>
    <w:rsid w:val="38E27127"/>
    <w:rsid w:val="39027E88"/>
    <w:rsid w:val="39075875"/>
    <w:rsid w:val="391904A1"/>
    <w:rsid w:val="391C718D"/>
    <w:rsid w:val="394D30B0"/>
    <w:rsid w:val="394F6067"/>
    <w:rsid w:val="39624091"/>
    <w:rsid w:val="397C6037"/>
    <w:rsid w:val="39D43B66"/>
    <w:rsid w:val="39E82BB3"/>
    <w:rsid w:val="39EC03FA"/>
    <w:rsid w:val="3A15327D"/>
    <w:rsid w:val="3A1D058F"/>
    <w:rsid w:val="3A1E303B"/>
    <w:rsid w:val="3A1F74C9"/>
    <w:rsid w:val="3A2A1F54"/>
    <w:rsid w:val="3A2D40D1"/>
    <w:rsid w:val="3A314B02"/>
    <w:rsid w:val="3A5C2602"/>
    <w:rsid w:val="3A79657B"/>
    <w:rsid w:val="3A8B77C7"/>
    <w:rsid w:val="3A8F7DE5"/>
    <w:rsid w:val="3A9A32EA"/>
    <w:rsid w:val="3ACD391F"/>
    <w:rsid w:val="3B026D00"/>
    <w:rsid w:val="3B1471CB"/>
    <w:rsid w:val="3B3836C7"/>
    <w:rsid w:val="3B5F2B46"/>
    <w:rsid w:val="3B655681"/>
    <w:rsid w:val="3B6C4553"/>
    <w:rsid w:val="3B6F3ABC"/>
    <w:rsid w:val="3B7527F4"/>
    <w:rsid w:val="3B7754EB"/>
    <w:rsid w:val="3B9D358D"/>
    <w:rsid w:val="3BAA143A"/>
    <w:rsid w:val="3BAC7D85"/>
    <w:rsid w:val="3BC378A6"/>
    <w:rsid w:val="3BDC08FD"/>
    <w:rsid w:val="3BE42ECD"/>
    <w:rsid w:val="3BFE1CAB"/>
    <w:rsid w:val="3C10260E"/>
    <w:rsid w:val="3C231575"/>
    <w:rsid w:val="3C274A05"/>
    <w:rsid w:val="3C43437F"/>
    <w:rsid w:val="3C4F746D"/>
    <w:rsid w:val="3C625F9F"/>
    <w:rsid w:val="3C6A66D6"/>
    <w:rsid w:val="3C7511AE"/>
    <w:rsid w:val="3CA977D2"/>
    <w:rsid w:val="3CBF0958"/>
    <w:rsid w:val="3CC733AF"/>
    <w:rsid w:val="3CCB1880"/>
    <w:rsid w:val="3CD72551"/>
    <w:rsid w:val="3CD80EE8"/>
    <w:rsid w:val="3CF76813"/>
    <w:rsid w:val="3CFC6063"/>
    <w:rsid w:val="3D1319B5"/>
    <w:rsid w:val="3D260CA6"/>
    <w:rsid w:val="3D382DC0"/>
    <w:rsid w:val="3D520CCB"/>
    <w:rsid w:val="3D5C6974"/>
    <w:rsid w:val="3D6678B0"/>
    <w:rsid w:val="3D772181"/>
    <w:rsid w:val="3D823D30"/>
    <w:rsid w:val="3DC456E6"/>
    <w:rsid w:val="3DCE6FB3"/>
    <w:rsid w:val="3DD16176"/>
    <w:rsid w:val="3E104E3F"/>
    <w:rsid w:val="3E1D6E9C"/>
    <w:rsid w:val="3E3A052C"/>
    <w:rsid w:val="3E4A1BED"/>
    <w:rsid w:val="3E662345"/>
    <w:rsid w:val="3E82228B"/>
    <w:rsid w:val="3E8242C1"/>
    <w:rsid w:val="3E976A9E"/>
    <w:rsid w:val="3E9C0B16"/>
    <w:rsid w:val="3EB33AF3"/>
    <w:rsid w:val="3EEA62D8"/>
    <w:rsid w:val="3EFD0DF6"/>
    <w:rsid w:val="3EFE49C6"/>
    <w:rsid w:val="3F0A5B5C"/>
    <w:rsid w:val="3F1A0890"/>
    <w:rsid w:val="3F3F5846"/>
    <w:rsid w:val="3F71500B"/>
    <w:rsid w:val="3F7B33F8"/>
    <w:rsid w:val="3F801023"/>
    <w:rsid w:val="3F8064EB"/>
    <w:rsid w:val="3F934111"/>
    <w:rsid w:val="3F950FB5"/>
    <w:rsid w:val="3F982DCA"/>
    <w:rsid w:val="3FA05CDE"/>
    <w:rsid w:val="3FCB5632"/>
    <w:rsid w:val="3FD12D26"/>
    <w:rsid w:val="3FDE4917"/>
    <w:rsid w:val="3FE2412F"/>
    <w:rsid w:val="402F3ADF"/>
    <w:rsid w:val="40306F5A"/>
    <w:rsid w:val="40476BB3"/>
    <w:rsid w:val="404A17AD"/>
    <w:rsid w:val="40546FB6"/>
    <w:rsid w:val="40554803"/>
    <w:rsid w:val="407A60D5"/>
    <w:rsid w:val="407D4F24"/>
    <w:rsid w:val="40961808"/>
    <w:rsid w:val="40A54CE2"/>
    <w:rsid w:val="40AB4DEE"/>
    <w:rsid w:val="40D24BBE"/>
    <w:rsid w:val="40EC4043"/>
    <w:rsid w:val="41166469"/>
    <w:rsid w:val="412008E0"/>
    <w:rsid w:val="413A6D3B"/>
    <w:rsid w:val="41515AC7"/>
    <w:rsid w:val="41902B9F"/>
    <w:rsid w:val="41C02331"/>
    <w:rsid w:val="41C13A63"/>
    <w:rsid w:val="41C67037"/>
    <w:rsid w:val="41D229E1"/>
    <w:rsid w:val="41EC6E94"/>
    <w:rsid w:val="41F72149"/>
    <w:rsid w:val="4201663B"/>
    <w:rsid w:val="4228585D"/>
    <w:rsid w:val="42415ACC"/>
    <w:rsid w:val="425360DC"/>
    <w:rsid w:val="427D539F"/>
    <w:rsid w:val="428E01E1"/>
    <w:rsid w:val="42991E30"/>
    <w:rsid w:val="429F402B"/>
    <w:rsid w:val="42BF647C"/>
    <w:rsid w:val="42CC19F4"/>
    <w:rsid w:val="42CE0B28"/>
    <w:rsid w:val="42CF6367"/>
    <w:rsid w:val="42D36FBC"/>
    <w:rsid w:val="42DE1CCC"/>
    <w:rsid w:val="4308546B"/>
    <w:rsid w:val="43263445"/>
    <w:rsid w:val="433F4247"/>
    <w:rsid w:val="434157E3"/>
    <w:rsid w:val="43494860"/>
    <w:rsid w:val="434D380E"/>
    <w:rsid w:val="43934189"/>
    <w:rsid w:val="439D4850"/>
    <w:rsid w:val="43C27232"/>
    <w:rsid w:val="43E334E8"/>
    <w:rsid w:val="43EC5186"/>
    <w:rsid w:val="43ED069F"/>
    <w:rsid w:val="442A6E5A"/>
    <w:rsid w:val="44356E29"/>
    <w:rsid w:val="443D4992"/>
    <w:rsid w:val="445C4B8F"/>
    <w:rsid w:val="447C2A1B"/>
    <w:rsid w:val="447F5CBE"/>
    <w:rsid w:val="44833851"/>
    <w:rsid w:val="44982752"/>
    <w:rsid w:val="44BF6F86"/>
    <w:rsid w:val="44C45031"/>
    <w:rsid w:val="44D31C1D"/>
    <w:rsid w:val="44D53AB2"/>
    <w:rsid w:val="44DA00B4"/>
    <w:rsid w:val="44F27B0D"/>
    <w:rsid w:val="45151583"/>
    <w:rsid w:val="45174CA4"/>
    <w:rsid w:val="45340249"/>
    <w:rsid w:val="45485BDE"/>
    <w:rsid w:val="457D4A3F"/>
    <w:rsid w:val="458571EC"/>
    <w:rsid w:val="45945C30"/>
    <w:rsid w:val="459F2306"/>
    <w:rsid w:val="45A832FE"/>
    <w:rsid w:val="45AB6174"/>
    <w:rsid w:val="45BA63E5"/>
    <w:rsid w:val="45CC5EDC"/>
    <w:rsid w:val="45CF584F"/>
    <w:rsid w:val="45F73D47"/>
    <w:rsid w:val="462D2575"/>
    <w:rsid w:val="46467FD8"/>
    <w:rsid w:val="46601D33"/>
    <w:rsid w:val="4662371D"/>
    <w:rsid w:val="4666746C"/>
    <w:rsid w:val="466F1D98"/>
    <w:rsid w:val="467505FA"/>
    <w:rsid w:val="467B6008"/>
    <w:rsid w:val="468720BA"/>
    <w:rsid w:val="46895AFC"/>
    <w:rsid w:val="468E6A9E"/>
    <w:rsid w:val="46BC623F"/>
    <w:rsid w:val="46D855B9"/>
    <w:rsid w:val="470D2C74"/>
    <w:rsid w:val="47176AEE"/>
    <w:rsid w:val="47236E19"/>
    <w:rsid w:val="47627EF4"/>
    <w:rsid w:val="477570F1"/>
    <w:rsid w:val="47AD33FA"/>
    <w:rsid w:val="47B41AAA"/>
    <w:rsid w:val="47B9631D"/>
    <w:rsid w:val="47CD38AD"/>
    <w:rsid w:val="47DB16D8"/>
    <w:rsid w:val="47DD6003"/>
    <w:rsid w:val="47F91F4D"/>
    <w:rsid w:val="481726F3"/>
    <w:rsid w:val="48416760"/>
    <w:rsid w:val="48466F81"/>
    <w:rsid w:val="484D02A2"/>
    <w:rsid w:val="486B647A"/>
    <w:rsid w:val="487A72F4"/>
    <w:rsid w:val="48896934"/>
    <w:rsid w:val="489B48B9"/>
    <w:rsid w:val="48C12AEC"/>
    <w:rsid w:val="48D072A1"/>
    <w:rsid w:val="48D1341D"/>
    <w:rsid w:val="48D63F90"/>
    <w:rsid w:val="48E0279A"/>
    <w:rsid w:val="48E64C8E"/>
    <w:rsid w:val="48EC7724"/>
    <w:rsid w:val="48FA7B87"/>
    <w:rsid w:val="49023E07"/>
    <w:rsid w:val="4919356E"/>
    <w:rsid w:val="492A7740"/>
    <w:rsid w:val="49300AA7"/>
    <w:rsid w:val="49391CB0"/>
    <w:rsid w:val="493C3A20"/>
    <w:rsid w:val="49401E21"/>
    <w:rsid w:val="49521DF7"/>
    <w:rsid w:val="49526EB9"/>
    <w:rsid w:val="49684311"/>
    <w:rsid w:val="496D00AD"/>
    <w:rsid w:val="49742114"/>
    <w:rsid w:val="49754CB4"/>
    <w:rsid w:val="49921F0F"/>
    <w:rsid w:val="49AD1720"/>
    <w:rsid w:val="49CE6B8E"/>
    <w:rsid w:val="49D72FF3"/>
    <w:rsid w:val="49E0102B"/>
    <w:rsid w:val="4A2945F2"/>
    <w:rsid w:val="4A392DEA"/>
    <w:rsid w:val="4A615154"/>
    <w:rsid w:val="4A844DE0"/>
    <w:rsid w:val="4A96607C"/>
    <w:rsid w:val="4A9908EE"/>
    <w:rsid w:val="4AA91ED6"/>
    <w:rsid w:val="4AB92E92"/>
    <w:rsid w:val="4AC46B18"/>
    <w:rsid w:val="4AD87C28"/>
    <w:rsid w:val="4AD9416A"/>
    <w:rsid w:val="4B2134B8"/>
    <w:rsid w:val="4B24233C"/>
    <w:rsid w:val="4B330A0B"/>
    <w:rsid w:val="4B3756CC"/>
    <w:rsid w:val="4B5E55F9"/>
    <w:rsid w:val="4B685D82"/>
    <w:rsid w:val="4B7B4674"/>
    <w:rsid w:val="4B7C663B"/>
    <w:rsid w:val="4B812078"/>
    <w:rsid w:val="4BF71347"/>
    <w:rsid w:val="4BF97932"/>
    <w:rsid w:val="4C107D48"/>
    <w:rsid w:val="4C141E75"/>
    <w:rsid w:val="4C2A4039"/>
    <w:rsid w:val="4C312198"/>
    <w:rsid w:val="4C561BFF"/>
    <w:rsid w:val="4C736F36"/>
    <w:rsid w:val="4CAE60E3"/>
    <w:rsid w:val="4CD37BDB"/>
    <w:rsid w:val="4CEE1D13"/>
    <w:rsid w:val="4CFB27A6"/>
    <w:rsid w:val="4D032DA9"/>
    <w:rsid w:val="4D0C6DBE"/>
    <w:rsid w:val="4D25615C"/>
    <w:rsid w:val="4D36054D"/>
    <w:rsid w:val="4D41137F"/>
    <w:rsid w:val="4D453062"/>
    <w:rsid w:val="4D4D3B7A"/>
    <w:rsid w:val="4D524AEA"/>
    <w:rsid w:val="4D5724F7"/>
    <w:rsid w:val="4D757452"/>
    <w:rsid w:val="4D8C3F82"/>
    <w:rsid w:val="4DBC14B8"/>
    <w:rsid w:val="4DE936C7"/>
    <w:rsid w:val="4DEB6C83"/>
    <w:rsid w:val="4DF23555"/>
    <w:rsid w:val="4E050D4C"/>
    <w:rsid w:val="4E06569E"/>
    <w:rsid w:val="4E093792"/>
    <w:rsid w:val="4E173610"/>
    <w:rsid w:val="4E1D26B7"/>
    <w:rsid w:val="4E1D3A0D"/>
    <w:rsid w:val="4E1F052C"/>
    <w:rsid w:val="4E451D41"/>
    <w:rsid w:val="4E546612"/>
    <w:rsid w:val="4E7A454C"/>
    <w:rsid w:val="4E7E60C2"/>
    <w:rsid w:val="4E820B4C"/>
    <w:rsid w:val="4E85341C"/>
    <w:rsid w:val="4E956C8D"/>
    <w:rsid w:val="4E9B7B12"/>
    <w:rsid w:val="4EC47712"/>
    <w:rsid w:val="4EDD3C61"/>
    <w:rsid w:val="4EE43E79"/>
    <w:rsid w:val="4EF1457F"/>
    <w:rsid w:val="4F2A6DB6"/>
    <w:rsid w:val="4F2C40A0"/>
    <w:rsid w:val="4F2E6E63"/>
    <w:rsid w:val="4F2F3B98"/>
    <w:rsid w:val="4F380B7A"/>
    <w:rsid w:val="4F424B82"/>
    <w:rsid w:val="4F4B0CB3"/>
    <w:rsid w:val="4F4F0EBF"/>
    <w:rsid w:val="4F586D8F"/>
    <w:rsid w:val="4F8C4B40"/>
    <w:rsid w:val="4FAA5CD5"/>
    <w:rsid w:val="4FBD187E"/>
    <w:rsid w:val="4FC56067"/>
    <w:rsid w:val="4FD11AC0"/>
    <w:rsid w:val="4FEA4E33"/>
    <w:rsid w:val="500100D3"/>
    <w:rsid w:val="500A342C"/>
    <w:rsid w:val="501119C9"/>
    <w:rsid w:val="502F75EB"/>
    <w:rsid w:val="50400243"/>
    <w:rsid w:val="50494336"/>
    <w:rsid w:val="50784012"/>
    <w:rsid w:val="50813C12"/>
    <w:rsid w:val="5087463E"/>
    <w:rsid w:val="50A11680"/>
    <w:rsid w:val="50B136A5"/>
    <w:rsid w:val="50B77550"/>
    <w:rsid w:val="50C773AE"/>
    <w:rsid w:val="50CD6602"/>
    <w:rsid w:val="50E6022F"/>
    <w:rsid w:val="50E61077"/>
    <w:rsid w:val="510D0F23"/>
    <w:rsid w:val="51197B59"/>
    <w:rsid w:val="5133132A"/>
    <w:rsid w:val="516105A3"/>
    <w:rsid w:val="51615030"/>
    <w:rsid w:val="51627812"/>
    <w:rsid w:val="51C136D4"/>
    <w:rsid w:val="51D33F6D"/>
    <w:rsid w:val="51DB1448"/>
    <w:rsid w:val="52045DB4"/>
    <w:rsid w:val="522C275E"/>
    <w:rsid w:val="52465321"/>
    <w:rsid w:val="524C13A2"/>
    <w:rsid w:val="52614A8E"/>
    <w:rsid w:val="529000F6"/>
    <w:rsid w:val="5296149A"/>
    <w:rsid w:val="52990A97"/>
    <w:rsid w:val="52A65672"/>
    <w:rsid w:val="52BA4073"/>
    <w:rsid w:val="52CA2507"/>
    <w:rsid w:val="52CD7B31"/>
    <w:rsid w:val="52D32A37"/>
    <w:rsid w:val="52D576F4"/>
    <w:rsid w:val="52DF170A"/>
    <w:rsid w:val="52E25B6D"/>
    <w:rsid w:val="52F362FB"/>
    <w:rsid w:val="52F4161A"/>
    <w:rsid w:val="52F965A5"/>
    <w:rsid w:val="53081AD8"/>
    <w:rsid w:val="53235275"/>
    <w:rsid w:val="53240623"/>
    <w:rsid w:val="53321C03"/>
    <w:rsid w:val="533415F9"/>
    <w:rsid w:val="534823B8"/>
    <w:rsid w:val="534C0C16"/>
    <w:rsid w:val="535657D0"/>
    <w:rsid w:val="535868CC"/>
    <w:rsid w:val="53597EDB"/>
    <w:rsid w:val="535A2D18"/>
    <w:rsid w:val="538D066D"/>
    <w:rsid w:val="538F2FA5"/>
    <w:rsid w:val="53934B1D"/>
    <w:rsid w:val="53A2278E"/>
    <w:rsid w:val="53CB788B"/>
    <w:rsid w:val="53D17DBD"/>
    <w:rsid w:val="53E32E36"/>
    <w:rsid w:val="54203B94"/>
    <w:rsid w:val="5424233E"/>
    <w:rsid w:val="542A3DC2"/>
    <w:rsid w:val="542C299E"/>
    <w:rsid w:val="543527D7"/>
    <w:rsid w:val="543642C1"/>
    <w:rsid w:val="543F5E24"/>
    <w:rsid w:val="54486E51"/>
    <w:rsid w:val="54506176"/>
    <w:rsid w:val="5461235D"/>
    <w:rsid w:val="54667BA2"/>
    <w:rsid w:val="547E7555"/>
    <w:rsid w:val="54806F19"/>
    <w:rsid w:val="54A01FAE"/>
    <w:rsid w:val="54A478E7"/>
    <w:rsid w:val="54AC3148"/>
    <w:rsid w:val="54C0256E"/>
    <w:rsid w:val="54C334B7"/>
    <w:rsid w:val="54D4667D"/>
    <w:rsid w:val="54D55C56"/>
    <w:rsid w:val="54EC389B"/>
    <w:rsid w:val="54F847D9"/>
    <w:rsid w:val="55126190"/>
    <w:rsid w:val="55216B22"/>
    <w:rsid w:val="555F3833"/>
    <w:rsid w:val="55667780"/>
    <w:rsid w:val="556E493A"/>
    <w:rsid w:val="55725F14"/>
    <w:rsid w:val="55941D63"/>
    <w:rsid w:val="559C0CE1"/>
    <w:rsid w:val="55B42D88"/>
    <w:rsid w:val="55D11119"/>
    <w:rsid w:val="55DB1F79"/>
    <w:rsid w:val="55FD47AE"/>
    <w:rsid w:val="560A42BD"/>
    <w:rsid w:val="560C1D89"/>
    <w:rsid w:val="56353B20"/>
    <w:rsid w:val="563A6A4D"/>
    <w:rsid w:val="56443B98"/>
    <w:rsid w:val="56453A77"/>
    <w:rsid w:val="56757259"/>
    <w:rsid w:val="568B7EB7"/>
    <w:rsid w:val="56BC078F"/>
    <w:rsid w:val="56CB4BCB"/>
    <w:rsid w:val="56FB75FE"/>
    <w:rsid w:val="572C5521"/>
    <w:rsid w:val="572F42F6"/>
    <w:rsid w:val="57391A95"/>
    <w:rsid w:val="573F3C9E"/>
    <w:rsid w:val="574028CB"/>
    <w:rsid w:val="574C52C4"/>
    <w:rsid w:val="57526FDB"/>
    <w:rsid w:val="57572F35"/>
    <w:rsid w:val="575B33A4"/>
    <w:rsid w:val="57674A5D"/>
    <w:rsid w:val="579775E1"/>
    <w:rsid w:val="57C90530"/>
    <w:rsid w:val="57CE0836"/>
    <w:rsid w:val="582F44F7"/>
    <w:rsid w:val="583F27F2"/>
    <w:rsid w:val="58455B6D"/>
    <w:rsid w:val="584D29B0"/>
    <w:rsid w:val="584F7C49"/>
    <w:rsid w:val="5888302C"/>
    <w:rsid w:val="5889129A"/>
    <w:rsid w:val="589C09AA"/>
    <w:rsid w:val="58A70AE5"/>
    <w:rsid w:val="58AD528C"/>
    <w:rsid w:val="58B31955"/>
    <w:rsid w:val="58BA45A1"/>
    <w:rsid w:val="59457283"/>
    <w:rsid w:val="594F6915"/>
    <w:rsid w:val="59737A65"/>
    <w:rsid w:val="597C1E81"/>
    <w:rsid w:val="59842DF4"/>
    <w:rsid w:val="59947CE9"/>
    <w:rsid w:val="59A0359A"/>
    <w:rsid w:val="59E52D9A"/>
    <w:rsid w:val="5A300449"/>
    <w:rsid w:val="5A3317D1"/>
    <w:rsid w:val="5A482DEE"/>
    <w:rsid w:val="5A542102"/>
    <w:rsid w:val="5A55295D"/>
    <w:rsid w:val="5A7E104A"/>
    <w:rsid w:val="5A8208A0"/>
    <w:rsid w:val="5A861FD5"/>
    <w:rsid w:val="5AB53F94"/>
    <w:rsid w:val="5AE3253A"/>
    <w:rsid w:val="5AEA30C9"/>
    <w:rsid w:val="5AEA3475"/>
    <w:rsid w:val="5AF54C6B"/>
    <w:rsid w:val="5AFF16B3"/>
    <w:rsid w:val="5B087B94"/>
    <w:rsid w:val="5B0C2FBE"/>
    <w:rsid w:val="5B0E3E89"/>
    <w:rsid w:val="5B124740"/>
    <w:rsid w:val="5B31434D"/>
    <w:rsid w:val="5B3A10B7"/>
    <w:rsid w:val="5B3F60FF"/>
    <w:rsid w:val="5B3F66E7"/>
    <w:rsid w:val="5B5C05CD"/>
    <w:rsid w:val="5B872AE6"/>
    <w:rsid w:val="5BA77753"/>
    <w:rsid w:val="5BB60E53"/>
    <w:rsid w:val="5BC025EF"/>
    <w:rsid w:val="5BE21435"/>
    <w:rsid w:val="5C077640"/>
    <w:rsid w:val="5C1203C7"/>
    <w:rsid w:val="5C1F35AE"/>
    <w:rsid w:val="5C3905BF"/>
    <w:rsid w:val="5C66397A"/>
    <w:rsid w:val="5C7349B6"/>
    <w:rsid w:val="5C824C05"/>
    <w:rsid w:val="5C8725EE"/>
    <w:rsid w:val="5CB0251A"/>
    <w:rsid w:val="5CB43AA6"/>
    <w:rsid w:val="5CB97030"/>
    <w:rsid w:val="5CC97332"/>
    <w:rsid w:val="5D073AE3"/>
    <w:rsid w:val="5D187049"/>
    <w:rsid w:val="5D1D2427"/>
    <w:rsid w:val="5D4712BC"/>
    <w:rsid w:val="5D756277"/>
    <w:rsid w:val="5D760215"/>
    <w:rsid w:val="5D7D3B34"/>
    <w:rsid w:val="5D955FBD"/>
    <w:rsid w:val="5DA62524"/>
    <w:rsid w:val="5DAC3919"/>
    <w:rsid w:val="5DB36259"/>
    <w:rsid w:val="5DBD33B2"/>
    <w:rsid w:val="5DC223CB"/>
    <w:rsid w:val="5DF200B4"/>
    <w:rsid w:val="5DF66637"/>
    <w:rsid w:val="5DFF6858"/>
    <w:rsid w:val="5E0F2B0E"/>
    <w:rsid w:val="5E185132"/>
    <w:rsid w:val="5E21523D"/>
    <w:rsid w:val="5E2A0167"/>
    <w:rsid w:val="5E306BD6"/>
    <w:rsid w:val="5E357F9F"/>
    <w:rsid w:val="5E5D68E8"/>
    <w:rsid w:val="5E802A96"/>
    <w:rsid w:val="5E9074FF"/>
    <w:rsid w:val="5EAD0273"/>
    <w:rsid w:val="5EAE1AF2"/>
    <w:rsid w:val="5EB62A77"/>
    <w:rsid w:val="5EB80355"/>
    <w:rsid w:val="5EBB2226"/>
    <w:rsid w:val="5EBE5F24"/>
    <w:rsid w:val="5ED70FCC"/>
    <w:rsid w:val="5EF07004"/>
    <w:rsid w:val="5F0E1E9A"/>
    <w:rsid w:val="5F1C4634"/>
    <w:rsid w:val="5F860C23"/>
    <w:rsid w:val="5FA35F78"/>
    <w:rsid w:val="5FC44411"/>
    <w:rsid w:val="5FCB425A"/>
    <w:rsid w:val="5FE05236"/>
    <w:rsid w:val="5FE426E2"/>
    <w:rsid w:val="604E1CA9"/>
    <w:rsid w:val="605C7AA6"/>
    <w:rsid w:val="605F132B"/>
    <w:rsid w:val="608510A4"/>
    <w:rsid w:val="608762FF"/>
    <w:rsid w:val="609E1C45"/>
    <w:rsid w:val="60B74397"/>
    <w:rsid w:val="60BD4FD1"/>
    <w:rsid w:val="60C23FA5"/>
    <w:rsid w:val="60D507D0"/>
    <w:rsid w:val="60E07610"/>
    <w:rsid w:val="60EA1511"/>
    <w:rsid w:val="60EB6C34"/>
    <w:rsid w:val="60FD5C7B"/>
    <w:rsid w:val="610C1CA3"/>
    <w:rsid w:val="613D7E7B"/>
    <w:rsid w:val="61425C7D"/>
    <w:rsid w:val="6151633C"/>
    <w:rsid w:val="617162E9"/>
    <w:rsid w:val="61716B0A"/>
    <w:rsid w:val="61A52BAA"/>
    <w:rsid w:val="61C36FD5"/>
    <w:rsid w:val="61CF1360"/>
    <w:rsid w:val="61FA0AE4"/>
    <w:rsid w:val="621D7EC3"/>
    <w:rsid w:val="62221C10"/>
    <w:rsid w:val="62221C7A"/>
    <w:rsid w:val="623438BB"/>
    <w:rsid w:val="62352B2C"/>
    <w:rsid w:val="624B10F0"/>
    <w:rsid w:val="624F3E48"/>
    <w:rsid w:val="62516C98"/>
    <w:rsid w:val="62635981"/>
    <w:rsid w:val="629B3E75"/>
    <w:rsid w:val="629B5D43"/>
    <w:rsid w:val="62A36D1F"/>
    <w:rsid w:val="62A40365"/>
    <w:rsid w:val="62A42602"/>
    <w:rsid w:val="62A469A9"/>
    <w:rsid w:val="62A92FF1"/>
    <w:rsid w:val="62B90FFE"/>
    <w:rsid w:val="62E10186"/>
    <w:rsid w:val="62F6018D"/>
    <w:rsid w:val="63016E3A"/>
    <w:rsid w:val="63034141"/>
    <w:rsid w:val="63045E00"/>
    <w:rsid w:val="630A731B"/>
    <w:rsid w:val="631A3570"/>
    <w:rsid w:val="63386B48"/>
    <w:rsid w:val="633A3FE7"/>
    <w:rsid w:val="63410B16"/>
    <w:rsid w:val="63562840"/>
    <w:rsid w:val="637141EC"/>
    <w:rsid w:val="63805B1F"/>
    <w:rsid w:val="63834973"/>
    <w:rsid w:val="638F3DC7"/>
    <w:rsid w:val="6397194C"/>
    <w:rsid w:val="63A17834"/>
    <w:rsid w:val="63AB4D19"/>
    <w:rsid w:val="63CB65D6"/>
    <w:rsid w:val="63CD67F3"/>
    <w:rsid w:val="63DA4B5E"/>
    <w:rsid w:val="63DE2C24"/>
    <w:rsid w:val="64273E62"/>
    <w:rsid w:val="642E2892"/>
    <w:rsid w:val="643B736C"/>
    <w:rsid w:val="644F0FB6"/>
    <w:rsid w:val="646B1613"/>
    <w:rsid w:val="647D446A"/>
    <w:rsid w:val="64AD7C37"/>
    <w:rsid w:val="64B0399F"/>
    <w:rsid w:val="64B05758"/>
    <w:rsid w:val="64BE4B0D"/>
    <w:rsid w:val="65075A96"/>
    <w:rsid w:val="650E600B"/>
    <w:rsid w:val="650F0C7B"/>
    <w:rsid w:val="651541F8"/>
    <w:rsid w:val="652B691A"/>
    <w:rsid w:val="652D1CE0"/>
    <w:rsid w:val="65B221E6"/>
    <w:rsid w:val="65BB5F2E"/>
    <w:rsid w:val="65E939D5"/>
    <w:rsid w:val="66426031"/>
    <w:rsid w:val="66593B74"/>
    <w:rsid w:val="665D2DD8"/>
    <w:rsid w:val="66651C8A"/>
    <w:rsid w:val="66675176"/>
    <w:rsid w:val="669F2C65"/>
    <w:rsid w:val="66B21CD0"/>
    <w:rsid w:val="66BE6B53"/>
    <w:rsid w:val="66C55FD8"/>
    <w:rsid w:val="66C96C89"/>
    <w:rsid w:val="66D333AF"/>
    <w:rsid w:val="66E0683D"/>
    <w:rsid w:val="67023742"/>
    <w:rsid w:val="67192A34"/>
    <w:rsid w:val="674A4927"/>
    <w:rsid w:val="6760233B"/>
    <w:rsid w:val="677243C5"/>
    <w:rsid w:val="678568CD"/>
    <w:rsid w:val="67904A3A"/>
    <w:rsid w:val="679518BF"/>
    <w:rsid w:val="67A24F14"/>
    <w:rsid w:val="67BB4EAD"/>
    <w:rsid w:val="67E453F6"/>
    <w:rsid w:val="67F130F8"/>
    <w:rsid w:val="67F84AFE"/>
    <w:rsid w:val="680878A3"/>
    <w:rsid w:val="68340476"/>
    <w:rsid w:val="68366D6B"/>
    <w:rsid w:val="68375AD4"/>
    <w:rsid w:val="683870E8"/>
    <w:rsid w:val="68457681"/>
    <w:rsid w:val="684977D5"/>
    <w:rsid w:val="68552C50"/>
    <w:rsid w:val="685D34E7"/>
    <w:rsid w:val="686A1EFF"/>
    <w:rsid w:val="686D2352"/>
    <w:rsid w:val="686D68BD"/>
    <w:rsid w:val="68A8123A"/>
    <w:rsid w:val="68B84F4C"/>
    <w:rsid w:val="69055229"/>
    <w:rsid w:val="69146C72"/>
    <w:rsid w:val="6929374C"/>
    <w:rsid w:val="692F20BB"/>
    <w:rsid w:val="69784C3F"/>
    <w:rsid w:val="69C1095D"/>
    <w:rsid w:val="6A0138F7"/>
    <w:rsid w:val="6A1E155A"/>
    <w:rsid w:val="6A5437CA"/>
    <w:rsid w:val="6A682BD4"/>
    <w:rsid w:val="6A7B5447"/>
    <w:rsid w:val="6A9516EC"/>
    <w:rsid w:val="6AC54A4A"/>
    <w:rsid w:val="6ADB012D"/>
    <w:rsid w:val="6AE3748E"/>
    <w:rsid w:val="6AE83C5F"/>
    <w:rsid w:val="6AF53FAE"/>
    <w:rsid w:val="6B1C3EC6"/>
    <w:rsid w:val="6B3D425E"/>
    <w:rsid w:val="6B3F4C28"/>
    <w:rsid w:val="6B574638"/>
    <w:rsid w:val="6B5F5B98"/>
    <w:rsid w:val="6B615C8D"/>
    <w:rsid w:val="6B67068F"/>
    <w:rsid w:val="6B6E2E8D"/>
    <w:rsid w:val="6B830718"/>
    <w:rsid w:val="6B8A4FC9"/>
    <w:rsid w:val="6B977A86"/>
    <w:rsid w:val="6BAB6FBB"/>
    <w:rsid w:val="6BB568D4"/>
    <w:rsid w:val="6BDF720E"/>
    <w:rsid w:val="6BDF79C7"/>
    <w:rsid w:val="6BE146ED"/>
    <w:rsid w:val="6C0B074D"/>
    <w:rsid w:val="6C1458EF"/>
    <w:rsid w:val="6C231806"/>
    <w:rsid w:val="6C275F8B"/>
    <w:rsid w:val="6C2C76C9"/>
    <w:rsid w:val="6C3B15FF"/>
    <w:rsid w:val="6C3B431E"/>
    <w:rsid w:val="6C3E5116"/>
    <w:rsid w:val="6C4A65DC"/>
    <w:rsid w:val="6C587652"/>
    <w:rsid w:val="6C630E55"/>
    <w:rsid w:val="6C725FD7"/>
    <w:rsid w:val="6C8379F5"/>
    <w:rsid w:val="6C852D02"/>
    <w:rsid w:val="6C861C34"/>
    <w:rsid w:val="6CA72DBB"/>
    <w:rsid w:val="6CB15983"/>
    <w:rsid w:val="6CBA18DE"/>
    <w:rsid w:val="6CC87955"/>
    <w:rsid w:val="6CDF07AF"/>
    <w:rsid w:val="6CEA2C90"/>
    <w:rsid w:val="6CFA5C74"/>
    <w:rsid w:val="6D272DFD"/>
    <w:rsid w:val="6D2C4A68"/>
    <w:rsid w:val="6D3B2E78"/>
    <w:rsid w:val="6D3C3AC0"/>
    <w:rsid w:val="6D410335"/>
    <w:rsid w:val="6D4305C3"/>
    <w:rsid w:val="6D48445E"/>
    <w:rsid w:val="6D500B73"/>
    <w:rsid w:val="6D666AA6"/>
    <w:rsid w:val="6D687043"/>
    <w:rsid w:val="6D7D6DC8"/>
    <w:rsid w:val="6D885EAB"/>
    <w:rsid w:val="6D953F0C"/>
    <w:rsid w:val="6DB67EBB"/>
    <w:rsid w:val="6DEF52E3"/>
    <w:rsid w:val="6E0E6A1E"/>
    <w:rsid w:val="6E2D763E"/>
    <w:rsid w:val="6E420FB1"/>
    <w:rsid w:val="6E6B46D3"/>
    <w:rsid w:val="6E8126B3"/>
    <w:rsid w:val="6E953983"/>
    <w:rsid w:val="6E95768E"/>
    <w:rsid w:val="6EA14900"/>
    <w:rsid w:val="6EB27AA3"/>
    <w:rsid w:val="6EBD1CFE"/>
    <w:rsid w:val="6EF9461D"/>
    <w:rsid w:val="6F1348E9"/>
    <w:rsid w:val="6F2A01FE"/>
    <w:rsid w:val="6F2A71A4"/>
    <w:rsid w:val="6F5D1EE4"/>
    <w:rsid w:val="6F9415EA"/>
    <w:rsid w:val="6F9B042E"/>
    <w:rsid w:val="6FB72F84"/>
    <w:rsid w:val="6FB73BA3"/>
    <w:rsid w:val="6FCA5E7C"/>
    <w:rsid w:val="6FE11F22"/>
    <w:rsid w:val="6FE3419F"/>
    <w:rsid w:val="6FF778F1"/>
    <w:rsid w:val="700346D4"/>
    <w:rsid w:val="700972F0"/>
    <w:rsid w:val="70287F2C"/>
    <w:rsid w:val="705F6415"/>
    <w:rsid w:val="70AF69EB"/>
    <w:rsid w:val="70C667BE"/>
    <w:rsid w:val="70DE2249"/>
    <w:rsid w:val="70F97D93"/>
    <w:rsid w:val="710E13DA"/>
    <w:rsid w:val="71181113"/>
    <w:rsid w:val="711D7CA6"/>
    <w:rsid w:val="71226ACC"/>
    <w:rsid w:val="71227E63"/>
    <w:rsid w:val="71614B6B"/>
    <w:rsid w:val="718D2905"/>
    <w:rsid w:val="719909D2"/>
    <w:rsid w:val="719B61D4"/>
    <w:rsid w:val="71A10922"/>
    <w:rsid w:val="71B80695"/>
    <w:rsid w:val="71D214DD"/>
    <w:rsid w:val="71D64AC4"/>
    <w:rsid w:val="71E107C1"/>
    <w:rsid w:val="71F62920"/>
    <w:rsid w:val="72091DAA"/>
    <w:rsid w:val="72267D97"/>
    <w:rsid w:val="723734D4"/>
    <w:rsid w:val="724E29D1"/>
    <w:rsid w:val="728564F5"/>
    <w:rsid w:val="728B7ACE"/>
    <w:rsid w:val="728E70EC"/>
    <w:rsid w:val="729701CD"/>
    <w:rsid w:val="72AB431D"/>
    <w:rsid w:val="72DA09BB"/>
    <w:rsid w:val="72E745EF"/>
    <w:rsid w:val="72E97F76"/>
    <w:rsid w:val="730E0485"/>
    <w:rsid w:val="730E4D7D"/>
    <w:rsid w:val="731466EF"/>
    <w:rsid w:val="73212A01"/>
    <w:rsid w:val="73322FF0"/>
    <w:rsid w:val="733712FB"/>
    <w:rsid w:val="73460FB0"/>
    <w:rsid w:val="73513F28"/>
    <w:rsid w:val="735A7119"/>
    <w:rsid w:val="736127BE"/>
    <w:rsid w:val="73712FDC"/>
    <w:rsid w:val="739E0038"/>
    <w:rsid w:val="73B34591"/>
    <w:rsid w:val="73BE3A62"/>
    <w:rsid w:val="73D850A2"/>
    <w:rsid w:val="73DE7F6C"/>
    <w:rsid w:val="73E365CE"/>
    <w:rsid w:val="73E64B1D"/>
    <w:rsid w:val="73E8370C"/>
    <w:rsid w:val="740735EA"/>
    <w:rsid w:val="7408106C"/>
    <w:rsid w:val="7412351E"/>
    <w:rsid w:val="74940C67"/>
    <w:rsid w:val="749F2D9C"/>
    <w:rsid w:val="74B65705"/>
    <w:rsid w:val="74BB4279"/>
    <w:rsid w:val="74BE4E97"/>
    <w:rsid w:val="74D504C8"/>
    <w:rsid w:val="74E0512E"/>
    <w:rsid w:val="74F679F1"/>
    <w:rsid w:val="74F841F7"/>
    <w:rsid w:val="75003D28"/>
    <w:rsid w:val="750445F2"/>
    <w:rsid w:val="75194628"/>
    <w:rsid w:val="751D637E"/>
    <w:rsid w:val="751F2555"/>
    <w:rsid w:val="75267B11"/>
    <w:rsid w:val="753504B8"/>
    <w:rsid w:val="75466A74"/>
    <w:rsid w:val="757F267E"/>
    <w:rsid w:val="758418D8"/>
    <w:rsid w:val="75A17528"/>
    <w:rsid w:val="75AA6AC3"/>
    <w:rsid w:val="75B749A9"/>
    <w:rsid w:val="75CB1443"/>
    <w:rsid w:val="75CD3F16"/>
    <w:rsid w:val="75EA5BFB"/>
    <w:rsid w:val="760F5209"/>
    <w:rsid w:val="761730D6"/>
    <w:rsid w:val="761A34DA"/>
    <w:rsid w:val="76781DCD"/>
    <w:rsid w:val="76D84698"/>
    <w:rsid w:val="772F7731"/>
    <w:rsid w:val="775865D7"/>
    <w:rsid w:val="775A33B3"/>
    <w:rsid w:val="775B4584"/>
    <w:rsid w:val="776234AF"/>
    <w:rsid w:val="776D12AE"/>
    <w:rsid w:val="776F6C29"/>
    <w:rsid w:val="77895532"/>
    <w:rsid w:val="77AD0FE0"/>
    <w:rsid w:val="77BE7384"/>
    <w:rsid w:val="780F37EC"/>
    <w:rsid w:val="787A6E12"/>
    <w:rsid w:val="78821B50"/>
    <w:rsid w:val="788E2A2A"/>
    <w:rsid w:val="78C52EE0"/>
    <w:rsid w:val="78D23C9C"/>
    <w:rsid w:val="7913610A"/>
    <w:rsid w:val="791A167A"/>
    <w:rsid w:val="794D119C"/>
    <w:rsid w:val="796B6F7E"/>
    <w:rsid w:val="79935707"/>
    <w:rsid w:val="799A2128"/>
    <w:rsid w:val="79C0552F"/>
    <w:rsid w:val="79C30D65"/>
    <w:rsid w:val="79CC3295"/>
    <w:rsid w:val="79D37E29"/>
    <w:rsid w:val="7A0B1561"/>
    <w:rsid w:val="7A25258A"/>
    <w:rsid w:val="7A2C646D"/>
    <w:rsid w:val="7A441CE6"/>
    <w:rsid w:val="7A55546C"/>
    <w:rsid w:val="7A743686"/>
    <w:rsid w:val="7A824E2E"/>
    <w:rsid w:val="7A9E7BE0"/>
    <w:rsid w:val="7AA8721A"/>
    <w:rsid w:val="7AFF6437"/>
    <w:rsid w:val="7B021BF1"/>
    <w:rsid w:val="7B4950F7"/>
    <w:rsid w:val="7B6906DD"/>
    <w:rsid w:val="7B9F2862"/>
    <w:rsid w:val="7BA9751C"/>
    <w:rsid w:val="7BAB44F6"/>
    <w:rsid w:val="7BB856C6"/>
    <w:rsid w:val="7BBB27D3"/>
    <w:rsid w:val="7BC24A45"/>
    <w:rsid w:val="7BD52A90"/>
    <w:rsid w:val="7C076616"/>
    <w:rsid w:val="7C0D60AB"/>
    <w:rsid w:val="7C295DFC"/>
    <w:rsid w:val="7C4B37FA"/>
    <w:rsid w:val="7C58255B"/>
    <w:rsid w:val="7C5B5FF8"/>
    <w:rsid w:val="7C910DB6"/>
    <w:rsid w:val="7C9E490F"/>
    <w:rsid w:val="7CE84908"/>
    <w:rsid w:val="7CEA3B1A"/>
    <w:rsid w:val="7CF03F88"/>
    <w:rsid w:val="7CF73786"/>
    <w:rsid w:val="7D091FF0"/>
    <w:rsid w:val="7D2F2A9C"/>
    <w:rsid w:val="7D4C6AE0"/>
    <w:rsid w:val="7D573168"/>
    <w:rsid w:val="7D5E51C4"/>
    <w:rsid w:val="7D7525FB"/>
    <w:rsid w:val="7DC111D1"/>
    <w:rsid w:val="7DC43A43"/>
    <w:rsid w:val="7DC74225"/>
    <w:rsid w:val="7DDA69EF"/>
    <w:rsid w:val="7DDD18D5"/>
    <w:rsid w:val="7DF24C6A"/>
    <w:rsid w:val="7E1A39B7"/>
    <w:rsid w:val="7E6C26A2"/>
    <w:rsid w:val="7E9A525C"/>
    <w:rsid w:val="7EB35583"/>
    <w:rsid w:val="7EB5276C"/>
    <w:rsid w:val="7EBC57D7"/>
    <w:rsid w:val="7ED0794B"/>
    <w:rsid w:val="7ED70A6F"/>
    <w:rsid w:val="7EE20D78"/>
    <w:rsid w:val="7EE9231B"/>
    <w:rsid w:val="7EFF38D3"/>
    <w:rsid w:val="7F21759B"/>
    <w:rsid w:val="7F3206AA"/>
    <w:rsid w:val="7F5E6382"/>
    <w:rsid w:val="7F5F2553"/>
    <w:rsid w:val="7F89742A"/>
    <w:rsid w:val="7F935909"/>
    <w:rsid w:val="7F9B22D0"/>
    <w:rsid w:val="7F9F74D0"/>
    <w:rsid w:val="7FA200C0"/>
    <w:rsid w:val="7FA23B7F"/>
    <w:rsid w:val="7FBA072D"/>
    <w:rsid w:val="7FBE60DA"/>
    <w:rsid w:val="7FBF3588"/>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uiPriority w:val="0"/>
    <w:pPr>
      <w:spacing w:before="340" w:after="330" w:line="578" w:lineRule="auto"/>
      <w:outlineLvl w:val="0"/>
    </w:pPr>
    <w:rPr>
      <w:b/>
      <w:bCs/>
      <w:kern w:val="44"/>
      <w:sz w:val="44"/>
      <w:szCs w:val="44"/>
    </w:rPr>
  </w:style>
  <w:style w:type="paragraph" w:styleId="4">
    <w:name w:val="heading 2"/>
    <w:basedOn w:val="1"/>
    <w:next w:val="1"/>
    <w:link w:val="102"/>
    <w:qFormat/>
    <w:uiPriority w:val="0"/>
    <w:pPr>
      <w:spacing w:before="260" w:after="260" w:line="416" w:lineRule="auto"/>
      <w:outlineLvl w:val="1"/>
    </w:pPr>
    <w:rPr>
      <w:rFonts w:ascii="Arial" w:hAnsi="Arial" w:eastAsia="黑体"/>
      <w:b/>
      <w:bCs/>
      <w:sz w:val="32"/>
      <w:szCs w:val="32"/>
    </w:rPr>
  </w:style>
  <w:style w:type="paragraph" w:styleId="5">
    <w:name w:val="heading 3"/>
    <w:basedOn w:val="1"/>
    <w:next w:val="1"/>
    <w:link w:val="37"/>
    <w:qFormat/>
    <w:uiPriority w:val="0"/>
    <w:pPr>
      <w:spacing w:before="260" w:after="260" w:line="416" w:lineRule="auto"/>
      <w:outlineLvl w:val="2"/>
    </w:pPr>
    <w:rPr>
      <w:b/>
      <w:bCs/>
      <w:sz w:val="32"/>
      <w:szCs w:val="32"/>
    </w:rPr>
  </w:style>
  <w:style w:type="paragraph" w:styleId="6">
    <w:name w:val="heading 4"/>
    <w:basedOn w:val="1"/>
    <w:next w:val="1"/>
    <w:qFormat/>
    <w:uiPriority w:val="0"/>
    <w:pPr>
      <w:spacing w:before="280" w:after="290" w:line="376" w:lineRule="auto"/>
      <w:outlineLvl w:val="3"/>
    </w:pPr>
    <w:rPr>
      <w:rFonts w:ascii="Cambria" w:hAnsi="Cambria"/>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7">
    <w:name w:val="Normal Indent"/>
    <w:basedOn w:val="1"/>
    <w:qFormat/>
    <w:uiPriority w:val="0"/>
    <w:pPr>
      <w:ind w:firstLine="420"/>
    </w:pPr>
    <w:rPr>
      <w:szCs w:val="20"/>
    </w:rPr>
  </w:style>
  <w:style w:type="paragraph" w:styleId="8">
    <w:name w:val="Document Map"/>
    <w:basedOn w:val="1"/>
    <w:link w:val="41"/>
    <w:qFormat/>
    <w:uiPriority w:val="0"/>
    <w:rPr>
      <w:rFonts w:ascii="宋体" w:hAnsi="Tahoma"/>
      <w:sz w:val="18"/>
      <w:szCs w:val="18"/>
    </w:rPr>
  </w:style>
  <w:style w:type="paragraph" w:styleId="9">
    <w:name w:val="annotation text"/>
    <w:basedOn w:val="1"/>
    <w:link w:val="69"/>
    <w:semiHidden/>
    <w:qFormat/>
    <w:uiPriority w:val="99"/>
    <w:pPr>
      <w:jc w:val="left"/>
    </w:pPr>
    <w:rPr>
      <w:rFonts w:ascii="Tahoma" w:hAnsi="Tahoma"/>
    </w:rPr>
  </w:style>
  <w:style w:type="paragraph" w:styleId="10">
    <w:name w:val="Body Text 3"/>
    <w:basedOn w:val="1"/>
    <w:qFormat/>
    <w:uiPriority w:val="0"/>
    <w:rPr>
      <w:kern w:val="0"/>
      <w:sz w:val="16"/>
      <w:szCs w:val="16"/>
    </w:rPr>
  </w:style>
  <w:style w:type="paragraph" w:styleId="11">
    <w:name w:val="Body Text Indent"/>
    <w:basedOn w:val="1"/>
    <w:qFormat/>
    <w:uiPriority w:val="0"/>
    <w:pPr>
      <w:spacing w:after="120"/>
      <w:ind w:left="420" w:leftChars="200"/>
    </w:pPr>
  </w:style>
  <w:style w:type="paragraph" w:styleId="12">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13">
    <w:name w:val="toc 3"/>
    <w:basedOn w:val="1"/>
    <w:next w:val="1"/>
    <w:unhideWhenUsed/>
    <w:qFormat/>
    <w:uiPriority w:val="39"/>
    <w:pPr>
      <w:ind w:left="840" w:leftChars="400"/>
    </w:pPr>
    <w:rPr>
      <w:sz w:val="28"/>
    </w:rPr>
  </w:style>
  <w:style w:type="paragraph" w:styleId="14">
    <w:name w:val="Plain Text"/>
    <w:basedOn w:val="1"/>
    <w:qFormat/>
    <w:uiPriority w:val="0"/>
    <w:rPr>
      <w:rFonts w:ascii="宋体" w:hAnsi="Courier New" w:eastAsia="楷体_GB2312"/>
      <w:snapToGrid w:val="0"/>
      <w:color w:val="000000"/>
      <w:kern w:val="0"/>
      <w:sz w:val="32"/>
      <w:szCs w:val="21"/>
    </w:rPr>
  </w:style>
  <w:style w:type="paragraph" w:styleId="15">
    <w:name w:val="Date"/>
    <w:basedOn w:val="1"/>
    <w:next w:val="1"/>
    <w:qFormat/>
    <w:uiPriority w:val="0"/>
    <w:rPr>
      <w:rFonts w:ascii="楷体_GB2312" w:eastAsia="楷体_GB2312"/>
      <w:color w:val="000000"/>
      <w:kern w:val="0"/>
      <w:sz w:val="32"/>
      <w:szCs w:val="32"/>
    </w:rPr>
  </w:style>
  <w:style w:type="paragraph" w:styleId="16">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7">
    <w:name w:val="Balloon Text"/>
    <w:basedOn w:val="1"/>
    <w:unhideWhenUsed/>
    <w:qFormat/>
    <w:uiPriority w:val="0"/>
    <w:rPr>
      <w:sz w:val="18"/>
      <w:szCs w:val="18"/>
    </w:rPr>
  </w:style>
  <w:style w:type="paragraph" w:styleId="18">
    <w:name w:val="footer"/>
    <w:basedOn w:val="1"/>
    <w:link w:val="63"/>
    <w:qFormat/>
    <w:uiPriority w:val="99"/>
    <w:pPr>
      <w:tabs>
        <w:tab w:val="center" w:pos="4153"/>
        <w:tab w:val="right" w:pos="8306"/>
      </w:tabs>
      <w:snapToGrid w:val="0"/>
      <w:jc w:val="left"/>
    </w:pPr>
    <w:rPr>
      <w:rFonts w:ascii="Tahoma" w:hAnsi="Tahoma"/>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Body Text Indent 3"/>
    <w:basedOn w:val="1"/>
    <w:qFormat/>
    <w:uiPriority w:val="0"/>
    <w:pPr>
      <w:ind w:left="359" w:leftChars="171" w:firstLine="554" w:firstLineChars="198"/>
    </w:pPr>
    <w:rPr>
      <w:sz w:val="28"/>
      <w:szCs w:val="20"/>
    </w:rPr>
  </w:style>
  <w:style w:type="paragraph" w:styleId="22">
    <w:name w:val="toc 2"/>
    <w:basedOn w:val="1"/>
    <w:next w:val="1"/>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spacing w:before="100" w:beforeAutospacing="1" w:after="100" w:afterAutospacing="1"/>
      <w:jc w:val="left"/>
    </w:pPr>
    <w:rPr>
      <w:rFonts w:hint="eastAsia" w:ascii="宋体" w:hAnsi="宋体"/>
      <w:kern w:val="0"/>
      <w:sz w:val="24"/>
    </w:rPr>
  </w:style>
  <w:style w:type="paragraph" w:styleId="25">
    <w:name w:val="annotation subject"/>
    <w:basedOn w:val="9"/>
    <w:next w:val="9"/>
    <w:link w:val="67"/>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0"/>
    <w:rPr>
      <w:rFonts w:ascii="Tahoma" w:hAnsi="Tahoma"/>
      <w:b/>
      <w:bCs/>
      <w:sz w:val="24"/>
    </w:rPr>
  </w:style>
  <w:style w:type="character" w:styleId="30">
    <w:name w:val="page number"/>
    <w:basedOn w:val="28"/>
    <w:qFormat/>
    <w:uiPriority w:val="0"/>
  </w:style>
  <w:style w:type="character" w:styleId="31">
    <w:name w:val="FollowedHyperlink"/>
    <w:qFormat/>
    <w:uiPriority w:val="0"/>
    <w:rPr>
      <w:rFonts w:ascii="Tahoma" w:hAnsi="Tahoma"/>
      <w:color w:val="000000"/>
      <w:sz w:val="18"/>
      <w:szCs w:val="18"/>
      <w:u w:val="none"/>
    </w:rPr>
  </w:style>
  <w:style w:type="character" w:styleId="32">
    <w:name w:val="Hyperlink"/>
    <w:qFormat/>
    <w:uiPriority w:val="99"/>
    <w:rPr>
      <w:rFonts w:ascii="Tahoma" w:hAnsi="Tahoma"/>
      <w:color w:val="0000FF"/>
      <w:sz w:val="24"/>
      <w:u w:val="single"/>
    </w:rPr>
  </w:style>
  <w:style w:type="character" w:styleId="33">
    <w:name w:val="annotation reference"/>
    <w:unhideWhenUsed/>
    <w:qFormat/>
    <w:uiPriority w:val="99"/>
    <w:rPr>
      <w:rFonts w:ascii="Tahoma" w:hAnsi="Tahoma"/>
      <w:sz w:val="21"/>
      <w:szCs w:val="21"/>
    </w:rPr>
  </w:style>
  <w:style w:type="character" w:customStyle="1" w:styleId="34">
    <w:name w:val="标题 2 Char"/>
    <w:qFormat/>
    <w:uiPriority w:val="0"/>
    <w:rPr>
      <w:rFonts w:ascii="Arial" w:hAnsi="Arial" w:eastAsia="黑体"/>
      <w:b/>
      <w:bCs/>
      <w:kern w:val="2"/>
      <w:sz w:val="32"/>
      <w:szCs w:val="32"/>
      <w:lang w:val="en-US" w:eastAsia="zh-CN" w:bidi="ar-SA"/>
    </w:rPr>
  </w:style>
  <w:style w:type="character" w:customStyle="1" w:styleId="35">
    <w:name w:val="标题 1 字符"/>
    <w:link w:val="3"/>
    <w:qFormat/>
    <w:uiPriority w:val="0"/>
    <w:rPr>
      <w:b/>
      <w:bCs/>
      <w:kern w:val="44"/>
      <w:sz w:val="44"/>
      <w:szCs w:val="44"/>
    </w:rPr>
  </w:style>
  <w:style w:type="paragraph" w:customStyle="1" w:styleId="3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character" w:customStyle="1" w:styleId="37">
    <w:name w:val="标题 3 字符"/>
    <w:link w:val="5"/>
    <w:qFormat/>
    <w:uiPriority w:val="0"/>
    <w:rPr>
      <w:b/>
      <w:bCs/>
      <w:sz w:val="32"/>
      <w:szCs w:val="32"/>
    </w:rPr>
  </w:style>
  <w:style w:type="paragraph" w:customStyle="1" w:styleId="38">
    <w:name w:val="Default"/>
    <w:qFormat/>
    <w:uiPriority w:val="0"/>
    <w:pPr>
      <w:widowControl w:val="0"/>
      <w:autoSpaceDE w:val="0"/>
      <w:autoSpaceDN w:val="0"/>
      <w:adjustRightInd w:val="0"/>
    </w:pPr>
    <w:rPr>
      <w:rFonts w:ascii="Times New Roman" w:hAnsi="Times New Roman" w:eastAsia="宋体" w:cs="Times New Roman"/>
      <w:color w:val="000000"/>
      <w:kern w:val="2"/>
      <w:sz w:val="24"/>
      <w:szCs w:val="24"/>
      <w:lang w:val="en-US" w:eastAsia="zh-CN" w:bidi="ar-SA"/>
    </w:rPr>
  </w:style>
  <w:style w:type="paragraph" w:styleId="39">
    <w:name w:val="List Paragraph"/>
    <w:basedOn w:val="1"/>
    <w:qFormat/>
    <w:uiPriority w:val="34"/>
    <w:pPr>
      <w:ind w:firstLine="420" w:firstLineChars="200"/>
    </w:pPr>
    <w:rPr>
      <w:sz w:val="28"/>
    </w:rPr>
  </w:style>
  <w:style w:type="character" w:customStyle="1" w:styleId="40">
    <w:name w:val="cfdate"/>
    <w:basedOn w:val="28"/>
    <w:qFormat/>
    <w:uiPriority w:val="0"/>
    <w:rPr>
      <w:color w:val="333333"/>
      <w:sz w:val="18"/>
      <w:szCs w:val="18"/>
    </w:rPr>
  </w:style>
  <w:style w:type="character" w:customStyle="1" w:styleId="41">
    <w:name w:val="文档结构图 字符"/>
    <w:link w:val="8"/>
    <w:qFormat/>
    <w:uiPriority w:val="0"/>
    <w:rPr>
      <w:rFonts w:ascii="宋体" w:hAnsi="Tahoma"/>
      <w:kern w:val="2"/>
      <w:sz w:val="18"/>
      <w:szCs w:val="18"/>
    </w:rPr>
  </w:style>
  <w:style w:type="character" w:customStyle="1" w:styleId="42">
    <w:name w:val="copyright"/>
    <w:basedOn w:val="28"/>
    <w:qFormat/>
    <w:uiPriority w:val="0"/>
  </w:style>
  <w:style w:type="character" w:customStyle="1" w:styleId="43">
    <w:name w:val="Char Char6"/>
    <w:qFormat/>
    <w:uiPriority w:val="0"/>
    <w:rPr>
      <w:rFonts w:ascii="Tahoma" w:hAnsi="Tahoma" w:eastAsia="宋体"/>
      <w:b/>
      <w:bCs/>
      <w:kern w:val="2"/>
      <w:sz w:val="32"/>
      <w:szCs w:val="32"/>
      <w:lang w:val="en-US" w:eastAsia="zh-CN" w:bidi="ar-SA"/>
    </w:rPr>
  </w:style>
  <w:style w:type="character" w:customStyle="1" w:styleId="44">
    <w:name w:val="qxdate"/>
    <w:basedOn w:val="28"/>
    <w:qFormat/>
    <w:uiPriority w:val="0"/>
    <w:rPr>
      <w:color w:val="333333"/>
      <w:sz w:val="18"/>
      <w:szCs w:val="18"/>
    </w:rPr>
  </w:style>
  <w:style w:type="character" w:customStyle="1" w:styleId="45">
    <w:name w:val="gjfg"/>
    <w:basedOn w:val="28"/>
    <w:qFormat/>
    <w:uiPriority w:val="0"/>
  </w:style>
  <w:style w:type="character" w:customStyle="1" w:styleId="46">
    <w:name w:val="Char Char3"/>
    <w:semiHidden/>
    <w:qFormat/>
    <w:uiPriority w:val="0"/>
    <w:rPr>
      <w:rFonts w:ascii="Tahoma" w:hAnsi="Tahoma" w:eastAsia="宋体"/>
      <w:kern w:val="2"/>
      <w:sz w:val="18"/>
      <w:szCs w:val="18"/>
      <w:lang w:val="en-US" w:eastAsia="zh-CN" w:bidi="ar-SA"/>
    </w:rPr>
  </w:style>
  <w:style w:type="character" w:customStyle="1" w:styleId="47">
    <w:name w:val="普通文字 Char2"/>
    <w:qFormat/>
    <w:uiPriority w:val="0"/>
    <w:rPr>
      <w:rFonts w:ascii="宋体" w:hAnsi="Courier New" w:eastAsia="楷体_GB2312"/>
      <w:snapToGrid w:val="0"/>
      <w:color w:val="000000"/>
      <w:sz w:val="32"/>
      <w:szCs w:val="21"/>
      <w:lang w:val="en-US" w:eastAsia="zh-CN" w:bidi="ar-SA"/>
    </w:rPr>
  </w:style>
  <w:style w:type="character" w:customStyle="1" w:styleId="48">
    <w:name w:val="Char Char4"/>
    <w:qFormat/>
    <w:uiPriority w:val="0"/>
    <w:rPr>
      <w:rFonts w:ascii="Tahoma" w:hAnsi="Tahoma" w:eastAsia="宋体"/>
      <w:kern w:val="2"/>
      <w:sz w:val="18"/>
      <w:szCs w:val="18"/>
      <w:lang w:val="en-US" w:eastAsia="zh-CN" w:bidi="ar-SA"/>
    </w:rPr>
  </w:style>
  <w:style w:type="character" w:customStyle="1" w:styleId="49">
    <w:name w:val="font51"/>
    <w:qFormat/>
    <w:uiPriority w:val="0"/>
    <w:rPr>
      <w:rFonts w:hint="eastAsia" w:ascii="宋体" w:hAnsi="宋体" w:eastAsia="宋体" w:cs="宋体"/>
      <w:color w:val="000000"/>
      <w:sz w:val="21"/>
      <w:szCs w:val="21"/>
      <w:u w:val="none"/>
    </w:rPr>
  </w:style>
  <w:style w:type="character" w:customStyle="1" w:styleId="50">
    <w:name w:val="Char Char1"/>
    <w:semiHidden/>
    <w:qFormat/>
    <w:uiPriority w:val="0"/>
    <w:rPr>
      <w:rFonts w:ascii="Tahoma" w:hAnsi="Tahoma" w:eastAsia="宋体"/>
      <w:kern w:val="2"/>
      <w:sz w:val="28"/>
      <w:lang w:val="en-US" w:eastAsia="zh-CN" w:bidi="ar-SA"/>
    </w:rPr>
  </w:style>
  <w:style w:type="character" w:customStyle="1" w:styleId="51">
    <w:name w:val="profont1"/>
    <w:qFormat/>
    <w:uiPriority w:val="0"/>
    <w:rPr>
      <w:rFonts w:hint="default" w:ascii="Verdana" w:hAnsi="Verdana"/>
      <w:b/>
      <w:bCs/>
      <w:color w:val="333333"/>
      <w:sz w:val="24"/>
      <w:szCs w:val="24"/>
      <w:u w:val="none"/>
    </w:rPr>
  </w:style>
  <w:style w:type="character" w:customStyle="1" w:styleId="52">
    <w:name w:val="Char Char5"/>
    <w:qFormat/>
    <w:uiPriority w:val="0"/>
    <w:rPr>
      <w:rFonts w:ascii="Tahoma" w:hAnsi="Tahoma" w:eastAsia="宋体"/>
      <w:kern w:val="2"/>
      <w:sz w:val="18"/>
      <w:szCs w:val="18"/>
      <w:lang w:val="en-US" w:eastAsia="zh-CN" w:bidi="ar-SA"/>
    </w:rPr>
  </w:style>
  <w:style w:type="character" w:customStyle="1" w:styleId="53">
    <w:name w:val="标题 1.1 Char1"/>
    <w:qFormat/>
    <w:uiPriority w:val="0"/>
    <w:rPr>
      <w:rFonts w:ascii="Arial" w:hAnsi="Arial" w:eastAsia="黑体"/>
      <w:b/>
      <w:bCs/>
      <w:kern w:val="2"/>
      <w:sz w:val="32"/>
      <w:szCs w:val="32"/>
      <w:lang w:val="en-US" w:eastAsia="zh-CN" w:bidi="ar-SA"/>
    </w:rPr>
  </w:style>
  <w:style w:type="character" w:customStyle="1" w:styleId="54">
    <w:name w:val="font01"/>
    <w:qFormat/>
    <w:uiPriority w:val="0"/>
    <w:rPr>
      <w:rFonts w:hint="eastAsia" w:ascii="宋体" w:hAnsi="宋体" w:eastAsia="宋体" w:cs="宋体"/>
      <w:color w:val="000000"/>
      <w:sz w:val="24"/>
      <w:szCs w:val="24"/>
      <w:u w:val="none"/>
    </w:rPr>
  </w:style>
  <w:style w:type="character" w:customStyle="1" w:styleId="55">
    <w:name w:val="font11"/>
    <w:qFormat/>
    <w:uiPriority w:val="0"/>
    <w:rPr>
      <w:rFonts w:hint="eastAsia" w:ascii="宋体" w:hAnsi="宋体" w:eastAsia="宋体" w:cs="宋体"/>
      <w:b/>
      <w:color w:val="000000"/>
      <w:sz w:val="24"/>
      <w:szCs w:val="24"/>
      <w:u w:val="none"/>
    </w:rPr>
  </w:style>
  <w:style w:type="character" w:customStyle="1" w:styleId="56">
    <w:name w:val="Char Char"/>
    <w:qFormat/>
    <w:uiPriority w:val="0"/>
    <w:rPr>
      <w:rFonts w:ascii="Tahoma" w:hAnsi="Tahoma"/>
      <w:kern w:val="2"/>
      <w:sz w:val="21"/>
      <w:szCs w:val="24"/>
    </w:rPr>
  </w:style>
  <w:style w:type="character" w:customStyle="1" w:styleId="57">
    <w:name w:val="style111"/>
    <w:qFormat/>
    <w:uiPriority w:val="0"/>
    <w:rPr>
      <w:rFonts w:ascii="Tahoma" w:hAnsi="Tahoma"/>
      <w:sz w:val="22"/>
      <w:szCs w:val="22"/>
    </w:rPr>
  </w:style>
  <w:style w:type="character" w:customStyle="1" w:styleId="58">
    <w:name w:val="displayarti"/>
    <w:basedOn w:val="28"/>
    <w:qFormat/>
    <w:uiPriority w:val="0"/>
    <w:rPr>
      <w:color w:val="FFFFFF"/>
      <w:shd w:val="clear" w:color="auto" w:fill="A00000"/>
    </w:rPr>
  </w:style>
  <w:style w:type="character" w:customStyle="1" w:styleId="59">
    <w:name w:val="Char Char7"/>
    <w:qFormat/>
    <w:uiPriority w:val="0"/>
    <w:rPr>
      <w:rFonts w:ascii="Tahoma" w:hAnsi="Tahoma" w:eastAsia="宋体"/>
      <w:b/>
      <w:bCs/>
      <w:kern w:val="44"/>
      <w:sz w:val="44"/>
      <w:szCs w:val="44"/>
      <w:lang w:val="en-US" w:eastAsia="zh-CN" w:bidi="ar-SA"/>
    </w:rPr>
  </w:style>
  <w:style w:type="character" w:customStyle="1" w:styleId="60">
    <w:name w:val="font31"/>
    <w:qFormat/>
    <w:uiPriority w:val="0"/>
    <w:rPr>
      <w:rFonts w:hint="eastAsia" w:ascii="宋体" w:hAnsi="宋体" w:eastAsia="宋体" w:cs="宋体"/>
      <w:color w:val="000000"/>
      <w:sz w:val="21"/>
      <w:szCs w:val="21"/>
      <w:u w:val="none"/>
    </w:rPr>
  </w:style>
  <w:style w:type="character" w:customStyle="1" w:styleId="61">
    <w:name w:val="Char Char2"/>
    <w:qFormat/>
    <w:uiPriority w:val="0"/>
    <w:rPr>
      <w:rFonts w:ascii="华文仿宋" w:hAnsi="华文仿宋" w:eastAsia="华文仿宋"/>
      <w:color w:val="000000"/>
      <w:sz w:val="32"/>
      <w:szCs w:val="32"/>
      <w:lang w:val="en-US" w:eastAsia="zh-CN" w:bidi="ar-SA"/>
    </w:rPr>
  </w:style>
  <w:style w:type="character" w:customStyle="1" w:styleId="62">
    <w:name w:val="style51"/>
    <w:qFormat/>
    <w:uiPriority w:val="0"/>
    <w:rPr>
      <w:rFonts w:ascii="Tahoma" w:hAnsi="Tahoma"/>
      <w:b/>
      <w:bCs/>
      <w:color w:val="814107"/>
      <w:sz w:val="21"/>
      <w:szCs w:val="21"/>
    </w:rPr>
  </w:style>
  <w:style w:type="character" w:customStyle="1" w:styleId="63">
    <w:name w:val="页脚 字符"/>
    <w:link w:val="18"/>
    <w:qFormat/>
    <w:uiPriority w:val="99"/>
    <w:rPr>
      <w:rFonts w:ascii="Tahoma" w:hAnsi="Tahoma"/>
      <w:kern w:val="2"/>
      <w:sz w:val="18"/>
      <w:szCs w:val="18"/>
    </w:rPr>
  </w:style>
  <w:style w:type="character" w:customStyle="1" w:styleId="64">
    <w:name w:val="标题 1.1 Char"/>
    <w:qFormat/>
    <w:uiPriority w:val="0"/>
    <w:rPr>
      <w:rFonts w:ascii="仿宋_GB2312" w:hAnsi="Arial" w:eastAsia="仿宋_GB2312" w:cs="Arial"/>
      <w:b/>
      <w:bCs/>
      <w:kern w:val="2"/>
      <w:sz w:val="24"/>
      <w:szCs w:val="24"/>
      <w:lang w:val="en-US" w:eastAsia="zh-CN" w:bidi="ar-SA"/>
    </w:rPr>
  </w:style>
  <w:style w:type="character" w:customStyle="1" w:styleId="65">
    <w:name w:val="普通文字 Char1"/>
    <w:qFormat/>
    <w:uiPriority w:val="0"/>
    <w:rPr>
      <w:rFonts w:ascii="宋体" w:hAnsi="Courier New" w:eastAsia="宋体"/>
      <w:kern w:val="2"/>
      <w:sz w:val="21"/>
      <w:szCs w:val="21"/>
      <w:lang w:val="en-US" w:eastAsia="zh-CN" w:bidi="ar-SA"/>
    </w:rPr>
  </w:style>
  <w:style w:type="character" w:customStyle="1" w:styleId="66">
    <w:name w:val="font41"/>
    <w:qFormat/>
    <w:uiPriority w:val="0"/>
    <w:rPr>
      <w:rFonts w:ascii="font-weight : 400" w:hAnsi="font-weight : 400" w:eastAsia="font-weight : 400" w:cs="font-weight : 400"/>
      <w:color w:val="000000"/>
      <w:sz w:val="21"/>
      <w:szCs w:val="21"/>
      <w:u w:val="none"/>
    </w:rPr>
  </w:style>
  <w:style w:type="character" w:customStyle="1" w:styleId="67">
    <w:name w:val="批注主题 字符"/>
    <w:link w:val="25"/>
    <w:qFormat/>
    <w:uiPriority w:val="0"/>
    <w:rPr>
      <w:rFonts w:ascii="Tahoma" w:hAnsi="Tahoma"/>
      <w:b/>
      <w:bCs/>
      <w:kern w:val="2"/>
      <w:sz w:val="21"/>
      <w:szCs w:val="24"/>
    </w:rPr>
  </w:style>
  <w:style w:type="character" w:customStyle="1" w:styleId="68">
    <w:name w:val="redfilefwwh"/>
    <w:basedOn w:val="28"/>
    <w:qFormat/>
    <w:uiPriority w:val="0"/>
    <w:rPr>
      <w:color w:val="BA2636"/>
      <w:sz w:val="18"/>
      <w:szCs w:val="18"/>
    </w:rPr>
  </w:style>
  <w:style w:type="character" w:customStyle="1" w:styleId="69">
    <w:name w:val="批注文字 字符"/>
    <w:link w:val="9"/>
    <w:semiHidden/>
    <w:qFormat/>
    <w:uiPriority w:val="99"/>
    <w:rPr>
      <w:rFonts w:ascii="Tahoma" w:hAnsi="Tahoma"/>
      <w:kern w:val="2"/>
      <w:sz w:val="21"/>
      <w:szCs w:val="24"/>
    </w:rPr>
  </w:style>
  <w:style w:type="character" w:customStyle="1" w:styleId="70">
    <w:name w:val="redfilenumber"/>
    <w:basedOn w:val="28"/>
    <w:qFormat/>
    <w:uiPriority w:val="0"/>
    <w:rPr>
      <w:color w:val="BA2636"/>
      <w:sz w:val="18"/>
      <w:szCs w:val="18"/>
    </w:rPr>
  </w:style>
  <w:style w:type="paragraph" w:customStyle="1" w:styleId="71">
    <w:name w:val="Char1 Char Char Char"/>
    <w:basedOn w:val="1"/>
    <w:qFormat/>
    <w:uiPriority w:val="0"/>
    <w:pPr>
      <w:adjustRightInd w:val="0"/>
      <w:spacing w:line="360" w:lineRule="auto"/>
    </w:pPr>
    <w:rPr>
      <w:kern w:val="0"/>
      <w:sz w:val="24"/>
      <w:szCs w:val="20"/>
    </w:rPr>
  </w:style>
  <w:style w:type="paragraph" w:customStyle="1" w:styleId="72">
    <w:name w:val="前言、引言标题"/>
    <w:qFormat/>
    <w:uiPriority w:val="0"/>
    <w:pPr>
      <w:numPr>
        <w:ilvl w:val="0"/>
        <w:numId w:val="1"/>
      </w:numPr>
      <w:shd w:val="clear" w:color="FFFFFF" w:fill="FFFFFF"/>
      <w:spacing w:before="640" w:after="560"/>
      <w:jc w:val="center"/>
      <w:outlineLvl w:val="0"/>
    </w:pPr>
    <w:rPr>
      <w:rFonts w:ascii="黑体" w:hAnsi="Times New Roman" w:eastAsia="黑体" w:cs="Times New Roman"/>
      <w:kern w:val="2"/>
      <w:sz w:val="32"/>
      <w:szCs w:val="22"/>
      <w:lang w:val="en-US" w:eastAsia="zh-CN" w:bidi="ar-SA"/>
    </w:rPr>
  </w:style>
  <w:style w:type="paragraph" w:customStyle="1" w:styleId="73">
    <w:name w:val="_Style 2"/>
    <w:basedOn w:val="1"/>
    <w:qFormat/>
    <w:uiPriority w:val="34"/>
    <w:pPr>
      <w:ind w:firstLine="420" w:firstLineChars="200"/>
    </w:pPr>
  </w:style>
  <w:style w:type="paragraph" w:customStyle="1" w:styleId="74">
    <w:name w:val="Char Char Char Char Char Char"/>
    <w:basedOn w:val="1"/>
    <w:qFormat/>
    <w:uiPriority w:val="0"/>
    <w:rPr>
      <w:rFonts w:ascii="Tahoma" w:hAnsi="Tahoma"/>
      <w:sz w:val="24"/>
    </w:rPr>
  </w:style>
  <w:style w:type="paragraph" w:customStyle="1" w:styleId="75">
    <w:name w:val="章标题"/>
    <w:qFormat/>
    <w:uiPriority w:val="0"/>
    <w:pPr>
      <w:numPr>
        <w:ilvl w:val="1"/>
        <w:numId w:val="1"/>
      </w:numPr>
      <w:spacing w:beforeLines="50" w:afterLines="50"/>
      <w:jc w:val="both"/>
      <w:outlineLvl w:val="1"/>
    </w:pPr>
    <w:rPr>
      <w:rFonts w:ascii="黑体" w:hAnsi="Times New Roman" w:eastAsia="黑体" w:cs="Times New Roman"/>
      <w:kern w:val="2"/>
      <w:sz w:val="21"/>
      <w:szCs w:val="22"/>
      <w:lang w:val="en-US" w:eastAsia="zh-CN" w:bidi="ar-SA"/>
    </w:rPr>
  </w:style>
  <w:style w:type="paragraph" w:customStyle="1" w:styleId="76">
    <w:name w:val="Char Char Char"/>
    <w:basedOn w:val="1"/>
    <w:qFormat/>
    <w:uiPriority w:val="0"/>
    <w:rPr>
      <w:rFonts w:ascii="Tahoma" w:hAnsi="Tahoma"/>
      <w:sz w:val="24"/>
      <w:szCs w:val="20"/>
    </w:rPr>
  </w:style>
  <w:style w:type="paragraph" w:customStyle="1" w:styleId="77">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8">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79">
    <w:name w:val="普通(网站)1"/>
    <w:basedOn w:val="1"/>
    <w:qFormat/>
    <w:uiPriority w:val="0"/>
    <w:pPr>
      <w:spacing w:before="100" w:beforeAutospacing="1" w:after="100" w:afterAutospacing="1"/>
      <w:jc w:val="left"/>
    </w:pPr>
    <w:rPr>
      <w:rFonts w:ascii="宋体" w:hAnsi="宋体" w:cs="宋体"/>
      <w:kern w:val="0"/>
      <w:sz w:val="24"/>
    </w:rPr>
  </w:style>
  <w:style w:type="paragraph" w:customStyle="1" w:styleId="80">
    <w:name w:val="二级条标题"/>
    <w:basedOn w:val="81"/>
    <w:qFormat/>
    <w:uiPriority w:val="0"/>
    <w:pPr>
      <w:numPr>
        <w:ilvl w:val="3"/>
      </w:numPr>
      <w:outlineLvl w:val="3"/>
    </w:pPr>
  </w:style>
  <w:style w:type="paragraph" w:customStyle="1" w:styleId="81">
    <w:name w:val="一级条标题"/>
    <w:basedOn w:val="75"/>
    <w:qFormat/>
    <w:uiPriority w:val="0"/>
    <w:pPr>
      <w:numPr>
        <w:ilvl w:val="2"/>
        <w:numId w:val="0"/>
      </w:numPr>
      <w:spacing w:beforeLines="0" w:afterLines="0"/>
      <w:outlineLvl w:val="2"/>
    </w:pPr>
  </w:style>
  <w:style w:type="paragraph" w:customStyle="1" w:styleId="82">
    <w:name w:val="Char Char Char1"/>
    <w:basedOn w:val="1"/>
    <w:qFormat/>
    <w:uiPriority w:val="0"/>
    <w:rPr>
      <w:rFonts w:ascii="Tahoma" w:hAnsi="Tahoma"/>
      <w:sz w:val="24"/>
      <w:szCs w:val="20"/>
    </w:rPr>
  </w:style>
  <w:style w:type="paragraph" w:customStyle="1" w:styleId="83">
    <w:name w:val="样式5"/>
    <w:basedOn w:val="84"/>
    <w:qFormat/>
    <w:uiPriority w:val="0"/>
    <w:pPr>
      <w:numPr>
        <w:ilvl w:val="3"/>
        <w:numId w:val="0"/>
      </w:numPr>
      <w:tabs>
        <w:tab w:val="left" w:pos="432"/>
      </w:tabs>
      <w:spacing w:before="156"/>
    </w:pPr>
  </w:style>
  <w:style w:type="paragraph" w:customStyle="1" w:styleId="84">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5">
    <w:name w:val="Char"/>
    <w:basedOn w:val="1"/>
    <w:qFormat/>
    <w:uiPriority w:val="0"/>
    <w:pPr>
      <w:adjustRightInd w:val="0"/>
      <w:spacing w:line="360" w:lineRule="auto"/>
    </w:pPr>
    <w:rPr>
      <w:kern w:val="0"/>
      <w:sz w:val="24"/>
      <w:szCs w:val="20"/>
    </w:rPr>
  </w:style>
  <w:style w:type="paragraph" w:customStyle="1" w:styleId="86">
    <w:name w:val="Char1"/>
    <w:basedOn w:val="1"/>
    <w:qFormat/>
    <w:uiPriority w:val="0"/>
    <w:pPr>
      <w:adjustRightInd w:val="0"/>
      <w:spacing w:line="360" w:lineRule="auto"/>
    </w:pPr>
    <w:rPr>
      <w:kern w:val="0"/>
      <w:sz w:val="24"/>
      <w:szCs w:val="20"/>
    </w:rPr>
  </w:style>
  <w:style w:type="paragraph" w:customStyle="1" w:styleId="87">
    <w:name w:val="三级条标题"/>
    <w:basedOn w:val="80"/>
    <w:qFormat/>
    <w:uiPriority w:val="0"/>
    <w:pPr>
      <w:numPr>
        <w:ilvl w:val="4"/>
      </w:numPr>
      <w:outlineLvl w:val="4"/>
    </w:pPr>
  </w:style>
  <w:style w:type="paragraph" w:customStyle="1" w:styleId="88">
    <w:name w:val="Char Char8"/>
    <w:basedOn w:val="1"/>
    <w:qFormat/>
    <w:uiPriority w:val="0"/>
    <w:pPr>
      <w:spacing w:after="160" w:line="240" w:lineRule="exact"/>
      <w:jc w:val="left"/>
    </w:pPr>
    <w:rPr>
      <w:rFonts w:ascii="Verdana" w:hAnsi="Verdana" w:eastAsia="仿宋_GB2312"/>
      <w:kern w:val="0"/>
      <w:sz w:val="24"/>
      <w:szCs w:val="20"/>
      <w:lang w:eastAsia="en-US"/>
    </w:rPr>
  </w:style>
  <w:style w:type="paragraph" w:customStyle="1" w:styleId="89">
    <w:name w:val="Char Char Char Char Char Char Char"/>
    <w:basedOn w:val="1"/>
    <w:qFormat/>
    <w:uiPriority w:val="0"/>
    <w:rPr>
      <w:rFonts w:ascii="Tahoma" w:hAnsi="Tahoma" w:cs="Arial"/>
      <w:szCs w:val="21"/>
    </w:rPr>
  </w:style>
  <w:style w:type="paragraph" w:customStyle="1" w:styleId="90">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91">
    <w:name w:val="px12black"/>
    <w:basedOn w:val="1"/>
    <w:qFormat/>
    <w:uiPriority w:val="0"/>
    <w:pPr>
      <w:spacing w:before="100" w:beforeAutospacing="1" w:after="100" w:afterAutospacing="1"/>
      <w:jc w:val="left"/>
    </w:pPr>
    <w:rPr>
      <w:rFonts w:ascii="宋体" w:hAnsi="宋体"/>
      <w:kern w:val="0"/>
      <w:sz w:val="24"/>
      <w:szCs w:val="20"/>
    </w:rPr>
  </w:style>
  <w:style w:type="paragraph" w:customStyle="1" w:styleId="92">
    <w:name w:val="五级条标题"/>
    <w:basedOn w:val="93"/>
    <w:qFormat/>
    <w:uiPriority w:val="0"/>
    <w:pPr>
      <w:numPr>
        <w:ilvl w:val="6"/>
      </w:numPr>
      <w:outlineLvl w:val="6"/>
    </w:pPr>
  </w:style>
  <w:style w:type="paragraph" w:customStyle="1" w:styleId="93">
    <w:name w:val="四级条标题"/>
    <w:basedOn w:val="87"/>
    <w:qFormat/>
    <w:uiPriority w:val="0"/>
    <w:pPr>
      <w:numPr>
        <w:ilvl w:val="5"/>
      </w:numPr>
      <w:outlineLvl w:val="5"/>
    </w:pPr>
  </w:style>
  <w:style w:type="paragraph" w:customStyle="1" w:styleId="94">
    <w:name w:val="Normal Indent1"/>
    <w:basedOn w:val="1"/>
    <w:qFormat/>
    <w:uiPriority w:val="99"/>
    <w:pPr>
      <w:autoSpaceDE w:val="0"/>
      <w:autoSpaceDN w:val="0"/>
      <w:adjustRightInd w:val="0"/>
      <w:ind w:firstLine="420"/>
    </w:pPr>
    <w:rPr>
      <w:kern w:val="0"/>
      <w:szCs w:val="21"/>
    </w:rPr>
  </w:style>
  <w:style w:type="paragraph" w:customStyle="1" w:styleId="95">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6">
    <w:name w:val="样式6"/>
    <w:basedOn w:val="84"/>
    <w:qFormat/>
    <w:uiPriority w:val="0"/>
    <w:pPr>
      <w:numPr>
        <w:ilvl w:val="2"/>
        <w:numId w:val="0"/>
      </w:numPr>
      <w:tabs>
        <w:tab w:val="clear" w:pos="432"/>
      </w:tabs>
      <w:spacing w:before="156"/>
      <w:outlineLvl w:val="4"/>
    </w:pPr>
    <w:rPr>
      <w:rFonts w:ascii="MS Shell Dlg" w:hAnsi="MS Shell Dlg"/>
    </w:rPr>
  </w:style>
  <w:style w:type="paragraph" w:customStyle="1" w:styleId="97">
    <w:name w:val="列出段落1"/>
    <w:basedOn w:val="1"/>
    <w:qFormat/>
    <w:uiPriority w:val="34"/>
    <w:pPr>
      <w:ind w:firstLine="420" w:firstLineChars="200"/>
    </w:pPr>
    <w:rPr>
      <w:rFonts w:ascii="Calibri" w:hAnsi="Calibri"/>
      <w:kern w:val="0"/>
      <w:sz w:val="20"/>
      <w:szCs w:val="20"/>
    </w:rPr>
  </w:style>
  <w:style w:type="paragraph" w:customStyle="1" w:styleId="98">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99">
    <w:name w:val="Table Paragraph"/>
    <w:basedOn w:val="1"/>
    <w:unhideWhenUsed/>
    <w:qFormat/>
    <w:uiPriority w:val="1"/>
    <w:rPr>
      <w:rFonts w:hint="eastAsia"/>
      <w:sz w:val="24"/>
    </w:rPr>
  </w:style>
  <w:style w:type="paragraph" w:customStyle="1" w:styleId="100">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01">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2">
    <w:name w:val="标题 2 字符"/>
    <w:link w:val="4"/>
    <w:qFormat/>
    <w:uiPriority w:val="0"/>
    <w:rPr>
      <w:rFonts w:ascii="Arial" w:hAnsi="Arial" w:eastAsia="黑体"/>
      <w:b/>
      <w:bCs/>
      <w:sz w:val="32"/>
      <w:szCs w:val="32"/>
    </w:rPr>
  </w:style>
  <w:style w:type="paragraph" w:customStyle="1" w:styleId="103">
    <w:name w:val="段"/>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kern w:val="2"/>
      <w:sz w:val="24"/>
      <w:szCs w:val="22"/>
      <w:lang w:val="en-US" w:eastAsia="zh-CN" w:bidi="ar-SA"/>
    </w:rPr>
  </w:style>
  <w:style w:type="paragraph" w:customStyle="1" w:styleId="104">
    <w:name w:val="正文文字缩进"/>
    <w:qFormat/>
    <w:uiPriority w:val="0"/>
    <w:pPr>
      <w:spacing w:line="351" w:lineRule="atLeast"/>
      <w:ind w:firstLine="555"/>
      <w:textAlignment w:val="baseline"/>
    </w:pPr>
    <w:rPr>
      <w:rFonts w:ascii="Times New Roman" w:hAnsi="Times New Roman" w:eastAsia="宋体" w:cs="Times New Roman"/>
      <w:color w:val="000000"/>
      <w:kern w:val="2"/>
      <w:sz w:val="28"/>
      <w:szCs w:val="22"/>
      <w:lang w:val="en-US" w:eastAsia="zh-CN" w:bidi="ar-SA"/>
    </w:rPr>
  </w:style>
  <w:style w:type="character" w:customStyle="1" w:styleId="105">
    <w:name w:val="label"/>
    <w:basedOn w:val="28"/>
    <w:qFormat/>
    <w:uiPriority w:val="0"/>
    <w:rPr>
      <w:color w:val="999999"/>
    </w:rPr>
  </w:style>
  <w:style w:type="character" w:customStyle="1" w:styleId="106">
    <w:name w:val="layui-laypage-curr"/>
    <w:basedOn w:val="28"/>
    <w:qFormat/>
    <w:uiPriority w:val="0"/>
  </w:style>
  <w:style w:type="character" w:customStyle="1" w:styleId="107">
    <w:name w:val="hover10"/>
    <w:basedOn w:val="28"/>
    <w:qFormat/>
    <w:uiPriority w:val="0"/>
  </w:style>
  <w:style w:type="paragraph" w:customStyle="1" w:styleId="108">
    <w:name w:val="正文缩进1"/>
    <w:basedOn w:val="1"/>
    <w:qFormat/>
    <w:uiPriority w:val="0"/>
    <w:pPr>
      <w:widowControl/>
      <w:ind w:firstLine="420"/>
      <w:jc w:val="left"/>
    </w:pPr>
    <w:rPr>
      <w:kern w:val="0"/>
    </w:rPr>
  </w:style>
  <w:style w:type="character" w:customStyle="1" w:styleId="109">
    <w:name w:val="hover9"/>
    <w:basedOn w:val="28"/>
    <w:qFormat/>
    <w:uiPriority w:val="0"/>
  </w:style>
  <w:style w:type="character" w:customStyle="1" w:styleId="110">
    <w:name w:val="cf01"/>
    <w:basedOn w:val="28"/>
    <w:qFormat/>
    <w:uiPriority w:val="0"/>
    <w:rPr>
      <w:rFonts w:hint="eastAsia" w:ascii="Microsoft YaHei UI" w:hAnsi="Microsoft YaHei UI" w:eastAsia="Microsoft YaHei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64</Pages>
  <Words>35560</Words>
  <Characters>37556</Characters>
  <Lines>351</Lines>
  <Paragraphs>99</Paragraphs>
  <TotalTime>0</TotalTime>
  <ScaleCrop>false</ScaleCrop>
  <LinksUpToDate>false</LinksUpToDate>
  <CharactersWithSpaces>43882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2023-10-23T09:53:00Z</dcterms:created>
  <dc:creator>风之客</dc:creator>
  <cp:lastModifiedBy>ying</cp:lastModifiedBy>
  <cp:lastPrinted>2023-07-26T01:58:00Z</cp:lastPrinted>
  <dcterms:modified xsi:type="dcterms:W3CDTF">2023-11-13T05:45:19Z</dcterms:modified>
  <dc:title>湖 北  招 标</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E12EF3D6AB684DEB979F0F59B2FB9AA9_13</vt:lpwstr>
  </property>
</Properties>
</file>