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宋体" w:hAnsi="宋体" w:cs="宋体"/>
          <w:sz w:val="28"/>
        </w:rPr>
        <w:drawing>
          <wp:anchor distT="0" distB="0" distL="114300" distR="114300" simplePos="0" relativeHeight="251662336"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3">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r>
        <w:rPr>
          <w:rFonts w:hint="eastAsia" w:ascii="宋体" w:hAnsi="宋体" w:cs="宋体"/>
          <w:sz w:val="28"/>
        </w:rPr>
        <w:drawing>
          <wp:anchor distT="0" distB="0" distL="114300" distR="114300" simplePos="0" relativeHeight="251661312" behindDoc="1" locked="0" layoutInCell="1" allowOverlap="1">
            <wp:simplePos x="0" y="0"/>
            <wp:positionH relativeFrom="column">
              <wp:posOffset>-759460</wp:posOffset>
            </wp:positionH>
            <wp:positionV relativeFrom="paragraph">
              <wp:posOffset>-897890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14"/>
                    <a:stretch>
                      <a:fillRect/>
                    </a:stretch>
                  </pic:blipFill>
                  <pic:spPr>
                    <a:xfrm>
                      <a:off x="0" y="0"/>
                      <a:ext cx="7557135" cy="10709910"/>
                    </a:xfrm>
                    <a:prstGeom prst="rect">
                      <a:avLst/>
                    </a:prstGeom>
                    <a:noFill/>
                    <a:ln>
                      <a:noFill/>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b/>
          <w:bCs/>
          <w:sz w:val="28"/>
        </w:rPr>
        <w:t>湖 北 省 省 级 政 府 采 购 项 目</w:t>
      </w:r>
    </w:p>
    <w:p>
      <w:pPr>
        <w:pStyle w:val="11"/>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竞争性磋商采购文件</w:t>
      </w:r>
    </w:p>
    <w:p>
      <w:pPr>
        <w:pStyle w:val="11"/>
        <w:kinsoku w:val="0"/>
        <w:overflowPunct w:val="0"/>
        <w:rPr>
          <w:rFonts w:asciiTheme="minorEastAsia" w:hAnsiTheme="minorEastAsia" w:eastAsiaTheme="minorEastAsia" w:cstheme="minorEastAsia"/>
          <w:sz w:val="20"/>
        </w:rPr>
      </w:pPr>
    </w:p>
    <w:p>
      <w:pPr>
        <w:pStyle w:val="11"/>
        <w:kinsoku w:val="0"/>
        <w:overflowPunct w:val="0"/>
        <w:jc w:val="center"/>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2" w:after="1"/>
        <w:rPr>
          <w:rFonts w:asciiTheme="minorEastAsia" w:hAnsiTheme="minorEastAsia" w:eastAsiaTheme="minorEastAsia" w:cstheme="minorEastAsia"/>
          <w:sz w:val="11"/>
        </w:rPr>
      </w:pPr>
    </w:p>
    <w:tbl>
      <w:tblPr>
        <w:tblStyle w:val="27"/>
        <w:tblW w:w="8697" w:type="dxa"/>
        <w:tblInd w:w="690" w:type="dxa"/>
        <w:tblLayout w:type="fixed"/>
        <w:tblCellMar>
          <w:top w:w="0" w:type="dxa"/>
          <w:left w:w="0" w:type="dxa"/>
          <w:bottom w:w="0" w:type="dxa"/>
          <w:right w:w="0" w:type="dxa"/>
        </w:tblCellMar>
      </w:tblPr>
      <w:tblGrid>
        <w:gridCol w:w="2120"/>
        <w:gridCol w:w="6577"/>
      </w:tblGrid>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3"/>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计划备案号：</w:t>
            </w:r>
          </w:p>
        </w:tc>
        <w:tc>
          <w:tcPr>
            <w:tcW w:w="6577" w:type="dxa"/>
            <w:tcBorders>
              <w:top w:val="nil"/>
              <w:left w:val="nil"/>
              <w:bottom w:val="nil"/>
              <w:right w:val="nil"/>
              <w:tl2br w:val="nil"/>
              <w:tr2bl w:val="nil"/>
            </w:tcBorders>
            <w:vAlign w:val="center"/>
          </w:tcPr>
          <w:p>
            <w:pPr>
              <w:pStyle w:val="103"/>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420000-2023-07826</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3"/>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577" w:type="dxa"/>
            <w:tcBorders>
              <w:top w:val="nil"/>
              <w:left w:val="nil"/>
              <w:bottom w:val="nil"/>
              <w:right w:val="nil"/>
              <w:tl2br w:val="nil"/>
              <w:tr2bl w:val="nil"/>
            </w:tcBorders>
            <w:vAlign w:val="center"/>
          </w:tcPr>
          <w:p>
            <w:pPr>
              <w:pStyle w:val="103"/>
              <w:kinsoku w:val="0"/>
              <w:overflowPunct w:val="0"/>
              <w:spacing w:before="122"/>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HGDXW23-035/ZCHM-ZC-202306-164</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3"/>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577" w:type="dxa"/>
            <w:tcBorders>
              <w:top w:val="nil"/>
              <w:left w:val="nil"/>
              <w:bottom w:val="nil"/>
              <w:right w:val="nil"/>
              <w:tl2br w:val="nil"/>
              <w:tr2bl w:val="nil"/>
            </w:tcBorders>
            <w:vAlign w:val="center"/>
          </w:tcPr>
          <w:p>
            <w:pPr>
              <w:pStyle w:val="103"/>
              <w:kinsoku w:val="0"/>
              <w:overflowPunct w:val="0"/>
              <w:spacing w:before="123" w:line="242" w:lineRule="auto"/>
              <w:ind w:left="55" w:right="136"/>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湖北工业大学生物质与生物能源实验室建设项目</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577" w:type="dxa"/>
            <w:tcBorders>
              <w:top w:val="nil"/>
              <w:left w:val="nil"/>
              <w:bottom w:val="nil"/>
              <w:right w:val="nil"/>
              <w:tl2br w:val="nil"/>
              <w:tr2bl w:val="nil"/>
            </w:tcBorders>
            <w:vAlign w:val="center"/>
          </w:tcPr>
          <w:p>
            <w:pPr>
              <w:pStyle w:val="103"/>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577" w:type="dxa"/>
            <w:tcBorders>
              <w:top w:val="nil"/>
              <w:left w:val="nil"/>
              <w:bottom w:val="nil"/>
              <w:right w:val="nil"/>
              <w:tl2br w:val="nil"/>
              <w:tr2bl w:val="nil"/>
            </w:tcBorders>
            <w:vAlign w:val="center"/>
          </w:tcPr>
          <w:p>
            <w:pPr>
              <w:pStyle w:val="103"/>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rPr>
          <w:rFonts w:asciiTheme="minorEastAsia" w:hAnsiTheme="minorEastAsia" w:eastAsiaTheme="minorEastAsia" w:cstheme="minorEastAsia"/>
          <w:sz w:val="20"/>
        </w:rPr>
      </w:pPr>
    </w:p>
    <w:p>
      <w:pPr>
        <w:pStyle w:val="11"/>
        <w:kinsoku w:val="0"/>
        <w:overflowPunct w:val="0"/>
        <w:spacing w:before="4"/>
        <w:rPr>
          <w:rFonts w:asciiTheme="minorEastAsia" w:hAnsiTheme="minorEastAsia" w:eastAsiaTheme="minorEastAsia" w:cstheme="minorEastAsia"/>
          <w:sz w:val="20"/>
        </w:rPr>
      </w:pPr>
    </w:p>
    <w:tbl>
      <w:tblPr>
        <w:tblStyle w:val="27"/>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中创恒梦工程咨询有限公司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3"/>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103"/>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2023年6月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1"/>
        <w:tabs>
          <w:tab w:val="right" w:leader="dot" w:pos="9072"/>
        </w:tabs>
        <w:spacing w:line="360" w:lineRule="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fldChar w:fldCharType="begin"/>
      </w:r>
      <w:r>
        <w:instrText xml:space="preserve"> HYPERLINK \l "_Toc22113" </w:instrText>
      </w:r>
      <w:r>
        <w:fldChar w:fldCharType="separate"/>
      </w:r>
      <w:r>
        <w:rPr>
          <w:bCs/>
          <w:szCs w:val="36"/>
        </w:rPr>
        <w:t xml:space="preserve">第一章 </w:t>
      </w:r>
      <w:r>
        <w:rPr>
          <w:rFonts w:hint="eastAsia" w:ascii="宋体" w:hAnsi="宋体" w:cs="宋体"/>
          <w:szCs w:val="36"/>
        </w:rPr>
        <w:t>竞争性磋商公告</w:t>
      </w:r>
      <w:r>
        <w:tab/>
      </w:r>
      <w:r>
        <w:fldChar w:fldCharType="begin"/>
      </w:r>
      <w:r>
        <w:instrText xml:space="preserve"> PAGEREF _Toc22113 \h </w:instrText>
      </w:r>
      <w:r>
        <w:fldChar w:fldCharType="separate"/>
      </w:r>
      <w:r>
        <w:t>6</w:t>
      </w:r>
      <w:r>
        <w:fldChar w:fldCharType="end"/>
      </w:r>
      <w:r>
        <w:fldChar w:fldCharType="end"/>
      </w:r>
    </w:p>
    <w:p>
      <w:pPr>
        <w:pStyle w:val="23"/>
        <w:tabs>
          <w:tab w:val="right" w:leader="dot" w:pos="9072"/>
        </w:tabs>
        <w:spacing w:line="360" w:lineRule="auto"/>
      </w:pPr>
      <w:r>
        <w:fldChar w:fldCharType="begin"/>
      </w:r>
      <w:r>
        <w:instrText xml:space="preserve"> HYPERLINK \l "_Toc1990" </w:instrText>
      </w:r>
      <w:r>
        <w:fldChar w:fldCharType="separate"/>
      </w:r>
      <w:r>
        <w:rPr>
          <w:rFonts w:ascii="宋体" w:hAnsi="宋体" w:cs="宋体"/>
          <w:szCs w:val="21"/>
        </w:rPr>
        <w:t xml:space="preserve">一、 </w:t>
      </w:r>
      <w:r>
        <w:rPr>
          <w:rFonts w:hint="eastAsia" w:ascii="宋体" w:hAnsi="宋体" w:cs="宋体"/>
          <w:szCs w:val="21"/>
        </w:rPr>
        <w:t>项目基本情况</w:t>
      </w:r>
      <w:r>
        <w:tab/>
      </w:r>
      <w:r>
        <w:fldChar w:fldCharType="begin"/>
      </w:r>
      <w:r>
        <w:instrText xml:space="preserve"> PAGEREF _Toc1990 \h </w:instrText>
      </w:r>
      <w:r>
        <w:fldChar w:fldCharType="separate"/>
      </w:r>
      <w:r>
        <w:t>6</w:t>
      </w:r>
      <w:r>
        <w:fldChar w:fldCharType="end"/>
      </w:r>
      <w:r>
        <w:fldChar w:fldCharType="end"/>
      </w:r>
    </w:p>
    <w:p>
      <w:pPr>
        <w:pStyle w:val="23"/>
        <w:tabs>
          <w:tab w:val="right" w:leader="dot" w:pos="9072"/>
        </w:tabs>
        <w:spacing w:line="360" w:lineRule="auto"/>
      </w:pPr>
      <w:r>
        <w:fldChar w:fldCharType="begin"/>
      </w:r>
      <w:r>
        <w:instrText xml:space="preserve"> HYPERLINK \l "_Toc18426" </w:instrText>
      </w:r>
      <w:r>
        <w:fldChar w:fldCharType="separate"/>
      </w:r>
      <w:r>
        <w:rPr>
          <w:rFonts w:ascii="宋体" w:hAnsi="宋体" w:cs="宋体"/>
          <w:szCs w:val="21"/>
        </w:rPr>
        <w:t xml:space="preserve">二、 </w:t>
      </w:r>
      <w:r>
        <w:rPr>
          <w:rFonts w:hint="eastAsia" w:ascii="宋体" w:hAnsi="宋体" w:cs="宋体"/>
          <w:szCs w:val="21"/>
        </w:rPr>
        <w:t>申请人的资格要求</w:t>
      </w:r>
      <w:r>
        <w:tab/>
      </w:r>
      <w:r>
        <w:fldChar w:fldCharType="begin"/>
      </w:r>
      <w:r>
        <w:instrText xml:space="preserve"> PAGEREF _Toc18426 \h </w:instrText>
      </w:r>
      <w:r>
        <w:fldChar w:fldCharType="separate"/>
      </w:r>
      <w:r>
        <w:t>7</w:t>
      </w:r>
      <w:r>
        <w:fldChar w:fldCharType="end"/>
      </w:r>
      <w:r>
        <w:fldChar w:fldCharType="end"/>
      </w:r>
    </w:p>
    <w:p>
      <w:pPr>
        <w:pStyle w:val="23"/>
        <w:tabs>
          <w:tab w:val="right" w:leader="dot" w:pos="9072"/>
        </w:tabs>
        <w:spacing w:line="360" w:lineRule="auto"/>
      </w:pPr>
      <w:r>
        <w:fldChar w:fldCharType="begin"/>
      </w:r>
      <w:r>
        <w:instrText xml:space="preserve"> HYPERLINK \l "_Toc28771" </w:instrText>
      </w:r>
      <w:r>
        <w:fldChar w:fldCharType="separate"/>
      </w:r>
      <w:r>
        <w:rPr>
          <w:rFonts w:ascii="宋体" w:hAnsi="宋体" w:cs="宋体"/>
          <w:szCs w:val="21"/>
        </w:rPr>
        <w:t xml:space="preserve">三、 </w:t>
      </w:r>
      <w:r>
        <w:rPr>
          <w:rFonts w:hint="eastAsia" w:ascii="宋体" w:hAnsi="宋体" w:cs="宋体"/>
          <w:szCs w:val="21"/>
        </w:rPr>
        <w:t>获取采购文件</w:t>
      </w:r>
      <w:r>
        <w:tab/>
      </w:r>
      <w:r>
        <w:fldChar w:fldCharType="begin"/>
      </w:r>
      <w:r>
        <w:instrText xml:space="preserve"> PAGEREF _Toc28771 \h </w:instrText>
      </w:r>
      <w:r>
        <w:fldChar w:fldCharType="separate"/>
      </w:r>
      <w:r>
        <w:t>8</w:t>
      </w:r>
      <w:r>
        <w:fldChar w:fldCharType="end"/>
      </w:r>
      <w:r>
        <w:fldChar w:fldCharType="end"/>
      </w:r>
    </w:p>
    <w:p>
      <w:pPr>
        <w:pStyle w:val="23"/>
        <w:tabs>
          <w:tab w:val="right" w:leader="dot" w:pos="9072"/>
        </w:tabs>
        <w:spacing w:line="360" w:lineRule="auto"/>
      </w:pPr>
      <w:r>
        <w:fldChar w:fldCharType="begin"/>
      </w:r>
      <w:r>
        <w:instrText xml:space="preserve"> HYPERLINK \l "_Toc18826" </w:instrText>
      </w:r>
      <w:r>
        <w:fldChar w:fldCharType="separate"/>
      </w:r>
      <w:r>
        <w:rPr>
          <w:rFonts w:ascii="宋体" w:hAnsi="宋体" w:cs="宋体"/>
          <w:szCs w:val="21"/>
        </w:rPr>
        <w:t xml:space="preserve">四、 </w:t>
      </w:r>
      <w:r>
        <w:rPr>
          <w:rFonts w:hint="eastAsia" w:ascii="宋体" w:hAnsi="宋体" w:cs="宋体"/>
          <w:szCs w:val="21"/>
        </w:rPr>
        <w:t>响应文件提交</w:t>
      </w:r>
      <w:r>
        <w:tab/>
      </w:r>
      <w:r>
        <w:fldChar w:fldCharType="begin"/>
      </w:r>
      <w:r>
        <w:instrText xml:space="preserve"> PAGEREF _Toc18826 \h </w:instrText>
      </w:r>
      <w:r>
        <w:fldChar w:fldCharType="separate"/>
      </w:r>
      <w:r>
        <w:t>9</w:t>
      </w:r>
      <w:r>
        <w:fldChar w:fldCharType="end"/>
      </w:r>
      <w:r>
        <w:fldChar w:fldCharType="end"/>
      </w:r>
    </w:p>
    <w:p>
      <w:pPr>
        <w:pStyle w:val="23"/>
        <w:tabs>
          <w:tab w:val="right" w:leader="dot" w:pos="9072"/>
        </w:tabs>
        <w:spacing w:line="360" w:lineRule="auto"/>
      </w:pPr>
      <w:r>
        <w:fldChar w:fldCharType="begin"/>
      </w:r>
      <w:r>
        <w:instrText xml:space="preserve"> HYPERLINK \l "_Toc24222" </w:instrText>
      </w:r>
      <w:r>
        <w:fldChar w:fldCharType="separate"/>
      </w:r>
      <w:r>
        <w:rPr>
          <w:szCs w:val="21"/>
        </w:rPr>
        <w:t xml:space="preserve">五、 </w:t>
      </w:r>
      <w:r>
        <w:rPr>
          <w:rFonts w:hint="eastAsia" w:ascii="宋体" w:hAnsi="宋体" w:cs="宋体"/>
          <w:szCs w:val="21"/>
        </w:rPr>
        <w:t>开启</w:t>
      </w:r>
      <w:r>
        <w:tab/>
      </w:r>
      <w:r>
        <w:fldChar w:fldCharType="begin"/>
      </w:r>
      <w:r>
        <w:instrText xml:space="preserve"> PAGEREF _Toc24222 \h </w:instrText>
      </w:r>
      <w:r>
        <w:fldChar w:fldCharType="separate"/>
      </w:r>
      <w:r>
        <w:t>9</w:t>
      </w:r>
      <w:r>
        <w:fldChar w:fldCharType="end"/>
      </w:r>
      <w:r>
        <w:fldChar w:fldCharType="end"/>
      </w:r>
    </w:p>
    <w:p>
      <w:pPr>
        <w:pStyle w:val="23"/>
        <w:tabs>
          <w:tab w:val="right" w:leader="dot" w:pos="9072"/>
        </w:tabs>
        <w:spacing w:line="360" w:lineRule="auto"/>
      </w:pPr>
      <w:r>
        <w:fldChar w:fldCharType="begin"/>
      </w:r>
      <w:r>
        <w:instrText xml:space="preserve"> HYPERLINK \l "_Toc14006" </w:instrText>
      </w:r>
      <w:r>
        <w:fldChar w:fldCharType="separate"/>
      </w:r>
      <w:r>
        <w:rPr>
          <w:rFonts w:ascii="宋体" w:hAnsi="宋体" w:cs="宋体"/>
          <w:szCs w:val="21"/>
        </w:rPr>
        <w:t xml:space="preserve">六、 </w:t>
      </w:r>
      <w:r>
        <w:rPr>
          <w:rFonts w:hint="eastAsia" w:ascii="宋体" w:hAnsi="宋体" w:cs="宋体"/>
          <w:szCs w:val="21"/>
        </w:rPr>
        <w:t>公告期限</w:t>
      </w:r>
      <w:r>
        <w:tab/>
      </w:r>
      <w:r>
        <w:fldChar w:fldCharType="begin"/>
      </w:r>
      <w:r>
        <w:instrText xml:space="preserve"> PAGEREF _Toc14006 \h </w:instrText>
      </w:r>
      <w:r>
        <w:fldChar w:fldCharType="separate"/>
      </w:r>
      <w:r>
        <w:t>9</w:t>
      </w:r>
      <w:r>
        <w:fldChar w:fldCharType="end"/>
      </w:r>
      <w:r>
        <w:fldChar w:fldCharType="end"/>
      </w:r>
    </w:p>
    <w:p>
      <w:pPr>
        <w:pStyle w:val="23"/>
        <w:tabs>
          <w:tab w:val="right" w:leader="dot" w:pos="9072"/>
        </w:tabs>
        <w:spacing w:line="360" w:lineRule="auto"/>
      </w:pPr>
      <w:r>
        <w:fldChar w:fldCharType="begin"/>
      </w:r>
      <w:r>
        <w:instrText xml:space="preserve"> HYPERLINK \l "_Toc15779" </w:instrText>
      </w:r>
      <w:r>
        <w:fldChar w:fldCharType="separate"/>
      </w:r>
      <w:r>
        <w:rPr>
          <w:rFonts w:ascii="宋体" w:hAnsi="宋体" w:cs="宋体"/>
          <w:szCs w:val="21"/>
        </w:rPr>
        <w:t xml:space="preserve">七、 </w:t>
      </w:r>
      <w:r>
        <w:rPr>
          <w:rFonts w:hint="eastAsia" w:ascii="宋体" w:hAnsi="宋体" w:cs="宋体"/>
          <w:szCs w:val="21"/>
        </w:rPr>
        <w:t>其他补充事宜</w:t>
      </w:r>
      <w:r>
        <w:tab/>
      </w:r>
      <w:r>
        <w:fldChar w:fldCharType="begin"/>
      </w:r>
      <w:r>
        <w:instrText xml:space="preserve"> PAGEREF _Toc15779 \h </w:instrText>
      </w:r>
      <w:r>
        <w:fldChar w:fldCharType="separate"/>
      </w:r>
      <w:r>
        <w:t>9</w:t>
      </w:r>
      <w:r>
        <w:fldChar w:fldCharType="end"/>
      </w:r>
      <w:r>
        <w:fldChar w:fldCharType="end"/>
      </w:r>
    </w:p>
    <w:p>
      <w:pPr>
        <w:pStyle w:val="23"/>
        <w:tabs>
          <w:tab w:val="right" w:leader="dot" w:pos="9072"/>
        </w:tabs>
        <w:spacing w:line="360" w:lineRule="auto"/>
      </w:pPr>
      <w:r>
        <w:fldChar w:fldCharType="begin"/>
      </w:r>
      <w:r>
        <w:instrText xml:space="preserve"> HYPERLINK \l "_Toc15277" </w:instrText>
      </w:r>
      <w:r>
        <w:fldChar w:fldCharType="separate"/>
      </w:r>
      <w:r>
        <w:rPr>
          <w:rFonts w:ascii="宋体" w:hAnsi="宋体" w:cs="宋体"/>
          <w:szCs w:val="21"/>
        </w:rPr>
        <w:t xml:space="preserve">八、 </w:t>
      </w:r>
      <w:r>
        <w:rPr>
          <w:rFonts w:hint="eastAsia" w:ascii="宋体" w:hAnsi="宋体" w:cs="宋体"/>
          <w:szCs w:val="21"/>
        </w:rPr>
        <w:t>凡对本次采购提出询问，请按以下方式联系</w:t>
      </w:r>
      <w:r>
        <w:tab/>
      </w:r>
      <w:r>
        <w:fldChar w:fldCharType="begin"/>
      </w:r>
      <w:r>
        <w:instrText xml:space="preserve"> PAGEREF _Toc15277 \h </w:instrText>
      </w:r>
      <w:r>
        <w:fldChar w:fldCharType="separate"/>
      </w:r>
      <w:r>
        <w:t>9</w:t>
      </w:r>
      <w:r>
        <w:fldChar w:fldCharType="end"/>
      </w:r>
      <w:r>
        <w:fldChar w:fldCharType="end"/>
      </w:r>
    </w:p>
    <w:p>
      <w:pPr>
        <w:pStyle w:val="21"/>
        <w:tabs>
          <w:tab w:val="right" w:leader="dot" w:pos="9072"/>
        </w:tabs>
        <w:spacing w:line="360" w:lineRule="auto"/>
      </w:pPr>
      <w:r>
        <w:fldChar w:fldCharType="begin"/>
      </w:r>
      <w:r>
        <w:instrText xml:space="preserve"> HYPERLINK \l "_Toc2000" </w:instrText>
      </w:r>
      <w:r>
        <w:fldChar w:fldCharType="separate"/>
      </w:r>
      <w:r>
        <w:rPr>
          <w:rFonts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_Toc2000 \h </w:instrText>
      </w:r>
      <w:r>
        <w:fldChar w:fldCharType="separate"/>
      </w:r>
      <w:r>
        <w:t>11</w:t>
      </w:r>
      <w:r>
        <w:fldChar w:fldCharType="end"/>
      </w:r>
      <w:r>
        <w:fldChar w:fldCharType="end"/>
      </w:r>
    </w:p>
    <w:p>
      <w:pPr>
        <w:pStyle w:val="23"/>
        <w:tabs>
          <w:tab w:val="right" w:leader="dot" w:pos="9072"/>
        </w:tabs>
        <w:spacing w:line="360" w:lineRule="auto"/>
      </w:pPr>
      <w:r>
        <w:fldChar w:fldCharType="begin"/>
      </w:r>
      <w:r>
        <w:instrText xml:space="preserve"> HYPERLINK \l "_Toc5270" </w:instrText>
      </w:r>
      <w: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_Toc5270 \h </w:instrText>
      </w:r>
      <w:r>
        <w:fldChar w:fldCharType="separate"/>
      </w:r>
      <w:r>
        <w:t>11</w:t>
      </w:r>
      <w:r>
        <w:fldChar w:fldCharType="end"/>
      </w:r>
      <w:r>
        <w:fldChar w:fldCharType="end"/>
      </w:r>
    </w:p>
    <w:p>
      <w:pPr>
        <w:pStyle w:val="23"/>
        <w:tabs>
          <w:tab w:val="right" w:leader="dot" w:pos="9072"/>
        </w:tabs>
        <w:spacing w:line="360" w:lineRule="auto"/>
      </w:pPr>
      <w:r>
        <w:fldChar w:fldCharType="begin"/>
      </w:r>
      <w:r>
        <w:instrText xml:space="preserve"> HYPERLINK \l "_Toc3814" </w:instrText>
      </w:r>
      <w: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_Toc3814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"_Toc8576" </w:instrText>
      </w:r>
      <w:r>
        <w:fldChar w:fldCharType="separate"/>
      </w:r>
      <w:r>
        <w:rPr>
          <w:rFonts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_Toc8576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"_Toc31427" </w:instrText>
      </w:r>
      <w:r>
        <w:fldChar w:fldCharType="separate"/>
      </w:r>
      <w:r>
        <w:rPr>
          <w:rFonts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_Toc31427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"_Toc15026" </w:instrText>
      </w:r>
      <w:r>
        <w:fldChar w:fldCharType="separate"/>
      </w:r>
      <w:r>
        <w:rPr>
          <w:rFonts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_Toc15026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"_Toc23279" </w:instrText>
      </w:r>
      <w:r>
        <w:fldChar w:fldCharType="separate"/>
      </w:r>
      <w:r>
        <w:rPr>
          <w:rFonts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_Toc23279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"_Toc20617" </w:instrText>
      </w:r>
      <w:r>
        <w:fldChar w:fldCharType="separate"/>
      </w:r>
      <w:r>
        <w:rPr>
          <w:rFonts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_Toc20617 \h </w:instrText>
      </w:r>
      <w:r>
        <w:fldChar w:fldCharType="separate"/>
      </w:r>
      <w:r>
        <w:t>16</w:t>
      </w:r>
      <w:r>
        <w:fldChar w:fldCharType="end"/>
      </w:r>
      <w:r>
        <w:fldChar w:fldCharType="end"/>
      </w:r>
    </w:p>
    <w:p>
      <w:pPr>
        <w:pStyle w:val="23"/>
        <w:tabs>
          <w:tab w:val="right" w:leader="dot" w:pos="9072"/>
        </w:tabs>
        <w:spacing w:line="360" w:lineRule="auto"/>
      </w:pPr>
      <w:r>
        <w:fldChar w:fldCharType="begin"/>
      </w:r>
      <w:r>
        <w:instrText xml:space="preserve"> HYPERLINK \l "_Toc18813" </w:instrText>
      </w:r>
      <w:r>
        <w:fldChar w:fldCharType="separate"/>
      </w:r>
      <w:r>
        <w:rPr>
          <w:rFonts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_Toc18813 \h </w:instrText>
      </w:r>
      <w:r>
        <w:fldChar w:fldCharType="separate"/>
      </w:r>
      <w:r>
        <w:t>17</w:t>
      </w:r>
      <w:r>
        <w:fldChar w:fldCharType="end"/>
      </w:r>
      <w:r>
        <w:fldChar w:fldCharType="end"/>
      </w:r>
    </w:p>
    <w:p>
      <w:pPr>
        <w:pStyle w:val="23"/>
        <w:tabs>
          <w:tab w:val="right" w:leader="dot" w:pos="9072"/>
        </w:tabs>
        <w:spacing w:line="360" w:lineRule="auto"/>
      </w:pPr>
      <w:r>
        <w:fldChar w:fldCharType="begin"/>
      </w:r>
      <w:r>
        <w:instrText xml:space="preserve"> HYPERLINK \l "_Toc31562" </w:instrText>
      </w:r>
      <w:r>
        <w:fldChar w:fldCharType="separate"/>
      </w:r>
      <w:r>
        <w:rPr>
          <w:rFonts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_Toc31562 \h </w:instrText>
      </w:r>
      <w:r>
        <w:fldChar w:fldCharType="separate"/>
      </w:r>
      <w:r>
        <w:t>17</w:t>
      </w:r>
      <w:r>
        <w:fldChar w:fldCharType="end"/>
      </w:r>
      <w:r>
        <w:fldChar w:fldCharType="end"/>
      </w:r>
    </w:p>
    <w:p>
      <w:pPr>
        <w:pStyle w:val="23"/>
        <w:tabs>
          <w:tab w:val="right" w:leader="dot" w:pos="9072"/>
        </w:tabs>
        <w:spacing w:line="360" w:lineRule="auto"/>
      </w:pPr>
      <w:r>
        <w:fldChar w:fldCharType="begin"/>
      </w:r>
      <w:r>
        <w:instrText xml:space="preserve"> HYPERLINK \l "_Toc21012" </w:instrText>
      </w:r>
      <w:r>
        <w:fldChar w:fldCharType="separate"/>
      </w:r>
      <w:r>
        <w:rPr>
          <w:rFonts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_Toc21012 \h </w:instrText>
      </w:r>
      <w:r>
        <w:fldChar w:fldCharType="separate"/>
      </w:r>
      <w:r>
        <w:t>17</w:t>
      </w:r>
      <w:r>
        <w:fldChar w:fldCharType="end"/>
      </w:r>
      <w:r>
        <w:fldChar w:fldCharType="end"/>
      </w:r>
    </w:p>
    <w:p>
      <w:pPr>
        <w:pStyle w:val="23"/>
        <w:tabs>
          <w:tab w:val="right" w:leader="dot" w:pos="9072"/>
        </w:tabs>
        <w:spacing w:line="360" w:lineRule="auto"/>
      </w:pPr>
      <w:r>
        <w:fldChar w:fldCharType="begin"/>
      </w:r>
      <w:r>
        <w:instrText xml:space="preserve"> HYPERLINK \l "_Toc664" </w:instrText>
      </w:r>
      <w:r>
        <w:fldChar w:fldCharType="separate"/>
      </w:r>
      <w:r>
        <w:rPr>
          <w:rFonts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_Toc664 \h </w:instrText>
      </w:r>
      <w:r>
        <w:fldChar w:fldCharType="separate"/>
      </w:r>
      <w:r>
        <w:t>18</w:t>
      </w:r>
      <w:r>
        <w:fldChar w:fldCharType="end"/>
      </w:r>
      <w:r>
        <w:fldChar w:fldCharType="end"/>
      </w:r>
    </w:p>
    <w:p>
      <w:pPr>
        <w:pStyle w:val="23"/>
        <w:tabs>
          <w:tab w:val="right" w:leader="dot" w:pos="9072"/>
        </w:tabs>
        <w:spacing w:line="360" w:lineRule="auto"/>
      </w:pPr>
      <w:r>
        <w:fldChar w:fldCharType="begin"/>
      </w:r>
      <w:r>
        <w:instrText xml:space="preserve"> HYPERLINK \l "_Toc9751" </w:instrText>
      </w:r>
      <w:r>
        <w:fldChar w:fldCharType="separate"/>
      </w:r>
      <w:r>
        <w:rPr>
          <w:rFonts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_Toc9751 \h </w:instrText>
      </w:r>
      <w:r>
        <w:fldChar w:fldCharType="separate"/>
      </w:r>
      <w:r>
        <w:t>18</w:t>
      </w:r>
      <w:r>
        <w:fldChar w:fldCharType="end"/>
      </w:r>
      <w:r>
        <w:fldChar w:fldCharType="end"/>
      </w:r>
    </w:p>
    <w:p>
      <w:pPr>
        <w:pStyle w:val="23"/>
        <w:tabs>
          <w:tab w:val="right" w:leader="dot" w:pos="9072"/>
        </w:tabs>
        <w:spacing w:line="360" w:lineRule="auto"/>
      </w:pPr>
      <w:r>
        <w:fldChar w:fldCharType="begin"/>
      </w:r>
      <w:r>
        <w:instrText xml:space="preserve"> HYPERLINK \l "_Toc24933" </w:instrText>
      </w:r>
      <w:r>
        <w:fldChar w:fldCharType="separate"/>
      </w:r>
      <w:r>
        <w:rPr>
          <w:rFonts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_Toc24933 \h </w:instrText>
      </w:r>
      <w:r>
        <w:fldChar w:fldCharType="separate"/>
      </w:r>
      <w:r>
        <w:t>18</w:t>
      </w:r>
      <w:r>
        <w:fldChar w:fldCharType="end"/>
      </w:r>
      <w:r>
        <w:fldChar w:fldCharType="end"/>
      </w:r>
    </w:p>
    <w:p>
      <w:pPr>
        <w:pStyle w:val="23"/>
        <w:tabs>
          <w:tab w:val="right" w:leader="dot" w:pos="9072"/>
        </w:tabs>
        <w:spacing w:line="360" w:lineRule="auto"/>
      </w:pPr>
      <w:r>
        <w:fldChar w:fldCharType="begin"/>
      </w:r>
      <w:r>
        <w:instrText xml:space="preserve"> HYPERLINK \l "_Toc12108" </w:instrText>
      </w:r>
      <w:r>
        <w:fldChar w:fldCharType="separate"/>
      </w:r>
      <w:r>
        <w:rPr>
          <w:rFonts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_Toc12108 \h </w:instrText>
      </w:r>
      <w:r>
        <w:fldChar w:fldCharType="separate"/>
      </w:r>
      <w:r>
        <w:t>18</w:t>
      </w:r>
      <w:r>
        <w:fldChar w:fldCharType="end"/>
      </w:r>
      <w:r>
        <w:fldChar w:fldCharType="end"/>
      </w:r>
    </w:p>
    <w:p>
      <w:pPr>
        <w:pStyle w:val="23"/>
        <w:tabs>
          <w:tab w:val="right" w:leader="dot" w:pos="9072"/>
        </w:tabs>
        <w:spacing w:line="360" w:lineRule="auto"/>
      </w:pPr>
      <w:r>
        <w:fldChar w:fldCharType="begin"/>
      </w:r>
      <w:r>
        <w:instrText xml:space="preserve"> HYPERLINK \l "_Toc12949" </w:instrText>
      </w:r>
      <w:r>
        <w:fldChar w:fldCharType="separate"/>
      </w:r>
      <w:r>
        <w:rPr>
          <w:rFonts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_Toc12949 \h </w:instrText>
      </w:r>
      <w:r>
        <w:fldChar w:fldCharType="separate"/>
      </w:r>
      <w:r>
        <w:t>18</w:t>
      </w:r>
      <w:r>
        <w:fldChar w:fldCharType="end"/>
      </w:r>
      <w:r>
        <w:fldChar w:fldCharType="end"/>
      </w:r>
    </w:p>
    <w:p>
      <w:pPr>
        <w:pStyle w:val="23"/>
        <w:tabs>
          <w:tab w:val="right" w:leader="dot" w:pos="9072"/>
        </w:tabs>
        <w:spacing w:line="360" w:lineRule="auto"/>
      </w:pPr>
      <w:r>
        <w:fldChar w:fldCharType="begin"/>
      </w:r>
      <w:r>
        <w:instrText xml:space="preserve"> HYPERLINK \l "_Toc23662" </w:instrText>
      </w:r>
      <w:r>
        <w:fldChar w:fldCharType="separate"/>
      </w:r>
      <w:r>
        <w:rPr>
          <w:rFonts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_Toc23662 \h </w:instrText>
      </w:r>
      <w:r>
        <w:fldChar w:fldCharType="separate"/>
      </w:r>
      <w:r>
        <w:t>19</w:t>
      </w:r>
      <w:r>
        <w:fldChar w:fldCharType="end"/>
      </w:r>
      <w:r>
        <w:fldChar w:fldCharType="end"/>
      </w:r>
    </w:p>
    <w:p>
      <w:pPr>
        <w:pStyle w:val="23"/>
        <w:tabs>
          <w:tab w:val="right" w:leader="dot" w:pos="9072"/>
        </w:tabs>
        <w:spacing w:line="360" w:lineRule="auto"/>
      </w:pPr>
      <w:r>
        <w:fldChar w:fldCharType="begin"/>
      </w:r>
      <w:r>
        <w:instrText xml:space="preserve"> HYPERLINK \l "_Toc5047" </w:instrText>
      </w:r>
      <w:r>
        <w:fldChar w:fldCharType="separate"/>
      </w:r>
      <w:r>
        <w:rPr>
          <w:rFonts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_Toc5047 \h </w:instrText>
      </w:r>
      <w:r>
        <w:fldChar w:fldCharType="separate"/>
      </w:r>
      <w:r>
        <w:t>19</w:t>
      </w:r>
      <w:r>
        <w:fldChar w:fldCharType="end"/>
      </w:r>
      <w:r>
        <w:fldChar w:fldCharType="end"/>
      </w:r>
    </w:p>
    <w:p>
      <w:pPr>
        <w:pStyle w:val="23"/>
        <w:tabs>
          <w:tab w:val="right" w:leader="dot" w:pos="9072"/>
        </w:tabs>
        <w:spacing w:line="360" w:lineRule="auto"/>
      </w:pPr>
      <w:r>
        <w:fldChar w:fldCharType="begin"/>
      </w:r>
      <w:r>
        <w:instrText xml:space="preserve"> HYPERLINK \l "_Toc8074" </w:instrText>
      </w:r>
      <w:r>
        <w:fldChar w:fldCharType="separate"/>
      </w:r>
      <w:r>
        <w:rPr>
          <w:rFonts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_Toc8074 \h </w:instrText>
      </w:r>
      <w:r>
        <w:fldChar w:fldCharType="separate"/>
      </w:r>
      <w:r>
        <w:t>19</w:t>
      </w:r>
      <w:r>
        <w:fldChar w:fldCharType="end"/>
      </w:r>
      <w:r>
        <w:fldChar w:fldCharType="end"/>
      </w:r>
    </w:p>
    <w:p>
      <w:pPr>
        <w:pStyle w:val="23"/>
        <w:tabs>
          <w:tab w:val="right" w:leader="dot" w:pos="9072"/>
        </w:tabs>
        <w:spacing w:line="360" w:lineRule="auto"/>
      </w:pPr>
      <w:r>
        <w:fldChar w:fldCharType="begin"/>
      </w:r>
      <w:r>
        <w:instrText xml:space="preserve"> HYPERLINK \l "_Toc13947" </w:instrText>
      </w:r>
      <w:r>
        <w:fldChar w:fldCharType="separate"/>
      </w:r>
      <w:r>
        <w:rPr>
          <w:rFonts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_Toc13947 \h </w:instrText>
      </w:r>
      <w:r>
        <w:fldChar w:fldCharType="separate"/>
      </w:r>
      <w:r>
        <w:t>19</w:t>
      </w:r>
      <w:r>
        <w:fldChar w:fldCharType="end"/>
      </w:r>
      <w:r>
        <w:fldChar w:fldCharType="end"/>
      </w:r>
    </w:p>
    <w:p>
      <w:pPr>
        <w:pStyle w:val="23"/>
        <w:tabs>
          <w:tab w:val="right" w:leader="dot" w:pos="9072"/>
        </w:tabs>
        <w:spacing w:line="360" w:lineRule="auto"/>
      </w:pPr>
      <w:r>
        <w:fldChar w:fldCharType="begin"/>
      </w:r>
      <w:r>
        <w:instrText xml:space="preserve"> HYPERLINK \l "_Toc5148" </w:instrText>
      </w:r>
      <w:r>
        <w:fldChar w:fldCharType="separate"/>
      </w:r>
      <w:r>
        <w:rPr>
          <w:rFonts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_Toc5148 \h </w:instrText>
      </w:r>
      <w:r>
        <w:fldChar w:fldCharType="separate"/>
      </w:r>
      <w:r>
        <w:t>20</w:t>
      </w:r>
      <w:r>
        <w:fldChar w:fldCharType="end"/>
      </w:r>
      <w:r>
        <w:fldChar w:fldCharType="end"/>
      </w:r>
    </w:p>
    <w:p>
      <w:pPr>
        <w:pStyle w:val="23"/>
        <w:tabs>
          <w:tab w:val="right" w:leader="dot" w:pos="9072"/>
        </w:tabs>
        <w:spacing w:line="360" w:lineRule="auto"/>
      </w:pPr>
      <w:r>
        <w:fldChar w:fldCharType="begin"/>
      </w:r>
      <w:r>
        <w:instrText xml:space="preserve"> HYPERLINK \l "_Toc24264" </w:instrText>
      </w:r>
      <w:r>
        <w:fldChar w:fldCharType="separate"/>
      </w:r>
      <w:r>
        <w:rPr>
          <w:rFonts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_Toc24264 \h </w:instrText>
      </w:r>
      <w:r>
        <w:fldChar w:fldCharType="separate"/>
      </w:r>
      <w:r>
        <w:t>20</w:t>
      </w:r>
      <w:r>
        <w:fldChar w:fldCharType="end"/>
      </w:r>
      <w:r>
        <w:fldChar w:fldCharType="end"/>
      </w:r>
    </w:p>
    <w:p>
      <w:pPr>
        <w:pStyle w:val="23"/>
        <w:tabs>
          <w:tab w:val="right" w:leader="dot" w:pos="9072"/>
        </w:tabs>
        <w:spacing w:line="360" w:lineRule="auto"/>
      </w:pPr>
      <w:r>
        <w:fldChar w:fldCharType="begin"/>
      </w:r>
      <w:r>
        <w:instrText xml:space="preserve"> HYPERLINK \l "_Toc13129" </w:instrText>
      </w:r>
      <w:r>
        <w:fldChar w:fldCharType="separate"/>
      </w:r>
      <w:r>
        <w:rPr>
          <w:rFonts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_Toc13129 \h </w:instrText>
      </w:r>
      <w:r>
        <w:fldChar w:fldCharType="separate"/>
      </w:r>
      <w:r>
        <w:t>20</w:t>
      </w:r>
      <w:r>
        <w:fldChar w:fldCharType="end"/>
      </w:r>
      <w:r>
        <w:fldChar w:fldCharType="end"/>
      </w:r>
    </w:p>
    <w:p>
      <w:pPr>
        <w:pStyle w:val="23"/>
        <w:tabs>
          <w:tab w:val="right" w:leader="dot" w:pos="9072"/>
        </w:tabs>
        <w:spacing w:line="360" w:lineRule="auto"/>
      </w:pPr>
      <w:r>
        <w:fldChar w:fldCharType="begin"/>
      </w:r>
      <w:r>
        <w:instrText xml:space="preserve"> HYPERLINK \l "_Toc15013" </w:instrText>
      </w:r>
      <w:r>
        <w:fldChar w:fldCharType="separate"/>
      </w:r>
      <w:r>
        <w:rPr>
          <w:rFonts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_Toc15013 \h </w:instrText>
      </w:r>
      <w:r>
        <w:fldChar w:fldCharType="separate"/>
      </w:r>
      <w:r>
        <w:t>21</w:t>
      </w:r>
      <w:r>
        <w:fldChar w:fldCharType="end"/>
      </w:r>
      <w:r>
        <w:fldChar w:fldCharType="end"/>
      </w:r>
    </w:p>
    <w:p>
      <w:pPr>
        <w:pStyle w:val="23"/>
        <w:tabs>
          <w:tab w:val="right" w:leader="dot" w:pos="9072"/>
        </w:tabs>
        <w:spacing w:line="360" w:lineRule="auto"/>
      </w:pPr>
      <w:r>
        <w:fldChar w:fldCharType="begin"/>
      </w:r>
      <w:r>
        <w:instrText xml:space="preserve"> HYPERLINK \l "_Toc28327" </w:instrText>
      </w:r>
      <w:r>
        <w:fldChar w:fldCharType="separate"/>
      </w:r>
      <w:r>
        <w:rPr>
          <w:rFonts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_Toc28327 \h </w:instrText>
      </w:r>
      <w:r>
        <w:fldChar w:fldCharType="separate"/>
      </w:r>
      <w:r>
        <w:t>21</w:t>
      </w:r>
      <w:r>
        <w:fldChar w:fldCharType="end"/>
      </w:r>
      <w:r>
        <w:fldChar w:fldCharType="end"/>
      </w:r>
    </w:p>
    <w:p>
      <w:pPr>
        <w:pStyle w:val="23"/>
        <w:tabs>
          <w:tab w:val="right" w:leader="dot" w:pos="9072"/>
        </w:tabs>
        <w:spacing w:line="360" w:lineRule="auto"/>
      </w:pPr>
      <w:r>
        <w:fldChar w:fldCharType="begin"/>
      </w:r>
      <w:r>
        <w:instrText xml:space="preserve"> HYPERLINK \l "_Toc10835" </w:instrText>
      </w:r>
      <w:r>
        <w:fldChar w:fldCharType="separate"/>
      </w:r>
      <w:r>
        <w:rPr>
          <w:rFonts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_Toc10835 \h </w:instrText>
      </w:r>
      <w:r>
        <w:fldChar w:fldCharType="separate"/>
      </w:r>
      <w:r>
        <w:t>21</w:t>
      </w:r>
      <w:r>
        <w:fldChar w:fldCharType="end"/>
      </w:r>
      <w:r>
        <w:fldChar w:fldCharType="end"/>
      </w:r>
    </w:p>
    <w:p>
      <w:pPr>
        <w:pStyle w:val="23"/>
        <w:tabs>
          <w:tab w:val="right" w:leader="dot" w:pos="9072"/>
        </w:tabs>
        <w:spacing w:line="360" w:lineRule="auto"/>
      </w:pPr>
      <w:r>
        <w:fldChar w:fldCharType="begin"/>
      </w:r>
      <w:r>
        <w:instrText xml:space="preserve"> HYPERLINK \l "_Toc3688" </w:instrText>
      </w:r>
      <w:r>
        <w:fldChar w:fldCharType="separate"/>
      </w:r>
      <w:r>
        <w:rPr>
          <w:rFonts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_Toc3688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"_Toc585" </w:instrText>
      </w:r>
      <w:r>
        <w:fldChar w:fldCharType="separate"/>
      </w:r>
      <w:r>
        <w:rPr>
          <w:rFonts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_Toc585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"_Toc22007" </w:instrText>
      </w:r>
      <w:r>
        <w:fldChar w:fldCharType="separate"/>
      </w:r>
      <w:r>
        <w:rPr>
          <w:rFonts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_Toc22007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"_Toc24044" </w:instrText>
      </w:r>
      <w:r>
        <w:fldChar w:fldCharType="separate"/>
      </w:r>
      <w:r>
        <w:rPr>
          <w:rFonts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_Toc24044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"_Toc19001" </w:instrText>
      </w:r>
      <w:r>
        <w:fldChar w:fldCharType="separate"/>
      </w:r>
      <w:r>
        <w:rPr>
          <w:rFonts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_Toc19001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"_Toc4418" </w:instrText>
      </w:r>
      <w:r>
        <w:fldChar w:fldCharType="separate"/>
      </w:r>
      <w:r>
        <w:rPr>
          <w:rFonts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_Toc4418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"_Toc3854" </w:instrText>
      </w:r>
      <w:r>
        <w:fldChar w:fldCharType="separate"/>
      </w:r>
      <w:r>
        <w:rPr>
          <w:rFonts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_Toc3854 \h </w:instrText>
      </w:r>
      <w:r>
        <w:fldChar w:fldCharType="separate"/>
      </w:r>
      <w:r>
        <w:t>22</w:t>
      </w:r>
      <w:r>
        <w:fldChar w:fldCharType="end"/>
      </w:r>
      <w:r>
        <w:fldChar w:fldCharType="end"/>
      </w:r>
    </w:p>
    <w:p>
      <w:pPr>
        <w:pStyle w:val="23"/>
        <w:tabs>
          <w:tab w:val="right" w:leader="dot" w:pos="9072"/>
        </w:tabs>
        <w:spacing w:line="360" w:lineRule="auto"/>
      </w:pPr>
      <w:r>
        <w:fldChar w:fldCharType="begin"/>
      </w:r>
      <w:r>
        <w:instrText xml:space="preserve"> HYPERLINK \l "_Toc30950" </w:instrText>
      </w:r>
      <w:r>
        <w:fldChar w:fldCharType="separate"/>
      </w:r>
      <w:r>
        <w:rPr>
          <w:rFonts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_Toc30950 \h </w:instrText>
      </w:r>
      <w:r>
        <w:fldChar w:fldCharType="separate"/>
      </w:r>
      <w:r>
        <w:t>23</w:t>
      </w:r>
      <w:r>
        <w:fldChar w:fldCharType="end"/>
      </w:r>
      <w:r>
        <w:fldChar w:fldCharType="end"/>
      </w:r>
    </w:p>
    <w:p>
      <w:pPr>
        <w:pStyle w:val="23"/>
        <w:tabs>
          <w:tab w:val="right" w:leader="dot" w:pos="9072"/>
        </w:tabs>
        <w:spacing w:line="360" w:lineRule="auto"/>
      </w:pPr>
      <w:r>
        <w:fldChar w:fldCharType="begin"/>
      </w:r>
      <w:r>
        <w:instrText xml:space="preserve"> HYPERLINK \l "_Toc15829" </w:instrText>
      </w:r>
      <w:r>
        <w:fldChar w:fldCharType="separate"/>
      </w:r>
      <w:r>
        <w:rPr>
          <w:rFonts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_Toc15829 \h </w:instrText>
      </w:r>
      <w:r>
        <w:fldChar w:fldCharType="separate"/>
      </w:r>
      <w:r>
        <w:t>24</w:t>
      </w:r>
      <w:r>
        <w:fldChar w:fldCharType="end"/>
      </w:r>
      <w:r>
        <w:fldChar w:fldCharType="end"/>
      </w:r>
    </w:p>
    <w:p>
      <w:pPr>
        <w:pStyle w:val="23"/>
        <w:tabs>
          <w:tab w:val="right" w:leader="dot" w:pos="9072"/>
        </w:tabs>
        <w:spacing w:line="360" w:lineRule="auto"/>
      </w:pPr>
      <w:r>
        <w:fldChar w:fldCharType="begin"/>
      </w:r>
      <w:r>
        <w:instrText xml:space="preserve"> HYPERLINK \l "_Toc8978" </w:instrText>
      </w:r>
      <w:r>
        <w:fldChar w:fldCharType="separate"/>
      </w:r>
      <w:r>
        <w:rPr>
          <w:rFonts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_Toc8978 \h </w:instrText>
      </w:r>
      <w:r>
        <w:fldChar w:fldCharType="separate"/>
      </w:r>
      <w:r>
        <w:t>24</w:t>
      </w:r>
      <w:r>
        <w:fldChar w:fldCharType="end"/>
      </w:r>
      <w:r>
        <w:fldChar w:fldCharType="end"/>
      </w:r>
    </w:p>
    <w:p>
      <w:pPr>
        <w:pStyle w:val="23"/>
        <w:tabs>
          <w:tab w:val="right" w:leader="dot" w:pos="9072"/>
        </w:tabs>
        <w:spacing w:line="360" w:lineRule="auto"/>
      </w:pPr>
      <w:r>
        <w:fldChar w:fldCharType="begin"/>
      </w:r>
      <w:r>
        <w:instrText xml:space="preserve"> HYPERLINK \l "_Toc25843" </w:instrText>
      </w:r>
      <w:r>
        <w:fldChar w:fldCharType="separate"/>
      </w:r>
      <w:r>
        <w:rPr>
          <w:rFonts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_Toc25843 \h </w:instrText>
      </w:r>
      <w:r>
        <w:fldChar w:fldCharType="separate"/>
      </w:r>
      <w:r>
        <w:t>24</w:t>
      </w:r>
      <w:r>
        <w:fldChar w:fldCharType="end"/>
      </w:r>
      <w:r>
        <w:fldChar w:fldCharType="end"/>
      </w:r>
    </w:p>
    <w:p>
      <w:pPr>
        <w:pStyle w:val="23"/>
        <w:tabs>
          <w:tab w:val="right" w:leader="dot" w:pos="9072"/>
        </w:tabs>
        <w:spacing w:line="360" w:lineRule="auto"/>
      </w:pPr>
      <w:r>
        <w:fldChar w:fldCharType="begin"/>
      </w:r>
      <w:r>
        <w:instrText xml:space="preserve"> HYPERLINK \l "_Toc24948" </w:instrText>
      </w:r>
      <w:r>
        <w:fldChar w:fldCharType="separate"/>
      </w:r>
      <w:r>
        <w:rPr>
          <w:rFonts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_Toc24948 \h </w:instrText>
      </w:r>
      <w:r>
        <w:fldChar w:fldCharType="separate"/>
      </w:r>
      <w:r>
        <w:t>24</w:t>
      </w:r>
      <w:r>
        <w:fldChar w:fldCharType="end"/>
      </w:r>
      <w:r>
        <w:fldChar w:fldCharType="end"/>
      </w:r>
    </w:p>
    <w:p>
      <w:pPr>
        <w:pStyle w:val="23"/>
        <w:tabs>
          <w:tab w:val="right" w:leader="dot" w:pos="9072"/>
        </w:tabs>
        <w:spacing w:line="360" w:lineRule="auto"/>
      </w:pPr>
      <w:r>
        <w:fldChar w:fldCharType="begin"/>
      </w:r>
      <w:r>
        <w:instrText xml:space="preserve"> HYPERLINK \l "_Toc8370" </w:instrText>
      </w:r>
      <w:r>
        <w:fldChar w:fldCharType="separate"/>
      </w:r>
      <w:r>
        <w:rPr>
          <w:rFonts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_Toc8370 \h </w:instrText>
      </w:r>
      <w:r>
        <w:fldChar w:fldCharType="separate"/>
      </w:r>
      <w:r>
        <w:t>26</w:t>
      </w:r>
      <w:r>
        <w:fldChar w:fldCharType="end"/>
      </w:r>
      <w:r>
        <w:fldChar w:fldCharType="end"/>
      </w:r>
    </w:p>
    <w:p>
      <w:pPr>
        <w:pStyle w:val="23"/>
        <w:tabs>
          <w:tab w:val="right" w:leader="dot" w:pos="9072"/>
        </w:tabs>
        <w:spacing w:line="360" w:lineRule="auto"/>
      </w:pPr>
      <w:r>
        <w:fldChar w:fldCharType="begin"/>
      </w:r>
      <w:r>
        <w:instrText xml:space="preserve"> HYPERLINK \l "_Toc4903" </w:instrText>
      </w:r>
      <w:r>
        <w:fldChar w:fldCharType="separate"/>
      </w:r>
      <w:r>
        <w:rPr>
          <w:rFonts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_Toc4903 \h </w:instrText>
      </w:r>
      <w:r>
        <w:fldChar w:fldCharType="separate"/>
      </w:r>
      <w:r>
        <w:t>26</w:t>
      </w:r>
      <w:r>
        <w:fldChar w:fldCharType="end"/>
      </w:r>
      <w:r>
        <w:fldChar w:fldCharType="end"/>
      </w:r>
    </w:p>
    <w:p>
      <w:pPr>
        <w:pStyle w:val="23"/>
        <w:tabs>
          <w:tab w:val="right" w:leader="dot" w:pos="9072"/>
        </w:tabs>
        <w:spacing w:line="360" w:lineRule="auto"/>
      </w:pPr>
      <w:r>
        <w:fldChar w:fldCharType="begin"/>
      </w:r>
      <w:r>
        <w:instrText xml:space="preserve"> HYPERLINK \l "_Toc32751" </w:instrText>
      </w:r>
      <w:r>
        <w:fldChar w:fldCharType="separate"/>
      </w:r>
      <w:r>
        <w:rPr>
          <w:rFonts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_Toc32751 \h </w:instrText>
      </w:r>
      <w:r>
        <w:fldChar w:fldCharType="separate"/>
      </w:r>
      <w:r>
        <w:t>26</w:t>
      </w:r>
      <w:r>
        <w:fldChar w:fldCharType="end"/>
      </w:r>
      <w:r>
        <w:fldChar w:fldCharType="end"/>
      </w:r>
    </w:p>
    <w:p>
      <w:pPr>
        <w:pStyle w:val="23"/>
        <w:tabs>
          <w:tab w:val="right" w:leader="dot" w:pos="9072"/>
        </w:tabs>
        <w:spacing w:line="360" w:lineRule="auto"/>
      </w:pPr>
      <w:r>
        <w:fldChar w:fldCharType="begin"/>
      </w:r>
      <w:r>
        <w:instrText xml:space="preserve"> HYPERLINK \l "_Toc12046" </w:instrText>
      </w:r>
      <w:r>
        <w:fldChar w:fldCharType="separate"/>
      </w:r>
      <w:r>
        <w:rPr>
          <w:rFonts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_Toc12046 \h </w:instrText>
      </w:r>
      <w:r>
        <w:fldChar w:fldCharType="separate"/>
      </w:r>
      <w:r>
        <w:t>26</w:t>
      </w:r>
      <w:r>
        <w:fldChar w:fldCharType="end"/>
      </w:r>
      <w:r>
        <w:fldChar w:fldCharType="end"/>
      </w:r>
    </w:p>
    <w:p>
      <w:pPr>
        <w:pStyle w:val="23"/>
        <w:tabs>
          <w:tab w:val="right" w:leader="dot" w:pos="9072"/>
        </w:tabs>
        <w:spacing w:line="360" w:lineRule="auto"/>
      </w:pPr>
      <w:r>
        <w:fldChar w:fldCharType="begin"/>
      </w:r>
      <w:r>
        <w:instrText xml:space="preserve"> HYPERLINK \l "_Toc15223" </w:instrText>
      </w:r>
      <w:r>
        <w:fldChar w:fldCharType="separate"/>
      </w:r>
      <w:r>
        <w:rPr>
          <w:rFonts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_Toc15223 \h </w:instrText>
      </w:r>
      <w:r>
        <w:fldChar w:fldCharType="separate"/>
      </w:r>
      <w:r>
        <w:t>27</w:t>
      </w:r>
      <w:r>
        <w:fldChar w:fldCharType="end"/>
      </w:r>
      <w:r>
        <w:fldChar w:fldCharType="end"/>
      </w:r>
    </w:p>
    <w:p>
      <w:pPr>
        <w:pStyle w:val="23"/>
        <w:tabs>
          <w:tab w:val="right" w:leader="dot" w:pos="9072"/>
        </w:tabs>
        <w:spacing w:line="360" w:lineRule="auto"/>
      </w:pPr>
      <w:r>
        <w:fldChar w:fldCharType="begin"/>
      </w:r>
      <w:r>
        <w:instrText xml:space="preserve"> HYPERLINK \l "_Toc6749" </w:instrText>
      </w:r>
      <w:r>
        <w:fldChar w:fldCharType="separate"/>
      </w:r>
      <w:r>
        <w:rPr>
          <w:rFonts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_Toc6749 \h </w:instrText>
      </w:r>
      <w:r>
        <w:fldChar w:fldCharType="separate"/>
      </w:r>
      <w:r>
        <w:t>27</w:t>
      </w:r>
      <w:r>
        <w:fldChar w:fldCharType="end"/>
      </w:r>
      <w:r>
        <w:fldChar w:fldCharType="end"/>
      </w:r>
    </w:p>
    <w:p>
      <w:pPr>
        <w:pStyle w:val="21"/>
        <w:tabs>
          <w:tab w:val="right" w:leader="dot" w:pos="9072"/>
        </w:tabs>
        <w:spacing w:line="360" w:lineRule="auto"/>
      </w:pPr>
      <w:r>
        <w:fldChar w:fldCharType="begin"/>
      </w:r>
      <w:r>
        <w:instrText xml:space="preserve"> HYPERLINK \l "_Toc15612" </w:instrText>
      </w:r>
      <w:r>
        <w:fldChar w:fldCharType="separate"/>
      </w:r>
      <w:r>
        <w:rPr>
          <w:rFonts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_Toc15612 \h </w:instrText>
      </w:r>
      <w:r>
        <w:fldChar w:fldCharType="separate"/>
      </w:r>
      <w:r>
        <w:t>29</w:t>
      </w:r>
      <w:r>
        <w:fldChar w:fldCharType="end"/>
      </w:r>
      <w:r>
        <w:fldChar w:fldCharType="end"/>
      </w:r>
    </w:p>
    <w:p>
      <w:pPr>
        <w:pStyle w:val="23"/>
        <w:tabs>
          <w:tab w:val="right" w:leader="dot" w:pos="9072"/>
        </w:tabs>
        <w:spacing w:line="360" w:lineRule="auto"/>
      </w:pPr>
      <w:r>
        <w:fldChar w:fldCharType="begin"/>
      </w:r>
      <w:r>
        <w:instrText xml:space="preserve"> HYPERLINK \l "_Toc29719" </w:instrText>
      </w:r>
      <w:r>
        <w:fldChar w:fldCharType="separate"/>
      </w:r>
      <w:r>
        <w:rPr>
          <w:rFonts w:hint="eastAsia" w:asciiTheme="minorEastAsia" w:hAnsiTheme="minorEastAsia" w:eastAsiaTheme="minorEastAsia" w:cstheme="minorEastAsia"/>
          <w:bCs/>
        </w:rPr>
        <w:t>第1包：01+生物质与生物能源实验室建设项目1（进口设备）</w:t>
      </w:r>
      <w:r>
        <w:tab/>
      </w:r>
      <w:r>
        <w:fldChar w:fldCharType="begin"/>
      </w:r>
      <w:r>
        <w:instrText xml:space="preserve"> PAGEREF _Toc29719 \h </w:instrText>
      </w:r>
      <w:r>
        <w:fldChar w:fldCharType="separate"/>
      </w:r>
      <w:r>
        <w:t>29</w:t>
      </w:r>
      <w:r>
        <w:fldChar w:fldCharType="end"/>
      </w:r>
      <w:r>
        <w:fldChar w:fldCharType="end"/>
      </w:r>
    </w:p>
    <w:p>
      <w:pPr>
        <w:pStyle w:val="23"/>
        <w:tabs>
          <w:tab w:val="right" w:leader="dot" w:pos="9072"/>
        </w:tabs>
        <w:spacing w:line="360" w:lineRule="auto"/>
      </w:pPr>
      <w:r>
        <w:fldChar w:fldCharType="begin"/>
      </w:r>
      <w:r>
        <w:instrText xml:space="preserve"> HYPERLINK \l "_Toc6926"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_Toc6926 \h </w:instrText>
      </w:r>
      <w:r>
        <w:fldChar w:fldCharType="separate"/>
      </w:r>
      <w:r>
        <w:t>29</w:t>
      </w:r>
      <w:r>
        <w:fldChar w:fldCharType="end"/>
      </w:r>
      <w:r>
        <w:fldChar w:fldCharType="end"/>
      </w:r>
    </w:p>
    <w:p>
      <w:pPr>
        <w:pStyle w:val="23"/>
        <w:tabs>
          <w:tab w:val="right" w:leader="dot" w:pos="9072"/>
        </w:tabs>
        <w:spacing w:line="360" w:lineRule="auto"/>
      </w:pPr>
      <w:r>
        <w:fldChar w:fldCharType="begin"/>
      </w:r>
      <w:r>
        <w:instrText xml:space="preserve"> HYPERLINK \l "_Toc1477"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_Toc1477 \h </w:instrText>
      </w:r>
      <w:r>
        <w:fldChar w:fldCharType="separate"/>
      </w:r>
      <w:r>
        <w:t>33</w:t>
      </w:r>
      <w:r>
        <w:fldChar w:fldCharType="end"/>
      </w:r>
      <w:r>
        <w:fldChar w:fldCharType="end"/>
      </w:r>
    </w:p>
    <w:p>
      <w:pPr>
        <w:pStyle w:val="23"/>
        <w:tabs>
          <w:tab w:val="right" w:leader="dot" w:pos="9072"/>
        </w:tabs>
        <w:spacing w:line="360" w:lineRule="auto"/>
      </w:pPr>
      <w:r>
        <w:fldChar w:fldCharType="begin"/>
      </w:r>
      <w:r>
        <w:instrText xml:space="preserve"> HYPERLINK \l "_Toc6523" </w:instrText>
      </w:r>
      <w:r>
        <w:fldChar w:fldCharType="separate"/>
      </w:r>
      <w:r>
        <w:rPr>
          <w:rFonts w:hint="eastAsia" w:asciiTheme="minorEastAsia" w:hAnsiTheme="minorEastAsia" w:eastAsiaTheme="minorEastAsia" w:cstheme="minorEastAsia"/>
          <w:bCs/>
        </w:rPr>
        <w:t>第2包：02+生物质与生物能源实验室建设项目2（多功能成像分析系统等一批国产设备）</w:t>
      </w:r>
      <w:r>
        <w:tab/>
      </w:r>
      <w:r>
        <w:fldChar w:fldCharType="begin"/>
      </w:r>
      <w:r>
        <w:instrText xml:space="preserve"> PAGEREF _Toc6523 \h </w:instrText>
      </w:r>
      <w:r>
        <w:fldChar w:fldCharType="separate"/>
      </w:r>
      <w:r>
        <w:t>36</w:t>
      </w:r>
      <w:r>
        <w:fldChar w:fldCharType="end"/>
      </w:r>
      <w:r>
        <w:fldChar w:fldCharType="end"/>
      </w:r>
    </w:p>
    <w:p>
      <w:pPr>
        <w:pStyle w:val="23"/>
        <w:tabs>
          <w:tab w:val="right" w:leader="dot" w:pos="9072"/>
        </w:tabs>
        <w:spacing w:line="360" w:lineRule="auto"/>
      </w:pPr>
      <w:r>
        <w:fldChar w:fldCharType="begin"/>
      </w:r>
      <w:r>
        <w:instrText xml:space="preserve"> HYPERLINK \l "_Toc19132"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_Toc19132 \h </w:instrText>
      </w:r>
      <w:r>
        <w:fldChar w:fldCharType="separate"/>
      </w:r>
      <w:r>
        <w:t>36</w:t>
      </w:r>
      <w:r>
        <w:fldChar w:fldCharType="end"/>
      </w:r>
      <w:r>
        <w:fldChar w:fldCharType="end"/>
      </w:r>
    </w:p>
    <w:p>
      <w:pPr>
        <w:pStyle w:val="23"/>
        <w:tabs>
          <w:tab w:val="right" w:leader="dot" w:pos="9072"/>
        </w:tabs>
        <w:spacing w:line="360" w:lineRule="auto"/>
      </w:pPr>
      <w:r>
        <w:fldChar w:fldCharType="begin"/>
      </w:r>
      <w:r>
        <w:instrText xml:space="preserve"> HYPERLINK \l "_Toc31227"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_Toc31227 \h </w:instrText>
      </w:r>
      <w:r>
        <w:fldChar w:fldCharType="separate"/>
      </w:r>
      <w:r>
        <w:t>45</w:t>
      </w:r>
      <w:r>
        <w:fldChar w:fldCharType="end"/>
      </w:r>
      <w:r>
        <w:fldChar w:fldCharType="end"/>
      </w:r>
    </w:p>
    <w:p>
      <w:pPr>
        <w:pStyle w:val="23"/>
        <w:tabs>
          <w:tab w:val="right" w:leader="dot" w:pos="9072"/>
        </w:tabs>
        <w:spacing w:line="360" w:lineRule="auto"/>
      </w:pPr>
      <w:r>
        <w:fldChar w:fldCharType="begin"/>
      </w:r>
      <w:r>
        <w:instrText xml:space="preserve"> HYPERLINK \l "_Toc19109" </w:instrText>
      </w:r>
      <w:r>
        <w:fldChar w:fldCharType="separate"/>
      </w:r>
      <w:r>
        <w:rPr>
          <w:rFonts w:hint="eastAsia" w:asciiTheme="minorEastAsia" w:hAnsiTheme="minorEastAsia" w:eastAsiaTheme="minorEastAsia" w:cstheme="minorEastAsia"/>
          <w:bCs/>
        </w:rPr>
        <w:t>第3包：03+生物质与生物能源实验室建设项目3（饮水机等一批国产设备）</w:t>
      </w:r>
      <w:r>
        <w:tab/>
      </w:r>
      <w:r>
        <w:fldChar w:fldCharType="begin"/>
      </w:r>
      <w:r>
        <w:instrText xml:space="preserve"> PAGEREF _Toc19109 \h </w:instrText>
      </w:r>
      <w:r>
        <w:fldChar w:fldCharType="separate"/>
      </w:r>
      <w:r>
        <w:t>49</w:t>
      </w:r>
      <w:r>
        <w:fldChar w:fldCharType="end"/>
      </w:r>
      <w:r>
        <w:fldChar w:fldCharType="end"/>
      </w:r>
    </w:p>
    <w:p>
      <w:pPr>
        <w:pStyle w:val="23"/>
        <w:tabs>
          <w:tab w:val="right" w:leader="dot" w:pos="9072"/>
        </w:tabs>
        <w:spacing w:line="360" w:lineRule="auto"/>
      </w:pPr>
      <w:r>
        <w:fldChar w:fldCharType="begin"/>
      </w:r>
      <w:r>
        <w:instrText xml:space="preserve"> HYPERLINK \l "_Toc1829" </w:instrText>
      </w:r>
      <w: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_Toc1829 \h </w:instrText>
      </w:r>
      <w:r>
        <w:fldChar w:fldCharType="separate"/>
      </w:r>
      <w:r>
        <w:t>49</w:t>
      </w:r>
      <w:r>
        <w:fldChar w:fldCharType="end"/>
      </w:r>
      <w:r>
        <w:fldChar w:fldCharType="end"/>
      </w:r>
    </w:p>
    <w:p>
      <w:pPr>
        <w:pStyle w:val="23"/>
        <w:tabs>
          <w:tab w:val="right" w:leader="dot" w:pos="9072"/>
        </w:tabs>
        <w:spacing w:line="360" w:lineRule="auto"/>
      </w:pPr>
      <w:r>
        <w:fldChar w:fldCharType="begin"/>
      </w:r>
      <w:r>
        <w:instrText xml:space="preserve"> HYPERLINK \l "_Toc10527" </w:instrText>
      </w:r>
      <w: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_Toc10527 \h </w:instrText>
      </w:r>
      <w:r>
        <w:fldChar w:fldCharType="separate"/>
      </w:r>
      <w:r>
        <w:t>70</w:t>
      </w:r>
      <w:r>
        <w:fldChar w:fldCharType="end"/>
      </w:r>
      <w:r>
        <w:fldChar w:fldCharType="end"/>
      </w:r>
    </w:p>
    <w:p>
      <w:pPr>
        <w:pStyle w:val="21"/>
        <w:tabs>
          <w:tab w:val="right" w:leader="dot" w:pos="9072"/>
        </w:tabs>
        <w:spacing w:line="360" w:lineRule="auto"/>
      </w:pPr>
      <w:r>
        <w:fldChar w:fldCharType="begin"/>
      </w:r>
      <w:r>
        <w:instrText xml:space="preserve"> HYPERLINK \l "_Toc21485" </w:instrText>
      </w:r>
      <w:r>
        <w:fldChar w:fldCharType="separate"/>
      </w:r>
      <w:r>
        <w:rPr>
          <w:rFonts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_Toc21485 \h </w:instrText>
      </w:r>
      <w:r>
        <w:fldChar w:fldCharType="separate"/>
      </w:r>
      <w:r>
        <w:t>73</w:t>
      </w:r>
      <w:r>
        <w:fldChar w:fldCharType="end"/>
      </w:r>
      <w:r>
        <w:fldChar w:fldCharType="end"/>
      </w:r>
    </w:p>
    <w:p>
      <w:pPr>
        <w:pStyle w:val="23"/>
        <w:tabs>
          <w:tab w:val="right" w:leader="dot" w:pos="9072"/>
        </w:tabs>
        <w:spacing w:line="360" w:lineRule="auto"/>
      </w:pPr>
      <w:r>
        <w:fldChar w:fldCharType="begin"/>
      </w:r>
      <w:r>
        <w:instrText xml:space="preserve"> HYPERLINK \l "_Toc7103" </w:instrText>
      </w:r>
      <w: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_Toc7103 \h </w:instrText>
      </w:r>
      <w:r>
        <w:fldChar w:fldCharType="separate"/>
      </w:r>
      <w:r>
        <w:t>73</w:t>
      </w:r>
      <w:r>
        <w:fldChar w:fldCharType="end"/>
      </w:r>
      <w:r>
        <w:fldChar w:fldCharType="end"/>
      </w:r>
    </w:p>
    <w:p>
      <w:pPr>
        <w:pStyle w:val="23"/>
        <w:tabs>
          <w:tab w:val="right" w:leader="dot" w:pos="9072"/>
        </w:tabs>
        <w:spacing w:line="360" w:lineRule="auto"/>
      </w:pPr>
      <w:r>
        <w:fldChar w:fldCharType="begin"/>
      </w:r>
      <w:r>
        <w:instrText xml:space="preserve"> HYPERLINK \l "_Toc15428" </w:instrText>
      </w:r>
      <w: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_Toc15428 \h </w:instrText>
      </w:r>
      <w:r>
        <w:fldChar w:fldCharType="separate"/>
      </w:r>
      <w:r>
        <w:t>75</w:t>
      </w:r>
      <w:r>
        <w:fldChar w:fldCharType="end"/>
      </w:r>
      <w:r>
        <w:fldChar w:fldCharType="end"/>
      </w:r>
    </w:p>
    <w:p>
      <w:pPr>
        <w:pStyle w:val="23"/>
        <w:tabs>
          <w:tab w:val="right" w:leader="dot" w:pos="9072"/>
        </w:tabs>
        <w:spacing w:line="360" w:lineRule="auto"/>
      </w:pPr>
      <w:r>
        <w:fldChar w:fldCharType="begin"/>
      </w:r>
      <w:r>
        <w:instrText xml:space="preserve"> HYPERLINK \l "_Toc22419" </w:instrText>
      </w:r>
      <w: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_Toc22419 \h </w:instrText>
      </w:r>
      <w:r>
        <w:fldChar w:fldCharType="separate"/>
      </w:r>
      <w:r>
        <w:t>77</w:t>
      </w:r>
      <w:r>
        <w:fldChar w:fldCharType="end"/>
      </w:r>
      <w:r>
        <w:fldChar w:fldCharType="end"/>
      </w:r>
    </w:p>
    <w:p>
      <w:pPr>
        <w:pStyle w:val="23"/>
        <w:tabs>
          <w:tab w:val="right" w:leader="dot" w:pos="9072"/>
        </w:tabs>
        <w:spacing w:line="360" w:lineRule="auto"/>
      </w:pPr>
      <w:r>
        <w:fldChar w:fldCharType="begin"/>
      </w:r>
      <w:r>
        <w:instrText xml:space="preserve"> HYPERLINK \l "_Toc25558" </w:instrText>
      </w:r>
      <w:r>
        <w:fldChar w:fldCharType="separate"/>
      </w:r>
      <w:r>
        <w:rPr>
          <w:rFonts w:hint="eastAsia" w:asciiTheme="minorEastAsia" w:hAnsiTheme="minorEastAsia" w:eastAsiaTheme="minorEastAsia" w:cstheme="minorEastAsia"/>
          <w:bCs/>
        </w:rPr>
        <w:t>第1包：01+生物质与生物能源实验室建设项目1（进口设备）</w:t>
      </w:r>
      <w:r>
        <w:tab/>
      </w:r>
      <w:r>
        <w:fldChar w:fldCharType="begin"/>
      </w:r>
      <w:r>
        <w:instrText xml:space="preserve"> PAGEREF _Toc25558 \h </w:instrText>
      </w:r>
      <w:r>
        <w:fldChar w:fldCharType="separate"/>
      </w:r>
      <w:r>
        <w:t>77</w:t>
      </w:r>
      <w:r>
        <w:fldChar w:fldCharType="end"/>
      </w:r>
      <w:r>
        <w:fldChar w:fldCharType="end"/>
      </w:r>
    </w:p>
    <w:p>
      <w:pPr>
        <w:pStyle w:val="23"/>
        <w:tabs>
          <w:tab w:val="right" w:leader="dot" w:pos="9072"/>
        </w:tabs>
        <w:spacing w:line="360" w:lineRule="auto"/>
      </w:pPr>
      <w:r>
        <w:fldChar w:fldCharType="begin"/>
      </w:r>
      <w:r>
        <w:instrText xml:space="preserve"> HYPERLINK \l "_Toc21539" </w:instrText>
      </w:r>
      <w:r>
        <w:fldChar w:fldCharType="separate"/>
      </w:r>
      <w:r>
        <w:rPr>
          <w:rFonts w:hint="eastAsia" w:asciiTheme="minorEastAsia" w:hAnsiTheme="minorEastAsia" w:eastAsiaTheme="minorEastAsia" w:cstheme="minorEastAsia"/>
          <w:bCs/>
        </w:rPr>
        <w:t>第2包：02+生物质与生物能源实验室建设项目2（多功能成像分析系统等一批国产设备）</w:t>
      </w:r>
      <w:r>
        <w:tab/>
      </w:r>
      <w:r>
        <w:fldChar w:fldCharType="begin"/>
      </w:r>
      <w:r>
        <w:instrText xml:space="preserve"> PAGEREF _Toc21539 \h </w:instrText>
      </w:r>
      <w:r>
        <w:fldChar w:fldCharType="separate"/>
      </w:r>
      <w:r>
        <w:t>79</w:t>
      </w:r>
      <w:r>
        <w:fldChar w:fldCharType="end"/>
      </w:r>
      <w:r>
        <w:fldChar w:fldCharType="end"/>
      </w:r>
    </w:p>
    <w:p>
      <w:pPr>
        <w:pStyle w:val="23"/>
        <w:tabs>
          <w:tab w:val="right" w:leader="dot" w:pos="9072"/>
        </w:tabs>
        <w:spacing w:line="360" w:lineRule="auto"/>
      </w:pPr>
      <w:r>
        <w:fldChar w:fldCharType="begin"/>
      </w:r>
      <w:r>
        <w:instrText xml:space="preserve"> HYPERLINK \l "_Toc27884" </w:instrText>
      </w:r>
      <w:r>
        <w:fldChar w:fldCharType="separate"/>
      </w:r>
      <w:r>
        <w:rPr>
          <w:rFonts w:hint="eastAsia" w:asciiTheme="minorEastAsia" w:hAnsiTheme="minorEastAsia" w:eastAsiaTheme="minorEastAsia" w:cstheme="minorEastAsia"/>
          <w:bCs/>
        </w:rPr>
        <w:t>第3包：03+生物质与生物能源实验室建设项目3（饮水机等一批国产设备）</w:t>
      </w:r>
      <w:r>
        <w:tab/>
      </w:r>
      <w:r>
        <w:fldChar w:fldCharType="begin"/>
      </w:r>
      <w:r>
        <w:instrText xml:space="preserve"> PAGEREF _Toc27884 \h </w:instrText>
      </w:r>
      <w:r>
        <w:fldChar w:fldCharType="separate"/>
      </w:r>
      <w:r>
        <w:t>81</w:t>
      </w:r>
      <w:r>
        <w:fldChar w:fldCharType="end"/>
      </w:r>
      <w:r>
        <w:fldChar w:fldCharType="end"/>
      </w:r>
    </w:p>
    <w:p>
      <w:pPr>
        <w:pStyle w:val="23"/>
        <w:tabs>
          <w:tab w:val="right" w:leader="dot" w:pos="9072"/>
        </w:tabs>
        <w:spacing w:line="360" w:lineRule="auto"/>
      </w:pPr>
      <w:r>
        <w:fldChar w:fldCharType="begin"/>
      </w:r>
      <w:r>
        <w:instrText xml:space="preserve"> HYPERLINK \l "_Toc10929" </w:instrText>
      </w:r>
      <w: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_Toc10929 \h </w:instrText>
      </w:r>
      <w:r>
        <w:fldChar w:fldCharType="separate"/>
      </w:r>
      <w:r>
        <w:t>83</w:t>
      </w:r>
      <w:r>
        <w:fldChar w:fldCharType="end"/>
      </w:r>
      <w:r>
        <w:fldChar w:fldCharType="end"/>
      </w:r>
    </w:p>
    <w:p>
      <w:pPr>
        <w:pStyle w:val="23"/>
        <w:tabs>
          <w:tab w:val="right" w:leader="dot" w:pos="9072"/>
        </w:tabs>
        <w:spacing w:line="360" w:lineRule="auto"/>
      </w:pPr>
      <w:r>
        <w:fldChar w:fldCharType="begin"/>
      </w:r>
      <w:r>
        <w:instrText xml:space="preserve"> HYPERLINK \l "_Toc18799" </w:instrText>
      </w:r>
      <w: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_Toc18799 \h </w:instrText>
      </w:r>
      <w:r>
        <w:fldChar w:fldCharType="separate"/>
      </w:r>
      <w:r>
        <w:t>84</w:t>
      </w:r>
      <w:r>
        <w:fldChar w:fldCharType="end"/>
      </w:r>
      <w:r>
        <w:fldChar w:fldCharType="end"/>
      </w:r>
    </w:p>
    <w:p>
      <w:pPr>
        <w:pStyle w:val="21"/>
        <w:tabs>
          <w:tab w:val="right" w:leader="dot" w:pos="9072"/>
        </w:tabs>
        <w:spacing w:line="360" w:lineRule="auto"/>
      </w:pPr>
      <w:r>
        <w:fldChar w:fldCharType="begin"/>
      </w:r>
      <w:r>
        <w:instrText xml:space="preserve"> HYPERLINK \l "_Toc29970" </w:instrText>
      </w:r>
      <w:r>
        <w:fldChar w:fldCharType="separate"/>
      </w:r>
      <w:r>
        <w:rPr>
          <w:rFonts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供 货 协 议（第1包）</w:t>
      </w:r>
      <w:r>
        <w:tab/>
      </w:r>
      <w:r>
        <w:fldChar w:fldCharType="begin"/>
      </w:r>
      <w:r>
        <w:instrText xml:space="preserve"> PAGEREF _Toc29970 \h </w:instrText>
      </w:r>
      <w:r>
        <w:fldChar w:fldCharType="separate"/>
      </w:r>
      <w:r>
        <w:t>87</w:t>
      </w:r>
      <w:r>
        <w:fldChar w:fldCharType="end"/>
      </w:r>
      <w:r>
        <w:fldChar w:fldCharType="end"/>
      </w:r>
    </w:p>
    <w:p>
      <w:pPr>
        <w:pStyle w:val="21"/>
        <w:tabs>
          <w:tab w:val="right" w:leader="dot" w:pos="9072"/>
        </w:tabs>
        <w:spacing w:line="360" w:lineRule="auto"/>
      </w:pPr>
      <w:r>
        <w:fldChar w:fldCharType="begin"/>
      </w:r>
      <w:r>
        <w:instrText xml:space="preserve"> HYPERLINK \l "_Toc13427" </w:instrText>
      </w:r>
      <w:r>
        <w:fldChar w:fldCharType="separate"/>
      </w:r>
      <w:r>
        <w:rPr>
          <w:rFonts w:asciiTheme="minorEastAsia" w:hAnsiTheme="minorEastAsia" w:eastAsiaTheme="minorEastAsia" w:cstheme="minorEastAsia"/>
          <w:kern w:val="0"/>
          <w:szCs w:val="36"/>
        </w:rPr>
        <w:t xml:space="preserve">第六章 </w:t>
      </w:r>
      <w:r>
        <w:rPr>
          <w:rFonts w:hint="eastAsia" w:asciiTheme="minorEastAsia" w:hAnsiTheme="minorEastAsia" w:eastAsiaTheme="minorEastAsia" w:cstheme="minorEastAsia"/>
          <w:szCs w:val="36"/>
        </w:rPr>
        <w:t>合同书格式（第2包、第3包）</w:t>
      </w:r>
      <w:r>
        <w:tab/>
      </w:r>
      <w:r>
        <w:fldChar w:fldCharType="begin"/>
      </w:r>
      <w:r>
        <w:instrText xml:space="preserve"> PAGEREF _Toc13427 \h </w:instrText>
      </w:r>
      <w:r>
        <w:fldChar w:fldCharType="separate"/>
      </w:r>
      <w:r>
        <w:t>91</w:t>
      </w:r>
      <w:r>
        <w:fldChar w:fldCharType="end"/>
      </w:r>
      <w:r>
        <w:fldChar w:fldCharType="end"/>
      </w:r>
    </w:p>
    <w:p>
      <w:pPr>
        <w:pStyle w:val="21"/>
        <w:tabs>
          <w:tab w:val="right" w:leader="dot" w:pos="9072"/>
        </w:tabs>
        <w:spacing w:line="360" w:lineRule="auto"/>
      </w:pPr>
      <w:r>
        <w:fldChar w:fldCharType="begin"/>
      </w:r>
      <w:r>
        <w:instrText xml:space="preserve"> HYPERLINK \l "_Toc8149" </w:instrText>
      </w:r>
      <w:r>
        <w:fldChar w:fldCharType="separate"/>
      </w:r>
      <w:r>
        <w:rPr>
          <w:rFonts w:asciiTheme="minorEastAsia" w:hAnsiTheme="minorEastAsia" w:eastAsiaTheme="minorEastAsia" w:cstheme="minorEastAsia"/>
          <w:szCs w:val="36"/>
        </w:rPr>
        <w:t xml:space="preserve">第七章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_Toc8149 \h </w:instrText>
      </w:r>
      <w:r>
        <w:fldChar w:fldCharType="separate"/>
      </w:r>
      <w:r>
        <w:t>95</w:t>
      </w:r>
      <w:r>
        <w:fldChar w:fldCharType="end"/>
      </w:r>
      <w:r>
        <w:fldChar w:fldCharType="end"/>
      </w:r>
    </w:p>
    <w:p>
      <w:pPr>
        <w:pStyle w:val="23"/>
        <w:tabs>
          <w:tab w:val="right" w:leader="dot" w:pos="9072"/>
        </w:tabs>
        <w:spacing w:line="360" w:lineRule="auto"/>
      </w:pPr>
      <w:r>
        <w:fldChar w:fldCharType="begin"/>
      </w:r>
      <w:r>
        <w:instrText xml:space="preserve"> HYPERLINK \l "_Toc26319" </w:instrText>
      </w:r>
      <w:r>
        <w:fldChar w:fldCharType="separate"/>
      </w:r>
      <w:r>
        <w:rPr>
          <w:rFonts w:hint="eastAsia" w:ascii="宋体" w:hAnsi="宋体" w:cs="宋体"/>
          <w:szCs w:val="21"/>
        </w:rPr>
        <w:t>一、评分标准索引表</w:t>
      </w:r>
      <w:r>
        <w:tab/>
      </w:r>
      <w:r>
        <w:fldChar w:fldCharType="begin"/>
      </w:r>
      <w:r>
        <w:instrText xml:space="preserve"> PAGEREF _Toc26319 \h </w:instrText>
      </w:r>
      <w:r>
        <w:fldChar w:fldCharType="separate"/>
      </w:r>
      <w:r>
        <w:t>96</w:t>
      </w:r>
      <w:r>
        <w:fldChar w:fldCharType="end"/>
      </w:r>
      <w:r>
        <w:fldChar w:fldCharType="end"/>
      </w:r>
    </w:p>
    <w:p>
      <w:pPr>
        <w:pStyle w:val="23"/>
        <w:tabs>
          <w:tab w:val="right" w:leader="dot" w:pos="9072"/>
        </w:tabs>
        <w:spacing w:line="360" w:lineRule="auto"/>
      </w:pPr>
      <w:r>
        <w:fldChar w:fldCharType="begin"/>
      </w:r>
      <w:r>
        <w:instrText xml:space="preserve"> HYPERLINK \l "_Toc9586" </w:instrText>
      </w:r>
      <w:r>
        <w:fldChar w:fldCharType="separate"/>
      </w:r>
      <w:r>
        <w:rPr>
          <w:rFonts w:hint="eastAsia" w:asciiTheme="minorEastAsia" w:hAnsiTheme="minorEastAsia" w:eastAsiaTheme="minorEastAsia" w:cstheme="minorEastAsia"/>
        </w:rPr>
        <w:t>二、磋商书</w:t>
      </w:r>
      <w:r>
        <w:tab/>
      </w:r>
      <w:r>
        <w:fldChar w:fldCharType="begin"/>
      </w:r>
      <w:r>
        <w:instrText xml:space="preserve"> PAGEREF _Toc9586 \h </w:instrText>
      </w:r>
      <w:r>
        <w:fldChar w:fldCharType="separate"/>
      </w:r>
      <w:r>
        <w:t>97</w:t>
      </w:r>
      <w:r>
        <w:fldChar w:fldCharType="end"/>
      </w:r>
      <w:r>
        <w:fldChar w:fldCharType="end"/>
      </w:r>
    </w:p>
    <w:p>
      <w:pPr>
        <w:pStyle w:val="23"/>
        <w:tabs>
          <w:tab w:val="right" w:leader="dot" w:pos="9072"/>
        </w:tabs>
        <w:spacing w:line="360" w:lineRule="auto"/>
      </w:pPr>
      <w:r>
        <w:fldChar w:fldCharType="begin"/>
      </w:r>
      <w:r>
        <w:instrText xml:space="preserve"> HYPERLINK \l "_Toc25089" </w:instrText>
      </w:r>
      <w: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_Toc25089 \h </w:instrText>
      </w:r>
      <w:r>
        <w:fldChar w:fldCharType="separate"/>
      </w:r>
      <w:r>
        <w:t>98</w:t>
      </w:r>
      <w:r>
        <w:fldChar w:fldCharType="end"/>
      </w:r>
      <w:r>
        <w:fldChar w:fldCharType="end"/>
      </w:r>
    </w:p>
    <w:p>
      <w:pPr>
        <w:pStyle w:val="23"/>
        <w:tabs>
          <w:tab w:val="right" w:leader="dot" w:pos="9072"/>
        </w:tabs>
        <w:spacing w:line="360" w:lineRule="auto"/>
      </w:pPr>
      <w:r>
        <w:fldChar w:fldCharType="begin"/>
      </w:r>
      <w:r>
        <w:instrText xml:space="preserve"> HYPERLINK \l "_Toc26975" </w:instrText>
      </w:r>
      <w: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_Toc26975 \h </w:instrText>
      </w:r>
      <w:r>
        <w:fldChar w:fldCharType="separate"/>
      </w:r>
      <w:r>
        <w:t>99</w:t>
      </w:r>
      <w:r>
        <w:fldChar w:fldCharType="end"/>
      </w:r>
      <w:r>
        <w:fldChar w:fldCharType="end"/>
      </w:r>
    </w:p>
    <w:p>
      <w:pPr>
        <w:pStyle w:val="23"/>
        <w:tabs>
          <w:tab w:val="right" w:leader="dot" w:pos="9072"/>
        </w:tabs>
        <w:spacing w:line="360" w:lineRule="auto"/>
      </w:pPr>
      <w:r>
        <w:fldChar w:fldCharType="begin"/>
      </w:r>
      <w:r>
        <w:instrText xml:space="preserve"> HYPERLINK \l "_Toc26834" </w:instrText>
      </w:r>
      <w: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_Toc26834 \h </w:instrText>
      </w:r>
      <w:r>
        <w:fldChar w:fldCharType="separate"/>
      </w:r>
      <w:r>
        <w:t>100</w:t>
      </w:r>
      <w:r>
        <w:fldChar w:fldCharType="end"/>
      </w:r>
      <w:r>
        <w:fldChar w:fldCharType="end"/>
      </w:r>
    </w:p>
    <w:p>
      <w:pPr>
        <w:pStyle w:val="23"/>
        <w:tabs>
          <w:tab w:val="right" w:leader="dot" w:pos="9072"/>
        </w:tabs>
        <w:spacing w:line="360" w:lineRule="auto"/>
      </w:pPr>
      <w:r>
        <w:fldChar w:fldCharType="begin"/>
      </w:r>
      <w:r>
        <w:instrText xml:space="preserve"> HYPERLINK \l "_Toc960" </w:instrText>
      </w:r>
      <w: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_Toc960 \h </w:instrText>
      </w:r>
      <w:r>
        <w:fldChar w:fldCharType="separate"/>
      </w:r>
      <w:r>
        <w:t>101</w:t>
      </w:r>
      <w:r>
        <w:fldChar w:fldCharType="end"/>
      </w:r>
      <w:r>
        <w:fldChar w:fldCharType="end"/>
      </w:r>
    </w:p>
    <w:p>
      <w:pPr>
        <w:pStyle w:val="23"/>
        <w:tabs>
          <w:tab w:val="right" w:leader="dot" w:pos="9072"/>
        </w:tabs>
        <w:spacing w:line="360" w:lineRule="auto"/>
      </w:pPr>
      <w:r>
        <w:fldChar w:fldCharType="begin"/>
      </w:r>
      <w:r>
        <w:instrText xml:space="preserve"> HYPERLINK \l "_Toc6483" </w:instrText>
      </w:r>
      <w: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_Toc6483 \h </w:instrText>
      </w:r>
      <w:r>
        <w:fldChar w:fldCharType="separate"/>
      </w:r>
      <w:r>
        <w:t>102</w:t>
      </w:r>
      <w:r>
        <w:fldChar w:fldCharType="end"/>
      </w:r>
      <w:r>
        <w:fldChar w:fldCharType="end"/>
      </w:r>
    </w:p>
    <w:p>
      <w:pPr>
        <w:pStyle w:val="23"/>
        <w:tabs>
          <w:tab w:val="right" w:leader="dot" w:pos="9072"/>
        </w:tabs>
        <w:spacing w:line="360" w:lineRule="auto"/>
      </w:pPr>
      <w:r>
        <w:fldChar w:fldCharType="begin"/>
      </w:r>
      <w:r>
        <w:instrText xml:space="preserve"> HYPERLINK \l "_Toc20213" </w:instrText>
      </w:r>
      <w: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_Toc20213 \h </w:instrText>
      </w:r>
      <w:r>
        <w:fldChar w:fldCharType="separate"/>
      </w:r>
      <w:r>
        <w:t>103</w:t>
      </w:r>
      <w:r>
        <w:fldChar w:fldCharType="end"/>
      </w:r>
      <w:r>
        <w:fldChar w:fldCharType="end"/>
      </w:r>
    </w:p>
    <w:p>
      <w:pPr>
        <w:pStyle w:val="23"/>
        <w:tabs>
          <w:tab w:val="right" w:leader="dot" w:pos="9072"/>
        </w:tabs>
        <w:spacing w:line="360" w:lineRule="auto"/>
      </w:pPr>
      <w:r>
        <w:fldChar w:fldCharType="begin"/>
      </w:r>
      <w:r>
        <w:instrText xml:space="preserve"> HYPERLINK \l "_Toc3752" </w:instrText>
      </w:r>
      <w: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_Toc3752 \h </w:instrText>
      </w:r>
      <w:r>
        <w:fldChar w:fldCharType="separate"/>
      </w:r>
      <w:r>
        <w:t>104</w:t>
      </w:r>
      <w:r>
        <w:fldChar w:fldCharType="end"/>
      </w:r>
      <w:r>
        <w:fldChar w:fldCharType="end"/>
      </w:r>
    </w:p>
    <w:p>
      <w:pPr>
        <w:pStyle w:val="23"/>
        <w:tabs>
          <w:tab w:val="right" w:leader="dot" w:pos="9072"/>
        </w:tabs>
        <w:spacing w:line="360" w:lineRule="auto"/>
      </w:pPr>
      <w:r>
        <w:fldChar w:fldCharType="begin"/>
      </w:r>
      <w:r>
        <w:instrText xml:space="preserve"> HYPERLINK \l "_Toc8887" </w:instrText>
      </w:r>
      <w: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_Toc8887 \h </w:instrText>
      </w:r>
      <w:r>
        <w:fldChar w:fldCharType="separate"/>
      </w:r>
      <w:r>
        <w:t>105</w:t>
      </w:r>
      <w:r>
        <w:fldChar w:fldCharType="end"/>
      </w:r>
      <w:r>
        <w:fldChar w:fldCharType="end"/>
      </w:r>
    </w:p>
    <w:p>
      <w:pPr>
        <w:pStyle w:val="23"/>
        <w:tabs>
          <w:tab w:val="right" w:leader="dot" w:pos="9072"/>
        </w:tabs>
        <w:spacing w:line="360" w:lineRule="auto"/>
      </w:pPr>
      <w:r>
        <w:fldChar w:fldCharType="begin"/>
      </w:r>
      <w:r>
        <w:instrText xml:space="preserve"> HYPERLINK \l "_Toc20039" </w:instrText>
      </w:r>
      <w: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_Toc20039 \h </w:instrText>
      </w:r>
      <w:r>
        <w:fldChar w:fldCharType="separate"/>
      </w:r>
      <w:r>
        <w:t>106</w:t>
      </w:r>
      <w:r>
        <w:fldChar w:fldCharType="end"/>
      </w:r>
      <w:r>
        <w:fldChar w:fldCharType="end"/>
      </w:r>
    </w:p>
    <w:p>
      <w:pPr>
        <w:pStyle w:val="23"/>
        <w:tabs>
          <w:tab w:val="right" w:leader="dot" w:pos="9072"/>
        </w:tabs>
        <w:spacing w:line="360" w:lineRule="auto"/>
      </w:pPr>
      <w:r>
        <w:fldChar w:fldCharType="begin"/>
      </w:r>
      <w:r>
        <w:instrText xml:space="preserve"> HYPERLINK \l "_Toc12497" </w:instrText>
      </w:r>
      <w: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_Toc12497 \h </w:instrText>
      </w:r>
      <w:r>
        <w:fldChar w:fldCharType="separate"/>
      </w:r>
      <w:r>
        <w:t>107</w:t>
      </w:r>
      <w:r>
        <w:fldChar w:fldCharType="end"/>
      </w:r>
      <w:r>
        <w:fldChar w:fldCharType="end"/>
      </w:r>
    </w:p>
    <w:p>
      <w:pPr>
        <w:pStyle w:val="23"/>
        <w:tabs>
          <w:tab w:val="right" w:leader="dot" w:pos="9072"/>
        </w:tabs>
        <w:spacing w:line="360" w:lineRule="auto"/>
      </w:pPr>
      <w:r>
        <w:fldChar w:fldCharType="begin"/>
      </w:r>
      <w:r>
        <w:instrText xml:space="preserve"> HYPERLINK \l "_Toc17459" </w:instrText>
      </w:r>
      <w: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_Toc17459 \h </w:instrText>
      </w:r>
      <w:r>
        <w:fldChar w:fldCharType="separate"/>
      </w:r>
      <w:r>
        <w:t>108</w:t>
      </w:r>
      <w:r>
        <w:fldChar w:fldCharType="end"/>
      </w:r>
      <w:r>
        <w:fldChar w:fldCharType="end"/>
      </w:r>
    </w:p>
    <w:p>
      <w:pPr>
        <w:pStyle w:val="23"/>
        <w:tabs>
          <w:tab w:val="right" w:leader="dot" w:pos="9072"/>
        </w:tabs>
        <w:spacing w:line="360" w:lineRule="auto"/>
      </w:pPr>
      <w:r>
        <w:fldChar w:fldCharType="begin"/>
      </w:r>
      <w:r>
        <w:instrText xml:space="preserve"> HYPERLINK \l "_Toc22784" </w:instrText>
      </w:r>
      <w: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_Toc22784 \h </w:instrText>
      </w:r>
      <w:r>
        <w:fldChar w:fldCharType="separate"/>
      </w:r>
      <w:r>
        <w:t>109</w:t>
      </w:r>
      <w:r>
        <w:fldChar w:fldCharType="end"/>
      </w:r>
      <w:r>
        <w:fldChar w:fldCharType="end"/>
      </w:r>
    </w:p>
    <w:p>
      <w:pPr>
        <w:pStyle w:val="23"/>
        <w:tabs>
          <w:tab w:val="right" w:leader="dot" w:pos="9072"/>
        </w:tabs>
        <w:spacing w:line="360" w:lineRule="auto"/>
      </w:pPr>
      <w:r>
        <w:fldChar w:fldCharType="begin"/>
      </w:r>
      <w:r>
        <w:instrText xml:space="preserve"> HYPERLINK \l "_Toc28145" </w:instrText>
      </w:r>
      <w: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_Toc28145 \h </w:instrText>
      </w:r>
      <w:r>
        <w:fldChar w:fldCharType="separate"/>
      </w:r>
      <w:r>
        <w:t>109</w:t>
      </w:r>
      <w:r>
        <w:fldChar w:fldCharType="end"/>
      </w:r>
      <w:r>
        <w:fldChar w:fldCharType="end"/>
      </w:r>
    </w:p>
    <w:p>
      <w:pPr>
        <w:pStyle w:val="23"/>
        <w:tabs>
          <w:tab w:val="right" w:leader="dot" w:pos="9072"/>
        </w:tabs>
        <w:spacing w:line="360" w:lineRule="auto"/>
      </w:pPr>
      <w:r>
        <w:fldChar w:fldCharType="begin"/>
      </w:r>
      <w:r>
        <w:instrText xml:space="preserve"> HYPERLINK \l "_Toc13443" </w:instrText>
      </w:r>
      <w: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_Toc13443 \h </w:instrText>
      </w:r>
      <w:r>
        <w:fldChar w:fldCharType="separate"/>
      </w:r>
      <w:r>
        <w:t>110</w:t>
      </w:r>
      <w:r>
        <w:fldChar w:fldCharType="end"/>
      </w:r>
      <w:r>
        <w:fldChar w:fldCharType="end"/>
      </w:r>
    </w:p>
    <w:p>
      <w:pPr>
        <w:pStyle w:val="23"/>
        <w:tabs>
          <w:tab w:val="right" w:leader="dot" w:pos="9072"/>
        </w:tabs>
        <w:spacing w:line="360" w:lineRule="auto"/>
      </w:pPr>
      <w:r>
        <w:fldChar w:fldCharType="begin"/>
      </w:r>
      <w:r>
        <w:instrText xml:space="preserve"> HYPERLINK \l "_Toc4687" </w:instrText>
      </w:r>
      <w: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_Toc4687 \h </w:instrText>
      </w:r>
      <w:r>
        <w:fldChar w:fldCharType="separate"/>
      </w:r>
      <w:r>
        <w:t>111</w:t>
      </w:r>
      <w:r>
        <w:fldChar w:fldCharType="end"/>
      </w:r>
      <w:r>
        <w:fldChar w:fldCharType="end"/>
      </w:r>
    </w:p>
    <w:p>
      <w:pPr>
        <w:pStyle w:val="23"/>
        <w:tabs>
          <w:tab w:val="right" w:leader="dot" w:pos="9072"/>
        </w:tabs>
        <w:spacing w:line="360" w:lineRule="auto"/>
      </w:pPr>
      <w:r>
        <w:fldChar w:fldCharType="begin"/>
      </w:r>
      <w:r>
        <w:instrText xml:space="preserve"> HYPERLINK \l "_Toc24406" </w:instrText>
      </w:r>
      <w:r>
        <w:fldChar w:fldCharType="separate"/>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_Toc24406 \h </w:instrText>
      </w:r>
      <w:r>
        <w:fldChar w:fldCharType="separate"/>
      </w:r>
      <w:r>
        <w:t>111</w:t>
      </w:r>
      <w:r>
        <w:fldChar w:fldCharType="end"/>
      </w:r>
      <w:r>
        <w:fldChar w:fldCharType="end"/>
      </w:r>
    </w:p>
    <w:p>
      <w:pPr>
        <w:pStyle w:val="23"/>
        <w:tabs>
          <w:tab w:val="right" w:leader="dot" w:pos="9072"/>
        </w:tabs>
        <w:spacing w:line="360" w:lineRule="auto"/>
      </w:pPr>
      <w:r>
        <w:fldChar w:fldCharType="begin"/>
      </w:r>
      <w:r>
        <w:instrText xml:space="preserve"> HYPERLINK \l "_Toc5170" </w:instrText>
      </w:r>
      <w: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_Toc5170 \h </w:instrText>
      </w:r>
      <w:r>
        <w:fldChar w:fldCharType="separate"/>
      </w:r>
      <w:r>
        <w:t>112</w:t>
      </w:r>
      <w:r>
        <w:fldChar w:fldCharType="end"/>
      </w:r>
      <w:r>
        <w:fldChar w:fldCharType="end"/>
      </w:r>
    </w:p>
    <w:p>
      <w:pPr>
        <w:pStyle w:val="23"/>
        <w:tabs>
          <w:tab w:val="right" w:leader="dot" w:pos="9072"/>
        </w:tabs>
        <w:spacing w:line="360" w:lineRule="auto"/>
      </w:pPr>
      <w:r>
        <w:fldChar w:fldCharType="begin"/>
      </w:r>
      <w:r>
        <w:instrText xml:space="preserve"> HYPERLINK \l "_Toc29752" </w:instrText>
      </w:r>
      <w: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_Toc29752 \h </w:instrText>
      </w:r>
      <w:r>
        <w:fldChar w:fldCharType="separate"/>
      </w:r>
      <w:r>
        <w:t>113</w:t>
      </w:r>
      <w:r>
        <w:fldChar w:fldCharType="end"/>
      </w:r>
      <w:r>
        <w:fldChar w:fldCharType="end"/>
      </w:r>
    </w:p>
    <w:p>
      <w:pPr>
        <w:pStyle w:val="23"/>
        <w:tabs>
          <w:tab w:val="right" w:leader="dot" w:pos="9072"/>
        </w:tabs>
        <w:spacing w:line="360" w:lineRule="auto"/>
      </w:pPr>
      <w:r>
        <w:fldChar w:fldCharType="begin"/>
      </w:r>
      <w:r>
        <w:instrText xml:space="preserve"> HYPERLINK \l "_Toc8455" </w:instrText>
      </w:r>
      <w:r>
        <w:fldChar w:fldCharType="separate"/>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_Toc8455 \h </w:instrText>
      </w:r>
      <w:r>
        <w:fldChar w:fldCharType="separate"/>
      </w:r>
      <w:r>
        <w:t>113</w:t>
      </w:r>
      <w:r>
        <w:fldChar w:fldCharType="end"/>
      </w:r>
      <w:r>
        <w:fldChar w:fldCharType="end"/>
      </w:r>
    </w:p>
    <w:p>
      <w:pPr>
        <w:spacing w:line="360" w:lineRule="auto"/>
        <w:jc w:val="left"/>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spacing w:line="360" w:lineRule="auto"/>
        <w:jc w:val="right"/>
        <w:rPr>
          <w:rFonts w:asciiTheme="minorEastAsia" w:hAnsiTheme="minorEastAsia" w:eastAsiaTheme="minorEastAsia" w:cstheme="minorEastAsia"/>
          <w:sz w:val="36"/>
          <w:szCs w:val="36"/>
        </w:rPr>
      </w:pPr>
    </w:p>
    <w:p>
      <w:pPr>
        <w:spacing w:line="360" w:lineRule="auto"/>
        <w:jc w:val="right"/>
        <w:rPr>
          <w:rFonts w:asciiTheme="minorEastAsia" w:hAnsiTheme="minorEastAsia" w:eastAsiaTheme="minorEastAsia" w:cstheme="minorEastAsia"/>
          <w:sz w:val="36"/>
          <w:szCs w:val="36"/>
        </w:rPr>
      </w:pPr>
    </w:p>
    <w:p>
      <w:pPr>
        <w:rPr>
          <w:rFonts w:eastAsia="方正小标宋简体"/>
          <w:bCs/>
          <w:sz w:val="32"/>
          <w:szCs w:val="32"/>
        </w:rPr>
      </w:pPr>
      <w:r>
        <w:rPr>
          <w:rFonts w:eastAsia="方正小标宋简体"/>
          <w:bCs/>
          <w:sz w:val="32"/>
          <w:szCs w:val="32"/>
        </w:rPr>
        <w:br w:type="page"/>
      </w:r>
    </w:p>
    <w:p>
      <w:pPr>
        <w:spacing w:line="560" w:lineRule="exact"/>
        <w:jc w:val="center"/>
        <w:rPr>
          <w:rFonts w:eastAsia="方正小标宋简体"/>
          <w:bCs/>
          <w:sz w:val="44"/>
          <w:szCs w:val="44"/>
        </w:rPr>
      </w:pPr>
      <w:r>
        <w:rPr>
          <w:rFonts w:eastAsia="方正小标宋简体"/>
          <w:bCs/>
          <w:sz w:val="32"/>
          <w:szCs w:val="32"/>
        </w:rPr>
        <w:t>特别提示：投标注意事项</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投标供应商应诚实守信,不得虚假投标。投标供应商对所提供材料的真实性负责，无论何时，如发现投标供应商提供虚假的材料，将按照《中华人民共和国政府采购法》及本项目招标文件的有关规定进行严肃处理。请认真阅读本章提示内容。</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二、投标供应商应特别留意招标文件上载明的投标起始截止时间</w:t>
      </w:r>
      <w:r>
        <w:rPr>
          <w:rFonts w:hint="eastAsia" w:asciiTheme="minorEastAsia" w:hAnsiTheme="minorEastAsia" w:eastAsiaTheme="minorEastAsia" w:cstheme="minorEastAsia"/>
          <w:b/>
          <w:color w:val="auto"/>
          <w:sz w:val="24"/>
          <w:szCs w:val="24"/>
        </w:rPr>
        <w:t>。</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rPr>
        <w:t>三、请仔细检查投标文件是否按要求盖单位公章、签名、签署日期、胶装要求、密封。</w:t>
      </w:r>
      <w:r>
        <w:rPr>
          <w:rFonts w:hint="eastAsia" w:asciiTheme="minorEastAsia" w:hAnsiTheme="minorEastAsia" w:eastAsiaTheme="minorEastAsia" w:cstheme="minorEastAsia"/>
          <w:i/>
          <w:iCs/>
          <w:color w:val="auto"/>
          <w:sz w:val="24"/>
          <w:szCs w:val="24"/>
          <w:u w:val="single"/>
        </w:rPr>
        <w:t>（为便于评审及规范统一，建议投标文件根据编写的顺序和格式，统一编目编码及评审导航表。打印投标文件按照环保节约的原则，具备条件的建议双面打印。）</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四、带“★”号条款均为实质性响应指标要求，必须全部响应。若有一项带“★”条款未响应或不满足，均视为非实质性响应招标文件，按无效投标处理。</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五、投标供应商编制投标文件时，应仔细按照招标文件第四章要求的资格性审查一览表、符合性审查一览表，认真填写。资料不齐全将导致投标失败。</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六、投标文件中相关复印资料应清晰、可辨认，如因资料模糊，导致无法正常评审的，后果自负。</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七、请投标供应商仔细阅读本项目招标文件的全部条文，对于文件中存在的任何含糊、遗漏、相互矛盾之处，或是对于采购范围的界定和采购内容的要求不清楚，认为存在歧义的，投标供应商可按本文件规定的时限向采购代理机构寻求书面澄清；未提出澄清要求的，则认同为完全理解本文件要求并接受采购人或采购代理机构可能作出的任何最终解释。</w:t>
      </w:r>
    </w:p>
    <w:p>
      <w:pPr>
        <w:pStyle w:val="108"/>
        <w:spacing w:line="6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八、关于本项目招标文件有关内容的澄清、修改及变更等通知将通过书面形式经邮箱通知各投标供应商同时电话告知，若采购人或采购代理机构未收到回执或回复，视为收悉，并默认通知内容。若因投标供应商自身原因接收消息不及时，导致投标受影响，其后果自行承担。</w:t>
      </w:r>
    </w:p>
    <w:p>
      <w:pPr>
        <w:spacing w:line="360" w:lineRule="auto"/>
        <w:jc w:val="left"/>
        <w:rPr>
          <w:rFonts w:asciiTheme="minorEastAsia" w:hAnsiTheme="minorEastAsia" w:eastAsiaTheme="minorEastAsia" w:cstheme="minorEastAsia"/>
        </w:rPr>
        <w:sectPr>
          <w:headerReference r:id="rId7" w:type="default"/>
          <w:footerReference r:id="rId9" w:type="default"/>
          <w:headerReference r:id="rId8" w:type="even"/>
          <w:footerReference r:id="rId10" w:type="even"/>
          <w:type w:val="continuous"/>
          <w:pgSz w:w="11906" w:h="16838"/>
          <w:pgMar w:top="1417" w:right="1417" w:bottom="1417" w:left="1417" w:header="851" w:footer="992" w:gutter="0"/>
          <w:pgNumType w:fmt="numberInDash"/>
          <w:cols w:space="720" w:num="1"/>
          <w:docGrid w:type="lines" w:linePitch="312" w:charSpace="0"/>
        </w:sectPr>
      </w:pP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numPr>
          <w:ilvl w:val="0"/>
          <w:numId w:val="5"/>
        </w:numPr>
        <w:spacing w:line="360" w:lineRule="auto"/>
        <w:jc w:val="center"/>
        <w:outlineLvl w:val="0"/>
        <w:rPr>
          <w:b/>
          <w:bCs/>
          <w:sz w:val="24"/>
        </w:rPr>
      </w:pPr>
      <w:bookmarkStart w:id="0" w:name="_Toc6866"/>
      <w:bookmarkStart w:id="1" w:name="_Toc22113"/>
      <w:r>
        <w:rPr>
          <w:rFonts w:hint="eastAsia" w:ascii="宋体" w:hAnsi="宋体" w:cs="宋体"/>
          <w:b/>
          <w:sz w:val="36"/>
          <w:szCs w:val="36"/>
        </w:rPr>
        <w:t>竞争性磋商公告</w:t>
      </w:r>
      <w:bookmarkEnd w:id="0"/>
      <w:bookmarkEnd w:id="1"/>
      <w:bookmarkStart w:id="2" w:name="_Toc524908844"/>
      <w:bookmarkStart w:id="3" w:name="_Toc152045512"/>
      <w:bookmarkStart w:id="4" w:name="_Toc152042288"/>
      <w:bookmarkStart w:id="5" w:name="_Toc9976"/>
      <w:bookmarkStart w:id="6" w:name="_Toc144974480"/>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rPr>
        <w:t>湖北工业大学生物质与生物能源实验室建设项目</w:t>
      </w:r>
      <w:r>
        <w:rPr>
          <w:rFonts w:hint="eastAsia" w:ascii="宋体" w:hAnsi="宋体" w:cs="宋体"/>
          <w:szCs w:val="21"/>
        </w:rPr>
        <w:t>采购项目的潜在供应商应在</w:t>
      </w:r>
      <w:r>
        <w:rPr>
          <w:rFonts w:hint="eastAsia" w:ascii="宋体" w:hAnsi="宋体" w:cs="宋体"/>
          <w:szCs w:val="21"/>
          <w:u w:val="single"/>
        </w:rPr>
        <w:t>武昌区中北路岳家嘴立交山河企业大厦48楼4805室或电子服务平台或邮箱</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2B1EE4"/>
          <w:szCs w:val="21"/>
          <w:u w:val="single"/>
        </w:rPr>
        <w:t>2023年</w:t>
      </w:r>
      <w:r>
        <w:rPr>
          <w:rFonts w:hint="eastAsia" w:ascii="宋体" w:hAnsi="宋体" w:cs="宋体"/>
          <w:color w:val="2B1EE4"/>
          <w:szCs w:val="21"/>
          <w:u w:val="single"/>
          <w:lang w:val="en-US" w:eastAsia="zh-CN"/>
        </w:rPr>
        <w:t>7</w:t>
      </w:r>
      <w:r>
        <w:rPr>
          <w:rFonts w:hint="eastAsia" w:ascii="宋体" w:hAnsi="宋体" w:cs="宋体"/>
          <w:color w:val="2B1EE4"/>
          <w:szCs w:val="21"/>
          <w:u w:val="single"/>
        </w:rPr>
        <w:t>月</w:t>
      </w:r>
      <w:r>
        <w:rPr>
          <w:rFonts w:hint="eastAsia" w:ascii="宋体" w:hAnsi="宋体" w:cs="宋体"/>
          <w:color w:val="2B1EE4"/>
          <w:szCs w:val="21"/>
          <w:u w:val="single"/>
          <w:lang w:val="en-US" w:eastAsia="zh-CN"/>
        </w:rPr>
        <w:t>3</w:t>
      </w:r>
      <w:r>
        <w:rPr>
          <w:rFonts w:hint="eastAsia" w:ascii="宋体" w:hAnsi="宋体" w:cs="宋体"/>
          <w:color w:val="2B1EE4"/>
          <w:szCs w:val="21"/>
          <w:u w:val="single"/>
        </w:rPr>
        <w:t>日</w:t>
      </w:r>
      <w:r>
        <w:rPr>
          <w:rFonts w:hint="eastAsia" w:ascii="宋体" w:hAnsi="宋体" w:cs="宋体"/>
          <w:color w:val="2B1EE4"/>
          <w:szCs w:val="21"/>
          <w:u w:val="single"/>
          <w:lang w:val="en-US" w:eastAsia="zh-CN"/>
        </w:rPr>
        <w:t>10</w:t>
      </w:r>
      <w:r>
        <w:rPr>
          <w:rFonts w:hint="eastAsia" w:ascii="宋体" w:hAnsi="宋体" w:cs="宋体"/>
          <w:color w:val="2B1EE4"/>
          <w:szCs w:val="21"/>
          <w:u w:val="single"/>
        </w:rPr>
        <w:t>点</w:t>
      </w:r>
      <w:r>
        <w:rPr>
          <w:rFonts w:hint="eastAsia" w:ascii="宋体" w:hAnsi="宋体" w:cs="宋体"/>
          <w:color w:val="2B1EE4"/>
          <w:szCs w:val="21"/>
          <w:u w:val="single"/>
          <w:lang w:val="en-US" w:eastAsia="zh-CN"/>
        </w:rPr>
        <w:t>00</w:t>
      </w:r>
      <w:r>
        <w:rPr>
          <w:rFonts w:hint="eastAsia" w:ascii="宋体" w:hAnsi="宋体" w:cs="宋体"/>
          <w:color w:val="2B1EE4"/>
          <w:szCs w:val="21"/>
          <w:u w:val="single"/>
        </w:rPr>
        <w:t>分</w:t>
      </w:r>
      <w:r>
        <w:rPr>
          <w:rFonts w:hint="eastAsia" w:ascii="宋体" w:hAnsi="宋体" w:cs="宋体"/>
          <w:color w:val="000000"/>
          <w:szCs w:val="21"/>
        </w:rPr>
        <w:t>（北京时间）前递交响应文件。</w:t>
      </w:r>
    </w:p>
    <w:p>
      <w:pPr>
        <w:pStyle w:val="4"/>
        <w:numPr>
          <w:ilvl w:val="0"/>
          <w:numId w:val="6"/>
        </w:numPr>
        <w:spacing w:line="360" w:lineRule="auto"/>
        <w:jc w:val="left"/>
        <w:rPr>
          <w:rFonts w:ascii="宋体" w:hAnsi="宋体" w:eastAsia="宋体" w:cs="宋体"/>
          <w:color w:val="000000"/>
          <w:sz w:val="21"/>
          <w:szCs w:val="21"/>
        </w:rPr>
      </w:pPr>
      <w:bookmarkStart w:id="8" w:name="_Toc1990"/>
      <w:r>
        <w:rPr>
          <w:rFonts w:hint="eastAsia" w:ascii="宋体" w:hAnsi="宋体" w:eastAsia="宋体" w:cs="宋体"/>
          <w:color w:val="000000"/>
          <w:sz w:val="21"/>
          <w:szCs w:val="21"/>
        </w:rPr>
        <w:t>项目基本情况</w:t>
      </w:r>
      <w:bookmarkEnd w:id="8"/>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1.项目编号：HGDXW23-035/ZCHM-ZC-202306-164</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2.采购计划备案号：420000-2023-07826</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3.项目名称：湖北工业大学生物质与生物能源实验室建设项目</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171.338</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171.338</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7.采购需求：</w:t>
      </w:r>
      <w:r>
        <w:rPr>
          <w:rFonts w:hint="eastAsia" w:asciiTheme="minorEastAsia" w:hAnsiTheme="minorEastAsia" w:eastAsiaTheme="minorEastAsia" w:cstheme="minorEastAsia"/>
          <w:szCs w:val="21"/>
        </w:rPr>
        <w:t>本项目共分为三个包。01包：包含</w:t>
      </w:r>
      <w:r>
        <w:rPr>
          <w:rFonts w:hint="eastAsia"/>
        </w:rPr>
        <w:t>制冰机等一批进口设备；02包：</w:t>
      </w:r>
      <w:r>
        <w:rPr>
          <w:rFonts w:hint="eastAsia" w:asciiTheme="minorEastAsia" w:hAnsiTheme="minorEastAsia" w:eastAsiaTheme="minorEastAsia" w:cstheme="minorEastAsia"/>
          <w:szCs w:val="21"/>
        </w:rPr>
        <w:t>包含多功能成像分析系统等一批国产设备。03包：包含饮水机等一批国产设备。 (详</w:t>
      </w:r>
      <w:r>
        <w:rPr>
          <w:rFonts w:hint="eastAsia" w:asciiTheme="minorEastAsia" w:hAnsiTheme="minorEastAsia" w:eastAsiaTheme="minorEastAsia" w:cstheme="minorEastAsia"/>
          <w:color w:val="000000"/>
          <w:szCs w:val="21"/>
        </w:rPr>
        <w:t>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第1包：</w:t>
      </w:r>
    </w:p>
    <w:p>
      <w:pPr>
        <w:spacing w:line="360" w:lineRule="auto"/>
        <w:ind w:firstLine="420" w:firstLineChars="200"/>
        <w:jc w:val="left"/>
        <w:rPr>
          <w:rFonts w:ascii="宋体" w:hAnsi="宋体" w:cs="宋体"/>
          <w:szCs w:val="21"/>
        </w:rPr>
      </w:pPr>
      <w:r>
        <w:rPr>
          <w:rFonts w:hint="eastAsia" w:ascii="宋体" w:hAnsi="宋体" w:cs="宋体"/>
          <w:szCs w:val="21"/>
        </w:rPr>
        <w:t>（1）项目包编号：01</w:t>
      </w:r>
    </w:p>
    <w:p>
      <w:pPr>
        <w:spacing w:line="360" w:lineRule="auto"/>
        <w:ind w:firstLine="420" w:firstLineChars="200"/>
        <w:jc w:val="left"/>
        <w:rPr>
          <w:rFonts w:ascii="宋体" w:hAnsi="宋体" w:cs="宋体"/>
          <w:szCs w:val="21"/>
        </w:rPr>
      </w:pPr>
      <w:r>
        <w:rPr>
          <w:rFonts w:hint="eastAsia" w:ascii="宋体" w:hAnsi="宋体" w:cs="宋体"/>
          <w:szCs w:val="21"/>
        </w:rPr>
        <w:t>（2）项目包名称：01+生物质与生物能源实验室建设项目1（进口设备）</w:t>
      </w:r>
    </w:p>
    <w:p>
      <w:pPr>
        <w:spacing w:line="360" w:lineRule="auto"/>
        <w:ind w:firstLine="420" w:firstLineChars="200"/>
        <w:jc w:val="left"/>
        <w:rPr>
          <w:rFonts w:ascii="宋体" w:hAnsi="宋体" w:cs="宋体"/>
          <w:szCs w:val="21"/>
        </w:rPr>
      </w:pPr>
      <w:r>
        <w:rPr>
          <w:rFonts w:hint="eastAsia" w:ascii="宋体" w:hAnsi="宋体" w:cs="宋体"/>
          <w:szCs w:val="21"/>
        </w:rPr>
        <w:t>（3）类别：货物</w:t>
      </w:r>
    </w:p>
    <w:p>
      <w:pPr>
        <w:spacing w:line="360" w:lineRule="auto"/>
        <w:ind w:firstLine="420" w:firstLineChars="200"/>
        <w:jc w:val="left"/>
        <w:rPr>
          <w:rFonts w:ascii="宋体" w:hAnsi="宋体" w:cs="宋体"/>
          <w:szCs w:val="21"/>
        </w:rPr>
      </w:pPr>
      <w:r>
        <w:rPr>
          <w:rFonts w:hint="eastAsia" w:ascii="宋体" w:hAnsi="宋体" w:cs="宋体"/>
          <w:szCs w:val="21"/>
        </w:rPr>
        <w:t>（4）采购预算：人民币</w:t>
      </w:r>
      <w:r>
        <w:rPr>
          <w:rFonts w:hint="eastAsia" w:ascii="宋体" w:hAnsi="宋体" w:cs="宋体"/>
          <w:szCs w:val="21"/>
          <w:u w:val="single"/>
        </w:rPr>
        <w:t xml:space="preserve"> 48.88 </w:t>
      </w:r>
      <w:r>
        <w:rPr>
          <w:rFonts w:hint="eastAsia" w:ascii="宋体" w:hAnsi="宋体" w:cs="宋体"/>
          <w:szCs w:val="21"/>
        </w:rPr>
        <w:t>万元，最高限价</w:t>
      </w:r>
      <w:r>
        <w:rPr>
          <w:rFonts w:hint="eastAsia" w:ascii="宋体" w:hAnsi="宋体" w:cs="宋体"/>
          <w:szCs w:val="21"/>
          <w:u w:val="single"/>
        </w:rPr>
        <w:t xml:space="preserve"> 48.88 </w:t>
      </w:r>
      <w:r>
        <w:rPr>
          <w:rFonts w:hint="eastAsia" w:ascii="宋体" w:hAnsi="宋体" w:cs="宋体"/>
          <w:szCs w:val="21"/>
        </w:rPr>
        <w:t>万元</w:t>
      </w:r>
    </w:p>
    <w:p>
      <w:pPr>
        <w:spacing w:line="360" w:lineRule="auto"/>
        <w:ind w:firstLine="420" w:firstLineChars="200"/>
        <w:jc w:val="left"/>
        <w:rPr>
          <w:rFonts w:ascii="宋体" w:hAnsi="宋体" w:cs="宋体"/>
          <w:szCs w:val="21"/>
        </w:rPr>
      </w:pPr>
      <w:r>
        <w:rPr>
          <w:rFonts w:hint="eastAsia" w:ascii="宋体" w:hAnsi="宋体" w:cs="宋体"/>
          <w:szCs w:val="21"/>
        </w:rPr>
        <w:t>（5）质量标准：达到国家或行业颁布的其他现行各项技术标准和验收规范规定</w:t>
      </w:r>
    </w:p>
    <w:p>
      <w:pPr>
        <w:spacing w:line="360" w:lineRule="auto"/>
        <w:ind w:firstLine="420" w:firstLineChars="200"/>
        <w:jc w:val="left"/>
        <w:rPr>
          <w:rFonts w:ascii="宋体" w:hAnsi="宋体" w:cs="宋体"/>
          <w:color w:val="auto"/>
          <w:szCs w:val="21"/>
        </w:rPr>
      </w:pPr>
      <w:r>
        <w:rPr>
          <w:rFonts w:hint="eastAsia" w:ascii="宋体" w:hAnsi="宋体" w:cs="宋体"/>
          <w:szCs w:val="21"/>
        </w:rPr>
        <w:t>（6）交货期：乙方</w:t>
      </w:r>
      <w:r>
        <w:rPr>
          <w:rFonts w:hint="eastAsia" w:ascii="宋体" w:hAnsi="宋体" w:cs="宋体"/>
          <w:color w:val="auto"/>
          <w:szCs w:val="21"/>
        </w:rPr>
        <w:t>应在信用证</w:t>
      </w:r>
      <w:r>
        <w:rPr>
          <w:rFonts w:hint="eastAsia" w:ascii="宋体" w:hAnsi="宋体" w:cs="宋体"/>
          <w:color w:val="auto"/>
          <w:szCs w:val="21"/>
          <w:u w:val="single"/>
        </w:rPr>
        <w:t>开具90日历天</w:t>
      </w:r>
      <w:r>
        <w:rPr>
          <w:rFonts w:hint="eastAsia" w:ascii="宋体" w:hAnsi="宋体" w:cs="宋体"/>
          <w:color w:val="auto"/>
          <w:szCs w:val="21"/>
        </w:rPr>
        <w:t>内完成所有仪器设备（系统）的安装调试工作。</w:t>
      </w:r>
      <w:r>
        <w:rPr>
          <w:rFonts w:hint="eastAsia"/>
          <w:color w:val="auto"/>
        </w:rPr>
        <w:t>质保期/保修期：验收合格之日起</w:t>
      </w:r>
      <w:r>
        <w:rPr>
          <w:rFonts w:hint="eastAsia"/>
          <w:color w:val="auto"/>
          <w:u w:val="single"/>
        </w:rPr>
        <w:t>1年</w:t>
      </w:r>
      <w:r>
        <w:rPr>
          <w:rFonts w:hint="eastAsia"/>
          <w:color w:val="auto"/>
        </w:rPr>
        <w:t>。</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（7）其他：供应商参加竞标的报价超过该包采购最高限价的，该包竞标无效；供应商报价须包含该采购需求的全部内容。</w:t>
      </w:r>
      <w:r>
        <w:rPr>
          <w:rFonts w:hint="eastAsia" w:cs="宋体" w:asciiTheme="minorEastAsia" w:hAnsiTheme="minorEastAsia" w:eastAsiaTheme="minorEastAsia"/>
          <w:b w:val="0"/>
          <w:bCs w:val="0"/>
          <w:color w:val="auto"/>
          <w:szCs w:val="21"/>
        </w:rPr>
        <w:t>本项目包拟采购进口设备</w:t>
      </w:r>
      <w:r>
        <w:rPr>
          <w:rFonts w:hint="eastAsia" w:cs="宋体" w:asciiTheme="minorEastAsia" w:hAnsiTheme="minorEastAsia" w:eastAsiaTheme="minorEastAsia"/>
          <w:color w:val="auto"/>
          <w:szCs w:val="21"/>
        </w:rPr>
        <w:t>。</w:t>
      </w:r>
      <w:r>
        <w:rPr>
          <w:rFonts w:hint="eastAsia" w:ascii="宋体" w:hAnsi="宋体" w:cs="宋体"/>
          <w:color w:val="auto"/>
          <w:szCs w:val="21"/>
        </w:rPr>
        <w:t>同一供应商可参与多个标包投标，但只能中标一个标包。如同一供应商三个标包均排名为第一成交候选人，则按照包号顺序中标。</w:t>
      </w:r>
    </w:p>
    <w:p>
      <w:pPr>
        <w:spacing w:line="360" w:lineRule="auto"/>
        <w:ind w:firstLine="420" w:firstLineChars="200"/>
        <w:jc w:val="left"/>
        <w:rPr>
          <w:rFonts w:ascii="宋体" w:hAnsi="宋体" w:cs="宋体"/>
          <w:szCs w:val="21"/>
        </w:rPr>
      </w:pPr>
      <w:r>
        <w:rPr>
          <w:rFonts w:hint="eastAsia" w:ascii="宋体" w:hAnsi="宋体" w:cs="宋体"/>
          <w:szCs w:val="21"/>
        </w:rPr>
        <w:t>第2包：</w:t>
      </w:r>
    </w:p>
    <w:p>
      <w:pPr>
        <w:spacing w:line="360" w:lineRule="auto"/>
        <w:ind w:firstLine="420" w:firstLineChars="200"/>
        <w:jc w:val="left"/>
        <w:rPr>
          <w:rFonts w:ascii="宋体" w:hAnsi="宋体" w:cs="宋体"/>
          <w:szCs w:val="21"/>
        </w:rPr>
      </w:pPr>
      <w:r>
        <w:rPr>
          <w:rFonts w:hint="eastAsia" w:ascii="宋体" w:hAnsi="宋体" w:cs="宋体"/>
          <w:szCs w:val="21"/>
        </w:rPr>
        <w:t>（1）项目包编号：02</w:t>
      </w:r>
    </w:p>
    <w:p>
      <w:pPr>
        <w:spacing w:line="360" w:lineRule="auto"/>
        <w:ind w:firstLine="420" w:firstLineChars="200"/>
        <w:jc w:val="left"/>
        <w:rPr>
          <w:rFonts w:ascii="宋体" w:hAnsi="宋体" w:cs="宋体"/>
          <w:szCs w:val="21"/>
        </w:rPr>
      </w:pPr>
      <w:r>
        <w:rPr>
          <w:rFonts w:hint="eastAsia" w:ascii="宋体" w:hAnsi="宋体" w:cs="宋体"/>
          <w:szCs w:val="21"/>
        </w:rPr>
        <w:t>（2）项目包名称：02+生物质与生物能源实验室建设项目2（</w:t>
      </w:r>
      <w:r>
        <w:rPr>
          <w:rFonts w:hint="eastAsia" w:asciiTheme="minorEastAsia" w:hAnsiTheme="minorEastAsia" w:eastAsiaTheme="minorEastAsia" w:cstheme="minorEastAsia"/>
          <w:szCs w:val="21"/>
        </w:rPr>
        <w:t>多功能成像分析系统等一批国产设备</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（3）类别：货物</w:t>
      </w:r>
    </w:p>
    <w:p>
      <w:pPr>
        <w:spacing w:line="360" w:lineRule="auto"/>
        <w:ind w:firstLine="420" w:firstLineChars="200"/>
        <w:jc w:val="left"/>
        <w:rPr>
          <w:rFonts w:ascii="宋体" w:hAnsi="宋体" w:cs="宋体"/>
          <w:szCs w:val="21"/>
        </w:rPr>
      </w:pPr>
      <w:r>
        <w:rPr>
          <w:rFonts w:hint="eastAsia" w:ascii="宋体" w:hAnsi="宋体" w:cs="宋体"/>
          <w:szCs w:val="21"/>
        </w:rPr>
        <w:t>（4）采购预算：人民币</w:t>
      </w:r>
      <w:r>
        <w:rPr>
          <w:rFonts w:hint="eastAsia" w:ascii="宋体" w:hAnsi="宋体" w:cs="宋体"/>
          <w:szCs w:val="21"/>
          <w:u w:val="single"/>
        </w:rPr>
        <w:t xml:space="preserve"> </w:t>
      </w:r>
      <w:r>
        <w:rPr>
          <w:rFonts w:ascii="宋体" w:hAnsi="宋体" w:cs="宋体"/>
          <w:szCs w:val="21"/>
          <w:u w:val="single"/>
        </w:rPr>
        <w:t>44.765</w:t>
      </w:r>
      <w:r>
        <w:rPr>
          <w:rFonts w:hint="eastAsia" w:ascii="宋体" w:hAnsi="宋体" w:cs="宋体"/>
          <w:szCs w:val="21"/>
          <w:u w:val="single"/>
        </w:rPr>
        <w:t xml:space="preserve"> </w:t>
      </w:r>
      <w:r>
        <w:rPr>
          <w:rFonts w:hint="eastAsia" w:ascii="宋体" w:hAnsi="宋体" w:cs="宋体"/>
          <w:szCs w:val="21"/>
        </w:rPr>
        <w:t>万元，最高限价</w:t>
      </w:r>
      <w:r>
        <w:rPr>
          <w:rFonts w:hint="eastAsia" w:ascii="宋体" w:hAnsi="宋体" w:cs="宋体"/>
          <w:szCs w:val="21"/>
          <w:u w:val="single"/>
        </w:rPr>
        <w:t xml:space="preserve"> </w:t>
      </w:r>
      <w:r>
        <w:rPr>
          <w:rFonts w:ascii="宋体" w:hAnsi="宋体" w:cs="宋体"/>
          <w:szCs w:val="21"/>
          <w:u w:val="single"/>
        </w:rPr>
        <w:t>44.765</w:t>
      </w:r>
      <w:r>
        <w:rPr>
          <w:rFonts w:hint="eastAsia" w:ascii="宋体" w:hAnsi="宋体" w:cs="宋体"/>
          <w:szCs w:val="21"/>
          <w:u w:val="single"/>
        </w:rPr>
        <w:t xml:space="preserve"> </w:t>
      </w:r>
      <w:r>
        <w:rPr>
          <w:rFonts w:hint="eastAsia" w:ascii="宋体" w:hAnsi="宋体" w:cs="宋体"/>
          <w:szCs w:val="21"/>
        </w:rPr>
        <w:t>万元</w:t>
      </w:r>
    </w:p>
    <w:p>
      <w:pPr>
        <w:spacing w:line="360" w:lineRule="auto"/>
        <w:ind w:firstLine="420" w:firstLineChars="200"/>
        <w:jc w:val="left"/>
        <w:rPr>
          <w:rFonts w:ascii="宋体" w:hAnsi="宋体" w:cs="宋体"/>
          <w:szCs w:val="21"/>
        </w:rPr>
      </w:pPr>
      <w:r>
        <w:rPr>
          <w:rFonts w:hint="eastAsia" w:ascii="宋体" w:hAnsi="宋体" w:cs="宋体"/>
          <w:szCs w:val="21"/>
        </w:rPr>
        <w:t>（5）质量标准：达到国家或行业颁布的其他现行各项技术标准和验收规范规定</w:t>
      </w:r>
    </w:p>
    <w:p>
      <w:pPr>
        <w:spacing w:line="360" w:lineRule="auto"/>
        <w:ind w:firstLine="420" w:firstLineChars="200"/>
        <w:jc w:val="left"/>
        <w:rPr>
          <w:color w:val="auto"/>
        </w:rPr>
      </w:pPr>
      <w:r>
        <w:rPr>
          <w:rFonts w:hint="eastAsia" w:ascii="宋体" w:hAnsi="宋体" w:cs="宋体"/>
          <w:szCs w:val="21"/>
        </w:rPr>
        <w:t>（6）交货期：</w:t>
      </w:r>
      <w:r>
        <w:rPr>
          <w:rFonts w:hint="eastAsia"/>
        </w:rPr>
        <w:t>自签订合</w:t>
      </w:r>
      <w:r>
        <w:rPr>
          <w:rFonts w:hint="eastAsia"/>
          <w:color w:val="auto"/>
        </w:rPr>
        <w:t>同之日起</w:t>
      </w:r>
      <w:r>
        <w:rPr>
          <w:rFonts w:hint="eastAsia"/>
          <w:color w:val="auto"/>
          <w:u w:val="single"/>
        </w:rPr>
        <w:t>30日历天</w:t>
      </w:r>
      <w:r>
        <w:rPr>
          <w:rFonts w:hint="eastAsia"/>
          <w:color w:val="auto"/>
        </w:rPr>
        <w:t>内完成供货、安装、调试工作。质保期/保修期：验收合格之日起</w:t>
      </w:r>
      <w:r>
        <w:rPr>
          <w:rFonts w:hint="eastAsia"/>
          <w:color w:val="auto"/>
          <w:u w:val="single"/>
        </w:rPr>
        <w:t>1年</w:t>
      </w:r>
      <w:r>
        <w:rPr>
          <w:rFonts w:hint="eastAsia"/>
          <w:color w:val="auto"/>
        </w:rPr>
        <w:t>。</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7）其他：供应商参加竞标的报价超过该包采购最高限价的，该包竞标无效；供应商报价须包含该采购需求的全部内容。同一供应商可参与多个标包投标，但只能中标一个标包。如同一供应商三个标包均排名为第一成交候选人，则按照包号顺序中标。</w:t>
      </w:r>
    </w:p>
    <w:p>
      <w:pPr>
        <w:spacing w:line="360" w:lineRule="auto"/>
        <w:ind w:firstLine="420" w:firstLineChars="200"/>
        <w:jc w:val="left"/>
        <w:rPr>
          <w:rFonts w:ascii="宋体" w:hAnsi="宋体" w:cs="宋体"/>
          <w:szCs w:val="21"/>
        </w:rPr>
      </w:pPr>
      <w:r>
        <w:rPr>
          <w:rFonts w:hint="eastAsia" w:ascii="宋体" w:hAnsi="宋体" w:cs="宋体"/>
          <w:szCs w:val="21"/>
        </w:rPr>
        <w:t>第3包：</w:t>
      </w:r>
    </w:p>
    <w:p>
      <w:pPr>
        <w:spacing w:line="360" w:lineRule="auto"/>
        <w:ind w:firstLine="420" w:firstLineChars="200"/>
        <w:jc w:val="left"/>
        <w:rPr>
          <w:rFonts w:ascii="宋体" w:hAnsi="宋体" w:cs="宋体"/>
          <w:szCs w:val="21"/>
        </w:rPr>
      </w:pPr>
      <w:r>
        <w:rPr>
          <w:rFonts w:hint="eastAsia" w:ascii="宋体" w:hAnsi="宋体" w:cs="宋体"/>
          <w:szCs w:val="21"/>
        </w:rPr>
        <w:t>（1）项目包编号：03</w:t>
      </w:r>
    </w:p>
    <w:p>
      <w:pPr>
        <w:spacing w:line="360" w:lineRule="auto"/>
        <w:ind w:firstLine="420" w:firstLineChars="200"/>
        <w:jc w:val="left"/>
        <w:rPr>
          <w:rFonts w:ascii="宋体" w:hAnsi="宋体" w:cs="宋体"/>
          <w:szCs w:val="21"/>
        </w:rPr>
      </w:pPr>
      <w:r>
        <w:rPr>
          <w:rFonts w:hint="eastAsia" w:ascii="宋体" w:hAnsi="宋体" w:cs="宋体"/>
          <w:szCs w:val="21"/>
        </w:rPr>
        <w:t>（2）项目包名称：03+生物质与生物能源实验室建设项目3（</w:t>
      </w:r>
      <w:r>
        <w:rPr>
          <w:rFonts w:hint="eastAsia" w:asciiTheme="minorEastAsia" w:hAnsiTheme="minorEastAsia" w:eastAsiaTheme="minorEastAsia" w:cstheme="minorEastAsia"/>
          <w:szCs w:val="21"/>
        </w:rPr>
        <w:t>饮水机等一批国产设备</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（3）类别：货物</w:t>
      </w:r>
    </w:p>
    <w:p>
      <w:pPr>
        <w:spacing w:line="360" w:lineRule="auto"/>
        <w:ind w:firstLine="420" w:firstLineChars="200"/>
        <w:jc w:val="left"/>
        <w:rPr>
          <w:rFonts w:ascii="宋体" w:hAnsi="宋体" w:cs="宋体"/>
          <w:szCs w:val="21"/>
        </w:rPr>
      </w:pPr>
      <w:r>
        <w:rPr>
          <w:rFonts w:hint="eastAsia" w:ascii="宋体" w:hAnsi="宋体" w:cs="宋体"/>
          <w:szCs w:val="21"/>
        </w:rPr>
        <w:t>（4）采购预算：人民币</w:t>
      </w:r>
      <w:r>
        <w:rPr>
          <w:rFonts w:hint="eastAsia" w:ascii="宋体" w:hAnsi="宋体" w:cs="宋体"/>
          <w:szCs w:val="21"/>
          <w:u w:val="single"/>
        </w:rPr>
        <w:t xml:space="preserve"> </w:t>
      </w:r>
      <w:r>
        <w:rPr>
          <w:rFonts w:ascii="宋体" w:hAnsi="宋体" w:cs="宋体"/>
          <w:szCs w:val="21"/>
          <w:u w:val="single"/>
        </w:rPr>
        <w:t>77.693</w:t>
      </w:r>
      <w:r>
        <w:rPr>
          <w:rFonts w:hint="eastAsia" w:ascii="宋体" w:hAnsi="宋体" w:cs="宋体"/>
          <w:szCs w:val="21"/>
          <w:u w:val="single"/>
        </w:rPr>
        <w:t xml:space="preserve"> </w:t>
      </w:r>
      <w:r>
        <w:rPr>
          <w:rFonts w:hint="eastAsia" w:ascii="宋体" w:hAnsi="宋体" w:cs="宋体"/>
          <w:szCs w:val="21"/>
        </w:rPr>
        <w:t>万元，最高限价</w:t>
      </w:r>
      <w:r>
        <w:rPr>
          <w:rFonts w:hint="eastAsia" w:ascii="宋体" w:hAnsi="宋体" w:cs="宋体"/>
          <w:szCs w:val="21"/>
          <w:u w:val="single"/>
        </w:rPr>
        <w:t xml:space="preserve"> </w:t>
      </w:r>
      <w:r>
        <w:rPr>
          <w:rFonts w:ascii="宋体" w:hAnsi="宋体" w:cs="宋体"/>
          <w:szCs w:val="21"/>
          <w:u w:val="single"/>
        </w:rPr>
        <w:t>77.693</w:t>
      </w:r>
      <w:r>
        <w:rPr>
          <w:rFonts w:hint="eastAsia" w:ascii="宋体" w:hAnsi="宋体" w:cs="宋体"/>
          <w:szCs w:val="21"/>
          <w:u w:val="single"/>
        </w:rPr>
        <w:t xml:space="preserve"> </w:t>
      </w:r>
      <w:r>
        <w:rPr>
          <w:rFonts w:hint="eastAsia" w:ascii="宋体" w:hAnsi="宋体" w:cs="宋体"/>
          <w:szCs w:val="21"/>
        </w:rPr>
        <w:t>万元</w:t>
      </w:r>
    </w:p>
    <w:p>
      <w:pPr>
        <w:spacing w:line="360" w:lineRule="auto"/>
        <w:ind w:firstLine="420" w:firstLineChars="200"/>
        <w:jc w:val="left"/>
        <w:rPr>
          <w:rFonts w:ascii="宋体" w:hAnsi="宋体" w:cs="宋体"/>
          <w:color w:val="auto"/>
          <w:szCs w:val="21"/>
        </w:rPr>
      </w:pPr>
      <w:r>
        <w:rPr>
          <w:rFonts w:hint="eastAsia" w:ascii="宋体" w:hAnsi="宋体" w:cs="宋体"/>
          <w:szCs w:val="21"/>
        </w:rPr>
        <w:t>（5）质量标准：达到国家或</w:t>
      </w:r>
      <w:r>
        <w:rPr>
          <w:rFonts w:hint="eastAsia" w:ascii="宋体" w:hAnsi="宋体" w:cs="宋体"/>
          <w:color w:val="auto"/>
          <w:szCs w:val="21"/>
        </w:rPr>
        <w:t>行业颁布的其他现行各项技术标准和验收规范规定</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（6）交货期：</w:t>
      </w:r>
      <w:r>
        <w:rPr>
          <w:rFonts w:hint="eastAsia"/>
          <w:color w:val="auto"/>
        </w:rPr>
        <w:t>自签订合同之日起</w:t>
      </w:r>
      <w:r>
        <w:rPr>
          <w:rFonts w:hint="eastAsia"/>
          <w:color w:val="auto"/>
          <w:u w:val="single"/>
        </w:rPr>
        <w:t>30日历天</w:t>
      </w:r>
      <w:r>
        <w:rPr>
          <w:rFonts w:hint="eastAsia"/>
          <w:color w:val="auto"/>
        </w:rPr>
        <w:t>内完成供货、安装、调试工作。质保期/保修期：验收合格之日起</w:t>
      </w:r>
      <w:r>
        <w:rPr>
          <w:rFonts w:hint="eastAsia"/>
          <w:color w:val="auto"/>
          <w:u w:val="single"/>
        </w:rPr>
        <w:t>1年</w:t>
      </w:r>
      <w:r>
        <w:rPr>
          <w:rFonts w:hint="eastAsia"/>
          <w:color w:val="auto"/>
        </w:rPr>
        <w:t>。</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7）其他：供应商参加竞标的报价超过该包采购最高限价的，该包竞标无效；供应商报价须包含该采购需求的全部内容。同一供应商可参与多个标包投标，但只能中标一个标包。如同一供应商三个标包均排名为第一成交候选人，则按照包号顺序中标。</w:t>
      </w:r>
    </w:p>
    <w:p>
      <w:pPr>
        <w:spacing w:line="360" w:lineRule="auto"/>
        <w:jc w:val="left"/>
        <w:rPr>
          <w:rFonts w:ascii="宋体" w:hAnsi="宋体" w:cs="宋体"/>
          <w:strike/>
          <w:szCs w:val="21"/>
        </w:rPr>
      </w:pPr>
      <w:r>
        <w:rPr>
          <w:rFonts w:hint="eastAsia" w:ascii="宋体" w:hAnsi="宋体" w:cs="宋体"/>
          <w:color w:val="auto"/>
          <w:szCs w:val="21"/>
        </w:rPr>
        <w:t>8.合同履行期限：</w:t>
      </w:r>
      <w:r>
        <w:rPr>
          <w:rFonts w:hint="eastAsia" w:ascii="宋体" w:hAnsi="宋体" w:cs="宋体"/>
          <w:color w:val="auto"/>
          <w:szCs w:val="21"/>
          <w:u w:val="single"/>
        </w:rPr>
        <w:t xml:space="preserve">见各包交货期及质保期/保修期要求。           </w:t>
      </w:r>
      <w:r>
        <w:rPr>
          <w:rFonts w:hint="eastAsia" w:ascii="宋体" w:hAnsi="宋体" w:cs="宋体"/>
          <w:szCs w:val="21"/>
          <w:u w:val="single"/>
        </w:rPr>
        <w:t xml:space="preserve">      </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10.是否可采购进口产品：是</w:t>
      </w:r>
    </w:p>
    <w:p>
      <w:pPr>
        <w:spacing w:line="360" w:lineRule="auto"/>
        <w:jc w:val="left"/>
        <w:rPr>
          <w:rFonts w:ascii="宋体" w:hAnsi="宋体" w:cs="宋体"/>
          <w:szCs w:val="21"/>
        </w:rPr>
      </w:pPr>
      <w:r>
        <w:rPr>
          <w:rFonts w:hint="eastAsia" w:asciiTheme="minorEastAsia" w:hAnsiTheme="minorEastAsia" w:eastAsiaTheme="minorEastAsia" w:cstheme="minorEastAsia"/>
          <w:szCs w:val="21"/>
        </w:rPr>
        <w:t>11.本项目（是/否）专门面向中小微企业：否</w:t>
      </w:r>
    </w:p>
    <w:p>
      <w:pPr>
        <w:pStyle w:val="4"/>
        <w:numPr>
          <w:ilvl w:val="0"/>
          <w:numId w:val="6"/>
        </w:numPr>
        <w:spacing w:line="360" w:lineRule="auto"/>
        <w:jc w:val="left"/>
        <w:rPr>
          <w:rFonts w:ascii="宋体" w:hAnsi="宋体" w:eastAsia="宋体" w:cs="宋体"/>
          <w:sz w:val="21"/>
          <w:szCs w:val="21"/>
        </w:rPr>
      </w:pPr>
      <w:bookmarkStart w:id="9" w:name="_Toc18426"/>
      <w:r>
        <w:rPr>
          <w:rFonts w:hint="eastAsia" w:ascii="宋体" w:hAnsi="宋体" w:eastAsia="宋体" w:cs="宋体"/>
          <w:sz w:val="21"/>
          <w:szCs w:val="21"/>
        </w:rPr>
        <w:t>申请人的资格要求</w:t>
      </w:r>
      <w:bookmarkEnd w:id="9"/>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4.未被列入失信被执行人、重大税收违法失信主体，未被列入政府采购严重违法失信行为记录名单。</w:t>
      </w:r>
      <w:r>
        <w:rPr>
          <w:rFonts w:hint="eastAsia" w:ascii="宋体" w:hAnsi="宋体" w:cs="宋体"/>
          <w:szCs w:val="21"/>
        </w:rPr>
        <w:br w:type="textWrapping"/>
      </w:r>
      <w:r>
        <w:rPr>
          <w:rFonts w:hint="eastAsia" w:asciiTheme="minorEastAsia" w:hAnsiTheme="minorEastAsia" w:eastAsiaTheme="minorEastAsia" w:cstheme="minorEastAsia"/>
          <w:szCs w:val="21"/>
        </w:rPr>
        <w:t xml:space="preserve">    5.落实政府采购政策需满足的资格要求：本项目整体非专门面向中小企业，即小微企业参与本项目可享受政府采购中小企业扶持政策，本项目企业划分标准所属行业为“工业”。</w:t>
      </w:r>
    </w:p>
    <w:p>
      <w:pPr>
        <w:spacing w:line="360" w:lineRule="auto"/>
        <w:ind w:firstLine="422" w:firstLineChars="200"/>
        <w:jc w:val="left"/>
        <w:rPr>
          <w:rFonts w:ascii="宋体" w:hAnsi="宋体" w:cs="宋体" w:eastAsiaTheme="minorEastAsia"/>
          <w:color w:val="FF0000"/>
          <w:szCs w:val="21"/>
        </w:rPr>
      </w:pPr>
      <w:r>
        <w:rPr>
          <w:rFonts w:hint="eastAsia" w:asciiTheme="minorEastAsia" w:hAnsiTheme="minorEastAsia" w:eastAsiaTheme="minorEastAsia" w:cstheme="minorEastAsia"/>
          <w:b/>
          <w:bCs/>
          <w:color w:val="000000"/>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10" w:name="_Toc28771"/>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2B1EE4"/>
          <w:szCs w:val="21"/>
          <w:u w:val="single"/>
        </w:rPr>
        <w:t>2023年</w:t>
      </w:r>
      <w:r>
        <w:rPr>
          <w:rFonts w:hint="eastAsia" w:ascii="宋体" w:hAnsi="宋体" w:cs="宋体"/>
          <w:color w:val="2B1EE4"/>
          <w:szCs w:val="21"/>
          <w:u w:val="single"/>
          <w:lang w:val="en-US" w:eastAsia="zh-CN"/>
        </w:rPr>
        <w:t>6</w:t>
      </w:r>
      <w:r>
        <w:rPr>
          <w:rFonts w:hint="eastAsia" w:ascii="宋体" w:hAnsi="宋体" w:cs="宋体"/>
          <w:color w:val="2B1EE4"/>
          <w:szCs w:val="21"/>
          <w:u w:val="single"/>
        </w:rPr>
        <w:t>月</w:t>
      </w:r>
      <w:r>
        <w:rPr>
          <w:rFonts w:hint="eastAsia" w:ascii="宋体" w:hAnsi="宋体" w:cs="宋体"/>
          <w:color w:val="2B1EE4"/>
          <w:szCs w:val="21"/>
          <w:u w:val="single"/>
          <w:lang w:val="en-US" w:eastAsia="zh-CN"/>
        </w:rPr>
        <w:t>20</w:t>
      </w:r>
      <w:r>
        <w:rPr>
          <w:rFonts w:hint="eastAsia" w:ascii="宋体" w:hAnsi="宋体" w:cs="宋体"/>
          <w:color w:val="2B1EE4"/>
          <w:szCs w:val="21"/>
          <w:u w:val="single"/>
        </w:rPr>
        <w:t>日至2023年</w:t>
      </w:r>
      <w:r>
        <w:rPr>
          <w:rFonts w:hint="eastAsia" w:ascii="宋体" w:hAnsi="宋体" w:cs="宋体"/>
          <w:color w:val="2B1EE4"/>
          <w:szCs w:val="21"/>
          <w:u w:val="single"/>
          <w:lang w:val="en-US" w:eastAsia="zh-CN"/>
        </w:rPr>
        <w:t>6</w:t>
      </w:r>
      <w:r>
        <w:rPr>
          <w:rFonts w:hint="eastAsia" w:ascii="宋体" w:hAnsi="宋体" w:cs="宋体"/>
          <w:color w:val="2B1EE4"/>
          <w:szCs w:val="21"/>
          <w:u w:val="single"/>
        </w:rPr>
        <w:t>月</w:t>
      </w:r>
      <w:r>
        <w:rPr>
          <w:rFonts w:hint="eastAsia" w:ascii="宋体" w:hAnsi="宋体" w:cs="宋体"/>
          <w:color w:val="2B1EE4"/>
          <w:szCs w:val="21"/>
          <w:u w:val="single"/>
          <w:lang w:val="en-US" w:eastAsia="zh-CN"/>
        </w:rPr>
        <w:t>27</w:t>
      </w:r>
      <w:r>
        <w:rPr>
          <w:rFonts w:hint="eastAsia" w:ascii="宋体" w:hAnsi="宋体" w:cs="宋体"/>
          <w:color w:val="2B1EE4"/>
          <w:szCs w:val="21"/>
          <w:u w:val="single"/>
        </w:rPr>
        <w:t>日</w:t>
      </w:r>
      <w:r>
        <w:rPr>
          <w:rFonts w:hint="eastAsia" w:ascii="宋体" w:hAnsi="宋体" w:cs="宋体"/>
          <w:szCs w:val="21"/>
        </w:rPr>
        <w:t>，每天上午09:00至12:00，下午14:00至17:00（北京时间，法定节假日除外）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地点：武昌区中北路岳家嘴立交山河企业大厦48楼4805室或电子服务平台或邮箱；</w:t>
      </w:r>
    </w:p>
    <w:bookmarkEnd w:id="11"/>
    <w:p>
      <w:pPr>
        <w:spacing w:line="360" w:lineRule="auto"/>
        <w:ind w:firstLine="420" w:firstLineChars="200"/>
        <w:jc w:val="left"/>
        <w:rPr>
          <w:rFonts w:ascii="宋体" w:hAnsi="宋体" w:cs="宋体"/>
          <w:szCs w:val="21"/>
        </w:rPr>
      </w:pPr>
      <w:r>
        <w:rPr>
          <w:rFonts w:hint="eastAsia" w:ascii="宋体" w:hAnsi="宋体" w:cs="宋体"/>
          <w:szCs w:val="21"/>
        </w:rPr>
        <w:t>方式：以下三种方式任意一种均可，采购文件售后不退，不办理邮寄；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（1）现场获取:供应商将公告后附件资料加盖公章送达至指定地点；</w:t>
      </w:r>
    </w:p>
    <w:p>
      <w:pPr>
        <w:spacing w:line="360" w:lineRule="auto"/>
        <w:ind w:firstLine="420" w:firstLineChars="200"/>
        <w:jc w:val="left"/>
        <w:rPr>
          <w:rFonts w:hint="eastAsia" w:ascii="宋体" w:hAnsi="宋体" w:cs="宋体"/>
          <w:szCs w:val="21"/>
        </w:rPr>
      </w:pPr>
      <w:r>
        <w:rPr>
          <w:rFonts w:hint="eastAsia" w:ascii="宋体" w:hAnsi="宋体" w:cs="宋体"/>
          <w:szCs w:val="21"/>
        </w:rPr>
        <w:t>（2）平台获取：供应商登陆诚亿达电子招标服务平台（http://zb.hubeidream.com/#/login），按照“操作指引”完成获取。</w:t>
      </w:r>
    </w:p>
    <w:p>
      <w:pPr>
        <w:spacing w:line="360" w:lineRule="auto"/>
        <w:ind w:firstLine="420" w:firstLineChars="200"/>
        <w:jc w:val="left"/>
        <w:rPr>
          <w:rFonts w:hint="eastAsia" w:ascii="宋体" w:hAnsi="宋体" w:cs="宋体"/>
          <w:szCs w:val="21"/>
        </w:rPr>
      </w:pPr>
      <w:r>
        <w:rPr>
          <w:rFonts w:hint="eastAsia" w:ascii="宋体" w:hAnsi="宋体" w:cs="宋体"/>
          <w:szCs w:val="21"/>
        </w:rPr>
        <w:t>（3）邮箱获取：供应商将公告后附件资料加盖公章扫描后传至3265768009@qq.com【邮件主题名称必须按照如下格式，否则不予受理。</w:t>
      </w:r>
      <w:r>
        <w:rPr>
          <w:rFonts w:hint="eastAsia" w:ascii="宋体" w:hAnsi="宋体" w:cs="宋体"/>
          <w:szCs w:val="21"/>
          <w:u w:val="single"/>
        </w:rPr>
        <w:t>项目名称+包号+公司全称+授权委托人姓名及联系方式</w:t>
      </w:r>
      <w:r>
        <w:rPr>
          <w:rFonts w:hint="eastAsia" w:ascii="宋体" w:hAnsi="宋体" w:cs="宋体"/>
          <w:szCs w:val="21"/>
        </w:rPr>
        <w:t>】，以邮箱显示收到的时间为准，各供应商递交资料后请耐心等待代理机构工作人员后台确认，资料确认无误的，工作人员会及时发送采购文件。</w:t>
      </w:r>
    </w:p>
    <w:p>
      <w:pPr>
        <w:spacing w:line="360" w:lineRule="auto"/>
        <w:ind w:firstLine="420" w:firstLineChars="200"/>
        <w:jc w:val="left"/>
        <w:rPr>
          <w:rFonts w:ascii="宋体" w:hAnsi="宋体" w:cs="宋体"/>
          <w:szCs w:val="21"/>
        </w:rPr>
      </w:pPr>
      <w:r>
        <w:rPr>
          <w:rFonts w:hint="eastAsia" w:ascii="宋体" w:hAnsi="宋体" w:cs="宋体"/>
          <w:szCs w:val="21"/>
        </w:rPr>
        <w:t>售价：0（元）；</w:t>
      </w:r>
    </w:p>
    <w:p>
      <w:pPr>
        <w:pStyle w:val="4"/>
        <w:numPr>
          <w:ilvl w:val="0"/>
          <w:numId w:val="6"/>
        </w:numPr>
        <w:spacing w:line="360" w:lineRule="auto"/>
        <w:jc w:val="left"/>
        <w:rPr>
          <w:rFonts w:ascii="宋体" w:hAnsi="宋体" w:eastAsia="宋体" w:cs="宋体"/>
          <w:sz w:val="21"/>
          <w:szCs w:val="21"/>
        </w:rPr>
      </w:pPr>
      <w:bookmarkStart w:id="12" w:name="_Toc18826"/>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开始时间：</w:t>
      </w:r>
      <w:r>
        <w:rPr>
          <w:rFonts w:hint="eastAsia" w:ascii="宋体" w:hAnsi="宋体" w:cs="宋体"/>
          <w:color w:val="2B1EE4"/>
          <w:szCs w:val="21"/>
          <w:u w:val="none"/>
        </w:rPr>
        <w:t>2023年</w:t>
      </w:r>
      <w:r>
        <w:rPr>
          <w:rFonts w:hint="eastAsia" w:ascii="宋体" w:hAnsi="宋体" w:cs="宋体"/>
          <w:color w:val="2B1EE4"/>
          <w:szCs w:val="21"/>
          <w:u w:val="none"/>
          <w:lang w:val="en-US" w:eastAsia="zh-CN"/>
        </w:rPr>
        <w:t>7</w:t>
      </w:r>
      <w:r>
        <w:rPr>
          <w:rFonts w:hint="eastAsia" w:ascii="宋体" w:hAnsi="宋体" w:cs="宋体"/>
          <w:color w:val="2B1EE4"/>
          <w:szCs w:val="21"/>
          <w:u w:val="none"/>
        </w:rPr>
        <w:t>月</w:t>
      </w:r>
      <w:r>
        <w:rPr>
          <w:rFonts w:hint="eastAsia" w:ascii="宋体" w:hAnsi="宋体" w:cs="宋体"/>
          <w:color w:val="2B1EE4"/>
          <w:szCs w:val="21"/>
          <w:u w:val="none"/>
          <w:lang w:val="en-US" w:eastAsia="zh-CN"/>
        </w:rPr>
        <w:t>3</w:t>
      </w:r>
      <w:r>
        <w:rPr>
          <w:rFonts w:hint="eastAsia" w:ascii="宋体" w:hAnsi="宋体" w:cs="宋体"/>
          <w:color w:val="2B1EE4"/>
          <w:szCs w:val="21"/>
          <w:u w:val="none"/>
        </w:rPr>
        <w:t>日</w:t>
      </w:r>
      <w:r>
        <w:rPr>
          <w:rFonts w:hint="eastAsia" w:ascii="宋体" w:hAnsi="宋体" w:cs="宋体"/>
          <w:color w:val="2B1EE4"/>
          <w:szCs w:val="21"/>
          <w:u w:val="none"/>
          <w:lang w:val="en-US" w:eastAsia="zh-CN"/>
        </w:rPr>
        <w:t>08</w:t>
      </w:r>
      <w:r>
        <w:rPr>
          <w:rFonts w:hint="eastAsia" w:ascii="宋体" w:hAnsi="宋体" w:cs="宋体"/>
          <w:color w:val="2B1EE4"/>
          <w:szCs w:val="21"/>
          <w:u w:val="none"/>
        </w:rPr>
        <w:t>点</w:t>
      </w:r>
      <w:r>
        <w:rPr>
          <w:rFonts w:hint="eastAsia" w:ascii="宋体" w:hAnsi="宋体" w:cs="宋体"/>
          <w:color w:val="2B1EE4"/>
          <w:szCs w:val="21"/>
          <w:u w:val="none"/>
          <w:lang w:val="en-US" w:eastAsia="zh-CN"/>
        </w:rPr>
        <w:t>30</w:t>
      </w:r>
      <w:r>
        <w:rPr>
          <w:rFonts w:hint="eastAsia" w:ascii="宋体" w:hAnsi="宋体" w:cs="宋体"/>
          <w:color w:val="2B1EE4"/>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截止时间：</w:t>
      </w:r>
      <w:r>
        <w:rPr>
          <w:rFonts w:hint="eastAsia" w:ascii="宋体" w:hAnsi="宋体" w:cs="宋体"/>
          <w:color w:val="2B1EE4"/>
          <w:szCs w:val="21"/>
          <w:u w:val="none"/>
        </w:rPr>
        <w:t>2023年</w:t>
      </w:r>
      <w:r>
        <w:rPr>
          <w:rFonts w:hint="eastAsia" w:ascii="宋体" w:hAnsi="宋体" w:cs="宋体"/>
          <w:color w:val="2B1EE4"/>
          <w:szCs w:val="21"/>
          <w:u w:val="none"/>
          <w:lang w:val="en-US" w:eastAsia="zh-CN"/>
        </w:rPr>
        <w:t>7</w:t>
      </w:r>
      <w:r>
        <w:rPr>
          <w:rFonts w:hint="eastAsia" w:ascii="宋体" w:hAnsi="宋体" w:cs="宋体"/>
          <w:color w:val="2B1EE4"/>
          <w:szCs w:val="21"/>
          <w:u w:val="none"/>
        </w:rPr>
        <w:t>月</w:t>
      </w:r>
      <w:r>
        <w:rPr>
          <w:rFonts w:hint="eastAsia" w:ascii="宋体" w:hAnsi="宋体" w:cs="宋体"/>
          <w:color w:val="2B1EE4"/>
          <w:szCs w:val="21"/>
          <w:u w:val="none"/>
          <w:lang w:val="en-US" w:eastAsia="zh-CN"/>
        </w:rPr>
        <w:t>3</w:t>
      </w:r>
      <w:r>
        <w:rPr>
          <w:rFonts w:hint="eastAsia" w:ascii="宋体" w:hAnsi="宋体" w:cs="宋体"/>
          <w:color w:val="2B1EE4"/>
          <w:szCs w:val="21"/>
          <w:u w:val="none"/>
        </w:rPr>
        <w:t>日</w:t>
      </w:r>
      <w:r>
        <w:rPr>
          <w:rFonts w:hint="eastAsia" w:ascii="宋体" w:hAnsi="宋体" w:cs="宋体"/>
          <w:color w:val="2B1EE4"/>
          <w:szCs w:val="21"/>
          <w:u w:val="none"/>
          <w:lang w:val="en-US" w:eastAsia="zh-CN"/>
        </w:rPr>
        <w:t>10</w:t>
      </w:r>
      <w:r>
        <w:rPr>
          <w:rFonts w:hint="eastAsia" w:ascii="宋体" w:hAnsi="宋体" w:cs="宋体"/>
          <w:color w:val="2B1EE4"/>
          <w:szCs w:val="21"/>
          <w:u w:val="none"/>
        </w:rPr>
        <w:t>点</w:t>
      </w:r>
      <w:r>
        <w:rPr>
          <w:rFonts w:hint="eastAsia" w:ascii="宋体" w:hAnsi="宋体" w:cs="宋体"/>
          <w:color w:val="2B1EE4"/>
          <w:szCs w:val="21"/>
          <w:u w:val="none"/>
          <w:lang w:val="en-US" w:eastAsia="zh-CN"/>
        </w:rPr>
        <w:t>00</w:t>
      </w:r>
      <w:r>
        <w:rPr>
          <w:rFonts w:hint="eastAsia" w:ascii="宋体" w:hAnsi="宋体" w:cs="宋体"/>
          <w:color w:val="2B1EE4"/>
          <w:szCs w:val="21"/>
          <w:u w:val="none"/>
        </w:rPr>
        <w:t>分</w:t>
      </w:r>
      <w:r>
        <w:rPr>
          <w:rFonts w:hint="eastAsia" w:asciiTheme="minorEastAsia" w:hAnsiTheme="minorEastAsia" w:eastAsiaTheme="minorEastAsia" w:cstheme="minorEastAsia"/>
          <w:szCs w:val="21"/>
        </w:rPr>
        <w:t>（北京时间）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w:t>
      </w:r>
    </w:p>
    <w:p>
      <w:pPr>
        <w:pStyle w:val="4"/>
        <w:numPr>
          <w:ilvl w:val="0"/>
          <w:numId w:val="6"/>
        </w:numPr>
        <w:spacing w:line="360" w:lineRule="auto"/>
        <w:jc w:val="left"/>
        <w:rPr>
          <w:rFonts w:eastAsia="宋体"/>
          <w:sz w:val="21"/>
          <w:szCs w:val="21"/>
        </w:rPr>
      </w:pPr>
      <w:bookmarkStart w:id="13" w:name="_Toc24222"/>
      <w:r>
        <w:rPr>
          <w:rFonts w:hint="eastAsia" w:ascii="宋体" w:hAnsi="宋体" w:eastAsia="宋体" w:cs="宋体"/>
          <w:sz w:val="21"/>
          <w:szCs w:val="21"/>
        </w:rPr>
        <w:t>开启</w:t>
      </w:r>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2B1EE4"/>
          <w:szCs w:val="21"/>
          <w:u w:val="none"/>
        </w:rPr>
        <w:t>2023年</w:t>
      </w:r>
      <w:r>
        <w:rPr>
          <w:rFonts w:hint="eastAsia" w:ascii="宋体" w:hAnsi="宋体" w:cs="宋体"/>
          <w:color w:val="2B1EE4"/>
          <w:szCs w:val="21"/>
          <w:u w:val="none"/>
          <w:lang w:val="en-US" w:eastAsia="zh-CN"/>
        </w:rPr>
        <w:t>7</w:t>
      </w:r>
      <w:r>
        <w:rPr>
          <w:rFonts w:hint="eastAsia" w:ascii="宋体" w:hAnsi="宋体" w:cs="宋体"/>
          <w:color w:val="2B1EE4"/>
          <w:szCs w:val="21"/>
          <w:u w:val="none"/>
        </w:rPr>
        <w:t>月</w:t>
      </w:r>
      <w:r>
        <w:rPr>
          <w:rFonts w:hint="eastAsia" w:ascii="宋体" w:hAnsi="宋体" w:cs="宋体"/>
          <w:color w:val="2B1EE4"/>
          <w:szCs w:val="21"/>
          <w:u w:val="none"/>
          <w:lang w:val="en-US" w:eastAsia="zh-CN"/>
        </w:rPr>
        <w:t>3</w:t>
      </w:r>
      <w:r>
        <w:rPr>
          <w:rFonts w:hint="eastAsia" w:ascii="宋体" w:hAnsi="宋体" w:cs="宋体"/>
          <w:color w:val="2B1EE4"/>
          <w:szCs w:val="21"/>
          <w:u w:val="none"/>
        </w:rPr>
        <w:t>日</w:t>
      </w:r>
      <w:r>
        <w:rPr>
          <w:rFonts w:hint="eastAsia" w:ascii="宋体" w:hAnsi="宋体" w:cs="宋体"/>
          <w:color w:val="2B1EE4"/>
          <w:szCs w:val="21"/>
          <w:u w:val="none"/>
          <w:lang w:val="en-US" w:eastAsia="zh-CN"/>
        </w:rPr>
        <w:t>10</w:t>
      </w:r>
      <w:r>
        <w:rPr>
          <w:rFonts w:hint="eastAsia" w:ascii="宋体" w:hAnsi="宋体" w:cs="宋体"/>
          <w:color w:val="2B1EE4"/>
          <w:szCs w:val="21"/>
          <w:u w:val="none"/>
        </w:rPr>
        <w:t>点</w:t>
      </w:r>
      <w:r>
        <w:rPr>
          <w:rFonts w:hint="eastAsia" w:ascii="宋体" w:hAnsi="宋体" w:cs="宋体"/>
          <w:color w:val="2B1EE4"/>
          <w:szCs w:val="21"/>
          <w:u w:val="none"/>
          <w:lang w:val="en-US" w:eastAsia="zh-CN"/>
        </w:rPr>
        <w:t>00</w:t>
      </w:r>
      <w:r>
        <w:rPr>
          <w:rFonts w:hint="eastAsia" w:ascii="宋体" w:hAnsi="宋体" w:cs="宋体"/>
          <w:color w:val="2B1EE4"/>
          <w:szCs w:val="21"/>
          <w:u w:val="none"/>
        </w:rPr>
        <w:t>分</w:t>
      </w:r>
      <w:r>
        <w:rPr>
          <w:rFonts w:hint="eastAsia" w:ascii="宋体" w:hAnsi="宋体" w:cs="宋体"/>
          <w:szCs w:val="21"/>
        </w:rPr>
        <w:t>（北京时间）</w:t>
      </w:r>
    </w:p>
    <w:p>
      <w:pPr>
        <w:pStyle w:val="4"/>
        <w:numPr>
          <w:ilvl w:val="0"/>
          <w:numId w:val="6"/>
        </w:numPr>
        <w:spacing w:line="360" w:lineRule="auto"/>
        <w:jc w:val="left"/>
        <w:rPr>
          <w:rFonts w:ascii="宋体" w:hAnsi="宋体" w:eastAsia="宋体" w:cs="宋体"/>
          <w:sz w:val="21"/>
          <w:szCs w:val="21"/>
        </w:rPr>
      </w:pPr>
      <w:bookmarkStart w:id="14" w:name="_Toc14006"/>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334539188"/>
      <w:bookmarkStart w:id="16" w:name="_Toc317262251"/>
      <w:bookmarkStart w:id="17" w:name="_Toc276368888"/>
      <w:bookmarkStart w:id="18" w:name="_Toc320898024"/>
      <w:bookmarkStart w:id="19" w:name="_Toc6021"/>
      <w:bookmarkStart w:id="20" w:name="_Toc259607751"/>
      <w:r>
        <w:rPr>
          <w:rFonts w:hint="eastAsia" w:ascii="宋体" w:hAnsi="宋体" w:cs="宋体"/>
          <w:szCs w:val="21"/>
        </w:rPr>
        <w:t>自本公告发布之日起3个工作日</w:t>
      </w:r>
    </w:p>
    <w:bookmarkEnd w:id="15"/>
    <w:bookmarkEnd w:id="16"/>
    <w:bookmarkEnd w:id="17"/>
    <w:bookmarkEnd w:id="18"/>
    <w:bookmarkEnd w:id="19"/>
    <w:bookmarkEnd w:id="20"/>
    <w:p>
      <w:pPr>
        <w:pStyle w:val="4"/>
        <w:numPr>
          <w:ilvl w:val="0"/>
          <w:numId w:val="6"/>
        </w:numPr>
        <w:spacing w:line="360" w:lineRule="auto"/>
        <w:jc w:val="left"/>
        <w:rPr>
          <w:rFonts w:ascii="宋体" w:hAnsi="宋体" w:eastAsia="宋体" w:cs="宋体"/>
          <w:sz w:val="21"/>
          <w:szCs w:val="21"/>
        </w:rPr>
      </w:pPr>
      <w:bookmarkStart w:id="21" w:name="_Toc15779"/>
      <w:r>
        <w:rPr>
          <w:rFonts w:hint="eastAsia" w:ascii="宋体" w:hAnsi="宋体" w:eastAsia="宋体" w:cs="宋体"/>
          <w:sz w:val="21"/>
          <w:szCs w:val="21"/>
        </w:rPr>
        <w:t>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2.本项目将在以下网站发布所有信息，请参加本项目竞标的供应商密切关注。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（1）《湖北省政府采购网》（网址：http://www.ccgp-hubei.gov.cn/）</w:t>
      </w:r>
    </w:p>
    <w:p>
      <w:pPr>
        <w:spacing w:line="360" w:lineRule="auto"/>
        <w:ind w:firstLine="420" w:firstLineChars="200"/>
        <w:jc w:val="left"/>
        <w:rPr>
          <w:rFonts w:ascii="宋体" w:hAnsi="宋体" w:cs="宋体"/>
          <w:b/>
          <w:bCs/>
          <w:szCs w:val="21"/>
        </w:rPr>
      </w:pPr>
      <w:r>
        <w:rPr>
          <w:rFonts w:hint="eastAsia" w:ascii="宋体" w:hAnsi="宋体" w:cs="宋体"/>
          <w:szCs w:val="21"/>
        </w:rPr>
        <w:t>（2）《湖北工业大学》（网址：http://tend.hbut.edu.cn/index.chtml）</w:t>
      </w:r>
    </w:p>
    <w:bookmarkEnd w:id="22"/>
    <w:p>
      <w:pPr>
        <w:pStyle w:val="4"/>
        <w:numPr>
          <w:ilvl w:val="0"/>
          <w:numId w:val="6"/>
        </w:numPr>
        <w:spacing w:line="360" w:lineRule="auto"/>
        <w:jc w:val="left"/>
        <w:rPr>
          <w:rFonts w:ascii="宋体" w:hAnsi="宋体" w:eastAsia="宋体" w:cs="宋体"/>
          <w:sz w:val="21"/>
          <w:szCs w:val="21"/>
        </w:rPr>
      </w:pPr>
      <w:bookmarkStart w:id="23" w:name="_Toc15277"/>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联系方式：王老师、027-59750213</w:t>
      </w:r>
      <w:r>
        <w:rPr>
          <w:rFonts w:hint="eastAsia" w:ascii="宋体" w:hAnsi="宋体" w:cs="宋体"/>
          <w:color w:val="FF0000"/>
          <w:szCs w:val="21"/>
        </w:rPr>
        <w:t>　　</w:t>
      </w:r>
      <w:r>
        <w:rPr>
          <w:rFonts w:hint="eastAsia" w:ascii="宋体" w:hAnsi="宋体" w:cs="宋体"/>
          <w:szCs w:val="21"/>
        </w:rPr>
        <w:t xml:space="preserve">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称：中创恒梦工程咨询有限公司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r>
        <w:rPr>
          <w:rFonts w:hint="eastAsia" w:ascii="宋体" w:hAnsi="宋体" w:cs="宋体"/>
          <w:color w:val="FF0000"/>
          <w:szCs w:val="21"/>
        </w:rPr>
        <w:t>　　</w:t>
      </w:r>
      <w:r>
        <w:rPr>
          <w:rFonts w:hint="eastAsia" w:ascii="宋体" w:hAnsi="宋体" w:cs="宋体"/>
          <w:szCs w:val="21"/>
        </w:rPr>
        <w:t>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color w:val="FF0000"/>
          <w:szCs w:val="21"/>
        </w:rPr>
      </w:pPr>
      <w:r>
        <w:rPr>
          <w:rFonts w:hint="eastAsia" w:ascii="宋体" w:hAnsi="宋体" w:cs="宋体"/>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中创恒梦工程咨询有限公司</w:t>
      </w:r>
    </w:p>
    <w:p>
      <w:pPr>
        <w:spacing w:line="440" w:lineRule="exact"/>
        <w:jc w:val="center"/>
        <w:rPr>
          <w:rFonts w:asciiTheme="minorEastAsia" w:hAnsiTheme="minorEastAsia" w:eastAsiaTheme="minorEastAsia" w:cstheme="minorEastAsia"/>
        </w:rPr>
      </w:pPr>
      <w:r>
        <w:rPr>
          <w:rFonts w:hint="eastAsia" w:asciiTheme="minorEastAsia" w:hAnsiTheme="minorEastAsia" w:eastAsiaTheme="minorEastAsia" w:cstheme="minorEastAsia"/>
          <w:szCs w:val="21"/>
        </w:rPr>
        <w:t xml:space="preserve">                                                                     2023年6月</w:t>
      </w:r>
      <w:r>
        <w:rPr>
          <w:rFonts w:hint="eastAsia" w:asciiTheme="minorEastAsia" w:hAnsiTheme="minorEastAsia" w:eastAsiaTheme="minorEastAsia" w:cstheme="minorEastAsia"/>
          <w:szCs w:val="21"/>
          <w:lang w:val="en-US" w:eastAsia="zh-CN"/>
        </w:rPr>
        <w:t>19</w:t>
      </w:r>
      <w:r>
        <w:rPr>
          <w:rFonts w:hint="eastAsia" w:asciiTheme="minorEastAsia" w:hAnsiTheme="minorEastAsia" w:eastAsiaTheme="minorEastAsia" w:cstheme="minorEastAsia"/>
          <w:szCs w:val="21"/>
        </w:rPr>
        <w:t>日</w:t>
      </w:r>
    </w:p>
    <w:p>
      <w:pPr>
        <w:numPr>
          <w:ilvl w:val="0"/>
          <w:numId w:val="4"/>
        </w:numPr>
        <w:jc w:val="center"/>
        <w:rPr>
          <w:rFonts w:asciiTheme="minorEastAsia" w:hAnsiTheme="minorEastAsia" w:eastAsiaTheme="minorEastAsia" w:cstheme="minorEastAsia"/>
          <w:sz w:val="32"/>
          <w:szCs w:val="32"/>
        </w:rPr>
      </w:pPr>
      <w:bookmarkStart w:id="252" w:name="_GoBack"/>
      <w:bookmarkEnd w:id="252"/>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4" w:name="_Toc2000"/>
      <w:r>
        <w:rPr>
          <w:rFonts w:hint="eastAsia" w:asciiTheme="minorEastAsia" w:hAnsiTheme="minorEastAsia" w:eastAsiaTheme="minorEastAsia" w:cstheme="minorEastAsia"/>
          <w:sz w:val="36"/>
          <w:szCs w:val="36"/>
        </w:rPr>
        <w:t>供应商须知</w:t>
      </w:r>
      <w:bookmarkEnd w:id="24"/>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5" w:name="_Toc5270"/>
      <w:r>
        <w:rPr>
          <w:rFonts w:hint="eastAsia" w:asciiTheme="minorEastAsia" w:hAnsiTheme="minorEastAsia" w:eastAsiaTheme="minorEastAsia" w:cstheme="minorEastAsia"/>
          <w:b/>
          <w:szCs w:val="21"/>
        </w:rPr>
        <w:t>《供应商须知前附表》</w:t>
      </w:r>
      <w:bookmarkEnd w:id="25"/>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采购人</w:t>
            </w:r>
          </w:p>
        </w:tc>
        <w:tc>
          <w:tcPr>
            <w:tcW w:w="6130" w:type="dxa"/>
            <w:vAlign w:val="center"/>
          </w:tcPr>
          <w:p>
            <w:pPr>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5"/>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asciiTheme="minorEastAsia" w:hAnsiTheme="minorEastAsia" w:eastAsiaTheme="minorEastAsia" w:cstheme="minorEastAsia"/>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湖北省财政厅政府采购管理处</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地  址：武汉市武昌区中北路8号</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szCs w:val="21"/>
                <w:lang w:val="zh-CN"/>
              </w:rPr>
              <w:t>电</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话：</w:t>
            </w:r>
            <w:r>
              <w:rPr>
                <w:rFonts w:hint="eastAsia" w:asciiTheme="minorEastAsia" w:hAnsiTheme="minorEastAsia" w:eastAsiaTheme="minorEastAsia" w:cstheme="minorEastAsia"/>
                <w:szCs w:val="21"/>
              </w:rPr>
              <w:t>027-</w:t>
            </w:r>
            <w:r>
              <w:rPr>
                <w:rFonts w:hint="eastAsia" w:asciiTheme="minorEastAsia" w:hAnsiTheme="minorEastAsia" w:eastAsiaTheme="minorEastAsia" w:cstheme="minorEastAsia"/>
                <w:szCs w:val="21"/>
                <w:lang w:val="zh-CN"/>
              </w:rPr>
              <w:t>67818721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中创恒梦工程咨询有限公司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根据国家发展与改革委员会办公厅发改办价格【2003】857号文的规定，经与采购人协商，由各包成交供应商按国家发展计划委员会计价格【2002】1980号文规定的取费标准的</w:t>
            </w:r>
            <w:r>
              <w:rPr>
                <w:rFonts w:hint="eastAsia" w:ascii="宋体" w:hAnsi="宋体" w:cs="宋体"/>
                <w:szCs w:val="21"/>
              </w:rPr>
              <w:t>80%</w:t>
            </w:r>
            <w:r>
              <w:rPr>
                <w:rFonts w:hint="eastAsia" w:asciiTheme="minorEastAsia" w:hAnsiTheme="minorEastAsia" w:eastAsiaTheme="minorEastAsia" w:cstheme="minorEastAsia"/>
                <w:szCs w:val="21"/>
              </w:rPr>
              <w:t>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5"/>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shd w:val="clear" w:color="FFFFFF" w:fill="D9D9D9"/>
                <w:lang w:val="zh-CN"/>
              </w:rPr>
              <w:t>（实质性</w:t>
            </w:r>
            <w:r>
              <w:rPr>
                <w:rFonts w:hint="eastAsia" w:asciiTheme="minorEastAsia" w:hAnsiTheme="minorEastAsia" w:eastAsiaTheme="minorEastAsia" w:cstheme="minorEastAsia"/>
                <w:b/>
                <w:bCs/>
                <w:szCs w:val="21"/>
                <w:shd w:val="clear" w:color="FFFFFF" w:fill="D9D9D9"/>
              </w:rPr>
              <w:t>内容</w:t>
            </w:r>
            <w:r>
              <w:rPr>
                <w:rFonts w:hint="eastAsia" w:asciiTheme="minorEastAsia" w:hAnsiTheme="minorEastAsia" w:eastAsiaTheme="minorEastAsia" w:cstheme="minorEastAsia"/>
                <w:b/>
                <w:bCs/>
                <w:szCs w:val="21"/>
                <w:shd w:val="clear" w:color="FFFFFF" w:fill="D9D9D9"/>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5"/>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本项目各包推荐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    ☑接  受；</w:t>
            </w:r>
            <w:r>
              <w:rPr>
                <w:rFonts w:hint="eastAsia"/>
              </w:rPr>
              <w:br w:type="textWrapping"/>
            </w:r>
            <w:r>
              <w:rPr>
                <w:rFonts w:hint="eastAsia"/>
              </w:rPr>
              <w:t>经财政部门审核同意购买的进口产品为：</w:t>
            </w:r>
            <w:r>
              <w:rPr>
                <w:rFonts w:hint="eastAsia"/>
                <w:b/>
                <w:bCs/>
                <w:u w:val="single"/>
              </w:rPr>
              <w:t>第1包  01+生物质与生物能源实验室建设项目1（进口设备） 所包含的货物</w:t>
            </w:r>
            <w:r>
              <w:rPr>
                <w:rFonts w:hint="eastAsia"/>
                <w:u w:val="single"/>
              </w:rPr>
              <w:t xml:space="preserve">  </w:t>
            </w:r>
          </w:p>
          <w:p>
            <w:pPr>
              <w:pStyle w:val="11"/>
            </w:pPr>
            <w:r>
              <w:rPr>
                <w:rFonts w:hint="eastAsia"/>
              </w:rPr>
              <w:t>备注：上述列明的货物均已履行相关论证手续，财政部门已审核同意购买进口产品。</w:t>
            </w:r>
          </w:p>
          <w:p>
            <w:pPr>
              <w:pStyle w:val="11"/>
            </w:pPr>
            <w:r>
              <w:rPr>
                <w:rFonts w:hint="eastAsia"/>
              </w:rPr>
              <w:t>在采购文件中明确规定可以采购进口产品的货物，不限制满足招标文件要求的国内产品参与竞争，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相同品牌的要求</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szCs w:val="21"/>
              </w:rPr>
              <w:t>本项目要求不同品牌的核心产品：</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b/>
                <w:bCs/>
                <w:color w:val="auto"/>
                <w:u w:val="single"/>
              </w:rPr>
              <w:t>第1包：高速冷冻离心机2</w:t>
            </w:r>
            <w:r>
              <w:rPr>
                <w:rFonts w:hint="eastAsia" w:asciiTheme="minorEastAsia" w:hAnsiTheme="minorEastAsia" w:eastAsiaTheme="minorEastAsia" w:cstheme="minorEastAsia"/>
                <w:color w:val="auto"/>
                <w:szCs w:val="21"/>
                <w:u w:val="single"/>
              </w:rPr>
              <w:t xml:space="preserve">     </w:t>
            </w:r>
          </w:p>
          <w:p>
            <w:pPr>
              <w:autoSpaceDE w:val="0"/>
              <w:autoSpaceDN w:val="0"/>
              <w:adjustRightInd w:val="0"/>
              <w:snapToGrid w:val="0"/>
              <w:spacing w:before="31" w:beforeLines="10" w:after="31" w:afterLines="10"/>
              <w:ind w:right="21" w:rightChars="10"/>
              <w:jc w:val="left"/>
              <w:rPr>
                <w:rFonts w:asciiTheme="minorEastAsia" w:hAnsiTheme="minorEastAsia" w:cstheme="minorEastAsia"/>
                <w:color w:val="auto"/>
                <w:szCs w:val="21"/>
              </w:rPr>
            </w:pPr>
            <w:r>
              <w:rPr>
                <w:rFonts w:hint="eastAsia"/>
                <w:b/>
                <w:bCs/>
                <w:color w:val="auto"/>
                <w:u w:val="single"/>
              </w:rPr>
              <w:t>第2包：多功能成像分析系统</w:t>
            </w:r>
          </w:p>
          <w:p>
            <w:pPr>
              <w:autoSpaceDE w:val="0"/>
              <w:autoSpaceDN w:val="0"/>
              <w:adjustRightInd w:val="0"/>
              <w:snapToGrid w:val="0"/>
              <w:spacing w:before="31" w:beforeLines="10" w:after="31" w:afterLines="10"/>
              <w:ind w:right="21" w:rightChars="10"/>
              <w:jc w:val="left"/>
              <w:rPr>
                <w:b/>
                <w:bCs/>
                <w:color w:val="auto"/>
                <w:u w:val="single"/>
              </w:rPr>
            </w:pPr>
            <w:r>
              <w:rPr>
                <w:rFonts w:hint="eastAsia"/>
                <w:b/>
                <w:bCs/>
                <w:color w:val="auto"/>
                <w:u w:val="single"/>
              </w:rPr>
              <w:t>第3包：荧光显微镜</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提供相同品牌主要产品且通过资格审查、符合性审查的不同供应商参加同一合同项下竞标的，按一家供应商计算，评审后得分最高的同品牌供应商获得成交供应商推荐资格；评审得分相同的，采取随机抽取方式确定，其他同品牌供应商不作为成交候选人。</w:t>
            </w:r>
          </w:p>
        </w:tc>
      </w:tr>
    </w:tbl>
    <w:p>
      <w:pP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br w:type="page"/>
      </w:r>
    </w:p>
    <w:p>
      <w:pPr>
        <w:spacing w:line="360" w:lineRule="auto"/>
        <w:outlineLvl w:val="1"/>
        <w:rPr>
          <w:rFonts w:asciiTheme="minorEastAsia" w:hAnsiTheme="minorEastAsia" w:eastAsiaTheme="minorEastAsia" w:cstheme="minorEastAsia"/>
          <w:b/>
          <w:szCs w:val="21"/>
        </w:rPr>
      </w:pPr>
      <w:bookmarkStart w:id="26" w:name="_Toc3814"/>
      <w:r>
        <w:rPr>
          <w:rFonts w:hint="eastAsia" w:asciiTheme="minorEastAsia" w:hAnsiTheme="minorEastAsia" w:eastAsiaTheme="minorEastAsia" w:cstheme="minorEastAsia"/>
          <w:b/>
          <w:szCs w:val="21"/>
        </w:rPr>
        <w:t>供应商须知</w:t>
      </w:r>
      <w:bookmarkEnd w:id="26"/>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7" w:name="_Toc8576"/>
      <w:r>
        <w:rPr>
          <w:rFonts w:hint="eastAsia" w:asciiTheme="minorEastAsia" w:hAnsiTheme="minorEastAsia" w:eastAsiaTheme="minorEastAsia" w:cstheme="minorEastAsia"/>
          <w:b/>
          <w:szCs w:val="21"/>
        </w:rPr>
        <w:t>总则</w:t>
      </w:r>
      <w:bookmarkEnd w:id="27"/>
    </w:p>
    <w:p>
      <w:pPr>
        <w:numPr>
          <w:ilvl w:val="0"/>
          <w:numId w:val="8"/>
        </w:numPr>
        <w:spacing w:line="360" w:lineRule="auto"/>
        <w:ind w:hanging="540"/>
        <w:outlineLvl w:val="1"/>
        <w:rPr>
          <w:rFonts w:asciiTheme="minorEastAsia" w:hAnsiTheme="minorEastAsia" w:eastAsiaTheme="minorEastAsia" w:cstheme="minorEastAsia"/>
          <w:b/>
          <w:szCs w:val="21"/>
        </w:rPr>
      </w:pPr>
      <w:bookmarkStart w:id="28" w:name="_Toc27243"/>
      <w:bookmarkStart w:id="29" w:name="_Toc31427"/>
      <w:r>
        <w:rPr>
          <w:rFonts w:hint="eastAsia" w:asciiTheme="minorEastAsia" w:hAnsiTheme="minorEastAsia" w:eastAsiaTheme="minorEastAsia" w:cstheme="minorEastAsia"/>
          <w:b/>
          <w:szCs w:val="21"/>
        </w:rPr>
        <w:t>适用法律及范围</w:t>
      </w:r>
      <w:bookmarkEnd w:id="28"/>
      <w:bookmarkEnd w:id="29"/>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0" w:name="_Toc30547"/>
      <w:bookmarkStart w:id="31" w:name="_Toc15026"/>
      <w:r>
        <w:rPr>
          <w:rFonts w:hint="eastAsia" w:asciiTheme="minorEastAsia" w:hAnsiTheme="minorEastAsia" w:eastAsiaTheme="minorEastAsia" w:cstheme="minorEastAsia"/>
          <w:b/>
          <w:szCs w:val="21"/>
        </w:rPr>
        <w:t>定义</w:t>
      </w:r>
      <w:bookmarkEnd w:id="30"/>
      <w:bookmarkEnd w:id="31"/>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2" w:name="_Toc23279"/>
      <w:bookmarkStart w:id="33" w:name="_Toc30503"/>
      <w:r>
        <w:rPr>
          <w:rFonts w:hint="eastAsia" w:asciiTheme="minorEastAsia" w:hAnsiTheme="minorEastAsia" w:eastAsiaTheme="minorEastAsia" w:cstheme="minorEastAsia"/>
          <w:b/>
          <w:snapToGrid w:val="0"/>
          <w:kern w:val="0"/>
          <w:szCs w:val="21"/>
          <w:lang w:val="zh-CN"/>
        </w:rPr>
        <w:t>工程、货物及服务</w:t>
      </w:r>
      <w:bookmarkEnd w:id="32"/>
      <w:bookmarkEnd w:id="33"/>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4" w:name="_Toc20617"/>
      <w:bookmarkStart w:id="35" w:name="_Toc9974"/>
      <w:r>
        <w:rPr>
          <w:rFonts w:hint="eastAsia" w:asciiTheme="minorEastAsia" w:hAnsiTheme="minorEastAsia" w:eastAsiaTheme="minorEastAsia" w:cstheme="minorEastAsia"/>
          <w:b/>
          <w:szCs w:val="21"/>
        </w:rPr>
        <w:t>费用</w:t>
      </w:r>
      <w:bookmarkEnd w:id="34"/>
      <w:bookmarkEnd w:id="35"/>
      <w:r>
        <w:rPr>
          <w:rFonts w:hint="eastAsia" w:asciiTheme="minorEastAsia" w:hAnsiTheme="minorEastAsia" w:eastAsiaTheme="minorEastAsia" w:cstheme="minorEastAsia"/>
          <w:b/>
          <w:szCs w:val="21"/>
        </w:rPr>
        <w:t xml:space="preserve">  </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6" w:name="_Toc18813"/>
      <w:r>
        <w:rPr>
          <w:rFonts w:hint="eastAsia" w:asciiTheme="minorEastAsia" w:hAnsiTheme="minorEastAsia" w:eastAsiaTheme="minorEastAsia" w:cstheme="minorEastAsia"/>
          <w:b/>
          <w:szCs w:val="21"/>
        </w:rPr>
        <w:t>竞争性磋商采购文件</w:t>
      </w:r>
      <w:bookmarkEnd w:id="36"/>
    </w:p>
    <w:p>
      <w:pPr>
        <w:numPr>
          <w:ilvl w:val="0"/>
          <w:numId w:val="8"/>
        </w:numPr>
        <w:spacing w:line="360" w:lineRule="auto"/>
        <w:ind w:hanging="540"/>
        <w:outlineLvl w:val="1"/>
        <w:rPr>
          <w:rFonts w:asciiTheme="minorEastAsia" w:hAnsiTheme="minorEastAsia" w:eastAsiaTheme="minorEastAsia" w:cstheme="minorEastAsia"/>
          <w:b/>
          <w:szCs w:val="21"/>
        </w:rPr>
      </w:pPr>
      <w:bookmarkStart w:id="37" w:name="_Toc31562"/>
      <w:bookmarkStart w:id="38" w:name="_Toc4547"/>
      <w:r>
        <w:rPr>
          <w:rFonts w:hint="eastAsia" w:asciiTheme="minorEastAsia" w:hAnsiTheme="minorEastAsia" w:eastAsiaTheme="minorEastAsia" w:cstheme="minorEastAsia"/>
          <w:b/>
          <w:szCs w:val="21"/>
        </w:rPr>
        <w:t>竞争性磋商采购文件的构成</w:t>
      </w:r>
      <w:bookmarkEnd w:id="37"/>
      <w:bookmarkEnd w:id="38"/>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39" w:name="_Toc29700"/>
      <w:bookmarkStart w:id="40" w:name="_Toc21012"/>
      <w:r>
        <w:rPr>
          <w:rFonts w:hint="eastAsia" w:asciiTheme="minorEastAsia" w:hAnsiTheme="minorEastAsia" w:eastAsiaTheme="minorEastAsia" w:cstheme="minorEastAsia"/>
          <w:b/>
          <w:snapToGrid w:val="0"/>
          <w:kern w:val="0"/>
          <w:szCs w:val="21"/>
          <w:lang w:val="zh-CN"/>
        </w:rPr>
        <w:t>竞争性磋商采购文件的澄清</w:t>
      </w:r>
      <w:bookmarkEnd w:id="39"/>
      <w:bookmarkEnd w:id="40"/>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1" w:name="_Toc664"/>
      <w:bookmarkStart w:id="42" w:name="_Toc31761"/>
      <w:r>
        <w:rPr>
          <w:rFonts w:hint="eastAsia" w:asciiTheme="minorEastAsia" w:hAnsiTheme="minorEastAsia" w:eastAsiaTheme="minorEastAsia" w:cstheme="minorEastAsia"/>
          <w:b/>
          <w:snapToGrid w:val="0"/>
          <w:kern w:val="0"/>
          <w:szCs w:val="21"/>
          <w:lang w:val="zh-CN"/>
        </w:rPr>
        <w:t>竞争性磋商采购文件的修改</w:t>
      </w:r>
      <w:bookmarkEnd w:id="41"/>
      <w:bookmarkEnd w:id="42"/>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3" w:name="_Toc9751"/>
      <w:r>
        <w:rPr>
          <w:rFonts w:hint="eastAsia" w:asciiTheme="minorEastAsia" w:hAnsiTheme="minorEastAsia" w:eastAsiaTheme="minorEastAsia" w:cstheme="minorEastAsia"/>
          <w:b/>
          <w:szCs w:val="21"/>
        </w:rPr>
        <w:t>竞争性磋商响应文件</w:t>
      </w:r>
      <w:bookmarkEnd w:id="43"/>
    </w:p>
    <w:p>
      <w:pPr>
        <w:numPr>
          <w:ilvl w:val="0"/>
          <w:numId w:val="8"/>
        </w:numPr>
        <w:spacing w:line="360" w:lineRule="auto"/>
        <w:ind w:hanging="540"/>
        <w:outlineLvl w:val="1"/>
        <w:rPr>
          <w:rFonts w:asciiTheme="minorEastAsia" w:hAnsiTheme="minorEastAsia" w:eastAsiaTheme="minorEastAsia" w:cstheme="minorEastAsia"/>
          <w:snapToGrid w:val="0"/>
          <w:kern w:val="0"/>
          <w:szCs w:val="21"/>
          <w:lang w:val="zh-CN"/>
        </w:rPr>
      </w:pPr>
      <w:bookmarkStart w:id="44" w:name="_Toc24933"/>
      <w:bookmarkStart w:id="45" w:name="_Toc30987"/>
      <w:r>
        <w:rPr>
          <w:rFonts w:hint="eastAsia" w:asciiTheme="minorEastAsia" w:hAnsiTheme="minorEastAsia" w:eastAsiaTheme="minorEastAsia" w:cstheme="minorEastAsia"/>
          <w:b/>
          <w:snapToGrid w:val="0"/>
          <w:kern w:val="0"/>
          <w:szCs w:val="21"/>
          <w:lang w:val="zh-CN"/>
        </w:rPr>
        <w:t>语言和计量单位</w:t>
      </w:r>
      <w:bookmarkEnd w:id="44"/>
      <w:bookmarkEnd w:id="45"/>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6" w:name="_Toc32272"/>
      <w:bookmarkStart w:id="47" w:name="_Toc12108"/>
      <w:r>
        <w:rPr>
          <w:rFonts w:hint="eastAsia" w:asciiTheme="minorEastAsia" w:hAnsiTheme="minorEastAsia" w:eastAsiaTheme="minorEastAsia" w:cstheme="minorEastAsia"/>
          <w:b/>
          <w:snapToGrid w:val="0"/>
          <w:kern w:val="0"/>
          <w:szCs w:val="21"/>
          <w:lang w:val="zh-CN"/>
        </w:rPr>
        <w:t>竞争性磋商响应文件的构成</w:t>
      </w:r>
      <w:bookmarkEnd w:id="46"/>
      <w:bookmarkEnd w:id="47"/>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8" w:name="_Toc25217"/>
      <w:bookmarkStart w:id="49" w:name="_Toc12949"/>
      <w:r>
        <w:rPr>
          <w:rFonts w:hint="eastAsia" w:asciiTheme="minorEastAsia" w:hAnsiTheme="minorEastAsia" w:eastAsiaTheme="minorEastAsia" w:cstheme="minorEastAsia"/>
          <w:b/>
          <w:snapToGrid w:val="0"/>
          <w:kern w:val="0"/>
          <w:szCs w:val="21"/>
          <w:lang w:val="zh-CN"/>
        </w:rPr>
        <w:t>竞争性磋商响应文件的编制</w:t>
      </w:r>
      <w:bookmarkEnd w:id="48"/>
      <w:bookmarkEnd w:id="49"/>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50" w:name="_Toc24544"/>
      <w:bookmarkStart w:id="51" w:name="_Toc23662"/>
      <w:r>
        <w:rPr>
          <w:rFonts w:hint="eastAsia" w:asciiTheme="minorEastAsia" w:hAnsiTheme="minorEastAsia" w:eastAsiaTheme="minorEastAsia" w:cstheme="minorEastAsia"/>
          <w:b/>
          <w:snapToGrid w:val="0"/>
          <w:kern w:val="0"/>
          <w:szCs w:val="21"/>
          <w:lang w:val="zh-CN"/>
        </w:rPr>
        <w:t>磋商报价</w:t>
      </w:r>
      <w:bookmarkEnd w:id="50"/>
      <w:bookmarkEnd w:id="51"/>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2" w:name="_Toc5047"/>
      <w:bookmarkStart w:id="53" w:name="_Toc6176"/>
      <w:r>
        <w:rPr>
          <w:rFonts w:hint="eastAsia" w:asciiTheme="minorEastAsia" w:hAnsiTheme="minorEastAsia" w:eastAsiaTheme="minorEastAsia" w:cstheme="minorEastAsia"/>
          <w:b/>
          <w:snapToGrid w:val="0"/>
          <w:kern w:val="0"/>
          <w:szCs w:val="21"/>
          <w:lang w:val="zh-CN"/>
        </w:rPr>
        <w:t>备选方案</w:t>
      </w:r>
      <w:bookmarkEnd w:id="52"/>
      <w:bookmarkEnd w:id="53"/>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4" w:name="_Toc8074"/>
      <w:bookmarkStart w:id="55" w:name="_Toc3324"/>
      <w:r>
        <w:rPr>
          <w:rFonts w:hint="eastAsia" w:asciiTheme="minorEastAsia" w:hAnsiTheme="minorEastAsia" w:eastAsiaTheme="minorEastAsia" w:cstheme="minorEastAsia"/>
          <w:b/>
          <w:snapToGrid w:val="0"/>
          <w:kern w:val="0"/>
          <w:szCs w:val="21"/>
          <w:lang w:val="zh-CN"/>
        </w:rPr>
        <w:t>联合体</w:t>
      </w:r>
      <w:bookmarkEnd w:id="54"/>
      <w:bookmarkEnd w:id="55"/>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6" w:name="_Toc13947"/>
      <w:bookmarkStart w:id="57" w:name="_Toc2434"/>
      <w:r>
        <w:rPr>
          <w:rFonts w:hint="eastAsia" w:asciiTheme="minorEastAsia" w:hAnsiTheme="minorEastAsia" w:eastAsiaTheme="minorEastAsia" w:cstheme="minorEastAsia"/>
          <w:b/>
          <w:snapToGrid w:val="0"/>
          <w:kern w:val="0"/>
          <w:szCs w:val="21"/>
          <w:lang w:val="zh-CN"/>
        </w:rPr>
        <w:t>供应商资格证明文件</w:t>
      </w:r>
      <w:bookmarkEnd w:id="56"/>
      <w:bookmarkEnd w:id="57"/>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8" w:name="_Toc9935"/>
      <w:bookmarkStart w:id="59" w:name="_Toc5148"/>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8"/>
      <w:bookmarkEnd w:id="59"/>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0" w:name="_Toc27068"/>
      <w:bookmarkStart w:id="61" w:name="_Toc24264"/>
      <w:r>
        <w:rPr>
          <w:rFonts w:hint="eastAsia" w:asciiTheme="minorEastAsia" w:hAnsiTheme="minorEastAsia" w:eastAsiaTheme="minorEastAsia" w:cstheme="minorEastAsia"/>
          <w:b/>
          <w:snapToGrid w:val="0"/>
          <w:kern w:val="0"/>
          <w:szCs w:val="21"/>
          <w:lang w:val="zh-CN"/>
        </w:rPr>
        <w:t>磋商保证金</w:t>
      </w:r>
      <w:bookmarkEnd w:id="60"/>
      <w:bookmarkEnd w:id="61"/>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2" w:name="_Toc13129"/>
      <w:bookmarkStart w:id="63" w:name="_Toc5668"/>
      <w:r>
        <w:rPr>
          <w:rFonts w:hint="eastAsia" w:asciiTheme="minorEastAsia" w:hAnsiTheme="minorEastAsia" w:eastAsiaTheme="minorEastAsia" w:cstheme="minorEastAsia"/>
          <w:b/>
          <w:snapToGrid w:val="0"/>
          <w:kern w:val="0"/>
          <w:szCs w:val="21"/>
          <w:lang w:val="zh-CN"/>
        </w:rPr>
        <w:t>磋商有效期</w:t>
      </w:r>
      <w:bookmarkEnd w:id="62"/>
      <w:bookmarkEnd w:id="63"/>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4" w:name="_Toc15013"/>
      <w:bookmarkStart w:id="65" w:name="_Toc8272"/>
      <w:r>
        <w:rPr>
          <w:rFonts w:hint="eastAsia" w:asciiTheme="minorEastAsia" w:hAnsiTheme="minorEastAsia" w:eastAsiaTheme="minorEastAsia" w:cstheme="minorEastAsia"/>
          <w:b/>
          <w:snapToGrid w:val="0"/>
          <w:kern w:val="0"/>
          <w:szCs w:val="21"/>
          <w:lang w:val="zh-CN"/>
        </w:rPr>
        <w:t>竞争性磋商响应文件的装订、签署和数量</w:t>
      </w:r>
      <w:bookmarkEnd w:id="64"/>
      <w:bookmarkEnd w:id="65"/>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6" w:name="_Toc28327"/>
      <w:r>
        <w:rPr>
          <w:rFonts w:hint="eastAsia" w:asciiTheme="minorEastAsia" w:hAnsiTheme="minorEastAsia" w:eastAsiaTheme="minorEastAsia" w:cstheme="minorEastAsia"/>
          <w:b/>
          <w:szCs w:val="21"/>
        </w:rPr>
        <w:t>竞争性磋商响应文件的递交</w:t>
      </w:r>
      <w:bookmarkEnd w:id="66"/>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7" w:name="_Toc27305"/>
      <w:bookmarkStart w:id="68" w:name="_Toc10835"/>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7"/>
      <w:bookmarkEnd w:id="68"/>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9" w:name="_Toc17857"/>
      <w:bookmarkStart w:id="70" w:name="_Toc3688"/>
      <w:r>
        <w:rPr>
          <w:rFonts w:hint="eastAsia" w:asciiTheme="minorEastAsia" w:hAnsiTheme="minorEastAsia" w:eastAsiaTheme="minorEastAsia" w:cstheme="minorEastAsia"/>
          <w:b/>
          <w:snapToGrid w:val="0"/>
          <w:kern w:val="0"/>
          <w:szCs w:val="21"/>
          <w:lang w:val="zh-CN"/>
        </w:rPr>
        <w:t>竞争性磋商响应文件的送达地点及截止时间</w:t>
      </w:r>
      <w:bookmarkEnd w:id="69"/>
      <w:bookmarkEnd w:id="70"/>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b/>
          <w:snapToGrid w:val="0"/>
          <w:kern w:val="0"/>
          <w:szCs w:val="21"/>
        </w:rPr>
        <w:t xml:space="preserve"> </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1" w:name="_Toc585"/>
      <w:bookmarkStart w:id="72" w:name="_Toc31376"/>
      <w:r>
        <w:rPr>
          <w:rFonts w:hint="eastAsia" w:asciiTheme="minorEastAsia" w:hAnsiTheme="minorEastAsia" w:eastAsiaTheme="minorEastAsia" w:cstheme="minorEastAsia"/>
          <w:b/>
          <w:snapToGrid w:val="0"/>
          <w:kern w:val="0"/>
          <w:szCs w:val="21"/>
          <w:lang w:val="zh-CN"/>
        </w:rPr>
        <w:t>迟交的竞争性磋商响应文件</w:t>
      </w:r>
      <w:bookmarkEnd w:id="71"/>
      <w:bookmarkEnd w:id="72"/>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3" w:name="_Toc22007"/>
      <w:bookmarkStart w:id="74" w:name="_Toc31760"/>
      <w:r>
        <w:rPr>
          <w:rFonts w:hint="eastAsia" w:asciiTheme="minorEastAsia" w:hAnsiTheme="minorEastAsia" w:eastAsiaTheme="minorEastAsia" w:cstheme="minorEastAsia"/>
          <w:b/>
          <w:snapToGrid w:val="0"/>
          <w:kern w:val="0"/>
          <w:szCs w:val="21"/>
          <w:lang w:val="zh-CN"/>
        </w:rPr>
        <w:t>竞争性磋商响应文件的补充、修改或者撤回</w:t>
      </w:r>
      <w:bookmarkEnd w:id="73"/>
      <w:bookmarkEnd w:id="74"/>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5" w:name="_Toc24044"/>
      <w:r>
        <w:rPr>
          <w:rFonts w:hint="eastAsia" w:asciiTheme="minorEastAsia" w:hAnsiTheme="minorEastAsia" w:eastAsiaTheme="minorEastAsia" w:cstheme="minorEastAsia"/>
          <w:b/>
          <w:szCs w:val="21"/>
        </w:rPr>
        <w:t>磋商程序及步骤</w:t>
      </w:r>
      <w:bookmarkEnd w:id="75"/>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6" w:name="_Toc22624"/>
      <w:bookmarkStart w:id="77" w:name="_Toc19001"/>
      <w:r>
        <w:rPr>
          <w:rFonts w:hint="eastAsia" w:asciiTheme="minorEastAsia" w:hAnsiTheme="minorEastAsia" w:eastAsiaTheme="minorEastAsia" w:cstheme="minorEastAsia"/>
          <w:b/>
        </w:rPr>
        <w:t>竞争性磋商小组</w:t>
      </w:r>
      <w:bookmarkEnd w:id="76"/>
      <w:bookmarkEnd w:id="77"/>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8" w:name="_Toc4418"/>
      <w:bookmarkStart w:id="79" w:name="_Toc21483"/>
      <w:r>
        <w:rPr>
          <w:rFonts w:hint="eastAsia" w:asciiTheme="minorEastAsia" w:hAnsiTheme="minorEastAsia" w:eastAsiaTheme="minorEastAsia" w:cstheme="minorEastAsia"/>
          <w:b/>
        </w:rPr>
        <w:t>磋商代表</w:t>
      </w:r>
      <w:bookmarkEnd w:id="78"/>
      <w:bookmarkEnd w:id="79"/>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0" w:name="_Toc32662"/>
      <w:bookmarkStart w:id="81" w:name="_Toc99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szCs w:val="21"/>
        </w:rPr>
        <w:t>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2" w:name="_Toc3854"/>
      <w:r>
        <w:rPr>
          <w:rFonts w:hint="eastAsia" w:asciiTheme="minorEastAsia" w:hAnsiTheme="minorEastAsia" w:eastAsiaTheme="minorEastAsia" w:cstheme="minorEastAsia"/>
          <w:b/>
        </w:rPr>
        <w:t>资格审查和符合性审查</w:t>
      </w:r>
      <w:bookmarkEnd w:id="82"/>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30950"/>
      <w:r>
        <w:rPr>
          <w:rFonts w:hint="eastAsia" w:asciiTheme="minorEastAsia" w:hAnsiTheme="minorEastAsia" w:eastAsiaTheme="minorEastAsia" w:cstheme="minorEastAsia"/>
          <w:b/>
        </w:rPr>
        <w:t>磋商</w:t>
      </w:r>
      <w:bookmarkEnd w:id="83"/>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4" w:name="_Toc15829"/>
      <w:r>
        <w:rPr>
          <w:rFonts w:hint="eastAsia" w:asciiTheme="minorEastAsia" w:hAnsiTheme="minorEastAsia" w:eastAsiaTheme="minorEastAsia" w:cstheme="minorEastAsia"/>
          <w:b/>
          <w:lang w:val="zh-CN"/>
        </w:rPr>
        <w:t>保密</w:t>
      </w:r>
      <w:bookmarkEnd w:id="84"/>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2"/>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5" w:name="_Toc8978"/>
      <w:bookmarkStart w:id="86" w:name="_Toc15936"/>
      <w:r>
        <w:rPr>
          <w:rFonts w:hint="eastAsia" w:asciiTheme="minorEastAsia" w:hAnsiTheme="minorEastAsia" w:eastAsiaTheme="minorEastAsia" w:cstheme="minorEastAsia"/>
          <w:b/>
          <w:szCs w:val="21"/>
        </w:rPr>
        <w:t>成交与签订合同</w:t>
      </w:r>
      <w:bookmarkEnd w:id="85"/>
      <w:bookmarkEnd w:id="86"/>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7" w:name="_Toc21514"/>
      <w:bookmarkStart w:id="88" w:name="_Toc25843"/>
      <w:r>
        <w:rPr>
          <w:rFonts w:hint="eastAsia" w:asciiTheme="minorEastAsia" w:hAnsiTheme="minorEastAsia" w:eastAsiaTheme="minorEastAsia" w:cstheme="minorEastAsia"/>
          <w:b/>
          <w:lang w:val="zh-CN"/>
        </w:rPr>
        <w:t>合同授予标准</w:t>
      </w:r>
      <w:bookmarkEnd w:id="87"/>
      <w:bookmarkEnd w:id="88"/>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w:t>
      </w:r>
      <w:r>
        <w:rPr>
          <w:rFonts w:hint="eastAsia" w:asciiTheme="minorEastAsia" w:hAnsiTheme="minorEastAsia" w:eastAsiaTheme="minorEastAsia" w:cstheme="minorEastAsia"/>
          <w:iCs/>
          <w:snapToGrid w:val="0"/>
          <w:kern w:val="0"/>
          <w:szCs w:val="21"/>
        </w:rPr>
        <w:t xml:space="preserve">  </w:t>
      </w:r>
      <w:r>
        <w:rPr>
          <w:rFonts w:hint="eastAsia" w:asciiTheme="minorEastAsia" w:hAnsiTheme="minorEastAsia" w:eastAsiaTheme="minorEastAsia" w:cstheme="minorEastAsia"/>
          <w:iCs/>
          <w:snapToGrid w:val="0"/>
          <w:kern w:val="0"/>
          <w:szCs w:val="21"/>
          <w:lang w:val="zh-CN"/>
        </w:rPr>
        <w:t>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r>
        <w:rPr>
          <w:rFonts w:ascii="宋体" w:hAnsi="宋体" w:cs="宋体"/>
          <w:szCs w:val="21"/>
        </w:rPr>
        <w:t xml:space="preserve">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9" w:name="_Toc24948"/>
      <w:bookmarkStart w:id="90" w:name="_Toc15727"/>
      <w:r>
        <w:rPr>
          <w:rFonts w:hint="eastAsia" w:asciiTheme="minorEastAsia" w:hAnsiTheme="minorEastAsia" w:eastAsiaTheme="minorEastAsia" w:cstheme="minorEastAsia"/>
          <w:b/>
          <w:lang w:val="zh-CN"/>
        </w:rPr>
        <w:t>签订合同</w:t>
      </w:r>
      <w:bookmarkEnd w:id="89"/>
      <w:bookmarkEnd w:id="90"/>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29.1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 xml:space="preserve">29.2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29.5 </w:t>
      </w: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 xml:space="preserve">29.6 </w:t>
      </w:r>
      <w:r>
        <w:rPr>
          <w:rFonts w:hint="eastAsia" w:asciiTheme="minorEastAsia" w:hAnsiTheme="minorEastAsia" w:eastAsiaTheme="minorEastAsia" w:cstheme="minorEastAsia"/>
          <w:snapToGrid w:val="0"/>
          <w:szCs w:val="21"/>
        </w:rPr>
        <w:t xml:space="preserve"> </w:t>
      </w:r>
      <w:r>
        <w:rPr>
          <w:rFonts w:hint="eastAsia" w:asciiTheme="minorEastAsia" w:hAnsiTheme="minorEastAsia" w:eastAsiaTheme="minorEastAsia" w:cstheme="minorEastAsia"/>
          <w:snapToGrid w:val="0"/>
          <w:szCs w:val="21"/>
          <w:lang w:val="zh-CN"/>
        </w:rPr>
        <w:t>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1" w:name="_Toc4883"/>
      <w:bookmarkStart w:id="92" w:name="_Toc14510"/>
      <w:bookmarkStart w:id="93" w:name="_Toc13988"/>
      <w:r>
        <w:rPr>
          <w:rFonts w:hint="eastAsia" w:asciiTheme="minorEastAsia" w:hAnsiTheme="minorEastAsia" w:eastAsiaTheme="minorEastAsia" w:cstheme="minorEastAsia"/>
          <w:b/>
          <w:szCs w:val="21"/>
          <w:lang w:val="zh-CN"/>
        </w:rPr>
        <w:t>质疑和投诉</w:t>
      </w:r>
      <w:bookmarkEnd w:id="91"/>
      <w:bookmarkEnd w:id="92"/>
      <w:bookmarkEnd w:id="93"/>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 xml:space="preserve"> </w:t>
      </w:r>
      <w:r>
        <w:rPr>
          <w:rFonts w:hint="eastAsia" w:ascii="宋体" w:hAnsi="宋体" w:cs="宋体"/>
          <w:snapToGrid w:val="0"/>
          <w:kern w:val="0"/>
          <w:szCs w:val="21"/>
          <w:lang w:val="zh-CN"/>
        </w:rPr>
        <w:t>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w:t>
      </w:r>
      <w:r>
        <w:rPr>
          <w:rFonts w:hint="eastAsia" w:ascii="宋体" w:hAnsi="宋体" w:cs="宋体"/>
          <w:snapToGrid w:val="0"/>
          <w:kern w:val="0"/>
          <w:szCs w:val="21"/>
        </w:rPr>
        <w:t xml:space="preserve"> </w:t>
      </w:r>
      <w:r>
        <w:rPr>
          <w:rFonts w:hint="eastAsia" w:ascii="宋体" w:hAnsi="宋体" w:cs="宋体"/>
          <w:snapToGrid w:val="0"/>
          <w:kern w:val="0"/>
          <w:szCs w:val="21"/>
          <w:lang w:val="zh-CN"/>
        </w:rPr>
        <w:t>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4" w:name="_Toc20387"/>
      <w:bookmarkStart w:id="95" w:name="_Toc8370"/>
      <w:r>
        <w:rPr>
          <w:rFonts w:hint="eastAsia" w:asciiTheme="minorEastAsia" w:hAnsiTheme="minorEastAsia" w:eastAsiaTheme="minorEastAsia" w:cstheme="minorEastAsia"/>
          <w:b/>
          <w:lang w:val="zh-CN"/>
        </w:rPr>
        <w:t>质疑回复</w:t>
      </w:r>
      <w:bookmarkEnd w:id="94"/>
      <w:bookmarkEnd w:id="9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6" w:name="_Toc459"/>
      <w:bookmarkStart w:id="97" w:name="_Toc4903"/>
      <w:r>
        <w:rPr>
          <w:rFonts w:hint="eastAsia" w:asciiTheme="minorEastAsia" w:hAnsiTheme="minorEastAsia" w:eastAsiaTheme="minorEastAsia" w:cstheme="minorEastAsia"/>
          <w:b/>
          <w:lang w:val="zh-CN"/>
        </w:rPr>
        <w:t>投诉</w:t>
      </w:r>
      <w:bookmarkEnd w:id="96"/>
      <w:bookmarkEnd w:id="97"/>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8" w:name="_Toc32751"/>
      <w:bookmarkStart w:id="99" w:name="_Toc14767"/>
      <w:bookmarkStart w:id="100" w:name="_Toc28705"/>
      <w:bookmarkStart w:id="101" w:name="_Toc30010"/>
      <w:bookmarkStart w:id="102" w:name="_Toc5571"/>
      <w:r>
        <w:rPr>
          <w:rFonts w:hint="eastAsia" w:asciiTheme="minorEastAsia" w:hAnsiTheme="minorEastAsia" w:eastAsiaTheme="minorEastAsia" w:cstheme="minorEastAsia"/>
          <w:b/>
          <w:szCs w:val="21"/>
          <w:lang w:val="zh-CN"/>
        </w:rPr>
        <w:t>政策</w:t>
      </w:r>
      <w:bookmarkEnd w:id="98"/>
      <w:bookmarkEnd w:id="99"/>
      <w:bookmarkEnd w:id="100"/>
      <w:bookmarkEnd w:id="101"/>
      <w:bookmarkEnd w:id="102"/>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103" w:name="_Toc12046"/>
      <w:bookmarkStart w:id="104" w:name="_Toc28842"/>
      <w:r>
        <w:rPr>
          <w:rFonts w:hint="eastAsia" w:asciiTheme="minorEastAsia" w:hAnsiTheme="minorEastAsia" w:eastAsiaTheme="minorEastAsia" w:cstheme="minorEastAsia"/>
          <w:b/>
        </w:rPr>
        <w:t>政府采购政策</w:t>
      </w:r>
      <w:bookmarkEnd w:id="103"/>
      <w:bookmarkEnd w:id="104"/>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kern w:val="0"/>
          <w:szCs w:val="21"/>
        </w:rPr>
        <w:t xml:space="preserve"> </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w:t>
      </w:r>
      <w:r>
        <w:rPr>
          <w:rFonts w:hint="eastAsia" w:ascii="宋体" w:hAnsi="宋体" w:cs="宋体"/>
          <w:snapToGrid w:val="0"/>
          <w:kern w:val="0"/>
          <w:szCs w:val="21"/>
        </w:rPr>
        <w:t xml:space="preserve">  </w:t>
      </w:r>
      <w:r>
        <w:rPr>
          <w:rFonts w:hint="eastAsia" w:ascii="宋体" w:hAnsi="宋体" w:cs="宋体"/>
          <w:snapToGrid w:val="0"/>
          <w:kern w:val="0"/>
          <w:szCs w:val="21"/>
          <w:lang w:val="zh-CN"/>
        </w:rPr>
        <w:t>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5" w:name="_Toc25296"/>
      <w:bookmarkStart w:id="106" w:name="_Toc15223"/>
      <w:r>
        <w:rPr>
          <w:rFonts w:hint="eastAsia" w:asciiTheme="minorEastAsia" w:hAnsiTheme="minorEastAsia" w:eastAsiaTheme="minorEastAsia" w:cstheme="minorEastAsia"/>
          <w:b/>
          <w:szCs w:val="21"/>
          <w:lang w:val="zh-CN"/>
        </w:rPr>
        <w:t>其他要求</w:t>
      </w:r>
      <w:bookmarkEnd w:id="105"/>
      <w:bookmarkEnd w:id="106"/>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7" w:name="_Toc6749"/>
      <w:bookmarkStart w:id="108" w:name="_Toc28137"/>
      <w:r>
        <w:rPr>
          <w:rFonts w:hint="eastAsia" w:asciiTheme="minorEastAsia" w:hAnsiTheme="minorEastAsia" w:eastAsiaTheme="minorEastAsia" w:cstheme="minorEastAsia"/>
          <w:b/>
          <w:szCs w:val="21"/>
          <w:lang w:val="zh-CN"/>
        </w:rPr>
        <w:t>适用法律</w:t>
      </w:r>
      <w:bookmarkEnd w:id="107"/>
      <w:bookmarkEnd w:id="108"/>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采购人或者采购代理机构和供应商的一切采购活动均适用于《中华人民共和国政府采购法》、《中华人民共和国政府采购实施条例》、《政府采购竞争性磋商采购方式管理办法》等相关规定。</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b/>
          <w:bCs/>
          <w:snapToGrid w:val="0"/>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rPr>
        <w:t xml:space="preserve">  </w:t>
      </w: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09" w:name="_Toc15612"/>
      <w:r>
        <w:rPr>
          <w:rFonts w:hint="eastAsia" w:asciiTheme="minorEastAsia" w:hAnsiTheme="minorEastAsia" w:eastAsiaTheme="minorEastAsia" w:cstheme="minorEastAsia"/>
          <w:b/>
          <w:bCs/>
          <w:sz w:val="36"/>
          <w:szCs w:val="36"/>
        </w:rPr>
        <w:t>采购需求</w:t>
      </w:r>
      <w:bookmarkEnd w:id="109"/>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0" w:name="_Toc29719"/>
      <w:r>
        <w:rPr>
          <w:rFonts w:hint="eastAsia" w:asciiTheme="minorEastAsia" w:hAnsiTheme="minorEastAsia" w:eastAsiaTheme="minorEastAsia" w:cstheme="minorEastAsia"/>
          <w:b/>
          <w:bCs/>
          <w:sz w:val="24"/>
        </w:rPr>
        <w:t>第1包：01+生物质与生物能源实验室建设项目1（进口设备）</w:t>
      </w:r>
      <w:bookmarkEnd w:id="110"/>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6926"/>
      <w:r>
        <w:rPr>
          <w:rFonts w:hint="eastAsia" w:asciiTheme="minorEastAsia" w:hAnsiTheme="minorEastAsia" w:eastAsiaTheme="minorEastAsia" w:cstheme="minorEastAsia"/>
          <w:b/>
          <w:bCs/>
          <w:sz w:val="24"/>
        </w:rPr>
        <w:t>一、技术需求</w:t>
      </w:r>
      <w:bookmarkEnd w:id="111"/>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w:t>
      </w:r>
      <w:r>
        <w:rPr>
          <w:rFonts w:hint="eastAsia" w:cs="宋体" w:asciiTheme="minorEastAsia" w:hAnsiTheme="minorEastAsia" w:eastAsiaTheme="minorEastAsia"/>
          <w:b/>
          <w:bCs/>
          <w:szCs w:val="21"/>
        </w:rPr>
        <w:t>本项目包拟采购进口设备一批。</w:t>
      </w:r>
      <w:r>
        <w:rPr>
          <w:rFonts w:hint="eastAsia" w:asciiTheme="minorEastAsia" w:hAnsiTheme="minorEastAsia" w:eastAsiaTheme="minorEastAsia" w:cstheme="minorEastAsia"/>
          <w:szCs w:val="21"/>
        </w:rPr>
        <w:t>包含制冰机、普通PCR、电转化仪、高速冷冻离心机1、高速冷冻离心机2、小型高速常温离心机、移液器（单道）、移液器（12道）。</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2.设备/货物清单及要求</w:t>
      </w:r>
    </w:p>
    <w:tbl>
      <w:tblPr>
        <w:tblStyle w:val="28"/>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056"/>
        <w:gridCol w:w="4653"/>
        <w:gridCol w:w="689"/>
        <w:gridCol w:w="720"/>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57"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05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设备（服务）名称</w:t>
            </w:r>
          </w:p>
        </w:tc>
        <w:tc>
          <w:tcPr>
            <w:tcW w:w="4653"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技术性能参数要求</w:t>
            </w:r>
          </w:p>
        </w:tc>
        <w:tc>
          <w:tcPr>
            <w:tcW w:w="6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数量</w:t>
            </w:r>
          </w:p>
        </w:tc>
        <w:tc>
          <w:tcPr>
            <w:tcW w:w="72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单位</w:t>
            </w:r>
          </w:p>
        </w:tc>
        <w:tc>
          <w:tcPr>
            <w:tcW w:w="838" w:type="dxa"/>
            <w:vAlign w:val="center"/>
          </w:tcPr>
          <w:p>
            <w:pPr>
              <w:widowControl/>
              <w:jc w:val="center"/>
              <w:rPr>
                <w:rFonts w:eastAsiaTheme="minorEastAsia"/>
                <w:szCs w:val="21"/>
              </w:rPr>
            </w:pPr>
            <w:r>
              <w:rPr>
                <w:rFonts w:hint="eastAsia" w:eastAsiaTheme="minorEastAsia"/>
                <w:szCs w:val="21"/>
              </w:rPr>
              <w:t>是否进口设备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8"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制冰机</w:t>
            </w:r>
          </w:p>
        </w:tc>
        <w:tc>
          <w:tcPr>
            <w:tcW w:w="4653" w:type="dxa"/>
          </w:tcPr>
          <w:p>
            <w:pPr>
              <w:numPr>
                <w:ilvl w:val="0"/>
                <w:numId w:val="34"/>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制冰机是用来给实验中制备碎冰，进行低温操作的基础设备，用来提供低温环境，</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pStyle w:val="114"/>
              <w:ind w:firstLine="210" w:firstLineChars="1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lang w:val="zh-TW" w:eastAsia="zh-TW"/>
              </w:rPr>
              <w:t>外部尺寸≤</w:t>
            </w:r>
            <w:r>
              <w:rPr>
                <w:rFonts w:hint="eastAsia" w:asciiTheme="minorEastAsia" w:hAnsiTheme="minorEastAsia" w:eastAsiaTheme="minorEastAsia" w:cstheme="minorEastAsia"/>
                <w:color w:val="auto"/>
              </w:rPr>
              <w:t>600*600*800</w:t>
            </w:r>
            <w:r>
              <w:rPr>
                <w:rFonts w:asciiTheme="minorEastAsia" w:hAnsiTheme="minorEastAsia" w:eastAsiaTheme="minorEastAsia" w:cstheme="minorEastAsia"/>
                <w:color w:val="auto"/>
              </w:rPr>
              <w:t xml:space="preserve"> mm</w:t>
            </w:r>
          </w:p>
          <w:p>
            <w:pPr>
              <w:pStyle w:val="114"/>
              <w:ind w:left="420" w:hanging="420" w:hangingChars="200"/>
              <w:jc w:val="left"/>
              <w:rPr>
                <w:rFonts w:asciiTheme="minorEastAsia" w:hAnsiTheme="minorEastAsia" w:eastAsiaTheme="minorEastAsia" w:cstheme="minorEastAsia"/>
                <w:color w:val="auto"/>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color w:val="auto"/>
              </w:rPr>
              <w:t>2.</w:t>
            </w:r>
            <w:r>
              <w:rPr>
                <w:rFonts w:hint="eastAsia" w:asciiTheme="minorEastAsia" w:hAnsiTheme="minorEastAsia" w:eastAsiaTheme="minorEastAsia" w:cstheme="minorEastAsia"/>
                <w:color w:val="auto"/>
                <w:lang w:val="zh-TW" w:eastAsia="zh-TW"/>
              </w:rPr>
              <w:t>制冰量≥</w:t>
            </w:r>
            <w:r>
              <w:rPr>
                <w:rFonts w:hint="eastAsia" w:asciiTheme="minorEastAsia" w:hAnsiTheme="minorEastAsia" w:eastAsiaTheme="minorEastAsia" w:cstheme="minorEastAsia"/>
                <w:color w:val="auto"/>
              </w:rPr>
              <w:t>130kg/</w:t>
            </w:r>
            <w:r>
              <w:rPr>
                <w:rFonts w:hint="eastAsia" w:asciiTheme="minorEastAsia" w:hAnsiTheme="minorEastAsia" w:eastAsiaTheme="minorEastAsia" w:cstheme="minorEastAsia"/>
                <w:color w:val="auto"/>
                <w:lang w:val="zh-TW" w:eastAsia="zh-TW"/>
              </w:rPr>
              <w:t>天（环境温度</w:t>
            </w:r>
            <w:r>
              <w:rPr>
                <w:rFonts w:hint="eastAsia" w:asciiTheme="minorEastAsia" w:hAnsiTheme="minorEastAsia" w:eastAsiaTheme="minorEastAsia" w:cstheme="minorEastAsia"/>
                <w:color w:val="auto"/>
              </w:rPr>
              <w:t>20℃</w:t>
            </w:r>
            <w:r>
              <w:rPr>
                <w:rFonts w:hint="eastAsia" w:asciiTheme="minorEastAsia" w:hAnsiTheme="minorEastAsia" w:eastAsiaTheme="minorEastAsia" w:cstheme="minorEastAsia"/>
                <w:color w:val="auto"/>
                <w:lang w:val="zh-TW" w:eastAsia="zh-TW"/>
              </w:rPr>
              <w:t>，水温</w:t>
            </w:r>
            <w:r>
              <w:rPr>
                <w:rFonts w:hint="eastAsia" w:asciiTheme="minorEastAsia" w:hAnsiTheme="minorEastAsia" w:eastAsiaTheme="minorEastAsia" w:cstheme="minorEastAsia"/>
                <w:color w:val="auto"/>
              </w:rPr>
              <w:t>15℃</w:t>
            </w:r>
            <w:r>
              <w:rPr>
                <w:rFonts w:hint="eastAsia" w:asciiTheme="minorEastAsia" w:hAnsiTheme="minorEastAsia" w:eastAsiaTheme="minorEastAsia" w:cstheme="minorEastAsia"/>
                <w:color w:val="auto"/>
                <w:lang w:val="zh-TW" w:eastAsia="zh-TW"/>
              </w:rPr>
              <w:t>）</w:t>
            </w:r>
            <w:r>
              <w:rPr>
                <w:rFonts w:hint="eastAsia" w:asciiTheme="minorEastAsia" w:hAnsiTheme="minorEastAsia" w:eastAsiaTheme="minorEastAsia" w:cstheme="minorEastAsia"/>
                <w:color w:val="auto"/>
                <w:lang w:val="zh-TW"/>
              </w:rPr>
              <w:t>，</w:t>
            </w:r>
            <w:r>
              <w:rPr>
                <w:rFonts w:hint="eastAsia" w:asciiTheme="minorEastAsia" w:hAnsiTheme="minorEastAsia" w:eastAsiaTheme="minorEastAsia" w:cstheme="minorEastAsia"/>
                <w:color w:val="auto"/>
                <w:lang w:val="zh-TW" w:eastAsia="zh-TW"/>
              </w:rPr>
              <w:t>制冰量≥</w:t>
            </w:r>
            <w:r>
              <w:rPr>
                <w:rFonts w:hint="eastAsia" w:asciiTheme="minorEastAsia" w:hAnsiTheme="minorEastAsia" w:eastAsiaTheme="minorEastAsia" w:cstheme="minorEastAsia"/>
                <w:color w:val="auto"/>
              </w:rPr>
              <w:t>110kg/</w:t>
            </w:r>
            <w:r>
              <w:rPr>
                <w:rFonts w:hint="eastAsia" w:asciiTheme="minorEastAsia" w:hAnsiTheme="minorEastAsia" w:eastAsiaTheme="minorEastAsia" w:cstheme="minorEastAsia"/>
                <w:color w:val="auto"/>
                <w:lang w:val="zh-TW" w:eastAsia="zh-TW"/>
              </w:rPr>
              <w:t>天（环境温度</w:t>
            </w:r>
            <w:r>
              <w:rPr>
                <w:rFonts w:hint="eastAsia" w:asciiTheme="minorEastAsia" w:hAnsiTheme="minorEastAsia" w:eastAsiaTheme="minorEastAsia" w:cstheme="minorEastAsia"/>
                <w:color w:val="auto"/>
              </w:rPr>
              <w:t>30℃</w:t>
            </w:r>
            <w:r>
              <w:rPr>
                <w:rFonts w:hint="eastAsia" w:asciiTheme="minorEastAsia" w:hAnsiTheme="minorEastAsia" w:eastAsiaTheme="minorEastAsia" w:cstheme="minorEastAsia"/>
                <w:color w:val="auto"/>
                <w:lang w:val="zh-TW" w:eastAsia="zh-TW"/>
              </w:rPr>
              <w:t>，水温</w:t>
            </w:r>
            <w:r>
              <w:rPr>
                <w:rFonts w:hint="eastAsia" w:asciiTheme="minorEastAsia" w:hAnsiTheme="minorEastAsia" w:eastAsiaTheme="minorEastAsia" w:cstheme="minorEastAsia"/>
                <w:color w:val="auto"/>
              </w:rPr>
              <w:t>25℃</w:t>
            </w:r>
            <w:r>
              <w:rPr>
                <w:rFonts w:hint="eastAsia" w:asciiTheme="minorEastAsia" w:hAnsiTheme="minorEastAsia" w:eastAsiaTheme="minorEastAsia" w:cstheme="minorEastAsia"/>
                <w:color w:val="auto"/>
                <w:lang w:val="zh-TW" w:eastAsia="zh-TW"/>
              </w:rPr>
              <w:t>）</w:t>
            </w:r>
          </w:p>
          <w:p>
            <w:pPr>
              <w:pStyle w:val="114"/>
              <w:jc w:val="left"/>
              <w:rPr>
                <w:rFonts w:asciiTheme="minorEastAsia" w:hAnsiTheme="minorEastAsia" w:eastAsiaTheme="minorEastAsia" w:cstheme="minorEastAsia"/>
                <w:color w:val="auto"/>
                <w:lang w:val="zh-CN"/>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color w:val="auto"/>
              </w:rPr>
              <w:t>3.</w:t>
            </w:r>
            <w:r>
              <w:rPr>
                <w:rFonts w:hint="eastAsia" w:asciiTheme="minorEastAsia" w:hAnsiTheme="minorEastAsia" w:eastAsiaTheme="minorEastAsia" w:cstheme="minorEastAsia"/>
                <w:color w:val="auto"/>
                <w:lang w:val="zh-TW" w:eastAsia="zh-TW"/>
              </w:rPr>
              <w:t>制冰方式：旋转挤压式</w:t>
            </w:r>
            <w:r>
              <w:rPr>
                <w:rFonts w:hint="eastAsia" w:asciiTheme="minorEastAsia" w:hAnsiTheme="minorEastAsia" w:eastAsiaTheme="minorEastAsia" w:cstheme="minorEastAsia"/>
                <w:color w:val="auto"/>
                <w:lang w:val="zh-CN"/>
              </w:rPr>
              <w:t>，</w:t>
            </w:r>
          </w:p>
          <w:p>
            <w:pPr>
              <w:pStyle w:val="114"/>
              <w:ind w:firstLine="210" w:firstLineChars="1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lang w:val="zh-TW" w:eastAsia="zh-TW"/>
              </w:rPr>
              <w:t>冰块形状：碎花型</w:t>
            </w:r>
          </w:p>
          <w:p>
            <w:pPr>
              <w:pStyle w:val="114"/>
              <w:ind w:left="2129" w:leftChars="114" w:hanging="1890" w:hangingChars="9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w:t>
            </w:r>
            <w:r>
              <w:rPr>
                <w:rFonts w:hint="eastAsia" w:asciiTheme="minorEastAsia" w:hAnsiTheme="minorEastAsia" w:eastAsiaTheme="minorEastAsia" w:cstheme="minorEastAsia"/>
                <w:color w:val="auto"/>
                <w:lang w:val="zh-TW" w:eastAsia="zh-TW"/>
              </w:rPr>
              <w:t>外箱材料：前</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zh-TW" w:eastAsia="zh-TW"/>
              </w:rPr>
              <w:t>侧：涂层不锈钢板</w:t>
            </w:r>
          </w:p>
          <w:p>
            <w:pPr>
              <w:pStyle w:val="114"/>
              <w:jc w:val="left"/>
              <w:rPr>
                <w:rFonts w:asciiTheme="minorEastAsia" w:hAnsiTheme="minorEastAsia" w:eastAsiaTheme="minorEastAsia" w:cstheme="minorEastAsia"/>
                <w:color w:val="auto"/>
                <w:lang w:val="zh-TW" w:eastAsia="zh-TW"/>
              </w:rPr>
            </w:pPr>
            <w:r>
              <w:rPr>
                <w:rFonts w:hint="eastAsia" w:asciiTheme="minorEastAsia" w:hAnsiTheme="minorEastAsia" w:eastAsiaTheme="minorEastAsia" w:cstheme="minorEastAsia"/>
                <w:color w:val="auto"/>
                <w:lang w:val="zh-TW" w:eastAsia="zh-TW"/>
              </w:rPr>
              <w:t xml:space="preserve">          </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lang w:val="zh-TW" w:eastAsia="zh-TW"/>
              </w:rPr>
              <w:t>顶：不锈钢</w:t>
            </w:r>
          </w:p>
          <w:p>
            <w:pPr>
              <w:pStyle w:val="114"/>
              <w:ind w:left="1470" w:hanging="1470" w:hangingChars="700"/>
              <w:jc w:val="left"/>
              <w:rPr>
                <w:rFonts w:asciiTheme="minorEastAsia" w:hAnsiTheme="minorEastAsia" w:eastAsiaTheme="minorEastAsia" w:cstheme="minorEastAsia"/>
                <w:color w:val="auto"/>
                <w:lang w:val="zh-TW" w:eastAsia="zh-TW"/>
              </w:rPr>
            </w:pPr>
            <w:r>
              <w:rPr>
                <w:rFonts w:hint="eastAsia" w:asciiTheme="minorEastAsia" w:hAnsiTheme="minorEastAsia" w:eastAsiaTheme="minorEastAsia" w:cstheme="minorEastAsia"/>
                <w:color w:val="auto"/>
                <w:lang w:val="zh-TW" w:eastAsia="zh-TW"/>
              </w:rPr>
              <w:t xml:space="preserve">          </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lang w:val="zh-TW" w:eastAsia="zh-TW"/>
              </w:rPr>
              <w:t>后板：彩色涂层钢板</w:t>
            </w:r>
          </w:p>
          <w:p>
            <w:pPr>
              <w:pStyle w:val="114"/>
              <w:ind w:firstLine="210" w:firstLineChars="1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w:t>
            </w:r>
            <w:r>
              <w:rPr>
                <w:rFonts w:hint="eastAsia" w:asciiTheme="minorEastAsia" w:hAnsiTheme="minorEastAsia" w:eastAsiaTheme="minorEastAsia" w:cstheme="minorEastAsia"/>
                <w:color w:val="auto"/>
                <w:lang w:val="zh-TW" w:eastAsia="zh-TW"/>
              </w:rPr>
              <w:t>内箱材料：</w:t>
            </w:r>
            <w:r>
              <w:rPr>
                <w:rFonts w:hint="eastAsia" w:asciiTheme="minorEastAsia" w:hAnsiTheme="minorEastAsia" w:eastAsiaTheme="minorEastAsia" w:cstheme="minorEastAsia"/>
                <w:color w:val="auto"/>
              </w:rPr>
              <w:t>ABS</w:t>
            </w:r>
            <w:r>
              <w:rPr>
                <w:rFonts w:hint="eastAsia" w:asciiTheme="minorEastAsia" w:hAnsiTheme="minorEastAsia" w:eastAsiaTheme="minorEastAsia" w:cstheme="minorEastAsia"/>
                <w:color w:val="auto"/>
                <w:lang w:val="zh-TW" w:eastAsia="zh-TW"/>
              </w:rPr>
              <w:t>树脂</w:t>
            </w:r>
          </w:p>
          <w:p>
            <w:pPr>
              <w:pStyle w:val="114"/>
              <w:ind w:left="239" w:leftChars="114"/>
              <w:jc w:val="left"/>
              <w:rPr>
                <w:rFonts w:asciiTheme="minorEastAsia" w:hAnsiTheme="minorEastAsia" w:eastAsiaTheme="minorEastAsia" w:cstheme="minorEastAsia"/>
                <w:color w:val="auto"/>
                <w:lang w:val="zh-TW" w:eastAsia="zh-TW"/>
              </w:rPr>
            </w:pPr>
            <w:r>
              <w:rPr>
                <w:rFonts w:hint="eastAsia" w:asciiTheme="minorEastAsia" w:hAnsiTheme="minorEastAsia" w:eastAsiaTheme="minorEastAsia" w:cstheme="minorEastAsia"/>
                <w:color w:val="auto"/>
              </w:rPr>
              <w:t>7.</w:t>
            </w:r>
            <w:r>
              <w:rPr>
                <w:rFonts w:hint="eastAsia" w:asciiTheme="minorEastAsia" w:hAnsiTheme="minorEastAsia" w:eastAsiaTheme="minorEastAsia" w:cstheme="minorEastAsia"/>
                <w:color w:val="auto"/>
                <w:lang w:val="zh-TW" w:eastAsia="zh-TW"/>
              </w:rPr>
              <w:t>隔热层：无氟硬质聚亚氨酯原位整体发泡层</w:t>
            </w:r>
          </w:p>
          <w:p>
            <w:pPr>
              <w:pStyle w:val="114"/>
              <w:ind w:left="420" w:hanging="420" w:hangingChars="200"/>
              <w:jc w:val="left"/>
              <w:rPr>
                <w:rFonts w:asciiTheme="minorEastAsia" w:hAnsiTheme="minorEastAsia" w:eastAsiaTheme="minorEastAsia" w:cstheme="minorEastAsia"/>
                <w:color w:val="auto"/>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color w:val="auto"/>
              </w:rPr>
              <w:t>8.</w:t>
            </w:r>
            <w:r>
              <w:rPr>
                <w:rFonts w:hint="eastAsia" w:asciiTheme="minorEastAsia" w:hAnsiTheme="minorEastAsia" w:eastAsiaTheme="minorEastAsia" w:cstheme="minorEastAsia"/>
                <w:color w:val="auto"/>
                <w:lang w:val="zh-CN"/>
              </w:rPr>
              <w:t>全封闭型</w:t>
            </w:r>
            <w:r>
              <w:rPr>
                <w:rFonts w:hint="eastAsia" w:asciiTheme="minorEastAsia" w:hAnsiTheme="minorEastAsia" w:eastAsiaTheme="minorEastAsia" w:cstheme="minorEastAsia"/>
                <w:color w:val="auto"/>
                <w:lang w:val="zh-TW" w:eastAsia="zh-TW"/>
              </w:rPr>
              <w:t>压缩机</w:t>
            </w:r>
            <w:r>
              <w:rPr>
                <w:rFonts w:hint="eastAsia" w:asciiTheme="minorEastAsia" w:hAnsiTheme="minorEastAsia" w:eastAsiaTheme="minorEastAsia" w:cstheme="minorEastAsia"/>
                <w:color w:val="auto"/>
                <w:lang w:val="zh-CN"/>
              </w:rPr>
              <w:t>，功率</w:t>
            </w:r>
            <w:r>
              <w:rPr>
                <w:rFonts w:hint="eastAsia" w:asciiTheme="minorEastAsia" w:hAnsiTheme="minorEastAsia" w:eastAsiaTheme="minorEastAsia" w:cstheme="minorEastAsia"/>
                <w:color w:val="auto"/>
              </w:rPr>
              <w:t>≤300W</w:t>
            </w:r>
            <w:r>
              <w:rPr>
                <w:rFonts w:hint="eastAsia" w:asciiTheme="minorEastAsia" w:hAnsiTheme="minorEastAsia" w:eastAsiaTheme="minorEastAsia" w:cstheme="minorEastAsia"/>
                <w:color w:val="auto"/>
                <w:lang w:val="zh-TW" w:eastAsia="zh-TW"/>
              </w:rPr>
              <w:t>，耗电量≤</w:t>
            </w:r>
            <w:r>
              <w:rPr>
                <w:rFonts w:hint="eastAsia" w:asciiTheme="minorEastAsia" w:hAnsiTheme="minorEastAsia" w:eastAsiaTheme="minorEastAsia" w:cstheme="minorEastAsia"/>
                <w:color w:val="auto"/>
              </w:rPr>
              <w:t>435W</w:t>
            </w:r>
          </w:p>
          <w:p>
            <w:pPr>
              <w:pStyle w:val="114"/>
              <w:ind w:firstLine="210" w:firstLineChars="100"/>
              <w:jc w:val="lef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9.</w:t>
            </w:r>
            <w:r>
              <w:rPr>
                <w:rFonts w:hint="eastAsia" w:asciiTheme="minorEastAsia" w:hAnsiTheme="minorEastAsia" w:eastAsiaTheme="minorEastAsia" w:cstheme="minorEastAsia"/>
                <w:color w:val="auto"/>
                <w:lang w:val="zh-TW" w:eastAsia="zh-TW"/>
              </w:rPr>
              <w:t>制冷剂：</w:t>
            </w:r>
            <w:r>
              <w:rPr>
                <w:rFonts w:hint="eastAsia" w:asciiTheme="minorEastAsia" w:hAnsiTheme="minorEastAsia" w:eastAsiaTheme="minorEastAsia" w:cstheme="minorEastAsia"/>
                <w:color w:val="auto"/>
              </w:rPr>
              <w:t>HFC</w:t>
            </w:r>
          </w:p>
          <w:p>
            <w:pPr>
              <w:pStyle w:val="114"/>
              <w:jc w:val="left"/>
              <w:rPr>
                <w:rFonts w:eastAsia="PMingLiU" w:asciiTheme="minorEastAsia" w:hAnsiTheme="minorEastAsia" w:cstheme="minorEastAsia"/>
                <w:color w:val="auto"/>
                <w:lang w:eastAsia="zh-TW"/>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color w:val="auto"/>
              </w:rPr>
              <w:t>10.储冰</w:t>
            </w:r>
            <w:r>
              <w:rPr>
                <w:rFonts w:asciiTheme="minorEastAsia" w:hAnsiTheme="minorEastAsia" w:eastAsiaTheme="minorEastAsia" w:cstheme="minorEastAsia"/>
                <w:color w:val="auto"/>
              </w:rPr>
              <w:t>量</w:t>
            </w:r>
            <w:r>
              <w:rPr>
                <w:rFonts w:hint="eastAsia" w:asciiTheme="minorEastAsia" w:hAnsiTheme="minorEastAsia" w:eastAsiaTheme="minorEastAsia" w:cstheme="minorEastAsia"/>
                <w:color w:val="auto"/>
                <w:lang w:val="zh-TW" w:eastAsia="zh-TW"/>
              </w:rPr>
              <w:t>≥</w:t>
            </w:r>
            <w:r>
              <w:rPr>
                <w:rFonts w:hint="eastAsia" w:asciiTheme="minorEastAsia" w:hAnsiTheme="minorEastAsia" w:eastAsiaTheme="minorEastAsia" w:cstheme="minorEastAsia"/>
                <w:color w:val="auto"/>
                <w:lang w:val="zh-TW"/>
              </w:rPr>
              <w:t xml:space="preserve">28 </w:t>
            </w:r>
            <w:r>
              <w:rPr>
                <w:rFonts w:eastAsia="PMingLiU" w:asciiTheme="minorEastAsia" w:hAnsiTheme="minorEastAsia" w:cstheme="minorEastAsia"/>
                <w:color w:val="auto"/>
                <w:lang w:val="zh-TW" w:eastAsia="zh-TW"/>
              </w:rPr>
              <w:t>kg</w:t>
            </w:r>
          </w:p>
          <w:p>
            <w:pPr>
              <w:pStyle w:val="114"/>
              <w:ind w:left="869" w:leftChars="114" w:hanging="630" w:hangingChars="300"/>
              <w:jc w:val="left"/>
              <w:rPr>
                <w:rFonts w:asciiTheme="minorEastAsia" w:hAnsiTheme="minorEastAsia" w:eastAsiaTheme="minorEastAsia" w:cstheme="minorEastAsia"/>
                <w:color w:val="auto"/>
                <w:lang w:val="zh-TW" w:eastAsia="zh-TW"/>
              </w:rPr>
            </w:pPr>
            <w:r>
              <w:rPr>
                <w:rFonts w:asciiTheme="minorEastAsia" w:hAnsiTheme="minorEastAsia" w:eastAsiaTheme="minorEastAsia" w:cstheme="minorEastAsia"/>
                <w:color w:val="auto"/>
              </w:rPr>
              <w:t>11</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zh-TW" w:eastAsia="zh-TW"/>
              </w:rPr>
              <w:t>报警：微电脑控制，故障自我诊断</w:t>
            </w:r>
          </w:p>
          <w:p>
            <w:pPr>
              <w:pStyle w:val="114"/>
              <w:ind w:firstLine="210" w:firstLineChars="100"/>
              <w:jc w:val="left"/>
              <w:rPr>
                <w:rFonts w:asciiTheme="minorEastAsia" w:hAnsiTheme="minorEastAsia" w:eastAsiaTheme="minorEastAsia" w:cstheme="minorEastAsia"/>
                <w:color w:val="auto"/>
              </w:rPr>
            </w:pPr>
            <w:r>
              <w:rPr>
                <w:rFonts w:asciiTheme="minorEastAsia" w:hAnsiTheme="minorEastAsia" w:eastAsiaTheme="minorEastAsia" w:cstheme="minorEastAsia"/>
                <w:color w:val="auto"/>
              </w:rPr>
              <w:t>12</w:t>
            </w:r>
            <w:r>
              <w:rPr>
                <w:rFonts w:hint="eastAsia" w:asciiTheme="minorEastAsia" w:hAnsiTheme="minorEastAsia" w:eastAsiaTheme="minorEastAsia" w:cstheme="minorEastAsia"/>
                <w:color w:val="auto"/>
              </w:rPr>
              <w:t>.</w:t>
            </w:r>
            <w:r>
              <w:rPr>
                <w:rFonts w:hint="eastAsia" w:asciiTheme="minorEastAsia" w:hAnsiTheme="minorEastAsia" w:eastAsiaTheme="minorEastAsia" w:cstheme="minorEastAsia"/>
                <w:color w:val="auto"/>
                <w:lang w:val="zh-TW" w:eastAsia="zh-TW"/>
              </w:rPr>
              <w:t>净重：约</w:t>
            </w:r>
            <w:r>
              <w:rPr>
                <w:rFonts w:hint="eastAsia" w:asciiTheme="minorEastAsia" w:hAnsiTheme="minorEastAsia" w:eastAsiaTheme="minorEastAsia" w:cstheme="minorEastAsia"/>
                <w:color w:val="auto"/>
              </w:rPr>
              <w:t>72KG</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普通PCR</w:t>
            </w:r>
          </w:p>
        </w:tc>
        <w:tc>
          <w:tcPr>
            <w:tcW w:w="4653" w:type="dxa"/>
          </w:tcPr>
          <w:p>
            <w:pPr>
              <w:numPr>
                <w:ilvl w:val="0"/>
                <w:numId w:val="35"/>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用于体外目的DNA基因扩增实验，是生物学实验室常规设备之一。</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 样品容量</w:t>
            </w:r>
            <w:r>
              <w:rPr>
                <w:rFonts w:hint="eastAsia" w:asciiTheme="minorEastAsia" w:hAnsiTheme="minorEastAsia" w:eastAsiaTheme="minorEastAsia" w:cstheme="minorEastAsia"/>
                <w:lang w:val="zh-TW" w:eastAsia="zh-TW"/>
              </w:rPr>
              <w:t>≥</w:t>
            </w:r>
            <w:r>
              <w:rPr>
                <w:rFonts w:hint="eastAsia" w:asciiTheme="minorEastAsia" w:hAnsiTheme="minorEastAsia" w:eastAsiaTheme="minorEastAsia" w:cstheme="minorEastAsia"/>
                <w:szCs w:val="21"/>
              </w:rPr>
              <w:t>96×0.2ml反应管，</w:t>
            </w:r>
            <w:r>
              <w:rPr>
                <w:rFonts w:hint="eastAsia" w:asciiTheme="minorEastAsia" w:hAnsiTheme="minorEastAsia" w:eastAsiaTheme="minorEastAsia" w:cstheme="minorEastAsia"/>
                <w:lang w:val="zh-TW" w:eastAsia="zh-TW"/>
              </w:rPr>
              <w:t>≥</w:t>
            </w:r>
            <w:r>
              <w:rPr>
                <w:rFonts w:hint="eastAsia" w:asciiTheme="minorEastAsia" w:hAnsiTheme="minorEastAsia" w:eastAsiaTheme="minorEastAsia" w:cstheme="minorEastAsia"/>
                <w:szCs w:val="21"/>
              </w:rPr>
              <w:t>1×96孔反应板；</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2.自动热盖，可自动适应不同高度孔板或反应管；</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3.样品最大升降温速度不小于4℃，温度范围：4℃ - 100℃；温度精确度不大于±0.5℃；</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4.温度一致性：±0.5℃孔间（达到设定温度30s内）；</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5.彩色触摸屏而非按键控制，并有程序自动编写器；</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6.具有温度孵育功能，可长时间精确控温；</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7.内存500个编程，USB 闪存无限制括展；</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8.具有8个动态温度梯度，即使进行温度梯度运行，各孔间也可达到同步；</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温度梯度范围：30℃ - 100℃，温变范围：1℃ - 25℃；</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1"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电转化仪</w:t>
            </w:r>
          </w:p>
        </w:tc>
        <w:tc>
          <w:tcPr>
            <w:tcW w:w="4653" w:type="dxa"/>
          </w:tcPr>
          <w:p>
            <w:pPr>
              <w:numPr>
                <w:ilvl w:val="0"/>
                <w:numId w:val="36"/>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用于安全而可重复地转化细菌、酵母菌和其它微生物体，转化效率大大高于化学方法。</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1.用于转化细菌、酵母菌和其它微生物体；</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2.按键设置，单键式脉冲激发；</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3.输出波型：带RC时间常数的衰变或斜截衰变指数波型；</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4.最大输出电压和电流：3000V峰值，&gt;600W负载，峰值最大电流100A；</w:t>
            </w:r>
          </w:p>
          <w:p>
            <w:pPr>
              <w:ind w:left="210" w:hanging="210" w:hangingChars="100"/>
              <w:jc w:val="left"/>
              <w:rPr>
                <w:rFonts w:asciiTheme="minorEastAsia" w:hAnsiTheme="minorEastAsia" w:eastAsiaTheme="minorEastAsia" w:cstheme="minorEastAsia"/>
                <w:szCs w:val="21"/>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szCs w:val="21"/>
              </w:rPr>
              <w:t>5.输出电压和脉冲持续调节：电压在200-3000V范围内调节，精确度10V；缺省脉冲持续时间为5毫秒，在1-4秒之间可调，调节精度0.1毫秒；</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 配置5个细菌和5个真菌预设优化程序；</w:t>
            </w:r>
          </w:p>
          <w:p>
            <w:pPr>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7.外接式电击杯槽；</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8.具有电弧抑制功能；</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9.标配同品牌电击杯0.1cm和0.2cm各5个；</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高速冷冻离心机1</w:t>
            </w:r>
          </w:p>
        </w:tc>
        <w:tc>
          <w:tcPr>
            <w:tcW w:w="4653" w:type="dxa"/>
          </w:tcPr>
          <w:p>
            <w:pPr>
              <w:numPr>
                <w:ilvl w:val="0"/>
                <w:numId w:val="37"/>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ind w:left="239" w:leftChars="114" w:firstLine="210" w:firstLineChars="100"/>
              <w:jc w:val="lef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样品前处理，小容量样品的低温离心分离</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ind w:left="210" w:hanging="210" w:hangingChars="100"/>
              <w:jc w:val="left"/>
              <w:rPr>
                <w:rFonts w:asciiTheme="minorEastAsia" w:hAnsiTheme="minorEastAsia" w:eastAsiaTheme="minorEastAsia" w:cstheme="minorEastAsia"/>
                <w:szCs w:val="21"/>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szCs w:val="21"/>
              </w:rPr>
              <w:t>1、主机内置冷凝水槽，可防止离心机腔体内冷凝水积聚造成的腐蚀</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2、最大相对离心力：≥21300×g，适用快速分离</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3、最高转速：≥15000rpm</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4、定时器：30秒-9小时59分钟, 可连续离心</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5、最大转子容量：24×1.5/2mL离心管和10×5ml离心管</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6、温控范围：-10—40℃，即使在最高转速也可保持4℃</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7、短时离心按键，便于快速离心</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u w:color="000000"/>
              </w:rPr>
              <w:t>8</w:t>
            </w:r>
            <w:r>
              <w:rPr>
                <w:rFonts w:hint="eastAsia" w:asciiTheme="minorEastAsia" w:hAnsiTheme="minorEastAsia" w:eastAsiaTheme="minorEastAsia" w:cstheme="minorEastAsia"/>
                <w:szCs w:val="21"/>
              </w:rPr>
              <w:t>、软刹车功能，防止重悬，保护敏感样品</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9、效压缩机控制及 ECO 自动待机功能，可延长压缩机使用寿命</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10、静音设计</w:t>
            </w:r>
          </w:p>
          <w:p>
            <w:pPr>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11、具有24×1.5/2ml气密性转头，最大离心力至少可达21000g</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9"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056" w:type="dxa"/>
          </w:tcPr>
          <w:p>
            <w:pPr>
              <w:jc w:val="center"/>
              <w:rPr>
                <w:rFonts w:hint="eastAsia"/>
              </w:rPr>
            </w:pPr>
            <w:r>
              <w:rPr>
                <w:rFonts w:hint="eastAsia"/>
              </w:rPr>
              <w:t>高速冷冻离心机2</w:t>
            </w:r>
          </w:p>
          <w:p>
            <w:pPr>
              <w:pStyle w:val="2"/>
              <w:jc w:val="both"/>
              <w:rPr>
                <w:rFonts w:hint="eastAsia" w:asciiTheme="minorEastAsia" w:hAnsiTheme="minorEastAsia" w:eastAsiaTheme="minorEastAsia" w:cstheme="minorEastAsia"/>
                <w:szCs w:val="21"/>
              </w:rPr>
            </w:pPr>
          </w:p>
          <w:p>
            <w:pPr>
              <w:pStyle w:val="2"/>
              <w:jc w:val="both"/>
              <w:rPr>
                <w:rFonts w:hint="eastAsia" w:asciiTheme="minorEastAsia" w:hAnsiTheme="minorEastAsia" w:eastAsiaTheme="minorEastAsia" w:cstheme="minorEastAsia"/>
                <w:szCs w:val="21"/>
              </w:rPr>
            </w:pPr>
          </w:p>
          <w:p>
            <w:pPr>
              <w:pStyle w:val="2"/>
              <w:jc w:val="both"/>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
                <w:bCs/>
                <w:szCs w:val="21"/>
                <w:lang w:eastAsia="zh-CN"/>
              </w:rPr>
              <w:t>（</w:t>
            </w:r>
            <w:r>
              <w:rPr>
                <w:rFonts w:hint="eastAsia"/>
                <w:b/>
                <w:bCs/>
              </w:rPr>
              <w:t>核心</w:t>
            </w:r>
            <w:r>
              <w:rPr>
                <w:b/>
                <w:bCs/>
              </w:rPr>
              <w:t>产品</w:t>
            </w:r>
            <w:r>
              <w:rPr>
                <w:rFonts w:hint="eastAsia" w:asciiTheme="minorEastAsia" w:hAnsiTheme="minorEastAsia" w:eastAsiaTheme="minorEastAsia" w:cstheme="minorEastAsia"/>
                <w:b/>
                <w:bCs/>
                <w:szCs w:val="21"/>
                <w:lang w:eastAsia="zh-CN"/>
              </w:rPr>
              <w:t>）</w:t>
            </w:r>
          </w:p>
        </w:tc>
        <w:tc>
          <w:tcPr>
            <w:tcW w:w="4653" w:type="dxa"/>
          </w:tcPr>
          <w:p>
            <w:pPr>
              <w:numPr>
                <w:ilvl w:val="0"/>
                <w:numId w:val="38"/>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ind w:firstLine="210" w:firstLineChars="100"/>
              <w:jc w:val="lef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样品前处理，大容量样品的低温离心分离</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1.最高转速和最大离心力： 14000rpm和20913×g</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 最大转子容量： 4×250mL； </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3.噪音水平：</w:t>
            </w:r>
            <w:r>
              <w:rPr>
                <w:rFonts w:hint="eastAsia"/>
              </w:rPr>
              <w:t>≦</w:t>
            </w:r>
            <w:r>
              <w:rPr>
                <w:rFonts w:hint="eastAsia" w:asciiTheme="minorEastAsia" w:hAnsiTheme="minorEastAsia" w:eastAsiaTheme="minorEastAsia" w:cstheme="minorEastAsia"/>
                <w:szCs w:val="21"/>
              </w:rPr>
              <w:t>55 dB(A)</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4.具备自动识别转子、限速控制和转子失衡控制等功能，确保离心安全 </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5.快速锁定转子盖，仅需旋转1/4圈即可快速、可靠地锁紧或打开转子盖</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 转子使用寿命可高达 100,000次 </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 铝合金材质转子, 导热性好，保护温度敏感性样品，可高温高压灭菌</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 可选10 个加速档和10 个刹车档，保护敏感样品，防止样品重悬</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9．温度范围：-9 °C 至40 °C，转子在最高转速下，仍可以保持4 °C </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10．自动待机功能，8小时不使用后自动待机，节约能耗，延长压缩机使用寿命 </w:t>
            </w:r>
          </w:p>
          <w:p>
            <w:pPr>
              <w:jc w:val="left"/>
              <w:rPr>
                <w:rFonts w:asciiTheme="minorEastAsia" w:hAnsiTheme="minorEastAsia" w:eastAsiaTheme="minorEastAsia" w:cstheme="minorEastAsia"/>
                <w:szCs w:val="21"/>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szCs w:val="21"/>
              </w:rPr>
              <w:t>11. 内置冷凝水槽，避免水珠积聚，防止腐蚀</w:t>
            </w:r>
          </w:p>
          <w:p>
            <w:pPr>
              <w:jc w:val="left"/>
              <w:rPr>
                <w:rFonts w:asciiTheme="minorEastAsia" w:hAnsiTheme="minorEastAsia" w:eastAsiaTheme="minorEastAsia" w:cstheme="minorEastAsia"/>
                <w:szCs w:val="21"/>
              </w:rPr>
            </w:pPr>
            <w:r>
              <w:rPr>
                <w:rStyle w:val="58"/>
                <w:rFonts w:hint="default" w:ascii="Segoe UI Symbol" w:hAnsi="Segoe UI Symbol" w:cs="Segoe UI Symbol"/>
                <w:color w:val="auto"/>
                <w:sz w:val="21"/>
                <w:szCs w:val="21"/>
              </w:rPr>
              <w:t>★</w:t>
            </w:r>
            <w:r>
              <w:rPr>
                <w:rFonts w:hint="eastAsia" w:asciiTheme="minorEastAsia" w:hAnsiTheme="minorEastAsia" w:eastAsiaTheme="minorEastAsia" w:cstheme="minorEastAsia"/>
                <w:szCs w:val="21"/>
              </w:rPr>
              <w:t>12. 可用转子：容量≥60×1.5/2.0ml，最大离心力≥16435×g，最高转速≥14000rpm</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13．可选用转子数量：≥12个</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 50ml定角转头，可高温高压灭菌</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小型高速常温离心机</w:t>
            </w:r>
          </w:p>
        </w:tc>
        <w:tc>
          <w:tcPr>
            <w:tcW w:w="4653" w:type="dxa"/>
          </w:tcPr>
          <w:p>
            <w:pPr>
              <w:numPr>
                <w:ilvl w:val="0"/>
                <w:numId w:val="39"/>
              </w:num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主要功能/用途</w:t>
            </w:r>
          </w:p>
          <w:p>
            <w:pPr>
              <w:jc w:val="left"/>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rPr>
              <w:t>样品前处理，小容量样品的离心分离</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二、技术参数/指标</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1、最大相对离心力：≥21300×g，适用快速分离</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2、最高转速：≥15000rpm</w:t>
            </w:r>
          </w:p>
          <w:p>
            <w:pPr>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3、最大转子容量：10×5mL 离心管</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4、定时器：10秒9小时59分钟, 可连续离心</w:t>
            </w:r>
          </w:p>
          <w:p>
            <w:pPr>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5、噪音水平：前12 分钟平均为 45 dB(A)，之后为 &lt; 51 dB(A)，含FA-24x2 转子</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6、显示器：大型明亮LCD</w:t>
            </w:r>
          </w:p>
          <w:p>
            <w:pPr>
              <w:ind w:firstLine="210" w:firstLineChars="1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7、加减速率：9/9</w:t>
            </w:r>
          </w:p>
          <w:p>
            <w:pPr>
              <w:ind w:left="239" w:leftChars="114"/>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8、静音设计，即使不盖转子盖离心也非常安静</w:t>
            </w:r>
          </w:p>
          <w:p>
            <w:pPr>
              <w:ind w:left="210" w:hanging="210" w:hangingChars="100"/>
              <w:jc w:val="left"/>
              <w:rPr>
                <w:rFonts w:asciiTheme="minorEastAsia" w:hAnsiTheme="minorEastAsia" w:eastAsiaTheme="minorEastAsia" w:cstheme="minorEastAsia"/>
                <w:szCs w:val="21"/>
              </w:rPr>
            </w:pPr>
            <w:r>
              <w:rPr>
                <w:rStyle w:val="58"/>
                <w:rFonts w:hint="default" w:ascii="Times New Roman" w:hAnsi="Times New Roman"/>
                <w:color w:val="auto"/>
                <w:sz w:val="21"/>
                <w:szCs w:val="21"/>
              </w:rPr>
              <w:t>▲</w:t>
            </w:r>
            <w:r>
              <w:rPr>
                <w:rFonts w:hint="eastAsia" w:asciiTheme="minorEastAsia" w:hAnsiTheme="minorEastAsia" w:eastAsiaTheme="minorEastAsia" w:cstheme="minorEastAsia"/>
                <w:szCs w:val="21"/>
              </w:rPr>
              <w:t>9、快速锁定转子盖，旋转1/4圈即可锁定转子</w:t>
            </w:r>
          </w:p>
          <w:p>
            <w:pPr>
              <w:jc w:val="left"/>
              <w:rPr>
                <w:rFonts w:asciiTheme="minorEastAsia" w:hAnsiTheme="minorEastAsia" w:eastAsiaTheme="minorEastAsia" w:cstheme="minorEastAsia"/>
                <w:szCs w:val="21"/>
              </w:rPr>
            </w:pP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台</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4"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移液器（单道）</w:t>
            </w:r>
          </w:p>
        </w:tc>
        <w:tc>
          <w:tcPr>
            <w:tcW w:w="4653" w:type="dxa"/>
          </w:tcPr>
          <w:p>
            <w:pPr>
              <w:rPr>
                <w:szCs w:val="21"/>
              </w:rPr>
            </w:pPr>
            <w:r>
              <w:rPr>
                <w:rFonts w:hint="eastAsia"/>
                <w:szCs w:val="21"/>
              </w:rPr>
              <w:t>一</w:t>
            </w:r>
            <w:r>
              <w:rPr>
                <w:szCs w:val="21"/>
              </w:rPr>
              <w:t>、</w:t>
            </w:r>
            <w:r>
              <w:rPr>
                <w:rFonts w:hint="eastAsia"/>
                <w:szCs w:val="21"/>
              </w:rPr>
              <w:t>主要功能/用途</w:t>
            </w:r>
          </w:p>
          <w:p>
            <w:pPr>
              <w:ind w:left="239" w:leftChars="114"/>
              <w:rPr>
                <w:szCs w:val="21"/>
              </w:rPr>
            </w:pPr>
            <w:r>
              <w:rPr>
                <w:rFonts w:hint="eastAsia"/>
                <w:szCs w:val="21"/>
              </w:rPr>
              <w:t>微量样品转移</w:t>
            </w:r>
          </w:p>
          <w:p>
            <w:pPr>
              <w:rPr>
                <w:szCs w:val="21"/>
              </w:rPr>
            </w:pPr>
            <w:r>
              <w:rPr>
                <w:rFonts w:hint="eastAsia"/>
                <w:szCs w:val="21"/>
              </w:rPr>
              <w:t>二</w:t>
            </w:r>
            <w:r>
              <w:rPr>
                <w:szCs w:val="21"/>
              </w:rPr>
              <w:t>、</w:t>
            </w:r>
            <w:r>
              <w:rPr>
                <w:rFonts w:hint="eastAsia"/>
                <w:szCs w:val="21"/>
              </w:rPr>
              <w:t>技术参数/指标</w:t>
            </w:r>
          </w:p>
          <w:p>
            <w:pPr>
              <w:ind w:left="239" w:leftChars="114"/>
              <w:rPr>
                <w:szCs w:val="21"/>
              </w:rPr>
            </w:pPr>
            <w:r>
              <w:rPr>
                <w:rFonts w:hint="eastAsia"/>
                <w:szCs w:val="21"/>
              </w:rPr>
              <w:t>1、采用高科技材质，坚固耐用，耐高温抗腐蚀</w:t>
            </w:r>
          </w:p>
          <w:p>
            <w:pPr>
              <w:rPr>
                <w:szCs w:val="21"/>
              </w:rPr>
            </w:pPr>
            <w:r>
              <w:rPr>
                <w:rStyle w:val="58"/>
                <w:rFonts w:hint="default" w:ascii="Segoe UI Symbol" w:hAnsi="Segoe UI Symbol" w:cs="Segoe UI Symbol"/>
                <w:color w:val="auto"/>
                <w:sz w:val="21"/>
                <w:szCs w:val="21"/>
              </w:rPr>
              <w:t>★</w:t>
            </w:r>
            <w:r>
              <w:rPr>
                <w:rFonts w:hint="eastAsia"/>
                <w:szCs w:val="21"/>
              </w:rPr>
              <w:t>2、可整支高温高压灭菌和紫外线灭菌，</w:t>
            </w:r>
          </w:p>
          <w:p>
            <w:pPr>
              <w:ind w:firstLine="210" w:firstLineChars="100"/>
              <w:rPr>
                <w:szCs w:val="21"/>
              </w:rPr>
            </w:pPr>
            <w:r>
              <w:rPr>
                <w:rFonts w:hint="eastAsia"/>
                <w:szCs w:val="21"/>
              </w:rPr>
              <w:t>操作更安全</w:t>
            </w:r>
          </w:p>
          <w:p>
            <w:pPr>
              <w:ind w:left="239" w:leftChars="114"/>
              <w:rPr>
                <w:szCs w:val="21"/>
              </w:rPr>
            </w:pPr>
            <w:r>
              <w:rPr>
                <w:rFonts w:hint="eastAsia"/>
                <w:szCs w:val="21"/>
              </w:rPr>
              <w:t>3、四位数字体积显示，位置合理，便于移液时观察</w:t>
            </w:r>
          </w:p>
          <w:p>
            <w:pPr>
              <w:ind w:left="239" w:leftChars="114"/>
              <w:rPr>
                <w:szCs w:val="21"/>
              </w:rPr>
            </w:pPr>
            <w:r>
              <w:rPr>
                <w:rFonts w:hint="eastAsia"/>
                <w:szCs w:val="21"/>
              </w:rPr>
              <w:t>4、卓越人体工程学设计，重量轻，显著减少操作用力，避免发生手部重复性劳损（RSI）</w:t>
            </w:r>
          </w:p>
          <w:p>
            <w:pPr>
              <w:ind w:left="210" w:hanging="210" w:hangingChars="100"/>
              <w:rPr>
                <w:szCs w:val="21"/>
              </w:rPr>
            </w:pPr>
            <w:r>
              <w:rPr>
                <w:rStyle w:val="58"/>
                <w:rFonts w:hint="default" w:ascii="Times New Roman" w:hAnsi="Times New Roman"/>
                <w:color w:val="auto"/>
                <w:sz w:val="21"/>
                <w:szCs w:val="21"/>
              </w:rPr>
              <w:t>▲</w:t>
            </w:r>
            <w:r>
              <w:rPr>
                <w:rFonts w:hint="eastAsia"/>
                <w:szCs w:val="21"/>
              </w:rPr>
              <w:t>5、伸缩式弹性吸嘴设计，防止吸头安装高高低低，确保移液气密性和均一性</w:t>
            </w:r>
          </w:p>
          <w:p>
            <w:pPr>
              <w:ind w:left="239" w:leftChars="114"/>
              <w:rPr>
                <w:szCs w:val="21"/>
              </w:rPr>
            </w:pPr>
            <w:r>
              <w:rPr>
                <w:rFonts w:hint="eastAsia"/>
                <w:szCs w:val="21"/>
              </w:rPr>
              <w:t>6、密度调节功能，适用于不同密度的液体，通用性更广泛</w:t>
            </w:r>
          </w:p>
          <w:p>
            <w:pPr>
              <w:ind w:left="239" w:leftChars="114"/>
              <w:rPr>
                <w:szCs w:val="21"/>
              </w:rPr>
            </w:pPr>
            <w:r>
              <w:rPr>
                <w:rFonts w:hint="eastAsia"/>
                <w:szCs w:val="21"/>
              </w:rPr>
              <w:t>7.量程、数量：</w:t>
            </w:r>
          </w:p>
          <w:p>
            <w:pPr>
              <w:ind w:firstLine="210" w:firstLineChars="100"/>
              <w:rPr>
                <w:szCs w:val="21"/>
              </w:rPr>
            </w:pPr>
            <w:r>
              <w:rPr>
                <w:rFonts w:hint="eastAsia"/>
                <w:szCs w:val="21"/>
              </w:rPr>
              <w:t xml:space="preserve">100-1000 </w:t>
            </w:r>
            <w:r>
              <w:rPr>
                <w:szCs w:val="21"/>
              </w:rPr>
              <w:t>μ</w:t>
            </w:r>
            <w:r>
              <w:rPr>
                <w:rFonts w:hint="eastAsia"/>
                <w:szCs w:val="21"/>
              </w:rPr>
              <w:t>L：</w:t>
            </w:r>
            <w:r>
              <w:rPr>
                <w:szCs w:val="21"/>
              </w:rPr>
              <w:t>12</w:t>
            </w:r>
            <w:r>
              <w:rPr>
                <w:rFonts w:hint="eastAsia"/>
                <w:szCs w:val="21"/>
              </w:rPr>
              <w:t>支；</w:t>
            </w:r>
          </w:p>
          <w:p>
            <w:pPr>
              <w:ind w:firstLine="210" w:firstLineChars="100"/>
              <w:rPr>
                <w:szCs w:val="21"/>
              </w:rPr>
            </w:pPr>
            <w:r>
              <w:rPr>
                <w:szCs w:val="21"/>
              </w:rPr>
              <w:t>20-200 μL</w:t>
            </w:r>
            <w:r>
              <w:rPr>
                <w:rFonts w:hint="eastAsia"/>
                <w:szCs w:val="21"/>
              </w:rPr>
              <w:t>：</w:t>
            </w:r>
            <w:r>
              <w:rPr>
                <w:szCs w:val="21"/>
              </w:rPr>
              <w:t>12</w:t>
            </w:r>
            <w:r>
              <w:rPr>
                <w:rFonts w:hint="eastAsia"/>
                <w:szCs w:val="21"/>
              </w:rPr>
              <w:t>支；</w:t>
            </w:r>
          </w:p>
          <w:p>
            <w:pPr>
              <w:ind w:firstLine="210" w:firstLineChars="100"/>
              <w:rPr>
                <w:szCs w:val="21"/>
              </w:rPr>
            </w:pPr>
            <w:r>
              <w:rPr>
                <w:szCs w:val="21"/>
              </w:rPr>
              <w:t>10-100 μL</w:t>
            </w:r>
            <w:r>
              <w:rPr>
                <w:rFonts w:hint="eastAsia"/>
                <w:szCs w:val="21"/>
              </w:rPr>
              <w:t>：</w:t>
            </w:r>
            <w:r>
              <w:rPr>
                <w:szCs w:val="21"/>
              </w:rPr>
              <w:t>12</w:t>
            </w:r>
            <w:r>
              <w:rPr>
                <w:rFonts w:hint="eastAsia"/>
                <w:szCs w:val="21"/>
              </w:rPr>
              <w:t>支；</w:t>
            </w:r>
          </w:p>
          <w:p>
            <w:pPr>
              <w:ind w:firstLine="210" w:firstLineChars="100"/>
              <w:rPr>
                <w:szCs w:val="21"/>
              </w:rPr>
            </w:pPr>
            <w:r>
              <w:rPr>
                <w:szCs w:val="21"/>
              </w:rPr>
              <w:t>2-20 μL</w:t>
            </w:r>
            <w:r>
              <w:rPr>
                <w:rFonts w:hint="eastAsia"/>
                <w:szCs w:val="21"/>
              </w:rPr>
              <w:t>（黄</w:t>
            </w:r>
            <w:r>
              <w:rPr>
                <w:szCs w:val="21"/>
              </w:rPr>
              <w:t>枪头</w:t>
            </w:r>
            <w:r>
              <w:rPr>
                <w:rFonts w:hint="eastAsia"/>
                <w:szCs w:val="21"/>
              </w:rPr>
              <w:t>）：</w:t>
            </w:r>
            <w:r>
              <w:rPr>
                <w:szCs w:val="21"/>
              </w:rPr>
              <w:t>5</w:t>
            </w:r>
            <w:r>
              <w:rPr>
                <w:rFonts w:hint="eastAsia"/>
                <w:szCs w:val="21"/>
              </w:rPr>
              <w:t>支；</w:t>
            </w:r>
          </w:p>
          <w:p>
            <w:pPr>
              <w:ind w:firstLine="210" w:firstLineChars="100"/>
              <w:rPr>
                <w:szCs w:val="21"/>
              </w:rPr>
            </w:pPr>
            <w:r>
              <w:rPr>
                <w:szCs w:val="21"/>
              </w:rPr>
              <w:t>2-20 μL</w:t>
            </w:r>
            <w:r>
              <w:rPr>
                <w:rFonts w:hint="eastAsia"/>
                <w:szCs w:val="21"/>
              </w:rPr>
              <w:t>（白</w:t>
            </w:r>
            <w:r>
              <w:rPr>
                <w:szCs w:val="21"/>
              </w:rPr>
              <w:t>枪头</w:t>
            </w:r>
            <w:r>
              <w:rPr>
                <w:rFonts w:hint="eastAsia"/>
                <w:szCs w:val="21"/>
              </w:rPr>
              <w:t>）：</w:t>
            </w:r>
            <w:r>
              <w:rPr>
                <w:szCs w:val="21"/>
              </w:rPr>
              <w:t>5</w:t>
            </w:r>
            <w:r>
              <w:rPr>
                <w:rFonts w:hint="eastAsia"/>
                <w:szCs w:val="21"/>
              </w:rPr>
              <w:t>支；</w:t>
            </w:r>
          </w:p>
          <w:p>
            <w:pPr>
              <w:ind w:firstLine="210" w:firstLineChars="100"/>
              <w:rPr>
                <w:szCs w:val="21"/>
              </w:rPr>
            </w:pPr>
            <w:r>
              <w:rPr>
                <w:szCs w:val="21"/>
              </w:rPr>
              <w:t>0.5-10 μL</w:t>
            </w:r>
            <w:r>
              <w:rPr>
                <w:rFonts w:hint="eastAsia"/>
                <w:szCs w:val="21"/>
              </w:rPr>
              <w:t>：12支；</w:t>
            </w:r>
          </w:p>
          <w:p>
            <w:pPr>
              <w:ind w:firstLine="210" w:firstLineChars="100"/>
              <w:rPr>
                <w:rFonts w:asciiTheme="minorEastAsia" w:hAnsiTheme="minorEastAsia" w:eastAsiaTheme="minorEastAsia" w:cstheme="minorEastAsia"/>
                <w:szCs w:val="21"/>
              </w:rPr>
            </w:pPr>
            <w:r>
              <w:rPr>
                <w:szCs w:val="21"/>
              </w:rPr>
              <w:t>0.1-2.5 μL</w:t>
            </w:r>
            <w:r>
              <w:rPr>
                <w:rFonts w:hint="eastAsia"/>
                <w:szCs w:val="21"/>
              </w:rPr>
              <w:t>：</w:t>
            </w:r>
            <w:r>
              <w:rPr>
                <w:szCs w:val="21"/>
              </w:rPr>
              <w:t>5</w:t>
            </w:r>
            <w:r>
              <w:rPr>
                <w:rFonts w:hint="eastAsia"/>
                <w:szCs w:val="21"/>
              </w:rPr>
              <w:t>支。</w:t>
            </w:r>
          </w:p>
        </w:tc>
        <w:tc>
          <w:tcPr>
            <w:tcW w:w="689" w:type="dxa"/>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63</w:t>
            </w:r>
          </w:p>
        </w:tc>
        <w:tc>
          <w:tcPr>
            <w:tcW w:w="720" w:type="dxa"/>
          </w:tcPr>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支</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57"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056"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移液器（12道）</w:t>
            </w:r>
          </w:p>
        </w:tc>
        <w:tc>
          <w:tcPr>
            <w:tcW w:w="4653" w:type="dxa"/>
          </w:tcPr>
          <w:p>
            <w:pPr>
              <w:pStyle w:val="43"/>
              <w:numPr>
                <w:ilvl w:val="1"/>
                <w:numId w:val="4"/>
              </w:numPr>
              <w:ind w:firstLineChars="0"/>
              <w:rPr>
                <w:sz w:val="21"/>
                <w:szCs w:val="21"/>
              </w:rPr>
            </w:pPr>
            <w:r>
              <w:rPr>
                <w:rFonts w:hint="eastAsia"/>
                <w:sz w:val="21"/>
                <w:szCs w:val="21"/>
              </w:rPr>
              <w:t>主要功能/用途</w:t>
            </w:r>
          </w:p>
          <w:p>
            <w:pPr>
              <w:rPr>
                <w:szCs w:val="21"/>
              </w:rPr>
            </w:pPr>
            <w:r>
              <w:rPr>
                <w:rFonts w:hint="eastAsia"/>
                <w:szCs w:val="21"/>
              </w:rPr>
              <w:t>微量样品转移</w:t>
            </w:r>
          </w:p>
          <w:p>
            <w:pPr>
              <w:rPr>
                <w:szCs w:val="21"/>
              </w:rPr>
            </w:pPr>
            <w:r>
              <w:rPr>
                <w:rFonts w:hint="eastAsia"/>
                <w:szCs w:val="21"/>
              </w:rPr>
              <w:t>二、技术参数/指标</w:t>
            </w:r>
          </w:p>
          <w:p>
            <w:pPr>
              <w:ind w:left="239" w:leftChars="114"/>
              <w:rPr>
                <w:szCs w:val="21"/>
              </w:rPr>
            </w:pPr>
            <w:r>
              <w:rPr>
                <w:rFonts w:hint="eastAsia"/>
                <w:szCs w:val="21"/>
              </w:rPr>
              <w:t>1、采用高科技材质，坚固耐用，耐高温抗腐蚀</w:t>
            </w:r>
          </w:p>
          <w:p>
            <w:pPr>
              <w:ind w:left="210" w:hanging="210" w:hangingChars="100"/>
              <w:rPr>
                <w:szCs w:val="21"/>
              </w:rPr>
            </w:pPr>
            <w:r>
              <w:rPr>
                <w:rStyle w:val="58"/>
                <w:rFonts w:hint="default" w:ascii="Segoe UI Symbol" w:hAnsi="Segoe UI Symbol" w:cs="Segoe UI Symbol"/>
                <w:color w:val="auto"/>
                <w:sz w:val="21"/>
                <w:szCs w:val="21"/>
              </w:rPr>
              <w:t>★</w:t>
            </w:r>
            <w:r>
              <w:rPr>
                <w:rFonts w:hint="eastAsia"/>
                <w:szCs w:val="21"/>
              </w:rPr>
              <w:t>2、可整支高温高压灭菌和紫外线灭菌，操作更安全</w:t>
            </w:r>
          </w:p>
          <w:p>
            <w:pPr>
              <w:ind w:left="210" w:leftChars="100"/>
              <w:rPr>
                <w:szCs w:val="21"/>
              </w:rPr>
            </w:pPr>
            <w:r>
              <w:rPr>
                <w:rFonts w:hint="eastAsia"/>
                <w:szCs w:val="21"/>
              </w:rPr>
              <w:t>3、四位数字体积显示，位置合理，便于移液时观察</w:t>
            </w:r>
          </w:p>
          <w:p>
            <w:pPr>
              <w:ind w:left="239" w:leftChars="114"/>
              <w:rPr>
                <w:szCs w:val="21"/>
              </w:rPr>
            </w:pPr>
            <w:r>
              <w:rPr>
                <w:rFonts w:hint="eastAsia"/>
                <w:szCs w:val="21"/>
              </w:rPr>
              <w:t>4、卓越人体工程学设计，重量轻，显著减少操作用力，避免发生手部重复性劳损（RSI）</w:t>
            </w:r>
          </w:p>
          <w:p>
            <w:pPr>
              <w:ind w:left="210" w:hanging="210" w:hangingChars="100"/>
              <w:rPr>
                <w:szCs w:val="21"/>
              </w:rPr>
            </w:pPr>
            <w:r>
              <w:rPr>
                <w:rStyle w:val="58"/>
                <w:rFonts w:hint="default" w:ascii="Times New Roman" w:hAnsi="Times New Roman"/>
                <w:color w:val="auto"/>
                <w:sz w:val="21"/>
                <w:szCs w:val="21"/>
              </w:rPr>
              <w:t>▲</w:t>
            </w:r>
            <w:r>
              <w:rPr>
                <w:rFonts w:hint="eastAsia"/>
                <w:szCs w:val="21"/>
              </w:rPr>
              <w:t>5、伸缩式弹性吸嘴设计，防止吸头安装高高低低，确保移液气密性和均一性</w:t>
            </w:r>
          </w:p>
          <w:p>
            <w:pPr>
              <w:ind w:left="239" w:leftChars="114"/>
              <w:rPr>
                <w:szCs w:val="21"/>
              </w:rPr>
            </w:pPr>
            <w:r>
              <w:rPr>
                <w:rFonts w:hint="eastAsia"/>
                <w:szCs w:val="21"/>
              </w:rPr>
              <w:t>6、密度调节功能，适用于不同密度的液体，通用性更广泛</w:t>
            </w:r>
          </w:p>
          <w:p>
            <w:pPr>
              <w:ind w:firstLine="210" w:firstLineChars="100"/>
              <w:rPr>
                <w:szCs w:val="21"/>
              </w:rPr>
            </w:pPr>
            <w:r>
              <w:rPr>
                <w:rFonts w:hint="eastAsia"/>
                <w:szCs w:val="21"/>
              </w:rPr>
              <w:t>7.量程、数量：</w:t>
            </w:r>
          </w:p>
          <w:p>
            <w:pPr>
              <w:ind w:firstLine="210" w:firstLineChars="100"/>
              <w:rPr>
                <w:szCs w:val="21"/>
              </w:rPr>
            </w:pPr>
            <w:r>
              <w:rPr>
                <w:szCs w:val="21"/>
              </w:rPr>
              <w:t xml:space="preserve">0.5-10 μL </w:t>
            </w:r>
            <w:r>
              <w:rPr>
                <w:rFonts w:hint="eastAsia"/>
                <w:szCs w:val="21"/>
              </w:rPr>
              <w:t>：1支；</w:t>
            </w:r>
          </w:p>
          <w:p>
            <w:pPr>
              <w:ind w:firstLine="210" w:firstLineChars="100"/>
              <w:jc w:val="left"/>
              <w:rPr>
                <w:rFonts w:asciiTheme="minorEastAsia" w:hAnsiTheme="minorEastAsia" w:eastAsiaTheme="minorEastAsia" w:cstheme="minorEastAsia"/>
                <w:szCs w:val="21"/>
                <w:lang w:bidi="ar"/>
              </w:rPr>
            </w:pPr>
            <w:r>
              <w:rPr>
                <w:szCs w:val="21"/>
              </w:rPr>
              <w:t>30-300 μL</w:t>
            </w:r>
            <w:r>
              <w:rPr>
                <w:rFonts w:hint="eastAsia"/>
                <w:szCs w:val="21"/>
              </w:rPr>
              <w:t>：1支</w:t>
            </w:r>
          </w:p>
        </w:tc>
        <w:tc>
          <w:tcPr>
            <w:tcW w:w="689"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720" w:type="dxa"/>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支</w:t>
            </w:r>
          </w:p>
        </w:tc>
        <w:tc>
          <w:tcPr>
            <w:tcW w:w="838" w:type="dxa"/>
          </w:tcPr>
          <w:p>
            <w:pPr>
              <w:jc w:val="center"/>
              <w:rPr>
                <w:rFonts w:asciiTheme="minorEastAsia" w:hAnsiTheme="minorEastAsia" w:eastAsiaTheme="minorEastAsia" w:cstheme="minorEastAsia"/>
                <w:szCs w:val="21"/>
              </w:rPr>
            </w:pPr>
            <w:r>
              <w:rPr>
                <w:rFonts w:hint="eastAsia" w:eastAsiaTheme="minorEastAsia"/>
                <w:szCs w:val="21"/>
              </w:rPr>
              <w:t>是</w:t>
            </w:r>
          </w:p>
        </w:tc>
      </w:tr>
    </w:tbl>
    <w:p>
      <w:pPr>
        <w:autoSpaceDE w:val="0"/>
        <w:autoSpaceDN w:val="0"/>
        <w:adjustRightInd w:val="0"/>
        <w:spacing w:line="360" w:lineRule="auto"/>
        <w:ind w:firstLine="210" w:firstLineChars="100"/>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b/>
          <w:bCs/>
          <w:color w:val="auto"/>
          <w:szCs w:val="21"/>
        </w:rPr>
      </w:pPr>
      <w:r>
        <w:rPr>
          <w:rFonts w:hint="eastAsia"/>
          <w:b/>
          <w:bCs/>
          <w:color w:val="auto"/>
        </w:rPr>
        <w:t>1.本项目包“</w:t>
      </w:r>
      <w:r>
        <w:rPr>
          <w:rFonts w:hint="eastAsia" w:asciiTheme="minorEastAsia" w:hAnsiTheme="minorEastAsia" w:eastAsiaTheme="minorEastAsia" w:cstheme="minorEastAsia"/>
          <w:b/>
          <w:bCs/>
          <w:color w:val="auto"/>
          <w:kern w:val="0"/>
          <w:szCs w:val="21"/>
        </w:rPr>
        <w:t>技术性能参数要求”中</w:t>
      </w:r>
      <w:r>
        <w:rPr>
          <w:rFonts w:hint="eastAsia"/>
          <w:b/>
          <w:bCs/>
          <w:color w:val="auto"/>
        </w:rPr>
        <w:t>标注“★”项为废标项，即不满足废标；</w:t>
      </w:r>
      <w:r>
        <w:rPr>
          <w:rFonts w:hint="eastAsia"/>
          <w:color w:val="auto"/>
        </w:rPr>
        <w:t>“★”和“▲”</w:t>
      </w:r>
      <w:r>
        <w:rPr>
          <w:rFonts w:hint="eastAsia"/>
          <w:b/>
          <w:bCs/>
          <w:color w:val="auto"/>
        </w:rPr>
        <w:t>需提供制造商（或国内总代理商）出具的盖章技术说明书或公开发布的产品彩页为准</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宋体" w:hAnsi="宋体" w:cs="宋体"/>
          <w:b/>
          <w:bCs/>
          <w:szCs w:val="21"/>
        </w:rPr>
      </w:pPr>
      <w:r>
        <w:rPr>
          <w:rFonts w:hint="eastAsia" w:asciiTheme="minorEastAsia" w:hAnsiTheme="minorEastAsia" w:eastAsiaTheme="minorEastAsia" w:cstheme="minorEastAsia"/>
          <w:szCs w:val="21"/>
        </w:rPr>
        <w:t>3.如涉及固定厂家品牌或规格型号的均可认为推荐，并不要求其唯一性，供应商可提供同等质量标准或更高标准产品，并提供相应技术参数证明其符合采购需求或优于采购需求，否则可视其为不满足采购需求。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4.本项目磋商文件中标注“★”的条款不允许负偏离，负偏离视为无效响应文件。</w:t>
      </w:r>
      <w:r>
        <w:rPr>
          <w:rFonts w:ascii="宋体" w:hAnsi="宋体" w:cs="宋体"/>
          <w:sz w:val="24"/>
        </w:rPr>
        <w:t xml:space="preserve"> </w:t>
      </w:r>
      <w:r>
        <w:rPr>
          <w:rFonts w:hint="eastAsia" w:asciiTheme="minorEastAsia" w:hAnsiTheme="minorEastAsia" w:eastAsiaTheme="minorEastAsia" w:cstheme="minorEastAsia"/>
          <w:szCs w:val="21"/>
        </w:rPr>
        <w:br w:type="textWrapping"/>
      </w:r>
      <w:r>
        <w:rPr>
          <w:rFonts w:hint="eastAsia" w:ascii="宋体" w:hAnsi="宋体" w:cs="宋体"/>
          <w:b/>
          <w:bCs/>
          <w:kern w:val="0"/>
          <w:szCs w:val="21"/>
        </w:rPr>
        <w:t>★</w:t>
      </w:r>
      <w:r>
        <w:rPr>
          <w:rFonts w:hint="eastAsia" w:asciiTheme="minorEastAsia" w:hAnsiTheme="minorEastAsia" w:eastAsiaTheme="minorEastAsia" w:cstheme="minorEastAsia"/>
          <w:b/>
          <w:bCs/>
          <w:szCs w:val="21"/>
        </w:rPr>
        <w:t>5.</w:t>
      </w:r>
      <w:r>
        <w:rPr>
          <w:rFonts w:hint="eastAsia" w:ascii="宋体" w:hAnsi="宋体" w:cs="宋体"/>
          <w:b/>
          <w:bCs/>
          <w:szCs w:val="21"/>
        </w:rPr>
        <w:t>进口设备：供应商所投产品是进口产品的，需提供原生产厂商国内总代理商（须提供国内总代理商与国外制造商的关系证明文件）出具针对本项目的授权书（加盖生产厂商或总代理商公章的真彩扫描件）和售后服务承诺函（加盖生产厂商或总代理商公章的真彩扫描件），否则视为无效投标。</w:t>
      </w:r>
    </w:p>
    <w:p>
      <w:pPr>
        <w:pStyle w:val="2"/>
      </w:pP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2" w:name="_Toc1477"/>
      <w:r>
        <w:rPr>
          <w:rFonts w:hint="eastAsia" w:asciiTheme="minorEastAsia" w:hAnsiTheme="minorEastAsia" w:eastAsiaTheme="minorEastAsia" w:cstheme="minorEastAsia"/>
          <w:b/>
          <w:bCs/>
          <w:sz w:val="24"/>
        </w:rPr>
        <w:t>二、商务需求</w:t>
      </w:r>
      <w:bookmarkEnd w:id="112"/>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1.1若乙方未能按协议所规定的交货时间前完成本协议所有设备安装调试并达到验收标准，每延迟一天，按协议总额的千分之一向甲方交纳违约金,违约金总额不超过协议总金额的百分之五。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1.2若乙方未能在规定的时间内完成本协议所有设备安装调试并达到验收标准，甲方可中止本协议，并由乙方承担由此给甲方造成的一切损失。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1.3乙方交付甲方的设备及工程中使用的材料必须有合法的进货渠道，且符合协议和投标书中的质量约定，否则由乙方承担一切责任。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1.4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宋体" w:hAnsi="宋体" w:cs="宋体"/>
          <w:szCs w:val="21"/>
        </w:rPr>
        <w:br w:type="textWrapping"/>
      </w:r>
      <w:r>
        <w:rPr>
          <w:rFonts w:hint="eastAsia" w:ascii="宋体" w:hAnsi="宋体" w:cs="宋体"/>
          <w:szCs w:val="21"/>
        </w:rPr>
        <w:t>3.产品交货：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3.1交货地点：甲方指定地点。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3.2交货方式：乙方负责安排运输到甲方指定地。乙方承担货物交付甲方前的一切费用及风险（本条款所指交付是乙方将货物运送至甲方指定地点，并经甲方验收合格并出具验收合格证明后视为交付）。</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3.3交货时，乙方应将产品的产品说明书、使用说明书，出厂合格证、用户手册、保修手册等单证交付给甲方，进口产品必须提供国家进出口商品检验部门的检验证明，前述单证未交付完整的，视为未完全交货。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3.4如果产品属于特种设备，则乙方应当提供相关证明并协助甲方办理相关手续。</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4.验收方式：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 xml:space="preserve">4.1甲方组织技术人员验收。货物质量验收合格的，甲方签署验收报告，验收不合格的，甲方向乙方出具书面质量异议意见。 </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 xml:space="preserve">4.2甲方收货验收并不免除乙方对产品质量应当承担的责任。 </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5.验收标准：本协议相关约定，本协议未明确约定事项按本项目投标文件（含《响应文件》相关承诺和说明）、招标文件相关要求、相关技术文件验收。</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6.1质保期、保修期内因产品质量或安装调试原因引起的全部维修费用（包括更换零配件的费用）均由乙方承担。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6.2质保期、保修期外，乙方应定期回访，发现问题及时通知甲方，产品维修零配件以优惠价给甲方（免收人工及差旅费）。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6.3维修时，乙方接到甲方故障通知后在24小时之内上门服务，小型故障在3天内解决，大故障在15天内解决，若乙方怠于履行维修义务，则甲方有权委托第三人维修，所产生的所有费用由乙方承担。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8.1本项目包协议正式签订前，成交供应商需向采购人支付协议总金额的5%作为履约保证金（优先以金融机构、担保机构出具的保函或者支票、汇票、本票等非现金形式提交）。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8.2所有进口仪器设备（系统）经甲方验收合格满1年后，若无质量问题采购人将履约保证金全额无息退还给成交供应商。</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8.3其它以外贸协议为准。</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9.1供应商需针对本项目提供相关交货方案、售后服务方案等本项目评审因素要求的相关材料。</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宋体" w:hAnsi="宋体" w:cs="宋体"/>
          <w:szCs w:val="21"/>
        </w:rPr>
        <w:t>9.2其他未尽事宜由成交供应商和采购人按合同进行约定。</w:t>
      </w:r>
      <w:r>
        <w:rPr>
          <w:rFonts w:hint="eastAsia" w:ascii="宋体" w:hAnsi="宋体" w:cs="宋体"/>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br w:type="page"/>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3" w:name="_Toc6523"/>
      <w:r>
        <w:rPr>
          <w:rFonts w:hint="eastAsia" w:asciiTheme="minorEastAsia" w:hAnsiTheme="minorEastAsia" w:eastAsiaTheme="minorEastAsia" w:cstheme="minorEastAsia"/>
          <w:b/>
          <w:bCs/>
          <w:sz w:val="24"/>
        </w:rPr>
        <w:t>第2包：02+生物质与生物能源实验室建设项目2（多功能成像分析系统等一批国产设备）</w:t>
      </w:r>
      <w:bookmarkEnd w:id="113"/>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4" w:name="_Toc19132"/>
      <w:r>
        <w:rPr>
          <w:rFonts w:hint="eastAsia" w:asciiTheme="minorEastAsia" w:hAnsiTheme="minorEastAsia" w:eastAsiaTheme="minorEastAsia" w:cstheme="minorEastAsia"/>
          <w:b/>
          <w:bCs/>
          <w:sz w:val="24"/>
        </w:rPr>
        <w:t>一、技术需求</w:t>
      </w:r>
      <w:bookmarkEnd w:id="114"/>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1.项目概况：本项目包采购国产设备一批，包含多功能成像分析系统、真空冷冻干燥机、烘箱、真空干燥箱、</w:t>
      </w:r>
      <w:r>
        <w:rPr>
          <w:rFonts w:asciiTheme="minorEastAsia" w:hAnsiTheme="minorEastAsia" w:eastAsiaTheme="minorEastAsia" w:cstheme="minorEastAsia"/>
          <w:szCs w:val="21"/>
        </w:rPr>
        <w:t>恒温摇床</w:t>
      </w:r>
      <w:r>
        <w:rPr>
          <w:rFonts w:hint="eastAsia" w:asciiTheme="minorEastAsia" w:hAnsiTheme="minorEastAsia" w:eastAsiaTheme="minorEastAsia" w:cstheme="minorEastAsia"/>
          <w:szCs w:val="21"/>
        </w:rPr>
        <w:t>、恒温水浴锅等。</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2.设备/货物清单及要求</w:t>
      </w:r>
    </w:p>
    <w:tbl>
      <w:tblPr>
        <w:tblStyle w:val="28"/>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032"/>
        <w:gridCol w:w="4550"/>
        <w:gridCol w:w="673"/>
        <w:gridCol w:w="703"/>
        <w:gridCol w:w="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44"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032"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设备（服务）名称</w:t>
            </w:r>
          </w:p>
        </w:tc>
        <w:tc>
          <w:tcPr>
            <w:tcW w:w="4550"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技术性能参数要求</w:t>
            </w:r>
          </w:p>
        </w:tc>
        <w:tc>
          <w:tcPr>
            <w:tcW w:w="673"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数量</w:t>
            </w:r>
          </w:p>
        </w:tc>
        <w:tc>
          <w:tcPr>
            <w:tcW w:w="703"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单位</w:t>
            </w:r>
          </w:p>
        </w:tc>
        <w:tc>
          <w:tcPr>
            <w:tcW w:w="818" w:type="dxa"/>
            <w:vAlign w:val="center"/>
          </w:tcPr>
          <w:p>
            <w:pPr>
              <w:widowControl/>
              <w:jc w:val="center"/>
              <w:rPr>
                <w:rFonts w:eastAsiaTheme="minorEastAsia"/>
                <w:szCs w:val="21"/>
              </w:rPr>
            </w:pPr>
            <w:r>
              <w:rPr>
                <w:rFonts w:hint="eastAsia" w:eastAsiaTheme="minorEastAsia"/>
                <w:szCs w:val="21"/>
              </w:rPr>
              <w:t>是否进口设备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44" w:type="dxa"/>
          </w:tcPr>
          <w:p>
            <w:pPr>
              <w:spacing w:line="360" w:lineRule="exact"/>
              <w:jc w:val="center"/>
              <w:rPr>
                <w:szCs w:val="21"/>
              </w:rPr>
            </w:pPr>
            <w:r>
              <w:rPr>
                <w:szCs w:val="21"/>
              </w:rPr>
              <w:t>1</w:t>
            </w:r>
          </w:p>
        </w:tc>
        <w:tc>
          <w:tcPr>
            <w:tcW w:w="1032" w:type="dxa"/>
          </w:tcPr>
          <w:p>
            <w:pPr>
              <w:widowControl/>
              <w:spacing w:line="360" w:lineRule="exact"/>
              <w:jc w:val="center"/>
              <w:rPr>
                <w:rFonts w:hint="eastAsia"/>
              </w:rPr>
            </w:pPr>
            <w:r>
              <w:rPr>
                <w:rFonts w:hint="eastAsia"/>
              </w:rPr>
              <w:t>多功能成像分析系统</w:t>
            </w:r>
          </w:p>
          <w:p>
            <w:pPr>
              <w:pStyle w:val="2"/>
              <w:jc w:val="both"/>
              <w:rPr>
                <w:rFonts w:hint="eastAsia"/>
                <w:szCs w:val="21"/>
              </w:rPr>
            </w:pPr>
          </w:p>
          <w:p>
            <w:pPr>
              <w:pStyle w:val="2"/>
              <w:jc w:val="both"/>
              <w:rPr>
                <w:rFonts w:hint="eastAsia"/>
                <w:szCs w:val="21"/>
              </w:rPr>
            </w:pPr>
          </w:p>
          <w:p>
            <w:pPr>
              <w:pStyle w:val="2"/>
              <w:jc w:val="both"/>
              <w:rPr>
                <w:rFonts w:hint="eastAsia" w:eastAsia="宋体"/>
                <w:szCs w:val="21"/>
                <w:lang w:eastAsia="zh-CN"/>
              </w:rPr>
            </w:pPr>
            <w:r>
              <w:rPr>
                <w:rFonts w:hint="eastAsia"/>
                <w:b/>
                <w:bCs/>
                <w:szCs w:val="21"/>
                <w:lang w:eastAsia="zh-CN"/>
              </w:rPr>
              <w:t>（</w:t>
            </w:r>
            <w:r>
              <w:rPr>
                <w:rFonts w:hint="eastAsia"/>
                <w:b/>
                <w:bCs/>
              </w:rPr>
              <w:t>核心</w:t>
            </w:r>
            <w:r>
              <w:rPr>
                <w:b/>
                <w:bCs/>
              </w:rPr>
              <w:t>产品</w:t>
            </w:r>
            <w:r>
              <w:rPr>
                <w:rFonts w:hint="eastAsia"/>
                <w:b/>
                <w:bCs/>
                <w:szCs w:val="21"/>
                <w:lang w:eastAsia="zh-CN"/>
              </w:rPr>
              <w:t>）</w:t>
            </w:r>
          </w:p>
        </w:tc>
        <w:tc>
          <w:tcPr>
            <w:tcW w:w="4550" w:type="dxa"/>
            <w:vAlign w:val="center"/>
          </w:tcPr>
          <w:p>
            <w:pPr>
              <w:widowControl/>
              <w:spacing w:line="360" w:lineRule="exact"/>
              <w:jc w:val="left"/>
              <w:rPr>
                <w:szCs w:val="21"/>
              </w:rPr>
            </w:pPr>
            <w:r>
              <w:rPr>
                <w:rStyle w:val="58"/>
                <w:rFonts w:hint="default" w:ascii="Segoe UI Symbol" w:hAnsi="Segoe UI Symbol" w:cs="Segoe UI Symbol"/>
                <w:color w:val="auto"/>
                <w:sz w:val="21"/>
                <w:szCs w:val="21"/>
              </w:rPr>
              <w:t>★</w:t>
            </w:r>
            <w:r>
              <w:rPr>
                <w:rFonts w:hint="eastAsia"/>
                <w:szCs w:val="21"/>
              </w:rPr>
              <w:t>1. 适</w:t>
            </w:r>
            <w:r>
              <w:rPr>
                <w:szCs w:val="21"/>
              </w:rPr>
              <w:t>用范围：用于核酸检测和蛋白检测，普通凝胶成像，动植物活体（LUC 或者GFP等活体）检测，以及实现多色荧光的拍摄。</w:t>
            </w:r>
          </w:p>
          <w:p>
            <w:pPr>
              <w:widowControl/>
              <w:spacing w:line="360" w:lineRule="exact"/>
              <w:jc w:val="left"/>
              <w:rPr>
                <w:szCs w:val="21"/>
              </w:rPr>
            </w:pPr>
            <w:r>
              <w:rPr>
                <w:rStyle w:val="58"/>
                <w:rFonts w:hint="default" w:ascii="Segoe UI Symbol" w:hAnsi="Segoe UI Symbol" w:cs="Segoe UI Symbol"/>
                <w:color w:val="auto"/>
                <w:sz w:val="21"/>
                <w:szCs w:val="21"/>
              </w:rPr>
              <w:t>★</w:t>
            </w:r>
            <w:r>
              <w:rPr>
                <w:rFonts w:hint="eastAsia"/>
                <w:szCs w:val="21"/>
              </w:rPr>
              <w:t xml:space="preserve">2. </w:t>
            </w:r>
            <w:r>
              <w:rPr>
                <w:szCs w:val="21"/>
              </w:rPr>
              <w:t>高分辨率低照度数码制冷CCD摄像头</w:t>
            </w:r>
          </w:p>
          <w:p>
            <w:pPr>
              <w:widowControl/>
              <w:spacing w:line="360" w:lineRule="exact"/>
              <w:jc w:val="left"/>
              <w:rPr>
                <w:szCs w:val="21"/>
              </w:rPr>
            </w:pPr>
            <w:r>
              <w:rPr>
                <w:szCs w:val="21"/>
              </w:rPr>
              <w:t>3. 分辨率：</w:t>
            </w:r>
            <w:r>
              <w:rPr>
                <w:rFonts w:hint="eastAsia" w:asciiTheme="minorEastAsia" w:hAnsiTheme="minorEastAsia" w:eastAsiaTheme="minorEastAsia" w:cstheme="minorEastAsia"/>
                <w:lang w:val="zh-TW" w:eastAsia="zh-TW"/>
              </w:rPr>
              <w:t>≥</w:t>
            </w:r>
            <w:r>
              <w:rPr>
                <w:szCs w:val="21"/>
              </w:rPr>
              <w:t xml:space="preserve">605万像素 </w:t>
            </w:r>
          </w:p>
          <w:p>
            <w:pPr>
              <w:widowControl/>
              <w:spacing w:line="360" w:lineRule="exact"/>
              <w:jc w:val="left"/>
              <w:rPr>
                <w:szCs w:val="21"/>
              </w:rPr>
            </w:pPr>
            <w:r>
              <w:rPr>
                <w:szCs w:val="21"/>
              </w:rPr>
              <w:t>4. 量子效率：CCD芯片光电转换效率</w:t>
            </w:r>
            <w:r>
              <w:rPr>
                <w:rFonts w:hint="eastAsia" w:asciiTheme="minorEastAsia" w:hAnsiTheme="minorEastAsia" w:eastAsiaTheme="minorEastAsia" w:cstheme="minorEastAsia"/>
                <w:lang w:val="zh-TW" w:eastAsia="zh-TW"/>
              </w:rPr>
              <w:t>≥</w:t>
            </w:r>
            <w:r>
              <w:rPr>
                <w:szCs w:val="21"/>
              </w:rPr>
              <w:t xml:space="preserve">75%                                                                                                                                                                                   5. 暗电流：CCD暗电流：0.0005 e-/pixel/sec（需提供CCD制造商证明） </w:t>
            </w:r>
          </w:p>
          <w:p>
            <w:pPr>
              <w:widowControl/>
              <w:spacing w:line="360" w:lineRule="exact"/>
              <w:jc w:val="left"/>
              <w:rPr>
                <w:szCs w:val="21"/>
              </w:rPr>
            </w:pPr>
            <w:r>
              <w:rPr>
                <w:rStyle w:val="58"/>
                <w:rFonts w:hint="default" w:ascii="Segoe UI Symbol" w:hAnsi="Segoe UI Symbol" w:cs="Segoe UI Symbol"/>
                <w:color w:val="auto"/>
                <w:sz w:val="21"/>
                <w:szCs w:val="21"/>
              </w:rPr>
              <w:t>★</w:t>
            </w:r>
            <w:r>
              <w:rPr>
                <w:szCs w:val="21"/>
              </w:rPr>
              <w:t>6. 制冷温度：常温以下55度（或绝对温度-30℃）</w:t>
            </w:r>
          </w:p>
          <w:p>
            <w:pPr>
              <w:widowControl/>
              <w:spacing w:line="360" w:lineRule="exact"/>
              <w:jc w:val="left"/>
              <w:rPr>
                <w:szCs w:val="21"/>
              </w:rPr>
            </w:pPr>
            <w:r>
              <w:rPr>
                <w:szCs w:val="21"/>
              </w:rPr>
              <w:t xml:space="preserve">7. 镜头：F/0.8高清晰大口径高通透电动镜头，可通过计算机对焦距进行电动调整。 </w:t>
            </w:r>
          </w:p>
          <w:p>
            <w:pPr>
              <w:widowControl/>
              <w:spacing w:line="360" w:lineRule="exact"/>
              <w:jc w:val="left"/>
              <w:rPr>
                <w:szCs w:val="21"/>
              </w:rPr>
            </w:pPr>
            <w:r>
              <w:rPr>
                <w:szCs w:val="21"/>
              </w:rPr>
              <w:t xml:space="preserve">8. 冷却方式：半导体制冷。 </w:t>
            </w:r>
          </w:p>
          <w:p>
            <w:pPr>
              <w:widowControl/>
              <w:spacing w:line="360" w:lineRule="exact"/>
              <w:jc w:val="left"/>
              <w:rPr>
                <w:szCs w:val="21"/>
              </w:rPr>
            </w:pPr>
            <w:r>
              <w:rPr>
                <w:szCs w:val="21"/>
              </w:rPr>
              <w:t>9. 有效像数（物理像素）：</w:t>
            </w:r>
            <w:r>
              <w:rPr>
                <w:rFonts w:hint="eastAsia" w:asciiTheme="minorEastAsia" w:hAnsiTheme="minorEastAsia" w:eastAsiaTheme="minorEastAsia" w:cstheme="minorEastAsia"/>
                <w:lang w:val="zh-TW" w:eastAsia="zh-TW"/>
              </w:rPr>
              <w:t>≥</w:t>
            </w:r>
            <w:r>
              <w:rPr>
                <w:szCs w:val="21"/>
              </w:rPr>
              <w:t xml:space="preserve">2750×2200，非插入值 </w:t>
            </w:r>
          </w:p>
          <w:p>
            <w:pPr>
              <w:widowControl/>
              <w:spacing w:line="360" w:lineRule="exact"/>
              <w:jc w:val="left"/>
              <w:rPr>
                <w:szCs w:val="21"/>
              </w:rPr>
            </w:pPr>
            <w:r>
              <w:rPr>
                <w:szCs w:val="21"/>
              </w:rPr>
              <w:t>10. 像数密度：</w:t>
            </w:r>
            <w:r>
              <w:rPr>
                <w:rFonts w:hint="eastAsia" w:asciiTheme="minorEastAsia" w:hAnsiTheme="minorEastAsia" w:eastAsiaTheme="minorEastAsia" w:cstheme="minorEastAsia"/>
                <w:lang w:val="zh-TW" w:eastAsia="zh-TW"/>
              </w:rPr>
              <w:t>≥</w:t>
            </w:r>
            <w:r>
              <w:rPr>
                <w:szCs w:val="21"/>
              </w:rPr>
              <w:t xml:space="preserve">16 bit （0-65535色）。 </w:t>
            </w:r>
          </w:p>
          <w:p>
            <w:pPr>
              <w:widowControl/>
              <w:spacing w:line="360" w:lineRule="exact"/>
              <w:jc w:val="left"/>
              <w:rPr>
                <w:szCs w:val="21"/>
              </w:rPr>
            </w:pPr>
            <w:r>
              <w:rPr>
                <w:szCs w:val="21"/>
              </w:rPr>
              <w:t>11. 像数尺寸：</w:t>
            </w:r>
            <w:r>
              <w:rPr>
                <w:rFonts w:hint="eastAsia" w:asciiTheme="minorEastAsia" w:hAnsiTheme="minorEastAsia" w:eastAsiaTheme="minorEastAsia" w:cstheme="minorEastAsia"/>
                <w:lang w:val="zh-TW" w:eastAsia="zh-TW"/>
              </w:rPr>
              <w:t>≥</w:t>
            </w:r>
            <w:r>
              <w:rPr>
                <w:szCs w:val="21"/>
              </w:rPr>
              <w:t xml:space="preserve">4.54um×4.54um。 </w:t>
            </w:r>
          </w:p>
          <w:p>
            <w:pPr>
              <w:widowControl/>
              <w:spacing w:line="360" w:lineRule="exact"/>
              <w:jc w:val="left"/>
              <w:rPr>
                <w:szCs w:val="21"/>
              </w:rPr>
            </w:pPr>
            <w:r>
              <w:rPr>
                <w:szCs w:val="21"/>
              </w:rPr>
              <w:t xml:space="preserve">12. 像素合并：1×1，2×2，3×3，4×4。 </w:t>
            </w:r>
          </w:p>
          <w:p>
            <w:pPr>
              <w:widowControl/>
              <w:spacing w:line="360" w:lineRule="exact"/>
              <w:jc w:val="left"/>
              <w:rPr>
                <w:szCs w:val="21"/>
              </w:rPr>
            </w:pPr>
            <w:r>
              <w:rPr>
                <w:szCs w:val="21"/>
              </w:rPr>
              <w:t>13. 动态范围：</w:t>
            </w:r>
            <w:r>
              <w:rPr>
                <w:rFonts w:hint="eastAsia" w:asciiTheme="minorEastAsia" w:hAnsiTheme="minorEastAsia" w:eastAsiaTheme="minorEastAsia" w:cstheme="minorEastAsia"/>
                <w:lang w:val="zh-TW" w:eastAsia="zh-TW"/>
              </w:rPr>
              <w:t>≥</w:t>
            </w:r>
            <w:r>
              <w:rPr>
                <w:szCs w:val="21"/>
              </w:rPr>
              <w:t xml:space="preserve">4个数量级。 </w:t>
            </w:r>
          </w:p>
          <w:p>
            <w:pPr>
              <w:widowControl/>
              <w:spacing w:line="360" w:lineRule="exact"/>
              <w:jc w:val="left"/>
              <w:rPr>
                <w:szCs w:val="21"/>
              </w:rPr>
            </w:pPr>
            <w:r>
              <w:rPr>
                <w:szCs w:val="21"/>
              </w:rPr>
              <w:t xml:space="preserve">14. 照明模式：透射紫外，透射白光，反射紫外，反射白光，选配透射蓝光和红、绿、蓝反射激发光源。 </w:t>
            </w:r>
          </w:p>
          <w:p>
            <w:pPr>
              <w:widowControl/>
              <w:spacing w:line="360" w:lineRule="exact"/>
              <w:jc w:val="left"/>
              <w:rPr>
                <w:szCs w:val="21"/>
              </w:rPr>
            </w:pPr>
            <w:r>
              <w:rPr>
                <w:szCs w:val="21"/>
              </w:rPr>
              <w:t xml:space="preserve">15. 激发光源：透射：302nm和白光；（可选配LED透射蓝光）LED反射白光灯（冷光）双侧反射：254nm，365nm高亮度LED ，选配红、绿、蓝反射激发光源。 </w:t>
            </w:r>
          </w:p>
          <w:p>
            <w:pPr>
              <w:widowControl/>
              <w:spacing w:line="360" w:lineRule="exact"/>
              <w:jc w:val="left"/>
              <w:rPr>
                <w:szCs w:val="21"/>
              </w:rPr>
            </w:pPr>
            <w:r>
              <w:rPr>
                <w:szCs w:val="21"/>
              </w:rPr>
              <w:t xml:space="preserve">16. 滤光片光片位置5位电脑控制自动定位滤光片轮：标配590nm，选配535nm、605nm、699nm。 </w:t>
            </w:r>
          </w:p>
          <w:p>
            <w:pPr>
              <w:widowControl/>
              <w:spacing w:line="360" w:lineRule="exact"/>
              <w:jc w:val="left"/>
              <w:rPr>
                <w:szCs w:val="21"/>
              </w:rPr>
            </w:pPr>
            <w:r>
              <w:rPr>
                <w:szCs w:val="21"/>
              </w:rPr>
              <w:t xml:space="preserve">17. 拍摄面积：紫外：约18×16cm； 白光：约15×15cm。 </w:t>
            </w:r>
          </w:p>
          <w:p>
            <w:pPr>
              <w:widowControl/>
              <w:spacing w:line="360" w:lineRule="exact"/>
              <w:jc w:val="left"/>
              <w:rPr>
                <w:szCs w:val="21"/>
              </w:rPr>
            </w:pPr>
            <w:r>
              <w:rPr>
                <w:szCs w:val="21"/>
              </w:rPr>
              <w:t>18. 定时功能：用户可自行设定定时自动关闭、紫外光源的时间（1～60分钟）。</w:t>
            </w:r>
          </w:p>
          <w:p>
            <w:pPr>
              <w:widowControl/>
              <w:spacing w:line="360" w:lineRule="exact"/>
              <w:jc w:val="left"/>
              <w:rPr>
                <w:szCs w:val="21"/>
              </w:rPr>
            </w:pPr>
            <w:r>
              <w:rPr>
                <w:rFonts w:hint="eastAsia"/>
                <w:szCs w:val="21"/>
              </w:rPr>
              <w:t xml:space="preserve">19. 可设定连续采样的次数、起始及终止曝光时间，进行动态连续拍摄，可一次性得到5张图片并方便获得最佳条件和效果的实验结果。 </w:t>
            </w:r>
          </w:p>
          <w:p>
            <w:pPr>
              <w:widowControl/>
              <w:spacing w:line="360" w:lineRule="exact"/>
              <w:jc w:val="left"/>
              <w:rPr>
                <w:szCs w:val="21"/>
              </w:rPr>
            </w:pPr>
            <w:r>
              <w:rPr>
                <w:szCs w:val="21"/>
              </w:rPr>
              <w:t>2</w:t>
            </w:r>
            <w:r>
              <w:rPr>
                <w:rFonts w:hint="eastAsia"/>
                <w:szCs w:val="21"/>
              </w:rPr>
              <w:t>0</w:t>
            </w:r>
            <w:r>
              <w:rPr>
                <w:szCs w:val="21"/>
              </w:rPr>
              <w:t xml:space="preserve">. 相关品牌和型号的动植物活体成像的应用结果应在国际知名期刊上出现过一次及以上。 </w:t>
            </w:r>
          </w:p>
          <w:p>
            <w:pPr>
              <w:widowControl/>
              <w:spacing w:line="360" w:lineRule="exact"/>
              <w:jc w:val="left"/>
              <w:rPr>
                <w:szCs w:val="21"/>
              </w:rPr>
            </w:pPr>
            <w:r>
              <w:rPr>
                <w:rStyle w:val="58"/>
                <w:rFonts w:hint="default" w:ascii="Segoe UI Symbol" w:hAnsi="Segoe UI Symbol" w:cs="Segoe UI Symbol"/>
                <w:color w:val="auto"/>
                <w:sz w:val="21"/>
                <w:szCs w:val="21"/>
              </w:rPr>
              <w:t>★</w:t>
            </w:r>
            <w:r>
              <w:rPr>
                <w:szCs w:val="21"/>
              </w:rPr>
              <w:t>2</w:t>
            </w:r>
            <w:r>
              <w:rPr>
                <w:rFonts w:hint="eastAsia"/>
                <w:szCs w:val="21"/>
              </w:rPr>
              <w:t>1</w:t>
            </w:r>
            <w:r>
              <w:rPr>
                <w:szCs w:val="21"/>
              </w:rPr>
              <w:t xml:space="preserve">.仪器操作软件：荧光成像（LUC，GFP，RFP等）、生物发光/动植物活体成像（需要提供用户真实实验图片及相关文章做证明）、化学发光、紫外成像和白光成像五种成像功能于一体，具有仪器图像拍摄和数据处理和分析软件，包括所有拍摄参数的软件自动化设置与控制，成像的后期处理优化、两种或多种模式成像的图像叠加、定量分析、数据输出等；软件有记忆功能：可以保存设置用于下次成像。 </w:t>
            </w:r>
          </w:p>
          <w:p>
            <w:pPr>
              <w:widowControl/>
              <w:spacing w:line="360" w:lineRule="exact"/>
              <w:jc w:val="left"/>
              <w:rPr>
                <w:szCs w:val="21"/>
              </w:rPr>
            </w:pPr>
            <w:r>
              <w:rPr>
                <w:rStyle w:val="58"/>
                <w:rFonts w:hint="default" w:ascii="Times New Roman" w:hAnsi="Times New Roman"/>
                <w:color w:val="auto"/>
                <w:sz w:val="21"/>
                <w:szCs w:val="21"/>
              </w:rPr>
              <w:t>▲</w:t>
            </w:r>
            <w:r>
              <w:rPr>
                <w:szCs w:val="21"/>
              </w:rPr>
              <w:t>2</w:t>
            </w:r>
            <w:r>
              <w:rPr>
                <w:rFonts w:hint="eastAsia"/>
                <w:szCs w:val="21"/>
              </w:rPr>
              <w:t>2</w:t>
            </w:r>
            <w:r>
              <w:rPr>
                <w:szCs w:val="21"/>
              </w:rPr>
              <w:t>.含RGB模块</w:t>
            </w:r>
            <w:r>
              <w:rPr>
                <w:rFonts w:hint="eastAsia"/>
                <w:szCs w:val="21"/>
              </w:rPr>
              <w:t>。</w:t>
            </w:r>
          </w:p>
          <w:p>
            <w:pPr>
              <w:widowControl/>
              <w:spacing w:line="360" w:lineRule="exact"/>
              <w:jc w:val="left"/>
              <w:rPr>
                <w:szCs w:val="21"/>
              </w:rPr>
            </w:pPr>
            <w:r>
              <w:rPr>
                <w:rFonts w:hint="eastAsia"/>
                <w:szCs w:val="21"/>
              </w:rPr>
              <w:t xml:space="preserve">23. </w:t>
            </w:r>
            <w:r>
              <w:rPr>
                <w:szCs w:val="21"/>
              </w:rPr>
              <w:t>品牌电脑一台</w:t>
            </w:r>
            <w:r>
              <w:rPr>
                <w:rFonts w:hint="eastAsia"/>
                <w:szCs w:val="21"/>
              </w:rPr>
              <w:t>，</w:t>
            </w:r>
            <w:r>
              <w:rPr>
                <w:rStyle w:val="58"/>
                <w:rFonts w:hint="default" w:ascii="Times New Roman" w:hAnsi="Times New Roman"/>
                <w:color w:val="auto"/>
                <w:sz w:val="21"/>
                <w:szCs w:val="21"/>
              </w:rPr>
              <w:t>CPU≥酷睿i5-10500，内存≥8GB，硬盘≥512G SSD固态，23.8寸液晶显示器，win10以上操作系统，配鼠标键盘</w:t>
            </w:r>
            <w:r>
              <w:rPr>
                <w:szCs w:val="21"/>
              </w:rPr>
              <w:t>。</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44" w:type="dxa"/>
          </w:tcPr>
          <w:p>
            <w:pPr>
              <w:spacing w:line="360" w:lineRule="exact"/>
              <w:jc w:val="center"/>
              <w:rPr>
                <w:szCs w:val="21"/>
              </w:rPr>
            </w:pPr>
            <w:r>
              <w:rPr>
                <w:rFonts w:hint="eastAsia"/>
                <w:szCs w:val="21"/>
              </w:rPr>
              <w:t>2</w:t>
            </w:r>
          </w:p>
        </w:tc>
        <w:tc>
          <w:tcPr>
            <w:tcW w:w="1032" w:type="dxa"/>
          </w:tcPr>
          <w:p>
            <w:pPr>
              <w:spacing w:line="360" w:lineRule="exact"/>
              <w:jc w:val="center"/>
              <w:rPr>
                <w:szCs w:val="21"/>
              </w:rPr>
            </w:pPr>
            <w:r>
              <w:rPr>
                <w:rFonts w:hint="eastAsia"/>
                <w:szCs w:val="21"/>
              </w:rPr>
              <w:t>真空冷冻干燥机</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▲1.冻干面积(㎡)：≥0.12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2.捕水容量（kg/批）：≥3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3.西林瓶装瓶量：Φ12mm：920只; Φ16mm:480只;Φ22mm：260只;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4.多歧管数量：</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8个，茄形瓶数量：</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8个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5.盘装溶液（L)：</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1.5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6.板层尺寸（mm）：</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Φ200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7.板层间距(mm)：</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70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8.板层数量(块）：</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4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9.冷阱尺寸（mm）：</w:t>
            </w:r>
            <w:r>
              <w:rPr>
                <w:rFonts w:hint="eastAsia" w:asciiTheme="minorEastAsia" w:hAnsiTheme="minorEastAsia" w:eastAsiaTheme="minorEastAsia" w:cstheme="minorEastAsia"/>
                <w:lang w:val="zh-TW" w:eastAsia="zh-TW"/>
              </w:rPr>
              <w:t>≥</w:t>
            </w:r>
            <w:r>
              <w:rPr>
                <w:rStyle w:val="58"/>
                <w:rFonts w:hint="default" w:ascii="Times New Roman" w:hAnsi="Times New Roman"/>
                <w:color w:val="auto"/>
                <w:sz w:val="21"/>
                <w:szCs w:val="21"/>
              </w:rPr>
              <w:t xml:space="preserve">Φ250×150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10.冷阱最低温度（℃)：≤-56 (空载）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11.-80℃冷阱最低温度：≤-80（空载）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12.极限真空度(Pa)：≤5（空载） </w:t>
            </w:r>
          </w:p>
          <w:p>
            <w:pPr>
              <w:spacing w:line="360" w:lineRule="exact"/>
              <w:rPr>
                <w:rFonts w:cs="宋体"/>
                <w:szCs w:val="21"/>
              </w:rPr>
            </w:pPr>
            <w:r>
              <w:rPr>
                <w:rStyle w:val="58"/>
                <w:rFonts w:hint="default" w:ascii="Times New Roman" w:hAnsi="Times New Roman"/>
                <w:color w:val="auto"/>
                <w:sz w:val="21"/>
                <w:szCs w:val="21"/>
              </w:rPr>
              <w:t>13.环境温度（</w:t>
            </w:r>
            <w:r>
              <w:rPr>
                <w:rStyle w:val="58"/>
                <w:rFonts w:hint="default"/>
                <w:color w:val="auto"/>
                <w:sz w:val="21"/>
                <w:szCs w:val="21"/>
              </w:rPr>
              <w:t>℃</w:t>
            </w:r>
            <w:r>
              <w:rPr>
                <w:rStyle w:val="58"/>
                <w:rFonts w:hint="default" w:ascii="Times New Roman" w:hAnsi="Times New Roman"/>
                <w:color w:val="auto"/>
                <w:sz w:val="21"/>
                <w:szCs w:val="21"/>
              </w:rPr>
              <w:t xml:space="preserve">)：≤25 </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544" w:type="dxa"/>
          </w:tcPr>
          <w:p>
            <w:pPr>
              <w:spacing w:line="360" w:lineRule="exact"/>
              <w:jc w:val="center"/>
              <w:rPr>
                <w:szCs w:val="21"/>
              </w:rPr>
            </w:pPr>
            <w:r>
              <w:rPr>
                <w:rFonts w:hint="eastAsia"/>
                <w:szCs w:val="21"/>
              </w:rPr>
              <w:t>3</w:t>
            </w:r>
          </w:p>
        </w:tc>
        <w:tc>
          <w:tcPr>
            <w:tcW w:w="1032" w:type="dxa"/>
          </w:tcPr>
          <w:p>
            <w:pPr>
              <w:spacing w:line="360" w:lineRule="exact"/>
              <w:jc w:val="center"/>
              <w:rPr>
                <w:szCs w:val="21"/>
              </w:rPr>
            </w:pPr>
            <w:r>
              <w:rPr>
                <w:rFonts w:hint="eastAsia"/>
                <w:szCs w:val="21"/>
              </w:rPr>
              <w:t>烘箱</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1箱体内均采用镜面不锈钢氩弧焊制作而成。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 采用具有超温偏差保护、 数字显示的微电脑P.I.D温度控制器， 带有定时功能， 控温精确可靠。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 热风循环系统由能在高温下连续运转的风机和合适风道组成，提高工作室内温度均匀度。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 可以从控温面板上调节箱内进风和排气量大小。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5.独立限温报警系统，超过限制温度即自动中断。</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控温范围 ：RT+10～250℃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6.恒温波动度 ：±1.0℃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7.温度分辨率 ：</w:t>
            </w:r>
            <w:r>
              <w:rPr>
                <w:rFonts w:hint="eastAsia" w:ascii="Calibri" w:hAnsi="Calibri"/>
              </w:rPr>
              <w:t>≦</w:t>
            </w:r>
            <w:r>
              <w:rPr>
                <w:rStyle w:val="58"/>
                <w:rFonts w:hint="default" w:ascii="Times New Roman" w:hAnsi="Times New Roman"/>
                <w:color w:val="auto"/>
                <w:sz w:val="21"/>
                <w:szCs w:val="21"/>
              </w:rPr>
              <w:t xml:space="preserve">0.1℃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8.输入功率：</w:t>
            </w:r>
            <w:r>
              <w:rPr>
                <w:rFonts w:hint="eastAsia" w:ascii="Calibri" w:hAnsi="Calibri"/>
              </w:rPr>
              <w:t>≦</w:t>
            </w:r>
            <w:r>
              <w:rPr>
                <w:rStyle w:val="58"/>
                <w:rFonts w:hint="default" w:ascii="Times New Roman" w:hAnsi="Times New Roman"/>
                <w:color w:val="auto"/>
                <w:sz w:val="21"/>
                <w:szCs w:val="21"/>
              </w:rPr>
              <w:t xml:space="preserve">2500W                                                                                         </w:t>
            </w:r>
          </w:p>
          <w:p>
            <w:pPr>
              <w:spacing w:line="360" w:lineRule="exact"/>
              <w:rPr>
                <w:rFonts w:cs="宋体"/>
                <w:szCs w:val="21"/>
              </w:rPr>
            </w:pPr>
            <w:r>
              <w:rPr>
                <w:rStyle w:val="58"/>
                <w:rFonts w:hint="default" w:ascii="Times New Roman" w:hAnsi="Times New Roman"/>
                <w:color w:val="auto"/>
                <w:sz w:val="21"/>
                <w:szCs w:val="21"/>
              </w:rPr>
              <w:t>9.容积：</w:t>
            </w:r>
            <w:r>
              <w:rPr>
                <w:rFonts w:hint="eastAsia" w:ascii="Calibri" w:hAnsi="Calibri"/>
              </w:rPr>
              <w:t>≧</w:t>
            </w:r>
            <w:r>
              <w:rPr>
                <w:rStyle w:val="58"/>
                <w:rFonts w:hint="default" w:ascii="Times New Roman" w:hAnsi="Times New Roman"/>
                <w:color w:val="auto"/>
                <w:sz w:val="21"/>
                <w:szCs w:val="21"/>
              </w:rPr>
              <w:t>220L</w:t>
            </w:r>
          </w:p>
        </w:tc>
        <w:tc>
          <w:tcPr>
            <w:tcW w:w="673" w:type="dxa"/>
          </w:tcPr>
          <w:p>
            <w:pPr>
              <w:spacing w:line="360" w:lineRule="exact"/>
              <w:jc w:val="center"/>
              <w:rPr>
                <w:szCs w:val="21"/>
              </w:rPr>
            </w:pPr>
            <w:r>
              <w:rPr>
                <w:rFonts w:hint="eastAsia"/>
                <w:szCs w:val="21"/>
              </w:rPr>
              <w:t>3</w:t>
            </w:r>
          </w:p>
        </w:tc>
        <w:tc>
          <w:tcPr>
            <w:tcW w:w="703" w:type="dxa"/>
          </w:tcPr>
          <w:p>
            <w:pPr>
              <w:spacing w:line="360" w:lineRule="exact"/>
              <w:jc w:val="center"/>
              <w:rPr>
                <w:szCs w:val="21"/>
              </w:rPr>
            </w:pPr>
            <w:r>
              <w:rPr>
                <w:rFonts w:hint="eastAsia"/>
                <w:szCs w:val="21"/>
              </w:rPr>
              <w:t>台</w:t>
            </w:r>
          </w:p>
        </w:tc>
        <w:tc>
          <w:tcPr>
            <w:tcW w:w="818"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544" w:type="dxa"/>
          </w:tcPr>
          <w:p>
            <w:pPr>
              <w:spacing w:line="360" w:lineRule="exact"/>
              <w:jc w:val="center"/>
              <w:rPr>
                <w:szCs w:val="21"/>
              </w:rPr>
            </w:pPr>
            <w:r>
              <w:rPr>
                <w:rFonts w:hint="eastAsia"/>
                <w:szCs w:val="21"/>
              </w:rPr>
              <w:t>4</w:t>
            </w:r>
          </w:p>
        </w:tc>
        <w:tc>
          <w:tcPr>
            <w:tcW w:w="1032" w:type="dxa"/>
          </w:tcPr>
          <w:p>
            <w:pPr>
              <w:spacing w:line="360" w:lineRule="exact"/>
              <w:jc w:val="center"/>
              <w:rPr>
                <w:szCs w:val="21"/>
              </w:rPr>
            </w:pPr>
            <w:r>
              <w:rPr>
                <w:rFonts w:hint="eastAsia"/>
                <w:szCs w:val="21"/>
              </w:rPr>
              <w:t>烘箱</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1.箱体内均采用镜面不锈钢氩弧焊制作而成。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2.采用具有超温偏差保护、 数字显示的微电脑P.I.D温度控制器， 带有定时功能， 控温精确可靠。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3.热风循环系统由能在高温下连续运转的风机和合适风道组成，提高工作室内温度均匀度。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4.可以从控温面板上调节箱内进风和排气量大小。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5.控温范围 ：RT+10～250℃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6.恒温波动度 ：±1.0℃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7.温度分辨率 ：</w:t>
            </w:r>
            <w:r>
              <w:rPr>
                <w:rFonts w:hint="eastAsia" w:ascii="Calibri" w:hAnsi="Calibri"/>
              </w:rPr>
              <w:t>≦</w:t>
            </w:r>
            <w:r>
              <w:rPr>
                <w:rStyle w:val="58"/>
                <w:rFonts w:hint="default" w:ascii="Times New Roman" w:hAnsi="Times New Roman"/>
                <w:color w:val="auto"/>
                <w:sz w:val="21"/>
                <w:szCs w:val="21"/>
              </w:rPr>
              <w:t xml:space="preserve">0.1℃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8.输入功率：</w:t>
            </w:r>
            <w:r>
              <w:rPr>
                <w:rFonts w:hint="eastAsia" w:ascii="Calibri" w:hAnsi="Calibri"/>
              </w:rPr>
              <w:t>≦</w:t>
            </w:r>
            <w:r>
              <w:rPr>
                <w:rStyle w:val="58"/>
                <w:rFonts w:hint="default" w:ascii="Times New Roman" w:hAnsi="Times New Roman"/>
                <w:color w:val="auto"/>
                <w:sz w:val="21"/>
                <w:szCs w:val="21"/>
              </w:rPr>
              <w:t xml:space="preserve">850W                                                                                         </w:t>
            </w:r>
          </w:p>
          <w:p>
            <w:pPr>
              <w:spacing w:line="360" w:lineRule="exact"/>
              <w:rPr>
                <w:rFonts w:cs="宋体"/>
                <w:szCs w:val="21"/>
              </w:rPr>
            </w:pPr>
            <w:r>
              <w:rPr>
                <w:rStyle w:val="58"/>
                <w:rFonts w:hint="default" w:ascii="Times New Roman" w:hAnsi="Times New Roman"/>
                <w:color w:val="auto"/>
                <w:sz w:val="21"/>
                <w:szCs w:val="21"/>
              </w:rPr>
              <w:t>9.容积：</w:t>
            </w:r>
            <w:r>
              <w:rPr>
                <w:rFonts w:hint="eastAsia" w:ascii="Calibri" w:hAnsi="Calibri"/>
              </w:rPr>
              <w:t>≧</w:t>
            </w:r>
            <w:r>
              <w:rPr>
                <w:rStyle w:val="58"/>
                <w:rFonts w:hint="default" w:ascii="Times New Roman" w:hAnsi="Times New Roman"/>
                <w:color w:val="auto"/>
                <w:sz w:val="21"/>
                <w:szCs w:val="21"/>
              </w:rPr>
              <w:t xml:space="preserve">30L     </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5</w:t>
            </w:r>
          </w:p>
        </w:tc>
        <w:tc>
          <w:tcPr>
            <w:tcW w:w="1032" w:type="dxa"/>
          </w:tcPr>
          <w:p>
            <w:pPr>
              <w:spacing w:line="360" w:lineRule="exact"/>
              <w:jc w:val="center"/>
              <w:rPr>
                <w:szCs w:val="21"/>
              </w:rPr>
            </w:pPr>
            <w:r>
              <w:rPr>
                <w:rFonts w:hint="eastAsia"/>
                <w:szCs w:val="21"/>
              </w:rPr>
              <w:t>真空干燥箱</w:t>
            </w:r>
          </w:p>
        </w:tc>
        <w:tc>
          <w:tcPr>
            <w:tcW w:w="4550" w:type="dxa"/>
            <w:vAlign w:val="center"/>
          </w:tcPr>
          <w:p>
            <w:pPr>
              <w:rPr>
                <w:szCs w:val="21"/>
              </w:rPr>
            </w:pPr>
            <w:r>
              <w:rPr>
                <w:rFonts w:hint="eastAsia"/>
                <w:szCs w:val="21"/>
              </w:rPr>
              <w:t xml:space="preserve">1、内胆尺寸：≥415×370×345 </w:t>
            </w:r>
            <w:r>
              <w:rPr>
                <w:szCs w:val="21"/>
              </w:rPr>
              <w:t>mm</w:t>
            </w:r>
          </w:p>
          <w:p>
            <w:pPr>
              <w:rPr>
                <w:szCs w:val="21"/>
              </w:rPr>
            </w:pPr>
            <w:r>
              <w:rPr>
                <w:rFonts w:hint="eastAsia"/>
                <w:szCs w:val="21"/>
              </w:rPr>
              <w:t>2、工作室材质：不锈钢</w:t>
            </w:r>
          </w:p>
          <w:p>
            <w:pPr>
              <w:rPr>
                <w:szCs w:val="21"/>
              </w:rPr>
            </w:pPr>
            <w:r>
              <w:rPr>
                <w:rFonts w:hint="eastAsia"/>
                <w:szCs w:val="21"/>
              </w:rPr>
              <w:t>3、真空度：≤133pa</w:t>
            </w:r>
          </w:p>
          <w:p>
            <w:pPr>
              <w:rPr>
                <w:szCs w:val="21"/>
              </w:rPr>
            </w:pPr>
            <w:r>
              <w:rPr>
                <w:rFonts w:hint="eastAsia"/>
                <w:szCs w:val="21"/>
              </w:rPr>
              <w:t>4、控温范围：室温+10℃-200℃</w:t>
            </w:r>
          </w:p>
          <w:p>
            <w:pPr>
              <w:rPr>
                <w:szCs w:val="21"/>
              </w:rPr>
            </w:pPr>
            <w:r>
              <w:rPr>
                <w:rFonts w:hint="eastAsia"/>
                <w:szCs w:val="21"/>
              </w:rPr>
              <w:t>5、温度分辨率和波动度：0.1℃/：±1℃</w:t>
            </w:r>
          </w:p>
          <w:p>
            <w:pPr>
              <w:rPr>
                <w:szCs w:val="21"/>
              </w:rPr>
            </w:pPr>
            <w:r>
              <w:rPr>
                <w:rFonts w:hint="eastAsia"/>
                <w:szCs w:val="21"/>
              </w:rPr>
              <w:t>7、微电脑温度控制器，控温精确可靠</w:t>
            </w:r>
          </w:p>
          <w:p>
            <w:pPr>
              <w:rPr>
                <w:szCs w:val="21"/>
              </w:rPr>
            </w:pPr>
            <w:r>
              <w:rPr>
                <w:rFonts w:hint="eastAsia"/>
                <w:szCs w:val="21"/>
              </w:rPr>
              <w:t>8、功  率：≤1500W</w:t>
            </w:r>
          </w:p>
          <w:p>
            <w:pPr>
              <w:rPr>
                <w:szCs w:val="21"/>
              </w:rPr>
            </w:pPr>
            <w:r>
              <w:rPr>
                <w:rFonts w:hint="eastAsia"/>
                <w:szCs w:val="21"/>
              </w:rPr>
              <w:t>9、真空泵：抽气速率</w:t>
            </w:r>
            <w:r>
              <w:rPr>
                <w:rFonts w:hint="eastAsia" w:ascii="Calibri" w:hAnsi="Calibri"/>
              </w:rPr>
              <w:t>≧</w:t>
            </w:r>
            <w:r>
              <w:rPr>
                <w:rFonts w:hint="eastAsia"/>
                <w:szCs w:val="21"/>
              </w:rPr>
              <w:t>2L/S，转速</w:t>
            </w:r>
            <w:r>
              <w:rPr>
                <w:rFonts w:hint="eastAsia" w:ascii="Calibri" w:hAnsi="Calibri"/>
              </w:rPr>
              <w:t>≧</w:t>
            </w:r>
            <w:r>
              <w:rPr>
                <w:rFonts w:hint="eastAsia"/>
                <w:szCs w:val="21"/>
              </w:rPr>
              <w:t>1400r/min，极限压力6*10-2Pa</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6</w:t>
            </w:r>
          </w:p>
        </w:tc>
        <w:tc>
          <w:tcPr>
            <w:tcW w:w="1032" w:type="dxa"/>
          </w:tcPr>
          <w:p>
            <w:pPr>
              <w:spacing w:line="360" w:lineRule="exact"/>
              <w:jc w:val="center"/>
              <w:rPr>
                <w:szCs w:val="21"/>
              </w:rPr>
            </w:pPr>
            <w:r>
              <w:rPr>
                <w:rStyle w:val="115"/>
                <w:rFonts w:hint="default" w:ascii="Times New Roman" w:hAnsi="Times New Roman"/>
                <w:color w:val="auto"/>
                <w:sz w:val="21"/>
                <w:szCs w:val="21"/>
              </w:rPr>
              <w:t>恒温摇床</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1、技术指标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1.1.三层独立结构，每层独立控温，总高度低于180cm；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1.2.定时范围：0～999.9h;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1.3.控制方式:PID微电脑智能控温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1.4.LCD触摸液晶:参数设定在同一界面显示，具有密码锁定功能;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1.5.对流方式：强制对流方式;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1.6.驱动方式：偏三轮驱动;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1.7.辅助功能：超温报警功能，异常情况自动断电功能，断电恢复功能;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1.8.观察窗：中空钢化玻璃;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1.9.内衬: 镜面不锈钢无缝焊接，R角(圆弧角);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▲1.10. 冲洗功能：箱体底部可进行水或消毒液冲洗除污消毒；（附：箱体内高压水枪冲水实物图片）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1.11.压缩机：原装压缩机，无氟环保制冷剂，压缩机可设置：常开、自动和关闭；</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1.12具有自动除霜功能；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▲1.13.配备高质伺服电机；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1.14.侧面有透气孔;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1.15.具有紫外线灭菌功能；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1.16.摇板可抽拉；</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1.17.配置滤波器和磁环;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1.18.数据记录：不间断记录机器运行数据；</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▲1.19.振荡频率：10-350rpm；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1.20.振荡频率精度：±1rpm；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1.21.摇板振幅≥Ф26mm；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1.22.温控范围: 4～60℃；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1.23.温度调节精度：±0.1℃；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1.24.温度均匀度：±0.6℃；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1.25.单层放样品数量≥250ml×25或500ml×16或1000ml×9或2000ml×5或3000mlX4，共三层；</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1.26单层可放最大三角瓶≥3L,共三层</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1.27.定时范围：0-999.9小时；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1.28.摇板尺寸(长×宽）：单层 ≥ 475mm×465mm共三层；</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▲1.29.标准配置：一体成型全塑胶夹具，单手可操作取放培养瓶，保证放样品时玻璃瓶意外破碎不被划伤；（提供塑胶夹具实物彩色图片及操作说明）</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1.30.电源：AC220±10%   50～60Hz；</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1.31.外型尺寸：约820×700×1735mm；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1.32.重   量：约365kg；</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2.配置要求</w:t>
            </w:r>
          </w:p>
          <w:p>
            <w:pPr>
              <w:spacing w:line="360" w:lineRule="exact"/>
              <w:rPr>
                <w:rFonts w:cs="宋体"/>
                <w:szCs w:val="21"/>
              </w:rPr>
            </w:pPr>
            <w:r>
              <w:rPr>
                <w:rStyle w:val="58"/>
                <w:rFonts w:hint="default" w:ascii="Times New Roman" w:hAnsi="Times New Roman"/>
                <w:color w:val="auto"/>
                <w:sz w:val="21"/>
                <w:szCs w:val="21"/>
              </w:rPr>
              <w:t>2.1. 三层箱体夹具配置：配置塑胶夹具，夹具容量可单层单一或混配。</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7</w:t>
            </w:r>
          </w:p>
        </w:tc>
        <w:tc>
          <w:tcPr>
            <w:tcW w:w="1032" w:type="dxa"/>
          </w:tcPr>
          <w:p>
            <w:pPr>
              <w:spacing w:line="360" w:lineRule="exact"/>
              <w:jc w:val="center"/>
              <w:rPr>
                <w:szCs w:val="21"/>
              </w:rPr>
            </w:pPr>
            <w:r>
              <w:rPr>
                <w:rFonts w:hint="eastAsia"/>
                <w:szCs w:val="21"/>
              </w:rPr>
              <w:t>恒温水浴锅</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1.一次冲压成型不锈钢内胆</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2.微电脑智能控温仪，具有设定、测定温度双数字显示和PID自整定功能控温精确可靠。</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3.超温报警系统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4.消耗功率：≤1500W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5.控温范围：RT+5 ~100°C</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6.控温精度：0.1°C</w:t>
            </w:r>
          </w:p>
          <w:p>
            <w:pPr>
              <w:spacing w:line="360" w:lineRule="exact"/>
              <w:rPr>
                <w:rFonts w:cs="宋体"/>
                <w:szCs w:val="21"/>
              </w:rPr>
            </w:pPr>
            <w:r>
              <w:rPr>
                <w:rStyle w:val="58"/>
                <w:rFonts w:hint="default" w:ascii="Times New Roman" w:hAnsi="Times New Roman"/>
                <w:color w:val="auto"/>
                <w:sz w:val="21"/>
                <w:szCs w:val="21"/>
              </w:rPr>
              <w:t>7.温度波动：士0.5°C</w:t>
            </w:r>
          </w:p>
        </w:tc>
        <w:tc>
          <w:tcPr>
            <w:tcW w:w="673" w:type="dxa"/>
          </w:tcPr>
          <w:p>
            <w:pPr>
              <w:spacing w:line="360" w:lineRule="exact"/>
              <w:jc w:val="center"/>
              <w:rPr>
                <w:szCs w:val="21"/>
              </w:rPr>
            </w:pPr>
            <w:r>
              <w:rPr>
                <w:rFonts w:hint="eastAsia"/>
                <w:szCs w:val="21"/>
              </w:rPr>
              <w:t>3</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8</w:t>
            </w:r>
          </w:p>
        </w:tc>
        <w:tc>
          <w:tcPr>
            <w:tcW w:w="1032" w:type="dxa"/>
          </w:tcPr>
          <w:p>
            <w:pPr>
              <w:spacing w:line="360" w:lineRule="exact"/>
              <w:jc w:val="center"/>
              <w:rPr>
                <w:szCs w:val="21"/>
              </w:rPr>
            </w:pPr>
            <w:r>
              <w:rPr>
                <w:rStyle w:val="64"/>
                <w:rFonts w:hint="default" w:ascii="Times New Roman" w:hAnsi="Times New Roman"/>
                <w:color w:val="auto"/>
              </w:rPr>
              <w:t>分析天平</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1.最大称量值：≤120 g</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2.精度：≥0.1 mg</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3.重复性：≥0.1 mg</w:t>
            </w:r>
          </w:p>
          <w:p>
            <w:pPr>
              <w:spacing w:line="360" w:lineRule="exact"/>
              <w:rPr>
                <w:rFonts w:cs="宋体"/>
                <w:szCs w:val="21"/>
              </w:rPr>
            </w:pPr>
            <w:r>
              <w:rPr>
                <w:rStyle w:val="58"/>
                <w:rFonts w:hint="default" w:ascii="Times New Roman" w:hAnsi="Times New Roman"/>
                <w:color w:val="auto"/>
                <w:sz w:val="21"/>
                <w:szCs w:val="21"/>
              </w:rPr>
              <w:t>4.线性误差：≥ 0.2 mg</w:t>
            </w:r>
          </w:p>
        </w:tc>
        <w:tc>
          <w:tcPr>
            <w:tcW w:w="673" w:type="dxa"/>
          </w:tcPr>
          <w:p>
            <w:pPr>
              <w:spacing w:line="360" w:lineRule="exact"/>
              <w:jc w:val="center"/>
              <w:rPr>
                <w:szCs w:val="21"/>
              </w:rPr>
            </w:pPr>
            <w:r>
              <w:rPr>
                <w:rFonts w:hint="eastAsia"/>
                <w:szCs w:val="21"/>
              </w:rPr>
              <w:t>2</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tcPr>
          <w:p>
            <w:pPr>
              <w:spacing w:line="360" w:lineRule="exact"/>
              <w:jc w:val="center"/>
              <w:rPr>
                <w:szCs w:val="21"/>
              </w:rPr>
            </w:pPr>
            <w:r>
              <w:rPr>
                <w:rFonts w:hint="eastAsia"/>
                <w:szCs w:val="21"/>
              </w:rPr>
              <w:t>9</w:t>
            </w:r>
          </w:p>
        </w:tc>
        <w:tc>
          <w:tcPr>
            <w:tcW w:w="1032" w:type="dxa"/>
          </w:tcPr>
          <w:p>
            <w:pPr>
              <w:spacing w:line="360" w:lineRule="exact"/>
              <w:jc w:val="center"/>
              <w:rPr>
                <w:szCs w:val="21"/>
              </w:rPr>
            </w:pPr>
            <w:r>
              <w:rPr>
                <w:rFonts w:hint="eastAsia"/>
                <w:szCs w:val="21"/>
              </w:rPr>
              <w:t>电子天平</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 最大称量范围：≥1100g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 实际分度值：0.01g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 重复性：≤±0.01g </w:t>
            </w:r>
          </w:p>
          <w:p>
            <w:pPr>
              <w:spacing w:line="360" w:lineRule="exact"/>
              <w:rPr>
                <w:rFonts w:cs="宋体"/>
                <w:szCs w:val="21"/>
              </w:rPr>
            </w:pPr>
            <w:r>
              <w:rPr>
                <w:rStyle w:val="58"/>
                <w:rFonts w:hint="default" w:ascii="Times New Roman" w:hAnsi="Times New Roman"/>
                <w:color w:val="auto"/>
                <w:sz w:val="21"/>
                <w:szCs w:val="21"/>
              </w:rPr>
              <w:t xml:space="preserve">4. 线性：≤ ±0.02g </w:t>
            </w:r>
          </w:p>
        </w:tc>
        <w:tc>
          <w:tcPr>
            <w:tcW w:w="673" w:type="dxa"/>
          </w:tcPr>
          <w:p>
            <w:pPr>
              <w:spacing w:line="360" w:lineRule="exact"/>
              <w:jc w:val="center"/>
              <w:rPr>
                <w:szCs w:val="21"/>
              </w:rPr>
            </w:pPr>
            <w:r>
              <w:rPr>
                <w:rFonts w:hint="eastAsia"/>
                <w:szCs w:val="21"/>
              </w:rPr>
              <w:t>2</w:t>
            </w:r>
          </w:p>
        </w:tc>
        <w:tc>
          <w:tcPr>
            <w:tcW w:w="703" w:type="dxa"/>
          </w:tcPr>
          <w:p>
            <w:pPr>
              <w:widowControl/>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1</w:t>
            </w:r>
            <w:r>
              <w:rPr>
                <w:rFonts w:hint="eastAsia"/>
                <w:szCs w:val="21"/>
              </w:rPr>
              <w:t>0</w:t>
            </w:r>
          </w:p>
        </w:tc>
        <w:tc>
          <w:tcPr>
            <w:tcW w:w="1032" w:type="dxa"/>
          </w:tcPr>
          <w:p>
            <w:pPr>
              <w:spacing w:line="360" w:lineRule="exact"/>
              <w:jc w:val="center"/>
              <w:rPr>
                <w:szCs w:val="21"/>
              </w:rPr>
            </w:pPr>
            <w:r>
              <w:rPr>
                <w:rFonts w:hint="eastAsia"/>
                <w:szCs w:val="21"/>
              </w:rPr>
              <w:t>加热型磁力搅拌器</w:t>
            </w:r>
          </w:p>
        </w:tc>
        <w:tc>
          <w:tcPr>
            <w:tcW w:w="4550" w:type="dxa"/>
            <w:vAlign w:val="center"/>
          </w:tcPr>
          <w:p>
            <w:pPr>
              <w:autoSpaceDE w:val="0"/>
              <w:autoSpaceDN w:val="0"/>
              <w:adjustRightInd w:val="0"/>
              <w:spacing w:line="360" w:lineRule="auto"/>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1.最大搅拌量（H20) [L]：≥3</w:t>
            </w:r>
          </w:p>
          <w:p>
            <w:pPr>
              <w:autoSpaceDE w:val="0"/>
              <w:autoSpaceDN w:val="0"/>
              <w:adjustRightInd w:val="0"/>
              <w:spacing w:line="360" w:lineRule="auto"/>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2.数控调速[rpm]：≥1500</w:t>
            </w:r>
          </w:p>
          <w:p>
            <w:pPr>
              <w:autoSpaceDE w:val="0"/>
              <w:autoSpaceDN w:val="0"/>
              <w:adjustRightInd w:val="0"/>
              <w:spacing w:line="360" w:lineRule="auto"/>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3.LED 显示屏同时显示温度和转速</w:t>
            </w:r>
          </w:p>
          <w:p>
            <w:pPr>
              <w:autoSpaceDE w:val="0"/>
              <w:autoSpaceDN w:val="0"/>
              <w:adjustRightInd w:val="0"/>
              <w:spacing w:line="360" w:lineRule="auto"/>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4.不锈钢陶瓷涂层工作盘极耐化学腐蚀</w:t>
            </w:r>
          </w:p>
          <w:p>
            <w:pPr>
              <w:autoSpaceDE w:val="0"/>
              <w:autoSpaceDN w:val="0"/>
              <w:adjustRightInd w:val="0"/>
              <w:spacing w:line="360" w:lineRule="auto"/>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5.精确控制样品温度，控温精度达±0.5</w:t>
            </w:r>
            <w:r>
              <w:rPr>
                <w:rStyle w:val="58"/>
                <w:rFonts w:hint="default"/>
                <w:color w:val="auto"/>
                <w:sz w:val="21"/>
                <w:szCs w:val="21"/>
              </w:rPr>
              <w:t>℃</w:t>
            </w:r>
            <w:r>
              <w:rPr>
                <w:rStyle w:val="58"/>
                <w:rFonts w:hint="default" w:ascii="Times New Roman" w:hAnsi="Times New Roman"/>
                <w:color w:val="auto"/>
                <w:sz w:val="21"/>
                <w:szCs w:val="21"/>
              </w:rPr>
              <w:t xml:space="preserve">；                                                                           </w:t>
            </w:r>
          </w:p>
          <w:p>
            <w:pPr>
              <w:autoSpaceDE w:val="0"/>
              <w:autoSpaceDN w:val="0"/>
              <w:adjustRightInd w:val="0"/>
              <w:spacing w:line="360" w:lineRule="auto"/>
              <w:jc w:val="left"/>
              <w:rPr>
                <w:rFonts w:cs="宋体"/>
                <w:szCs w:val="21"/>
              </w:rPr>
            </w:pPr>
            <w:r>
              <w:rPr>
                <w:rStyle w:val="58"/>
                <w:rFonts w:hint="default" w:ascii="Times New Roman" w:hAnsi="Times New Roman"/>
                <w:color w:val="auto"/>
                <w:sz w:val="21"/>
                <w:szCs w:val="21"/>
              </w:rPr>
              <w:t>6.独立的安全回路控制系统，超过安全温度320</w:t>
            </w:r>
            <w:r>
              <w:rPr>
                <w:rStyle w:val="58"/>
                <w:rFonts w:hint="default"/>
                <w:color w:val="auto"/>
                <w:sz w:val="21"/>
                <w:szCs w:val="21"/>
              </w:rPr>
              <w:t>℃</w:t>
            </w:r>
            <w:r>
              <w:rPr>
                <w:rStyle w:val="58"/>
                <w:rFonts w:hint="default" w:ascii="Times New Roman" w:hAnsi="Times New Roman"/>
                <w:color w:val="auto"/>
                <w:sz w:val="21"/>
                <w:szCs w:val="21"/>
              </w:rPr>
              <w:t>自动停止加热，保证用户使用安全。</w:t>
            </w:r>
          </w:p>
        </w:tc>
        <w:tc>
          <w:tcPr>
            <w:tcW w:w="673" w:type="dxa"/>
          </w:tcPr>
          <w:p>
            <w:pPr>
              <w:spacing w:line="360" w:lineRule="exact"/>
              <w:jc w:val="center"/>
              <w:rPr>
                <w:szCs w:val="21"/>
              </w:rPr>
            </w:pPr>
            <w:r>
              <w:rPr>
                <w:rFonts w:hint="eastAsia"/>
                <w:szCs w:val="21"/>
              </w:rPr>
              <w:t>3</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11</w:t>
            </w:r>
          </w:p>
        </w:tc>
        <w:tc>
          <w:tcPr>
            <w:tcW w:w="1032" w:type="dxa"/>
          </w:tcPr>
          <w:p>
            <w:pPr>
              <w:spacing w:line="360" w:lineRule="exact"/>
              <w:jc w:val="center"/>
              <w:rPr>
                <w:szCs w:val="21"/>
              </w:rPr>
            </w:pPr>
            <w:r>
              <w:rPr>
                <w:rFonts w:hint="eastAsia"/>
                <w:szCs w:val="21"/>
              </w:rPr>
              <w:t>磁力搅拌器</w:t>
            </w:r>
          </w:p>
        </w:tc>
        <w:tc>
          <w:tcPr>
            <w:tcW w:w="4550" w:type="dxa"/>
            <w:vAlign w:val="center"/>
          </w:tcPr>
          <w:p>
            <w:pPr>
              <w:autoSpaceDE w:val="0"/>
              <w:autoSpaceDN w:val="0"/>
              <w:adjustRightInd w:val="0"/>
              <w:spacing w:line="360" w:lineRule="auto"/>
              <w:jc w:val="left"/>
              <w:rPr>
                <w:kern w:val="0"/>
                <w:szCs w:val="21"/>
              </w:rPr>
            </w:pPr>
            <w:r>
              <w:rPr>
                <w:rFonts w:hint="eastAsia"/>
                <w:kern w:val="0"/>
                <w:szCs w:val="21"/>
              </w:rPr>
              <w:t>1.最大搅拌量（H20) [L]：≥20</w:t>
            </w:r>
          </w:p>
          <w:p>
            <w:pPr>
              <w:autoSpaceDE w:val="0"/>
              <w:autoSpaceDN w:val="0"/>
              <w:adjustRightInd w:val="0"/>
              <w:spacing w:line="360" w:lineRule="auto"/>
              <w:jc w:val="left"/>
              <w:rPr>
                <w:kern w:val="0"/>
                <w:szCs w:val="21"/>
              </w:rPr>
            </w:pPr>
            <w:r>
              <w:rPr>
                <w:rFonts w:hint="eastAsia"/>
                <w:kern w:val="0"/>
                <w:szCs w:val="21"/>
              </w:rPr>
              <w:t xml:space="preserve">2.电机类型：直流无刷电机 </w:t>
            </w:r>
          </w:p>
          <w:p>
            <w:pPr>
              <w:autoSpaceDE w:val="0"/>
              <w:autoSpaceDN w:val="0"/>
              <w:adjustRightInd w:val="0"/>
              <w:spacing w:line="360" w:lineRule="auto"/>
              <w:jc w:val="left"/>
              <w:rPr>
                <w:kern w:val="0"/>
                <w:szCs w:val="21"/>
              </w:rPr>
            </w:pPr>
            <w:r>
              <w:rPr>
                <w:rFonts w:hint="eastAsia"/>
                <w:kern w:val="0"/>
                <w:szCs w:val="21"/>
              </w:rPr>
              <w:t>3.不锈钢陶瓷涂层工作盘极耐化学腐蚀。</w:t>
            </w:r>
          </w:p>
          <w:p>
            <w:pPr>
              <w:autoSpaceDE w:val="0"/>
              <w:autoSpaceDN w:val="0"/>
              <w:adjustRightInd w:val="0"/>
              <w:spacing w:line="360" w:lineRule="auto"/>
              <w:jc w:val="left"/>
              <w:rPr>
                <w:kern w:val="0"/>
                <w:szCs w:val="21"/>
              </w:rPr>
            </w:pPr>
            <w:r>
              <w:rPr>
                <w:rFonts w:hint="eastAsia"/>
                <w:kern w:val="0"/>
                <w:szCs w:val="21"/>
              </w:rPr>
              <w:t>4.速度范围[rpm]：0-1500</w:t>
            </w:r>
          </w:p>
          <w:p>
            <w:pPr>
              <w:autoSpaceDE w:val="0"/>
              <w:autoSpaceDN w:val="0"/>
              <w:adjustRightInd w:val="0"/>
              <w:spacing w:line="360" w:lineRule="auto"/>
              <w:jc w:val="left"/>
              <w:rPr>
                <w:kern w:val="0"/>
                <w:szCs w:val="21"/>
              </w:rPr>
            </w:pPr>
            <w:r>
              <w:rPr>
                <w:rFonts w:hint="eastAsia"/>
                <w:kern w:val="0"/>
                <w:szCs w:val="21"/>
              </w:rPr>
              <w:t>5.外壳防护等级：IP21</w:t>
            </w:r>
          </w:p>
        </w:tc>
        <w:tc>
          <w:tcPr>
            <w:tcW w:w="673" w:type="dxa"/>
          </w:tcPr>
          <w:p>
            <w:pPr>
              <w:spacing w:line="360" w:lineRule="exact"/>
              <w:jc w:val="center"/>
              <w:rPr>
                <w:szCs w:val="21"/>
              </w:rPr>
            </w:pPr>
            <w:r>
              <w:rPr>
                <w:rFonts w:hint="eastAsia"/>
                <w:szCs w:val="21"/>
              </w:rPr>
              <w:t>2</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1</w:t>
            </w:r>
            <w:r>
              <w:rPr>
                <w:rFonts w:hint="eastAsia"/>
                <w:szCs w:val="21"/>
              </w:rPr>
              <w:t>2</w:t>
            </w:r>
          </w:p>
        </w:tc>
        <w:tc>
          <w:tcPr>
            <w:tcW w:w="1032" w:type="dxa"/>
          </w:tcPr>
          <w:p>
            <w:pPr>
              <w:spacing w:line="360" w:lineRule="exact"/>
              <w:jc w:val="center"/>
              <w:rPr>
                <w:szCs w:val="21"/>
              </w:rPr>
            </w:pPr>
            <w:r>
              <w:rPr>
                <w:rFonts w:hint="eastAsia"/>
                <w:szCs w:val="21"/>
              </w:rPr>
              <w:t>液氮罐</w:t>
            </w:r>
            <w:r>
              <w:rPr>
                <w:szCs w:val="21"/>
              </w:rPr>
              <w:t>（</w:t>
            </w:r>
            <w:r>
              <w:rPr>
                <w:rFonts w:hint="eastAsia"/>
                <w:szCs w:val="21"/>
              </w:rPr>
              <w:t>3 L（小口径）</w:t>
            </w:r>
            <w:r>
              <w:rPr>
                <w:szCs w:val="21"/>
              </w:rPr>
              <w:t>）</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1.容积(L)：≥3</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2.口径(mm)：≤50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3.外径(mm)：≤240</w:t>
            </w:r>
          </w:p>
          <w:p>
            <w:pPr>
              <w:spacing w:line="360" w:lineRule="exact"/>
              <w:rPr>
                <w:rFonts w:cs="宋体"/>
                <w:szCs w:val="21"/>
              </w:rPr>
            </w:pPr>
            <w:r>
              <w:rPr>
                <w:rStyle w:val="58"/>
                <w:rFonts w:hint="default" w:ascii="Times New Roman" w:hAnsi="Times New Roman"/>
                <w:color w:val="auto"/>
                <w:sz w:val="21"/>
                <w:szCs w:val="21"/>
              </w:rPr>
              <w:t>4.高度(mm)：≤450</w:t>
            </w:r>
          </w:p>
        </w:tc>
        <w:tc>
          <w:tcPr>
            <w:tcW w:w="673" w:type="dxa"/>
          </w:tcPr>
          <w:p>
            <w:pPr>
              <w:spacing w:line="360" w:lineRule="exact"/>
              <w:jc w:val="center"/>
              <w:rPr>
                <w:szCs w:val="21"/>
              </w:rPr>
            </w:pPr>
            <w:r>
              <w:rPr>
                <w:rFonts w:hint="eastAsia"/>
                <w:szCs w:val="21"/>
              </w:rPr>
              <w:t>2</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1</w:t>
            </w:r>
            <w:r>
              <w:rPr>
                <w:rFonts w:hint="eastAsia"/>
                <w:szCs w:val="21"/>
              </w:rPr>
              <w:t>3</w:t>
            </w:r>
          </w:p>
        </w:tc>
        <w:tc>
          <w:tcPr>
            <w:tcW w:w="1032" w:type="dxa"/>
          </w:tcPr>
          <w:p>
            <w:pPr>
              <w:widowControl/>
              <w:spacing w:line="360" w:lineRule="exact"/>
              <w:jc w:val="center"/>
              <w:rPr>
                <w:kern w:val="0"/>
                <w:szCs w:val="21"/>
              </w:rPr>
            </w:pPr>
            <w:r>
              <w:rPr>
                <w:rFonts w:hint="eastAsia"/>
                <w:szCs w:val="21"/>
              </w:rPr>
              <w:t>液氮罐</w:t>
            </w:r>
            <w:r>
              <w:rPr>
                <w:szCs w:val="21"/>
              </w:rPr>
              <w:t>（</w:t>
            </w:r>
            <w:r>
              <w:rPr>
                <w:rFonts w:hint="eastAsia"/>
                <w:szCs w:val="21"/>
              </w:rPr>
              <w:t>35 L（小口径）</w:t>
            </w:r>
            <w:r>
              <w:rPr>
                <w:szCs w:val="21"/>
              </w:rPr>
              <w:t>）</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1.容积(L)：≥35</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2.口径(MM)：≤200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3.外径(MM)：≤450</w:t>
            </w:r>
          </w:p>
          <w:p>
            <w:pPr>
              <w:spacing w:line="360" w:lineRule="exact"/>
              <w:rPr>
                <w:rFonts w:cs="宋体"/>
                <w:szCs w:val="21"/>
              </w:rPr>
            </w:pPr>
            <w:r>
              <w:rPr>
                <w:rStyle w:val="58"/>
                <w:rFonts w:hint="default" w:ascii="Times New Roman" w:hAnsi="Times New Roman"/>
                <w:color w:val="auto"/>
                <w:sz w:val="21"/>
                <w:szCs w:val="21"/>
              </w:rPr>
              <w:t>4.高度(MM)：≤700</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1</w:t>
            </w:r>
            <w:r>
              <w:rPr>
                <w:rFonts w:hint="eastAsia"/>
                <w:szCs w:val="21"/>
              </w:rPr>
              <w:t>4</w:t>
            </w:r>
          </w:p>
        </w:tc>
        <w:tc>
          <w:tcPr>
            <w:tcW w:w="1032" w:type="dxa"/>
          </w:tcPr>
          <w:p>
            <w:pPr>
              <w:spacing w:line="360" w:lineRule="exact"/>
              <w:jc w:val="center"/>
              <w:rPr>
                <w:szCs w:val="21"/>
              </w:rPr>
            </w:pPr>
            <w:r>
              <w:rPr>
                <w:rStyle w:val="117"/>
                <w:rFonts w:hint="default" w:ascii="Times New Roman" w:hAnsi="Times New Roman"/>
                <w:color w:val="auto"/>
                <w:sz w:val="21"/>
                <w:szCs w:val="21"/>
              </w:rPr>
              <w:t>真空离心浓缩仪</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1.高效精准：根据样本差异精准调整真空值，浓缩更高效</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2.材质：离心腔、内部管路和转子均采用耐防腐蚀效果材料</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3.安全性高：断电后自动泄真空，保护样品</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4.温度可选：温度可设置，确保安全有效地浓缩多种样品                                                                                                                                                                                            5.最高转速：2000r/min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6.温度范围：室温～70°C</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7.最长定时时间：1-99h 或 1-59min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8.冷阱温度：＜-45</w:t>
            </w:r>
            <w:r>
              <w:rPr>
                <w:rStyle w:val="58"/>
                <w:rFonts w:hint="default"/>
                <w:color w:val="auto"/>
                <w:sz w:val="21"/>
                <w:szCs w:val="21"/>
              </w:rPr>
              <w:t>℃</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9.标配转子：20*15ml（φ18）、20*15ml（φ16）、46*2ml（φ10.5）一个转子三种型号</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10.功率kw：2.5（220V50Hz）</w:t>
            </w:r>
          </w:p>
          <w:p>
            <w:pPr>
              <w:spacing w:line="360" w:lineRule="exact"/>
              <w:rPr>
                <w:rFonts w:cs="宋体"/>
                <w:szCs w:val="21"/>
              </w:rPr>
            </w:pPr>
            <w:r>
              <w:rPr>
                <w:rStyle w:val="58"/>
                <w:rFonts w:hint="default" w:ascii="Times New Roman" w:hAnsi="Times New Roman"/>
                <w:color w:val="auto"/>
                <w:sz w:val="21"/>
                <w:szCs w:val="21"/>
              </w:rPr>
              <w:t>11.可配充气阀，真空泵接口</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15</w:t>
            </w:r>
          </w:p>
        </w:tc>
        <w:tc>
          <w:tcPr>
            <w:tcW w:w="1032" w:type="dxa"/>
          </w:tcPr>
          <w:p>
            <w:pPr>
              <w:spacing w:line="360" w:lineRule="exact"/>
              <w:jc w:val="center"/>
              <w:rPr>
                <w:szCs w:val="21"/>
              </w:rPr>
            </w:pPr>
            <w:r>
              <w:rPr>
                <w:rFonts w:hint="eastAsia"/>
                <w:szCs w:val="21"/>
              </w:rPr>
              <w:t>旋转蒸发仪</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1.转速数显，温度数显。</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2.手，电两用升降功能。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3.独特的新颖方形特氟隆水浴锅，加热均匀清洗方便。</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4.加热锅透明防护罩，节能保温提高功效。</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5.主机旋转采用稳定可靠的精密减速电机和集成电路组成。</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6.密封采用PTFE材料，连接部位确保真空度。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7.冷凝器采用顶抽式冷凝管，阀门式加料管。</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8.旋转瓶容量：50~2000ml</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9.升降行程：0~120mm</w:t>
            </w:r>
          </w:p>
          <w:p>
            <w:pPr>
              <w:spacing w:line="360" w:lineRule="exact"/>
              <w:rPr>
                <w:rFonts w:cs="宋体"/>
                <w:szCs w:val="21"/>
              </w:rPr>
            </w:pPr>
            <w:r>
              <w:rPr>
                <w:rStyle w:val="58"/>
                <w:rFonts w:hint="default" w:ascii="Times New Roman" w:hAnsi="Times New Roman"/>
                <w:color w:val="auto"/>
                <w:sz w:val="21"/>
                <w:szCs w:val="21"/>
              </w:rPr>
              <w:t>10.加热功率：≥1000W</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16</w:t>
            </w:r>
          </w:p>
        </w:tc>
        <w:tc>
          <w:tcPr>
            <w:tcW w:w="1032" w:type="dxa"/>
          </w:tcPr>
          <w:p>
            <w:pPr>
              <w:spacing w:line="360" w:lineRule="exact"/>
              <w:jc w:val="center"/>
              <w:rPr>
                <w:szCs w:val="21"/>
              </w:rPr>
            </w:pPr>
            <w:r>
              <w:rPr>
                <w:rStyle w:val="117"/>
                <w:rFonts w:hint="default" w:ascii="Times New Roman" w:hAnsi="Times New Roman"/>
                <w:color w:val="auto"/>
                <w:sz w:val="21"/>
                <w:szCs w:val="21"/>
              </w:rPr>
              <w:t>氮吹仪</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1.安装后尺寸：≤ Φ430×930mm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2.样品位数： 24 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3.样品试管尺寸： Φ10~29mm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4.不锈钢针：（标配） 120mm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5.气体流量控制范围： 2~20L/min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6.气体输入压力范围： ≤0.2Mpa</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7.功率： ≤1000W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8.控温范围： RT+5~90°C</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9.温度波动度： ±2°C</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10.升温速度： 室温20 度时升至60 度约45 分钟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PTFE 涂层参数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1.铅笔硬度（室温  三菱铅笔）： 2H~3H</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2.耐磨性（mg/1000r）： 40~45mg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3.摩擦系数： 0.07~0.1</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4.接触角（25°C，水）： 102~106°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5.划格试验 （间隔1mm）： 100/100 </w:t>
            </w:r>
          </w:p>
          <w:p>
            <w:pPr>
              <w:spacing w:line="360" w:lineRule="exact"/>
              <w:rPr>
                <w:rFonts w:cs="宋体"/>
                <w:szCs w:val="21"/>
              </w:rPr>
            </w:pPr>
            <w:r>
              <w:rPr>
                <w:rStyle w:val="58"/>
                <w:rFonts w:hint="default" w:ascii="Times New Roman" w:hAnsi="Times New Roman"/>
                <w:color w:val="auto"/>
                <w:sz w:val="21"/>
                <w:szCs w:val="21"/>
              </w:rPr>
              <w:t>仪器配置：主机一台，水浴锅一个，氮吹针36根</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17</w:t>
            </w:r>
          </w:p>
        </w:tc>
        <w:tc>
          <w:tcPr>
            <w:tcW w:w="1032" w:type="dxa"/>
          </w:tcPr>
          <w:p>
            <w:pPr>
              <w:spacing w:line="360" w:lineRule="exact"/>
              <w:jc w:val="center"/>
              <w:rPr>
                <w:szCs w:val="21"/>
              </w:rPr>
            </w:pPr>
            <w:r>
              <w:rPr>
                <w:rFonts w:hint="eastAsia"/>
                <w:szCs w:val="21"/>
              </w:rPr>
              <w:t>涡旋混合仪</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1.功率： ≤40W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2.转速：≥ 2800 转/分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3.工作方式： 连续、点触、调速 </w:t>
            </w:r>
          </w:p>
          <w:p>
            <w:pPr>
              <w:spacing w:line="360" w:lineRule="exact"/>
              <w:rPr>
                <w:rFonts w:cs="宋体"/>
                <w:szCs w:val="21"/>
              </w:rPr>
            </w:pPr>
            <w:r>
              <w:rPr>
                <w:rStyle w:val="58"/>
                <w:rFonts w:hint="default" w:ascii="Times New Roman" w:hAnsi="Times New Roman"/>
                <w:color w:val="auto"/>
                <w:sz w:val="21"/>
                <w:szCs w:val="21"/>
              </w:rPr>
              <w:t xml:space="preserve">4.工作台： 碗型、平板型可调换 </w:t>
            </w:r>
          </w:p>
        </w:tc>
        <w:tc>
          <w:tcPr>
            <w:tcW w:w="673" w:type="dxa"/>
          </w:tcPr>
          <w:p>
            <w:pPr>
              <w:spacing w:line="360" w:lineRule="exact"/>
              <w:jc w:val="center"/>
              <w:rPr>
                <w:szCs w:val="21"/>
              </w:rPr>
            </w:pPr>
            <w:r>
              <w:rPr>
                <w:rFonts w:hint="eastAsia"/>
                <w:szCs w:val="21"/>
              </w:rPr>
              <w:t>4</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18</w:t>
            </w:r>
          </w:p>
        </w:tc>
        <w:tc>
          <w:tcPr>
            <w:tcW w:w="1032" w:type="dxa"/>
          </w:tcPr>
          <w:p>
            <w:pPr>
              <w:spacing w:line="360" w:lineRule="exact"/>
              <w:jc w:val="center"/>
              <w:rPr>
                <w:szCs w:val="21"/>
              </w:rPr>
            </w:pPr>
            <w:r>
              <w:rPr>
                <w:rStyle w:val="117"/>
                <w:rFonts w:hint="default" w:ascii="Times New Roman" w:hAnsi="Times New Roman"/>
                <w:color w:val="auto"/>
                <w:sz w:val="21"/>
                <w:szCs w:val="21"/>
              </w:rPr>
              <w:t>循环水真空泵</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1、真空度(MPa)：</w:t>
            </w:r>
            <w:r>
              <w:rPr>
                <w:rFonts w:hint="eastAsia" w:ascii="宋体" w:hAnsi="宋体"/>
                <w:szCs w:val="21"/>
              </w:rPr>
              <w:t>≤</w:t>
            </w:r>
            <w:r>
              <w:rPr>
                <w:rStyle w:val="58"/>
                <w:rFonts w:hint="default" w:ascii="Times New Roman" w:hAnsi="Times New Roman"/>
                <w:color w:val="auto"/>
                <w:sz w:val="21"/>
                <w:szCs w:val="21"/>
              </w:rPr>
              <w:t>0.098MPa</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2、泵排量(L/min)：≥60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3、单嘴抽气率(L/min)：≥10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4、水箱容积(L)：≥15</w:t>
            </w:r>
          </w:p>
          <w:p>
            <w:pPr>
              <w:spacing w:line="360" w:lineRule="exact"/>
              <w:rPr>
                <w:rFonts w:cs="宋体"/>
                <w:szCs w:val="21"/>
              </w:rPr>
            </w:pPr>
            <w:r>
              <w:rPr>
                <w:rStyle w:val="58"/>
                <w:rFonts w:hint="default" w:ascii="Times New Roman" w:hAnsi="Times New Roman"/>
                <w:color w:val="auto"/>
                <w:sz w:val="21"/>
                <w:szCs w:val="21"/>
              </w:rPr>
              <w:t>5、电机功率(w)：≥180</w:t>
            </w:r>
          </w:p>
        </w:tc>
        <w:tc>
          <w:tcPr>
            <w:tcW w:w="673" w:type="dxa"/>
          </w:tcPr>
          <w:p>
            <w:pPr>
              <w:spacing w:line="360" w:lineRule="exact"/>
              <w:jc w:val="center"/>
              <w:rPr>
                <w:szCs w:val="21"/>
              </w:rPr>
            </w:pPr>
            <w:r>
              <w:rPr>
                <w:rFonts w:hint="eastAsia"/>
                <w:szCs w:val="21"/>
              </w:rPr>
              <w:t>2</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19</w:t>
            </w:r>
          </w:p>
        </w:tc>
        <w:tc>
          <w:tcPr>
            <w:tcW w:w="1032" w:type="dxa"/>
          </w:tcPr>
          <w:p>
            <w:pPr>
              <w:spacing w:line="360" w:lineRule="exact"/>
              <w:jc w:val="center"/>
              <w:rPr>
                <w:szCs w:val="21"/>
              </w:rPr>
            </w:pPr>
            <w:r>
              <w:rPr>
                <w:rStyle w:val="117"/>
                <w:rFonts w:hint="default" w:ascii="Times New Roman" w:hAnsi="Times New Roman"/>
                <w:color w:val="auto"/>
                <w:sz w:val="21"/>
                <w:szCs w:val="21"/>
              </w:rPr>
              <w:t>普通纯水系统</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1、制水量：≥15升/小时（水温25℃时）；取水流量 2.0L/Min（水箱储水时，可调流速）；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2、进水要求：城市自来水TDS≤1000ppm,水压1—5KG/C㎡；</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3、出水水质：RO纯水：1—5μs/cm（在线监测） @25℃；</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4、主机尺寸(mm)≤500(高)×425（宽）×320（径深） 台上式；重量: 25-30kg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外置40升水箱，采用医疗级PE无污染，全封闭设计，保证与空气有效隔绝，最大限度降低纯水的储存污染，带有便捷清洗接口，方便水箱清洗，具有“实验室纯水箱液位传感器”装置（提供第三方机构检测报告）；</w:t>
            </w:r>
          </w:p>
          <w:p>
            <w:pPr>
              <w:snapToGrid w:val="0"/>
              <w:spacing w:line="360" w:lineRule="auto"/>
              <w:rPr>
                <w:rFonts w:ascii="宋体" w:hAnsi="宋体"/>
                <w:szCs w:val="21"/>
              </w:rPr>
            </w:pPr>
            <w:r>
              <w:rPr>
                <w:rStyle w:val="58"/>
                <w:rFonts w:hint="default" w:ascii="Times New Roman" w:hAnsi="Times New Roman"/>
                <w:color w:val="auto"/>
                <w:sz w:val="21"/>
                <w:szCs w:val="21"/>
              </w:rPr>
              <w:t>▲</w:t>
            </w:r>
            <w:r>
              <w:rPr>
                <w:rFonts w:hint="eastAsia" w:ascii="宋体" w:hAnsi="宋体"/>
                <w:szCs w:val="21"/>
              </w:rPr>
              <w:t>6、具“RO膜自动冲洗”功能、开机自检功能、自动保护功能、水质在线监测功能；智能循环系统，开机18秒反渗透组及系统全自动冲洗，全面除菌的同时实现独特的抑菌功能；</w:t>
            </w:r>
          </w:p>
          <w:p>
            <w:pPr>
              <w:snapToGrid w:val="0"/>
              <w:spacing w:line="360" w:lineRule="auto"/>
              <w:rPr>
                <w:rFonts w:ascii="宋体" w:hAnsi="宋体"/>
                <w:szCs w:val="21"/>
              </w:rPr>
            </w:pPr>
            <w:r>
              <w:rPr>
                <w:rFonts w:hint="eastAsia" w:ascii="宋体" w:hAnsi="宋体"/>
                <w:szCs w:val="21"/>
              </w:rPr>
              <w:t>7、源水配置“预处理检测装置”，有效去除粒物质、铁、锰、余氯、钙、镁及吸附有机物、异味等；</w:t>
            </w:r>
          </w:p>
          <w:p>
            <w:pPr>
              <w:snapToGrid w:val="0"/>
              <w:spacing w:line="360" w:lineRule="auto"/>
              <w:rPr>
                <w:rFonts w:ascii="宋体" w:hAnsi="宋体"/>
                <w:szCs w:val="21"/>
              </w:rPr>
            </w:pPr>
            <w:r>
              <w:rPr>
                <w:rStyle w:val="58"/>
                <w:rFonts w:hint="default" w:ascii="Times New Roman" w:hAnsi="Times New Roman"/>
                <w:color w:val="auto"/>
                <w:sz w:val="21"/>
                <w:szCs w:val="21"/>
              </w:rPr>
              <w:t>▲</w:t>
            </w:r>
            <w:r>
              <w:rPr>
                <w:rFonts w:hint="eastAsia" w:ascii="宋体" w:hAnsi="宋体"/>
                <w:bCs/>
                <w:szCs w:val="21"/>
              </w:rPr>
              <w:t>8、</w:t>
            </w:r>
            <w:r>
              <w:rPr>
                <w:rFonts w:hint="eastAsia" w:ascii="宋体" w:hAnsi="宋体"/>
                <w:szCs w:val="21"/>
              </w:rPr>
              <w:t>采用MCU控制系统及“智能控制系统及控制方法”（并提供第三方机构检测报告），一级和二级反渗透系统都具有自动冲洗、缺水保护、自动造水、水满停机等功能；系统智能协调工作，自动检测水质，实现全自动无人值守功能，具有“超纯水器通用版主控软件”著作权（并提供机构检测报告）；</w:t>
            </w:r>
          </w:p>
          <w:p>
            <w:pPr>
              <w:snapToGrid w:val="0"/>
              <w:spacing w:line="360" w:lineRule="auto"/>
              <w:rPr>
                <w:rFonts w:ascii="宋体" w:hAnsi="宋体"/>
                <w:szCs w:val="21"/>
              </w:rPr>
            </w:pPr>
            <w:r>
              <w:rPr>
                <w:rStyle w:val="58"/>
                <w:rFonts w:hint="default" w:ascii="Times New Roman" w:hAnsi="Times New Roman"/>
                <w:color w:val="auto"/>
                <w:sz w:val="21"/>
                <w:szCs w:val="21"/>
              </w:rPr>
              <w:t>▲</w:t>
            </w:r>
            <w:r>
              <w:rPr>
                <w:rFonts w:hint="eastAsia" w:ascii="宋体" w:hAnsi="宋体"/>
                <w:szCs w:val="21"/>
              </w:rPr>
              <w:t>9、采用标准双级反渗透工艺，RO膜总制水量可提高1倍以上，具有“双反净水系统”（并提供第三方机构检测报告），较单级RO系统产水水质更佳，能够实现离子、有机物、微颗粒物、微生物、可溶性硅等杂质含量呈现数量级降低；</w:t>
            </w:r>
          </w:p>
          <w:p>
            <w:pPr>
              <w:snapToGrid w:val="0"/>
              <w:spacing w:line="360" w:lineRule="auto"/>
              <w:rPr>
                <w:rFonts w:ascii="宋体" w:hAnsi="宋体"/>
                <w:szCs w:val="21"/>
              </w:rPr>
            </w:pPr>
            <w:r>
              <w:rPr>
                <w:rFonts w:hint="eastAsia" w:ascii="宋体" w:hAnsi="宋体"/>
                <w:szCs w:val="21"/>
              </w:rPr>
              <w:t>10、整机框架一体化设计铸造加工，稳定性高，刚性好，使用环保材料，防腐蚀耐酸碱，有效应对复杂的实验室环境，提高整机使用寿命；整机内部线路设计合理，实现“水路”“电路”分离，安全性得到保障；</w:t>
            </w:r>
          </w:p>
          <w:p>
            <w:pPr>
              <w:snapToGrid w:val="0"/>
              <w:spacing w:line="360" w:lineRule="auto"/>
              <w:rPr>
                <w:rFonts w:ascii="宋体" w:hAnsi="宋体"/>
                <w:szCs w:val="21"/>
              </w:rPr>
            </w:pPr>
            <w:r>
              <w:rPr>
                <w:rStyle w:val="58"/>
                <w:rFonts w:hint="default" w:ascii="Times New Roman" w:hAnsi="Times New Roman"/>
                <w:color w:val="auto"/>
                <w:sz w:val="21"/>
                <w:szCs w:val="21"/>
              </w:rPr>
              <w:t>▲</w:t>
            </w:r>
            <w:r>
              <w:rPr>
                <w:rFonts w:hint="eastAsia" w:ascii="宋体" w:hAnsi="宋体"/>
                <w:szCs w:val="21"/>
              </w:rPr>
              <w:t>11、采用更精密的0.1电极常数电导率仪，实现精确在线监测二级反渗透纯水水质，并可同时显示水质和水温，具“水质监测模块”（提供证明）；</w:t>
            </w:r>
          </w:p>
          <w:p>
            <w:pPr>
              <w:snapToGrid w:val="0"/>
              <w:spacing w:line="360" w:lineRule="auto"/>
              <w:rPr>
                <w:rFonts w:cs="宋体"/>
                <w:szCs w:val="21"/>
              </w:rPr>
            </w:pPr>
            <w:r>
              <w:rPr>
                <w:rFonts w:hint="eastAsia" w:ascii="宋体" w:hAnsi="宋体"/>
                <w:szCs w:val="21"/>
              </w:rPr>
              <w:t>12、具有系统“缺水低压”自动提示及保护水箱满水“无水保护”，另配备排水口避免液位传感器损坏时水箱溢水对实验室造成不良影响。</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2</w:t>
            </w:r>
            <w:r>
              <w:rPr>
                <w:rFonts w:hint="eastAsia"/>
                <w:szCs w:val="21"/>
              </w:rPr>
              <w:t>0</w:t>
            </w:r>
          </w:p>
        </w:tc>
        <w:tc>
          <w:tcPr>
            <w:tcW w:w="1032" w:type="dxa"/>
          </w:tcPr>
          <w:p>
            <w:pPr>
              <w:spacing w:line="360" w:lineRule="exact"/>
              <w:jc w:val="center"/>
              <w:rPr>
                <w:szCs w:val="21"/>
              </w:rPr>
            </w:pPr>
            <w:r>
              <w:rPr>
                <w:rFonts w:hint="eastAsia"/>
                <w:szCs w:val="21"/>
              </w:rPr>
              <w:t>微波化学反应器（约20 L）</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1.整机输入功率：≤1350W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2.微波频率：2450MHz±15Hz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3.微波输出方式：连续波（连续输出）</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4.微波输出功率：≤750W（连续手动可调）                                                                                                                                                                                                       5.测温精度：0.2级</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6.测温方法：接触式四氟温度传感器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7.最高使用温度：≤250</w:t>
            </w:r>
            <w:r>
              <w:rPr>
                <w:rStyle w:val="58"/>
                <w:rFonts w:hint="default"/>
                <w:color w:val="auto"/>
                <w:sz w:val="21"/>
                <w:szCs w:val="21"/>
              </w:rPr>
              <w:t>℃</w:t>
            </w:r>
          </w:p>
          <w:p>
            <w:pPr>
              <w:spacing w:line="360" w:lineRule="exact"/>
              <w:rPr>
                <w:rFonts w:cs="宋体"/>
                <w:szCs w:val="21"/>
              </w:rPr>
            </w:pPr>
            <w:r>
              <w:rPr>
                <w:rStyle w:val="58"/>
                <w:rFonts w:hint="default" w:ascii="Times New Roman" w:hAnsi="Times New Roman"/>
                <w:color w:val="auto"/>
                <w:sz w:val="21"/>
                <w:szCs w:val="21"/>
              </w:rPr>
              <w:t>8.微波功率：阳极电流表显示。</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2</w:t>
            </w:r>
            <w:r>
              <w:rPr>
                <w:rFonts w:hint="eastAsia"/>
                <w:szCs w:val="21"/>
              </w:rPr>
              <w:t>1</w:t>
            </w:r>
          </w:p>
        </w:tc>
        <w:tc>
          <w:tcPr>
            <w:tcW w:w="1032" w:type="dxa"/>
          </w:tcPr>
          <w:p>
            <w:pPr>
              <w:spacing w:line="360" w:lineRule="exact"/>
              <w:jc w:val="center"/>
              <w:rPr>
                <w:szCs w:val="21"/>
              </w:rPr>
            </w:pPr>
            <w:r>
              <w:rPr>
                <w:rStyle w:val="117"/>
                <w:rFonts w:hint="default" w:ascii="Times New Roman" w:hAnsi="Times New Roman"/>
                <w:color w:val="auto"/>
                <w:sz w:val="21"/>
                <w:szCs w:val="21"/>
              </w:rPr>
              <w:t>管式炉(1700</w:t>
            </w:r>
            <w:r>
              <w:rPr>
                <w:rStyle w:val="117"/>
                <w:rFonts w:hint="default" w:cs="宋体"/>
                <w:color w:val="auto"/>
                <w:sz w:val="21"/>
                <w:szCs w:val="21"/>
              </w:rPr>
              <w:t>℃</w:t>
            </w:r>
            <w:r>
              <w:rPr>
                <w:rStyle w:val="117"/>
                <w:rFonts w:hint="default" w:ascii="Times New Roman" w:hAnsi="Times New Roman"/>
                <w:color w:val="auto"/>
                <w:sz w:val="21"/>
                <w:szCs w:val="21"/>
              </w:rPr>
              <w:t>)</w:t>
            </w:r>
          </w:p>
        </w:tc>
        <w:tc>
          <w:tcPr>
            <w:tcW w:w="4550"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1、双层风冷结构，双层炉壳间配有风冷循环系统</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 、炉腔尺寸：≥170mm * 130mm * 120mm；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3、 可实现多段温控程序精准控温 ，30段智能温度调节仪 控温精度：±1</w:t>
            </w:r>
            <w:r>
              <w:rPr>
                <w:rStyle w:val="58"/>
                <w:rFonts w:hint="default"/>
                <w:color w:val="auto"/>
                <w:sz w:val="21"/>
                <w:szCs w:val="21"/>
              </w:rPr>
              <w:t>℃</w:t>
            </w:r>
            <w:r>
              <w:rPr>
                <w:rStyle w:val="58"/>
                <w:rFonts w:hint="default" w:ascii="Times New Roman" w:hAnsi="Times New Roman"/>
                <w:color w:val="auto"/>
                <w:sz w:val="21"/>
                <w:szCs w:val="21"/>
              </w:rPr>
              <w:t xml:space="preserve">                                                           </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▲4、管径：60*800mm ，1650</w:t>
            </w:r>
            <w:r>
              <w:rPr>
                <w:rStyle w:val="58"/>
                <w:rFonts w:hint="default"/>
                <w:color w:val="auto"/>
                <w:sz w:val="21"/>
                <w:szCs w:val="21"/>
              </w:rPr>
              <w:t>℃</w:t>
            </w:r>
            <w:r>
              <w:rPr>
                <w:rStyle w:val="58"/>
                <w:rFonts w:hint="default" w:ascii="Times New Roman" w:hAnsi="Times New Roman"/>
                <w:color w:val="auto"/>
                <w:sz w:val="21"/>
                <w:szCs w:val="21"/>
              </w:rPr>
              <w:t>（≤2h）、长期工作温度: 1600</w:t>
            </w:r>
            <w:r>
              <w:rPr>
                <w:rStyle w:val="58"/>
                <w:rFonts w:hint="default"/>
                <w:color w:val="auto"/>
                <w:sz w:val="21"/>
                <w:szCs w:val="21"/>
              </w:rPr>
              <w:t>℃</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5、电压：AC 220V 50Hz, 额定功率：≥2.5KW                                                                                                                      </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6、连接管件真空系统：真空度：50mTorr（使用机械泵）机械压力表测量范围：-0.1-0.15Mpa， 炉管内气压限定：≤0.02Mpa</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7、内置过热保护和热电偶故障报警                                                                                                                                                ▲8、加热元件：硅钼棒，7个    </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9、镍舟：100×40×20mm ，2个；100×30×15mm， 2个                                                      10、石英管（内管）：Φ60 x 1000mm，6根</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11、刚玉管：Φ60*800mm，6根</w:t>
            </w:r>
          </w:p>
          <w:p>
            <w:pPr>
              <w:spacing w:line="360" w:lineRule="exact"/>
              <w:jc w:val="left"/>
              <w:rPr>
                <w:rFonts w:cs="宋体"/>
                <w:szCs w:val="21"/>
              </w:rPr>
            </w:pPr>
            <w:r>
              <w:rPr>
                <w:rStyle w:val="58"/>
                <w:rFonts w:hint="default" w:ascii="Times New Roman" w:hAnsi="Times New Roman"/>
                <w:color w:val="auto"/>
                <w:sz w:val="21"/>
                <w:szCs w:val="21"/>
              </w:rPr>
              <w:t xml:space="preserve">12、售后服务要求：厂家授权的技术人员免费安装调试培训，确保仪器技术指标验收合格                                                                                   </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szCs w:val="21"/>
              </w:rPr>
              <w:t>2</w:t>
            </w:r>
            <w:r>
              <w:rPr>
                <w:rFonts w:hint="eastAsia"/>
                <w:szCs w:val="21"/>
              </w:rPr>
              <w:t>2</w:t>
            </w:r>
          </w:p>
        </w:tc>
        <w:tc>
          <w:tcPr>
            <w:tcW w:w="1032" w:type="dxa"/>
          </w:tcPr>
          <w:p>
            <w:pPr>
              <w:spacing w:line="360" w:lineRule="exact"/>
              <w:jc w:val="center"/>
              <w:rPr>
                <w:szCs w:val="21"/>
              </w:rPr>
            </w:pPr>
            <w:r>
              <w:rPr>
                <w:rStyle w:val="117"/>
                <w:rFonts w:hint="default" w:ascii="Times New Roman" w:hAnsi="Times New Roman"/>
                <w:color w:val="auto"/>
                <w:sz w:val="21"/>
                <w:szCs w:val="21"/>
              </w:rPr>
              <w:t>管式炉(1200</w:t>
            </w:r>
            <w:r>
              <w:rPr>
                <w:rStyle w:val="117"/>
                <w:rFonts w:hint="default" w:cs="宋体"/>
                <w:color w:val="auto"/>
                <w:sz w:val="21"/>
                <w:szCs w:val="21"/>
              </w:rPr>
              <w:t>℃</w:t>
            </w:r>
            <w:r>
              <w:rPr>
                <w:rStyle w:val="117"/>
                <w:rFonts w:hint="default" w:ascii="Times New Roman" w:hAnsi="Times New Roman"/>
                <w:color w:val="auto"/>
                <w:sz w:val="21"/>
                <w:szCs w:val="21"/>
              </w:rPr>
              <w:t>)</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▲1.工作温度：1200</w:t>
            </w:r>
            <w:r>
              <w:rPr>
                <w:rStyle w:val="58"/>
                <w:rFonts w:hint="default"/>
                <w:color w:val="auto"/>
                <w:sz w:val="21"/>
                <w:szCs w:val="21"/>
              </w:rPr>
              <w:t>℃</w:t>
            </w:r>
            <w:r>
              <w:rPr>
                <w:rStyle w:val="58"/>
                <w:rFonts w:hint="default" w:ascii="Times New Roman" w:hAnsi="Times New Roman"/>
                <w:color w:val="auto"/>
                <w:sz w:val="21"/>
                <w:szCs w:val="21"/>
              </w:rPr>
              <w:t>（＜0.5 小时） 连续工作温度：1100</w:t>
            </w:r>
            <w:r>
              <w:rPr>
                <w:rStyle w:val="58"/>
                <w:rFonts w:hint="default"/>
                <w:color w:val="auto"/>
                <w:sz w:val="21"/>
                <w:szCs w:val="21"/>
              </w:rPr>
              <w:t>℃</w:t>
            </w:r>
            <w:r>
              <w:rPr>
                <w:rStyle w:val="58"/>
                <w:rFonts w:hint="default" w:ascii="Times New Roman" w:hAnsi="Times New Roman"/>
                <w:color w:val="auto"/>
                <w:sz w:val="21"/>
                <w:szCs w:val="21"/>
              </w:rPr>
              <w:t xml:space="preserve">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2.建议加热速率：</w:t>
            </w:r>
            <w:r>
              <w:rPr>
                <w:rStyle w:val="58"/>
                <w:rFonts w:hint="default"/>
                <w:color w:val="auto"/>
                <w:sz w:val="21"/>
                <w:szCs w:val="21"/>
              </w:rPr>
              <w:t>≦</w:t>
            </w:r>
            <w:r>
              <w:rPr>
                <w:rStyle w:val="58"/>
                <w:rFonts w:hint="default" w:ascii="Times New Roman" w:hAnsi="Times New Roman"/>
                <w:color w:val="auto"/>
                <w:sz w:val="21"/>
                <w:szCs w:val="21"/>
              </w:rPr>
              <w:t>10</w:t>
            </w:r>
            <w:r>
              <w:rPr>
                <w:rStyle w:val="58"/>
                <w:rFonts w:hint="default"/>
                <w:color w:val="auto"/>
                <w:sz w:val="21"/>
                <w:szCs w:val="21"/>
              </w:rPr>
              <w:t>℃</w:t>
            </w:r>
            <w:r>
              <w:rPr>
                <w:rStyle w:val="58"/>
                <w:rFonts w:hint="default" w:ascii="Times New Roman" w:hAnsi="Times New Roman"/>
                <w:color w:val="auto"/>
                <w:sz w:val="21"/>
                <w:szCs w:val="21"/>
              </w:rPr>
              <w:t xml:space="preserve">/min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3.加热区长度：</w:t>
            </w:r>
            <w:r>
              <w:rPr>
                <w:rFonts w:hint="eastAsia" w:ascii="Calibri" w:hAnsi="Calibri"/>
              </w:rPr>
              <w:t>≧</w:t>
            </w:r>
            <w:r>
              <w:rPr>
                <w:rStyle w:val="58"/>
                <w:rFonts w:hint="default" w:ascii="Times New Roman" w:hAnsi="Times New Roman"/>
                <w:color w:val="auto"/>
                <w:sz w:val="21"/>
                <w:szCs w:val="21"/>
              </w:rPr>
              <w:t xml:space="preserve">400mm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▲4.加热元件：掺钼铁铬铝合金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5.电压：AC220V/50Hz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6.功率：3KW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7.热电偶：K型</w:t>
            </w:r>
          </w:p>
          <w:p>
            <w:pPr>
              <w:spacing w:line="360" w:lineRule="exact"/>
              <w:jc w:val="left"/>
              <w:rPr>
                <w:rFonts w:cs="宋体"/>
                <w:szCs w:val="21"/>
              </w:rPr>
            </w:pPr>
            <w:r>
              <w:rPr>
                <w:rStyle w:val="58"/>
                <w:rFonts w:hint="default" w:ascii="Times New Roman" w:hAnsi="Times New Roman"/>
                <w:color w:val="auto"/>
                <w:sz w:val="21"/>
                <w:szCs w:val="21"/>
              </w:rPr>
              <w:t>8.采用双层风冷结构，炉膛采用高纯度氧化铝微晶纤维高温真空吸附成型                                                                                                                                                                 9.采用 PID 方式调节温度，可设置 30 段升降温程序</w:t>
            </w:r>
          </w:p>
        </w:tc>
        <w:tc>
          <w:tcPr>
            <w:tcW w:w="673" w:type="dxa"/>
          </w:tcPr>
          <w:p>
            <w:pPr>
              <w:spacing w:line="360" w:lineRule="exact"/>
              <w:jc w:val="center"/>
              <w:rPr>
                <w:szCs w:val="21"/>
              </w:rPr>
            </w:pPr>
            <w:r>
              <w:rPr>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23</w:t>
            </w:r>
          </w:p>
        </w:tc>
        <w:tc>
          <w:tcPr>
            <w:tcW w:w="1032" w:type="dxa"/>
          </w:tcPr>
          <w:p>
            <w:pPr>
              <w:spacing w:line="360" w:lineRule="exact"/>
              <w:jc w:val="center"/>
              <w:rPr>
                <w:szCs w:val="21"/>
              </w:rPr>
            </w:pPr>
            <w:r>
              <w:rPr>
                <w:rStyle w:val="117"/>
                <w:rFonts w:hint="default" w:ascii="Times New Roman" w:hAnsi="Times New Roman"/>
                <w:color w:val="auto"/>
                <w:sz w:val="21"/>
                <w:szCs w:val="21"/>
              </w:rPr>
              <w:t>马弗炉</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1.控温范围：300-1200</w:t>
            </w:r>
            <w:r>
              <w:rPr>
                <w:rStyle w:val="58"/>
                <w:rFonts w:hint="default"/>
                <w:color w:val="auto"/>
                <w:sz w:val="21"/>
                <w:szCs w:val="21"/>
              </w:rPr>
              <w:t>℃</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2.温度分辨率：</w:t>
            </w:r>
            <w:r>
              <w:rPr>
                <w:rFonts w:hint="eastAsia" w:ascii="Calibri" w:hAnsi="Calibri"/>
              </w:rPr>
              <w:t>≦</w:t>
            </w:r>
            <w:r>
              <w:rPr>
                <w:rStyle w:val="58"/>
                <w:rFonts w:hint="default" w:ascii="Times New Roman" w:hAnsi="Times New Roman"/>
                <w:color w:val="auto"/>
                <w:sz w:val="21"/>
                <w:szCs w:val="21"/>
              </w:rPr>
              <w:t>1</w:t>
            </w:r>
            <w:r>
              <w:rPr>
                <w:rStyle w:val="58"/>
                <w:rFonts w:hint="default"/>
                <w:color w:val="auto"/>
                <w:sz w:val="21"/>
                <w:szCs w:val="21"/>
              </w:rPr>
              <w:t>℃</w:t>
            </w:r>
          </w:p>
          <w:p>
            <w:pPr>
              <w:spacing w:line="360" w:lineRule="exact"/>
              <w:rPr>
                <w:rStyle w:val="58"/>
                <w:rFonts w:hint="default"/>
                <w:color w:val="auto"/>
                <w:sz w:val="21"/>
                <w:szCs w:val="21"/>
              </w:rPr>
            </w:pPr>
            <w:r>
              <w:rPr>
                <w:rStyle w:val="58"/>
                <w:rFonts w:hint="default" w:ascii="Times New Roman" w:hAnsi="Times New Roman"/>
                <w:color w:val="auto"/>
                <w:sz w:val="21"/>
                <w:szCs w:val="21"/>
              </w:rPr>
              <w:t>3.温度波动率：</w:t>
            </w:r>
            <w:r>
              <w:rPr>
                <w:rFonts w:hint="eastAsia" w:ascii="Calibri" w:hAnsi="Calibri"/>
              </w:rPr>
              <w:t>≦</w:t>
            </w:r>
            <w:r>
              <w:rPr>
                <w:rStyle w:val="58"/>
                <w:rFonts w:hint="default" w:ascii="Times New Roman" w:hAnsi="Times New Roman"/>
                <w:color w:val="auto"/>
                <w:sz w:val="21"/>
                <w:szCs w:val="21"/>
              </w:rPr>
              <w:t>±5</w:t>
            </w:r>
            <w:r>
              <w:rPr>
                <w:rStyle w:val="58"/>
                <w:rFonts w:hint="default"/>
                <w:color w:val="auto"/>
                <w:sz w:val="21"/>
                <w:szCs w:val="21"/>
              </w:rPr>
              <w:t>℃</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4.常温至最高温度时间：</w:t>
            </w:r>
            <w:r>
              <w:rPr>
                <w:rFonts w:hint="eastAsia" w:ascii="Calibri" w:hAnsi="Calibri"/>
              </w:rPr>
              <w:t>≦</w:t>
            </w:r>
            <w:r>
              <w:rPr>
                <w:rStyle w:val="58"/>
                <w:rFonts w:hint="default" w:ascii="Times New Roman" w:hAnsi="Times New Roman"/>
                <w:color w:val="auto"/>
                <w:sz w:val="21"/>
                <w:szCs w:val="21"/>
              </w:rPr>
              <w:t>80min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5.加热方式：阶段性升温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6、温度控制方式：微型电脑PID控制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7.额定功率：</w:t>
            </w:r>
            <w:r>
              <w:rPr>
                <w:rFonts w:hint="eastAsia" w:ascii="Calibri" w:hAnsi="Calibri"/>
              </w:rPr>
              <w:t>≧</w:t>
            </w:r>
            <w:r>
              <w:rPr>
                <w:rStyle w:val="58"/>
                <w:rFonts w:hint="default" w:ascii="Times New Roman" w:hAnsi="Times New Roman"/>
                <w:color w:val="auto"/>
                <w:sz w:val="21"/>
                <w:szCs w:val="21"/>
              </w:rPr>
              <w:t>5kw</w:t>
            </w:r>
          </w:p>
          <w:p>
            <w:pPr>
              <w:spacing w:line="360" w:lineRule="exact"/>
              <w:rPr>
                <w:rFonts w:cs="宋体"/>
                <w:szCs w:val="21"/>
              </w:rPr>
            </w:pPr>
            <w:r>
              <w:rPr>
                <w:rStyle w:val="58"/>
                <w:rFonts w:hint="default" w:ascii="Times New Roman" w:hAnsi="Times New Roman"/>
                <w:color w:val="auto"/>
                <w:sz w:val="21"/>
                <w:szCs w:val="21"/>
              </w:rPr>
              <w:t>8.内容积：</w:t>
            </w:r>
            <w:r>
              <w:rPr>
                <w:rFonts w:hint="eastAsia" w:ascii="Calibri" w:hAnsi="Calibri"/>
              </w:rPr>
              <w:t>≧</w:t>
            </w:r>
            <w:r>
              <w:rPr>
                <w:rStyle w:val="58"/>
                <w:rFonts w:hint="default" w:ascii="Times New Roman" w:hAnsi="Times New Roman"/>
                <w:color w:val="auto"/>
                <w:sz w:val="21"/>
                <w:szCs w:val="21"/>
              </w:rPr>
              <w:t>6L</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24</w:t>
            </w:r>
          </w:p>
        </w:tc>
        <w:tc>
          <w:tcPr>
            <w:tcW w:w="1032" w:type="dxa"/>
          </w:tcPr>
          <w:p>
            <w:pPr>
              <w:spacing w:line="360" w:lineRule="exact"/>
              <w:jc w:val="center"/>
              <w:rPr>
                <w:szCs w:val="21"/>
              </w:rPr>
            </w:pPr>
            <w:r>
              <w:rPr>
                <w:rStyle w:val="117"/>
                <w:rFonts w:hint="default" w:ascii="Times New Roman" w:hAnsi="Times New Roman"/>
                <w:color w:val="auto"/>
                <w:sz w:val="21"/>
                <w:szCs w:val="21"/>
              </w:rPr>
              <w:t>冷却水循环机</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1.电源：AC220V/50HZ</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2.功率：</w:t>
            </w:r>
            <w:r>
              <w:rPr>
                <w:rFonts w:hint="eastAsia" w:ascii="Calibri" w:hAnsi="Calibri"/>
              </w:rPr>
              <w:t>≧</w:t>
            </w:r>
            <w:r>
              <w:rPr>
                <w:rStyle w:val="58"/>
                <w:rFonts w:hint="default" w:ascii="Times New Roman" w:hAnsi="Times New Roman"/>
                <w:color w:val="auto"/>
                <w:sz w:val="21"/>
                <w:szCs w:val="21"/>
              </w:rPr>
              <w:t>600W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3.工作电流：1.4-2.1A</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4.制冷量：</w:t>
            </w:r>
            <w:r>
              <w:rPr>
                <w:rFonts w:hint="eastAsia" w:ascii="Calibri" w:hAnsi="Calibri"/>
              </w:rPr>
              <w:t>≧</w:t>
            </w:r>
            <w:r>
              <w:rPr>
                <w:rStyle w:val="58"/>
                <w:rFonts w:hint="default" w:ascii="Times New Roman" w:hAnsi="Times New Roman"/>
                <w:color w:val="auto"/>
                <w:sz w:val="21"/>
                <w:szCs w:val="21"/>
              </w:rPr>
              <w:t>2361Btu/h</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5.水箱容量：</w:t>
            </w:r>
            <w:r>
              <w:rPr>
                <w:rFonts w:hint="eastAsia" w:ascii="Calibri" w:hAnsi="Calibri"/>
              </w:rPr>
              <w:t>≧</w:t>
            </w:r>
            <w:r>
              <w:rPr>
                <w:rStyle w:val="58"/>
                <w:rFonts w:hint="default" w:ascii="Times New Roman" w:hAnsi="Times New Roman"/>
                <w:color w:val="auto"/>
                <w:sz w:val="21"/>
                <w:szCs w:val="21"/>
              </w:rPr>
              <w:t>5L</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6.出入水口：外径</w:t>
            </w:r>
            <w:r>
              <w:rPr>
                <w:rFonts w:hint="eastAsia" w:ascii="Calibri" w:hAnsi="Calibri"/>
              </w:rPr>
              <w:t>≧</w:t>
            </w:r>
            <w:r>
              <w:rPr>
                <w:rStyle w:val="58"/>
                <w:rFonts w:hint="default" w:ascii="Times New Roman" w:hAnsi="Times New Roman"/>
                <w:color w:val="auto"/>
                <w:sz w:val="21"/>
                <w:szCs w:val="21"/>
              </w:rPr>
              <w:t>10mm铜咀</w:t>
            </w:r>
          </w:p>
          <w:p>
            <w:pPr>
              <w:spacing w:line="360" w:lineRule="exact"/>
              <w:rPr>
                <w:rFonts w:cs="宋体"/>
                <w:szCs w:val="21"/>
              </w:rPr>
            </w:pPr>
            <w:r>
              <w:rPr>
                <w:rStyle w:val="58"/>
                <w:rFonts w:hint="default" w:ascii="Times New Roman" w:hAnsi="Times New Roman"/>
                <w:color w:val="auto"/>
                <w:sz w:val="21"/>
                <w:szCs w:val="21"/>
              </w:rPr>
              <w:t>7.水流速度：</w:t>
            </w:r>
            <w:r>
              <w:rPr>
                <w:rFonts w:hint="eastAsia" w:ascii="Calibri" w:hAnsi="Calibri"/>
              </w:rPr>
              <w:t>≧</w:t>
            </w:r>
            <w:r>
              <w:rPr>
                <w:rStyle w:val="58"/>
                <w:rFonts w:hint="default" w:ascii="Times New Roman" w:hAnsi="Times New Roman"/>
                <w:color w:val="auto"/>
                <w:sz w:val="21"/>
                <w:szCs w:val="21"/>
              </w:rPr>
              <w:t>15L/min</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4" w:type="dxa"/>
          </w:tcPr>
          <w:p>
            <w:pPr>
              <w:spacing w:line="360" w:lineRule="exact"/>
              <w:jc w:val="center"/>
              <w:rPr>
                <w:szCs w:val="21"/>
              </w:rPr>
            </w:pPr>
            <w:r>
              <w:rPr>
                <w:rFonts w:hint="eastAsia"/>
                <w:szCs w:val="21"/>
              </w:rPr>
              <w:t>2</w:t>
            </w:r>
            <w:r>
              <w:rPr>
                <w:szCs w:val="21"/>
              </w:rPr>
              <w:t>5</w:t>
            </w:r>
          </w:p>
        </w:tc>
        <w:tc>
          <w:tcPr>
            <w:tcW w:w="1032" w:type="dxa"/>
          </w:tcPr>
          <w:p>
            <w:pPr>
              <w:spacing w:line="360" w:lineRule="exact"/>
              <w:jc w:val="center"/>
              <w:rPr>
                <w:szCs w:val="21"/>
              </w:rPr>
            </w:pPr>
            <w:r>
              <w:rPr>
                <w:rStyle w:val="117"/>
                <w:rFonts w:hint="default" w:ascii="Times New Roman" w:hAnsi="Times New Roman"/>
                <w:color w:val="auto"/>
                <w:sz w:val="21"/>
                <w:szCs w:val="21"/>
              </w:rPr>
              <w:t>热压机</w:t>
            </w:r>
          </w:p>
        </w:tc>
        <w:tc>
          <w:tcPr>
            <w:tcW w:w="4550"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1.热压机构成：上下平板热压系统、压力控制系统 、水冷系统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2.连续工作温度：</w:t>
            </w:r>
            <w:r>
              <w:rPr>
                <w:rFonts w:hint="eastAsia" w:ascii="Calibri" w:hAnsi="Calibri"/>
              </w:rPr>
              <w:t>≧</w:t>
            </w:r>
            <w:r>
              <w:rPr>
                <w:rStyle w:val="58"/>
                <w:rFonts w:hint="default" w:ascii="Times New Roman" w:hAnsi="Times New Roman"/>
                <w:color w:val="auto"/>
                <w:sz w:val="21"/>
                <w:szCs w:val="21"/>
              </w:rPr>
              <w:t>450</w:t>
            </w:r>
            <w:r>
              <w:rPr>
                <w:rStyle w:val="58"/>
                <w:rFonts w:hint="default"/>
                <w:color w:val="auto"/>
                <w:sz w:val="21"/>
                <w:szCs w:val="21"/>
              </w:rPr>
              <w:t>℃</w:t>
            </w:r>
            <w:r>
              <w:rPr>
                <w:rStyle w:val="58"/>
                <w:rFonts w:hint="default" w:ascii="Times New Roman" w:hAnsi="Times New Roman"/>
                <w:color w:val="auto"/>
                <w:sz w:val="21"/>
                <w:szCs w:val="21"/>
              </w:rPr>
              <w:t xml:space="preserve">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3.推荐升温速率：</w:t>
            </w:r>
            <w:r>
              <w:rPr>
                <w:rFonts w:hint="eastAsia" w:ascii="Calibri" w:hAnsi="Calibri"/>
              </w:rPr>
              <w:t>≧</w:t>
            </w:r>
            <w:r>
              <w:rPr>
                <w:rStyle w:val="58"/>
                <w:rFonts w:hint="default" w:ascii="Times New Roman" w:hAnsi="Times New Roman"/>
                <w:color w:val="auto"/>
                <w:sz w:val="21"/>
                <w:szCs w:val="21"/>
              </w:rPr>
              <w:t>5</w:t>
            </w:r>
            <w:r>
              <w:rPr>
                <w:rStyle w:val="58"/>
                <w:rFonts w:hint="default"/>
                <w:color w:val="auto"/>
                <w:sz w:val="21"/>
                <w:szCs w:val="21"/>
              </w:rPr>
              <w:t>℃</w:t>
            </w:r>
            <w:r>
              <w:rPr>
                <w:rStyle w:val="58"/>
                <w:rFonts w:hint="default" w:ascii="Times New Roman" w:hAnsi="Times New Roman"/>
                <w:color w:val="auto"/>
                <w:sz w:val="21"/>
                <w:szCs w:val="21"/>
              </w:rPr>
              <w:t>/min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4.压力控制系统：手动油压机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5.油缸直径：</w:t>
            </w:r>
            <w:r>
              <w:rPr>
                <w:rFonts w:hint="eastAsia" w:ascii="Calibri" w:hAnsi="Calibri"/>
              </w:rPr>
              <w:t>≧</w:t>
            </w:r>
            <w:r>
              <w:rPr>
                <w:rStyle w:val="58"/>
                <w:rFonts w:hint="default" w:ascii="Times New Roman" w:hAnsi="Times New Roman"/>
                <w:color w:val="auto"/>
                <w:sz w:val="21"/>
                <w:szCs w:val="21"/>
              </w:rPr>
              <w:t xml:space="preserve">φ79mm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6.油缸行程：</w:t>
            </w:r>
            <w:r>
              <w:rPr>
                <w:rFonts w:hint="eastAsia" w:ascii="Calibri" w:hAnsi="Calibri"/>
              </w:rPr>
              <w:t>≧</w:t>
            </w:r>
            <w:r>
              <w:rPr>
                <w:rStyle w:val="58"/>
                <w:rFonts w:hint="default" w:ascii="Times New Roman" w:hAnsi="Times New Roman"/>
                <w:color w:val="auto"/>
                <w:sz w:val="21"/>
                <w:szCs w:val="21"/>
              </w:rPr>
              <w:t xml:space="preserve">30mm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▲7.工作压力：</w:t>
            </w:r>
            <w:r>
              <w:rPr>
                <w:rFonts w:hint="eastAsia" w:ascii="Calibri" w:hAnsi="Calibri"/>
              </w:rPr>
              <w:t>≦</w:t>
            </w:r>
            <w:r>
              <w:rPr>
                <w:rStyle w:val="58"/>
                <w:rFonts w:hint="default" w:ascii="Times New Roman" w:hAnsi="Times New Roman"/>
                <w:color w:val="auto"/>
                <w:sz w:val="21"/>
                <w:szCs w:val="21"/>
              </w:rPr>
              <w:t>24T ，压强：</w:t>
            </w:r>
            <w:r>
              <w:rPr>
                <w:rFonts w:hint="eastAsia" w:ascii="Calibri" w:hAnsi="Calibri"/>
              </w:rPr>
              <w:t>≦</w:t>
            </w:r>
            <w:r>
              <w:rPr>
                <w:rStyle w:val="58"/>
                <w:rFonts w:hint="default" w:ascii="Times New Roman" w:hAnsi="Times New Roman"/>
                <w:color w:val="auto"/>
                <w:sz w:val="21"/>
                <w:szCs w:val="21"/>
              </w:rPr>
              <w:t>100Mpa</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8.总机电源：AC 220V 50/60HZ</w:t>
            </w:r>
          </w:p>
          <w:p>
            <w:pPr>
              <w:spacing w:line="360" w:lineRule="exact"/>
              <w:rPr>
                <w:rFonts w:cs="宋体"/>
                <w:szCs w:val="21"/>
              </w:rPr>
            </w:pPr>
            <w:r>
              <w:rPr>
                <w:rStyle w:val="58"/>
                <w:rFonts w:hint="default" w:ascii="Times New Roman" w:hAnsi="Times New Roman"/>
                <w:color w:val="auto"/>
                <w:sz w:val="21"/>
                <w:szCs w:val="21"/>
              </w:rPr>
              <w:t>9.功率：</w:t>
            </w:r>
            <w:r>
              <w:rPr>
                <w:rFonts w:hint="eastAsia" w:ascii="Calibri" w:hAnsi="Calibri"/>
              </w:rPr>
              <w:t>≧</w:t>
            </w:r>
            <w:r>
              <w:rPr>
                <w:rStyle w:val="58"/>
                <w:rFonts w:hint="default" w:ascii="Times New Roman" w:hAnsi="Times New Roman"/>
                <w:color w:val="auto"/>
                <w:sz w:val="21"/>
                <w:szCs w:val="21"/>
              </w:rPr>
              <w:t>3.5KW</w:t>
            </w:r>
          </w:p>
        </w:tc>
        <w:tc>
          <w:tcPr>
            <w:tcW w:w="673" w:type="dxa"/>
          </w:tcPr>
          <w:p>
            <w:pPr>
              <w:spacing w:line="360" w:lineRule="exact"/>
              <w:jc w:val="center"/>
              <w:rPr>
                <w:szCs w:val="21"/>
              </w:rPr>
            </w:pPr>
            <w:r>
              <w:rPr>
                <w:rFonts w:hint="eastAsia"/>
                <w:szCs w:val="21"/>
              </w:rPr>
              <w:t>1</w:t>
            </w:r>
          </w:p>
        </w:tc>
        <w:tc>
          <w:tcPr>
            <w:tcW w:w="703" w:type="dxa"/>
          </w:tcPr>
          <w:p>
            <w:pPr>
              <w:spacing w:line="360" w:lineRule="exact"/>
              <w:jc w:val="center"/>
              <w:rPr>
                <w:szCs w:val="21"/>
              </w:rPr>
            </w:pPr>
            <w:r>
              <w:rPr>
                <w:rFonts w:hint="eastAsia"/>
                <w:szCs w:val="21"/>
              </w:rPr>
              <w:t>台</w:t>
            </w:r>
          </w:p>
        </w:tc>
        <w:tc>
          <w:tcPr>
            <w:tcW w:w="818" w:type="dxa"/>
          </w:tcPr>
          <w:p>
            <w:pPr>
              <w:jc w:val="center"/>
              <w:rPr>
                <w:rFonts w:eastAsiaTheme="minorEastAsia"/>
                <w:szCs w:val="21"/>
              </w:rPr>
            </w:pPr>
            <w:r>
              <w:rPr>
                <w:rFonts w:hint="eastAsia" w:eastAsiaTheme="minorEastAsia"/>
                <w:szCs w:val="21"/>
              </w:rPr>
              <w:t>否</w:t>
            </w:r>
          </w:p>
        </w:tc>
      </w:tr>
    </w:tbl>
    <w:p>
      <w:pPr>
        <w:autoSpaceDE w:val="0"/>
        <w:autoSpaceDN w:val="0"/>
        <w:adjustRightInd w:val="0"/>
        <w:spacing w:line="360" w:lineRule="auto"/>
        <w:ind w:firstLine="210" w:firstLineChars="100"/>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b/>
          <w:bCs/>
          <w:color w:val="auto"/>
          <w:szCs w:val="21"/>
        </w:rPr>
      </w:pPr>
      <w:r>
        <w:rPr>
          <w:rFonts w:hint="eastAsia"/>
          <w:b/>
          <w:bCs/>
          <w:color w:val="auto"/>
        </w:rPr>
        <w:t>1.本项目包“</w:t>
      </w:r>
      <w:r>
        <w:rPr>
          <w:rFonts w:hint="eastAsia" w:asciiTheme="minorEastAsia" w:hAnsiTheme="minorEastAsia" w:eastAsiaTheme="minorEastAsia" w:cstheme="minorEastAsia"/>
          <w:b/>
          <w:bCs/>
          <w:color w:val="auto"/>
          <w:kern w:val="0"/>
          <w:szCs w:val="21"/>
        </w:rPr>
        <w:t>技术性能参数要求”中</w:t>
      </w:r>
      <w:r>
        <w:rPr>
          <w:rFonts w:hint="eastAsia"/>
          <w:b/>
          <w:bCs/>
          <w:color w:val="auto"/>
        </w:rPr>
        <w:t>标注“★”项为废标项，即不满足废标；</w:t>
      </w:r>
      <w:r>
        <w:rPr>
          <w:rFonts w:hint="eastAsia"/>
          <w:color w:val="auto"/>
        </w:rPr>
        <w:t>“★”和“▲”</w:t>
      </w:r>
      <w:r>
        <w:rPr>
          <w:rFonts w:hint="eastAsia"/>
          <w:b/>
          <w:bCs/>
          <w:color w:val="auto"/>
        </w:rPr>
        <w:t>需提供制造商出具的盖章技术说明书或公开发布的产品彩页为准</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pPr>
      <w:r>
        <w:rPr>
          <w:rFonts w:hint="eastAsia" w:asciiTheme="minorEastAsia" w:hAnsiTheme="minorEastAsia" w:eastAsiaTheme="minorEastAsia" w:cstheme="minorEastAsia"/>
          <w:szCs w:val="21"/>
        </w:rPr>
        <w:t>3.如涉及固定厂家品牌或规格型号的均可认为推荐，并不要求其唯一性，供应商可提供同等质量标准或更高标准产品，并提供相应技术参数证明其符合采购需求或优于采购需求，否则可视其为不满足采购需求。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4.本项目磋商文件中标注“★”的条款不允许负偏离，负偏离视为无效响应文件。</w:t>
      </w:r>
      <w:r>
        <w:rPr>
          <w:rFonts w:ascii="宋体" w:hAnsi="宋体" w:cs="宋体"/>
          <w:sz w:val="24"/>
        </w:rPr>
        <w:t xml:space="preserve">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5" w:name="_Toc31227"/>
      <w:r>
        <w:rPr>
          <w:rFonts w:hint="eastAsia" w:asciiTheme="minorEastAsia" w:hAnsiTheme="minorEastAsia" w:eastAsiaTheme="minorEastAsia" w:cstheme="minorEastAsia"/>
          <w:b/>
          <w:bCs/>
          <w:sz w:val="24"/>
        </w:rPr>
        <w:t>二、商务需求</w:t>
      </w:r>
      <w:bookmarkEnd w:id="115"/>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Theme="minorEastAsia" w:hAnsiTheme="minorEastAsia" w:eastAsiaTheme="minorEastAsia" w:cstheme="minorEastAsia"/>
          <w:b/>
          <w:bCs/>
          <w:szCs w:val="21"/>
        </w:rPr>
        <w:br w:type="textWrapping"/>
      </w: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2.1投标供应商在招标及成交后，所提供的货物（含配套系统、配件备件）必须为全新无瑕疵。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3.产品进场安装、调试及验收：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3.3交货时，乙方应将货物（含配套系统、配件备件）的产品说明书、使用说明书，出厂合格证、用户手册、保修手册等单证交付给甲方，前述单证未交付完整的，视为未完全交货。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3.5采购人完成验收并不免除成交供应商对（含配套系统、配件备件）质量应当承担的责任。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3.6成交供应商应安排专人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4.1质保期、保修期内因国产货物（含配套系统、配件备件）质量或安装调试原因引起的全部维修费用（包括更换零配件的费用）均由成交供应商承担。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4.2质保期、保修期外，成交供应商应定期回访，发现问题及时通知甲方，国产货物（含配套系统、配件备件）维修零配件以优惠价给甲方（免收人工及差旅费）。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8.履约保证金：本项目合同正式签订前，成交供应商需向采购人支付合同金额的5%作为履约保证金（优先以金融机构、担保机构出具的保函或者支票、汇票、本票等非现金形式提交）。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9.1成交供应商须提供增值税专用发票。</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9.2全部货物（含配套系统、配件备件）经采购人验收合格并收到成交供应商发票后15个工作日内，采购人向成交供应商支付合同总金额的100%，上述履约保证金在产品验收合格满 1 年后，若无质量问题甲方将全额无息退还给乙方。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10.1供应商需针对本项目提供相关交货方案、售后服务方案等本项目评审因素要求的相关材料。</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宋体" w:hAnsi="宋体" w:cs="宋体"/>
          <w:szCs w:val="21"/>
        </w:rPr>
        <w:t>10.2其他未尽事宜由成交供应商和采购人按合同进行约定。</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6" w:name="_Toc19109"/>
      <w:r>
        <w:rPr>
          <w:rFonts w:hint="eastAsia" w:asciiTheme="minorEastAsia" w:hAnsiTheme="minorEastAsia" w:eastAsiaTheme="minorEastAsia" w:cstheme="minorEastAsia"/>
          <w:b/>
          <w:bCs/>
          <w:sz w:val="24"/>
        </w:rPr>
        <w:t>第3包：03+生物质与生物能源实验室建设项目3（饮水机等一批国产设备）</w:t>
      </w:r>
      <w:bookmarkEnd w:id="116"/>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7" w:name="_Toc1829"/>
      <w:r>
        <w:rPr>
          <w:rFonts w:hint="eastAsia" w:asciiTheme="minorEastAsia" w:hAnsiTheme="minorEastAsia" w:eastAsiaTheme="minorEastAsia" w:cstheme="minorEastAsia"/>
          <w:b/>
          <w:bCs/>
          <w:sz w:val="24"/>
        </w:rPr>
        <w:t>一、技术需求</w:t>
      </w:r>
      <w:bookmarkEnd w:id="117"/>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1.项目概况：本项目包采购国产设备一批，包含饮水机、洗烘一体机、超净工作台、超净工作台（单人）、人工气候箱、光照培养箱、</w:t>
      </w:r>
      <w:r>
        <w:rPr>
          <w:rFonts w:asciiTheme="minorEastAsia" w:hAnsiTheme="minorEastAsia" w:eastAsiaTheme="minorEastAsia" w:cstheme="minorEastAsia"/>
          <w:szCs w:val="21"/>
        </w:rPr>
        <w:t>恒温培养箱</w:t>
      </w:r>
      <w:r>
        <w:rPr>
          <w:rFonts w:hint="eastAsia" w:asciiTheme="minorEastAsia" w:hAnsiTheme="minorEastAsia" w:eastAsiaTheme="minorEastAsia" w:cstheme="minorEastAsia"/>
          <w:szCs w:val="21"/>
        </w:rPr>
        <w:t>、超低温冰箱等。</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2.设备/货物清单及要求</w:t>
      </w:r>
    </w:p>
    <w:tbl>
      <w:tblPr>
        <w:tblStyle w:val="28"/>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094"/>
        <w:gridCol w:w="4823"/>
        <w:gridCol w:w="713"/>
        <w:gridCol w:w="745"/>
        <w:gridCol w:w="8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7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094"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设备（服务）名称</w:t>
            </w:r>
          </w:p>
        </w:tc>
        <w:tc>
          <w:tcPr>
            <w:tcW w:w="4823"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技术性能参数要求</w:t>
            </w:r>
          </w:p>
        </w:tc>
        <w:tc>
          <w:tcPr>
            <w:tcW w:w="713"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数量</w:t>
            </w:r>
          </w:p>
        </w:tc>
        <w:tc>
          <w:tcPr>
            <w:tcW w:w="745"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单位</w:t>
            </w:r>
          </w:p>
        </w:tc>
        <w:tc>
          <w:tcPr>
            <w:tcW w:w="867" w:type="dxa"/>
            <w:vAlign w:val="center"/>
          </w:tcPr>
          <w:p>
            <w:pPr>
              <w:widowControl/>
              <w:jc w:val="center"/>
              <w:rPr>
                <w:rFonts w:eastAsiaTheme="minorEastAsia"/>
                <w:szCs w:val="21"/>
              </w:rPr>
            </w:pPr>
            <w:r>
              <w:rPr>
                <w:rFonts w:hint="eastAsia" w:eastAsiaTheme="minorEastAsia"/>
                <w:szCs w:val="21"/>
              </w:rPr>
              <w:t>是否进口设备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76" w:type="dxa"/>
          </w:tcPr>
          <w:p>
            <w:pPr>
              <w:spacing w:line="360" w:lineRule="exact"/>
              <w:jc w:val="center"/>
              <w:rPr>
                <w:szCs w:val="21"/>
              </w:rPr>
            </w:pPr>
            <w:r>
              <w:rPr>
                <w:szCs w:val="21"/>
              </w:rPr>
              <w:t>1</w:t>
            </w:r>
          </w:p>
        </w:tc>
        <w:tc>
          <w:tcPr>
            <w:tcW w:w="1094" w:type="dxa"/>
          </w:tcPr>
          <w:p>
            <w:pPr>
              <w:widowControl/>
              <w:spacing w:line="360" w:lineRule="exact"/>
              <w:jc w:val="center"/>
              <w:rPr>
                <w:color w:val="000000"/>
                <w:kern w:val="0"/>
                <w:szCs w:val="21"/>
              </w:rPr>
            </w:pPr>
            <w:r>
              <w:rPr>
                <w:color w:val="000000"/>
                <w:szCs w:val="21"/>
              </w:rPr>
              <w:t>饮水机</w:t>
            </w:r>
          </w:p>
        </w:tc>
        <w:tc>
          <w:tcPr>
            <w:tcW w:w="4823" w:type="dxa"/>
            <w:vAlign w:val="center"/>
          </w:tcPr>
          <w:p>
            <w:pPr>
              <w:numPr>
                <w:ilvl w:val="0"/>
                <w:numId w:val="40"/>
              </w:num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主要功能/用途：净化和加热自来水</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1.具备实时水质情况显示功能（如显示出水电导率或TDS或脱盐率等）</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▲2.采用RO反渗透过滤技术</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3.产水量≥120L/H</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▲4.额定总净水量≥8000L</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5.单次出热水量≥50L</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6.采用步进式加热技术</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7.具备UV抑菌系统</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8.温水直接供应</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9.出水口数量≥2个 </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10.水嘴至接水盘高度400±20mm</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11.采用304不锈钢接水盘</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12.加热功率＜3000W</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13.热水量≥28L/H</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14.热水箱容量≥32L</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15.可实现定时开关机功能</w:t>
            </w:r>
          </w:p>
          <w:p>
            <w:pPr>
              <w:widowControl/>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16.具备能够对常温水管路进行杀菌消毒的技术</w:t>
            </w:r>
          </w:p>
          <w:p>
            <w:pPr>
              <w:widowControl/>
              <w:spacing w:line="360" w:lineRule="exact"/>
              <w:jc w:val="left"/>
              <w:rPr>
                <w:rFonts w:cs="宋体"/>
                <w:szCs w:val="21"/>
              </w:rPr>
            </w:pPr>
            <w:r>
              <w:rPr>
                <w:rStyle w:val="58"/>
                <w:rFonts w:hint="default" w:ascii="Times New Roman" w:hAnsi="Times New Roman"/>
                <w:color w:val="auto"/>
                <w:sz w:val="21"/>
                <w:szCs w:val="21"/>
              </w:rPr>
              <w:t>17.具备IOT技术（即物联网技术），可手机查看机器运行情况，可远程开关机和查看水质，可一键报修。</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576" w:type="dxa"/>
          </w:tcPr>
          <w:p>
            <w:pPr>
              <w:spacing w:line="360" w:lineRule="exact"/>
              <w:jc w:val="center"/>
              <w:rPr>
                <w:szCs w:val="21"/>
              </w:rPr>
            </w:pPr>
            <w:r>
              <w:rPr>
                <w:rFonts w:hint="eastAsia"/>
                <w:szCs w:val="21"/>
              </w:rPr>
              <w:t>2</w:t>
            </w:r>
          </w:p>
        </w:tc>
        <w:tc>
          <w:tcPr>
            <w:tcW w:w="1094" w:type="dxa"/>
          </w:tcPr>
          <w:p>
            <w:pPr>
              <w:spacing w:line="360" w:lineRule="exact"/>
              <w:jc w:val="center"/>
              <w:rPr>
                <w:color w:val="000000"/>
                <w:szCs w:val="21"/>
              </w:rPr>
            </w:pPr>
            <w:r>
              <w:rPr>
                <w:color w:val="000000"/>
                <w:szCs w:val="21"/>
              </w:rPr>
              <w:t>洗烘一体机</w:t>
            </w:r>
          </w:p>
        </w:tc>
        <w:tc>
          <w:tcPr>
            <w:tcW w:w="4823" w:type="dxa"/>
            <w:vAlign w:val="center"/>
          </w:tcPr>
          <w:p>
            <w:pPr>
              <w:numPr>
                <w:ilvl w:val="0"/>
                <w:numId w:val="41"/>
              </w:num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主要功能/用途：洗涤、脱水、烘干衣物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1.类型：滚筒洗烘</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2.容量：洗≥10kg/烘≥7kg</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3变频/定频：变频</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4.开门方式：前开式</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5.中国能效标志：一级</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576" w:type="dxa"/>
          </w:tcPr>
          <w:p>
            <w:pPr>
              <w:spacing w:line="360" w:lineRule="exact"/>
              <w:jc w:val="center"/>
              <w:rPr>
                <w:szCs w:val="21"/>
              </w:rPr>
            </w:pPr>
            <w:r>
              <w:rPr>
                <w:rFonts w:hint="eastAsia"/>
                <w:szCs w:val="21"/>
              </w:rPr>
              <w:t>3</w:t>
            </w:r>
          </w:p>
        </w:tc>
        <w:tc>
          <w:tcPr>
            <w:tcW w:w="1094" w:type="dxa"/>
          </w:tcPr>
          <w:p>
            <w:pPr>
              <w:spacing w:line="360" w:lineRule="exact"/>
              <w:jc w:val="center"/>
              <w:rPr>
                <w:color w:val="000000"/>
                <w:szCs w:val="21"/>
              </w:rPr>
            </w:pPr>
            <w:r>
              <w:rPr>
                <w:color w:val="000000"/>
                <w:szCs w:val="21"/>
              </w:rPr>
              <w:t>超净工作台</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一、主要功能/用途：局部净化设备，广泛适用于食品、生物、光学、医学等领域。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1.操作面需采用10°倾角设计，减轻操作者压迫感。工作区两侧大玻璃窗，内外通透，美观大方，使用舒适,万向轴承脚轮挪动轻便。</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2.垂直层流设计，304不锈钢台面 ，85%洁净风循环，减轻操作者吹拂感，科学延长过滤器寿命。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3.整体采用全钢、框架结构形式，内壁、内顶板无缝隙、无螺丝，没有藏菌死角，外表面无铅无毒，绿色环保。</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4.具备6段风机调压调速器配合LED条段指示器，操控简洁方便。</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5.采用超薄型无隔板HEPA过滤器，整机小几何尺度设计更易狭小空间使用。</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6配置重力平衡式滑动前窗，当出现故障时也不会扎伤操作者手臂，升降平稳可随意定位。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7.粗效过滤器可更换，延长高效过滤器寿命。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8.工作区尺寸（mm）宽×深×高: ≥1360×680×700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9.内循环风量 : 70%~85%</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10.内部配置： 荧光灯规格数量 40W×1 紫外灯规格数量 40W×1 </w:t>
            </w:r>
          </w:p>
          <w:p>
            <w:pPr>
              <w:spacing w:line="360" w:lineRule="exact"/>
              <w:rPr>
                <w:rFonts w:cs="宋体"/>
                <w:szCs w:val="21"/>
              </w:rPr>
            </w:pPr>
            <w:r>
              <w:rPr>
                <w:rStyle w:val="58"/>
                <w:rFonts w:hint="default" w:ascii="Times New Roman" w:hAnsi="Times New Roman"/>
                <w:color w:val="auto"/>
                <w:sz w:val="21"/>
                <w:szCs w:val="21"/>
              </w:rPr>
              <w:t xml:space="preserve">11.光 照 度（lux）: ≥400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12.洁净等级 :100级（@≥0.5μm）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13.过滤效率 :工作区内每1升空气中直径≥0.5μm的尘埃粒子≤3.5个/升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14.平均风速（m/s）: ≥0.25~0.60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15.噪音:（dBA） ≤61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16.台面振动半峰值（μm）: ≤5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17.控制方式: LED条段显示+轻触开关</w:t>
            </w:r>
          </w:p>
        </w:tc>
        <w:tc>
          <w:tcPr>
            <w:tcW w:w="713" w:type="dxa"/>
          </w:tcPr>
          <w:p>
            <w:pPr>
              <w:spacing w:line="360" w:lineRule="exact"/>
              <w:jc w:val="center"/>
              <w:rPr>
                <w:szCs w:val="21"/>
              </w:rPr>
            </w:pPr>
            <w:r>
              <w:rPr>
                <w:rFonts w:hint="eastAsia"/>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576" w:type="dxa"/>
          </w:tcPr>
          <w:p>
            <w:pPr>
              <w:spacing w:line="360" w:lineRule="exact"/>
              <w:jc w:val="center"/>
              <w:rPr>
                <w:szCs w:val="21"/>
              </w:rPr>
            </w:pPr>
            <w:r>
              <w:rPr>
                <w:rFonts w:hint="eastAsia"/>
                <w:szCs w:val="21"/>
              </w:rPr>
              <w:t>4</w:t>
            </w:r>
          </w:p>
        </w:tc>
        <w:tc>
          <w:tcPr>
            <w:tcW w:w="1094" w:type="dxa"/>
          </w:tcPr>
          <w:p>
            <w:pPr>
              <w:spacing w:line="360" w:lineRule="exact"/>
              <w:jc w:val="center"/>
              <w:rPr>
                <w:color w:val="000000"/>
                <w:szCs w:val="21"/>
              </w:rPr>
            </w:pPr>
            <w:r>
              <w:rPr>
                <w:rFonts w:hint="eastAsia"/>
                <w:color w:val="000000"/>
                <w:szCs w:val="21"/>
              </w:rPr>
              <w:t>超净工作台（单人）</w:t>
            </w:r>
          </w:p>
        </w:tc>
        <w:tc>
          <w:tcPr>
            <w:tcW w:w="4823"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1.操作面需采用10°倾角设计，减轻操作者压迫感。工作区两侧大玻璃窗，内外通透，美观大方，使用舒适,万向轴承脚轮挪动轻便。</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2.垂直层流设计，304不锈钢台面 ，85%洁净风循环，减轻操作者吹拂感，科学延长过滤器寿命。</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3.整体采用全钢、框架结构形式，内壁、内顶板无缝隙、无螺丝，没有藏菌死角，外表面无铅无毒，绿色环保。</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4.具备6段风机调压调速器配合LED条段指示器，操控简洁方便。</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5.采用超薄型无隔板HEPA过滤器，整机小几何尺度设计更易狭小空间使用。</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6配置重力平衡式滑动前窗，当出现故障时也不会扎伤操作者手臂，升降平稳可随意定位。</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7.粗效过滤器可更换，延长高效过滤器寿命。</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8. 工作区尺寸（mm）宽×深×高 不小于920×680×700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9.光 照 度（lux） ≥400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10.洁净等级 100级（@≥0.5μm 美联邦209E）</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11.过滤效率 工作区内每1升空气中直径≥0.5μm的尘埃粒子≤3.5个/升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12.平均风速（m/s） 0.25~0.60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13. 层流方向   垂直层流</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14. 台面材质  304不锈钢</w:t>
            </w:r>
          </w:p>
          <w:p>
            <w:pPr>
              <w:spacing w:line="360" w:lineRule="exact"/>
              <w:jc w:val="left"/>
              <w:rPr>
                <w:rFonts w:cs="宋体"/>
                <w:szCs w:val="21"/>
              </w:rPr>
            </w:pPr>
            <w:r>
              <w:rPr>
                <w:rStyle w:val="58"/>
                <w:rFonts w:hint="default" w:ascii="Times New Roman" w:hAnsi="Times New Roman"/>
                <w:color w:val="auto"/>
                <w:sz w:val="21"/>
                <w:szCs w:val="21"/>
              </w:rPr>
              <w:t>15. 柜体材质 冷轧钢板喷塑+钢化玻璃</w:t>
            </w:r>
          </w:p>
        </w:tc>
        <w:tc>
          <w:tcPr>
            <w:tcW w:w="713" w:type="dxa"/>
          </w:tcPr>
          <w:p>
            <w:pPr>
              <w:spacing w:line="360" w:lineRule="exact"/>
              <w:jc w:val="center"/>
              <w:rPr>
                <w:szCs w:val="21"/>
              </w:rPr>
            </w:pPr>
            <w:r>
              <w:rPr>
                <w:rFonts w:hint="eastAsia"/>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5</w:t>
            </w:r>
          </w:p>
        </w:tc>
        <w:tc>
          <w:tcPr>
            <w:tcW w:w="1094" w:type="dxa"/>
          </w:tcPr>
          <w:p>
            <w:pPr>
              <w:spacing w:line="360" w:lineRule="exact"/>
              <w:jc w:val="center"/>
              <w:rPr>
                <w:color w:val="000000"/>
                <w:szCs w:val="21"/>
              </w:rPr>
            </w:pPr>
            <w:r>
              <w:rPr>
                <w:color w:val="000000"/>
                <w:szCs w:val="21"/>
              </w:rPr>
              <w:t>人工气候箱</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一、主要功能/用途：细菌、霉菌、微生物的培养及育种试验的专用恒温及光照培养装置。</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▲微电脑智能控制，大屏幕彩色液晶显示，24组时段(北京时间或段位两种模式)温度、湿度、光照编程，内置多层顶部光照，LED生物光源。箱内层高可调，以满足不同植材种类及生长期需求。</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1、容积L：≥450L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2、光照度：0~600μmoles/m2/sec（距灯源150mm）无极可调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▲3、光强调控方式：每层独立调控</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4、光照灯板层数：四层</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5、控温范围：无光照:5～50℃；有光照:10～ 50℃</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▲6、控温方式：进口旁通比例阀PID控温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7、温度检测精度：±0.1℃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8、温度控制精度：±0.2℃(全温区)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9、温度均匀性：±1℃</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10、控湿范围：40%～95%RH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11、湿度检测精度：±1%RH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12、控湿波动度：±3%RH </w:t>
            </w:r>
          </w:p>
          <w:p>
            <w:pPr>
              <w:spacing w:line="360" w:lineRule="exact"/>
              <w:rPr>
                <w:rFonts w:cs="宋体"/>
                <w:szCs w:val="21"/>
              </w:rPr>
            </w:pPr>
            <w:r>
              <w:rPr>
                <w:rStyle w:val="58"/>
                <w:rFonts w:hint="default" w:ascii="Times New Roman" w:hAnsi="Times New Roman"/>
                <w:color w:val="auto"/>
                <w:sz w:val="21"/>
                <w:szCs w:val="21"/>
              </w:rPr>
              <w:t>13、配备自动换气系统，可实现箱体内外气体定时定量自动交换。</w:t>
            </w:r>
          </w:p>
        </w:tc>
        <w:tc>
          <w:tcPr>
            <w:tcW w:w="713" w:type="dxa"/>
          </w:tcPr>
          <w:p>
            <w:pPr>
              <w:spacing w:line="360" w:lineRule="exact"/>
              <w:jc w:val="center"/>
              <w:rPr>
                <w:szCs w:val="21"/>
              </w:rPr>
            </w:pPr>
            <w:r>
              <w:rPr>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asciiTheme="minorEastAsia" w:hAnsiTheme="minorEastAsia" w:eastAsiaTheme="minorEastAsia" w:cs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6</w:t>
            </w:r>
          </w:p>
        </w:tc>
        <w:tc>
          <w:tcPr>
            <w:tcW w:w="1094" w:type="dxa"/>
          </w:tcPr>
          <w:p>
            <w:pPr>
              <w:spacing w:line="360" w:lineRule="exact"/>
              <w:jc w:val="center"/>
              <w:rPr>
                <w:color w:val="000000"/>
                <w:szCs w:val="21"/>
              </w:rPr>
            </w:pPr>
            <w:r>
              <w:rPr>
                <w:color w:val="000000"/>
                <w:szCs w:val="21"/>
              </w:rPr>
              <w:t>光照培养箱</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一、主要功能/用途：植物生长的专用恒温及光照培养装置。</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szCs w:val="21"/>
              </w:rPr>
            </w:pPr>
            <w:r>
              <w:rPr>
                <w:rStyle w:val="58"/>
                <w:rFonts w:hint="default" w:ascii="Times New Roman" w:hAnsi="Times New Roman"/>
                <w:color w:val="auto"/>
                <w:sz w:val="21"/>
                <w:szCs w:val="21"/>
              </w:rPr>
              <w:t>1.整体性能要求</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1.1 液晶触摸彩色视屏，可直观显示工作参数及运行状态，便于温度、光照等参数设置修改</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  微电脑全智能控制系统，可实现不少于24段温度及光照参数的自由组合编程</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1.3 控制系统具有数据存储、记忆和在线查询功能。如遇停电、关机、再次开机都能延续原来的工作状态，保证设备按程序正常运行</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1.4 具备多级密码保护，程序一旦设定可避免中途人为干扰</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1.5 具有超温声光自动报警功能</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1.6 箱体门中间部位应设计有中空玻璃观察窗，观察窗安装可开、关小门。</w:t>
            </w:r>
          </w:p>
          <w:p>
            <w:pPr>
              <w:rPr>
                <w:szCs w:val="21"/>
              </w:rPr>
            </w:pPr>
            <w:r>
              <w:rPr>
                <w:rStyle w:val="58"/>
                <w:rFonts w:hint="default" w:ascii="Times New Roman" w:hAnsi="Times New Roman"/>
                <w:color w:val="auto"/>
                <w:sz w:val="21"/>
                <w:szCs w:val="21"/>
              </w:rPr>
              <w:t>1.7 内置式多层顶部光照设计，每层光照独立控制且光照强度无极可调</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1.8 LED平面灯板植物生长光源，能耗低，比普通光源节能80%左右。且光源稳定、工作寿命长</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▲1.9 配备自动换气系统，可实现箱体内外气体定时定量自动交换</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2、技术参数要求</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2.1 公称容积(L) ：≥440</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2.2 控温范围：5~50 </w:t>
            </w:r>
            <w:r>
              <w:rPr>
                <w:rStyle w:val="58"/>
                <w:rFonts w:hint="default"/>
                <w:color w:val="auto"/>
                <w:sz w:val="21"/>
                <w:szCs w:val="21"/>
              </w:rPr>
              <w:t>℃</w:t>
            </w:r>
            <w:r>
              <w:rPr>
                <w:rStyle w:val="58"/>
                <w:rFonts w:hint="default" w:ascii="Times New Roman" w:hAnsi="Times New Roman"/>
                <w:color w:val="auto"/>
                <w:sz w:val="21"/>
                <w:szCs w:val="21"/>
              </w:rPr>
              <w:t xml:space="preserve">(无光照) 10 ~50 </w:t>
            </w:r>
            <w:r>
              <w:rPr>
                <w:rStyle w:val="58"/>
                <w:rFonts w:hint="default"/>
                <w:color w:val="auto"/>
                <w:sz w:val="21"/>
                <w:szCs w:val="21"/>
              </w:rPr>
              <w:t>℃</w:t>
            </w:r>
            <w:r>
              <w:rPr>
                <w:rStyle w:val="58"/>
                <w:rFonts w:hint="default" w:ascii="Times New Roman" w:hAnsi="Times New Roman"/>
                <w:color w:val="auto"/>
                <w:sz w:val="21"/>
                <w:szCs w:val="21"/>
              </w:rPr>
              <w:t>(有光照)</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2.3 温度分辨率：0.1</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2.4 温度控制精度：≤ ±0.2</w:t>
            </w:r>
            <w:r>
              <w:rPr>
                <w:rStyle w:val="58"/>
                <w:rFonts w:hint="default"/>
                <w:color w:val="auto"/>
                <w:sz w:val="21"/>
                <w:szCs w:val="21"/>
              </w:rPr>
              <w:t>℃</w:t>
            </w:r>
            <w:r>
              <w:rPr>
                <w:rStyle w:val="58"/>
                <w:rFonts w:hint="default" w:ascii="Times New Roman" w:hAnsi="Times New Roman"/>
                <w:color w:val="auto"/>
                <w:sz w:val="21"/>
                <w:szCs w:val="21"/>
              </w:rPr>
              <w:t>（全温区PID控制）</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2.5 温度均匀性：≤ ±1</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2.6 光照度：0~600μmoles/m2/sec（距灯源150mm）无极可调</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2.7 光照灯板层数：四层（每层光照强度独立可调）</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▲2.8 控温方式：进口旁通比例阀PID控温</w:t>
            </w:r>
          </w:p>
        </w:tc>
        <w:tc>
          <w:tcPr>
            <w:tcW w:w="713" w:type="dxa"/>
          </w:tcPr>
          <w:p>
            <w:pPr>
              <w:spacing w:line="360" w:lineRule="exact"/>
              <w:jc w:val="center"/>
              <w:rPr>
                <w:szCs w:val="21"/>
              </w:rPr>
            </w:pPr>
            <w:r>
              <w:rPr>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7</w:t>
            </w:r>
          </w:p>
        </w:tc>
        <w:tc>
          <w:tcPr>
            <w:tcW w:w="1094" w:type="dxa"/>
          </w:tcPr>
          <w:p>
            <w:pPr>
              <w:spacing w:line="360" w:lineRule="exact"/>
              <w:jc w:val="center"/>
              <w:rPr>
                <w:color w:val="000000"/>
                <w:szCs w:val="21"/>
              </w:rPr>
            </w:pPr>
            <w:r>
              <w:rPr>
                <w:rStyle w:val="115"/>
                <w:rFonts w:hint="default" w:ascii="Times New Roman" w:hAnsi="Times New Roman"/>
                <w:sz w:val="21"/>
                <w:szCs w:val="21"/>
              </w:rPr>
              <w:t>恒温培养箱</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一、主要功能/用途：细菌、霉菌、微生物的培养</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1.公称容积(L)：≥250</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2.控温范围：4</w:t>
            </w:r>
            <w:r>
              <w:rPr>
                <w:rStyle w:val="58"/>
                <w:rFonts w:hint="default"/>
                <w:color w:val="auto"/>
                <w:sz w:val="21"/>
                <w:szCs w:val="21"/>
              </w:rPr>
              <w:t>℃</w:t>
            </w:r>
            <w:r>
              <w:rPr>
                <w:rStyle w:val="58"/>
                <w:rFonts w:hint="default" w:ascii="Times New Roman" w:hAnsi="Times New Roman"/>
                <w:color w:val="auto"/>
                <w:sz w:val="21"/>
                <w:szCs w:val="21"/>
              </w:rPr>
              <w:t>～50</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3.温度分辨率：0.1</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4.温度控制精度：≤±0.5</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5.温度均匀性：±1.5</w:t>
            </w:r>
            <w:r>
              <w:rPr>
                <w:rStyle w:val="58"/>
                <w:rFonts w:hint="default"/>
                <w:color w:val="auto"/>
                <w:sz w:val="21"/>
                <w:szCs w:val="21"/>
              </w:rPr>
              <w:t>℃</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6.制冷剂：R404a (无氟环保)</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7.最大消耗功率：380W</w:t>
            </w:r>
          </w:p>
        </w:tc>
        <w:tc>
          <w:tcPr>
            <w:tcW w:w="713" w:type="dxa"/>
          </w:tcPr>
          <w:p>
            <w:pPr>
              <w:spacing w:line="360" w:lineRule="exact"/>
              <w:jc w:val="center"/>
              <w:rPr>
                <w:szCs w:val="21"/>
              </w:rPr>
            </w:pPr>
            <w:r>
              <w:rPr>
                <w:szCs w:val="21"/>
              </w:rPr>
              <w:t>4</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8</w:t>
            </w:r>
          </w:p>
        </w:tc>
        <w:tc>
          <w:tcPr>
            <w:tcW w:w="1094" w:type="dxa"/>
          </w:tcPr>
          <w:p>
            <w:pPr>
              <w:spacing w:line="360" w:lineRule="exact"/>
              <w:jc w:val="center"/>
              <w:rPr>
                <w:color w:val="000000"/>
                <w:szCs w:val="21"/>
              </w:rPr>
            </w:pPr>
            <w:r>
              <w:rPr>
                <w:color w:val="000000"/>
                <w:szCs w:val="21"/>
              </w:rPr>
              <w:t>超低温冰箱</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一、主要功能/用途：对于生物样本、菌种、生物制品、试剂、疫苗、生物材料以及血浆等的低温保存</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1、箱内温度 -40℃~-86℃可调</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2、有效容积≥600L，整机装箱量（2ml冻存管容量）40000份样本；</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具有多种故障报警（高低温报警、传感器故障报警、冷凝器脏报警、环温超标报警、断电报警、门开报警、电池电量低报警），两种报警方式（声音蜂鸣报警、灯光闪烁报警）；多重保护功能（开机延时保护-可设定时间、显示面板密码锁功能、断电记忆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▲3、微电脑控制，LED 显示屏，可显示环温及输入电压。并配置大容量存储空间，实时保存箱内设定温度、实际温度、高、低温报警温度、输入电压、环温等数据，数据可永久保存；</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4、采用HC环保制冷剂，制冷效率高，节能环保；</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5、采用双级复叠制冷系统，高温级压机和低温级压机配合制冷，制冷效率高；</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6、根据低温保存箱国家标准GB/T 20154要求，低温保存箱铭牌或标签上要标注制冷剂的详细名称及装入量；</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7、一体式手把门锁设计，单手实现开关门。可同时使用暗锁及双挂锁；</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8、4 个独立发泡内门并带密封条设计，有效保温，最大限度避免开门后的冷量泄露。外门3层密封，整机共计4层密封，保温效果好；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9、压缩机2个，功率≤1000W；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10、微电脑控制，LED 显示屏，可显示环温及输入电压；</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11、使用真空隔热材料VIP+加厚PU整体发泡；</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12、可选配USB模块，实时保存箱内设定温度、实际温度、高、低温报警温度、输入电压、环温等数据，数据可永久保存，且可通过自带的USB端口导出全部数据，实现数据的可追溯性；</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13、具有内置5V冷链供电系统，确保用电安全，减少外部布线，降低故障风险；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14、具有可加热平衡孔模块，可满足短时间内连续开门；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15、具有三个测试孔，方便用户实验使用和监控箱内温度；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▲16、具有医疗器械注册证，证书上产品型号要求与投标型号完全符合；</w:t>
            </w:r>
          </w:p>
          <w:p>
            <w:pPr>
              <w:spacing w:line="360" w:lineRule="exact"/>
              <w:rPr>
                <w:rFonts w:cs="宋体"/>
                <w:szCs w:val="21"/>
              </w:rPr>
            </w:pPr>
            <w:r>
              <w:rPr>
                <w:rStyle w:val="58"/>
                <w:rFonts w:hint="default" w:ascii="Times New Roman" w:hAnsi="Times New Roman"/>
                <w:color w:val="auto"/>
                <w:sz w:val="21"/>
                <w:szCs w:val="21"/>
              </w:rPr>
              <w:t>17、可选配网络接口，选配同品牌智能温度记录仪、冷链安全监控系统，全程监控并记录设备运行状态，并短信报警；</w:t>
            </w:r>
          </w:p>
        </w:tc>
        <w:tc>
          <w:tcPr>
            <w:tcW w:w="713" w:type="dxa"/>
          </w:tcPr>
          <w:p>
            <w:pPr>
              <w:spacing w:line="360" w:lineRule="exact"/>
              <w:jc w:val="center"/>
              <w:rPr>
                <w:szCs w:val="21"/>
              </w:rPr>
            </w:pPr>
            <w:r>
              <w:rPr>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6" w:type="dxa"/>
          </w:tcPr>
          <w:p>
            <w:pPr>
              <w:spacing w:line="360" w:lineRule="exact"/>
              <w:jc w:val="center"/>
              <w:rPr>
                <w:szCs w:val="21"/>
              </w:rPr>
            </w:pPr>
            <w:r>
              <w:rPr>
                <w:rFonts w:hint="eastAsia"/>
                <w:szCs w:val="21"/>
              </w:rPr>
              <w:t>9</w:t>
            </w:r>
          </w:p>
        </w:tc>
        <w:tc>
          <w:tcPr>
            <w:tcW w:w="1094" w:type="dxa"/>
          </w:tcPr>
          <w:p>
            <w:pPr>
              <w:spacing w:line="360" w:lineRule="exact"/>
              <w:jc w:val="center"/>
              <w:rPr>
                <w:color w:val="000000"/>
                <w:szCs w:val="21"/>
              </w:rPr>
            </w:pPr>
            <w:r>
              <w:rPr>
                <w:rFonts w:hint="eastAsia"/>
                <w:color w:val="000000"/>
                <w:szCs w:val="21"/>
              </w:rPr>
              <w:t>低温冰箱</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1、度范围-10°C～-25°C可调节，控温精度0.1</w:t>
            </w:r>
            <w:r>
              <w:rPr>
                <w:rStyle w:val="58"/>
                <w:rFonts w:hint="default"/>
                <w:color w:val="auto"/>
                <w:sz w:val="21"/>
                <w:szCs w:val="21"/>
              </w:rPr>
              <w:t>℃</w:t>
            </w:r>
            <w:r>
              <w:rPr>
                <w:rStyle w:val="58"/>
                <w:rFonts w:hint="default" w:ascii="Times New Roman" w:hAnsi="Times New Roman"/>
                <w:color w:val="auto"/>
                <w:sz w:val="21"/>
                <w:szCs w:val="21"/>
              </w:rPr>
              <w:t>；</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2、有效容积＞260L</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3、微电脑控制，LCD数码显示箱内温度，显示精度0.1</w:t>
            </w:r>
            <w:r>
              <w:rPr>
                <w:rStyle w:val="58"/>
                <w:rFonts w:hint="default"/>
                <w:color w:val="auto"/>
                <w:sz w:val="21"/>
                <w:szCs w:val="21"/>
              </w:rPr>
              <w:t>℃</w:t>
            </w:r>
            <w:r>
              <w:rPr>
                <w:rStyle w:val="58"/>
                <w:rFonts w:hint="default" w:ascii="Times New Roman" w:hAnsi="Times New Roman"/>
                <w:color w:val="auto"/>
                <w:sz w:val="21"/>
                <w:szCs w:val="21"/>
              </w:rPr>
              <w:t>；</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▲4、具有多种故障报警：高温报警、低温报警、传感器故障报警、开门报警、断电报警、环温高报警；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5、具有多种报警方式：声音蜂鸣报警、数字闪烁报警、符号闪烁报警，远程报警接口；</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6、多重保护功能：开机延时保护、停机间隔保护、显示面板保护、断电记忆数据保护、传感器故障保护运行；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7、具有断电报警功能，且在产品断电后能有数字温度显示≥24小时；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8、宽电压带，适合187~242V电压下使用；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9、采用HC环保制冷剂和制冷系统，LBA无氟发泡，真正完全绿色环保；</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10、搁架式蒸发器设计，保证箱内温度在最短的时间内降到用户需要温度；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11、箱壳采用冷轧钢板喷粉；内胆采用PS板吸附材质永不生锈，防腐可靠，易于清洁；</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12、箱体背板采用镀锌钢板，更坚固，更安全；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13、85mm以上厚度的超厚保温层，门体可拆卸式密封条设计，顶部双密封设计，更好的保证保温节能效果；</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▲14、门体机械暗锁+锁扣设计，既一把钥匙开一把锁，又可增加外挂锁，实现多人管理，更安全；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15、7个独立塑料抽屉设计，每个抽屉都可以单独拿出来存放物品再放回去，既方便用户存放物品使用，又能分开存储不同类型的物品，防止保存物品交叉影响；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16、测试孔设计，方便用户测试使用；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17、平衡阀设计，轻松开门；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18、脚轮+底脚设计，便于移动和锁定；</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19、优化系统与结构低噪音设计，运行噪音＜35dB；</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20、可选配USB接口或RS485；</w:t>
            </w:r>
          </w:p>
          <w:p>
            <w:pPr>
              <w:spacing w:line="360" w:lineRule="exact"/>
              <w:rPr>
                <w:rFonts w:cs="宋体"/>
                <w:szCs w:val="21"/>
              </w:rPr>
            </w:pPr>
            <w:r>
              <w:rPr>
                <w:rStyle w:val="58"/>
                <w:rFonts w:hint="default" w:ascii="Times New Roman" w:hAnsi="Times New Roman"/>
                <w:color w:val="auto"/>
                <w:sz w:val="21"/>
                <w:szCs w:val="21"/>
              </w:rPr>
              <w:t>▲21、产品具有医疗器械注册证。</w:t>
            </w:r>
          </w:p>
        </w:tc>
        <w:tc>
          <w:tcPr>
            <w:tcW w:w="713" w:type="dxa"/>
          </w:tcPr>
          <w:p>
            <w:pPr>
              <w:spacing w:line="360" w:lineRule="exact"/>
              <w:jc w:val="center"/>
              <w:rPr>
                <w:szCs w:val="21"/>
              </w:rPr>
            </w:pPr>
            <w:r>
              <w:rPr>
                <w:rFonts w:hint="eastAsia"/>
                <w:szCs w:val="21"/>
              </w:rPr>
              <w:t>4</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10</w:t>
            </w:r>
          </w:p>
        </w:tc>
        <w:tc>
          <w:tcPr>
            <w:tcW w:w="1094" w:type="dxa"/>
          </w:tcPr>
          <w:p>
            <w:pPr>
              <w:spacing w:line="360" w:lineRule="exact"/>
              <w:jc w:val="center"/>
              <w:rPr>
                <w:szCs w:val="21"/>
              </w:rPr>
            </w:pPr>
            <w:r>
              <w:rPr>
                <w:szCs w:val="21"/>
              </w:rPr>
              <w:t>电泳仪（转印）</w:t>
            </w:r>
          </w:p>
        </w:tc>
        <w:tc>
          <w:tcPr>
            <w:tcW w:w="4823"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一、主要功能/用途：DNA 序列分析、等电点聚焦电泳在内的多种电泳。</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1.基本参数</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1.1并联输出：4组</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1.2输出范围（显示分辨率）：2-300V(1V)   5-2000mA (2mA) 300W</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2、特点：</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2.1电流最大输出2000mA</w:t>
            </w:r>
          </w:p>
          <w:p>
            <w:pPr>
              <w:spacing w:line="360" w:lineRule="exact"/>
              <w:jc w:val="left"/>
              <w:rPr>
                <w:rFonts w:cs="宋体"/>
                <w:szCs w:val="21"/>
              </w:rPr>
            </w:pPr>
            <w:r>
              <w:rPr>
                <w:rStyle w:val="58"/>
                <w:rFonts w:hint="default" w:ascii="Times New Roman" w:hAnsi="Times New Roman"/>
                <w:color w:val="auto"/>
                <w:sz w:val="21"/>
                <w:szCs w:val="21"/>
              </w:rPr>
              <w:t>2.2在工作状态中，可以实时微调；微电脑智能控制；</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2.3液晶显示，同时显示电压、电流和定时时间；</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2.4连续可调</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2.5采用开关电源输出；</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2.6具有存储记忆功能；</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2.7具有过压、过流、过载、变载、空载等多项报警保护功能；</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szCs w:val="21"/>
              </w:rPr>
              <w:t>1</w:t>
            </w:r>
            <w:r>
              <w:rPr>
                <w:rFonts w:hint="eastAsia"/>
                <w:szCs w:val="21"/>
              </w:rPr>
              <w:t>1</w:t>
            </w:r>
          </w:p>
        </w:tc>
        <w:tc>
          <w:tcPr>
            <w:tcW w:w="1094" w:type="dxa"/>
          </w:tcPr>
          <w:p>
            <w:pPr>
              <w:spacing w:line="360" w:lineRule="exact"/>
              <w:jc w:val="center"/>
              <w:rPr>
                <w:szCs w:val="21"/>
              </w:rPr>
            </w:pPr>
            <w:r>
              <w:rPr>
                <w:szCs w:val="21"/>
              </w:rPr>
              <w:t>电泳仪（蛋白质、核酸）</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一、主要功能/用途：适用普通蛋白，核酸电泳。</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1..在工作状态中，可以实时微调</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2微电脑智能控制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3.液晶显示，同时显示电压，电流和定时时间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4.采用开关电源输出</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5.具有存储记忆功能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6.具有过压、过流、过载、变载、空载等多项报警保护功能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7.并联输出：4组 </w:t>
            </w:r>
          </w:p>
          <w:p>
            <w:pPr>
              <w:spacing w:line="360" w:lineRule="exact"/>
              <w:rPr>
                <w:rFonts w:cs="宋体"/>
                <w:szCs w:val="21"/>
              </w:rPr>
            </w:pPr>
            <w:r>
              <w:rPr>
                <w:rStyle w:val="58"/>
                <w:rFonts w:hint="default" w:ascii="Times New Roman" w:hAnsi="Times New Roman"/>
                <w:color w:val="auto"/>
                <w:sz w:val="21"/>
                <w:szCs w:val="21"/>
              </w:rPr>
              <w:t xml:space="preserve">8.输出范围（显示分辨率）：6～600V（1V）4～400mA（1mA）240W </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12</w:t>
            </w:r>
          </w:p>
        </w:tc>
        <w:tc>
          <w:tcPr>
            <w:tcW w:w="1094" w:type="dxa"/>
          </w:tcPr>
          <w:p>
            <w:pPr>
              <w:spacing w:line="360" w:lineRule="exact"/>
              <w:jc w:val="center"/>
              <w:rPr>
                <w:szCs w:val="21"/>
              </w:rPr>
            </w:pPr>
            <w:r>
              <w:rPr>
                <w:szCs w:val="21"/>
              </w:rPr>
              <w:t>电泳仪（蛋白质、核酸）</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一、主要功能/用途：适用普通蛋白，核酸电泳。</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1.在工作状态中，可以实时微调</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2.微电脑智能控制</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3.液晶显示，同时显示电压，电流和定时时间</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4.采用开关电源输出</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5.具有存储记忆功能</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6.具有过压、过流、过载、变载、空载等多项报警保护.功能</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7.并联输出：4组</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szCs w:val="21"/>
              </w:rPr>
              <w:t>1</w:t>
            </w:r>
            <w:r>
              <w:rPr>
                <w:rFonts w:hint="eastAsia"/>
                <w:szCs w:val="21"/>
              </w:rPr>
              <w:t>3</w:t>
            </w:r>
          </w:p>
        </w:tc>
        <w:tc>
          <w:tcPr>
            <w:tcW w:w="1094" w:type="dxa"/>
          </w:tcPr>
          <w:p>
            <w:pPr>
              <w:widowControl/>
              <w:spacing w:line="360" w:lineRule="exact"/>
              <w:jc w:val="center"/>
              <w:rPr>
                <w:color w:val="000000"/>
                <w:kern w:val="0"/>
                <w:szCs w:val="21"/>
              </w:rPr>
            </w:pPr>
            <w:r>
              <w:rPr>
                <w:rStyle w:val="64"/>
                <w:rFonts w:hint="default" w:ascii="Times New Roman" w:hAnsi="Times New Roman"/>
              </w:rPr>
              <w:t>垂直电泳槽</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一、主要功能/用途：用于蛋白凝胶电泳。</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 xml:space="preserve">1.本产品参数、配件与伯乐的完全兼容；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2.高纯度铂金电极丝，达到最佳的导电性能；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3.封边垫条永久地固定在长玻璃板上，保证玻板精确对齐，防止漏胶；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4.凸轮卡锁的制胶框操作方便，在任何平面上都能精确对齐玻板；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5.特殊的塑料电泳梳不会抑制凝胶聚合反应，制胶过程中，内置的脊可避免空气接触，保证均一的凝胶聚合；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6.含封边垫条的长玻璃板加厚，使得玻璃板不易破碎；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7.SDS-PAGE 电泳时间：45分钟（200V恒压）；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8.上样引导装置,防止泳道的遗漏上样或重复上样。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9.凝胶数：2块；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10.凝胶厚度：1mm(标配）、0.75mm、1.5mm可选；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11.加样梳齿数：10齿（标配）、15齿可选；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12.玻璃尺寸：短玻璃板</w:t>
            </w:r>
            <w:r>
              <w:rPr>
                <w:rFonts w:hint="eastAsia" w:ascii="Calibri" w:hAnsi="Calibri"/>
              </w:rPr>
              <w:t>≧</w:t>
            </w:r>
            <w:r>
              <w:rPr>
                <w:rStyle w:val="58"/>
                <w:rFonts w:hint="default" w:ascii="Times New Roman" w:hAnsi="Times New Roman"/>
                <w:color w:val="auto"/>
                <w:sz w:val="21"/>
                <w:szCs w:val="21"/>
              </w:rPr>
              <w:t>10.1×7.3cm、长玻璃板</w:t>
            </w:r>
            <w:r>
              <w:rPr>
                <w:rFonts w:hint="eastAsia" w:ascii="Calibri" w:hAnsi="Calibri"/>
              </w:rPr>
              <w:t>≧</w:t>
            </w:r>
            <w:r>
              <w:rPr>
                <w:rStyle w:val="58"/>
                <w:rFonts w:hint="default" w:ascii="Times New Roman" w:hAnsi="Times New Roman"/>
                <w:color w:val="auto"/>
                <w:sz w:val="21"/>
                <w:szCs w:val="21"/>
              </w:rPr>
              <w:t xml:space="preserve">10.1×8.2cm；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13.凝胶大小：手灌胶</w:t>
            </w:r>
            <w:r>
              <w:rPr>
                <w:rFonts w:hint="eastAsia" w:ascii="Calibri" w:hAnsi="Calibri"/>
              </w:rPr>
              <w:t>≧</w:t>
            </w:r>
            <w:r>
              <w:rPr>
                <w:rStyle w:val="58"/>
                <w:rFonts w:hint="default" w:ascii="Times New Roman" w:hAnsi="Times New Roman"/>
                <w:color w:val="auto"/>
                <w:sz w:val="21"/>
                <w:szCs w:val="21"/>
              </w:rPr>
              <w:t>8.3×7.3cm、预制胶</w:t>
            </w:r>
            <w:r>
              <w:rPr>
                <w:rFonts w:hint="eastAsia" w:ascii="Calibri" w:hAnsi="Calibri"/>
              </w:rPr>
              <w:t>≧</w:t>
            </w:r>
            <w:r>
              <w:rPr>
                <w:rStyle w:val="58"/>
                <w:rFonts w:hint="default" w:ascii="Times New Roman" w:hAnsi="Times New Roman"/>
                <w:color w:val="auto"/>
                <w:sz w:val="21"/>
                <w:szCs w:val="21"/>
              </w:rPr>
              <w:t>8.6×6.8cm</w:t>
            </w:r>
          </w:p>
        </w:tc>
        <w:tc>
          <w:tcPr>
            <w:tcW w:w="713" w:type="dxa"/>
          </w:tcPr>
          <w:p>
            <w:pPr>
              <w:spacing w:line="360" w:lineRule="exact"/>
              <w:jc w:val="center"/>
              <w:rPr>
                <w:szCs w:val="21"/>
              </w:rPr>
            </w:pPr>
            <w:r>
              <w:rPr>
                <w:szCs w:val="21"/>
              </w:rPr>
              <w:t>2</w:t>
            </w:r>
          </w:p>
        </w:tc>
        <w:tc>
          <w:tcPr>
            <w:tcW w:w="745" w:type="dxa"/>
          </w:tcPr>
          <w:p>
            <w:pPr>
              <w:widowControl/>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14</w:t>
            </w:r>
          </w:p>
        </w:tc>
        <w:tc>
          <w:tcPr>
            <w:tcW w:w="1094" w:type="dxa"/>
          </w:tcPr>
          <w:p>
            <w:pPr>
              <w:widowControl/>
              <w:spacing w:line="360" w:lineRule="exact"/>
              <w:jc w:val="center"/>
              <w:rPr>
                <w:rFonts w:cs="宋体"/>
                <w:color w:val="000000"/>
                <w:szCs w:val="21"/>
              </w:rPr>
            </w:pPr>
            <w:r>
              <w:rPr>
                <w:rStyle w:val="64"/>
                <w:rFonts w:hint="default" w:ascii="Times New Roman" w:hAnsi="Times New Roman"/>
              </w:rPr>
              <w:t>电泳槽</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1、凝胶数：2块</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2、凝胶厚度：1mm、1.5mm标配，0.75mm为选配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3、加样梳齿数：10齿、15齿可选</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4、玻璃尺寸：平玻璃板</w:t>
            </w:r>
            <w:r>
              <w:rPr>
                <w:rFonts w:hint="eastAsia" w:ascii="Calibri" w:hAnsi="Calibri"/>
              </w:rPr>
              <w:t>≧</w:t>
            </w:r>
            <w:r>
              <w:rPr>
                <w:rStyle w:val="58"/>
                <w:rFonts w:hint="default" w:ascii="Times New Roman" w:hAnsi="Times New Roman"/>
                <w:color w:val="auto"/>
                <w:sz w:val="21"/>
                <w:szCs w:val="21"/>
              </w:rPr>
              <w:t>10.3×8.5cm、 凹玻璃板</w:t>
            </w:r>
            <w:r>
              <w:rPr>
                <w:rFonts w:hint="eastAsia" w:ascii="Calibri" w:hAnsi="Calibri"/>
              </w:rPr>
              <w:t>≧</w:t>
            </w:r>
            <w:r>
              <w:rPr>
                <w:rStyle w:val="58"/>
                <w:rFonts w:hint="default" w:ascii="Times New Roman" w:hAnsi="Times New Roman"/>
                <w:color w:val="auto"/>
                <w:sz w:val="21"/>
                <w:szCs w:val="21"/>
              </w:rPr>
              <w:t>10.3×8.5cm（粘玻璃边条）</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5、凝胶大小：制胶</w:t>
            </w:r>
            <w:r>
              <w:rPr>
                <w:rFonts w:hint="eastAsia" w:ascii="Calibri" w:hAnsi="Calibri"/>
              </w:rPr>
              <w:t>≧</w:t>
            </w:r>
            <w:r>
              <w:rPr>
                <w:rStyle w:val="58"/>
                <w:rFonts w:hint="default" w:ascii="Times New Roman" w:hAnsi="Times New Roman"/>
                <w:color w:val="auto"/>
                <w:sz w:val="21"/>
                <w:szCs w:val="21"/>
              </w:rPr>
              <w:t>7.5×8.3cm</w:t>
            </w:r>
          </w:p>
          <w:p>
            <w:pPr>
              <w:spacing w:line="360" w:lineRule="exact"/>
              <w:rPr>
                <w:rFonts w:cs="宋体"/>
                <w:szCs w:val="21"/>
              </w:rPr>
            </w:pPr>
            <w:r>
              <w:rPr>
                <w:rStyle w:val="58"/>
                <w:rFonts w:hint="default" w:ascii="Times New Roman" w:hAnsi="Times New Roman"/>
                <w:color w:val="auto"/>
                <w:sz w:val="21"/>
                <w:szCs w:val="21"/>
              </w:rPr>
              <w:t>6、缓冲液总量：</w:t>
            </w:r>
            <w:r>
              <w:rPr>
                <w:rFonts w:hint="eastAsia" w:ascii="Calibri" w:hAnsi="Calibri"/>
              </w:rPr>
              <w:t>≧</w:t>
            </w:r>
            <w:r>
              <w:rPr>
                <w:rStyle w:val="58"/>
                <w:rFonts w:hint="default" w:ascii="Times New Roman" w:hAnsi="Times New Roman"/>
                <w:color w:val="auto"/>
                <w:sz w:val="21"/>
                <w:szCs w:val="21"/>
              </w:rPr>
              <w:t>400mL</w:t>
            </w:r>
          </w:p>
        </w:tc>
        <w:tc>
          <w:tcPr>
            <w:tcW w:w="713" w:type="dxa"/>
          </w:tcPr>
          <w:p>
            <w:pPr>
              <w:spacing w:line="360" w:lineRule="exact"/>
              <w:jc w:val="center"/>
              <w:rPr>
                <w:szCs w:val="21"/>
              </w:rPr>
            </w:pPr>
            <w:r>
              <w:rPr>
                <w:rFonts w:hint="eastAsia"/>
                <w:szCs w:val="21"/>
              </w:rPr>
              <w:t>1</w:t>
            </w:r>
          </w:p>
        </w:tc>
        <w:tc>
          <w:tcPr>
            <w:tcW w:w="745" w:type="dxa"/>
          </w:tcPr>
          <w:p>
            <w:pPr>
              <w:widowControl/>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15</w:t>
            </w:r>
          </w:p>
        </w:tc>
        <w:tc>
          <w:tcPr>
            <w:tcW w:w="1094" w:type="dxa"/>
          </w:tcPr>
          <w:p>
            <w:pPr>
              <w:spacing w:line="360" w:lineRule="exact"/>
              <w:jc w:val="center"/>
              <w:rPr>
                <w:color w:val="000000"/>
                <w:szCs w:val="21"/>
              </w:rPr>
            </w:pPr>
            <w:r>
              <w:rPr>
                <w:rStyle w:val="64"/>
                <w:rFonts w:hint="default" w:ascii="Times New Roman" w:hAnsi="Times New Roman"/>
              </w:rPr>
              <w:t>琼脂糖水平电泳槽</w:t>
            </w:r>
          </w:p>
        </w:tc>
        <w:tc>
          <w:tcPr>
            <w:tcW w:w="4823"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一、主要功能/用途：可做各种纸电泳、醋酸纤维薄膜电泳、载玻片电泳，适用于高校教学、科研。</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jc w:val="left"/>
              <w:rPr>
                <w:rFonts w:cs="宋体"/>
                <w:szCs w:val="21"/>
              </w:rPr>
            </w:pPr>
            <w:r>
              <w:rPr>
                <w:rStyle w:val="58"/>
                <w:rFonts w:hint="default" w:ascii="Times New Roman" w:hAnsi="Times New Roman"/>
                <w:color w:val="auto"/>
                <w:sz w:val="21"/>
                <w:szCs w:val="21"/>
              </w:rPr>
              <w:t>1.凝板胶规格（L×W）：大胶</w:t>
            </w:r>
            <w:r>
              <w:rPr>
                <w:rFonts w:hint="eastAsia" w:ascii="Calibri" w:hAnsi="Calibri"/>
              </w:rPr>
              <w:t>≧</w:t>
            </w:r>
            <w:r>
              <w:rPr>
                <w:rStyle w:val="58"/>
                <w:rFonts w:hint="default" w:ascii="Times New Roman" w:hAnsi="Times New Roman"/>
                <w:color w:val="auto"/>
                <w:sz w:val="21"/>
                <w:szCs w:val="21"/>
              </w:rPr>
              <w:t xml:space="preserve"> 120×120mm；宽胶</w:t>
            </w:r>
            <w:r>
              <w:rPr>
                <w:rFonts w:hint="eastAsia" w:ascii="Calibri" w:hAnsi="Calibri"/>
              </w:rPr>
              <w:t>≧</w:t>
            </w:r>
            <w:r>
              <w:rPr>
                <w:rStyle w:val="58"/>
                <w:rFonts w:hint="default" w:ascii="Times New Roman" w:hAnsi="Times New Roman"/>
                <w:color w:val="auto"/>
                <w:sz w:val="21"/>
                <w:szCs w:val="21"/>
              </w:rPr>
              <w:t>60×120mm ；长胶</w:t>
            </w:r>
            <w:r>
              <w:rPr>
                <w:rFonts w:hint="eastAsia" w:ascii="Calibri" w:hAnsi="Calibri"/>
              </w:rPr>
              <w:t>≧</w:t>
            </w:r>
            <w:r>
              <w:rPr>
                <w:rStyle w:val="58"/>
                <w:rFonts w:hint="default" w:ascii="Times New Roman" w:hAnsi="Times New Roman"/>
                <w:color w:val="auto"/>
                <w:sz w:val="21"/>
                <w:szCs w:val="21"/>
              </w:rPr>
              <w:t>120×60mm；小胶≥ 60×60mm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2.试样格：2+3 齿（</w:t>
            </w:r>
            <w:r>
              <w:rPr>
                <w:rFonts w:hint="eastAsia" w:ascii="Calibri" w:hAnsi="Calibri"/>
              </w:rPr>
              <w:t>≧</w:t>
            </w:r>
            <w:r>
              <w:rPr>
                <w:rStyle w:val="58"/>
                <w:rFonts w:hint="default" w:ascii="Times New Roman" w:hAnsi="Times New Roman"/>
                <w:color w:val="auto"/>
                <w:sz w:val="21"/>
                <w:szCs w:val="21"/>
              </w:rPr>
              <w:t>2.0mm 厚），6+13 齿，8+18 齿（</w:t>
            </w:r>
            <w:r>
              <w:rPr>
                <w:rFonts w:hint="eastAsia" w:ascii="Calibri" w:hAnsi="Calibri"/>
              </w:rPr>
              <w:t>≧</w:t>
            </w:r>
            <w:r>
              <w:rPr>
                <w:rStyle w:val="58"/>
                <w:rFonts w:hint="default" w:ascii="Times New Roman" w:hAnsi="Times New Roman"/>
                <w:color w:val="auto"/>
                <w:sz w:val="21"/>
                <w:szCs w:val="21"/>
              </w:rPr>
              <w:t>1.5mm 厚），11+25 齿（</w:t>
            </w:r>
            <w:r>
              <w:rPr>
                <w:rFonts w:hint="eastAsia" w:ascii="Calibri" w:hAnsi="Calibri"/>
              </w:rPr>
              <w:t>≧</w:t>
            </w:r>
            <w:r>
              <w:rPr>
                <w:rStyle w:val="58"/>
                <w:rFonts w:hint="default" w:ascii="Times New Roman" w:hAnsi="Times New Roman"/>
                <w:color w:val="auto"/>
                <w:sz w:val="21"/>
                <w:szCs w:val="21"/>
              </w:rPr>
              <w:t>1.0mm 厚）可用排枪加样</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3.缓冲液总容量：≥650ml</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4.配置清单：</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电泳仪（主体）/1 个 电泳仪（上盖）/1 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1.0mm25 齿/11 齿试样格/4 把</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1.5mm13 齿/6 齿试样格/1 把</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1.5mm18 齿/8 齿试样格/1 把</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12.0mm3 齿/2 齿试样格/1 把</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制胶器/1 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60mm*60mm 凝胶托盘/2 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60mm*120mm 凝胶托盘/1 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120mm*60mm 凝胶托盘/1 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120mm*120mm 凝胶托盘/1个</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电泳导线/1 付</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1.0mm  13齿 试样格  1把</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1.0mm  18齿试样格   1把</w:t>
            </w:r>
          </w:p>
        </w:tc>
        <w:tc>
          <w:tcPr>
            <w:tcW w:w="713" w:type="dxa"/>
          </w:tcPr>
          <w:p>
            <w:pPr>
              <w:spacing w:line="360" w:lineRule="exact"/>
              <w:jc w:val="center"/>
              <w:rPr>
                <w:szCs w:val="21"/>
              </w:rPr>
            </w:pPr>
            <w:r>
              <w:rPr>
                <w:rFonts w:hint="eastAsia"/>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16</w:t>
            </w:r>
          </w:p>
        </w:tc>
        <w:tc>
          <w:tcPr>
            <w:tcW w:w="1094" w:type="dxa"/>
          </w:tcPr>
          <w:p>
            <w:pPr>
              <w:spacing w:line="360" w:lineRule="exact"/>
              <w:jc w:val="center"/>
              <w:rPr>
                <w:szCs w:val="21"/>
              </w:rPr>
            </w:pPr>
            <w:r>
              <w:rPr>
                <w:szCs w:val="21"/>
              </w:rPr>
              <w:t>脱色摇床（万向）</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一、主要功能/用途：广泛用于电泳凝胶的固定，考马斯蓝染色和脱色时的振荡摇晃，硝酸银染色时的固定、染色、显影等。</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1.频率：0～80转/分</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2.功率：</w:t>
            </w:r>
            <w:r>
              <w:rPr>
                <w:rFonts w:hint="eastAsia" w:ascii="Calibri" w:hAnsi="Calibri"/>
              </w:rPr>
              <w:t>≧</w:t>
            </w:r>
            <w:r>
              <w:rPr>
                <w:rStyle w:val="58"/>
                <w:rFonts w:hint="default" w:ascii="Times New Roman" w:hAnsi="Times New Roman"/>
                <w:color w:val="auto"/>
                <w:sz w:val="21"/>
                <w:szCs w:val="21"/>
              </w:rPr>
              <w:t>35W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3.托盘：</w:t>
            </w:r>
            <w:r>
              <w:rPr>
                <w:rFonts w:hint="eastAsia" w:ascii="Calibri" w:hAnsi="Calibri"/>
              </w:rPr>
              <w:t>≧</w:t>
            </w:r>
            <w:r>
              <w:rPr>
                <w:rStyle w:val="58"/>
                <w:rFonts w:hint="default" w:ascii="Times New Roman" w:hAnsi="Times New Roman"/>
                <w:color w:val="auto"/>
                <w:sz w:val="21"/>
                <w:szCs w:val="21"/>
              </w:rPr>
              <w:t>320×265mm</w:t>
            </w:r>
          </w:p>
          <w:p>
            <w:pPr>
              <w:spacing w:line="360" w:lineRule="exact"/>
              <w:rPr>
                <w:rFonts w:cs="宋体"/>
                <w:szCs w:val="21"/>
              </w:rPr>
            </w:pPr>
            <w:r>
              <w:rPr>
                <w:rStyle w:val="58"/>
                <w:rFonts w:hint="default" w:ascii="Times New Roman" w:hAnsi="Times New Roman"/>
                <w:color w:val="auto"/>
                <w:sz w:val="21"/>
                <w:szCs w:val="21"/>
              </w:rPr>
              <w:t>4.旋幅：万向调节</w:t>
            </w:r>
          </w:p>
        </w:tc>
        <w:tc>
          <w:tcPr>
            <w:tcW w:w="713" w:type="dxa"/>
          </w:tcPr>
          <w:p>
            <w:pPr>
              <w:spacing w:line="360" w:lineRule="exact"/>
              <w:jc w:val="center"/>
              <w:rPr>
                <w:szCs w:val="21"/>
              </w:rPr>
            </w:pPr>
            <w:r>
              <w:rPr>
                <w:szCs w:val="21"/>
              </w:rPr>
              <w:t>1</w:t>
            </w:r>
          </w:p>
        </w:tc>
        <w:tc>
          <w:tcPr>
            <w:tcW w:w="745" w:type="dxa"/>
          </w:tcPr>
          <w:p>
            <w:pPr>
              <w:widowControl/>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17</w:t>
            </w:r>
          </w:p>
        </w:tc>
        <w:tc>
          <w:tcPr>
            <w:tcW w:w="1094" w:type="dxa"/>
          </w:tcPr>
          <w:p>
            <w:pPr>
              <w:spacing w:line="360" w:lineRule="exact"/>
              <w:jc w:val="center"/>
              <w:rPr>
                <w:szCs w:val="21"/>
              </w:rPr>
            </w:pPr>
            <w:r>
              <w:rPr>
                <w:szCs w:val="21"/>
              </w:rPr>
              <w:t>脱色摇床（往复运动）</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一、主要功能/用途：广泛用于电泳凝胶的固定，考马斯蓝染色和脱色时的振荡摇晃，硝酸银染色时的固定、染色、显影等。</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1.振幅：</w:t>
            </w:r>
            <w:r>
              <w:rPr>
                <w:rFonts w:hint="eastAsia" w:ascii="Calibri" w:hAnsi="Calibri"/>
              </w:rPr>
              <w:t>≧</w:t>
            </w:r>
            <w:r>
              <w:rPr>
                <w:rStyle w:val="58"/>
                <w:rFonts w:hint="default" w:ascii="Times New Roman" w:hAnsi="Times New Roman"/>
                <w:color w:val="auto"/>
                <w:sz w:val="21"/>
                <w:szCs w:val="21"/>
              </w:rPr>
              <w:t>30mm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2.功率：</w:t>
            </w:r>
            <w:r>
              <w:rPr>
                <w:rFonts w:hint="eastAsia" w:ascii="Calibri" w:hAnsi="Calibri"/>
              </w:rPr>
              <w:t>≧</w:t>
            </w:r>
            <w:r>
              <w:rPr>
                <w:rStyle w:val="58"/>
                <w:rFonts w:hint="default" w:ascii="Times New Roman" w:hAnsi="Times New Roman"/>
                <w:color w:val="auto"/>
                <w:sz w:val="21"/>
                <w:szCs w:val="21"/>
              </w:rPr>
              <w:t>40W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3.频率：往复运动40～240转/分</w:t>
            </w:r>
          </w:p>
          <w:p>
            <w:pPr>
              <w:spacing w:line="360" w:lineRule="exact"/>
              <w:rPr>
                <w:rFonts w:cs="宋体"/>
                <w:szCs w:val="21"/>
              </w:rPr>
            </w:pPr>
            <w:r>
              <w:rPr>
                <w:rStyle w:val="58"/>
                <w:rFonts w:hint="default" w:ascii="Times New Roman" w:hAnsi="Times New Roman"/>
                <w:color w:val="auto"/>
                <w:sz w:val="21"/>
                <w:szCs w:val="21"/>
              </w:rPr>
              <w:t>4.速度控制：无极调速</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18</w:t>
            </w:r>
          </w:p>
        </w:tc>
        <w:tc>
          <w:tcPr>
            <w:tcW w:w="1094" w:type="dxa"/>
          </w:tcPr>
          <w:p>
            <w:pPr>
              <w:spacing w:line="360" w:lineRule="exact"/>
              <w:jc w:val="center"/>
              <w:rPr>
                <w:szCs w:val="21"/>
              </w:rPr>
            </w:pPr>
            <w:r>
              <w:rPr>
                <w:szCs w:val="21"/>
              </w:rPr>
              <w:t>脱色摇床（水平）</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一、主要功能/用途：广泛用于电泳凝胶的固定，考马斯蓝染色和脱色时的振荡摇晃，硝酸银染色时的固定、染色、显影等。</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1.托盘：</w:t>
            </w:r>
            <w:r>
              <w:rPr>
                <w:rFonts w:hint="eastAsia" w:ascii="Calibri" w:hAnsi="Calibri"/>
              </w:rPr>
              <w:t>≧</w:t>
            </w:r>
            <w:r>
              <w:rPr>
                <w:rStyle w:val="58"/>
                <w:rFonts w:hint="default" w:ascii="Times New Roman" w:hAnsi="Times New Roman"/>
                <w:color w:val="auto"/>
                <w:sz w:val="21"/>
                <w:szCs w:val="21"/>
              </w:rPr>
              <w:t>320mm×265mm×2层</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2.功率：</w:t>
            </w:r>
            <w:r>
              <w:rPr>
                <w:rFonts w:hint="eastAsia" w:ascii="Calibri" w:hAnsi="Calibri"/>
              </w:rPr>
              <w:t>≧</w:t>
            </w:r>
            <w:r>
              <w:rPr>
                <w:rStyle w:val="58"/>
                <w:rFonts w:hint="default" w:ascii="Times New Roman" w:hAnsi="Times New Roman"/>
                <w:color w:val="auto"/>
                <w:sz w:val="21"/>
                <w:szCs w:val="21"/>
              </w:rPr>
              <w:t>40W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3.频率：40～240转/分</w:t>
            </w:r>
          </w:p>
          <w:p>
            <w:pPr>
              <w:spacing w:line="360" w:lineRule="exact"/>
              <w:rPr>
                <w:rFonts w:cs="宋体"/>
                <w:szCs w:val="21"/>
              </w:rPr>
            </w:pPr>
            <w:r>
              <w:rPr>
                <w:rStyle w:val="58"/>
                <w:rFonts w:hint="default" w:ascii="Times New Roman" w:hAnsi="Times New Roman"/>
                <w:color w:val="auto"/>
                <w:sz w:val="21"/>
                <w:szCs w:val="21"/>
              </w:rPr>
              <w:t>4.速度控制：数字式</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19</w:t>
            </w:r>
          </w:p>
        </w:tc>
        <w:tc>
          <w:tcPr>
            <w:tcW w:w="1094" w:type="dxa"/>
          </w:tcPr>
          <w:p>
            <w:pPr>
              <w:widowControl/>
              <w:spacing w:line="360" w:lineRule="exact"/>
              <w:jc w:val="center"/>
              <w:rPr>
                <w:color w:val="000000"/>
                <w:kern w:val="0"/>
                <w:szCs w:val="21"/>
              </w:rPr>
            </w:pPr>
            <w:r>
              <w:rPr>
                <w:rStyle w:val="117"/>
                <w:rFonts w:hint="default" w:ascii="Times New Roman" w:hAnsi="Times New Roman"/>
                <w:sz w:val="21"/>
                <w:szCs w:val="21"/>
              </w:rPr>
              <w:t>红外接种环灭菌器</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一、主要功能/用途：适用于接种环、接种针及试管口等高温灭菌。</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1.接种环或针消毒灭菌安全、方便，完全替代酒精灯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2.加热孔内温度可达到800℃以上，杀菌只需要5到7秒。</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3.加温区总长:≥100mm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4.该装置可以用于厌氧室中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5.在陶瓷漏斗管道的深处灰化有机物质，防止传染性溅污和交叉污染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6.最大消毒物品外径:</w:t>
            </w:r>
            <w:r>
              <w:rPr>
                <w:rFonts w:hint="eastAsia" w:ascii="Calibri" w:hAnsi="Calibri"/>
              </w:rPr>
              <w:t xml:space="preserve"> ≧</w:t>
            </w:r>
            <w:r>
              <w:rPr>
                <w:rStyle w:val="58"/>
                <w:rFonts w:hint="default" w:ascii="Times New Roman" w:hAnsi="Times New Roman"/>
                <w:color w:val="auto"/>
                <w:sz w:val="21"/>
                <w:szCs w:val="21"/>
              </w:rPr>
              <w:t xml:space="preserve">Φ35mm </w:t>
            </w:r>
          </w:p>
          <w:p>
            <w:pPr>
              <w:spacing w:line="360" w:lineRule="exact"/>
              <w:rPr>
                <w:rFonts w:cs="宋体"/>
                <w:szCs w:val="21"/>
              </w:rPr>
            </w:pPr>
            <w:r>
              <w:rPr>
                <w:rStyle w:val="58"/>
                <w:rFonts w:hint="default" w:ascii="Times New Roman" w:hAnsi="Times New Roman"/>
                <w:color w:val="auto"/>
                <w:sz w:val="21"/>
                <w:szCs w:val="21"/>
              </w:rPr>
              <w:t xml:space="preserve">7.中心区最高温度:825℃±50℃ </w:t>
            </w:r>
          </w:p>
        </w:tc>
        <w:tc>
          <w:tcPr>
            <w:tcW w:w="713" w:type="dxa"/>
          </w:tcPr>
          <w:p>
            <w:pPr>
              <w:spacing w:line="360" w:lineRule="exact"/>
              <w:jc w:val="center"/>
              <w:rPr>
                <w:szCs w:val="21"/>
              </w:rPr>
            </w:pPr>
            <w:r>
              <w:rPr>
                <w:szCs w:val="21"/>
              </w:rPr>
              <w:t>3</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20</w:t>
            </w:r>
          </w:p>
        </w:tc>
        <w:tc>
          <w:tcPr>
            <w:tcW w:w="1094" w:type="dxa"/>
          </w:tcPr>
          <w:p>
            <w:pPr>
              <w:spacing w:line="360" w:lineRule="exact"/>
              <w:jc w:val="center"/>
              <w:rPr>
                <w:color w:val="000000"/>
                <w:szCs w:val="21"/>
              </w:rPr>
            </w:pPr>
            <w:r>
              <w:rPr>
                <w:color w:val="000000"/>
                <w:szCs w:val="21"/>
              </w:rPr>
              <w:t>药品展示柜</w:t>
            </w:r>
          </w:p>
        </w:tc>
        <w:tc>
          <w:tcPr>
            <w:tcW w:w="4823" w:type="dxa"/>
            <w:vAlign w:val="center"/>
          </w:tcPr>
          <w:p>
            <w:pPr>
              <w:numPr>
                <w:ilvl w:val="0"/>
                <w:numId w:val="42"/>
              </w:num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主要功能/用途：药品的低温冷藏</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1.开门方式：侧开门</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2.制冷方式：风冷</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3.控温方式：机械控温</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4.国家能效等级：2级</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5.有效容积：≥390升</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6.制冷循环：单循环</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7.制冷剂：R600a</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8.运转音：</w:t>
            </w:r>
            <w:r>
              <w:rPr>
                <w:rFonts w:hint="eastAsia" w:ascii="Calibri" w:hAnsi="Calibri"/>
              </w:rPr>
              <w:t>≦</w:t>
            </w:r>
            <w:r>
              <w:rPr>
                <w:rStyle w:val="58"/>
                <w:rFonts w:hint="default" w:ascii="Times New Roman" w:hAnsi="Times New Roman"/>
                <w:color w:val="auto"/>
                <w:sz w:val="21"/>
                <w:szCs w:val="21"/>
              </w:rPr>
              <w:t>57分贝</w:t>
            </w:r>
          </w:p>
        </w:tc>
        <w:tc>
          <w:tcPr>
            <w:tcW w:w="713" w:type="dxa"/>
          </w:tcPr>
          <w:p>
            <w:pPr>
              <w:spacing w:line="360" w:lineRule="exact"/>
              <w:jc w:val="center"/>
              <w:rPr>
                <w:szCs w:val="21"/>
              </w:rPr>
            </w:pPr>
            <w:r>
              <w:rPr>
                <w:rFonts w:hint="eastAsia"/>
                <w:szCs w:val="21"/>
              </w:rPr>
              <w:t>4</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21</w:t>
            </w:r>
          </w:p>
        </w:tc>
        <w:tc>
          <w:tcPr>
            <w:tcW w:w="1094" w:type="dxa"/>
          </w:tcPr>
          <w:p>
            <w:pPr>
              <w:spacing w:line="360" w:lineRule="exact"/>
              <w:jc w:val="center"/>
              <w:rPr>
                <w:color w:val="000000"/>
                <w:szCs w:val="21"/>
              </w:rPr>
            </w:pPr>
            <w:r>
              <w:rPr>
                <w:rStyle w:val="117"/>
                <w:rFonts w:hint="default" w:ascii="Times New Roman" w:hAnsi="Times New Roman"/>
                <w:sz w:val="21"/>
                <w:szCs w:val="21"/>
              </w:rPr>
              <w:t>普通光学显微镜</w:t>
            </w:r>
          </w:p>
        </w:tc>
        <w:tc>
          <w:tcPr>
            <w:tcW w:w="4823"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1、光学系统：无限远色差校正系统，齐焦距离≥45mm。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2、观察镜筒：铰链式三目观察镜筒，带0.5XC接口，30度倾斜，双目土5屈光度可调，瞳距调节范围48mm-75mm，采用进口最先进的防霉技术，防止在潮湿环境下霉菌的生长。</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3、目镜：高眼点大视野目镜，视野范围≥20mm。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转换器：编码式内向式四孔转换器，通过转动物镜转换器将需要使用的物镜转入光路，根据实际样本切片调节亮度，系统会自动将此亮度值存储下来，当物镜转换器同一位置的物镜再次转入光路，系统将自动恢复上次记忆的照明亮度，降低眼睛疲劳。转换器定位稳定性≤0.003mm（需提供第三方机构出具的检测报告）。</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5、物镜：无限远平场消色差物镜4X（NA≥0.10、WD≥16.8mm、成像清晰圆直径不小于18.3mm），10X（NA≥0.25、WD≥5.8mm、成像清晰圆直径不小于18.5mm），40X（弹簧、NA≥0.65、WD≥0.43mm、成像清晰圆直径不小于18.5mm），100X（油、NA≥1.25、WD≥0.13mm、成像清晰圆直径不小于18.2mm），内置进口防霉技术。</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6、载物台：同步带传动, 防割伤设计，无突出齿条结构的载物台，尺寸不小于180mm×130mm，移动范围不小于74mm×30mm。载物台侧向受5N水平方向作用力最大位移≤0.010mm；载物台侧向受5N水平方向作用力不重复性≤0.002mm（需提供第三方机构出具的检测报告佐证）。</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▲7、聚光镜：插入式聚光镜 NA1.25，孔径可调，可以直观的设置最佳的孔径光栏位置，孔径光栏处的标贴与物镜色环颜色相同。</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8、调焦机构：粗微调同轴调节，齿杆齿条传动，带有粗调限位控制机构（防止切片碰坏镜头和粗调力矩调节装置（防止载物台下滑），粗调每圈≥37.7mm，微调每圈≤0.2mm，最小刻度≤2μm。微调机构空回≤0.002mm（需提供第三方机构出具的检测报告佐证）。</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9、照明系统：内藏式大功率高亮度3WLED复眼照明，“复眼”透镜阵列让视野范围内的照明亮度均一，完美地成像（提供第三方机构检测报告并加盖生产厂家公章予以证明）。带色温可调功能，色温调节范围3000K-7000K，只需通过智能旋钮即实现LED灯白光和卤素灯色温的完美切换，保证了试样的色彩还原性（需提供产品实物截图并加盖生产厂家公章予以证明）。</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10、液晶显示屏：显微镜前端带有液晶显示屏，可显示显微镜各种状态：如倍率、光强、待机时间、色温参数等。</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11、多功能调光旋钮：可使显微镜进入待机状态、光强锁定及解锁、调整亮度、随意设置设置延时关机时间。</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12、显微镜背部设计有绕线装置，有效收纳过长的电源线，提高实验室整洁度，同时也减少了搬运过程中因电源线过长导致的绊倒事故。（需提供产品实物截图并加盖生产厂家公章予以证明）</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13、成像系统：有效像素不低于500万，USB2.0数据传输，软件可实现拍照、录像、测量、图像拼接、荧光合成等功能。</w:t>
            </w:r>
          </w:p>
          <w:p>
            <w:pPr>
              <w:spacing w:line="360" w:lineRule="exact"/>
              <w:jc w:val="left"/>
              <w:rPr>
                <w:rFonts w:cs="宋体"/>
                <w:szCs w:val="21"/>
              </w:rPr>
            </w:pPr>
            <w:r>
              <w:rPr>
                <w:rStyle w:val="58"/>
                <w:rFonts w:hint="default" w:ascii="Times New Roman" w:hAnsi="Times New Roman"/>
                <w:color w:val="auto"/>
                <w:sz w:val="21"/>
                <w:szCs w:val="21"/>
              </w:rPr>
              <w:t>▲14、品牌台式电脑：CPU≥酷睿i5-10500，内存≥8GB，硬盘≥512G SSD固态，23.8寸液晶显示器，win10以上操作系统，配鼠标键盘。</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color w:val="000000"/>
                <w:szCs w:val="21"/>
              </w:rPr>
            </w:pPr>
            <w:r>
              <w:rPr>
                <w:color w:val="000000"/>
                <w:szCs w:val="21"/>
              </w:rPr>
              <w:t>2</w:t>
            </w:r>
            <w:r>
              <w:rPr>
                <w:rFonts w:hint="eastAsia"/>
                <w:color w:val="000000"/>
                <w:szCs w:val="21"/>
              </w:rPr>
              <w:t>2</w:t>
            </w:r>
          </w:p>
        </w:tc>
        <w:tc>
          <w:tcPr>
            <w:tcW w:w="1094" w:type="dxa"/>
          </w:tcPr>
          <w:p>
            <w:pPr>
              <w:spacing w:line="360" w:lineRule="exact"/>
              <w:jc w:val="center"/>
              <w:rPr>
                <w:color w:val="000000"/>
                <w:szCs w:val="21"/>
              </w:rPr>
            </w:pPr>
            <w:r>
              <w:rPr>
                <w:color w:val="000000"/>
                <w:szCs w:val="21"/>
              </w:rPr>
              <w:t>荧光显微镜</w:t>
            </w:r>
          </w:p>
          <w:p>
            <w:pPr>
              <w:pStyle w:val="2"/>
              <w:jc w:val="both"/>
              <w:rPr>
                <w:rFonts w:hint="eastAsia"/>
                <w:lang w:val="en-US" w:eastAsia="zh-CN"/>
              </w:rPr>
            </w:pPr>
            <w:r>
              <w:rPr>
                <w:rFonts w:hint="eastAsia"/>
                <w:lang w:val="en-US" w:eastAsia="zh-CN"/>
              </w:rPr>
              <w:t xml:space="preserve"> </w:t>
            </w:r>
          </w:p>
          <w:p>
            <w:pPr>
              <w:pStyle w:val="2"/>
              <w:jc w:val="both"/>
              <w:rPr>
                <w:rFonts w:hint="eastAsia" w:eastAsia="宋体"/>
                <w:lang w:val="en-US" w:eastAsia="zh-CN"/>
              </w:rPr>
            </w:pPr>
            <w:r>
              <w:rPr>
                <w:rFonts w:hint="eastAsia"/>
                <w:b/>
                <w:bCs/>
                <w:lang w:val="en-US" w:eastAsia="zh-CN"/>
              </w:rPr>
              <w:t>（</w:t>
            </w:r>
            <w:r>
              <w:rPr>
                <w:rFonts w:hint="eastAsia"/>
                <w:b/>
                <w:bCs/>
              </w:rPr>
              <w:t>核心</w:t>
            </w:r>
            <w:r>
              <w:rPr>
                <w:rFonts w:hint="eastAsia"/>
                <w:b/>
                <w:bCs/>
                <w:lang w:eastAsia="zh-CN"/>
              </w:rPr>
              <w:t>产品</w:t>
            </w:r>
            <w:r>
              <w:rPr>
                <w:rFonts w:hint="eastAsia"/>
                <w:b/>
                <w:bCs/>
                <w:lang w:val="en-US" w:eastAsia="zh-CN"/>
              </w:rPr>
              <w:t>）</w:t>
            </w:r>
          </w:p>
        </w:tc>
        <w:tc>
          <w:tcPr>
            <w:tcW w:w="4823" w:type="dxa"/>
            <w:vAlign w:val="center"/>
          </w:tcPr>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一、主要功能/用途：用于研究细胞内物质的吸收、运输、化学物质的分布及定位等。</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1.光学系统：无限远光学系统，齐焦距离≥60mm。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2.放大倍数：40倍-1000倍。</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3.目镜：超大视野目镜10X，视场直径≥22mm，高眼点，-5～+5视度可调。 </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▲4.观察头：铰链式三目观察头、30°倾斜，固定视度，瞳距47-78mm，目视/数码三档分光比：100/0、20/80、0/100，能够满足不同的使用需求</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▲5.转换器：内倾式内定位六孔转换器，转动舒适，定位准确可靠，带DIC插槽。</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▲6.物镜：无穷远平场半复消色差荧光物镜：4X/0.13、WD≥16.5，10X/0.3、WD≥8.1，20X/0.5、WD≥2.1，40X（弹簧）/0.75、WD≥0.7，100X（弹簧、油）/1.3 、WD≥0.15，采用多层镀膜技术，保证了荧光图像的锐度、清晰度和色彩还原性，为数字成像提供高质量和高性能的解决方案。</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7.聚光镜：摆出式聚光镜，N.A 0.9/0.25，齿轮齿条调节，可升降，孔径光栏并有刻度标记，可放Φ45 mm各类滤色片。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8.移动载物台：钢丝结构载物平台，康宁玻璃台面，燕尾结构；尺寸≥190X152mm，移动范围≥78X32mm，每格1mm，精度0.1mm；右手拉或左手位低位同轴操作手柄，移动手柄可升降18mm，松紧可调，可将手放在舒适的位置轻松移动载物台；凸点导向机构便于单手上切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9.调焦系统：低手位同轴调焦机构，带上限位及松紧调节环，符合人机工程学设计，给予用户最大程度的舒适感；调焦范围≥35mm，微调格值≤1um。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10.ECO照明系统：LED复眼照明，“复眼”透镜阵列让视野范围内的照明亮度均一，在各个放大倍数下都有均一的背景亮度（提供第三方机构检测报告加盖生产厂家公章予以作证）；人走灯灭功能（提供第三方机构检测报告加盖生产厂家公章予以作证）：</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操作者离开超过30分钟后（可设置时间），显微镜主机会自动关闭透射光源，节能开关既节约了能源，又保护了光源的使用寿命。</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11.荧光垂直照明装置：B激发光波滤色组件：激发BP460-495,分色DM505，截止BA510-550；G激发光波滤色组件：激发BP528-553,分色DM565，截止BA578-633；U激发光波滤色组件：激发BP360-390,分色DM415，截止BA435-485；六孔荧光滤光快转盘，所有荧光滤色镜部件采用了超高性能的滤色片，能够同时对各种染色的标本进行成像，在垂直照明器前端设置光闸，可以切断荧光照明，保护试样。</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12.光源：超高压球型汞灯。</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13.观察护目屏：防紫外挡板。</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14.电源箱：电源箱NFP-1，220V/110V交流输入（可切换），数字显示带计时器；自动保护装置：汞灯至少工作15分钟后才能切断汞灯，如出现误关时，电源箱数码显示管会倒计时，直至汞灯工作满15分钟后才切断汞灯；切断后至少冷却3分钟后才能重新开启，这有效保护了汞灯的使用寿命；汞灯工作达到300小时，数码显示管闪烁显示，提示更换灯管；电源箱风扇为双滚珠轴承低噪风扇，流量大、寿命长和噪声小的特点。</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15.成像系统：</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15.1相机参数</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15.1.1.芯片规格：1.1英寸索尼芯片，最高像素为700万像素（3200x2200）；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15.1.2.像素尺寸：</w:t>
            </w:r>
            <w:r>
              <w:rPr>
                <w:rFonts w:hint="eastAsia" w:ascii="Calibri" w:hAnsi="Calibri"/>
              </w:rPr>
              <w:t>≦</w:t>
            </w:r>
            <w:r>
              <w:rPr>
                <w:rStyle w:val="58"/>
                <w:rFonts w:hint="default" w:ascii="Times New Roman" w:hAnsi="Times New Roman"/>
                <w:color w:val="auto"/>
                <w:sz w:val="21"/>
                <w:szCs w:val="21"/>
              </w:rPr>
              <w:t>4.5μmX4.5μm；</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15.1.3.曝光时间：0.1ms～3600s；</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15.1.4.G光灵敏度：2058mv with 1/30s、0.15mv with 1/30s；</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15.1.5.实时帧速：12fps@3200x2200，33fps@1600x1100；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15.1.6.光谱响应范围：380-650nm (有红外截止滤光片情况下)；</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15.1.7.数据接口类型：USB3.0/兼容USB2.0；</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15.1.8.制冷方式：双级循环式热电制冷系统；</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 成像软件</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15.2.1.采集图像：支持TWAIN和DSHOW接口，界面直观，操作容易，使用户更加容易的集中精力关注生物试验过程；</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15.2.2.曝光控制：自动和手动；</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15.2.3.在图像上添加注释等功能，可以方便的表示图像中的重点关注部位；</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15.2.4.强大的图像编辑功能，可以调节亮度、对比度，还具有图像复制、剪切、旋转，翻转等处理功能；方便地对图像添加伪彩色等功能;</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15.2.5.可实现添加标尺功能，从而显示图像的放大比例关系，标尺位置、粗细、字体大小、字型、颜色等任意选择；可以测量直线长度、曲线长度、矩形面积、圆面积、周长、角度等多个参数，并把测量结果输出到EXCEL，便于后期分析处理</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15.2.6.自动拼图和景深扩展（EFI）处理，可以对多幅视野相邻的图像做大图拼接，轻松获取高分辨率大视野图像；</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15.2.7.实时拼接功能允许在视频模式下进行实时拼接，用户可以获得拼接区域的全景，并且当视频模式中的图像正在更新时，拼接结果可以立即更新；实时EDF景深扩展，将不同焦平面的实时图像较清晰部分替代不清晰的部分，从而得到一张实时大景深的清晰图片；</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15.2.8.分割和计数功能，数据可输出到Excel；</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15.2.9、可进行单帧图像、序列图像采集，动态图像录像，支持延时拍照。支持BMP、JPG、PNG、TIF等各种图像格式。</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15.2.10.彩色荧光合成功能：将多个荧光单色图像合成为一幅复合彩色图像；允许对各通道图像的像素位置进行微量调整。</w:t>
            </w:r>
          </w:p>
          <w:p>
            <w:pPr>
              <w:spacing w:line="360" w:lineRule="exact"/>
              <w:jc w:val="left"/>
              <w:rPr>
                <w:rStyle w:val="58"/>
                <w:rFonts w:hint="default" w:ascii="Times New Roman" w:hAnsi="Times New Roman"/>
                <w:color w:val="auto"/>
                <w:sz w:val="21"/>
                <w:szCs w:val="21"/>
              </w:rPr>
            </w:pPr>
            <w:r>
              <w:rPr>
                <w:rStyle w:val="58"/>
                <w:rFonts w:hint="default" w:ascii="Times New Roman" w:hAnsi="Times New Roman"/>
                <w:color w:val="auto"/>
                <w:sz w:val="21"/>
                <w:szCs w:val="21"/>
              </w:rPr>
              <w:t>15.2.11.基于WORD模板的快捷的实验报告：一键实验报告制作，可以从相机、图像文件直接生成实验报告，实验报告模板用户可以在WORD里面自行定义和编辑。</w:t>
            </w:r>
          </w:p>
          <w:p>
            <w:pPr>
              <w:spacing w:line="360" w:lineRule="exact"/>
              <w:jc w:val="left"/>
              <w:rPr>
                <w:rFonts w:cs="宋体"/>
                <w:szCs w:val="21"/>
              </w:rPr>
            </w:pPr>
            <w:r>
              <w:rPr>
                <w:rStyle w:val="58"/>
                <w:rFonts w:hint="default" w:ascii="Times New Roman" w:hAnsi="Times New Roman"/>
                <w:color w:val="auto"/>
                <w:sz w:val="21"/>
                <w:szCs w:val="21"/>
              </w:rPr>
              <w:t>16.品牌台式电脑：CPU≥酷睿i5-10500，内存≥16GB，硬盘≥1TB+256G SSD固态，2G独立显卡，23.8寸显示器，win10操作系统，配鼠标键盘。</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szCs w:val="21"/>
              </w:rPr>
              <w:t>2</w:t>
            </w:r>
            <w:r>
              <w:rPr>
                <w:rFonts w:hint="eastAsia"/>
                <w:szCs w:val="21"/>
              </w:rPr>
              <w:t>3</w:t>
            </w:r>
          </w:p>
        </w:tc>
        <w:tc>
          <w:tcPr>
            <w:tcW w:w="1094" w:type="dxa"/>
          </w:tcPr>
          <w:p>
            <w:pPr>
              <w:spacing w:line="360" w:lineRule="exact"/>
              <w:jc w:val="center"/>
              <w:rPr>
                <w:color w:val="000000"/>
                <w:szCs w:val="21"/>
              </w:rPr>
            </w:pPr>
            <w:r>
              <w:rPr>
                <w:rStyle w:val="117"/>
                <w:rFonts w:hint="default" w:ascii="Times New Roman" w:hAnsi="Times New Roman"/>
                <w:sz w:val="21"/>
                <w:szCs w:val="21"/>
              </w:rPr>
              <w:t>数码体式显微镜</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一、主要功能/用途：广泛地应用于材料表面观察。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1、放大倍数：6倍～50倍；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2、观察筒：三目体视镜体，倾角45度，瞳距55～75mm，带0.55XC接口；</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▲3、目镜：大视野视度可调目镜WF10X，视场直径≥23mm；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▲4、变倍物镜≥0.6X～5X；</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▲5、连续变倍比≥1:8.3；</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6、工作距离≥115mm；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7、调焦行程≥105mm；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8、照明系统：100-240V电压，透射、反射LED光源照明，亮度可调，使用寿命6000小时以上；</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9、附件：黑白板、磨砂玻璃板、调节扳手、防尘罩。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10、成像系统：有效像素不低于500万，USB2.0数据传输，软件可实现拍照、录像、测量、图像拼接、荧光合成等功能。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11、品牌台式电脑：CPU≥酷睿i5-10500，内存≥16GB，硬盘≥1TB+256G SSD固态，2G独立显卡，23.8寸液晶显示器，win10以上操作系统，配鼠标键盘。</w:t>
            </w:r>
          </w:p>
          <w:p>
            <w:pPr>
              <w:spacing w:line="360" w:lineRule="exact"/>
              <w:rPr>
                <w:rFonts w:cs="宋体"/>
                <w:szCs w:val="21"/>
              </w:rPr>
            </w:pP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24</w:t>
            </w:r>
          </w:p>
        </w:tc>
        <w:tc>
          <w:tcPr>
            <w:tcW w:w="1094" w:type="dxa"/>
          </w:tcPr>
          <w:p>
            <w:pPr>
              <w:spacing w:line="360" w:lineRule="exact"/>
              <w:jc w:val="center"/>
              <w:rPr>
                <w:color w:val="000000"/>
                <w:szCs w:val="21"/>
              </w:rPr>
            </w:pPr>
            <w:r>
              <w:rPr>
                <w:rStyle w:val="117"/>
                <w:rFonts w:hint="default" w:ascii="Times New Roman" w:hAnsi="Times New Roman"/>
                <w:sz w:val="21"/>
                <w:szCs w:val="21"/>
              </w:rPr>
              <w:t>低速多管架自动平衡离心机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一、主要功能/用途：分离液体与固体颗粒样品或液体与液体的混合物中各组分。</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1.配有多款管架、适配器，一次性可分离32根15ml尖底试管、16根50ml尖底试管，适用于临床检测、化验分析等所有项目</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2.微机控制，直流无刷电机驱动、无碳刷、免维护电机</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3.自动计算及设置离心力RCF值</w:t>
            </w:r>
          </w:p>
          <w:p>
            <w:pPr>
              <w:spacing w:line="360" w:lineRule="exact"/>
              <w:rPr>
                <w:rFonts w:cs="宋体"/>
                <w:szCs w:val="21"/>
              </w:rPr>
            </w:pPr>
            <w:r>
              <w:rPr>
                <w:rStyle w:val="58"/>
                <w:rFonts w:hint="default" w:ascii="Times New Roman" w:hAnsi="Times New Roman"/>
                <w:color w:val="auto"/>
                <w:sz w:val="21"/>
                <w:szCs w:val="21"/>
              </w:rPr>
              <w:t>4.采用特殊的减震器，具有自动平衡功能。</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5.全钢制外壳，安全可靠</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6.倒计时时间小于一分钟以秒显示</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7.电子门锁运行时门盖不能打开，安全可靠</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7.具有 GS1中国商品条码系统唯一的商品编码，在中国商品信息服务平台可查询。</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8.最高转速≥5000r/min</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9.最大相对离心力≥4300×g</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10.最大容量≥1000ml(4×250ml)</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11.转速精度 ±30r/min</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12.定时范围 1min～99min</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13.整机噪声 ≤65dB(A)</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14.配置 32*15ml水平转子（10/5ml适配器）配8*50ml管架（最高转速4000rpm，最大相对离心力2810xg）</w:t>
            </w:r>
          </w:p>
        </w:tc>
        <w:tc>
          <w:tcPr>
            <w:tcW w:w="713" w:type="dxa"/>
          </w:tcPr>
          <w:p>
            <w:pPr>
              <w:spacing w:line="360" w:lineRule="exact"/>
              <w:jc w:val="center"/>
              <w:rPr>
                <w:szCs w:val="21"/>
              </w:rPr>
            </w:pPr>
            <w:r>
              <w:rPr>
                <w:rFonts w:hint="eastAsia"/>
                <w:szCs w:val="21"/>
              </w:rPr>
              <w:t>3</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25</w:t>
            </w:r>
          </w:p>
        </w:tc>
        <w:tc>
          <w:tcPr>
            <w:tcW w:w="1094" w:type="dxa"/>
          </w:tcPr>
          <w:p>
            <w:pPr>
              <w:spacing w:line="360" w:lineRule="exact"/>
              <w:jc w:val="center"/>
              <w:rPr>
                <w:color w:val="000000"/>
                <w:szCs w:val="21"/>
              </w:rPr>
            </w:pPr>
            <w:r>
              <w:rPr>
                <w:color w:val="000000"/>
                <w:szCs w:val="21"/>
              </w:rPr>
              <w:t>PCR</w:t>
            </w:r>
            <w:r>
              <w:rPr>
                <w:rStyle w:val="117"/>
                <w:rFonts w:hint="default" w:ascii="Times New Roman" w:hAnsi="Times New Roman"/>
                <w:sz w:val="21"/>
                <w:szCs w:val="21"/>
              </w:rPr>
              <w:t>板离心机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一、主要功能/用途：对PCR板的样品进行离心分离。</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1.样品处理量：2x96孔PCR板</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2.最高转速：2500rpm</w:t>
            </w:r>
          </w:p>
          <w:p>
            <w:pPr>
              <w:spacing w:line="360" w:lineRule="exact"/>
              <w:rPr>
                <w:rFonts w:cs="宋体"/>
                <w:szCs w:val="21"/>
              </w:rPr>
            </w:pPr>
            <w:r>
              <w:rPr>
                <w:rStyle w:val="58"/>
                <w:rFonts w:hint="default" w:ascii="Times New Roman" w:hAnsi="Times New Roman"/>
                <w:color w:val="auto"/>
                <w:sz w:val="21"/>
                <w:szCs w:val="21"/>
              </w:rPr>
              <w:t>3.相对离心力：≥500xg</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szCs w:val="21"/>
              </w:rPr>
              <w:t>26</w:t>
            </w:r>
          </w:p>
        </w:tc>
        <w:tc>
          <w:tcPr>
            <w:tcW w:w="1094" w:type="dxa"/>
          </w:tcPr>
          <w:p>
            <w:pPr>
              <w:spacing w:line="360" w:lineRule="exact"/>
              <w:jc w:val="center"/>
              <w:rPr>
                <w:color w:val="000000"/>
                <w:szCs w:val="21"/>
              </w:rPr>
            </w:pPr>
            <w:r>
              <w:rPr>
                <w:rStyle w:val="117"/>
                <w:rFonts w:hint="default" w:ascii="Times New Roman" w:hAnsi="Times New Roman"/>
                <w:sz w:val="21"/>
                <w:szCs w:val="21"/>
              </w:rPr>
              <w:t>可见分光光度计</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一、主要功能/用途：广泛应用于食品、药品、生物研究、水质环保和商检等领域，对物质进行定量分析。</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Fonts w:cs="宋体"/>
                <w:szCs w:val="21"/>
              </w:rPr>
            </w:pPr>
            <w:r>
              <w:rPr>
                <w:rStyle w:val="58"/>
                <w:rFonts w:hint="default" w:ascii="Times New Roman" w:hAnsi="Times New Roman"/>
                <w:color w:val="auto"/>
                <w:sz w:val="21"/>
                <w:szCs w:val="21"/>
              </w:rPr>
              <w:t>1.光学系统：单光束,1200条/毫米衍射光栅</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2.波长范围：320-1000nm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3.光谱带宽：≤4nm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4.波长准确度：±1nm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5.波长重复性：±1nm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6.杂散光：≤0.3%T @ 340nm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7.稳定性：0.002A/h @ 500nm</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8.波长设置方式：自动</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9.光度范围：-0.3-3Abs.,0-200%Trans.</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10.显示：128X64点阵型LCD</w:t>
            </w:r>
          </w:p>
        </w:tc>
        <w:tc>
          <w:tcPr>
            <w:tcW w:w="713" w:type="dxa"/>
          </w:tcPr>
          <w:p>
            <w:pPr>
              <w:spacing w:line="360" w:lineRule="exact"/>
              <w:jc w:val="center"/>
              <w:rPr>
                <w:szCs w:val="21"/>
              </w:rPr>
            </w:pPr>
            <w:r>
              <w:rPr>
                <w:rFonts w:hint="eastAsia"/>
                <w:szCs w:val="21"/>
              </w:rPr>
              <w:t>3</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w:t>
            </w:r>
            <w:r>
              <w:rPr>
                <w:szCs w:val="21"/>
              </w:rPr>
              <w:t>7</w:t>
            </w:r>
          </w:p>
        </w:tc>
        <w:tc>
          <w:tcPr>
            <w:tcW w:w="1094" w:type="dxa"/>
          </w:tcPr>
          <w:p>
            <w:pPr>
              <w:spacing w:line="360" w:lineRule="exact"/>
              <w:jc w:val="center"/>
              <w:rPr>
                <w:color w:val="000000"/>
                <w:szCs w:val="21"/>
              </w:rPr>
            </w:pPr>
            <w:r>
              <w:rPr>
                <w:color w:val="000000"/>
                <w:szCs w:val="21"/>
              </w:rPr>
              <w:t>pH</w:t>
            </w:r>
            <w:r>
              <w:rPr>
                <w:rStyle w:val="117"/>
                <w:rFonts w:hint="default" w:ascii="Times New Roman" w:hAnsi="Times New Roman"/>
                <w:sz w:val="21"/>
                <w:szCs w:val="21"/>
              </w:rPr>
              <w:t>计</w:t>
            </w:r>
          </w:p>
        </w:tc>
        <w:tc>
          <w:tcPr>
            <w:tcW w:w="4823" w:type="dxa"/>
            <w:vAlign w:val="center"/>
          </w:tcPr>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一、主要功能/用途：PH值的测量。</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二、技术参数/指标</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1、PH测量范围：0.00-14.00；PH分辨率：≤0.01</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2、PH精度：≤0.01</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3、MV测量范围（mv)：≥1500</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4、MV分辨率(mv)：≤0.1</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5、MV精度(mv)：≤0.4</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6、温度范围（</w:t>
            </w:r>
            <w:r>
              <w:rPr>
                <w:rStyle w:val="58"/>
                <w:rFonts w:hint="default"/>
                <w:color w:val="auto"/>
                <w:sz w:val="21"/>
                <w:szCs w:val="21"/>
              </w:rPr>
              <w:t>℃</w:t>
            </w:r>
            <w:r>
              <w:rPr>
                <w:rStyle w:val="58"/>
                <w:rFonts w:hint="default" w:ascii="Times New Roman" w:hAnsi="Times New Roman" w:cs="Times New Roman"/>
                <w:color w:val="auto"/>
                <w:sz w:val="21"/>
                <w:szCs w:val="21"/>
              </w:rPr>
              <w:t>）：-5.0~105.0</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7、分辨率（</w:t>
            </w:r>
            <w:r>
              <w:rPr>
                <w:rStyle w:val="58"/>
                <w:rFonts w:hint="default"/>
                <w:color w:val="auto"/>
                <w:sz w:val="21"/>
                <w:szCs w:val="21"/>
              </w:rPr>
              <w:t>℃</w:t>
            </w:r>
            <w:r>
              <w:rPr>
                <w:rStyle w:val="58"/>
                <w:rFonts w:hint="default" w:ascii="Times New Roman" w:hAnsi="Times New Roman" w:cs="Times New Roman"/>
                <w:color w:val="auto"/>
                <w:sz w:val="21"/>
                <w:szCs w:val="21"/>
              </w:rPr>
              <w:t>）：≤0.1</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8、精度（</w:t>
            </w:r>
            <w:r>
              <w:rPr>
                <w:rStyle w:val="58"/>
                <w:rFonts w:hint="default"/>
                <w:color w:val="auto"/>
                <w:sz w:val="21"/>
                <w:szCs w:val="21"/>
              </w:rPr>
              <w:t>℃</w:t>
            </w:r>
            <w:r>
              <w:rPr>
                <w:rStyle w:val="58"/>
                <w:rFonts w:hint="default" w:ascii="Times New Roman" w:hAnsi="Times New Roman" w:cs="Times New Roman"/>
                <w:color w:val="auto"/>
                <w:sz w:val="21"/>
                <w:szCs w:val="21"/>
              </w:rPr>
              <w:t>）：≤0.2</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9、校准点：最多达3个</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10、自动识别缓冲液：最多达16种</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11、自动温度补偿(ATC)：有</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12、显示电极斜率：有</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13、显示屏：LCD</w:t>
            </w:r>
          </w:p>
          <w:p>
            <w:pPr>
              <w:spacing w:line="360" w:lineRule="exact"/>
              <w:jc w:val="left"/>
              <w:rPr>
                <w:rStyle w:val="58"/>
                <w:rFonts w:hint="default" w:ascii="Times New Roman" w:hAnsi="Times New Roman" w:cs="Times New Roman"/>
                <w:color w:val="auto"/>
                <w:sz w:val="21"/>
                <w:szCs w:val="21"/>
              </w:rPr>
            </w:pPr>
            <w:r>
              <w:rPr>
                <w:rStyle w:val="58"/>
                <w:rFonts w:hint="default" w:ascii="Times New Roman" w:hAnsi="Times New Roman" w:cs="Times New Roman"/>
                <w:color w:val="auto"/>
                <w:sz w:val="21"/>
                <w:szCs w:val="21"/>
              </w:rPr>
              <w:t>14、电源：AC适配器</w:t>
            </w:r>
          </w:p>
          <w:p>
            <w:pPr>
              <w:spacing w:line="360" w:lineRule="exact"/>
              <w:jc w:val="left"/>
              <w:rPr>
                <w:szCs w:val="21"/>
              </w:rPr>
            </w:pPr>
            <w:r>
              <w:rPr>
                <w:rStyle w:val="58"/>
                <w:rFonts w:hint="default" w:ascii="Times New Roman" w:hAnsi="Times New Roman" w:cs="Times New Roman"/>
                <w:color w:val="auto"/>
                <w:sz w:val="21"/>
                <w:szCs w:val="21"/>
              </w:rPr>
              <w:t>15、接口：BNC</w:t>
            </w:r>
          </w:p>
        </w:tc>
        <w:tc>
          <w:tcPr>
            <w:tcW w:w="713" w:type="dxa"/>
          </w:tcPr>
          <w:p>
            <w:pPr>
              <w:spacing w:line="360" w:lineRule="exact"/>
              <w:jc w:val="center"/>
              <w:rPr>
                <w:szCs w:val="21"/>
              </w:rPr>
            </w:pPr>
            <w:r>
              <w:rPr>
                <w:szCs w:val="21"/>
              </w:rPr>
              <w:t>2</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2</w:t>
            </w:r>
            <w:r>
              <w:rPr>
                <w:szCs w:val="21"/>
              </w:rPr>
              <w:t>8</w:t>
            </w:r>
          </w:p>
        </w:tc>
        <w:tc>
          <w:tcPr>
            <w:tcW w:w="1094" w:type="dxa"/>
          </w:tcPr>
          <w:p>
            <w:pPr>
              <w:spacing w:line="360" w:lineRule="exact"/>
              <w:jc w:val="center"/>
              <w:rPr>
                <w:color w:val="000000"/>
                <w:szCs w:val="21"/>
              </w:rPr>
            </w:pPr>
            <w:r>
              <w:rPr>
                <w:rFonts w:hint="eastAsia"/>
                <w:color w:val="000000"/>
                <w:szCs w:val="21"/>
              </w:rPr>
              <w:t>手提式压力蒸汽灭菌锅</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一、主要功能/用途：广泛应用于生命科学、制药、医疗等领域，对可耐压、高温蒸汽的器皿器械进行杀灭微生物用。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1、容积：24L</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2、工作温度：室温+5~126℃</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3、时间范围：1-999min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4、工作压力：0.165（标配）</w:t>
            </w:r>
          </w:p>
          <w:p>
            <w:pPr>
              <w:spacing w:line="360" w:lineRule="exact"/>
              <w:rPr>
                <w:rFonts w:cs="宋体"/>
                <w:szCs w:val="21"/>
              </w:rPr>
            </w:pPr>
            <w:r>
              <w:rPr>
                <w:rStyle w:val="58"/>
                <w:rFonts w:hint="default" w:ascii="Times New Roman" w:hAnsi="Times New Roman"/>
                <w:color w:val="auto"/>
                <w:sz w:val="21"/>
                <w:szCs w:val="21"/>
              </w:rPr>
              <w:t>5、温度设定范围；RT-129（标配）</w:t>
            </w:r>
          </w:p>
        </w:tc>
        <w:tc>
          <w:tcPr>
            <w:tcW w:w="713" w:type="dxa"/>
          </w:tcPr>
          <w:p>
            <w:pPr>
              <w:spacing w:line="360" w:lineRule="exact"/>
              <w:jc w:val="center"/>
              <w:rPr>
                <w:szCs w:val="21"/>
              </w:rPr>
            </w:pPr>
            <w:r>
              <w:rPr>
                <w:rFonts w:hint="eastAsia"/>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szCs w:val="21"/>
              </w:rPr>
              <w:t>29</w:t>
            </w:r>
          </w:p>
        </w:tc>
        <w:tc>
          <w:tcPr>
            <w:tcW w:w="1094" w:type="dxa"/>
          </w:tcPr>
          <w:p>
            <w:pPr>
              <w:spacing w:line="360" w:lineRule="exact"/>
              <w:jc w:val="center"/>
              <w:rPr>
                <w:color w:val="000000"/>
                <w:szCs w:val="21"/>
              </w:rPr>
            </w:pPr>
            <w:r>
              <w:rPr>
                <w:rStyle w:val="117"/>
                <w:rFonts w:hint="default" w:ascii="Times New Roman" w:hAnsi="Times New Roman"/>
                <w:sz w:val="21"/>
                <w:szCs w:val="21"/>
              </w:rPr>
              <w:t>全自动立式压力蒸汽灭菌锅</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1.灭菌器厂家须具有特种设备（压力容器）制造许可证（提供制造许可证，不允许借用第三方资质）；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2.容量:55-60升,立式结构,底部带脚轮。</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▲3.压力容器设计温度≥153度（生产厂家提供压力容器铭牌）；</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4.灭菌工作温度105-138度；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▲5.压力容器设计使用年限达到20年（生产厂家提供压力容器容器数据表）；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6.干烧保护装置：灭菌腔底同时配备液胀式、铜质温度感应式、离子浓度式（水位传感器）三种不同干烧保护装置，避免了单一方式带来的误判；</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7.开关盖方式：触拨式开关，垂直向上打开腔门（上掀式开盖）下压式关盖，单手可实现开关盖；</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8.定时：灭菌时间1-6000分钟，保温时间1-9999分钟  预约灭菌时间0-10天；</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▲9.六级排汽方式：灭菌结束可设定6种不同的排汽速度，通过控制电磁阀的开关，液体培养基灭菌结束排气降温而培养基不会溢出来；</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10.集汽瓶：内部前置集汽瓶收集废水，倒水方便，同时节省仪器使用空间；</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11.标配冷却风扇：灭菌结束可快速降低腔体温度；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12.压力保护装置：具有安全阀和压力开关两种以上压力保护装置；</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13.安全装置：八柱均分、闭盖检查系统、电动式双内锁、冷却锁OPEN温度、缺水保护、过压双重保护、自动故障检测系统、后台安全测试程序、温度监控、 漏电保护、过流与短路保护；</w:t>
            </w:r>
          </w:p>
          <w:p>
            <w:pPr>
              <w:spacing w:line="360" w:lineRule="exact"/>
            </w:pPr>
            <w:r>
              <w:rPr>
                <w:rStyle w:val="58"/>
                <w:rFonts w:hint="default" w:ascii="Times New Roman" w:hAnsi="Times New Roman"/>
                <w:color w:val="auto"/>
                <w:sz w:val="21"/>
                <w:szCs w:val="21"/>
              </w:rPr>
              <w:t>14.附件:不锈钢提篮2个,冷却风扇1套；</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3</w:t>
            </w:r>
            <w:r>
              <w:rPr>
                <w:szCs w:val="21"/>
              </w:rPr>
              <w:t>0</w:t>
            </w:r>
          </w:p>
        </w:tc>
        <w:tc>
          <w:tcPr>
            <w:tcW w:w="1094" w:type="dxa"/>
          </w:tcPr>
          <w:p>
            <w:pPr>
              <w:spacing w:line="360" w:lineRule="exact"/>
              <w:jc w:val="center"/>
              <w:rPr>
                <w:color w:val="000000"/>
                <w:szCs w:val="21"/>
              </w:rPr>
            </w:pPr>
            <w:r>
              <w:rPr>
                <w:rStyle w:val="117"/>
                <w:rFonts w:hint="default" w:ascii="Times New Roman" w:hAnsi="Times New Roman"/>
                <w:sz w:val="21"/>
                <w:szCs w:val="21"/>
              </w:rPr>
              <w:t>超声波细胞破碎机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一、主要功能/用途：适用于小体积样品超声波细胞粉碎</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1.用于小体积样品超声波细胞粉碎</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2.频率: 20-25 KHz</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3.显示方式: 液晶屏显示</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4.功率:1000 W（20W-1000W可调）</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5.随机变幅杆: ≥6 mm 一根</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6.选配变幅杆: ≥ 3mm一根</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7.破碎容量: 0.5-600 ml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8.占空比: 0.1-99.9 %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9.温度报警: 0～99.9℃</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10.报警: 时间，过载，温度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11.定时：0-999 min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12.存储数据：20组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13.工作模式：间隙/连续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▲14.配钛合金换能器，电动照明隔音箱隔音箱，尺寸不小于345*340*570 mm </w:t>
            </w:r>
          </w:p>
          <w:p>
            <w:pPr>
              <w:spacing w:line="360" w:lineRule="exact"/>
              <w:rPr>
                <w:rFonts w:cs="宋体"/>
                <w:szCs w:val="21"/>
              </w:rPr>
            </w:pPr>
            <w:r>
              <w:rPr>
                <w:rStyle w:val="58"/>
                <w:rFonts w:hint="default" w:ascii="Times New Roman" w:hAnsi="Times New Roman"/>
                <w:color w:val="auto"/>
                <w:sz w:val="21"/>
                <w:szCs w:val="21"/>
              </w:rPr>
              <w:t>15配置：主机一台，隔音箱一个，3mm变幅一根</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3</w:t>
            </w:r>
            <w:r>
              <w:rPr>
                <w:szCs w:val="21"/>
              </w:rPr>
              <w:t>1</w:t>
            </w:r>
          </w:p>
        </w:tc>
        <w:tc>
          <w:tcPr>
            <w:tcW w:w="1094" w:type="dxa"/>
          </w:tcPr>
          <w:p>
            <w:pPr>
              <w:spacing w:line="360" w:lineRule="exact"/>
              <w:jc w:val="center"/>
              <w:rPr>
                <w:color w:val="000000"/>
                <w:szCs w:val="21"/>
              </w:rPr>
            </w:pPr>
            <w:r>
              <w:rPr>
                <w:rStyle w:val="117"/>
                <w:rFonts w:hint="default" w:ascii="Times New Roman" w:hAnsi="Times New Roman"/>
                <w:sz w:val="21"/>
                <w:szCs w:val="21"/>
              </w:rPr>
              <w:t>超声波清洗机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一、主要功能/用途：广泛应用于实验室，可以达到清洗、提取、乳化、加速溶解、粉碎、分散等作用。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1.断电保护： 工作参数断电记忆功能；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2.时间可调 ：1-999min总工作时间设定；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3.数显屏幕： 数显设定超声波清洗时间，工作时间倒计时显示；</w:t>
            </w:r>
          </w:p>
          <w:p>
            <w:pPr>
              <w:spacing w:line="360" w:lineRule="exact"/>
              <w:rPr>
                <w:rFonts w:cs="宋体"/>
                <w:szCs w:val="21"/>
              </w:rPr>
            </w:pPr>
            <w:r>
              <w:rPr>
                <w:rStyle w:val="58"/>
                <w:rFonts w:hint="default" w:ascii="Times New Roman" w:hAnsi="Times New Roman"/>
                <w:color w:val="auto"/>
                <w:sz w:val="21"/>
                <w:szCs w:val="21"/>
              </w:rPr>
              <w:t xml:space="preserve">4.材质： 仪器内外壳体和降音盖采用不锈钢。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5.容量：≥6L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6.频率：≥40KHz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 xml:space="preserve">7.功率：≥180W </w:t>
            </w:r>
            <w:r>
              <w:rPr>
                <w:rStyle w:val="58"/>
                <w:rFonts w:hint="default" w:ascii="Times New Roman" w:hAnsi="Times New Roman"/>
                <w:color w:val="auto"/>
                <w:sz w:val="21"/>
                <w:szCs w:val="21"/>
              </w:rPr>
              <w:br w:type="textWrapping"/>
            </w:r>
            <w:r>
              <w:rPr>
                <w:rStyle w:val="58"/>
                <w:rFonts w:hint="default" w:ascii="Times New Roman" w:hAnsi="Times New Roman"/>
                <w:color w:val="auto"/>
                <w:sz w:val="21"/>
                <w:szCs w:val="21"/>
              </w:rPr>
              <w:t>8.降音盖/网篮：有</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3</w:t>
            </w:r>
            <w:r>
              <w:rPr>
                <w:szCs w:val="21"/>
              </w:rPr>
              <w:t>2</w:t>
            </w:r>
          </w:p>
        </w:tc>
        <w:tc>
          <w:tcPr>
            <w:tcW w:w="1094" w:type="dxa"/>
          </w:tcPr>
          <w:p>
            <w:pPr>
              <w:spacing w:line="360" w:lineRule="exact"/>
              <w:jc w:val="center"/>
              <w:rPr>
                <w:color w:val="000000"/>
                <w:szCs w:val="21"/>
              </w:rPr>
            </w:pPr>
            <w:r>
              <w:rPr>
                <w:rStyle w:val="117"/>
                <w:rFonts w:hint="default" w:ascii="Times New Roman" w:hAnsi="Times New Roman"/>
                <w:sz w:val="21"/>
                <w:szCs w:val="21"/>
              </w:rPr>
              <w:t>高速匀浆机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一、主要功能/用途：对动植物组织达到匀浆和混和作用。</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1、功率: ≥160 W</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2、电源: 220V 50/60Hz</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3、转速: 8000-35000r/min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4、转速显示方式:液晶显示</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5、调速方式: 无级调速</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6、处理量: 1ml-120ml</w:t>
            </w:r>
          </w:p>
          <w:p>
            <w:pPr>
              <w:spacing w:line="360" w:lineRule="exact"/>
              <w:rPr>
                <w:rFonts w:cs="宋体"/>
                <w:szCs w:val="21"/>
              </w:rPr>
            </w:pPr>
            <w:r>
              <w:rPr>
                <w:rStyle w:val="58"/>
                <w:rFonts w:hint="default" w:ascii="Times New Roman" w:hAnsi="Times New Roman"/>
                <w:color w:val="auto"/>
                <w:sz w:val="21"/>
                <w:szCs w:val="21"/>
              </w:rPr>
              <w:t>7、随机工作头配置: ≥10 mm</w:t>
            </w:r>
          </w:p>
        </w:tc>
        <w:tc>
          <w:tcPr>
            <w:tcW w:w="713" w:type="dxa"/>
          </w:tcPr>
          <w:p>
            <w:pPr>
              <w:spacing w:line="360" w:lineRule="exact"/>
              <w:jc w:val="center"/>
              <w:rPr>
                <w:szCs w:val="21"/>
              </w:rPr>
            </w:pPr>
            <w:r>
              <w:rPr>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76" w:type="dxa"/>
          </w:tcPr>
          <w:p>
            <w:pPr>
              <w:spacing w:line="360" w:lineRule="exact"/>
              <w:jc w:val="center"/>
              <w:rPr>
                <w:szCs w:val="21"/>
              </w:rPr>
            </w:pPr>
            <w:r>
              <w:rPr>
                <w:rFonts w:hint="eastAsia"/>
                <w:szCs w:val="21"/>
              </w:rPr>
              <w:t>3</w:t>
            </w:r>
            <w:r>
              <w:rPr>
                <w:szCs w:val="21"/>
              </w:rPr>
              <w:t>3</w:t>
            </w:r>
          </w:p>
        </w:tc>
        <w:tc>
          <w:tcPr>
            <w:tcW w:w="1094" w:type="dxa"/>
          </w:tcPr>
          <w:p>
            <w:pPr>
              <w:spacing w:line="360" w:lineRule="exact"/>
              <w:jc w:val="center"/>
              <w:rPr>
                <w:color w:val="000000"/>
                <w:szCs w:val="21"/>
              </w:rPr>
            </w:pPr>
            <w:r>
              <w:rPr>
                <w:rStyle w:val="117"/>
                <w:rFonts w:hint="default" w:ascii="Times New Roman" w:hAnsi="Times New Roman"/>
                <w:sz w:val="21"/>
                <w:szCs w:val="21"/>
              </w:rPr>
              <w:t>万能试验机</w:t>
            </w:r>
          </w:p>
        </w:tc>
        <w:tc>
          <w:tcPr>
            <w:tcW w:w="4823" w:type="dxa"/>
            <w:vAlign w:val="center"/>
          </w:tcPr>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一、主要功能/用途：用于各种金属、非金属及复合材料的拉伸、压缩、弯曲、剪切、剥离、撕裂等力学性能指标的测试。</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二、技术参数/指标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1、主机技术指标：</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1）载荷容量：≥500N；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★2）加载方式：交流伺服电机，无间隙球型丝杠，高精度恒速度控制；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★3）载荷精度：试验力指示值的±0.5%（传感器额定容量的1/500-1/1的范围）；</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4）载荷量程：自动量程；</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5）载荷校准：自动校准（拉伸、压缩分别较准）；</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★6）试验速度：0.001～2000mm/min（标准），返程速度：3000 mm／min；</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7）试验速度精度：±0.1%；</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★8）位移精度：±0.1%，10mm以下为0.01mm；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9）试验控制：单一试验控制、循环控制、手动控制；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10）试验速度与允许载荷：全载荷全速度；</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11）试验空间：最大920mm；</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 xml:space="preserve">12）标准功能：传感器特性值的自动读入功能，试验位置微调功能，载荷和行程显示，载荷自动调零功能、载荷自动校准，破断点检测功能、全自动返回功能，试验速度任意设定功能，循环次数显示功能，应力值显示功能、变位值显示功能，系统限位检出功能、自我检查功能，USB接口； </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13）试验机和夹具自动挠度补偿功能，有效减小机架和夹具自身挠度对试验结果的影响；</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14）数据采集间隔：高速采样间隔为：1ms；</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15）试验机具备通过软件控制和通过主机控制面板控制两种操作系统。机架上装有智能式控制面板，控制面板可以脱离计算机进行控制试验，除了基本的升降横梁功能外，还可以进行试验方法的设置和保存，试验结果的保存，引伸计的设置等控制试验的功能；</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16）分辨率：≤0.02微米</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17）中文试验软件一套；</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良好的人机对话、操作智能化导航界面；可以满足进行拉、剥离、滑移、顶破试验需要；具有试验机挠度补偿功能、试验数据的再分析功能，迟滞环试验功能；试验时速度、状态实时显示、试验时任意速度切换。</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★18）所提供的产品为标准商品化机型，不接受定制品。</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 配置清单：</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1）电子万能材料试验机主机（含软件）</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2） 100N传感器一个</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3） 500N传感器一个</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4） 拉伸夹具一个</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5） 压缩夹具一个</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6） 抗折夹具一个</w:t>
            </w:r>
          </w:p>
          <w:p>
            <w:pPr>
              <w:spacing w:line="360" w:lineRule="exact"/>
              <w:rPr>
                <w:rStyle w:val="58"/>
                <w:rFonts w:hint="default" w:ascii="Times New Roman" w:hAnsi="Times New Roman"/>
                <w:color w:val="auto"/>
                <w:sz w:val="21"/>
                <w:szCs w:val="21"/>
              </w:rPr>
            </w:pPr>
            <w:r>
              <w:rPr>
                <w:rStyle w:val="58"/>
                <w:rFonts w:hint="default" w:ascii="Times New Roman" w:hAnsi="Times New Roman"/>
                <w:color w:val="auto"/>
                <w:sz w:val="21"/>
                <w:szCs w:val="21"/>
              </w:rPr>
              <w:t>7） 穿刺夹具一个</w:t>
            </w:r>
          </w:p>
          <w:p>
            <w:pPr>
              <w:spacing w:line="360" w:lineRule="exact"/>
              <w:rPr>
                <w:rFonts w:cs="宋体"/>
                <w:szCs w:val="21"/>
              </w:rPr>
            </w:pPr>
            <w:r>
              <w:rPr>
                <w:rStyle w:val="58"/>
                <w:rFonts w:hint="default" w:ascii="Times New Roman" w:hAnsi="Times New Roman"/>
                <w:color w:val="auto"/>
                <w:sz w:val="21"/>
                <w:szCs w:val="21"/>
              </w:rPr>
              <w:t>8） 电脑一台 ：CPU≥酷睿i5-10500，内存≥8GB，硬盘≥512G SSD固态，23.8寸液晶显示器，win10以上操作系统，配鼠标键盘。</w:t>
            </w:r>
          </w:p>
        </w:tc>
        <w:tc>
          <w:tcPr>
            <w:tcW w:w="713" w:type="dxa"/>
          </w:tcPr>
          <w:p>
            <w:pPr>
              <w:spacing w:line="360" w:lineRule="exact"/>
              <w:jc w:val="center"/>
              <w:rPr>
                <w:szCs w:val="21"/>
              </w:rPr>
            </w:pPr>
            <w:r>
              <w:rPr>
                <w:rFonts w:hint="eastAsia"/>
                <w:szCs w:val="21"/>
              </w:rPr>
              <w:t>1</w:t>
            </w:r>
          </w:p>
        </w:tc>
        <w:tc>
          <w:tcPr>
            <w:tcW w:w="745" w:type="dxa"/>
          </w:tcPr>
          <w:p>
            <w:pPr>
              <w:spacing w:line="360" w:lineRule="exact"/>
              <w:jc w:val="center"/>
              <w:rPr>
                <w:szCs w:val="21"/>
              </w:rPr>
            </w:pPr>
            <w:r>
              <w:rPr>
                <w:rFonts w:hint="eastAsia"/>
                <w:szCs w:val="21"/>
              </w:rPr>
              <w:t>台</w:t>
            </w:r>
          </w:p>
        </w:tc>
        <w:tc>
          <w:tcPr>
            <w:tcW w:w="867" w:type="dxa"/>
          </w:tcPr>
          <w:p>
            <w:pPr>
              <w:jc w:val="center"/>
              <w:rPr>
                <w:rFonts w:eastAsiaTheme="minorEastAsia"/>
                <w:szCs w:val="21"/>
              </w:rPr>
            </w:pPr>
            <w:r>
              <w:rPr>
                <w:rFonts w:hint="eastAsia" w:eastAsiaTheme="minorEastAsia"/>
                <w:szCs w:val="21"/>
              </w:rPr>
              <w:t>否</w:t>
            </w:r>
          </w:p>
        </w:tc>
      </w:tr>
    </w:tbl>
    <w:p>
      <w:pPr>
        <w:autoSpaceDE w:val="0"/>
        <w:autoSpaceDN w:val="0"/>
        <w:adjustRightInd w:val="0"/>
        <w:spacing w:line="360" w:lineRule="auto"/>
        <w:ind w:firstLine="210" w:firstLineChars="100"/>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b/>
          <w:bCs/>
          <w:color w:val="auto"/>
          <w:szCs w:val="21"/>
        </w:rPr>
      </w:pPr>
      <w:r>
        <w:rPr>
          <w:rFonts w:hint="eastAsia"/>
          <w:b/>
          <w:bCs/>
          <w:color w:val="auto"/>
        </w:rPr>
        <w:t>1.本项目包“</w:t>
      </w:r>
      <w:r>
        <w:rPr>
          <w:rFonts w:hint="eastAsia" w:asciiTheme="minorEastAsia" w:hAnsiTheme="minorEastAsia" w:eastAsiaTheme="minorEastAsia" w:cstheme="minorEastAsia"/>
          <w:b/>
          <w:bCs/>
          <w:color w:val="auto"/>
          <w:kern w:val="0"/>
          <w:szCs w:val="21"/>
        </w:rPr>
        <w:t>技术性能参数要求”中</w:t>
      </w:r>
      <w:r>
        <w:rPr>
          <w:rFonts w:hint="eastAsia"/>
          <w:b/>
          <w:bCs/>
          <w:color w:val="auto"/>
        </w:rPr>
        <w:t>标注“★”项为废标项，即不满足废标；</w:t>
      </w:r>
      <w:r>
        <w:rPr>
          <w:rFonts w:hint="eastAsia"/>
          <w:color w:val="auto"/>
        </w:rPr>
        <w:t>“★”和“▲”</w:t>
      </w:r>
      <w:r>
        <w:rPr>
          <w:rFonts w:hint="eastAsia"/>
          <w:b/>
          <w:bCs/>
          <w:color w:val="auto"/>
        </w:rPr>
        <w:t>需提供制造商出具的盖章技术说明书或公开发布的产品彩页为准</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pPr>
      <w:r>
        <w:rPr>
          <w:rFonts w:hint="eastAsia" w:asciiTheme="minorEastAsia" w:hAnsiTheme="minorEastAsia" w:eastAsiaTheme="minorEastAsia" w:cstheme="minorEastAsia"/>
          <w:szCs w:val="21"/>
        </w:rPr>
        <w:t>3.如涉及固定厂家品牌或规格型号的均可认为推荐，并不要求其唯一性，供应商可提供同等质量标准或更高标准产品，并提供相应技术参数证明其符合采购需求或优于采购需求，否则可视其为不满足采购需求。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4.本项目磋商文件中标注“★”的条款不允许负偏离，负偏离视为无效响应文件。</w:t>
      </w:r>
      <w:r>
        <w:rPr>
          <w:rFonts w:ascii="宋体" w:hAnsi="宋体" w:cs="宋体"/>
          <w:sz w:val="24"/>
        </w:rPr>
        <w:t xml:space="preserve"> </w:t>
      </w:r>
      <w:r>
        <w:rPr>
          <w:rFonts w:hint="eastAsia" w:asciiTheme="minorEastAsia" w:hAnsiTheme="minorEastAsia" w:eastAsiaTheme="minorEastAsia" w:cstheme="minorEastAsia"/>
          <w:szCs w:val="21"/>
        </w:rPr>
        <w:br w:type="textWrapping"/>
      </w:r>
      <w:r>
        <w:rPr>
          <w:rFonts w:ascii="宋体" w:hAnsi="宋体" w:cs="宋体"/>
          <w:sz w:val="24"/>
        </w:rPr>
        <w:t xml:space="preserve"> </w:t>
      </w: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8" w:name="_Toc10527"/>
      <w:r>
        <w:rPr>
          <w:rFonts w:hint="eastAsia" w:asciiTheme="minorEastAsia" w:hAnsiTheme="minorEastAsia" w:eastAsiaTheme="minorEastAsia" w:cstheme="minorEastAsia"/>
          <w:b/>
          <w:bCs/>
          <w:sz w:val="24"/>
        </w:rPr>
        <w:t>二、商务需求</w:t>
      </w:r>
      <w:bookmarkEnd w:id="118"/>
    </w:p>
    <w:p>
      <w:pPr>
        <w:autoSpaceDE w:val="0"/>
        <w:autoSpaceDN w:val="0"/>
        <w:adjustRightInd w:val="0"/>
        <w:spacing w:line="360" w:lineRule="auto"/>
        <w:jc w:val="left"/>
        <w:rPr>
          <w:rFonts w:ascii="宋体" w:hAnsi="宋体" w:cs="宋体"/>
          <w:szCs w:val="21"/>
        </w:rPr>
      </w:pPr>
      <w:r>
        <w:rPr>
          <w:rFonts w:hint="eastAsia" w:ascii="宋体" w:hAnsi="宋体" w:cs="宋体"/>
          <w:szCs w:val="21"/>
        </w:rPr>
        <w:t>1.违约责任：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Theme="minorEastAsia" w:hAnsiTheme="minorEastAsia" w:eastAsiaTheme="minorEastAsia" w:cstheme="minorEastAsia"/>
          <w:b/>
          <w:bCs/>
          <w:szCs w:val="21"/>
        </w:rPr>
        <w:br w:type="textWrapping"/>
      </w:r>
      <w:r>
        <w:rPr>
          <w:rFonts w:hint="eastAsia" w:ascii="宋体" w:hAnsi="宋体" w:cs="宋体"/>
          <w:szCs w:val="21"/>
        </w:rPr>
        <w:t>2.产品质量要求：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2.1投标供应商在招标及成交后，所提供的货物（含配套系统、配件备件）必须为全新无瑕疵。</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2.2本次采购项目的质量必须完全满足中华人民共和国国家质量标准及现行规范要求，投标供应商应根据企业实际能力在投标响应文件中对项目质量予以承诺，成交后在合同中加以确认。</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2.3投标供应商在招标及成交后，发生侵犯专利权的行为时，其侵权责任与采购人无关，应由成交供应商承担相应的责任，并不得影响采购人的利益。</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3.产品进场安装、调试及验收：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3.1成交供应商负责本项目办理运输和保险，将货物运抵采购人指定现场。有关运输和保险的一切费用由乙方承担。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3.2成交供应商负责调试和试运行的结果必须符合采购人的技术要求，同时也应达到行业有关技术规范的要求。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3.3交货时，乙方应将货物（含配套系统、配件备件）的产品说明书、使用说明书，出厂合格证、用户手册、保修手册等单证交付给甲方，前述单证未交付完整的，视为未完全交货。</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3.4验收标准：符合国家相关规范和标准、采购文件及响应文件的要求及相关技术文件验收。</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3.5采购人完成验收并不免除成交供应商对（含配套系统、配件备件）质量应当承担的责任。</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3.6成交供应商应安排专人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成交供应商必须承担所有法律和经济责任，采购人概不负责；若发生房屋损坏、设备损坏丢失、线路及设备毁损等财产损失安全事故，成交供应商必须承担经济赔偿。</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4.售后服务要求：</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4.1质保期、保修期内因国产货物（含配套系统、配件备件）质量或安装调试原因引起的全部维修费用（包括更换零配件的费用）均由成交供应商承担。</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4.2质保期、保修期外，成交供应商应定期回访，发现问题及时通知甲方，国产货物（含配套系统、配件备件）维修零配件以优惠价给甲方（免收人工及差旅费）。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4.4售后服务效率要求：接到采购人故障通知后在24小时之内上门服务，小型故障在3天内解决，大故障在15天内解决，若成交供应商怠于履行维修义务，则采购人有权委托第三人维修，所产生的所有费用由成交供应商承担。</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5.实施人员要求：按本项目情况配置齐全的实施人员，且分工明确。</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6.培训要求：成交供应商必须为用户单位人员（技术人员等）免费提供现场安装培训，并到达实际操作合格要求。</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7.交货地点：采购人指定地点。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8.履约保证金：本项目合同正式签订前，成交供应商需向采购人支付合同金额的5%作为履约保证金（优先以金融机构、担保机构出具的保函或者支票、汇票、本票等非现金形式提交）。</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9.付款方式：</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9.1成交供应商须提供增值税专用发票。</w:t>
      </w:r>
    </w:p>
    <w:p>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9.2全部货物（含配套系统、配件备件）经采购人验收合格并收到成交供应商发票后15个工作日内，采购人向成交供应商支付合同总金额的100%，上述履约保证金在产品验收合格满 1 年后，若无质量问题甲方将全额无息退还给乙方。</w:t>
      </w:r>
    </w:p>
    <w:p>
      <w:pPr>
        <w:autoSpaceDE w:val="0"/>
        <w:autoSpaceDN w:val="0"/>
        <w:adjustRightInd w:val="0"/>
        <w:spacing w:line="360" w:lineRule="auto"/>
        <w:jc w:val="left"/>
        <w:rPr>
          <w:rFonts w:ascii="宋体" w:hAnsi="宋体" w:cs="宋体"/>
          <w:szCs w:val="21"/>
        </w:rPr>
      </w:pPr>
      <w:r>
        <w:rPr>
          <w:rFonts w:hint="eastAsia" w:ascii="宋体" w:hAnsi="宋体" w:cs="宋体"/>
          <w:szCs w:val="21"/>
        </w:rPr>
        <w:t>10.其它：</w:t>
      </w:r>
    </w:p>
    <w:p>
      <w:pPr>
        <w:autoSpaceDE w:val="0"/>
        <w:autoSpaceDN w:val="0"/>
        <w:adjustRightInd w:val="0"/>
        <w:spacing w:line="360" w:lineRule="auto"/>
        <w:ind w:firstLine="420" w:firstLineChars="200"/>
        <w:rPr>
          <w:rFonts w:ascii="宋体" w:hAnsi="宋体" w:cs="宋体"/>
          <w:szCs w:val="21"/>
        </w:rPr>
      </w:pPr>
      <w:r>
        <w:rPr>
          <w:rFonts w:hint="eastAsia" w:ascii="宋体" w:hAnsi="宋体" w:cs="宋体"/>
          <w:szCs w:val="21"/>
        </w:rPr>
        <w:t>10.1供应商需针对本项目提供相关交货方案、售后服务方案等本项目评审因素要求的相关材料。</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宋体" w:hAnsi="宋体" w:cs="宋体"/>
          <w:szCs w:val="21"/>
        </w:rPr>
        <w:t>10.2其他未尽事宜由成交供应商和采购人按合同进行约定。</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Cs w:val="21"/>
        </w:rPr>
      </w:pPr>
      <w:bookmarkStart w:id="119" w:name="_Toc21485"/>
      <w:r>
        <w:rPr>
          <w:rFonts w:hint="eastAsia" w:asciiTheme="minorEastAsia" w:hAnsiTheme="minorEastAsia" w:eastAsiaTheme="minorEastAsia" w:cstheme="minorEastAsia"/>
          <w:sz w:val="36"/>
          <w:szCs w:val="36"/>
        </w:rPr>
        <w:t>竞争性磋商采购评定办法</w:t>
      </w:r>
      <w:bookmarkEnd w:id="119"/>
    </w:p>
    <w:p>
      <w:pPr>
        <w:spacing w:line="360" w:lineRule="auto"/>
        <w:outlineLvl w:val="1"/>
        <w:rPr>
          <w:rFonts w:asciiTheme="minorEastAsia" w:hAnsiTheme="minorEastAsia" w:eastAsiaTheme="minorEastAsia" w:cstheme="minorEastAsia"/>
          <w:b/>
          <w:szCs w:val="21"/>
        </w:rPr>
      </w:pPr>
      <w:bookmarkStart w:id="120" w:name="_Toc7103"/>
      <w:r>
        <w:rPr>
          <w:rFonts w:hint="eastAsia" w:asciiTheme="minorEastAsia" w:hAnsiTheme="minorEastAsia" w:eastAsiaTheme="minorEastAsia" w:cstheme="minorEastAsia"/>
          <w:b/>
          <w:szCs w:val="21"/>
        </w:rPr>
        <w:t>一、评定办法前附表</w:t>
      </w:r>
      <w:bookmarkEnd w:id="120"/>
    </w:p>
    <w:tbl>
      <w:tblPr>
        <w:tblStyle w:val="2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规定事项</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w:t>
            </w:r>
            <w:r>
              <w:rPr>
                <w:rFonts w:hint="eastAsia" w:ascii="宋体" w:hAnsi="宋体" w:cs="宋体"/>
                <w:color w:val="000000"/>
                <w:szCs w:val="21"/>
              </w:rPr>
              <w:t>重大税收违法失信主体</w:t>
            </w:r>
            <w:r>
              <w:rPr>
                <w:rFonts w:hint="eastAsia" w:asciiTheme="minorEastAsia" w:hAnsiTheme="minorEastAsia" w:eastAsiaTheme="minorEastAsia" w:cstheme="minorEastAsia"/>
                <w:szCs w:val="21"/>
              </w:rPr>
              <w:t>（链接：https://www.creditchina.gov.cn/），未被列入政府采购严重违法失信行为记录名单（链接：http://www.ccgp.gov.cn/search/cr/）。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落实政府采购政策需满足的资格要求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采购需求响应</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类型：工业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21" w:name="_Toc15428"/>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21"/>
    </w:p>
    <w:tbl>
      <w:tblPr>
        <w:tblStyle w:val="27"/>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pStyle w:val="21"/>
        <w:outlineLvl w:val="1"/>
        <w:rPr>
          <w:rFonts w:asciiTheme="minorEastAsia" w:hAnsiTheme="minorEastAsia" w:eastAsiaTheme="minorEastAsia" w:cstheme="minorEastAsia"/>
        </w:rPr>
        <w:sectPr>
          <w:footerReference r:id="rId11" w:type="default"/>
          <w:type w:val="continuous"/>
          <w:pgSz w:w="11906" w:h="16838"/>
          <w:pgMar w:top="1417" w:right="1417" w:bottom="1417" w:left="1417" w:header="851" w:footer="992" w:gutter="0"/>
          <w:cols w:space="720" w:num="1"/>
          <w:docGrid w:type="lines" w:linePitch="312" w:charSpace="0"/>
        </w:sectPr>
      </w:pPr>
      <w:bookmarkStart w:id="122" w:name="_Toc9125"/>
      <w:bookmarkStart w:id="123" w:name="_Toc8676"/>
      <w:bookmarkStart w:id="124" w:name="_Toc16565"/>
      <w:bookmarkStart w:id="125" w:name="_Toc17585"/>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r>
        <w:rPr>
          <w:rFonts w:hint="eastAsia" w:asciiTheme="minorEastAsia" w:hAnsiTheme="minorEastAsia" w:eastAsiaTheme="minorEastAsia" w:cstheme="minorEastAsia"/>
        </w:rPr>
        <w:br w:type="textWrapping"/>
      </w:r>
      <w:bookmarkEnd w:id="122"/>
      <w:bookmarkEnd w:id="123"/>
      <w:bookmarkEnd w:id="124"/>
      <w:bookmarkEnd w:id="125"/>
    </w:p>
    <w:p>
      <w:pPr>
        <w:pStyle w:val="21"/>
        <w:outlineLvl w:val="1"/>
        <w:rPr>
          <w:rFonts w:asciiTheme="minorEastAsia" w:hAnsiTheme="minorEastAsia" w:eastAsiaTheme="minorEastAsia" w:cstheme="minorEastAsia"/>
          <w:b/>
          <w:szCs w:val="21"/>
        </w:rPr>
      </w:pPr>
      <w:bookmarkStart w:id="126" w:name="_Toc22419"/>
      <w:r>
        <w:rPr>
          <w:rFonts w:hint="eastAsia" w:asciiTheme="minorEastAsia" w:hAnsiTheme="minorEastAsia" w:eastAsiaTheme="minorEastAsia" w:cstheme="minorEastAsia"/>
          <w:b/>
          <w:szCs w:val="21"/>
        </w:rPr>
        <w:t>三、评分细则</w:t>
      </w:r>
      <w:bookmarkEnd w:id="126"/>
    </w:p>
    <w:p>
      <w:pPr>
        <w:pStyle w:val="21"/>
        <w:outlineLvl w:val="1"/>
        <w:rPr>
          <w:rFonts w:asciiTheme="minorEastAsia" w:hAnsiTheme="minorEastAsia" w:eastAsiaTheme="minorEastAsia" w:cstheme="minorEastAsia"/>
          <w:b/>
          <w:bCs/>
          <w:sz w:val="24"/>
        </w:rPr>
      </w:pPr>
      <w:bookmarkStart w:id="127" w:name="_Toc25558"/>
      <w:r>
        <w:rPr>
          <w:rFonts w:hint="eastAsia" w:asciiTheme="minorEastAsia" w:hAnsiTheme="minorEastAsia" w:eastAsiaTheme="minorEastAsia" w:cstheme="minorEastAsia"/>
          <w:b/>
          <w:bCs/>
          <w:sz w:val="24"/>
        </w:rPr>
        <w:t>第1包：01+生物质与生物能源实验室建设项目1（进口设备）</w:t>
      </w:r>
      <w:bookmarkEnd w:id="127"/>
    </w:p>
    <w:tbl>
      <w:tblPr>
        <w:tblStyle w:val="27"/>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40分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（1）报价采用低价优先法计算，即满足磋商采购文件要求且报价最低的报价为磋商基准价，其报价分为满分40分；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报价分=（磋商基准价/磋商报价）×40</w:t>
            </w:r>
          </w:p>
          <w:p>
            <w:pPr>
              <w:widowControl/>
              <w:spacing w:line="260" w:lineRule="exact"/>
              <w:jc w:val="left"/>
              <w:textAlignment w:val="center"/>
              <w:rPr>
                <w:rFonts w:asciiTheme="minorEastAsia" w:hAnsiTheme="minorEastAsia" w:eastAsiaTheme="minorEastAsia" w:cstheme="minorEastAsia"/>
                <w:b/>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asciiTheme="minorEastAsia" w:hAnsiTheme="minorEastAsia" w:eastAsiaTheme="minorEastAsia" w:cstheme="minorEastAsia"/>
                <w:kern w:val="0"/>
                <w:szCs w:val="21"/>
                <w:lang w:bidi="ar"/>
              </w:rPr>
              <w:t>40</w:t>
            </w:r>
            <w:r>
              <w:rPr>
                <w:rFonts w:hint="eastAsia" w:asciiTheme="minorEastAsia" w:hAnsiTheme="minorEastAsia" w:eastAsiaTheme="minorEastAsia" w:cstheme="minorEastAsia"/>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商务部分</w:t>
            </w:r>
          </w:p>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lang w:val="en-US" w:eastAsia="zh-CN"/>
              </w:rPr>
              <w:t>7</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宋体" w:hAnsi="宋体" w:cs="宋体"/>
                <w:color w:val="auto"/>
                <w:szCs w:val="21"/>
              </w:rPr>
            </w:pPr>
            <w:r>
              <w:rPr>
                <w:rFonts w:hint="eastAsia" w:ascii="宋体" w:hAnsi="宋体" w:cs="宋体"/>
                <w:color w:val="auto"/>
                <w:szCs w:val="21"/>
              </w:rPr>
              <w:t>投标供应商近三年（磋商截止时间往前推算36个月）具有类似采购业绩的，每个得</w:t>
            </w:r>
            <w:r>
              <w:rPr>
                <w:rFonts w:hint="eastAsia" w:ascii="宋体" w:hAnsi="宋体" w:cs="宋体"/>
                <w:color w:val="auto"/>
                <w:szCs w:val="21"/>
                <w:lang w:val="en-US" w:eastAsia="zh-CN"/>
              </w:rPr>
              <w:t>1</w:t>
            </w:r>
            <w:r>
              <w:rPr>
                <w:rFonts w:hint="eastAsia" w:ascii="宋体" w:hAnsi="宋体" w:cs="宋体"/>
                <w:color w:val="auto"/>
                <w:szCs w:val="21"/>
              </w:rPr>
              <w:t>分，最多得</w:t>
            </w:r>
            <w:r>
              <w:rPr>
                <w:rFonts w:hint="eastAsia" w:ascii="宋体" w:hAnsi="宋体" w:cs="宋体"/>
                <w:color w:val="auto"/>
                <w:szCs w:val="21"/>
                <w:lang w:val="en-US" w:eastAsia="zh-CN"/>
              </w:rPr>
              <w:t>3</w:t>
            </w:r>
            <w:r>
              <w:rPr>
                <w:rFonts w:hint="eastAsia" w:ascii="宋体" w:hAnsi="宋体" w:cs="宋体"/>
                <w:color w:val="auto"/>
                <w:szCs w:val="21"/>
              </w:rPr>
              <w:t>分；</w:t>
            </w:r>
          </w:p>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（需提供成交通知书或合同真彩扫描件）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lang w:val="en-US" w:eastAsia="zh-CN"/>
              </w:rPr>
              <w:t>3</w:t>
            </w:r>
            <w:r>
              <w:rPr>
                <w:rFonts w:hint="eastAsia" w:asciiTheme="minorEastAsia" w:hAnsiTheme="minorEastAsia" w:eastAsiaTheme="minorEastAsia" w:cstheme="minorEastAsia"/>
                <w:color w:val="auto"/>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tcBorders>
              <w:bottom w:val="single" w:color="auto" w:sz="4" w:space="0"/>
            </w:tcBorders>
            <w:vAlign w:val="center"/>
          </w:tcPr>
          <w:p>
            <w:pPr>
              <w:widowControl/>
              <w:jc w:val="center"/>
              <w:textAlignment w:val="center"/>
              <w:rPr>
                <w:rFonts w:ascii="宋体" w:hAnsi="宋体" w:cs="宋体"/>
                <w:color w:val="auto"/>
                <w:spacing w:val="-6"/>
                <w:kern w:val="0"/>
                <w:szCs w:val="21"/>
              </w:rPr>
            </w:pPr>
            <w:r>
              <w:rPr>
                <w:rFonts w:hint="eastAsia"/>
                <w:color w:val="auto"/>
              </w:rPr>
              <w:t>质保期/保修期</w:t>
            </w:r>
          </w:p>
        </w:tc>
        <w:tc>
          <w:tcPr>
            <w:tcW w:w="6512" w:type="dxa"/>
            <w:tcBorders>
              <w:bottom w:val="single" w:color="auto" w:sz="4" w:space="0"/>
            </w:tcBorders>
            <w:vAlign w:val="center"/>
          </w:tcPr>
          <w:p>
            <w:pPr>
              <w:widowControl/>
              <w:jc w:val="left"/>
              <w:textAlignment w:val="center"/>
              <w:rPr>
                <w:rFonts w:ascii="宋体" w:hAnsi="宋体" w:cs="宋体"/>
                <w:color w:val="auto"/>
                <w:szCs w:val="21"/>
              </w:rPr>
            </w:pPr>
            <w:r>
              <w:rPr>
                <w:rFonts w:hint="eastAsia"/>
                <w:color w:val="auto"/>
              </w:rPr>
              <w:t>质保期/保修期</w:t>
            </w:r>
            <w:r>
              <w:rPr>
                <w:rFonts w:hint="eastAsia" w:ascii="宋体" w:hAnsi="宋体" w:cs="宋体"/>
                <w:color w:val="auto"/>
                <w:szCs w:val="21"/>
              </w:rPr>
              <w:t>在满足采购文件最低要求的基础上，每增加一年得1分，最多得4分。（需提供承诺书，否则不得分）。</w:t>
            </w:r>
          </w:p>
        </w:tc>
        <w:tc>
          <w:tcPr>
            <w:tcW w:w="664" w:type="dxa"/>
            <w:tcBorders>
              <w:bottom w:val="single" w:color="auto" w:sz="4" w:space="0"/>
            </w:tcBorders>
            <w:vAlign w:val="center"/>
          </w:tcPr>
          <w:p>
            <w:pPr>
              <w:widowControl/>
              <w:spacing w:line="260" w:lineRule="exact"/>
              <w:jc w:val="center"/>
              <w:textAlignment w:val="center"/>
              <w:rPr>
                <w:rFonts w:ascii="宋体" w:hAnsi="宋体" w:cs="宋体"/>
                <w:color w:val="auto"/>
                <w:spacing w:val="-6"/>
                <w:kern w:val="0"/>
                <w:szCs w:val="21"/>
              </w:rPr>
            </w:pPr>
            <w:r>
              <w:rPr>
                <w:rFonts w:hint="eastAsia" w:ascii="宋体" w:hAnsi="宋体" w:cs="宋体"/>
                <w:color w:val="auto"/>
                <w:kern w:val="0"/>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53</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widowControl/>
              <w:jc w:val="left"/>
              <w:textAlignment w:val="center"/>
              <w:rPr>
                <w:color w:val="auto"/>
              </w:rPr>
            </w:pPr>
            <w:r>
              <w:rPr>
                <w:rFonts w:hint="eastAsia"/>
                <w:color w:val="auto"/>
              </w:rPr>
              <w:t>设备技术性能及参数完全满足招标要求的得</w:t>
            </w:r>
            <w:r>
              <w:rPr>
                <w:rFonts w:hint="eastAsia"/>
                <w:color w:val="auto"/>
                <w:lang w:val="en-US" w:eastAsia="zh-CN"/>
              </w:rPr>
              <w:t>48</w:t>
            </w:r>
            <w:r>
              <w:rPr>
                <w:rFonts w:hint="eastAsia"/>
                <w:color w:val="auto"/>
              </w:rPr>
              <w:t>分，具体由磋商小组根据投标供应商的响应文件中产品情况、《技术响应、偏离说明表》等有关资料打分。</w:t>
            </w:r>
          </w:p>
          <w:p>
            <w:pPr>
              <w:widowControl/>
              <w:jc w:val="left"/>
              <w:textAlignment w:val="center"/>
              <w:rPr>
                <w:color w:val="auto"/>
              </w:rPr>
            </w:pPr>
            <w:r>
              <w:rPr>
                <w:rFonts w:hint="eastAsia"/>
                <w:color w:val="auto"/>
              </w:rPr>
              <w:t>其中：完全满足招标技术参数要求的得</w:t>
            </w:r>
            <w:r>
              <w:rPr>
                <w:rFonts w:hint="eastAsia"/>
                <w:color w:val="auto"/>
                <w:lang w:val="en-US" w:eastAsia="zh-CN"/>
              </w:rPr>
              <w:t>48</w:t>
            </w:r>
            <w:r>
              <w:rPr>
                <w:rFonts w:hint="eastAsia"/>
                <w:color w:val="auto"/>
              </w:rPr>
              <w:t>分；</w:t>
            </w:r>
          </w:p>
          <w:p>
            <w:pPr>
              <w:widowControl/>
              <w:jc w:val="left"/>
              <w:textAlignment w:val="center"/>
              <w:rPr>
                <w:rFonts w:hint="eastAsia" w:eastAsia="宋体"/>
                <w:color w:val="auto"/>
                <w:lang w:eastAsia="zh-CN"/>
              </w:rPr>
            </w:pPr>
            <w:r>
              <w:rPr>
                <w:rFonts w:hint="eastAsia"/>
                <w:color w:val="auto"/>
              </w:rPr>
              <w:t>（1）在此基础上，标注“▲”的内容为重要条款，一项不满足扣3分</w:t>
            </w:r>
            <w:r>
              <w:rPr>
                <w:rFonts w:hint="eastAsia"/>
                <w:color w:val="auto"/>
                <w:lang w:eastAsia="zh-CN"/>
              </w:rPr>
              <w:t>，</w:t>
            </w:r>
            <w:r>
              <w:rPr>
                <w:color w:val="auto"/>
              </w:rPr>
              <w:t>扣完为止</w:t>
            </w:r>
            <w:r>
              <w:rPr>
                <w:rFonts w:hint="eastAsia" w:eastAsia="宋体"/>
                <w:color w:val="auto"/>
                <w:lang w:eastAsia="zh-CN"/>
              </w:rPr>
              <w:t>。</w:t>
            </w:r>
          </w:p>
          <w:p>
            <w:pPr>
              <w:widowControl/>
              <w:jc w:val="left"/>
              <w:textAlignment w:val="center"/>
              <w:rPr>
                <w:rFonts w:hint="eastAsia" w:eastAsia="宋体"/>
                <w:color w:val="auto"/>
                <w:lang w:eastAsia="zh-CN"/>
              </w:rPr>
            </w:pPr>
            <w:r>
              <w:rPr>
                <w:rFonts w:hint="eastAsia"/>
                <w:color w:val="auto"/>
              </w:rPr>
              <w:t>（2）未标注“★”“▲”的一般条</w:t>
            </w:r>
            <w:r>
              <w:rPr>
                <w:rFonts w:hint="eastAsia"/>
                <w:color w:val="auto"/>
                <w:lang w:eastAsia="zh-CN"/>
              </w:rPr>
              <w:t>款一项不满足扣</w:t>
            </w:r>
            <w:r>
              <w:rPr>
                <w:rFonts w:hint="eastAsia"/>
                <w:color w:val="auto"/>
                <w:lang w:val="en-US" w:eastAsia="zh-CN"/>
              </w:rPr>
              <w:t>0.5</w:t>
            </w:r>
            <w:r>
              <w:rPr>
                <w:rFonts w:hint="eastAsia"/>
                <w:color w:val="auto"/>
              </w:rPr>
              <w:t>分。</w:t>
            </w:r>
            <w:r>
              <w:rPr>
                <w:color w:val="auto"/>
              </w:rPr>
              <w:t>扣完为止</w:t>
            </w:r>
            <w:r>
              <w:rPr>
                <w:rFonts w:hint="eastAsia"/>
                <w:color w:val="auto"/>
                <w:lang w:eastAsia="zh-CN"/>
              </w:rPr>
              <w:t>。</w:t>
            </w:r>
          </w:p>
          <w:p>
            <w:pPr>
              <w:widowControl/>
              <w:jc w:val="left"/>
              <w:textAlignment w:val="center"/>
              <w:rPr>
                <w:color w:val="auto"/>
              </w:rPr>
            </w:pPr>
            <w:r>
              <w:rPr>
                <w:rFonts w:hint="eastAsia"/>
                <w:color w:val="auto"/>
              </w:rPr>
              <w:t>备注：</w:t>
            </w:r>
          </w:p>
          <w:p>
            <w:pPr>
              <w:widowControl/>
              <w:jc w:val="left"/>
              <w:textAlignment w:val="center"/>
              <w:rPr>
                <w:color w:val="auto"/>
              </w:rPr>
            </w:pPr>
            <w:r>
              <w:rPr>
                <w:rFonts w:hint="eastAsia"/>
                <w:color w:val="auto"/>
              </w:rPr>
              <w:t>1）标注“★”项为废标项，即不满足废标；如偏离响应表有缺项，视同负偏离处理。</w:t>
            </w:r>
          </w:p>
          <w:p>
            <w:pPr>
              <w:widowControl/>
              <w:jc w:val="left"/>
              <w:textAlignment w:val="center"/>
              <w:rPr>
                <w:color w:val="auto"/>
              </w:rPr>
            </w:pPr>
            <w:r>
              <w:rPr>
                <w:rFonts w:hint="eastAsia"/>
                <w:color w:val="auto"/>
              </w:rPr>
              <w:t>2）标注“▲”的重要条款以制造商（或国内总代理商）出具的盖章技术说明书或公开发布的产品彩页为准。</w:t>
            </w:r>
          </w:p>
        </w:tc>
        <w:tc>
          <w:tcPr>
            <w:tcW w:w="664"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pacing w:val="-6"/>
                <w:szCs w:val="21"/>
                <w:lang w:val="en-US" w:eastAsia="zh-CN"/>
              </w:rPr>
              <w:t>48</w:t>
            </w:r>
            <w:r>
              <w:rPr>
                <w:rFonts w:hint="eastAsia" w:ascii="宋体" w:hAnsi="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交货方案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根据投标供应商针对本项目提供的交货方案（包含项目对接、人员安排、交货计划、货物运输、交货期保障措施、安装调试步骤及措施、技术培训等）进行评分：</w:t>
            </w:r>
          </w:p>
          <w:p>
            <w:pPr>
              <w:ind w:left="-4" w:leftChars="-2" w:firstLine="2" w:firstLineChars="1"/>
              <w:rPr>
                <w:rFonts w:ascii="宋体" w:hAnsi="宋体" w:cs="宋体"/>
                <w:spacing w:val="-6"/>
                <w:szCs w:val="21"/>
              </w:rPr>
            </w:pPr>
            <w:r>
              <w:rPr>
                <w:rFonts w:hint="eastAsia" w:ascii="宋体" w:hAnsi="宋体" w:cs="宋体"/>
                <w:szCs w:val="21"/>
              </w:rPr>
              <w:t>方案全面详细、科学合理、可行，针对性强的，</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ind w:left="-4" w:leftChars="-2" w:firstLine="2" w:firstLineChars="1"/>
              <w:rPr>
                <w:rFonts w:ascii="宋体" w:hAnsi="宋体" w:cs="宋体"/>
                <w:szCs w:val="21"/>
                <w:highlight w:val="yellow"/>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jc w:val="center"/>
              <w:rPr>
                <w:rFonts w:ascii="宋体" w:hAnsi="宋体" w:cs="宋体"/>
                <w:szCs w:val="21"/>
                <w:highlight w:val="yellow"/>
              </w:rPr>
            </w:pPr>
            <w:r>
              <w:rPr>
                <w:rFonts w:hint="eastAsia" w:ascii="宋体" w:hAnsi="宋体" w:cs="宋体"/>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售后服务方案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根据投标供应商针对本项目提供的售后服务方案（包含服务标准和应急维修时间安排、质保期满后的承诺、备品备件、其它服务承诺等）进行评分：</w:t>
            </w:r>
          </w:p>
          <w:p>
            <w:pPr>
              <w:ind w:left="-4" w:leftChars="-2" w:firstLine="2" w:firstLineChars="1"/>
              <w:rPr>
                <w:rFonts w:ascii="宋体" w:hAnsi="宋体" w:cs="宋体"/>
                <w:szCs w:val="21"/>
              </w:rPr>
            </w:pPr>
            <w:r>
              <w:rPr>
                <w:rFonts w:hint="eastAsia" w:ascii="宋体" w:hAnsi="宋体" w:cs="宋体"/>
                <w:szCs w:val="21"/>
              </w:rPr>
              <w:t>方案全面详细、科学合理、可行，针对性强的，</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widowControl/>
              <w:rPr>
                <w:rFonts w:ascii="宋体" w:hAnsi="宋体" w:cs="宋体"/>
                <w:szCs w:val="21"/>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rPr>
                <w:rFonts w:ascii="宋体" w:hAnsi="宋体" w:cs="宋体"/>
                <w:spacing w:val="-6"/>
                <w:szCs w:val="21"/>
              </w:rPr>
            </w:pPr>
            <w:r>
              <w:rPr>
                <w:rFonts w:hint="eastAsia" w:ascii="宋体" w:hAnsi="宋体" w:cs="宋体"/>
                <w:spacing w:val="-6"/>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
    <w:p>
      <w:pPr>
        <w:spacing w:line="360" w:lineRule="auto"/>
        <w:rPr>
          <w:rFonts w:asciiTheme="minorEastAsia" w:hAnsiTheme="minorEastAsia" w:eastAsiaTheme="minorEastAsia" w:cstheme="minorEastAsia"/>
          <w:b/>
          <w:bCs/>
          <w:sz w:val="24"/>
        </w:rPr>
      </w:pPr>
    </w:p>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pStyle w:val="21"/>
        <w:outlineLvl w:val="1"/>
        <w:rPr>
          <w:rFonts w:asciiTheme="minorEastAsia" w:hAnsiTheme="minorEastAsia" w:eastAsiaTheme="minorEastAsia" w:cstheme="minorEastAsia"/>
          <w:b/>
          <w:bCs/>
          <w:sz w:val="24"/>
        </w:rPr>
      </w:pPr>
      <w:bookmarkStart w:id="128" w:name="_Toc21539"/>
      <w:r>
        <w:rPr>
          <w:rFonts w:hint="eastAsia" w:asciiTheme="minorEastAsia" w:hAnsiTheme="minorEastAsia" w:eastAsiaTheme="minorEastAsia" w:cstheme="minorEastAsia"/>
          <w:b/>
          <w:bCs/>
          <w:sz w:val="24"/>
        </w:rPr>
        <w:t>第2包：02+生物质与生物能源实验室建设项目2（多功能成像分析系统等一批国产设备）</w:t>
      </w:r>
      <w:bookmarkEnd w:id="128"/>
    </w:p>
    <w:tbl>
      <w:tblPr>
        <w:tblStyle w:val="27"/>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40分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（1）报价采用低价优先法计算，即满足磋商采购文件要求且报价最低的报价为磋商基准价，其报价分为满分40分；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报价分=（磋商基准价/磋商报价）×40</w:t>
            </w:r>
          </w:p>
          <w:p>
            <w:pPr>
              <w:widowControl/>
              <w:spacing w:line="260" w:lineRule="exact"/>
              <w:jc w:val="left"/>
              <w:textAlignment w:val="center"/>
              <w:rPr>
                <w:rFonts w:asciiTheme="minorEastAsia" w:hAnsiTheme="minorEastAsia" w:eastAsiaTheme="minorEastAsia" w:cstheme="minorEastAsia"/>
                <w:b/>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asciiTheme="minorEastAsia" w:hAnsiTheme="minorEastAsia" w:eastAsiaTheme="minorEastAsia" w:cstheme="minorEastAsia"/>
                <w:kern w:val="0"/>
                <w:szCs w:val="21"/>
                <w:lang w:bidi="ar"/>
              </w:rPr>
              <w:t>40</w:t>
            </w:r>
            <w:r>
              <w:rPr>
                <w:rFonts w:hint="eastAsia" w:asciiTheme="minorEastAsia" w:hAnsiTheme="minorEastAsia" w:eastAsiaTheme="minorEastAsia" w:cstheme="minorEastAsia"/>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商务部分</w:t>
            </w:r>
          </w:p>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lang w:val="en-US" w:eastAsia="zh-CN"/>
              </w:rPr>
              <w:t>7</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宋体" w:hAnsi="宋体" w:cs="宋体"/>
                <w:color w:val="auto"/>
                <w:szCs w:val="21"/>
              </w:rPr>
            </w:pPr>
            <w:r>
              <w:rPr>
                <w:rFonts w:hint="eastAsia" w:ascii="宋体" w:hAnsi="宋体" w:cs="宋体"/>
                <w:color w:val="auto"/>
                <w:szCs w:val="21"/>
              </w:rPr>
              <w:t>投标供应商近三年（磋商截止时间往前推算36个月）具有类似采购业绩的，每个得</w:t>
            </w:r>
            <w:r>
              <w:rPr>
                <w:rFonts w:hint="eastAsia" w:ascii="宋体" w:hAnsi="宋体" w:cs="宋体"/>
                <w:color w:val="auto"/>
                <w:szCs w:val="21"/>
                <w:lang w:val="en-US" w:eastAsia="zh-CN"/>
              </w:rPr>
              <w:t>1</w:t>
            </w:r>
            <w:r>
              <w:rPr>
                <w:rFonts w:hint="eastAsia" w:ascii="宋体" w:hAnsi="宋体" w:cs="宋体"/>
                <w:color w:val="auto"/>
                <w:szCs w:val="21"/>
              </w:rPr>
              <w:t>分，最多得</w:t>
            </w:r>
            <w:r>
              <w:rPr>
                <w:rFonts w:hint="eastAsia" w:ascii="宋体" w:hAnsi="宋体" w:cs="宋体"/>
                <w:color w:val="auto"/>
                <w:szCs w:val="21"/>
                <w:lang w:val="en-US" w:eastAsia="zh-CN"/>
              </w:rPr>
              <w:t>3</w:t>
            </w:r>
            <w:r>
              <w:rPr>
                <w:rFonts w:hint="eastAsia" w:ascii="宋体" w:hAnsi="宋体" w:cs="宋体"/>
                <w:color w:val="auto"/>
                <w:szCs w:val="21"/>
              </w:rPr>
              <w:t>分；</w:t>
            </w:r>
          </w:p>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（需提供成交通知书或合同真彩扫描件）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lang w:val="en-US" w:eastAsia="zh-CN"/>
              </w:rPr>
              <w:t>3</w:t>
            </w:r>
            <w:r>
              <w:rPr>
                <w:rFonts w:hint="eastAsia" w:asciiTheme="minorEastAsia" w:hAnsiTheme="minorEastAsia" w:eastAsiaTheme="minorEastAsia" w:cstheme="minorEastAsia"/>
                <w:color w:val="auto"/>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tcBorders>
              <w:bottom w:val="single" w:color="auto" w:sz="4" w:space="0"/>
            </w:tcBorders>
            <w:vAlign w:val="center"/>
          </w:tcPr>
          <w:p>
            <w:pPr>
              <w:widowControl/>
              <w:jc w:val="center"/>
              <w:textAlignment w:val="center"/>
              <w:rPr>
                <w:rFonts w:ascii="宋体" w:hAnsi="宋体" w:cs="宋体"/>
                <w:color w:val="auto"/>
                <w:spacing w:val="-6"/>
                <w:kern w:val="0"/>
                <w:szCs w:val="21"/>
              </w:rPr>
            </w:pPr>
            <w:r>
              <w:rPr>
                <w:rFonts w:hint="eastAsia"/>
                <w:color w:val="auto"/>
              </w:rPr>
              <w:t>质保期/保修期</w:t>
            </w:r>
          </w:p>
        </w:tc>
        <w:tc>
          <w:tcPr>
            <w:tcW w:w="6512" w:type="dxa"/>
            <w:tcBorders>
              <w:bottom w:val="single" w:color="auto" w:sz="4" w:space="0"/>
            </w:tcBorders>
            <w:vAlign w:val="center"/>
          </w:tcPr>
          <w:p>
            <w:pPr>
              <w:widowControl/>
              <w:jc w:val="left"/>
              <w:textAlignment w:val="center"/>
              <w:rPr>
                <w:rFonts w:ascii="宋体" w:hAnsi="宋体" w:cs="宋体"/>
                <w:color w:val="auto"/>
                <w:szCs w:val="21"/>
              </w:rPr>
            </w:pPr>
            <w:r>
              <w:rPr>
                <w:rFonts w:hint="eastAsia"/>
                <w:color w:val="auto"/>
              </w:rPr>
              <w:t>质保期/保修期</w:t>
            </w:r>
            <w:r>
              <w:rPr>
                <w:rFonts w:hint="eastAsia" w:ascii="宋体" w:hAnsi="宋体" w:cs="宋体"/>
                <w:color w:val="auto"/>
                <w:szCs w:val="21"/>
              </w:rPr>
              <w:t>在满足采购文件最低要求的基础上，每增加一年得1分，最多得4分。（需提供承诺书，否则不得分）。</w:t>
            </w:r>
          </w:p>
        </w:tc>
        <w:tc>
          <w:tcPr>
            <w:tcW w:w="664" w:type="dxa"/>
            <w:tcBorders>
              <w:bottom w:val="single" w:color="auto" w:sz="4" w:space="0"/>
            </w:tcBorders>
            <w:vAlign w:val="center"/>
          </w:tcPr>
          <w:p>
            <w:pPr>
              <w:widowControl/>
              <w:spacing w:line="260" w:lineRule="exact"/>
              <w:jc w:val="center"/>
              <w:textAlignment w:val="center"/>
              <w:rPr>
                <w:rFonts w:ascii="宋体" w:hAnsi="宋体" w:cs="宋体"/>
                <w:color w:val="auto"/>
                <w:spacing w:val="-6"/>
                <w:kern w:val="0"/>
                <w:szCs w:val="21"/>
              </w:rPr>
            </w:pPr>
            <w:r>
              <w:rPr>
                <w:rFonts w:hint="eastAsia" w:ascii="宋体" w:hAnsi="宋体" w:cs="宋体"/>
                <w:color w:val="auto"/>
                <w:kern w:val="0"/>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53</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widowControl/>
              <w:jc w:val="left"/>
              <w:textAlignment w:val="center"/>
              <w:rPr>
                <w:color w:val="auto"/>
              </w:rPr>
            </w:pPr>
            <w:r>
              <w:rPr>
                <w:rFonts w:hint="eastAsia"/>
                <w:color w:val="auto"/>
              </w:rPr>
              <w:t>设备技术性能及参数完全满足招标要求的得</w:t>
            </w:r>
            <w:r>
              <w:rPr>
                <w:rFonts w:hint="eastAsia"/>
                <w:color w:val="auto"/>
                <w:lang w:val="en-US" w:eastAsia="zh-CN"/>
              </w:rPr>
              <w:t>48</w:t>
            </w:r>
            <w:r>
              <w:rPr>
                <w:rFonts w:hint="eastAsia"/>
                <w:color w:val="auto"/>
              </w:rPr>
              <w:t>分，具体由磋商小组根据投标供应商的响应文件中产品情况、《技术响应、偏离说明表》等有关资料打分。</w:t>
            </w:r>
          </w:p>
          <w:p>
            <w:pPr>
              <w:widowControl/>
              <w:jc w:val="left"/>
              <w:textAlignment w:val="center"/>
              <w:rPr>
                <w:color w:val="auto"/>
              </w:rPr>
            </w:pPr>
            <w:r>
              <w:rPr>
                <w:rFonts w:hint="eastAsia"/>
                <w:color w:val="auto"/>
              </w:rPr>
              <w:t>其中：完全满足招标技术参数要求的得</w:t>
            </w:r>
            <w:r>
              <w:rPr>
                <w:rFonts w:hint="eastAsia" w:ascii="Times New Roman" w:eastAsia="宋体"/>
                <w:color w:val="auto"/>
                <w:lang w:val="en-US" w:eastAsia="zh-CN"/>
              </w:rPr>
              <w:t>48</w:t>
            </w:r>
            <w:r>
              <w:rPr>
                <w:rFonts w:hint="eastAsia"/>
                <w:color w:val="auto"/>
              </w:rPr>
              <w:t>分；</w:t>
            </w:r>
          </w:p>
          <w:p>
            <w:pPr>
              <w:widowControl/>
              <w:jc w:val="left"/>
              <w:textAlignment w:val="center"/>
              <w:rPr>
                <w:rFonts w:hint="eastAsia" w:eastAsia="宋体"/>
                <w:color w:val="auto"/>
                <w:lang w:eastAsia="zh-CN"/>
              </w:rPr>
            </w:pPr>
            <w:r>
              <w:rPr>
                <w:rFonts w:hint="eastAsia"/>
                <w:color w:val="auto"/>
              </w:rPr>
              <w:t>（1）在此基础上，标注“▲”的内容为重要条款，一项不满足扣3分</w:t>
            </w:r>
            <w:r>
              <w:rPr>
                <w:rFonts w:hint="eastAsia" w:eastAsia="宋体"/>
                <w:color w:val="auto"/>
                <w:lang w:eastAsia="zh-CN"/>
              </w:rPr>
              <w:t>，</w:t>
            </w:r>
            <w:r>
              <w:rPr>
                <w:color w:val="auto"/>
              </w:rPr>
              <w:t>扣完为止</w:t>
            </w:r>
            <w:r>
              <w:rPr>
                <w:rFonts w:hint="eastAsia" w:eastAsia="宋体"/>
                <w:color w:val="auto"/>
                <w:lang w:eastAsia="zh-CN"/>
              </w:rPr>
              <w:t>。</w:t>
            </w:r>
          </w:p>
          <w:p>
            <w:pPr>
              <w:widowControl/>
              <w:jc w:val="left"/>
              <w:textAlignment w:val="center"/>
              <w:rPr>
                <w:color w:val="auto"/>
              </w:rPr>
            </w:pPr>
            <w:r>
              <w:rPr>
                <w:rFonts w:hint="eastAsia"/>
                <w:color w:val="auto"/>
              </w:rPr>
              <w:t>（2）未标注“★”“▲”的一般条</w:t>
            </w:r>
            <w:r>
              <w:rPr>
                <w:rFonts w:hint="eastAsia" w:eastAsia="宋体"/>
                <w:color w:val="auto"/>
                <w:lang w:eastAsia="zh-CN"/>
              </w:rPr>
              <w:t>款一项不满足扣</w:t>
            </w:r>
            <w:r>
              <w:rPr>
                <w:rFonts w:hint="eastAsia" w:ascii="Times New Roman" w:eastAsia="宋体"/>
                <w:color w:val="auto"/>
                <w:lang w:val="en-US" w:eastAsia="zh-CN"/>
              </w:rPr>
              <w:t>0.5</w:t>
            </w:r>
            <w:r>
              <w:rPr>
                <w:rFonts w:hint="eastAsia"/>
                <w:color w:val="auto"/>
              </w:rPr>
              <w:t>分。</w:t>
            </w:r>
            <w:r>
              <w:rPr>
                <w:color w:val="auto"/>
              </w:rPr>
              <w:t>扣完为止</w:t>
            </w:r>
            <w:r>
              <w:rPr>
                <w:rFonts w:hint="eastAsia"/>
                <w:color w:val="auto"/>
              </w:rPr>
              <w:t>；备注：</w:t>
            </w:r>
          </w:p>
          <w:p>
            <w:pPr>
              <w:widowControl/>
              <w:jc w:val="left"/>
              <w:textAlignment w:val="center"/>
              <w:rPr>
                <w:color w:val="auto"/>
              </w:rPr>
            </w:pPr>
            <w:r>
              <w:rPr>
                <w:rFonts w:hint="eastAsia"/>
                <w:color w:val="auto"/>
              </w:rPr>
              <w:t>1）标注“★”项为废标项，即不满足废标；如偏离响应表有缺项，视同负偏离处理。</w:t>
            </w:r>
          </w:p>
          <w:p>
            <w:pPr>
              <w:widowControl/>
              <w:jc w:val="left"/>
              <w:textAlignment w:val="center"/>
              <w:rPr>
                <w:rFonts w:asciiTheme="minorEastAsia" w:hAnsiTheme="minorEastAsia" w:cstheme="minorEastAsia"/>
                <w:color w:val="auto"/>
                <w:spacing w:val="-6"/>
                <w:szCs w:val="21"/>
              </w:rPr>
            </w:pPr>
            <w:r>
              <w:rPr>
                <w:rFonts w:hint="eastAsia"/>
                <w:color w:val="auto"/>
              </w:rPr>
              <w:t>2）标注“▲”的重要条款以制造商出具的盖章技术说明书或公开发布的产品彩页为准。</w:t>
            </w:r>
          </w:p>
        </w:tc>
        <w:tc>
          <w:tcPr>
            <w:tcW w:w="664"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pacing w:val="-6"/>
                <w:szCs w:val="21"/>
                <w:lang w:val="en-US" w:eastAsia="zh-CN"/>
              </w:rPr>
              <w:t>48</w:t>
            </w:r>
            <w:r>
              <w:rPr>
                <w:rFonts w:hint="eastAsia" w:ascii="宋体" w:hAnsi="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交货方案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根据投标供应商针对本项目提供的交货方案（包含项目对接、人员安排、交货计划、货物运输、交货期保障措施、安装调试步骤及措施、技术培训等）进行评分：</w:t>
            </w:r>
          </w:p>
          <w:p>
            <w:pPr>
              <w:ind w:left="-4" w:leftChars="-2" w:firstLine="2" w:firstLineChars="1"/>
              <w:rPr>
                <w:rFonts w:ascii="宋体" w:hAnsi="宋体" w:cs="宋体"/>
                <w:spacing w:val="-6"/>
                <w:szCs w:val="21"/>
              </w:rPr>
            </w:pPr>
            <w:r>
              <w:rPr>
                <w:rFonts w:hint="eastAsia" w:ascii="宋体" w:hAnsi="宋体" w:cs="宋体"/>
                <w:szCs w:val="21"/>
              </w:rPr>
              <w:t>方案全面详细、科学合理、可行，针对性强的，</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ind w:left="-4" w:leftChars="-2" w:firstLine="2" w:firstLineChars="1"/>
              <w:rPr>
                <w:rFonts w:ascii="宋体" w:hAnsi="宋体" w:cs="宋体"/>
                <w:szCs w:val="21"/>
                <w:highlight w:val="yellow"/>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jc w:val="center"/>
              <w:rPr>
                <w:rFonts w:ascii="宋体" w:hAnsi="宋体" w:cs="宋体"/>
                <w:szCs w:val="21"/>
                <w:highlight w:val="yellow"/>
              </w:rPr>
            </w:pPr>
            <w:r>
              <w:rPr>
                <w:rFonts w:hint="eastAsia" w:ascii="宋体" w:hAnsi="宋体" w:cs="宋体"/>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售后服务方案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根据投标供应商针对本项目提供的售后服务方案（包含服务标准和应急维修时间安排、质保期满后的承诺、备品备件、其它服务承诺等）进行评分：</w:t>
            </w:r>
          </w:p>
          <w:p>
            <w:pPr>
              <w:ind w:left="-4" w:leftChars="-2" w:firstLine="2" w:firstLineChars="1"/>
              <w:rPr>
                <w:rFonts w:ascii="宋体" w:hAnsi="宋体" w:cs="宋体"/>
                <w:szCs w:val="21"/>
              </w:rPr>
            </w:pPr>
            <w:r>
              <w:rPr>
                <w:rFonts w:hint="eastAsia" w:ascii="宋体" w:hAnsi="宋体" w:cs="宋体"/>
                <w:szCs w:val="21"/>
              </w:rPr>
              <w:t>方案全面详细、科学合理、可行，针对性强的，</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widowControl/>
              <w:rPr>
                <w:rFonts w:ascii="仿宋" w:hAnsi="仿宋" w:cs="仿宋"/>
                <w:szCs w:val="21"/>
                <w:highlight w:val="yellow"/>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rPr>
                <w:rFonts w:ascii="宋体" w:hAnsi="宋体" w:cs="宋体"/>
                <w:szCs w:val="21"/>
                <w:highlight w:val="yellow"/>
              </w:rPr>
            </w:pPr>
            <w:r>
              <w:rPr>
                <w:rFonts w:hint="eastAsia" w:ascii="宋体" w:hAnsi="宋体" w:cs="宋体"/>
                <w:spacing w:val="-6"/>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
    <w:p/>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pStyle w:val="21"/>
        <w:outlineLvl w:val="1"/>
        <w:rPr>
          <w:rFonts w:asciiTheme="minorEastAsia" w:hAnsiTheme="minorEastAsia" w:eastAsiaTheme="minorEastAsia" w:cstheme="minorEastAsia"/>
          <w:b/>
          <w:bCs/>
          <w:sz w:val="24"/>
        </w:rPr>
      </w:pPr>
      <w:bookmarkStart w:id="129" w:name="_Toc27884"/>
      <w:r>
        <w:rPr>
          <w:rFonts w:hint="eastAsia" w:asciiTheme="minorEastAsia" w:hAnsiTheme="minorEastAsia" w:eastAsiaTheme="minorEastAsia" w:cstheme="minorEastAsia"/>
          <w:b/>
          <w:bCs/>
          <w:sz w:val="24"/>
        </w:rPr>
        <w:t>第3包：03+生物质与生物能源实验室建设项目3（饮水机等一批国产设备）</w:t>
      </w:r>
      <w:bookmarkEnd w:id="129"/>
    </w:p>
    <w:tbl>
      <w:tblPr>
        <w:tblStyle w:val="27"/>
        <w:tblW w:w="928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6"/>
        <w:gridCol w:w="1376"/>
        <w:gridCol w:w="6512"/>
        <w:gridCol w:w="66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blHeader/>
        </w:trPr>
        <w:tc>
          <w:tcPr>
            <w:tcW w:w="73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类别</w:t>
            </w:r>
          </w:p>
        </w:tc>
        <w:tc>
          <w:tcPr>
            <w:tcW w:w="1376"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评审因素</w:t>
            </w:r>
          </w:p>
        </w:tc>
        <w:tc>
          <w:tcPr>
            <w:tcW w:w="6512" w:type="dxa"/>
            <w:tcBorders>
              <w:top w:val="single" w:color="auto" w:sz="12" w:space="0"/>
            </w:tcBorders>
            <w:vAlign w:val="center"/>
          </w:tcPr>
          <w:p>
            <w:pPr>
              <w:spacing w:line="360" w:lineRule="atLeast"/>
              <w:jc w:val="center"/>
              <w:rPr>
                <w:rFonts w:asciiTheme="minorEastAsia" w:hAnsiTheme="minorEastAsia" w:eastAsiaTheme="minorEastAsia" w:cstheme="minorEastAsia"/>
                <w:b/>
                <w:bCs/>
                <w:spacing w:val="-6"/>
                <w:szCs w:val="21"/>
              </w:rPr>
            </w:pPr>
            <w:r>
              <w:rPr>
                <w:rFonts w:hint="eastAsia" w:asciiTheme="minorEastAsia" w:hAnsiTheme="minorEastAsia" w:eastAsiaTheme="minorEastAsia" w:cstheme="minorEastAsia"/>
                <w:b/>
                <w:bCs/>
                <w:szCs w:val="21"/>
              </w:rPr>
              <w:t>评审标准</w:t>
            </w:r>
          </w:p>
        </w:tc>
        <w:tc>
          <w:tcPr>
            <w:tcW w:w="664" w:type="dxa"/>
            <w:tcBorders>
              <w:top w:val="single" w:color="auto" w:sz="12" w:space="0"/>
            </w:tcBorders>
            <w:vAlign w:val="center"/>
          </w:tcPr>
          <w:p>
            <w:pPr>
              <w:spacing w:line="360" w:lineRule="atLeast"/>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736" w:type="dxa"/>
            <w:vAlign w:val="center"/>
          </w:tcPr>
          <w:p>
            <w:pPr>
              <w:widowControl/>
              <w:spacing w:line="260" w:lineRule="exact"/>
              <w:jc w:val="center"/>
              <w:textAlignment w:val="center"/>
              <w:rPr>
                <w:rFonts w:asciiTheme="minorEastAsia" w:hAnsiTheme="minorEastAsia" w:eastAsiaTheme="minorEastAsia" w:cstheme="minorEastAsia"/>
                <w:kern w:val="0"/>
                <w:szCs w:val="21"/>
                <w:lang w:bidi="ar"/>
              </w:rPr>
            </w:pPr>
            <w:r>
              <w:rPr>
                <w:rFonts w:hint="eastAsia" w:asciiTheme="minorEastAsia" w:hAnsiTheme="minorEastAsia" w:eastAsiaTheme="minorEastAsia" w:cstheme="minorEastAsia"/>
                <w:kern w:val="0"/>
                <w:szCs w:val="21"/>
                <w:lang w:bidi="ar"/>
              </w:rPr>
              <w:t>竞标报价</w:t>
            </w:r>
          </w:p>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40分</w:t>
            </w:r>
          </w:p>
        </w:tc>
        <w:tc>
          <w:tcPr>
            <w:tcW w:w="1376" w:type="dxa"/>
            <w:vAlign w:val="center"/>
          </w:tcPr>
          <w:p>
            <w:pPr>
              <w:widowControl/>
              <w:spacing w:line="260" w:lineRule="exact"/>
              <w:jc w:val="center"/>
              <w:textAlignment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kern w:val="0"/>
                <w:szCs w:val="21"/>
                <w:lang w:bidi="ar"/>
              </w:rPr>
              <w:t>最后报价</w:t>
            </w:r>
          </w:p>
        </w:tc>
        <w:tc>
          <w:tcPr>
            <w:tcW w:w="6512" w:type="dxa"/>
            <w:vAlign w:val="center"/>
          </w:tcPr>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（1）报价采用低价优先法计算，即满足磋商采购文件要求且报价最低的报价为磋商基准价，其报价分为满分40分；</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（2）其他供应商的报价分按照下列公式计算：</w:t>
            </w:r>
          </w:p>
          <w:p>
            <w:pPr>
              <w:widowControl/>
              <w:spacing w:line="260" w:lineRule="exact"/>
              <w:jc w:val="left"/>
              <w:textAlignment w:val="center"/>
              <w:rPr>
                <w:rFonts w:asciiTheme="minorEastAsia" w:hAnsiTheme="minorEastAsia" w:eastAsiaTheme="minorEastAsia" w:cstheme="minorEastAsia"/>
              </w:rPr>
            </w:pPr>
            <w:r>
              <w:rPr>
                <w:rFonts w:hint="eastAsia" w:asciiTheme="minorEastAsia" w:hAnsiTheme="minorEastAsia" w:eastAsiaTheme="minorEastAsia" w:cstheme="minorEastAsia"/>
              </w:rPr>
              <w:t>报价分=（磋商基准价/磋商报价）×40</w:t>
            </w:r>
          </w:p>
          <w:p>
            <w:pPr>
              <w:widowControl/>
              <w:spacing w:line="260" w:lineRule="exact"/>
              <w:jc w:val="left"/>
              <w:textAlignment w:val="center"/>
              <w:rPr>
                <w:rFonts w:asciiTheme="minorEastAsia" w:hAnsiTheme="minorEastAsia" w:eastAsiaTheme="minorEastAsia" w:cstheme="minorEastAsia"/>
                <w:b/>
              </w:rPr>
            </w:pPr>
            <w:r>
              <w:rPr>
                <w:rFonts w:hint="eastAsia" w:asciiTheme="minorEastAsia" w:hAnsiTheme="minorEastAsia" w:eastAsiaTheme="minorEastAsia" w:cstheme="minorEastAsia"/>
                <w:b/>
              </w:rPr>
              <w:t>备注：</w:t>
            </w:r>
            <w:r>
              <w:rPr>
                <w:rFonts w:asciiTheme="minorEastAsia" w:hAnsiTheme="minorEastAsia" w:eastAsiaTheme="minorEastAsia" w:cstheme="minorEastAsia"/>
                <w:b/>
              </w:rPr>
              <w:t>1）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widowControl/>
              <w:spacing w:line="260" w:lineRule="exact"/>
              <w:jc w:val="left"/>
              <w:textAlignment w:val="center"/>
              <w:rPr>
                <w:rFonts w:asciiTheme="minorEastAsia" w:hAnsiTheme="minorEastAsia" w:eastAsiaTheme="minorEastAsia" w:cstheme="minorEastAsia"/>
              </w:rPr>
            </w:pPr>
            <w:r>
              <w:rPr>
                <w:rFonts w:asciiTheme="minorEastAsia" w:hAnsiTheme="minorEastAsia" w:eastAsiaTheme="minorEastAsia" w:cstheme="minorEastAsia"/>
                <w:b/>
              </w:rPr>
              <w:t>2）符合本磋商文件第四章“政策支持”条件的，在评审时予以价格扣除，用扣除后的价格参与评审。</w:t>
            </w:r>
          </w:p>
        </w:tc>
        <w:tc>
          <w:tcPr>
            <w:tcW w:w="664" w:type="dxa"/>
            <w:vAlign w:val="center"/>
          </w:tcPr>
          <w:p>
            <w:pPr>
              <w:widowControl/>
              <w:spacing w:line="260" w:lineRule="exact"/>
              <w:jc w:val="center"/>
              <w:textAlignment w:val="center"/>
              <w:rPr>
                <w:rFonts w:asciiTheme="minorEastAsia" w:hAnsiTheme="minorEastAsia" w:eastAsiaTheme="minorEastAsia" w:cstheme="minorEastAsia"/>
              </w:rPr>
            </w:pPr>
            <w:r>
              <w:rPr>
                <w:rFonts w:asciiTheme="minorEastAsia" w:hAnsiTheme="minorEastAsia" w:eastAsiaTheme="minorEastAsia" w:cstheme="minorEastAsia"/>
                <w:kern w:val="0"/>
                <w:szCs w:val="21"/>
                <w:lang w:bidi="ar"/>
              </w:rPr>
              <w:t>40</w:t>
            </w:r>
            <w:r>
              <w:rPr>
                <w:rFonts w:hint="eastAsia" w:asciiTheme="minorEastAsia" w:hAnsiTheme="minorEastAsia" w:eastAsiaTheme="minorEastAsia" w:cstheme="minorEastAsia"/>
                <w:kern w:val="0"/>
                <w:szCs w:val="21"/>
                <w:lang w:bidi="ar"/>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商务部分</w:t>
            </w:r>
          </w:p>
          <w:p>
            <w:pPr>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lang w:val="en-US" w:eastAsia="zh-CN"/>
              </w:rPr>
              <w:t>7</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eastAsiaTheme="minorEastAsia" w:cstheme="minorEastAsia"/>
                <w:color w:val="auto"/>
                <w:spacing w:val="-6"/>
                <w:kern w:val="0"/>
                <w:szCs w:val="21"/>
              </w:rPr>
            </w:pPr>
            <w:r>
              <w:rPr>
                <w:rFonts w:hint="eastAsia" w:ascii="宋体" w:hAnsi="宋体" w:cs="宋体"/>
                <w:color w:val="auto"/>
                <w:spacing w:val="-6"/>
                <w:kern w:val="0"/>
                <w:szCs w:val="21"/>
              </w:rPr>
              <w:t>类似业绩</w:t>
            </w:r>
          </w:p>
        </w:tc>
        <w:tc>
          <w:tcPr>
            <w:tcW w:w="6512" w:type="dxa"/>
            <w:vAlign w:val="center"/>
          </w:tcPr>
          <w:p>
            <w:pPr>
              <w:rPr>
                <w:rFonts w:ascii="宋体" w:hAnsi="宋体" w:cs="宋体"/>
                <w:color w:val="auto"/>
                <w:szCs w:val="21"/>
              </w:rPr>
            </w:pPr>
            <w:r>
              <w:rPr>
                <w:rFonts w:hint="eastAsia" w:ascii="宋体" w:hAnsi="宋体" w:cs="宋体"/>
                <w:color w:val="auto"/>
                <w:szCs w:val="21"/>
              </w:rPr>
              <w:t>投标供应商近三年（磋商截止时间往前推算36个月）具有类似采购业绩的，每个得</w:t>
            </w:r>
            <w:r>
              <w:rPr>
                <w:rFonts w:hint="eastAsia" w:ascii="宋体" w:hAnsi="宋体" w:cs="宋体"/>
                <w:color w:val="auto"/>
                <w:szCs w:val="21"/>
                <w:lang w:val="en-US" w:eastAsia="zh-CN"/>
              </w:rPr>
              <w:t>1</w:t>
            </w:r>
            <w:r>
              <w:rPr>
                <w:rFonts w:hint="eastAsia" w:ascii="宋体" w:hAnsi="宋体" w:cs="宋体"/>
                <w:color w:val="auto"/>
                <w:szCs w:val="21"/>
              </w:rPr>
              <w:t>分，最多得</w:t>
            </w:r>
            <w:r>
              <w:rPr>
                <w:rFonts w:hint="eastAsia" w:ascii="宋体" w:hAnsi="宋体" w:cs="宋体"/>
                <w:color w:val="auto"/>
                <w:szCs w:val="21"/>
                <w:lang w:val="en-US" w:eastAsia="zh-CN"/>
              </w:rPr>
              <w:t>3</w:t>
            </w:r>
            <w:r>
              <w:rPr>
                <w:rFonts w:hint="eastAsia" w:ascii="宋体" w:hAnsi="宋体" w:cs="宋体"/>
                <w:color w:val="auto"/>
                <w:szCs w:val="21"/>
              </w:rPr>
              <w:t>分；</w:t>
            </w:r>
          </w:p>
          <w:p>
            <w:pPr>
              <w:rPr>
                <w:rFonts w:asciiTheme="minorEastAsia" w:hAnsiTheme="minorEastAsia" w:eastAsiaTheme="minorEastAsia" w:cstheme="minorEastAsia"/>
                <w:color w:val="auto"/>
                <w:spacing w:val="-6"/>
                <w:kern w:val="0"/>
                <w:szCs w:val="21"/>
              </w:rPr>
            </w:pPr>
            <w:r>
              <w:rPr>
                <w:rFonts w:hint="eastAsia" w:ascii="宋体" w:hAnsi="宋体" w:cs="宋体"/>
                <w:color w:val="auto"/>
                <w:szCs w:val="21"/>
              </w:rPr>
              <w:t>（需提供成交通知书或合同真彩扫描件）</w:t>
            </w:r>
          </w:p>
        </w:tc>
        <w:tc>
          <w:tcPr>
            <w:tcW w:w="664" w:type="dxa"/>
            <w:vAlign w:val="center"/>
          </w:tcPr>
          <w:p>
            <w:pPr>
              <w:autoSpaceDE w:val="0"/>
              <w:autoSpaceDN w:val="0"/>
              <w:adjustRightInd w:val="0"/>
              <w:spacing w:line="300" w:lineRule="auto"/>
              <w:ind w:right="71" w:rightChars="34"/>
              <w:jc w:val="center"/>
              <w:rPr>
                <w:rFonts w:asciiTheme="minorEastAsia" w:hAnsiTheme="minorEastAsia" w:eastAsiaTheme="minorEastAsia" w:cstheme="minorEastAsia"/>
                <w:color w:val="auto"/>
                <w:spacing w:val="-6"/>
                <w:kern w:val="0"/>
                <w:szCs w:val="21"/>
              </w:rPr>
            </w:pPr>
            <w:r>
              <w:rPr>
                <w:rFonts w:hint="eastAsia" w:asciiTheme="minorEastAsia" w:hAnsiTheme="minorEastAsia" w:eastAsiaTheme="minorEastAsia" w:cstheme="minorEastAsia"/>
                <w:color w:val="auto"/>
                <w:spacing w:val="-6"/>
                <w:kern w:val="0"/>
                <w:szCs w:val="21"/>
                <w:lang w:val="en-US" w:eastAsia="zh-CN"/>
              </w:rPr>
              <w:t>3</w:t>
            </w:r>
            <w:r>
              <w:rPr>
                <w:rFonts w:hint="eastAsia" w:asciiTheme="minorEastAsia" w:hAnsiTheme="minorEastAsia" w:eastAsiaTheme="minorEastAsia" w:cstheme="minorEastAsia"/>
                <w:color w:val="auto"/>
                <w:spacing w:val="-6"/>
                <w:kern w:val="0"/>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Merge w:val="continue"/>
            <w:vAlign w:val="center"/>
          </w:tcPr>
          <w:p>
            <w:pPr>
              <w:rPr>
                <w:rFonts w:asciiTheme="minorEastAsia" w:hAnsiTheme="minorEastAsia" w:eastAsiaTheme="minorEastAsia" w:cstheme="minorEastAsia"/>
                <w:color w:val="auto"/>
                <w:szCs w:val="21"/>
              </w:rPr>
            </w:pPr>
          </w:p>
        </w:tc>
        <w:tc>
          <w:tcPr>
            <w:tcW w:w="1376" w:type="dxa"/>
            <w:tcBorders>
              <w:bottom w:val="single" w:color="auto" w:sz="4" w:space="0"/>
            </w:tcBorders>
            <w:vAlign w:val="center"/>
          </w:tcPr>
          <w:p>
            <w:pPr>
              <w:widowControl/>
              <w:jc w:val="center"/>
              <w:textAlignment w:val="center"/>
              <w:rPr>
                <w:rFonts w:ascii="宋体" w:hAnsi="宋体" w:cs="宋体"/>
                <w:color w:val="auto"/>
                <w:spacing w:val="-6"/>
                <w:kern w:val="0"/>
                <w:szCs w:val="21"/>
              </w:rPr>
            </w:pPr>
            <w:r>
              <w:rPr>
                <w:rFonts w:hint="eastAsia"/>
                <w:color w:val="auto"/>
              </w:rPr>
              <w:t>质保期/保修期</w:t>
            </w:r>
          </w:p>
        </w:tc>
        <w:tc>
          <w:tcPr>
            <w:tcW w:w="6512" w:type="dxa"/>
            <w:tcBorders>
              <w:bottom w:val="single" w:color="auto" w:sz="4" w:space="0"/>
            </w:tcBorders>
            <w:vAlign w:val="center"/>
          </w:tcPr>
          <w:p>
            <w:pPr>
              <w:widowControl/>
              <w:jc w:val="left"/>
              <w:textAlignment w:val="center"/>
              <w:rPr>
                <w:rFonts w:ascii="宋体" w:hAnsi="宋体" w:cs="宋体"/>
                <w:color w:val="auto"/>
                <w:szCs w:val="21"/>
              </w:rPr>
            </w:pPr>
            <w:r>
              <w:rPr>
                <w:rFonts w:hint="eastAsia"/>
                <w:color w:val="auto"/>
              </w:rPr>
              <w:t>质保期/保修期</w:t>
            </w:r>
            <w:r>
              <w:rPr>
                <w:rFonts w:hint="eastAsia" w:ascii="宋体" w:hAnsi="宋体" w:cs="宋体"/>
                <w:color w:val="auto"/>
                <w:szCs w:val="21"/>
              </w:rPr>
              <w:t>在满足采购文件最低要求的基础上，每增加一年得1分，最多得4分。（需提供承诺书，否则不得分）。</w:t>
            </w:r>
          </w:p>
        </w:tc>
        <w:tc>
          <w:tcPr>
            <w:tcW w:w="664" w:type="dxa"/>
            <w:tcBorders>
              <w:bottom w:val="single" w:color="auto" w:sz="4" w:space="0"/>
            </w:tcBorders>
            <w:vAlign w:val="center"/>
          </w:tcPr>
          <w:p>
            <w:pPr>
              <w:widowControl/>
              <w:spacing w:line="260" w:lineRule="exact"/>
              <w:jc w:val="center"/>
              <w:textAlignment w:val="center"/>
              <w:rPr>
                <w:rFonts w:ascii="宋体" w:hAnsi="宋体" w:cs="宋体"/>
                <w:color w:val="auto"/>
                <w:spacing w:val="-6"/>
                <w:kern w:val="0"/>
                <w:szCs w:val="21"/>
              </w:rPr>
            </w:pPr>
            <w:r>
              <w:rPr>
                <w:rFonts w:hint="eastAsia" w:ascii="宋体" w:hAnsi="宋体" w:cs="宋体"/>
                <w:color w:val="auto"/>
                <w:kern w:val="0"/>
                <w:szCs w:val="21"/>
              </w:rPr>
              <w:t>4分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736" w:type="dxa"/>
            <w:vMerge w:val="restart"/>
            <w:vAlign w:val="center"/>
          </w:tcPr>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技术服务</w:t>
            </w:r>
          </w:p>
          <w:p>
            <w:pPr>
              <w:jc w:val="center"/>
              <w:rPr>
                <w:rFonts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lang w:val="en-US" w:eastAsia="zh-CN"/>
              </w:rPr>
              <w:t>53</w:t>
            </w:r>
            <w:r>
              <w:rPr>
                <w:rFonts w:hint="eastAsia" w:asciiTheme="minorEastAsia" w:hAnsiTheme="minorEastAsia" w:eastAsiaTheme="minorEastAsia" w:cstheme="minorEastAsia"/>
                <w:color w:val="auto"/>
                <w:spacing w:val="-6"/>
                <w:szCs w:val="21"/>
              </w:rPr>
              <w:t>分</w:t>
            </w:r>
          </w:p>
        </w:tc>
        <w:tc>
          <w:tcPr>
            <w:tcW w:w="1376" w:type="dxa"/>
            <w:vAlign w:val="center"/>
          </w:tcPr>
          <w:p>
            <w:pPr>
              <w:jc w:val="center"/>
              <w:rPr>
                <w:rFonts w:asciiTheme="minorEastAsia" w:hAnsiTheme="minorEastAsia" w:cstheme="minorEastAsia"/>
                <w:color w:val="auto"/>
                <w:spacing w:val="-6"/>
                <w:szCs w:val="21"/>
              </w:rPr>
            </w:pPr>
            <w:r>
              <w:rPr>
                <w:rFonts w:hint="eastAsia" w:ascii="宋体" w:hAnsi="宋体" w:cs="宋体"/>
                <w:color w:val="auto"/>
                <w:szCs w:val="21"/>
              </w:rPr>
              <w:t>设备技术响应</w:t>
            </w:r>
          </w:p>
        </w:tc>
        <w:tc>
          <w:tcPr>
            <w:tcW w:w="6512" w:type="dxa"/>
            <w:vAlign w:val="center"/>
          </w:tcPr>
          <w:p>
            <w:pPr>
              <w:widowControl/>
              <w:jc w:val="left"/>
              <w:textAlignment w:val="center"/>
              <w:rPr>
                <w:color w:val="auto"/>
              </w:rPr>
            </w:pPr>
            <w:r>
              <w:rPr>
                <w:rFonts w:hint="eastAsia"/>
                <w:color w:val="auto"/>
              </w:rPr>
              <w:t>设备技术性能及参数完全满足招标要求的得</w:t>
            </w:r>
            <w:r>
              <w:rPr>
                <w:rFonts w:hint="eastAsia"/>
                <w:color w:val="auto"/>
                <w:lang w:val="en-US" w:eastAsia="zh-CN"/>
              </w:rPr>
              <w:t>48</w:t>
            </w:r>
            <w:r>
              <w:rPr>
                <w:rFonts w:hint="eastAsia"/>
                <w:color w:val="auto"/>
              </w:rPr>
              <w:t>分，具体由磋商小组根据投标供应商的响应文件中产品情况、《技术响应、偏离说明表》等有关资料打分。</w:t>
            </w:r>
          </w:p>
          <w:p>
            <w:pPr>
              <w:widowControl/>
              <w:jc w:val="left"/>
              <w:textAlignment w:val="center"/>
              <w:rPr>
                <w:color w:val="auto"/>
              </w:rPr>
            </w:pPr>
            <w:r>
              <w:rPr>
                <w:rFonts w:hint="eastAsia"/>
                <w:color w:val="auto"/>
              </w:rPr>
              <w:t>其中：完全满足招标技术参数要求的得</w:t>
            </w:r>
            <w:r>
              <w:rPr>
                <w:rFonts w:hint="eastAsia" w:ascii="Times New Roman" w:eastAsia="宋体"/>
                <w:color w:val="auto"/>
                <w:lang w:val="en-US" w:eastAsia="zh-CN"/>
              </w:rPr>
              <w:t>48</w:t>
            </w:r>
            <w:r>
              <w:rPr>
                <w:rFonts w:hint="eastAsia"/>
                <w:color w:val="auto"/>
              </w:rPr>
              <w:t>分；</w:t>
            </w:r>
          </w:p>
          <w:p>
            <w:pPr>
              <w:widowControl/>
              <w:jc w:val="left"/>
              <w:textAlignment w:val="center"/>
              <w:rPr>
                <w:rFonts w:hint="eastAsia" w:eastAsia="宋体"/>
                <w:color w:val="auto"/>
                <w:lang w:eastAsia="zh-CN"/>
              </w:rPr>
            </w:pPr>
            <w:r>
              <w:rPr>
                <w:rFonts w:hint="eastAsia"/>
                <w:color w:val="auto"/>
              </w:rPr>
              <w:t>（1）在此基础上，标注“▲”的内容为重要条款，一项不满足扣3分</w:t>
            </w:r>
            <w:r>
              <w:rPr>
                <w:rFonts w:hint="eastAsia" w:eastAsia="宋体"/>
                <w:color w:val="auto"/>
                <w:lang w:eastAsia="zh-CN"/>
              </w:rPr>
              <w:t>，</w:t>
            </w:r>
            <w:r>
              <w:rPr>
                <w:color w:val="auto"/>
              </w:rPr>
              <w:t>扣完为止</w:t>
            </w:r>
            <w:r>
              <w:rPr>
                <w:rFonts w:hint="eastAsia" w:eastAsia="宋体"/>
                <w:color w:val="auto"/>
                <w:lang w:eastAsia="zh-CN"/>
              </w:rPr>
              <w:t>。</w:t>
            </w:r>
          </w:p>
          <w:p>
            <w:pPr>
              <w:widowControl/>
              <w:jc w:val="left"/>
              <w:textAlignment w:val="center"/>
              <w:rPr>
                <w:color w:val="auto"/>
              </w:rPr>
            </w:pPr>
            <w:r>
              <w:rPr>
                <w:rFonts w:hint="eastAsia"/>
                <w:color w:val="auto"/>
              </w:rPr>
              <w:t>（2）未标注“★”“▲”的一般条</w:t>
            </w:r>
            <w:r>
              <w:rPr>
                <w:rFonts w:hint="eastAsia" w:eastAsia="宋体"/>
                <w:color w:val="auto"/>
                <w:lang w:eastAsia="zh-CN"/>
              </w:rPr>
              <w:t>款一项不满足扣</w:t>
            </w:r>
            <w:r>
              <w:rPr>
                <w:rFonts w:hint="eastAsia" w:ascii="Times New Roman" w:eastAsia="宋体"/>
                <w:color w:val="auto"/>
                <w:lang w:val="en-US" w:eastAsia="zh-CN"/>
              </w:rPr>
              <w:t>0.5</w:t>
            </w:r>
            <w:r>
              <w:rPr>
                <w:rFonts w:hint="eastAsia"/>
                <w:color w:val="auto"/>
              </w:rPr>
              <w:t>分。</w:t>
            </w:r>
            <w:r>
              <w:rPr>
                <w:color w:val="auto"/>
              </w:rPr>
              <w:t>扣完为止</w:t>
            </w:r>
            <w:r>
              <w:rPr>
                <w:rFonts w:hint="eastAsia"/>
                <w:color w:val="auto"/>
              </w:rPr>
              <w:t>；</w:t>
            </w:r>
          </w:p>
          <w:p>
            <w:pPr>
              <w:widowControl/>
              <w:jc w:val="left"/>
              <w:textAlignment w:val="center"/>
              <w:rPr>
                <w:color w:val="auto"/>
              </w:rPr>
            </w:pPr>
            <w:r>
              <w:rPr>
                <w:rFonts w:hint="eastAsia"/>
                <w:color w:val="auto"/>
              </w:rPr>
              <w:t>备注：</w:t>
            </w:r>
          </w:p>
          <w:p>
            <w:pPr>
              <w:widowControl/>
              <w:jc w:val="left"/>
              <w:textAlignment w:val="center"/>
              <w:rPr>
                <w:color w:val="auto"/>
              </w:rPr>
            </w:pPr>
            <w:r>
              <w:rPr>
                <w:rFonts w:hint="eastAsia"/>
                <w:color w:val="auto"/>
              </w:rPr>
              <w:t>1）标注“★”项为废标项，即不满足废标；如偏离响应表有缺项，视同负偏离处理。</w:t>
            </w:r>
          </w:p>
          <w:p>
            <w:pPr>
              <w:widowControl/>
              <w:jc w:val="left"/>
              <w:textAlignment w:val="center"/>
              <w:rPr>
                <w:rFonts w:asciiTheme="minorEastAsia" w:hAnsiTheme="minorEastAsia" w:cstheme="minorEastAsia"/>
                <w:color w:val="auto"/>
                <w:spacing w:val="-6"/>
                <w:szCs w:val="21"/>
              </w:rPr>
            </w:pPr>
            <w:r>
              <w:rPr>
                <w:rFonts w:hint="eastAsia"/>
                <w:color w:val="auto"/>
              </w:rPr>
              <w:t>2）标注“▲”的重要条款以制造商出具的盖章技术说明书或公开发布的产品彩页为准。</w:t>
            </w:r>
          </w:p>
        </w:tc>
        <w:tc>
          <w:tcPr>
            <w:tcW w:w="664" w:type="dxa"/>
            <w:vAlign w:val="center"/>
          </w:tcPr>
          <w:p>
            <w:pPr>
              <w:jc w:val="center"/>
              <w:rPr>
                <w:rFonts w:asciiTheme="minorEastAsia" w:hAnsiTheme="minorEastAsia" w:eastAsiaTheme="minorEastAsia" w:cstheme="minorEastAsia"/>
                <w:color w:val="auto"/>
                <w:spacing w:val="-6"/>
                <w:szCs w:val="21"/>
              </w:rPr>
            </w:pPr>
            <w:r>
              <w:rPr>
                <w:rFonts w:hint="eastAsia" w:ascii="宋体" w:hAnsi="宋体" w:cs="宋体"/>
                <w:color w:val="auto"/>
                <w:spacing w:val="-6"/>
                <w:szCs w:val="21"/>
                <w:lang w:val="en-US" w:eastAsia="zh-CN"/>
              </w:rPr>
              <w:t>48</w:t>
            </w:r>
            <w:r>
              <w:rPr>
                <w:rFonts w:hint="eastAsia" w:ascii="宋体" w:hAnsi="宋体" w:cs="宋体"/>
                <w:color w:val="auto"/>
                <w:spacing w:val="-6"/>
                <w:szCs w:val="21"/>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交货方案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根据投标供应商针对本项目提供的交货方案（包含项目对接、人员安排、交货计划、货物运输、交货期保障措施、安装调试步骤及措施、技术培训等）进行评分：</w:t>
            </w:r>
          </w:p>
          <w:p>
            <w:pPr>
              <w:ind w:left="-4" w:leftChars="-2" w:firstLine="2" w:firstLineChars="1"/>
              <w:rPr>
                <w:rFonts w:ascii="宋体" w:hAnsi="宋体" w:cs="宋体"/>
                <w:spacing w:val="-6"/>
                <w:szCs w:val="21"/>
              </w:rPr>
            </w:pPr>
            <w:r>
              <w:rPr>
                <w:rFonts w:hint="eastAsia" w:ascii="宋体" w:hAnsi="宋体" w:cs="宋体"/>
                <w:szCs w:val="21"/>
              </w:rPr>
              <w:t>方案全面详细、科学合理、可行，针对性强的，</w:t>
            </w:r>
            <w:r>
              <w:rPr>
                <w:rFonts w:hint="eastAsia" w:ascii="宋体" w:hAnsi="宋体" w:cs="宋体"/>
                <w:spacing w:val="-6"/>
                <w:szCs w:val="21"/>
              </w:rPr>
              <w:t>得3分；</w:t>
            </w:r>
          </w:p>
          <w:p>
            <w:pPr>
              <w:ind w:left="-4" w:leftChars="-2" w:firstLine="2" w:firstLineChars="1"/>
              <w:rPr>
                <w:rFonts w:ascii="宋体" w:hAnsi="宋体" w:cs="宋体"/>
                <w:szCs w:val="21"/>
              </w:rPr>
            </w:pPr>
            <w:r>
              <w:rPr>
                <w:rFonts w:hint="eastAsia" w:ascii="宋体" w:hAnsi="宋体" w:cs="宋体"/>
                <w:szCs w:val="21"/>
              </w:rPr>
              <w:t>方案全面详细、合理、可行，</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ind w:left="-4" w:leftChars="-2" w:firstLine="2" w:firstLineChars="1"/>
              <w:rPr>
                <w:rFonts w:ascii="宋体" w:hAnsi="宋体" w:cs="宋体"/>
                <w:szCs w:val="21"/>
                <w:highlight w:val="yellow"/>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jc w:val="center"/>
              <w:rPr>
                <w:rFonts w:ascii="宋体" w:hAnsi="宋体" w:cs="宋体"/>
                <w:szCs w:val="21"/>
                <w:highlight w:val="yellow"/>
              </w:rPr>
            </w:pPr>
            <w:r>
              <w:rPr>
                <w:rFonts w:hint="eastAsia" w:ascii="宋体" w:hAnsi="宋体" w:cs="宋体"/>
                <w:szCs w:val="21"/>
              </w:rPr>
              <w:t>3分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8" w:hRule="atLeast"/>
        </w:trPr>
        <w:tc>
          <w:tcPr>
            <w:tcW w:w="736" w:type="dxa"/>
            <w:vMerge w:val="continue"/>
            <w:vAlign w:val="center"/>
          </w:tcPr>
          <w:p>
            <w:pPr>
              <w:jc w:val="center"/>
              <w:rPr>
                <w:rFonts w:asciiTheme="minorEastAsia" w:hAnsiTheme="minorEastAsia" w:eastAsiaTheme="minorEastAsia" w:cstheme="minorEastAsia"/>
                <w:spacing w:val="-6"/>
                <w:szCs w:val="21"/>
              </w:rPr>
            </w:pPr>
          </w:p>
        </w:tc>
        <w:tc>
          <w:tcPr>
            <w:tcW w:w="1376" w:type="dxa"/>
            <w:vAlign w:val="center"/>
          </w:tcPr>
          <w:p>
            <w:pPr>
              <w:jc w:val="center"/>
              <w:rPr>
                <w:rFonts w:ascii="宋体" w:hAnsi="宋体" w:cs="宋体"/>
                <w:szCs w:val="21"/>
              </w:rPr>
            </w:pPr>
            <w:r>
              <w:rPr>
                <w:rFonts w:hint="eastAsia" w:ascii="宋体" w:hAnsi="宋体" w:cs="宋体"/>
                <w:szCs w:val="21"/>
              </w:rPr>
              <w:t>售后服务方案</w:t>
            </w:r>
          </w:p>
        </w:tc>
        <w:tc>
          <w:tcPr>
            <w:tcW w:w="6512" w:type="dxa"/>
            <w:vAlign w:val="center"/>
          </w:tcPr>
          <w:p>
            <w:pPr>
              <w:ind w:left="-4" w:leftChars="-2" w:firstLine="2" w:firstLineChars="1"/>
              <w:rPr>
                <w:rFonts w:ascii="宋体" w:hAnsi="宋体" w:cs="宋体"/>
                <w:szCs w:val="21"/>
              </w:rPr>
            </w:pPr>
            <w:r>
              <w:rPr>
                <w:rFonts w:hint="eastAsia" w:ascii="宋体" w:hAnsi="宋体" w:cs="宋体"/>
                <w:szCs w:val="21"/>
              </w:rPr>
              <w:t>根据投标供应商针对本项目提供的售后服务方案（包含服务标准和应急维修时间安排、质保期满后的承诺、备品备件、其它服务承诺等）进行评分：</w:t>
            </w:r>
          </w:p>
          <w:p>
            <w:pPr>
              <w:ind w:left="-4" w:leftChars="-2" w:firstLine="2" w:firstLineChars="1"/>
              <w:rPr>
                <w:rFonts w:ascii="宋体" w:hAnsi="宋体" w:cs="宋体"/>
                <w:szCs w:val="21"/>
              </w:rPr>
            </w:pPr>
            <w:r>
              <w:rPr>
                <w:rFonts w:hint="eastAsia" w:ascii="宋体" w:hAnsi="宋体" w:cs="宋体"/>
                <w:szCs w:val="21"/>
              </w:rPr>
              <w:t>方案全面详细、科学合理、可行，针对性强的，</w:t>
            </w:r>
            <w:r>
              <w:rPr>
                <w:rFonts w:hint="eastAsia" w:ascii="宋体" w:hAnsi="宋体" w:cs="宋体"/>
                <w:spacing w:val="-6"/>
                <w:szCs w:val="21"/>
              </w:rPr>
              <w:t>得2分；</w:t>
            </w:r>
          </w:p>
          <w:p>
            <w:pPr>
              <w:ind w:left="-4" w:leftChars="-2" w:firstLine="2" w:firstLineChars="1"/>
              <w:rPr>
                <w:rFonts w:ascii="宋体" w:hAnsi="宋体" w:cs="宋体"/>
                <w:szCs w:val="21"/>
              </w:rPr>
            </w:pPr>
            <w:r>
              <w:rPr>
                <w:rFonts w:hint="eastAsia" w:ascii="宋体" w:hAnsi="宋体" w:cs="宋体"/>
                <w:szCs w:val="21"/>
              </w:rPr>
              <w:t>方案基本详细、可行，</w:t>
            </w:r>
            <w:r>
              <w:rPr>
                <w:rFonts w:hint="eastAsia" w:ascii="宋体" w:hAnsi="宋体" w:cs="宋体"/>
                <w:spacing w:val="-6"/>
                <w:szCs w:val="21"/>
              </w:rPr>
              <w:t>得1分；</w:t>
            </w:r>
          </w:p>
          <w:p>
            <w:pPr>
              <w:widowControl/>
              <w:rPr>
                <w:rFonts w:ascii="仿宋" w:hAnsi="仿宋" w:cs="仿宋"/>
                <w:szCs w:val="21"/>
                <w:highlight w:val="yellow"/>
              </w:rPr>
            </w:pPr>
            <w:r>
              <w:rPr>
                <w:rFonts w:hint="eastAsia" w:ascii="宋体" w:hAnsi="宋体" w:cs="宋体"/>
                <w:szCs w:val="21"/>
              </w:rPr>
              <w:t>未提供、不可行的，</w:t>
            </w:r>
            <w:r>
              <w:rPr>
                <w:rFonts w:hint="eastAsia" w:ascii="宋体" w:hAnsi="宋体" w:cs="宋体"/>
                <w:spacing w:val="-6"/>
                <w:szCs w:val="21"/>
              </w:rPr>
              <w:t>得0分</w:t>
            </w:r>
            <w:r>
              <w:rPr>
                <w:rFonts w:hint="eastAsia" w:ascii="宋体" w:hAnsi="宋体" w:cs="宋体"/>
                <w:szCs w:val="21"/>
              </w:rPr>
              <w:t>。</w:t>
            </w:r>
          </w:p>
        </w:tc>
        <w:tc>
          <w:tcPr>
            <w:tcW w:w="664" w:type="dxa"/>
            <w:vAlign w:val="center"/>
          </w:tcPr>
          <w:p>
            <w:pPr>
              <w:rPr>
                <w:rFonts w:ascii="宋体" w:hAnsi="宋体" w:cs="宋体"/>
                <w:szCs w:val="21"/>
                <w:highlight w:val="yellow"/>
              </w:rPr>
            </w:pPr>
            <w:r>
              <w:rPr>
                <w:rFonts w:hint="eastAsia" w:ascii="宋体" w:hAnsi="宋体" w:cs="宋体"/>
                <w:spacing w:val="-6"/>
                <w:szCs w:val="21"/>
              </w:rPr>
              <w:t>2分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736" w:type="dxa"/>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总分</w:t>
            </w:r>
          </w:p>
        </w:tc>
        <w:tc>
          <w:tcPr>
            <w:tcW w:w="8552" w:type="dxa"/>
            <w:gridSpan w:val="3"/>
            <w:vAlign w:val="center"/>
          </w:tcPr>
          <w:p>
            <w:pPr>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100</w:t>
            </w:r>
          </w:p>
        </w:tc>
      </w:tr>
    </w:tbl>
    <w:p>
      <w:pPr>
        <w:spacing w:line="360" w:lineRule="auto"/>
        <w:rPr>
          <w:rFonts w:asciiTheme="minorEastAsia" w:hAnsiTheme="minorEastAsia" w:eastAsiaTheme="minorEastAsia" w:cstheme="minorEastAsia"/>
          <w:b/>
          <w:bCs/>
          <w:sz w:val="24"/>
        </w:rPr>
      </w:pPr>
    </w:p>
    <w:p>
      <w:pPr>
        <w:spacing w:line="360" w:lineRule="auto"/>
        <w:rPr>
          <w:rFonts w:asciiTheme="minorEastAsia" w:hAnsiTheme="minorEastAsia" w:eastAsiaTheme="minorEastAsia" w:cstheme="minorEastAsia"/>
          <w:b/>
          <w:bCs/>
          <w:sz w:val="24"/>
        </w:rPr>
      </w:pPr>
    </w:p>
    <w:p>
      <w:pPr>
        <w:spacing w:line="360" w:lineRule="auto"/>
        <w:rPr>
          <w:rFonts w:asciiTheme="minorEastAsia" w:hAnsiTheme="minorEastAsia" w:eastAsiaTheme="minorEastAsia" w:cstheme="minorEastAsia"/>
          <w:b/>
          <w:szCs w:val="21"/>
        </w:rPr>
        <w:sectPr>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30" w:name="_Toc10929"/>
      <w:r>
        <w:rPr>
          <w:rFonts w:hint="eastAsia" w:asciiTheme="minorEastAsia" w:hAnsiTheme="minorEastAsia" w:eastAsiaTheme="minorEastAsia" w:cstheme="minorEastAsia"/>
          <w:b/>
          <w:szCs w:val="21"/>
        </w:rPr>
        <w:t>四、评定办法</w:t>
      </w:r>
      <w:bookmarkEnd w:id="130"/>
    </w:p>
    <w:p>
      <w:pPr>
        <w:numPr>
          <w:ilvl w:val="3"/>
          <w:numId w:val="4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4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4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44"/>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4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4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43"/>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31" w:name="_Toc18799"/>
      <w:r>
        <w:rPr>
          <w:rFonts w:hint="eastAsia" w:asciiTheme="minorEastAsia" w:hAnsiTheme="minorEastAsia" w:eastAsiaTheme="minorEastAsia" w:cstheme="minorEastAsia"/>
          <w:b/>
          <w:szCs w:val="21"/>
        </w:rPr>
        <w:t>五、磋商及评审步骤</w:t>
      </w:r>
      <w:bookmarkEnd w:id="131"/>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32" w:name="_Toc211783328"/>
      <w:bookmarkStart w:id="133" w:name="_Toc318643471"/>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34" w:name="_Toc29970"/>
      <w:r>
        <w:rPr>
          <w:rFonts w:hint="eastAsia" w:asciiTheme="minorEastAsia" w:hAnsiTheme="minorEastAsia" w:eastAsiaTheme="minorEastAsia" w:cstheme="minorEastAsia"/>
          <w:sz w:val="36"/>
          <w:szCs w:val="36"/>
        </w:rPr>
        <w:t>供 货 协 议（第1包）</w:t>
      </w:r>
      <w:bookmarkEnd w:id="134"/>
    </w:p>
    <w:p>
      <w:pPr>
        <w:spacing w:line="360" w:lineRule="auto"/>
        <w:rPr>
          <w:sz w:val="24"/>
        </w:rPr>
      </w:pPr>
      <w:r>
        <w:rPr>
          <w:rFonts w:hint="eastAsia"/>
          <w:sz w:val="24"/>
        </w:rPr>
        <w:t>协议号：</w:t>
      </w:r>
    </w:p>
    <w:p>
      <w:pPr>
        <w:spacing w:line="360" w:lineRule="auto"/>
        <w:rPr>
          <w:rFonts w:ascii="宋体" w:hAnsi="宋体"/>
          <w:sz w:val="24"/>
        </w:rPr>
      </w:pPr>
      <w:r>
        <w:rPr>
          <w:rFonts w:hint="eastAsia" w:ascii="宋体" w:hAnsi="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sz w:val="24"/>
          <w:u w:val="single"/>
        </w:rPr>
      </w:pPr>
    </w:p>
    <w:p>
      <w:pPr>
        <w:spacing w:line="360" w:lineRule="auto"/>
        <w:rPr>
          <w:rFonts w:ascii="宋体" w:hAnsi="宋体"/>
          <w:b/>
          <w:sz w:val="24"/>
        </w:rPr>
      </w:pPr>
      <w:r>
        <w:rPr>
          <w:rFonts w:hint="eastAsia" w:ascii="宋体" w:hAnsi="宋体"/>
          <w:b/>
          <w:sz w:val="24"/>
        </w:rPr>
        <w:t>购货单位：</w:t>
      </w:r>
      <w:r>
        <w:rPr>
          <w:rFonts w:hint="eastAsia" w:ascii="宋体" w:hAnsi="宋体"/>
          <w:b/>
          <w:sz w:val="24"/>
          <w:u w:val="single"/>
        </w:rPr>
        <w:t>湖北工业大学</w:t>
      </w:r>
      <w:r>
        <w:rPr>
          <w:rFonts w:hint="eastAsia" w:ascii="宋体" w:hAnsi="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ascii="宋体" w:hAnsi="宋体"/>
          <w:b/>
          <w:sz w:val="24"/>
        </w:rPr>
      </w:pPr>
    </w:p>
    <w:p>
      <w:pPr>
        <w:spacing w:line="360" w:lineRule="auto"/>
        <w:rPr>
          <w:rFonts w:ascii="宋体" w:hAnsi="宋体"/>
          <w:b/>
          <w:sz w:val="24"/>
        </w:rPr>
      </w:pPr>
      <w:r>
        <w:rPr>
          <w:rFonts w:hint="eastAsia" w:ascii="宋体" w:hAnsi="宋体"/>
          <w:b/>
          <w:sz w:val="24"/>
        </w:rPr>
        <w:t>供货单位：</w:t>
      </w:r>
      <w:r>
        <w:rPr>
          <w:rFonts w:hint="eastAsia" w:ascii="Arial" w:hAnsi="Arial"/>
          <w:b/>
          <w:sz w:val="24"/>
          <w:u w:val="single"/>
        </w:rPr>
        <w:t xml:space="preserve">               </w:t>
      </w:r>
      <w:r>
        <w:rPr>
          <w:rFonts w:hint="eastAsia" w:ascii="宋体" w:hAnsi="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b/>
          <w:sz w:val="24"/>
        </w:rPr>
      </w:pPr>
      <w:r>
        <w:rPr>
          <w:rFonts w:hint="eastAsia" w:ascii="宋体" w:hAnsi="宋体"/>
          <w:b/>
          <w:sz w:val="24"/>
        </w:rPr>
        <w:t>住所：</w:t>
      </w:r>
    </w:p>
    <w:p>
      <w:pPr>
        <w:spacing w:line="360" w:lineRule="auto"/>
        <w:rPr>
          <w:rFonts w:ascii="宋体" w:hAnsi="宋体"/>
          <w:b/>
          <w:sz w:val="24"/>
        </w:rPr>
      </w:pPr>
      <w:r>
        <w:rPr>
          <w:rFonts w:hint="eastAsia" w:ascii="宋体" w:hAnsi="宋体"/>
          <w:b/>
          <w:sz w:val="24"/>
        </w:rPr>
        <w:t>法定代表人：</w:t>
      </w:r>
    </w:p>
    <w:p>
      <w:pPr>
        <w:spacing w:line="360" w:lineRule="auto"/>
        <w:rPr>
          <w:rFonts w:ascii="宋体" w:hAnsi="宋体"/>
          <w:b/>
          <w:sz w:val="24"/>
        </w:rPr>
      </w:pPr>
    </w:p>
    <w:p>
      <w:pPr>
        <w:spacing w:line="360" w:lineRule="auto"/>
        <w:ind w:firstLine="420"/>
        <w:rPr>
          <w:rFonts w:ascii="宋体" w:hAnsi="宋体"/>
          <w:sz w:val="24"/>
        </w:rPr>
      </w:pPr>
      <w:r>
        <w:rPr>
          <w:rFonts w:hint="eastAsia" w:ascii="宋体" w:hAnsi="宋体"/>
          <w:sz w:val="24"/>
        </w:rPr>
        <w:t>甲乙双方</w:t>
      </w:r>
      <w:r>
        <w:rPr>
          <w:rFonts w:hint="eastAsia"/>
          <w:sz w:val="24"/>
        </w:rPr>
        <w:t>根据《中华人民共和国民法典》相关规定，</w:t>
      </w:r>
      <w:r>
        <w:rPr>
          <w:rFonts w:hint="eastAsia" w:ascii="宋体" w:hAnsi="宋体"/>
          <w:sz w:val="24"/>
        </w:rPr>
        <w:t>为增强双方的责任，经甲乙双方友好协商一致，特订立本协议，以资甲乙双方共同遵守。</w:t>
      </w:r>
    </w:p>
    <w:p>
      <w:pPr>
        <w:spacing w:line="360" w:lineRule="auto"/>
        <w:ind w:left="360"/>
        <w:rPr>
          <w:rFonts w:ascii="宋体" w:hAnsi="宋体"/>
          <w:b/>
          <w:bCs/>
          <w:sz w:val="24"/>
        </w:rPr>
      </w:pPr>
      <w:r>
        <w:rPr>
          <w:rFonts w:hint="eastAsia" w:ascii="宋体" w:hAnsi="宋体"/>
          <w:b/>
          <w:sz w:val="24"/>
        </w:rPr>
        <w:t>一、设备名称、规格、配置、数量及价格如下</w:t>
      </w:r>
      <w:r>
        <w:rPr>
          <w:rFonts w:hint="eastAsia" w:ascii="宋体" w:hAnsi="宋体"/>
          <w:b/>
          <w:bCs/>
          <w:sz w:val="24"/>
        </w:rPr>
        <w:t>:</w:t>
      </w:r>
    </w:p>
    <w:tbl>
      <w:tblPr>
        <w:tblStyle w:val="27"/>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
        <w:gridCol w:w="1274"/>
        <w:gridCol w:w="749"/>
        <w:gridCol w:w="728"/>
        <w:gridCol w:w="760"/>
        <w:gridCol w:w="2219"/>
        <w:gridCol w:w="719"/>
        <w:gridCol w:w="1300"/>
        <w:gridCol w:w="14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384" w:type="dxa"/>
            <w:vAlign w:val="center"/>
          </w:tcPr>
          <w:p>
            <w:pPr>
              <w:kinsoku w:val="0"/>
              <w:overflowPunct w:val="0"/>
              <w:autoSpaceDE w:val="0"/>
              <w:autoSpaceDN w:val="0"/>
              <w:adjustRightInd w:val="0"/>
              <w:snapToGrid w:val="0"/>
              <w:spacing w:line="360" w:lineRule="auto"/>
              <w:rPr>
                <w:b/>
                <w:bCs/>
                <w:snapToGrid w:val="0"/>
                <w:kern w:val="0"/>
                <w:sz w:val="24"/>
              </w:rPr>
            </w:pPr>
          </w:p>
        </w:tc>
        <w:tc>
          <w:tcPr>
            <w:tcW w:w="1274" w:type="dxa"/>
            <w:vAlign w:val="center"/>
          </w:tcPr>
          <w:p>
            <w:pPr>
              <w:kinsoku w:val="0"/>
              <w:overflowPunct w:val="0"/>
              <w:autoSpaceDE w:val="0"/>
              <w:autoSpaceDN w:val="0"/>
              <w:adjustRightInd w:val="0"/>
              <w:snapToGrid w:val="0"/>
              <w:spacing w:line="360" w:lineRule="auto"/>
              <w:rPr>
                <w:b/>
                <w:bCs/>
                <w:snapToGrid w:val="0"/>
                <w:kern w:val="0"/>
                <w:sz w:val="24"/>
              </w:rPr>
            </w:pPr>
            <w:r>
              <w:rPr>
                <w:rFonts w:hint="eastAsia"/>
                <w:b/>
                <w:bCs/>
                <w:snapToGrid w:val="0"/>
                <w:kern w:val="0"/>
                <w:sz w:val="24"/>
              </w:rPr>
              <w:t>设备名称</w:t>
            </w:r>
          </w:p>
        </w:tc>
        <w:tc>
          <w:tcPr>
            <w:tcW w:w="749"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品牌</w:t>
            </w:r>
          </w:p>
        </w:tc>
        <w:tc>
          <w:tcPr>
            <w:tcW w:w="728"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型号</w:t>
            </w:r>
          </w:p>
        </w:tc>
        <w:tc>
          <w:tcPr>
            <w:tcW w:w="760"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产地</w:t>
            </w:r>
          </w:p>
        </w:tc>
        <w:tc>
          <w:tcPr>
            <w:tcW w:w="2219"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配置/技术参数</w:t>
            </w:r>
          </w:p>
        </w:tc>
        <w:tc>
          <w:tcPr>
            <w:tcW w:w="719"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数量</w:t>
            </w:r>
          </w:p>
        </w:tc>
        <w:tc>
          <w:tcPr>
            <w:tcW w:w="1300"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单价（元）</w:t>
            </w:r>
          </w:p>
        </w:tc>
        <w:tc>
          <w:tcPr>
            <w:tcW w:w="1439" w:type="dxa"/>
            <w:vAlign w:val="center"/>
          </w:tcPr>
          <w:p>
            <w:pPr>
              <w:kinsoku w:val="0"/>
              <w:overflowPunct w:val="0"/>
              <w:autoSpaceDE w:val="0"/>
              <w:autoSpaceDN w:val="0"/>
              <w:adjustRightInd w:val="0"/>
              <w:snapToGrid w:val="0"/>
              <w:spacing w:line="360" w:lineRule="auto"/>
              <w:jc w:val="center"/>
              <w:rPr>
                <w:b/>
                <w:bCs/>
                <w:snapToGrid w:val="0"/>
                <w:kern w:val="0"/>
                <w:sz w:val="24"/>
              </w:rPr>
            </w:pPr>
            <w:r>
              <w:rPr>
                <w:rFonts w:hint="eastAsia"/>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adjustRightInd w:val="0"/>
              <w:snapToGrid w:val="0"/>
              <w:spacing w:line="360" w:lineRule="auto"/>
              <w:jc w:val="center"/>
              <w:rPr>
                <w:snapToGrid w:val="0"/>
                <w:kern w:val="0"/>
                <w:sz w:val="24"/>
              </w:rPr>
            </w:pPr>
          </w:p>
        </w:tc>
        <w:tc>
          <w:tcPr>
            <w:tcW w:w="1274" w:type="dxa"/>
            <w:vAlign w:val="center"/>
          </w:tcPr>
          <w:p>
            <w:pPr>
              <w:adjustRightInd w:val="0"/>
              <w:snapToGrid w:val="0"/>
              <w:spacing w:line="360" w:lineRule="auto"/>
              <w:jc w:val="center"/>
              <w:rPr>
                <w:snapToGrid w:val="0"/>
                <w:kern w:val="0"/>
                <w:sz w:val="24"/>
              </w:rPr>
            </w:pPr>
          </w:p>
        </w:tc>
        <w:tc>
          <w:tcPr>
            <w:tcW w:w="749" w:type="dxa"/>
            <w:vAlign w:val="center"/>
          </w:tcPr>
          <w:p>
            <w:pPr>
              <w:adjustRightInd w:val="0"/>
              <w:snapToGrid w:val="0"/>
              <w:spacing w:line="360" w:lineRule="auto"/>
              <w:jc w:val="center"/>
              <w:rPr>
                <w:snapToGrid w:val="0"/>
                <w:kern w:val="0"/>
                <w:sz w:val="24"/>
              </w:rPr>
            </w:pPr>
          </w:p>
        </w:tc>
        <w:tc>
          <w:tcPr>
            <w:tcW w:w="728" w:type="dxa"/>
            <w:vAlign w:val="center"/>
          </w:tcPr>
          <w:p>
            <w:pPr>
              <w:adjustRightInd w:val="0"/>
              <w:snapToGrid w:val="0"/>
              <w:spacing w:line="360" w:lineRule="auto"/>
              <w:jc w:val="center"/>
              <w:rPr>
                <w:snapToGrid w:val="0"/>
                <w:kern w:val="0"/>
                <w:sz w:val="24"/>
              </w:rPr>
            </w:pPr>
          </w:p>
        </w:tc>
        <w:tc>
          <w:tcPr>
            <w:tcW w:w="760" w:type="dxa"/>
            <w:vAlign w:val="center"/>
          </w:tcPr>
          <w:p>
            <w:pPr>
              <w:adjustRightInd w:val="0"/>
              <w:snapToGrid w:val="0"/>
              <w:spacing w:line="360" w:lineRule="auto"/>
              <w:jc w:val="center"/>
              <w:rPr>
                <w:snapToGrid w:val="0"/>
                <w:kern w:val="0"/>
                <w:sz w:val="24"/>
              </w:rPr>
            </w:pPr>
          </w:p>
        </w:tc>
        <w:tc>
          <w:tcPr>
            <w:tcW w:w="2219" w:type="dxa"/>
            <w:vAlign w:val="center"/>
          </w:tcPr>
          <w:p>
            <w:pPr>
              <w:adjustRightInd w:val="0"/>
              <w:snapToGrid w:val="0"/>
              <w:spacing w:line="360" w:lineRule="auto"/>
              <w:rPr>
                <w:snapToGrid w:val="0"/>
                <w:kern w:val="0"/>
                <w:sz w:val="24"/>
              </w:rPr>
            </w:pPr>
          </w:p>
        </w:tc>
        <w:tc>
          <w:tcPr>
            <w:tcW w:w="719" w:type="dxa"/>
            <w:vAlign w:val="center"/>
          </w:tcPr>
          <w:p>
            <w:pPr>
              <w:adjustRightInd w:val="0"/>
              <w:snapToGrid w:val="0"/>
              <w:spacing w:line="360" w:lineRule="auto"/>
              <w:jc w:val="center"/>
              <w:rPr>
                <w:snapToGrid w:val="0"/>
                <w:kern w:val="0"/>
                <w:sz w:val="24"/>
              </w:rPr>
            </w:pPr>
          </w:p>
        </w:tc>
        <w:tc>
          <w:tcPr>
            <w:tcW w:w="1300" w:type="dxa"/>
            <w:vAlign w:val="center"/>
          </w:tcPr>
          <w:p>
            <w:pPr>
              <w:adjustRightInd w:val="0"/>
              <w:snapToGrid w:val="0"/>
              <w:spacing w:line="360" w:lineRule="auto"/>
              <w:rPr>
                <w:snapToGrid w:val="0"/>
                <w:kern w:val="0"/>
                <w:sz w:val="24"/>
              </w:rPr>
            </w:pPr>
          </w:p>
        </w:tc>
        <w:tc>
          <w:tcPr>
            <w:tcW w:w="1439" w:type="dxa"/>
            <w:vAlign w:val="center"/>
          </w:tcPr>
          <w:p>
            <w:pPr>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tcPr>
          <w:p>
            <w:pPr>
              <w:kinsoku w:val="0"/>
              <w:overflowPunct w:val="0"/>
              <w:autoSpaceDE w:val="0"/>
              <w:autoSpaceDN w:val="0"/>
              <w:adjustRightInd w:val="0"/>
              <w:snapToGrid w:val="0"/>
              <w:spacing w:line="360" w:lineRule="auto"/>
              <w:rPr>
                <w:snapToGrid w:val="0"/>
                <w:kern w:val="0"/>
                <w:sz w:val="24"/>
              </w:rPr>
            </w:pPr>
          </w:p>
        </w:tc>
        <w:tc>
          <w:tcPr>
            <w:tcW w:w="719" w:type="dxa"/>
          </w:tcPr>
          <w:p>
            <w:pPr>
              <w:kinsoku w:val="0"/>
              <w:overflowPunct w:val="0"/>
              <w:autoSpaceDE w:val="0"/>
              <w:autoSpaceDN w:val="0"/>
              <w:adjustRightInd w:val="0"/>
              <w:snapToGrid w:val="0"/>
              <w:spacing w:line="360" w:lineRule="auto"/>
              <w:jc w:val="center"/>
              <w:rPr>
                <w:snapToGrid w:val="0"/>
                <w:kern w:val="0"/>
                <w:sz w:val="24"/>
              </w:rPr>
            </w:pPr>
          </w:p>
        </w:tc>
        <w:tc>
          <w:tcPr>
            <w:tcW w:w="1300" w:type="dxa"/>
          </w:tcPr>
          <w:p>
            <w:pPr>
              <w:kinsoku w:val="0"/>
              <w:overflowPunct w:val="0"/>
              <w:autoSpaceDE w:val="0"/>
              <w:autoSpaceDN w:val="0"/>
              <w:adjustRightInd w:val="0"/>
              <w:snapToGrid w:val="0"/>
              <w:spacing w:line="360" w:lineRule="auto"/>
              <w:rPr>
                <w:snapToGrid w:val="0"/>
                <w:kern w:val="0"/>
                <w:sz w:val="24"/>
              </w:rPr>
            </w:pPr>
          </w:p>
        </w:tc>
        <w:tc>
          <w:tcPr>
            <w:tcW w:w="1439" w:type="dxa"/>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tcPr>
          <w:p>
            <w:pPr>
              <w:kinsoku w:val="0"/>
              <w:overflowPunct w:val="0"/>
              <w:autoSpaceDE w:val="0"/>
              <w:autoSpaceDN w:val="0"/>
              <w:adjustRightInd w:val="0"/>
              <w:snapToGrid w:val="0"/>
              <w:spacing w:line="360" w:lineRule="auto"/>
              <w:rPr>
                <w:snapToGrid w:val="0"/>
                <w:kern w:val="0"/>
                <w:sz w:val="24"/>
              </w:rPr>
            </w:pPr>
          </w:p>
        </w:tc>
        <w:tc>
          <w:tcPr>
            <w:tcW w:w="719" w:type="dxa"/>
          </w:tcPr>
          <w:p>
            <w:pPr>
              <w:kinsoku w:val="0"/>
              <w:overflowPunct w:val="0"/>
              <w:autoSpaceDE w:val="0"/>
              <w:autoSpaceDN w:val="0"/>
              <w:adjustRightInd w:val="0"/>
              <w:snapToGrid w:val="0"/>
              <w:spacing w:line="360" w:lineRule="auto"/>
              <w:jc w:val="center"/>
              <w:rPr>
                <w:snapToGrid w:val="0"/>
                <w:kern w:val="0"/>
                <w:sz w:val="24"/>
              </w:rPr>
            </w:pPr>
          </w:p>
        </w:tc>
        <w:tc>
          <w:tcPr>
            <w:tcW w:w="1300" w:type="dxa"/>
          </w:tcPr>
          <w:p>
            <w:pPr>
              <w:kinsoku w:val="0"/>
              <w:overflowPunct w:val="0"/>
              <w:autoSpaceDE w:val="0"/>
              <w:autoSpaceDN w:val="0"/>
              <w:adjustRightInd w:val="0"/>
              <w:snapToGrid w:val="0"/>
              <w:spacing w:line="360" w:lineRule="auto"/>
              <w:rPr>
                <w:snapToGrid w:val="0"/>
                <w:kern w:val="0"/>
                <w:sz w:val="24"/>
              </w:rPr>
            </w:pPr>
          </w:p>
        </w:tc>
        <w:tc>
          <w:tcPr>
            <w:tcW w:w="1439" w:type="dxa"/>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tcPr>
          <w:p>
            <w:pPr>
              <w:kinsoku w:val="0"/>
              <w:overflowPunct w:val="0"/>
              <w:autoSpaceDE w:val="0"/>
              <w:autoSpaceDN w:val="0"/>
              <w:adjustRightInd w:val="0"/>
              <w:snapToGrid w:val="0"/>
              <w:spacing w:line="360" w:lineRule="auto"/>
              <w:rPr>
                <w:snapToGrid w:val="0"/>
                <w:kern w:val="0"/>
                <w:sz w:val="24"/>
              </w:rPr>
            </w:pPr>
          </w:p>
        </w:tc>
        <w:tc>
          <w:tcPr>
            <w:tcW w:w="719" w:type="dxa"/>
          </w:tcPr>
          <w:p>
            <w:pPr>
              <w:kinsoku w:val="0"/>
              <w:overflowPunct w:val="0"/>
              <w:autoSpaceDE w:val="0"/>
              <w:autoSpaceDN w:val="0"/>
              <w:adjustRightInd w:val="0"/>
              <w:snapToGrid w:val="0"/>
              <w:spacing w:line="360" w:lineRule="auto"/>
              <w:jc w:val="center"/>
              <w:rPr>
                <w:snapToGrid w:val="0"/>
                <w:kern w:val="0"/>
                <w:sz w:val="24"/>
              </w:rPr>
            </w:pPr>
          </w:p>
        </w:tc>
        <w:tc>
          <w:tcPr>
            <w:tcW w:w="1300" w:type="dxa"/>
          </w:tcPr>
          <w:p>
            <w:pPr>
              <w:kinsoku w:val="0"/>
              <w:overflowPunct w:val="0"/>
              <w:autoSpaceDE w:val="0"/>
              <w:autoSpaceDN w:val="0"/>
              <w:adjustRightInd w:val="0"/>
              <w:snapToGrid w:val="0"/>
              <w:spacing w:line="360" w:lineRule="auto"/>
              <w:rPr>
                <w:snapToGrid w:val="0"/>
                <w:kern w:val="0"/>
                <w:sz w:val="24"/>
              </w:rPr>
            </w:pPr>
          </w:p>
        </w:tc>
        <w:tc>
          <w:tcPr>
            <w:tcW w:w="1439" w:type="dxa"/>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tcPr>
          <w:p>
            <w:pPr>
              <w:kinsoku w:val="0"/>
              <w:overflowPunct w:val="0"/>
              <w:autoSpaceDE w:val="0"/>
              <w:autoSpaceDN w:val="0"/>
              <w:adjustRightInd w:val="0"/>
              <w:snapToGrid w:val="0"/>
              <w:spacing w:line="360" w:lineRule="auto"/>
              <w:rPr>
                <w:snapToGrid w:val="0"/>
                <w:kern w:val="0"/>
                <w:sz w:val="24"/>
              </w:rPr>
            </w:pPr>
          </w:p>
        </w:tc>
        <w:tc>
          <w:tcPr>
            <w:tcW w:w="719" w:type="dxa"/>
          </w:tcPr>
          <w:p>
            <w:pPr>
              <w:kinsoku w:val="0"/>
              <w:overflowPunct w:val="0"/>
              <w:autoSpaceDE w:val="0"/>
              <w:autoSpaceDN w:val="0"/>
              <w:adjustRightInd w:val="0"/>
              <w:snapToGrid w:val="0"/>
              <w:spacing w:line="360" w:lineRule="auto"/>
              <w:jc w:val="center"/>
              <w:rPr>
                <w:snapToGrid w:val="0"/>
                <w:kern w:val="0"/>
                <w:sz w:val="24"/>
              </w:rPr>
            </w:pPr>
          </w:p>
        </w:tc>
        <w:tc>
          <w:tcPr>
            <w:tcW w:w="1300" w:type="dxa"/>
          </w:tcPr>
          <w:p>
            <w:pPr>
              <w:kinsoku w:val="0"/>
              <w:overflowPunct w:val="0"/>
              <w:autoSpaceDE w:val="0"/>
              <w:autoSpaceDN w:val="0"/>
              <w:adjustRightInd w:val="0"/>
              <w:snapToGrid w:val="0"/>
              <w:spacing w:line="360" w:lineRule="auto"/>
              <w:rPr>
                <w:snapToGrid w:val="0"/>
                <w:kern w:val="0"/>
                <w:sz w:val="24"/>
              </w:rPr>
            </w:pPr>
          </w:p>
        </w:tc>
        <w:tc>
          <w:tcPr>
            <w:tcW w:w="1439" w:type="dxa"/>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vAlign w:val="center"/>
          </w:tcPr>
          <w:p>
            <w:pPr>
              <w:kinsoku w:val="0"/>
              <w:overflowPunct w:val="0"/>
              <w:autoSpaceDE w:val="0"/>
              <w:autoSpaceDN w:val="0"/>
              <w:adjustRightInd w:val="0"/>
              <w:snapToGrid w:val="0"/>
              <w:spacing w:line="360" w:lineRule="auto"/>
              <w:rPr>
                <w:snapToGrid w:val="0"/>
                <w:kern w:val="0"/>
                <w:sz w:val="24"/>
              </w:rPr>
            </w:pPr>
          </w:p>
        </w:tc>
        <w:tc>
          <w:tcPr>
            <w:tcW w:w="71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300" w:type="dxa"/>
            <w:vAlign w:val="center"/>
          </w:tcPr>
          <w:p>
            <w:pPr>
              <w:kinsoku w:val="0"/>
              <w:overflowPunct w:val="0"/>
              <w:autoSpaceDE w:val="0"/>
              <w:autoSpaceDN w:val="0"/>
              <w:adjustRightInd w:val="0"/>
              <w:snapToGrid w:val="0"/>
              <w:spacing w:line="360" w:lineRule="auto"/>
              <w:rPr>
                <w:snapToGrid w:val="0"/>
                <w:kern w:val="0"/>
                <w:sz w:val="24"/>
              </w:rPr>
            </w:pPr>
          </w:p>
        </w:tc>
        <w:tc>
          <w:tcPr>
            <w:tcW w:w="1439" w:type="dxa"/>
            <w:vAlign w:val="center"/>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38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1274"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49"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28"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760" w:type="dxa"/>
            <w:vAlign w:val="center"/>
          </w:tcPr>
          <w:p>
            <w:pPr>
              <w:kinsoku w:val="0"/>
              <w:overflowPunct w:val="0"/>
              <w:autoSpaceDE w:val="0"/>
              <w:autoSpaceDN w:val="0"/>
              <w:adjustRightInd w:val="0"/>
              <w:snapToGrid w:val="0"/>
              <w:spacing w:line="360" w:lineRule="auto"/>
              <w:jc w:val="center"/>
              <w:rPr>
                <w:snapToGrid w:val="0"/>
                <w:kern w:val="0"/>
                <w:sz w:val="24"/>
              </w:rPr>
            </w:pPr>
          </w:p>
        </w:tc>
        <w:tc>
          <w:tcPr>
            <w:tcW w:w="2219" w:type="dxa"/>
            <w:vAlign w:val="center"/>
          </w:tcPr>
          <w:p>
            <w:pPr>
              <w:kinsoku w:val="0"/>
              <w:overflowPunct w:val="0"/>
              <w:autoSpaceDE w:val="0"/>
              <w:autoSpaceDN w:val="0"/>
              <w:adjustRightInd w:val="0"/>
              <w:snapToGrid w:val="0"/>
              <w:spacing w:line="360" w:lineRule="auto"/>
              <w:rPr>
                <w:snapToGrid w:val="0"/>
                <w:kern w:val="0"/>
                <w:sz w:val="24"/>
              </w:rPr>
            </w:pPr>
          </w:p>
        </w:tc>
        <w:tc>
          <w:tcPr>
            <w:tcW w:w="719" w:type="dxa"/>
            <w:vAlign w:val="center"/>
          </w:tcPr>
          <w:p>
            <w:pPr>
              <w:kinsoku w:val="0"/>
              <w:overflowPunct w:val="0"/>
              <w:autoSpaceDE w:val="0"/>
              <w:autoSpaceDN w:val="0"/>
              <w:adjustRightInd w:val="0"/>
              <w:snapToGrid w:val="0"/>
              <w:spacing w:line="360" w:lineRule="auto"/>
              <w:rPr>
                <w:snapToGrid w:val="0"/>
                <w:kern w:val="0"/>
                <w:sz w:val="24"/>
              </w:rPr>
            </w:pPr>
          </w:p>
        </w:tc>
        <w:tc>
          <w:tcPr>
            <w:tcW w:w="1300" w:type="dxa"/>
            <w:vAlign w:val="center"/>
          </w:tcPr>
          <w:p>
            <w:pPr>
              <w:kinsoku w:val="0"/>
              <w:overflowPunct w:val="0"/>
              <w:autoSpaceDE w:val="0"/>
              <w:autoSpaceDN w:val="0"/>
              <w:adjustRightInd w:val="0"/>
              <w:snapToGrid w:val="0"/>
              <w:spacing w:line="360" w:lineRule="auto"/>
              <w:rPr>
                <w:snapToGrid w:val="0"/>
                <w:kern w:val="0"/>
                <w:sz w:val="24"/>
              </w:rPr>
            </w:pPr>
          </w:p>
        </w:tc>
        <w:tc>
          <w:tcPr>
            <w:tcW w:w="1439" w:type="dxa"/>
            <w:vAlign w:val="center"/>
          </w:tcPr>
          <w:p>
            <w:pPr>
              <w:kinsoku w:val="0"/>
              <w:overflowPunct w:val="0"/>
              <w:autoSpaceDE w:val="0"/>
              <w:autoSpaceDN w:val="0"/>
              <w:adjustRightInd w:val="0"/>
              <w:snapToGrid w:val="0"/>
              <w:spacing w:line="360" w:lineRule="auto"/>
              <w:rPr>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9572" w:type="dxa"/>
            <w:gridSpan w:val="9"/>
            <w:vAlign w:val="center"/>
          </w:tcPr>
          <w:p>
            <w:pPr>
              <w:kinsoku w:val="0"/>
              <w:overflowPunct w:val="0"/>
              <w:autoSpaceDE w:val="0"/>
              <w:autoSpaceDN w:val="0"/>
              <w:adjustRightInd w:val="0"/>
              <w:snapToGrid w:val="0"/>
              <w:spacing w:line="360" w:lineRule="auto"/>
              <w:ind w:firstLine="600" w:firstLineChars="250"/>
              <w:rPr>
                <w:rFonts w:ascii="Arial" w:hAnsi="Arial"/>
                <w:b/>
                <w:color w:val="000000"/>
                <w:kern w:val="0"/>
                <w:sz w:val="24"/>
              </w:rPr>
            </w:pPr>
            <w:r>
              <w:rPr>
                <w:rFonts w:hint="eastAsia"/>
                <w:snapToGrid w:val="0"/>
                <w:kern w:val="0"/>
                <w:sz w:val="24"/>
              </w:rPr>
              <w:t>合计</w:t>
            </w:r>
            <w:r>
              <w:rPr>
                <w:rFonts w:hint="eastAsia" w:ascii="宋体" w:hAnsi="宋体"/>
                <w:b/>
                <w:sz w:val="24"/>
              </w:rPr>
              <w:t xml:space="preserve">（人民币）:          </w:t>
            </w:r>
            <w:r>
              <w:rPr>
                <w:rFonts w:hint="eastAsia" w:ascii="Arial" w:hAnsi="Arial"/>
                <w:b/>
                <w:color w:val="000000"/>
                <w:kern w:val="0"/>
                <w:sz w:val="24"/>
              </w:rPr>
              <w:t>元整（</w:t>
            </w:r>
            <w:r>
              <w:rPr>
                <w:rFonts w:ascii="Arial" w:hAnsi="Arial"/>
                <w:b/>
                <w:color w:val="000000"/>
                <w:kern w:val="0"/>
                <w:sz w:val="24"/>
              </w:rPr>
              <w:t>￥</w:t>
            </w:r>
            <w:r>
              <w:rPr>
                <w:rFonts w:hint="eastAsia" w:ascii="Arial" w:hAnsi="Arial"/>
                <w:b/>
                <w:color w:val="000000"/>
                <w:kern w:val="0"/>
                <w:sz w:val="24"/>
              </w:rPr>
              <w:t>：    元）</w:t>
            </w:r>
          </w:p>
          <w:p>
            <w:pPr>
              <w:kinsoku w:val="0"/>
              <w:overflowPunct w:val="0"/>
              <w:autoSpaceDE w:val="0"/>
              <w:autoSpaceDN w:val="0"/>
              <w:adjustRightInd w:val="0"/>
              <w:snapToGrid w:val="0"/>
              <w:spacing w:line="360" w:lineRule="auto"/>
              <w:rPr>
                <w:rFonts w:ascii="仿宋_GB2312" w:eastAsia="仿宋_GB2312"/>
                <w:sz w:val="24"/>
              </w:rPr>
            </w:pPr>
            <w:r>
              <w:rPr>
                <w:rFonts w:hint="eastAsia" w:ascii="Arial" w:hAnsi="Arial"/>
                <w:b/>
                <w:sz w:val="24"/>
              </w:rPr>
              <w:t>注：</w:t>
            </w:r>
            <w:r>
              <w:rPr>
                <w:rFonts w:hint="eastAsia" w:ascii="仿宋_GB2312" w:eastAsia="仿宋_GB2312"/>
                <w:sz w:val="24"/>
              </w:rPr>
              <w:t xml:space="preserve"> 1. 所提供设备必须为全新的，无瑕疵设备。</w:t>
            </w:r>
          </w:p>
          <w:p>
            <w:pPr>
              <w:snapToGrid w:val="0"/>
              <w:spacing w:line="360" w:lineRule="auto"/>
              <w:ind w:firstLine="600" w:firstLineChars="250"/>
              <w:rPr>
                <w:rFonts w:ascii="仿宋_GB2312" w:eastAsia="仿宋_GB2312"/>
                <w:sz w:val="24"/>
              </w:rPr>
            </w:pPr>
            <w:r>
              <w:rPr>
                <w:rFonts w:hint="eastAsia" w:ascii="仿宋_GB2312" w:eastAsia="仿宋_GB2312"/>
                <w:sz w:val="24"/>
              </w:rPr>
              <w:t>2．设备质量及包装必须符合中华人民共和国进出口货物相关法律、法规。</w:t>
            </w:r>
          </w:p>
          <w:p>
            <w:pPr>
              <w:kinsoku w:val="0"/>
              <w:overflowPunct w:val="0"/>
              <w:autoSpaceDE w:val="0"/>
              <w:autoSpaceDN w:val="0"/>
              <w:adjustRightInd w:val="0"/>
              <w:snapToGrid w:val="0"/>
              <w:spacing w:line="360" w:lineRule="auto"/>
              <w:ind w:firstLine="600" w:firstLineChars="250"/>
              <w:rPr>
                <w:rFonts w:ascii="仿宋_GB2312" w:eastAsia="仿宋_GB2312"/>
                <w:sz w:val="24"/>
              </w:rPr>
            </w:pPr>
            <w:r>
              <w:rPr>
                <w:rFonts w:hint="eastAsia" w:ascii="仿宋_GB2312" w:eastAsia="仿宋_GB2312"/>
                <w:sz w:val="24"/>
              </w:rPr>
              <w:t>3．所提供货物索赔期为      个月（从到岸时间开始计算）。</w:t>
            </w:r>
          </w:p>
        </w:tc>
      </w:tr>
    </w:tbl>
    <w:p>
      <w:pPr>
        <w:spacing w:line="360" w:lineRule="auto"/>
        <w:ind w:left="359" w:leftChars="171"/>
        <w:rPr>
          <w:rFonts w:ascii="宋体" w:hAnsi="宋体"/>
          <w:b/>
          <w:sz w:val="24"/>
        </w:rPr>
      </w:pPr>
      <w:r>
        <w:rPr>
          <w:rFonts w:hint="eastAsia" w:ascii="宋体" w:hAnsi="宋体"/>
          <w:b/>
          <w:sz w:val="24"/>
        </w:rPr>
        <w:t>技术负责人（签字）：</w:t>
      </w:r>
      <w:r>
        <w:rPr>
          <w:rFonts w:hint="eastAsia" w:ascii="宋体" w:hAnsi="宋体"/>
          <w:b/>
          <w:sz w:val="24"/>
          <w:u w:val="single"/>
        </w:rPr>
        <w:t xml:space="preserve">               </w:t>
      </w:r>
      <w:r>
        <w:rPr>
          <w:rFonts w:hint="eastAsia" w:ascii="宋体" w:hAnsi="宋体"/>
          <w:b/>
          <w:sz w:val="24"/>
        </w:rPr>
        <w:t xml:space="preserve">      部门负责人（签字）：</w:t>
      </w:r>
      <w:r>
        <w:rPr>
          <w:rFonts w:hint="eastAsia" w:ascii="宋体" w:hAnsi="宋体"/>
          <w:b/>
          <w:sz w:val="24"/>
          <w:u w:val="single"/>
        </w:rPr>
        <w:t xml:space="preserve">                 </w:t>
      </w:r>
    </w:p>
    <w:p>
      <w:pPr>
        <w:spacing w:line="360" w:lineRule="auto"/>
        <w:ind w:firstLine="482" w:firstLineChars="200"/>
        <w:rPr>
          <w:rFonts w:ascii="宋体" w:hAnsi="宋体"/>
          <w:sz w:val="24"/>
        </w:rPr>
      </w:pPr>
      <w:r>
        <w:rPr>
          <w:rFonts w:hint="eastAsia" w:ascii="宋体" w:hAnsi="宋体"/>
          <w:b/>
          <w:sz w:val="24"/>
        </w:rPr>
        <w:t xml:space="preserve">二、协议总金额（人民币）:          </w:t>
      </w:r>
      <w:r>
        <w:rPr>
          <w:rFonts w:hint="eastAsia" w:ascii="Arial" w:hAnsi="Arial"/>
          <w:b/>
          <w:color w:val="000000"/>
          <w:kern w:val="0"/>
          <w:sz w:val="24"/>
        </w:rPr>
        <w:t>元整（</w:t>
      </w:r>
      <w:r>
        <w:rPr>
          <w:rFonts w:ascii="Arial" w:hAnsi="Arial"/>
          <w:b/>
          <w:color w:val="000000"/>
          <w:kern w:val="0"/>
          <w:sz w:val="24"/>
        </w:rPr>
        <w:t>￥</w:t>
      </w:r>
      <w:r>
        <w:rPr>
          <w:rFonts w:hint="eastAsia" w:ascii="Arial" w:hAnsi="Arial"/>
          <w:b/>
          <w:color w:val="000000"/>
          <w:kern w:val="0"/>
          <w:sz w:val="24"/>
        </w:rPr>
        <w:t>：  元）</w:t>
      </w:r>
      <w:r>
        <w:rPr>
          <w:rFonts w:hint="eastAsia" w:ascii="宋体" w:hAnsi="宋体"/>
          <w:b/>
          <w:sz w:val="24"/>
        </w:rPr>
        <w:t>。含增值税、运费、安装调试费等，甲方无需支付其他费用。</w:t>
      </w:r>
    </w:p>
    <w:p>
      <w:pPr>
        <w:spacing w:line="360" w:lineRule="auto"/>
        <w:ind w:firstLine="482" w:firstLineChars="200"/>
        <w:rPr>
          <w:rFonts w:ascii="宋体" w:hAnsi="宋体"/>
          <w:b/>
          <w:sz w:val="24"/>
        </w:rPr>
      </w:pPr>
      <w:r>
        <w:rPr>
          <w:rFonts w:hint="eastAsia" w:ascii="宋体" w:hAnsi="宋体"/>
          <w:b/>
          <w:sz w:val="24"/>
        </w:rPr>
        <w:t>三、交货：</w:t>
      </w:r>
    </w:p>
    <w:p>
      <w:pPr>
        <w:spacing w:line="360" w:lineRule="auto"/>
        <w:ind w:left="360" w:firstLine="482" w:firstLineChars="200"/>
        <w:rPr>
          <w:rFonts w:ascii="宋体" w:hAnsi="宋体"/>
          <w:sz w:val="24"/>
        </w:rPr>
      </w:pPr>
      <w:r>
        <w:rPr>
          <w:rFonts w:hint="eastAsia" w:ascii="宋体" w:hAnsi="宋体"/>
          <w:b/>
          <w:sz w:val="24"/>
        </w:rPr>
        <w:t>1.交货时间：</w:t>
      </w:r>
      <w:r>
        <w:rPr>
          <w:rFonts w:hint="eastAsia" w:ascii="宋体" w:hAnsi="宋体"/>
          <w:sz w:val="24"/>
        </w:rPr>
        <w:t>乙方应在信用证开具</w:t>
      </w:r>
      <w:r>
        <w:rPr>
          <w:rFonts w:hint="eastAsia" w:ascii="宋体" w:hAnsi="宋体"/>
          <w:sz w:val="24"/>
          <w:u w:val="single"/>
        </w:rPr>
        <w:t xml:space="preserve">   </w:t>
      </w:r>
      <w:r>
        <w:rPr>
          <w:rFonts w:hint="eastAsia" w:ascii="宋体" w:hAnsi="宋体"/>
          <w:sz w:val="24"/>
        </w:rPr>
        <w:t>日内完成所有仪器设备（系统）的安装调试工作。</w:t>
      </w:r>
    </w:p>
    <w:p>
      <w:pPr>
        <w:spacing w:line="360" w:lineRule="auto"/>
        <w:ind w:left="360" w:firstLine="482" w:firstLineChars="200"/>
        <w:rPr>
          <w:rFonts w:ascii="宋体" w:hAnsi="宋体"/>
          <w:sz w:val="24"/>
        </w:rPr>
      </w:pPr>
      <w:r>
        <w:rPr>
          <w:rFonts w:hint="eastAsia" w:ascii="宋体" w:hAnsi="宋体"/>
          <w:b/>
          <w:sz w:val="24"/>
        </w:rPr>
        <w:t>2.交货地点</w:t>
      </w:r>
      <w:r>
        <w:rPr>
          <w:rFonts w:hint="eastAsia" w:ascii="宋体" w:hAnsi="宋体"/>
          <w:sz w:val="24"/>
        </w:rPr>
        <w:t>：甲方指定地点。</w:t>
      </w:r>
    </w:p>
    <w:p>
      <w:pPr>
        <w:spacing w:line="360" w:lineRule="auto"/>
        <w:ind w:left="359" w:leftChars="171" w:firstLine="480" w:firstLineChars="200"/>
        <w:rPr>
          <w:rFonts w:ascii="宋体" w:hAnsi="宋体"/>
          <w:sz w:val="24"/>
        </w:rPr>
      </w:pPr>
      <w:r>
        <w:rPr>
          <w:rFonts w:hint="eastAsia" w:ascii="宋体" w:hAnsi="宋体"/>
          <w:sz w:val="24"/>
        </w:rPr>
        <w:t>3.交货方式：乙方负责安排运输到甲方指定地。</w:t>
      </w:r>
      <w:r>
        <w:rPr>
          <w:rFonts w:hint="eastAsia" w:ascii="宋体" w:hAnsi="宋体"/>
          <w:bCs/>
          <w:sz w:val="24"/>
        </w:rPr>
        <w:t>乙方承担货物交付甲方前的一切费用及风险（本条款所指交付是乙方将货物运送至甲方指定地点，并经甲方验收合格并出具验收合格证明后视为交付）。</w:t>
      </w:r>
    </w:p>
    <w:p>
      <w:pPr>
        <w:spacing w:line="360" w:lineRule="auto"/>
        <w:ind w:left="360" w:firstLine="480" w:firstLineChars="200"/>
        <w:rPr>
          <w:rFonts w:ascii="宋体" w:hAnsi="宋体"/>
          <w:sz w:val="24"/>
        </w:rPr>
      </w:pPr>
      <w:r>
        <w:rPr>
          <w:rFonts w:hint="eastAsia" w:ascii="宋体" w:hAnsi="宋体"/>
          <w:sz w:val="24"/>
        </w:rPr>
        <w:t>4.交货时，乙方应将产品的产品说明书、使用说明书，出厂合格证、用户手册、保修手册等单证交付给甲方，进口产品必须提供国家进出口商品检验部门的检验证明，前述单证未交付完整的，视为未完全交货。</w:t>
      </w:r>
    </w:p>
    <w:p>
      <w:pPr>
        <w:spacing w:line="360" w:lineRule="auto"/>
        <w:ind w:left="360" w:firstLine="480" w:firstLineChars="200"/>
        <w:rPr>
          <w:rFonts w:ascii="宋体" w:hAnsi="宋体"/>
          <w:sz w:val="24"/>
        </w:rPr>
      </w:pPr>
      <w:r>
        <w:rPr>
          <w:rFonts w:hint="eastAsia" w:ascii="宋体" w:hAnsi="宋体"/>
          <w:sz w:val="24"/>
        </w:rPr>
        <w:t>5.如果产品属于特种设备，则乙方应当提供相关证明并协助甲方办理相关手续。</w:t>
      </w:r>
    </w:p>
    <w:p>
      <w:pPr>
        <w:spacing w:line="360" w:lineRule="auto"/>
        <w:ind w:firstLine="482" w:firstLineChars="200"/>
        <w:rPr>
          <w:rFonts w:ascii="宋体" w:hAnsi="宋体"/>
          <w:b/>
          <w:sz w:val="24"/>
        </w:rPr>
      </w:pPr>
      <w:r>
        <w:rPr>
          <w:rFonts w:hint="eastAsia" w:ascii="宋体" w:hAnsi="宋体"/>
          <w:b/>
          <w:sz w:val="24"/>
        </w:rPr>
        <w:t>四、验收方式：</w:t>
      </w:r>
    </w:p>
    <w:p>
      <w:pPr>
        <w:spacing w:line="360" w:lineRule="auto"/>
        <w:ind w:left="132" w:leftChars="63" w:firstLine="720" w:firstLineChars="300"/>
        <w:rPr>
          <w:rFonts w:ascii="宋体" w:hAnsi="宋体"/>
          <w:sz w:val="24"/>
        </w:rPr>
      </w:pPr>
      <w:r>
        <w:rPr>
          <w:rFonts w:hint="eastAsia" w:ascii="宋体" w:hAnsi="宋体"/>
          <w:sz w:val="24"/>
        </w:rPr>
        <w:t xml:space="preserve">1.甲方组织技术人员验收。货物质量验收合格的，甲方签署验收报告，验收不合格的，甲方向乙方出具书面质量异议意见。 </w:t>
      </w:r>
    </w:p>
    <w:p>
      <w:pPr>
        <w:spacing w:line="360" w:lineRule="auto"/>
        <w:ind w:left="132" w:leftChars="63" w:firstLine="720" w:firstLineChars="300"/>
        <w:rPr>
          <w:rFonts w:ascii="宋体" w:hAnsi="宋体"/>
          <w:sz w:val="24"/>
        </w:rPr>
      </w:pPr>
      <w:r>
        <w:rPr>
          <w:rFonts w:hint="eastAsia" w:ascii="宋体" w:hAnsi="宋体"/>
          <w:sz w:val="24"/>
        </w:rPr>
        <w:t xml:space="preserve">2.甲方收货验收并不免除乙方对产品质量应当承担的责任。     </w:t>
      </w:r>
    </w:p>
    <w:p>
      <w:pPr>
        <w:spacing w:line="360" w:lineRule="auto"/>
        <w:ind w:firstLine="482" w:firstLineChars="200"/>
        <w:rPr>
          <w:rFonts w:ascii="宋体" w:hAnsi="宋体" w:cs="宋体"/>
          <w:b/>
          <w:sz w:val="24"/>
        </w:rPr>
      </w:pPr>
      <w:r>
        <w:rPr>
          <w:rFonts w:hint="eastAsia" w:ascii="宋体" w:hAnsi="宋体"/>
          <w:b/>
          <w:sz w:val="24"/>
        </w:rPr>
        <w:t>五、验收标准：</w:t>
      </w:r>
      <w:r>
        <w:rPr>
          <w:rFonts w:hint="eastAsia" w:ascii="宋体" w:hAnsi="宋体" w:cs="宋体"/>
          <w:sz w:val="24"/>
        </w:rPr>
        <w:t>本合同相关约定，本合同未明确约定事项按本项目投标文件（含《响应文件》相关承诺和说明）、招标文件相关要求、相关技术文件验收。</w:t>
      </w:r>
    </w:p>
    <w:p>
      <w:pPr>
        <w:spacing w:line="360" w:lineRule="auto"/>
        <w:ind w:firstLine="482" w:firstLineChars="200"/>
        <w:rPr>
          <w:rFonts w:ascii="宋体" w:hAnsi="宋体"/>
          <w:b/>
          <w:sz w:val="24"/>
        </w:rPr>
      </w:pPr>
      <w:r>
        <w:rPr>
          <w:rFonts w:hint="eastAsia" w:ascii="宋体" w:hAnsi="宋体"/>
          <w:b/>
          <w:sz w:val="24"/>
        </w:rPr>
        <w:t>六、付款方式：</w:t>
      </w:r>
    </w:p>
    <w:p>
      <w:pPr>
        <w:spacing w:line="360" w:lineRule="auto"/>
        <w:ind w:left="360" w:firstLine="480" w:firstLineChars="200"/>
        <w:rPr>
          <w:rFonts w:ascii="宋体" w:hAnsi="宋体"/>
          <w:sz w:val="24"/>
        </w:rPr>
      </w:pPr>
      <w:r>
        <w:rPr>
          <w:rFonts w:hint="eastAsia" w:ascii="宋体" w:hAnsi="宋体"/>
          <w:sz w:val="24"/>
        </w:rPr>
        <w:t>1.本协议正式签订前，乙方需向甲方支付协议总金额的5%即人民币    元整（￥    元整）作为履约保证金（优先以金融机构、担保机构出具的保函或者支票、汇票、本票等非现金形式提交）。所有进口仪器设备（系统）经甲方验收合格满</w:t>
      </w:r>
      <w:r>
        <w:rPr>
          <w:rFonts w:hint="eastAsia" w:ascii="宋体" w:hAnsi="宋体"/>
          <w:sz w:val="24"/>
          <w:u w:val="single"/>
        </w:rPr>
        <w:t xml:space="preserve">  1  </w:t>
      </w:r>
      <w:r>
        <w:rPr>
          <w:rFonts w:hint="eastAsia" w:ascii="宋体" w:hAnsi="宋体"/>
          <w:sz w:val="24"/>
        </w:rPr>
        <w:t>年后，若无质量问题甲方将履约保证金全额无息退还给乙方。</w:t>
      </w:r>
    </w:p>
    <w:p>
      <w:pPr>
        <w:spacing w:line="360" w:lineRule="auto"/>
        <w:ind w:left="360" w:firstLine="480" w:firstLineChars="200"/>
        <w:rPr>
          <w:rFonts w:ascii="宋体" w:hAnsi="宋体"/>
          <w:sz w:val="24"/>
        </w:rPr>
      </w:pPr>
      <w:r>
        <w:rPr>
          <w:rFonts w:hint="eastAsia" w:ascii="宋体" w:hAnsi="宋体"/>
          <w:sz w:val="24"/>
        </w:rPr>
        <w:t>2.其它以外贸协议为准。</w:t>
      </w:r>
    </w:p>
    <w:p>
      <w:pPr>
        <w:spacing w:line="360" w:lineRule="auto"/>
        <w:ind w:left="360"/>
        <w:rPr>
          <w:rFonts w:ascii="宋体" w:hAnsi="宋体"/>
          <w:b/>
          <w:sz w:val="24"/>
        </w:rPr>
      </w:pPr>
      <w:r>
        <w:rPr>
          <w:rFonts w:hint="eastAsia" w:ascii="宋体" w:hAnsi="宋体"/>
          <w:b/>
          <w:sz w:val="24"/>
        </w:rPr>
        <w:t>七、售后服务（</w:t>
      </w:r>
      <w:r>
        <w:rPr>
          <w:rFonts w:hint="eastAsia" w:ascii="宋体" w:hAnsi="宋体"/>
          <w:b/>
          <w:bCs/>
          <w:sz w:val="24"/>
        </w:rPr>
        <w:t xml:space="preserve"> </w:t>
      </w:r>
      <w:r>
        <w:rPr>
          <w:rFonts w:hint="eastAsia" w:ascii="宋体" w:hAnsi="宋体"/>
          <w:bCs/>
          <w:sz w:val="24"/>
        </w:rPr>
        <w:t>根据具体项目投标文件填写</w:t>
      </w:r>
      <w:r>
        <w:rPr>
          <w:rFonts w:hint="eastAsia" w:ascii="宋体" w:hAnsi="宋体"/>
          <w:b/>
          <w:sz w:val="24"/>
        </w:rPr>
        <w:t>）</w:t>
      </w:r>
    </w:p>
    <w:p>
      <w:pPr>
        <w:spacing w:line="360" w:lineRule="auto"/>
        <w:ind w:firstLine="960" w:firstLineChars="400"/>
        <w:rPr>
          <w:rFonts w:ascii="宋体" w:hAnsi="宋体"/>
          <w:bCs/>
          <w:sz w:val="24"/>
        </w:rPr>
      </w:pPr>
      <w:r>
        <w:rPr>
          <w:rFonts w:hint="eastAsia" w:ascii="宋体" w:hAnsi="宋体"/>
          <w:bCs/>
          <w:sz w:val="24"/>
        </w:rPr>
        <w:t>1.产品验收合格之日起质保期   年，提供售后服务   年。</w:t>
      </w:r>
    </w:p>
    <w:p>
      <w:pPr>
        <w:spacing w:line="360" w:lineRule="auto"/>
        <w:ind w:left="479" w:leftChars="228" w:firstLine="480" w:firstLineChars="200"/>
        <w:rPr>
          <w:rFonts w:ascii="宋体" w:hAnsi="宋体"/>
          <w:bCs/>
          <w:sz w:val="24"/>
        </w:rPr>
      </w:pPr>
      <w:r>
        <w:rPr>
          <w:rFonts w:hint="eastAsia" w:ascii="宋体" w:hAnsi="宋体"/>
          <w:bCs/>
          <w:sz w:val="24"/>
        </w:rPr>
        <w:t>2.质保期、</w:t>
      </w:r>
      <w:r>
        <w:rPr>
          <w:rFonts w:ascii="宋体" w:hAnsi="宋体"/>
          <w:bCs/>
          <w:sz w:val="24"/>
        </w:rPr>
        <w:t>保修期</w:t>
      </w:r>
      <w:r>
        <w:rPr>
          <w:rFonts w:hint="eastAsia" w:ascii="宋体" w:hAnsi="宋体"/>
          <w:bCs/>
          <w:sz w:val="24"/>
        </w:rPr>
        <w:t>内因产品质量或安装调试原因引起的全部维修费用（包括更换零配件的费用）均由乙方承担。</w:t>
      </w:r>
    </w:p>
    <w:p>
      <w:pPr>
        <w:spacing w:line="360" w:lineRule="auto"/>
        <w:ind w:left="479" w:leftChars="228" w:firstLine="480" w:firstLineChars="200"/>
        <w:rPr>
          <w:rFonts w:ascii="宋体" w:hAnsi="宋体"/>
          <w:bCs/>
          <w:sz w:val="24"/>
        </w:rPr>
      </w:pPr>
      <w:r>
        <w:rPr>
          <w:rFonts w:hint="eastAsia" w:ascii="宋体" w:hAnsi="宋体"/>
          <w:bCs/>
          <w:sz w:val="24"/>
        </w:rPr>
        <w:t>3.质保期、</w:t>
      </w:r>
      <w:r>
        <w:rPr>
          <w:rFonts w:ascii="宋体" w:hAnsi="宋体"/>
          <w:bCs/>
          <w:sz w:val="24"/>
        </w:rPr>
        <w:t>保修期</w:t>
      </w:r>
      <w:r>
        <w:rPr>
          <w:rFonts w:hint="eastAsia" w:ascii="宋体" w:hAnsi="宋体"/>
          <w:bCs/>
          <w:sz w:val="24"/>
        </w:rPr>
        <w:t>外，乙方应定期回访，发现问题及时通知甲方，产品维修零配件以优惠价给甲方（免收人工及差旅费）。</w:t>
      </w:r>
    </w:p>
    <w:p>
      <w:pPr>
        <w:spacing w:line="360" w:lineRule="auto"/>
        <w:ind w:left="479" w:leftChars="228" w:firstLine="480" w:firstLineChars="200"/>
        <w:rPr>
          <w:rFonts w:ascii="宋体" w:hAnsi="宋体"/>
          <w:bCs/>
          <w:sz w:val="24"/>
        </w:rPr>
      </w:pPr>
      <w:r>
        <w:rPr>
          <w:rFonts w:hint="eastAsia" w:ascii="宋体" w:hAnsi="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left="479" w:leftChars="172" w:hanging="118" w:hangingChars="49"/>
        <w:rPr>
          <w:rFonts w:ascii="宋体" w:hAnsi="宋体"/>
          <w:b/>
          <w:bCs/>
          <w:sz w:val="24"/>
        </w:rPr>
      </w:pPr>
      <w:r>
        <w:rPr>
          <w:rFonts w:hint="eastAsia" w:ascii="宋体" w:hAnsi="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1、若乙方未能按协议所规定的交货时间前完成本协议所有设备安装调试并达到验收标准，每延迟一天，按协议总额的千分之一向甲方交纳违约金,违约金总额不超过协议总金额的百分之五。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2．若乙方未能在信用证开具    日内完成本协议所有设备安装调试并达到验收标准，甲方可中止本协议，并由乙方承担由此给甲方造成的一切损失。</w:t>
      </w:r>
    </w:p>
    <w:p>
      <w:pPr>
        <w:spacing w:line="360" w:lineRule="auto"/>
        <w:ind w:left="540" w:leftChars="257" w:firstLine="480" w:firstLineChars="200"/>
        <w:rPr>
          <w:rFonts w:ascii="宋体" w:hAnsi="宋体" w:cs="宋体"/>
          <w:bCs/>
          <w:sz w:val="24"/>
        </w:rPr>
      </w:pPr>
      <w:r>
        <w:rPr>
          <w:rFonts w:hint="eastAsia" w:ascii="宋体" w:hAnsi="宋体" w:cs="宋体"/>
          <w:sz w:val="24"/>
        </w:rPr>
        <w:t>3．乙方交付甲方的设备及工程中使用的材料必须有合法的进货渠道，且符合协议和投标书中的质量约定，否则由乙方承担一切责任。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4.</w:t>
      </w:r>
      <w:r>
        <w:rPr>
          <w:rFonts w:hint="eastAsia" w:ascii="宋体" w:hAnsi="宋体"/>
          <w:bCs/>
          <w:sz w:val="24"/>
        </w:rPr>
        <w:t xml:space="preserve"> 乙方保证本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全额返还已收货款外，还应按合同总价的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b/>
          <w:bCs/>
          <w:sz w:val="24"/>
        </w:rPr>
      </w:pPr>
      <w:r>
        <w:rPr>
          <w:rFonts w:hint="eastAsia" w:ascii="宋体" w:hAnsi="宋体"/>
          <w:b/>
          <w:sz w:val="24"/>
        </w:rPr>
        <w:t>九、在履行本协议过程中，如发生争议，双方应友好协商解决，如协商不能解决，双方同意向武汉市洪山区人民法院起诉。本协议的任何变更、修改、补充须双方代表签署书面文件方为有效，补充文件为本协议不可分割的组成部分，同时具备法律效力。</w:t>
      </w:r>
    </w:p>
    <w:p>
      <w:pPr>
        <w:spacing w:line="360" w:lineRule="auto"/>
        <w:ind w:left="360" w:leftChars="171" w:hanging="1"/>
        <w:rPr>
          <w:rFonts w:ascii="宋体" w:hAnsi="宋体"/>
          <w:b/>
          <w:sz w:val="24"/>
        </w:rPr>
      </w:pPr>
      <w:r>
        <w:rPr>
          <w:rFonts w:hint="eastAsia" w:ascii="宋体" w:hAnsi="宋体"/>
          <w:b/>
          <w:sz w:val="24"/>
        </w:rPr>
        <w:t>十、本协议一式陆份，甲方持伍份，乙方持壹份，具有同等法律效力。</w:t>
      </w:r>
    </w:p>
    <w:p>
      <w:pPr>
        <w:spacing w:line="360" w:lineRule="auto"/>
        <w:ind w:left="360" w:leftChars="171" w:hanging="1"/>
        <w:rPr>
          <w:rFonts w:ascii="宋体" w:hAnsi="宋体"/>
          <w:b/>
          <w:sz w:val="24"/>
        </w:rPr>
      </w:pPr>
      <w:r>
        <w:rPr>
          <w:rFonts w:hint="eastAsia" w:ascii="宋体" w:hAnsi="宋体"/>
          <w:b/>
          <w:sz w:val="24"/>
        </w:rPr>
        <w:t>十一、本协议自双方签字并盖章之日起生效。</w:t>
      </w:r>
    </w:p>
    <w:p>
      <w:pPr>
        <w:spacing w:line="360" w:lineRule="auto"/>
        <w:ind w:left="-178" w:leftChars="-85" w:right="-359" w:rightChars="-171" w:firstLine="144" w:firstLineChars="60"/>
        <w:rPr>
          <w:rFonts w:ascii="黑体" w:hAnsi="华文中宋" w:eastAsia="黑体"/>
          <w:sz w:val="24"/>
        </w:rPr>
      </w:pPr>
    </w:p>
    <w:p>
      <w:pPr>
        <w:spacing w:line="360" w:lineRule="auto"/>
        <w:ind w:left="178" w:leftChars="85" w:right="-359" w:rightChars="-171"/>
        <w:rPr>
          <w:snapToGrid w:val="0"/>
          <w:kern w:val="0"/>
          <w:sz w:val="24"/>
        </w:rPr>
      </w:pPr>
      <w:r>
        <w:rPr>
          <w:rFonts w:hint="eastAsia" w:ascii="黑体" w:hAnsi="华文中宋" w:eastAsia="黑体"/>
          <w:sz w:val="24"/>
        </w:rPr>
        <w:t>甲 方（盖章）：</w:t>
      </w:r>
      <w:r>
        <w:rPr>
          <w:rFonts w:hint="eastAsia" w:ascii="黑体" w:hAnsi="华文中宋" w:eastAsia="黑体"/>
          <w:b/>
          <w:bCs/>
          <w:sz w:val="24"/>
        </w:rPr>
        <w:t xml:space="preserve">湖北工业大学             </w:t>
      </w:r>
      <w:r>
        <w:rPr>
          <w:rFonts w:hint="eastAsia" w:ascii="黑体" w:hAnsi="华文中宋" w:eastAsia="黑体"/>
          <w:sz w:val="24"/>
        </w:rPr>
        <w:t xml:space="preserve">乙 方（盖章）：           </w:t>
      </w:r>
    </w:p>
    <w:p>
      <w:pPr>
        <w:spacing w:line="360" w:lineRule="auto"/>
        <w:ind w:left="178" w:leftChars="85" w:right="-359" w:rightChars="-171"/>
        <w:rPr>
          <w:rFonts w:ascii="黑体" w:hAnsi="华文中宋" w:eastAsia="黑体"/>
          <w:sz w:val="24"/>
        </w:rPr>
      </w:pPr>
      <w:r>
        <w:rPr>
          <w:rFonts w:hint="eastAsia"/>
          <w:snapToGrid w:val="0"/>
          <w:kern w:val="0"/>
          <w:sz w:val="24"/>
        </w:rPr>
        <w:t xml:space="preserve">                      </w:t>
      </w: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黑体" w:hAnsi="Arial Black" w:eastAsia="黑体"/>
          <w:sz w:val="24"/>
        </w:rPr>
      </w:pPr>
      <w:r>
        <w:rPr>
          <w:rFonts w:hint="eastAsia" w:ascii="黑体" w:hAnsi="Arial Black" w:eastAsia="黑体"/>
          <w:sz w:val="24"/>
        </w:rPr>
        <w:t>联系方式：59750213                          联系方式：</w:t>
      </w:r>
    </w:p>
    <w:p>
      <w:pPr>
        <w:spacing w:line="360" w:lineRule="auto"/>
        <w:ind w:left="178" w:leftChars="85" w:right="-171"/>
        <w:rPr>
          <w:rFonts w:ascii="黑体" w:hAnsi="Arial Black" w:eastAsia="黑体"/>
          <w:sz w:val="24"/>
        </w:rPr>
      </w:pPr>
      <w:r>
        <w:rPr>
          <w:rFonts w:hint="eastAsia" w:ascii="黑体" w:hAnsi="Arial Black" w:eastAsia="黑体"/>
          <w:sz w:val="24"/>
        </w:rPr>
        <w:t xml:space="preserve">                                            开户银行：</w:t>
      </w:r>
    </w:p>
    <w:p>
      <w:pPr>
        <w:spacing w:line="360" w:lineRule="auto"/>
        <w:ind w:left="178" w:leftChars="85" w:right="-171"/>
        <w:rPr>
          <w:snapToGrid w:val="0"/>
          <w:kern w:val="0"/>
          <w:sz w:val="24"/>
        </w:rPr>
      </w:pPr>
      <w:r>
        <w:rPr>
          <w:rFonts w:hint="eastAsia" w:ascii="黑体" w:hAnsi="Arial Black" w:eastAsia="黑体"/>
          <w:sz w:val="24"/>
        </w:rPr>
        <w:t xml:space="preserve">                                            银行账号：</w:t>
      </w:r>
    </w:p>
    <w:p>
      <w:pPr>
        <w:spacing w:line="360" w:lineRule="auto"/>
        <w:ind w:left="178" w:leftChars="85" w:right="-171"/>
        <w:rPr>
          <w:rFonts w:ascii="Arial Black" w:hAnsi="Arial Black" w:eastAsia="黑体"/>
          <w:sz w:val="24"/>
        </w:rPr>
      </w:pPr>
      <w:r>
        <w:rPr>
          <w:rFonts w:hint="eastAsia"/>
          <w:snapToGrid w:val="0"/>
          <w:kern w:val="0"/>
          <w:sz w:val="24"/>
        </w:rPr>
        <w:t xml:space="preserve">                                  </w:t>
      </w:r>
    </w:p>
    <w:p>
      <w:pPr>
        <w:ind w:left="178" w:leftChars="85"/>
        <w:jc w:val="left"/>
        <w:rPr>
          <w:rFonts w:ascii="宋体" w:hAnsi="宋体"/>
          <w:sz w:val="24"/>
          <w:szCs w:val="21"/>
        </w:rPr>
      </w:pPr>
      <w:r>
        <w:rPr>
          <w:rFonts w:hint="eastAsia" w:ascii="宋体" w:hAnsi="宋体"/>
          <w:sz w:val="24"/>
        </w:rPr>
        <w:t xml:space="preserve">日  期： </w:t>
      </w:r>
      <w:r>
        <w:rPr>
          <w:rFonts w:hint="eastAsia" w:ascii="宋体" w:hAnsi="宋体"/>
          <w:b/>
          <w:sz w:val="24"/>
        </w:rPr>
        <w:t xml:space="preserve">二○  年  月    日   </w:t>
      </w:r>
      <w:r>
        <w:rPr>
          <w:rFonts w:hint="eastAsia" w:ascii="宋体" w:hAnsi="宋体"/>
          <w:sz w:val="24"/>
        </w:rPr>
        <w:t xml:space="preserve">            日   期：</w:t>
      </w:r>
      <w:r>
        <w:rPr>
          <w:rFonts w:hint="eastAsia" w:ascii="黑体" w:hAnsi="宋体" w:eastAsia="黑体"/>
          <w:sz w:val="24"/>
        </w:rPr>
        <w:t>二○   年   月  日</w:t>
      </w:r>
    </w:p>
    <w:p>
      <w:r>
        <w:rPr>
          <w:rFonts w:hint="eastAsia"/>
        </w:rPr>
        <w:br w:type="page"/>
      </w:r>
    </w:p>
    <w:p>
      <w:pPr>
        <w:rPr>
          <w:rFonts w:asciiTheme="minorEastAsia" w:hAnsiTheme="minorEastAsia" w:eastAsiaTheme="minorEastAsia" w:cstheme="minorEastAsia"/>
          <w:kern w:val="0"/>
          <w:szCs w:val="21"/>
        </w:rPr>
      </w:pPr>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35" w:name="_Toc13427"/>
      <w:r>
        <w:rPr>
          <w:rFonts w:hint="eastAsia" w:asciiTheme="minorEastAsia" w:hAnsiTheme="minorEastAsia" w:eastAsiaTheme="minorEastAsia" w:cstheme="minorEastAsia"/>
          <w:sz w:val="36"/>
          <w:szCs w:val="36"/>
        </w:rPr>
        <w:t>合同书</w:t>
      </w:r>
      <w:bookmarkEnd w:id="132"/>
      <w:bookmarkEnd w:id="133"/>
      <w:r>
        <w:rPr>
          <w:rFonts w:hint="eastAsia" w:asciiTheme="minorEastAsia" w:hAnsiTheme="minorEastAsia" w:eastAsiaTheme="minorEastAsia" w:cstheme="minorEastAsia"/>
          <w:sz w:val="36"/>
          <w:szCs w:val="36"/>
        </w:rPr>
        <w:t>格式（第2包、第3包）</w:t>
      </w:r>
      <w:bookmarkEnd w:id="135"/>
    </w:p>
    <w:p>
      <w:pPr>
        <w:spacing w:line="360" w:lineRule="auto"/>
        <w:rPr>
          <w:rFonts w:ascii="宋体" w:hAnsi="宋体" w:cs="宋体"/>
          <w:sz w:val="24"/>
        </w:rPr>
      </w:pPr>
      <w:r>
        <w:rPr>
          <w:rFonts w:hint="eastAsia" w:ascii="宋体" w:hAnsi="宋体" w:cs="宋体"/>
          <w:sz w:val="24"/>
        </w:rPr>
        <w:t>合同号：</w:t>
      </w:r>
    </w:p>
    <w:p>
      <w:pPr>
        <w:spacing w:line="360" w:lineRule="auto"/>
        <w:rPr>
          <w:rFonts w:ascii="宋体" w:hAnsi="宋体" w:cs="宋体"/>
          <w:sz w:val="24"/>
        </w:rPr>
      </w:pPr>
      <w:r>
        <w:rPr>
          <w:rFonts w:hint="eastAsia" w:ascii="宋体" w:hAnsi="宋体" w:cs="宋体"/>
          <w:sz w:val="24"/>
        </w:rPr>
        <w:t>项目编号：</w:t>
      </w:r>
    </w:p>
    <w:p>
      <w:pPr>
        <w:spacing w:line="360" w:lineRule="auto"/>
        <w:rPr>
          <w:rFonts w:ascii="宋体" w:hAnsi="宋体" w:cs="宋体"/>
          <w:sz w:val="24"/>
          <w:u w:val="single"/>
        </w:rPr>
      </w:pPr>
      <w:r>
        <w:rPr>
          <w:rFonts w:hint="eastAsia" w:ascii="宋体" w:hAnsi="宋体" w:cs="宋体"/>
          <w:sz w:val="24"/>
        </w:rPr>
        <w:t xml:space="preserve">项目名称：                                                                                            </w:t>
      </w:r>
    </w:p>
    <w:p>
      <w:pPr>
        <w:spacing w:line="360" w:lineRule="auto"/>
        <w:ind w:firstLine="4080" w:firstLineChars="1700"/>
        <w:rPr>
          <w:rFonts w:ascii="宋体" w:hAnsi="宋体" w:cs="宋体"/>
          <w:sz w:val="24"/>
          <w:u w:val="single"/>
        </w:rPr>
      </w:pPr>
    </w:p>
    <w:p>
      <w:pPr>
        <w:spacing w:line="360" w:lineRule="auto"/>
        <w:rPr>
          <w:rFonts w:ascii="宋体" w:hAnsi="宋体" w:cs="宋体"/>
          <w:b/>
          <w:sz w:val="24"/>
        </w:rPr>
      </w:pPr>
      <w:r>
        <w:rPr>
          <w:rFonts w:hint="eastAsia" w:ascii="宋体" w:hAnsi="宋体" w:cs="宋体"/>
          <w:b/>
          <w:sz w:val="24"/>
        </w:rPr>
        <w:t>购货单位：</w:t>
      </w:r>
      <w:r>
        <w:rPr>
          <w:rFonts w:hint="eastAsia" w:ascii="宋体" w:hAnsi="宋体" w:cs="宋体"/>
          <w:b/>
          <w:sz w:val="24"/>
          <w:u w:val="single"/>
        </w:rPr>
        <w:t>湖北工业大学</w:t>
      </w:r>
      <w:r>
        <w:rPr>
          <w:rFonts w:hint="eastAsia" w:ascii="宋体" w:hAnsi="宋体" w:cs="宋体"/>
          <w:b/>
          <w:sz w:val="24"/>
        </w:rPr>
        <w:t>（以下简称甲方）</w:t>
      </w:r>
    </w:p>
    <w:p>
      <w:pPr>
        <w:spacing w:line="360" w:lineRule="auto"/>
        <w:rPr>
          <w:rFonts w:ascii="宋体" w:hAnsi="宋体" w:cs="宋体"/>
          <w:b/>
          <w:sz w:val="24"/>
        </w:rPr>
      </w:pPr>
      <w:r>
        <w:rPr>
          <w:rFonts w:hint="eastAsia" w:ascii="宋体" w:hAnsi="宋体" w:cs="宋体"/>
          <w:b/>
          <w:sz w:val="24"/>
        </w:rPr>
        <w:t>住所：武汉市洪山区南李路28号</w:t>
      </w:r>
    </w:p>
    <w:p>
      <w:pPr>
        <w:spacing w:line="360" w:lineRule="auto"/>
        <w:rPr>
          <w:rFonts w:ascii="宋体" w:hAnsi="宋体" w:cs="宋体"/>
          <w:b/>
          <w:sz w:val="24"/>
        </w:rPr>
      </w:pPr>
      <w:r>
        <w:rPr>
          <w:rFonts w:hint="eastAsia" w:ascii="宋体" w:hAnsi="宋体" w:cs="宋体"/>
          <w:b/>
          <w:sz w:val="24"/>
        </w:rPr>
        <w:t>法定代表人：冯征</w:t>
      </w:r>
    </w:p>
    <w:p>
      <w:pPr>
        <w:spacing w:line="360" w:lineRule="auto"/>
        <w:rPr>
          <w:rFonts w:ascii="宋体" w:hAnsi="宋体" w:cs="宋体"/>
          <w:b/>
          <w:sz w:val="24"/>
        </w:rPr>
      </w:pPr>
    </w:p>
    <w:p>
      <w:pPr>
        <w:spacing w:line="360" w:lineRule="auto"/>
        <w:rPr>
          <w:rFonts w:ascii="宋体" w:hAnsi="宋体" w:cs="宋体"/>
          <w:b/>
          <w:sz w:val="24"/>
        </w:rPr>
      </w:pPr>
      <w:r>
        <w:rPr>
          <w:rFonts w:hint="eastAsia" w:ascii="宋体" w:hAnsi="宋体" w:cs="宋体"/>
          <w:b/>
          <w:sz w:val="24"/>
        </w:rPr>
        <w:t>供货单位：</w:t>
      </w:r>
      <w:r>
        <w:rPr>
          <w:rFonts w:hint="eastAsia" w:ascii="宋体" w:hAnsi="宋体" w:cs="宋体"/>
          <w:b/>
          <w:sz w:val="24"/>
          <w:u w:val="single"/>
        </w:rPr>
        <w:t xml:space="preserve">               </w:t>
      </w:r>
      <w:r>
        <w:rPr>
          <w:rFonts w:hint="eastAsia" w:ascii="宋体" w:hAnsi="宋体" w:cs="宋体"/>
          <w:b/>
          <w:sz w:val="24"/>
        </w:rPr>
        <w:t>（以下简称乙方）</w:t>
      </w:r>
    </w:p>
    <w:p>
      <w:pPr>
        <w:spacing w:line="360" w:lineRule="auto"/>
        <w:rPr>
          <w:rFonts w:ascii="宋体" w:hAnsi="宋体" w:cs="宋体"/>
          <w:b/>
          <w:sz w:val="24"/>
        </w:rPr>
      </w:pPr>
      <w:r>
        <w:rPr>
          <w:rFonts w:hint="eastAsia" w:ascii="宋体" w:hAnsi="宋体" w:cs="宋体"/>
          <w:b/>
          <w:sz w:val="24"/>
        </w:rPr>
        <w:t>企业类型：（</w:t>
      </w:r>
      <w:r>
        <w:rPr>
          <w:rFonts w:hint="eastAsia" w:ascii="宋体" w:hAnsi="宋体" w:cs="宋体"/>
          <w:b/>
          <w:sz w:val="24"/>
        </w:rPr>
        <w:sym w:font="Wingdings 2" w:char="00A3"/>
      </w:r>
      <w:r>
        <w:rPr>
          <w:rFonts w:hint="eastAsia" w:ascii="宋体" w:hAnsi="宋体" w:cs="宋体"/>
          <w:b/>
          <w:sz w:val="24"/>
        </w:rPr>
        <w:t>大型、</w:t>
      </w:r>
      <w:r>
        <w:rPr>
          <w:rFonts w:hint="eastAsia" w:ascii="宋体" w:hAnsi="宋体" w:cs="宋体"/>
          <w:b/>
          <w:sz w:val="24"/>
        </w:rPr>
        <w:sym w:font="Wingdings 2" w:char="00A3"/>
      </w:r>
      <w:r>
        <w:rPr>
          <w:rFonts w:hint="eastAsia" w:ascii="宋体" w:hAnsi="宋体" w:cs="宋体"/>
          <w:b/>
          <w:sz w:val="24"/>
        </w:rPr>
        <w:t>中型、</w:t>
      </w:r>
      <w:r>
        <w:rPr>
          <w:rFonts w:hint="eastAsia" w:ascii="宋体" w:hAnsi="宋体" w:cs="宋体"/>
          <w:b/>
          <w:sz w:val="24"/>
        </w:rPr>
        <w:sym w:font="Wingdings 2" w:char="00A3"/>
      </w:r>
      <w:r>
        <w:rPr>
          <w:rFonts w:hint="eastAsia" w:ascii="宋体" w:hAnsi="宋体" w:cs="宋体"/>
          <w:b/>
          <w:sz w:val="24"/>
        </w:rPr>
        <w:t>小型、</w:t>
      </w:r>
      <w:r>
        <w:rPr>
          <w:rFonts w:hint="eastAsia" w:ascii="宋体" w:hAnsi="宋体" w:cs="宋体"/>
          <w:b/>
          <w:sz w:val="24"/>
        </w:rPr>
        <w:sym w:font="Wingdings 2" w:char="00A3"/>
      </w:r>
      <w:r>
        <w:rPr>
          <w:rFonts w:hint="eastAsia" w:ascii="宋体" w:hAnsi="宋体" w:cs="宋体"/>
          <w:b/>
          <w:sz w:val="24"/>
        </w:rPr>
        <w:t>微型）</w:t>
      </w:r>
    </w:p>
    <w:p>
      <w:pPr>
        <w:spacing w:line="360" w:lineRule="auto"/>
        <w:rPr>
          <w:rFonts w:ascii="宋体" w:hAnsi="宋体" w:cs="宋体"/>
          <w:b/>
          <w:sz w:val="24"/>
        </w:rPr>
      </w:pPr>
      <w:r>
        <w:rPr>
          <w:rFonts w:hint="eastAsia" w:ascii="宋体" w:hAnsi="宋体" w:cs="宋体"/>
          <w:b/>
          <w:sz w:val="24"/>
        </w:rPr>
        <w:t>住所：</w:t>
      </w:r>
    </w:p>
    <w:p>
      <w:pPr>
        <w:spacing w:line="360" w:lineRule="auto"/>
        <w:rPr>
          <w:rFonts w:ascii="宋体" w:hAnsi="宋体" w:cs="宋体"/>
          <w:b/>
          <w:sz w:val="24"/>
        </w:rPr>
      </w:pPr>
      <w:r>
        <w:rPr>
          <w:rFonts w:hint="eastAsia" w:ascii="宋体" w:hAnsi="宋体" w:cs="宋体"/>
          <w:b/>
          <w:sz w:val="24"/>
        </w:rPr>
        <w:t>法定代表人：</w:t>
      </w:r>
    </w:p>
    <w:p>
      <w:pPr>
        <w:spacing w:line="360" w:lineRule="auto"/>
        <w:rPr>
          <w:rFonts w:ascii="宋体" w:hAnsi="宋体" w:cs="宋体"/>
          <w:b/>
          <w:sz w:val="24"/>
        </w:rPr>
      </w:pPr>
    </w:p>
    <w:p>
      <w:pPr>
        <w:spacing w:line="360" w:lineRule="auto"/>
        <w:ind w:firstLine="480" w:firstLineChars="200"/>
        <w:rPr>
          <w:rFonts w:ascii="宋体" w:hAnsi="宋体" w:cs="宋体"/>
          <w:sz w:val="24"/>
        </w:rPr>
      </w:pPr>
      <w:r>
        <w:rPr>
          <w:rFonts w:hint="eastAsia" w:ascii="宋体" w:hAnsi="宋体" w:cs="宋体"/>
          <w:sz w:val="24"/>
        </w:rPr>
        <w:t>甲乙双方根据《中华人民共和国民</w:t>
      </w:r>
      <w:r>
        <w:rPr>
          <w:rFonts w:ascii="宋体" w:hAnsi="宋体" w:cs="宋体"/>
          <w:sz w:val="24"/>
        </w:rPr>
        <w:t>法典</w:t>
      </w:r>
      <w:r>
        <w:rPr>
          <w:rFonts w:hint="eastAsia" w:ascii="宋体" w:hAnsi="宋体" w:cs="宋体"/>
          <w:sz w:val="24"/>
        </w:rPr>
        <w:t>》相关规定，为增强双方的责任，经甲乙双方协商一致，特订立本合同，以资甲乙双方共同遵守。</w:t>
      </w:r>
    </w:p>
    <w:p>
      <w:pPr>
        <w:spacing w:line="360" w:lineRule="auto"/>
        <w:ind w:firstLine="482" w:firstLineChars="200"/>
        <w:rPr>
          <w:rFonts w:ascii="宋体" w:hAnsi="宋体" w:cs="宋体"/>
          <w:b/>
          <w:bCs/>
          <w:sz w:val="24"/>
        </w:rPr>
      </w:pPr>
      <w:r>
        <w:rPr>
          <w:rFonts w:hint="eastAsia" w:ascii="宋体" w:hAnsi="宋体" w:cs="宋体"/>
          <w:b/>
          <w:sz w:val="24"/>
        </w:rPr>
        <w:t>一、货物名称、规格、配置、数量及价格如下</w:t>
      </w:r>
      <w:r>
        <w:rPr>
          <w:rFonts w:hint="eastAsia" w:ascii="宋体" w:hAnsi="宋体" w:cs="宋体"/>
          <w:b/>
          <w:bCs/>
          <w:sz w:val="24"/>
        </w:rPr>
        <w:t>:</w:t>
      </w:r>
    </w:p>
    <w:tbl>
      <w:tblPr>
        <w:tblStyle w:val="27"/>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宋体" w:hAnsi="宋体" w:cs="宋体"/>
                <w:b/>
                <w:bCs/>
                <w:snapToGrid w:val="0"/>
                <w:kern w:val="0"/>
                <w:sz w:val="24"/>
              </w:rPr>
            </w:pPr>
            <w:r>
              <w:rPr>
                <w:rFonts w:hint="eastAsia" w:ascii="宋体" w:hAnsi="宋体" w:cs="宋体"/>
                <w:b/>
                <w:sz w:val="24"/>
              </w:rPr>
              <w:t>货物</w:t>
            </w:r>
            <w:r>
              <w:rPr>
                <w:rFonts w:hint="eastAsia" w:ascii="宋体" w:hAnsi="宋体" w:cs="宋体"/>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宋体" w:hAnsi="宋体" w:cs="宋体"/>
                <w:b/>
                <w:bCs/>
                <w:snapToGrid w:val="0"/>
                <w:kern w:val="0"/>
                <w:sz w:val="24"/>
              </w:rPr>
            </w:pPr>
            <w:r>
              <w:rPr>
                <w:rFonts w:hint="eastAsia" w:ascii="宋体" w:hAnsi="宋体" w:cs="宋体"/>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adjustRightInd w:val="0"/>
              <w:snapToGrid w:val="0"/>
              <w:spacing w:line="360" w:lineRule="auto"/>
              <w:jc w:val="center"/>
              <w:rPr>
                <w:rFonts w:ascii="宋体" w:hAnsi="宋体" w:cs="宋体"/>
                <w:snapToGrid w:val="0"/>
                <w:kern w:val="0"/>
                <w:sz w:val="24"/>
              </w:rPr>
            </w:pPr>
          </w:p>
        </w:tc>
        <w:tc>
          <w:tcPr>
            <w:tcW w:w="1369" w:type="dxa"/>
            <w:vAlign w:val="center"/>
          </w:tcPr>
          <w:p>
            <w:pPr>
              <w:adjustRightInd w:val="0"/>
              <w:snapToGrid w:val="0"/>
              <w:spacing w:line="360" w:lineRule="auto"/>
              <w:jc w:val="center"/>
              <w:rPr>
                <w:rFonts w:ascii="宋体" w:hAnsi="宋体" w:cs="宋体"/>
                <w:snapToGrid w:val="0"/>
                <w:kern w:val="0"/>
                <w:sz w:val="24"/>
              </w:rPr>
            </w:pPr>
          </w:p>
        </w:tc>
        <w:tc>
          <w:tcPr>
            <w:tcW w:w="806" w:type="dxa"/>
            <w:vAlign w:val="center"/>
          </w:tcPr>
          <w:p>
            <w:pPr>
              <w:adjustRightInd w:val="0"/>
              <w:snapToGrid w:val="0"/>
              <w:spacing w:line="360" w:lineRule="auto"/>
              <w:jc w:val="center"/>
              <w:rPr>
                <w:rFonts w:ascii="宋体" w:hAnsi="宋体" w:cs="宋体"/>
                <w:snapToGrid w:val="0"/>
                <w:kern w:val="0"/>
                <w:sz w:val="24"/>
              </w:rPr>
            </w:pPr>
          </w:p>
        </w:tc>
        <w:tc>
          <w:tcPr>
            <w:tcW w:w="705" w:type="dxa"/>
            <w:vAlign w:val="center"/>
          </w:tcPr>
          <w:p>
            <w:pPr>
              <w:adjustRightInd w:val="0"/>
              <w:snapToGrid w:val="0"/>
              <w:spacing w:line="360" w:lineRule="auto"/>
              <w:jc w:val="center"/>
              <w:rPr>
                <w:rFonts w:ascii="宋体" w:hAnsi="宋体" w:cs="宋体"/>
                <w:snapToGrid w:val="0"/>
                <w:kern w:val="0"/>
                <w:sz w:val="24"/>
              </w:rPr>
            </w:pPr>
          </w:p>
        </w:tc>
        <w:tc>
          <w:tcPr>
            <w:tcW w:w="2700" w:type="dxa"/>
            <w:vAlign w:val="center"/>
          </w:tcPr>
          <w:p>
            <w:pPr>
              <w:adjustRightInd w:val="0"/>
              <w:snapToGrid w:val="0"/>
              <w:spacing w:line="360" w:lineRule="auto"/>
              <w:rPr>
                <w:rFonts w:ascii="宋体" w:hAnsi="宋体" w:cs="宋体"/>
                <w:snapToGrid w:val="0"/>
                <w:kern w:val="0"/>
                <w:sz w:val="24"/>
              </w:rPr>
            </w:pPr>
          </w:p>
        </w:tc>
        <w:tc>
          <w:tcPr>
            <w:tcW w:w="720" w:type="dxa"/>
            <w:vAlign w:val="center"/>
          </w:tcPr>
          <w:p>
            <w:pPr>
              <w:adjustRightInd w:val="0"/>
              <w:snapToGrid w:val="0"/>
              <w:spacing w:line="360" w:lineRule="auto"/>
              <w:jc w:val="center"/>
              <w:rPr>
                <w:rFonts w:ascii="宋体" w:hAnsi="宋体" w:cs="宋体"/>
                <w:snapToGrid w:val="0"/>
                <w:kern w:val="0"/>
                <w:sz w:val="24"/>
              </w:rPr>
            </w:pPr>
          </w:p>
        </w:tc>
        <w:tc>
          <w:tcPr>
            <w:tcW w:w="1301" w:type="dxa"/>
            <w:vAlign w:val="center"/>
          </w:tcPr>
          <w:p>
            <w:pPr>
              <w:adjustRightInd w:val="0"/>
              <w:snapToGrid w:val="0"/>
              <w:spacing w:line="360" w:lineRule="auto"/>
              <w:rPr>
                <w:rFonts w:ascii="宋体" w:hAnsi="宋体" w:cs="宋体"/>
                <w:snapToGrid w:val="0"/>
                <w:kern w:val="0"/>
                <w:sz w:val="24"/>
              </w:rPr>
            </w:pPr>
          </w:p>
        </w:tc>
        <w:tc>
          <w:tcPr>
            <w:tcW w:w="1440" w:type="dxa"/>
            <w:vAlign w:val="center"/>
          </w:tcPr>
          <w:p>
            <w:pPr>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69"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806"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宋体" w:hAnsi="宋体" w:cs="宋体"/>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宋体" w:hAnsi="宋体" w:cs="宋体"/>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81" w:type="dxa"/>
            <w:gridSpan w:val="8"/>
            <w:vAlign w:val="center"/>
          </w:tcPr>
          <w:p>
            <w:pPr>
              <w:kinsoku w:val="0"/>
              <w:overflowPunct w:val="0"/>
              <w:autoSpaceDE w:val="0"/>
              <w:autoSpaceDN w:val="0"/>
              <w:adjustRightInd w:val="0"/>
              <w:snapToGrid w:val="0"/>
              <w:spacing w:line="360" w:lineRule="auto"/>
              <w:rPr>
                <w:rFonts w:ascii="宋体" w:hAnsi="宋体" w:cs="宋体"/>
                <w:b/>
                <w:kern w:val="0"/>
                <w:sz w:val="24"/>
              </w:rPr>
            </w:pPr>
            <w:r>
              <w:rPr>
                <w:rFonts w:hint="eastAsia" w:ascii="宋体" w:hAnsi="宋体" w:cs="宋体"/>
                <w:snapToGrid w:val="0"/>
                <w:kern w:val="0"/>
                <w:sz w:val="24"/>
              </w:rPr>
              <w:t>合计</w:t>
            </w:r>
            <w:r>
              <w:rPr>
                <w:rFonts w:hint="eastAsia" w:ascii="宋体" w:hAnsi="宋体" w:cs="宋体"/>
                <w:b/>
                <w:sz w:val="24"/>
              </w:rPr>
              <w:t xml:space="preserve">（人民币）:          </w:t>
            </w:r>
            <w:r>
              <w:rPr>
                <w:rFonts w:hint="eastAsia" w:ascii="宋体" w:hAnsi="宋体" w:cs="宋体"/>
                <w:b/>
                <w:kern w:val="0"/>
                <w:sz w:val="24"/>
              </w:rPr>
              <w:t>元整（￥：    元）</w:t>
            </w:r>
          </w:p>
        </w:tc>
      </w:tr>
    </w:tbl>
    <w:p>
      <w:pPr>
        <w:spacing w:line="360" w:lineRule="auto"/>
        <w:ind w:left="359" w:leftChars="171"/>
        <w:rPr>
          <w:rFonts w:ascii="宋体" w:hAnsi="宋体" w:cs="宋体"/>
          <w:b/>
          <w:sz w:val="24"/>
        </w:rPr>
      </w:pPr>
      <w:r>
        <w:rPr>
          <w:rFonts w:hint="eastAsia" w:ascii="宋体" w:hAnsi="宋体" w:cs="宋体"/>
          <w:b/>
          <w:sz w:val="24"/>
        </w:rPr>
        <w:t>技术负责人（签字）：</w:t>
      </w:r>
      <w:r>
        <w:rPr>
          <w:rFonts w:hint="eastAsia" w:ascii="宋体" w:hAnsi="宋体" w:cs="宋体"/>
          <w:b/>
          <w:sz w:val="24"/>
          <w:u w:val="single"/>
        </w:rPr>
        <w:t xml:space="preserve">               </w:t>
      </w:r>
      <w:r>
        <w:rPr>
          <w:rFonts w:hint="eastAsia" w:ascii="宋体" w:hAnsi="宋体" w:cs="宋体"/>
          <w:b/>
          <w:sz w:val="24"/>
        </w:rPr>
        <w:t xml:space="preserve">      部门负责人（签字）：</w:t>
      </w:r>
      <w:r>
        <w:rPr>
          <w:rFonts w:hint="eastAsia" w:ascii="宋体" w:hAnsi="宋体" w:cs="宋体"/>
          <w:b/>
          <w:sz w:val="24"/>
          <w:u w:val="single"/>
        </w:rPr>
        <w:t xml:space="preserve">                 </w:t>
      </w:r>
    </w:p>
    <w:p>
      <w:pPr>
        <w:spacing w:line="360" w:lineRule="auto"/>
        <w:ind w:firstLine="482" w:firstLineChars="200"/>
        <w:rPr>
          <w:rFonts w:ascii="宋体" w:hAnsi="宋体" w:cs="宋体"/>
          <w:sz w:val="24"/>
        </w:rPr>
      </w:pPr>
      <w:r>
        <w:rPr>
          <w:rFonts w:hint="eastAsia" w:ascii="宋体" w:hAnsi="宋体" w:cs="宋体"/>
          <w:b/>
          <w:sz w:val="24"/>
        </w:rPr>
        <w:t xml:space="preserve">二、合同总金额（人民币）:          </w:t>
      </w:r>
      <w:r>
        <w:rPr>
          <w:rFonts w:hint="eastAsia" w:ascii="宋体" w:hAnsi="宋体" w:cs="宋体"/>
          <w:b/>
          <w:kern w:val="0"/>
          <w:sz w:val="24"/>
        </w:rPr>
        <w:t>元整（￥：  元）</w:t>
      </w:r>
      <w:r>
        <w:rPr>
          <w:rFonts w:hint="eastAsia" w:ascii="宋体" w:hAnsi="宋体" w:cs="宋体"/>
          <w:b/>
          <w:sz w:val="24"/>
        </w:rPr>
        <w:t>。含增值税、运费、安装调试费等，甲方无需支付其他费用。</w:t>
      </w:r>
    </w:p>
    <w:p>
      <w:pPr>
        <w:spacing w:line="360" w:lineRule="auto"/>
        <w:ind w:firstLine="482" w:firstLineChars="200"/>
        <w:rPr>
          <w:rFonts w:ascii="宋体" w:hAnsi="宋体" w:cs="宋体"/>
          <w:b/>
          <w:sz w:val="24"/>
        </w:rPr>
      </w:pPr>
      <w:r>
        <w:rPr>
          <w:rFonts w:hint="eastAsia" w:ascii="宋体" w:hAnsi="宋体" w:cs="宋体"/>
          <w:b/>
          <w:sz w:val="24"/>
        </w:rPr>
        <w:t>三、交货：</w:t>
      </w:r>
    </w:p>
    <w:p>
      <w:pPr>
        <w:spacing w:line="360" w:lineRule="auto"/>
        <w:ind w:left="360" w:firstLine="480" w:firstLineChars="200"/>
        <w:rPr>
          <w:rFonts w:ascii="宋体" w:hAnsi="宋体" w:cs="宋体"/>
          <w:sz w:val="24"/>
        </w:rPr>
      </w:pPr>
      <w:r>
        <w:rPr>
          <w:rFonts w:hint="eastAsia" w:ascii="宋体" w:hAnsi="宋体" w:cs="宋体"/>
          <w:sz w:val="24"/>
        </w:rPr>
        <w:t>1.交货时间：乙方应在20  年 月  日前完成全部货物（含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）的安装调试工作。</w:t>
      </w:r>
    </w:p>
    <w:p>
      <w:pPr>
        <w:spacing w:line="360" w:lineRule="auto"/>
        <w:ind w:left="360" w:firstLine="480" w:firstLineChars="200"/>
        <w:rPr>
          <w:rFonts w:ascii="宋体" w:hAnsi="宋体" w:cs="宋体"/>
          <w:sz w:val="24"/>
        </w:rPr>
      </w:pPr>
      <w:r>
        <w:rPr>
          <w:rFonts w:hint="eastAsia" w:ascii="宋体" w:hAnsi="宋体" w:cs="宋体"/>
          <w:sz w:val="24"/>
        </w:rPr>
        <w:t>2.交货地点：甲方指定地点。</w:t>
      </w:r>
    </w:p>
    <w:p>
      <w:pPr>
        <w:spacing w:line="360" w:lineRule="auto"/>
        <w:ind w:left="359" w:leftChars="171" w:firstLine="480" w:firstLineChars="200"/>
        <w:rPr>
          <w:rFonts w:ascii="宋体" w:hAnsi="宋体" w:cs="宋体"/>
          <w:sz w:val="24"/>
        </w:rPr>
      </w:pPr>
      <w:r>
        <w:rPr>
          <w:rFonts w:hint="eastAsia" w:ascii="宋体" w:hAnsi="宋体" w:cs="宋体"/>
          <w:sz w:val="24"/>
        </w:rPr>
        <w:t>3.交货方式：乙方负责安排运输到甲方指定地点。</w:t>
      </w:r>
      <w:r>
        <w:rPr>
          <w:rFonts w:hint="eastAsia" w:ascii="宋体" w:hAnsi="宋体" w:cs="宋体"/>
          <w:bCs/>
          <w:sz w:val="24"/>
        </w:rPr>
        <w:t>乙方承担</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交付甲方前的一切费用及风险（本条款所指交付是乙方将货物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运送至甲方指定地点，并经甲方验收合格并出具验收合格证明后视为交付）。</w:t>
      </w:r>
    </w:p>
    <w:p>
      <w:pPr>
        <w:spacing w:line="360" w:lineRule="auto"/>
        <w:ind w:firstLine="720" w:firstLineChars="300"/>
        <w:rPr>
          <w:rFonts w:ascii="宋体" w:hAnsi="宋体" w:cs="宋体"/>
          <w:sz w:val="24"/>
        </w:rPr>
      </w:pPr>
      <w:r>
        <w:rPr>
          <w:rFonts w:hint="eastAsia" w:ascii="宋体" w:hAnsi="宋体" w:cs="宋体"/>
          <w:sz w:val="24"/>
        </w:rPr>
        <w:t>4.乙方所提供货物（含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）必须为全新无瑕疵。</w:t>
      </w:r>
    </w:p>
    <w:p>
      <w:pPr>
        <w:spacing w:line="360" w:lineRule="auto"/>
        <w:ind w:firstLine="720" w:firstLineChars="300"/>
        <w:rPr>
          <w:rFonts w:ascii="宋体" w:hAnsi="宋体" w:cs="宋体"/>
          <w:sz w:val="24"/>
        </w:rPr>
      </w:pPr>
      <w:r>
        <w:rPr>
          <w:rFonts w:hint="eastAsia" w:ascii="宋体" w:hAnsi="宋体" w:cs="宋体"/>
          <w:sz w:val="24"/>
        </w:rPr>
        <w:t>5.交货时，乙方应将货物（含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）的产品说明书、使用说明书，出厂合格证、用户手册、保修手册等单证交付给甲方，前述单证未交付完整的，视为未完全交货。</w:t>
      </w:r>
    </w:p>
    <w:p>
      <w:pPr>
        <w:spacing w:line="360" w:lineRule="auto"/>
        <w:ind w:firstLine="720" w:firstLineChars="300"/>
        <w:rPr>
          <w:rFonts w:ascii="宋体" w:hAnsi="宋体" w:cs="宋体"/>
          <w:sz w:val="24"/>
        </w:rPr>
      </w:pPr>
      <w:r>
        <w:rPr>
          <w:rFonts w:hint="eastAsia" w:ascii="宋体" w:hAnsi="宋体" w:cs="宋体"/>
          <w:sz w:val="24"/>
        </w:rPr>
        <w:t>6.如果乙</w:t>
      </w:r>
      <w:r>
        <w:rPr>
          <w:rFonts w:ascii="宋体" w:hAnsi="宋体" w:cs="宋体"/>
          <w:sz w:val="24"/>
        </w:rPr>
        <w:t>方提供</w:t>
      </w:r>
      <w:r>
        <w:rPr>
          <w:rFonts w:hint="eastAsia" w:ascii="宋体" w:hAnsi="宋体" w:cs="宋体"/>
          <w:sz w:val="24"/>
        </w:rPr>
        <w:t>货物（含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）属于国</w:t>
      </w:r>
      <w:r>
        <w:rPr>
          <w:rFonts w:ascii="宋体" w:hAnsi="宋体" w:cs="宋体"/>
          <w:sz w:val="24"/>
        </w:rPr>
        <w:t>家</w:t>
      </w:r>
      <w:r>
        <w:rPr>
          <w:rFonts w:hint="eastAsia" w:ascii="宋体" w:hAnsi="宋体" w:cs="宋体"/>
          <w:sz w:val="24"/>
        </w:rPr>
        <w:t>或</w:t>
      </w:r>
      <w:r>
        <w:rPr>
          <w:rFonts w:ascii="宋体" w:hAnsi="宋体" w:cs="宋体"/>
          <w:sz w:val="24"/>
        </w:rPr>
        <w:t>上级部门</w:t>
      </w:r>
      <w:r>
        <w:rPr>
          <w:rFonts w:hint="eastAsia" w:ascii="宋体" w:hAnsi="宋体" w:cs="宋体"/>
          <w:sz w:val="24"/>
        </w:rPr>
        <w:t>相</w:t>
      </w:r>
      <w:r>
        <w:rPr>
          <w:rFonts w:ascii="宋体" w:hAnsi="宋体" w:cs="宋体"/>
          <w:sz w:val="24"/>
        </w:rPr>
        <w:t>关法律法规管制</w:t>
      </w:r>
      <w:r>
        <w:rPr>
          <w:rFonts w:hint="eastAsia" w:ascii="宋体" w:hAnsi="宋体" w:cs="宋体"/>
          <w:sz w:val="24"/>
        </w:rPr>
        <w:t>的，则乙方应当提供相关证明并协助甲方办理相关手续。</w:t>
      </w:r>
    </w:p>
    <w:p>
      <w:pPr>
        <w:spacing w:line="360" w:lineRule="auto"/>
        <w:ind w:firstLine="482" w:firstLineChars="200"/>
        <w:rPr>
          <w:rFonts w:ascii="宋体" w:hAnsi="宋体" w:cs="宋体"/>
          <w:b/>
          <w:sz w:val="24"/>
        </w:rPr>
      </w:pPr>
      <w:r>
        <w:rPr>
          <w:rFonts w:hint="eastAsia" w:ascii="宋体" w:hAnsi="宋体" w:cs="宋体"/>
          <w:b/>
          <w:sz w:val="24"/>
        </w:rPr>
        <w:t>四、合</w:t>
      </w:r>
      <w:r>
        <w:rPr>
          <w:rFonts w:ascii="宋体" w:hAnsi="宋体" w:cs="宋体"/>
          <w:b/>
          <w:sz w:val="24"/>
        </w:rPr>
        <w:t>同</w:t>
      </w:r>
      <w:r>
        <w:rPr>
          <w:rFonts w:hint="eastAsia" w:ascii="宋体" w:hAnsi="宋体" w:cs="宋体"/>
          <w:b/>
          <w:sz w:val="24"/>
        </w:rPr>
        <w:t>验收</w:t>
      </w:r>
    </w:p>
    <w:p>
      <w:pPr>
        <w:spacing w:line="360" w:lineRule="auto"/>
        <w:ind w:firstLine="723" w:firstLineChars="300"/>
        <w:rPr>
          <w:rFonts w:ascii="宋体" w:hAnsi="宋体" w:cs="宋体"/>
          <w:sz w:val="24"/>
        </w:rPr>
      </w:pPr>
      <w:r>
        <w:rPr>
          <w:rFonts w:hint="eastAsia" w:ascii="宋体" w:hAnsi="宋体" w:cs="宋体"/>
          <w:b/>
          <w:sz w:val="24"/>
        </w:rPr>
        <w:t>1. 验收标准：</w:t>
      </w:r>
      <w:r>
        <w:rPr>
          <w:rFonts w:hint="eastAsia" w:ascii="宋体" w:hAnsi="宋体" w:cs="宋体"/>
          <w:sz w:val="24"/>
        </w:rPr>
        <w:t>本合同相关约定、国家相关规范和标准、招标文件、响应文件及磋商报告相关要求、相关技术文件验收。</w:t>
      </w:r>
    </w:p>
    <w:p>
      <w:pPr>
        <w:spacing w:line="360" w:lineRule="auto"/>
        <w:ind w:firstLine="480" w:firstLineChars="200"/>
        <w:rPr>
          <w:rFonts w:ascii="宋体" w:hAnsi="宋体" w:cs="宋体"/>
          <w:sz w:val="24"/>
        </w:rPr>
      </w:pPr>
      <w:r>
        <w:rPr>
          <w:rFonts w:ascii="宋体" w:hAnsi="宋体" w:cs="宋体"/>
          <w:sz w:val="24"/>
        </w:rPr>
        <w:t>2.</w:t>
      </w:r>
      <w:r>
        <w:rPr>
          <w:rFonts w:hint="eastAsia" w:ascii="宋体" w:hAnsi="宋体" w:cs="宋体"/>
          <w:sz w:val="24"/>
        </w:rPr>
        <w:t>验</w:t>
      </w:r>
      <w:r>
        <w:rPr>
          <w:rFonts w:ascii="宋体" w:hAnsi="宋体" w:cs="宋体"/>
          <w:sz w:val="24"/>
        </w:rPr>
        <w:t>收方式：合同内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）整</w:t>
      </w:r>
      <w:r>
        <w:rPr>
          <w:rFonts w:ascii="宋体" w:hAnsi="宋体" w:cs="宋体"/>
          <w:sz w:val="24"/>
        </w:rPr>
        <w:t>体验收。</w:t>
      </w:r>
    </w:p>
    <w:p>
      <w:pPr>
        <w:spacing w:line="360" w:lineRule="auto"/>
        <w:ind w:firstLine="480" w:firstLineChars="200"/>
        <w:rPr>
          <w:rFonts w:ascii="宋体" w:hAnsi="宋体" w:cs="宋体"/>
          <w:sz w:val="24"/>
        </w:rPr>
      </w:pPr>
      <w:r>
        <w:rPr>
          <w:rFonts w:ascii="宋体" w:hAnsi="宋体" w:cs="宋体"/>
          <w:sz w:val="24"/>
        </w:rPr>
        <w:t>3</w:t>
      </w:r>
      <w:r>
        <w:rPr>
          <w:rFonts w:hint="eastAsia" w:ascii="宋体" w:hAnsi="宋体" w:cs="宋体"/>
          <w:sz w:val="24"/>
        </w:rPr>
        <w:t>.</w:t>
      </w:r>
      <w:r>
        <w:rPr>
          <w:rFonts w:ascii="宋体" w:hAnsi="宋体" w:cs="宋体"/>
          <w:sz w:val="24"/>
        </w:rPr>
        <w:t>验收</w:t>
      </w:r>
      <w:r>
        <w:rPr>
          <w:rFonts w:hint="eastAsia" w:ascii="宋体" w:hAnsi="宋体" w:cs="宋体"/>
          <w:sz w:val="24"/>
        </w:rPr>
        <w:t>组织</w:t>
      </w:r>
      <w:r>
        <w:rPr>
          <w:rFonts w:ascii="宋体" w:hAnsi="宋体" w:cs="宋体"/>
          <w:sz w:val="24"/>
        </w:rPr>
        <w:t>：</w:t>
      </w:r>
      <w:r>
        <w:rPr>
          <w:rFonts w:hint="eastAsia" w:ascii="宋体" w:hAnsi="宋体" w:cs="宋体"/>
          <w:sz w:val="24"/>
        </w:rPr>
        <w:t>甲方组织技术人员验收。（含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）质量验收合格的，甲方签署验收报告，验收不合格的，甲方向乙方出具书面质量异议意见。 </w:t>
      </w:r>
    </w:p>
    <w:p>
      <w:pPr>
        <w:spacing w:line="360" w:lineRule="auto"/>
        <w:ind w:left="360"/>
        <w:rPr>
          <w:rFonts w:ascii="宋体" w:hAnsi="宋体" w:cs="宋体"/>
          <w:sz w:val="24"/>
        </w:rPr>
      </w:pPr>
      <w:r>
        <w:rPr>
          <w:rFonts w:ascii="宋体" w:hAnsi="宋体" w:cs="宋体"/>
          <w:sz w:val="24"/>
        </w:rPr>
        <w:t>4.</w:t>
      </w:r>
      <w:r>
        <w:rPr>
          <w:rFonts w:hint="eastAsia" w:ascii="宋体" w:hAnsi="宋体" w:cs="宋体"/>
          <w:sz w:val="24"/>
        </w:rPr>
        <w:t>.甲方完成验收并不免除乙方对（含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 xml:space="preserve">）质量应当承担的责任。          </w:t>
      </w:r>
    </w:p>
    <w:p>
      <w:pPr>
        <w:spacing w:line="360" w:lineRule="auto"/>
        <w:ind w:firstLine="482" w:firstLineChars="200"/>
        <w:rPr>
          <w:rFonts w:ascii="宋体" w:hAnsi="宋体" w:cs="宋体"/>
          <w:b/>
          <w:sz w:val="24"/>
        </w:rPr>
      </w:pPr>
      <w:r>
        <w:rPr>
          <w:rFonts w:hint="eastAsia" w:ascii="宋体" w:hAnsi="宋体" w:cs="宋体"/>
          <w:b/>
          <w:sz w:val="24"/>
        </w:rPr>
        <w:t>五、付款方式：</w:t>
      </w:r>
    </w:p>
    <w:p>
      <w:pPr>
        <w:spacing w:line="360" w:lineRule="auto"/>
        <w:ind w:left="360" w:firstLine="480" w:firstLineChars="200"/>
        <w:rPr>
          <w:rFonts w:ascii="宋体" w:hAnsi="宋体" w:cs="宋体"/>
          <w:sz w:val="24"/>
        </w:rPr>
      </w:pPr>
      <w:r>
        <w:rPr>
          <w:rFonts w:hint="eastAsia" w:ascii="宋体" w:hAnsi="宋体" w:cs="宋体"/>
          <w:sz w:val="24"/>
        </w:rPr>
        <w:t>1.本合同正式签订前，乙方需向甲方支付合同金额的5%即人民币    元整（小写：￥    元）作为履约保证金（优先以金融机构、担保机构出具的保函或者支票、汇票、本票等非现金形式提交）；</w:t>
      </w:r>
    </w:p>
    <w:p>
      <w:pPr>
        <w:spacing w:line="360" w:lineRule="auto"/>
        <w:ind w:left="360" w:firstLine="480" w:firstLineChars="200"/>
        <w:rPr>
          <w:rFonts w:ascii="宋体" w:hAnsi="宋体" w:cs="宋体"/>
          <w:sz w:val="24"/>
        </w:rPr>
      </w:pPr>
      <w:r>
        <w:rPr>
          <w:rFonts w:hint="eastAsia" w:ascii="宋体" w:hAnsi="宋体" w:cs="宋体"/>
          <w:sz w:val="24"/>
        </w:rPr>
        <w:t>2. 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）经甲方验收合格后十五个工作日内，甲方向乙方支付全额货款即人民币    元整（小写：￥    元），上述履约保证金在</w:t>
      </w:r>
      <w:r>
        <w:rPr>
          <w:rFonts w:hint="eastAsia" w:ascii="宋体" w:hAnsi="宋体" w:cs="宋体"/>
          <w:bCs/>
          <w:sz w:val="24"/>
        </w:rPr>
        <w:t>产品验收合格满</w:t>
      </w:r>
      <w:r>
        <w:rPr>
          <w:rFonts w:hint="eastAsia" w:ascii="宋体" w:hAnsi="宋体" w:cs="宋体"/>
          <w:bCs/>
          <w:sz w:val="24"/>
          <w:u w:val="single"/>
        </w:rPr>
        <w:t xml:space="preserve"> 1 </w:t>
      </w:r>
      <w:r>
        <w:rPr>
          <w:rFonts w:hint="eastAsia" w:ascii="宋体" w:hAnsi="宋体" w:cs="宋体"/>
          <w:sz w:val="24"/>
        </w:rPr>
        <w:t>年后，若无质量问题甲方将全额无息退还给乙方；</w:t>
      </w:r>
    </w:p>
    <w:p>
      <w:pPr>
        <w:spacing w:line="360" w:lineRule="auto"/>
        <w:ind w:left="360" w:firstLine="480" w:firstLineChars="200"/>
        <w:rPr>
          <w:rFonts w:ascii="宋体" w:hAnsi="宋体" w:cs="宋体"/>
          <w:sz w:val="24"/>
        </w:rPr>
      </w:pPr>
      <w:r>
        <w:rPr>
          <w:rFonts w:hint="eastAsia" w:ascii="宋体" w:hAnsi="宋体" w:cs="宋体"/>
          <w:sz w:val="24"/>
        </w:rPr>
        <w:t>３.国产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）须提供增值税专用发票。</w:t>
      </w:r>
    </w:p>
    <w:p>
      <w:pPr>
        <w:spacing w:line="360" w:lineRule="auto"/>
        <w:ind w:firstLine="482" w:firstLineChars="200"/>
        <w:rPr>
          <w:rFonts w:ascii="宋体" w:hAnsi="宋体" w:cs="宋体"/>
          <w:bCs/>
          <w:sz w:val="24"/>
        </w:rPr>
      </w:pPr>
      <w:r>
        <w:rPr>
          <w:rFonts w:hint="eastAsia" w:ascii="宋体" w:hAnsi="宋体" w:cs="宋体"/>
          <w:b/>
          <w:sz w:val="24"/>
        </w:rPr>
        <w:t>六、售后服务</w:t>
      </w:r>
      <w:r>
        <w:rPr>
          <w:rFonts w:hint="eastAsia" w:ascii="宋体" w:hAnsi="宋体" w:cs="宋体"/>
          <w:b/>
          <w:bCs/>
          <w:sz w:val="24"/>
        </w:rPr>
        <w:t xml:space="preserve"> （</w:t>
      </w:r>
      <w:r>
        <w:rPr>
          <w:rFonts w:hint="eastAsia" w:ascii="宋体" w:hAnsi="宋体" w:cs="宋体"/>
          <w:bCs/>
          <w:sz w:val="24"/>
        </w:rPr>
        <w:t>根据具体项目的响应文件填写</w:t>
      </w:r>
      <w:r>
        <w:rPr>
          <w:rFonts w:hint="eastAsia" w:ascii="宋体" w:hAnsi="宋体" w:cs="宋体"/>
          <w:b/>
          <w:bCs/>
          <w:sz w:val="24"/>
        </w:rPr>
        <w:t>）</w:t>
      </w:r>
    </w:p>
    <w:p>
      <w:pPr>
        <w:spacing w:line="360" w:lineRule="auto"/>
        <w:ind w:left="479" w:leftChars="228" w:firstLine="480" w:firstLineChars="200"/>
        <w:rPr>
          <w:rFonts w:ascii="宋体" w:hAnsi="宋体" w:cs="宋体"/>
          <w:bCs/>
          <w:sz w:val="24"/>
        </w:rPr>
      </w:pPr>
      <w:r>
        <w:rPr>
          <w:rFonts w:hint="eastAsia" w:ascii="宋体" w:hAnsi="宋体" w:cs="宋体"/>
          <w:bCs/>
          <w:sz w:val="24"/>
        </w:rPr>
        <w:t>1.</w:t>
      </w:r>
      <w:r>
        <w:rPr>
          <w:rFonts w:ascii="宋体" w:hAnsi="宋体" w:cs="宋体"/>
          <w:sz w:val="24"/>
        </w:rPr>
        <w:t xml:space="preserve"> </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验收合格之日起质保期    年，并提供售后服务    年。</w:t>
      </w:r>
    </w:p>
    <w:p>
      <w:pPr>
        <w:spacing w:line="360" w:lineRule="auto"/>
        <w:ind w:left="479" w:leftChars="228" w:firstLine="480" w:firstLineChars="200"/>
        <w:rPr>
          <w:rFonts w:ascii="宋体" w:hAnsi="宋体" w:cs="宋体"/>
          <w:bCs/>
          <w:sz w:val="24"/>
        </w:rPr>
      </w:pPr>
      <w:r>
        <w:rPr>
          <w:rFonts w:hint="eastAsia" w:ascii="宋体" w:hAnsi="宋体" w:cs="宋体"/>
          <w:bCs/>
          <w:sz w:val="24"/>
        </w:rPr>
        <w:t>2.质保期、保修期内因</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质量或安装调试原因引起的全部维修费用（包括更换零配件的费用）均由乙方承担。</w:t>
      </w:r>
    </w:p>
    <w:p>
      <w:pPr>
        <w:spacing w:line="360" w:lineRule="auto"/>
        <w:ind w:left="479" w:leftChars="228" w:firstLine="480" w:firstLineChars="200"/>
        <w:rPr>
          <w:rFonts w:ascii="宋体" w:hAnsi="宋体" w:cs="宋体"/>
          <w:bCs/>
          <w:sz w:val="24"/>
        </w:rPr>
      </w:pPr>
      <w:r>
        <w:rPr>
          <w:rFonts w:hint="eastAsia" w:ascii="宋体" w:hAnsi="宋体" w:cs="宋体"/>
          <w:bCs/>
          <w:sz w:val="24"/>
        </w:rPr>
        <w:t>3.质保期、保修期外，乙方应定期回访，发现问题及时通知甲方，</w:t>
      </w:r>
      <w:r>
        <w:rPr>
          <w:rFonts w:hint="eastAsia" w:ascii="宋体" w:hAnsi="宋体" w:cs="宋体"/>
          <w:sz w:val="24"/>
        </w:rPr>
        <w:t>国产</w:t>
      </w:r>
      <w:r>
        <w:rPr>
          <w:rFonts w:ascii="宋体" w:hAnsi="宋体" w:cs="宋体"/>
          <w:sz w:val="24"/>
        </w:rPr>
        <w:t>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cs="宋体"/>
          <w:bCs/>
          <w:sz w:val="24"/>
        </w:rPr>
        <w:t>维修零配件以优惠价给甲方（免收人工及差旅费）。</w:t>
      </w:r>
    </w:p>
    <w:p>
      <w:pPr>
        <w:spacing w:line="360" w:lineRule="auto"/>
        <w:ind w:left="479" w:leftChars="228" w:firstLine="480" w:firstLineChars="200"/>
        <w:rPr>
          <w:rFonts w:ascii="宋体" w:hAnsi="宋体" w:cs="宋体"/>
          <w:bCs/>
          <w:sz w:val="24"/>
        </w:rPr>
      </w:pPr>
      <w:r>
        <w:rPr>
          <w:rFonts w:hint="eastAsia" w:ascii="宋体" w:hAnsi="宋体" w:cs="宋体"/>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宋体" w:hAnsi="宋体" w:cs="宋体"/>
          <w:b/>
          <w:sz w:val="24"/>
        </w:rPr>
      </w:pPr>
      <w:r>
        <w:rPr>
          <w:rFonts w:hint="eastAsia" w:ascii="宋体" w:hAnsi="宋体" w:cs="宋体"/>
          <w:b/>
          <w:sz w:val="24"/>
        </w:rPr>
        <w:t>七、安装调试和搬运安全</w:t>
      </w:r>
    </w:p>
    <w:p>
      <w:pPr>
        <w:spacing w:line="360" w:lineRule="auto"/>
        <w:ind w:left="360" w:firstLine="480" w:firstLineChars="200"/>
        <w:rPr>
          <w:rFonts w:ascii="宋体" w:hAnsi="宋体" w:cs="宋体"/>
          <w:sz w:val="24"/>
        </w:rPr>
      </w:pPr>
      <w:r>
        <w:rPr>
          <w:rFonts w:hint="eastAsia" w:ascii="宋体" w:hAnsi="宋体" w:cs="宋体"/>
          <w:sz w:val="24"/>
        </w:rPr>
        <w:t>1.乙方须严格按照相关安全规范负责合同中全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施工现场管理</w:t>
      </w:r>
      <w:r>
        <w:rPr>
          <w:rFonts w:hint="eastAsia" w:ascii="宋体" w:hAnsi="宋体" w:cs="宋体"/>
          <w:sz w:val="24"/>
        </w:rPr>
        <w:t>工作，并严守安装调试、搬运和</w:t>
      </w:r>
      <w:r>
        <w:rPr>
          <w:rFonts w:ascii="宋体" w:hAnsi="宋体" w:cs="宋体"/>
          <w:sz w:val="24"/>
        </w:rPr>
        <w:t>施工现场</w:t>
      </w:r>
      <w:r>
        <w:rPr>
          <w:rFonts w:hint="eastAsia" w:ascii="宋体" w:hAnsi="宋体" w:cs="宋体"/>
          <w:sz w:val="24"/>
        </w:rPr>
        <w:t>各项安全规定。</w:t>
      </w:r>
    </w:p>
    <w:p>
      <w:pPr>
        <w:spacing w:line="360" w:lineRule="auto"/>
        <w:ind w:left="360" w:firstLine="480" w:firstLineChars="200"/>
        <w:rPr>
          <w:rFonts w:ascii="宋体" w:hAnsi="宋体" w:cs="宋体"/>
          <w:sz w:val="24"/>
        </w:rPr>
      </w:pPr>
      <w:r>
        <w:rPr>
          <w:rFonts w:hint="eastAsia" w:ascii="宋体" w:hAnsi="宋体" w:cs="宋体"/>
          <w:sz w:val="24"/>
        </w:rPr>
        <w:t>2.乙方须安排具备相应资质的人员负责合同中全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）安装调试、搬运和</w:t>
      </w:r>
      <w:r>
        <w:rPr>
          <w:rFonts w:ascii="宋体" w:hAnsi="宋体" w:cs="宋体"/>
          <w:sz w:val="24"/>
        </w:rPr>
        <w:t>施工现场</w:t>
      </w:r>
      <w:r>
        <w:rPr>
          <w:rFonts w:hint="eastAsia" w:ascii="宋体" w:hAnsi="宋体" w:cs="宋体"/>
          <w:sz w:val="24"/>
        </w:rPr>
        <w:t>管安</w:t>
      </w:r>
      <w:r>
        <w:rPr>
          <w:rFonts w:ascii="宋体" w:hAnsi="宋体" w:cs="宋体"/>
          <w:sz w:val="24"/>
        </w:rPr>
        <w:t>全管理</w:t>
      </w:r>
      <w:r>
        <w:rPr>
          <w:rFonts w:hint="eastAsia" w:ascii="宋体" w:hAnsi="宋体" w:cs="宋体"/>
          <w:sz w:val="24"/>
        </w:rPr>
        <w:t>工作，负责监督安装调试和搬运人员按照安全规范进行安装调试、搬运和</w:t>
      </w:r>
      <w:r>
        <w:rPr>
          <w:rFonts w:ascii="宋体" w:hAnsi="宋体" w:cs="宋体"/>
          <w:sz w:val="24"/>
        </w:rPr>
        <w:t>施工现场管理</w:t>
      </w:r>
      <w:r>
        <w:rPr>
          <w:rFonts w:hint="eastAsia" w:ascii="宋体" w:hAnsi="宋体" w:cs="宋体"/>
          <w:sz w:val="24"/>
        </w:rPr>
        <w:t>，保证安装调试、搬运和</w:t>
      </w:r>
      <w:r>
        <w:rPr>
          <w:rFonts w:ascii="宋体" w:hAnsi="宋体" w:cs="宋体"/>
          <w:sz w:val="24"/>
        </w:rPr>
        <w:t>施工现场</w:t>
      </w:r>
      <w:r>
        <w:rPr>
          <w:rFonts w:hint="eastAsia" w:ascii="宋体" w:hAnsi="宋体" w:cs="宋体"/>
          <w:sz w:val="24"/>
        </w:rPr>
        <w:t>安全。若发生人员伤亡事故，乙方必须承担所有法律和经济责任，甲方概不负责；若发生房屋损坏、设备损坏丢失、线路及设备毁损等财</w:t>
      </w:r>
      <w:r>
        <w:rPr>
          <w:rFonts w:ascii="宋体" w:hAnsi="宋体" w:cs="宋体"/>
          <w:sz w:val="24"/>
        </w:rPr>
        <w:t>产</w:t>
      </w:r>
      <w:r>
        <w:rPr>
          <w:rFonts w:hint="eastAsia" w:ascii="宋体" w:hAnsi="宋体" w:cs="宋体"/>
          <w:sz w:val="24"/>
        </w:rPr>
        <w:t>损失安全事故，乙方必须承担经济赔偿。</w:t>
      </w:r>
    </w:p>
    <w:p>
      <w:pPr>
        <w:spacing w:line="360" w:lineRule="auto"/>
        <w:ind w:left="479" w:leftChars="172" w:hanging="118" w:hangingChars="49"/>
        <w:rPr>
          <w:rFonts w:ascii="宋体" w:hAnsi="宋体" w:cs="宋体"/>
          <w:sz w:val="24"/>
        </w:rPr>
      </w:pPr>
      <w:r>
        <w:rPr>
          <w:rFonts w:hint="eastAsia" w:ascii="宋体" w:hAnsi="宋体" w:cs="宋体"/>
          <w:b/>
          <w:bCs/>
          <w:sz w:val="24"/>
        </w:rPr>
        <w:t>八、违约责任</w:t>
      </w:r>
    </w:p>
    <w:p>
      <w:pPr>
        <w:spacing w:line="360" w:lineRule="auto"/>
        <w:ind w:left="540" w:leftChars="257" w:firstLine="480" w:firstLineChars="200"/>
        <w:rPr>
          <w:rFonts w:ascii="宋体" w:hAnsi="宋体" w:cs="宋体"/>
          <w:sz w:val="24"/>
        </w:rPr>
      </w:pPr>
      <w:r>
        <w:rPr>
          <w:rFonts w:hint="eastAsia" w:ascii="宋体" w:hAnsi="宋体" w:cs="宋体"/>
          <w:sz w:val="24"/>
        </w:rPr>
        <w:t>1.若乙方未能按合同所规定的交货时间前完成本合同全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宋体" w:hAnsi="宋体" w:cs="宋体"/>
          <w:sz w:val="24"/>
        </w:rPr>
      </w:pPr>
      <w:r>
        <w:rPr>
          <w:rFonts w:hint="eastAsia" w:ascii="宋体" w:hAnsi="宋体" w:cs="宋体"/>
          <w:sz w:val="24"/>
        </w:rPr>
        <w:t>2．若乙方未能在20  年  月  日前完成本合同全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）安装调试并达到验收标准，甲方可中止本合同，并由乙方承担由此给甲方造成的一切损失。</w:t>
      </w:r>
    </w:p>
    <w:p>
      <w:pPr>
        <w:spacing w:line="360" w:lineRule="auto"/>
        <w:ind w:left="540" w:leftChars="257" w:firstLine="480" w:firstLineChars="200"/>
        <w:rPr>
          <w:rFonts w:ascii="宋体" w:hAnsi="宋体" w:cs="宋体"/>
          <w:sz w:val="24"/>
        </w:rPr>
      </w:pPr>
      <w:r>
        <w:rPr>
          <w:rFonts w:hint="eastAsia" w:ascii="宋体" w:hAnsi="宋体" w:cs="宋体"/>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宋体" w:hAnsi="宋体" w:cs="宋体"/>
          <w:bCs/>
          <w:sz w:val="24"/>
        </w:rPr>
      </w:pPr>
      <w:r>
        <w:rPr>
          <w:rFonts w:hint="eastAsia" w:ascii="宋体" w:hAnsi="宋体" w:cs="宋体"/>
          <w:sz w:val="24"/>
        </w:rPr>
        <w:t>4．乙方交付甲方的全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）及施工过</w:t>
      </w:r>
      <w:r>
        <w:rPr>
          <w:rFonts w:ascii="宋体" w:hAnsi="宋体" w:cs="宋体"/>
          <w:sz w:val="24"/>
        </w:rPr>
        <w:t>程</w:t>
      </w:r>
      <w:r>
        <w:rPr>
          <w:rFonts w:hint="eastAsia" w:ascii="宋体" w:hAnsi="宋体" w:cs="宋体"/>
          <w:sz w:val="24"/>
        </w:rPr>
        <w:t>中使用的材料必须有合法的进货渠道，且符合合同和投标书中的质量约定，否则由乙方承担一切责任。</w:t>
      </w:r>
    </w:p>
    <w:p>
      <w:pPr>
        <w:spacing w:line="360" w:lineRule="auto"/>
        <w:ind w:left="540" w:leftChars="257" w:firstLine="480" w:firstLineChars="200"/>
        <w:rPr>
          <w:rFonts w:ascii="宋体" w:hAnsi="宋体" w:cs="宋体"/>
          <w:bCs/>
          <w:sz w:val="24"/>
        </w:rPr>
      </w:pPr>
      <w:r>
        <w:rPr>
          <w:rFonts w:hint="eastAsia" w:ascii="宋体" w:hAnsi="宋体" w:cs="宋体"/>
          <w:bCs/>
          <w:sz w:val="24"/>
        </w:rPr>
        <w:t>5.</w:t>
      </w:r>
      <w:r>
        <w:rPr>
          <w:rFonts w:hint="eastAsia" w:ascii="宋体" w:hAnsi="宋体"/>
          <w:bCs/>
          <w:sz w:val="24"/>
        </w:rPr>
        <w:t xml:space="preserve"> 乙方保证本合同项内</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的权利无瑕疵，包括</w:t>
      </w:r>
      <w:r>
        <w:rPr>
          <w:rFonts w:hint="eastAsia" w:ascii="宋体" w:hAnsi="宋体" w:cs="宋体"/>
          <w:sz w:val="24"/>
        </w:rPr>
        <w:t>全</w:t>
      </w:r>
      <w:r>
        <w:rPr>
          <w:rFonts w:ascii="宋体" w:hAnsi="宋体" w:cs="宋体"/>
          <w:sz w:val="24"/>
        </w:rPr>
        <w:t>部货物</w:t>
      </w:r>
      <w:r>
        <w:rPr>
          <w:rFonts w:hint="eastAsia" w:ascii="宋体" w:hAnsi="宋体" w:cs="宋体"/>
          <w:sz w:val="24"/>
        </w:rPr>
        <w:t>（含</w:t>
      </w:r>
      <w:r>
        <w:rPr>
          <w:rFonts w:ascii="宋体" w:hAnsi="宋体" w:cs="宋体"/>
          <w:sz w:val="24"/>
        </w:rPr>
        <w:t>配套</w:t>
      </w:r>
      <w:r>
        <w:rPr>
          <w:rFonts w:hint="eastAsia" w:ascii="宋体" w:hAnsi="宋体" w:cs="宋体"/>
          <w:sz w:val="24"/>
        </w:rPr>
        <w:t>系统、配件</w:t>
      </w:r>
      <w:r>
        <w:rPr>
          <w:rFonts w:ascii="宋体" w:hAnsi="宋体" w:cs="宋体"/>
          <w:sz w:val="24"/>
        </w:rPr>
        <w:t>备件</w:t>
      </w:r>
      <w:r>
        <w:rPr>
          <w:rFonts w:hint="eastAsia" w:ascii="宋体" w:hAnsi="宋体" w:cs="宋体"/>
          <w:sz w:val="24"/>
        </w:rPr>
        <w:t>）</w:t>
      </w:r>
      <w:r>
        <w:rPr>
          <w:rFonts w:hint="eastAsia" w:ascii="宋体" w:hAnsi="宋体"/>
          <w:bCs/>
          <w:sz w:val="24"/>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 w:val="24"/>
        </w:rPr>
        <w:t>内</w:t>
      </w:r>
      <w:r>
        <w:rPr>
          <w:rFonts w:hint="eastAsia" w:ascii="宋体" w:hAnsi="宋体"/>
          <w:bCs/>
          <w:sz w:val="24"/>
        </w:rPr>
        <w:t>返</w:t>
      </w:r>
      <w:r>
        <w:rPr>
          <w:rFonts w:ascii="宋体" w:hAnsi="宋体"/>
          <w:bCs/>
          <w:sz w:val="24"/>
        </w:rPr>
        <w:t>还甲方</w:t>
      </w:r>
      <w:r>
        <w:rPr>
          <w:rFonts w:hint="eastAsia" w:ascii="宋体" w:hAnsi="宋体"/>
          <w:bCs/>
          <w:sz w:val="24"/>
        </w:rPr>
        <w:t>已付货款外，还应按合同总价的</w:t>
      </w:r>
      <w:r>
        <w:rPr>
          <w:rFonts w:hint="eastAsia" w:ascii="宋体" w:hAnsi="宋体" w:cs="宋体"/>
          <w:sz w:val="24"/>
        </w:rPr>
        <w:t>5%</w:t>
      </w:r>
      <w:r>
        <w:rPr>
          <w:rFonts w:hint="eastAsia" w:ascii="宋体" w:hAnsi="宋体"/>
          <w:bCs/>
          <w:sz w:val="24"/>
        </w:rPr>
        <w:t>向甲方支付违约金。</w:t>
      </w:r>
    </w:p>
    <w:p>
      <w:pPr>
        <w:spacing w:line="360" w:lineRule="auto"/>
        <w:ind w:firstLine="482" w:firstLineChars="200"/>
        <w:rPr>
          <w:rFonts w:ascii="宋体" w:hAnsi="宋体" w:cs="宋体"/>
          <w:b/>
          <w:bCs/>
          <w:sz w:val="24"/>
        </w:rPr>
      </w:pPr>
      <w:r>
        <w:rPr>
          <w:rFonts w:hint="eastAsia" w:ascii="宋体" w:hAnsi="宋体" w:cs="宋体"/>
          <w:b/>
          <w:sz w:val="24"/>
        </w:rPr>
        <w:t>九、在履行本合同过程中，如发生争议，双方应友好协商解决，如协商不能解决，双方同意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宋体" w:hAnsi="宋体" w:cs="宋体"/>
          <w:b/>
          <w:sz w:val="24"/>
        </w:rPr>
      </w:pPr>
      <w:r>
        <w:rPr>
          <w:rFonts w:hint="eastAsia" w:ascii="宋体" w:hAnsi="宋体" w:cs="宋体"/>
          <w:b/>
          <w:sz w:val="24"/>
        </w:rPr>
        <w:t>十、本合同一式柒份，甲方持陆份，</w:t>
      </w:r>
      <w:r>
        <w:rPr>
          <w:rFonts w:hint="eastAsia" w:ascii="宋体" w:hAnsi="宋体"/>
          <w:b/>
          <w:sz w:val="24"/>
        </w:rPr>
        <w:t>乙方持壹份,具有同等法律效力。</w:t>
      </w:r>
    </w:p>
    <w:p>
      <w:pPr>
        <w:spacing w:line="360" w:lineRule="auto"/>
        <w:ind w:firstLine="482" w:firstLineChars="200"/>
        <w:rPr>
          <w:rFonts w:ascii="宋体" w:hAnsi="宋体" w:cs="宋体"/>
          <w:b/>
          <w:sz w:val="24"/>
        </w:rPr>
      </w:pPr>
      <w:r>
        <w:rPr>
          <w:rFonts w:hint="eastAsia" w:ascii="宋体" w:hAnsi="宋体" w:cs="宋体"/>
          <w:b/>
          <w:sz w:val="24"/>
        </w:rPr>
        <w:t>十一、本合同自双方签字并盖章之日起生效。</w:t>
      </w:r>
    </w:p>
    <w:p>
      <w:pPr>
        <w:spacing w:line="360" w:lineRule="auto"/>
        <w:ind w:left="-178" w:leftChars="-85" w:right="-359" w:rightChars="-171" w:firstLine="144" w:firstLineChars="60"/>
        <w:rPr>
          <w:rFonts w:ascii="宋体" w:hAnsi="宋体" w:cs="宋体"/>
          <w:sz w:val="24"/>
        </w:rPr>
      </w:pPr>
    </w:p>
    <w:p>
      <w:pPr>
        <w:spacing w:line="360" w:lineRule="auto"/>
        <w:ind w:left="178" w:leftChars="85" w:right="-359" w:rightChars="-171"/>
        <w:rPr>
          <w:rFonts w:ascii="宋体" w:hAnsi="宋体" w:cs="宋体"/>
          <w:sz w:val="24"/>
        </w:rPr>
      </w:pPr>
      <w:r>
        <w:rPr>
          <w:rFonts w:hint="eastAsia" w:ascii="宋体" w:hAnsi="宋体" w:cs="宋体"/>
          <w:sz w:val="24"/>
        </w:rPr>
        <w:t>甲 方（盖章）：</w:t>
      </w:r>
      <w:r>
        <w:rPr>
          <w:rFonts w:hint="eastAsia" w:ascii="宋体" w:hAnsi="宋体" w:cs="宋体"/>
          <w:b/>
          <w:bCs/>
          <w:sz w:val="24"/>
        </w:rPr>
        <w:t xml:space="preserve">湖北工业大学                </w:t>
      </w:r>
      <w:r>
        <w:rPr>
          <w:rFonts w:hint="eastAsia" w:ascii="宋体" w:hAnsi="宋体" w:cs="宋体"/>
          <w:sz w:val="24"/>
        </w:rPr>
        <w:t>乙 方（盖章）：</w:t>
      </w:r>
      <w:r>
        <w:rPr>
          <w:rFonts w:hint="eastAsia" w:ascii="宋体" w:hAnsi="宋体" w:cs="宋体"/>
          <w:snapToGrid w:val="0"/>
          <w:kern w:val="0"/>
          <w:sz w:val="24"/>
        </w:rPr>
        <w:t xml:space="preserve">                      </w:t>
      </w:r>
    </w:p>
    <w:p>
      <w:pPr>
        <w:spacing w:line="360" w:lineRule="auto"/>
        <w:ind w:left="178" w:leftChars="85" w:right="-178" w:rightChars="-85"/>
        <w:rPr>
          <w:rFonts w:ascii="宋体" w:hAnsi="宋体" w:cs="宋体"/>
          <w:sz w:val="24"/>
        </w:rPr>
      </w:pPr>
    </w:p>
    <w:p>
      <w:pPr>
        <w:spacing w:line="360" w:lineRule="auto"/>
        <w:ind w:left="178" w:leftChars="85" w:right="-178" w:rightChars="-85"/>
        <w:rPr>
          <w:rFonts w:ascii="宋体" w:hAnsi="宋体" w:cs="宋体"/>
          <w:sz w:val="24"/>
        </w:rPr>
      </w:pPr>
      <w:r>
        <w:rPr>
          <w:rFonts w:hint="eastAsia" w:ascii="宋体" w:hAnsi="宋体" w:cs="宋体"/>
          <w:sz w:val="24"/>
        </w:rPr>
        <w:t>部门（单位）主要负责人（签名）：</w:t>
      </w:r>
    </w:p>
    <w:p>
      <w:pPr>
        <w:spacing w:line="360" w:lineRule="auto"/>
        <w:ind w:left="178" w:leftChars="85" w:right="-178" w:rightChars="-85"/>
        <w:rPr>
          <w:rFonts w:ascii="宋体" w:hAnsi="宋体" w:cs="宋体"/>
          <w:sz w:val="24"/>
        </w:rPr>
      </w:pPr>
      <w:r>
        <w:rPr>
          <w:rFonts w:hint="eastAsia" w:ascii="宋体" w:hAnsi="宋体" w:cs="宋体"/>
          <w:sz w:val="24"/>
        </w:rPr>
        <w:t>法人或授权代表（签名）：                   法人或授权代表（签名）：</w:t>
      </w:r>
    </w:p>
    <w:p>
      <w:pPr>
        <w:spacing w:line="360" w:lineRule="auto"/>
        <w:ind w:left="178" w:leftChars="85" w:right="-171"/>
        <w:rPr>
          <w:rFonts w:ascii="宋体" w:hAnsi="宋体" w:cs="宋体"/>
          <w:sz w:val="24"/>
        </w:rPr>
      </w:pPr>
    </w:p>
    <w:p>
      <w:pPr>
        <w:spacing w:line="360" w:lineRule="auto"/>
        <w:ind w:left="178" w:leftChars="85" w:right="-171"/>
        <w:rPr>
          <w:rFonts w:ascii="宋体" w:hAnsi="宋体" w:cs="宋体"/>
          <w:sz w:val="24"/>
        </w:rPr>
      </w:pPr>
      <w:r>
        <w:rPr>
          <w:rFonts w:hint="eastAsia" w:ascii="宋体" w:hAnsi="宋体" w:cs="宋体"/>
          <w:sz w:val="24"/>
        </w:rPr>
        <w:t>联系方式：02759750213                    联系方式：</w:t>
      </w:r>
    </w:p>
    <w:p>
      <w:pPr>
        <w:spacing w:line="360" w:lineRule="auto"/>
        <w:ind w:left="178" w:leftChars="85" w:right="-171"/>
        <w:rPr>
          <w:rFonts w:ascii="宋体" w:hAnsi="宋体" w:cs="宋体"/>
          <w:sz w:val="24"/>
        </w:rPr>
      </w:pPr>
      <w:r>
        <w:rPr>
          <w:rFonts w:hint="eastAsia" w:ascii="宋体" w:hAnsi="宋体" w:cs="宋体"/>
          <w:sz w:val="24"/>
        </w:rPr>
        <w:t xml:space="preserve">                                         开户银行：</w:t>
      </w:r>
    </w:p>
    <w:p>
      <w:pPr>
        <w:spacing w:line="360" w:lineRule="auto"/>
        <w:ind w:left="178" w:leftChars="85" w:right="-171"/>
        <w:rPr>
          <w:rFonts w:ascii="宋体" w:hAnsi="宋体" w:cs="宋体"/>
          <w:snapToGrid w:val="0"/>
          <w:kern w:val="0"/>
          <w:sz w:val="24"/>
        </w:rPr>
      </w:pPr>
      <w:r>
        <w:rPr>
          <w:rFonts w:hint="eastAsia" w:ascii="宋体" w:hAnsi="宋体" w:cs="宋体"/>
          <w:sz w:val="24"/>
        </w:rPr>
        <w:t xml:space="preserve">                                         银行账号：</w:t>
      </w:r>
    </w:p>
    <w:p>
      <w:pPr>
        <w:spacing w:line="360" w:lineRule="auto"/>
        <w:ind w:left="178" w:leftChars="85" w:right="-171"/>
        <w:rPr>
          <w:rFonts w:ascii="宋体" w:hAnsi="宋体" w:cs="宋体"/>
          <w:sz w:val="24"/>
        </w:rPr>
      </w:pPr>
      <w:r>
        <w:rPr>
          <w:rFonts w:hint="eastAsia" w:ascii="宋体" w:hAnsi="宋体" w:cs="宋体"/>
          <w:snapToGrid w:val="0"/>
          <w:kern w:val="0"/>
          <w:sz w:val="24"/>
        </w:rPr>
        <w:t xml:space="preserve">                                  </w:t>
      </w:r>
    </w:p>
    <w:p>
      <w:pPr>
        <w:spacing w:line="360" w:lineRule="auto"/>
        <w:ind w:left="178" w:leftChars="85"/>
        <w:jc w:val="left"/>
        <w:rPr>
          <w:rFonts w:ascii="宋体" w:hAnsi="宋体" w:cs="宋体"/>
          <w:sz w:val="24"/>
        </w:rPr>
      </w:pPr>
      <w:r>
        <w:rPr>
          <w:rFonts w:hint="eastAsia" w:ascii="宋体" w:hAnsi="宋体" w:cs="宋体"/>
          <w:sz w:val="24"/>
        </w:rPr>
        <w:t xml:space="preserve">日  期： </w:t>
      </w:r>
      <w:r>
        <w:rPr>
          <w:rFonts w:hint="eastAsia" w:ascii="宋体" w:hAnsi="宋体" w:cs="宋体"/>
          <w:b/>
          <w:sz w:val="24"/>
        </w:rPr>
        <w:t xml:space="preserve">二○   年   月    日   </w:t>
      </w:r>
      <w:r>
        <w:rPr>
          <w:rFonts w:hint="eastAsia" w:ascii="宋体" w:hAnsi="宋体" w:cs="宋体"/>
          <w:sz w:val="24"/>
        </w:rPr>
        <w:t xml:space="preserve">      日   期：二○   年   月   日</w:t>
      </w:r>
    </w:p>
    <w:p>
      <w:pPr>
        <w:spacing w:line="360" w:lineRule="auto"/>
        <w:ind w:left="420"/>
        <w:rPr>
          <w:rFonts w:ascii="宋体" w:hAnsi="宋体" w:cs="宋体"/>
          <w:sz w:val="24"/>
        </w:rPr>
      </w:pPr>
    </w:p>
    <w:p>
      <w:r>
        <w:rPr>
          <w:rFonts w:hint="eastAsia"/>
        </w:rPr>
        <w:br w:type="page"/>
      </w:r>
    </w:p>
    <w:p>
      <w:pPr>
        <w:pStyle w:val="3"/>
        <w:numPr>
          <w:ilvl w:val="0"/>
          <w:numId w:val="4"/>
        </w:numPr>
        <w:jc w:val="center"/>
        <w:rPr>
          <w:rFonts w:asciiTheme="minorEastAsia" w:hAnsiTheme="minorEastAsia" w:eastAsiaTheme="minorEastAsia" w:cstheme="minorEastAsia"/>
          <w:sz w:val="36"/>
          <w:szCs w:val="36"/>
        </w:rPr>
      </w:pPr>
      <w:bookmarkStart w:id="136" w:name="_Toc8149"/>
      <w:r>
        <w:rPr>
          <w:rFonts w:hint="eastAsia" w:asciiTheme="minorEastAsia" w:hAnsiTheme="minorEastAsia" w:eastAsiaTheme="minorEastAsia" w:cstheme="minorEastAsia"/>
          <w:sz w:val="36"/>
          <w:szCs w:val="36"/>
        </w:rPr>
        <w:t>竞争性磋商响应文件格式</w:t>
      </w:r>
      <w:bookmarkEnd w:id="136"/>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计划备案号： </w:t>
      </w:r>
      <w:r>
        <w:rPr>
          <w:rFonts w:hint="eastAsia" w:asciiTheme="minorEastAsia" w:hAnsiTheme="minorEastAsia" w:eastAsiaTheme="minorEastAsia" w:cstheme="minorEastAsia"/>
          <w:b/>
          <w:bCs/>
          <w:sz w:val="30"/>
          <w:szCs w:val="30"/>
          <w:u w:val="single"/>
        </w:rPr>
        <w:t xml:space="preserve">                         </w:t>
      </w:r>
    </w:p>
    <w:p>
      <w:pPr>
        <w:tabs>
          <w:tab w:val="left" w:pos="7230"/>
        </w:tabs>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项目包名称：</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r>
        <w:rPr>
          <w:rFonts w:hint="eastAsia" w:asciiTheme="minorEastAsia" w:hAnsiTheme="minorEastAsia" w:eastAsiaTheme="minorEastAsia" w:cstheme="minorEastAsia"/>
          <w:b/>
          <w:bCs/>
          <w:sz w:val="32"/>
          <w:u w:val="single"/>
        </w:rPr>
        <w:t xml:space="preserve">                       </w:t>
      </w:r>
      <w:bookmarkStart w:id="137" w:name="_Toc23858"/>
      <w:bookmarkStart w:id="138" w:name="_Toc5751"/>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37"/>
    <w:bookmarkEnd w:id="138"/>
    <w:p>
      <w:pPr>
        <w:autoSpaceDE w:val="0"/>
        <w:autoSpaceDN w:val="0"/>
        <w:adjustRightInd w:val="0"/>
        <w:spacing w:line="360" w:lineRule="auto"/>
        <w:jc w:val="center"/>
        <w:rPr>
          <w:rFonts w:asciiTheme="minorEastAsia" w:hAnsiTheme="minorEastAsia" w:eastAsiaTheme="minorEastAsia" w:cstheme="minorEastAsia"/>
          <w:b/>
          <w:bCs/>
          <w:sz w:val="24"/>
        </w:rPr>
      </w:pPr>
      <w:bookmarkStart w:id="139" w:name="_Toc360174584"/>
      <w:bookmarkStart w:id="140" w:name="_Toc264644272"/>
      <w:bookmarkStart w:id="141" w:name="_Toc533331084"/>
      <w:bookmarkStart w:id="142" w:name="_Toc211783342"/>
      <w:bookmarkStart w:id="143" w:name="_Toc533330957"/>
      <w:bookmarkStart w:id="144" w:name="_Toc11320441"/>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39"/>
      <w:bookmarkEnd w:id="140"/>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45" w:name="_Toc26319"/>
      <w:r>
        <w:rPr>
          <w:rFonts w:hint="eastAsia" w:ascii="宋体" w:hAnsi="宋体" w:cs="宋体"/>
          <w:b/>
          <w:szCs w:val="21"/>
        </w:rPr>
        <w:br w:type="textWrapping"/>
      </w:r>
      <w:r>
        <w:rPr>
          <w:rFonts w:hint="eastAsia" w:ascii="宋体" w:hAnsi="宋体" w:cs="宋体"/>
          <w:b/>
          <w:szCs w:val="21"/>
        </w:rPr>
        <w:t>一、评分标准索引表</w:t>
      </w:r>
      <w:bookmarkEnd w:id="145"/>
    </w:p>
    <w:tbl>
      <w:tblPr>
        <w:tblStyle w:val="2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46" w:name="_Toc479184125"/>
      <w:bookmarkStart w:id="147" w:name="_Toc30144"/>
      <w:bookmarkStart w:id="148" w:name="_Toc15789"/>
      <w:bookmarkStart w:id="149" w:name="_Toc9586"/>
      <w:r>
        <w:rPr>
          <w:rFonts w:hint="eastAsia" w:asciiTheme="minorEastAsia" w:hAnsiTheme="minorEastAsia" w:eastAsiaTheme="minorEastAsia" w:cstheme="minorEastAsia"/>
          <w:b/>
        </w:rPr>
        <w:t>二、磋商书</w:t>
      </w:r>
      <w:bookmarkEnd w:id="146"/>
      <w:bookmarkEnd w:id="147"/>
      <w:bookmarkEnd w:id="148"/>
      <w:bookmarkEnd w:id="149"/>
    </w:p>
    <w:p>
      <w:pPr>
        <w:pStyle w:val="21"/>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包货物的磋商邀请，我方代表（姓名、职务）经正式授权并代表供应商（供应商的名称、地址）提交下述文件正本一份，副本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份。</w:t>
      </w:r>
    </w:p>
    <w:p>
      <w:pPr>
        <w:numPr>
          <w:ilvl w:val="1"/>
          <w:numId w:val="4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4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45"/>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4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4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46"/>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46"/>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r>
        <w:rPr>
          <w:rFonts w:hint="eastAsia" w:asciiTheme="minorEastAsia" w:hAnsiTheme="minorEastAsia" w:eastAsiaTheme="minorEastAsia" w:cstheme="minorEastAsia"/>
        </w:rPr>
        <w:t xml:space="preserve">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47"/>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50" w:name="_Toc13969"/>
      <w:bookmarkStart w:id="151" w:name="_Toc479184126"/>
      <w:bookmarkStart w:id="152" w:name="_Toc25089"/>
      <w:bookmarkStart w:id="153" w:name="_Toc24205"/>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50"/>
      <w:bookmarkEnd w:id="151"/>
      <w:bookmarkEnd w:id="152"/>
      <w:bookmarkEnd w:id="153"/>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日起至</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签发日期：</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年 </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r>
        <w:rPr>
          <w:rFonts w:hint="eastAsia" w:asciiTheme="minorEastAsia" w:hAnsiTheme="minorEastAsia" w:eastAsiaTheme="minorEastAsia" w:cstheme="minorEastAsia"/>
          <w:kern w:val="0"/>
          <w:szCs w:val="21"/>
          <w:u w:val="single"/>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 xml:space="preserve">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r>
        <w:rPr>
          <w:rFonts w:hint="eastAsia" w:asciiTheme="minorEastAsia" w:hAnsiTheme="minorEastAsia" w:eastAsiaTheme="minorEastAsia" w:cstheme="minorEastAsia"/>
          <w:kern w:val="0"/>
          <w:szCs w:val="21"/>
          <w:u w:val="single"/>
        </w:rPr>
        <w:t xml:space="preserve">                                                                                    </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4" w:name="_Toc30245"/>
      <w:bookmarkStart w:id="155" w:name="_Toc432149008"/>
      <w:bookmarkStart w:id="156" w:name="_Toc30476"/>
      <w:bookmarkStart w:id="157" w:name="_Toc360120184"/>
      <w:bookmarkStart w:id="158" w:name="_Toc26975"/>
      <w:bookmarkStart w:id="159" w:name="_Toc424832832"/>
      <w:bookmarkStart w:id="160" w:name="_Toc479184127"/>
      <w:bookmarkStart w:id="161" w:name="_Toc29904"/>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54"/>
      <w:bookmarkEnd w:id="155"/>
      <w:bookmarkEnd w:id="156"/>
      <w:bookmarkEnd w:id="157"/>
      <w:bookmarkEnd w:id="158"/>
      <w:bookmarkEnd w:id="159"/>
      <w:bookmarkEnd w:id="160"/>
      <w:bookmarkEnd w:id="161"/>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（姓名）</w:t>
      </w:r>
      <w:r>
        <w:rPr>
          <w:rFonts w:hint="eastAsia" w:asciiTheme="minorEastAsia" w:hAnsiTheme="minorEastAsia" w:eastAsiaTheme="minorEastAsia" w:cstheme="minorEastAsia"/>
          <w:szCs w:val="21"/>
        </w:rPr>
        <w:t>在我单位任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职务</w:t>
      </w:r>
      <w:r>
        <w:rPr>
          <w:rFonts w:hint="eastAsia" w:asciiTheme="minorEastAsia" w:hAnsiTheme="minorEastAsia" w:eastAsiaTheme="minorEastAsia" w:cstheme="minorEastAsia"/>
          <w:kern w:val="0"/>
          <w:szCs w:val="21"/>
        </w:rPr>
        <w:t>，系</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年龄：</w:t>
      </w:r>
      <w:r>
        <w:rPr>
          <w:rFonts w:hint="eastAsia" w:asciiTheme="minorEastAsia" w:hAnsiTheme="minorEastAsia" w:eastAsiaTheme="minorEastAsia" w:cstheme="minorEastAsia"/>
          <w:kern w:val="0"/>
          <w:szCs w:val="21"/>
          <w:u w:val="single"/>
        </w:rPr>
        <w:t xml:space="preserve">        </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r>
        <w:rPr>
          <w:rFonts w:hint="eastAsia" w:asciiTheme="minorEastAsia" w:hAnsiTheme="minorEastAsia" w:eastAsiaTheme="minorEastAsia" w:cstheme="minorEastAsia"/>
          <w:kern w:val="0"/>
          <w:szCs w:val="21"/>
          <w:u w:val="single"/>
        </w:rPr>
        <w:t xml:space="preserve">                  </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年</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月</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62" w:name="_Toc432149006"/>
      <w:bookmarkStart w:id="163" w:name="_Toc422466732"/>
      <w:r>
        <w:rPr>
          <w:rFonts w:hint="eastAsia" w:asciiTheme="minorEastAsia" w:hAnsiTheme="minorEastAsia" w:eastAsiaTheme="minorEastAsia" w:cstheme="minorEastAsia"/>
          <w:b/>
          <w:bCs/>
          <w:sz w:val="24"/>
        </w:rPr>
        <w:br w:type="page"/>
      </w:r>
      <w:bookmarkStart w:id="164" w:name="_Toc479184128"/>
      <w:bookmarkStart w:id="165" w:name="_Toc4741"/>
      <w:bookmarkStart w:id="166" w:name="_Toc26834"/>
      <w:bookmarkStart w:id="167" w:name="_Toc4301"/>
      <w:r>
        <w:rPr>
          <w:rFonts w:hint="eastAsia" w:asciiTheme="minorEastAsia" w:hAnsiTheme="minorEastAsia" w:eastAsiaTheme="minorEastAsia" w:cstheme="minorEastAsia"/>
          <w:b/>
          <w:bCs/>
          <w:szCs w:val="21"/>
        </w:rPr>
        <w:t>五、报价一览表</w:t>
      </w:r>
      <w:bookmarkEnd w:id="162"/>
      <w:bookmarkEnd w:id="163"/>
      <w:bookmarkEnd w:id="164"/>
      <w:bookmarkEnd w:id="165"/>
      <w:bookmarkEnd w:id="166"/>
      <w:bookmarkEnd w:id="167"/>
    </w:p>
    <w:p>
      <w:pPr>
        <w:adjustRightInd w:val="0"/>
        <w:snapToGrid w:val="0"/>
        <w:ind w:left="-88" w:leftChars="-42"/>
        <w:rPr>
          <w:rFonts w:asciiTheme="minorEastAsia" w:hAnsiTheme="minorEastAsia" w:eastAsiaTheme="minorEastAsia" w:cstheme="minorEastAsia"/>
          <w:szCs w:val="21"/>
        </w:rPr>
      </w:pPr>
      <w:r>
        <w:rPr>
          <w:rFonts w:hint="eastAsia" w:asciiTheme="minorEastAsia" w:hAnsiTheme="minorEastAsia" w:eastAsiaTheme="minorEastAsia" w:cstheme="minorEastAsia"/>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项目包名称：                                                  </w:t>
      </w:r>
    </w:p>
    <w:tbl>
      <w:tblPr>
        <w:tblStyle w:val="27"/>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主要产品概况</w:t>
            </w:r>
            <w:r>
              <w:rPr>
                <w:rFonts w:hint="eastAsia" w:asciiTheme="minorEastAsia" w:hAnsiTheme="minorEastAsia" w:eastAsiaTheme="minorEastAsia" w:cstheme="minorEastAsia"/>
                <w:bCs/>
                <w:szCs w:val="21"/>
                <w:lang w:eastAsia="zh-CN"/>
              </w:rPr>
              <w:t>（核心产品）</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请填写本项目主要产品的品牌、规格型号和制造商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9"/>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68" w:name="_Toc460258117"/>
      <w:bookmarkStart w:id="169" w:name="_Toc259028723"/>
      <w:bookmarkStart w:id="170" w:name="_Toc432149007"/>
      <w:bookmarkStart w:id="171" w:name="_Toc424832831"/>
      <w:r>
        <w:rPr>
          <w:rFonts w:hint="eastAsia" w:asciiTheme="minorEastAsia" w:hAnsiTheme="minorEastAsia" w:eastAsiaTheme="minorEastAsia" w:cstheme="minorEastAsia"/>
          <w:b/>
          <w:bCs/>
          <w:sz w:val="24"/>
        </w:rPr>
        <w:br w:type="page"/>
      </w:r>
      <w:bookmarkStart w:id="172" w:name="_Toc18559"/>
      <w:bookmarkStart w:id="173" w:name="_Toc1079"/>
      <w:bookmarkStart w:id="174" w:name="_Toc479184129"/>
      <w:bookmarkStart w:id="175" w:name="_Toc960"/>
      <w:r>
        <w:rPr>
          <w:rFonts w:hint="eastAsia" w:asciiTheme="minorEastAsia" w:hAnsiTheme="minorEastAsia" w:eastAsiaTheme="minorEastAsia" w:cstheme="minorEastAsia"/>
          <w:b/>
          <w:bCs/>
          <w:szCs w:val="21"/>
        </w:rPr>
        <w:t>六、</w:t>
      </w:r>
      <w:bookmarkEnd w:id="168"/>
      <w:bookmarkEnd w:id="169"/>
      <w:bookmarkEnd w:id="172"/>
      <w:bookmarkEnd w:id="173"/>
      <w:bookmarkEnd w:id="174"/>
      <w:r>
        <w:rPr>
          <w:rFonts w:hint="eastAsia" w:asciiTheme="minorEastAsia" w:hAnsiTheme="minorEastAsia" w:eastAsiaTheme="minorEastAsia" w:cstheme="minorEastAsia"/>
          <w:b/>
          <w:bCs/>
          <w:szCs w:val="21"/>
        </w:rPr>
        <w:t>报价费用构成表</w:t>
      </w:r>
      <w:bookmarkEnd w:id="175"/>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项目包名称：</w:t>
      </w:r>
      <w:r>
        <w:rPr>
          <w:rFonts w:hint="eastAsia" w:asciiTheme="minorEastAsia" w:hAnsiTheme="minorEastAsia" w:eastAsiaTheme="minorEastAsia" w:cstheme="minorEastAsia"/>
          <w:szCs w:val="21"/>
          <w:u w:val="single"/>
        </w:rPr>
        <w:t xml:space="preserve">                         </w:t>
      </w:r>
    </w:p>
    <w:tbl>
      <w:tblPr>
        <w:tblStyle w:val="2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8"/>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8"/>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6" w:name="_Toc6483"/>
      <w:bookmarkStart w:id="177" w:name="_Toc28656"/>
      <w:bookmarkStart w:id="178" w:name="_Toc479184130"/>
      <w:bookmarkStart w:id="179" w:name="_Toc26825"/>
      <w:r>
        <w:rPr>
          <w:rFonts w:hint="eastAsia" w:asciiTheme="minorEastAsia" w:hAnsiTheme="minorEastAsia" w:eastAsiaTheme="minorEastAsia" w:cstheme="minorEastAsia"/>
          <w:b/>
          <w:bCs/>
          <w:szCs w:val="21"/>
        </w:rPr>
        <w:t>七、耗材清单</w:t>
      </w:r>
      <w:bookmarkEnd w:id="176"/>
      <w:bookmarkEnd w:id="177"/>
      <w:bookmarkEnd w:id="178"/>
      <w:bookmarkEnd w:id="179"/>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项目包名称：</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80" w:name="_Toc32726"/>
      <w:bookmarkStart w:id="181" w:name="_Toc479184131"/>
      <w:bookmarkStart w:id="182" w:name="_Toc7535"/>
      <w:bookmarkStart w:id="183" w:name="_Toc20213"/>
      <w:r>
        <w:rPr>
          <w:rFonts w:hint="eastAsia" w:asciiTheme="minorEastAsia" w:hAnsiTheme="minorEastAsia" w:eastAsiaTheme="minorEastAsia" w:cstheme="minorEastAsia"/>
          <w:b/>
          <w:bCs/>
          <w:szCs w:val="21"/>
        </w:rPr>
        <w:t>八、拟投入设备/备件、工具情况</w:t>
      </w:r>
      <w:bookmarkEnd w:id="180"/>
      <w:bookmarkEnd w:id="181"/>
      <w:bookmarkEnd w:id="182"/>
      <w:bookmarkEnd w:id="183"/>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项目包名称：</w:t>
      </w:r>
    </w:p>
    <w:tbl>
      <w:tblPr>
        <w:tblStyle w:val="2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84" w:name="_Toc450827818"/>
      <w:bookmarkStart w:id="185" w:name="_Toc27053"/>
      <w:bookmarkStart w:id="186" w:name="_Toc10449"/>
      <w:bookmarkStart w:id="187" w:name="_Toc479184132"/>
      <w:bookmarkStart w:id="188" w:name="_Toc3752"/>
      <w:r>
        <w:rPr>
          <w:rFonts w:hint="eastAsia" w:asciiTheme="minorEastAsia" w:hAnsiTheme="minorEastAsia" w:eastAsiaTheme="minorEastAsia" w:cstheme="minorEastAsia"/>
          <w:b/>
          <w:bCs/>
          <w:szCs w:val="21"/>
        </w:rPr>
        <w:t>九、缴纳保证金的银行凭证</w:t>
      </w:r>
      <w:bookmarkEnd w:id="184"/>
      <w:bookmarkEnd w:id="185"/>
      <w:bookmarkEnd w:id="186"/>
      <w:bookmarkEnd w:id="187"/>
      <w:r>
        <w:rPr>
          <w:rFonts w:hint="eastAsia" w:asciiTheme="minorEastAsia" w:hAnsiTheme="minorEastAsia" w:eastAsiaTheme="minorEastAsia" w:cstheme="minorEastAsia"/>
          <w:b/>
          <w:bCs/>
          <w:szCs w:val="21"/>
        </w:rPr>
        <w:t>（如有）</w:t>
      </w:r>
      <w:bookmarkEnd w:id="188"/>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中创恒梦工程咨询有限公司：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7"/>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70"/>
    <w:bookmarkEnd w:id="171"/>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89" w:name="_Toc8887"/>
      <w:bookmarkStart w:id="190" w:name="_Toc422466736"/>
      <w:bookmarkStart w:id="191" w:name="_Toc1591"/>
      <w:bookmarkStart w:id="192" w:name="_Toc479184133"/>
      <w:bookmarkStart w:id="193" w:name="_Toc28200"/>
      <w:bookmarkStart w:id="194" w:name="_Toc432149012"/>
      <w:r>
        <w:rPr>
          <w:rFonts w:hint="eastAsia" w:asciiTheme="minorEastAsia" w:hAnsiTheme="minorEastAsia" w:eastAsiaTheme="minorEastAsia" w:cstheme="minorEastAsia"/>
          <w:b/>
          <w:bCs/>
          <w:szCs w:val="21"/>
        </w:rPr>
        <w:t>十、偏离说明表</w:t>
      </w:r>
      <w:bookmarkEnd w:id="189"/>
      <w:bookmarkEnd w:id="190"/>
      <w:bookmarkEnd w:id="191"/>
      <w:bookmarkEnd w:id="192"/>
      <w:bookmarkEnd w:id="193"/>
      <w:bookmarkEnd w:id="194"/>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项目包名称：</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9"/>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95" w:name="_Toc32060"/>
      <w:bookmarkStart w:id="196" w:name="_Toc28283"/>
      <w:bookmarkStart w:id="197" w:name="_Toc432149013"/>
      <w:bookmarkStart w:id="198" w:name="_Toc479184134"/>
      <w:bookmarkStart w:id="199" w:name="_Toc362935521"/>
      <w:bookmarkStart w:id="200" w:name="_Toc20039"/>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95"/>
      <w:bookmarkEnd w:id="196"/>
      <w:bookmarkEnd w:id="197"/>
      <w:bookmarkEnd w:id="198"/>
      <w:bookmarkEnd w:id="199"/>
      <w:r>
        <w:rPr>
          <w:rFonts w:hint="eastAsia" w:asciiTheme="minorEastAsia" w:hAnsiTheme="minorEastAsia" w:eastAsiaTheme="minorEastAsia" w:cstheme="minorEastAsia"/>
          <w:b/>
          <w:bCs/>
          <w:szCs w:val="21"/>
        </w:rPr>
        <w:br w:type="textWrapping"/>
      </w:r>
      <w:bookmarkEnd w:id="200"/>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项目包名称：</w:t>
      </w:r>
    </w:p>
    <w:tbl>
      <w:tblPr>
        <w:tblStyle w:val="27"/>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201" w:name="_Toc460258118"/>
      <w:bookmarkStart w:id="202"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203" w:name="_Toc30455"/>
      <w:bookmarkStart w:id="204" w:name="_Toc12497"/>
      <w:bookmarkStart w:id="205" w:name="_Toc4834"/>
      <w:bookmarkStart w:id="206" w:name="_Toc479184135"/>
      <w:r>
        <w:rPr>
          <w:rFonts w:hint="eastAsia" w:asciiTheme="minorEastAsia" w:hAnsiTheme="minorEastAsia" w:eastAsiaTheme="minorEastAsia" w:cstheme="minorEastAsia"/>
          <w:b/>
          <w:bCs/>
          <w:szCs w:val="21"/>
        </w:rPr>
        <w:t>十二、拟投入项目组人员一览表</w:t>
      </w:r>
      <w:bookmarkEnd w:id="201"/>
      <w:bookmarkEnd w:id="202"/>
      <w:bookmarkEnd w:id="203"/>
      <w:bookmarkEnd w:id="204"/>
      <w:bookmarkEnd w:id="205"/>
      <w:bookmarkEnd w:id="206"/>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r>
        <w:rPr>
          <w:rFonts w:hint="eastAsia" w:asciiTheme="minorEastAsia" w:hAnsiTheme="minorEastAsia" w:eastAsiaTheme="minorEastAsia" w:cstheme="minorEastAsia"/>
          <w:szCs w:val="21"/>
          <w:u w:val="single"/>
        </w:rPr>
        <w:t xml:space="preserve">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项目包名称：</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7" w:name="_Toc432149014"/>
      <w:bookmarkStart w:id="208" w:name="_Toc17459"/>
      <w:bookmarkStart w:id="209" w:name="_Toc10429"/>
      <w:bookmarkStart w:id="210" w:name="_Toc26838"/>
      <w:bookmarkStart w:id="211" w:name="_Toc422466737"/>
      <w:bookmarkStart w:id="212" w:name="_Toc479184136"/>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207"/>
      <w:bookmarkEnd w:id="208"/>
      <w:bookmarkEnd w:id="209"/>
      <w:bookmarkEnd w:id="210"/>
      <w:bookmarkEnd w:id="211"/>
      <w:bookmarkEnd w:id="212"/>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邮箱：</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传真：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净值：</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 </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13" w:name="_Toc17527"/>
      <w:bookmarkStart w:id="214" w:name="_Toc479184137"/>
      <w:bookmarkStart w:id="215" w:name="_Toc17331"/>
      <w:bookmarkStart w:id="216" w:name="_Toc259028731"/>
      <w:bookmarkStart w:id="217" w:name="_Toc450827823"/>
      <w:bookmarkStart w:id="218" w:name="_Toc22784"/>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13"/>
      <w:bookmarkEnd w:id="214"/>
      <w:bookmarkEnd w:id="215"/>
      <w:bookmarkEnd w:id="216"/>
      <w:bookmarkEnd w:id="217"/>
      <w:bookmarkEnd w:id="218"/>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19" w:name="_Toc18555"/>
      <w:bookmarkStart w:id="220" w:name="_Toc358447587"/>
      <w:bookmarkStart w:id="221" w:name="_Toc5793"/>
      <w:bookmarkStart w:id="222" w:name="_Toc32187"/>
      <w:bookmarkStart w:id="223" w:name="_Toc427239751"/>
      <w:bookmarkStart w:id="224" w:name="_Toc290207179"/>
      <w:bookmarkStart w:id="225" w:name="_Toc364868916"/>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26" w:name="_Toc28145"/>
      <w:r>
        <w:rPr>
          <w:rFonts w:hint="eastAsia" w:asciiTheme="minorEastAsia" w:hAnsiTheme="minorEastAsia" w:eastAsiaTheme="minorEastAsia" w:cstheme="minorEastAsia"/>
          <w:b/>
          <w:bCs/>
          <w:kern w:val="0"/>
          <w:szCs w:val="21"/>
        </w:rPr>
        <w:t>十五、</w:t>
      </w:r>
      <w:bookmarkEnd w:id="219"/>
      <w:bookmarkEnd w:id="220"/>
      <w:bookmarkEnd w:id="221"/>
      <w:bookmarkEnd w:id="222"/>
      <w:bookmarkEnd w:id="223"/>
      <w:bookmarkEnd w:id="224"/>
      <w:bookmarkEnd w:id="225"/>
      <w:bookmarkStart w:id="227" w:name="_Toc27229"/>
      <w:bookmarkStart w:id="228" w:name="_Toc29785"/>
      <w:bookmarkStart w:id="229" w:name="_Toc460258123"/>
      <w:bookmarkStart w:id="230" w:name="_Toc479184138"/>
      <w:r>
        <w:rPr>
          <w:rFonts w:hint="eastAsia" w:asciiTheme="minorEastAsia" w:hAnsiTheme="minorEastAsia" w:eastAsiaTheme="minorEastAsia" w:cstheme="minorEastAsia"/>
          <w:b/>
          <w:bCs/>
          <w:kern w:val="0"/>
          <w:szCs w:val="21"/>
        </w:rPr>
        <w:t>报价技术文件</w:t>
      </w:r>
      <w:bookmarkEnd w:id="226"/>
      <w:bookmarkEnd w:id="227"/>
      <w:bookmarkEnd w:id="228"/>
      <w:bookmarkEnd w:id="229"/>
      <w:bookmarkEnd w:id="230"/>
    </w:p>
    <w:p>
      <w:pPr>
        <w:rPr>
          <w:rFonts w:asciiTheme="minorEastAsia" w:hAnsiTheme="minorEastAsia" w:eastAsiaTheme="minorEastAsia" w:cstheme="minorEastAsia"/>
          <w:szCs w:val="21"/>
        </w:rPr>
      </w:pPr>
    </w:p>
    <w:p>
      <w:pPr>
        <w:pStyle w:val="105"/>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50"/>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31" w:name="_Toc422466739"/>
      <w:bookmarkStart w:id="232" w:name="_Toc356836516"/>
      <w:bookmarkStart w:id="233" w:name="_Toc22465"/>
      <w:bookmarkStart w:id="234" w:name="_Toc12119"/>
      <w:bookmarkStart w:id="235" w:name="_Toc2101"/>
      <w:bookmarkStart w:id="236" w:name="_Toc479184140"/>
      <w:bookmarkStart w:id="237" w:name="_Toc8098"/>
      <w:bookmarkStart w:id="238" w:name="_Toc355802499"/>
      <w:bookmarkStart w:id="239" w:name="_Toc432149016"/>
      <w:bookmarkStart w:id="240" w:name="_Toc13443"/>
      <w:r>
        <w:rPr>
          <w:rFonts w:hint="eastAsia" w:asciiTheme="minorEastAsia" w:hAnsiTheme="minorEastAsia" w:eastAsiaTheme="minorEastAsia" w:cstheme="minorEastAsia"/>
          <w:b/>
        </w:rPr>
        <w:t>十六、</w:t>
      </w:r>
      <w:bookmarkEnd w:id="231"/>
      <w:bookmarkEnd w:id="232"/>
      <w:bookmarkEnd w:id="233"/>
      <w:bookmarkEnd w:id="234"/>
      <w:bookmarkEnd w:id="235"/>
      <w:bookmarkEnd w:id="236"/>
      <w:bookmarkEnd w:id="237"/>
      <w:bookmarkEnd w:id="238"/>
      <w:bookmarkEnd w:id="239"/>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40"/>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 xml:space="preserve"> </w:t>
      </w: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r>
        <w:rPr>
          <w:rFonts w:hint="eastAsia" w:asciiTheme="minorEastAsia" w:hAnsiTheme="minorEastAsia" w:eastAsiaTheme="minorEastAsia" w:cstheme="minorEastAsia"/>
          <w:szCs w:val="21"/>
        </w:rPr>
        <w:br w:type="textWrapping"/>
      </w:r>
    </w:p>
    <w:bookmarkEnd w:id="141"/>
    <w:bookmarkEnd w:id="142"/>
    <w:bookmarkEnd w:id="143"/>
    <w:bookmarkEnd w:id="144"/>
    <w:p>
      <w:pPr>
        <w:adjustRightInd w:val="0"/>
        <w:snapToGrid w:val="0"/>
        <w:jc w:val="center"/>
        <w:outlineLvl w:val="1"/>
        <w:rPr>
          <w:rFonts w:asciiTheme="minorEastAsia" w:hAnsiTheme="minorEastAsia" w:eastAsiaTheme="minorEastAsia" w:cstheme="minorEastAsia"/>
          <w:b/>
        </w:rPr>
      </w:pPr>
      <w:bookmarkStart w:id="241" w:name="_Toc4687"/>
      <w:bookmarkStart w:id="242" w:name="_Toc476839034"/>
      <w:bookmarkStart w:id="243" w:name="_Toc7229"/>
      <w:bookmarkStart w:id="244" w:name="_Toc30406"/>
      <w:bookmarkStart w:id="245" w:name="_Toc4320"/>
      <w:bookmarkStart w:id="246" w:name="_Toc479184141"/>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41"/>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r>
        <w:rPr>
          <w:rFonts w:hint="eastAsia" w:asciiTheme="minorEastAsia" w:hAnsiTheme="minorEastAsia" w:eastAsiaTheme="minorEastAsia" w:cstheme="minorEastAsia"/>
          <w:szCs w:val="21"/>
          <w:u w:val="single"/>
        </w:rPr>
        <w:t xml:space="preserve">                        </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r>
        <w:rPr>
          <w:rFonts w:hint="eastAsia" w:asciiTheme="minorEastAsia" w:hAnsiTheme="minorEastAsia" w:eastAsiaTheme="minorEastAsia" w:cstheme="minorEastAsia"/>
          <w:szCs w:val="21"/>
          <w:u w:val="single"/>
        </w:rPr>
        <w:t xml:space="preserve">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日</w:t>
      </w:r>
    </w:p>
    <w:p/>
    <w:p>
      <w:pPr>
        <w:adjustRightInd w:val="0"/>
        <w:snapToGrid w:val="0"/>
        <w:jc w:val="center"/>
        <w:outlineLvl w:val="1"/>
        <w:rPr>
          <w:rFonts w:asciiTheme="minorEastAsia" w:hAnsiTheme="minorEastAsia" w:eastAsiaTheme="minorEastAsia" w:cstheme="minorEastAsia"/>
          <w:b/>
          <w:lang w:val="zh-CN"/>
        </w:rPr>
      </w:pPr>
      <w:bookmarkStart w:id="247" w:name="_Toc24406"/>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47"/>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5"/>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5"/>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5"/>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5"/>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5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5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5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5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51"/>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48" w:name="_Toc5170"/>
      <w:r>
        <w:rPr>
          <w:rFonts w:hint="eastAsia" w:asciiTheme="minorEastAsia" w:hAnsiTheme="minorEastAsia" w:eastAsiaTheme="minorEastAsia" w:cstheme="minorEastAsia"/>
          <w:b/>
        </w:rPr>
        <w:t>十九、节能环保产品证明材料（若符合）</w:t>
      </w:r>
      <w:bookmarkEnd w:id="248"/>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7"/>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49" w:name="_Toc29752"/>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42"/>
      <w:bookmarkEnd w:id="243"/>
      <w:bookmarkEnd w:id="244"/>
      <w:bookmarkEnd w:id="245"/>
      <w:bookmarkEnd w:id="246"/>
      <w:bookmarkEnd w:id="249"/>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rPr>
        <w:t xml:space="preserve"> </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50" w:name="_Toc10829"/>
      <w:bookmarkStart w:id="251" w:name="_Toc8455"/>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50"/>
      <w:r>
        <w:rPr>
          <w:rFonts w:hint="eastAsia" w:asciiTheme="minorEastAsia" w:hAnsiTheme="minorEastAsia" w:eastAsiaTheme="minorEastAsia" w:cstheme="minorEastAsia"/>
          <w:b/>
          <w:bCs/>
          <w:kern w:val="0"/>
          <w:szCs w:val="21"/>
          <w:shd w:val="clear" w:color="auto" w:fill="FFFFFF"/>
        </w:rPr>
        <w:br w:type="textWrapping"/>
      </w:r>
      <w:bookmarkEnd w:id="251"/>
    </w:p>
    <w:tbl>
      <w:tblPr>
        <w:tblStyle w:val="27"/>
        <w:tblW w:w="5484" w:type="pct"/>
        <w:tblInd w:w="-466" w:type="dxa"/>
        <w:tblLayout w:type="fixed"/>
        <w:tblCellMar>
          <w:top w:w="0" w:type="dxa"/>
          <w:left w:w="0" w:type="dxa"/>
          <w:bottom w:w="0" w:type="dxa"/>
          <w:right w:w="0" w:type="dxa"/>
        </w:tblCellMar>
      </w:tblPr>
      <w:tblGrid>
        <w:gridCol w:w="1163"/>
        <w:gridCol w:w="663"/>
        <w:gridCol w:w="761"/>
        <w:gridCol w:w="819"/>
        <w:gridCol w:w="665"/>
        <w:gridCol w:w="783"/>
        <w:gridCol w:w="783"/>
        <w:gridCol w:w="657"/>
        <w:gridCol w:w="767"/>
        <w:gridCol w:w="746"/>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 w:name="Consolas">
    <w:panose1 w:val="020B0609020204030204"/>
    <w:charset w:val="00"/>
    <w:family w:val="modern"/>
    <w:pitch w:val="default"/>
    <w:sig w:usb0="E10002FF" w:usb1="4000FCFF" w:usb2="00000009" w:usb3="00000000" w:csb0="600001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Arial Unicode MS">
    <w:altName w:val="宋体"/>
    <w:panose1 w:val="020B0604020202020204"/>
    <w:charset w:val="86"/>
    <w:family w:val="swiss"/>
    <w:pitch w:val="default"/>
    <w:sig w:usb0="00000000" w:usb1="00000000" w:usb2="0000003F" w:usb3="00000000" w:csb0="003F01FF" w:csb1="00000000"/>
  </w:font>
  <w:font w:name="方正小标宋简体">
    <w:altName w:val="黑体"/>
    <w:panose1 w:val="00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PMingLiU">
    <w:panose1 w:val="02020500000000000000"/>
    <w:charset w:val="88"/>
    <w:family w:val="roma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华文中宋">
    <w:altName w:val="宋体"/>
    <w:panose1 w:val="02010600040101010101"/>
    <w:charset w:val="86"/>
    <w:family w:val="auto"/>
    <w:pitch w:val="default"/>
    <w:sig w:usb0="00000000" w:usb1="00000000" w:usb2="00000010" w:usb3="00000000" w:csb0="0004009F" w:csb1="00000000"/>
  </w:font>
  <w:font w:name="Arial Black">
    <w:panose1 w:val="020B0A040201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right" w:y="1"/>
      <w:rPr>
        <w:rStyle w:val="31"/>
      </w:rPr>
    </w:pPr>
    <w:r>
      <w:fldChar w:fldCharType="begin"/>
    </w:r>
    <w:r>
      <w:rPr>
        <w:rStyle w:val="31"/>
      </w:rPr>
      <w:instrText xml:space="preserve">PAGE  </w:instrText>
    </w:r>
    <w:r>
      <w:fldChar w:fldCharType="end"/>
    </w:r>
  </w:p>
  <w:p>
    <w:pPr>
      <w:pStyle w:val="1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fldChar w:fldCharType="begin"/>
    </w:r>
    <w:r>
      <w:instrText xml:space="preserve"> PAGE   \* MERGEFORMAT </w:instrText>
    </w:r>
    <w:r>
      <w:fldChar w:fldCharType="separate"/>
    </w:r>
    <w:r>
      <w:rPr>
        <w:lang w:val="zh-CN"/>
      </w:rPr>
      <w:t>92</w:t>
    </w:r>
    <w:r>
      <w:fldChar w:fldCharType="end"/>
    </w:r>
  </w:p>
  <w:p>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1" locked="0" layoutInCell="0" allowOverlap="1">
              <wp:simplePos x="0" y="0"/>
              <wp:positionH relativeFrom="page">
                <wp:align>center</wp:align>
              </wp:positionH>
              <wp:positionV relativeFrom="page">
                <wp:align>center</wp:align>
              </wp:positionV>
              <wp:extent cx="7629525" cy="2543175"/>
              <wp:effectExtent l="0" t="2038350" r="0" b="2276475"/>
              <wp:wrapNone/>
              <wp:docPr id="1" name="WordArt 2"/>
              <wp:cNvGraphicFramePr/>
              <a:graphic xmlns:a="http://schemas.openxmlformats.org/drawingml/2006/main">
                <a:graphicData uri="http://schemas.microsoft.com/office/word/2010/wordprocessingShape">
                  <wps:wsp>
                    <wps:cNvSpPr txBox="1">
                      <a:spLocks noChangeArrowheads="1" noChangeShapeType="1"/>
                    </wps:cNvSpPr>
                    <wps:spPr bwMode="auto">
                      <a:xfrm rot="18900000">
                        <a:off x="0" y="0"/>
                        <a:ext cx="7629525" cy="2543175"/>
                      </a:xfrm>
                      <a:prstGeom prst="rect">
                        <a:avLst/>
                      </a:prstGeom>
                    </wps:spPr>
                    <wps:txbx>
                      <w:txbxContent>
                        <w:p>
                          <w:pPr>
                            <w:pStyle w:val="25"/>
                            <w:spacing w:before="0" w:beforeAutospacing="0" w:after="0" w:afterAutospacing="0"/>
                            <w:jc w:val="center"/>
                            <w:rPr>
                              <w:rFonts w:hint="default"/>
                            </w:rPr>
                          </w:pPr>
                          <w:r>
                            <w:rPr>
                              <w:color w:val="FF0000"/>
                              <w:sz w:val="192"/>
                              <w:szCs w:val="192"/>
                              <w14:textFill>
                                <w14:solidFill>
                                  <w14:srgbClr w14:val="FF0000">
                                    <w14:alpha w14:val="50000"/>
                                  </w14:srgbClr>
                                </w14:solidFill>
                              </w14:textFill>
                            </w:rPr>
                            <w:t>第一稿</w:t>
                          </w:r>
                        </w:p>
                      </w:txbxContent>
                    </wps:txbx>
                    <wps:bodyPr wrap="square" numCol="1" fromWordArt="1">
                      <a:prstTxWarp prst="textPlain">
                        <a:avLst>
                          <a:gd name="adj" fmla="val 50000"/>
                        </a:avLst>
                      </a:prstTxWarp>
                      <a:spAutoFit/>
                    </wps:bodyPr>
                  </wps:wsp>
                </a:graphicData>
              </a:graphic>
            </wp:anchor>
          </w:drawing>
        </mc:Choice>
        <mc:Fallback>
          <w:pict>
            <v:shape id="WordArt 2" o:spid="_x0000_s1026" o:spt="202" type="#_x0000_t202" style="position:absolute;left:0pt;height:200.25pt;width:600.75pt;mso-position-horizontal:center;mso-position-horizontal-relative:page;mso-position-vertical:center;mso-position-vertical-relative:page;rotation:-2949120f;z-index:-251657216;mso-width-relative:page;mso-height-relative:page;" filled="f" stroked="f" coordsize="21600,21600" o:allowincell="f" o:gfxdata="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FKV9/9UAAAAGAQAADwAAAAAAAAABACAAAAAi&#10;AAAAZHJzL2Rvd25yZXYueG1sUEsBAhQAFAAAAAgAh07iQAvzfgYNAgAAKAQAAA4AAAAAAAAAAQAg&#10;AAAAJAEAAGRycy9lMm9Eb2MueG1sUEsFBgAAAAAGAAYAWQEAAKMFAAAAAA==&#10;" adj="10800">
              <v:fill on="f" focussize="0,0"/>
              <v:stroke on="f"/>
              <v:imagedata o:title=""/>
              <o:lock v:ext="edit" aspectratio="f"/>
              <v:textbox style="mso-fit-shape-to-text:t;">
                <w:txbxContent>
                  <w:p>
                    <w:pPr>
                      <w:pStyle w:val="25"/>
                      <w:spacing w:before="0" w:beforeAutospacing="0" w:after="0" w:afterAutospacing="0"/>
                      <w:jc w:val="center"/>
                      <w:rPr>
                        <w:rFonts w:hint="default"/>
                      </w:rPr>
                    </w:pPr>
                    <w:r>
                      <w:rPr>
                        <w:color w:val="FF0000"/>
                        <w:sz w:val="192"/>
                        <w:szCs w:val="192"/>
                        <w14:textFill>
                          <w14:solidFill>
                            <w14:srgbClr w14:val="FF0000">
                              <w14:alpha w14:val="50000"/>
                            </w14:srgbClr>
                          </w14:solidFill>
                        </w14:textFill>
                      </w:rPr>
                      <w:t>第一稿</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698DC5"/>
    <w:multiLevelType w:val="singleLevel"/>
    <w:tmpl w:val="C8698DC5"/>
    <w:lvl w:ilvl="0" w:tentative="0">
      <w:start w:val="1"/>
      <w:numFmt w:val="chineseCounting"/>
      <w:suff w:val="nothing"/>
      <w:lvlText w:val="%1、"/>
      <w:lvlJc w:val="left"/>
      <w:rPr>
        <w:rFonts w:hint="eastAsia"/>
      </w:rPr>
    </w:lvl>
  </w:abstractNum>
  <w:abstractNum w:abstractNumId="1">
    <w:nsid w:val="DAE3C6F8"/>
    <w:multiLevelType w:val="singleLevel"/>
    <w:tmpl w:val="DAE3C6F8"/>
    <w:lvl w:ilvl="0" w:tentative="0">
      <w:start w:val="1"/>
      <w:numFmt w:val="chineseCounting"/>
      <w:suff w:val="nothing"/>
      <w:lvlText w:val="%1、"/>
      <w:lvlJc w:val="left"/>
      <w:rPr>
        <w:rFonts w:hint="eastAsia"/>
      </w:rPr>
    </w:lvl>
  </w:abstractNum>
  <w:abstractNum w:abstractNumId="2">
    <w:nsid w:val="E0BB0E26"/>
    <w:multiLevelType w:val="singleLevel"/>
    <w:tmpl w:val="E0BB0E26"/>
    <w:lvl w:ilvl="0" w:tentative="0">
      <w:start w:val="1"/>
      <w:numFmt w:val="chineseCounting"/>
      <w:suff w:val="nothing"/>
      <w:lvlText w:val="%1、"/>
      <w:lvlJc w:val="left"/>
      <w:rPr>
        <w:rFonts w:hint="eastAsia"/>
      </w:rPr>
    </w:lvl>
  </w:abstractNum>
  <w:abstractNum w:abstractNumId="3">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4">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5">
    <w:nsid w:val="044F5BAD"/>
    <w:multiLevelType w:val="singleLevel"/>
    <w:tmpl w:val="044F5BAD"/>
    <w:lvl w:ilvl="0" w:tentative="0">
      <w:start w:val="1"/>
      <w:numFmt w:val="decimal"/>
      <w:suff w:val="nothing"/>
      <w:lvlText w:val="（%1）"/>
      <w:lvlJc w:val="left"/>
    </w:lvl>
  </w:abstractNum>
  <w:abstractNum w:abstractNumId="6">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A8607C2"/>
    <w:multiLevelType w:val="singleLevel"/>
    <w:tmpl w:val="0A8607C2"/>
    <w:lvl w:ilvl="0" w:tentative="0">
      <w:start w:val="1"/>
      <w:numFmt w:val="chineseCounting"/>
      <w:suff w:val="nothing"/>
      <w:lvlText w:val="%1、"/>
      <w:lvlJc w:val="left"/>
      <w:rPr>
        <w:rFonts w:hint="eastAsia"/>
      </w:rPr>
    </w:lvl>
  </w:abstractNum>
  <w:abstractNum w:abstractNumId="8">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2">
    <w:nsid w:val="15907297"/>
    <w:multiLevelType w:val="multilevel"/>
    <w:tmpl w:val="15907297"/>
    <w:lvl w:ilvl="0" w:tentative="0">
      <w:start w:val="1"/>
      <w:numFmt w:val="decimal"/>
      <w:pStyle w:val="8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100"/>
      <w:lvlText w:val="%1.%2.%3"/>
      <w:lvlJc w:val="left"/>
      <w:pPr>
        <w:tabs>
          <w:tab w:val="left" w:pos="720"/>
        </w:tabs>
        <w:ind w:left="720" w:hanging="153"/>
      </w:pPr>
      <w:rPr>
        <w:rFonts w:hint="eastAsia"/>
      </w:rPr>
    </w:lvl>
    <w:lvl w:ilvl="3" w:tentative="0">
      <w:start w:val="1"/>
      <w:numFmt w:val="decimal"/>
      <w:pStyle w:val="87"/>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3">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4">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20BA2AF0"/>
    <w:multiLevelType w:val="singleLevel"/>
    <w:tmpl w:val="20BA2AF0"/>
    <w:lvl w:ilvl="0" w:tentative="0">
      <w:start w:val="1"/>
      <w:numFmt w:val="decimal"/>
      <w:suff w:val="space"/>
      <w:lvlText w:val="%1）"/>
      <w:lvlJc w:val="left"/>
    </w:lvl>
  </w:abstractNum>
  <w:abstractNum w:abstractNumId="18">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9">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20">
    <w:nsid w:val="28EE331B"/>
    <w:multiLevelType w:val="singleLevel"/>
    <w:tmpl w:val="28EE331B"/>
    <w:lvl w:ilvl="0" w:tentative="0">
      <w:start w:val="1"/>
      <w:numFmt w:val="chineseCounting"/>
      <w:suff w:val="nothing"/>
      <w:lvlText w:val="%1、"/>
      <w:lvlJc w:val="left"/>
      <w:rPr>
        <w:rFonts w:hint="eastAsia"/>
      </w:rPr>
    </w:lvl>
  </w:abstractNum>
  <w:abstractNum w:abstractNumId="21">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4"/>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2">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4">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5">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6">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7">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9">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30">
    <w:nsid w:val="4B331C36"/>
    <w:multiLevelType w:val="multilevel"/>
    <w:tmpl w:val="4B331C36"/>
    <w:lvl w:ilvl="0" w:tentative="0">
      <w:start w:val="1"/>
      <w:numFmt w:val="japaneseCounting"/>
      <w:pStyle w:val="99"/>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1">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2">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3">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4">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5">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6">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7">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8">
    <w:nsid w:val="6538581D"/>
    <w:multiLevelType w:val="singleLevel"/>
    <w:tmpl w:val="6538581D"/>
    <w:lvl w:ilvl="0" w:tentative="0">
      <w:start w:val="1"/>
      <w:numFmt w:val="chineseCounting"/>
      <w:suff w:val="nothing"/>
      <w:lvlText w:val="%1、"/>
      <w:lvlJc w:val="left"/>
      <w:rPr>
        <w:rFonts w:hint="eastAsia"/>
      </w:rPr>
    </w:lvl>
  </w:abstractNum>
  <w:abstractNum w:abstractNumId="39">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6CEA2025"/>
    <w:multiLevelType w:val="multilevel"/>
    <w:tmpl w:val="6CEA2025"/>
    <w:lvl w:ilvl="0" w:tentative="0">
      <w:start w:val="1"/>
      <w:numFmt w:val="none"/>
      <w:pStyle w:val="76"/>
      <w:suff w:val="nothing"/>
      <w:lvlText w:val="%1"/>
      <w:lvlJc w:val="left"/>
      <w:pPr>
        <w:ind w:left="0" w:firstLine="0"/>
      </w:pPr>
      <w:rPr>
        <w:rFonts w:hint="default" w:ascii="Times New Roman" w:hAnsi="Times New Roman"/>
        <w:b/>
        <w:i w:val="0"/>
        <w:sz w:val="21"/>
      </w:rPr>
    </w:lvl>
    <w:lvl w:ilvl="1" w:tentative="0">
      <w:start w:val="1"/>
      <w:numFmt w:val="decimal"/>
      <w:pStyle w:val="79"/>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5"/>
      <w:suff w:val="nothing"/>
      <w:lvlText w:val="%1%2.%3　"/>
      <w:lvlJc w:val="left"/>
      <w:pPr>
        <w:ind w:left="720" w:firstLine="0"/>
      </w:pPr>
      <w:rPr>
        <w:rFonts w:hint="eastAsia" w:ascii="黑体" w:hAnsi="Times New Roman" w:eastAsia="黑体"/>
        <w:b w:val="0"/>
        <w:i w:val="0"/>
        <w:sz w:val="21"/>
      </w:rPr>
    </w:lvl>
    <w:lvl w:ilvl="3" w:tentative="0">
      <w:start w:val="1"/>
      <w:numFmt w:val="decimal"/>
      <w:pStyle w:val="84"/>
      <w:suff w:val="nothing"/>
      <w:lvlText w:val="%1%2.4.%4　"/>
      <w:lvlJc w:val="left"/>
      <w:pPr>
        <w:ind w:left="420" w:firstLine="0"/>
      </w:pPr>
      <w:rPr>
        <w:rFonts w:hint="eastAsia" w:ascii="黑体" w:hAnsi="Times New Roman" w:eastAsia="黑体"/>
        <w:b w:val="0"/>
        <w:i w:val="0"/>
        <w:sz w:val="21"/>
      </w:rPr>
    </w:lvl>
    <w:lvl w:ilvl="4" w:tentative="0">
      <w:start w:val="1"/>
      <w:numFmt w:val="decimal"/>
      <w:pStyle w:val="91"/>
      <w:suff w:val="nothing"/>
      <w:lvlText w:val="5.%12.5.%5　"/>
      <w:lvlJc w:val="left"/>
      <w:pPr>
        <w:ind w:left="420" w:firstLine="0"/>
      </w:pPr>
      <w:rPr>
        <w:rFonts w:hint="eastAsia" w:ascii="黑体" w:hAnsi="Times New Roman" w:eastAsia="黑体"/>
        <w:b w:val="0"/>
        <w:i w:val="0"/>
        <w:sz w:val="21"/>
      </w:rPr>
    </w:lvl>
    <w:lvl w:ilvl="5" w:tentative="0">
      <w:start w:val="1"/>
      <w:numFmt w:val="decimal"/>
      <w:pStyle w:val="97"/>
      <w:suff w:val="nothing"/>
      <w:lvlText w:val="%1%2.%3.%4.%5.%6　"/>
      <w:lvlJc w:val="left"/>
      <w:pPr>
        <w:ind w:left="0" w:firstLine="0"/>
      </w:pPr>
      <w:rPr>
        <w:rFonts w:hint="eastAsia" w:ascii="黑体" w:hAnsi="Times New Roman" w:eastAsia="黑体"/>
        <w:b w:val="0"/>
        <w:i w:val="0"/>
        <w:sz w:val="21"/>
      </w:rPr>
    </w:lvl>
    <w:lvl w:ilvl="6" w:tentative="0">
      <w:start w:val="1"/>
      <w:numFmt w:val="decimal"/>
      <w:pStyle w:val="9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1">
    <w:nsid w:val="6D97A614"/>
    <w:multiLevelType w:val="singleLevel"/>
    <w:tmpl w:val="6D97A614"/>
    <w:lvl w:ilvl="0" w:tentative="0">
      <w:start w:val="1"/>
      <w:numFmt w:val="chineseCounting"/>
      <w:suff w:val="nothing"/>
      <w:lvlText w:val="%1、"/>
      <w:lvlJc w:val="left"/>
      <w:rPr>
        <w:rFonts w:hint="eastAsia"/>
      </w:rPr>
    </w:lvl>
  </w:abstractNum>
  <w:abstractNum w:abstractNumId="42">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43">
    <w:nsid w:val="700C1C7F"/>
    <w:multiLevelType w:val="singleLevel"/>
    <w:tmpl w:val="700C1C7F"/>
    <w:lvl w:ilvl="0" w:tentative="0">
      <w:start w:val="1"/>
      <w:numFmt w:val="chineseCounting"/>
      <w:suff w:val="nothing"/>
      <w:lvlText w:val="%1、"/>
      <w:lvlJc w:val="left"/>
      <w:rPr>
        <w:rFonts w:hint="eastAsia"/>
      </w:rPr>
    </w:lvl>
  </w:abstractNum>
  <w:abstractNum w:abstractNumId="44">
    <w:nsid w:val="712967CB"/>
    <w:multiLevelType w:val="singleLevel"/>
    <w:tmpl w:val="712967CB"/>
    <w:lvl w:ilvl="0" w:tentative="0">
      <w:start w:val="1"/>
      <w:numFmt w:val="chineseCounting"/>
      <w:suff w:val="nothing"/>
      <w:lvlText w:val="%1、"/>
      <w:lvlJc w:val="left"/>
      <w:rPr>
        <w:rFonts w:hint="eastAsia"/>
      </w:rPr>
    </w:lvl>
  </w:abstractNum>
  <w:abstractNum w:abstractNumId="45">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6">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8">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9">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0">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40"/>
  </w:num>
  <w:num w:numId="2">
    <w:abstractNumId w:val="12"/>
  </w:num>
  <w:num w:numId="3">
    <w:abstractNumId w:val="21"/>
  </w:num>
  <w:num w:numId="4">
    <w:abstractNumId w:val="30"/>
  </w:num>
  <w:num w:numId="5">
    <w:abstractNumId w:val="15"/>
  </w:num>
  <w:num w:numId="6">
    <w:abstractNumId w:val="14"/>
  </w:num>
  <w:num w:numId="7">
    <w:abstractNumId w:val="10"/>
  </w:num>
  <w:num w:numId="8">
    <w:abstractNumId w:val="16"/>
  </w:num>
  <w:num w:numId="9">
    <w:abstractNumId w:val="35"/>
  </w:num>
  <w:num w:numId="10">
    <w:abstractNumId w:val="49"/>
  </w:num>
  <w:num w:numId="11">
    <w:abstractNumId w:val="50"/>
  </w:num>
  <w:num w:numId="12">
    <w:abstractNumId w:val="29"/>
  </w:num>
  <w:num w:numId="13">
    <w:abstractNumId w:val="32"/>
  </w:num>
  <w:num w:numId="14">
    <w:abstractNumId w:val="34"/>
  </w:num>
  <w:num w:numId="15">
    <w:abstractNumId w:val="36"/>
  </w:num>
  <w:num w:numId="16">
    <w:abstractNumId w:val="4"/>
  </w:num>
  <w:num w:numId="17">
    <w:abstractNumId w:val="39"/>
  </w:num>
  <w:num w:numId="18">
    <w:abstractNumId w:val="6"/>
  </w:num>
  <w:num w:numId="19">
    <w:abstractNumId w:val="27"/>
  </w:num>
  <w:num w:numId="20">
    <w:abstractNumId w:val="23"/>
  </w:num>
  <w:num w:numId="21">
    <w:abstractNumId w:val="45"/>
  </w:num>
  <w:num w:numId="22">
    <w:abstractNumId w:val="13"/>
  </w:num>
  <w:num w:numId="23">
    <w:abstractNumId w:val="28"/>
  </w:num>
  <w:num w:numId="24">
    <w:abstractNumId w:val="9"/>
  </w:num>
  <w:num w:numId="25">
    <w:abstractNumId w:val="42"/>
  </w:num>
  <w:num w:numId="26">
    <w:abstractNumId w:val="48"/>
  </w:num>
  <w:num w:numId="27">
    <w:abstractNumId w:val="31"/>
  </w:num>
  <w:num w:numId="28">
    <w:abstractNumId w:val="25"/>
  </w:num>
  <w:num w:numId="29">
    <w:abstractNumId w:val="11"/>
  </w:num>
  <w:num w:numId="30">
    <w:abstractNumId w:val="22"/>
  </w:num>
  <w:num w:numId="31">
    <w:abstractNumId w:val="47"/>
  </w:num>
  <w:num w:numId="32">
    <w:abstractNumId w:val="26"/>
  </w:num>
  <w:num w:numId="33">
    <w:abstractNumId w:val="17"/>
  </w:num>
  <w:num w:numId="34">
    <w:abstractNumId w:val="2"/>
  </w:num>
  <w:num w:numId="35">
    <w:abstractNumId w:val="38"/>
  </w:num>
  <w:num w:numId="36">
    <w:abstractNumId w:val="0"/>
  </w:num>
  <w:num w:numId="37">
    <w:abstractNumId w:val="20"/>
  </w:num>
  <w:num w:numId="38">
    <w:abstractNumId w:val="41"/>
  </w:num>
  <w:num w:numId="39">
    <w:abstractNumId w:val="1"/>
  </w:num>
  <w:num w:numId="40">
    <w:abstractNumId w:val="44"/>
  </w:num>
  <w:num w:numId="41">
    <w:abstractNumId w:val="43"/>
  </w:num>
  <w:num w:numId="42">
    <w:abstractNumId w:val="7"/>
  </w:num>
  <w:num w:numId="43">
    <w:abstractNumId w:val="46"/>
  </w:num>
  <w:num w:numId="44">
    <w:abstractNumId w:val="37"/>
  </w:num>
  <w:num w:numId="45">
    <w:abstractNumId w:val="18"/>
  </w:num>
  <w:num w:numId="46">
    <w:abstractNumId w:val="33"/>
  </w:num>
  <w:num w:numId="47">
    <w:abstractNumId w:val="3"/>
  </w:num>
  <w:num w:numId="48">
    <w:abstractNumId w:val="19"/>
  </w:num>
  <w:num w:numId="49">
    <w:abstractNumId w:val="24"/>
  </w:num>
  <w:num w:numId="50">
    <w:abstractNumId w:val="8"/>
  </w:num>
  <w:num w:numId="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1276"/>
    <w:rsid w:val="000A20A7"/>
    <w:rsid w:val="000A3F65"/>
    <w:rsid w:val="000A50F6"/>
    <w:rsid w:val="000A54F4"/>
    <w:rsid w:val="000A6C98"/>
    <w:rsid w:val="000B0404"/>
    <w:rsid w:val="000B0E4B"/>
    <w:rsid w:val="000B1147"/>
    <w:rsid w:val="000B1258"/>
    <w:rsid w:val="000B1404"/>
    <w:rsid w:val="000B25DE"/>
    <w:rsid w:val="000B27B8"/>
    <w:rsid w:val="000B3075"/>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B20"/>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561B1"/>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85C"/>
    <w:rsid w:val="00185F86"/>
    <w:rsid w:val="00186CF1"/>
    <w:rsid w:val="00187F0E"/>
    <w:rsid w:val="001900C9"/>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6205"/>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0FE4"/>
    <w:rsid w:val="00271344"/>
    <w:rsid w:val="00271F95"/>
    <w:rsid w:val="002729C3"/>
    <w:rsid w:val="00273196"/>
    <w:rsid w:val="0027335E"/>
    <w:rsid w:val="002739FC"/>
    <w:rsid w:val="00273FBB"/>
    <w:rsid w:val="0027522F"/>
    <w:rsid w:val="002759DC"/>
    <w:rsid w:val="00280409"/>
    <w:rsid w:val="00281832"/>
    <w:rsid w:val="00281E10"/>
    <w:rsid w:val="0028317B"/>
    <w:rsid w:val="002852EB"/>
    <w:rsid w:val="002861D3"/>
    <w:rsid w:val="00287848"/>
    <w:rsid w:val="00290E4C"/>
    <w:rsid w:val="00293D8B"/>
    <w:rsid w:val="002942BF"/>
    <w:rsid w:val="0029782F"/>
    <w:rsid w:val="0029786C"/>
    <w:rsid w:val="002A2523"/>
    <w:rsid w:val="002A4287"/>
    <w:rsid w:val="002A4B44"/>
    <w:rsid w:val="002A5FE4"/>
    <w:rsid w:val="002A6048"/>
    <w:rsid w:val="002A60A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3D91"/>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14378"/>
    <w:rsid w:val="003219E3"/>
    <w:rsid w:val="00323623"/>
    <w:rsid w:val="0032522B"/>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4F0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2363"/>
    <w:rsid w:val="003D3467"/>
    <w:rsid w:val="003D3DE1"/>
    <w:rsid w:val="003D43F4"/>
    <w:rsid w:val="003D4CCD"/>
    <w:rsid w:val="003D7A58"/>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1FB2"/>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458"/>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5C58"/>
    <w:rsid w:val="004C7CF4"/>
    <w:rsid w:val="004D2C5A"/>
    <w:rsid w:val="004D3E0A"/>
    <w:rsid w:val="004D4E37"/>
    <w:rsid w:val="004D64B3"/>
    <w:rsid w:val="004D667C"/>
    <w:rsid w:val="004D674E"/>
    <w:rsid w:val="004D7E2E"/>
    <w:rsid w:val="004E0CE5"/>
    <w:rsid w:val="004E1FCE"/>
    <w:rsid w:val="004E5B0B"/>
    <w:rsid w:val="004E6195"/>
    <w:rsid w:val="004E68F9"/>
    <w:rsid w:val="004F1700"/>
    <w:rsid w:val="004F1836"/>
    <w:rsid w:val="004F1C14"/>
    <w:rsid w:val="004F3520"/>
    <w:rsid w:val="004F463B"/>
    <w:rsid w:val="004F4AE7"/>
    <w:rsid w:val="004F4ED7"/>
    <w:rsid w:val="004F5FEC"/>
    <w:rsid w:val="004F62B8"/>
    <w:rsid w:val="0050076B"/>
    <w:rsid w:val="00502D31"/>
    <w:rsid w:val="00502FE2"/>
    <w:rsid w:val="0050342D"/>
    <w:rsid w:val="00503A40"/>
    <w:rsid w:val="00503DBA"/>
    <w:rsid w:val="00504F72"/>
    <w:rsid w:val="00506AFD"/>
    <w:rsid w:val="00510CC0"/>
    <w:rsid w:val="00512066"/>
    <w:rsid w:val="005125AE"/>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1CBF"/>
    <w:rsid w:val="005522F1"/>
    <w:rsid w:val="005535DE"/>
    <w:rsid w:val="005538A7"/>
    <w:rsid w:val="0055465D"/>
    <w:rsid w:val="00554B6C"/>
    <w:rsid w:val="00554CD6"/>
    <w:rsid w:val="00555455"/>
    <w:rsid w:val="00555470"/>
    <w:rsid w:val="0055601F"/>
    <w:rsid w:val="005561F5"/>
    <w:rsid w:val="00557813"/>
    <w:rsid w:val="00561D16"/>
    <w:rsid w:val="00564205"/>
    <w:rsid w:val="00567C36"/>
    <w:rsid w:val="00567D77"/>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4F5A"/>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31F"/>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77A9C"/>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1609"/>
    <w:rsid w:val="006E2B1D"/>
    <w:rsid w:val="006E3DDC"/>
    <w:rsid w:val="006E4106"/>
    <w:rsid w:val="006E43A8"/>
    <w:rsid w:val="006E506B"/>
    <w:rsid w:val="006E5F4F"/>
    <w:rsid w:val="006E6948"/>
    <w:rsid w:val="006E7106"/>
    <w:rsid w:val="006E7519"/>
    <w:rsid w:val="006F04AD"/>
    <w:rsid w:val="006F1B49"/>
    <w:rsid w:val="006F2A69"/>
    <w:rsid w:val="006F571B"/>
    <w:rsid w:val="006F7746"/>
    <w:rsid w:val="0070076E"/>
    <w:rsid w:val="007018B6"/>
    <w:rsid w:val="00702B2E"/>
    <w:rsid w:val="007031A3"/>
    <w:rsid w:val="00703AC7"/>
    <w:rsid w:val="007060C5"/>
    <w:rsid w:val="00707CF9"/>
    <w:rsid w:val="00707D6D"/>
    <w:rsid w:val="00707DBC"/>
    <w:rsid w:val="00714FB9"/>
    <w:rsid w:val="00717640"/>
    <w:rsid w:val="00717CB7"/>
    <w:rsid w:val="00717DA2"/>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4D99"/>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12"/>
    <w:rsid w:val="007F626E"/>
    <w:rsid w:val="007F63EE"/>
    <w:rsid w:val="007F6D9D"/>
    <w:rsid w:val="007F79E9"/>
    <w:rsid w:val="007F7E37"/>
    <w:rsid w:val="00801928"/>
    <w:rsid w:val="00801FC4"/>
    <w:rsid w:val="00802723"/>
    <w:rsid w:val="00802A21"/>
    <w:rsid w:val="008030F0"/>
    <w:rsid w:val="008041E8"/>
    <w:rsid w:val="00804388"/>
    <w:rsid w:val="00806D9B"/>
    <w:rsid w:val="00810B21"/>
    <w:rsid w:val="0081277D"/>
    <w:rsid w:val="00813849"/>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4579"/>
    <w:rsid w:val="00835BF5"/>
    <w:rsid w:val="008364C2"/>
    <w:rsid w:val="00843EAB"/>
    <w:rsid w:val="008441E4"/>
    <w:rsid w:val="0084442E"/>
    <w:rsid w:val="00845552"/>
    <w:rsid w:val="00845E41"/>
    <w:rsid w:val="00847218"/>
    <w:rsid w:val="00850215"/>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2B3"/>
    <w:rsid w:val="00874A3A"/>
    <w:rsid w:val="00875DC5"/>
    <w:rsid w:val="00876041"/>
    <w:rsid w:val="00877518"/>
    <w:rsid w:val="0087784C"/>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97D73"/>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0257"/>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3D40"/>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40C"/>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177E"/>
    <w:rsid w:val="009928DA"/>
    <w:rsid w:val="00992BB0"/>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51A3"/>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1C9"/>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9645C"/>
    <w:rsid w:val="00BA00F1"/>
    <w:rsid w:val="00BA0135"/>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702"/>
    <w:rsid w:val="00BE6845"/>
    <w:rsid w:val="00BF02ED"/>
    <w:rsid w:val="00BF150C"/>
    <w:rsid w:val="00BF1EC8"/>
    <w:rsid w:val="00BF314E"/>
    <w:rsid w:val="00BF3507"/>
    <w:rsid w:val="00BF3723"/>
    <w:rsid w:val="00BF45E3"/>
    <w:rsid w:val="00BF4615"/>
    <w:rsid w:val="00BF47EA"/>
    <w:rsid w:val="00BF6183"/>
    <w:rsid w:val="00BF6A79"/>
    <w:rsid w:val="00BF700F"/>
    <w:rsid w:val="00BF75E8"/>
    <w:rsid w:val="00C02FDF"/>
    <w:rsid w:val="00C05689"/>
    <w:rsid w:val="00C05D13"/>
    <w:rsid w:val="00C06A5E"/>
    <w:rsid w:val="00C07810"/>
    <w:rsid w:val="00C07DF7"/>
    <w:rsid w:val="00C110CF"/>
    <w:rsid w:val="00C114FA"/>
    <w:rsid w:val="00C1247A"/>
    <w:rsid w:val="00C128BA"/>
    <w:rsid w:val="00C12B4F"/>
    <w:rsid w:val="00C135B6"/>
    <w:rsid w:val="00C13671"/>
    <w:rsid w:val="00C13C97"/>
    <w:rsid w:val="00C14851"/>
    <w:rsid w:val="00C1499B"/>
    <w:rsid w:val="00C14CEA"/>
    <w:rsid w:val="00C1588A"/>
    <w:rsid w:val="00C163FC"/>
    <w:rsid w:val="00C16FED"/>
    <w:rsid w:val="00C21B3A"/>
    <w:rsid w:val="00C2235B"/>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134"/>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055"/>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279E6"/>
    <w:rsid w:val="00D32097"/>
    <w:rsid w:val="00D32C0C"/>
    <w:rsid w:val="00D33089"/>
    <w:rsid w:val="00D330C2"/>
    <w:rsid w:val="00D35313"/>
    <w:rsid w:val="00D35E91"/>
    <w:rsid w:val="00D366D3"/>
    <w:rsid w:val="00D370EF"/>
    <w:rsid w:val="00D41830"/>
    <w:rsid w:val="00D41BE9"/>
    <w:rsid w:val="00D420DA"/>
    <w:rsid w:val="00D4244C"/>
    <w:rsid w:val="00D4482B"/>
    <w:rsid w:val="00D4634F"/>
    <w:rsid w:val="00D4649B"/>
    <w:rsid w:val="00D46A99"/>
    <w:rsid w:val="00D46CFD"/>
    <w:rsid w:val="00D50289"/>
    <w:rsid w:val="00D502DF"/>
    <w:rsid w:val="00D50355"/>
    <w:rsid w:val="00D50991"/>
    <w:rsid w:val="00D54F4C"/>
    <w:rsid w:val="00D60FC3"/>
    <w:rsid w:val="00D61731"/>
    <w:rsid w:val="00D62405"/>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7F"/>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B51E4"/>
    <w:rsid w:val="00DC1E5E"/>
    <w:rsid w:val="00DC40FB"/>
    <w:rsid w:val="00DC5D82"/>
    <w:rsid w:val="00DD26DC"/>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05E"/>
    <w:rsid w:val="00DF3162"/>
    <w:rsid w:val="00DF4B93"/>
    <w:rsid w:val="00DF54EC"/>
    <w:rsid w:val="00DF563A"/>
    <w:rsid w:val="00DF57A2"/>
    <w:rsid w:val="00DF6CB9"/>
    <w:rsid w:val="00E00598"/>
    <w:rsid w:val="00E00A1F"/>
    <w:rsid w:val="00E01274"/>
    <w:rsid w:val="00E04828"/>
    <w:rsid w:val="00E05138"/>
    <w:rsid w:val="00E06085"/>
    <w:rsid w:val="00E07F13"/>
    <w:rsid w:val="00E10266"/>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05FD"/>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4B6"/>
    <w:rsid w:val="00ED298B"/>
    <w:rsid w:val="00ED5833"/>
    <w:rsid w:val="00ED59A7"/>
    <w:rsid w:val="00ED670D"/>
    <w:rsid w:val="00EE0C22"/>
    <w:rsid w:val="00EE6B48"/>
    <w:rsid w:val="00EE7D80"/>
    <w:rsid w:val="00EF024D"/>
    <w:rsid w:val="00EF0400"/>
    <w:rsid w:val="00EF0960"/>
    <w:rsid w:val="00EF2BD1"/>
    <w:rsid w:val="00EF2BEE"/>
    <w:rsid w:val="00EF488E"/>
    <w:rsid w:val="00EF4F43"/>
    <w:rsid w:val="00EF5EB5"/>
    <w:rsid w:val="00EF5FCA"/>
    <w:rsid w:val="00EF605C"/>
    <w:rsid w:val="00EF7EEC"/>
    <w:rsid w:val="00F0018C"/>
    <w:rsid w:val="00F00AD9"/>
    <w:rsid w:val="00F04722"/>
    <w:rsid w:val="00F05F22"/>
    <w:rsid w:val="00F06418"/>
    <w:rsid w:val="00F072E6"/>
    <w:rsid w:val="00F07C47"/>
    <w:rsid w:val="00F11779"/>
    <w:rsid w:val="00F140BD"/>
    <w:rsid w:val="00F14260"/>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1E71"/>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2658DE"/>
    <w:rsid w:val="01461ACD"/>
    <w:rsid w:val="01757860"/>
    <w:rsid w:val="018D0205"/>
    <w:rsid w:val="01AE3368"/>
    <w:rsid w:val="01C12A88"/>
    <w:rsid w:val="01CC76EC"/>
    <w:rsid w:val="01D07706"/>
    <w:rsid w:val="01EC0C8D"/>
    <w:rsid w:val="01FD7E4B"/>
    <w:rsid w:val="0221271C"/>
    <w:rsid w:val="022D649C"/>
    <w:rsid w:val="02351774"/>
    <w:rsid w:val="023A6ECB"/>
    <w:rsid w:val="02420646"/>
    <w:rsid w:val="024526BA"/>
    <w:rsid w:val="028223A8"/>
    <w:rsid w:val="02A9706C"/>
    <w:rsid w:val="02AF6599"/>
    <w:rsid w:val="02C11BFF"/>
    <w:rsid w:val="02DE374B"/>
    <w:rsid w:val="03044359"/>
    <w:rsid w:val="03157416"/>
    <w:rsid w:val="03173665"/>
    <w:rsid w:val="031C67BA"/>
    <w:rsid w:val="0325259F"/>
    <w:rsid w:val="03442A09"/>
    <w:rsid w:val="03451D17"/>
    <w:rsid w:val="03511571"/>
    <w:rsid w:val="035E37BC"/>
    <w:rsid w:val="03715197"/>
    <w:rsid w:val="03A25185"/>
    <w:rsid w:val="03A92E0C"/>
    <w:rsid w:val="03A93F07"/>
    <w:rsid w:val="03C1471F"/>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A55D7D"/>
    <w:rsid w:val="04BC1BA0"/>
    <w:rsid w:val="04CC4566"/>
    <w:rsid w:val="04E52637"/>
    <w:rsid w:val="04FD23FC"/>
    <w:rsid w:val="05005426"/>
    <w:rsid w:val="051470DB"/>
    <w:rsid w:val="053201CC"/>
    <w:rsid w:val="055A38B5"/>
    <w:rsid w:val="057419B6"/>
    <w:rsid w:val="057B3F96"/>
    <w:rsid w:val="059C5F8E"/>
    <w:rsid w:val="05AD5736"/>
    <w:rsid w:val="05BB241B"/>
    <w:rsid w:val="05CA2818"/>
    <w:rsid w:val="05CF4780"/>
    <w:rsid w:val="05FA06DD"/>
    <w:rsid w:val="06023A8F"/>
    <w:rsid w:val="0611621E"/>
    <w:rsid w:val="0632054A"/>
    <w:rsid w:val="063F258E"/>
    <w:rsid w:val="065044F8"/>
    <w:rsid w:val="06533E02"/>
    <w:rsid w:val="0653482B"/>
    <w:rsid w:val="067D1044"/>
    <w:rsid w:val="06850791"/>
    <w:rsid w:val="06B7286F"/>
    <w:rsid w:val="06BF75C9"/>
    <w:rsid w:val="06C116BD"/>
    <w:rsid w:val="06C767F8"/>
    <w:rsid w:val="06EA2FBD"/>
    <w:rsid w:val="06ED1770"/>
    <w:rsid w:val="06FA2BAB"/>
    <w:rsid w:val="06FE4AAE"/>
    <w:rsid w:val="070157D1"/>
    <w:rsid w:val="07117CDC"/>
    <w:rsid w:val="07230E2A"/>
    <w:rsid w:val="07354BE2"/>
    <w:rsid w:val="073C402C"/>
    <w:rsid w:val="07506DDE"/>
    <w:rsid w:val="078360F1"/>
    <w:rsid w:val="079555F7"/>
    <w:rsid w:val="079D172B"/>
    <w:rsid w:val="079E3E7E"/>
    <w:rsid w:val="07AA21A6"/>
    <w:rsid w:val="07B323DD"/>
    <w:rsid w:val="07CB1191"/>
    <w:rsid w:val="07D33E7D"/>
    <w:rsid w:val="07DA2552"/>
    <w:rsid w:val="07E61182"/>
    <w:rsid w:val="07F876CF"/>
    <w:rsid w:val="07FA3FC0"/>
    <w:rsid w:val="081A3ED7"/>
    <w:rsid w:val="08376BE0"/>
    <w:rsid w:val="08424D1E"/>
    <w:rsid w:val="08483779"/>
    <w:rsid w:val="085D5FC0"/>
    <w:rsid w:val="087C5914"/>
    <w:rsid w:val="0886626A"/>
    <w:rsid w:val="08912C45"/>
    <w:rsid w:val="08934557"/>
    <w:rsid w:val="08AD0CF8"/>
    <w:rsid w:val="08AD503B"/>
    <w:rsid w:val="08B604BF"/>
    <w:rsid w:val="08C76CFD"/>
    <w:rsid w:val="08E340CC"/>
    <w:rsid w:val="08E95B0E"/>
    <w:rsid w:val="08EF4E1A"/>
    <w:rsid w:val="08FD2E27"/>
    <w:rsid w:val="09016480"/>
    <w:rsid w:val="090C54BE"/>
    <w:rsid w:val="09214DDE"/>
    <w:rsid w:val="09271627"/>
    <w:rsid w:val="092936B1"/>
    <w:rsid w:val="09604BE1"/>
    <w:rsid w:val="096A4BCE"/>
    <w:rsid w:val="09710521"/>
    <w:rsid w:val="098226D8"/>
    <w:rsid w:val="09894939"/>
    <w:rsid w:val="09A02CD8"/>
    <w:rsid w:val="09B131EA"/>
    <w:rsid w:val="09D771B0"/>
    <w:rsid w:val="09DA500D"/>
    <w:rsid w:val="0A165448"/>
    <w:rsid w:val="0A36214C"/>
    <w:rsid w:val="0A3F61A5"/>
    <w:rsid w:val="0A502EA2"/>
    <w:rsid w:val="0A5758F7"/>
    <w:rsid w:val="0A67144A"/>
    <w:rsid w:val="0A71618F"/>
    <w:rsid w:val="0A7E1671"/>
    <w:rsid w:val="0AB610B3"/>
    <w:rsid w:val="0AC16F66"/>
    <w:rsid w:val="0AE86D78"/>
    <w:rsid w:val="0B435CD5"/>
    <w:rsid w:val="0B456825"/>
    <w:rsid w:val="0B4B17AC"/>
    <w:rsid w:val="0B4C1B40"/>
    <w:rsid w:val="0B4F5787"/>
    <w:rsid w:val="0B567BF1"/>
    <w:rsid w:val="0B625354"/>
    <w:rsid w:val="0B6438A9"/>
    <w:rsid w:val="0B6947A3"/>
    <w:rsid w:val="0B6B22C9"/>
    <w:rsid w:val="0BB80799"/>
    <w:rsid w:val="0BC22757"/>
    <w:rsid w:val="0BD0342B"/>
    <w:rsid w:val="0BE3070D"/>
    <w:rsid w:val="0BE659E2"/>
    <w:rsid w:val="0BE94FBA"/>
    <w:rsid w:val="0C0375BA"/>
    <w:rsid w:val="0C367BBD"/>
    <w:rsid w:val="0C3C4113"/>
    <w:rsid w:val="0C4225D4"/>
    <w:rsid w:val="0C49239C"/>
    <w:rsid w:val="0C4E57C8"/>
    <w:rsid w:val="0C7336D0"/>
    <w:rsid w:val="0C896AD7"/>
    <w:rsid w:val="0CC36F40"/>
    <w:rsid w:val="0CCE2CF7"/>
    <w:rsid w:val="0CE75800"/>
    <w:rsid w:val="0CF02600"/>
    <w:rsid w:val="0D162766"/>
    <w:rsid w:val="0D30615A"/>
    <w:rsid w:val="0D4A590E"/>
    <w:rsid w:val="0D4C5E85"/>
    <w:rsid w:val="0D50445B"/>
    <w:rsid w:val="0D7807F1"/>
    <w:rsid w:val="0D895A46"/>
    <w:rsid w:val="0D9B67EB"/>
    <w:rsid w:val="0DA45AD2"/>
    <w:rsid w:val="0DBD2AC5"/>
    <w:rsid w:val="0DC14C35"/>
    <w:rsid w:val="0DE86CEC"/>
    <w:rsid w:val="0E057004"/>
    <w:rsid w:val="0E0A51BD"/>
    <w:rsid w:val="0E141CA7"/>
    <w:rsid w:val="0E1D6D0A"/>
    <w:rsid w:val="0E386D2E"/>
    <w:rsid w:val="0E3D1DE5"/>
    <w:rsid w:val="0E442D5B"/>
    <w:rsid w:val="0E4E7B59"/>
    <w:rsid w:val="0E6E5960"/>
    <w:rsid w:val="0EAB7B80"/>
    <w:rsid w:val="0EAE4301"/>
    <w:rsid w:val="0ED27024"/>
    <w:rsid w:val="0ED94F19"/>
    <w:rsid w:val="0EDC5EDB"/>
    <w:rsid w:val="0F0A381F"/>
    <w:rsid w:val="0F1B0DB7"/>
    <w:rsid w:val="0F3425BB"/>
    <w:rsid w:val="0F3D3F7D"/>
    <w:rsid w:val="0F41676A"/>
    <w:rsid w:val="0F5A5FCA"/>
    <w:rsid w:val="0F6C7EA7"/>
    <w:rsid w:val="0F704E24"/>
    <w:rsid w:val="0F9C1C7D"/>
    <w:rsid w:val="0FA03F81"/>
    <w:rsid w:val="0FC5121F"/>
    <w:rsid w:val="0FC52200"/>
    <w:rsid w:val="0FC57219"/>
    <w:rsid w:val="0FCD54FE"/>
    <w:rsid w:val="0FDB1E2E"/>
    <w:rsid w:val="0FF11896"/>
    <w:rsid w:val="0FF743B8"/>
    <w:rsid w:val="101152D6"/>
    <w:rsid w:val="103F191C"/>
    <w:rsid w:val="104114BC"/>
    <w:rsid w:val="1045758D"/>
    <w:rsid w:val="104F21E7"/>
    <w:rsid w:val="10522A43"/>
    <w:rsid w:val="105950B7"/>
    <w:rsid w:val="10681B45"/>
    <w:rsid w:val="10D545EB"/>
    <w:rsid w:val="10E51E7E"/>
    <w:rsid w:val="110045E6"/>
    <w:rsid w:val="1109548A"/>
    <w:rsid w:val="110E4212"/>
    <w:rsid w:val="11156035"/>
    <w:rsid w:val="111F2499"/>
    <w:rsid w:val="11296D36"/>
    <w:rsid w:val="1146103D"/>
    <w:rsid w:val="116C7384"/>
    <w:rsid w:val="12305D0B"/>
    <w:rsid w:val="124B307E"/>
    <w:rsid w:val="12595354"/>
    <w:rsid w:val="12676ACE"/>
    <w:rsid w:val="128C79F5"/>
    <w:rsid w:val="12987FD1"/>
    <w:rsid w:val="12D559AE"/>
    <w:rsid w:val="12D57C7C"/>
    <w:rsid w:val="12DE2F04"/>
    <w:rsid w:val="12E84200"/>
    <w:rsid w:val="12F453F7"/>
    <w:rsid w:val="1322342B"/>
    <w:rsid w:val="133D3639"/>
    <w:rsid w:val="135A65CD"/>
    <w:rsid w:val="13681291"/>
    <w:rsid w:val="139A72A6"/>
    <w:rsid w:val="13CA3389"/>
    <w:rsid w:val="13D75C16"/>
    <w:rsid w:val="141A71FC"/>
    <w:rsid w:val="14393E39"/>
    <w:rsid w:val="1439492C"/>
    <w:rsid w:val="144E282E"/>
    <w:rsid w:val="148B16AC"/>
    <w:rsid w:val="14905D77"/>
    <w:rsid w:val="14C13D98"/>
    <w:rsid w:val="14C818C6"/>
    <w:rsid w:val="14D17473"/>
    <w:rsid w:val="14D2285A"/>
    <w:rsid w:val="14F848F0"/>
    <w:rsid w:val="152D2F19"/>
    <w:rsid w:val="1533008F"/>
    <w:rsid w:val="153D3401"/>
    <w:rsid w:val="155142E7"/>
    <w:rsid w:val="15855A36"/>
    <w:rsid w:val="158E06A1"/>
    <w:rsid w:val="15932B1E"/>
    <w:rsid w:val="159B19FD"/>
    <w:rsid w:val="15AD0B1A"/>
    <w:rsid w:val="15AF36C0"/>
    <w:rsid w:val="15CA175D"/>
    <w:rsid w:val="15D73E4B"/>
    <w:rsid w:val="15EE7CEF"/>
    <w:rsid w:val="160D691C"/>
    <w:rsid w:val="16333435"/>
    <w:rsid w:val="16391530"/>
    <w:rsid w:val="16550678"/>
    <w:rsid w:val="166C136C"/>
    <w:rsid w:val="168C0198"/>
    <w:rsid w:val="16C6539F"/>
    <w:rsid w:val="16C83962"/>
    <w:rsid w:val="16ED23AA"/>
    <w:rsid w:val="17195883"/>
    <w:rsid w:val="173E2364"/>
    <w:rsid w:val="173E4E07"/>
    <w:rsid w:val="1761710C"/>
    <w:rsid w:val="17812612"/>
    <w:rsid w:val="17845E69"/>
    <w:rsid w:val="1789592C"/>
    <w:rsid w:val="17933C9F"/>
    <w:rsid w:val="179B08D6"/>
    <w:rsid w:val="17B13E29"/>
    <w:rsid w:val="17D67A38"/>
    <w:rsid w:val="17DB1463"/>
    <w:rsid w:val="17E97C5D"/>
    <w:rsid w:val="17ED5B45"/>
    <w:rsid w:val="18260DD1"/>
    <w:rsid w:val="182656C2"/>
    <w:rsid w:val="182E7A85"/>
    <w:rsid w:val="18303541"/>
    <w:rsid w:val="183735E3"/>
    <w:rsid w:val="18485D36"/>
    <w:rsid w:val="18744310"/>
    <w:rsid w:val="189F530B"/>
    <w:rsid w:val="18A12DFD"/>
    <w:rsid w:val="18A922F3"/>
    <w:rsid w:val="18B137E8"/>
    <w:rsid w:val="18BB2661"/>
    <w:rsid w:val="18D46399"/>
    <w:rsid w:val="18DA2494"/>
    <w:rsid w:val="18E63A9B"/>
    <w:rsid w:val="18EA09E3"/>
    <w:rsid w:val="18F56002"/>
    <w:rsid w:val="18F573C3"/>
    <w:rsid w:val="192F50C9"/>
    <w:rsid w:val="19633F03"/>
    <w:rsid w:val="196F047E"/>
    <w:rsid w:val="19943641"/>
    <w:rsid w:val="19966245"/>
    <w:rsid w:val="199E02FC"/>
    <w:rsid w:val="19BA1CE3"/>
    <w:rsid w:val="19CC6505"/>
    <w:rsid w:val="19DF55C2"/>
    <w:rsid w:val="1A0C61A8"/>
    <w:rsid w:val="1A132F57"/>
    <w:rsid w:val="1A300E03"/>
    <w:rsid w:val="1A3907DB"/>
    <w:rsid w:val="1A5D3631"/>
    <w:rsid w:val="1A5F760F"/>
    <w:rsid w:val="1A6F3E95"/>
    <w:rsid w:val="1A6F6E85"/>
    <w:rsid w:val="1A7A35AD"/>
    <w:rsid w:val="1AD22ED2"/>
    <w:rsid w:val="1AD51B88"/>
    <w:rsid w:val="1B0167A6"/>
    <w:rsid w:val="1B2058A0"/>
    <w:rsid w:val="1B2D037E"/>
    <w:rsid w:val="1B566A66"/>
    <w:rsid w:val="1B830FFF"/>
    <w:rsid w:val="1B8565CF"/>
    <w:rsid w:val="1B9104B0"/>
    <w:rsid w:val="1B9B0535"/>
    <w:rsid w:val="1B9F64EC"/>
    <w:rsid w:val="1BA27163"/>
    <w:rsid w:val="1BA96293"/>
    <w:rsid w:val="1BAC363D"/>
    <w:rsid w:val="1BD60F79"/>
    <w:rsid w:val="1BFD6F6E"/>
    <w:rsid w:val="1C055E22"/>
    <w:rsid w:val="1C075926"/>
    <w:rsid w:val="1C0C60A0"/>
    <w:rsid w:val="1C261B3D"/>
    <w:rsid w:val="1C2A710A"/>
    <w:rsid w:val="1C41527E"/>
    <w:rsid w:val="1C49412F"/>
    <w:rsid w:val="1C4D3DCD"/>
    <w:rsid w:val="1C4F5FC4"/>
    <w:rsid w:val="1C64078D"/>
    <w:rsid w:val="1C7F4A95"/>
    <w:rsid w:val="1C81524F"/>
    <w:rsid w:val="1CA121A3"/>
    <w:rsid w:val="1CAE41E1"/>
    <w:rsid w:val="1CDF257F"/>
    <w:rsid w:val="1CE40841"/>
    <w:rsid w:val="1CF405AE"/>
    <w:rsid w:val="1CFB22F4"/>
    <w:rsid w:val="1D014450"/>
    <w:rsid w:val="1D2131AC"/>
    <w:rsid w:val="1D2A2C86"/>
    <w:rsid w:val="1D2A6659"/>
    <w:rsid w:val="1D41310E"/>
    <w:rsid w:val="1D426DC5"/>
    <w:rsid w:val="1D4377C2"/>
    <w:rsid w:val="1D54682E"/>
    <w:rsid w:val="1D575B51"/>
    <w:rsid w:val="1D83301E"/>
    <w:rsid w:val="1D836FC7"/>
    <w:rsid w:val="1D956BB8"/>
    <w:rsid w:val="1D9F4A19"/>
    <w:rsid w:val="1DA05599"/>
    <w:rsid w:val="1DAB519B"/>
    <w:rsid w:val="1DC65420"/>
    <w:rsid w:val="1DC94DC3"/>
    <w:rsid w:val="1DD04ECF"/>
    <w:rsid w:val="1E0649A4"/>
    <w:rsid w:val="1E144E53"/>
    <w:rsid w:val="1E2250C0"/>
    <w:rsid w:val="1E474E6F"/>
    <w:rsid w:val="1E6843C7"/>
    <w:rsid w:val="1E6C45C4"/>
    <w:rsid w:val="1E84688B"/>
    <w:rsid w:val="1E904B62"/>
    <w:rsid w:val="1EA60FCA"/>
    <w:rsid w:val="1EA87417"/>
    <w:rsid w:val="1ED70A99"/>
    <w:rsid w:val="1EE605BB"/>
    <w:rsid w:val="1F35766F"/>
    <w:rsid w:val="1F65672E"/>
    <w:rsid w:val="1F6B4880"/>
    <w:rsid w:val="1F6D18D3"/>
    <w:rsid w:val="1F7222CF"/>
    <w:rsid w:val="1F855EC8"/>
    <w:rsid w:val="1F865B87"/>
    <w:rsid w:val="1F8D0E35"/>
    <w:rsid w:val="1FB611E4"/>
    <w:rsid w:val="1FBA2E91"/>
    <w:rsid w:val="1FC02D54"/>
    <w:rsid w:val="1FD92D82"/>
    <w:rsid w:val="1FEE1F52"/>
    <w:rsid w:val="207471CF"/>
    <w:rsid w:val="20847FAD"/>
    <w:rsid w:val="20950348"/>
    <w:rsid w:val="20981E88"/>
    <w:rsid w:val="20A06A24"/>
    <w:rsid w:val="20A10137"/>
    <w:rsid w:val="20A76189"/>
    <w:rsid w:val="20B97750"/>
    <w:rsid w:val="20BD2343"/>
    <w:rsid w:val="20C125E5"/>
    <w:rsid w:val="20E05525"/>
    <w:rsid w:val="20F77EBA"/>
    <w:rsid w:val="20FE0571"/>
    <w:rsid w:val="21040EE9"/>
    <w:rsid w:val="212F48FD"/>
    <w:rsid w:val="21592DC8"/>
    <w:rsid w:val="216135E4"/>
    <w:rsid w:val="21701F90"/>
    <w:rsid w:val="218E60D2"/>
    <w:rsid w:val="21B23C30"/>
    <w:rsid w:val="21D5663A"/>
    <w:rsid w:val="21FF37BF"/>
    <w:rsid w:val="220D5F91"/>
    <w:rsid w:val="220F017A"/>
    <w:rsid w:val="223A4047"/>
    <w:rsid w:val="223D6488"/>
    <w:rsid w:val="224F423C"/>
    <w:rsid w:val="22590C76"/>
    <w:rsid w:val="227710AB"/>
    <w:rsid w:val="229B4E78"/>
    <w:rsid w:val="22BA3F45"/>
    <w:rsid w:val="22C77F82"/>
    <w:rsid w:val="22E50F21"/>
    <w:rsid w:val="22F562BD"/>
    <w:rsid w:val="23054BAA"/>
    <w:rsid w:val="231C3AC6"/>
    <w:rsid w:val="23261385"/>
    <w:rsid w:val="233157B8"/>
    <w:rsid w:val="233970A1"/>
    <w:rsid w:val="235F050E"/>
    <w:rsid w:val="23632F27"/>
    <w:rsid w:val="236C3A64"/>
    <w:rsid w:val="2390118C"/>
    <w:rsid w:val="239A7798"/>
    <w:rsid w:val="23A33225"/>
    <w:rsid w:val="23A3458B"/>
    <w:rsid w:val="23A83880"/>
    <w:rsid w:val="23AC3B0D"/>
    <w:rsid w:val="23AC7B00"/>
    <w:rsid w:val="23AE3EA4"/>
    <w:rsid w:val="23BD797B"/>
    <w:rsid w:val="23CC13DF"/>
    <w:rsid w:val="23DF415F"/>
    <w:rsid w:val="241374BB"/>
    <w:rsid w:val="241C0641"/>
    <w:rsid w:val="24210897"/>
    <w:rsid w:val="242A6325"/>
    <w:rsid w:val="242E0AC8"/>
    <w:rsid w:val="24474E0A"/>
    <w:rsid w:val="244E4AD0"/>
    <w:rsid w:val="246B4679"/>
    <w:rsid w:val="248A767B"/>
    <w:rsid w:val="249900C5"/>
    <w:rsid w:val="24A84B3C"/>
    <w:rsid w:val="24BF7D42"/>
    <w:rsid w:val="255D2F2A"/>
    <w:rsid w:val="255D65B3"/>
    <w:rsid w:val="256C5A3D"/>
    <w:rsid w:val="257963F1"/>
    <w:rsid w:val="257D2B89"/>
    <w:rsid w:val="259734FD"/>
    <w:rsid w:val="25A7402B"/>
    <w:rsid w:val="25D966A6"/>
    <w:rsid w:val="25E04E4B"/>
    <w:rsid w:val="25FE15DC"/>
    <w:rsid w:val="26272FA3"/>
    <w:rsid w:val="26571428"/>
    <w:rsid w:val="26653EC4"/>
    <w:rsid w:val="26806C09"/>
    <w:rsid w:val="26863962"/>
    <w:rsid w:val="268F15B2"/>
    <w:rsid w:val="26983FA4"/>
    <w:rsid w:val="26B82194"/>
    <w:rsid w:val="26DD1E76"/>
    <w:rsid w:val="26FA6E39"/>
    <w:rsid w:val="271D6716"/>
    <w:rsid w:val="271E4603"/>
    <w:rsid w:val="272342DC"/>
    <w:rsid w:val="27264DFC"/>
    <w:rsid w:val="272A0710"/>
    <w:rsid w:val="272B145C"/>
    <w:rsid w:val="27550294"/>
    <w:rsid w:val="27555997"/>
    <w:rsid w:val="2766755B"/>
    <w:rsid w:val="276E4B45"/>
    <w:rsid w:val="277E0E1B"/>
    <w:rsid w:val="27C13C20"/>
    <w:rsid w:val="27D432FB"/>
    <w:rsid w:val="27E47883"/>
    <w:rsid w:val="27EA0124"/>
    <w:rsid w:val="28025BBF"/>
    <w:rsid w:val="2807271F"/>
    <w:rsid w:val="28120519"/>
    <w:rsid w:val="281327C3"/>
    <w:rsid w:val="28195AAE"/>
    <w:rsid w:val="28323569"/>
    <w:rsid w:val="28326E12"/>
    <w:rsid w:val="28504863"/>
    <w:rsid w:val="285D6A2A"/>
    <w:rsid w:val="28674296"/>
    <w:rsid w:val="286774A3"/>
    <w:rsid w:val="28677802"/>
    <w:rsid w:val="287013AF"/>
    <w:rsid w:val="28934004"/>
    <w:rsid w:val="28943CBF"/>
    <w:rsid w:val="28B9246E"/>
    <w:rsid w:val="28E96526"/>
    <w:rsid w:val="28F77A34"/>
    <w:rsid w:val="28FB2B17"/>
    <w:rsid w:val="29031EE0"/>
    <w:rsid w:val="2905469E"/>
    <w:rsid w:val="29213FAC"/>
    <w:rsid w:val="294019F3"/>
    <w:rsid w:val="295C30A0"/>
    <w:rsid w:val="295F6F3A"/>
    <w:rsid w:val="2978542E"/>
    <w:rsid w:val="298168E8"/>
    <w:rsid w:val="29880DC9"/>
    <w:rsid w:val="299658C8"/>
    <w:rsid w:val="29C74336"/>
    <w:rsid w:val="29FF6BE7"/>
    <w:rsid w:val="2A0C4705"/>
    <w:rsid w:val="2A104C01"/>
    <w:rsid w:val="2A2219FF"/>
    <w:rsid w:val="2A2649D3"/>
    <w:rsid w:val="2A2F0453"/>
    <w:rsid w:val="2A375CB0"/>
    <w:rsid w:val="2A4F7A8E"/>
    <w:rsid w:val="2A590271"/>
    <w:rsid w:val="2A5C693A"/>
    <w:rsid w:val="2A783A41"/>
    <w:rsid w:val="2A7C052B"/>
    <w:rsid w:val="2A952A67"/>
    <w:rsid w:val="2A9D1044"/>
    <w:rsid w:val="2AA14EFF"/>
    <w:rsid w:val="2AC52B69"/>
    <w:rsid w:val="2AE42B9F"/>
    <w:rsid w:val="2AFA4FF0"/>
    <w:rsid w:val="2AFF35D3"/>
    <w:rsid w:val="2B0A07D4"/>
    <w:rsid w:val="2B0A651F"/>
    <w:rsid w:val="2B132D50"/>
    <w:rsid w:val="2B4604CF"/>
    <w:rsid w:val="2B4843B6"/>
    <w:rsid w:val="2B511EF5"/>
    <w:rsid w:val="2B6076B4"/>
    <w:rsid w:val="2B617D56"/>
    <w:rsid w:val="2B631EFF"/>
    <w:rsid w:val="2B6E542D"/>
    <w:rsid w:val="2B8D7375"/>
    <w:rsid w:val="2BAC408F"/>
    <w:rsid w:val="2BAF74D9"/>
    <w:rsid w:val="2BDD0A2E"/>
    <w:rsid w:val="2BEB27E3"/>
    <w:rsid w:val="2BEB2E9D"/>
    <w:rsid w:val="2BF61207"/>
    <w:rsid w:val="2C1713D1"/>
    <w:rsid w:val="2C2E6F83"/>
    <w:rsid w:val="2C620007"/>
    <w:rsid w:val="2C72660E"/>
    <w:rsid w:val="2CA8063D"/>
    <w:rsid w:val="2CD367CC"/>
    <w:rsid w:val="2CDD2B9E"/>
    <w:rsid w:val="2D09394F"/>
    <w:rsid w:val="2D1C132F"/>
    <w:rsid w:val="2D51298D"/>
    <w:rsid w:val="2D6345E9"/>
    <w:rsid w:val="2D7E4209"/>
    <w:rsid w:val="2D9B288E"/>
    <w:rsid w:val="2DBD42B5"/>
    <w:rsid w:val="2DCB5DC1"/>
    <w:rsid w:val="2DCE5309"/>
    <w:rsid w:val="2DE2242A"/>
    <w:rsid w:val="2E0F7D39"/>
    <w:rsid w:val="2E1141D6"/>
    <w:rsid w:val="2E4225F7"/>
    <w:rsid w:val="2E463849"/>
    <w:rsid w:val="2E5A5340"/>
    <w:rsid w:val="2E6E73D5"/>
    <w:rsid w:val="2E81141D"/>
    <w:rsid w:val="2E9A7ADA"/>
    <w:rsid w:val="2EC17F9C"/>
    <w:rsid w:val="2EC2396D"/>
    <w:rsid w:val="2EF80558"/>
    <w:rsid w:val="2F1B0798"/>
    <w:rsid w:val="2F491BA5"/>
    <w:rsid w:val="2F4F0438"/>
    <w:rsid w:val="2F506BFB"/>
    <w:rsid w:val="2F7E2CC0"/>
    <w:rsid w:val="2F871ABC"/>
    <w:rsid w:val="2F921764"/>
    <w:rsid w:val="2F98405A"/>
    <w:rsid w:val="2FA276F4"/>
    <w:rsid w:val="2FAF32EB"/>
    <w:rsid w:val="2FCB323B"/>
    <w:rsid w:val="2FD11EB8"/>
    <w:rsid w:val="2FE1749B"/>
    <w:rsid w:val="30282287"/>
    <w:rsid w:val="303606F3"/>
    <w:rsid w:val="303D5772"/>
    <w:rsid w:val="303E2207"/>
    <w:rsid w:val="30533443"/>
    <w:rsid w:val="306E40F7"/>
    <w:rsid w:val="306F4499"/>
    <w:rsid w:val="308657FF"/>
    <w:rsid w:val="308A7E59"/>
    <w:rsid w:val="30AF42A0"/>
    <w:rsid w:val="30B15581"/>
    <w:rsid w:val="30B32EF2"/>
    <w:rsid w:val="30B93848"/>
    <w:rsid w:val="30BB37BA"/>
    <w:rsid w:val="30BE1DE8"/>
    <w:rsid w:val="31253510"/>
    <w:rsid w:val="313177AD"/>
    <w:rsid w:val="31341EAD"/>
    <w:rsid w:val="313712DD"/>
    <w:rsid w:val="31423CC5"/>
    <w:rsid w:val="3157256E"/>
    <w:rsid w:val="3160159B"/>
    <w:rsid w:val="316102EA"/>
    <w:rsid w:val="3164492F"/>
    <w:rsid w:val="31665B97"/>
    <w:rsid w:val="31711EF3"/>
    <w:rsid w:val="317433D6"/>
    <w:rsid w:val="31854B7E"/>
    <w:rsid w:val="31AB1294"/>
    <w:rsid w:val="31C003CA"/>
    <w:rsid w:val="31E86EE4"/>
    <w:rsid w:val="31F00167"/>
    <w:rsid w:val="31FD6157"/>
    <w:rsid w:val="32171B71"/>
    <w:rsid w:val="322B53E9"/>
    <w:rsid w:val="327E41AE"/>
    <w:rsid w:val="32915ABA"/>
    <w:rsid w:val="32933D30"/>
    <w:rsid w:val="329C1497"/>
    <w:rsid w:val="32CA5643"/>
    <w:rsid w:val="32D72576"/>
    <w:rsid w:val="32D93319"/>
    <w:rsid w:val="32E04086"/>
    <w:rsid w:val="32F96A45"/>
    <w:rsid w:val="330D0307"/>
    <w:rsid w:val="331D384C"/>
    <w:rsid w:val="332C3D97"/>
    <w:rsid w:val="3360179D"/>
    <w:rsid w:val="3360351F"/>
    <w:rsid w:val="33620CB2"/>
    <w:rsid w:val="33777078"/>
    <w:rsid w:val="33B10912"/>
    <w:rsid w:val="33B17CDB"/>
    <w:rsid w:val="33B271F9"/>
    <w:rsid w:val="33C365BE"/>
    <w:rsid w:val="33E04B57"/>
    <w:rsid w:val="33FA7456"/>
    <w:rsid w:val="33FE7922"/>
    <w:rsid w:val="34024883"/>
    <w:rsid w:val="342C6E98"/>
    <w:rsid w:val="344F7140"/>
    <w:rsid w:val="34543574"/>
    <w:rsid w:val="34714E70"/>
    <w:rsid w:val="34755DB1"/>
    <w:rsid w:val="34935876"/>
    <w:rsid w:val="349E0FB2"/>
    <w:rsid w:val="34A96A1A"/>
    <w:rsid w:val="34B370D1"/>
    <w:rsid w:val="34C4203E"/>
    <w:rsid w:val="34CA52FD"/>
    <w:rsid w:val="34E622D6"/>
    <w:rsid w:val="35073B82"/>
    <w:rsid w:val="350D4514"/>
    <w:rsid w:val="3518700F"/>
    <w:rsid w:val="352F2FF3"/>
    <w:rsid w:val="35375748"/>
    <w:rsid w:val="35486C73"/>
    <w:rsid w:val="357578F9"/>
    <w:rsid w:val="35942299"/>
    <w:rsid w:val="359E09BB"/>
    <w:rsid w:val="35AD7655"/>
    <w:rsid w:val="35C556EC"/>
    <w:rsid w:val="35CE4ECF"/>
    <w:rsid w:val="35F13776"/>
    <w:rsid w:val="360F4406"/>
    <w:rsid w:val="3619454C"/>
    <w:rsid w:val="361A4DE1"/>
    <w:rsid w:val="361F592F"/>
    <w:rsid w:val="362F79EA"/>
    <w:rsid w:val="36516B14"/>
    <w:rsid w:val="36556C85"/>
    <w:rsid w:val="365B1C96"/>
    <w:rsid w:val="36603459"/>
    <w:rsid w:val="366D2C19"/>
    <w:rsid w:val="3675230B"/>
    <w:rsid w:val="36766F5C"/>
    <w:rsid w:val="36777C43"/>
    <w:rsid w:val="367E7A3F"/>
    <w:rsid w:val="36806379"/>
    <w:rsid w:val="36C1347A"/>
    <w:rsid w:val="36C31B41"/>
    <w:rsid w:val="36C532A1"/>
    <w:rsid w:val="36CE234D"/>
    <w:rsid w:val="36D347D3"/>
    <w:rsid w:val="36DA50A9"/>
    <w:rsid w:val="36F46372"/>
    <w:rsid w:val="372F4949"/>
    <w:rsid w:val="3736228A"/>
    <w:rsid w:val="374432D4"/>
    <w:rsid w:val="37671725"/>
    <w:rsid w:val="376F122C"/>
    <w:rsid w:val="3798526A"/>
    <w:rsid w:val="37B72EB1"/>
    <w:rsid w:val="37C1607A"/>
    <w:rsid w:val="37C42A0D"/>
    <w:rsid w:val="37C806F3"/>
    <w:rsid w:val="37C85C3C"/>
    <w:rsid w:val="37CF1603"/>
    <w:rsid w:val="38585500"/>
    <w:rsid w:val="385D1C71"/>
    <w:rsid w:val="386038B3"/>
    <w:rsid w:val="38654EB9"/>
    <w:rsid w:val="38684A38"/>
    <w:rsid w:val="388E1434"/>
    <w:rsid w:val="38BA5460"/>
    <w:rsid w:val="38C22C79"/>
    <w:rsid w:val="38C62FF5"/>
    <w:rsid w:val="38CF7906"/>
    <w:rsid w:val="38D62476"/>
    <w:rsid w:val="38E27127"/>
    <w:rsid w:val="38F50127"/>
    <w:rsid w:val="39027E88"/>
    <w:rsid w:val="39075875"/>
    <w:rsid w:val="390C65EA"/>
    <w:rsid w:val="391904A1"/>
    <w:rsid w:val="39197479"/>
    <w:rsid w:val="391C718D"/>
    <w:rsid w:val="394D30B0"/>
    <w:rsid w:val="394F6067"/>
    <w:rsid w:val="39624091"/>
    <w:rsid w:val="397C6037"/>
    <w:rsid w:val="39D43B66"/>
    <w:rsid w:val="39EC03FA"/>
    <w:rsid w:val="3A1D058F"/>
    <w:rsid w:val="3A1E303B"/>
    <w:rsid w:val="3A1F74C9"/>
    <w:rsid w:val="3A2A1F54"/>
    <w:rsid w:val="3A2D40D1"/>
    <w:rsid w:val="3A314B02"/>
    <w:rsid w:val="3A3968C8"/>
    <w:rsid w:val="3A5C2602"/>
    <w:rsid w:val="3A79657B"/>
    <w:rsid w:val="3A8B77C7"/>
    <w:rsid w:val="3A8E0E4C"/>
    <w:rsid w:val="3A8F7DE5"/>
    <w:rsid w:val="3A9A32EA"/>
    <w:rsid w:val="3ACD391F"/>
    <w:rsid w:val="3B026D00"/>
    <w:rsid w:val="3B1471CB"/>
    <w:rsid w:val="3B3836C7"/>
    <w:rsid w:val="3B5F2B46"/>
    <w:rsid w:val="3B655681"/>
    <w:rsid w:val="3B6C4553"/>
    <w:rsid w:val="3B6F3ABC"/>
    <w:rsid w:val="3B7527F4"/>
    <w:rsid w:val="3B7665B8"/>
    <w:rsid w:val="3B7754EB"/>
    <w:rsid w:val="3BAA143A"/>
    <w:rsid w:val="3BAC7D85"/>
    <w:rsid w:val="3BC378A6"/>
    <w:rsid w:val="3BDC08FD"/>
    <w:rsid w:val="3BE42ECD"/>
    <w:rsid w:val="3BE767EB"/>
    <w:rsid w:val="3BFE1CAB"/>
    <w:rsid w:val="3C10260E"/>
    <w:rsid w:val="3C274A05"/>
    <w:rsid w:val="3C43437F"/>
    <w:rsid w:val="3C4F746D"/>
    <w:rsid w:val="3C6A66D6"/>
    <w:rsid w:val="3C7511AE"/>
    <w:rsid w:val="3CA977D2"/>
    <w:rsid w:val="3CBF0958"/>
    <w:rsid w:val="3CC733AF"/>
    <w:rsid w:val="3CCB1880"/>
    <w:rsid w:val="3CD72551"/>
    <w:rsid w:val="3CF76813"/>
    <w:rsid w:val="3CFC6063"/>
    <w:rsid w:val="3D1319B5"/>
    <w:rsid w:val="3D260CA6"/>
    <w:rsid w:val="3D520CCB"/>
    <w:rsid w:val="3D5C6974"/>
    <w:rsid w:val="3D6678B0"/>
    <w:rsid w:val="3D772181"/>
    <w:rsid w:val="3D823D30"/>
    <w:rsid w:val="3DCE6FB3"/>
    <w:rsid w:val="3DD16176"/>
    <w:rsid w:val="3E1000F5"/>
    <w:rsid w:val="3E104E3F"/>
    <w:rsid w:val="3E1B735B"/>
    <w:rsid w:val="3E1D6E9C"/>
    <w:rsid w:val="3E2237AB"/>
    <w:rsid w:val="3E3A052C"/>
    <w:rsid w:val="3E4A1BED"/>
    <w:rsid w:val="3E662345"/>
    <w:rsid w:val="3E82228B"/>
    <w:rsid w:val="3E8242C1"/>
    <w:rsid w:val="3EA45218"/>
    <w:rsid w:val="3EAA331F"/>
    <w:rsid w:val="3EB33AF3"/>
    <w:rsid w:val="3EB9412A"/>
    <w:rsid w:val="3ECF60F0"/>
    <w:rsid w:val="3EEA62D8"/>
    <w:rsid w:val="3EFD0DF6"/>
    <w:rsid w:val="3EFE49C6"/>
    <w:rsid w:val="3F0A5B5C"/>
    <w:rsid w:val="3F1A0890"/>
    <w:rsid w:val="3F3F5846"/>
    <w:rsid w:val="3F71500B"/>
    <w:rsid w:val="3F7B33F8"/>
    <w:rsid w:val="3F801023"/>
    <w:rsid w:val="3F8064EB"/>
    <w:rsid w:val="3F950FB5"/>
    <w:rsid w:val="3F982DCA"/>
    <w:rsid w:val="3FA05CDE"/>
    <w:rsid w:val="3FA532F5"/>
    <w:rsid w:val="3FAD3A92"/>
    <w:rsid w:val="3FCB5632"/>
    <w:rsid w:val="3FD12D26"/>
    <w:rsid w:val="3FDE4917"/>
    <w:rsid w:val="3FE2412F"/>
    <w:rsid w:val="3FF13239"/>
    <w:rsid w:val="400A428E"/>
    <w:rsid w:val="402707F0"/>
    <w:rsid w:val="402F3ADF"/>
    <w:rsid w:val="40306F5A"/>
    <w:rsid w:val="403C5A07"/>
    <w:rsid w:val="40476BB3"/>
    <w:rsid w:val="40546FB6"/>
    <w:rsid w:val="40554803"/>
    <w:rsid w:val="407A60D5"/>
    <w:rsid w:val="407D4F24"/>
    <w:rsid w:val="40961808"/>
    <w:rsid w:val="40AB4DEE"/>
    <w:rsid w:val="40AD2461"/>
    <w:rsid w:val="40D24BBE"/>
    <w:rsid w:val="40E612FD"/>
    <w:rsid w:val="40EC4043"/>
    <w:rsid w:val="41166469"/>
    <w:rsid w:val="412008E0"/>
    <w:rsid w:val="413A6D3B"/>
    <w:rsid w:val="41432623"/>
    <w:rsid w:val="41515AC7"/>
    <w:rsid w:val="41822561"/>
    <w:rsid w:val="41902B9F"/>
    <w:rsid w:val="41A023E7"/>
    <w:rsid w:val="41C02331"/>
    <w:rsid w:val="41C13A63"/>
    <w:rsid w:val="41C67037"/>
    <w:rsid w:val="41D229E1"/>
    <w:rsid w:val="41EC6E94"/>
    <w:rsid w:val="41F61BC4"/>
    <w:rsid w:val="41F72149"/>
    <w:rsid w:val="42201CAB"/>
    <w:rsid w:val="4228585D"/>
    <w:rsid w:val="42415ACC"/>
    <w:rsid w:val="425360DC"/>
    <w:rsid w:val="42666D6B"/>
    <w:rsid w:val="427D539F"/>
    <w:rsid w:val="428E01E1"/>
    <w:rsid w:val="42991E30"/>
    <w:rsid w:val="42C32A40"/>
    <w:rsid w:val="42C84FD0"/>
    <w:rsid w:val="42CC19F4"/>
    <w:rsid w:val="42CE0B28"/>
    <w:rsid w:val="42CF6367"/>
    <w:rsid w:val="42D36FBC"/>
    <w:rsid w:val="42DE1CCC"/>
    <w:rsid w:val="4308546B"/>
    <w:rsid w:val="43263445"/>
    <w:rsid w:val="434157E3"/>
    <w:rsid w:val="43494860"/>
    <w:rsid w:val="434D380E"/>
    <w:rsid w:val="435000BE"/>
    <w:rsid w:val="43934189"/>
    <w:rsid w:val="439A7595"/>
    <w:rsid w:val="439D4850"/>
    <w:rsid w:val="43C27232"/>
    <w:rsid w:val="43C32162"/>
    <w:rsid w:val="43EC5186"/>
    <w:rsid w:val="43ED069F"/>
    <w:rsid w:val="441F2A8C"/>
    <w:rsid w:val="442A6E5A"/>
    <w:rsid w:val="44356E29"/>
    <w:rsid w:val="445C4B8F"/>
    <w:rsid w:val="4476700E"/>
    <w:rsid w:val="447C2A1B"/>
    <w:rsid w:val="447F5CBE"/>
    <w:rsid w:val="44833851"/>
    <w:rsid w:val="449539FF"/>
    <w:rsid w:val="44982752"/>
    <w:rsid w:val="44A21F9C"/>
    <w:rsid w:val="44BF6F86"/>
    <w:rsid w:val="44C45031"/>
    <w:rsid w:val="44D53AB2"/>
    <w:rsid w:val="44DA00B4"/>
    <w:rsid w:val="44E17603"/>
    <w:rsid w:val="44F27B0D"/>
    <w:rsid w:val="45151583"/>
    <w:rsid w:val="45174CA4"/>
    <w:rsid w:val="45485BDE"/>
    <w:rsid w:val="456A0F27"/>
    <w:rsid w:val="456F19FF"/>
    <w:rsid w:val="457D4A3F"/>
    <w:rsid w:val="458571EC"/>
    <w:rsid w:val="45945C30"/>
    <w:rsid w:val="459F2306"/>
    <w:rsid w:val="45A832FE"/>
    <w:rsid w:val="45AB6174"/>
    <w:rsid w:val="45BA63E5"/>
    <w:rsid w:val="45CC5EDC"/>
    <w:rsid w:val="45CF584F"/>
    <w:rsid w:val="45F73D47"/>
    <w:rsid w:val="46113492"/>
    <w:rsid w:val="462D2575"/>
    <w:rsid w:val="46401CF6"/>
    <w:rsid w:val="46467FD8"/>
    <w:rsid w:val="46601D33"/>
    <w:rsid w:val="4666746C"/>
    <w:rsid w:val="467505FA"/>
    <w:rsid w:val="467B6008"/>
    <w:rsid w:val="467D65A6"/>
    <w:rsid w:val="468720BA"/>
    <w:rsid w:val="46895AFC"/>
    <w:rsid w:val="468E6A9E"/>
    <w:rsid w:val="46A34313"/>
    <w:rsid w:val="46BC623F"/>
    <w:rsid w:val="46D855B9"/>
    <w:rsid w:val="470D2C74"/>
    <w:rsid w:val="47142AC6"/>
    <w:rsid w:val="47176886"/>
    <w:rsid w:val="47176AEE"/>
    <w:rsid w:val="47236E19"/>
    <w:rsid w:val="477570F1"/>
    <w:rsid w:val="479672AC"/>
    <w:rsid w:val="47AD33FA"/>
    <w:rsid w:val="47B41AAA"/>
    <w:rsid w:val="47B9631D"/>
    <w:rsid w:val="47CD38AD"/>
    <w:rsid w:val="47DB16D8"/>
    <w:rsid w:val="47F91F4D"/>
    <w:rsid w:val="47FB7FBB"/>
    <w:rsid w:val="481726F3"/>
    <w:rsid w:val="48416760"/>
    <w:rsid w:val="48466F81"/>
    <w:rsid w:val="484D02A2"/>
    <w:rsid w:val="486B647A"/>
    <w:rsid w:val="48715E42"/>
    <w:rsid w:val="487321E2"/>
    <w:rsid w:val="487807F6"/>
    <w:rsid w:val="4888623B"/>
    <w:rsid w:val="48896934"/>
    <w:rsid w:val="489028F5"/>
    <w:rsid w:val="489B48B9"/>
    <w:rsid w:val="48C12AEC"/>
    <w:rsid w:val="48D072A1"/>
    <w:rsid w:val="48D1341D"/>
    <w:rsid w:val="48D63F90"/>
    <w:rsid w:val="48E0279A"/>
    <w:rsid w:val="48E64C8E"/>
    <w:rsid w:val="48EC7724"/>
    <w:rsid w:val="48FA5C48"/>
    <w:rsid w:val="48FA7B87"/>
    <w:rsid w:val="49023E07"/>
    <w:rsid w:val="4919356E"/>
    <w:rsid w:val="492A7740"/>
    <w:rsid w:val="49300AA7"/>
    <w:rsid w:val="49391CB0"/>
    <w:rsid w:val="493C3A20"/>
    <w:rsid w:val="49401E21"/>
    <w:rsid w:val="49526EB9"/>
    <w:rsid w:val="49684311"/>
    <w:rsid w:val="496D00AD"/>
    <w:rsid w:val="497004D0"/>
    <w:rsid w:val="49742114"/>
    <w:rsid w:val="49754CB4"/>
    <w:rsid w:val="497F6965"/>
    <w:rsid w:val="49921F0F"/>
    <w:rsid w:val="49BF12ED"/>
    <w:rsid w:val="49CE6B8E"/>
    <w:rsid w:val="49D72FF3"/>
    <w:rsid w:val="49E0102B"/>
    <w:rsid w:val="4A2945F2"/>
    <w:rsid w:val="4A615154"/>
    <w:rsid w:val="4A844DE0"/>
    <w:rsid w:val="4A96607C"/>
    <w:rsid w:val="4AA91ED6"/>
    <w:rsid w:val="4AB92E92"/>
    <w:rsid w:val="4B2134B8"/>
    <w:rsid w:val="4B24233C"/>
    <w:rsid w:val="4B330A0B"/>
    <w:rsid w:val="4B3756CC"/>
    <w:rsid w:val="4B5B7EBE"/>
    <w:rsid w:val="4B5E55F9"/>
    <w:rsid w:val="4B685D82"/>
    <w:rsid w:val="4B715B7A"/>
    <w:rsid w:val="4B7B4674"/>
    <w:rsid w:val="4B7C663B"/>
    <w:rsid w:val="4B812078"/>
    <w:rsid w:val="4B855680"/>
    <w:rsid w:val="4BCC04D1"/>
    <w:rsid w:val="4BE13F29"/>
    <w:rsid w:val="4BF71347"/>
    <w:rsid w:val="4BF97932"/>
    <w:rsid w:val="4C107D48"/>
    <w:rsid w:val="4C120A00"/>
    <w:rsid w:val="4C141E75"/>
    <w:rsid w:val="4C2A4039"/>
    <w:rsid w:val="4C736F36"/>
    <w:rsid w:val="4C991AEB"/>
    <w:rsid w:val="4C9E14E9"/>
    <w:rsid w:val="4CAE60E3"/>
    <w:rsid w:val="4CEE1D13"/>
    <w:rsid w:val="4CFA35EA"/>
    <w:rsid w:val="4D032DA9"/>
    <w:rsid w:val="4D0C6DBE"/>
    <w:rsid w:val="4D25615C"/>
    <w:rsid w:val="4D36054D"/>
    <w:rsid w:val="4D360D7F"/>
    <w:rsid w:val="4D41137F"/>
    <w:rsid w:val="4D4D3B7A"/>
    <w:rsid w:val="4D524AEA"/>
    <w:rsid w:val="4D5724F7"/>
    <w:rsid w:val="4D757452"/>
    <w:rsid w:val="4D8C3F82"/>
    <w:rsid w:val="4DBC14B8"/>
    <w:rsid w:val="4DE936C7"/>
    <w:rsid w:val="4DF23555"/>
    <w:rsid w:val="4E050D4C"/>
    <w:rsid w:val="4E06569E"/>
    <w:rsid w:val="4E093792"/>
    <w:rsid w:val="4E173610"/>
    <w:rsid w:val="4E1D26B7"/>
    <w:rsid w:val="4E1D3A0D"/>
    <w:rsid w:val="4E1F052C"/>
    <w:rsid w:val="4E3970BB"/>
    <w:rsid w:val="4E451D41"/>
    <w:rsid w:val="4E597B6C"/>
    <w:rsid w:val="4E7A454C"/>
    <w:rsid w:val="4E820B4C"/>
    <w:rsid w:val="4E85341C"/>
    <w:rsid w:val="4E9B7B12"/>
    <w:rsid w:val="4EC47712"/>
    <w:rsid w:val="4EC939B0"/>
    <w:rsid w:val="4EDD3C61"/>
    <w:rsid w:val="4EE43E79"/>
    <w:rsid w:val="4EF1457F"/>
    <w:rsid w:val="4F2C40A0"/>
    <w:rsid w:val="4F2F3B98"/>
    <w:rsid w:val="4F380B7A"/>
    <w:rsid w:val="4F424B82"/>
    <w:rsid w:val="4F4462E5"/>
    <w:rsid w:val="4F4B0CB3"/>
    <w:rsid w:val="4F4F0EBF"/>
    <w:rsid w:val="4F586D8F"/>
    <w:rsid w:val="4F6011E1"/>
    <w:rsid w:val="4F8C4B40"/>
    <w:rsid w:val="4FAA5CD5"/>
    <w:rsid w:val="4FBD187E"/>
    <w:rsid w:val="4FC56067"/>
    <w:rsid w:val="4FD11AC0"/>
    <w:rsid w:val="4FD44A54"/>
    <w:rsid w:val="4FE61E7E"/>
    <w:rsid w:val="4FEA4E33"/>
    <w:rsid w:val="4FF447CF"/>
    <w:rsid w:val="501119C9"/>
    <w:rsid w:val="502F75EB"/>
    <w:rsid w:val="50400243"/>
    <w:rsid w:val="50494336"/>
    <w:rsid w:val="50784012"/>
    <w:rsid w:val="50813C12"/>
    <w:rsid w:val="5087463E"/>
    <w:rsid w:val="50A11680"/>
    <w:rsid w:val="50B77550"/>
    <w:rsid w:val="50C773AE"/>
    <w:rsid w:val="50CD6602"/>
    <w:rsid w:val="50E11A17"/>
    <w:rsid w:val="50E6022F"/>
    <w:rsid w:val="510D0F23"/>
    <w:rsid w:val="51197B59"/>
    <w:rsid w:val="513221AA"/>
    <w:rsid w:val="516105A3"/>
    <w:rsid w:val="51615030"/>
    <w:rsid w:val="51627812"/>
    <w:rsid w:val="5180261D"/>
    <w:rsid w:val="518317F4"/>
    <w:rsid w:val="51C136D4"/>
    <w:rsid w:val="51D33F6D"/>
    <w:rsid w:val="51DB1448"/>
    <w:rsid w:val="52045DB4"/>
    <w:rsid w:val="52284795"/>
    <w:rsid w:val="522C275E"/>
    <w:rsid w:val="524C13A2"/>
    <w:rsid w:val="52540883"/>
    <w:rsid w:val="527513A1"/>
    <w:rsid w:val="529000F6"/>
    <w:rsid w:val="5296149A"/>
    <w:rsid w:val="52990A97"/>
    <w:rsid w:val="52A65672"/>
    <w:rsid w:val="52BA4073"/>
    <w:rsid w:val="52CA2507"/>
    <w:rsid w:val="52CD7B31"/>
    <w:rsid w:val="52D32A37"/>
    <w:rsid w:val="52D576F4"/>
    <w:rsid w:val="52DF170A"/>
    <w:rsid w:val="52E25B6D"/>
    <w:rsid w:val="52F362FB"/>
    <w:rsid w:val="52F4161A"/>
    <w:rsid w:val="52F965A5"/>
    <w:rsid w:val="53081AD8"/>
    <w:rsid w:val="53195ED0"/>
    <w:rsid w:val="53235275"/>
    <w:rsid w:val="53240623"/>
    <w:rsid w:val="5324146C"/>
    <w:rsid w:val="53321C03"/>
    <w:rsid w:val="533415F9"/>
    <w:rsid w:val="534823B8"/>
    <w:rsid w:val="535657D0"/>
    <w:rsid w:val="535868CC"/>
    <w:rsid w:val="53597EDB"/>
    <w:rsid w:val="535A2D18"/>
    <w:rsid w:val="538D066D"/>
    <w:rsid w:val="53934B1D"/>
    <w:rsid w:val="53A2278E"/>
    <w:rsid w:val="53CB788B"/>
    <w:rsid w:val="53D17DBD"/>
    <w:rsid w:val="53E32E36"/>
    <w:rsid w:val="54203B94"/>
    <w:rsid w:val="5424233E"/>
    <w:rsid w:val="542A3DC2"/>
    <w:rsid w:val="542C299E"/>
    <w:rsid w:val="54324CFF"/>
    <w:rsid w:val="543527D7"/>
    <w:rsid w:val="543642C1"/>
    <w:rsid w:val="54506176"/>
    <w:rsid w:val="5461235D"/>
    <w:rsid w:val="54667BA2"/>
    <w:rsid w:val="547E7555"/>
    <w:rsid w:val="54806F19"/>
    <w:rsid w:val="54A01FAE"/>
    <w:rsid w:val="54A478E7"/>
    <w:rsid w:val="54AC3148"/>
    <w:rsid w:val="54C0256E"/>
    <w:rsid w:val="54C334B7"/>
    <w:rsid w:val="54D4667D"/>
    <w:rsid w:val="54D55C56"/>
    <w:rsid w:val="54EC389B"/>
    <w:rsid w:val="54F847D9"/>
    <w:rsid w:val="55126190"/>
    <w:rsid w:val="55166E62"/>
    <w:rsid w:val="55214D74"/>
    <w:rsid w:val="555F3833"/>
    <w:rsid w:val="55667780"/>
    <w:rsid w:val="556E493A"/>
    <w:rsid w:val="55725F14"/>
    <w:rsid w:val="55941D63"/>
    <w:rsid w:val="559C0CE1"/>
    <w:rsid w:val="55B42D88"/>
    <w:rsid w:val="55D11119"/>
    <w:rsid w:val="55DB1F79"/>
    <w:rsid w:val="560A42BD"/>
    <w:rsid w:val="560C1D89"/>
    <w:rsid w:val="56353B20"/>
    <w:rsid w:val="563A6A4D"/>
    <w:rsid w:val="56443B98"/>
    <w:rsid w:val="56453A77"/>
    <w:rsid w:val="56757259"/>
    <w:rsid w:val="568B7EB7"/>
    <w:rsid w:val="56BC078F"/>
    <w:rsid w:val="56CB4BCB"/>
    <w:rsid w:val="56FB75FE"/>
    <w:rsid w:val="572F42F6"/>
    <w:rsid w:val="57391A95"/>
    <w:rsid w:val="573F3C9E"/>
    <w:rsid w:val="574028CB"/>
    <w:rsid w:val="574C52C4"/>
    <w:rsid w:val="57526FDB"/>
    <w:rsid w:val="57572F35"/>
    <w:rsid w:val="575B33A4"/>
    <w:rsid w:val="575B52E7"/>
    <w:rsid w:val="57674A5D"/>
    <w:rsid w:val="578515EA"/>
    <w:rsid w:val="579775E1"/>
    <w:rsid w:val="57C90530"/>
    <w:rsid w:val="57CE0836"/>
    <w:rsid w:val="582F44F7"/>
    <w:rsid w:val="583A6878"/>
    <w:rsid w:val="583F27F2"/>
    <w:rsid w:val="58455B6D"/>
    <w:rsid w:val="584D29B0"/>
    <w:rsid w:val="584F7C49"/>
    <w:rsid w:val="5888302C"/>
    <w:rsid w:val="5889129A"/>
    <w:rsid w:val="58A70AE5"/>
    <w:rsid w:val="58AD528C"/>
    <w:rsid w:val="58B31955"/>
    <w:rsid w:val="58BA45A1"/>
    <w:rsid w:val="58E93C7D"/>
    <w:rsid w:val="594F6915"/>
    <w:rsid w:val="59513E7A"/>
    <w:rsid w:val="59515343"/>
    <w:rsid w:val="59633BAD"/>
    <w:rsid w:val="59737A65"/>
    <w:rsid w:val="59842DF4"/>
    <w:rsid w:val="598D61FF"/>
    <w:rsid w:val="59947CE9"/>
    <w:rsid w:val="59A0359A"/>
    <w:rsid w:val="59CE7D0B"/>
    <w:rsid w:val="59E52D9A"/>
    <w:rsid w:val="5A300449"/>
    <w:rsid w:val="5A314442"/>
    <w:rsid w:val="5A3317D1"/>
    <w:rsid w:val="5A353324"/>
    <w:rsid w:val="5A482DEE"/>
    <w:rsid w:val="5A55295D"/>
    <w:rsid w:val="5A7E104A"/>
    <w:rsid w:val="5A8208A0"/>
    <w:rsid w:val="5A861FD5"/>
    <w:rsid w:val="5AC21C98"/>
    <w:rsid w:val="5AE3253A"/>
    <w:rsid w:val="5AEA30C9"/>
    <w:rsid w:val="5AEA3475"/>
    <w:rsid w:val="5AF54C6B"/>
    <w:rsid w:val="5B087B94"/>
    <w:rsid w:val="5B0C2FBE"/>
    <w:rsid w:val="5B0E3E89"/>
    <w:rsid w:val="5B124740"/>
    <w:rsid w:val="5B31434D"/>
    <w:rsid w:val="5B3A10B7"/>
    <w:rsid w:val="5B3A7802"/>
    <w:rsid w:val="5B3F60FF"/>
    <w:rsid w:val="5B3F66E7"/>
    <w:rsid w:val="5B7E57E1"/>
    <w:rsid w:val="5B872AE6"/>
    <w:rsid w:val="5BA77753"/>
    <w:rsid w:val="5BB60E53"/>
    <w:rsid w:val="5BB819A5"/>
    <w:rsid w:val="5BC025EF"/>
    <w:rsid w:val="5C077640"/>
    <w:rsid w:val="5C1203C7"/>
    <w:rsid w:val="5C1F35AE"/>
    <w:rsid w:val="5C3905BF"/>
    <w:rsid w:val="5C517DCC"/>
    <w:rsid w:val="5C66397A"/>
    <w:rsid w:val="5C7349B6"/>
    <w:rsid w:val="5C824C05"/>
    <w:rsid w:val="5C8725EE"/>
    <w:rsid w:val="5CB0251A"/>
    <w:rsid w:val="5CB21FF1"/>
    <w:rsid w:val="5CB97030"/>
    <w:rsid w:val="5CC97332"/>
    <w:rsid w:val="5CE84AF5"/>
    <w:rsid w:val="5D073AE3"/>
    <w:rsid w:val="5D187049"/>
    <w:rsid w:val="5D1D2427"/>
    <w:rsid w:val="5D543F38"/>
    <w:rsid w:val="5D756277"/>
    <w:rsid w:val="5D760215"/>
    <w:rsid w:val="5D7D3B34"/>
    <w:rsid w:val="5D955FBD"/>
    <w:rsid w:val="5DA62524"/>
    <w:rsid w:val="5DAC3919"/>
    <w:rsid w:val="5DB36259"/>
    <w:rsid w:val="5DBD33B2"/>
    <w:rsid w:val="5DC223CB"/>
    <w:rsid w:val="5DD36213"/>
    <w:rsid w:val="5DF66637"/>
    <w:rsid w:val="5DFF6858"/>
    <w:rsid w:val="5E0F2B0E"/>
    <w:rsid w:val="5E185132"/>
    <w:rsid w:val="5E21523D"/>
    <w:rsid w:val="5E2A0167"/>
    <w:rsid w:val="5E5D68E8"/>
    <w:rsid w:val="5E802A96"/>
    <w:rsid w:val="5E8545C5"/>
    <w:rsid w:val="5E9074FF"/>
    <w:rsid w:val="5EAD0273"/>
    <w:rsid w:val="5EAE1AF2"/>
    <w:rsid w:val="5EB62A77"/>
    <w:rsid w:val="5EB80355"/>
    <w:rsid w:val="5EBB2226"/>
    <w:rsid w:val="5EBE5F24"/>
    <w:rsid w:val="5ECB5988"/>
    <w:rsid w:val="5EF07004"/>
    <w:rsid w:val="5EF7731D"/>
    <w:rsid w:val="5F061262"/>
    <w:rsid w:val="5F0E1E9A"/>
    <w:rsid w:val="5F860C23"/>
    <w:rsid w:val="5FC44411"/>
    <w:rsid w:val="5FE05236"/>
    <w:rsid w:val="5FE426E2"/>
    <w:rsid w:val="60105133"/>
    <w:rsid w:val="60181252"/>
    <w:rsid w:val="602776E2"/>
    <w:rsid w:val="605C7AA6"/>
    <w:rsid w:val="605F132B"/>
    <w:rsid w:val="608510A4"/>
    <w:rsid w:val="608762FF"/>
    <w:rsid w:val="609E1C45"/>
    <w:rsid w:val="60B74397"/>
    <w:rsid w:val="60BD4FD1"/>
    <w:rsid w:val="60C23FA5"/>
    <w:rsid w:val="60D507D0"/>
    <w:rsid w:val="60D55FD5"/>
    <w:rsid w:val="60E07610"/>
    <w:rsid w:val="60EA1511"/>
    <w:rsid w:val="60EB6C34"/>
    <w:rsid w:val="60FD5C7B"/>
    <w:rsid w:val="610C1CA3"/>
    <w:rsid w:val="6114070F"/>
    <w:rsid w:val="613D7E7B"/>
    <w:rsid w:val="61425C7D"/>
    <w:rsid w:val="617162E9"/>
    <w:rsid w:val="61A52BAA"/>
    <w:rsid w:val="61C36FD5"/>
    <w:rsid w:val="61CF1360"/>
    <w:rsid w:val="61FA0AE4"/>
    <w:rsid w:val="621D7EC3"/>
    <w:rsid w:val="62221C10"/>
    <w:rsid w:val="623438BB"/>
    <w:rsid w:val="62352B2C"/>
    <w:rsid w:val="624A29F6"/>
    <w:rsid w:val="624B10F0"/>
    <w:rsid w:val="624F3E48"/>
    <w:rsid w:val="62516C98"/>
    <w:rsid w:val="62635981"/>
    <w:rsid w:val="6269099A"/>
    <w:rsid w:val="629B3E75"/>
    <w:rsid w:val="629B5D43"/>
    <w:rsid w:val="62A36D1F"/>
    <w:rsid w:val="62A40365"/>
    <w:rsid w:val="62A469A9"/>
    <w:rsid w:val="62A92FF1"/>
    <w:rsid w:val="62B90FFE"/>
    <w:rsid w:val="62E10186"/>
    <w:rsid w:val="62F6018D"/>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17834"/>
    <w:rsid w:val="63AB4D19"/>
    <w:rsid w:val="63DA4B5E"/>
    <w:rsid w:val="63DE2C24"/>
    <w:rsid w:val="63DE4E6F"/>
    <w:rsid w:val="64273E62"/>
    <w:rsid w:val="642E2892"/>
    <w:rsid w:val="643B736C"/>
    <w:rsid w:val="644F0FB6"/>
    <w:rsid w:val="647D7AFB"/>
    <w:rsid w:val="64AD7C37"/>
    <w:rsid w:val="64B0399F"/>
    <w:rsid w:val="64B05758"/>
    <w:rsid w:val="64BE4B0D"/>
    <w:rsid w:val="64EE0CBE"/>
    <w:rsid w:val="65075A96"/>
    <w:rsid w:val="650E600B"/>
    <w:rsid w:val="650F0C7B"/>
    <w:rsid w:val="651541F8"/>
    <w:rsid w:val="651C0BD7"/>
    <w:rsid w:val="65222BAA"/>
    <w:rsid w:val="652B691A"/>
    <w:rsid w:val="652C01BF"/>
    <w:rsid w:val="65921C11"/>
    <w:rsid w:val="65B21A3B"/>
    <w:rsid w:val="65B221E6"/>
    <w:rsid w:val="65BB5F2E"/>
    <w:rsid w:val="65E939D5"/>
    <w:rsid w:val="66426031"/>
    <w:rsid w:val="66593B74"/>
    <w:rsid w:val="665B6338"/>
    <w:rsid w:val="665D2DD8"/>
    <w:rsid w:val="66651C8A"/>
    <w:rsid w:val="66675176"/>
    <w:rsid w:val="66756CB0"/>
    <w:rsid w:val="6678677C"/>
    <w:rsid w:val="669F2C65"/>
    <w:rsid w:val="66A70207"/>
    <w:rsid w:val="66BE6B53"/>
    <w:rsid w:val="66C33EDD"/>
    <w:rsid w:val="66C55FD8"/>
    <w:rsid w:val="66C96C89"/>
    <w:rsid w:val="66D333AF"/>
    <w:rsid w:val="67023742"/>
    <w:rsid w:val="67192A34"/>
    <w:rsid w:val="672E698D"/>
    <w:rsid w:val="674A4927"/>
    <w:rsid w:val="6760233B"/>
    <w:rsid w:val="677243C5"/>
    <w:rsid w:val="678568CD"/>
    <w:rsid w:val="67904A3A"/>
    <w:rsid w:val="67A24F14"/>
    <w:rsid w:val="67A5495B"/>
    <w:rsid w:val="67AB7CA7"/>
    <w:rsid w:val="67BB4EAD"/>
    <w:rsid w:val="67DD2D7C"/>
    <w:rsid w:val="67E453F6"/>
    <w:rsid w:val="67F130F8"/>
    <w:rsid w:val="67F84AFE"/>
    <w:rsid w:val="680878A3"/>
    <w:rsid w:val="68340476"/>
    <w:rsid w:val="68366D6B"/>
    <w:rsid w:val="68375AD4"/>
    <w:rsid w:val="683870E8"/>
    <w:rsid w:val="68403510"/>
    <w:rsid w:val="68457681"/>
    <w:rsid w:val="684977D5"/>
    <w:rsid w:val="68552C50"/>
    <w:rsid w:val="685D34E7"/>
    <w:rsid w:val="686A1EFF"/>
    <w:rsid w:val="68A8123A"/>
    <w:rsid w:val="68B84F4C"/>
    <w:rsid w:val="69055229"/>
    <w:rsid w:val="690F419F"/>
    <w:rsid w:val="6929374C"/>
    <w:rsid w:val="692F20BB"/>
    <w:rsid w:val="69784C3F"/>
    <w:rsid w:val="69B50577"/>
    <w:rsid w:val="69C1095D"/>
    <w:rsid w:val="6A0138F7"/>
    <w:rsid w:val="6A116B3F"/>
    <w:rsid w:val="6A1B7B8C"/>
    <w:rsid w:val="6A1E155A"/>
    <w:rsid w:val="6A345AAC"/>
    <w:rsid w:val="6A58493C"/>
    <w:rsid w:val="6A682BD4"/>
    <w:rsid w:val="6A7910DA"/>
    <w:rsid w:val="6A7B5447"/>
    <w:rsid w:val="6AB41186"/>
    <w:rsid w:val="6ADB012D"/>
    <w:rsid w:val="6AE3748E"/>
    <w:rsid w:val="6AE83C5F"/>
    <w:rsid w:val="6AF10360"/>
    <w:rsid w:val="6AF11A59"/>
    <w:rsid w:val="6AF53FAE"/>
    <w:rsid w:val="6AFB59BC"/>
    <w:rsid w:val="6B1C3EC6"/>
    <w:rsid w:val="6B384A7C"/>
    <w:rsid w:val="6B3F4C28"/>
    <w:rsid w:val="6B574638"/>
    <w:rsid w:val="6B5E0002"/>
    <w:rsid w:val="6B5F5B98"/>
    <w:rsid w:val="6B615C8D"/>
    <w:rsid w:val="6B67068F"/>
    <w:rsid w:val="6B6E2E8D"/>
    <w:rsid w:val="6B830718"/>
    <w:rsid w:val="6B924DC4"/>
    <w:rsid w:val="6B977A86"/>
    <w:rsid w:val="6BAB6FBB"/>
    <w:rsid w:val="6BB568D4"/>
    <w:rsid w:val="6BB77E6E"/>
    <w:rsid w:val="6BDF720E"/>
    <w:rsid w:val="6BDF79C7"/>
    <w:rsid w:val="6BE146ED"/>
    <w:rsid w:val="6C0B074D"/>
    <w:rsid w:val="6C1458EF"/>
    <w:rsid w:val="6C231806"/>
    <w:rsid w:val="6C275F8B"/>
    <w:rsid w:val="6C2C76C9"/>
    <w:rsid w:val="6C3B15FF"/>
    <w:rsid w:val="6C3B431E"/>
    <w:rsid w:val="6C3E5116"/>
    <w:rsid w:val="6C4A65DC"/>
    <w:rsid w:val="6C6770B8"/>
    <w:rsid w:val="6C725FD7"/>
    <w:rsid w:val="6C7D55E1"/>
    <w:rsid w:val="6C8379F5"/>
    <w:rsid w:val="6C852D02"/>
    <w:rsid w:val="6CA92983"/>
    <w:rsid w:val="6CD7423E"/>
    <w:rsid w:val="6CEA2C90"/>
    <w:rsid w:val="6CFA5C74"/>
    <w:rsid w:val="6D272DFD"/>
    <w:rsid w:val="6D2C4A68"/>
    <w:rsid w:val="6D3B2E78"/>
    <w:rsid w:val="6D3C3AC0"/>
    <w:rsid w:val="6D410335"/>
    <w:rsid w:val="6D4305C3"/>
    <w:rsid w:val="6D48402C"/>
    <w:rsid w:val="6D48445E"/>
    <w:rsid w:val="6D500B73"/>
    <w:rsid w:val="6D6167A4"/>
    <w:rsid w:val="6D666AA6"/>
    <w:rsid w:val="6D687043"/>
    <w:rsid w:val="6D770BED"/>
    <w:rsid w:val="6D7D6DC8"/>
    <w:rsid w:val="6D885EAB"/>
    <w:rsid w:val="6D953F0C"/>
    <w:rsid w:val="6DB67EBB"/>
    <w:rsid w:val="6DBB6500"/>
    <w:rsid w:val="6DEF52E3"/>
    <w:rsid w:val="6E0E3C8F"/>
    <w:rsid w:val="6E0E6A1E"/>
    <w:rsid w:val="6E2D763E"/>
    <w:rsid w:val="6E420FB1"/>
    <w:rsid w:val="6E6B46D3"/>
    <w:rsid w:val="6E953983"/>
    <w:rsid w:val="6E95768E"/>
    <w:rsid w:val="6EA14900"/>
    <w:rsid w:val="6EB27AA3"/>
    <w:rsid w:val="6EBD1CFE"/>
    <w:rsid w:val="6EF9461D"/>
    <w:rsid w:val="6F1348E9"/>
    <w:rsid w:val="6F2A01FE"/>
    <w:rsid w:val="6F2A71A4"/>
    <w:rsid w:val="6F4F78F4"/>
    <w:rsid w:val="6F5D1EE4"/>
    <w:rsid w:val="6F9415EA"/>
    <w:rsid w:val="6F960B5C"/>
    <w:rsid w:val="6FB72F84"/>
    <w:rsid w:val="6FCA5E7C"/>
    <w:rsid w:val="6FE11F22"/>
    <w:rsid w:val="6FE3419F"/>
    <w:rsid w:val="6FEA1493"/>
    <w:rsid w:val="6FF778F1"/>
    <w:rsid w:val="700346D4"/>
    <w:rsid w:val="700972F0"/>
    <w:rsid w:val="70287F2C"/>
    <w:rsid w:val="70773178"/>
    <w:rsid w:val="707B3390"/>
    <w:rsid w:val="709B6022"/>
    <w:rsid w:val="70AF69EB"/>
    <w:rsid w:val="70C667BE"/>
    <w:rsid w:val="70DE2249"/>
    <w:rsid w:val="70E329BD"/>
    <w:rsid w:val="70E95261"/>
    <w:rsid w:val="70F4348C"/>
    <w:rsid w:val="70F97D93"/>
    <w:rsid w:val="710E13DA"/>
    <w:rsid w:val="71181113"/>
    <w:rsid w:val="711D7CA6"/>
    <w:rsid w:val="71226ACC"/>
    <w:rsid w:val="71227E63"/>
    <w:rsid w:val="71234381"/>
    <w:rsid w:val="71503969"/>
    <w:rsid w:val="71614B6B"/>
    <w:rsid w:val="718D2905"/>
    <w:rsid w:val="719909D2"/>
    <w:rsid w:val="719B61D4"/>
    <w:rsid w:val="71A10922"/>
    <w:rsid w:val="71B0555E"/>
    <w:rsid w:val="71C163BA"/>
    <w:rsid w:val="71D214DD"/>
    <w:rsid w:val="71E107C1"/>
    <w:rsid w:val="71F62920"/>
    <w:rsid w:val="72091DAA"/>
    <w:rsid w:val="72267D97"/>
    <w:rsid w:val="723734D4"/>
    <w:rsid w:val="724E29D1"/>
    <w:rsid w:val="726056B4"/>
    <w:rsid w:val="728564F5"/>
    <w:rsid w:val="728B7ACE"/>
    <w:rsid w:val="728E70EC"/>
    <w:rsid w:val="729701CD"/>
    <w:rsid w:val="72AB431D"/>
    <w:rsid w:val="72DA09BB"/>
    <w:rsid w:val="72E745EF"/>
    <w:rsid w:val="72E97F76"/>
    <w:rsid w:val="72EF56EF"/>
    <w:rsid w:val="72FD553B"/>
    <w:rsid w:val="730556AE"/>
    <w:rsid w:val="730E0485"/>
    <w:rsid w:val="730E4D7D"/>
    <w:rsid w:val="731466EF"/>
    <w:rsid w:val="73212A01"/>
    <w:rsid w:val="73322FF0"/>
    <w:rsid w:val="733712FB"/>
    <w:rsid w:val="73460FB0"/>
    <w:rsid w:val="73513F28"/>
    <w:rsid w:val="735A7119"/>
    <w:rsid w:val="736127BE"/>
    <w:rsid w:val="736F329F"/>
    <w:rsid w:val="73712FDC"/>
    <w:rsid w:val="739E0038"/>
    <w:rsid w:val="73B34591"/>
    <w:rsid w:val="73BE3A62"/>
    <w:rsid w:val="73D50144"/>
    <w:rsid w:val="73D850A2"/>
    <w:rsid w:val="73DE7F6C"/>
    <w:rsid w:val="73E365CE"/>
    <w:rsid w:val="73E64B1D"/>
    <w:rsid w:val="73F83F4C"/>
    <w:rsid w:val="740735EA"/>
    <w:rsid w:val="7408106C"/>
    <w:rsid w:val="7412351E"/>
    <w:rsid w:val="744C1A3F"/>
    <w:rsid w:val="749F2D9C"/>
    <w:rsid w:val="74BB4279"/>
    <w:rsid w:val="74BE4E97"/>
    <w:rsid w:val="74D504C8"/>
    <w:rsid w:val="74F679F1"/>
    <w:rsid w:val="74F841F7"/>
    <w:rsid w:val="75003D28"/>
    <w:rsid w:val="750445F2"/>
    <w:rsid w:val="751D637E"/>
    <w:rsid w:val="751F2555"/>
    <w:rsid w:val="753504B8"/>
    <w:rsid w:val="753B1018"/>
    <w:rsid w:val="75402D96"/>
    <w:rsid w:val="75466A74"/>
    <w:rsid w:val="754B18DE"/>
    <w:rsid w:val="757F267E"/>
    <w:rsid w:val="758418D8"/>
    <w:rsid w:val="75A17528"/>
    <w:rsid w:val="75AA6AC3"/>
    <w:rsid w:val="75B749A9"/>
    <w:rsid w:val="75CA0A85"/>
    <w:rsid w:val="75CA5356"/>
    <w:rsid w:val="75CB1443"/>
    <w:rsid w:val="75CD3F16"/>
    <w:rsid w:val="75CF049F"/>
    <w:rsid w:val="75D92DB7"/>
    <w:rsid w:val="75EA5BFB"/>
    <w:rsid w:val="75F8271B"/>
    <w:rsid w:val="761730D6"/>
    <w:rsid w:val="761A0ACF"/>
    <w:rsid w:val="761A34DA"/>
    <w:rsid w:val="762373FC"/>
    <w:rsid w:val="76781DCD"/>
    <w:rsid w:val="76B17511"/>
    <w:rsid w:val="76D84698"/>
    <w:rsid w:val="775865D7"/>
    <w:rsid w:val="775A33B3"/>
    <w:rsid w:val="775B4584"/>
    <w:rsid w:val="776204EE"/>
    <w:rsid w:val="776234AF"/>
    <w:rsid w:val="776D12AE"/>
    <w:rsid w:val="776F6C29"/>
    <w:rsid w:val="77895532"/>
    <w:rsid w:val="77960A75"/>
    <w:rsid w:val="77AD0FE0"/>
    <w:rsid w:val="77BE7384"/>
    <w:rsid w:val="780B30CD"/>
    <w:rsid w:val="780F37EC"/>
    <w:rsid w:val="78594FF5"/>
    <w:rsid w:val="787A6E12"/>
    <w:rsid w:val="78821B50"/>
    <w:rsid w:val="788E2A2A"/>
    <w:rsid w:val="78C52EE0"/>
    <w:rsid w:val="78D23C9C"/>
    <w:rsid w:val="7913610A"/>
    <w:rsid w:val="791A167A"/>
    <w:rsid w:val="794D119C"/>
    <w:rsid w:val="794F75C9"/>
    <w:rsid w:val="796B6F7E"/>
    <w:rsid w:val="797B4098"/>
    <w:rsid w:val="7991419C"/>
    <w:rsid w:val="79935707"/>
    <w:rsid w:val="799A2128"/>
    <w:rsid w:val="79C0552F"/>
    <w:rsid w:val="79C30D65"/>
    <w:rsid w:val="79CC3295"/>
    <w:rsid w:val="79D37E29"/>
    <w:rsid w:val="7A0B1561"/>
    <w:rsid w:val="7A25258A"/>
    <w:rsid w:val="7A2C646D"/>
    <w:rsid w:val="7A441CE6"/>
    <w:rsid w:val="7A55546C"/>
    <w:rsid w:val="7A6F5AB6"/>
    <w:rsid w:val="7A743686"/>
    <w:rsid w:val="7A824E2E"/>
    <w:rsid w:val="7A9E7BE0"/>
    <w:rsid w:val="7AFF6437"/>
    <w:rsid w:val="7B021BF1"/>
    <w:rsid w:val="7B203254"/>
    <w:rsid w:val="7B4950F7"/>
    <w:rsid w:val="7B6906DD"/>
    <w:rsid w:val="7B6E2B02"/>
    <w:rsid w:val="7B770019"/>
    <w:rsid w:val="7B80493D"/>
    <w:rsid w:val="7B9F2862"/>
    <w:rsid w:val="7BA9751C"/>
    <w:rsid w:val="7BAB44F6"/>
    <w:rsid w:val="7BB856C6"/>
    <w:rsid w:val="7BBB27D3"/>
    <w:rsid w:val="7BC24A45"/>
    <w:rsid w:val="7BD52A90"/>
    <w:rsid w:val="7C076616"/>
    <w:rsid w:val="7C0D60AB"/>
    <w:rsid w:val="7C295DFC"/>
    <w:rsid w:val="7C4B37FA"/>
    <w:rsid w:val="7C4B7E04"/>
    <w:rsid w:val="7C58255B"/>
    <w:rsid w:val="7C5B5FF8"/>
    <w:rsid w:val="7C5C4760"/>
    <w:rsid w:val="7C640B08"/>
    <w:rsid w:val="7C910DB6"/>
    <w:rsid w:val="7C9E490F"/>
    <w:rsid w:val="7CA73F4A"/>
    <w:rsid w:val="7CAF1AC9"/>
    <w:rsid w:val="7CF03F88"/>
    <w:rsid w:val="7CF73786"/>
    <w:rsid w:val="7D091FF0"/>
    <w:rsid w:val="7D413A82"/>
    <w:rsid w:val="7D4C6AE0"/>
    <w:rsid w:val="7D573168"/>
    <w:rsid w:val="7D5E51C4"/>
    <w:rsid w:val="7D6A4C5A"/>
    <w:rsid w:val="7D7004C3"/>
    <w:rsid w:val="7D7525FB"/>
    <w:rsid w:val="7DC111D1"/>
    <w:rsid w:val="7DC43A43"/>
    <w:rsid w:val="7DC74225"/>
    <w:rsid w:val="7DDA69EF"/>
    <w:rsid w:val="7DDD18D5"/>
    <w:rsid w:val="7DF54524"/>
    <w:rsid w:val="7E0B01EB"/>
    <w:rsid w:val="7E6C26A2"/>
    <w:rsid w:val="7E714080"/>
    <w:rsid w:val="7E951847"/>
    <w:rsid w:val="7EB35583"/>
    <w:rsid w:val="7EB5276C"/>
    <w:rsid w:val="7EBC57D7"/>
    <w:rsid w:val="7ED0794B"/>
    <w:rsid w:val="7ED70A6F"/>
    <w:rsid w:val="7EE20D78"/>
    <w:rsid w:val="7EE50A3C"/>
    <w:rsid w:val="7EFF38D3"/>
    <w:rsid w:val="7F3206AA"/>
    <w:rsid w:val="7F5E6382"/>
    <w:rsid w:val="7F5F2553"/>
    <w:rsid w:val="7F89742A"/>
    <w:rsid w:val="7F95627C"/>
    <w:rsid w:val="7F9B22D0"/>
    <w:rsid w:val="7F9F74D0"/>
    <w:rsid w:val="7FA200C0"/>
    <w:rsid w:val="7FA23B7F"/>
    <w:rsid w:val="7FBE60DA"/>
    <w:rsid w:val="7FBF3588"/>
    <w:rsid w:val="7FDE4F4F"/>
    <w:rsid w:val="7FDF36DE"/>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40"/>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7">
    <w:name w:val="Normal Indent"/>
    <w:basedOn w:val="1"/>
    <w:qFormat/>
    <w:uiPriority w:val="0"/>
    <w:pPr>
      <w:ind w:firstLine="420"/>
    </w:pPr>
    <w:rPr>
      <w:szCs w:val="20"/>
    </w:rPr>
  </w:style>
  <w:style w:type="paragraph" w:styleId="8">
    <w:name w:val="Document Map"/>
    <w:basedOn w:val="1"/>
    <w:link w:val="45"/>
    <w:qFormat/>
    <w:uiPriority w:val="0"/>
    <w:rPr>
      <w:rFonts w:ascii="宋体" w:hAnsi="Tahoma"/>
      <w:sz w:val="18"/>
      <w:szCs w:val="18"/>
    </w:rPr>
  </w:style>
  <w:style w:type="paragraph" w:styleId="9">
    <w:name w:val="annotation text"/>
    <w:basedOn w:val="1"/>
    <w:link w:val="73"/>
    <w:semiHidden/>
    <w:qFormat/>
    <w:uiPriority w:val="99"/>
    <w:pPr>
      <w:jc w:val="left"/>
    </w:pPr>
    <w:rPr>
      <w:rFonts w:ascii="Tahoma" w:hAnsi="Tahoma"/>
    </w:rPr>
  </w:style>
  <w:style w:type="paragraph" w:styleId="10">
    <w:name w:val="Body Text 3"/>
    <w:basedOn w:val="1"/>
    <w:qFormat/>
    <w:uiPriority w:val="0"/>
    <w:rPr>
      <w:kern w:val="0"/>
      <w:sz w:val="16"/>
      <w:szCs w:val="16"/>
    </w:rPr>
  </w:style>
  <w:style w:type="paragraph" w:styleId="11">
    <w:name w:val="Body Text"/>
    <w:basedOn w:val="1"/>
    <w:next w:val="1"/>
    <w:qFormat/>
    <w:uiPriority w:val="0"/>
    <w:pPr>
      <w:spacing w:after="120"/>
    </w:pPr>
  </w:style>
  <w:style w:type="paragraph" w:styleId="12">
    <w:name w:val="Body Text Indent"/>
    <w:basedOn w:val="1"/>
    <w:qFormat/>
    <w:uiPriority w:val="0"/>
    <w:pPr>
      <w:spacing w:after="120"/>
      <w:ind w:left="420" w:leftChars="200"/>
    </w:pPr>
  </w:style>
  <w:style w:type="paragraph" w:styleId="1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4">
    <w:name w:val="toc 3"/>
    <w:basedOn w:val="1"/>
    <w:next w:val="1"/>
    <w:unhideWhenUsed/>
    <w:qFormat/>
    <w:uiPriority w:val="39"/>
    <w:pPr>
      <w:ind w:left="840" w:leftChars="400"/>
    </w:pPr>
    <w:rPr>
      <w:sz w:val="28"/>
    </w:rPr>
  </w:style>
  <w:style w:type="paragraph" w:styleId="15">
    <w:name w:val="Plain Text"/>
    <w:basedOn w:val="1"/>
    <w:qFormat/>
    <w:uiPriority w:val="0"/>
    <w:rPr>
      <w:rFonts w:ascii="宋体" w:hAnsi="Courier New" w:eastAsia="楷体_GB2312"/>
      <w:snapToGrid w:val="0"/>
      <w:color w:val="000000"/>
      <w:kern w:val="0"/>
      <w:sz w:val="32"/>
      <w:szCs w:val="21"/>
    </w:rPr>
  </w:style>
  <w:style w:type="paragraph" w:styleId="16">
    <w:name w:val="Date"/>
    <w:basedOn w:val="1"/>
    <w:next w:val="1"/>
    <w:qFormat/>
    <w:uiPriority w:val="0"/>
    <w:rPr>
      <w:rFonts w:ascii="楷体_GB2312" w:eastAsia="楷体_GB2312"/>
      <w:color w:val="000000"/>
      <w:kern w:val="0"/>
      <w:sz w:val="32"/>
      <w:szCs w:val="32"/>
    </w:rPr>
  </w:style>
  <w:style w:type="paragraph" w:styleId="17">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8">
    <w:name w:val="Balloon Text"/>
    <w:basedOn w:val="1"/>
    <w:unhideWhenUsed/>
    <w:qFormat/>
    <w:uiPriority w:val="0"/>
    <w:rPr>
      <w:sz w:val="18"/>
      <w:szCs w:val="18"/>
    </w:rPr>
  </w:style>
  <w:style w:type="paragraph" w:styleId="19">
    <w:name w:val="footer"/>
    <w:basedOn w:val="1"/>
    <w:link w:val="67"/>
    <w:qFormat/>
    <w:uiPriority w:val="99"/>
    <w:pPr>
      <w:tabs>
        <w:tab w:val="center" w:pos="4153"/>
        <w:tab w:val="right" w:pos="8306"/>
      </w:tabs>
      <w:snapToGrid w:val="0"/>
      <w:jc w:val="left"/>
    </w:pPr>
    <w:rPr>
      <w:rFonts w:ascii="Tahoma" w:hAnsi="Tahoma"/>
      <w:sz w:val="18"/>
      <w:szCs w:val="18"/>
    </w:rPr>
  </w:style>
  <w:style w:type="paragraph" w:styleId="20">
    <w:name w:val="header"/>
    <w:basedOn w:val="1"/>
    <w:next w:val="13"/>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Body Text Indent 3"/>
    <w:basedOn w:val="1"/>
    <w:qFormat/>
    <w:uiPriority w:val="0"/>
    <w:pPr>
      <w:ind w:left="359" w:leftChars="171" w:firstLine="554" w:firstLineChars="198"/>
    </w:pPr>
    <w:rPr>
      <w:sz w:val="28"/>
      <w:szCs w:val="20"/>
    </w:rPr>
  </w:style>
  <w:style w:type="paragraph" w:styleId="23">
    <w:name w:val="toc 2"/>
    <w:basedOn w:val="1"/>
    <w:next w:val="1"/>
    <w:qFormat/>
    <w:uiPriority w:val="39"/>
    <w:pPr>
      <w:ind w:left="420" w:leftChars="200"/>
    </w:pPr>
  </w:style>
  <w:style w:type="paragraph" w:styleId="24">
    <w:name w:val="Body Text 2"/>
    <w:basedOn w:val="1"/>
    <w:qFormat/>
    <w:uiPriority w:val="0"/>
    <w:pPr>
      <w:spacing w:after="120" w:line="480" w:lineRule="auto"/>
    </w:pPr>
  </w:style>
  <w:style w:type="paragraph" w:styleId="25">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6">
    <w:name w:val="annotation subject"/>
    <w:basedOn w:val="9"/>
    <w:next w:val="9"/>
    <w:link w:val="71"/>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0"/>
    <w:rPr>
      <w:rFonts w:ascii="Tahoma" w:hAnsi="Tahoma"/>
      <w:b/>
      <w:bCs/>
      <w:sz w:val="24"/>
    </w:rPr>
  </w:style>
  <w:style w:type="character" w:styleId="31">
    <w:name w:val="page number"/>
    <w:basedOn w:val="29"/>
    <w:qFormat/>
    <w:uiPriority w:val="0"/>
  </w:style>
  <w:style w:type="character" w:styleId="32">
    <w:name w:val="FollowedHyperlink"/>
    <w:qFormat/>
    <w:uiPriority w:val="0"/>
    <w:rPr>
      <w:rFonts w:ascii="Tahoma" w:hAnsi="Tahoma"/>
      <w:color w:val="000000"/>
      <w:sz w:val="18"/>
      <w:szCs w:val="18"/>
      <w:u w:val="none"/>
    </w:rPr>
  </w:style>
  <w:style w:type="character" w:styleId="33">
    <w:name w:val="Emphasis"/>
    <w:basedOn w:val="29"/>
    <w:qFormat/>
    <w:uiPriority w:val="0"/>
    <w:rPr>
      <w:i/>
    </w:rPr>
  </w:style>
  <w:style w:type="character" w:styleId="34">
    <w:name w:val="HTML Definition"/>
    <w:basedOn w:val="29"/>
    <w:qFormat/>
    <w:uiPriority w:val="0"/>
    <w:rPr>
      <w:i/>
    </w:rPr>
  </w:style>
  <w:style w:type="character" w:styleId="35">
    <w:name w:val="Hyperlink"/>
    <w:qFormat/>
    <w:uiPriority w:val="99"/>
    <w:rPr>
      <w:rFonts w:ascii="Tahoma" w:hAnsi="Tahoma"/>
      <w:color w:val="0000FF"/>
      <w:sz w:val="24"/>
      <w:u w:val="single"/>
    </w:rPr>
  </w:style>
  <w:style w:type="character" w:styleId="36">
    <w:name w:val="HTML Code"/>
    <w:basedOn w:val="29"/>
    <w:qFormat/>
    <w:uiPriority w:val="0"/>
    <w:rPr>
      <w:rFonts w:hint="default" w:ascii="Consolas" w:hAnsi="Consolas" w:eastAsia="Consolas" w:cs="Consolas"/>
      <w:color w:val="C7254E"/>
      <w:sz w:val="21"/>
      <w:szCs w:val="21"/>
      <w:shd w:val="clear" w:color="auto" w:fill="F9F2F4"/>
    </w:rPr>
  </w:style>
  <w:style w:type="character" w:styleId="37">
    <w:name w:val="annotation reference"/>
    <w:unhideWhenUsed/>
    <w:qFormat/>
    <w:uiPriority w:val="99"/>
    <w:rPr>
      <w:rFonts w:ascii="Tahoma" w:hAnsi="Tahoma"/>
      <w:sz w:val="21"/>
      <w:szCs w:val="21"/>
    </w:rPr>
  </w:style>
  <w:style w:type="character" w:styleId="38">
    <w:name w:val="HTML Keyboard"/>
    <w:basedOn w:val="29"/>
    <w:qFormat/>
    <w:uiPriority w:val="0"/>
    <w:rPr>
      <w:rFonts w:ascii="Consolas" w:hAnsi="Consolas" w:eastAsia="Consolas" w:cs="Consolas"/>
      <w:color w:val="FFFFFF"/>
      <w:sz w:val="21"/>
      <w:szCs w:val="21"/>
      <w:shd w:val="clear" w:color="auto" w:fill="333333"/>
    </w:rPr>
  </w:style>
  <w:style w:type="character" w:styleId="39">
    <w:name w:val="HTML Sample"/>
    <w:basedOn w:val="29"/>
    <w:qFormat/>
    <w:uiPriority w:val="0"/>
    <w:rPr>
      <w:rFonts w:hint="default" w:ascii="Consolas" w:hAnsi="Consolas" w:eastAsia="Consolas" w:cs="Consolas"/>
      <w:sz w:val="21"/>
      <w:szCs w:val="21"/>
    </w:rPr>
  </w:style>
  <w:style w:type="character" w:customStyle="1" w:styleId="40">
    <w:name w:val="标题 3 Char"/>
    <w:link w:val="5"/>
    <w:qFormat/>
    <w:uiPriority w:val="0"/>
    <w:rPr>
      <w:b/>
      <w:bCs/>
      <w:sz w:val="32"/>
      <w:szCs w:val="32"/>
    </w:rPr>
  </w:style>
  <w:style w:type="character" w:customStyle="1" w:styleId="41">
    <w:name w:val="标题 2 Char"/>
    <w:qFormat/>
    <w:uiPriority w:val="0"/>
    <w:rPr>
      <w:rFonts w:ascii="Arial" w:hAnsi="Arial" w:eastAsia="黑体"/>
      <w:b/>
      <w:bCs/>
      <w:kern w:val="2"/>
      <w:sz w:val="32"/>
      <w:szCs w:val="32"/>
      <w:lang w:val="en-US" w:eastAsia="zh-CN" w:bidi="ar-SA"/>
    </w:rPr>
  </w:style>
  <w:style w:type="character" w:customStyle="1" w:styleId="42">
    <w:name w:val="标题 1 Char"/>
    <w:link w:val="3"/>
    <w:qFormat/>
    <w:uiPriority w:val="0"/>
    <w:rPr>
      <w:b/>
      <w:bCs/>
      <w:kern w:val="44"/>
      <w:sz w:val="44"/>
      <w:szCs w:val="44"/>
    </w:rPr>
  </w:style>
  <w:style w:type="paragraph" w:styleId="43">
    <w:name w:val="List Paragraph"/>
    <w:basedOn w:val="1"/>
    <w:qFormat/>
    <w:uiPriority w:val="34"/>
    <w:pPr>
      <w:ind w:firstLine="420" w:firstLineChars="200"/>
    </w:pPr>
    <w:rPr>
      <w:sz w:val="28"/>
    </w:rPr>
  </w:style>
  <w:style w:type="character" w:customStyle="1" w:styleId="44">
    <w:name w:val="cfdate"/>
    <w:basedOn w:val="29"/>
    <w:qFormat/>
    <w:uiPriority w:val="0"/>
    <w:rPr>
      <w:color w:val="333333"/>
      <w:sz w:val="18"/>
      <w:szCs w:val="18"/>
    </w:rPr>
  </w:style>
  <w:style w:type="character" w:customStyle="1" w:styleId="45">
    <w:name w:val="文档结构图 Char"/>
    <w:link w:val="8"/>
    <w:qFormat/>
    <w:uiPriority w:val="0"/>
    <w:rPr>
      <w:rFonts w:ascii="宋体" w:hAnsi="Tahoma"/>
      <w:kern w:val="2"/>
      <w:sz w:val="18"/>
      <w:szCs w:val="18"/>
    </w:rPr>
  </w:style>
  <w:style w:type="character" w:customStyle="1" w:styleId="46">
    <w:name w:val="copyright"/>
    <w:basedOn w:val="29"/>
    <w:qFormat/>
    <w:uiPriority w:val="0"/>
  </w:style>
  <w:style w:type="character" w:customStyle="1" w:styleId="47">
    <w:name w:val="Char Char6"/>
    <w:qFormat/>
    <w:uiPriority w:val="0"/>
    <w:rPr>
      <w:rFonts w:ascii="Tahoma" w:hAnsi="Tahoma" w:eastAsia="宋体"/>
      <w:b/>
      <w:bCs/>
      <w:kern w:val="2"/>
      <w:sz w:val="32"/>
      <w:szCs w:val="32"/>
      <w:lang w:val="en-US" w:eastAsia="zh-CN" w:bidi="ar-SA"/>
    </w:rPr>
  </w:style>
  <w:style w:type="character" w:customStyle="1" w:styleId="48">
    <w:name w:val="qxdate"/>
    <w:basedOn w:val="29"/>
    <w:qFormat/>
    <w:uiPriority w:val="0"/>
    <w:rPr>
      <w:color w:val="333333"/>
      <w:sz w:val="18"/>
      <w:szCs w:val="18"/>
    </w:rPr>
  </w:style>
  <w:style w:type="character" w:customStyle="1" w:styleId="49">
    <w:name w:val="gjfg"/>
    <w:basedOn w:val="29"/>
    <w:qFormat/>
    <w:uiPriority w:val="0"/>
  </w:style>
  <w:style w:type="character" w:customStyle="1" w:styleId="50">
    <w:name w:val="Char Char3"/>
    <w:semiHidden/>
    <w:qFormat/>
    <w:uiPriority w:val="0"/>
    <w:rPr>
      <w:rFonts w:ascii="Tahoma" w:hAnsi="Tahoma" w:eastAsia="宋体"/>
      <w:kern w:val="2"/>
      <w:sz w:val="18"/>
      <w:szCs w:val="18"/>
      <w:lang w:val="en-US" w:eastAsia="zh-CN" w:bidi="ar-SA"/>
    </w:rPr>
  </w:style>
  <w:style w:type="character" w:customStyle="1" w:styleId="51">
    <w:name w:val="普通文字 Char2"/>
    <w:qFormat/>
    <w:uiPriority w:val="0"/>
    <w:rPr>
      <w:rFonts w:ascii="宋体" w:hAnsi="Courier New" w:eastAsia="楷体_GB2312"/>
      <w:snapToGrid w:val="0"/>
      <w:color w:val="000000"/>
      <w:sz w:val="32"/>
      <w:szCs w:val="21"/>
      <w:lang w:val="en-US" w:eastAsia="zh-CN" w:bidi="ar-SA"/>
    </w:rPr>
  </w:style>
  <w:style w:type="character" w:customStyle="1" w:styleId="52">
    <w:name w:val="Char Char4"/>
    <w:qFormat/>
    <w:uiPriority w:val="0"/>
    <w:rPr>
      <w:rFonts w:ascii="Tahoma" w:hAnsi="Tahoma" w:eastAsia="宋体"/>
      <w:kern w:val="2"/>
      <w:sz w:val="18"/>
      <w:szCs w:val="18"/>
      <w:lang w:val="en-US" w:eastAsia="zh-CN" w:bidi="ar-SA"/>
    </w:rPr>
  </w:style>
  <w:style w:type="character" w:customStyle="1" w:styleId="53">
    <w:name w:val="font51"/>
    <w:qFormat/>
    <w:uiPriority w:val="0"/>
    <w:rPr>
      <w:rFonts w:hint="eastAsia" w:ascii="宋体" w:hAnsi="宋体" w:eastAsia="宋体" w:cs="宋体"/>
      <w:color w:val="000000"/>
      <w:sz w:val="21"/>
      <w:szCs w:val="21"/>
      <w:u w:val="none"/>
    </w:rPr>
  </w:style>
  <w:style w:type="character" w:customStyle="1" w:styleId="54">
    <w:name w:val="Char Char1"/>
    <w:semiHidden/>
    <w:qFormat/>
    <w:uiPriority w:val="0"/>
    <w:rPr>
      <w:rFonts w:ascii="Tahoma" w:hAnsi="Tahoma" w:eastAsia="宋体"/>
      <w:kern w:val="2"/>
      <w:sz w:val="28"/>
      <w:lang w:val="en-US" w:eastAsia="zh-CN" w:bidi="ar-SA"/>
    </w:rPr>
  </w:style>
  <w:style w:type="character" w:customStyle="1" w:styleId="55">
    <w:name w:val="profont1"/>
    <w:qFormat/>
    <w:uiPriority w:val="0"/>
    <w:rPr>
      <w:rFonts w:hint="default" w:ascii="Verdana" w:hAnsi="Verdana"/>
      <w:b/>
      <w:bCs/>
      <w:color w:val="333333"/>
      <w:sz w:val="24"/>
      <w:szCs w:val="24"/>
      <w:u w:val="none"/>
    </w:rPr>
  </w:style>
  <w:style w:type="character" w:customStyle="1" w:styleId="56">
    <w:name w:val="Char Char5"/>
    <w:qFormat/>
    <w:uiPriority w:val="0"/>
    <w:rPr>
      <w:rFonts w:ascii="Tahoma" w:hAnsi="Tahoma" w:eastAsia="宋体"/>
      <w:kern w:val="2"/>
      <w:sz w:val="18"/>
      <w:szCs w:val="18"/>
      <w:lang w:val="en-US" w:eastAsia="zh-CN" w:bidi="ar-SA"/>
    </w:rPr>
  </w:style>
  <w:style w:type="character" w:customStyle="1" w:styleId="57">
    <w:name w:val="标题 1.1 Char1"/>
    <w:qFormat/>
    <w:uiPriority w:val="0"/>
    <w:rPr>
      <w:rFonts w:ascii="Arial" w:hAnsi="Arial" w:eastAsia="黑体"/>
      <w:b/>
      <w:bCs/>
      <w:kern w:val="2"/>
      <w:sz w:val="32"/>
      <w:szCs w:val="32"/>
      <w:lang w:val="en-US" w:eastAsia="zh-CN" w:bidi="ar-SA"/>
    </w:rPr>
  </w:style>
  <w:style w:type="character" w:customStyle="1" w:styleId="58">
    <w:name w:val="font01"/>
    <w:qFormat/>
    <w:uiPriority w:val="0"/>
    <w:rPr>
      <w:rFonts w:hint="eastAsia" w:ascii="宋体" w:hAnsi="宋体" w:eastAsia="宋体" w:cs="宋体"/>
      <w:color w:val="000000"/>
      <w:sz w:val="24"/>
      <w:szCs w:val="24"/>
      <w:u w:val="none"/>
    </w:rPr>
  </w:style>
  <w:style w:type="character" w:customStyle="1" w:styleId="59">
    <w:name w:val="font11"/>
    <w:qFormat/>
    <w:uiPriority w:val="0"/>
    <w:rPr>
      <w:rFonts w:hint="eastAsia" w:ascii="宋体" w:hAnsi="宋体" w:eastAsia="宋体" w:cs="宋体"/>
      <w:b/>
      <w:color w:val="000000"/>
      <w:sz w:val="24"/>
      <w:szCs w:val="24"/>
      <w:u w:val="none"/>
    </w:rPr>
  </w:style>
  <w:style w:type="character" w:customStyle="1" w:styleId="60">
    <w:name w:val="Char Char"/>
    <w:qFormat/>
    <w:uiPriority w:val="0"/>
    <w:rPr>
      <w:rFonts w:ascii="Tahoma" w:hAnsi="Tahoma"/>
      <w:kern w:val="2"/>
      <w:sz w:val="21"/>
      <w:szCs w:val="24"/>
    </w:rPr>
  </w:style>
  <w:style w:type="character" w:customStyle="1" w:styleId="61">
    <w:name w:val="style111"/>
    <w:qFormat/>
    <w:uiPriority w:val="0"/>
    <w:rPr>
      <w:rFonts w:ascii="Tahoma" w:hAnsi="Tahoma"/>
      <w:sz w:val="22"/>
      <w:szCs w:val="22"/>
    </w:rPr>
  </w:style>
  <w:style w:type="character" w:customStyle="1" w:styleId="62">
    <w:name w:val="displayarti"/>
    <w:basedOn w:val="29"/>
    <w:qFormat/>
    <w:uiPriority w:val="0"/>
    <w:rPr>
      <w:color w:val="FFFFFF"/>
      <w:shd w:val="clear" w:color="auto" w:fill="A00000"/>
    </w:rPr>
  </w:style>
  <w:style w:type="character" w:customStyle="1" w:styleId="63">
    <w:name w:val="Char Char7"/>
    <w:qFormat/>
    <w:uiPriority w:val="0"/>
    <w:rPr>
      <w:rFonts w:ascii="Tahoma" w:hAnsi="Tahoma" w:eastAsia="宋体"/>
      <w:b/>
      <w:bCs/>
      <w:kern w:val="44"/>
      <w:sz w:val="44"/>
      <w:szCs w:val="44"/>
      <w:lang w:val="en-US" w:eastAsia="zh-CN" w:bidi="ar-SA"/>
    </w:rPr>
  </w:style>
  <w:style w:type="character" w:customStyle="1" w:styleId="64">
    <w:name w:val="font31"/>
    <w:qFormat/>
    <w:uiPriority w:val="0"/>
    <w:rPr>
      <w:rFonts w:hint="eastAsia" w:ascii="宋体" w:hAnsi="宋体" w:eastAsia="宋体" w:cs="宋体"/>
      <w:color w:val="000000"/>
      <w:sz w:val="21"/>
      <w:szCs w:val="21"/>
      <w:u w:val="none"/>
    </w:rPr>
  </w:style>
  <w:style w:type="character" w:customStyle="1" w:styleId="65">
    <w:name w:val="Char Char2"/>
    <w:qFormat/>
    <w:uiPriority w:val="0"/>
    <w:rPr>
      <w:rFonts w:ascii="华文仿宋" w:hAnsi="华文仿宋" w:eastAsia="华文仿宋"/>
      <w:color w:val="000000"/>
      <w:sz w:val="32"/>
      <w:szCs w:val="32"/>
      <w:lang w:val="en-US" w:eastAsia="zh-CN" w:bidi="ar-SA"/>
    </w:rPr>
  </w:style>
  <w:style w:type="character" w:customStyle="1" w:styleId="66">
    <w:name w:val="style51"/>
    <w:qFormat/>
    <w:uiPriority w:val="0"/>
    <w:rPr>
      <w:rFonts w:ascii="Tahoma" w:hAnsi="Tahoma"/>
      <w:b/>
      <w:bCs/>
      <w:color w:val="814107"/>
      <w:sz w:val="21"/>
      <w:szCs w:val="21"/>
    </w:rPr>
  </w:style>
  <w:style w:type="character" w:customStyle="1" w:styleId="67">
    <w:name w:val="页脚 Char"/>
    <w:link w:val="19"/>
    <w:qFormat/>
    <w:uiPriority w:val="99"/>
    <w:rPr>
      <w:rFonts w:ascii="Tahoma" w:hAnsi="Tahoma"/>
      <w:kern w:val="2"/>
      <w:sz w:val="18"/>
      <w:szCs w:val="18"/>
    </w:rPr>
  </w:style>
  <w:style w:type="character" w:customStyle="1" w:styleId="68">
    <w:name w:val="标题 1.1 Char"/>
    <w:qFormat/>
    <w:uiPriority w:val="0"/>
    <w:rPr>
      <w:rFonts w:ascii="仿宋_GB2312" w:hAnsi="Arial" w:eastAsia="仿宋_GB2312" w:cs="Arial"/>
      <w:b/>
      <w:bCs/>
      <w:kern w:val="2"/>
      <w:sz w:val="24"/>
      <w:szCs w:val="24"/>
      <w:lang w:val="en-US" w:eastAsia="zh-CN" w:bidi="ar-SA"/>
    </w:rPr>
  </w:style>
  <w:style w:type="character" w:customStyle="1" w:styleId="69">
    <w:name w:val="普通文字 Char1"/>
    <w:qFormat/>
    <w:uiPriority w:val="0"/>
    <w:rPr>
      <w:rFonts w:ascii="宋体" w:hAnsi="Courier New" w:eastAsia="宋体"/>
      <w:kern w:val="2"/>
      <w:sz w:val="21"/>
      <w:szCs w:val="21"/>
      <w:lang w:val="en-US" w:eastAsia="zh-CN" w:bidi="ar-SA"/>
    </w:rPr>
  </w:style>
  <w:style w:type="character" w:customStyle="1" w:styleId="70">
    <w:name w:val="font41"/>
    <w:qFormat/>
    <w:uiPriority w:val="0"/>
    <w:rPr>
      <w:rFonts w:ascii="font-weight : 400" w:hAnsi="font-weight : 400" w:eastAsia="font-weight : 400" w:cs="font-weight : 400"/>
      <w:color w:val="000000"/>
      <w:sz w:val="21"/>
      <w:szCs w:val="21"/>
      <w:u w:val="none"/>
    </w:rPr>
  </w:style>
  <w:style w:type="character" w:customStyle="1" w:styleId="71">
    <w:name w:val="批注主题 Char"/>
    <w:link w:val="26"/>
    <w:qFormat/>
    <w:uiPriority w:val="0"/>
    <w:rPr>
      <w:rFonts w:ascii="Tahoma" w:hAnsi="Tahoma"/>
      <w:b/>
      <w:bCs/>
      <w:kern w:val="2"/>
      <w:sz w:val="21"/>
      <w:szCs w:val="24"/>
    </w:rPr>
  </w:style>
  <w:style w:type="character" w:customStyle="1" w:styleId="72">
    <w:name w:val="redfilefwwh"/>
    <w:basedOn w:val="29"/>
    <w:qFormat/>
    <w:uiPriority w:val="0"/>
    <w:rPr>
      <w:color w:val="BA2636"/>
      <w:sz w:val="18"/>
      <w:szCs w:val="18"/>
    </w:rPr>
  </w:style>
  <w:style w:type="character" w:customStyle="1" w:styleId="73">
    <w:name w:val="批注文字 Char"/>
    <w:link w:val="9"/>
    <w:semiHidden/>
    <w:qFormat/>
    <w:uiPriority w:val="99"/>
    <w:rPr>
      <w:rFonts w:ascii="Tahoma" w:hAnsi="Tahoma"/>
      <w:kern w:val="2"/>
      <w:sz w:val="21"/>
      <w:szCs w:val="24"/>
    </w:rPr>
  </w:style>
  <w:style w:type="character" w:customStyle="1" w:styleId="74">
    <w:name w:val="redfilenumber"/>
    <w:basedOn w:val="29"/>
    <w:qFormat/>
    <w:uiPriority w:val="0"/>
    <w:rPr>
      <w:color w:val="BA2636"/>
      <w:sz w:val="18"/>
      <w:szCs w:val="18"/>
    </w:rPr>
  </w:style>
  <w:style w:type="paragraph" w:customStyle="1" w:styleId="75">
    <w:name w:val="Char1 Char Char Char"/>
    <w:basedOn w:val="1"/>
    <w:qFormat/>
    <w:uiPriority w:val="0"/>
    <w:pPr>
      <w:adjustRightInd w:val="0"/>
      <w:spacing w:line="360" w:lineRule="auto"/>
    </w:pPr>
    <w:rPr>
      <w:kern w:val="0"/>
      <w:sz w:val="24"/>
      <w:szCs w:val="20"/>
    </w:rPr>
  </w:style>
  <w:style w:type="paragraph" w:customStyle="1" w:styleId="76">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7">
    <w:name w:val="_Style 2"/>
    <w:basedOn w:val="1"/>
    <w:qFormat/>
    <w:uiPriority w:val="34"/>
    <w:pPr>
      <w:ind w:firstLine="420" w:firstLineChars="200"/>
    </w:pPr>
  </w:style>
  <w:style w:type="paragraph" w:customStyle="1" w:styleId="78">
    <w:name w:val="Char Char Char Char Char Char"/>
    <w:basedOn w:val="1"/>
    <w:qFormat/>
    <w:uiPriority w:val="0"/>
    <w:rPr>
      <w:rFonts w:ascii="Tahoma" w:hAnsi="Tahoma"/>
      <w:sz w:val="24"/>
    </w:rPr>
  </w:style>
  <w:style w:type="paragraph" w:customStyle="1" w:styleId="79">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80">
    <w:name w:val="Char Char Char"/>
    <w:basedOn w:val="1"/>
    <w:qFormat/>
    <w:uiPriority w:val="0"/>
    <w:rPr>
      <w:rFonts w:ascii="Tahoma" w:hAnsi="Tahoma"/>
      <w:sz w:val="24"/>
      <w:szCs w:val="20"/>
    </w:rPr>
  </w:style>
  <w:style w:type="paragraph" w:customStyle="1" w:styleId="81">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82">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83">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4">
    <w:name w:val="二级条标题"/>
    <w:basedOn w:val="85"/>
    <w:next w:val="1"/>
    <w:qFormat/>
    <w:uiPriority w:val="0"/>
    <w:pPr>
      <w:numPr>
        <w:ilvl w:val="3"/>
      </w:numPr>
      <w:outlineLvl w:val="3"/>
    </w:pPr>
  </w:style>
  <w:style w:type="paragraph" w:customStyle="1" w:styleId="85">
    <w:name w:val="一级条标题"/>
    <w:basedOn w:val="79"/>
    <w:next w:val="1"/>
    <w:qFormat/>
    <w:uiPriority w:val="0"/>
    <w:pPr>
      <w:numPr>
        <w:ilvl w:val="2"/>
      </w:numPr>
      <w:spacing w:beforeLines="0" w:afterLines="0"/>
      <w:outlineLvl w:val="2"/>
    </w:pPr>
  </w:style>
  <w:style w:type="paragraph" w:customStyle="1" w:styleId="86">
    <w:name w:val="Char Char Char1"/>
    <w:basedOn w:val="1"/>
    <w:qFormat/>
    <w:uiPriority w:val="0"/>
    <w:rPr>
      <w:rFonts w:ascii="Tahoma" w:hAnsi="Tahoma"/>
      <w:sz w:val="24"/>
      <w:szCs w:val="20"/>
    </w:rPr>
  </w:style>
  <w:style w:type="paragraph" w:customStyle="1" w:styleId="87">
    <w:name w:val="样式5"/>
    <w:basedOn w:val="88"/>
    <w:qFormat/>
    <w:uiPriority w:val="0"/>
    <w:pPr>
      <w:numPr>
        <w:ilvl w:val="3"/>
      </w:numPr>
      <w:tabs>
        <w:tab w:val="left" w:pos="432"/>
      </w:tabs>
      <w:spacing w:before="156"/>
    </w:pPr>
  </w:style>
  <w:style w:type="paragraph" w:customStyle="1" w:styleId="88">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9">
    <w:name w:val="Char"/>
    <w:basedOn w:val="1"/>
    <w:qFormat/>
    <w:uiPriority w:val="0"/>
    <w:pPr>
      <w:adjustRightInd w:val="0"/>
      <w:spacing w:line="360" w:lineRule="auto"/>
    </w:pPr>
    <w:rPr>
      <w:kern w:val="0"/>
      <w:sz w:val="24"/>
      <w:szCs w:val="20"/>
    </w:rPr>
  </w:style>
  <w:style w:type="paragraph" w:customStyle="1" w:styleId="90">
    <w:name w:val="Char1"/>
    <w:basedOn w:val="1"/>
    <w:qFormat/>
    <w:uiPriority w:val="0"/>
    <w:pPr>
      <w:adjustRightInd w:val="0"/>
      <w:spacing w:line="360" w:lineRule="auto"/>
    </w:pPr>
    <w:rPr>
      <w:kern w:val="0"/>
      <w:sz w:val="24"/>
      <w:szCs w:val="20"/>
    </w:rPr>
  </w:style>
  <w:style w:type="paragraph" w:customStyle="1" w:styleId="91">
    <w:name w:val="三级条标题"/>
    <w:basedOn w:val="84"/>
    <w:next w:val="1"/>
    <w:qFormat/>
    <w:uiPriority w:val="0"/>
    <w:pPr>
      <w:numPr>
        <w:ilvl w:val="4"/>
      </w:numPr>
      <w:outlineLvl w:val="4"/>
    </w:pPr>
  </w:style>
  <w:style w:type="paragraph" w:customStyle="1" w:styleId="92">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3">
    <w:name w:val="Char Char Char Char Char Char Char"/>
    <w:basedOn w:val="1"/>
    <w:qFormat/>
    <w:uiPriority w:val="0"/>
    <w:rPr>
      <w:rFonts w:ascii="Tahoma" w:hAnsi="Tahoma" w:cs="Arial"/>
      <w:szCs w:val="21"/>
    </w:rPr>
  </w:style>
  <w:style w:type="paragraph" w:customStyle="1" w:styleId="94">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5">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6">
    <w:name w:val="五级条标题"/>
    <w:basedOn w:val="97"/>
    <w:next w:val="1"/>
    <w:qFormat/>
    <w:uiPriority w:val="0"/>
    <w:pPr>
      <w:numPr>
        <w:ilvl w:val="6"/>
      </w:numPr>
      <w:outlineLvl w:val="6"/>
    </w:pPr>
  </w:style>
  <w:style w:type="paragraph" w:customStyle="1" w:styleId="97">
    <w:name w:val="四级条标题"/>
    <w:basedOn w:val="91"/>
    <w:next w:val="1"/>
    <w:qFormat/>
    <w:uiPriority w:val="0"/>
    <w:pPr>
      <w:numPr>
        <w:ilvl w:val="5"/>
      </w:numPr>
      <w:outlineLvl w:val="5"/>
    </w:pPr>
  </w:style>
  <w:style w:type="paragraph" w:customStyle="1" w:styleId="98">
    <w:name w:val="Normal Indent1"/>
    <w:basedOn w:val="1"/>
    <w:qFormat/>
    <w:uiPriority w:val="99"/>
    <w:pPr>
      <w:autoSpaceDE w:val="0"/>
      <w:autoSpaceDN w:val="0"/>
      <w:adjustRightInd w:val="0"/>
      <w:ind w:firstLine="420"/>
    </w:pPr>
    <w:rPr>
      <w:kern w:val="0"/>
      <w:szCs w:val="21"/>
    </w:rPr>
  </w:style>
  <w:style w:type="paragraph" w:customStyle="1" w:styleId="99">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100">
    <w:name w:val="样式6"/>
    <w:basedOn w:val="88"/>
    <w:qFormat/>
    <w:uiPriority w:val="0"/>
    <w:pPr>
      <w:numPr>
        <w:ilvl w:val="2"/>
      </w:numPr>
      <w:tabs>
        <w:tab w:val="clear" w:pos="432"/>
      </w:tabs>
      <w:spacing w:before="156"/>
      <w:outlineLvl w:val="4"/>
    </w:pPr>
    <w:rPr>
      <w:rFonts w:ascii="MS Shell Dlg" w:hAnsi="MS Shell Dlg"/>
    </w:rPr>
  </w:style>
  <w:style w:type="paragraph" w:customStyle="1" w:styleId="101">
    <w:name w:val="列出段落1"/>
    <w:basedOn w:val="1"/>
    <w:qFormat/>
    <w:uiPriority w:val="0"/>
    <w:pPr>
      <w:ind w:firstLine="420" w:firstLineChars="200"/>
    </w:pPr>
    <w:rPr>
      <w:rFonts w:ascii="Calibri" w:hAnsi="Calibri"/>
      <w:kern w:val="0"/>
      <w:sz w:val="20"/>
      <w:szCs w:val="20"/>
    </w:rPr>
  </w:style>
  <w:style w:type="paragraph" w:customStyle="1" w:styleId="10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3">
    <w:name w:val="Table Paragraph"/>
    <w:basedOn w:val="1"/>
    <w:unhideWhenUsed/>
    <w:qFormat/>
    <w:uiPriority w:val="1"/>
    <w:rPr>
      <w:rFonts w:hint="eastAsia"/>
      <w:sz w:val="24"/>
    </w:rPr>
  </w:style>
  <w:style w:type="paragraph" w:customStyle="1" w:styleId="104">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5">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6">
    <w:name w:val="标题 2 Char1"/>
    <w:link w:val="4"/>
    <w:qFormat/>
    <w:uiPriority w:val="0"/>
    <w:rPr>
      <w:rFonts w:ascii="Arial" w:hAnsi="Arial" w:eastAsia="黑体"/>
      <w:b/>
      <w:bCs/>
      <w:sz w:val="32"/>
      <w:szCs w:val="32"/>
    </w:rPr>
  </w:style>
  <w:style w:type="paragraph" w:customStyle="1" w:styleId="107">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8">
    <w:name w:val="正文文字缩进"/>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character" w:customStyle="1" w:styleId="109">
    <w:name w:val="layui-laypage-curr"/>
    <w:basedOn w:val="29"/>
    <w:qFormat/>
    <w:uiPriority w:val="0"/>
  </w:style>
  <w:style w:type="character" w:customStyle="1" w:styleId="110">
    <w:name w:val="label"/>
    <w:basedOn w:val="29"/>
    <w:qFormat/>
    <w:uiPriority w:val="0"/>
    <w:rPr>
      <w:color w:val="999999"/>
    </w:rPr>
  </w:style>
  <w:style w:type="character" w:customStyle="1" w:styleId="111">
    <w:name w:val="hover9"/>
    <w:basedOn w:val="29"/>
    <w:qFormat/>
    <w:uiPriority w:val="0"/>
  </w:style>
  <w:style w:type="character" w:customStyle="1" w:styleId="112">
    <w:name w:val="hover10"/>
    <w:basedOn w:val="29"/>
    <w:qFormat/>
    <w:uiPriority w:val="0"/>
  </w:style>
  <w:style w:type="character" w:customStyle="1" w:styleId="113">
    <w:name w:val="time"/>
    <w:basedOn w:val="29"/>
    <w:qFormat/>
    <w:uiPriority w:val="0"/>
    <w:rPr>
      <w:color w:val="484848"/>
    </w:rPr>
  </w:style>
  <w:style w:type="paragraph" w:customStyle="1" w:styleId="114">
    <w:name w:val="正常"/>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115">
    <w:name w:val="font21"/>
    <w:qFormat/>
    <w:uiPriority w:val="0"/>
    <w:rPr>
      <w:rFonts w:hint="eastAsia" w:ascii="宋体" w:hAnsi="宋体" w:eastAsia="宋体"/>
      <w:color w:val="000000"/>
      <w:sz w:val="28"/>
      <w:szCs w:val="28"/>
      <w:u w:val="none"/>
    </w:rPr>
  </w:style>
  <w:style w:type="paragraph" w:customStyle="1" w:styleId="116">
    <w:name w:val="_Style 3"/>
    <w:basedOn w:val="1"/>
    <w:next w:val="1"/>
    <w:qFormat/>
    <w:uiPriority w:val="99"/>
    <w:pPr>
      <w:spacing w:line="360" w:lineRule="auto"/>
      <w:ind w:firstLine="420" w:firstLineChars="200"/>
    </w:pPr>
    <w:rPr>
      <w:sz w:val="24"/>
    </w:rPr>
  </w:style>
  <w:style w:type="character" w:customStyle="1" w:styleId="117">
    <w:name w:val="font71"/>
    <w:qFormat/>
    <w:uiPriority w:val="0"/>
    <w:rPr>
      <w:rFonts w:hint="eastAsia" w:ascii="宋体" w:hAnsi="宋体" w:eastAsia="宋体"/>
      <w:color w:val="000000"/>
      <w:sz w:val="28"/>
      <w:szCs w:val="28"/>
      <w:u w:val="none"/>
    </w:rPr>
  </w:style>
  <w:style w:type="character" w:customStyle="1" w:styleId="118">
    <w:name w:val="font61"/>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002FB0-14F6-4B7F-8058-7FD27511A05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114</Pages>
  <Words>61904</Words>
  <Characters>68196</Characters>
  <Lines>606</Lines>
  <Paragraphs>170</Paragraphs>
  <TotalTime>21</TotalTime>
  <ScaleCrop>false</ScaleCrop>
  <LinksUpToDate>false</LinksUpToDate>
  <CharactersWithSpaces>75722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2023-06-14T10:01:00Z</dcterms:created>
  <dc:creator>风之客</dc:creator>
  <cp:lastModifiedBy>ying</cp:lastModifiedBy>
  <cp:lastPrinted>2023-06-11T14:20:00Z</cp:lastPrinted>
  <dcterms:modified xsi:type="dcterms:W3CDTF">2023-06-19T13:03:58Z</dcterms:modified>
  <dc:title>湖 北  招 标</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0893775613E244AFB9EB63BD0AF6EFDD</vt:lpwstr>
  </property>
</Properties>
</file>