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clear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ind w:left="720" w:hanging="723" w:hangingChars="300"/>
        <w:textAlignment w:val="auto"/>
        <w:outlineLvl w:val="9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附件1：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clear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ind w:left="720" w:hanging="843" w:hangingChars="300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中小企业划型标准规定</w:t>
      </w:r>
      <w:bookmarkEnd w:id="0"/>
    </w:p>
    <w:tbl>
      <w:tblPr>
        <w:tblStyle w:val="5"/>
        <w:tblW w:w="1464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1"/>
        <w:gridCol w:w="1683"/>
        <w:gridCol w:w="1134"/>
        <w:gridCol w:w="1033"/>
        <w:gridCol w:w="1017"/>
        <w:gridCol w:w="1050"/>
        <w:gridCol w:w="1020"/>
        <w:gridCol w:w="1046"/>
        <w:gridCol w:w="950"/>
        <w:gridCol w:w="1000"/>
        <w:gridCol w:w="1084"/>
        <w:gridCol w:w="1016"/>
        <w:gridCol w:w="1034"/>
        <w:gridCol w:w="100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683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行业</w:t>
            </w:r>
          </w:p>
        </w:tc>
        <w:tc>
          <w:tcPr>
            <w:tcW w:w="3184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中小微型企业（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 w:bidi="ar"/>
              </w:rPr>
              <w:t>或</w:t>
            </w:r>
            <w:r>
              <w:rPr>
                <w:rStyle w:val="8"/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 w:bidi="ar"/>
              </w:rPr>
              <w:t>）</w:t>
            </w:r>
          </w:p>
        </w:tc>
        <w:tc>
          <w:tcPr>
            <w:tcW w:w="3116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中型企业（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 w:bidi="ar"/>
              </w:rPr>
              <w:t>且</w:t>
            </w:r>
            <w:r>
              <w:rPr>
                <w:rStyle w:val="8"/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 w:bidi="ar"/>
              </w:rPr>
              <w:t>）</w:t>
            </w:r>
          </w:p>
        </w:tc>
        <w:tc>
          <w:tcPr>
            <w:tcW w:w="3034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小型企业（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 w:bidi="ar"/>
              </w:rPr>
              <w:t>且</w:t>
            </w:r>
            <w:r>
              <w:rPr>
                <w:rStyle w:val="8"/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 w:bidi="ar"/>
              </w:rPr>
              <w:t>）</w:t>
            </w:r>
          </w:p>
        </w:tc>
        <w:tc>
          <w:tcPr>
            <w:tcW w:w="3050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微型企业（</w:t>
            </w:r>
            <w:r>
              <w:rPr>
                <w:rStyle w:val="7"/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 w:bidi="ar"/>
              </w:rPr>
              <w:t>或</w:t>
            </w:r>
            <w:r>
              <w:rPr>
                <w:rStyle w:val="8"/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 w:bidi="ar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right="29" w:rightChars="14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83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13" w:rightChars="6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从业人员</w:t>
            </w:r>
          </w:p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（人）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营业收入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6" w:rightChars="22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资产总额</w:t>
            </w:r>
          </w:p>
          <w:p>
            <w:pPr>
              <w:keepNext w:val="0"/>
              <w:keepLines w:val="0"/>
              <w:widowControl/>
              <w:suppressLineNumbers w:val="0"/>
              <w:ind w:left="59" w:leftChars="28" w:right="46" w:rightChars="22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从业人员</w:t>
            </w:r>
          </w:p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（人）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营业收入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6" w:rightChars="22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资产总额</w:t>
            </w:r>
          </w:p>
          <w:p>
            <w:pPr>
              <w:keepNext w:val="0"/>
              <w:keepLines w:val="0"/>
              <w:widowControl/>
              <w:suppressLineNumbers w:val="0"/>
              <w:ind w:left="59" w:leftChars="28" w:right="46" w:rightChars="22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从业人员</w:t>
            </w:r>
          </w:p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（人）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营业收入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6" w:rightChars="22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资产总额</w:t>
            </w:r>
          </w:p>
          <w:p>
            <w:pPr>
              <w:keepNext w:val="0"/>
              <w:keepLines w:val="0"/>
              <w:widowControl/>
              <w:suppressLineNumbers w:val="0"/>
              <w:ind w:left="59" w:leftChars="28" w:right="46" w:rightChars="22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从业人员</w:t>
            </w:r>
          </w:p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（人）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营业收入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6" w:rightChars="22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资产总额</w:t>
            </w:r>
          </w:p>
          <w:p>
            <w:pPr>
              <w:keepNext w:val="0"/>
              <w:keepLines w:val="0"/>
              <w:widowControl/>
              <w:suppressLineNumbers w:val="0"/>
              <w:ind w:left="59" w:leftChars="28" w:right="46" w:rightChars="22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农、林、牧、渔业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40" w:leftChars="19" w:right="29" w:rightChars="14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0" w:rightChars="19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＜50万元以下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工业（包括采矿业，制造业，电力、热力、燃气及水生产和供应业）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＜40000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≥300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≥300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40" w:leftChars="19" w:right="29" w:rightChars="14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＜80000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6" w:rightChars="22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＜80000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0" w:rightChars="19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≥6000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≥5000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≥300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≥300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批发业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＜40000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＜5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零售业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交通运输业（不含铁路运输业）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≥300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≥3000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仓储业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邮政业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≥300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住宿业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餐饮业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信息传输业（包括电信、互联网和相关服务）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＜100下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软件和信息技术服务业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＜50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房地产开发经营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＜200000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＜10000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0" w:rightChars="19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≥5000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≥2000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＜2000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物业管理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31" w:rightChars="15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＜5000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≥300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9" w:leftChars="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≥500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＜500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租赁和商务服务业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right="31" w:rightChars="15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6" w:rightChars="22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＜120000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19" w:leftChars="9" w:right="29" w:rightChars="14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≥8000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5" w:hRule="atLeast"/>
        </w:trPr>
        <w:tc>
          <w:tcPr>
            <w:tcW w:w="58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right="29" w:rightChars="14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13" w:rightChars="6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其他未列明行业（包括科学研究和技术服务业，水利、环境和公共设施管理业，居民服务、修理和其他服务业，社会工作，文化、体育和娱乐业等）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0" w:leftChars="19" w:right="29" w:rightChars="14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＜300人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right="31" w:rightChars="15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59" w:leftChars="28" w:right="46" w:rightChars="22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59" w:leftChars="28" w:right="40" w:rightChars="19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left="19" w:leftChars="9" w:right="29" w:rightChars="14" w:firstLine="0" w:firstLineChars="0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≥10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＜10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clear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ind w:left="720" w:hanging="720" w:hangingChars="300"/>
        <w:textAlignment w:val="auto"/>
        <w:outlineLvl w:val="9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1051C0"/>
    <w:rsid w:val="3F10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3">
    <w:name w:val="footer"/>
    <w:basedOn w:val="1"/>
    <w:uiPriority w:val="99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font01"/>
    <w:basedOn w:val="6"/>
    <w:uiPriority w:val="0"/>
    <w:rPr>
      <w:rFonts w:hint="eastAsia" w:ascii="宋体" w:hAnsi="宋体" w:eastAsia="宋体" w:cs="宋体"/>
      <w:b/>
      <w:color w:val="FF0000"/>
      <w:sz w:val="16"/>
      <w:szCs w:val="16"/>
      <w:u w:val="none"/>
    </w:rPr>
  </w:style>
  <w:style w:type="character" w:customStyle="1" w:styleId="8">
    <w:name w:val="font11"/>
    <w:basedOn w:val="6"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2021-03-10T01:41:00Z</dcterms:created>
  <dc:creator>Whisky</dc:creator>
  <cp:lastModifiedBy>Whisky</cp:lastModifiedBy>
  <dcterms:modified xsi:type="dcterms:W3CDTF">2021-03-10T01:42:11Z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