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D640E">
      <w:pPr>
        <w:spacing w:line="360" w:lineRule="auto"/>
        <w:rPr>
          <w:rFonts w:ascii="宋体" w:hAnsi="宋体" w:cs="宋体"/>
          <w:b/>
          <w:bCs/>
          <w:sz w:val="32"/>
          <w:szCs w:val="32"/>
        </w:rPr>
      </w:pPr>
      <w:r>
        <w:rPr>
          <w:rFonts w:hint="eastAsia" w:ascii="宋体" w:hAnsi="宋体" w:cs="宋体"/>
          <w:b/>
          <w:bCs/>
          <w:sz w:val="32"/>
          <w:szCs w:val="32"/>
        </w:rPr>
        <w:drawing>
          <wp:anchor distT="0" distB="0" distL="114300" distR="114300" simplePos="0" relativeHeight="251660288" behindDoc="0" locked="0" layoutInCell="1" allowOverlap="1">
            <wp:simplePos x="0" y="0"/>
            <wp:positionH relativeFrom="column">
              <wp:posOffset>0</wp:posOffset>
            </wp:positionH>
            <wp:positionV relativeFrom="paragraph">
              <wp:posOffset>10795</wp:posOffset>
            </wp:positionV>
            <wp:extent cx="493395" cy="544195"/>
            <wp:effectExtent l="0" t="0" r="1905"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cstate="print"/>
                    <a:stretch>
                      <a:fillRect/>
                    </a:stretch>
                  </pic:blipFill>
                  <pic:spPr>
                    <a:xfrm>
                      <a:off x="0" y="0"/>
                      <a:ext cx="493395" cy="544195"/>
                    </a:xfrm>
                    <a:prstGeom prst="rect">
                      <a:avLst/>
                    </a:prstGeom>
                    <a:noFill/>
                    <a:ln>
                      <a:noFill/>
                    </a:ln>
                  </pic:spPr>
                </pic:pic>
              </a:graphicData>
            </a:graphic>
          </wp:anchor>
        </w:drawing>
      </w:r>
      <w:r>
        <w:rPr>
          <w:rFonts w:hint="eastAsia" w:ascii="宋体" w:hAnsi="宋体" w:cs="宋体"/>
          <w:b/>
          <w:bCs/>
          <w:sz w:val="32"/>
          <w:szCs w:val="32"/>
        </w:rPr>
        <w:t>湖北世发招标有限公司</w:t>
      </w:r>
    </w:p>
    <w:p w14:paraId="00FC0F0D">
      <w:pPr>
        <w:spacing w:line="360" w:lineRule="auto"/>
        <w:rPr>
          <w:rFonts w:ascii="宋体" w:hAnsi="宋体" w:cs="宋体"/>
          <w:b/>
          <w:bCs/>
          <w:sz w:val="32"/>
          <w:szCs w:val="32"/>
        </w:rPr>
      </w:pPr>
      <w:r>
        <w:rPr>
          <w:rFonts w:hint="eastAsia" w:ascii="宋体" w:hAnsi="宋体" w:cs="宋体"/>
          <w:b/>
          <w:bCs/>
          <w:sz w:val="32"/>
          <w:szCs w:val="32"/>
        </w:rPr>
        <w:t>Hubei shifa Bidding Co.,Ltd.</w:t>
      </w:r>
    </w:p>
    <w:p w14:paraId="424A218F">
      <w:pPr>
        <w:spacing w:line="360" w:lineRule="auto"/>
        <w:jc w:val="center"/>
        <w:rPr>
          <w:rFonts w:ascii="宋体" w:hAnsi="宋体" w:cs="宋体"/>
          <w:sz w:val="24"/>
          <w:szCs w:val="24"/>
        </w:rPr>
      </w:pPr>
    </w:p>
    <w:p w14:paraId="5ED2135A">
      <w:pPr>
        <w:spacing w:line="360" w:lineRule="auto"/>
        <w:jc w:val="center"/>
        <w:rPr>
          <w:rFonts w:ascii="宋体" w:hAnsi="宋体" w:cs="宋体"/>
          <w:b/>
          <w:sz w:val="24"/>
          <w:szCs w:val="24"/>
        </w:rPr>
      </w:pPr>
    </w:p>
    <w:p w14:paraId="748E158A">
      <w:pPr>
        <w:spacing w:line="360" w:lineRule="auto"/>
        <w:jc w:val="center"/>
        <w:rPr>
          <w:rFonts w:hint="eastAsia" w:ascii="宋体" w:hAnsi="宋体" w:cs="宋体"/>
          <w:b/>
          <w:sz w:val="72"/>
          <w:szCs w:val="72"/>
        </w:rPr>
      </w:pPr>
    </w:p>
    <w:p w14:paraId="75F4AD29">
      <w:pPr>
        <w:spacing w:line="360" w:lineRule="auto"/>
        <w:jc w:val="center"/>
        <w:rPr>
          <w:rFonts w:ascii="宋体" w:hAnsi="宋体" w:cs="宋体"/>
          <w:b/>
          <w:sz w:val="72"/>
          <w:szCs w:val="72"/>
        </w:rPr>
      </w:pPr>
      <w:r>
        <w:rPr>
          <w:rFonts w:hint="eastAsia" w:ascii="宋体" w:hAnsi="宋体" w:cs="宋体"/>
          <w:b/>
          <w:sz w:val="72"/>
          <w:szCs w:val="72"/>
        </w:rPr>
        <w:t>竞争性磋商文件</w:t>
      </w:r>
    </w:p>
    <w:p w14:paraId="335DD036">
      <w:pPr>
        <w:spacing w:line="360" w:lineRule="auto"/>
        <w:rPr>
          <w:rFonts w:ascii="宋体" w:hAnsi="宋体" w:cs="宋体"/>
          <w:sz w:val="24"/>
          <w:szCs w:val="24"/>
        </w:rPr>
      </w:pPr>
    </w:p>
    <w:p w14:paraId="6525C9B6">
      <w:pPr>
        <w:spacing w:line="360" w:lineRule="auto"/>
        <w:rPr>
          <w:rFonts w:ascii="宋体" w:hAnsi="宋体" w:cs="宋体"/>
          <w:sz w:val="24"/>
          <w:szCs w:val="24"/>
        </w:rPr>
      </w:pPr>
    </w:p>
    <w:p w14:paraId="1DD8491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eastAsia="宋体" w:cs="宋体"/>
          <w:b/>
          <w:bCs/>
          <w:sz w:val="28"/>
          <w:szCs w:val="28"/>
          <w:lang w:eastAsia="zh-CN"/>
        </w:rPr>
      </w:pPr>
      <w:r>
        <w:rPr>
          <w:rFonts w:hint="eastAsia" w:ascii="宋体" w:hAnsi="宋体" w:cs="宋体"/>
          <w:b/>
          <w:bCs/>
          <w:sz w:val="28"/>
          <w:szCs w:val="28"/>
        </w:rPr>
        <w:t>项目编号：</w:t>
      </w:r>
      <w:r>
        <w:rPr>
          <w:rFonts w:hint="eastAsia" w:ascii="宋体" w:hAnsi="宋体" w:cs="宋体"/>
          <w:b/>
          <w:bCs/>
          <w:sz w:val="28"/>
          <w:szCs w:val="28"/>
          <w:u w:val="single"/>
          <w:lang w:eastAsia="zh-CN"/>
        </w:rPr>
        <w:t>HGDXW25-042/HBSF-GN-25061616</w:t>
      </w:r>
    </w:p>
    <w:p w14:paraId="74B6DB6E">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eastAsia="宋体" w:cs="宋体"/>
          <w:b/>
          <w:bCs/>
          <w:spacing w:val="-11"/>
          <w:sz w:val="28"/>
          <w:szCs w:val="28"/>
          <w:u w:val="single"/>
          <w:lang w:eastAsia="zh-CN"/>
        </w:rPr>
      </w:pPr>
      <w:r>
        <w:rPr>
          <w:rFonts w:hint="eastAsia" w:ascii="宋体" w:hAnsi="宋体" w:cs="宋体"/>
          <w:b/>
          <w:bCs/>
          <w:sz w:val="28"/>
          <w:szCs w:val="28"/>
        </w:rPr>
        <w:t>项目名称：</w:t>
      </w:r>
      <w:r>
        <w:rPr>
          <w:rFonts w:hint="eastAsia" w:ascii="宋体" w:hAnsi="宋体" w:cs="宋体"/>
          <w:b/>
          <w:bCs/>
          <w:spacing w:val="-11"/>
          <w:sz w:val="28"/>
          <w:szCs w:val="28"/>
          <w:u w:val="single"/>
          <w:lang w:eastAsia="zh-CN"/>
        </w:rPr>
        <w:t>湖北工业大学站群管理服务拓展项目（第二次）</w:t>
      </w:r>
    </w:p>
    <w:p w14:paraId="786BDBA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cs="宋体"/>
          <w:b/>
          <w:bCs/>
          <w:spacing w:val="-11"/>
          <w:sz w:val="28"/>
          <w:szCs w:val="28"/>
          <w:u w:val="single"/>
        </w:rPr>
      </w:pPr>
      <w:r>
        <w:rPr>
          <w:rFonts w:hint="eastAsia" w:ascii="宋体" w:hAnsi="宋体" w:cs="宋体"/>
          <w:b/>
          <w:bCs/>
          <w:sz w:val="28"/>
          <w:szCs w:val="28"/>
        </w:rPr>
        <w:t>采购内容：</w:t>
      </w:r>
      <w:r>
        <w:rPr>
          <w:rFonts w:hint="eastAsia" w:ascii="宋体" w:hAnsi="宋体" w:cs="宋体"/>
          <w:b/>
          <w:bCs/>
          <w:spacing w:val="-11"/>
          <w:sz w:val="28"/>
          <w:szCs w:val="28"/>
          <w:u w:val="single"/>
        </w:rPr>
        <w:t>站群管理服务拓展</w:t>
      </w:r>
    </w:p>
    <w:p w14:paraId="1ABBB034">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ascii="宋体" w:hAnsi="宋体" w:cs="宋体"/>
          <w:sz w:val="28"/>
          <w:szCs w:val="28"/>
        </w:rPr>
      </w:pPr>
    </w:p>
    <w:p w14:paraId="52059163">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ascii="宋体" w:hAnsi="宋体" w:cs="宋体"/>
          <w:sz w:val="28"/>
          <w:szCs w:val="28"/>
        </w:rPr>
      </w:pPr>
    </w:p>
    <w:p w14:paraId="379B9889">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ascii="宋体" w:hAnsi="宋体" w:cs="宋体"/>
          <w:sz w:val="28"/>
          <w:szCs w:val="28"/>
        </w:rPr>
      </w:pPr>
    </w:p>
    <w:p w14:paraId="76010FE2">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hint="eastAsia" w:ascii="宋体" w:hAnsi="宋体" w:eastAsia="宋体" w:cs="宋体"/>
          <w:b/>
          <w:sz w:val="28"/>
          <w:szCs w:val="28"/>
          <w:lang w:eastAsia="zh-CN"/>
        </w:rPr>
      </w:pPr>
      <w:r>
        <w:rPr>
          <w:rFonts w:hint="eastAsia" w:ascii="宋体" w:hAnsi="宋体" w:cs="宋体"/>
          <w:b/>
          <w:sz w:val="28"/>
          <w:szCs w:val="28"/>
        </w:rPr>
        <w:t>采 购 人：</w:t>
      </w:r>
      <w:r>
        <w:rPr>
          <w:rFonts w:hint="eastAsia" w:ascii="宋体" w:hAnsi="宋体" w:cs="宋体"/>
          <w:b/>
          <w:sz w:val="28"/>
          <w:szCs w:val="28"/>
          <w:lang w:eastAsia="zh-CN"/>
        </w:rPr>
        <w:t>湖北工业大学</w:t>
      </w:r>
    </w:p>
    <w:p w14:paraId="7F90F2D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ascii="宋体" w:hAnsi="宋体" w:cs="宋体"/>
          <w:b/>
          <w:sz w:val="28"/>
          <w:szCs w:val="28"/>
        </w:rPr>
      </w:pPr>
      <w:r>
        <w:rPr>
          <w:rFonts w:hint="eastAsia" w:ascii="宋体" w:hAnsi="宋体" w:cs="宋体"/>
          <w:b/>
          <w:sz w:val="28"/>
          <w:szCs w:val="28"/>
        </w:rPr>
        <w:t>代理机构：湖北世发招标有限公司</w:t>
      </w:r>
    </w:p>
    <w:p w14:paraId="262A2554">
      <w:pPr>
        <w:keepNext w:val="0"/>
        <w:keepLines w:val="0"/>
        <w:pageBreakBefore w:val="0"/>
        <w:widowControl w:val="0"/>
        <w:kinsoku/>
        <w:wordWrap/>
        <w:overflowPunct/>
        <w:topLinePunct w:val="0"/>
        <w:autoSpaceDE/>
        <w:autoSpaceDN/>
        <w:bidi w:val="0"/>
        <w:adjustRightInd/>
        <w:snapToGrid/>
        <w:spacing w:line="360" w:lineRule="auto"/>
        <w:ind w:firstLine="1124" w:firstLineChars="400"/>
        <w:textAlignment w:val="auto"/>
        <w:rPr>
          <w:rFonts w:ascii="宋体" w:hAnsi="宋体" w:cs="宋体"/>
          <w:b/>
          <w:sz w:val="28"/>
          <w:szCs w:val="28"/>
        </w:rPr>
        <w:sectPr>
          <w:headerReference r:id="rId3" w:type="default"/>
          <w:footerReference r:id="rId4" w:type="default"/>
          <w:pgSz w:w="11906" w:h="16838"/>
          <w:pgMar w:top="1440" w:right="1080" w:bottom="1440" w:left="1080" w:header="851" w:footer="992" w:gutter="0"/>
          <w:cols w:space="720" w:num="1"/>
          <w:docGrid w:type="lines" w:linePitch="286" w:charSpace="0"/>
        </w:sectPr>
      </w:pPr>
      <w:r>
        <w:rPr>
          <w:rFonts w:hint="eastAsia" w:ascii="宋体" w:hAnsi="宋体" w:cs="宋体"/>
          <w:b/>
          <w:sz w:val="28"/>
          <w:szCs w:val="28"/>
        </w:rPr>
        <w:t>编制时间：二〇二</w:t>
      </w:r>
      <w:r>
        <w:rPr>
          <w:rFonts w:hint="eastAsia" w:ascii="宋体" w:hAnsi="宋体" w:cs="宋体"/>
          <w:b/>
          <w:sz w:val="28"/>
          <w:szCs w:val="28"/>
          <w:lang w:val="en-US" w:eastAsia="zh-CN"/>
        </w:rPr>
        <w:t>五</w:t>
      </w:r>
      <w:r>
        <w:rPr>
          <w:rFonts w:hint="eastAsia" w:ascii="宋体" w:hAnsi="宋体" w:cs="宋体"/>
          <w:b/>
          <w:sz w:val="28"/>
          <w:szCs w:val="28"/>
        </w:rPr>
        <w:t>年</w:t>
      </w:r>
      <w:r>
        <w:rPr>
          <w:rFonts w:hint="eastAsia" w:ascii="宋体" w:hAnsi="宋体" w:cs="宋体"/>
          <w:b/>
          <w:sz w:val="28"/>
          <w:szCs w:val="28"/>
          <w:lang w:val="en-US" w:eastAsia="zh-CN"/>
        </w:rPr>
        <w:t>七</w:t>
      </w:r>
      <w:r>
        <w:rPr>
          <w:rFonts w:hint="eastAsia" w:ascii="宋体" w:hAnsi="宋体" w:cs="宋体"/>
          <w:b/>
          <w:sz w:val="28"/>
          <w:szCs w:val="28"/>
        </w:rPr>
        <w:t>月</w:t>
      </w:r>
    </w:p>
    <w:p w14:paraId="6B059CA1">
      <w:pPr>
        <w:pStyle w:val="7"/>
        <w:spacing w:before="0" w:after="0" w:line="360" w:lineRule="auto"/>
        <w:rPr>
          <w:rFonts w:ascii="宋体" w:hAnsi="宋体" w:eastAsia="宋体" w:cs="宋体"/>
          <w:sz w:val="24"/>
          <w:szCs w:val="24"/>
        </w:rPr>
        <w:sectPr>
          <w:pgSz w:w="11906" w:h="16838"/>
          <w:pgMar w:top="1440" w:right="1080" w:bottom="1440" w:left="1080" w:header="851" w:footer="992" w:gutter="0"/>
          <w:cols w:space="720" w:num="1"/>
          <w:docGrid w:type="lines" w:linePitch="286" w:charSpace="0"/>
        </w:sectPr>
      </w:pPr>
    </w:p>
    <w:p w14:paraId="5E9E9C1B">
      <w:pPr>
        <w:pStyle w:val="20"/>
        <w:tabs>
          <w:tab w:val="right" w:leader="dot" w:pos="8948"/>
          <w:tab w:val="clear" w:pos="8940"/>
        </w:tabs>
        <w:spacing w:line="360" w:lineRule="auto"/>
        <w:rPr>
          <w:rFonts w:ascii="宋体" w:hAnsi="宋体" w:cs="宋体"/>
          <w:sz w:val="36"/>
          <w:szCs w:val="36"/>
        </w:rPr>
      </w:pPr>
      <w:r>
        <w:rPr>
          <w:rFonts w:hint="eastAsia" w:ascii="宋体" w:hAnsi="宋体" w:cs="宋体"/>
          <w:sz w:val="36"/>
          <w:szCs w:val="36"/>
        </w:rPr>
        <w:t>目  录</w:t>
      </w:r>
    </w:p>
    <w:p w14:paraId="45A173E7">
      <w:pPr>
        <w:pStyle w:val="20"/>
        <w:keepNext w:val="0"/>
        <w:keepLines w:val="0"/>
        <w:pageBreakBefore w:val="0"/>
        <w:widowControl w:val="0"/>
        <w:tabs>
          <w:tab w:val="right" w:leader="dot" w:pos="9746"/>
          <w:tab w:val="clear" w:pos="8940"/>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 TOC \o "1-2" \h \z \u </w:instrText>
      </w:r>
      <w:r>
        <w:rPr>
          <w:rFonts w:hint="eastAsia" w:ascii="宋体" w:hAnsi="宋体" w:cs="宋体"/>
          <w:b w:val="0"/>
          <w:bCs w:val="0"/>
          <w:sz w:val="24"/>
          <w:szCs w:val="24"/>
        </w:rPr>
        <w:fldChar w:fldCharType="separate"/>
      </w: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_Toc210 </w:instrText>
      </w:r>
      <w:r>
        <w:rPr>
          <w:rFonts w:hint="eastAsia" w:ascii="宋体" w:hAnsi="宋体" w:eastAsia="宋体" w:cs="宋体"/>
          <w:bCs w:val="0"/>
          <w:sz w:val="24"/>
          <w:szCs w:val="24"/>
        </w:rPr>
        <w:fldChar w:fldCharType="separate"/>
      </w:r>
      <w:r>
        <w:rPr>
          <w:rFonts w:hint="eastAsia" w:ascii="宋体" w:hAnsi="宋体" w:eastAsia="宋体" w:cs="宋体"/>
          <w:bCs/>
          <w:sz w:val="24"/>
          <w:szCs w:val="24"/>
        </w:rPr>
        <w:t>第一部分  竞争性磋商邀请函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24720D08">
      <w:pPr>
        <w:pStyle w:val="20"/>
        <w:keepNext w:val="0"/>
        <w:keepLines w:val="0"/>
        <w:pageBreakBefore w:val="0"/>
        <w:widowControl w:val="0"/>
        <w:tabs>
          <w:tab w:val="right" w:leader="dot" w:pos="9746"/>
          <w:tab w:val="clear" w:pos="8940"/>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_Toc3668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第二部分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_Toc3668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734EAC3B">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_Toc16939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一、供应商须知前附表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_Toc16939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116AC948">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_Toc31170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二、供应商须知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_Toc31170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22D5F5E8">
      <w:pPr>
        <w:pStyle w:val="20"/>
        <w:keepNext w:val="0"/>
        <w:keepLines w:val="0"/>
        <w:pageBreakBefore w:val="0"/>
        <w:widowControl w:val="0"/>
        <w:tabs>
          <w:tab w:val="right" w:leader="dot" w:pos="9746"/>
          <w:tab w:val="clear" w:pos="8940"/>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_Toc24858 </w:instrText>
      </w:r>
      <w:r>
        <w:rPr>
          <w:rFonts w:hint="eastAsia" w:ascii="宋体" w:hAnsi="宋体" w:eastAsia="宋体" w:cs="宋体"/>
          <w:bCs w:val="0"/>
          <w:sz w:val="24"/>
          <w:szCs w:val="24"/>
        </w:rPr>
        <w:fldChar w:fldCharType="separate"/>
      </w:r>
      <w:r>
        <w:rPr>
          <w:rFonts w:hint="eastAsia" w:ascii="宋体" w:hAnsi="宋体" w:eastAsia="宋体" w:cs="宋体"/>
          <w:bCs/>
          <w:sz w:val="24"/>
          <w:szCs w:val="24"/>
        </w:rPr>
        <w:t>第三部分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_Toc24858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213B3FB7">
      <w:pPr>
        <w:pStyle w:val="20"/>
        <w:keepNext w:val="0"/>
        <w:keepLines w:val="0"/>
        <w:pageBreakBefore w:val="0"/>
        <w:widowControl w:val="0"/>
        <w:tabs>
          <w:tab w:val="right" w:leader="dot" w:pos="9746"/>
          <w:tab w:val="clear" w:pos="8940"/>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_Toc10855 </w:instrText>
      </w:r>
      <w:r>
        <w:rPr>
          <w:rFonts w:hint="eastAsia" w:ascii="宋体" w:hAnsi="宋体" w:eastAsia="宋体" w:cs="宋体"/>
          <w:bCs w:val="0"/>
          <w:sz w:val="24"/>
          <w:szCs w:val="24"/>
        </w:rPr>
        <w:fldChar w:fldCharType="separate"/>
      </w:r>
      <w:r>
        <w:rPr>
          <w:rFonts w:hint="eastAsia" w:ascii="宋体" w:hAnsi="宋体" w:eastAsia="宋体" w:cs="宋体"/>
          <w:bCs/>
          <w:sz w:val="24"/>
          <w:szCs w:val="24"/>
        </w:rPr>
        <w:t>第四部分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_Toc10855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23E5703F">
      <w:pPr>
        <w:pStyle w:val="20"/>
        <w:keepNext w:val="0"/>
        <w:keepLines w:val="0"/>
        <w:pageBreakBefore w:val="0"/>
        <w:widowControl w:val="0"/>
        <w:tabs>
          <w:tab w:val="right" w:leader="dot" w:pos="9746"/>
          <w:tab w:val="clear" w:pos="8940"/>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_Toc4978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第五部分  评审办法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_Toc4978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7A5DE722">
      <w:pPr>
        <w:pStyle w:val="20"/>
        <w:keepNext w:val="0"/>
        <w:keepLines w:val="0"/>
        <w:pageBreakBefore w:val="0"/>
        <w:widowControl w:val="0"/>
        <w:tabs>
          <w:tab w:val="right" w:leader="dot" w:pos="9746"/>
          <w:tab w:val="clear" w:pos="8940"/>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_Toc166 </w:instrText>
      </w:r>
      <w:r>
        <w:rPr>
          <w:rFonts w:hint="eastAsia" w:ascii="宋体" w:hAnsi="宋体" w:eastAsia="宋体" w:cs="宋体"/>
          <w:bCs w:val="0"/>
          <w:sz w:val="24"/>
          <w:szCs w:val="24"/>
        </w:rPr>
        <w:fldChar w:fldCharType="separate"/>
      </w:r>
      <w:r>
        <w:rPr>
          <w:rFonts w:hint="eastAsia" w:ascii="宋体" w:hAnsi="宋体" w:eastAsia="宋体" w:cs="宋体"/>
          <w:bCs/>
          <w:sz w:val="24"/>
          <w:szCs w:val="24"/>
        </w:rPr>
        <w:t>第六部分</w:t>
      </w:r>
      <w:r>
        <w:rPr>
          <w:rFonts w:hint="eastAsia" w:ascii="宋体" w:hAnsi="宋体" w:cs="宋体"/>
          <w:bCs/>
          <w:sz w:val="24"/>
          <w:szCs w:val="24"/>
          <w:lang w:val="en-US" w:eastAsia="zh-CN"/>
        </w:rPr>
        <w:t xml:space="preserve"> </w:t>
      </w:r>
      <w:r>
        <w:rPr>
          <w:rFonts w:hint="eastAsia" w:ascii="宋体" w:hAnsi="宋体" w:eastAsia="宋体" w:cs="宋体"/>
          <w:bCs/>
          <w:sz w:val="24"/>
          <w:szCs w:val="24"/>
        </w:rPr>
        <w:t xml:space="preserve"> 格式附件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_Toc166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3A38A0A0">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_Toc6785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附件1  响应函（格式）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_Toc6785 \h </w:instrText>
      </w:r>
      <w:r>
        <w:rPr>
          <w:rFonts w:hint="eastAsia" w:ascii="宋体" w:hAnsi="宋体" w:eastAsia="宋体" w:cs="宋体"/>
          <w:sz w:val="24"/>
          <w:szCs w:val="24"/>
        </w:rPr>
        <w:fldChar w:fldCharType="separate"/>
      </w:r>
      <w:r>
        <w:rPr>
          <w:rFonts w:hint="eastAsia" w:ascii="宋体" w:hAnsi="宋体" w:eastAsia="宋体" w:cs="宋体"/>
          <w:sz w:val="24"/>
          <w:szCs w:val="24"/>
        </w:rPr>
        <w:t>48</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76C78DC2">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_Toc22850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附件2  法定代表人等证明书（格式）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_Toc22850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3E41D740">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_Toc9718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附件3  授权委托书（格式）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_Toc9718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41C1DE99">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_Toc23331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附件4  报价一览表（格式）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_Toc23331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5C76D2CF">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_Toc1840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附件5  报价明细表（格式可自拟）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_Toc1840 \h </w:instrText>
      </w:r>
      <w:r>
        <w:rPr>
          <w:rFonts w:hint="eastAsia" w:ascii="宋体" w:hAnsi="宋体" w:eastAsia="宋体" w:cs="宋体"/>
          <w:sz w:val="24"/>
          <w:szCs w:val="24"/>
        </w:rPr>
        <w:fldChar w:fldCharType="separate"/>
      </w:r>
      <w:r>
        <w:rPr>
          <w:rFonts w:hint="eastAsia" w:ascii="宋体" w:hAnsi="宋体" w:eastAsia="宋体" w:cs="宋体"/>
          <w:sz w:val="24"/>
          <w:szCs w:val="24"/>
        </w:rPr>
        <w:t>52</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6AD1B9AC">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_Toc25790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附件6  技术响应、偏离说明表（格式）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_Toc25790 \h </w:instrText>
      </w:r>
      <w:r>
        <w:rPr>
          <w:rFonts w:hint="eastAsia" w:ascii="宋体" w:hAnsi="宋体" w:eastAsia="宋体" w:cs="宋体"/>
          <w:sz w:val="24"/>
          <w:szCs w:val="24"/>
        </w:rPr>
        <w:fldChar w:fldCharType="separate"/>
      </w:r>
      <w:r>
        <w:rPr>
          <w:rFonts w:hint="eastAsia" w:ascii="宋体" w:hAnsi="宋体" w:eastAsia="宋体" w:cs="宋体"/>
          <w:sz w:val="24"/>
          <w:szCs w:val="24"/>
        </w:rPr>
        <w:t>53</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0FE75671">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_Toc31311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附件7  货物/服务报告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_Toc31311 \h </w:instrText>
      </w:r>
      <w:r>
        <w:rPr>
          <w:rFonts w:hint="eastAsia" w:ascii="宋体" w:hAnsi="宋体" w:eastAsia="宋体" w:cs="宋体"/>
          <w:sz w:val="24"/>
          <w:szCs w:val="24"/>
        </w:rPr>
        <w:fldChar w:fldCharType="separate"/>
      </w:r>
      <w:r>
        <w:rPr>
          <w:rFonts w:hint="eastAsia" w:ascii="宋体" w:hAnsi="宋体" w:eastAsia="宋体" w:cs="宋体"/>
          <w:sz w:val="24"/>
          <w:szCs w:val="24"/>
        </w:rPr>
        <w:t>54</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649D031F">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_Toc26078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附件7-1 供应商承担的类似项目业绩一览表（格式自拟）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_Toc26078 \h </w:instrText>
      </w:r>
      <w:r>
        <w:rPr>
          <w:rFonts w:hint="eastAsia" w:ascii="宋体" w:hAnsi="宋体" w:eastAsia="宋体" w:cs="宋体"/>
          <w:sz w:val="24"/>
          <w:szCs w:val="24"/>
        </w:rPr>
        <w:fldChar w:fldCharType="separate"/>
      </w:r>
      <w:r>
        <w:rPr>
          <w:rFonts w:hint="eastAsia" w:ascii="宋体" w:hAnsi="宋体" w:eastAsia="宋体" w:cs="宋体"/>
          <w:sz w:val="24"/>
          <w:szCs w:val="24"/>
        </w:rPr>
        <w:t>55</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2D5CC329">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_Toc19223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附件7-2 拟投入本项目的项目负责人情况表（格式可自拟）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_Toc19223 \h </w:instrText>
      </w:r>
      <w:r>
        <w:rPr>
          <w:rFonts w:hint="eastAsia" w:ascii="宋体" w:hAnsi="宋体" w:eastAsia="宋体" w:cs="宋体"/>
          <w:sz w:val="24"/>
          <w:szCs w:val="24"/>
        </w:rPr>
        <w:fldChar w:fldCharType="separate"/>
      </w:r>
      <w:r>
        <w:rPr>
          <w:rFonts w:hint="eastAsia" w:ascii="宋体" w:hAnsi="宋体" w:eastAsia="宋体" w:cs="宋体"/>
          <w:sz w:val="24"/>
          <w:szCs w:val="24"/>
        </w:rPr>
        <w:t>56</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03F91552">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_Toc23979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附件7-3 拟投入本项目的项目人员一览表（格式）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_Toc23979 \h </w:instrText>
      </w:r>
      <w:r>
        <w:rPr>
          <w:rFonts w:hint="eastAsia" w:ascii="宋体" w:hAnsi="宋体" w:eastAsia="宋体" w:cs="宋体"/>
          <w:sz w:val="24"/>
          <w:szCs w:val="24"/>
        </w:rPr>
        <w:fldChar w:fldCharType="separate"/>
      </w:r>
      <w:r>
        <w:rPr>
          <w:rFonts w:hint="eastAsia" w:ascii="宋体" w:hAnsi="宋体" w:eastAsia="宋体" w:cs="宋体"/>
          <w:sz w:val="24"/>
          <w:szCs w:val="24"/>
        </w:rPr>
        <w:t>57</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23FBD4B0">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_Toc29028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附件8  资格证明文件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_Toc29028 \h </w:instrText>
      </w:r>
      <w:r>
        <w:rPr>
          <w:rFonts w:hint="eastAsia" w:ascii="宋体" w:hAnsi="宋体" w:eastAsia="宋体" w:cs="宋体"/>
          <w:sz w:val="24"/>
          <w:szCs w:val="24"/>
        </w:rPr>
        <w:fldChar w:fldCharType="separate"/>
      </w:r>
      <w:r>
        <w:rPr>
          <w:rFonts w:hint="eastAsia" w:ascii="宋体" w:hAnsi="宋体" w:eastAsia="宋体" w:cs="宋体"/>
          <w:sz w:val="24"/>
          <w:szCs w:val="24"/>
        </w:rPr>
        <w:t>58</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4008E156">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_Toc23887 </w:instrText>
      </w:r>
      <w:r>
        <w:rPr>
          <w:rFonts w:hint="eastAsia" w:ascii="宋体" w:hAnsi="宋体" w:eastAsia="宋体" w:cs="宋体"/>
          <w:bCs w:val="0"/>
          <w:sz w:val="24"/>
          <w:szCs w:val="24"/>
        </w:rPr>
        <w:fldChar w:fldCharType="separate"/>
      </w:r>
      <w:r>
        <w:rPr>
          <w:rFonts w:hint="eastAsia" w:ascii="宋体" w:hAnsi="宋体" w:eastAsia="宋体" w:cs="宋体"/>
          <w:bCs/>
          <w:kern w:val="2"/>
          <w:sz w:val="24"/>
          <w:szCs w:val="24"/>
        </w:rPr>
        <w:t>附件8-1  供应商资格声明函（格式）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_Toc23887 \h </w:instrText>
      </w:r>
      <w:r>
        <w:rPr>
          <w:rFonts w:hint="eastAsia" w:ascii="宋体" w:hAnsi="宋体" w:eastAsia="宋体" w:cs="宋体"/>
          <w:sz w:val="24"/>
          <w:szCs w:val="24"/>
        </w:rPr>
        <w:fldChar w:fldCharType="separate"/>
      </w:r>
      <w:r>
        <w:rPr>
          <w:rFonts w:hint="eastAsia" w:ascii="宋体" w:hAnsi="宋体" w:eastAsia="宋体" w:cs="宋体"/>
          <w:sz w:val="24"/>
          <w:szCs w:val="24"/>
        </w:rPr>
        <w:t>59</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069E0A74">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_Toc18429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附件9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_Toc18429 \h </w:instrText>
      </w:r>
      <w:r>
        <w:rPr>
          <w:rFonts w:hint="eastAsia" w:ascii="宋体" w:hAnsi="宋体" w:eastAsia="宋体" w:cs="宋体"/>
          <w:sz w:val="24"/>
          <w:szCs w:val="24"/>
        </w:rPr>
        <w:fldChar w:fldCharType="separate"/>
      </w:r>
      <w:r>
        <w:rPr>
          <w:rFonts w:hint="eastAsia" w:ascii="宋体" w:hAnsi="宋体" w:eastAsia="宋体" w:cs="宋体"/>
          <w:sz w:val="24"/>
          <w:szCs w:val="24"/>
        </w:rPr>
        <w:t>61</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6F1F403F">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_Toc20882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 xml:space="preserve">附件10 </w:t>
      </w:r>
      <w:r>
        <w:rPr>
          <w:rFonts w:hint="eastAsia" w:ascii="宋体" w:hAnsi="宋体" w:eastAsia="宋体" w:cs="宋体"/>
          <w:kern w:val="0"/>
          <w:sz w:val="24"/>
          <w:szCs w:val="24"/>
          <w:lang w:val="zh-CN" w:bidi="zh-CN"/>
        </w:rPr>
        <w:t>监狱企业证明文件</w:t>
      </w:r>
      <w:r>
        <w:rPr>
          <w:rFonts w:hint="eastAsia" w:ascii="宋体" w:hAnsi="宋体" w:eastAsia="宋体" w:cs="宋体"/>
          <w:sz w:val="24"/>
          <w:szCs w:val="24"/>
          <w:lang w:val="zh-CN"/>
        </w:rPr>
        <w:t>（若</w:t>
      </w:r>
      <w:r>
        <w:rPr>
          <w:rFonts w:hint="eastAsia" w:ascii="宋体" w:hAnsi="宋体" w:eastAsia="宋体" w:cs="宋体"/>
          <w:sz w:val="24"/>
          <w:szCs w:val="24"/>
        </w:rPr>
        <w:t>符合</w:t>
      </w:r>
      <w:r>
        <w:rPr>
          <w:rFonts w:hint="eastAsia" w:ascii="宋体" w:hAnsi="宋体" w:eastAsia="宋体" w:cs="宋体"/>
          <w:sz w:val="24"/>
          <w:szCs w:val="24"/>
          <w:lang w:val="zh-CN"/>
        </w:rPr>
        <w:t>）</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_Toc20882 \h </w:instrText>
      </w:r>
      <w:r>
        <w:rPr>
          <w:rFonts w:hint="eastAsia" w:ascii="宋体" w:hAnsi="宋体" w:eastAsia="宋体" w:cs="宋体"/>
          <w:sz w:val="24"/>
          <w:szCs w:val="24"/>
        </w:rPr>
        <w:fldChar w:fldCharType="separate"/>
      </w:r>
      <w:r>
        <w:rPr>
          <w:rFonts w:hint="eastAsia" w:ascii="宋体" w:hAnsi="宋体" w:eastAsia="宋体" w:cs="宋体"/>
          <w:sz w:val="24"/>
          <w:szCs w:val="24"/>
        </w:rPr>
        <w:t>66</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3359B74E">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_Toc6439 </w:instrText>
      </w:r>
      <w:r>
        <w:rPr>
          <w:rFonts w:hint="eastAsia" w:ascii="宋体" w:hAnsi="宋体" w:eastAsia="宋体" w:cs="宋体"/>
          <w:bCs w:val="0"/>
          <w:sz w:val="24"/>
          <w:szCs w:val="24"/>
        </w:rPr>
        <w:fldChar w:fldCharType="separate"/>
      </w:r>
      <w:r>
        <w:rPr>
          <w:rFonts w:hint="eastAsia" w:ascii="宋体" w:hAnsi="宋体" w:eastAsia="宋体" w:cs="宋体"/>
          <w:kern w:val="0"/>
          <w:sz w:val="24"/>
          <w:szCs w:val="24"/>
          <w:lang w:val="zh-CN" w:bidi="zh-CN"/>
        </w:rPr>
        <w:t>附件</w:t>
      </w:r>
      <w:r>
        <w:rPr>
          <w:rFonts w:hint="eastAsia" w:ascii="宋体" w:hAnsi="宋体" w:eastAsia="宋体" w:cs="宋体"/>
          <w:kern w:val="0"/>
          <w:sz w:val="24"/>
          <w:szCs w:val="24"/>
          <w:lang w:bidi="zh-CN"/>
        </w:rPr>
        <w:t xml:space="preserve">11 </w:t>
      </w:r>
      <w:r>
        <w:rPr>
          <w:rFonts w:hint="eastAsia" w:ascii="宋体" w:hAnsi="宋体" w:eastAsia="宋体" w:cs="宋体"/>
          <w:kern w:val="0"/>
          <w:sz w:val="24"/>
          <w:szCs w:val="24"/>
          <w:lang w:val="zh-CN" w:bidi="zh-CN"/>
        </w:rPr>
        <w:t>残疾人福利性单位声明函</w:t>
      </w:r>
      <w:r>
        <w:rPr>
          <w:rFonts w:hint="eastAsia" w:ascii="宋体" w:hAnsi="宋体" w:eastAsia="宋体" w:cs="宋体"/>
          <w:sz w:val="24"/>
          <w:szCs w:val="24"/>
          <w:lang w:val="zh-CN"/>
        </w:rPr>
        <w:t>（若</w:t>
      </w:r>
      <w:r>
        <w:rPr>
          <w:rFonts w:hint="eastAsia" w:ascii="宋体" w:hAnsi="宋体" w:eastAsia="宋体" w:cs="宋体"/>
          <w:sz w:val="24"/>
          <w:szCs w:val="24"/>
        </w:rPr>
        <w:t>符合</w:t>
      </w:r>
      <w:r>
        <w:rPr>
          <w:rFonts w:hint="eastAsia" w:ascii="宋体" w:hAnsi="宋体" w:eastAsia="宋体" w:cs="宋体"/>
          <w:sz w:val="24"/>
          <w:szCs w:val="24"/>
          <w:lang w:val="zh-CN"/>
        </w:rPr>
        <w:t>）</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_Toc6439 \h </w:instrText>
      </w:r>
      <w:r>
        <w:rPr>
          <w:rFonts w:hint="eastAsia" w:ascii="宋体" w:hAnsi="宋体" w:eastAsia="宋体" w:cs="宋体"/>
          <w:sz w:val="24"/>
          <w:szCs w:val="24"/>
        </w:rPr>
        <w:fldChar w:fldCharType="separate"/>
      </w:r>
      <w:r>
        <w:rPr>
          <w:rFonts w:hint="eastAsia" w:ascii="宋体" w:hAnsi="宋体" w:eastAsia="宋体" w:cs="宋体"/>
          <w:sz w:val="24"/>
          <w:szCs w:val="24"/>
        </w:rPr>
        <w:t>67</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6AD6CCF6">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_Toc4570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w:t>
      </w:r>
      <w:r>
        <w:rPr>
          <w:rFonts w:hint="eastAsia" w:ascii="宋体" w:hAnsi="宋体" w:eastAsia="宋体" w:cs="宋体"/>
          <w:sz w:val="24"/>
          <w:szCs w:val="24"/>
          <w:lang w:val="en-US" w:eastAsia="zh-CN"/>
        </w:rPr>
        <w:t>12</w:t>
      </w:r>
      <w:r>
        <w:rPr>
          <w:rFonts w:hint="eastAsia" w:ascii="宋体" w:hAnsi="宋体" w:eastAsia="宋体" w:cs="宋体"/>
          <w:sz w:val="24"/>
          <w:szCs w:val="24"/>
        </w:rPr>
        <w:t xml:space="preserve"> 商务要求</w:t>
      </w:r>
      <w:r>
        <w:rPr>
          <w:rFonts w:hint="eastAsia" w:ascii="宋体" w:hAnsi="宋体" w:eastAsia="宋体" w:cs="宋体"/>
          <w:sz w:val="24"/>
          <w:szCs w:val="24"/>
          <w:lang w:val="en-US" w:eastAsia="zh-CN"/>
        </w:rPr>
        <w:t>及“★”条款</w:t>
      </w:r>
      <w:r>
        <w:rPr>
          <w:rFonts w:hint="eastAsia" w:ascii="宋体" w:hAnsi="宋体" w:eastAsia="宋体" w:cs="宋体"/>
          <w:sz w:val="24"/>
          <w:szCs w:val="24"/>
        </w:rPr>
        <w:t>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_Toc4570 \h </w:instrText>
      </w:r>
      <w:r>
        <w:rPr>
          <w:rFonts w:hint="eastAsia" w:ascii="宋体" w:hAnsi="宋体" w:eastAsia="宋体" w:cs="宋体"/>
          <w:sz w:val="24"/>
          <w:szCs w:val="24"/>
        </w:rPr>
        <w:fldChar w:fldCharType="separate"/>
      </w:r>
      <w:r>
        <w:rPr>
          <w:rFonts w:hint="eastAsia" w:ascii="宋体" w:hAnsi="宋体" w:eastAsia="宋体" w:cs="宋体"/>
          <w:sz w:val="24"/>
          <w:szCs w:val="24"/>
        </w:rPr>
        <w:t>68</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6264AB34">
      <w:pPr>
        <w:pStyle w:val="23"/>
        <w:keepNext w:val="0"/>
        <w:keepLines w:val="0"/>
        <w:pageBreakBefore w:val="0"/>
        <w:widowControl w:val="0"/>
        <w:tabs>
          <w:tab w:val="right" w:leader="dot" w:pos="9746"/>
        </w:tabs>
        <w:kinsoku/>
        <w:wordWrap/>
        <w:overflowPunct/>
        <w:topLinePunct w:val="0"/>
        <w:autoSpaceDE/>
        <w:autoSpaceDN/>
        <w:bidi w:val="0"/>
        <w:adjustRightInd/>
        <w:snapToGrid/>
        <w:spacing w:line="500" w:lineRule="exact"/>
        <w:ind w:left="0" w:leftChars="0"/>
        <w:textAlignment w:val="auto"/>
      </w:pPr>
      <w:r>
        <w:rPr>
          <w:rFonts w:hint="eastAsia" w:ascii="宋体" w:hAnsi="宋体" w:eastAsia="宋体" w:cs="宋体"/>
          <w:bCs w:val="0"/>
          <w:sz w:val="24"/>
          <w:szCs w:val="24"/>
        </w:rPr>
        <w:fldChar w:fldCharType="begin"/>
      </w:r>
      <w:r>
        <w:rPr>
          <w:rFonts w:hint="eastAsia" w:ascii="宋体" w:hAnsi="宋体" w:eastAsia="宋体" w:cs="宋体"/>
          <w:bCs w:val="0"/>
          <w:sz w:val="24"/>
          <w:szCs w:val="24"/>
        </w:rPr>
        <w:instrText xml:space="preserve"> HYPERLINK \l _Toc1050 </w:instrText>
      </w:r>
      <w:r>
        <w:rPr>
          <w:rFonts w:hint="eastAsia" w:ascii="宋体" w:hAnsi="宋体" w:eastAsia="宋体" w:cs="宋体"/>
          <w:bCs w:val="0"/>
          <w:sz w:val="24"/>
          <w:szCs w:val="24"/>
        </w:rPr>
        <w:fldChar w:fldCharType="separate"/>
      </w:r>
      <w:r>
        <w:rPr>
          <w:rFonts w:hint="eastAsia" w:ascii="宋体" w:hAnsi="宋体" w:eastAsia="宋体" w:cs="宋体"/>
          <w:sz w:val="24"/>
          <w:szCs w:val="24"/>
        </w:rPr>
        <w:t>附件13 成交服务费承诺书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_Toc1050 \h </w:instrText>
      </w:r>
      <w:r>
        <w:rPr>
          <w:rFonts w:hint="eastAsia" w:ascii="宋体" w:hAnsi="宋体" w:eastAsia="宋体" w:cs="宋体"/>
          <w:sz w:val="24"/>
          <w:szCs w:val="24"/>
        </w:rPr>
        <w:fldChar w:fldCharType="separate"/>
      </w:r>
      <w:r>
        <w:rPr>
          <w:rFonts w:hint="eastAsia" w:ascii="宋体" w:hAnsi="宋体" w:eastAsia="宋体" w:cs="宋体"/>
          <w:sz w:val="24"/>
          <w:szCs w:val="24"/>
        </w:rPr>
        <w:t>69</w:t>
      </w:r>
      <w:r>
        <w:rPr>
          <w:rFonts w:hint="eastAsia" w:ascii="宋体" w:hAnsi="宋体" w:eastAsia="宋体" w:cs="宋体"/>
          <w:sz w:val="24"/>
          <w:szCs w:val="24"/>
        </w:rPr>
        <w:fldChar w:fldCharType="end"/>
      </w:r>
      <w:r>
        <w:rPr>
          <w:rFonts w:hint="eastAsia" w:ascii="宋体" w:hAnsi="宋体" w:eastAsia="宋体" w:cs="宋体"/>
          <w:bCs w:val="0"/>
          <w:sz w:val="24"/>
          <w:szCs w:val="24"/>
        </w:rPr>
        <w:fldChar w:fldCharType="end"/>
      </w:r>
    </w:p>
    <w:p w14:paraId="0247C574">
      <w:pPr>
        <w:pStyle w:val="7"/>
        <w:spacing w:before="0" w:after="0" w:line="360" w:lineRule="auto"/>
        <w:rPr>
          <w:rFonts w:ascii="宋体" w:hAnsi="宋体" w:eastAsia="宋体" w:cs="宋体"/>
          <w:sz w:val="24"/>
          <w:szCs w:val="24"/>
        </w:rPr>
        <w:sectPr>
          <w:pgSz w:w="11906" w:h="16838"/>
          <w:pgMar w:top="1440" w:right="1080" w:bottom="1440" w:left="1080" w:header="851" w:footer="992" w:gutter="0"/>
          <w:cols w:space="720" w:num="1"/>
          <w:docGrid w:type="lines" w:linePitch="286" w:charSpace="0"/>
        </w:sectPr>
      </w:pPr>
      <w:r>
        <w:rPr>
          <w:rFonts w:hint="eastAsia" w:ascii="宋体" w:hAnsi="宋体" w:eastAsia="宋体" w:cs="宋体"/>
          <w:bCs w:val="0"/>
          <w:szCs w:val="24"/>
        </w:rPr>
        <w:fldChar w:fldCharType="end"/>
      </w:r>
    </w:p>
    <w:p w14:paraId="551BCDCC">
      <w:pPr>
        <w:spacing w:line="360" w:lineRule="auto"/>
        <w:jc w:val="center"/>
        <w:rPr>
          <w:rFonts w:ascii="宋体" w:hAnsi="宋体" w:cs="宋体"/>
          <w:b/>
          <w:bCs/>
          <w:sz w:val="28"/>
          <w:szCs w:val="28"/>
        </w:rPr>
      </w:pPr>
      <w:r>
        <w:rPr>
          <w:rFonts w:hint="eastAsia" w:ascii="宋体" w:hAnsi="宋体" w:cs="宋体"/>
          <w:b/>
          <w:bCs/>
          <w:sz w:val="28"/>
          <w:szCs w:val="28"/>
        </w:rPr>
        <w:t>供应商须知</w:t>
      </w:r>
    </w:p>
    <w:p w14:paraId="028F08A8">
      <w:pPr>
        <w:spacing w:line="360" w:lineRule="auto"/>
        <w:jc w:val="left"/>
        <w:rPr>
          <w:rFonts w:ascii="宋体" w:hAnsi="宋体" w:cs="宋体"/>
          <w:sz w:val="28"/>
          <w:szCs w:val="28"/>
        </w:rPr>
      </w:pPr>
    </w:p>
    <w:p w14:paraId="633E2F51">
      <w:pPr>
        <w:spacing w:line="360" w:lineRule="auto"/>
        <w:ind w:firstLine="560" w:firstLineChars="200"/>
        <w:jc w:val="left"/>
        <w:rPr>
          <w:rFonts w:ascii="宋体" w:hAnsi="宋体" w:cs="宋体"/>
          <w:sz w:val="28"/>
          <w:szCs w:val="28"/>
        </w:rPr>
      </w:pPr>
      <w:r>
        <w:rPr>
          <w:rFonts w:hint="eastAsia" w:ascii="宋体" w:hAnsi="宋体" w:cs="宋体"/>
          <w:sz w:val="28"/>
          <w:szCs w:val="28"/>
        </w:rPr>
        <w:t>供应商获取文件后应根据实际情况，秉承自愿原则决定是否参与投标响应，如无法参与本项目则应提前邮件告知采购代理机构，格式自拟。</w:t>
      </w:r>
    </w:p>
    <w:p w14:paraId="4E1AD022">
      <w:pPr>
        <w:spacing w:line="360" w:lineRule="auto"/>
        <w:ind w:firstLine="560" w:firstLineChars="200"/>
        <w:rPr>
          <w:rFonts w:ascii="宋体" w:hAnsi="宋体" w:cs="宋体"/>
          <w:sz w:val="28"/>
          <w:szCs w:val="28"/>
        </w:rPr>
        <w:sectPr>
          <w:headerReference r:id="rId5" w:type="default"/>
          <w:footerReference r:id="rId6" w:type="default"/>
          <w:pgSz w:w="11906" w:h="16838"/>
          <w:pgMar w:top="1440" w:right="1083" w:bottom="1440" w:left="1083" w:header="851" w:footer="992" w:gutter="0"/>
          <w:pgNumType w:start="1"/>
          <w:cols w:space="720" w:num="1"/>
          <w:docGrid w:type="lines" w:linePitch="286" w:charSpace="0"/>
        </w:sectPr>
      </w:pPr>
      <w:r>
        <w:rPr>
          <w:rFonts w:hint="eastAsia" w:ascii="宋体" w:hAnsi="宋体" w:cs="宋体"/>
          <w:sz w:val="28"/>
          <w:szCs w:val="28"/>
        </w:rPr>
        <w:t>本着诚实、信用原则，请各位供应商如实反馈相应情况，请勿自误。感谢贵单位对采购人、采购代理机构工作的支持。</w:t>
      </w:r>
    </w:p>
    <w:p w14:paraId="305FCE42">
      <w:pPr>
        <w:pStyle w:val="4"/>
        <w:spacing w:before="0" w:after="0" w:line="360" w:lineRule="auto"/>
        <w:rPr>
          <w:rFonts w:ascii="宋体" w:hAnsi="宋体" w:cs="宋体"/>
          <w:b/>
          <w:bCs/>
          <w:sz w:val="24"/>
          <w:szCs w:val="24"/>
        </w:rPr>
      </w:pPr>
      <w:bookmarkStart w:id="0" w:name="_Toc210"/>
      <w:bookmarkStart w:id="1" w:name="_Toc24277"/>
      <w:r>
        <w:rPr>
          <w:rFonts w:hint="eastAsia" w:ascii="宋体" w:hAnsi="宋体" w:cs="宋体"/>
          <w:b/>
          <w:bCs/>
          <w:sz w:val="24"/>
          <w:szCs w:val="24"/>
        </w:rPr>
        <w:t>第一部分</w:t>
      </w:r>
      <w:bookmarkStart w:id="2" w:name="_Toc447024803"/>
      <w:r>
        <w:rPr>
          <w:rFonts w:hint="eastAsia" w:ascii="宋体" w:hAnsi="宋体" w:cs="宋体"/>
          <w:b/>
          <w:bCs/>
          <w:sz w:val="24"/>
          <w:szCs w:val="24"/>
        </w:rPr>
        <w:t xml:space="preserve">  竞争性磋商邀请函</w:t>
      </w:r>
      <w:bookmarkEnd w:id="0"/>
      <w:bookmarkEnd w:id="1"/>
      <w:bookmarkEnd w:id="2"/>
    </w:p>
    <w:p w14:paraId="6F77A5B8">
      <w:pPr>
        <w:spacing w:line="360" w:lineRule="auto"/>
        <w:ind w:firstLine="472" w:firstLineChars="200"/>
        <w:rPr>
          <w:rFonts w:ascii="宋体" w:hAnsi="宋体" w:cs="宋体"/>
          <w:spacing w:val="-2"/>
          <w:sz w:val="24"/>
          <w:szCs w:val="24"/>
        </w:rPr>
      </w:pPr>
      <w:r>
        <w:rPr>
          <w:rFonts w:hint="eastAsia" w:ascii="宋体" w:hAnsi="宋体" w:cs="宋体"/>
          <w:spacing w:val="-2"/>
          <w:sz w:val="24"/>
          <w:szCs w:val="24"/>
        </w:rPr>
        <w:t>湖北世发招标有限公司受</w:t>
      </w:r>
      <w:r>
        <w:rPr>
          <w:rFonts w:hint="eastAsia" w:ascii="宋体" w:hAnsi="宋体" w:cs="宋体"/>
          <w:spacing w:val="-2"/>
          <w:sz w:val="24"/>
          <w:szCs w:val="24"/>
          <w:lang w:eastAsia="zh-CN"/>
        </w:rPr>
        <w:t>湖北工业大学</w:t>
      </w:r>
      <w:r>
        <w:rPr>
          <w:rFonts w:hint="eastAsia" w:ascii="宋体" w:hAnsi="宋体" w:cs="宋体"/>
          <w:spacing w:val="-2"/>
          <w:sz w:val="24"/>
          <w:szCs w:val="24"/>
        </w:rPr>
        <w:t>委托，</w:t>
      </w:r>
      <w:r>
        <w:rPr>
          <w:rStyle w:val="58"/>
          <w:rFonts w:hint="eastAsia" w:ascii="宋体" w:hAnsi="宋体" w:cs="宋体"/>
          <w:color w:val="auto"/>
          <w:sz w:val="24"/>
          <w:szCs w:val="24"/>
        </w:rPr>
        <w:t>根据有关法律法规和规章规定，</w:t>
      </w:r>
      <w:r>
        <w:rPr>
          <w:rFonts w:hint="eastAsia" w:ascii="宋体" w:hAnsi="宋体" w:cs="宋体"/>
          <w:spacing w:val="-2"/>
          <w:sz w:val="24"/>
          <w:szCs w:val="24"/>
        </w:rPr>
        <w:t>就“</w:t>
      </w:r>
      <w:r>
        <w:rPr>
          <w:rFonts w:hint="eastAsia" w:ascii="宋体" w:hAnsi="宋体" w:cs="宋体"/>
          <w:spacing w:val="-2"/>
          <w:sz w:val="24"/>
          <w:szCs w:val="24"/>
          <w:lang w:eastAsia="zh-CN"/>
        </w:rPr>
        <w:t>湖北工业大学站群管理服务拓展项目（第二次）</w:t>
      </w:r>
      <w:r>
        <w:rPr>
          <w:rFonts w:hint="eastAsia" w:ascii="宋体" w:hAnsi="宋体" w:cs="宋体"/>
          <w:spacing w:val="-2"/>
          <w:sz w:val="24"/>
          <w:szCs w:val="24"/>
        </w:rPr>
        <w:t>”进行竞争性磋商采购，</w:t>
      </w:r>
      <w:r>
        <w:rPr>
          <w:rFonts w:hint="eastAsia" w:ascii="宋体" w:hAnsi="宋体" w:cs="宋体"/>
          <w:sz w:val="24"/>
          <w:szCs w:val="24"/>
        </w:rPr>
        <w:t>兹邀请</w:t>
      </w:r>
      <w:r>
        <w:rPr>
          <w:rFonts w:hint="eastAsia" w:ascii="宋体" w:hAnsi="宋体" w:cs="宋体"/>
          <w:spacing w:val="-2"/>
          <w:sz w:val="24"/>
          <w:szCs w:val="24"/>
        </w:rPr>
        <w:t>符合资格条件的供应商参与竞争性磋商。</w:t>
      </w:r>
    </w:p>
    <w:p w14:paraId="7DCDDA2A">
      <w:pPr>
        <w:spacing w:line="360" w:lineRule="auto"/>
        <w:ind w:firstLine="474" w:firstLineChars="200"/>
        <w:rPr>
          <w:rFonts w:ascii="宋体" w:hAnsi="宋体" w:cs="宋体"/>
          <w:b/>
          <w:bCs/>
          <w:spacing w:val="-2"/>
          <w:sz w:val="24"/>
          <w:szCs w:val="24"/>
        </w:rPr>
      </w:pPr>
      <w:bookmarkStart w:id="3" w:name="_Toc447024804"/>
      <w:bookmarkStart w:id="4" w:name="_Toc17653"/>
      <w:bookmarkStart w:id="5" w:name="_Toc4304"/>
      <w:bookmarkStart w:id="6" w:name="_Toc259028269"/>
      <w:bookmarkStart w:id="7" w:name="_Toc9750"/>
      <w:bookmarkStart w:id="8" w:name="_Toc447024806"/>
      <w:r>
        <w:rPr>
          <w:rFonts w:hint="eastAsia" w:ascii="宋体" w:hAnsi="宋体" w:cs="宋体"/>
          <w:b/>
          <w:bCs/>
          <w:spacing w:val="-2"/>
          <w:sz w:val="24"/>
          <w:szCs w:val="24"/>
        </w:rPr>
        <w:t>一、项目概况</w:t>
      </w:r>
      <w:bookmarkEnd w:id="3"/>
      <w:bookmarkEnd w:id="4"/>
      <w:bookmarkEnd w:id="5"/>
      <w:bookmarkEnd w:id="6"/>
    </w:p>
    <w:p w14:paraId="61FDBC16">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cs="宋体"/>
          <w:spacing w:val="-2"/>
          <w:sz w:val="24"/>
          <w:szCs w:val="24"/>
        </w:rPr>
        <w:t>1.采购人：</w:t>
      </w:r>
      <w:r>
        <w:rPr>
          <w:rFonts w:hint="eastAsia" w:ascii="宋体" w:hAnsi="宋体" w:cs="宋体"/>
          <w:spacing w:val="-2"/>
          <w:sz w:val="24"/>
          <w:szCs w:val="24"/>
          <w:lang w:eastAsia="zh-CN"/>
        </w:rPr>
        <w:t>湖北工业大学</w:t>
      </w:r>
    </w:p>
    <w:p w14:paraId="6F8DADCF">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cs="宋体"/>
          <w:spacing w:val="-2"/>
          <w:sz w:val="24"/>
          <w:szCs w:val="24"/>
        </w:rPr>
        <w:t>2.项目名称：</w:t>
      </w:r>
      <w:r>
        <w:rPr>
          <w:rFonts w:hint="eastAsia" w:ascii="宋体" w:hAnsi="宋体" w:cs="宋体"/>
          <w:spacing w:val="-2"/>
          <w:sz w:val="24"/>
          <w:szCs w:val="24"/>
          <w:lang w:eastAsia="zh-CN"/>
        </w:rPr>
        <w:t>湖北工业大学站群管理服务拓展项目（第二次）</w:t>
      </w:r>
    </w:p>
    <w:p w14:paraId="21F3BCD9">
      <w:pPr>
        <w:spacing w:line="360" w:lineRule="auto"/>
        <w:ind w:firstLine="472" w:firstLineChars="200"/>
        <w:rPr>
          <w:rFonts w:hint="eastAsia" w:ascii="宋体" w:hAnsi="宋体" w:eastAsia="宋体" w:cs="宋体"/>
          <w:spacing w:val="-2"/>
          <w:sz w:val="24"/>
          <w:szCs w:val="24"/>
          <w:lang w:eastAsia="zh-CN"/>
        </w:rPr>
      </w:pPr>
      <w:r>
        <w:rPr>
          <w:rFonts w:hint="eastAsia" w:ascii="宋体" w:hAnsi="宋体" w:cs="宋体"/>
          <w:spacing w:val="-2"/>
          <w:sz w:val="24"/>
          <w:szCs w:val="24"/>
        </w:rPr>
        <w:t>3.项目编号：</w:t>
      </w:r>
      <w:r>
        <w:rPr>
          <w:rFonts w:hint="eastAsia" w:ascii="宋体" w:hAnsi="宋体" w:cs="宋体"/>
          <w:spacing w:val="-2"/>
          <w:sz w:val="24"/>
          <w:szCs w:val="24"/>
          <w:lang w:eastAsia="zh-CN"/>
        </w:rPr>
        <w:t>HGDXW25-042/HBSF-GN-25061616</w:t>
      </w:r>
    </w:p>
    <w:p w14:paraId="1E2A7390">
      <w:pPr>
        <w:spacing w:line="360" w:lineRule="auto"/>
        <w:ind w:firstLine="472" w:firstLineChars="200"/>
        <w:rPr>
          <w:rFonts w:hint="default" w:ascii="宋体" w:hAnsi="宋体" w:eastAsia="宋体" w:cs="宋体"/>
          <w:spacing w:val="-2"/>
          <w:sz w:val="24"/>
          <w:szCs w:val="24"/>
          <w:lang w:val="en-US" w:eastAsia="zh-CN"/>
        </w:rPr>
      </w:pPr>
      <w:r>
        <w:rPr>
          <w:rFonts w:hint="eastAsia" w:ascii="宋体" w:hAnsi="宋体" w:cs="宋体"/>
          <w:spacing w:val="-2"/>
          <w:sz w:val="24"/>
          <w:szCs w:val="24"/>
        </w:rPr>
        <w:t>4.采购预算：</w:t>
      </w:r>
      <w:r>
        <w:rPr>
          <w:rFonts w:hint="eastAsia" w:ascii="宋体" w:hAnsi="宋体" w:cs="宋体"/>
          <w:spacing w:val="-2"/>
          <w:sz w:val="24"/>
          <w:szCs w:val="24"/>
          <w:lang w:val="en-US" w:eastAsia="zh-CN"/>
        </w:rPr>
        <w:t>人民币55万元</w:t>
      </w:r>
    </w:p>
    <w:p w14:paraId="636A31AC">
      <w:pPr>
        <w:spacing w:line="360" w:lineRule="auto"/>
        <w:ind w:firstLine="472" w:firstLineChars="200"/>
        <w:rPr>
          <w:rFonts w:hint="eastAsia" w:ascii="宋体" w:hAnsi="宋体" w:eastAsia="宋体" w:cs="宋体"/>
          <w:spacing w:val="-2"/>
          <w:sz w:val="24"/>
          <w:szCs w:val="24"/>
          <w:lang w:val="en-US" w:eastAsia="zh-CN"/>
        </w:rPr>
      </w:pPr>
      <w:r>
        <w:rPr>
          <w:rFonts w:hint="eastAsia" w:ascii="宋体" w:hAnsi="宋体" w:cs="宋体"/>
          <w:spacing w:val="-2"/>
          <w:sz w:val="24"/>
          <w:szCs w:val="24"/>
        </w:rPr>
        <w:t>5.</w:t>
      </w:r>
      <w:r>
        <w:rPr>
          <w:rFonts w:hint="eastAsia" w:ascii="宋体" w:hAnsi="宋体" w:cs="宋体"/>
          <w:spacing w:val="-2"/>
          <w:sz w:val="24"/>
          <w:szCs w:val="24"/>
          <w:lang w:val="en-US" w:eastAsia="zh-CN"/>
        </w:rPr>
        <w:t>最高限价：人民币55万元</w:t>
      </w:r>
    </w:p>
    <w:p w14:paraId="32ED483A">
      <w:pPr>
        <w:shd w:val="clear"/>
        <w:spacing w:line="360" w:lineRule="auto"/>
        <w:ind w:firstLine="472" w:firstLineChars="200"/>
        <w:rPr>
          <w:rFonts w:hint="eastAsia" w:ascii="宋体" w:hAnsi="宋体" w:eastAsia="宋体" w:cs="宋体"/>
          <w:spacing w:val="-2"/>
          <w:sz w:val="24"/>
          <w:szCs w:val="24"/>
        </w:rPr>
      </w:pPr>
      <w:r>
        <w:rPr>
          <w:rFonts w:hint="eastAsia" w:ascii="宋体" w:hAnsi="宋体" w:cs="宋体"/>
          <w:color w:val="auto"/>
          <w:spacing w:val="-2"/>
          <w:sz w:val="24"/>
          <w:szCs w:val="24"/>
        </w:rPr>
        <w:t>6</w:t>
      </w:r>
      <w:r>
        <w:rPr>
          <w:rFonts w:hint="eastAsia" w:ascii="宋体" w:hAnsi="宋体" w:cs="宋体"/>
          <w:color w:val="auto"/>
          <w:spacing w:val="-2"/>
          <w:sz w:val="24"/>
          <w:szCs w:val="24"/>
          <w:lang w:val="en-US" w:eastAsia="zh-CN"/>
        </w:rPr>
        <w:t>.</w:t>
      </w:r>
      <w:r>
        <w:rPr>
          <w:rFonts w:hint="eastAsia" w:ascii="宋体" w:hAnsi="宋体" w:cs="宋体"/>
          <w:spacing w:val="-2"/>
          <w:sz w:val="24"/>
          <w:szCs w:val="24"/>
        </w:rPr>
        <w:t>采购内容：升级当前网站群管理系统，通过搭建覆盖学校的网站管理平台，优化网站管理功能，实现学校网站统一进行管理与维护，提高信息化管理水平，同时，依托一套平台实现网站、微博、微信的统一管控，学校所有的资讯，都使用同一个发布出口，对于发布信息实现统计，带动统一管理的理念、内容、手段等全方位升级，满足等保2.0要求</w:t>
      </w:r>
      <w:r>
        <w:rPr>
          <w:rFonts w:hint="eastAsia" w:ascii="宋体" w:hAnsi="宋体" w:eastAsia="宋体" w:cs="宋体"/>
          <w:spacing w:val="-2"/>
          <w:sz w:val="24"/>
          <w:szCs w:val="24"/>
        </w:rPr>
        <w:t>；具体要求及内容详见竞争性磋商文件第三部分。</w:t>
      </w:r>
    </w:p>
    <w:p w14:paraId="6C0F46D7">
      <w:pPr>
        <w:numPr>
          <w:ilvl w:val="0"/>
          <w:numId w:val="1"/>
        </w:numPr>
        <w:shd w:val="clear"/>
        <w:spacing w:line="240" w:lineRule="auto"/>
        <w:ind w:firstLine="472" w:firstLineChars="200"/>
        <w:rPr>
          <w:rFonts w:hint="eastAsia" w:ascii="宋体" w:hAnsi="宋体" w:eastAsia="宋体" w:cs="宋体"/>
          <w:spacing w:val="-2"/>
          <w:sz w:val="24"/>
          <w:szCs w:val="24"/>
          <w:highlight w:val="none"/>
          <w:lang w:val="hr-HR"/>
        </w:rPr>
      </w:pPr>
      <w:r>
        <w:rPr>
          <w:rFonts w:hint="eastAsia" w:ascii="宋体" w:hAnsi="宋体" w:eastAsia="宋体" w:cs="宋体"/>
          <w:spacing w:val="-2"/>
          <w:sz w:val="24"/>
          <w:szCs w:val="24"/>
          <w:highlight w:val="none"/>
        </w:rPr>
        <w:t>合同履行期限</w:t>
      </w:r>
      <w:bookmarkStart w:id="9" w:name="_Toc5793"/>
      <w:bookmarkStart w:id="10" w:name="_Toc15153"/>
      <w:r>
        <w:rPr>
          <w:rFonts w:hint="eastAsia" w:ascii="宋体" w:hAnsi="宋体" w:cs="宋体"/>
          <w:spacing w:val="-2"/>
          <w:sz w:val="24"/>
          <w:szCs w:val="24"/>
          <w:highlight w:val="none"/>
          <w:lang w:eastAsia="zh-CN"/>
        </w:rPr>
        <w:t>：</w:t>
      </w:r>
      <w:r>
        <w:rPr>
          <w:rFonts w:hint="eastAsia" w:ascii="宋体" w:hAnsi="宋体" w:eastAsia="宋体" w:cs="宋体"/>
          <w:b w:val="0"/>
          <w:bCs w:val="0"/>
          <w:spacing w:val="-2"/>
          <w:sz w:val="24"/>
          <w:szCs w:val="24"/>
          <w:highlight w:val="none"/>
          <w:lang w:val="en-US" w:eastAsia="zh-CN"/>
        </w:rPr>
        <w:t>合同签订之日起</w:t>
      </w:r>
      <w:r>
        <w:rPr>
          <w:rFonts w:hint="eastAsia" w:ascii="宋体" w:hAnsi="宋体" w:cs="宋体"/>
          <w:b w:val="0"/>
          <w:bCs w:val="0"/>
          <w:spacing w:val="-2"/>
          <w:sz w:val="24"/>
          <w:szCs w:val="24"/>
          <w:highlight w:val="none"/>
          <w:lang w:val="en-US" w:eastAsia="zh-CN"/>
        </w:rPr>
        <w:t>80个</w:t>
      </w:r>
      <w:r>
        <w:rPr>
          <w:rFonts w:hint="eastAsia" w:ascii="Times New Roman" w:hAnsi="Times New Roman" w:eastAsia="宋体" w:cs="宋体"/>
          <w:color w:val="000000"/>
          <w:sz w:val="24"/>
          <w:szCs w:val="24"/>
          <w:highlight w:val="none"/>
        </w:rPr>
        <w:t>工作日</w:t>
      </w:r>
      <w:r>
        <w:rPr>
          <w:rFonts w:hint="eastAsia" w:ascii="Times New Roman" w:hAnsi="Times New Roman" w:eastAsia="宋体" w:cs="宋体"/>
          <w:color w:val="000000"/>
          <w:sz w:val="24"/>
          <w:szCs w:val="24"/>
          <w:highlight w:val="none"/>
          <w:lang w:val="en-US" w:eastAsia="zh-CN"/>
        </w:rPr>
        <w:t>内</w:t>
      </w:r>
      <w:r>
        <w:rPr>
          <w:rFonts w:hint="eastAsia" w:ascii="Times New Roman" w:hAnsi="Times New Roman" w:eastAsia="宋体" w:cs="宋体"/>
          <w:color w:val="000000"/>
          <w:sz w:val="24"/>
          <w:szCs w:val="24"/>
          <w:highlight w:val="none"/>
        </w:rPr>
        <w:t>完</w:t>
      </w:r>
      <w:r>
        <w:rPr>
          <w:rFonts w:hint="eastAsia" w:ascii="宋体" w:hAnsi="宋体" w:eastAsia="宋体" w:cs="宋体"/>
          <w:b w:val="0"/>
          <w:bCs w:val="0"/>
          <w:spacing w:val="-2"/>
          <w:sz w:val="24"/>
          <w:szCs w:val="24"/>
          <w:highlight w:val="none"/>
          <w:lang w:val="en-US" w:eastAsia="zh-CN"/>
        </w:rPr>
        <w:t>成全部部署工作、</w:t>
      </w:r>
      <w:r>
        <w:rPr>
          <w:rFonts w:hint="eastAsia" w:ascii="Times New Roman" w:hAnsi="Times New Roman" w:eastAsia="宋体" w:cs="宋体"/>
          <w:color w:val="000000"/>
          <w:sz w:val="24"/>
          <w:szCs w:val="24"/>
          <w:highlight w:val="none"/>
        </w:rPr>
        <w:t>提交验收文档</w:t>
      </w:r>
      <w:r>
        <w:rPr>
          <w:rFonts w:hint="eastAsia" w:ascii="宋体" w:hAnsi="宋体" w:eastAsia="宋体" w:cs="宋体"/>
          <w:b w:val="0"/>
          <w:bCs w:val="0"/>
          <w:spacing w:val="-2"/>
          <w:sz w:val="24"/>
          <w:szCs w:val="24"/>
          <w:highlight w:val="none"/>
          <w:lang w:val="en-US" w:eastAsia="zh-CN"/>
        </w:rPr>
        <w:t>并通过采</w:t>
      </w:r>
      <w:r>
        <w:rPr>
          <w:rFonts w:hint="eastAsia" w:ascii="宋体" w:hAnsi="宋体" w:eastAsia="宋体" w:cs="宋体"/>
          <w:spacing w:val="-2"/>
          <w:sz w:val="24"/>
          <w:szCs w:val="24"/>
          <w:highlight w:val="none"/>
          <w:lang w:val="en-US" w:eastAsia="zh-CN"/>
        </w:rPr>
        <w:t>购人验收，部署验收完成后提供三年运保服务</w:t>
      </w:r>
      <w:r>
        <w:rPr>
          <w:rFonts w:hint="eastAsia" w:ascii="宋体" w:hAnsi="宋体" w:cs="宋体"/>
          <w:spacing w:val="-2"/>
          <w:sz w:val="24"/>
          <w:szCs w:val="24"/>
          <w:highlight w:val="none"/>
          <w:lang w:val="en-US" w:eastAsia="zh-CN"/>
        </w:rPr>
        <w:t>。</w:t>
      </w:r>
    </w:p>
    <w:p w14:paraId="391A3FF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lang w:val="en-US" w:eastAsia="zh-CN"/>
        </w:rPr>
        <w:t>8</w:t>
      </w:r>
      <w:r>
        <w:rPr>
          <w:rFonts w:hint="eastAsia" w:ascii="宋体" w:hAnsi="宋体" w:cs="宋体"/>
          <w:spacing w:val="-2"/>
          <w:sz w:val="24"/>
          <w:szCs w:val="24"/>
          <w:highlight w:val="none"/>
        </w:rPr>
        <w:t>.本项目（是/否）接受联合体投标：否</w:t>
      </w:r>
    </w:p>
    <w:p w14:paraId="6A358FCA">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lang w:val="en-US" w:eastAsia="zh-CN"/>
        </w:rPr>
        <w:t>9</w:t>
      </w:r>
      <w:r>
        <w:rPr>
          <w:rFonts w:hint="eastAsia" w:ascii="宋体" w:hAnsi="宋体" w:cs="宋体"/>
          <w:spacing w:val="-2"/>
          <w:sz w:val="24"/>
          <w:szCs w:val="24"/>
          <w:highlight w:val="none"/>
        </w:rPr>
        <w:t>.是否可采购进口产品：否</w:t>
      </w:r>
    </w:p>
    <w:p w14:paraId="547EBAFD">
      <w:pPr>
        <w:shd w:val="clear"/>
        <w:spacing w:line="360" w:lineRule="auto"/>
        <w:ind w:firstLine="472" w:firstLineChars="200"/>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10</w:t>
      </w:r>
      <w:r>
        <w:rPr>
          <w:rFonts w:hint="eastAsia" w:ascii="宋体" w:hAnsi="宋体" w:eastAsia="宋体" w:cs="宋体"/>
          <w:spacing w:val="-2"/>
          <w:sz w:val="24"/>
          <w:szCs w:val="24"/>
          <w:highlight w:val="none"/>
        </w:rPr>
        <w:t>.本项目（是/否）接受合同分包：否</w:t>
      </w:r>
    </w:p>
    <w:p w14:paraId="1C82345F">
      <w:pPr>
        <w:shd w:val="clear"/>
        <w:spacing w:line="360" w:lineRule="auto"/>
        <w:ind w:firstLine="474" w:firstLineChars="200"/>
        <w:rPr>
          <w:rFonts w:hint="eastAsia"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11</w:t>
      </w:r>
      <w:r>
        <w:rPr>
          <w:rFonts w:hint="eastAsia" w:ascii="宋体" w:hAnsi="宋体" w:eastAsia="宋体" w:cs="宋体"/>
          <w:b/>
          <w:bCs/>
          <w:color w:val="auto"/>
          <w:spacing w:val="-2"/>
          <w:sz w:val="24"/>
          <w:szCs w:val="24"/>
          <w:highlight w:val="none"/>
        </w:rPr>
        <w:t>.本项目（是/否）专门面向中小微企业：</w:t>
      </w:r>
      <w:r>
        <w:rPr>
          <w:rFonts w:hint="eastAsia" w:ascii="宋体" w:hAnsi="宋体" w:eastAsia="宋体" w:cs="宋体"/>
          <w:b/>
          <w:bCs/>
          <w:color w:val="auto"/>
          <w:spacing w:val="-2"/>
          <w:sz w:val="24"/>
          <w:szCs w:val="24"/>
          <w:highlight w:val="none"/>
          <w:lang w:val="en-US" w:eastAsia="zh-CN"/>
        </w:rPr>
        <w:t>否</w:t>
      </w:r>
    </w:p>
    <w:p w14:paraId="430A2D0C">
      <w:pPr>
        <w:shd w:val="clear"/>
        <w:spacing w:line="360" w:lineRule="auto"/>
        <w:ind w:firstLine="474" w:firstLineChars="200"/>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rPr>
        <w:t>1</w:t>
      </w:r>
      <w:r>
        <w:rPr>
          <w:rFonts w:hint="eastAsia" w:ascii="宋体" w:hAnsi="宋体" w:eastAsia="宋体" w:cs="宋体"/>
          <w:b/>
          <w:bCs/>
          <w:color w:val="auto"/>
          <w:spacing w:val="-2"/>
          <w:sz w:val="24"/>
          <w:szCs w:val="24"/>
          <w:highlight w:val="none"/>
          <w:lang w:val="en-US" w:eastAsia="zh-CN"/>
        </w:rPr>
        <w:t>2</w:t>
      </w:r>
      <w:r>
        <w:rPr>
          <w:rFonts w:hint="eastAsia" w:ascii="宋体" w:hAnsi="宋体" w:eastAsia="宋体" w:cs="宋体"/>
          <w:b/>
          <w:bCs/>
          <w:color w:val="auto"/>
          <w:spacing w:val="-2"/>
          <w:sz w:val="24"/>
          <w:szCs w:val="24"/>
          <w:highlight w:val="none"/>
        </w:rPr>
        <w:t>.</w:t>
      </w:r>
      <w:r>
        <w:rPr>
          <w:rFonts w:hint="eastAsia" w:ascii="宋体" w:hAnsi="宋体" w:eastAsia="宋体" w:cs="宋体"/>
          <w:b/>
          <w:bCs/>
          <w:color w:val="auto"/>
          <w:spacing w:val="-2"/>
          <w:sz w:val="24"/>
          <w:szCs w:val="24"/>
          <w:highlight w:val="none"/>
          <w:lang w:val="hr-HR"/>
        </w:rPr>
        <w:t>符合条件的小微企业价格扣除优惠为：10.00%</w:t>
      </w:r>
    </w:p>
    <w:p w14:paraId="157BB6B3">
      <w:pPr>
        <w:shd w:val="clear"/>
        <w:spacing w:line="360" w:lineRule="auto"/>
        <w:ind w:firstLine="474" w:firstLineChars="200"/>
        <w:rPr>
          <w:rFonts w:ascii="宋体" w:hAnsi="宋体" w:cs="宋体"/>
          <w:b/>
          <w:bCs/>
          <w:spacing w:val="-2"/>
          <w:sz w:val="24"/>
          <w:szCs w:val="24"/>
          <w:highlight w:val="none"/>
        </w:rPr>
      </w:pPr>
      <w:r>
        <w:rPr>
          <w:rFonts w:hint="eastAsia" w:ascii="宋体" w:hAnsi="宋体" w:cs="宋体"/>
          <w:b/>
          <w:bCs/>
          <w:spacing w:val="-2"/>
          <w:sz w:val="24"/>
          <w:szCs w:val="24"/>
          <w:highlight w:val="none"/>
        </w:rPr>
        <w:t>二、合格供应商资格要求</w:t>
      </w:r>
      <w:bookmarkEnd w:id="9"/>
      <w:bookmarkEnd w:id="10"/>
    </w:p>
    <w:p w14:paraId="6C9114DA">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参加本项目竞标的供应商必须具备以下要求，并按照相关规定递交证明文件，否则其投标将被拒绝。</w:t>
      </w:r>
    </w:p>
    <w:p w14:paraId="1507548F">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1.满足下列规定，即：</w:t>
      </w:r>
    </w:p>
    <w:p w14:paraId="4CDE21B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（1）具有独立承担民事责任的能力；</w:t>
      </w:r>
    </w:p>
    <w:p w14:paraId="61ABDD6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（2）具有良好的商业信誉和健全的财务会计制度；</w:t>
      </w:r>
    </w:p>
    <w:p w14:paraId="67323C6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（3）具有履行合同所必需的设备和专业技术能力；</w:t>
      </w:r>
    </w:p>
    <w:p w14:paraId="2802DF08">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（4）有依法缴纳税收和社会保障资金的良好记录；</w:t>
      </w:r>
    </w:p>
    <w:p w14:paraId="78DF3648">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（5）参加本项目采购活动前三年内，在经营活动中没有重大违法记录；</w:t>
      </w:r>
    </w:p>
    <w:p w14:paraId="55F61EF1">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（6）法律、行政法规规定的其他条件。</w:t>
      </w:r>
    </w:p>
    <w:p w14:paraId="7EFB6168">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2.单位负责人为同一人或者存在直接控股、管理关系的不同供应商，不得参加本项目同一合同项下的采购活动。</w:t>
      </w:r>
    </w:p>
    <w:p w14:paraId="6CAF9AC5">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3.为本采购项目提供整体设计、规范编制或者项目管理、监理、检测等服务的，不得再参加本项目的其他招标采购活动。</w:t>
      </w:r>
    </w:p>
    <w:p w14:paraId="3F5DCE0C">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4.未被列入失信被执行人、重大税收违法失信主体，未被列入政府采购严重违法失信行为记录名单。</w:t>
      </w:r>
    </w:p>
    <w:p w14:paraId="05FB4D1E">
      <w:pPr>
        <w:shd w:val="clear"/>
        <w:spacing w:line="360" w:lineRule="auto"/>
        <w:ind w:firstLine="472" w:firstLineChars="200"/>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5.落实政府采购政策需满足的资格要求：本项目</w:t>
      </w:r>
      <w:r>
        <w:rPr>
          <w:rFonts w:hint="eastAsia" w:ascii="宋体" w:hAnsi="宋体" w:cs="宋体"/>
          <w:color w:val="auto"/>
          <w:spacing w:val="-2"/>
          <w:sz w:val="24"/>
          <w:szCs w:val="24"/>
          <w:highlight w:val="none"/>
          <w:lang w:val="en-US" w:eastAsia="zh-CN"/>
        </w:rPr>
        <w:t>非</w:t>
      </w:r>
      <w:r>
        <w:rPr>
          <w:rFonts w:hint="eastAsia" w:ascii="宋体" w:hAnsi="宋体" w:cs="宋体"/>
          <w:color w:val="auto"/>
          <w:spacing w:val="-2"/>
          <w:sz w:val="24"/>
          <w:szCs w:val="24"/>
          <w:highlight w:val="none"/>
        </w:rPr>
        <w:t>专门面向中小企业采购。</w:t>
      </w:r>
    </w:p>
    <w:p w14:paraId="2ABB82EB">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6.本项目的特定资格要求：未被列入“信用中国”网站（www.creditchina.gov.cn）失信被执行人、重大税收违法失信主体和“中国政府采购网”（www.ccgp.gov.cn）政府采购严重违法失信行为记录名单（以磋商当天采购代理机构查询结果为准）。</w:t>
      </w:r>
    </w:p>
    <w:p w14:paraId="0FEDDD9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磋商资格要求为本次项目供应商应具备的基本条件，参加磋商的供应商必须满足磋商资格要求中的所有条款，并按照相关规定在响应文件中递交资格证明文件。</w:t>
      </w:r>
      <w:bookmarkStart w:id="11" w:name="_Toc20518"/>
      <w:bookmarkStart w:id="12" w:name="_Toc22951"/>
    </w:p>
    <w:p w14:paraId="6979EA4C">
      <w:pPr>
        <w:shd w:val="clear"/>
        <w:spacing w:line="360" w:lineRule="auto"/>
        <w:ind w:firstLine="474" w:firstLineChars="200"/>
        <w:rPr>
          <w:rFonts w:ascii="宋体" w:hAnsi="宋体" w:cs="宋体"/>
          <w:b/>
          <w:bCs/>
          <w:spacing w:val="-2"/>
          <w:sz w:val="24"/>
          <w:szCs w:val="24"/>
          <w:highlight w:val="none"/>
        </w:rPr>
      </w:pPr>
      <w:r>
        <w:rPr>
          <w:rFonts w:hint="eastAsia" w:ascii="宋体" w:hAnsi="宋体" w:cs="宋体"/>
          <w:b/>
          <w:bCs/>
          <w:spacing w:val="-2"/>
          <w:sz w:val="24"/>
          <w:szCs w:val="24"/>
          <w:highlight w:val="none"/>
        </w:rPr>
        <w:t>三、竞争性磋商文件</w:t>
      </w:r>
      <w:bookmarkEnd w:id="7"/>
      <w:r>
        <w:rPr>
          <w:rFonts w:hint="eastAsia" w:ascii="宋体" w:hAnsi="宋体" w:cs="宋体"/>
          <w:b/>
          <w:bCs/>
          <w:spacing w:val="-2"/>
          <w:sz w:val="24"/>
          <w:szCs w:val="24"/>
          <w:highlight w:val="none"/>
        </w:rPr>
        <w:t>获取</w:t>
      </w:r>
      <w:bookmarkEnd w:id="8"/>
      <w:bookmarkEnd w:id="11"/>
      <w:bookmarkEnd w:id="12"/>
    </w:p>
    <w:p w14:paraId="76BAF311">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1.时间：</w:t>
      </w:r>
      <w:r>
        <w:rPr>
          <w:rFonts w:hint="eastAsia" w:ascii="宋体" w:hAnsi="宋体" w:cs="宋体"/>
          <w:spacing w:val="-2"/>
          <w:sz w:val="24"/>
          <w:szCs w:val="24"/>
          <w:highlight w:val="none"/>
          <w:u w:val="single"/>
        </w:rPr>
        <w:t>202</w:t>
      </w:r>
      <w:r>
        <w:rPr>
          <w:rFonts w:hint="eastAsia" w:ascii="宋体" w:hAnsi="宋体" w:cs="宋体"/>
          <w:spacing w:val="-2"/>
          <w:sz w:val="24"/>
          <w:szCs w:val="24"/>
          <w:highlight w:val="none"/>
          <w:u w:val="single"/>
          <w:lang w:val="en-US" w:eastAsia="zh-CN"/>
        </w:rPr>
        <w:t>5</w:t>
      </w:r>
      <w:r>
        <w:rPr>
          <w:rFonts w:hint="eastAsia" w:ascii="宋体" w:hAnsi="宋体" w:cs="宋体"/>
          <w:spacing w:val="-2"/>
          <w:sz w:val="24"/>
          <w:szCs w:val="24"/>
          <w:highlight w:val="none"/>
          <w:u w:val="single"/>
        </w:rPr>
        <w:t>年</w:t>
      </w:r>
      <w:r>
        <w:rPr>
          <w:rFonts w:hint="eastAsia" w:ascii="宋体" w:hAnsi="宋体" w:cs="宋体"/>
          <w:spacing w:val="-2"/>
          <w:sz w:val="24"/>
          <w:szCs w:val="24"/>
          <w:highlight w:val="none"/>
          <w:u w:val="single"/>
          <w:lang w:val="en-US" w:eastAsia="zh-CN"/>
        </w:rPr>
        <w:t>07</w:t>
      </w:r>
      <w:r>
        <w:rPr>
          <w:rFonts w:hint="eastAsia" w:ascii="宋体" w:hAnsi="宋体" w:cs="宋体"/>
          <w:spacing w:val="-2"/>
          <w:sz w:val="24"/>
          <w:szCs w:val="24"/>
          <w:highlight w:val="none"/>
          <w:u w:val="single"/>
        </w:rPr>
        <w:t>月</w:t>
      </w:r>
      <w:r>
        <w:rPr>
          <w:rFonts w:hint="eastAsia" w:ascii="宋体" w:hAnsi="宋体" w:cs="宋体"/>
          <w:spacing w:val="-2"/>
          <w:sz w:val="24"/>
          <w:szCs w:val="24"/>
          <w:highlight w:val="none"/>
          <w:u w:val="single"/>
          <w:lang w:val="en-US" w:eastAsia="zh-CN"/>
        </w:rPr>
        <w:t>08</w:t>
      </w:r>
      <w:r>
        <w:rPr>
          <w:rFonts w:hint="eastAsia" w:ascii="宋体" w:hAnsi="宋体" w:cs="宋体"/>
          <w:spacing w:val="-2"/>
          <w:sz w:val="24"/>
          <w:szCs w:val="24"/>
          <w:highlight w:val="none"/>
          <w:u w:val="single"/>
        </w:rPr>
        <w:t>日起至20</w:t>
      </w:r>
      <w:r>
        <w:rPr>
          <w:rFonts w:hint="eastAsia" w:ascii="宋体" w:hAnsi="宋体" w:cs="宋体"/>
          <w:spacing w:val="-2"/>
          <w:sz w:val="24"/>
          <w:szCs w:val="24"/>
          <w:highlight w:val="none"/>
          <w:u w:val="single"/>
          <w:lang w:val="en-US" w:eastAsia="zh-CN"/>
        </w:rPr>
        <w:t>25</w:t>
      </w:r>
      <w:r>
        <w:rPr>
          <w:rFonts w:hint="eastAsia" w:ascii="宋体" w:hAnsi="宋体" w:cs="宋体"/>
          <w:spacing w:val="-2"/>
          <w:sz w:val="24"/>
          <w:szCs w:val="24"/>
          <w:highlight w:val="none"/>
          <w:u w:val="single"/>
        </w:rPr>
        <w:t>年</w:t>
      </w:r>
      <w:r>
        <w:rPr>
          <w:rFonts w:hint="eastAsia" w:ascii="宋体" w:hAnsi="宋体" w:cs="宋体"/>
          <w:spacing w:val="-2"/>
          <w:sz w:val="24"/>
          <w:szCs w:val="24"/>
          <w:highlight w:val="none"/>
          <w:u w:val="single"/>
          <w:lang w:val="en-US" w:eastAsia="zh-CN"/>
        </w:rPr>
        <w:t>07</w:t>
      </w:r>
      <w:r>
        <w:rPr>
          <w:rFonts w:hint="eastAsia" w:ascii="宋体" w:hAnsi="宋体" w:cs="宋体"/>
          <w:spacing w:val="-2"/>
          <w:sz w:val="24"/>
          <w:szCs w:val="24"/>
          <w:highlight w:val="none"/>
          <w:u w:val="single"/>
        </w:rPr>
        <w:t>月</w:t>
      </w:r>
      <w:r>
        <w:rPr>
          <w:rFonts w:hint="eastAsia" w:ascii="宋体" w:hAnsi="宋体" w:cs="宋体"/>
          <w:spacing w:val="-2"/>
          <w:sz w:val="24"/>
          <w:szCs w:val="24"/>
          <w:highlight w:val="none"/>
          <w:u w:val="single"/>
          <w:lang w:val="en-US" w:eastAsia="zh-CN"/>
        </w:rPr>
        <w:t>14</w:t>
      </w:r>
      <w:r>
        <w:rPr>
          <w:rFonts w:hint="eastAsia" w:ascii="宋体" w:hAnsi="宋体" w:cs="宋体"/>
          <w:spacing w:val="-2"/>
          <w:sz w:val="24"/>
          <w:szCs w:val="24"/>
          <w:highlight w:val="none"/>
          <w:u w:val="single"/>
        </w:rPr>
        <w:t>日止</w:t>
      </w:r>
      <w:r>
        <w:rPr>
          <w:rFonts w:hint="eastAsia" w:ascii="宋体" w:hAnsi="宋体" w:cs="宋体"/>
          <w:spacing w:val="-2"/>
          <w:sz w:val="24"/>
          <w:szCs w:val="24"/>
          <w:highlight w:val="none"/>
        </w:rPr>
        <w:t>，每天上午9</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00-11</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30时、下午14</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00-17</w:t>
      </w:r>
      <w:r>
        <w:rPr>
          <w:rFonts w:hint="eastAsia" w:ascii="宋体" w:hAnsi="宋体" w:cs="宋体"/>
          <w:spacing w:val="-2"/>
          <w:sz w:val="24"/>
          <w:szCs w:val="24"/>
          <w:highlight w:val="none"/>
          <w:lang w:eastAsia="zh-CN"/>
        </w:rPr>
        <w:t>:</w:t>
      </w:r>
      <w:r>
        <w:rPr>
          <w:rFonts w:hint="eastAsia" w:ascii="宋体" w:hAnsi="宋体" w:cs="宋体"/>
          <w:spacing w:val="-2"/>
          <w:sz w:val="24"/>
          <w:szCs w:val="24"/>
          <w:highlight w:val="none"/>
        </w:rPr>
        <w:t>00时（北京时间，法定节假日除外）。</w:t>
      </w:r>
      <w:bookmarkStart w:id="13" w:name="_Toc330217016"/>
      <w:bookmarkStart w:id="14" w:name="_Toc425255891"/>
      <w:bookmarkStart w:id="15" w:name="_Toc7143"/>
      <w:bookmarkStart w:id="16" w:name="_Toc447024807"/>
    </w:p>
    <w:p w14:paraId="5429ADA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2.地点：武汉市武昌区民主路789号侧院湖北世发招标有限公司209室或网络（邮箱hbsfzb@sina.cn）</w:t>
      </w:r>
    </w:p>
    <w:p w14:paraId="30A3908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3.方式：（1）现场获取；（2）网络获取（邮箱hbsfzb@sina.cn）。供应商代表须准备如下相关证明材料：</w:t>
      </w:r>
    </w:p>
    <w:p w14:paraId="530730B7">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①法定代表人授权代理人领取的：凭法定代表人授权委托书（需含法定代表人及被授权人身份证正反面信息）；法定代表人自行领取的：凭法定代表人身份证明书（需含法定代表人身份证正反面信息）；</w:t>
      </w:r>
    </w:p>
    <w:p w14:paraId="53A3B51E">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②登记表（详见附件）；</w:t>
      </w:r>
    </w:p>
    <w:p w14:paraId="29F9158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③付款凭证（网络获取提供）；</w:t>
      </w:r>
    </w:p>
    <w:p w14:paraId="7472016C">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上述文件资料均需加盖公章采购代理机构留存。</w:t>
      </w:r>
    </w:p>
    <w:p w14:paraId="5547A34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4.文件售价：人民币400元/本，售后不退。</w:t>
      </w:r>
    </w:p>
    <w:bookmarkEnd w:id="13"/>
    <w:bookmarkEnd w:id="14"/>
    <w:bookmarkEnd w:id="15"/>
    <w:bookmarkEnd w:id="16"/>
    <w:p w14:paraId="1273B741">
      <w:pPr>
        <w:shd w:val="clear"/>
        <w:spacing w:line="360" w:lineRule="auto"/>
        <w:ind w:firstLine="474" w:firstLineChars="200"/>
        <w:rPr>
          <w:rFonts w:ascii="宋体" w:hAnsi="宋体" w:cs="宋体"/>
          <w:b/>
          <w:bCs/>
          <w:spacing w:val="-2"/>
          <w:sz w:val="24"/>
          <w:szCs w:val="24"/>
          <w:highlight w:val="none"/>
        </w:rPr>
      </w:pPr>
      <w:bookmarkStart w:id="17" w:name="_Toc330217017"/>
      <w:bookmarkStart w:id="18" w:name="_Toc447024808"/>
      <w:bookmarkStart w:id="19" w:name="_Toc425255892"/>
      <w:bookmarkStart w:id="20" w:name="_Toc19838"/>
      <w:r>
        <w:rPr>
          <w:rFonts w:hint="eastAsia" w:ascii="宋体" w:hAnsi="宋体" w:cs="宋体"/>
          <w:b/>
          <w:bCs/>
          <w:spacing w:val="-2"/>
          <w:sz w:val="24"/>
          <w:szCs w:val="24"/>
          <w:highlight w:val="none"/>
        </w:rPr>
        <w:t>四、响应文件递交开始时间、截止时间、地点：</w:t>
      </w:r>
    </w:p>
    <w:p w14:paraId="4A20BFC9">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1.开始时间：20</w:t>
      </w:r>
      <w:r>
        <w:rPr>
          <w:rFonts w:hint="eastAsia" w:ascii="宋体" w:hAnsi="宋体" w:cs="宋体"/>
          <w:spacing w:val="-2"/>
          <w:sz w:val="24"/>
          <w:szCs w:val="24"/>
          <w:highlight w:val="none"/>
          <w:lang w:val="en-US" w:eastAsia="zh-CN"/>
        </w:rPr>
        <w:t>25</w:t>
      </w:r>
      <w:r>
        <w:rPr>
          <w:rFonts w:hint="eastAsia" w:ascii="宋体" w:hAnsi="宋体" w:cs="宋体"/>
          <w:spacing w:val="-2"/>
          <w:sz w:val="24"/>
          <w:szCs w:val="24"/>
          <w:highlight w:val="none"/>
        </w:rPr>
        <w:t>年</w:t>
      </w:r>
      <w:r>
        <w:rPr>
          <w:rFonts w:hint="eastAsia" w:ascii="宋体" w:hAnsi="宋体" w:cs="宋体"/>
          <w:spacing w:val="-2"/>
          <w:sz w:val="24"/>
          <w:szCs w:val="24"/>
          <w:highlight w:val="none"/>
          <w:lang w:val="en-US" w:eastAsia="zh-CN"/>
        </w:rPr>
        <w:t>07</w:t>
      </w:r>
      <w:r>
        <w:rPr>
          <w:rFonts w:hint="eastAsia" w:ascii="宋体" w:hAnsi="宋体" w:cs="宋体"/>
          <w:spacing w:val="-2"/>
          <w:sz w:val="24"/>
          <w:szCs w:val="24"/>
          <w:highlight w:val="none"/>
        </w:rPr>
        <w:t>月</w:t>
      </w:r>
      <w:r>
        <w:rPr>
          <w:rFonts w:hint="eastAsia" w:ascii="宋体" w:hAnsi="宋体" w:cs="宋体"/>
          <w:spacing w:val="-2"/>
          <w:sz w:val="24"/>
          <w:szCs w:val="24"/>
          <w:highlight w:val="none"/>
          <w:lang w:val="en-US" w:eastAsia="zh-CN"/>
        </w:rPr>
        <w:t>18</w:t>
      </w:r>
      <w:r>
        <w:rPr>
          <w:rFonts w:hint="eastAsia" w:ascii="宋体" w:hAnsi="宋体" w:cs="宋体"/>
          <w:spacing w:val="-2"/>
          <w:sz w:val="24"/>
          <w:szCs w:val="24"/>
          <w:highlight w:val="none"/>
        </w:rPr>
        <w:t>日</w:t>
      </w:r>
      <w:r>
        <w:rPr>
          <w:rFonts w:hint="eastAsia" w:ascii="宋体" w:hAnsi="宋体" w:cs="宋体"/>
          <w:spacing w:val="-2"/>
          <w:sz w:val="24"/>
          <w:szCs w:val="24"/>
          <w:highlight w:val="none"/>
          <w:lang w:val="en-US" w:eastAsia="zh-CN"/>
        </w:rPr>
        <w:t>08</w:t>
      </w:r>
      <w:r>
        <w:rPr>
          <w:rFonts w:hint="eastAsia" w:ascii="宋体" w:hAnsi="宋体" w:cs="宋体"/>
          <w:spacing w:val="-2"/>
          <w:sz w:val="24"/>
          <w:szCs w:val="24"/>
          <w:highlight w:val="none"/>
        </w:rPr>
        <w:t>时</w:t>
      </w:r>
      <w:r>
        <w:rPr>
          <w:rFonts w:hint="eastAsia" w:ascii="宋体" w:hAnsi="宋体" w:cs="宋体"/>
          <w:spacing w:val="-2"/>
          <w:sz w:val="24"/>
          <w:szCs w:val="24"/>
          <w:highlight w:val="none"/>
          <w:lang w:val="en-US" w:eastAsia="zh-CN"/>
        </w:rPr>
        <w:t>30</w:t>
      </w:r>
      <w:r>
        <w:rPr>
          <w:rFonts w:hint="eastAsia" w:ascii="宋体" w:hAnsi="宋体" w:cs="宋体"/>
          <w:spacing w:val="-2"/>
          <w:sz w:val="24"/>
          <w:szCs w:val="24"/>
          <w:highlight w:val="none"/>
        </w:rPr>
        <w:t>分（北京时间）</w:t>
      </w:r>
    </w:p>
    <w:p w14:paraId="7C65163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2.截止时间：20</w:t>
      </w:r>
      <w:r>
        <w:rPr>
          <w:rFonts w:hint="eastAsia" w:ascii="宋体" w:hAnsi="宋体" w:cs="宋体"/>
          <w:spacing w:val="-2"/>
          <w:sz w:val="24"/>
          <w:szCs w:val="24"/>
          <w:highlight w:val="none"/>
          <w:lang w:val="en-US" w:eastAsia="zh-CN"/>
        </w:rPr>
        <w:t>25</w:t>
      </w:r>
      <w:r>
        <w:rPr>
          <w:rFonts w:hint="eastAsia" w:ascii="宋体" w:hAnsi="宋体" w:cs="宋体"/>
          <w:spacing w:val="-2"/>
          <w:sz w:val="24"/>
          <w:szCs w:val="24"/>
          <w:highlight w:val="none"/>
        </w:rPr>
        <w:t>年</w:t>
      </w:r>
      <w:r>
        <w:rPr>
          <w:rFonts w:hint="eastAsia" w:ascii="宋体" w:hAnsi="宋体" w:cs="宋体"/>
          <w:spacing w:val="-2"/>
          <w:sz w:val="24"/>
          <w:szCs w:val="24"/>
          <w:highlight w:val="none"/>
          <w:lang w:val="en-US" w:eastAsia="zh-CN"/>
        </w:rPr>
        <w:t>07</w:t>
      </w:r>
      <w:r>
        <w:rPr>
          <w:rFonts w:hint="eastAsia" w:ascii="宋体" w:hAnsi="宋体" w:cs="宋体"/>
          <w:spacing w:val="-2"/>
          <w:sz w:val="24"/>
          <w:szCs w:val="24"/>
          <w:highlight w:val="none"/>
        </w:rPr>
        <w:t>月</w:t>
      </w:r>
      <w:r>
        <w:rPr>
          <w:rFonts w:hint="eastAsia" w:ascii="宋体" w:hAnsi="宋体" w:cs="宋体"/>
          <w:spacing w:val="-2"/>
          <w:sz w:val="24"/>
          <w:szCs w:val="24"/>
          <w:highlight w:val="none"/>
          <w:lang w:val="en-US" w:eastAsia="zh-CN"/>
        </w:rPr>
        <w:t>18</w:t>
      </w:r>
      <w:r>
        <w:rPr>
          <w:rFonts w:hint="eastAsia" w:ascii="宋体" w:hAnsi="宋体" w:cs="宋体"/>
          <w:spacing w:val="-2"/>
          <w:sz w:val="24"/>
          <w:szCs w:val="24"/>
          <w:highlight w:val="none"/>
        </w:rPr>
        <w:t>日</w:t>
      </w:r>
      <w:r>
        <w:rPr>
          <w:rFonts w:hint="eastAsia" w:ascii="宋体" w:hAnsi="宋体" w:cs="宋体"/>
          <w:spacing w:val="-2"/>
          <w:sz w:val="24"/>
          <w:szCs w:val="24"/>
          <w:highlight w:val="none"/>
          <w:lang w:val="en-US" w:eastAsia="zh-CN"/>
        </w:rPr>
        <w:t>09</w:t>
      </w:r>
      <w:r>
        <w:rPr>
          <w:rFonts w:hint="eastAsia" w:ascii="宋体" w:hAnsi="宋体" w:cs="宋体"/>
          <w:spacing w:val="-2"/>
          <w:sz w:val="24"/>
          <w:szCs w:val="24"/>
          <w:highlight w:val="none"/>
        </w:rPr>
        <w:t>时</w:t>
      </w:r>
      <w:r>
        <w:rPr>
          <w:rFonts w:hint="eastAsia" w:ascii="宋体" w:hAnsi="宋体" w:cs="宋体"/>
          <w:spacing w:val="-2"/>
          <w:sz w:val="24"/>
          <w:szCs w:val="24"/>
          <w:highlight w:val="none"/>
          <w:lang w:val="en-US" w:eastAsia="zh-CN"/>
        </w:rPr>
        <w:t>00</w:t>
      </w:r>
      <w:r>
        <w:rPr>
          <w:rFonts w:hint="eastAsia" w:ascii="宋体" w:hAnsi="宋体" w:cs="宋体"/>
          <w:spacing w:val="-2"/>
          <w:sz w:val="24"/>
          <w:szCs w:val="24"/>
          <w:highlight w:val="none"/>
        </w:rPr>
        <w:t>分（北京时间）</w:t>
      </w:r>
    </w:p>
    <w:p w14:paraId="64EC953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3.地点：</w:t>
      </w:r>
      <w:bookmarkStart w:id="21" w:name="_Toc22166"/>
      <w:bookmarkStart w:id="22" w:name="_Toc4344"/>
      <w:r>
        <w:rPr>
          <w:rFonts w:hint="eastAsia" w:ascii="宋体" w:hAnsi="宋体" w:cs="宋体"/>
          <w:spacing w:val="-2"/>
          <w:sz w:val="24"/>
          <w:szCs w:val="24"/>
          <w:highlight w:val="none"/>
        </w:rPr>
        <w:t>武汉市武昌区民主路789号侧院湖北世发招标有限公司</w:t>
      </w:r>
      <w:r>
        <w:rPr>
          <w:rFonts w:hint="eastAsia" w:ascii="宋体" w:hAnsi="宋体" w:cs="宋体"/>
          <w:spacing w:val="-2"/>
          <w:sz w:val="24"/>
          <w:szCs w:val="24"/>
          <w:highlight w:val="none"/>
          <w:lang w:val="en-US" w:eastAsia="zh-CN"/>
        </w:rPr>
        <w:t>1</w:t>
      </w:r>
      <w:r>
        <w:rPr>
          <w:rFonts w:hint="eastAsia" w:ascii="宋体" w:hAnsi="宋体" w:cs="宋体"/>
          <w:spacing w:val="-2"/>
          <w:sz w:val="24"/>
          <w:szCs w:val="24"/>
          <w:highlight w:val="none"/>
        </w:rPr>
        <w:t>号开标室</w:t>
      </w:r>
    </w:p>
    <w:p w14:paraId="37DAE357">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供应商应当在要求的响应文件递交截止时间前，将响应文件密封送达指定地点。在截止时间后送达的响应文件将被拒绝。</w:t>
      </w:r>
      <w:bookmarkEnd w:id="21"/>
      <w:bookmarkEnd w:id="22"/>
    </w:p>
    <w:p w14:paraId="59DB4752">
      <w:pPr>
        <w:shd w:val="clear"/>
        <w:spacing w:line="360" w:lineRule="auto"/>
        <w:ind w:firstLine="474" w:firstLineChars="200"/>
        <w:rPr>
          <w:rFonts w:ascii="宋体" w:hAnsi="宋体" w:cs="宋体"/>
          <w:b/>
          <w:bCs/>
          <w:spacing w:val="-2"/>
          <w:sz w:val="24"/>
          <w:szCs w:val="24"/>
          <w:highlight w:val="none"/>
        </w:rPr>
      </w:pPr>
      <w:bookmarkStart w:id="23" w:name="_Toc23388"/>
      <w:bookmarkStart w:id="24" w:name="_Toc885"/>
      <w:r>
        <w:rPr>
          <w:rFonts w:hint="eastAsia" w:ascii="宋体" w:hAnsi="宋体" w:cs="宋体"/>
          <w:b/>
          <w:bCs/>
          <w:spacing w:val="-2"/>
          <w:sz w:val="24"/>
          <w:szCs w:val="24"/>
          <w:highlight w:val="none"/>
        </w:rPr>
        <w:t>五、磋商时间及地点</w:t>
      </w:r>
      <w:bookmarkEnd w:id="17"/>
      <w:bookmarkEnd w:id="18"/>
      <w:bookmarkEnd w:id="19"/>
      <w:bookmarkEnd w:id="20"/>
      <w:bookmarkEnd w:id="23"/>
      <w:bookmarkEnd w:id="24"/>
    </w:p>
    <w:p w14:paraId="0B700C7A">
      <w:pPr>
        <w:shd w:val="clear"/>
        <w:spacing w:line="360" w:lineRule="auto"/>
        <w:ind w:firstLine="472" w:firstLineChars="200"/>
        <w:rPr>
          <w:rFonts w:ascii="宋体" w:hAnsi="宋体" w:cs="宋体"/>
          <w:spacing w:val="-2"/>
          <w:sz w:val="24"/>
          <w:szCs w:val="24"/>
          <w:highlight w:val="none"/>
        </w:rPr>
      </w:pPr>
      <w:bookmarkStart w:id="25" w:name="_Toc425255893"/>
      <w:bookmarkStart w:id="26" w:name="_Toc330217018"/>
      <w:bookmarkStart w:id="27" w:name="_Toc447024809"/>
      <w:bookmarkStart w:id="28" w:name="_Toc14154"/>
      <w:r>
        <w:rPr>
          <w:rFonts w:hint="eastAsia" w:ascii="宋体" w:hAnsi="宋体" w:cs="宋体"/>
          <w:spacing w:val="-2"/>
          <w:sz w:val="24"/>
          <w:szCs w:val="24"/>
          <w:highlight w:val="none"/>
        </w:rPr>
        <w:t>1.时间：20</w:t>
      </w:r>
      <w:r>
        <w:rPr>
          <w:rFonts w:hint="eastAsia" w:ascii="宋体" w:hAnsi="宋体" w:cs="宋体"/>
          <w:spacing w:val="-2"/>
          <w:sz w:val="24"/>
          <w:szCs w:val="24"/>
          <w:highlight w:val="none"/>
          <w:lang w:val="en-US" w:eastAsia="zh-CN"/>
        </w:rPr>
        <w:t>25</w:t>
      </w:r>
      <w:r>
        <w:rPr>
          <w:rFonts w:hint="eastAsia" w:ascii="宋体" w:hAnsi="宋体" w:cs="宋体"/>
          <w:spacing w:val="-2"/>
          <w:sz w:val="24"/>
          <w:szCs w:val="24"/>
          <w:highlight w:val="none"/>
        </w:rPr>
        <w:t>年</w:t>
      </w:r>
      <w:r>
        <w:rPr>
          <w:rFonts w:hint="eastAsia" w:ascii="宋体" w:hAnsi="宋体" w:cs="宋体"/>
          <w:spacing w:val="-2"/>
          <w:sz w:val="24"/>
          <w:szCs w:val="24"/>
          <w:highlight w:val="none"/>
          <w:lang w:val="en-US" w:eastAsia="zh-CN"/>
        </w:rPr>
        <w:t>07</w:t>
      </w:r>
      <w:r>
        <w:rPr>
          <w:rFonts w:hint="eastAsia" w:ascii="宋体" w:hAnsi="宋体" w:cs="宋体"/>
          <w:spacing w:val="-2"/>
          <w:sz w:val="24"/>
          <w:szCs w:val="24"/>
          <w:highlight w:val="none"/>
        </w:rPr>
        <w:t>月</w:t>
      </w:r>
      <w:r>
        <w:rPr>
          <w:rFonts w:hint="eastAsia" w:ascii="宋体" w:hAnsi="宋体" w:cs="宋体"/>
          <w:spacing w:val="-2"/>
          <w:sz w:val="24"/>
          <w:szCs w:val="24"/>
          <w:highlight w:val="none"/>
          <w:lang w:val="en-US" w:eastAsia="zh-CN"/>
        </w:rPr>
        <w:t>18</w:t>
      </w:r>
      <w:r>
        <w:rPr>
          <w:rFonts w:hint="eastAsia" w:ascii="宋体" w:hAnsi="宋体" w:cs="宋体"/>
          <w:spacing w:val="-2"/>
          <w:sz w:val="24"/>
          <w:szCs w:val="24"/>
          <w:highlight w:val="none"/>
        </w:rPr>
        <w:t>日</w:t>
      </w:r>
      <w:r>
        <w:rPr>
          <w:rFonts w:hint="eastAsia" w:ascii="宋体" w:hAnsi="宋体" w:cs="宋体"/>
          <w:spacing w:val="-2"/>
          <w:sz w:val="24"/>
          <w:szCs w:val="24"/>
          <w:highlight w:val="none"/>
          <w:lang w:val="en-US" w:eastAsia="zh-CN"/>
        </w:rPr>
        <w:t>09</w:t>
      </w:r>
      <w:r>
        <w:rPr>
          <w:rFonts w:hint="eastAsia" w:ascii="宋体" w:hAnsi="宋体" w:cs="宋体"/>
          <w:spacing w:val="-2"/>
          <w:sz w:val="24"/>
          <w:szCs w:val="24"/>
          <w:highlight w:val="none"/>
        </w:rPr>
        <w:t>时</w:t>
      </w:r>
      <w:r>
        <w:rPr>
          <w:rFonts w:hint="eastAsia" w:ascii="宋体" w:hAnsi="宋体" w:cs="宋体"/>
          <w:spacing w:val="-2"/>
          <w:sz w:val="24"/>
          <w:szCs w:val="24"/>
          <w:highlight w:val="none"/>
          <w:lang w:val="en-US" w:eastAsia="zh-CN"/>
        </w:rPr>
        <w:t>00</w:t>
      </w:r>
      <w:r>
        <w:rPr>
          <w:rFonts w:hint="eastAsia" w:ascii="宋体" w:hAnsi="宋体" w:cs="宋体"/>
          <w:spacing w:val="-2"/>
          <w:sz w:val="24"/>
          <w:szCs w:val="24"/>
          <w:highlight w:val="none"/>
        </w:rPr>
        <w:t>分（北京时间）</w:t>
      </w:r>
    </w:p>
    <w:p w14:paraId="53354F3F">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2.地点：武汉市武昌区民主路789号侧院湖北世发招标有限公司</w:t>
      </w:r>
      <w:r>
        <w:rPr>
          <w:rFonts w:hint="eastAsia" w:ascii="宋体" w:hAnsi="宋体" w:cs="宋体"/>
          <w:spacing w:val="-2"/>
          <w:sz w:val="24"/>
          <w:szCs w:val="24"/>
          <w:highlight w:val="none"/>
          <w:lang w:val="en-US" w:eastAsia="zh-CN"/>
        </w:rPr>
        <w:t>1</w:t>
      </w:r>
      <w:r>
        <w:rPr>
          <w:rFonts w:hint="eastAsia" w:ascii="宋体" w:hAnsi="宋体" w:cs="宋体"/>
          <w:spacing w:val="-2"/>
          <w:sz w:val="24"/>
          <w:szCs w:val="24"/>
          <w:highlight w:val="none"/>
        </w:rPr>
        <w:t>号开标室</w:t>
      </w:r>
    </w:p>
    <w:p w14:paraId="7EB7023B">
      <w:pPr>
        <w:shd w:val="clear"/>
        <w:spacing w:line="360" w:lineRule="auto"/>
        <w:ind w:firstLine="474" w:firstLineChars="200"/>
        <w:rPr>
          <w:rFonts w:ascii="宋体" w:hAnsi="宋体" w:cs="宋体"/>
          <w:b/>
          <w:bCs/>
          <w:spacing w:val="-2"/>
          <w:sz w:val="24"/>
          <w:szCs w:val="24"/>
          <w:highlight w:val="none"/>
        </w:rPr>
      </w:pPr>
      <w:bookmarkStart w:id="29" w:name="_Toc16845"/>
      <w:bookmarkStart w:id="30" w:name="_Toc29232"/>
      <w:r>
        <w:rPr>
          <w:rFonts w:hint="eastAsia" w:ascii="宋体" w:hAnsi="宋体" w:cs="宋体"/>
          <w:b/>
          <w:bCs/>
          <w:spacing w:val="-2"/>
          <w:sz w:val="24"/>
          <w:szCs w:val="24"/>
          <w:highlight w:val="none"/>
        </w:rPr>
        <w:t>六、信息发布媒体</w:t>
      </w:r>
      <w:bookmarkEnd w:id="29"/>
      <w:bookmarkEnd w:id="30"/>
    </w:p>
    <w:p w14:paraId="3D2B20E7">
      <w:pPr>
        <w:keepNext w:val="0"/>
        <w:keepLines w:val="0"/>
        <w:pageBreakBefore w:val="0"/>
        <w:widowControl w:val="0"/>
        <w:shd w:val="clear"/>
        <w:kinsoku/>
        <w:wordWrap w:val="0"/>
        <w:overflowPunct/>
        <w:topLinePunct w:val="0"/>
        <w:autoSpaceDE/>
        <w:autoSpaceDN/>
        <w:bidi w:val="0"/>
        <w:adjustRightInd/>
        <w:snapToGrid/>
        <w:spacing w:line="360" w:lineRule="auto"/>
        <w:ind w:firstLine="472" w:firstLineChars="200"/>
        <w:textAlignment w:val="auto"/>
        <w:rPr>
          <w:rFonts w:hint="eastAsia" w:ascii="宋体" w:hAnsi="宋体" w:eastAsia="宋体" w:cs="宋体"/>
          <w:spacing w:val="-2"/>
          <w:sz w:val="24"/>
          <w:szCs w:val="24"/>
          <w:highlight w:val="none"/>
        </w:rPr>
      </w:pPr>
      <w:bookmarkStart w:id="31" w:name="_Toc330217021"/>
      <w:bookmarkStart w:id="32" w:name="_Toc464648912"/>
      <w:bookmarkStart w:id="33" w:name="_Toc447024813"/>
      <w:bookmarkStart w:id="34" w:name="_Toc425255896"/>
      <w:bookmarkStart w:id="35" w:name="_Toc32705"/>
      <w:r>
        <w:rPr>
          <w:rFonts w:hint="eastAsia" w:ascii="宋体" w:hAnsi="宋体" w:eastAsia="宋体" w:cs="宋体"/>
          <w:spacing w:val="-2"/>
          <w:sz w:val="24"/>
          <w:szCs w:val="24"/>
          <w:highlight w:val="none"/>
        </w:rPr>
        <w:t>湖北工业大学采招网（http://tend.hbut.edu.cn/index.chtml）、中国招标投标公共服务平台（网址：http://www.cebpubservice.com）</w:t>
      </w:r>
      <w:r>
        <w:rPr>
          <w:rFonts w:hint="eastAsia" w:ascii="宋体" w:hAnsi="宋体" w:eastAsia="宋体" w:cs="宋体"/>
          <w:spacing w:val="-2"/>
          <w:sz w:val="24"/>
          <w:szCs w:val="24"/>
          <w:highlight w:val="none"/>
          <w:lang w:val="en-US" w:eastAsia="zh-CN"/>
        </w:rPr>
        <w:t>。</w:t>
      </w:r>
    </w:p>
    <w:bookmarkEnd w:id="31"/>
    <w:bookmarkEnd w:id="32"/>
    <w:bookmarkEnd w:id="33"/>
    <w:bookmarkEnd w:id="34"/>
    <w:bookmarkEnd w:id="35"/>
    <w:p w14:paraId="2FB486DF">
      <w:pPr>
        <w:shd w:val="clear"/>
        <w:spacing w:line="360" w:lineRule="auto"/>
        <w:ind w:firstLine="474" w:firstLineChars="200"/>
        <w:rPr>
          <w:rFonts w:ascii="宋体" w:hAnsi="宋体" w:cs="宋体"/>
          <w:b/>
          <w:bCs/>
          <w:spacing w:val="-2"/>
          <w:sz w:val="24"/>
          <w:szCs w:val="24"/>
          <w:highlight w:val="none"/>
        </w:rPr>
      </w:pPr>
      <w:bookmarkStart w:id="36" w:name="_Toc24009"/>
      <w:bookmarkStart w:id="37" w:name="_Toc16639"/>
      <w:bookmarkStart w:id="38" w:name="_Toc447024814"/>
      <w:r>
        <w:rPr>
          <w:rFonts w:hint="eastAsia" w:ascii="宋体" w:hAnsi="宋体" w:cs="宋体"/>
          <w:b/>
          <w:bCs/>
          <w:spacing w:val="-2"/>
          <w:sz w:val="24"/>
          <w:szCs w:val="24"/>
          <w:highlight w:val="none"/>
        </w:rPr>
        <w:t>七、公告期限</w:t>
      </w:r>
      <w:bookmarkEnd w:id="36"/>
      <w:bookmarkEnd w:id="37"/>
    </w:p>
    <w:p w14:paraId="164F1E40">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本公告期限为3个工作日</w:t>
      </w:r>
      <w:bookmarkEnd w:id="38"/>
    </w:p>
    <w:p w14:paraId="1A9AB9F8">
      <w:pPr>
        <w:shd w:val="clear"/>
        <w:spacing w:line="360" w:lineRule="auto"/>
        <w:ind w:firstLine="474" w:firstLineChars="200"/>
        <w:rPr>
          <w:rFonts w:ascii="宋体" w:hAnsi="宋体" w:cs="宋体"/>
          <w:b/>
          <w:bCs/>
          <w:spacing w:val="-2"/>
          <w:sz w:val="24"/>
          <w:szCs w:val="24"/>
          <w:highlight w:val="none"/>
        </w:rPr>
      </w:pPr>
      <w:bookmarkStart w:id="39" w:name="_Toc28870"/>
      <w:bookmarkStart w:id="40" w:name="_Toc29141"/>
      <w:bookmarkStart w:id="206" w:name="_GoBack"/>
      <w:r>
        <w:rPr>
          <w:rFonts w:hint="eastAsia" w:ascii="宋体" w:hAnsi="宋体" w:cs="宋体"/>
          <w:b/>
          <w:bCs/>
          <w:spacing w:val="-2"/>
          <w:sz w:val="24"/>
          <w:szCs w:val="24"/>
          <w:highlight w:val="none"/>
        </w:rPr>
        <w:t>八、采购人联系方式</w:t>
      </w:r>
      <w:bookmarkEnd w:id="25"/>
      <w:bookmarkEnd w:id="26"/>
      <w:bookmarkEnd w:id="27"/>
      <w:bookmarkEnd w:id="28"/>
      <w:bookmarkEnd w:id="39"/>
      <w:bookmarkEnd w:id="40"/>
    </w:p>
    <w:p w14:paraId="222F51BF">
      <w:pPr>
        <w:shd w:val="clear"/>
        <w:spacing w:line="360" w:lineRule="auto"/>
        <w:ind w:firstLine="472" w:firstLineChars="200"/>
        <w:rPr>
          <w:rFonts w:hint="eastAsia" w:ascii="宋体" w:hAnsi="宋体" w:eastAsia="宋体" w:cs="宋体"/>
          <w:spacing w:val="-2"/>
          <w:sz w:val="24"/>
          <w:szCs w:val="24"/>
          <w:highlight w:val="none"/>
          <w:lang w:eastAsia="zh-CN"/>
        </w:rPr>
      </w:pPr>
      <w:bookmarkStart w:id="41" w:name="_Toc5921"/>
      <w:bookmarkStart w:id="42" w:name="_Toc447024810"/>
      <w:bookmarkStart w:id="43" w:name="_Toc330217019"/>
      <w:bookmarkStart w:id="44" w:name="_Toc425255894"/>
      <w:r>
        <w:rPr>
          <w:rFonts w:hint="eastAsia" w:ascii="宋体" w:hAnsi="宋体" w:cs="宋体"/>
          <w:spacing w:val="-2"/>
          <w:sz w:val="24"/>
          <w:szCs w:val="24"/>
          <w:highlight w:val="none"/>
        </w:rPr>
        <w:t>采 购 人：</w:t>
      </w:r>
      <w:r>
        <w:rPr>
          <w:rFonts w:hint="eastAsia" w:ascii="宋体" w:hAnsi="宋体" w:cs="宋体"/>
          <w:spacing w:val="-2"/>
          <w:sz w:val="24"/>
          <w:szCs w:val="24"/>
          <w:highlight w:val="none"/>
          <w:lang w:eastAsia="zh-CN"/>
        </w:rPr>
        <w:t>湖北工业大学</w:t>
      </w:r>
    </w:p>
    <w:p w14:paraId="39A3A0E5">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地    址：湖北省武汉市洪山区南李路28号</w:t>
      </w:r>
    </w:p>
    <w:p w14:paraId="5304E894">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联 系 人：</w:t>
      </w:r>
      <w:r>
        <w:rPr>
          <w:rFonts w:hint="eastAsia" w:ascii="宋体" w:hAnsi="宋体" w:cs="宋体"/>
          <w:spacing w:val="-2"/>
          <w:sz w:val="24"/>
          <w:szCs w:val="24"/>
          <w:highlight w:val="none"/>
          <w:lang w:val="en-US" w:eastAsia="zh-CN"/>
        </w:rPr>
        <w:t>刘</w:t>
      </w:r>
      <w:r>
        <w:rPr>
          <w:rFonts w:hint="eastAsia" w:ascii="宋体" w:hAnsi="宋体" w:cs="宋体"/>
          <w:spacing w:val="-2"/>
          <w:sz w:val="24"/>
          <w:szCs w:val="24"/>
          <w:highlight w:val="none"/>
        </w:rPr>
        <w:t>老师</w:t>
      </w:r>
    </w:p>
    <w:p w14:paraId="19A57943">
      <w:pPr>
        <w:shd w:val="clear"/>
        <w:spacing w:line="360" w:lineRule="auto"/>
        <w:ind w:firstLine="472" w:firstLineChars="200"/>
        <w:rPr>
          <w:rFonts w:ascii="宋体" w:hAnsi="宋体" w:cs="宋体"/>
          <w:spacing w:val="-2"/>
          <w:sz w:val="24"/>
          <w:szCs w:val="24"/>
          <w:highlight w:val="none"/>
        </w:rPr>
      </w:pPr>
      <w:r>
        <w:rPr>
          <w:rFonts w:hint="eastAsia" w:ascii="宋体" w:hAnsi="宋体" w:cs="宋体"/>
          <w:spacing w:val="-2"/>
          <w:sz w:val="24"/>
          <w:szCs w:val="24"/>
          <w:highlight w:val="none"/>
        </w:rPr>
        <w:t>电    话：</w:t>
      </w:r>
      <w:r>
        <w:rPr>
          <w:rFonts w:hint="eastAsia" w:ascii="宋体" w:hAnsi="宋体" w:cs="宋体"/>
          <w:sz w:val="24"/>
          <w:szCs w:val="24"/>
          <w:highlight w:val="none"/>
        </w:rPr>
        <w:t>027-59750213</w:t>
      </w:r>
    </w:p>
    <w:p w14:paraId="391C2D94">
      <w:pPr>
        <w:shd w:val="clear"/>
        <w:spacing w:line="360" w:lineRule="auto"/>
        <w:ind w:firstLine="474" w:firstLineChars="200"/>
        <w:rPr>
          <w:rFonts w:ascii="宋体" w:hAnsi="宋体" w:cs="宋体"/>
          <w:b/>
          <w:bCs/>
          <w:spacing w:val="-2"/>
          <w:sz w:val="24"/>
          <w:szCs w:val="24"/>
        </w:rPr>
      </w:pPr>
      <w:bookmarkStart w:id="45" w:name="_Toc28725"/>
      <w:bookmarkStart w:id="46" w:name="_Toc14572"/>
      <w:r>
        <w:rPr>
          <w:rFonts w:hint="eastAsia" w:ascii="宋体" w:hAnsi="宋体" w:cs="宋体"/>
          <w:b/>
          <w:bCs/>
          <w:spacing w:val="-2"/>
          <w:sz w:val="24"/>
          <w:szCs w:val="24"/>
        </w:rPr>
        <w:t>九、代理机构联系方式</w:t>
      </w:r>
      <w:bookmarkEnd w:id="41"/>
      <w:bookmarkEnd w:id="42"/>
      <w:bookmarkEnd w:id="43"/>
      <w:bookmarkEnd w:id="44"/>
      <w:bookmarkEnd w:id="45"/>
      <w:bookmarkEnd w:id="46"/>
    </w:p>
    <w:p w14:paraId="2C73FEAA">
      <w:pPr>
        <w:shd w:val="clear"/>
        <w:spacing w:line="360" w:lineRule="auto"/>
        <w:ind w:firstLine="472" w:firstLineChars="200"/>
        <w:rPr>
          <w:rFonts w:ascii="宋体" w:hAnsi="宋体" w:cs="宋体"/>
          <w:spacing w:val="-2"/>
          <w:sz w:val="24"/>
          <w:szCs w:val="24"/>
        </w:rPr>
      </w:pPr>
      <w:bookmarkStart w:id="47" w:name="_Toc447024812"/>
      <w:bookmarkStart w:id="48" w:name="_Toc425255895"/>
      <w:bookmarkStart w:id="49" w:name="_Toc9001"/>
      <w:bookmarkStart w:id="50" w:name="_Toc330217020"/>
      <w:r>
        <w:rPr>
          <w:rFonts w:hint="eastAsia" w:ascii="宋体" w:hAnsi="宋体" w:cs="宋体"/>
          <w:spacing w:val="-2"/>
          <w:sz w:val="24"/>
          <w:szCs w:val="24"/>
        </w:rPr>
        <w:t>代理机构：湖北世发招标有限公司</w:t>
      </w:r>
    </w:p>
    <w:p w14:paraId="606EA668">
      <w:pPr>
        <w:spacing w:line="360" w:lineRule="auto"/>
        <w:ind w:firstLine="472" w:firstLineChars="200"/>
        <w:rPr>
          <w:rFonts w:ascii="宋体" w:hAnsi="宋体" w:cs="宋体"/>
          <w:spacing w:val="-2"/>
          <w:sz w:val="24"/>
          <w:szCs w:val="24"/>
        </w:rPr>
      </w:pPr>
      <w:r>
        <w:rPr>
          <w:rFonts w:hint="eastAsia" w:ascii="宋体" w:hAnsi="宋体" w:cs="宋体"/>
          <w:spacing w:val="-2"/>
          <w:sz w:val="24"/>
          <w:szCs w:val="24"/>
        </w:rPr>
        <w:t>地    址： 武汉市武昌区民主路789号侧院湖北世发招标有限公司209室</w:t>
      </w:r>
    </w:p>
    <w:p w14:paraId="6BCC00DA">
      <w:pPr>
        <w:spacing w:line="360" w:lineRule="auto"/>
        <w:ind w:firstLine="472" w:firstLineChars="200"/>
        <w:rPr>
          <w:rFonts w:ascii="宋体" w:hAnsi="宋体" w:cs="宋体"/>
          <w:spacing w:val="-2"/>
          <w:sz w:val="24"/>
          <w:szCs w:val="24"/>
        </w:rPr>
      </w:pPr>
      <w:r>
        <w:rPr>
          <w:rFonts w:hint="eastAsia" w:ascii="宋体" w:hAnsi="宋体" w:cs="宋体"/>
          <w:spacing w:val="-2"/>
          <w:sz w:val="24"/>
          <w:szCs w:val="24"/>
        </w:rPr>
        <w:t>联 系 人：夏雨珊、徐清晨、张盛华、吴坤、郑君娥、秦晓雯、田佼玉</w:t>
      </w:r>
    </w:p>
    <w:p w14:paraId="0A11D7C9">
      <w:pPr>
        <w:spacing w:line="360" w:lineRule="auto"/>
        <w:ind w:firstLine="472" w:firstLineChars="200"/>
        <w:rPr>
          <w:rFonts w:ascii="宋体" w:hAnsi="宋体" w:cs="宋体"/>
          <w:spacing w:val="-2"/>
          <w:sz w:val="24"/>
          <w:szCs w:val="24"/>
        </w:rPr>
      </w:pPr>
      <w:r>
        <w:rPr>
          <w:rFonts w:hint="eastAsia" w:ascii="宋体" w:hAnsi="宋体" w:cs="宋体"/>
          <w:spacing w:val="-2"/>
          <w:sz w:val="24"/>
          <w:szCs w:val="24"/>
        </w:rPr>
        <w:t>联系电话：027-87295088</w:t>
      </w:r>
    </w:p>
    <w:p w14:paraId="64BB75AD">
      <w:pPr>
        <w:spacing w:line="360" w:lineRule="auto"/>
        <w:ind w:firstLine="472" w:firstLineChars="200"/>
        <w:rPr>
          <w:rFonts w:ascii="宋体" w:hAnsi="宋体" w:cs="宋体"/>
          <w:spacing w:val="-2"/>
          <w:sz w:val="24"/>
          <w:szCs w:val="24"/>
        </w:rPr>
      </w:pPr>
      <w:r>
        <w:rPr>
          <w:rFonts w:hint="eastAsia" w:ascii="宋体" w:hAnsi="宋体" w:cs="宋体"/>
          <w:spacing w:val="-2"/>
          <w:sz w:val="24"/>
          <w:szCs w:val="24"/>
        </w:rPr>
        <w:t>邮    箱：hbsfzb@sina.cn</w:t>
      </w:r>
      <w:bookmarkEnd w:id="47"/>
      <w:bookmarkEnd w:id="48"/>
      <w:bookmarkEnd w:id="49"/>
      <w:bookmarkEnd w:id="50"/>
    </w:p>
    <w:bookmarkEnd w:id="206"/>
    <w:p w14:paraId="38E288D0">
      <w:pPr>
        <w:pStyle w:val="26"/>
        <w:spacing w:before="0" w:after="0" w:line="360" w:lineRule="auto"/>
        <w:rPr>
          <w:rFonts w:ascii="宋体" w:hAnsi="宋体" w:cs="宋体"/>
          <w:sz w:val="24"/>
          <w:szCs w:val="24"/>
        </w:rPr>
      </w:pPr>
      <w:bookmarkStart w:id="51" w:name="_Toc23083"/>
      <w:bookmarkStart w:id="52" w:name="_Toc453081976"/>
      <w:r>
        <w:rPr>
          <w:rFonts w:hint="eastAsia" w:ascii="宋体" w:hAnsi="宋体" w:cs="宋体"/>
          <w:sz w:val="24"/>
          <w:szCs w:val="24"/>
        </w:rPr>
        <w:br w:type="page"/>
      </w:r>
      <w:bookmarkStart w:id="53" w:name="_Toc2045"/>
      <w:bookmarkStart w:id="54" w:name="_Toc3668"/>
      <w:r>
        <w:rPr>
          <w:rStyle w:val="50"/>
          <w:rFonts w:hint="eastAsia" w:ascii="宋体" w:hAnsi="宋体" w:cs="宋体"/>
          <w:sz w:val="24"/>
          <w:szCs w:val="24"/>
        </w:rPr>
        <w:t>第二部分  供应商须知</w:t>
      </w:r>
      <w:bookmarkEnd w:id="53"/>
      <w:bookmarkEnd w:id="54"/>
    </w:p>
    <w:p w14:paraId="0C97E195">
      <w:pPr>
        <w:pStyle w:val="5"/>
        <w:spacing w:before="0" w:after="0" w:line="360" w:lineRule="auto"/>
        <w:rPr>
          <w:rFonts w:ascii="宋体" w:hAnsi="宋体" w:cs="宋体"/>
          <w:sz w:val="24"/>
          <w:szCs w:val="24"/>
        </w:rPr>
      </w:pPr>
      <w:bookmarkStart w:id="55" w:name="_Toc16939"/>
      <w:bookmarkStart w:id="56" w:name="_Toc10713"/>
      <w:bookmarkStart w:id="57" w:name="_Toc21589"/>
      <w:r>
        <w:rPr>
          <w:rFonts w:hint="eastAsia" w:ascii="宋体" w:hAnsi="宋体" w:cs="宋体"/>
          <w:sz w:val="24"/>
          <w:szCs w:val="24"/>
        </w:rPr>
        <w:t>一、供应商须知前附表</w:t>
      </w:r>
      <w:bookmarkEnd w:id="51"/>
      <w:bookmarkEnd w:id="52"/>
      <w:bookmarkEnd w:id="55"/>
      <w:bookmarkEnd w:id="56"/>
      <w:bookmarkEnd w:id="57"/>
    </w:p>
    <w:tbl>
      <w:tblPr>
        <w:tblStyle w:val="30"/>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941"/>
        <w:gridCol w:w="7295"/>
      </w:tblGrid>
      <w:tr w14:paraId="0E00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55" w:type="pct"/>
            <w:vAlign w:val="center"/>
          </w:tcPr>
          <w:p w14:paraId="6C43F4C8">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b/>
                <w:sz w:val="24"/>
                <w:szCs w:val="24"/>
              </w:rPr>
            </w:pPr>
            <w:r>
              <w:rPr>
                <w:rFonts w:hint="eastAsia" w:ascii="宋体" w:hAnsi="宋体" w:cs="宋体"/>
                <w:b/>
                <w:sz w:val="24"/>
                <w:szCs w:val="24"/>
              </w:rPr>
              <w:t>序号</w:t>
            </w:r>
          </w:p>
        </w:tc>
        <w:tc>
          <w:tcPr>
            <w:tcW w:w="976" w:type="pct"/>
            <w:vAlign w:val="center"/>
          </w:tcPr>
          <w:p w14:paraId="3EF60C3A">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b/>
                <w:sz w:val="24"/>
                <w:szCs w:val="24"/>
              </w:rPr>
            </w:pPr>
            <w:r>
              <w:rPr>
                <w:rFonts w:hint="eastAsia" w:ascii="宋体" w:hAnsi="宋体" w:cs="宋体"/>
                <w:b/>
                <w:sz w:val="24"/>
                <w:szCs w:val="24"/>
              </w:rPr>
              <w:t>内容</w:t>
            </w:r>
          </w:p>
        </w:tc>
        <w:tc>
          <w:tcPr>
            <w:tcW w:w="3667" w:type="pct"/>
            <w:vAlign w:val="center"/>
          </w:tcPr>
          <w:p w14:paraId="0082A264">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b/>
                <w:sz w:val="24"/>
                <w:szCs w:val="24"/>
              </w:rPr>
            </w:pPr>
            <w:r>
              <w:rPr>
                <w:rFonts w:hint="eastAsia" w:ascii="宋体" w:hAnsi="宋体" w:cs="宋体"/>
                <w:b/>
                <w:sz w:val="24"/>
                <w:szCs w:val="24"/>
              </w:rPr>
              <w:t>说明与要求</w:t>
            </w:r>
          </w:p>
        </w:tc>
      </w:tr>
      <w:tr w14:paraId="62CA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55" w:type="pct"/>
            <w:vAlign w:val="center"/>
          </w:tcPr>
          <w:p w14:paraId="111887F4">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1</w:t>
            </w:r>
          </w:p>
        </w:tc>
        <w:tc>
          <w:tcPr>
            <w:tcW w:w="976" w:type="pct"/>
            <w:vAlign w:val="center"/>
          </w:tcPr>
          <w:p w14:paraId="3FF4640D">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项目名称</w:t>
            </w:r>
          </w:p>
        </w:tc>
        <w:tc>
          <w:tcPr>
            <w:tcW w:w="3667" w:type="pct"/>
            <w:vAlign w:val="center"/>
          </w:tcPr>
          <w:p w14:paraId="2E6B7C2E">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湖北工业大学站群管理服务拓展项目（第二次）</w:t>
            </w:r>
          </w:p>
        </w:tc>
      </w:tr>
      <w:tr w14:paraId="59008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55" w:type="pct"/>
            <w:vAlign w:val="center"/>
          </w:tcPr>
          <w:p w14:paraId="7C4A6D95">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2</w:t>
            </w:r>
          </w:p>
        </w:tc>
        <w:tc>
          <w:tcPr>
            <w:tcW w:w="976" w:type="pct"/>
            <w:vAlign w:val="center"/>
          </w:tcPr>
          <w:p w14:paraId="6A455009">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项目编号</w:t>
            </w:r>
          </w:p>
        </w:tc>
        <w:tc>
          <w:tcPr>
            <w:tcW w:w="3667" w:type="pct"/>
            <w:vAlign w:val="center"/>
          </w:tcPr>
          <w:p w14:paraId="44C09D99">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eastAsia="宋体" w:cs="宋体"/>
                <w:kern w:val="0"/>
                <w:sz w:val="24"/>
                <w:szCs w:val="24"/>
                <w:lang w:eastAsia="zh-CN"/>
              </w:rPr>
            </w:pPr>
            <w:r>
              <w:rPr>
                <w:rFonts w:hint="eastAsia" w:ascii="宋体" w:hAnsi="宋体" w:cs="宋体"/>
                <w:kern w:val="0"/>
                <w:sz w:val="24"/>
                <w:szCs w:val="24"/>
                <w:lang w:eastAsia="zh-CN"/>
              </w:rPr>
              <w:t>HGDXW25-042/HBSF-GN-25061616</w:t>
            </w:r>
          </w:p>
        </w:tc>
      </w:tr>
      <w:tr w14:paraId="2F51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355" w:type="pct"/>
            <w:vAlign w:val="center"/>
          </w:tcPr>
          <w:p w14:paraId="162D5382">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3</w:t>
            </w:r>
          </w:p>
        </w:tc>
        <w:tc>
          <w:tcPr>
            <w:tcW w:w="976" w:type="pct"/>
            <w:vAlign w:val="center"/>
          </w:tcPr>
          <w:p w14:paraId="516A5B09">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预算金额</w:t>
            </w:r>
          </w:p>
          <w:p w14:paraId="7FB98CA3">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及最高限价</w:t>
            </w:r>
          </w:p>
        </w:tc>
        <w:tc>
          <w:tcPr>
            <w:tcW w:w="3667" w:type="pct"/>
            <w:vAlign w:val="center"/>
          </w:tcPr>
          <w:p w14:paraId="223ADE0B">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cs="宋体"/>
                <w:kern w:val="0"/>
                <w:sz w:val="24"/>
                <w:szCs w:val="24"/>
                <w:lang w:val="en-US" w:eastAsia="zh-CN"/>
              </w:rPr>
            </w:pPr>
            <w:r>
              <w:rPr>
                <w:rFonts w:hint="eastAsia" w:ascii="宋体" w:hAnsi="宋体" w:cs="宋体"/>
                <w:kern w:val="0"/>
                <w:sz w:val="24"/>
                <w:szCs w:val="24"/>
                <w:lang w:val="en-US" w:eastAsia="zh-CN"/>
              </w:rPr>
              <w:t>55万元</w:t>
            </w:r>
          </w:p>
          <w:p w14:paraId="33405E3A">
            <w:pPr>
              <w:keepNext w:val="0"/>
              <w:keepLines w:val="0"/>
              <w:pageBreakBefore w:val="0"/>
              <w:widowControl w:val="0"/>
              <w:kinsoku/>
              <w:wordWrap/>
              <w:overflowPunct/>
              <w:topLinePunct w:val="0"/>
              <w:bidi w:val="0"/>
              <w:snapToGrid/>
              <w:spacing w:line="360" w:lineRule="exact"/>
              <w:jc w:val="left"/>
              <w:textAlignment w:val="auto"/>
              <w:rPr>
                <w:rFonts w:ascii="宋体" w:hAnsi="宋体" w:cs="宋体"/>
                <w:kern w:val="0"/>
                <w:sz w:val="24"/>
                <w:szCs w:val="24"/>
              </w:rPr>
            </w:pPr>
            <w:r>
              <w:rPr>
                <w:rFonts w:hint="eastAsia" w:ascii="宋体" w:hAnsi="宋体" w:cs="宋体"/>
                <w:kern w:val="0"/>
                <w:sz w:val="24"/>
                <w:szCs w:val="24"/>
              </w:rPr>
              <w:t>★供应商的响应报价超过最高限价金额的将作无效响应处理</w:t>
            </w:r>
          </w:p>
        </w:tc>
      </w:tr>
      <w:tr w14:paraId="09C0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vAlign w:val="center"/>
          </w:tcPr>
          <w:p w14:paraId="5B114023">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4</w:t>
            </w:r>
          </w:p>
        </w:tc>
        <w:tc>
          <w:tcPr>
            <w:tcW w:w="976" w:type="pct"/>
            <w:vAlign w:val="center"/>
          </w:tcPr>
          <w:p w14:paraId="23E7122D">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highlight w:val="none"/>
              </w:rPr>
            </w:pPr>
            <w:r>
              <w:rPr>
                <w:rFonts w:hint="eastAsia" w:ascii="宋体" w:hAnsi="宋体" w:cs="宋体"/>
                <w:sz w:val="24"/>
                <w:szCs w:val="24"/>
                <w:highlight w:val="none"/>
              </w:rPr>
              <w:t>付款方式</w:t>
            </w:r>
          </w:p>
        </w:tc>
        <w:tc>
          <w:tcPr>
            <w:tcW w:w="3667" w:type="pct"/>
            <w:vAlign w:val="center"/>
          </w:tcPr>
          <w:p w14:paraId="7B33EB23">
            <w:pPr>
              <w:keepNext w:val="0"/>
              <w:keepLines w:val="0"/>
              <w:pageBreakBefore w:val="0"/>
              <w:widowControl w:val="0"/>
              <w:kinsoku/>
              <w:wordWrap/>
              <w:overflowPunct/>
              <w:topLinePunct w:val="0"/>
              <w:bidi w:val="0"/>
              <w:snapToGrid/>
              <w:spacing w:line="360" w:lineRule="exact"/>
              <w:jc w:val="left"/>
              <w:textAlignment w:val="auto"/>
              <w:rPr>
                <w:rFonts w:hint="default" w:ascii="宋体" w:hAnsi="宋体" w:cs="宋体"/>
                <w:kern w:val="0"/>
                <w:sz w:val="24"/>
                <w:szCs w:val="24"/>
                <w:highlight w:val="none"/>
                <w:lang w:val="en-US" w:eastAsia="zh-CN"/>
              </w:rPr>
            </w:pPr>
            <w:r>
              <w:rPr>
                <w:rFonts w:hint="eastAsia" w:ascii="宋体" w:hAnsi="宋体" w:cs="宋体"/>
                <w:kern w:val="0"/>
                <w:sz w:val="24"/>
                <w:szCs w:val="24"/>
                <w:lang w:val="en-US" w:eastAsia="zh-CN"/>
              </w:rPr>
              <w:t>本项目分三期付款</w:t>
            </w:r>
            <w:r>
              <w:rPr>
                <w:rFonts w:hint="eastAsia" w:ascii="Times New Roman" w:eastAsia="宋体"/>
                <w:lang w:val="en-US" w:eastAsia="zh-CN"/>
              </w:rPr>
              <w:t>，</w:t>
            </w:r>
            <w:r>
              <w:rPr>
                <w:rFonts w:hint="eastAsia" w:ascii="宋体" w:hAnsi="宋体" w:cs="宋体"/>
                <w:kern w:val="0"/>
                <w:sz w:val="24"/>
                <w:szCs w:val="24"/>
                <w:lang w:val="en-US" w:eastAsia="zh-CN"/>
              </w:rPr>
              <w:t>今年（2025年）项目建设完成验收合格后支付总款项的45%；项目建设验收完成后一年（明年，2026年）支付总款项的45%；项目三年维保期结束后（2028年）支付剩余10%。</w:t>
            </w:r>
          </w:p>
        </w:tc>
      </w:tr>
      <w:tr w14:paraId="1606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5FA1BACB">
            <w:pPr>
              <w:keepNext w:val="0"/>
              <w:keepLines w:val="0"/>
              <w:pageBreakBefore w:val="0"/>
              <w:widowControl w:val="0"/>
              <w:kinsoku/>
              <w:wordWrap/>
              <w:overflowPunct/>
              <w:topLinePunct w:val="0"/>
              <w:bidi w:val="0"/>
              <w:snapToGrid/>
              <w:spacing w:line="360" w:lineRule="exact"/>
              <w:jc w:val="center"/>
              <w:textAlignment w:val="auto"/>
              <w:rPr>
                <w:rFonts w:hint="eastAsia" w:ascii="宋体" w:hAnsi="宋体" w:eastAsia="宋体" w:cs="宋体"/>
                <w:kern w:val="2"/>
                <w:sz w:val="24"/>
                <w:szCs w:val="24"/>
                <w:lang w:val="en-US" w:eastAsia="zh-CN" w:bidi="ar-SA"/>
              </w:rPr>
            </w:pPr>
            <w:r>
              <w:rPr>
                <w:rFonts w:hint="eastAsia" w:ascii="宋体" w:hAnsi="宋体" w:cs="宋体"/>
                <w:sz w:val="24"/>
                <w:szCs w:val="24"/>
              </w:rPr>
              <w:t>5</w:t>
            </w:r>
          </w:p>
        </w:tc>
        <w:tc>
          <w:tcPr>
            <w:tcW w:w="1942" w:type="dxa"/>
            <w:vAlign w:val="center"/>
          </w:tcPr>
          <w:p w14:paraId="07862590">
            <w:pPr>
              <w:keepNext w:val="0"/>
              <w:keepLines w:val="0"/>
              <w:pageBreakBefore w:val="0"/>
              <w:widowControl w:val="0"/>
              <w:kinsoku/>
              <w:wordWrap/>
              <w:overflowPunct/>
              <w:topLinePunct w:val="0"/>
              <w:bidi w:val="0"/>
              <w:snapToGrid/>
              <w:spacing w:line="360" w:lineRule="exact"/>
              <w:jc w:val="center"/>
              <w:textAlignment w:val="auto"/>
              <w:rPr>
                <w:rFonts w:hint="eastAsia" w:ascii="宋体" w:hAnsi="宋体" w:eastAsia="宋体" w:cs="宋体"/>
                <w:sz w:val="24"/>
                <w:szCs w:val="24"/>
                <w:lang w:val="en-US" w:eastAsia="zh-CN"/>
              </w:rPr>
            </w:pPr>
            <w:r>
              <w:rPr>
                <w:rFonts w:hint="eastAsia" w:ascii="宋体" w:hAnsi="宋体" w:cs="宋体"/>
                <w:sz w:val="24"/>
                <w:lang w:val="zh-CN"/>
              </w:rPr>
              <w:t>履约保证金</w:t>
            </w:r>
          </w:p>
        </w:tc>
        <w:tc>
          <w:tcPr>
            <w:tcW w:w="7294" w:type="dxa"/>
            <w:vAlign w:val="center"/>
          </w:tcPr>
          <w:p w14:paraId="7A519831">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cs="宋体"/>
                <w:kern w:val="0"/>
                <w:sz w:val="24"/>
                <w:szCs w:val="24"/>
              </w:rPr>
            </w:pPr>
            <w:r>
              <w:rPr>
                <w:rFonts w:hint="eastAsia" w:ascii="宋体" w:hAnsi="宋体" w:cs="宋体"/>
                <w:kern w:val="0"/>
                <w:sz w:val="24"/>
                <w:szCs w:val="24"/>
                <w:lang w:val="zh-CN"/>
              </w:rPr>
              <w:t>履约保证金金额：</w:t>
            </w:r>
            <w:r>
              <w:rPr>
                <w:rFonts w:hint="eastAsia" w:ascii="宋体" w:hAnsi="宋体" w:cs="宋体"/>
                <w:kern w:val="0"/>
                <w:sz w:val="24"/>
                <w:szCs w:val="24"/>
              </w:rPr>
              <w:t>合同总金额的</w:t>
            </w:r>
            <w:r>
              <w:rPr>
                <w:rFonts w:hint="eastAsia" w:ascii="宋体" w:hAnsi="宋体" w:cs="宋体"/>
                <w:kern w:val="0"/>
                <w:sz w:val="24"/>
                <w:szCs w:val="24"/>
                <w:lang w:val="en-US" w:eastAsia="zh-CN"/>
              </w:rPr>
              <w:t>5</w:t>
            </w:r>
            <w:r>
              <w:rPr>
                <w:rFonts w:hint="eastAsia" w:ascii="宋体" w:hAnsi="宋体" w:cs="宋体"/>
                <w:kern w:val="0"/>
                <w:sz w:val="24"/>
                <w:szCs w:val="24"/>
              </w:rPr>
              <w:t>%。</w:t>
            </w:r>
          </w:p>
          <w:p w14:paraId="41710345">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cs="宋体"/>
                <w:kern w:val="0"/>
                <w:sz w:val="24"/>
                <w:szCs w:val="24"/>
                <w:lang w:val="zh-CN"/>
              </w:rPr>
            </w:pPr>
            <w:r>
              <w:rPr>
                <w:rFonts w:hint="eastAsia" w:ascii="宋体" w:hAnsi="宋体" w:cs="宋体"/>
                <w:kern w:val="0"/>
                <w:sz w:val="24"/>
                <w:szCs w:val="24"/>
                <w:lang w:val="zh-CN"/>
              </w:rPr>
              <w:t>履约保证金提交形式：应当以支票、汇票、本票或者金融机构、担保机构出具的保函等非现金形式提交</w:t>
            </w:r>
            <w:r>
              <w:rPr>
                <w:rFonts w:hint="eastAsia" w:ascii="宋体" w:hAnsi="宋体" w:cs="宋体"/>
                <w:kern w:val="0"/>
                <w:sz w:val="24"/>
                <w:szCs w:val="24"/>
              </w:rPr>
              <w:t>或双方约定</w:t>
            </w:r>
            <w:r>
              <w:rPr>
                <w:rFonts w:hint="eastAsia" w:ascii="宋体" w:hAnsi="宋体" w:cs="宋体"/>
                <w:kern w:val="0"/>
                <w:sz w:val="24"/>
                <w:szCs w:val="24"/>
                <w:lang w:val="zh-CN"/>
              </w:rPr>
              <w:t>。</w:t>
            </w:r>
          </w:p>
          <w:p w14:paraId="7D43FC5A">
            <w:pPr>
              <w:keepNext w:val="0"/>
              <w:keepLines w:val="0"/>
              <w:pageBreakBefore w:val="0"/>
              <w:widowControl w:val="0"/>
              <w:kinsoku/>
              <w:wordWrap/>
              <w:overflowPunct/>
              <w:topLinePunct w:val="0"/>
              <w:bidi w:val="0"/>
              <w:snapToGrid/>
              <w:spacing w:line="360" w:lineRule="exact"/>
              <w:jc w:val="left"/>
              <w:textAlignment w:val="auto"/>
              <w:rPr>
                <w:rFonts w:hint="eastAsia" w:ascii="宋体" w:hAnsi="宋体" w:cs="宋体"/>
                <w:kern w:val="0"/>
                <w:sz w:val="24"/>
                <w:szCs w:val="24"/>
              </w:rPr>
            </w:pPr>
            <w:r>
              <w:rPr>
                <w:rFonts w:hint="eastAsia" w:ascii="宋体" w:hAnsi="宋体" w:cs="宋体"/>
                <w:kern w:val="0"/>
                <w:sz w:val="24"/>
                <w:szCs w:val="24"/>
              </w:rPr>
              <w:t>退还方式：验收合格后</w:t>
            </w:r>
            <w:r>
              <w:rPr>
                <w:rFonts w:hint="eastAsia" w:ascii="宋体" w:hAnsi="宋体" w:cs="宋体"/>
                <w:kern w:val="0"/>
                <w:sz w:val="24"/>
                <w:szCs w:val="24"/>
                <w:lang w:val="en-US" w:eastAsia="zh-CN"/>
              </w:rPr>
              <w:t>1</w:t>
            </w:r>
            <w:r>
              <w:rPr>
                <w:rFonts w:hint="eastAsia" w:ascii="宋体" w:hAnsi="宋体" w:cs="宋体"/>
                <w:kern w:val="0"/>
                <w:sz w:val="24"/>
                <w:szCs w:val="24"/>
              </w:rPr>
              <w:t>年（自验收合格之日起计算），如无质量及售后服务等其他违约事项，采购人向中标人无息退还履约保证金。</w:t>
            </w:r>
          </w:p>
        </w:tc>
      </w:tr>
      <w:tr w14:paraId="6FAA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355" w:type="pct"/>
            <w:shd w:val="clear" w:color="auto" w:fill="auto"/>
            <w:vAlign w:val="center"/>
          </w:tcPr>
          <w:p w14:paraId="480DAFA6">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6</w:t>
            </w:r>
          </w:p>
        </w:tc>
        <w:tc>
          <w:tcPr>
            <w:tcW w:w="976" w:type="pct"/>
            <w:vAlign w:val="center"/>
          </w:tcPr>
          <w:p w14:paraId="73DC3E5F">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采购概述</w:t>
            </w:r>
          </w:p>
        </w:tc>
        <w:tc>
          <w:tcPr>
            <w:tcW w:w="3667" w:type="pct"/>
            <w:vAlign w:val="center"/>
          </w:tcPr>
          <w:p w14:paraId="2CF02FBD">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本采购项目已具备采购条件，现进行采购。</w:t>
            </w:r>
          </w:p>
        </w:tc>
      </w:tr>
      <w:tr w14:paraId="4AB83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55" w:type="pct"/>
            <w:shd w:val="clear" w:color="auto" w:fill="auto"/>
            <w:vAlign w:val="center"/>
          </w:tcPr>
          <w:p w14:paraId="0ADFF6CB">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7</w:t>
            </w:r>
          </w:p>
        </w:tc>
        <w:tc>
          <w:tcPr>
            <w:tcW w:w="976" w:type="pct"/>
            <w:vAlign w:val="center"/>
          </w:tcPr>
          <w:p w14:paraId="7EAA2715">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采购方式</w:t>
            </w:r>
          </w:p>
        </w:tc>
        <w:tc>
          <w:tcPr>
            <w:tcW w:w="3667" w:type="pct"/>
            <w:vAlign w:val="center"/>
          </w:tcPr>
          <w:p w14:paraId="758B353A">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竞争性磋商</w:t>
            </w:r>
          </w:p>
        </w:tc>
      </w:tr>
      <w:tr w14:paraId="3B85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55" w:type="pct"/>
            <w:shd w:val="clear" w:color="auto" w:fill="auto"/>
            <w:vAlign w:val="center"/>
          </w:tcPr>
          <w:p w14:paraId="7ECE2077">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8</w:t>
            </w:r>
          </w:p>
        </w:tc>
        <w:tc>
          <w:tcPr>
            <w:tcW w:w="976" w:type="pct"/>
            <w:vAlign w:val="center"/>
          </w:tcPr>
          <w:p w14:paraId="04130A5F">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公告发布媒体</w:t>
            </w:r>
          </w:p>
        </w:tc>
        <w:tc>
          <w:tcPr>
            <w:tcW w:w="3667" w:type="pct"/>
            <w:vAlign w:val="center"/>
          </w:tcPr>
          <w:p w14:paraId="6284D21B">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kern w:val="0"/>
                <w:sz w:val="24"/>
                <w:szCs w:val="24"/>
              </w:rPr>
            </w:pPr>
            <w:r>
              <w:rPr>
                <w:rFonts w:hint="eastAsia" w:ascii="宋体" w:hAnsi="宋体" w:eastAsia="宋体" w:cs="宋体"/>
                <w:spacing w:val="-2"/>
                <w:sz w:val="24"/>
                <w:szCs w:val="24"/>
              </w:rPr>
              <w:t>湖北工业大学采招网（http://tend.hbut.edu.cn/index.chtml）、中国招标投标公共服务平台（网址：http://www.cebpubservice.com）</w:t>
            </w:r>
          </w:p>
        </w:tc>
      </w:tr>
      <w:tr w14:paraId="7085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55" w:type="pct"/>
            <w:shd w:val="clear" w:color="auto" w:fill="auto"/>
            <w:vAlign w:val="center"/>
          </w:tcPr>
          <w:p w14:paraId="4B69A062">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9</w:t>
            </w:r>
          </w:p>
        </w:tc>
        <w:tc>
          <w:tcPr>
            <w:tcW w:w="976" w:type="pct"/>
            <w:vAlign w:val="center"/>
          </w:tcPr>
          <w:p w14:paraId="45003593">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采 购 人</w:t>
            </w:r>
          </w:p>
        </w:tc>
        <w:tc>
          <w:tcPr>
            <w:tcW w:w="3667" w:type="pct"/>
            <w:vAlign w:val="center"/>
          </w:tcPr>
          <w:p w14:paraId="334228BD">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kern w:val="0"/>
                <w:sz w:val="24"/>
                <w:szCs w:val="24"/>
              </w:rPr>
            </w:pPr>
            <w:r>
              <w:rPr>
                <w:rFonts w:hint="eastAsia" w:ascii="宋体" w:hAnsi="宋体" w:eastAsia="宋体" w:cs="宋体"/>
                <w:kern w:val="0"/>
                <w:sz w:val="24"/>
                <w:szCs w:val="24"/>
              </w:rPr>
              <w:t>详见“第一部分 竞争性磋商邀请函”</w:t>
            </w:r>
          </w:p>
        </w:tc>
      </w:tr>
      <w:tr w14:paraId="6464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6B9EBCA3">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10</w:t>
            </w:r>
          </w:p>
        </w:tc>
        <w:tc>
          <w:tcPr>
            <w:tcW w:w="976" w:type="pct"/>
            <w:vAlign w:val="center"/>
          </w:tcPr>
          <w:p w14:paraId="2AAAAE7C">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采购代理机构</w:t>
            </w:r>
          </w:p>
        </w:tc>
        <w:tc>
          <w:tcPr>
            <w:tcW w:w="3667" w:type="pct"/>
            <w:vAlign w:val="center"/>
          </w:tcPr>
          <w:p w14:paraId="4F5D42BA">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kern w:val="0"/>
                <w:sz w:val="24"/>
                <w:szCs w:val="24"/>
              </w:rPr>
            </w:pPr>
            <w:r>
              <w:rPr>
                <w:rFonts w:hint="eastAsia" w:ascii="宋体" w:hAnsi="宋体" w:eastAsia="宋体" w:cs="宋体"/>
                <w:kern w:val="0"/>
                <w:sz w:val="24"/>
                <w:szCs w:val="24"/>
              </w:rPr>
              <w:t>详见“第一部分 竞争性磋商邀请函”</w:t>
            </w:r>
          </w:p>
        </w:tc>
      </w:tr>
      <w:tr w14:paraId="3157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55" w:type="pct"/>
            <w:shd w:val="clear" w:color="auto" w:fill="auto"/>
            <w:vAlign w:val="center"/>
          </w:tcPr>
          <w:p w14:paraId="49AC7136">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11</w:t>
            </w:r>
          </w:p>
        </w:tc>
        <w:tc>
          <w:tcPr>
            <w:tcW w:w="976" w:type="pct"/>
            <w:vAlign w:val="center"/>
          </w:tcPr>
          <w:p w14:paraId="04656377">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标包</w:t>
            </w:r>
          </w:p>
        </w:tc>
        <w:tc>
          <w:tcPr>
            <w:tcW w:w="3667" w:type="pct"/>
            <w:vAlign w:val="center"/>
          </w:tcPr>
          <w:p w14:paraId="72627AEA">
            <w:pPr>
              <w:keepNext w:val="0"/>
              <w:keepLines w:val="0"/>
              <w:pageBreakBefore w:val="0"/>
              <w:widowControl w:val="0"/>
              <w:kinsoku/>
              <w:wordWrap/>
              <w:overflowPunct/>
              <w:topLinePunct w:val="0"/>
              <w:bidi w:val="0"/>
              <w:snapToGrid/>
              <w:spacing w:line="360" w:lineRule="exact"/>
              <w:textAlignment w:val="auto"/>
              <w:rPr>
                <w:rFonts w:ascii="宋体" w:hAnsi="宋体" w:cs="宋体"/>
                <w:kern w:val="0"/>
                <w:sz w:val="24"/>
                <w:szCs w:val="24"/>
              </w:rPr>
            </w:pPr>
            <w:r>
              <w:rPr>
                <w:rFonts w:hint="eastAsia" w:ascii="宋体" w:hAnsi="宋体" w:cs="宋体"/>
                <w:kern w:val="0"/>
                <w:sz w:val="24"/>
                <w:szCs w:val="24"/>
              </w:rPr>
              <w:t>□适用  有关多标包的所有条款均适用本项目</w:t>
            </w:r>
          </w:p>
          <w:p w14:paraId="1A4E2C8E">
            <w:pPr>
              <w:keepNext w:val="0"/>
              <w:keepLines w:val="0"/>
              <w:pageBreakBefore w:val="0"/>
              <w:widowControl w:val="0"/>
              <w:kinsoku/>
              <w:wordWrap/>
              <w:overflowPunct/>
              <w:topLinePunct w:val="0"/>
              <w:bidi w:val="0"/>
              <w:snapToGrid/>
              <w:spacing w:line="360" w:lineRule="exact"/>
              <w:textAlignment w:val="auto"/>
              <w:rPr>
                <w:rFonts w:ascii="宋体" w:hAnsi="宋体" w:cs="宋体"/>
                <w:kern w:val="0"/>
                <w:sz w:val="24"/>
                <w:szCs w:val="24"/>
              </w:rPr>
            </w:pPr>
            <w:r>
              <w:rPr>
                <w:rFonts w:hint="eastAsia" w:ascii="宋体" w:hAnsi="宋体" w:cs="宋体"/>
                <w:kern w:val="0"/>
                <w:sz w:val="24"/>
                <w:szCs w:val="24"/>
              </w:rPr>
              <w:sym w:font="Wingdings 2" w:char="0052"/>
            </w:r>
            <w:r>
              <w:rPr>
                <w:rFonts w:hint="eastAsia" w:ascii="宋体" w:hAnsi="宋体" w:cs="宋体"/>
                <w:kern w:val="0"/>
                <w:sz w:val="24"/>
                <w:szCs w:val="24"/>
              </w:rPr>
              <w:t xml:space="preserve">不适用 </w:t>
            </w:r>
          </w:p>
        </w:tc>
      </w:tr>
      <w:tr w14:paraId="5B55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5A8A16AB">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12</w:t>
            </w:r>
          </w:p>
        </w:tc>
        <w:tc>
          <w:tcPr>
            <w:tcW w:w="976" w:type="pct"/>
            <w:vAlign w:val="center"/>
          </w:tcPr>
          <w:p w14:paraId="526DC945">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采购内容</w:t>
            </w:r>
          </w:p>
        </w:tc>
        <w:tc>
          <w:tcPr>
            <w:tcW w:w="3667" w:type="pct"/>
            <w:vAlign w:val="center"/>
          </w:tcPr>
          <w:p w14:paraId="60885C92">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38649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shd w:val="clear" w:color="auto" w:fill="auto"/>
            <w:vAlign w:val="center"/>
          </w:tcPr>
          <w:p w14:paraId="6A773E38">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13</w:t>
            </w:r>
          </w:p>
        </w:tc>
        <w:tc>
          <w:tcPr>
            <w:tcW w:w="976" w:type="pct"/>
            <w:vAlign w:val="center"/>
          </w:tcPr>
          <w:p w14:paraId="3A2B8B63">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kern w:val="0"/>
                <w:sz w:val="24"/>
                <w:szCs w:val="24"/>
              </w:rPr>
              <w:t>磋商过程中可能变动的内容</w:t>
            </w:r>
          </w:p>
        </w:tc>
        <w:tc>
          <w:tcPr>
            <w:tcW w:w="3667" w:type="pct"/>
            <w:vAlign w:val="center"/>
          </w:tcPr>
          <w:p w14:paraId="0CEB57CF">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sz w:val="24"/>
                <w:szCs w:val="24"/>
              </w:rPr>
              <w:t>在磋商过程中，磋商小组可以根据磋商文件和磋商情况实质性变动采购需求中的技术、服务要求以及合同草案条款，但不得变动磋商文件中的其他内容。</w:t>
            </w:r>
          </w:p>
        </w:tc>
      </w:tr>
      <w:tr w14:paraId="4BD82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55" w:type="pct"/>
            <w:shd w:val="clear" w:color="auto" w:fill="auto"/>
            <w:vAlign w:val="center"/>
          </w:tcPr>
          <w:p w14:paraId="1650E82C">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14</w:t>
            </w:r>
          </w:p>
        </w:tc>
        <w:tc>
          <w:tcPr>
            <w:tcW w:w="976" w:type="pct"/>
            <w:vAlign w:val="center"/>
          </w:tcPr>
          <w:p w14:paraId="28274EBF">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kern w:val="0"/>
                <w:sz w:val="24"/>
                <w:szCs w:val="24"/>
              </w:rPr>
            </w:pPr>
            <w:r>
              <w:rPr>
                <w:rFonts w:hint="eastAsia" w:ascii="宋体" w:hAnsi="宋体" w:cs="宋体"/>
                <w:sz w:val="24"/>
                <w:szCs w:val="24"/>
              </w:rPr>
              <w:t>合同履行期限</w:t>
            </w:r>
          </w:p>
        </w:tc>
        <w:tc>
          <w:tcPr>
            <w:tcW w:w="3667" w:type="pct"/>
            <w:vAlign w:val="center"/>
          </w:tcPr>
          <w:p w14:paraId="022B5752">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62098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355" w:type="pct"/>
            <w:shd w:val="clear" w:color="auto" w:fill="auto"/>
            <w:vAlign w:val="center"/>
          </w:tcPr>
          <w:p w14:paraId="5B2E54FA">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15</w:t>
            </w:r>
          </w:p>
        </w:tc>
        <w:tc>
          <w:tcPr>
            <w:tcW w:w="976" w:type="pct"/>
            <w:vAlign w:val="center"/>
          </w:tcPr>
          <w:p w14:paraId="2BE404D4">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kern w:val="0"/>
                <w:sz w:val="24"/>
                <w:szCs w:val="24"/>
              </w:rPr>
            </w:pPr>
            <w:r>
              <w:rPr>
                <w:rFonts w:hint="eastAsia" w:ascii="宋体" w:hAnsi="宋体" w:cs="宋体"/>
                <w:kern w:val="0"/>
                <w:sz w:val="24"/>
                <w:szCs w:val="24"/>
              </w:rPr>
              <w:t>项目地点</w:t>
            </w:r>
          </w:p>
        </w:tc>
        <w:tc>
          <w:tcPr>
            <w:tcW w:w="3667" w:type="pct"/>
            <w:vAlign w:val="center"/>
          </w:tcPr>
          <w:p w14:paraId="211F1BF2">
            <w:pPr>
              <w:keepNext w:val="0"/>
              <w:keepLines w:val="0"/>
              <w:pageBreakBefore w:val="0"/>
              <w:widowControl w:val="0"/>
              <w:kinsoku/>
              <w:wordWrap/>
              <w:overflowPunct/>
              <w:topLinePunct w:val="0"/>
              <w:bidi w:val="0"/>
              <w:snapToGrid/>
              <w:spacing w:line="360" w:lineRule="exact"/>
              <w:textAlignment w:val="auto"/>
              <w:rPr>
                <w:rFonts w:hint="eastAsia" w:ascii="宋体" w:hAnsi="宋体" w:eastAsia="宋体" w:cs="宋体"/>
                <w:sz w:val="24"/>
                <w:szCs w:val="24"/>
                <w:lang w:eastAsia="zh-CN"/>
              </w:rPr>
            </w:pPr>
            <w:r>
              <w:rPr>
                <w:rFonts w:hint="eastAsia" w:ascii="宋体" w:hAnsi="宋体" w:cs="宋体"/>
                <w:spacing w:val="-2"/>
                <w:sz w:val="24"/>
                <w:szCs w:val="24"/>
                <w:lang w:eastAsia="zh-CN"/>
              </w:rPr>
              <w:t>湖北工业大学</w:t>
            </w:r>
          </w:p>
        </w:tc>
      </w:tr>
      <w:tr w14:paraId="5E5D9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55" w:type="pct"/>
            <w:shd w:val="clear" w:color="auto" w:fill="auto"/>
            <w:vAlign w:val="center"/>
          </w:tcPr>
          <w:p w14:paraId="2F843FBA">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16</w:t>
            </w:r>
          </w:p>
        </w:tc>
        <w:tc>
          <w:tcPr>
            <w:tcW w:w="976" w:type="pct"/>
            <w:vAlign w:val="center"/>
          </w:tcPr>
          <w:p w14:paraId="3290E688">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报价货币</w:t>
            </w:r>
          </w:p>
        </w:tc>
        <w:tc>
          <w:tcPr>
            <w:tcW w:w="3667" w:type="pct"/>
            <w:vAlign w:val="center"/>
          </w:tcPr>
          <w:p w14:paraId="57C76A25">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u w:val="single"/>
              </w:rPr>
            </w:pPr>
            <w:r>
              <w:rPr>
                <w:rFonts w:hint="eastAsia" w:ascii="宋体" w:hAnsi="宋体" w:cs="宋体"/>
                <w:bCs/>
                <w:kern w:val="0"/>
                <w:sz w:val="24"/>
                <w:szCs w:val="24"/>
              </w:rPr>
              <w:t>响应文件须采用人民币报价。</w:t>
            </w:r>
          </w:p>
        </w:tc>
      </w:tr>
      <w:tr w14:paraId="55B36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355" w:type="pct"/>
            <w:shd w:val="clear" w:color="auto" w:fill="auto"/>
            <w:vAlign w:val="center"/>
          </w:tcPr>
          <w:p w14:paraId="0EBF2506">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17</w:t>
            </w:r>
          </w:p>
        </w:tc>
        <w:tc>
          <w:tcPr>
            <w:tcW w:w="976" w:type="pct"/>
            <w:vAlign w:val="center"/>
          </w:tcPr>
          <w:p w14:paraId="5C73D6E1">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合格供应商资格要求</w:t>
            </w:r>
          </w:p>
        </w:tc>
        <w:tc>
          <w:tcPr>
            <w:tcW w:w="3667" w:type="pct"/>
            <w:vAlign w:val="center"/>
          </w:tcPr>
          <w:p w14:paraId="36A165B9">
            <w:pPr>
              <w:keepNext w:val="0"/>
              <w:keepLines w:val="0"/>
              <w:pageBreakBefore w:val="0"/>
              <w:widowControl w:val="0"/>
              <w:kinsoku/>
              <w:wordWrap/>
              <w:overflowPunct/>
              <w:topLinePunct w:val="0"/>
              <w:bidi w:val="0"/>
              <w:snapToGrid/>
              <w:spacing w:line="360" w:lineRule="exact"/>
              <w:jc w:val="lef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19F1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55" w:type="pct"/>
            <w:shd w:val="clear" w:color="auto" w:fill="auto"/>
            <w:vAlign w:val="center"/>
          </w:tcPr>
          <w:p w14:paraId="3EC9A897">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18</w:t>
            </w:r>
          </w:p>
        </w:tc>
        <w:tc>
          <w:tcPr>
            <w:tcW w:w="976" w:type="pct"/>
            <w:vAlign w:val="center"/>
          </w:tcPr>
          <w:p w14:paraId="1003950D">
            <w:pPr>
              <w:keepNext w:val="0"/>
              <w:keepLines w:val="0"/>
              <w:pageBreakBefore w:val="0"/>
              <w:widowControl w:val="0"/>
              <w:kinsoku/>
              <w:wordWrap/>
              <w:overflowPunct/>
              <w:topLinePunct w:val="0"/>
              <w:bidi w:val="0"/>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是否专门面向中小微企业采购</w:t>
            </w:r>
          </w:p>
        </w:tc>
        <w:tc>
          <w:tcPr>
            <w:tcW w:w="3667" w:type="pct"/>
            <w:vAlign w:val="center"/>
          </w:tcPr>
          <w:p w14:paraId="32FAA0DB">
            <w:pPr>
              <w:keepNext w:val="0"/>
              <w:keepLines w:val="0"/>
              <w:pageBreakBefore w:val="0"/>
              <w:widowControl w:val="0"/>
              <w:kinsoku/>
              <w:wordWrap/>
              <w:overflowPunct/>
              <w:topLinePunct w:val="0"/>
              <w:bidi w:val="0"/>
              <w:snapToGrid/>
              <w:spacing w:line="360" w:lineRule="exact"/>
              <w:textAlignment w:val="auto"/>
              <w:rPr>
                <w:rFonts w:hint="eastAsia" w:ascii="宋体" w:hAnsi="宋体" w:cs="宋体"/>
                <w:kern w:val="0"/>
                <w:sz w:val="24"/>
                <w:szCs w:val="24"/>
              </w:rPr>
            </w:pPr>
            <w:r>
              <w:rPr>
                <w:rFonts w:hint="eastAsia" w:ascii="宋体" w:hAnsi="宋体" w:cs="宋体"/>
                <w:kern w:val="0"/>
                <w:sz w:val="24"/>
                <w:szCs w:val="24"/>
              </w:rPr>
              <w:t>详见“第一部分 竞争性磋商邀请函”</w:t>
            </w:r>
          </w:p>
        </w:tc>
      </w:tr>
      <w:tr w14:paraId="6A6E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55" w:type="pct"/>
            <w:shd w:val="clear" w:color="auto" w:fill="auto"/>
            <w:vAlign w:val="center"/>
          </w:tcPr>
          <w:p w14:paraId="210B6411">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19</w:t>
            </w:r>
          </w:p>
        </w:tc>
        <w:tc>
          <w:tcPr>
            <w:tcW w:w="976" w:type="pct"/>
            <w:vAlign w:val="center"/>
          </w:tcPr>
          <w:p w14:paraId="5B12A79C">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采购标的对应的中小企业划分标准所属行业</w:t>
            </w:r>
          </w:p>
        </w:tc>
        <w:tc>
          <w:tcPr>
            <w:tcW w:w="3667" w:type="pct"/>
            <w:vAlign w:val="center"/>
          </w:tcPr>
          <w:p w14:paraId="3340FAAB">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bCs/>
                <w:kern w:val="0"/>
                <w:sz w:val="24"/>
                <w:szCs w:val="24"/>
              </w:rPr>
              <w:t>软件和信息技术服务业</w:t>
            </w:r>
          </w:p>
        </w:tc>
      </w:tr>
      <w:tr w14:paraId="5780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355" w:type="pct"/>
            <w:shd w:val="clear" w:color="auto" w:fill="auto"/>
            <w:vAlign w:val="center"/>
          </w:tcPr>
          <w:p w14:paraId="1C09A0AD">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20</w:t>
            </w:r>
          </w:p>
        </w:tc>
        <w:tc>
          <w:tcPr>
            <w:tcW w:w="976" w:type="pct"/>
            <w:vAlign w:val="center"/>
          </w:tcPr>
          <w:p w14:paraId="43098757">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是否接受联合</w:t>
            </w:r>
          </w:p>
          <w:p w14:paraId="4BA3E64C">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响应</w:t>
            </w:r>
          </w:p>
        </w:tc>
        <w:tc>
          <w:tcPr>
            <w:tcW w:w="3667" w:type="pct"/>
            <w:vAlign w:val="center"/>
          </w:tcPr>
          <w:p w14:paraId="2FEAE4E0">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sz w:val="24"/>
                <w:szCs w:val="24"/>
              </w:rPr>
              <w:sym w:font="Wingdings 2" w:char="0052"/>
            </w:r>
            <w:r>
              <w:rPr>
                <w:rFonts w:hint="eastAsia" w:ascii="宋体" w:hAnsi="宋体" w:cs="宋体"/>
                <w:bCs/>
                <w:kern w:val="0"/>
                <w:sz w:val="24"/>
                <w:szCs w:val="24"/>
              </w:rPr>
              <w:t xml:space="preserve">不接受  </w:t>
            </w:r>
          </w:p>
          <w:p w14:paraId="538978A2">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bCs/>
                <w:kern w:val="0"/>
                <w:sz w:val="24"/>
                <w:szCs w:val="24"/>
              </w:rPr>
              <w:sym w:font="Wingdings 2" w:char="00A3"/>
            </w:r>
            <w:r>
              <w:rPr>
                <w:rFonts w:hint="eastAsia" w:ascii="宋体" w:hAnsi="宋体" w:cs="宋体"/>
                <w:bCs/>
                <w:kern w:val="0"/>
                <w:sz w:val="24"/>
                <w:szCs w:val="24"/>
              </w:rPr>
              <w:t xml:space="preserve"> 接受</w:t>
            </w:r>
          </w:p>
        </w:tc>
      </w:tr>
      <w:tr w14:paraId="5308F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355" w:type="pct"/>
            <w:shd w:val="clear" w:color="auto" w:fill="auto"/>
            <w:vAlign w:val="center"/>
          </w:tcPr>
          <w:p w14:paraId="53D9BB98">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21</w:t>
            </w:r>
          </w:p>
        </w:tc>
        <w:tc>
          <w:tcPr>
            <w:tcW w:w="976" w:type="pct"/>
            <w:vAlign w:val="center"/>
          </w:tcPr>
          <w:p w14:paraId="5559C34B">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pacing w:val="-10"/>
                <w:sz w:val="24"/>
                <w:szCs w:val="24"/>
              </w:rPr>
              <w:t>磋商文件</w:t>
            </w:r>
            <w:r>
              <w:rPr>
                <w:rFonts w:hint="eastAsia" w:ascii="宋体" w:hAnsi="宋体" w:cs="宋体"/>
                <w:sz w:val="24"/>
                <w:szCs w:val="24"/>
              </w:rPr>
              <w:t>发售</w:t>
            </w:r>
          </w:p>
          <w:p w14:paraId="5B65A076">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时间、地点</w:t>
            </w:r>
          </w:p>
        </w:tc>
        <w:tc>
          <w:tcPr>
            <w:tcW w:w="3667" w:type="pct"/>
            <w:vAlign w:val="center"/>
          </w:tcPr>
          <w:p w14:paraId="5FE52E1C">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63C0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trPr>
        <w:tc>
          <w:tcPr>
            <w:tcW w:w="355" w:type="pct"/>
            <w:shd w:val="clear" w:color="auto" w:fill="auto"/>
            <w:vAlign w:val="center"/>
          </w:tcPr>
          <w:p w14:paraId="5E1BCFFE">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22</w:t>
            </w:r>
          </w:p>
        </w:tc>
        <w:tc>
          <w:tcPr>
            <w:tcW w:w="976" w:type="pct"/>
            <w:vAlign w:val="center"/>
          </w:tcPr>
          <w:p w14:paraId="4321B75B">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现场踏勘</w:t>
            </w:r>
          </w:p>
        </w:tc>
        <w:tc>
          <w:tcPr>
            <w:tcW w:w="3667" w:type="pct"/>
            <w:vAlign w:val="center"/>
          </w:tcPr>
          <w:p w14:paraId="7BACC040">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sym w:font="Wingdings 2" w:char="0052"/>
            </w:r>
            <w:r>
              <w:rPr>
                <w:rFonts w:hint="eastAsia" w:ascii="宋体" w:hAnsi="宋体" w:cs="宋体"/>
                <w:sz w:val="24"/>
                <w:szCs w:val="24"/>
              </w:rPr>
              <w:t>不组织 自行踏勘</w:t>
            </w:r>
          </w:p>
          <w:p w14:paraId="5742BA29">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bCs/>
                <w:kern w:val="0"/>
                <w:sz w:val="24"/>
                <w:szCs w:val="24"/>
              </w:rPr>
              <w:sym w:font="Wingdings 2" w:char="00A3"/>
            </w:r>
            <w:r>
              <w:rPr>
                <w:rFonts w:hint="eastAsia" w:ascii="宋体" w:hAnsi="宋体" w:cs="宋体"/>
                <w:bCs/>
                <w:kern w:val="0"/>
                <w:sz w:val="24"/>
                <w:szCs w:val="24"/>
              </w:rPr>
              <w:t xml:space="preserve"> </w:t>
            </w:r>
            <w:r>
              <w:rPr>
                <w:rFonts w:hint="eastAsia" w:ascii="宋体" w:hAnsi="宋体" w:cs="宋体"/>
                <w:sz w:val="24"/>
                <w:szCs w:val="24"/>
              </w:rPr>
              <w:t>组织</w:t>
            </w:r>
          </w:p>
          <w:p w14:paraId="363C7E10">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踏勘时间：</w:t>
            </w:r>
          </w:p>
          <w:p w14:paraId="244AE44C">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踏勘集中地点：</w:t>
            </w:r>
          </w:p>
          <w:p w14:paraId="778F9393">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联系人：</w:t>
            </w:r>
          </w:p>
          <w:p w14:paraId="79A14BCD">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联系电话：</w:t>
            </w:r>
          </w:p>
        </w:tc>
      </w:tr>
      <w:tr w14:paraId="77DEF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55" w:type="pct"/>
            <w:shd w:val="clear" w:color="auto" w:fill="auto"/>
            <w:vAlign w:val="center"/>
          </w:tcPr>
          <w:p w14:paraId="698125F8">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23</w:t>
            </w:r>
          </w:p>
        </w:tc>
        <w:tc>
          <w:tcPr>
            <w:tcW w:w="976" w:type="pct"/>
            <w:vAlign w:val="center"/>
          </w:tcPr>
          <w:p w14:paraId="0D89A8CC">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trike/>
                <w:sz w:val="24"/>
                <w:szCs w:val="24"/>
              </w:rPr>
            </w:pPr>
            <w:r>
              <w:rPr>
                <w:rFonts w:hint="eastAsia" w:ascii="宋体" w:hAnsi="宋体" w:cs="宋体"/>
                <w:sz w:val="24"/>
                <w:szCs w:val="24"/>
              </w:rPr>
              <w:t>提问方式</w:t>
            </w:r>
          </w:p>
        </w:tc>
        <w:tc>
          <w:tcPr>
            <w:tcW w:w="3667" w:type="pct"/>
            <w:vAlign w:val="center"/>
          </w:tcPr>
          <w:p w14:paraId="6831FCFA">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书面提问须加盖供应商公章。</w:t>
            </w:r>
          </w:p>
          <w:p w14:paraId="3A038F93">
            <w:pPr>
              <w:keepNext w:val="0"/>
              <w:keepLines w:val="0"/>
              <w:pageBreakBefore w:val="0"/>
              <w:widowControl w:val="0"/>
              <w:kinsoku/>
              <w:wordWrap/>
              <w:overflowPunct/>
              <w:topLinePunct w:val="0"/>
              <w:bidi w:val="0"/>
              <w:snapToGrid/>
              <w:spacing w:line="360" w:lineRule="exact"/>
              <w:textAlignment w:val="auto"/>
              <w:rPr>
                <w:rFonts w:ascii="宋体" w:hAnsi="宋体" w:cs="宋体"/>
                <w:spacing w:val="-6"/>
                <w:sz w:val="24"/>
                <w:szCs w:val="24"/>
              </w:rPr>
            </w:pPr>
            <w:r>
              <w:rPr>
                <w:rFonts w:hint="eastAsia" w:ascii="宋体" w:hAnsi="宋体" w:cs="宋体"/>
                <w:sz w:val="24"/>
                <w:szCs w:val="24"/>
              </w:rPr>
              <w:t>邮    箱：</w:t>
            </w:r>
            <w:r>
              <w:fldChar w:fldCharType="begin"/>
            </w:r>
            <w:r>
              <w:instrText xml:space="preserve"> HYPERLINK "mailto:hbsfzb@sina.cn" </w:instrText>
            </w:r>
            <w:r>
              <w:fldChar w:fldCharType="separate"/>
            </w:r>
            <w:r>
              <w:rPr>
                <w:rStyle w:val="38"/>
                <w:rFonts w:hint="eastAsia" w:ascii="宋体" w:hAnsi="宋体" w:cs="宋体"/>
                <w:color w:val="auto"/>
                <w:spacing w:val="-2"/>
                <w:sz w:val="24"/>
                <w:szCs w:val="24"/>
              </w:rPr>
              <w:t>hbsfzb@sina.cn</w:t>
            </w:r>
            <w:r>
              <w:rPr>
                <w:rStyle w:val="38"/>
                <w:rFonts w:hint="eastAsia" w:ascii="宋体" w:hAnsi="宋体" w:cs="宋体"/>
                <w:color w:val="auto"/>
                <w:spacing w:val="-2"/>
                <w:sz w:val="24"/>
                <w:szCs w:val="24"/>
              </w:rPr>
              <w:fldChar w:fldCharType="end"/>
            </w:r>
          </w:p>
        </w:tc>
      </w:tr>
      <w:tr w14:paraId="709A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355" w:type="pct"/>
            <w:shd w:val="clear" w:color="auto" w:fill="auto"/>
            <w:vAlign w:val="center"/>
          </w:tcPr>
          <w:p w14:paraId="19598E5B">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24</w:t>
            </w:r>
          </w:p>
        </w:tc>
        <w:tc>
          <w:tcPr>
            <w:tcW w:w="976" w:type="pct"/>
            <w:vAlign w:val="center"/>
          </w:tcPr>
          <w:p w14:paraId="1C156562">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答疑会</w:t>
            </w:r>
          </w:p>
          <w:p w14:paraId="6F1B2C9B">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时间、地点</w:t>
            </w:r>
          </w:p>
        </w:tc>
        <w:tc>
          <w:tcPr>
            <w:tcW w:w="3667" w:type="pct"/>
            <w:vAlign w:val="center"/>
          </w:tcPr>
          <w:p w14:paraId="057D0075">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时间：如有，另行书面通知</w:t>
            </w:r>
          </w:p>
          <w:p w14:paraId="1EC3E471">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地点：武汉市武昌区民主路789号侧院湖北世发招标有限公司209室</w:t>
            </w:r>
          </w:p>
        </w:tc>
      </w:tr>
      <w:tr w14:paraId="19C4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355" w:type="pct"/>
            <w:shd w:val="clear" w:color="auto" w:fill="auto"/>
            <w:vAlign w:val="center"/>
          </w:tcPr>
          <w:p w14:paraId="306CB8C9">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25</w:t>
            </w:r>
          </w:p>
        </w:tc>
        <w:tc>
          <w:tcPr>
            <w:tcW w:w="976" w:type="pct"/>
            <w:vAlign w:val="center"/>
          </w:tcPr>
          <w:p w14:paraId="325815CD">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领取磋商补充文件时间及地点</w:t>
            </w:r>
          </w:p>
        </w:tc>
        <w:tc>
          <w:tcPr>
            <w:tcW w:w="3667" w:type="pct"/>
            <w:vAlign w:val="center"/>
          </w:tcPr>
          <w:p w14:paraId="57E244F0">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时间：另行安排（如有）</w:t>
            </w:r>
          </w:p>
          <w:p w14:paraId="7FDD9C1D">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地点：武汉市武昌区民主路789号侧院湖北世发招标有限公司209室</w:t>
            </w:r>
          </w:p>
          <w:p w14:paraId="25B8C90E">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（如有，将以书面形式统一发放所有供应商）</w:t>
            </w:r>
          </w:p>
        </w:tc>
      </w:tr>
      <w:tr w14:paraId="399F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355" w:type="pct"/>
            <w:shd w:val="clear" w:color="auto" w:fill="auto"/>
            <w:vAlign w:val="center"/>
          </w:tcPr>
          <w:p w14:paraId="47F13665">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26</w:t>
            </w:r>
          </w:p>
        </w:tc>
        <w:tc>
          <w:tcPr>
            <w:tcW w:w="976" w:type="pct"/>
            <w:vAlign w:val="center"/>
          </w:tcPr>
          <w:p w14:paraId="0D9AE2A4">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响应文件有效期</w:t>
            </w:r>
          </w:p>
        </w:tc>
        <w:tc>
          <w:tcPr>
            <w:tcW w:w="3667" w:type="pct"/>
            <w:vAlign w:val="center"/>
          </w:tcPr>
          <w:p w14:paraId="36A40632">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响应文件提交截止之日起90个日历日</w:t>
            </w:r>
          </w:p>
        </w:tc>
      </w:tr>
      <w:tr w14:paraId="6059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355" w:type="pct"/>
            <w:shd w:val="clear" w:color="auto" w:fill="auto"/>
            <w:vAlign w:val="center"/>
          </w:tcPr>
          <w:p w14:paraId="7EF04DD2">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27</w:t>
            </w:r>
          </w:p>
        </w:tc>
        <w:tc>
          <w:tcPr>
            <w:tcW w:w="976" w:type="pct"/>
            <w:vAlign w:val="center"/>
          </w:tcPr>
          <w:p w14:paraId="6EA2B45B">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磋商保证金</w:t>
            </w:r>
          </w:p>
        </w:tc>
        <w:tc>
          <w:tcPr>
            <w:tcW w:w="3667" w:type="pct"/>
            <w:vAlign w:val="center"/>
          </w:tcPr>
          <w:p w14:paraId="0DF36441">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b/>
                <w:bCs/>
                <w:sz w:val="24"/>
                <w:szCs w:val="24"/>
              </w:rPr>
              <w:t>保证金金额：本项目不收取</w:t>
            </w:r>
            <w:r>
              <w:rPr>
                <w:rFonts w:hint="eastAsia" w:ascii="宋体" w:hAnsi="宋体" w:cs="宋体"/>
                <w:b/>
                <w:bCs/>
                <w:sz w:val="24"/>
                <w:szCs w:val="24"/>
                <w:lang w:val="en-US" w:eastAsia="zh-CN"/>
              </w:rPr>
              <w:t>磋商</w:t>
            </w:r>
            <w:r>
              <w:rPr>
                <w:rFonts w:hint="eastAsia" w:ascii="宋体" w:hAnsi="宋体" w:cs="宋体"/>
                <w:b/>
                <w:bCs/>
                <w:sz w:val="24"/>
                <w:szCs w:val="24"/>
              </w:rPr>
              <w:t>保证金。</w:t>
            </w:r>
          </w:p>
        </w:tc>
      </w:tr>
      <w:tr w14:paraId="230F7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355" w:type="pct"/>
            <w:shd w:val="clear" w:color="auto" w:fill="auto"/>
            <w:vAlign w:val="center"/>
          </w:tcPr>
          <w:p w14:paraId="29577263">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28</w:t>
            </w:r>
          </w:p>
        </w:tc>
        <w:tc>
          <w:tcPr>
            <w:tcW w:w="976" w:type="pct"/>
            <w:vAlign w:val="center"/>
          </w:tcPr>
          <w:p w14:paraId="5D7DD8DF">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响应文件递交截止时间、地点</w:t>
            </w:r>
          </w:p>
        </w:tc>
        <w:tc>
          <w:tcPr>
            <w:tcW w:w="3667" w:type="pct"/>
            <w:vAlign w:val="center"/>
          </w:tcPr>
          <w:p w14:paraId="16377386">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546E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355" w:type="pct"/>
            <w:shd w:val="clear" w:color="auto" w:fill="auto"/>
            <w:vAlign w:val="center"/>
          </w:tcPr>
          <w:p w14:paraId="7FCD02F2">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29</w:t>
            </w:r>
          </w:p>
        </w:tc>
        <w:tc>
          <w:tcPr>
            <w:tcW w:w="976" w:type="pct"/>
            <w:vAlign w:val="center"/>
          </w:tcPr>
          <w:p w14:paraId="443F9315">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磋商会</w:t>
            </w:r>
          </w:p>
          <w:p w14:paraId="6673AF6F">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时间、地点</w:t>
            </w:r>
          </w:p>
        </w:tc>
        <w:tc>
          <w:tcPr>
            <w:tcW w:w="3667" w:type="pct"/>
            <w:vAlign w:val="center"/>
          </w:tcPr>
          <w:p w14:paraId="1A8A47F8">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kern w:val="0"/>
                <w:sz w:val="24"/>
                <w:szCs w:val="24"/>
              </w:rPr>
              <w:t>详见“第一部分 竞争性磋商邀请函”</w:t>
            </w:r>
          </w:p>
        </w:tc>
      </w:tr>
      <w:tr w14:paraId="6685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7257D40E">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30</w:t>
            </w:r>
          </w:p>
        </w:tc>
        <w:tc>
          <w:tcPr>
            <w:tcW w:w="976" w:type="pct"/>
            <w:vAlign w:val="center"/>
          </w:tcPr>
          <w:p w14:paraId="7A952FF4">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bCs/>
                <w:sz w:val="24"/>
                <w:szCs w:val="24"/>
              </w:rPr>
              <w:t>响应文件的组成</w:t>
            </w:r>
          </w:p>
        </w:tc>
        <w:tc>
          <w:tcPr>
            <w:tcW w:w="3667" w:type="pct"/>
            <w:vAlign w:val="center"/>
          </w:tcPr>
          <w:p w14:paraId="1ED76D75">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响应文件按下列顺序编制，应包括：</w:t>
            </w:r>
          </w:p>
          <w:p w14:paraId="059BADD1">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响应函；</w:t>
            </w:r>
          </w:p>
          <w:p w14:paraId="291DD6DB">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法定代表人等证明书；</w:t>
            </w:r>
          </w:p>
          <w:p w14:paraId="3408FF0A">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授权委托书；</w:t>
            </w:r>
          </w:p>
          <w:p w14:paraId="42DE828E">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报价一览表；</w:t>
            </w:r>
          </w:p>
          <w:p w14:paraId="706DAE7A">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报价明细表；</w:t>
            </w:r>
          </w:p>
          <w:p w14:paraId="3849D8EE">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偏离表；</w:t>
            </w:r>
          </w:p>
          <w:p w14:paraId="6927E729">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货物/服务报告；</w:t>
            </w:r>
          </w:p>
          <w:p w14:paraId="19A0500C">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资格证明文件；</w:t>
            </w:r>
          </w:p>
          <w:p w14:paraId="3AD3D00E">
            <w:pPr>
              <w:keepNext w:val="0"/>
              <w:keepLines w:val="0"/>
              <w:pageBreakBefore w:val="0"/>
              <w:widowControl w:val="0"/>
              <w:numPr>
                <w:ilvl w:val="0"/>
                <w:numId w:val="2"/>
              </w:numPr>
              <w:kinsoku/>
              <w:wordWrap/>
              <w:overflowPunct/>
              <w:topLinePunct w:val="0"/>
              <w:bidi w:val="0"/>
              <w:snapToGrid/>
              <w:spacing w:line="360" w:lineRule="exact"/>
              <w:ind w:left="0" w:firstLine="0"/>
              <w:textAlignment w:val="auto"/>
              <w:rPr>
                <w:rFonts w:ascii="宋体" w:hAnsi="宋体" w:cs="宋体"/>
                <w:sz w:val="24"/>
                <w:szCs w:val="24"/>
              </w:rPr>
            </w:pPr>
            <w:r>
              <w:rPr>
                <w:rFonts w:hint="eastAsia" w:ascii="宋体" w:hAnsi="宋体" w:cs="宋体"/>
                <w:sz w:val="24"/>
                <w:szCs w:val="24"/>
              </w:rPr>
              <w:t>供应商认为需加以说明的其他内容。</w:t>
            </w:r>
          </w:p>
        </w:tc>
      </w:tr>
      <w:tr w14:paraId="0BF5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7ACBED5F">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31</w:t>
            </w:r>
          </w:p>
        </w:tc>
        <w:tc>
          <w:tcPr>
            <w:tcW w:w="976" w:type="pct"/>
            <w:vAlign w:val="center"/>
          </w:tcPr>
          <w:p w14:paraId="7B44611D">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bCs/>
                <w:kern w:val="0"/>
                <w:sz w:val="24"/>
                <w:szCs w:val="24"/>
              </w:rPr>
              <w:t>响应文件格式</w:t>
            </w:r>
          </w:p>
        </w:tc>
        <w:tc>
          <w:tcPr>
            <w:tcW w:w="3667" w:type="pct"/>
            <w:vAlign w:val="center"/>
          </w:tcPr>
          <w:p w14:paraId="27C559EE">
            <w:pPr>
              <w:keepNext w:val="0"/>
              <w:keepLines w:val="0"/>
              <w:pageBreakBefore w:val="0"/>
              <w:widowControl w:val="0"/>
              <w:kinsoku/>
              <w:wordWrap/>
              <w:overflowPunct/>
              <w:topLinePunct w:val="0"/>
              <w:bidi w:val="0"/>
              <w:snapToGrid/>
              <w:spacing w:line="360" w:lineRule="exact"/>
              <w:textAlignment w:val="auto"/>
              <w:rPr>
                <w:rFonts w:ascii="宋体" w:hAnsi="宋体" w:cs="宋体"/>
                <w:b/>
                <w:sz w:val="24"/>
                <w:szCs w:val="24"/>
              </w:rPr>
            </w:pPr>
            <w:r>
              <w:rPr>
                <w:rFonts w:hint="eastAsia" w:ascii="宋体" w:hAnsi="宋体" w:cs="宋体"/>
                <w:bCs/>
                <w:kern w:val="0"/>
                <w:sz w:val="24"/>
                <w:szCs w:val="24"/>
              </w:rPr>
              <w:t>供应商应按磋商文件中提供的响应文件格式，填写响应函、法定代表人等证明书、授权委托书、报价一览表、报价明细表、偏离表、货物报告、资格证明文件等</w:t>
            </w:r>
            <w:r>
              <w:rPr>
                <w:rFonts w:hint="eastAsia" w:ascii="宋体" w:hAnsi="宋体" w:cs="宋体"/>
                <w:sz w:val="24"/>
                <w:szCs w:val="24"/>
              </w:rPr>
              <w:t>（详见第六部分 格式附件）</w:t>
            </w:r>
            <w:r>
              <w:rPr>
                <w:rFonts w:hint="eastAsia" w:ascii="宋体" w:hAnsi="宋体" w:cs="宋体"/>
                <w:bCs/>
                <w:kern w:val="0"/>
                <w:sz w:val="24"/>
                <w:szCs w:val="24"/>
              </w:rPr>
              <w:t>。</w:t>
            </w:r>
          </w:p>
        </w:tc>
      </w:tr>
      <w:tr w14:paraId="3D07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56930BEE">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32</w:t>
            </w:r>
          </w:p>
        </w:tc>
        <w:tc>
          <w:tcPr>
            <w:tcW w:w="976" w:type="pct"/>
            <w:vAlign w:val="center"/>
          </w:tcPr>
          <w:p w14:paraId="5A7309B9">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响应文件份数</w:t>
            </w:r>
          </w:p>
        </w:tc>
        <w:tc>
          <w:tcPr>
            <w:tcW w:w="3667" w:type="pct"/>
            <w:vAlign w:val="center"/>
          </w:tcPr>
          <w:p w14:paraId="145A35B6">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1、纸质文件：正本一份、副本二份、电子文档一份（电子文档为U盘，响应文件电子文档应采用Word及正本盖章扫描件PDF格式），授权委托书一份（格式见附件3</w:t>
            </w:r>
            <w:r>
              <w:rPr>
                <w:rFonts w:hint="eastAsia" w:ascii="宋体" w:hAnsi="宋体" w:cs="宋体"/>
                <w:sz w:val="24"/>
                <w:szCs w:val="24"/>
                <w:lang w:eastAsia="zh-CN"/>
              </w:rPr>
              <w:t>）</w:t>
            </w:r>
            <w:r>
              <w:rPr>
                <w:rFonts w:hint="eastAsia" w:ascii="宋体" w:hAnsi="宋体" w:cs="宋体"/>
                <w:sz w:val="24"/>
                <w:szCs w:val="24"/>
              </w:rPr>
              <w:t>。</w:t>
            </w:r>
          </w:p>
          <w:p w14:paraId="50C1A57C">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2、</w:t>
            </w:r>
            <w:r>
              <w:rPr>
                <w:rFonts w:hint="eastAsia" w:ascii="宋体" w:hAnsi="宋体" w:cs="宋体"/>
                <w:b/>
                <w:bCs/>
                <w:sz w:val="24"/>
                <w:szCs w:val="24"/>
              </w:rPr>
              <w:t>授权委托书一份单独递交，无须密封。</w:t>
            </w:r>
          </w:p>
          <w:p w14:paraId="0EDB20D9">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3、</w:t>
            </w:r>
            <w:r>
              <w:rPr>
                <w:rFonts w:hint="eastAsia" w:ascii="宋体" w:hAnsi="宋体" w:cs="宋体"/>
                <w:b/>
                <w:bCs/>
                <w:sz w:val="24"/>
                <w:szCs w:val="24"/>
              </w:rPr>
              <w:t>响应文件（含电子文档）递交时必须进行密封</w:t>
            </w:r>
            <w:r>
              <w:rPr>
                <w:rFonts w:hint="eastAsia" w:ascii="宋体" w:hAnsi="宋体" w:cs="宋体"/>
                <w:sz w:val="24"/>
                <w:szCs w:val="24"/>
              </w:rPr>
              <w:t>（每份书面文件建议采用胶装成册方式，标注页码并注明正本或副本及项目名称、项目编号、供应商名称等字样；响应文件胶装脊背处须注明“项目名称、项目编号”），在密封后文件的外包装上注明“项目名称、项目编号、供应商名称、地址、电话”等字样，并在封口骑缝处加盖供应商公章。</w:t>
            </w:r>
          </w:p>
          <w:p w14:paraId="1A71BFA8">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4、报价一览表须另附一份单独封装，可与电子文档（U盘）一起密封递交。</w:t>
            </w:r>
          </w:p>
          <w:p w14:paraId="26813B9B">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5、响应文件编制目录和页码，建议双面打印。</w:t>
            </w:r>
          </w:p>
        </w:tc>
      </w:tr>
      <w:tr w14:paraId="37AA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6D76BEE3">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33</w:t>
            </w:r>
          </w:p>
        </w:tc>
        <w:tc>
          <w:tcPr>
            <w:tcW w:w="976" w:type="pct"/>
            <w:vAlign w:val="center"/>
          </w:tcPr>
          <w:p w14:paraId="305A994E">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评审方法</w:t>
            </w:r>
          </w:p>
        </w:tc>
        <w:tc>
          <w:tcPr>
            <w:tcW w:w="3667" w:type="pct"/>
            <w:vAlign w:val="center"/>
          </w:tcPr>
          <w:p w14:paraId="683FDB8B">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综合评分法</w:t>
            </w:r>
          </w:p>
        </w:tc>
      </w:tr>
      <w:tr w14:paraId="37A5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6DEBE619">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34</w:t>
            </w:r>
          </w:p>
        </w:tc>
        <w:tc>
          <w:tcPr>
            <w:tcW w:w="976" w:type="pct"/>
            <w:vAlign w:val="center"/>
          </w:tcPr>
          <w:p w14:paraId="7C7F9FCE">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评审委员会的</w:t>
            </w:r>
          </w:p>
          <w:p w14:paraId="256C63E0">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组成</w:t>
            </w:r>
          </w:p>
        </w:tc>
        <w:tc>
          <w:tcPr>
            <w:tcW w:w="3667" w:type="pct"/>
            <w:vAlign w:val="center"/>
          </w:tcPr>
          <w:p w14:paraId="03DA32C9">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ascii="宋体" w:hAnsi="宋体" w:cs="宋体"/>
                <w:kern w:val="0"/>
                <w:sz w:val="24"/>
                <w:szCs w:val="24"/>
              </w:rPr>
            </w:pPr>
            <w:r>
              <w:rPr>
                <w:rFonts w:hint="eastAsia" w:ascii="宋体" w:hAnsi="宋体" w:cs="宋体"/>
                <w:kern w:val="0"/>
                <w:sz w:val="24"/>
                <w:szCs w:val="24"/>
              </w:rPr>
              <w:t>磋商小组由采购人代表和评审专家共3人以上单数组成，其中评审专家人数不得少于磋商小组成员总数的2/3。</w:t>
            </w:r>
          </w:p>
        </w:tc>
      </w:tr>
      <w:tr w14:paraId="095E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68B66AC7">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35</w:t>
            </w:r>
          </w:p>
        </w:tc>
        <w:tc>
          <w:tcPr>
            <w:tcW w:w="976" w:type="pct"/>
            <w:vAlign w:val="center"/>
          </w:tcPr>
          <w:p w14:paraId="5F10E4CC">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bCs/>
                <w:kern w:val="0"/>
                <w:sz w:val="24"/>
                <w:szCs w:val="24"/>
              </w:rPr>
              <w:t>属于下列情况之一的响应文件将被拒绝</w:t>
            </w:r>
          </w:p>
        </w:tc>
        <w:tc>
          <w:tcPr>
            <w:tcW w:w="3667" w:type="pct"/>
            <w:vAlign w:val="center"/>
          </w:tcPr>
          <w:p w14:paraId="5645A909">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1）未按规定获取磋商文件的；</w:t>
            </w:r>
          </w:p>
          <w:p w14:paraId="10F0CDD9">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2）供应商名称与报名时不一致的；</w:t>
            </w:r>
          </w:p>
          <w:p w14:paraId="60AA313B">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sz w:val="24"/>
                <w:szCs w:val="24"/>
              </w:rPr>
              <w:t>3</w:t>
            </w:r>
            <w:r>
              <w:rPr>
                <w:rFonts w:hint="eastAsia" w:ascii="宋体" w:hAnsi="宋体" w:cs="宋体"/>
                <w:sz w:val="24"/>
                <w:szCs w:val="24"/>
                <w:lang w:eastAsia="zh-CN"/>
              </w:rPr>
              <w:t>）</w:t>
            </w:r>
            <w:r>
              <w:rPr>
                <w:rFonts w:hint="eastAsia" w:ascii="宋体" w:hAnsi="宋体" w:cs="宋体"/>
                <w:bCs/>
                <w:kern w:val="0"/>
                <w:sz w:val="24"/>
                <w:szCs w:val="24"/>
              </w:rPr>
              <w:t>在递交截止时间后送达的响应文件</w:t>
            </w:r>
            <w:r>
              <w:rPr>
                <w:rFonts w:hint="eastAsia" w:ascii="宋体" w:hAnsi="宋体" w:cs="宋体"/>
                <w:sz w:val="24"/>
                <w:szCs w:val="24"/>
              </w:rPr>
              <w:t>。</w:t>
            </w:r>
          </w:p>
        </w:tc>
      </w:tr>
      <w:tr w14:paraId="4B3E2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79D4F3D6">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36</w:t>
            </w:r>
          </w:p>
        </w:tc>
        <w:tc>
          <w:tcPr>
            <w:tcW w:w="976" w:type="pct"/>
            <w:vAlign w:val="center"/>
          </w:tcPr>
          <w:p w14:paraId="6651B73A">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sz w:val="24"/>
                <w:szCs w:val="24"/>
              </w:rPr>
              <w:t>属于下列情况之一的响应文件将作无效处理</w:t>
            </w:r>
          </w:p>
        </w:tc>
        <w:tc>
          <w:tcPr>
            <w:tcW w:w="3667" w:type="pct"/>
            <w:vAlign w:val="center"/>
          </w:tcPr>
          <w:p w14:paraId="4861D34B">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1）响应文件未满足本文件规定的签字、盖章要求的；</w:t>
            </w:r>
          </w:p>
          <w:p w14:paraId="490F78C8">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2）响应有效期少于本文件规定有效期的响应文件；</w:t>
            </w:r>
          </w:p>
          <w:p w14:paraId="303F99A5">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3）响应文件附有采购人不能接受的条件的；</w:t>
            </w:r>
          </w:p>
          <w:p w14:paraId="6748B178">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4）响应文件报价超过预算的；</w:t>
            </w:r>
          </w:p>
          <w:p w14:paraId="7525E958">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5）不满足“★”号条款的；</w:t>
            </w:r>
          </w:p>
          <w:p w14:paraId="11B95CCC">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6）不符合本文件规定的其他实质性要求的。</w:t>
            </w:r>
          </w:p>
        </w:tc>
      </w:tr>
      <w:tr w14:paraId="418A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shd w:val="clear" w:color="auto" w:fill="auto"/>
            <w:vAlign w:val="center"/>
          </w:tcPr>
          <w:p w14:paraId="445D817D">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37</w:t>
            </w:r>
          </w:p>
        </w:tc>
        <w:tc>
          <w:tcPr>
            <w:tcW w:w="976" w:type="pct"/>
            <w:vAlign w:val="center"/>
          </w:tcPr>
          <w:p w14:paraId="619F2AB0">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供应商退出磋商</w:t>
            </w:r>
          </w:p>
        </w:tc>
        <w:tc>
          <w:tcPr>
            <w:tcW w:w="3667" w:type="pct"/>
            <w:vAlign w:val="center"/>
          </w:tcPr>
          <w:p w14:paraId="3C4711E9">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1、至响应文件提交截止时间，供应商法定代表人或负责人或其委托的代理人未出席磋商会议，或供应商出席磋商会议的人员不能提供其为法定代表人或负责人或其委托磋商代理人的有效证明文件的，视为自动退出磋商；</w:t>
            </w:r>
          </w:p>
          <w:p w14:paraId="084CB8E2">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2、已提交响应文件的供应商，在提交最后报价之前，可以根据磋商情况退出磋商。</w:t>
            </w:r>
          </w:p>
        </w:tc>
      </w:tr>
      <w:tr w14:paraId="0A5D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355" w:type="pct"/>
            <w:shd w:val="clear" w:color="auto" w:fill="auto"/>
            <w:vAlign w:val="center"/>
          </w:tcPr>
          <w:p w14:paraId="5917B5DF">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38</w:t>
            </w:r>
          </w:p>
        </w:tc>
        <w:tc>
          <w:tcPr>
            <w:tcW w:w="976" w:type="pct"/>
            <w:vAlign w:val="center"/>
          </w:tcPr>
          <w:p w14:paraId="242EAB74">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成交服务费支付</w:t>
            </w:r>
          </w:p>
        </w:tc>
        <w:tc>
          <w:tcPr>
            <w:tcW w:w="3667" w:type="pct"/>
            <w:vAlign w:val="center"/>
          </w:tcPr>
          <w:p w14:paraId="15ACED7E">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参照原国家计委计价格[2002]1980号规定及国家发展和改革委员会办公厅发改办价格[2003]857号文规定收取</w:t>
            </w:r>
            <w:r>
              <w:rPr>
                <w:rFonts w:hint="eastAsia" w:ascii="宋体" w:hAnsi="宋体" w:cs="宋体"/>
                <w:sz w:val="24"/>
                <w:szCs w:val="24"/>
                <w:lang w:val="en-US" w:eastAsia="zh-CN"/>
              </w:rPr>
              <w:t>的80%收取</w:t>
            </w:r>
            <w:r>
              <w:rPr>
                <w:rFonts w:hint="eastAsia" w:ascii="宋体" w:hAnsi="宋体" w:cs="宋体"/>
                <w:sz w:val="24"/>
                <w:szCs w:val="24"/>
              </w:rPr>
              <w:t>，</w:t>
            </w:r>
            <w:r>
              <w:rPr>
                <w:rFonts w:hint="eastAsia" w:ascii="宋体" w:hAnsi="宋体" w:cs="宋体"/>
                <w:sz w:val="24"/>
                <w:szCs w:val="24"/>
                <w:lang w:val="en-US" w:eastAsia="zh-CN"/>
              </w:rPr>
              <w:t>不足3000元按3000元收取。</w:t>
            </w:r>
            <w:r>
              <w:rPr>
                <w:rFonts w:hint="eastAsia" w:ascii="宋体" w:hAnsi="宋体" w:cs="宋体"/>
                <w:sz w:val="24"/>
                <w:szCs w:val="24"/>
              </w:rPr>
              <w:t>由成交人向代理机构支付服务费。</w:t>
            </w:r>
          </w:p>
          <w:p w14:paraId="42A8C86D">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银行账户信息：</w:t>
            </w:r>
          </w:p>
          <w:p w14:paraId="6760D931">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开 户 名 称：湖北世发招标有限公司</w:t>
            </w:r>
          </w:p>
          <w:p w14:paraId="29C31D6D">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开  户   行：湖北银行股份有限公司武汉洪山支行</w:t>
            </w:r>
          </w:p>
          <w:p w14:paraId="1FBB7086">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账       号：1019 0200 0000 00074</w:t>
            </w:r>
          </w:p>
          <w:p w14:paraId="2AE35664">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行       号：3135 2100 6472</w:t>
            </w:r>
          </w:p>
          <w:p w14:paraId="3031158B">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签订合同后须将合同扫描件（PDF版）发送至hbsfzb@sina.cn 备案。</w:t>
            </w:r>
          </w:p>
        </w:tc>
      </w:tr>
      <w:tr w14:paraId="5637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355" w:type="pct"/>
            <w:shd w:val="clear" w:color="auto" w:fill="auto"/>
            <w:vAlign w:val="center"/>
          </w:tcPr>
          <w:p w14:paraId="7A1D3603">
            <w:pPr>
              <w:keepNext w:val="0"/>
              <w:keepLines w:val="0"/>
              <w:pageBreakBefore w:val="0"/>
              <w:widowControl w:val="0"/>
              <w:kinsoku/>
              <w:wordWrap/>
              <w:overflowPunct/>
              <w:topLinePunct w:val="0"/>
              <w:bidi w:val="0"/>
              <w:snapToGrid/>
              <w:spacing w:line="360" w:lineRule="exact"/>
              <w:jc w:val="center"/>
              <w:textAlignment w:val="auto"/>
              <w:rPr>
                <w:rFonts w:ascii="宋体" w:hAnsi="宋体" w:eastAsia="宋体" w:cs="宋体"/>
                <w:kern w:val="2"/>
                <w:sz w:val="24"/>
                <w:szCs w:val="24"/>
                <w:lang w:val="en-US" w:eastAsia="zh-CN" w:bidi="ar-SA"/>
              </w:rPr>
            </w:pPr>
            <w:r>
              <w:rPr>
                <w:rFonts w:hint="eastAsia" w:ascii="宋体" w:hAnsi="宋体" w:cs="宋体"/>
                <w:sz w:val="24"/>
                <w:szCs w:val="24"/>
              </w:rPr>
              <w:t>39</w:t>
            </w:r>
          </w:p>
        </w:tc>
        <w:tc>
          <w:tcPr>
            <w:tcW w:w="976" w:type="pct"/>
            <w:vAlign w:val="center"/>
          </w:tcPr>
          <w:p w14:paraId="5A3CF20D">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政府采购政策</w:t>
            </w:r>
          </w:p>
          <w:p w14:paraId="6F8B18A3">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sz w:val="24"/>
                <w:szCs w:val="24"/>
              </w:rPr>
              <w:t>落实</w:t>
            </w:r>
          </w:p>
        </w:tc>
        <w:tc>
          <w:tcPr>
            <w:tcW w:w="3667" w:type="pct"/>
            <w:vAlign w:val="center"/>
          </w:tcPr>
          <w:p w14:paraId="03D0FCCC">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本次采购若符合政府强制采购节能产品、鼓励环保产品、扶持福利企业、促进残疾人就业、支持中小微企业、支持监狱和戒毒企业</w:t>
            </w:r>
            <w:r>
              <w:rPr>
                <w:rFonts w:hint="eastAsia" w:ascii="宋体" w:hAnsi="宋体" w:cs="宋体"/>
                <w:bCs/>
                <w:kern w:val="0"/>
                <w:sz w:val="24"/>
                <w:szCs w:val="24"/>
              </w:rPr>
              <w:t>、支持脱贫攻坚</w:t>
            </w:r>
            <w:r>
              <w:rPr>
                <w:rFonts w:hint="eastAsia" w:ascii="宋体" w:hAnsi="宋体" w:cs="宋体"/>
                <w:sz w:val="24"/>
                <w:szCs w:val="24"/>
              </w:rPr>
              <w:t>等政策，将落实相关政策。</w:t>
            </w:r>
          </w:p>
        </w:tc>
      </w:tr>
      <w:tr w14:paraId="01B31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vAlign w:val="center"/>
          </w:tcPr>
          <w:p w14:paraId="323B9EE8">
            <w:pPr>
              <w:keepNext w:val="0"/>
              <w:keepLines w:val="0"/>
              <w:pageBreakBefore w:val="0"/>
              <w:widowControl w:val="0"/>
              <w:kinsoku/>
              <w:wordWrap/>
              <w:overflowPunct/>
              <w:topLinePunct w:val="0"/>
              <w:bidi w:val="0"/>
              <w:snapToGrid/>
              <w:spacing w:line="3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40</w:t>
            </w:r>
          </w:p>
        </w:tc>
        <w:tc>
          <w:tcPr>
            <w:tcW w:w="976" w:type="pct"/>
            <w:vAlign w:val="center"/>
          </w:tcPr>
          <w:p w14:paraId="25280AF5">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bCs/>
                <w:kern w:val="0"/>
                <w:sz w:val="24"/>
                <w:szCs w:val="24"/>
              </w:rPr>
            </w:pPr>
            <w:r>
              <w:rPr>
                <w:rFonts w:hint="eastAsia" w:ascii="宋体" w:hAnsi="宋体" w:cs="宋体"/>
                <w:sz w:val="24"/>
                <w:szCs w:val="24"/>
              </w:rPr>
              <w:t>其他</w:t>
            </w:r>
          </w:p>
        </w:tc>
        <w:tc>
          <w:tcPr>
            <w:tcW w:w="3667" w:type="pct"/>
            <w:vAlign w:val="center"/>
          </w:tcPr>
          <w:p w14:paraId="2EA05E9F">
            <w:pPr>
              <w:keepNext w:val="0"/>
              <w:keepLines w:val="0"/>
              <w:pageBreakBefore w:val="0"/>
              <w:widowControl w:val="0"/>
              <w:kinsoku/>
              <w:wordWrap/>
              <w:overflowPunct/>
              <w:topLinePunct w:val="0"/>
              <w:bidi w:val="0"/>
              <w:snapToGrid/>
              <w:spacing w:line="360" w:lineRule="exact"/>
              <w:textAlignment w:val="auto"/>
              <w:rPr>
                <w:rFonts w:ascii="宋体" w:hAnsi="宋体" w:cs="宋体"/>
                <w:bCs/>
                <w:kern w:val="0"/>
                <w:sz w:val="24"/>
                <w:szCs w:val="24"/>
              </w:rPr>
            </w:pPr>
            <w:r>
              <w:rPr>
                <w:rFonts w:hint="eastAsia" w:ascii="宋体" w:hAnsi="宋体" w:cs="宋体"/>
                <w:bCs/>
                <w:kern w:val="0"/>
                <w:sz w:val="24"/>
                <w:szCs w:val="24"/>
              </w:rPr>
              <w:t>1.响应文件（含电子文档）递交时必须进行密封（每份书面文件建议采用胶装成册方式，标注页码并注明正本或副本及项目名称、项目编号、供应商名称等字样；</w:t>
            </w:r>
            <w:r>
              <w:rPr>
                <w:rFonts w:hint="eastAsia" w:ascii="宋体" w:hAnsi="宋体" w:cs="宋体"/>
                <w:sz w:val="24"/>
                <w:szCs w:val="24"/>
              </w:rPr>
              <w:t>响应文件胶装脊背处须注明“项目名称、项目编号”</w:t>
            </w:r>
            <w:r>
              <w:rPr>
                <w:rFonts w:hint="eastAsia" w:ascii="宋体" w:hAnsi="宋体" w:cs="宋体"/>
                <w:bCs/>
                <w:kern w:val="0"/>
                <w:sz w:val="24"/>
                <w:szCs w:val="24"/>
              </w:rPr>
              <w:t>），在密封后文件的外包装上注明“项目名称、项目编号、供应商名称、地址、电话”等字样，并在封口骑缝处加盖供应商公章。</w:t>
            </w:r>
          </w:p>
          <w:p w14:paraId="31F13347">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sz w:val="24"/>
                <w:szCs w:val="24"/>
              </w:rPr>
              <w:t>2.本磋商文件所附合同条款对成交供应商有约束力，根据项目需要采购人可在与成交供应商签署合同时对原合同稍作修订。</w:t>
            </w:r>
          </w:p>
        </w:tc>
      </w:tr>
      <w:tr w14:paraId="54D4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55" w:type="pct"/>
            <w:vAlign w:val="center"/>
          </w:tcPr>
          <w:p w14:paraId="59F7BAC6">
            <w:pPr>
              <w:keepNext w:val="0"/>
              <w:keepLines w:val="0"/>
              <w:pageBreakBefore w:val="0"/>
              <w:widowControl w:val="0"/>
              <w:kinsoku/>
              <w:wordWrap/>
              <w:overflowPunct/>
              <w:topLinePunct w:val="0"/>
              <w:bidi w:val="0"/>
              <w:snapToGrid/>
              <w:spacing w:line="36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41</w:t>
            </w:r>
          </w:p>
        </w:tc>
        <w:tc>
          <w:tcPr>
            <w:tcW w:w="976" w:type="pct"/>
            <w:vAlign w:val="center"/>
          </w:tcPr>
          <w:p w14:paraId="3D675995">
            <w:pPr>
              <w:keepNext w:val="0"/>
              <w:keepLines w:val="0"/>
              <w:pageBreakBefore w:val="0"/>
              <w:widowControl w:val="0"/>
              <w:kinsoku/>
              <w:wordWrap/>
              <w:overflowPunct/>
              <w:topLinePunct w:val="0"/>
              <w:bidi w:val="0"/>
              <w:snapToGrid/>
              <w:spacing w:line="360" w:lineRule="exact"/>
              <w:jc w:val="center"/>
              <w:textAlignment w:val="auto"/>
              <w:rPr>
                <w:rFonts w:ascii="宋体" w:hAnsi="宋体" w:cs="宋体"/>
                <w:sz w:val="24"/>
                <w:szCs w:val="24"/>
              </w:rPr>
            </w:pPr>
            <w:r>
              <w:rPr>
                <w:rFonts w:hint="eastAsia" w:ascii="宋体" w:hAnsi="宋体" w:cs="宋体"/>
                <w:bCs/>
                <w:kern w:val="0"/>
                <w:sz w:val="24"/>
                <w:szCs w:val="24"/>
              </w:rPr>
              <w:t>磋商代表</w:t>
            </w:r>
          </w:p>
        </w:tc>
        <w:tc>
          <w:tcPr>
            <w:tcW w:w="3667" w:type="pct"/>
            <w:vAlign w:val="center"/>
          </w:tcPr>
          <w:p w14:paraId="151D45BE">
            <w:pPr>
              <w:keepNext w:val="0"/>
              <w:keepLines w:val="0"/>
              <w:pageBreakBefore w:val="0"/>
              <w:widowControl w:val="0"/>
              <w:kinsoku/>
              <w:wordWrap/>
              <w:overflowPunct/>
              <w:topLinePunct w:val="0"/>
              <w:bidi w:val="0"/>
              <w:snapToGrid/>
              <w:spacing w:line="360" w:lineRule="exact"/>
              <w:textAlignment w:val="auto"/>
              <w:rPr>
                <w:rFonts w:ascii="宋体" w:hAnsi="宋体" w:cs="宋体"/>
                <w:sz w:val="24"/>
                <w:szCs w:val="24"/>
              </w:rPr>
            </w:pPr>
            <w:r>
              <w:rPr>
                <w:rFonts w:hint="eastAsia" w:ascii="宋体" w:hAnsi="宋体" w:cs="宋体"/>
                <w:bCs/>
                <w:kern w:val="0"/>
                <w:sz w:val="24"/>
                <w:szCs w:val="24"/>
              </w:rPr>
              <w:t>建议供应商拟派出席磋商会议的磋商代表为熟知本项目的技术人员或商务负责人等能为磋商小组详细介绍供应商公司情况及项目了解情况的人员，以便在评审过程中进行可能出现的答疑或澄清。</w:t>
            </w:r>
          </w:p>
        </w:tc>
      </w:tr>
    </w:tbl>
    <w:p w14:paraId="76679ADB">
      <w:pPr>
        <w:spacing w:line="360" w:lineRule="auto"/>
        <w:jc w:val="center"/>
        <w:outlineLvl w:val="1"/>
        <w:rPr>
          <w:rFonts w:ascii="宋体" w:hAnsi="宋体" w:cs="宋体"/>
          <w:bCs/>
          <w:sz w:val="24"/>
          <w:szCs w:val="24"/>
        </w:rPr>
      </w:pPr>
      <w:r>
        <w:rPr>
          <w:rFonts w:hint="eastAsia" w:ascii="宋体" w:hAnsi="宋体" w:cs="宋体"/>
          <w:sz w:val="24"/>
          <w:szCs w:val="24"/>
        </w:rPr>
        <w:br w:type="page"/>
      </w:r>
      <w:bookmarkStart w:id="58" w:name="_Toc31170"/>
      <w:r>
        <w:rPr>
          <w:rStyle w:val="55"/>
          <w:rFonts w:hint="eastAsia" w:ascii="宋体" w:hAnsi="宋体" w:cs="宋体"/>
          <w:sz w:val="24"/>
          <w:szCs w:val="24"/>
        </w:rPr>
        <w:t>二、供应商须知</w:t>
      </w:r>
      <w:bookmarkEnd w:id="58"/>
    </w:p>
    <w:p w14:paraId="50F8338A">
      <w:pPr>
        <w:pStyle w:val="15"/>
        <w:spacing w:before="0" w:beforeAutospacing="0" w:after="0" w:afterAutospacing="0" w:line="360" w:lineRule="auto"/>
        <w:ind w:firstLine="480" w:firstLineChars="200"/>
        <w:rPr>
          <w:rFonts w:cs="宋体"/>
          <w:bCs/>
          <w:color w:val="auto"/>
          <w:szCs w:val="24"/>
        </w:rPr>
      </w:pPr>
      <w:r>
        <w:rPr>
          <w:rFonts w:hint="eastAsia" w:cs="宋体"/>
          <w:bCs/>
          <w:color w:val="auto"/>
          <w:szCs w:val="24"/>
        </w:rPr>
        <w:t>1．概述</w:t>
      </w:r>
    </w:p>
    <w:p w14:paraId="60F100F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1．1本磋商文件仅适用于《竞争性磋商邀请函》和《供应商须知》前附表中所述采购项目的采购。</w:t>
      </w:r>
    </w:p>
    <w:p w14:paraId="0D263F3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1．2磋商文件的解释权属于《竞争性磋商邀请函》和《供应商须知》前附表中所述的采购人、采购代理机构。</w:t>
      </w:r>
    </w:p>
    <w:p w14:paraId="7EEF5DA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1．3参与采购响应活动的所有各方，对在参与采购响应过程中获悉的国家、商业和技术秘密以及其他依法应当保密的内容，均负有保密义务，违者应对由此造成的后果承担全部法律责任。</w:t>
      </w:r>
    </w:p>
    <w:p w14:paraId="6A47948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2.定义</w:t>
      </w:r>
    </w:p>
    <w:p w14:paraId="68C5928C">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2.1“采购项目”系指采购人在磋商文件里描述的所需采购的货物/服务/工程。</w:t>
      </w:r>
    </w:p>
    <w:p w14:paraId="08CF814F">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2.2“货物”包括一切设备、产品、机械、仪器仪表、备品备件、工具、手册等有关技术资料和原材料等，以及其所提供货物相关的运输、就位、安装、调试、技术协助、校准、培训、技术指导以及其他类似的义务。</w:t>
      </w:r>
    </w:p>
    <w:p w14:paraId="13011D6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2.3“服务”系指磋商文件规定供应商承担的各类专业服务，包含但不限于产品设计开发、产品交付、安装调试、质量检测、技术指导、售后服务、专业劳务服务和其他类似的义务。</w:t>
      </w:r>
    </w:p>
    <w:p w14:paraId="4F5E5A78">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2.4“工程”系指建设工程，包括建筑物和构筑物的新建、改建、扩建及其相关的装修、拆除、修缮等。</w:t>
      </w:r>
    </w:p>
    <w:p w14:paraId="3AC1EB3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2.5“采购人”系指《供应商须知》前附表中所述的组织。</w:t>
      </w:r>
    </w:p>
    <w:p w14:paraId="3A7EA004">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2.6“供应商” 系指根据规定可以获取磋商文件、并向采购人提交响应文件的供应商。</w:t>
      </w:r>
    </w:p>
    <w:p w14:paraId="088550E5">
      <w:pPr>
        <w:widowControl/>
        <w:spacing w:line="360" w:lineRule="auto"/>
        <w:ind w:firstLine="480" w:firstLineChars="200"/>
        <w:jc w:val="left"/>
        <w:rPr>
          <w:rFonts w:ascii="宋体" w:hAnsi="宋体" w:cs="宋体"/>
          <w:bCs/>
          <w:sz w:val="24"/>
          <w:szCs w:val="24"/>
        </w:rPr>
      </w:pPr>
      <w:r>
        <w:rPr>
          <w:rFonts w:hint="eastAsia" w:ascii="宋体" w:hAnsi="宋体" w:cs="宋体"/>
          <w:bCs/>
          <w:sz w:val="24"/>
          <w:szCs w:val="24"/>
        </w:rPr>
        <w:t>2.7“成交人”系指成交的供应商。</w:t>
      </w:r>
    </w:p>
    <w:p w14:paraId="5C11717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2.8“买方”系指通过相关公告发布媒体采购货物或服务的各级国家机关、事业单位、团体组织、企业等。</w:t>
      </w:r>
    </w:p>
    <w:p w14:paraId="1DCD0F3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2.9“卖方”系指成交并向采购人提供货物/服务/工程的供应商。</w:t>
      </w:r>
    </w:p>
    <w:p w14:paraId="4368204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3.合格的供应商</w:t>
      </w:r>
    </w:p>
    <w:p w14:paraId="268B7D5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3.1符合《竞争性磋商邀请函》和《供应商须知》前附表中规定的合格供应商所必须具备的资质条件和特定条件。特定条件是指对供应商的财务要求、业绩要求、诚信要求以及其他要求等。</w:t>
      </w:r>
    </w:p>
    <w:p w14:paraId="50B15C1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xml:space="preserve">3.2《竞争性磋商邀请函》和《供应商须知》前附表规定接受联合体响应的，除应符合本章第3．1项要求外，还应遵守以下规定： </w:t>
      </w:r>
    </w:p>
    <w:p w14:paraId="60EFECB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（1）联合体各方应提供已签订的联合协议书，明确主供应商和各方权利义务；</w:t>
      </w:r>
    </w:p>
    <w:p w14:paraId="44EA8FF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（2）由同一专业的供应商组成的联合体，按照资质等级较低的供应商确定联合体资质等级；</w:t>
      </w:r>
    </w:p>
    <w:p w14:paraId="06FF6FF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（3）采购人根据采购项目的特殊要求规定供应商特定条件的，联合体各方中至少应当有一方符合采购规定的特定条件。</w:t>
      </w:r>
    </w:p>
    <w:p w14:paraId="0858ED8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（4）联合体各方不得再以自己名义单独或参加其他联合体在同一采购项目中响应。</w:t>
      </w:r>
    </w:p>
    <w:p w14:paraId="433FD943">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3.3为采购项目提供整体设计、规范编制或者项目管理、监理、检测等服务的供应商，不得再参加该采购项目的其他采购活动。</w:t>
      </w:r>
    </w:p>
    <w:p w14:paraId="7A2D000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3.4供应商应遵守国家有关的法律法规和管理办法。</w:t>
      </w:r>
    </w:p>
    <w:p w14:paraId="58C6CAB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4.响应费用</w:t>
      </w:r>
    </w:p>
    <w:p w14:paraId="15E4D268">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4.1无论响应过程中的做法和结果如何，供应商自行承担所有与参加响应有关的全部费用，采购人在任何情况下均无义务和责任承担这些费用。</w:t>
      </w:r>
    </w:p>
    <w:p w14:paraId="7C374857">
      <w:pPr>
        <w:pStyle w:val="1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磋商文件</w:t>
      </w:r>
    </w:p>
    <w:p w14:paraId="0D9598F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5.磋商文件的组成</w:t>
      </w:r>
    </w:p>
    <w:p w14:paraId="30A60B1F">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5.1磋商文件用以阐明所需货物/服务/工程、采购响应程序和合同条款。磋商文件由下述部分组成：</w:t>
      </w:r>
    </w:p>
    <w:p w14:paraId="72027D9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（1）竞争性磋商邀请函；</w:t>
      </w:r>
    </w:p>
    <w:p w14:paraId="64909AD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（2）供应商须知；</w:t>
      </w:r>
    </w:p>
    <w:p w14:paraId="5D94ED4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（3）采购需求；</w:t>
      </w:r>
    </w:p>
    <w:p w14:paraId="0038177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（4）合同条款；</w:t>
      </w:r>
    </w:p>
    <w:p w14:paraId="53AF514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（5）评审办法；</w:t>
      </w:r>
    </w:p>
    <w:p w14:paraId="2A2455AA">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（6）格式附件。</w:t>
      </w:r>
    </w:p>
    <w:p w14:paraId="089FA256">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5.2除非有特殊要求，磋商文件不单独提供采购货物或提供服务所在地点的自然环境、气候条件、公用设施等情况，供应商被视为熟悉上述与履行合同有关的一切情况。</w:t>
      </w:r>
    </w:p>
    <w:p w14:paraId="5722C7B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5.3供应商应认真阅读磋商文件中所有的事项、格式、条款和规范等要求。如果没有按照磋商文件要求提交全部资料，或者响应文件没有对磋商文件作出实质性响应，该响应有可能被拒绝或评定为无效响应，其风险应由供应商自行承担。</w:t>
      </w:r>
    </w:p>
    <w:p w14:paraId="274C3D9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6.磋商文件的澄清</w:t>
      </w:r>
    </w:p>
    <w:p w14:paraId="532DEDF3">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6.1任何要求对磋商文件进行澄清的供应商，均应在响应文件递交截止期以前，按磋商文件中的要求以书面形式（必须加盖供应商单位公章）通知采购人。对在响应截止期以前收到的澄清要求，采购人将召开答疑会或者以书面形式予以答复，答复中包括所问问题，但不包括问题的来源。采购人将通知所有通过报名的供应商参加答疑会。</w:t>
      </w:r>
    </w:p>
    <w:p w14:paraId="067ECA92">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7.磋商文件的修改</w:t>
      </w:r>
    </w:p>
    <w:p w14:paraId="0889C5A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7.1在响应截止日期前的任何时候，无论出于何种原因，采购人可主动或在解答供应商提出的问题时对磋商文件进行修改。</w:t>
      </w:r>
    </w:p>
    <w:p w14:paraId="396CCE2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7.2磋商文件的修改、澄清将在网上进行发布，供应商应主动在网上及时获取相关信息并确认，否则由此产生的风险由供应商自行承担。</w:t>
      </w:r>
    </w:p>
    <w:p w14:paraId="77229419">
      <w:pPr>
        <w:widowControl/>
        <w:spacing w:line="360" w:lineRule="auto"/>
        <w:ind w:firstLine="480" w:firstLineChars="200"/>
        <w:jc w:val="left"/>
        <w:rPr>
          <w:rFonts w:ascii="宋体" w:hAnsi="宋体" w:cs="宋体"/>
          <w:bCs/>
          <w:sz w:val="24"/>
          <w:szCs w:val="24"/>
        </w:rPr>
      </w:pPr>
      <w:r>
        <w:rPr>
          <w:rFonts w:hint="eastAsia" w:ascii="宋体" w:hAnsi="宋体" w:cs="宋体"/>
          <w:kern w:val="0"/>
          <w:sz w:val="24"/>
          <w:szCs w:val="24"/>
        </w:rPr>
        <w:t>7.3为使供应商编写响应文件时有充分时间对磋商文件的修改部分进行研究，采购人可以酌情延长响应截止日期。</w:t>
      </w:r>
    </w:p>
    <w:p w14:paraId="59C0ECF1">
      <w:pPr>
        <w:pStyle w:val="1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响应文件的编写</w:t>
      </w:r>
    </w:p>
    <w:p w14:paraId="30BA35B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8.编写要求</w:t>
      </w:r>
    </w:p>
    <w:p w14:paraId="7418719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8.1供应商应仔细阅读磋商文件的所有内容，按磋商文件的要求提供响应文件，以使其对磋商文件的实质性要求作出完全响应。</w:t>
      </w:r>
    </w:p>
    <w:p w14:paraId="21941EA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9.报价的语言及计量单位</w:t>
      </w:r>
    </w:p>
    <w:p w14:paraId="5E11C18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9.1响应文件、报价交换的文件和来往信件，应以简体中文书写。</w:t>
      </w:r>
    </w:p>
    <w:p w14:paraId="6F83240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9.2除在磋商文件中另有规定外，计量单位应使用中华人民共和国法定计量单位。</w:t>
      </w:r>
    </w:p>
    <w:p w14:paraId="0C48B5FD">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10.响应文件的组成</w:t>
      </w:r>
    </w:p>
    <w:p w14:paraId="5A5C6272">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10.1响应文件应包括本文件前附表规定内容及规定内容。</w:t>
      </w:r>
    </w:p>
    <w:p w14:paraId="0F47132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11.响应文件格式</w:t>
      </w:r>
    </w:p>
    <w:p w14:paraId="37569978">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11.1供应商应按照磋商文件中提供的格式完整地填写报价表以及相关报价内容。</w:t>
      </w:r>
    </w:p>
    <w:p w14:paraId="482C797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12.报价</w:t>
      </w:r>
    </w:p>
    <w:p w14:paraId="5E16397F">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12.1供应商应按磋商文件中所附格式填写报价单价和报价总价。单价和数量的乘积与总价不一致时，以单价计算结果为准，并修正总价。采购人不接受有任何选择的报价。</w:t>
      </w:r>
    </w:p>
    <w:p w14:paraId="7E50A3D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12.2报价一览表是为了便于采购人开标。报价一览表的内容应与报价明细表内容一致，不一致时以报价一览表内容为准。</w:t>
      </w:r>
    </w:p>
    <w:p w14:paraId="1EF4D2D5">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12.3最低报价不能作为成交的唯一保证。</w:t>
      </w:r>
    </w:p>
    <w:p w14:paraId="76D68A9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12.4供应商应在报价明细表上标明对本项目报价内容的单价和总价。</w:t>
      </w:r>
    </w:p>
    <w:p w14:paraId="31626FD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12.4.1总价中不得包含磋商文件要求以外的内容，否则评标时不予核减。</w:t>
      </w:r>
    </w:p>
    <w:p w14:paraId="4106531E">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12.4.2总价中不得缺漏磋商文件所要求的内容，否则评标时将其他有效供应商中该项缺漏内容的最高报价计入其评标总价。</w:t>
      </w:r>
    </w:p>
    <w:p w14:paraId="71D37D6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12.4.3若缺漏磋商文件内容的供应商最终成交，缺漏项仍然为供应商的合同范围，并且不得增加合同价。但缺漏磋商文件所要求的内容达到一定比例或缺漏某些关键内容的，磋商小组有权认定为非实质性响应。</w:t>
      </w:r>
    </w:p>
    <w:p w14:paraId="68CADB43">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13.报价货币：响应文件的报价采用前附表所述货币进行报价。</w:t>
      </w:r>
    </w:p>
    <w:p w14:paraId="0D38439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14.供应商资格的证明文件</w:t>
      </w:r>
    </w:p>
    <w:p w14:paraId="2742B679">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14.1供应商必须按磋商文件的要求提交证明其有资格进行报价和有能力履行合同的文件，作为响应文件的一部分。</w:t>
      </w:r>
    </w:p>
    <w:p w14:paraId="24B1B00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14.1.1供应商具有履行合同所需的财务、技术、开发等项目实施能力；</w:t>
      </w:r>
    </w:p>
    <w:p w14:paraId="647EB88B">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14.1.2供应商应有能力履行磋商文件中合同条款和采购要求规定的由卖方履行的开发、供货、安装、调试、保修（应提供使用售后服务承诺）和其他专业技术服务的义务。</w:t>
      </w:r>
    </w:p>
    <w:p w14:paraId="2BA57CD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15.响应货物/服务/工程符合磋商文件规定的技术响应文件</w:t>
      </w:r>
    </w:p>
    <w:p w14:paraId="6987A2E7">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15.1供应商必须依据磋商文件中采购项目要求及服务要求，提交证明其拟供货物/服务符合磋商文件规定的技术响应文件，作为响应文件的一部分。</w:t>
      </w:r>
    </w:p>
    <w:p w14:paraId="01A78D61">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15.2上述文件可以是文字资料、图纸和数据。</w:t>
      </w:r>
    </w:p>
    <w:p w14:paraId="5F405434">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16.磋商保证金</w:t>
      </w:r>
      <w:r>
        <w:rPr>
          <w:rFonts w:hint="eastAsia" w:ascii="宋体" w:hAnsi="宋体" w:cs="宋体"/>
          <w:b/>
          <w:bCs/>
          <w:kern w:val="0"/>
          <w:sz w:val="24"/>
          <w:szCs w:val="24"/>
        </w:rPr>
        <w:t>（如适用）</w:t>
      </w:r>
    </w:p>
    <w:p w14:paraId="626D4359">
      <w:pPr>
        <w:widowControl/>
        <w:spacing w:line="360" w:lineRule="auto"/>
        <w:ind w:firstLine="480" w:firstLineChars="200"/>
        <w:jc w:val="left"/>
        <w:rPr>
          <w:rFonts w:ascii="宋体" w:hAnsi="宋体" w:cs="宋体"/>
          <w:bCs/>
          <w:kern w:val="0"/>
          <w:sz w:val="24"/>
          <w:szCs w:val="24"/>
        </w:rPr>
      </w:pPr>
      <w:r>
        <w:rPr>
          <w:rFonts w:hint="eastAsia" w:ascii="宋体" w:hAnsi="宋体" w:cs="宋体"/>
          <w:kern w:val="0"/>
          <w:sz w:val="24"/>
          <w:szCs w:val="24"/>
        </w:rPr>
        <w:t>16.1供应商应在磋商文件规定的时间内递交磋商保证金</w:t>
      </w:r>
      <w:r>
        <w:rPr>
          <w:rFonts w:hint="eastAsia" w:ascii="宋体" w:hAnsi="宋体" w:cs="宋体"/>
          <w:bCs/>
          <w:kern w:val="0"/>
          <w:sz w:val="24"/>
          <w:szCs w:val="24"/>
        </w:rPr>
        <w:t>。</w:t>
      </w:r>
    </w:p>
    <w:p w14:paraId="4AAAAA44">
      <w:pPr>
        <w:widowControl/>
        <w:spacing w:line="360" w:lineRule="auto"/>
        <w:ind w:firstLine="480" w:firstLineChars="200"/>
        <w:jc w:val="left"/>
        <w:rPr>
          <w:rFonts w:ascii="宋体" w:hAnsi="宋体" w:cs="宋体"/>
          <w:b/>
          <w:bCs/>
          <w:kern w:val="0"/>
          <w:sz w:val="24"/>
          <w:szCs w:val="24"/>
        </w:rPr>
      </w:pPr>
      <w:r>
        <w:rPr>
          <w:rFonts w:hint="eastAsia" w:ascii="宋体" w:hAnsi="宋体" w:cs="宋体"/>
          <w:kern w:val="0"/>
          <w:sz w:val="24"/>
          <w:szCs w:val="24"/>
        </w:rPr>
        <w:t>16.2本次磋商保证金额：</w:t>
      </w:r>
      <w:r>
        <w:rPr>
          <w:rFonts w:hint="eastAsia" w:ascii="宋体" w:hAnsi="宋体" w:cs="宋体"/>
          <w:b/>
          <w:bCs/>
          <w:kern w:val="0"/>
          <w:sz w:val="24"/>
          <w:szCs w:val="24"/>
        </w:rPr>
        <w:t>详见前附表。</w:t>
      </w:r>
    </w:p>
    <w:p w14:paraId="43B633E0">
      <w:pPr>
        <w:widowControl/>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16.3磋商保证金用于保护本次采购免受因供应商的行为而引起的风险。</w:t>
      </w:r>
    </w:p>
    <w:p w14:paraId="0BBF96EA">
      <w:pPr>
        <w:widowControl/>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16.4磋商保证金应以转账、汇款、支票或采购代理机构同意接受的其他方式在响应文件递交截止日期前递交。</w:t>
      </w:r>
    </w:p>
    <w:p w14:paraId="10C609B8">
      <w:pPr>
        <w:widowControl/>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16.5采购代理机构在响应文件递交截止日期前未收到供应商磋商保证金，进而导致供应商不能正常参加响应事宜的，风险由供应商自行承担。</w:t>
      </w:r>
    </w:p>
    <w:p w14:paraId="34D9E488">
      <w:pPr>
        <w:widowControl/>
        <w:spacing w:line="360" w:lineRule="auto"/>
        <w:ind w:firstLine="482" w:firstLineChars="200"/>
        <w:jc w:val="left"/>
        <w:rPr>
          <w:rFonts w:ascii="宋体" w:hAnsi="宋体" w:cs="宋体"/>
          <w:b/>
          <w:bCs/>
          <w:kern w:val="0"/>
          <w:sz w:val="24"/>
          <w:szCs w:val="24"/>
        </w:rPr>
      </w:pPr>
      <w:r>
        <w:rPr>
          <w:rFonts w:hint="eastAsia" w:ascii="宋体" w:hAnsi="宋体" w:cs="宋体"/>
          <w:b/>
          <w:bCs/>
          <w:kern w:val="0"/>
          <w:sz w:val="24"/>
          <w:szCs w:val="24"/>
        </w:rPr>
        <w:t>16.6磋商保证金有效期应与响应有效期一致。</w:t>
      </w:r>
    </w:p>
    <w:p w14:paraId="528B80E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16.7未成交人的磋商保证金，将按供应商须知28.4款予以无息退还。</w:t>
      </w:r>
    </w:p>
    <w:p w14:paraId="01ADAC1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16.8成交人的磋商保证金，在合同签订之日起5个工作日内予以无息退还。</w:t>
      </w:r>
    </w:p>
    <w:p w14:paraId="1571D68B">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16.9发生以下情况磋商保证金将被没收：</w:t>
      </w:r>
    </w:p>
    <w:p w14:paraId="2227F66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16.9.1响应截止时间之后供应商在响应有效期内撤回响应文件；</w:t>
      </w:r>
    </w:p>
    <w:p w14:paraId="2B11921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16.9.2成交人未能按磋商文件规定签订合同。</w:t>
      </w:r>
    </w:p>
    <w:p w14:paraId="515232A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17.响应有效期</w:t>
      </w:r>
    </w:p>
    <w:p w14:paraId="22097C76">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17.1本项目响应有效期详见前附表。</w:t>
      </w:r>
    </w:p>
    <w:p w14:paraId="059FE24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17.2特殊情况下，采购人可于响应有效期满之前要求供应商同意延长有效期，要求与答复均应为书面形式。供应商可以拒绝上述要求而其磋商保证金不被没收。对于同意该要求的供应商，既不要求也不允许其修改响应文件，但将要求其相应延长磋商保证金的有效期，有关退还和没收磋商保证金的规定在报价有效期的延长期内继续有效。</w:t>
      </w:r>
    </w:p>
    <w:p w14:paraId="4F3F505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18.响应文件的签署及规定</w:t>
      </w:r>
    </w:p>
    <w:p w14:paraId="013EFBD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18.1响应文件须按磋商文件要求进行签字盖章。</w:t>
      </w:r>
    </w:p>
    <w:p w14:paraId="6ACCDB07">
      <w:pPr>
        <w:spacing w:line="360" w:lineRule="auto"/>
        <w:ind w:firstLine="480" w:firstLineChars="200"/>
        <w:rPr>
          <w:rFonts w:ascii="宋体" w:hAnsi="宋体" w:cs="宋体"/>
          <w:bCs/>
          <w:sz w:val="24"/>
          <w:szCs w:val="24"/>
        </w:rPr>
      </w:pPr>
      <w:r>
        <w:rPr>
          <w:rFonts w:hint="eastAsia" w:ascii="宋体" w:hAnsi="宋体" w:cs="宋体"/>
          <w:bCs/>
          <w:kern w:val="0"/>
          <w:sz w:val="24"/>
          <w:szCs w:val="24"/>
        </w:rPr>
        <w:t>18.2响应文件不得表达不清、未按要求填写或可能导致非唯一理解。</w:t>
      </w:r>
    </w:p>
    <w:p w14:paraId="3A31A03C">
      <w:pPr>
        <w:pStyle w:val="2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响应文件的递交</w:t>
      </w:r>
    </w:p>
    <w:p w14:paraId="7DF2366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19. 纸质响应文件递交时必须密封</w:t>
      </w:r>
      <w:r>
        <w:rPr>
          <w:rFonts w:hint="eastAsia" w:ascii="宋体" w:hAnsi="宋体" w:cs="宋体"/>
          <w:b/>
          <w:kern w:val="0"/>
          <w:sz w:val="24"/>
          <w:szCs w:val="24"/>
        </w:rPr>
        <w:t>（每份书面文件建议采用胶装方式，并注明项目名称、项目编号等字样；</w:t>
      </w:r>
      <w:r>
        <w:rPr>
          <w:rFonts w:hint="eastAsia" w:ascii="宋体" w:hAnsi="宋体" w:cs="宋体"/>
          <w:b/>
          <w:bCs/>
          <w:sz w:val="24"/>
          <w:szCs w:val="24"/>
        </w:rPr>
        <w:t>响应文件胶装脊背处须注明“项目名称、项目编号”</w:t>
      </w:r>
      <w:r>
        <w:rPr>
          <w:rFonts w:hint="eastAsia" w:ascii="宋体" w:hAnsi="宋体" w:cs="宋体"/>
          <w:b/>
          <w:kern w:val="0"/>
          <w:sz w:val="24"/>
          <w:szCs w:val="24"/>
        </w:rPr>
        <w:t>）</w:t>
      </w:r>
      <w:r>
        <w:rPr>
          <w:rFonts w:hint="eastAsia" w:ascii="宋体" w:hAnsi="宋体" w:cs="宋体"/>
          <w:bCs/>
          <w:kern w:val="0"/>
          <w:sz w:val="24"/>
          <w:szCs w:val="24"/>
        </w:rPr>
        <w:t>，在密封后文件的外包装上注明“项目名称、项目编号、供应商名称、地址、电话”等字样。</w:t>
      </w:r>
    </w:p>
    <w:p w14:paraId="37CAC81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20.递交响应文件的截止时间</w:t>
      </w:r>
    </w:p>
    <w:p w14:paraId="392238A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20.1所有响应文件须按前附表和竞争性磋商邀请函规定时间前递交。</w:t>
      </w:r>
    </w:p>
    <w:p w14:paraId="246C131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20.2出现第7.3款因磋商文件的修改推迟响应截止日期时，则按采购代理机构修改通知规定的时间递交。</w:t>
      </w:r>
    </w:p>
    <w:p w14:paraId="7BF6842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21.迟交的响应文件</w:t>
      </w:r>
    </w:p>
    <w:p w14:paraId="32C3A69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21.1在响应文件截止时间后递交的任何响应文件递交，将被拒绝。</w:t>
      </w:r>
    </w:p>
    <w:p w14:paraId="6B7FCB9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22.响应文件的修改和撤销</w:t>
      </w:r>
    </w:p>
    <w:p w14:paraId="713BE5A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22.1供应商在响应文件截止时间前，可以修改或撤回其响应。响应文件截止时间后，供应商不得修改或撤回其响应。</w:t>
      </w:r>
    </w:p>
    <w:p w14:paraId="03AD1919">
      <w:pPr>
        <w:spacing w:line="360" w:lineRule="auto"/>
        <w:ind w:firstLine="480" w:firstLineChars="200"/>
        <w:rPr>
          <w:rFonts w:ascii="宋体" w:hAnsi="宋体" w:cs="宋体"/>
          <w:bCs/>
          <w:sz w:val="24"/>
          <w:szCs w:val="24"/>
        </w:rPr>
      </w:pPr>
      <w:r>
        <w:rPr>
          <w:rFonts w:hint="eastAsia" w:ascii="宋体" w:hAnsi="宋体" w:cs="宋体"/>
          <w:bCs/>
          <w:kern w:val="0"/>
          <w:sz w:val="24"/>
          <w:szCs w:val="24"/>
        </w:rPr>
        <w:t>22.2供应商不得在响应文件截止时间起至响应文件有效期期满前撤销响应文件。</w:t>
      </w:r>
    </w:p>
    <w:p w14:paraId="79BFBF74">
      <w:pPr>
        <w:pStyle w:val="25"/>
        <w:spacing w:before="0" w:beforeAutospacing="0" w:after="0" w:afterAutospacing="0" w:line="360" w:lineRule="auto"/>
        <w:ind w:firstLine="482" w:firstLineChars="200"/>
        <w:jc w:val="center"/>
        <w:rPr>
          <w:rFonts w:cs="宋体"/>
          <w:b/>
          <w:bCs/>
          <w:color w:val="auto"/>
          <w:szCs w:val="24"/>
        </w:rPr>
      </w:pPr>
      <w:r>
        <w:rPr>
          <w:rFonts w:hint="eastAsia" w:cs="宋体"/>
          <w:b/>
          <w:bCs/>
          <w:color w:val="auto"/>
          <w:szCs w:val="24"/>
        </w:rPr>
        <w:t>磋商会</w:t>
      </w:r>
    </w:p>
    <w:p w14:paraId="3611395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23.磋商会</w:t>
      </w:r>
    </w:p>
    <w:p w14:paraId="089FEB4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23.1采购代理机构将在磋商文件中规定的日期、时间和地点组织磋商会，届时请供应商的法定代表人或负责人或其授权的供应商代表出席。</w:t>
      </w:r>
    </w:p>
    <w:p w14:paraId="7155019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24.磋商小组</w:t>
      </w:r>
    </w:p>
    <w:p w14:paraId="6CC3095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24.1采购人、采购代理机构将根据采购货物/服务的特点，依法组建磋商小组，其成员由技术、经济等方面的专家和采购人的代表组成，其中外聘专家人数不少于磋商小组总人数的2/3。磋商小组对响应文件进行审查、质疑、评估和比较。</w:t>
      </w:r>
    </w:p>
    <w:p w14:paraId="4F2A564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24.2磋商期间，供应商应派授权代表参加磋商。</w:t>
      </w:r>
    </w:p>
    <w:p w14:paraId="68154A14">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25.磋商会流程</w:t>
      </w:r>
    </w:p>
    <w:p w14:paraId="6ABF9A2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25.1磋商顺序按磋商文件递交顺序，后签先谈依次进行。</w:t>
      </w:r>
    </w:p>
    <w:p w14:paraId="5260160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25.2磋商小组所有成员与供应商逐个进行磋商。磋商内容包括：要求提供的商务文件、技术文件等（如为多次报价时还包括竞标报价）。磋商文件有实质性变动的，磋商小组应当以书面形式通知所有参加磋商的供应商。</w:t>
      </w:r>
    </w:p>
    <w:p w14:paraId="48B2496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25.3磋商小组与供应商进行磋商的内容，供应商除当场答复外，还应对磋商中所涉及的澄清、达成的修改或报价资料等在规定的时间内以书面形式提交至磋商小组，否则以上资料视为无效响应。</w:t>
      </w:r>
    </w:p>
    <w:p w14:paraId="019B970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25.4磋商的结果以书面为准，应答文件必须由供应商的法定代表人或其委托代理人签字（盖章）或盖公章，经供应商和磋商小组确认后，替代响应文件中相应的内容。如成交，则作为合同的组成部分。</w:t>
      </w:r>
    </w:p>
    <w:p w14:paraId="611738E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25.5在得到磋商小组的认可后，供应商可以修改报价中不构成重大偏离的微小的、非正规的、不一致或不规则细微偏离，但这些补正不能对其他供应商造成不公平的结果。</w:t>
      </w:r>
    </w:p>
    <w:p w14:paraId="0CF0ECAA">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25.6磋商小组对确定为实质性响应的响应文件进行审核，如有计算错误或其他错误，须按如下原则进行调整：</w:t>
      </w:r>
    </w:p>
    <w:p w14:paraId="15A1527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（1）报价一览表内容与报价明细表金额及响应文件其他部分内容不一致的，以报价一览表内容为准；</w:t>
      </w:r>
    </w:p>
    <w:p w14:paraId="5288A1A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（2）响应文件中数字表示的金额和文字表示的金额不一致时，应以文字表示的金额为准；</w:t>
      </w:r>
    </w:p>
    <w:p w14:paraId="02B417E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（3）单价和数量的乘积与总价不一致时，以单价计算结果为准，并修正总价；</w:t>
      </w:r>
    </w:p>
    <w:p w14:paraId="4A8AD697">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（4）报价总价中不得包含磋商文件要求以外的内容，否则，在评审时不予核减；</w:t>
      </w:r>
    </w:p>
    <w:p w14:paraId="68649F53">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（5）如有计算错误，磋商小组有权根据具体情况按对其最不利原则调整。</w:t>
      </w:r>
    </w:p>
    <w:p w14:paraId="638FDB6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25.7如发生下列情况之一，供应商的响应将被拒绝：</w:t>
      </w:r>
    </w:p>
    <w:p w14:paraId="10EF4D9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（1）未按规定获取磋商文件的；</w:t>
      </w:r>
    </w:p>
    <w:p w14:paraId="33DDCB79">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（2）供应商名称与报名时不一致的；</w:t>
      </w:r>
    </w:p>
    <w:p w14:paraId="1E1EB3F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（3）未在响应截止时间前递交响应文件的。</w:t>
      </w:r>
    </w:p>
    <w:p w14:paraId="646C23C9">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25.8磋商小组在进行资格性和符合性审查时，对属于下列情况之一的响应文件，将作无效响应处理：</w:t>
      </w:r>
    </w:p>
    <w:p w14:paraId="0D4E97E9">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（1）响应文件未满足磋商文件规定的签字、盖章要求的；</w:t>
      </w:r>
    </w:p>
    <w:p w14:paraId="118F2FD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（2）供应商未按磋商文件要求提交有效资格证明文件，或提交的资格证明文件有缺漏的；</w:t>
      </w:r>
    </w:p>
    <w:p w14:paraId="13DFDA0D">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（3）供应商对响应文件进行修改后，未在修改处由供应商法定代表人或法定代表人委托的授权代理人签字或盖章的；</w:t>
      </w:r>
    </w:p>
    <w:p w14:paraId="569E961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4</w:t>
      </w:r>
      <w:r>
        <w:rPr>
          <w:rFonts w:hint="eastAsia" w:ascii="宋体" w:hAnsi="宋体" w:cs="宋体"/>
          <w:b/>
          <w:kern w:val="0"/>
          <w:sz w:val="24"/>
          <w:szCs w:val="24"/>
        </w:rPr>
        <w:t>）响应有效期少于磋商文件规定有效期的响应文件；</w:t>
      </w:r>
    </w:p>
    <w:p w14:paraId="677B1E1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5</w:t>
      </w:r>
      <w:r>
        <w:rPr>
          <w:rFonts w:hint="eastAsia" w:ascii="宋体" w:hAnsi="宋体" w:cs="宋体"/>
          <w:b/>
          <w:kern w:val="0"/>
          <w:sz w:val="24"/>
          <w:szCs w:val="24"/>
        </w:rPr>
        <w:t>）响应文件附有采购人不能接受的条件的；</w:t>
      </w:r>
    </w:p>
    <w:p w14:paraId="30F39FC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6</w:t>
      </w:r>
      <w:r>
        <w:rPr>
          <w:rFonts w:hint="eastAsia" w:ascii="宋体" w:hAnsi="宋体" w:cs="宋体"/>
          <w:b/>
          <w:kern w:val="0"/>
          <w:sz w:val="24"/>
          <w:szCs w:val="24"/>
        </w:rPr>
        <w:t>）不接受本须知25.6规定调整响应文件中漏报、计算错误或其他错误的；</w:t>
      </w:r>
    </w:p>
    <w:p w14:paraId="66DD049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7</w:t>
      </w:r>
      <w:r>
        <w:rPr>
          <w:rFonts w:hint="eastAsia" w:ascii="宋体" w:hAnsi="宋体" w:cs="宋体"/>
          <w:b/>
          <w:kern w:val="0"/>
          <w:sz w:val="24"/>
          <w:szCs w:val="24"/>
        </w:rPr>
        <w:t>）单位负责人为同一人或者存在直接控股、管理关系的不同供应商，不得参加同一合同项下的采购活动。</w:t>
      </w:r>
    </w:p>
    <w:p w14:paraId="63AFA8A5">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8</w:t>
      </w:r>
      <w:r>
        <w:rPr>
          <w:rFonts w:hint="eastAsia" w:ascii="宋体" w:hAnsi="宋体" w:cs="宋体"/>
          <w:b/>
          <w:kern w:val="0"/>
          <w:sz w:val="24"/>
          <w:szCs w:val="24"/>
        </w:rPr>
        <w:t>）为采购项目提供整体设计、规范编制或者项目管理、监理、检测等服务的供应商，不得再参加该采购项目的其他采购活动。</w:t>
      </w:r>
    </w:p>
    <w:p w14:paraId="0187765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9</w:t>
      </w:r>
      <w:r>
        <w:rPr>
          <w:rFonts w:hint="eastAsia" w:ascii="宋体" w:hAnsi="宋体" w:cs="宋体"/>
          <w:b/>
          <w:kern w:val="0"/>
          <w:sz w:val="24"/>
          <w:szCs w:val="24"/>
        </w:rPr>
        <w:t>）不满足磋商文件中“★”号条款的；</w:t>
      </w:r>
    </w:p>
    <w:p w14:paraId="40A173C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w:t>
      </w:r>
      <w:r>
        <w:rPr>
          <w:rFonts w:hint="eastAsia" w:ascii="宋体" w:hAnsi="宋体" w:cs="宋体"/>
          <w:b/>
          <w:kern w:val="0"/>
          <w:sz w:val="24"/>
          <w:szCs w:val="24"/>
          <w:lang w:val="en-US" w:eastAsia="zh-CN"/>
        </w:rPr>
        <w:t>10</w:t>
      </w:r>
      <w:r>
        <w:rPr>
          <w:rFonts w:hint="eastAsia" w:ascii="宋体" w:hAnsi="宋体" w:cs="宋体"/>
          <w:b/>
          <w:kern w:val="0"/>
          <w:sz w:val="24"/>
          <w:szCs w:val="24"/>
        </w:rPr>
        <w:t>）不符合磋商文件规定的其他实质性要求的。</w:t>
      </w:r>
    </w:p>
    <w:p w14:paraId="16AD2DE0">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25.9澄清：磋商小组对响应文件中含义不明确、同类问题表述不一致或者有明显文字错误的内容，可以书面形式（由磋商小组专家签字）要求供应商在规定的时间内作出必要的澄清、说明或者补正，供应商的澄清、说明或者补正应当采用书面形式，由其法定代表人或负责人或授权代理人签字，并不得超出响应文件的范围或者改变响应文件的实质性内容。供应商拒不进行澄清、说明、补正的，或者不能在规定时间内作出书面澄清、说明、补正的，磋商小组有权否决其响应。</w:t>
      </w:r>
    </w:p>
    <w:p w14:paraId="37E45A53">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25.10根据相关法律法规的规定，出现下列情形之一的，磋商小组有权否决所有供应商的响应或取消采购活动：</w:t>
      </w:r>
    </w:p>
    <w:p w14:paraId="4BA6984F">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（1）符合条件的供应商或对磋商文件做实质性响应的供应商不足三家的；</w:t>
      </w:r>
    </w:p>
    <w:p w14:paraId="6D90D7E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（2）出现影响采购公正的违法、违规行为的；</w:t>
      </w:r>
    </w:p>
    <w:p w14:paraId="19A8274B">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（3）因重大变故，采购任务取消的；</w:t>
      </w:r>
    </w:p>
    <w:p w14:paraId="1B12B4F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（4）供应商的报价均超过了预算金额，采购人不能支付的；</w:t>
      </w:r>
    </w:p>
    <w:p w14:paraId="537144DF">
      <w:pPr>
        <w:spacing w:line="360" w:lineRule="auto"/>
        <w:ind w:firstLine="482" w:firstLineChars="200"/>
        <w:rPr>
          <w:rFonts w:ascii="宋体" w:hAnsi="宋体" w:cs="宋体"/>
          <w:b/>
          <w:bCs/>
          <w:kern w:val="0"/>
          <w:sz w:val="24"/>
          <w:szCs w:val="24"/>
        </w:rPr>
      </w:pPr>
      <w:r>
        <w:rPr>
          <w:rFonts w:hint="eastAsia" w:ascii="宋体" w:hAnsi="宋体" w:cs="宋体"/>
          <w:b/>
          <w:kern w:val="0"/>
          <w:sz w:val="24"/>
          <w:szCs w:val="24"/>
        </w:rPr>
        <w:t>（5）磋商小组经评审认为所有响应文件都不符合磋商文件要求的。</w:t>
      </w:r>
    </w:p>
    <w:p w14:paraId="4D73BF7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26.评标原则及方法</w:t>
      </w:r>
    </w:p>
    <w:p w14:paraId="5F44F1B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26.1对所有供应商的报价评估，都采用相同的程序和标准。</w:t>
      </w:r>
    </w:p>
    <w:p w14:paraId="0E705FE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26.2评标严格按照磋商文件的要求和条件进行。</w:t>
      </w:r>
    </w:p>
    <w:p w14:paraId="2C98CC5E">
      <w:pPr>
        <w:spacing w:line="360" w:lineRule="auto"/>
        <w:ind w:firstLine="480" w:firstLineChars="200"/>
        <w:rPr>
          <w:rFonts w:ascii="宋体" w:hAnsi="宋体" w:cs="宋体"/>
          <w:b/>
          <w:bCs/>
          <w:sz w:val="24"/>
          <w:szCs w:val="24"/>
        </w:rPr>
      </w:pPr>
      <w:r>
        <w:rPr>
          <w:rFonts w:hint="eastAsia" w:ascii="宋体" w:hAnsi="宋体" w:cs="宋体"/>
          <w:bCs/>
          <w:kern w:val="0"/>
          <w:sz w:val="24"/>
          <w:szCs w:val="24"/>
        </w:rPr>
        <w:t>26.3本次评标采用综合评分法，评标细则详见磋商文件“第五部分评审办法”。</w:t>
      </w:r>
    </w:p>
    <w:p w14:paraId="2B2E7009">
      <w:pPr>
        <w:pStyle w:val="25"/>
        <w:spacing w:before="0" w:beforeAutospacing="0" w:after="0" w:afterAutospacing="0" w:line="360" w:lineRule="auto"/>
        <w:ind w:firstLine="482" w:firstLineChars="200"/>
        <w:jc w:val="center"/>
        <w:rPr>
          <w:rFonts w:cs="宋体"/>
          <w:bCs/>
          <w:color w:val="auto"/>
          <w:szCs w:val="24"/>
        </w:rPr>
      </w:pPr>
      <w:r>
        <w:rPr>
          <w:rFonts w:hint="eastAsia" w:cs="宋体"/>
          <w:b/>
          <w:bCs/>
          <w:color w:val="auto"/>
          <w:szCs w:val="24"/>
        </w:rPr>
        <w:t>定标</w:t>
      </w:r>
    </w:p>
    <w:p w14:paraId="3270DDB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27.定标准则</w:t>
      </w:r>
    </w:p>
    <w:p w14:paraId="7D5C083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27.1合同将授予其响应符合磋商文件要求，并能圆满地履行合同的、对买方最为有利的供应商。</w:t>
      </w:r>
    </w:p>
    <w:p w14:paraId="5998B22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27.2不能保证最低报价的响应最终成交。</w:t>
      </w:r>
    </w:p>
    <w:p w14:paraId="50D5004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28.成交通知</w:t>
      </w:r>
    </w:p>
    <w:p w14:paraId="67D02A9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28.1采购代理机构将通过财政部门指定发布媒体发布成交公告，成交结果公布后，采购代理机构将发出《成交通知书》。《成交通知书》一经发出即发生法律效力。</w:t>
      </w:r>
    </w:p>
    <w:p w14:paraId="2160407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28.2《成交通知书》将作为采购期限内签订合同的依据。</w:t>
      </w:r>
    </w:p>
    <w:p w14:paraId="40AC092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28.3成交人与采购人签订合同之日起5个工作日内，采购代理机构无息退还成交人的磋商保证金。</w:t>
      </w:r>
    </w:p>
    <w:p w14:paraId="6A9FD59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28.4自成交通知书发出之日起5个工作日内，采购代理机构向未成交的供应商无息退还其磋商保证金。</w:t>
      </w:r>
    </w:p>
    <w:p w14:paraId="251B5CE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29.签订合同</w:t>
      </w:r>
    </w:p>
    <w:p w14:paraId="0DFFCFE6">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29.1成交人收到《成交通知书》后，按指定的时间、地点与采购人签订采购合同。</w:t>
      </w:r>
    </w:p>
    <w:p w14:paraId="26FD59C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29.2磋商文件、成交人的响应文件及其澄清文件等，均为签订采购合同的依据。</w:t>
      </w:r>
    </w:p>
    <w:p w14:paraId="36162127">
      <w:pPr>
        <w:spacing w:line="360" w:lineRule="auto"/>
        <w:ind w:firstLine="480" w:firstLineChars="200"/>
        <w:rPr>
          <w:rFonts w:ascii="宋体" w:hAnsi="宋体" w:cs="宋体"/>
          <w:b/>
          <w:sz w:val="24"/>
          <w:szCs w:val="24"/>
        </w:rPr>
      </w:pPr>
      <w:r>
        <w:rPr>
          <w:rFonts w:hint="eastAsia" w:ascii="宋体" w:hAnsi="宋体" w:cs="宋体"/>
          <w:bCs/>
          <w:kern w:val="0"/>
          <w:sz w:val="24"/>
          <w:szCs w:val="24"/>
        </w:rPr>
        <w:t>29.3成交或者成交供应商拒绝与采购人签订合同的，采购人可以按照评审报告推荐的成交或者成交候选人名单排序，确定下一候选人为成交或者成交供应商，也可以重新开展采购活动。</w:t>
      </w:r>
    </w:p>
    <w:p w14:paraId="71785D64">
      <w:pPr>
        <w:spacing w:line="360" w:lineRule="auto"/>
        <w:ind w:firstLine="482" w:firstLineChars="200"/>
        <w:jc w:val="center"/>
        <w:rPr>
          <w:rFonts w:ascii="宋体" w:hAnsi="宋体" w:cs="宋体"/>
          <w:sz w:val="24"/>
          <w:szCs w:val="24"/>
        </w:rPr>
      </w:pPr>
      <w:r>
        <w:rPr>
          <w:rFonts w:hint="eastAsia" w:ascii="宋体" w:hAnsi="宋体" w:cs="宋体"/>
          <w:b/>
          <w:sz w:val="24"/>
          <w:szCs w:val="24"/>
        </w:rPr>
        <w:t>其它</w:t>
      </w:r>
    </w:p>
    <w:p w14:paraId="73E751C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30.报价注意事项</w:t>
      </w:r>
    </w:p>
    <w:p w14:paraId="1F7B55C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30.1采购人无义务向未成交人解释未成交理由。</w:t>
      </w:r>
    </w:p>
    <w:p w14:paraId="61C7A37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30.2本磋商文件解释权属采购人和采购代理机构。</w:t>
      </w:r>
    </w:p>
    <w:p w14:paraId="1B780FEC">
      <w:pPr>
        <w:spacing w:line="360" w:lineRule="auto"/>
        <w:ind w:firstLine="480" w:firstLineChars="200"/>
        <w:rPr>
          <w:rFonts w:ascii="宋体" w:hAnsi="宋体" w:cs="宋体"/>
          <w:bCs/>
          <w:kern w:val="0"/>
          <w:sz w:val="24"/>
          <w:szCs w:val="24"/>
        </w:rPr>
        <w:sectPr>
          <w:footerReference r:id="rId7" w:type="default"/>
          <w:footerReference r:id="rId8" w:type="even"/>
          <w:pgSz w:w="11906" w:h="16838"/>
          <w:pgMar w:top="1440" w:right="1083" w:bottom="1440" w:left="1083" w:header="851" w:footer="765" w:gutter="0"/>
          <w:pgNumType w:start="1"/>
          <w:cols w:space="720" w:num="1"/>
          <w:docGrid w:type="lines" w:linePitch="286" w:charSpace="0"/>
        </w:sectPr>
      </w:pPr>
      <w:r>
        <w:rPr>
          <w:rFonts w:hint="eastAsia" w:ascii="宋体" w:hAnsi="宋体" w:cs="宋体"/>
          <w:bCs/>
          <w:kern w:val="0"/>
          <w:sz w:val="24"/>
          <w:szCs w:val="24"/>
        </w:rPr>
        <w:t>30.3若发现供应商有不良行为的，将记录在案并上报有关部门。</w:t>
      </w:r>
    </w:p>
    <w:p w14:paraId="2436DC8B">
      <w:pPr>
        <w:pStyle w:val="4"/>
        <w:spacing w:before="0" w:after="0" w:line="360" w:lineRule="auto"/>
        <w:rPr>
          <w:rFonts w:ascii="宋体" w:hAnsi="宋体" w:cs="宋体"/>
          <w:b/>
          <w:bCs/>
          <w:sz w:val="24"/>
          <w:szCs w:val="24"/>
        </w:rPr>
      </w:pPr>
      <w:bookmarkStart w:id="59" w:name="_Toc15054"/>
      <w:bookmarkStart w:id="60" w:name="_Toc24858"/>
      <w:r>
        <w:rPr>
          <w:rFonts w:hint="eastAsia" w:ascii="宋体" w:hAnsi="宋体" w:cs="宋体"/>
          <w:b/>
          <w:bCs/>
          <w:sz w:val="24"/>
          <w:szCs w:val="24"/>
        </w:rPr>
        <w:t>第三部分  采购需求</w:t>
      </w:r>
      <w:bookmarkEnd w:id="59"/>
      <w:bookmarkEnd w:id="60"/>
    </w:p>
    <w:p w14:paraId="002B49EF">
      <w:pPr>
        <w:keepNext/>
        <w:keepLines/>
        <w:widowControl w:val="0"/>
        <w:numPr>
          <w:ilvl w:val="0"/>
          <w:numId w:val="0"/>
        </w:numPr>
        <w:spacing w:line="360" w:lineRule="auto"/>
        <w:ind w:leftChars="0"/>
        <w:jc w:val="left"/>
        <w:outlineLvl w:val="0"/>
        <w:rPr>
          <w:rFonts w:ascii="Calibri" w:hAnsi="Calibri" w:eastAsia="宋体" w:cs="Times New Roman"/>
          <w:b/>
          <w:bCs/>
          <w:kern w:val="44"/>
          <w:sz w:val="24"/>
          <w:szCs w:val="40"/>
          <w:lang w:val="en-US" w:eastAsia="zh-CN" w:bidi="ar-SA"/>
        </w:rPr>
      </w:pPr>
      <w:bookmarkStart w:id="61" w:name="_Toc28884"/>
      <w:bookmarkStart w:id="62" w:name="_Toc490494254"/>
      <w:bookmarkStart w:id="63" w:name="_Toc15595"/>
      <w:bookmarkStart w:id="64" w:name="_Toc498020240"/>
      <w:r>
        <w:rPr>
          <w:rFonts w:hint="eastAsia" w:ascii="Calibri" w:hAnsi="Calibri" w:eastAsia="宋体" w:cs="Times New Roman"/>
          <w:b/>
          <w:bCs/>
          <w:kern w:val="44"/>
          <w:sz w:val="24"/>
          <w:szCs w:val="40"/>
          <w:lang w:val="en-US" w:eastAsia="zh-CN" w:bidi="ar-SA"/>
        </w:rPr>
        <w:t>一、系统总体技术需求</w:t>
      </w:r>
    </w:p>
    <w:p w14:paraId="5BFF4A8F">
      <w:pPr>
        <w:pStyle w:val="94"/>
        <w:ind w:firstLine="480"/>
        <w:rPr>
          <w:rFonts w:hint="eastAsia" w:eastAsia="宋体"/>
          <w:lang w:val="en-US"/>
        </w:rPr>
      </w:pPr>
      <w:r>
        <w:rPr>
          <w:rFonts w:hint="eastAsia" w:eastAsia="宋体"/>
          <w:sz w:val="24"/>
        </w:rPr>
        <w:t>升级当前网站群管理系统，通过搭建覆盖学校的网站管理平台，优化网站管理功能，实现学校网站统一进行管理与维护，提高信息化管理水平，同时，依托一套平台实现网站、微博、微信的统一管控，学校所有的资讯，都使用同一个发布出口，对于发布信息实现统计，带动统一管理的理念、内容、手段等全方位升级，满足等保2.0要求。</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8831"/>
      </w:tblGrid>
      <w:tr w14:paraId="6E458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top"/>
          </w:tcPr>
          <w:p w14:paraId="6D94577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eastAsia="宋体" w:cs="Times New Roman"/>
                <w:b/>
                <w:bCs/>
                <w:sz w:val="24"/>
                <w:szCs w:val="24"/>
              </w:rPr>
            </w:pPr>
            <w:r>
              <w:rPr>
                <w:rFonts w:hint="eastAsia" w:ascii="宋体" w:hAnsi="宋体" w:eastAsia="宋体" w:cs="Times New Roman"/>
                <w:b/>
                <w:bCs/>
                <w:sz w:val="24"/>
                <w:szCs w:val="24"/>
              </w:rPr>
              <w:t>名称</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48018EB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b/>
                <w:bCs/>
                <w:sz w:val="24"/>
                <w:szCs w:val="24"/>
              </w:rPr>
            </w:pPr>
            <w:r>
              <w:rPr>
                <w:rFonts w:hint="eastAsia" w:ascii="宋体" w:hAnsi="宋体" w:eastAsia="宋体" w:cs="Times New Roman"/>
                <w:b/>
                <w:bCs/>
                <w:sz w:val="24"/>
                <w:szCs w:val="24"/>
              </w:rPr>
              <w:t>服务内容</w:t>
            </w:r>
          </w:p>
        </w:tc>
      </w:tr>
      <w:tr w14:paraId="6730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6ABEC96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网站群管理系统</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0286974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站点管理能力升级，提升管理过程体验；</w:t>
            </w:r>
          </w:p>
          <w:p w14:paraId="1C99E6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内容创作能力升级，打造更人性化的使用体验；</w:t>
            </w:r>
          </w:p>
          <w:p w14:paraId="051E02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安全防护能力升级，提升网站管理安全效益；</w:t>
            </w:r>
          </w:p>
          <w:p w14:paraId="471AEE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重保等场景化安全运维：自定义的场景提供统一的操作入口和功能模块，提升</w:t>
            </w:r>
            <w:r>
              <w:rPr>
                <w:rFonts w:hint="eastAsia" w:ascii="宋体" w:hAnsi="宋体" w:eastAsia="宋体" w:cs="Times New Roman"/>
                <w:sz w:val="24"/>
                <w:szCs w:val="24"/>
                <w:lang w:eastAsia="zh-CN"/>
              </w:rPr>
              <w:t>管理效率</w:t>
            </w:r>
            <w:r>
              <w:rPr>
                <w:rFonts w:hint="eastAsia" w:ascii="宋体" w:hAnsi="宋体" w:eastAsia="宋体" w:cs="Times New Roman"/>
                <w:sz w:val="24"/>
                <w:szCs w:val="24"/>
              </w:rPr>
              <w:t>，从而提升站群整体的安全基线。</w:t>
            </w:r>
          </w:p>
          <w:p w14:paraId="1927D1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RASP内核防护：支持完整的三层安全防护体系，全面升级平台的安全防护能力。通过传统防火墙的防护进行表层的安全防护，通过平台自身的安全机制进行业务级的安全防护，通过引入RASP，建立安全基线，实现内核级的防护。</w:t>
            </w:r>
          </w:p>
          <w:p w14:paraId="745C944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安全设置及常态化安全运维：支持基础的安全设置，例如IP规则的设置管理、简单密码的管理、账号安全的管理等。同时还支持危险文件的扫描及平台体检，保障平台日常运维及基础操作的安全。</w:t>
            </w:r>
          </w:p>
        </w:tc>
      </w:tr>
      <w:tr w14:paraId="4E9D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19852EE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网页防篡改系统</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5A41CB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系统采用先进的Web服务器核心内嵌机制，将篡改检测模块（数字水印技术）和应用防护模块（请求检测攻击）内嵌于Web服务器内部，并辅助以增强型事件触发检测技术，不仅实现了对静态网页与脚本的实时监测和恢复，更可以保护数据库中的动态内容免受来自于Web的攻击和篡改。网页防篡改系统支持网页的自动发布、篡改检测、应用保护、警告和自动恢复，保证传输、鉴别、地址访问、表单提交、审计等各个环节的安全，完全实时地杜绝任何使用Web方式对后台数据库的篡改，彻底解决网页被篡改的问题。</w:t>
            </w:r>
          </w:p>
        </w:tc>
      </w:tr>
      <w:tr w14:paraId="78090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79760EC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智能搜索系统</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408203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实现学校网站群、微信服务号、微信订阅号等相关内容资源数据信息的聚合，覆盖校园资讯检索场景，为教职工、学生、社会公众等提供内容资源信息数据智能检索服务，提升用户获取内容信息的效率。在用户检索过程中，实现跨平台检索，覆盖多种内容源，同时采用全文检索、标题检索、附件检索等多种方式，提升用户检索体验。针对搜索结果，以更为优化合理的排序方式，提升用户结果获取满意度，有效解决以往信息查找难、缺乏统一路径等问题。</w:t>
            </w:r>
          </w:p>
        </w:tc>
      </w:tr>
      <w:tr w14:paraId="31431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65F1D8D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站点安全升级服务</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4CF884F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升级页面程序：原网站中存在有风险的jQuery版本、JS框架等进行升级并更新到最新版本</w:t>
            </w:r>
            <w:r>
              <w:rPr>
                <w:rFonts w:hint="eastAsia" w:ascii="宋体" w:hAnsi="宋体" w:eastAsia="宋体" w:cs="Times New Roman"/>
                <w:sz w:val="24"/>
                <w:szCs w:val="24"/>
                <w:lang w:eastAsia="zh-CN"/>
              </w:rPr>
              <w:t>；</w:t>
            </w:r>
          </w:p>
          <w:p w14:paraId="25C479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恶意文件清理：原网站上的存在恶意文件清除、木马/病毒清除、黄赌毒等链接全面检测并进行清除</w:t>
            </w:r>
            <w:r>
              <w:rPr>
                <w:rFonts w:hint="eastAsia" w:ascii="宋体" w:hAnsi="宋体" w:eastAsia="宋体" w:cs="Times New Roman"/>
                <w:sz w:val="24"/>
                <w:szCs w:val="24"/>
                <w:lang w:eastAsia="zh-CN"/>
              </w:rPr>
              <w:t>；</w:t>
            </w:r>
          </w:p>
          <w:p w14:paraId="4ED81D2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废弃代码清理：代码中废弃的注释、原站残留的额外代码语言清理</w:t>
            </w:r>
            <w:r>
              <w:rPr>
                <w:rFonts w:hint="eastAsia" w:ascii="宋体" w:hAnsi="宋体" w:eastAsia="宋体" w:cs="Times New Roman"/>
                <w:sz w:val="24"/>
                <w:szCs w:val="24"/>
                <w:lang w:eastAsia="zh-CN"/>
              </w:rPr>
              <w:t>；</w:t>
            </w:r>
          </w:p>
          <w:p w14:paraId="68A47C1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死链检测：原网站中的模板死链检测与清理、文章中死链出具扫描清单</w:t>
            </w:r>
            <w:r>
              <w:rPr>
                <w:rFonts w:hint="eastAsia" w:ascii="宋体" w:hAnsi="宋体" w:eastAsia="宋体" w:cs="Times New Roman"/>
                <w:sz w:val="24"/>
                <w:szCs w:val="24"/>
                <w:lang w:eastAsia="zh-CN"/>
              </w:rPr>
              <w:t>；</w:t>
            </w:r>
          </w:p>
          <w:p w14:paraId="4D3460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上线检查：人工全站测试、主站及新闻网的浏览器兼容性测试、上线前安全检查</w:t>
            </w:r>
            <w:r>
              <w:rPr>
                <w:rFonts w:hint="eastAsia" w:ascii="宋体" w:hAnsi="宋体" w:eastAsia="宋体" w:cs="Times New Roman"/>
                <w:sz w:val="24"/>
                <w:szCs w:val="24"/>
                <w:lang w:eastAsia="zh-CN"/>
              </w:rPr>
              <w:t>；</w:t>
            </w:r>
          </w:p>
          <w:p w14:paraId="1DEE112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网站置灰调试与处置：预先调试、检查并处置不规范的框架、JS、CSS等，确保网站应急置灰时有效</w:t>
            </w:r>
            <w:r>
              <w:rPr>
                <w:rFonts w:hint="eastAsia" w:ascii="宋体" w:hAnsi="宋体" w:eastAsia="宋体" w:cs="Times New Roman"/>
                <w:sz w:val="24"/>
                <w:szCs w:val="24"/>
                <w:lang w:eastAsia="zh-CN"/>
              </w:rPr>
              <w:t>；</w:t>
            </w:r>
          </w:p>
          <w:p w14:paraId="3EA5A4A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原有网站的开发与定制功能</w:t>
            </w:r>
            <w:r>
              <w:rPr>
                <w:rFonts w:hint="eastAsia" w:ascii="宋体" w:hAnsi="宋体" w:eastAsia="宋体" w:cs="Times New Roman"/>
                <w:sz w:val="24"/>
                <w:szCs w:val="24"/>
                <w:lang w:eastAsia="zh-CN"/>
              </w:rPr>
              <w:t>安全检查</w:t>
            </w:r>
            <w:r>
              <w:rPr>
                <w:rFonts w:hint="eastAsia" w:ascii="宋体" w:hAnsi="宋体" w:eastAsia="宋体" w:cs="Times New Roman"/>
                <w:sz w:val="24"/>
                <w:szCs w:val="24"/>
              </w:rPr>
              <w:t>与加固</w:t>
            </w:r>
            <w:r>
              <w:rPr>
                <w:rFonts w:hint="eastAsia" w:ascii="宋体" w:hAnsi="宋体" w:eastAsia="宋体" w:cs="Times New Roman"/>
                <w:sz w:val="24"/>
                <w:szCs w:val="24"/>
                <w:lang w:eastAsia="zh-CN"/>
              </w:rPr>
              <w:t>。</w:t>
            </w:r>
          </w:p>
        </w:tc>
      </w:tr>
      <w:tr w14:paraId="355F4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3924D7A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预检服务</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415F2E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通过云端集成的方式将在线预检能力集成到</w:t>
            </w:r>
            <w:r>
              <w:rPr>
                <w:rFonts w:hint="eastAsia" w:ascii="宋体" w:hAnsi="宋体" w:eastAsia="宋体" w:cs="Times New Roman"/>
                <w:sz w:val="24"/>
                <w:szCs w:val="24"/>
                <w:lang w:val="en-US" w:eastAsia="zh-CN"/>
              </w:rPr>
              <w:t>采购人当前网站群内</w:t>
            </w:r>
            <w:r>
              <w:rPr>
                <w:rFonts w:hint="eastAsia" w:ascii="宋体" w:hAnsi="宋体" w:eastAsia="宋体" w:cs="Times New Roman"/>
                <w:sz w:val="24"/>
                <w:szCs w:val="24"/>
              </w:rPr>
              <w:t>，无需二次登录，检测方便快捷，在站群编辑器编辑文章时可直接使用，调用云端词库，具备AI词库深度学习及检测能力。</w:t>
            </w:r>
          </w:p>
        </w:tc>
      </w:tr>
      <w:tr w14:paraId="1BE5A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073AB40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子网站定制设计</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4A848C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15个子站定制设计，将进行版式布局和视觉设计，网站文字、图形色彩搭配合理，界面清楚整洁，层级结构清楚，与站点整体风格匹配。提供响应式页面设计，支持多设备浏览访问。网站栏目框架设计参考</w:t>
            </w:r>
            <w:r>
              <w:rPr>
                <w:rFonts w:hint="eastAsia" w:ascii="宋体" w:hAnsi="宋体" w:eastAsia="宋体" w:cs="Times New Roman"/>
                <w:sz w:val="24"/>
                <w:szCs w:val="24"/>
                <w:lang w:val="en-US" w:eastAsia="zh-CN"/>
              </w:rPr>
              <w:t>采购人</w:t>
            </w:r>
            <w:r>
              <w:rPr>
                <w:rFonts w:hint="eastAsia" w:ascii="宋体" w:hAnsi="宋体" w:eastAsia="宋体" w:cs="Times New Roman"/>
                <w:sz w:val="24"/>
                <w:szCs w:val="24"/>
              </w:rPr>
              <w:t>提出的栏目设置内容。</w:t>
            </w:r>
          </w:p>
        </w:tc>
      </w:tr>
      <w:tr w14:paraId="7E81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1514FF5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质保服务</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4FF7DD8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提供</w:t>
            </w:r>
            <w:r>
              <w:rPr>
                <w:rFonts w:hint="eastAsia" w:ascii="宋体" w:hAnsi="宋体" w:eastAsia="宋体" w:cs="Times New Roman"/>
                <w:sz w:val="24"/>
                <w:szCs w:val="24"/>
              </w:rPr>
              <w:t>三年质保服务</w:t>
            </w:r>
            <w:r>
              <w:rPr>
                <w:rFonts w:hint="eastAsia" w:ascii="宋体" w:hAnsi="宋体" w:eastAsia="宋体" w:cs="Times New Roman"/>
                <w:sz w:val="24"/>
                <w:szCs w:val="24"/>
                <w:lang w:eastAsia="zh-CN"/>
              </w:rPr>
              <w:t>：</w:t>
            </w:r>
          </w:p>
          <w:p w14:paraId="438F5B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1.提供保修服务，内容包括产品技术支持、bug补丁、产品使用指导、网站故障技术支持等；</w:t>
            </w:r>
          </w:p>
          <w:p w14:paraId="496E11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sz w:val="24"/>
                <w:szCs w:val="24"/>
                <w:lang w:val="en-US" w:eastAsia="zh-CN"/>
              </w:rPr>
              <w:t>提供</w:t>
            </w:r>
            <w:r>
              <w:rPr>
                <w:rFonts w:hint="eastAsia" w:ascii="宋体" w:hAnsi="宋体" w:eastAsia="宋体" w:cs="Times New Roman"/>
                <w:sz w:val="24"/>
                <w:szCs w:val="24"/>
              </w:rPr>
              <w:t>7*24小时技术支持</w:t>
            </w:r>
            <w:r>
              <w:rPr>
                <w:rFonts w:hint="eastAsia" w:ascii="宋体" w:hAnsi="宋体" w:cs="Times New Roman"/>
                <w:sz w:val="24"/>
                <w:szCs w:val="24"/>
                <w:lang w:eastAsia="zh-CN"/>
              </w:rPr>
              <w:t>、</w:t>
            </w:r>
            <w:r>
              <w:rPr>
                <w:rFonts w:hint="eastAsia" w:ascii="宋体" w:hAnsi="宋体" w:eastAsia="宋体" w:cs="Times New Roman"/>
                <w:sz w:val="24"/>
                <w:szCs w:val="24"/>
              </w:rPr>
              <w:t>产品bug修改、平台故障诊断、远程操作支持服务、安全漏洞修复、平台故障修复；</w:t>
            </w:r>
          </w:p>
        </w:tc>
      </w:tr>
      <w:tr w14:paraId="6276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pct"/>
            <w:tcBorders>
              <w:top w:val="single" w:color="auto" w:sz="4" w:space="0"/>
              <w:left w:val="single" w:color="auto" w:sz="4" w:space="0"/>
              <w:bottom w:val="single" w:color="auto" w:sz="4" w:space="0"/>
              <w:right w:val="single" w:color="auto" w:sz="4" w:space="0"/>
            </w:tcBorders>
            <w:noWrap w:val="0"/>
            <w:vAlign w:val="center"/>
          </w:tcPr>
          <w:p w14:paraId="642FB95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Times New Roman"/>
                <w:sz w:val="24"/>
                <w:szCs w:val="24"/>
              </w:rPr>
            </w:pPr>
            <w:r>
              <w:rPr>
                <w:rFonts w:hint="eastAsia" w:ascii="宋体" w:hAnsi="宋体" w:eastAsia="宋体" w:cs="Times New Roman"/>
                <w:sz w:val="24"/>
                <w:szCs w:val="24"/>
              </w:rPr>
              <w:t>维保服务</w:t>
            </w:r>
          </w:p>
        </w:tc>
        <w:tc>
          <w:tcPr>
            <w:tcW w:w="4437" w:type="pct"/>
            <w:tcBorders>
              <w:top w:val="single" w:color="auto" w:sz="4" w:space="0"/>
              <w:left w:val="single" w:color="auto" w:sz="4" w:space="0"/>
              <w:bottom w:val="single" w:color="auto" w:sz="4" w:space="0"/>
              <w:right w:val="single" w:color="auto" w:sz="4" w:space="0"/>
            </w:tcBorders>
            <w:noWrap w:val="0"/>
            <w:vAlign w:val="center"/>
          </w:tcPr>
          <w:p w14:paraId="2B60F1A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lang w:eastAsia="zh-CN"/>
              </w:rPr>
            </w:pPr>
            <w:r>
              <w:rPr>
                <w:rFonts w:hint="eastAsia" w:ascii="宋体" w:hAnsi="宋体" w:eastAsia="宋体" w:cs="Times New Roman"/>
                <w:sz w:val="24"/>
                <w:szCs w:val="24"/>
              </w:rPr>
              <w:t>三年维保服务</w:t>
            </w:r>
            <w:r>
              <w:rPr>
                <w:rFonts w:hint="eastAsia" w:ascii="宋体" w:hAnsi="宋体" w:eastAsia="宋体" w:cs="Times New Roman"/>
                <w:sz w:val="24"/>
                <w:szCs w:val="24"/>
                <w:lang w:eastAsia="zh-CN"/>
              </w:rPr>
              <w:t>：</w:t>
            </w:r>
          </w:p>
          <w:p w14:paraId="7D91407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Times New Roman"/>
                <w:sz w:val="24"/>
                <w:szCs w:val="24"/>
              </w:rPr>
            </w:pPr>
            <w:r>
              <w:rPr>
                <w:rFonts w:hint="eastAsia" w:ascii="宋体" w:hAnsi="宋体" w:eastAsia="宋体" w:cs="Times New Roman"/>
                <w:sz w:val="24"/>
                <w:szCs w:val="24"/>
              </w:rPr>
              <w:t>提供7*24小时响应支持服务，网站实施设计服务（重要页面维护服务、装饰图片制作服务、栏目调整服务、页面兼容性优化、模板调整）、例行检查服务（站群保养服务1次/年、平台巡检2次/年、安全补丁更新服务）、安全服务（数据安全服务、HTTPS安全改造支持、等保支持、攻防演练支持、运行环境优化）等全流程服务。</w:t>
            </w:r>
          </w:p>
        </w:tc>
      </w:tr>
    </w:tbl>
    <w:p w14:paraId="4E7A0AFC">
      <w:pPr>
        <w:keepNext/>
        <w:keepLines/>
        <w:widowControl w:val="0"/>
        <w:numPr>
          <w:ilvl w:val="0"/>
          <w:numId w:val="0"/>
        </w:numPr>
        <w:spacing w:line="360" w:lineRule="auto"/>
        <w:ind w:leftChars="0"/>
        <w:jc w:val="left"/>
        <w:outlineLvl w:val="0"/>
        <w:rPr>
          <w:rFonts w:hint="eastAsia" w:ascii="Calibri" w:hAnsi="Calibri" w:eastAsia="宋体" w:cs="Times New Roman"/>
          <w:b/>
          <w:bCs/>
          <w:kern w:val="44"/>
          <w:sz w:val="24"/>
          <w:szCs w:val="40"/>
          <w:lang w:val="en-US" w:eastAsia="zh-CN" w:bidi="ar-SA"/>
        </w:rPr>
      </w:pPr>
      <w:r>
        <w:rPr>
          <w:rFonts w:hint="eastAsia" w:ascii="Calibri" w:hAnsi="Calibri" w:cs="Times New Roman"/>
          <w:b/>
          <w:bCs/>
          <w:kern w:val="44"/>
          <w:sz w:val="24"/>
          <w:szCs w:val="40"/>
          <w:lang w:val="en-US" w:eastAsia="zh-CN" w:bidi="ar-SA"/>
        </w:rPr>
        <w:t>二、</w:t>
      </w:r>
      <w:r>
        <w:rPr>
          <w:rFonts w:hint="eastAsia" w:ascii="Calibri" w:hAnsi="Calibri" w:eastAsia="宋体" w:cs="Times New Roman"/>
          <w:b/>
          <w:bCs/>
          <w:kern w:val="44"/>
          <w:sz w:val="24"/>
          <w:szCs w:val="40"/>
          <w:lang w:val="en-US" w:eastAsia="zh-CN" w:bidi="ar-SA"/>
        </w:rPr>
        <w:t>系统具体技术参数</w:t>
      </w:r>
      <w:bookmarkStart w:id="65" w:name="_Toc419964945"/>
      <w:bookmarkStart w:id="66" w:name="_Toc358272804"/>
      <w:bookmarkStart w:id="67" w:name="_Toc349035627"/>
      <w:bookmarkStart w:id="68" w:name="_Toc370397405"/>
    </w:p>
    <w:tbl>
      <w:tblPr>
        <w:tblStyle w:val="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734"/>
        <w:gridCol w:w="734"/>
        <w:gridCol w:w="7688"/>
      </w:tblGrid>
      <w:tr w14:paraId="673E7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1E7A2C9F">
            <w:pPr>
              <w:widowControl/>
              <w:spacing w:line="360" w:lineRule="auto"/>
              <w:ind w:firstLine="0" w:firstLineChars="0"/>
              <w:jc w:val="center"/>
              <w:rPr>
                <w:rFonts w:ascii="宋体" w:hAnsi="宋体" w:eastAsia="宋体" w:cs="宋体"/>
                <w:kern w:val="0"/>
                <w:sz w:val="24"/>
                <w:szCs w:val="24"/>
              </w:rPr>
            </w:pPr>
            <w:r>
              <w:rPr>
                <w:rFonts w:hint="eastAsia" w:ascii="宋体" w:hAnsi="宋体" w:eastAsia="宋体" w:cs="宋体"/>
                <w:kern w:val="0"/>
                <w:sz w:val="24"/>
                <w:szCs w:val="24"/>
              </w:rPr>
              <w:t>序号</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1438F6DD">
            <w:pPr>
              <w:widowControl/>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建设内容</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4D1CB52C">
            <w:pPr>
              <w:widowControl/>
              <w:spacing w:line="360" w:lineRule="auto"/>
              <w:ind w:firstLine="0" w:firstLineChars="0"/>
              <w:jc w:val="center"/>
              <w:rPr>
                <w:rFonts w:ascii="宋体" w:hAnsi="宋体" w:eastAsia="宋体" w:cs="宋体"/>
                <w:kern w:val="0"/>
                <w:sz w:val="24"/>
                <w:szCs w:val="24"/>
              </w:rPr>
            </w:pPr>
            <w:r>
              <w:rPr>
                <w:rFonts w:hint="eastAsia" w:ascii="宋体" w:hAnsi="宋体" w:eastAsia="宋体" w:cs="宋体"/>
                <w:kern w:val="0"/>
                <w:sz w:val="24"/>
                <w:szCs w:val="24"/>
              </w:rPr>
              <w:t>指标项</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5BC042C5">
            <w:pPr>
              <w:widowControl/>
              <w:spacing w:line="360" w:lineRule="auto"/>
              <w:ind w:firstLine="0" w:firstLineChars="0"/>
              <w:jc w:val="center"/>
              <w:rPr>
                <w:rFonts w:ascii="宋体" w:hAnsi="宋体" w:eastAsia="宋体" w:cs="宋体"/>
                <w:kern w:val="0"/>
                <w:sz w:val="24"/>
                <w:szCs w:val="24"/>
              </w:rPr>
            </w:pPr>
            <w:r>
              <w:rPr>
                <w:rFonts w:hint="eastAsia" w:ascii="宋体" w:hAnsi="宋体" w:eastAsia="宋体" w:cs="宋体"/>
                <w:kern w:val="0"/>
                <w:sz w:val="24"/>
                <w:szCs w:val="24"/>
              </w:rPr>
              <w:t>指标要求</w:t>
            </w:r>
          </w:p>
        </w:tc>
      </w:tr>
      <w:tr w14:paraId="4F1F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49014210">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restart"/>
            <w:tcBorders>
              <w:top w:val="single" w:color="auto" w:sz="4" w:space="0"/>
              <w:left w:val="single" w:color="auto" w:sz="4" w:space="0"/>
              <w:right w:val="single" w:color="auto" w:sz="4" w:space="0"/>
            </w:tcBorders>
            <w:noWrap w:val="0"/>
            <w:vAlign w:val="center"/>
          </w:tcPr>
          <w:p w14:paraId="6800516A">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网站群管理系统升级</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0AD39060">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总体技术要求</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7F3EFDE6">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系统通过一套平台实现微信、微博、网站、大屏界面等全媒体的管理，无需重复多次登录不同后台。</w:t>
            </w:r>
          </w:p>
          <w:p w14:paraId="51889F4A">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系统需具有良好的跨平台特性，支持基于主流Linux的平台搭建；支持Tomcat、Apache等应用服务器；支持Oracle、SQL Server、MySQL、PostgreSQL等多种主流数据库。</w:t>
            </w:r>
          </w:p>
          <w:p w14:paraId="0A524E81">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兼容微软edge、谷歌Chrome、360浏览器、苹果Safari、QQ浏览器、火狐Firefox等多种浏览器。</w:t>
            </w:r>
          </w:p>
          <w:p w14:paraId="7DE47372">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支持主流建站方式，可视化网站管理平台；组件化管理，智能设计技术建站。</w:t>
            </w:r>
          </w:p>
          <w:p w14:paraId="2C4D057B">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系统要求支持移动网站建设，实现网站页面和文章内容、视频、图片等资源的全适配，兼容全部主流智能手机的操作系统：包括苹果IOS、安卓Android等，兼容不同设备的分辨率。</w:t>
            </w:r>
          </w:p>
          <w:p w14:paraId="5CE60046">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系统需要具有完善的权限和用户管理体系，可以适应单位内各类角色管理员的管理和使用，提供与统一身份认证系统的数据接口并具有集成能力。</w:t>
            </w:r>
          </w:p>
          <w:p w14:paraId="416101DA">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平台使用灵活方便并预留多种扩展、开发接口（XML、JSON、WebService等）。</w:t>
            </w:r>
          </w:p>
          <w:p w14:paraId="2D75A03D">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系统后台数据库及表结构字段清晰易懂，有明确的注释标记。</w:t>
            </w:r>
          </w:p>
          <w:p w14:paraId="0A51F0FD">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系统安装可根据单位内实际情况选择不同的部署方式，要求支持常见的几类部署方式（单服务器部署、多服务器部署、虚拟化部署等），可实现动态服务器和静态服务器分开部署。</w:t>
            </w:r>
          </w:p>
          <w:p w14:paraId="033AA00F">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本次项目所建设系统，需要实现管理机集群，能够根据负载情况动态扩容。</w:t>
            </w:r>
            <w:r>
              <w:rPr>
                <w:rFonts w:ascii="宋体" w:hAnsi="宋体" w:eastAsia="宋体" w:cs="宋体"/>
                <w:kern w:val="0"/>
                <w:sz w:val="24"/>
                <w:szCs w:val="24"/>
              </w:rPr>
              <w:t xml:space="preserve"> </w:t>
            </w:r>
          </w:p>
          <w:p w14:paraId="3C373BE7">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平台针对数据库的读写，需要进行分离，提升数据库的读取速率。</w:t>
            </w:r>
          </w:p>
          <w:p w14:paraId="5ED8D76D">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▲系统应支持反向代理设置，方便获取客户端的真实IP地址，能够添加可信任的反向代理。对于反向代理服务器，支持添加至可信列表。</w:t>
            </w:r>
          </w:p>
          <w:p w14:paraId="130BABB2">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系统要求具备在线补丁更新机制，可以实现在线安全性加固和升级。</w:t>
            </w:r>
          </w:p>
          <w:p w14:paraId="29099C59">
            <w:pPr>
              <w:keepNext w:val="0"/>
              <w:keepLines w:val="0"/>
              <w:pageBreakBefore w:val="0"/>
              <w:numPr>
                <w:ilvl w:val="0"/>
                <w:numId w:val="4"/>
              </w:numPr>
              <w:kinsoku/>
              <w:wordWrap/>
              <w:overflowPunct/>
              <w:topLinePunct w:val="0"/>
              <w:autoSpaceDE/>
              <w:autoSpaceDN/>
              <w:bidi w:val="0"/>
              <w:adjustRightInd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系统支持虚拟目录和虚拟主机方式，支持离线/连线状态下的篡改保护。</w:t>
            </w:r>
          </w:p>
        </w:tc>
      </w:tr>
      <w:tr w14:paraId="74A26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251E18AD">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225569B3">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07F6D1CF">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平台登录管理</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2FA2BB02">
            <w:pPr>
              <w:keepNext w:val="0"/>
              <w:keepLines w:val="0"/>
              <w:pageBreakBefore w:val="0"/>
              <w:widowControl w:val="0"/>
              <w:numPr>
                <w:ilvl w:val="0"/>
                <w:numId w:val="5"/>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需支持部门站点、系统管理、内容管理登录入口的独立设定，为用户提供清晰的入口路径。需响应安全相关政策要求，系统内需设定系统管理员、审计管理员、安全管理员，并实现后台三员管理权限灵活设定。</w:t>
            </w:r>
            <w:r>
              <w:rPr>
                <w:rFonts w:hint="eastAsia" w:ascii="宋体" w:hAnsi="宋体" w:eastAsia="宋体" w:cs="宋体"/>
                <w:b/>
                <w:bCs/>
                <w:kern w:val="2"/>
                <w:sz w:val="24"/>
                <w:szCs w:val="24"/>
                <w:lang w:val="en-US" w:eastAsia="zh-CN" w:bidi="ar-SA"/>
              </w:rPr>
              <w:t>（响应文件中需提供能体现该条功能描述的真实系统截图，并加盖供应商公章，不提供或所提供的佐证材料模糊、不清晰无法证明的视为不满足）</w:t>
            </w:r>
          </w:p>
          <w:p w14:paraId="62BC7E95">
            <w:pPr>
              <w:keepNext w:val="0"/>
              <w:keepLines w:val="0"/>
              <w:pageBreakBefore w:val="0"/>
              <w:widowControl w:val="0"/>
              <w:numPr>
                <w:ilvl w:val="0"/>
                <w:numId w:val="5"/>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▲用户登录入口处需要提供专门的系统后台管理制度或网站安全制度阅览空间，帮助学校实现标准化管理规范的宣导与展示。</w:t>
            </w:r>
          </w:p>
        </w:tc>
      </w:tr>
      <w:tr w14:paraId="7392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4EC607C3">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3493CA6C">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638D0F7">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工作桌面管理工具</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048C6611">
            <w:pPr>
              <w:keepNext w:val="0"/>
              <w:keepLines w:val="0"/>
              <w:pageBreakBefore w:val="0"/>
              <w:numPr>
                <w:ilvl w:val="0"/>
                <w:numId w:val="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系统管理端需要提供系统工作台，协助系统管理员快速盘点系统站点情况、部门情况、管理员情况、访问与发文情况。</w:t>
            </w:r>
          </w:p>
          <w:p w14:paraId="11764880">
            <w:pPr>
              <w:keepNext w:val="0"/>
              <w:keepLines w:val="0"/>
              <w:pageBreakBefore w:val="0"/>
              <w:numPr>
                <w:ilvl w:val="0"/>
                <w:numId w:val="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▲系统工作台支持</w:t>
            </w:r>
            <w:r>
              <w:rPr>
                <w:rFonts w:ascii="宋体" w:hAnsi="宋体" w:eastAsia="宋体" w:cs="宋体"/>
                <w:kern w:val="0"/>
                <w:sz w:val="24"/>
                <w:szCs w:val="24"/>
              </w:rPr>
              <w:t>查看</w:t>
            </w:r>
            <w:r>
              <w:rPr>
                <w:rFonts w:hint="eastAsia" w:ascii="宋体" w:hAnsi="宋体" w:eastAsia="宋体" w:cs="宋体"/>
                <w:kern w:val="0"/>
                <w:sz w:val="24"/>
                <w:szCs w:val="24"/>
              </w:rPr>
              <w:t>站点情况</w:t>
            </w:r>
            <w:r>
              <w:rPr>
                <w:rFonts w:ascii="宋体" w:hAnsi="宋体" w:eastAsia="宋体" w:cs="宋体"/>
                <w:kern w:val="0"/>
                <w:sz w:val="24"/>
                <w:szCs w:val="24"/>
              </w:rPr>
              <w:t>、异常管理员、系统运维的异常备份及磁盘空间情况，</w:t>
            </w:r>
            <w:r>
              <w:rPr>
                <w:rFonts w:hint="eastAsia" w:ascii="宋体" w:hAnsi="宋体" w:eastAsia="宋体" w:cs="宋体"/>
                <w:kern w:val="0"/>
                <w:sz w:val="24"/>
                <w:szCs w:val="24"/>
              </w:rPr>
              <w:t>可对服务器连通性一键检测，便于管理员掌握一手网站运维信息。</w:t>
            </w:r>
            <w:r>
              <w:rPr>
                <w:rFonts w:hint="eastAsia" w:ascii="宋体" w:hAnsi="宋体" w:eastAsia="宋体" w:cs="宋体"/>
                <w:b/>
                <w:bCs/>
                <w:sz w:val="24"/>
                <w:szCs w:val="24"/>
              </w:rPr>
              <w:t>（响应文件中需提供能体现该条功能描述的真实系统截图，并加盖供应商公章，不提供或所提供的佐证材料模糊、不清晰无法证明的视为不满足）</w:t>
            </w:r>
          </w:p>
          <w:p w14:paraId="565C9FEB">
            <w:pPr>
              <w:keepNext w:val="0"/>
              <w:keepLines w:val="0"/>
              <w:pageBreakBefore w:val="0"/>
              <w:widowControl w:val="0"/>
              <w:numPr>
                <w:ilvl w:val="0"/>
                <w:numId w:val="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系统工作台支持系统安全检测结果呈现，呈现内容至少包含网站安全评分、检测时间、各类检测项目数量，针对平台体检结果修复及防护日志查阅提供直达入口，确保安全问题快速处理。</w:t>
            </w:r>
          </w:p>
          <w:p w14:paraId="40E6A821">
            <w:pPr>
              <w:keepNext w:val="0"/>
              <w:keepLines w:val="0"/>
              <w:pageBreakBefore w:val="0"/>
              <w:widowControl w:val="0"/>
              <w:numPr>
                <w:ilvl w:val="0"/>
                <w:numId w:val="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提供部门工作台，需能够展示当前部门之下网站、微信号、微博号、电子屏等部门资产数量，每种资产可以查看当前所属管理员情况，上级部门管理员可查看下级部门资产。</w:t>
            </w:r>
          </w:p>
          <w:p w14:paraId="6554DD34">
            <w:pPr>
              <w:keepNext w:val="0"/>
              <w:keepLines w:val="0"/>
              <w:pageBreakBefore w:val="0"/>
              <w:widowControl w:val="0"/>
              <w:numPr>
                <w:ilvl w:val="0"/>
                <w:numId w:val="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部门工作台支持展示部门之下站点总访问量、总发文量、总栏目数、今日访问量、今日访客数、今日发文量、热门搜索词云及访问趋势图，访问趋势需支持按照近7天、近30天、近1年进行不同时间维度数据呈现。</w:t>
            </w:r>
          </w:p>
          <w:p w14:paraId="7D9787DA">
            <w:pPr>
              <w:keepNext w:val="0"/>
              <w:keepLines w:val="0"/>
              <w:pageBreakBefore w:val="0"/>
              <w:widowControl w:val="0"/>
              <w:numPr>
                <w:ilvl w:val="0"/>
                <w:numId w:val="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提供个人桌面，支持快速处理待办业务。支持拖拽设置快捷方式，实现对应模块管理界面的快速跳转。</w:t>
            </w:r>
          </w:p>
        </w:tc>
      </w:tr>
      <w:tr w14:paraId="496BF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67801ADE">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668C73E0">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7361BDC0">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网站管理</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3864C5FD">
            <w:pPr>
              <w:keepNext w:val="0"/>
              <w:keepLines w:val="0"/>
              <w:pageBreakBefore w:val="0"/>
              <w:numPr>
                <w:ilvl w:val="0"/>
                <w:numId w:val="7"/>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网站管理</w:t>
            </w:r>
          </w:p>
          <w:p w14:paraId="1792A367">
            <w:pPr>
              <w:keepNext w:val="0"/>
              <w:keepLines w:val="0"/>
              <w:pageBreakBefore w:val="0"/>
              <w:widowControl w:val="0"/>
              <w:numPr>
                <w:ilvl w:val="0"/>
                <w:numId w:val="8"/>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网站静态化管理应该采用断点机制，新闻栏目中插入某条信息之后，展示页面应该及时更新信息排序。</w:t>
            </w:r>
          </w:p>
          <w:p w14:paraId="79AEDB5C">
            <w:pPr>
              <w:keepNext w:val="0"/>
              <w:keepLines w:val="0"/>
              <w:pageBreakBefore w:val="0"/>
              <w:widowControl w:val="0"/>
              <w:numPr>
                <w:ilvl w:val="0"/>
                <w:numId w:val="8"/>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支持网站一键置灰、支持仅网站首页置灰。</w:t>
            </w:r>
          </w:p>
          <w:p w14:paraId="5F75B79A">
            <w:pPr>
              <w:keepNext w:val="0"/>
              <w:keepLines w:val="0"/>
              <w:pageBreakBefore w:val="0"/>
              <w:widowControl w:val="0"/>
              <w:numPr>
                <w:ilvl w:val="0"/>
                <w:numId w:val="8"/>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网站特殊时期可切换至单位内运行。</w:t>
            </w:r>
          </w:p>
          <w:p w14:paraId="119AB6A0">
            <w:pPr>
              <w:keepNext w:val="0"/>
              <w:keepLines w:val="0"/>
              <w:pageBreakBefore w:val="0"/>
              <w:widowControl w:val="0"/>
              <w:numPr>
                <w:ilvl w:val="0"/>
                <w:numId w:val="8"/>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支持站点启停生命周期管理，设置站点自动启停计划，系统自动执行站点的启停时间。</w:t>
            </w:r>
          </w:p>
          <w:p w14:paraId="6AAF42F8">
            <w:pPr>
              <w:keepNext w:val="0"/>
              <w:keepLines w:val="0"/>
              <w:pageBreakBefore w:val="0"/>
              <w:numPr>
                <w:ilvl w:val="0"/>
                <w:numId w:val="7"/>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用户权限与角色</w:t>
            </w:r>
          </w:p>
          <w:p w14:paraId="7A0C28F2">
            <w:pPr>
              <w:keepNext w:val="0"/>
              <w:keepLines w:val="0"/>
              <w:pageBreakBefore w:val="0"/>
              <w:numPr>
                <w:ilvl w:val="0"/>
                <w:numId w:val="9"/>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可以实现对所有用户的统一管理，可设置其能够管理的网站及所属部门或组织机构。</w:t>
            </w:r>
          </w:p>
          <w:p w14:paraId="70B16817">
            <w:pPr>
              <w:keepNext w:val="0"/>
              <w:keepLines w:val="0"/>
              <w:pageBreakBefore w:val="0"/>
              <w:numPr>
                <w:ilvl w:val="0"/>
                <w:numId w:val="9"/>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▲系统需支持针对风险管理员账号进行检测和管理，支持对长期未登录用户进行监管和快速封禁，能够针对长期未登录或权限过载等风险管理员账号进行合理划分并选择性禁用。</w:t>
            </w:r>
            <w:r>
              <w:rPr>
                <w:rFonts w:hint="eastAsia" w:ascii="宋体" w:hAnsi="宋体" w:eastAsia="宋体" w:cs="宋体"/>
                <w:b/>
                <w:bCs/>
                <w:sz w:val="24"/>
                <w:szCs w:val="24"/>
              </w:rPr>
              <w:t>（响应文件中需提供能体现该条功能描述的真实系统截图，并加盖供应商公章，不提供或所提供的佐证材料模糊、不清晰无法证明的视为不满足）</w:t>
            </w:r>
          </w:p>
          <w:p w14:paraId="20F14D05">
            <w:pPr>
              <w:keepNext w:val="0"/>
              <w:keepLines w:val="0"/>
              <w:pageBreakBefore w:val="0"/>
              <w:numPr>
                <w:ilvl w:val="0"/>
                <w:numId w:val="9"/>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系统支持分级、细粒度的权限划分，功能权限分配可详细到每一个菜单，内容管理权限可以细化到对每一个栏目的不同操作。</w:t>
            </w:r>
          </w:p>
          <w:p w14:paraId="2E69418B">
            <w:pPr>
              <w:keepNext w:val="0"/>
              <w:keepLines w:val="0"/>
              <w:pageBreakBefore w:val="0"/>
              <w:numPr>
                <w:ilvl w:val="0"/>
                <w:numId w:val="9"/>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系统可通过设置系统关注人，实现包含：系统备份、系统体检、应用防火墙、运维监控、系统补丁、系统授权监控、防篡改、危险文件检测等信息的推送和提醒。</w:t>
            </w:r>
          </w:p>
        </w:tc>
      </w:tr>
      <w:tr w14:paraId="4E41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4819ED32">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497DC5C8">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E92CBF2">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网站建设</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7A7B48AD">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系统需实现模板、栏目、资料三者分离，后台资料添加不会影响前台页面的正常展示。</w:t>
            </w:r>
          </w:p>
          <w:p w14:paraId="18C444C2">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▲系统支持对信息中心官方建设网站进行标记认证，规避后续二级单位自发建站，导致技术不规范且未经过安全评审的问题，经过安全评审后的网站可实现加V标记。</w:t>
            </w:r>
            <w:r>
              <w:rPr>
                <w:rFonts w:hint="eastAsia" w:ascii="宋体" w:hAnsi="宋体" w:eastAsia="宋体" w:cs="宋体"/>
                <w:b/>
                <w:bCs/>
                <w:sz w:val="24"/>
                <w:szCs w:val="24"/>
              </w:rPr>
              <w:t>（响应文件中需提供能体现该条功能描述的真实系统截图，并加盖供应商公章，不提供或所提供的佐证材料模糊、不清晰无法证明的视为不满足）</w:t>
            </w:r>
          </w:p>
          <w:p w14:paraId="2D05F07C">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要求支持网站原样迁移，采用一键扒站技术，快速迁移网站样式框架、页面文件、图片、样式表等数据，直接迁移至系统中，并保持页面样式和兼容性，采用网站功能组件快速实现网站建设。</w:t>
            </w:r>
          </w:p>
          <w:p w14:paraId="7238096E">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在系统使用设计好的HTML模板进行制作时，需兼容所有主流设计工具生成的HTML模板，直接选择当前HTML文件进行上传。</w:t>
            </w:r>
          </w:p>
          <w:p w14:paraId="09E5838B">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网站建设过程需提供历史数据还原功能，避免修改错误导致页面无法正确恢复。</w:t>
            </w:r>
          </w:p>
          <w:p w14:paraId="611E55AD">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系统提供</w:t>
            </w:r>
            <w:r>
              <w:rPr>
                <w:rFonts w:hint="eastAsia" w:ascii="宋体" w:hAnsi="宋体" w:cs="宋体"/>
                <w:kern w:val="0"/>
                <w:sz w:val="24"/>
                <w:szCs w:val="24"/>
                <w:lang w:val="en-US" w:eastAsia="zh-CN"/>
              </w:rPr>
              <w:t>多种</w:t>
            </w:r>
            <w:r>
              <w:rPr>
                <w:rFonts w:hint="eastAsia" w:ascii="宋体" w:hAnsi="宋体" w:eastAsia="宋体" w:cs="宋体"/>
                <w:kern w:val="0"/>
                <w:sz w:val="24"/>
                <w:szCs w:val="24"/>
              </w:rPr>
              <w:t>不同类型的常用组件及移动化组件，全面支持DIV+CSS架构，各类组件之间可以相互复制副本或引用，便于同源数据的快速展示。</w:t>
            </w:r>
          </w:p>
          <w:p w14:paraId="569FF6F1">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系统支持组件二次开发，可进行组件可视化参数的点选，并提供内置的组件模板语言手册。</w:t>
            </w:r>
          </w:p>
          <w:p w14:paraId="4E66556C">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支持采用响应式技术或多屏适配技术，对网站实现多终端访问界面优化展现，原有网站组件不需要重新配置，移动化网站提供模拟器预览功能，支持多种手机分辨率展示效果，确保发布页面的准确性和兼容性。</w:t>
            </w:r>
          </w:p>
          <w:p w14:paraId="50BD46E7">
            <w:pPr>
              <w:keepNext w:val="0"/>
              <w:keepLines w:val="0"/>
              <w:pageBreakBefore w:val="0"/>
              <w:numPr>
                <w:ilvl w:val="0"/>
                <w:numId w:val="10"/>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系统支持电子大屏建设与内容发布展示，需提供至少</w:t>
            </w:r>
            <w:r>
              <w:rPr>
                <w:rFonts w:ascii="宋体" w:hAnsi="宋体" w:eastAsia="宋体" w:cs="宋体"/>
                <w:kern w:val="0"/>
                <w:sz w:val="24"/>
                <w:szCs w:val="24"/>
              </w:rPr>
              <w:t>8</w:t>
            </w:r>
            <w:r>
              <w:rPr>
                <w:rFonts w:hint="eastAsia" w:ascii="宋体" w:hAnsi="宋体" w:eastAsia="宋体" w:cs="宋体"/>
                <w:kern w:val="0"/>
                <w:sz w:val="24"/>
                <w:szCs w:val="24"/>
              </w:rPr>
              <w:t>套党建、迎新、活动等主题的电子屏</w:t>
            </w:r>
            <w:r>
              <w:rPr>
                <w:rFonts w:hint="eastAsia" w:ascii="宋体" w:hAnsi="宋体" w:eastAsia="宋体" w:cs="宋体"/>
                <w:kern w:val="0"/>
                <w:sz w:val="24"/>
                <w:szCs w:val="24"/>
                <w:lang w:eastAsia="zh-CN"/>
              </w:rPr>
              <w:t>模板</w:t>
            </w:r>
            <w:r>
              <w:rPr>
                <w:rFonts w:hint="eastAsia" w:ascii="宋体" w:hAnsi="宋体" w:eastAsia="宋体" w:cs="宋体"/>
                <w:kern w:val="0"/>
                <w:sz w:val="24"/>
                <w:szCs w:val="24"/>
              </w:rPr>
              <w:t>。</w:t>
            </w:r>
          </w:p>
        </w:tc>
      </w:tr>
      <w:tr w14:paraId="7BB6D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12D2F550">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6A8AF55A">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60679A08">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内容创作管理</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235F8EF9">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系统需围绕着发稿人需求搭建内容创作中心，可实现文章快速新增，对用户的发文、撤稿、暂存等多种状态的内容进行管理。</w:t>
            </w:r>
          </w:p>
          <w:p w14:paraId="6ABF54C1">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系统需提供至少6套的文章展示模板，帮助用户对一些特殊形式的文章快速实现排版和样式调整。</w:t>
            </w:r>
          </w:p>
          <w:p w14:paraId="38B0EDE8">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系统应具有简单、稳定、易用的文章编辑器，并且支持Word/WPS文档一键原样在线导入，导入后的文字、图片、表格等格式与原样保持一致，草稿编辑过程支持自动定期保存。</w:t>
            </w:r>
          </w:p>
          <w:p w14:paraId="0D94C5B9">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b/>
                <w:bCs/>
                <w:kern w:val="0"/>
                <w:sz w:val="24"/>
                <w:szCs w:val="24"/>
              </w:rPr>
            </w:pPr>
            <w:r>
              <w:rPr>
                <w:rFonts w:hint="eastAsia" w:ascii="宋体" w:hAnsi="宋体" w:eastAsia="宋体" w:cs="宋体"/>
                <w:kern w:val="0"/>
                <w:sz w:val="24"/>
                <w:szCs w:val="24"/>
              </w:rPr>
              <w:t>▲系统应具备“云导入”功能，在不需要下载多余插件的情况下，就能够实现Word文档的直接导入。导入过程能够自动识别word的标题、关键字、发布日期、摘要等word中的关键信息，并自动填充到编辑器对应字段位置。</w:t>
            </w:r>
            <w:r>
              <w:rPr>
                <w:rFonts w:hint="eastAsia" w:ascii="宋体" w:hAnsi="宋体" w:eastAsia="宋体" w:cs="宋体"/>
                <w:b/>
                <w:bCs/>
                <w:kern w:val="0"/>
                <w:sz w:val="24"/>
                <w:szCs w:val="24"/>
                <w:lang w:eastAsia="zh-CN"/>
              </w:rPr>
              <w:t>（</w:t>
            </w:r>
            <w:r>
              <w:rPr>
                <w:rFonts w:hint="eastAsia" w:ascii="宋体" w:hAnsi="宋体" w:eastAsia="宋体" w:cs="宋体"/>
                <w:b/>
                <w:bCs/>
                <w:kern w:val="0"/>
                <w:sz w:val="24"/>
                <w:szCs w:val="24"/>
                <w:lang w:val="en-US" w:eastAsia="zh-CN"/>
              </w:rPr>
              <w:t>响应文件中需提供能体现该条功能描述的真实系统截图（加盖公章）或第三方检测机构出具的检测报告</w:t>
            </w:r>
            <w:r>
              <w:rPr>
                <w:rFonts w:hint="eastAsia" w:ascii="宋体" w:hAnsi="宋体" w:eastAsia="宋体" w:cs="宋体"/>
                <w:b/>
                <w:bCs/>
                <w:kern w:val="0"/>
                <w:sz w:val="24"/>
                <w:szCs w:val="24"/>
                <w:lang w:eastAsia="zh-CN"/>
              </w:rPr>
              <w:t>）</w:t>
            </w:r>
          </w:p>
          <w:p w14:paraId="5C636BC4">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系统需要支持内容编辑器内对网络文本的采集，能够采集对应的U</w:t>
            </w:r>
            <w:r>
              <w:rPr>
                <w:rFonts w:ascii="宋体" w:hAnsi="宋体" w:eastAsia="宋体" w:cs="宋体"/>
                <w:kern w:val="0"/>
                <w:sz w:val="24"/>
                <w:szCs w:val="24"/>
              </w:rPr>
              <w:t>RL</w:t>
            </w:r>
            <w:r>
              <w:rPr>
                <w:rFonts w:hint="eastAsia" w:ascii="宋体" w:hAnsi="宋体" w:eastAsia="宋体" w:cs="宋体"/>
                <w:kern w:val="0"/>
                <w:sz w:val="24"/>
                <w:szCs w:val="24"/>
              </w:rPr>
              <w:t>网络内容资源，直接添加进文章不同字段区间。</w:t>
            </w:r>
          </w:p>
          <w:p w14:paraId="1E950DFD">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提供文章编辑一键排版工具，一键排版功能支持多种预设样式，可在后台下载并参考样例来定义样式文件，自主上传录入排版样式文件，</w:t>
            </w:r>
            <w:r>
              <w:rPr>
                <w:rFonts w:ascii="宋体" w:hAnsi="宋体" w:eastAsia="宋体" w:cs="宋体"/>
                <w:kern w:val="0"/>
                <w:sz w:val="24"/>
                <w:szCs w:val="24"/>
              </w:rPr>
              <w:t>文档可按照预先自定义的格式进行排版，排版过程会针对文章内容源代码进行规范化整理，确保多种浏览器</w:t>
            </w:r>
            <w:r>
              <w:rPr>
                <w:rFonts w:hint="eastAsia" w:ascii="宋体" w:hAnsi="宋体" w:eastAsia="宋体" w:cs="宋体"/>
                <w:kern w:val="0"/>
                <w:sz w:val="24"/>
                <w:szCs w:val="24"/>
              </w:rPr>
              <w:t>更好的</w:t>
            </w:r>
            <w:r>
              <w:rPr>
                <w:rFonts w:ascii="宋体" w:hAnsi="宋体" w:eastAsia="宋体" w:cs="宋体"/>
                <w:kern w:val="0"/>
                <w:sz w:val="24"/>
                <w:szCs w:val="24"/>
              </w:rPr>
              <w:t>兼容</w:t>
            </w:r>
            <w:r>
              <w:rPr>
                <w:rFonts w:hint="eastAsia" w:ascii="宋体" w:hAnsi="宋体" w:eastAsia="宋体" w:cs="宋体"/>
                <w:kern w:val="0"/>
                <w:sz w:val="24"/>
                <w:szCs w:val="24"/>
              </w:rPr>
              <w:t>。</w:t>
            </w:r>
          </w:p>
          <w:p w14:paraId="7044A632">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系统支持pdf发布。用户可以对红头文件、重要的通知公告等这类文件在后台选择上传Word文档，系统能够自动转化成pdf文件对外进行发布。</w:t>
            </w:r>
          </w:p>
          <w:p w14:paraId="7E048BBD">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▲系统支持多个标题图上传。可针对文章发布的标题图和正文图片进行在线裁剪，支持多种比例裁剪、翻转、镜像，满足新闻图片的展现需求。</w:t>
            </w:r>
          </w:p>
          <w:p w14:paraId="2F3FD3F5">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支持表格样式格式化功能，对表格的尺寸，边框，单元格对齐方式、单元格内边距、表格对齐方式等样式一键样式调整，支持内置至少</w:t>
            </w:r>
            <w:r>
              <w:rPr>
                <w:rFonts w:ascii="宋体" w:hAnsi="宋体" w:eastAsia="宋体" w:cs="宋体"/>
                <w:kern w:val="0"/>
                <w:sz w:val="24"/>
                <w:szCs w:val="24"/>
                <w:lang w:val="en-US" w:eastAsia="zh-CN" w:bidi="ar-SA"/>
              </w:rPr>
              <w:t>4</w:t>
            </w:r>
            <w:r>
              <w:rPr>
                <w:rFonts w:hint="eastAsia" w:ascii="宋体" w:hAnsi="宋体" w:eastAsia="宋体" w:cs="宋体"/>
                <w:kern w:val="0"/>
                <w:sz w:val="24"/>
                <w:szCs w:val="24"/>
                <w:lang w:val="en-US" w:eastAsia="zh-CN" w:bidi="ar-SA"/>
              </w:rPr>
              <w:t>种</w:t>
            </w:r>
            <w:r>
              <w:rPr>
                <w:rFonts w:ascii="宋体" w:hAnsi="宋体" w:eastAsia="宋体" w:cs="宋体"/>
                <w:kern w:val="0"/>
                <w:sz w:val="24"/>
                <w:szCs w:val="24"/>
                <w:lang w:val="en-US" w:eastAsia="zh-CN" w:bidi="ar-SA"/>
              </w:rPr>
              <w:t>基本的表格样式</w:t>
            </w:r>
            <w:r>
              <w:rPr>
                <w:rFonts w:hint="eastAsia" w:ascii="宋体" w:hAnsi="宋体" w:eastAsia="宋体" w:cs="宋体"/>
                <w:kern w:val="0"/>
                <w:sz w:val="24"/>
                <w:szCs w:val="24"/>
                <w:lang w:val="en-US" w:eastAsia="zh-CN" w:bidi="ar-SA"/>
              </w:rPr>
              <w:t>。</w:t>
            </w:r>
          </w:p>
          <w:p w14:paraId="4767AD86">
            <w:pPr>
              <w:keepNext w:val="0"/>
              <w:keepLines w:val="0"/>
              <w:pageBreakBefore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支持新闻时效性管理，可以设置新闻上线及下线时间。</w:t>
            </w:r>
          </w:p>
          <w:p w14:paraId="1CDF8222">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支持文章或栏目访问权限管理，可以设置配置对应的访问权限IP规则或可访问角色。</w:t>
            </w:r>
          </w:p>
          <w:p w14:paraId="52420F59">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支持对历史数据进行归档，提升网站前台加载速度。</w:t>
            </w:r>
          </w:p>
          <w:p w14:paraId="6DE3D1FB">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支持文章历史修改过程记录，能够针对文章的不同历史版本，指定两个历史稿件进行同一界面下的双窗口内容比对，针对增删改等不同的修改点，实现不同颜色标记，便于审核人员审核校对。</w:t>
            </w:r>
          </w:p>
          <w:p w14:paraId="45F03AF7">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文章列支持拖拽式排序，拖拽排序之后保存，无需重新发布，即可实现前端页面文章顺序同步更新。</w:t>
            </w:r>
          </w:p>
          <w:p w14:paraId="6E7F86EF">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支持文章发布时投递功能，在文章发布时，可以选择推送至微博、微信。</w:t>
            </w:r>
          </w:p>
          <w:p w14:paraId="4AACAC4D">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系统能够记录详细的文章操作日志，可以记录系统中被操作文章的网站信息、操作内容、操作类型等信息，支持按照操作类型进行筛选，并具有查询功能，同时支持以Excel文件导出。</w:t>
            </w:r>
          </w:p>
          <w:p w14:paraId="60E16BF4">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具有可视化审核流程配置功能，需支持以可视化拖拽的形式设置不同栏目的审核体系，亦可以对多个栏目快速设置相同的审核流程。系统内置三审三校审核流模板，能够针对网站栏目、微信、微博快速设计专属的三审三校审核流程。</w:t>
            </w:r>
          </w:p>
          <w:p w14:paraId="1FCE7AAA">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▲针对文章审核过程，支持一键输入审核意见。支持审核过程附件上传，明确反馈审核信息。</w:t>
            </w:r>
          </w:p>
          <w:p w14:paraId="4E6D4735">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提交审核过程需支持指定审核人，提交后支持查看文章当前的审核状态及处理人、处理意见等相关信息。审核记录按照时间轴展示，可查看下一节点待审人。</w:t>
            </w:r>
          </w:p>
          <w:p w14:paraId="3427DA5C">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系统提供云文件库功能，支持</w:t>
            </w:r>
            <w:r>
              <w:rPr>
                <w:rFonts w:ascii="宋体" w:hAnsi="宋体" w:eastAsia="宋体" w:cs="宋体"/>
                <w:kern w:val="0"/>
                <w:sz w:val="24"/>
                <w:szCs w:val="24"/>
                <w:lang w:val="en-US" w:eastAsia="zh-CN" w:bidi="ar-SA"/>
              </w:rPr>
              <w:t>所有上传文件自动转存到文件库</w:t>
            </w:r>
            <w:r>
              <w:rPr>
                <w:rFonts w:hint="eastAsia" w:ascii="宋体" w:hAnsi="宋体" w:eastAsia="宋体" w:cs="宋体"/>
                <w:kern w:val="0"/>
                <w:sz w:val="24"/>
                <w:szCs w:val="24"/>
                <w:lang w:val="en-US" w:eastAsia="zh-CN" w:bidi="ar-SA"/>
              </w:rPr>
              <w:t>，可针对资源按照图片、视频、音频等分类进行存储，用户可以使用或删除个人文件，同时可以查看其它管理员共享的公共文件。对</w:t>
            </w:r>
            <w:r>
              <w:rPr>
                <w:rFonts w:ascii="宋体" w:hAnsi="宋体" w:eastAsia="宋体" w:cs="宋体"/>
                <w:kern w:val="0"/>
                <w:sz w:val="24"/>
                <w:szCs w:val="24"/>
                <w:lang w:val="en-US" w:eastAsia="zh-CN" w:bidi="ar-SA"/>
              </w:rPr>
              <w:t>文件的引用</w:t>
            </w:r>
            <w:r>
              <w:rPr>
                <w:rFonts w:hint="eastAsia" w:ascii="宋体" w:hAnsi="宋体" w:eastAsia="宋体" w:cs="宋体"/>
                <w:kern w:val="0"/>
                <w:sz w:val="24"/>
                <w:szCs w:val="24"/>
                <w:lang w:val="en-US" w:eastAsia="zh-CN" w:bidi="ar-SA"/>
              </w:rPr>
              <w:t>情况可实现</w:t>
            </w:r>
            <w:r>
              <w:rPr>
                <w:rFonts w:ascii="宋体" w:hAnsi="宋体" w:eastAsia="宋体" w:cs="宋体"/>
                <w:kern w:val="0"/>
                <w:sz w:val="24"/>
                <w:szCs w:val="24"/>
                <w:lang w:val="en-US" w:eastAsia="zh-CN" w:bidi="ar-SA"/>
              </w:rPr>
              <w:t>站点、栏目、文章、地址等详细信息</w:t>
            </w:r>
            <w:r>
              <w:rPr>
                <w:rFonts w:hint="eastAsia" w:ascii="宋体" w:hAnsi="宋体" w:eastAsia="宋体" w:cs="宋体"/>
                <w:kern w:val="0"/>
                <w:sz w:val="24"/>
                <w:szCs w:val="24"/>
                <w:lang w:val="en-US" w:eastAsia="zh-CN" w:bidi="ar-SA"/>
              </w:rPr>
              <w:t>的查看。</w:t>
            </w:r>
          </w:p>
          <w:p w14:paraId="31BDDA61">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网站数据存储具备云存储特性，相同文件（资源文件、备份文件等）物理上只存一份。</w:t>
            </w:r>
          </w:p>
          <w:p w14:paraId="08A6B670">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系统可实现对主流视频的一键上传，满足各类不同的设备访问。</w:t>
            </w:r>
          </w:p>
          <w:p w14:paraId="3CEDF5FD">
            <w:pPr>
              <w:keepNext w:val="0"/>
              <w:keepLines w:val="0"/>
              <w:pageBreakBefore w:val="0"/>
              <w:widowControl w:val="0"/>
              <w:numPr>
                <w:ilvl w:val="0"/>
                <w:numId w:val="11"/>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系统提供信息采集功能，支持web采集与数据库采集两种方式。利用信息采集功能，使系统能对通过第三方数据库，或者对指定网站、版块或栏目进行自动搜索和信息采集。</w:t>
            </w:r>
          </w:p>
        </w:tc>
      </w:tr>
      <w:tr w14:paraId="34FE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5D9B8BC7">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34539D6C">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E7DAAAF">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新媒体发布</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4945F0FB">
            <w:pPr>
              <w:keepNext w:val="0"/>
              <w:keepLines w:val="0"/>
              <w:pageBreakBefore w:val="0"/>
              <w:numPr>
                <w:ilvl w:val="0"/>
                <w:numId w:val="12"/>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支持按照部门为管理单元，提供新媒体账号（微信、微博）的关联对接，有权限的用户可以在多个账号类型进行切换。</w:t>
            </w:r>
          </w:p>
          <w:p w14:paraId="6ECBE306">
            <w:pPr>
              <w:keepNext w:val="0"/>
              <w:keepLines w:val="0"/>
              <w:pageBreakBefore w:val="0"/>
              <w:numPr>
                <w:ilvl w:val="0"/>
                <w:numId w:val="12"/>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支持网站文章推送到本部门微信、微博</w:t>
            </w:r>
            <w:r>
              <w:rPr>
                <w:rFonts w:hint="eastAsia" w:ascii="宋体" w:hAnsi="宋体" w:eastAsia="宋体" w:cs="宋体"/>
                <w:kern w:val="0"/>
                <w:sz w:val="24"/>
                <w:szCs w:val="24"/>
                <w:lang w:eastAsia="zh-CN"/>
              </w:rPr>
              <w:t>账号</w:t>
            </w:r>
            <w:r>
              <w:rPr>
                <w:rFonts w:hint="eastAsia" w:ascii="宋体" w:hAnsi="宋体" w:eastAsia="宋体" w:cs="宋体"/>
                <w:kern w:val="0"/>
                <w:sz w:val="24"/>
                <w:szCs w:val="24"/>
              </w:rPr>
              <w:t>，也可在新媒体内容编辑时，选择本部门网站已发布的任意文章作为素材编辑发布。</w:t>
            </w:r>
          </w:p>
          <w:p w14:paraId="2B920617">
            <w:pPr>
              <w:keepNext w:val="0"/>
              <w:keepLines w:val="0"/>
              <w:pageBreakBefore w:val="0"/>
              <w:numPr>
                <w:ilvl w:val="0"/>
                <w:numId w:val="12"/>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支持微信公众号管理，支持公众号自动回复消息设置和自定义菜单。系统需具备微信端编辑器，提供多种微信公众号文章排版素材，同时系统需打通</w:t>
            </w:r>
            <w:r>
              <w:rPr>
                <w:rFonts w:hint="eastAsia" w:ascii="宋体" w:hAnsi="宋体" w:eastAsia="宋体" w:cs="宋体"/>
                <w:kern w:val="0"/>
                <w:sz w:val="24"/>
                <w:szCs w:val="24"/>
                <w:lang w:val="en-US" w:eastAsia="zh-CN"/>
              </w:rPr>
              <w:t>主流微信推文编辑器，包括但不限于135编辑器、秀米编辑器等</w:t>
            </w:r>
            <w:r>
              <w:rPr>
                <w:rFonts w:hint="eastAsia" w:ascii="宋体" w:hAnsi="宋体" w:eastAsia="宋体" w:cs="宋体"/>
                <w:kern w:val="0"/>
                <w:sz w:val="24"/>
                <w:szCs w:val="24"/>
              </w:rPr>
              <w:t>，实现微信内容的优化处理。</w:t>
            </w:r>
          </w:p>
          <w:p w14:paraId="304C918A">
            <w:pPr>
              <w:keepNext w:val="0"/>
              <w:keepLines w:val="0"/>
              <w:pageBreakBefore w:val="0"/>
              <w:numPr>
                <w:ilvl w:val="0"/>
                <w:numId w:val="12"/>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系统需内置微博编辑器，可以快速在平台编辑微博文章，编辑时可以在网站素材和资源库中选择合适信息资源发布至微博，支持头条微博编辑发布。</w:t>
            </w:r>
          </w:p>
          <w:p w14:paraId="5FC01DE5">
            <w:pPr>
              <w:keepNext w:val="0"/>
              <w:keepLines w:val="0"/>
              <w:pageBreakBefore w:val="0"/>
              <w:numPr>
                <w:ilvl w:val="0"/>
                <w:numId w:val="12"/>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支持发布预览，可以模拟浏览当前账号在微博发布文章展示的效果。支持微博发布历史查看，可以对已发布的微博进行重新编辑，并将微博发布的历史文章快速推荐至其他微博。</w:t>
            </w:r>
          </w:p>
          <w:p w14:paraId="2A2DA012">
            <w:pPr>
              <w:keepNext w:val="0"/>
              <w:keepLines w:val="0"/>
              <w:pageBreakBefore w:val="0"/>
              <w:numPr>
                <w:ilvl w:val="0"/>
                <w:numId w:val="12"/>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支持统一对微信、微博发布信息进行检索，支持对平台中已发布微博、微信公众号文章进行一键撤稿。</w:t>
            </w:r>
          </w:p>
        </w:tc>
      </w:tr>
      <w:tr w14:paraId="3AD9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03FEE690">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52165D33">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12528FC5">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系统内容检索与处理</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5533626B">
            <w:pPr>
              <w:keepNext w:val="0"/>
              <w:keepLines w:val="0"/>
              <w:pageBreakBefore w:val="0"/>
              <w:widowControl w:val="0"/>
              <w:numPr>
                <w:ilvl w:val="0"/>
                <w:numId w:val="13"/>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系统支持自定义词汇、非法链接、外链、身份证、电话、证件号、邮箱、内网IP的检索与处理。</w:t>
            </w:r>
          </w:p>
          <w:p w14:paraId="77A2EB4F">
            <w:pPr>
              <w:keepNext w:val="0"/>
              <w:keepLines w:val="0"/>
              <w:pageBreakBefore w:val="0"/>
              <w:widowControl w:val="0"/>
              <w:numPr>
                <w:ilvl w:val="0"/>
                <w:numId w:val="13"/>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对网站进行自定义词汇、危险链接和隐私信息的检索，检索范围包含网站文章、资料、模板、附件、新媒体内容同时支持检索范围自定义，在检索过程中，需展示当前检索站点信息及进度，检索完成后展示当前结果概览。</w:t>
            </w:r>
          </w:p>
          <w:p w14:paraId="4BDBB61A">
            <w:pPr>
              <w:keepNext w:val="0"/>
              <w:keepLines w:val="0"/>
              <w:pageBreakBefore w:val="0"/>
              <w:widowControl w:val="0"/>
              <w:numPr>
                <w:ilvl w:val="0"/>
                <w:numId w:val="13"/>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▲支持以站点视角及全局视角两种维度，查看站点自定义词汇、危险链接和隐私信息的检索结果，可对文章、资料、模板、附件、新媒体的检索信息进行单个或批量处理，处理完成后可对处理结果进行一键验证。</w:t>
            </w:r>
            <w:r>
              <w:rPr>
                <w:rFonts w:hint="eastAsia" w:ascii="宋体" w:hAnsi="宋体" w:eastAsia="宋体" w:cs="宋体"/>
                <w:b/>
                <w:bCs/>
                <w:kern w:val="2"/>
                <w:sz w:val="24"/>
                <w:szCs w:val="24"/>
                <w:lang w:val="en-US" w:eastAsia="zh-CN" w:bidi="ar-SA"/>
              </w:rPr>
              <w:t>（响应文件中需提供能体现该条功能描述的真实系统截图，并加盖供应商公章，不提供或所提供的佐证材料模糊、不清晰无法证明的视为不满足）</w:t>
            </w:r>
          </w:p>
          <w:p w14:paraId="614CEC1D">
            <w:pPr>
              <w:keepNext w:val="0"/>
              <w:keepLines w:val="0"/>
              <w:pageBreakBefore w:val="0"/>
              <w:widowControl w:val="0"/>
              <w:numPr>
                <w:ilvl w:val="0"/>
                <w:numId w:val="13"/>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检索的结果可直接按照部门站点划分并下放，支持每个站点管理员查看并处理当前站点信息检索结果。</w:t>
            </w:r>
          </w:p>
          <w:p w14:paraId="23531E93">
            <w:pPr>
              <w:keepNext w:val="0"/>
              <w:keepLines w:val="0"/>
              <w:pageBreakBefore w:val="0"/>
              <w:widowControl w:val="0"/>
              <w:numPr>
                <w:ilvl w:val="0"/>
                <w:numId w:val="13"/>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支持对每次检索后的处理结果统计分析，包括已处理数量及未处理数量，可对单次检索后的处理结果进行本地excel导出。</w:t>
            </w:r>
          </w:p>
        </w:tc>
      </w:tr>
      <w:tr w14:paraId="443D0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3A31A4D7">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495C41E2">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34752E6A">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统计分析</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216FCD66">
            <w:pPr>
              <w:keepNext w:val="0"/>
              <w:keepLines w:val="0"/>
              <w:pageBreakBefore w:val="0"/>
              <w:numPr>
                <w:ilvl w:val="0"/>
                <w:numId w:val="1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系统端需支持对网站系统整体相关数据的统计，包括站点访问量排名、站点栏目数量排名、文章数、站点文章数、在线管理员、站点投递信息量、站点接收信息量等数据的统计。</w:t>
            </w:r>
          </w:p>
          <w:p w14:paraId="479568AF">
            <w:pPr>
              <w:keepNext w:val="0"/>
              <w:keepLines w:val="0"/>
              <w:pageBreakBefore w:val="0"/>
              <w:numPr>
                <w:ilvl w:val="0"/>
                <w:numId w:val="1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站点运营数据管理过程，需提供针对每一个网站的访问的相关数据统计，包括统计访问记录、页面浏览数、来访IP数、访问时间段、访问排名及来访省份统计。</w:t>
            </w:r>
          </w:p>
          <w:p w14:paraId="5F5282E0">
            <w:pPr>
              <w:keepNext w:val="0"/>
              <w:keepLines w:val="0"/>
              <w:pageBreakBefore w:val="0"/>
              <w:numPr>
                <w:ilvl w:val="0"/>
                <w:numId w:val="1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支持针对网站内容的相关数据统计，包括网站管理员信息量、栏目信息量、分组信息量、栏目新闻数、网站在线管理员等数据的统计。</w:t>
            </w:r>
          </w:p>
          <w:p w14:paraId="36BC0B0F">
            <w:pPr>
              <w:keepNext w:val="0"/>
              <w:keepLines w:val="0"/>
              <w:pageBreakBefore w:val="0"/>
              <w:numPr>
                <w:ilvl w:val="0"/>
                <w:numId w:val="14"/>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支持对微信、微博运营情况进行统计分析，包括账号数量、发文数量、粉丝数量等。需对微信、微博等各发布渠道的文章按照阅读量等进行热度统计，综合展示当前单位内各新媒体渠道的热门文章。</w:t>
            </w:r>
          </w:p>
        </w:tc>
      </w:tr>
      <w:tr w14:paraId="3D16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22B8F5EB">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22F76C98">
            <w:pPr>
              <w:widowControl/>
              <w:spacing w:line="360" w:lineRule="auto"/>
              <w:ind w:firstLine="0" w:firstLineChars="0"/>
              <w:jc w:val="both"/>
              <w:rPr>
                <w:rFonts w:hint="eastAsia" w:ascii="宋体" w:hAnsi="宋体" w:eastAsia="宋体" w:cs="宋体"/>
                <w:kern w:val="0"/>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D34AE03">
            <w:pPr>
              <w:widowControl/>
              <w:spacing w:line="360" w:lineRule="auto"/>
              <w:ind w:firstLine="0" w:firstLineChars="0"/>
              <w:jc w:val="both"/>
              <w:rPr>
                <w:rFonts w:ascii="宋体" w:hAnsi="宋体" w:eastAsia="宋体" w:cs="宋体"/>
                <w:kern w:val="0"/>
                <w:sz w:val="24"/>
                <w:szCs w:val="24"/>
              </w:rPr>
            </w:pPr>
            <w:r>
              <w:rPr>
                <w:rFonts w:hint="eastAsia" w:ascii="宋体" w:hAnsi="宋体" w:eastAsia="宋体" w:cs="宋体"/>
                <w:kern w:val="0"/>
                <w:sz w:val="24"/>
                <w:szCs w:val="24"/>
              </w:rPr>
              <w:t>安全防护</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62F6D1D1">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1、数据备份安全</w:t>
            </w:r>
          </w:p>
          <w:p w14:paraId="0EAAF778">
            <w:pPr>
              <w:keepNext w:val="0"/>
              <w:keepLines w:val="0"/>
              <w:pageBreakBefore w:val="0"/>
              <w:numPr>
                <w:ilvl w:val="0"/>
                <w:numId w:val="15"/>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要求具备独立的远程异地备份系统，使用独立的后台实现登录及网站快照备份管理和恢复，备份过程需要能够自动检测备份包的完整性，恢复过程可针对数据单独恢复或对网站数据及模板进行全量恢复。</w:t>
            </w:r>
          </w:p>
          <w:p w14:paraId="6DDBC613">
            <w:pPr>
              <w:keepNext w:val="0"/>
              <w:keepLines w:val="0"/>
              <w:pageBreakBefore w:val="0"/>
              <w:numPr>
                <w:ilvl w:val="0"/>
                <w:numId w:val="15"/>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系统提供备份包自动清理功能。用户可以设置清理策略，系统会根据策略定时自行清理掉不需要的备份包，节省磁盘空间占用。</w:t>
            </w:r>
          </w:p>
          <w:p w14:paraId="755851D6">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2、安全防护措施</w:t>
            </w:r>
          </w:p>
          <w:p w14:paraId="3454CC6C">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须具备安全概览面板，展示系统整体安全防护动态，展示内容需包含全球攻击情况的实时动态展示、部署结构运维展示、内容安全管控情况以及安全运维监控结果等，针对重点安全防护模块可提供一键直达快速访问入口。</w:t>
            </w:r>
          </w:p>
          <w:p w14:paraId="0603C194">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b/>
                <w:bCs/>
                <w:kern w:val="0"/>
                <w:sz w:val="24"/>
                <w:szCs w:val="24"/>
              </w:rPr>
            </w:pPr>
            <w:r>
              <w:rPr>
                <w:rFonts w:hint="eastAsia" w:ascii="宋体" w:hAnsi="宋体" w:eastAsia="宋体" w:cs="宋体"/>
                <w:kern w:val="0"/>
                <w:sz w:val="24"/>
                <w:szCs w:val="24"/>
              </w:rPr>
              <w:t>▲平台应具备重保工作台，支持按照不同场景来配置系统安全运维模式，可按不同场景进行管理员账号限制、防火墙策略设定、访问限制、后台维护限制等安全防护策略的详细配置。可按需设置多种场景模式，实现对应场景之下运维模式的快速切换。</w:t>
            </w:r>
            <w:r>
              <w:rPr>
                <w:rFonts w:hint="eastAsia" w:ascii="宋体" w:hAnsi="宋体" w:cs="宋体"/>
                <w:b/>
                <w:bCs/>
                <w:kern w:val="0"/>
                <w:sz w:val="24"/>
                <w:szCs w:val="24"/>
                <w:lang w:eastAsia="zh-CN"/>
              </w:rPr>
              <w:t>（响应文件中需提供能体现该条功能描述的真实系统截图（加盖公章）或第三方检测机构出具的检测报告）</w:t>
            </w:r>
            <w:bookmarkStart w:id="69" w:name="_Hlk106093014"/>
          </w:p>
          <w:p w14:paraId="6C7DE202">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b/>
                <w:bCs/>
                <w:kern w:val="0"/>
                <w:sz w:val="24"/>
                <w:szCs w:val="24"/>
              </w:rPr>
            </w:pPr>
            <w:r>
              <w:rPr>
                <w:rFonts w:hint="eastAsia" w:ascii="宋体" w:hAnsi="宋体" w:eastAsia="宋体" w:cs="宋体"/>
                <w:kern w:val="0"/>
                <w:sz w:val="24"/>
                <w:szCs w:val="24"/>
              </w:rPr>
              <w:t>▲平台需支持对网站系统进行监控，及时发现并阻断对网站系统底层关键文件的修改，防止对系统底层文件的篡改变动。</w:t>
            </w:r>
            <w:bookmarkEnd w:id="69"/>
          </w:p>
          <w:p w14:paraId="353CB78A">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支持密码强度规则设置，并且提供简单密码口令库，使用简单口令库中的密码在创建用户时系统会自动阻止。系统针对密码加密，采用国密算法，保障密码不被暴力猜解。</w:t>
            </w:r>
          </w:p>
          <w:p w14:paraId="1D34120A">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网站系统要求具有IP规则设置和账号安全管理功能，管理员可以设置不同的IP范围，用来限制管理员后台登录。</w:t>
            </w:r>
          </w:p>
          <w:p w14:paraId="68C2F806">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应内置应用防火墙，内置被动防御策略集，针对危险行为进行IP封禁，并可管理黑名单及白名单，通过使用入侵防护日志，可以详细了解攻击者的归属地、IP地址、攻击位置、攻击特征以及攻击时间等重要信息。</w:t>
            </w:r>
          </w:p>
          <w:p w14:paraId="617E5768">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系统应支持危险文件检测，检测服务器中包含特殊代码的文件，并提供检测日志，同时允许手动、自动更新危险网站黑名单及信任网站白名单。</w:t>
            </w:r>
          </w:p>
          <w:p w14:paraId="7D1A8C11">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系统应支持网站体检功能，提供危险项目、安全项目、其他项目的系统体检、并可以在体检结果后直接对结果进行处理操作。</w:t>
            </w:r>
          </w:p>
          <w:p w14:paraId="2E3E9E9B">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系统内置防篡改模块，能够对每一个网站防篡改开启或关闭进行检测，支持批量网页防篡改服务器配置，内置防篡改日志查询，保护网站的安全。</w:t>
            </w:r>
          </w:p>
          <w:p w14:paraId="7772D17F">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▲系统需引入</w:t>
            </w:r>
            <w:r>
              <w:rPr>
                <w:rFonts w:ascii="宋体" w:hAnsi="宋体" w:eastAsia="宋体" w:cs="宋体"/>
                <w:kern w:val="0"/>
                <w:sz w:val="24"/>
                <w:szCs w:val="24"/>
              </w:rPr>
              <w:t>RASP技术，深度检查系统内部访问动作，支持表层防护，业务防护和内核防护的三级防护模式，对系统的各类运维安全问题，例如规则的漏洞攻击、行为追踪的漏洞等可进行逐层把关</w:t>
            </w:r>
            <w:r>
              <w:rPr>
                <w:rFonts w:hint="eastAsia" w:ascii="宋体" w:hAnsi="宋体" w:eastAsia="宋体" w:cs="宋体"/>
                <w:kern w:val="0"/>
                <w:sz w:val="24"/>
                <w:szCs w:val="24"/>
              </w:rPr>
              <w:t>。</w:t>
            </w:r>
            <w:r>
              <w:rPr>
                <w:rFonts w:hint="eastAsia" w:ascii="宋体" w:hAnsi="宋体" w:eastAsia="宋体" w:cs="宋体"/>
                <w:b/>
                <w:bCs/>
                <w:sz w:val="24"/>
                <w:szCs w:val="24"/>
              </w:rPr>
              <w:t>（响应文件中需提供能体现该条功能描述的真实系统截图，并加盖供应商公章，不提供或所提供的佐证材料模糊、不清晰无法证明的视为不满足）</w:t>
            </w:r>
          </w:p>
          <w:p w14:paraId="07F28D4A">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▲能够针对系统内部面临的不同种类的攻击情况，进行严密记录与分析，支持对每一次攻击过程进行请求信息的反向追踪记录。需支持详细的拦截详情和请求信息记录。</w:t>
            </w:r>
            <w:r>
              <w:rPr>
                <w:rFonts w:hint="eastAsia" w:ascii="宋体" w:hAnsi="宋体" w:eastAsia="宋体" w:cs="宋体"/>
                <w:b/>
                <w:bCs/>
                <w:sz w:val="24"/>
                <w:szCs w:val="24"/>
              </w:rPr>
              <w:t>（响应文件中需提供能体现该条功能描述的真实系统截图，并加盖供应商公章，不提供或所提供的佐证材料模糊、不清晰无法证明的视为不满足）</w:t>
            </w:r>
          </w:p>
          <w:p w14:paraId="3800082B">
            <w:pPr>
              <w:keepNext w:val="0"/>
              <w:keepLines w:val="0"/>
              <w:pageBreakBefore w:val="0"/>
              <w:numPr>
                <w:ilvl w:val="0"/>
                <w:numId w:val="16"/>
              </w:numPr>
              <w:kinsoku/>
              <w:wordWrap/>
              <w:overflowPunct/>
              <w:topLinePunct w:val="0"/>
              <w:autoSpaceDE/>
              <w:autoSpaceDN/>
              <w:bidi w:val="0"/>
              <w:adjustRightInd w:val="0"/>
              <w:snapToGrid/>
              <w:spacing w:line="400" w:lineRule="exact"/>
              <w:ind w:left="0" w:firstLine="0" w:firstLineChars="0"/>
              <w:jc w:val="both"/>
              <w:textAlignment w:val="auto"/>
              <w:rPr>
                <w:rFonts w:ascii="宋体" w:hAnsi="宋体" w:eastAsia="宋体" w:cs="宋体"/>
                <w:kern w:val="0"/>
                <w:sz w:val="24"/>
                <w:szCs w:val="24"/>
              </w:rPr>
            </w:pPr>
            <w:r>
              <w:rPr>
                <w:rFonts w:hint="eastAsia" w:ascii="宋体" w:hAnsi="宋体" w:eastAsia="宋体" w:cs="宋体"/>
                <w:kern w:val="0"/>
                <w:sz w:val="24"/>
                <w:szCs w:val="24"/>
              </w:rPr>
              <w:t>在用户登录和信息传递过程中，系统支持外部SSL协议对用户名和密码的传输进行加密，保证关键信息的通信保密性。</w:t>
            </w:r>
          </w:p>
        </w:tc>
      </w:tr>
      <w:tr w14:paraId="62AF2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441D22BD">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tcBorders>
              <w:left w:val="single" w:color="auto" w:sz="4" w:space="0"/>
              <w:right w:val="single" w:color="auto" w:sz="4" w:space="0"/>
            </w:tcBorders>
            <w:noWrap w:val="0"/>
            <w:vAlign w:val="center"/>
          </w:tcPr>
          <w:p w14:paraId="3F82C020">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网页防篡改系统</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05E87140">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网页防篡改系统</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2978BD7E">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1、需要采用先进的 Web 服务器核心内嵌机制，需实现对静态网页和脚本的实时检测和恢复，保护数据库中的动态内容免受来自于 Web 的攻击和篡改。</w:t>
            </w:r>
          </w:p>
          <w:p w14:paraId="39ED43BE">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sz w:val="24"/>
                <w:szCs w:val="24"/>
              </w:rPr>
              <w:t>2、系统内置防篡改模块，能够对每一个网站防篡改开启或关闭进行检测，内置防篡改日志查询，保护站群内所有站点的安全。</w:t>
            </w:r>
          </w:p>
        </w:tc>
      </w:tr>
      <w:tr w14:paraId="0C65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71945670">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tcBorders>
              <w:left w:val="single" w:color="auto" w:sz="4" w:space="0"/>
              <w:right w:val="single" w:color="auto" w:sz="4" w:space="0"/>
            </w:tcBorders>
            <w:noWrap w:val="0"/>
            <w:vAlign w:val="center"/>
          </w:tcPr>
          <w:p w14:paraId="76A9855E">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智能搜索系统</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16B117A0">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智能搜索系统</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3D6D578C">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1、系统需要支持跨网站搜索，搜索模式需要实现模糊搜索、目录搜索、全文搜索，有效提升搜索精准度。在前端网站搜索时，需要实现搜索输入提示、搜索结果分类展示，最终展现结果可配置模板。</w:t>
            </w:r>
          </w:p>
          <w:p w14:paraId="253B9E49">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2、针对搜索范围，平台需要支持站群搜索、单独站点搜索，可自由切换站点查看对应搜索结果，提升了搜索深度与范围。</w:t>
            </w:r>
          </w:p>
          <w:p w14:paraId="60E7F0F5">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3、搜索结果需配置自定义排序、统计分析等。</w:t>
            </w:r>
          </w:p>
          <w:p w14:paraId="1647D4D9">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4、系统需要针对特定搜索结果进行二次检索，达到数据级的相关关联，为用户提供精准的智能推荐。</w:t>
            </w:r>
          </w:p>
        </w:tc>
      </w:tr>
      <w:tr w14:paraId="5FB3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47642D96">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tcBorders>
              <w:left w:val="single" w:color="auto" w:sz="4" w:space="0"/>
              <w:right w:val="single" w:color="auto" w:sz="4" w:space="0"/>
            </w:tcBorders>
            <w:noWrap w:val="0"/>
            <w:vAlign w:val="center"/>
          </w:tcPr>
          <w:p w14:paraId="26C97DA3">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站点安全升级服务</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1E182A8E">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站点安全升级服务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5F4FAA71">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1、升级页面程序：原网站中存在有风险的jQuery版本、JS框架等进行升级，并更新到最新版本</w:t>
            </w:r>
            <w:r>
              <w:rPr>
                <w:rFonts w:hint="eastAsia" w:ascii="宋体" w:hAnsi="宋体" w:eastAsia="宋体" w:cs="宋体"/>
                <w:sz w:val="24"/>
                <w:szCs w:val="24"/>
                <w:lang w:eastAsia="zh-CN"/>
              </w:rPr>
              <w:t>；</w:t>
            </w:r>
          </w:p>
          <w:p w14:paraId="548A2D35">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2、恶意文件清理：原网站上的存在恶意文件清除、木马/病毒清除、黄赌毒等链接全面检测并进行清除</w:t>
            </w:r>
            <w:r>
              <w:rPr>
                <w:rFonts w:hint="eastAsia" w:ascii="宋体" w:hAnsi="宋体" w:eastAsia="宋体" w:cs="宋体"/>
                <w:sz w:val="24"/>
                <w:szCs w:val="24"/>
                <w:lang w:eastAsia="zh-CN"/>
              </w:rPr>
              <w:t>；</w:t>
            </w:r>
          </w:p>
          <w:p w14:paraId="4A006A8B">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3、废弃代码清理：代码中废弃的注释、原站残留的额外代码语言清理</w:t>
            </w:r>
            <w:r>
              <w:rPr>
                <w:rFonts w:hint="eastAsia" w:ascii="宋体" w:hAnsi="宋体" w:eastAsia="宋体" w:cs="宋体"/>
                <w:sz w:val="24"/>
                <w:szCs w:val="24"/>
                <w:lang w:eastAsia="zh-CN"/>
              </w:rPr>
              <w:t>；</w:t>
            </w:r>
            <w:r>
              <w:rPr>
                <w:rFonts w:hint="eastAsia" w:ascii="宋体" w:hAnsi="宋体" w:eastAsia="宋体" w:cs="宋体"/>
                <w:sz w:val="24"/>
                <w:szCs w:val="24"/>
              </w:rPr>
              <w:t>4、死链检测：原网站中的模板死链检测与清理、文章中死链出具扫描清单</w:t>
            </w:r>
            <w:r>
              <w:rPr>
                <w:rFonts w:hint="eastAsia" w:ascii="宋体" w:hAnsi="宋体" w:eastAsia="宋体" w:cs="宋体"/>
                <w:sz w:val="24"/>
                <w:szCs w:val="24"/>
                <w:lang w:eastAsia="zh-CN"/>
              </w:rPr>
              <w:t>；</w:t>
            </w:r>
          </w:p>
          <w:p w14:paraId="119AEA44">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5、上线检查：人工全站测试、主站及新闻网的浏览器兼容性测试、上线前安全检查</w:t>
            </w:r>
            <w:r>
              <w:rPr>
                <w:rFonts w:hint="eastAsia" w:ascii="宋体" w:hAnsi="宋体" w:eastAsia="宋体" w:cs="宋体"/>
                <w:sz w:val="24"/>
                <w:szCs w:val="24"/>
                <w:lang w:eastAsia="zh-CN"/>
              </w:rPr>
              <w:t>；</w:t>
            </w:r>
          </w:p>
          <w:p w14:paraId="2431E7CB">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6、网站置灰调试与处置：预先调试、检查并处置不规范的框架、JS、CSS等，确保网站应急置灰时有效</w:t>
            </w:r>
            <w:r>
              <w:rPr>
                <w:rFonts w:hint="eastAsia" w:ascii="宋体" w:hAnsi="宋体" w:eastAsia="宋体" w:cs="宋体"/>
                <w:sz w:val="24"/>
                <w:szCs w:val="24"/>
                <w:lang w:eastAsia="zh-CN"/>
              </w:rPr>
              <w:t>；</w:t>
            </w:r>
          </w:p>
          <w:p w14:paraId="6DB4AF29">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7、原有网站的开发与定制功能</w:t>
            </w:r>
            <w:r>
              <w:rPr>
                <w:rFonts w:hint="eastAsia" w:ascii="宋体" w:hAnsi="宋体" w:eastAsia="宋体" w:cs="宋体"/>
                <w:sz w:val="24"/>
                <w:szCs w:val="24"/>
                <w:lang w:eastAsia="zh-CN"/>
              </w:rPr>
              <w:t>安全检查</w:t>
            </w:r>
            <w:r>
              <w:rPr>
                <w:rFonts w:hint="eastAsia" w:ascii="宋体" w:hAnsi="宋体" w:eastAsia="宋体" w:cs="宋体"/>
                <w:sz w:val="24"/>
                <w:szCs w:val="24"/>
              </w:rPr>
              <w:t>与加固</w:t>
            </w:r>
            <w:r>
              <w:rPr>
                <w:rFonts w:hint="eastAsia" w:ascii="宋体" w:hAnsi="宋体" w:eastAsia="宋体" w:cs="宋体"/>
                <w:sz w:val="24"/>
                <w:szCs w:val="24"/>
                <w:lang w:eastAsia="zh-CN"/>
              </w:rPr>
              <w:t>。</w:t>
            </w:r>
          </w:p>
        </w:tc>
      </w:tr>
      <w:tr w14:paraId="6D0F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53EA5EFC">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tcBorders>
              <w:left w:val="single" w:color="auto" w:sz="4" w:space="0"/>
              <w:right w:val="single" w:color="auto" w:sz="4" w:space="0"/>
            </w:tcBorders>
            <w:noWrap w:val="0"/>
            <w:vAlign w:val="center"/>
          </w:tcPr>
          <w:p w14:paraId="1DBE8709">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内容安全服务</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1DF09006">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预检服务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7D384180">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通过云端集成的方式将在线预检能力集成到</w:t>
            </w:r>
            <w:r>
              <w:rPr>
                <w:rFonts w:hint="eastAsia" w:ascii="宋体" w:hAnsi="宋体" w:eastAsia="宋体" w:cs="宋体"/>
                <w:sz w:val="24"/>
                <w:szCs w:val="24"/>
                <w:lang w:val="en-US" w:eastAsia="zh-CN"/>
              </w:rPr>
              <w:t>采购人当前网站群内</w:t>
            </w:r>
            <w:r>
              <w:rPr>
                <w:rFonts w:hint="eastAsia" w:ascii="宋体" w:hAnsi="宋体" w:eastAsia="宋体" w:cs="宋体"/>
                <w:sz w:val="24"/>
                <w:szCs w:val="24"/>
              </w:rPr>
              <w:t>，无需二次登录，检测方便快捷，在站群编辑器编辑文章时可直接使用，调用云端词库，具备AI词库深度学习及检测能力。</w:t>
            </w:r>
          </w:p>
          <w:p w14:paraId="54E2859C">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1.提供SaaS化的产品服务3年，进行发布内容事前在线检测，从发布源头管控高校内容安全。</w:t>
            </w:r>
          </w:p>
          <w:p w14:paraId="0C6E1507">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2.要求无缝集成到网站群系统和提供云端账号两种登录形式。</w:t>
            </w:r>
          </w:p>
          <w:p w14:paraId="7033C2B7">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3.系统支持网站、新媒体（微信公众号等）发布内容的预检，检测方式为文本检测和网址检测。</w:t>
            </w:r>
          </w:p>
          <w:p w14:paraId="02FD0E35">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4.支持检测某个网页的文章内容，将网页URL链接粘贴到系统中进行一键检测，可编辑文章内容。</w:t>
            </w:r>
          </w:p>
          <w:p w14:paraId="29654926">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5.需要具备文本检测：支持对将待发布的文本内容粘贴复制到系统内一键检测。</w:t>
            </w:r>
          </w:p>
          <w:p w14:paraId="105056AC">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6.需要具备网址检测：支持对网站、微信、微博等地址链接复制到系统内直接检测。</w:t>
            </w:r>
          </w:p>
          <w:p w14:paraId="5F8FE138">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7.支持将文本内容复制粘贴到内容安全检测的文本框中，然后进行一键检测，同时支持文本格式的编辑，将修改好的内容可以一键复制。</w:t>
            </w:r>
          </w:p>
          <w:p w14:paraId="5A6043FE">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8.系统在性能方面，需支持错敏信息检测的性能不低于1000字/秒。</w:t>
            </w:r>
          </w:p>
          <w:p w14:paraId="79B295F5">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9.支持对检测出来的敏感词内容进行高亮显示及定位功能，提醒编辑人员快速修改。</w:t>
            </w:r>
          </w:p>
          <w:p w14:paraId="4A50A00C">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10.支持文本格式的编辑，将修改好的内容可以一键复制。</w:t>
            </w:r>
          </w:p>
          <w:p w14:paraId="4087F184">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11.网站内容预检需要采用正向查错与反向查错技术相融合的敏感词自动机模式，增强审核功能。</w:t>
            </w:r>
          </w:p>
          <w:p w14:paraId="58816C51">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12.本次项目需要采用现代自然语言处理分析技术和敏感词、错别字库相结合的方法，检测内容中存在的错别字、敏感信息。</w:t>
            </w:r>
          </w:p>
          <w:p w14:paraId="6E8C782A">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13.敏感词检测：恐暴违禁、恶意宣传、文本色情、政治敏感、低俗辱骂、敏感人物等。</w:t>
            </w:r>
          </w:p>
          <w:p w14:paraId="4F5CD248">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14.异常链接检：应能预检内容当中所有的相关外链信息，对可能存在的博彩、色情、广告等非法内容和链接进行智能检测和识别。</w:t>
            </w:r>
          </w:p>
          <w:p w14:paraId="691B0BF0">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15.疑似隐私信息检测：身份证、电话等。</w:t>
            </w:r>
          </w:p>
          <w:p w14:paraId="0ADA2AB8">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16.支持文本检测保持原文格式输出，且支持原文格式复制输出。</w:t>
            </w:r>
          </w:p>
          <w:p w14:paraId="68FFA95A">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17.重大表述问题检测：国家领导及其重点思想、国家政策方针、党及民族等意识形态类问题。</w:t>
            </w:r>
          </w:p>
          <w:p w14:paraId="27EEF398">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18.基础词库：官方主流媒体如新华社、人民网、人民日报等，包含主流媒体的新闻稿、禁用词、规范用语、慎用词等各类宣传工作权威书籍，如《宣传工作常用规范表述300例》、其他杂志文章，权威知识库等</w:t>
            </w:r>
          </w:p>
          <w:p w14:paraId="0ED4FA17">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19.独家词库：高校专属词库，包括教育部和各省教育厅、网信办要求高校自查自纠的词库，高校内部整改的词库，以及其它高校被通报的词库收集</w:t>
            </w:r>
          </w:p>
          <w:p w14:paraId="1AB405DA">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20. 词库AI能力：运用最新的NLP技术对重点词汇进行深度学习和扩展，检测能力需强大、全面。</w:t>
            </w:r>
          </w:p>
          <w:p w14:paraId="52B002B5">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trike w:val="0"/>
                <w:dstrike w:val="0"/>
                <w:sz w:val="24"/>
                <w:szCs w:val="24"/>
              </w:rPr>
            </w:pPr>
            <w:r>
              <w:rPr>
                <w:rFonts w:hint="eastAsia" w:ascii="宋体" w:hAnsi="宋体" w:eastAsia="宋体" w:cs="宋体"/>
                <w:strike w:val="0"/>
                <w:dstrike w:val="0"/>
                <w:sz w:val="24"/>
                <w:szCs w:val="24"/>
              </w:rPr>
              <w:t>21. 提供7天×24小时×365天的电话支持服务，包括节假日，非工作时间均可通过电话进行各类常见问题疑难解答，问题咨询，产品使用指导等。</w:t>
            </w:r>
          </w:p>
          <w:p w14:paraId="5AD01E66">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cs="宋体"/>
                <w:sz w:val="24"/>
                <w:szCs w:val="24"/>
                <w:lang w:val="en-US" w:eastAsia="zh-CN"/>
              </w:rPr>
              <w:t>22.</w:t>
            </w:r>
            <w:r>
              <w:rPr>
                <w:rFonts w:hint="eastAsia" w:ascii="宋体" w:hAnsi="宋体" w:eastAsia="宋体" w:cs="宋体"/>
                <w:sz w:val="24"/>
                <w:szCs w:val="24"/>
              </w:rPr>
              <w:t>要求无缝对接学校现有网站群系统，无需二次登录，实现直接在网站群系统编辑器中检测使用。</w:t>
            </w:r>
          </w:p>
        </w:tc>
      </w:tr>
      <w:tr w14:paraId="1152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14BFDF8E">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tcBorders>
              <w:left w:val="single" w:color="auto" w:sz="4" w:space="0"/>
              <w:right w:val="single" w:color="auto" w:sz="4" w:space="0"/>
            </w:tcBorders>
            <w:noWrap w:val="0"/>
            <w:vAlign w:val="center"/>
          </w:tcPr>
          <w:p w14:paraId="0C082516">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Times New Roman"/>
                <w:sz w:val="24"/>
                <w:szCs w:val="24"/>
              </w:rPr>
              <w:t>网站设计</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7BD3EB32">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Times New Roman"/>
                <w:sz w:val="24"/>
                <w:szCs w:val="24"/>
              </w:rPr>
              <w:t>子网站定制设计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3F0D8199">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ascii="宋体" w:hAnsi="宋体" w:eastAsia="宋体" w:cs="宋体"/>
                <w:sz w:val="24"/>
                <w:szCs w:val="24"/>
              </w:rPr>
            </w:pPr>
            <w:r>
              <w:rPr>
                <w:rFonts w:hint="eastAsia" w:ascii="宋体" w:hAnsi="宋体" w:eastAsia="宋体" w:cs="宋体"/>
                <w:sz w:val="24"/>
                <w:szCs w:val="24"/>
              </w:rPr>
              <w:t>对15个子站进行定制设计，提升子站美观度。</w:t>
            </w:r>
          </w:p>
          <w:p w14:paraId="1CF1A3A7">
            <w:pPr>
              <w:keepNext w:val="0"/>
              <w:keepLines w:val="0"/>
              <w:pageBreakBefore w:val="0"/>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网站定制设计实施，新建或改版15个PC及手机网站建设，根据需求重新设计网站样式，网站建设好后同时满足PC及移动端访问需求。通过结合各个部门不同需求提供网站设计服务，最大程度满足学校各个二级单位网站设计展示需求，实现前端展示效果可以根据电脑端、手机端、不同尺寸和不同应用环境，自动调整界面布局、展示内容、内容大小，提供良好视觉展示效果，一致性友好体验。</w:t>
            </w:r>
          </w:p>
        </w:tc>
      </w:tr>
      <w:tr w14:paraId="2DCD8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739108FF">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restart"/>
            <w:tcBorders>
              <w:left w:val="single" w:color="auto" w:sz="4" w:space="0"/>
              <w:right w:val="single" w:color="auto" w:sz="4" w:space="0"/>
            </w:tcBorders>
            <w:noWrap w:val="0"/>
            <w:vAlign w:val="center"/>
          </w:tcPr>
          <w:p w14:paraId="0D7E5FB9">
            <w:pPr>
              <w:widowControl/>
              <w:spacing w:line="360" w:lineRule="auto"/>
              <w:ind w:firstLine="0" w:firstLineChars="0"/>
              <w:jc w:val="both"/>
              <w:rPr>
                <w:rFonts w:hint="eastAsia" w:ascii="宋体" w:hAnsi="宋体" w:eastAsia="宋体" w:cs="Times New Roman"/>
                <w:sz w:val="24"/>
                <w:szCs w:val="24"/>
              </w:rPr>
            </w:pPr>
            <w:r>
              <w:rPr>
                <w:rFonts w:hint="eastAsia" w:ascii="宋体" w:hAnsi="宋体" w:eastAsia="宋体" w:cs="Times New Roman"/>
                <w:sz w:val="24"/>
                <w:szCs w:val="24"/>
              </w:rPr>
              <w:t>维保服务</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7C42A5A3">
            <w:pPr>
              <w:widowControl/>
              <w:spacing w:line="360" w:lineRule="auto"/>
              <w:ind w:firstLine="0" w:firstLineChars="0"/>
              <w:jc w:val="both"/>
              <w:rPr>
                <w:rFonts w:hint="eastAsia" w:ascii="宋体" w:hAnsi="宋体" w:eastAsia="宋体" w:cs="Times New Roman"/>
                <w:sz w:val="24"/>
                <w:szCs w:val="24"/>
              </w:rPr>
            </w:pPr>
            <w:r>
              <w:rPr>
                <w:rFonts w:hint="eastAsia" w:ascii="宋体" w:hAnsi="宋体" w:eastAsia="宋体" w:cs="宋体"/>
                <w:kern w:val="0"/>
                <w:sz w:val="24"/>
                <w:szCs w:val="24"/>
              </w:rPr>
              <w:t>三年维保服务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27580E1A">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绿色通道</w:t>
            </w:r>
          </w:p>
          <w:p w14:paraId="1AA926D3">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按照服务标准，为</w:t>
            </w:r>
            <w:r>
              <w:rPr>
                <w:rFonts w:hint="eastAsia" w:ascii="宋体" w:hAnsi="宋体" w:eastAsia="宋体" w:cs="Times New Roman"/>
                <w:sz w:val="24"/>
                <w:szCs w:val="24"/>
                <w:lang w:val="en-US" w:eastAsia="zh-CN"/>
              </w:rPr>
              <w:t>采购人</w:t>
            </w:r>
            <w:r>
              <w:rPr>
                <w:rFonts w:hint="eastAsia" w:ascii="宋体" w:hAnsi="宋体" w:eastAsia="宋体" w:cs="Times New Roman"/>
                <w:sz w:val="24"/>
                <w:szCs w:val="24"/>
              </w:rPr>
              <w:t>提供绿色通道快速响应。</w:t>
            </w:r>
          </w:p>
          <w:p w14:paraId="6C67666C">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7*24小时技术支持服务</w:t>
            </w:r>
          </w:p>
          <w:p w14:paraId="2A41367F">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为学校提供7天×24小时电话支持服务，包括节假日，非工作时间均可通过电话进行各类常见问题疑难解答，问题咨询，产品使用指导等。</w:t>
            </w:r>
          </w:p>
          <w:p w14:paraId="04D92180">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线上公开学习资料专享服务</w:t>
            </w:r>
          </w:p>
          <w:p w14:paraId="6A9F0631">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为学校提供公开电子技术支持，如小程序上的站点维护电子资料，在线公开课培训等。</w:t>
            </w:r>
          </w:p>
          <w:p w14:paraId="0F157F62">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产品bug修改</w:t>
            </w:r>
          </w:p>
          <w:p w14:paraId="56AD250A">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支持对产品bug进行修复。</w:t>
            </w:r>
          </w:p>
          <w:p w14:paraId="119A4BFC">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远程操作支持服务</w:t>
            </w:r>
            <w:r>
              <w:rPr>
                <w:rFonts w:hint="eastAsia" w:ascii="宋体" w:hAnsi="宋体" w:eastAsia="宋体" w:cs="宋体"/>
                <w:kern w:val="0"/>
                <w:sz w:val="24"/>
                <w:szCs w:val="24"/>
              </w:rPr>
              <w:tab/>
            </w:r>
          </w:p>
          <w:p w14:paraId="666FC505">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要求包含当进行疑难问题解答，问题咨询等服务时，</w:t>
            </w:r>
            <w:r>
              <w:rPr>
                <w:rFonts w:hint="eastAsia" w:ascii="宋体" w:hAnsi="宋体" w:eastAsia="宋体" w:cs="宋体"/>
                <w:kern w:val="0"/>
                <w:sz w:val="24"/>
                <w:szCs w:val="24"/>
                <w:lang w:val="en-US" w:eastAsia="zh-CN"/>
              </w:rPr>
              <w:t>供应商</w:t>
            </w:r>
            <w:r>
              <w:rPr>
                <w:rFonts w:hint="eastAsia" w:ascii="宋体" w:hAnsi="宋体" w:eastAsia="宋体" w:cs="宋体"/>
                <w:kern w:val="0"/>
                <w:sz w:val="24"/>
                <w:szCs w:val="24"/>
              </w:rPr>
              <w:t>通过线上远程软件进行辅助，对学校进行一对一操作解答服务。</w:t>
            </w:r>
          </w:p>
          <w:p w14:paraId="1036747B">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网站</w:t>
            </w:r>
            <w:r>
              <w:rPr>
                <w:rFonts w:hint="eastAsia" w:ascii="宋体" w:hAnsi="宋体" w:eastAsia="宋体" w:cs="宋体"/>
                <w:kern w:val="0"/>
                <w:sz w:val="24"/>
                <w:szCs w:val="24"/>
              </w:rPr>
              <w:t>实施BUG</w:t>
            </w:r>
            <w:r>
              <w:rPr>
                <w:rFonts w:hint="eastAsia" w:ascii="宋体" w:hAnsi="宋体" w:eastAsia="宋体" w:cs="Times New Roman"/>
                <w:sz w:val="24"/>
                <w:szCs w:val="24"/>
              </w:rPr>
              <w:t>修改</w:t>
            </w:r>
          </w:p>
          <w:p w14:paraId="1A0F5FD4">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要求对</w:t>
            </w:r>
            <w:r>
              <w:rPr>
                <w:rFonts w:hint="eastAsia" w:ascii="宋体" w:hAnsi="宋体" w:eastAsia="宋体" w:cs="Times New Roman"/>
                <w:sz w:val="24"/>
                <w:szCs w:val="24"/>
                <w:lang w:val="en-US" w:eastAsia="zh-CN"/>
              </w:rPr>
              <w:t>采购人</w:t>
            </w:r>
            <w:r>
              <w:rPr>
                <w:rFonts w:hint="eastAsia" w:ascii="宋体" w:hAnsi="宋体" w:eastAsia="宋体" w:cs="Times New Roman"/>
                <w:sz w:val="24"/>
                <w:szCs w:val="24"/>
              </w:rPr>
              <w:t>已交付上线使用的</w:t>
            </w:r>
            <w:r>
              <w:rPr>
                <w:rFonts w:hint="eastAsia" w:ascii="宋体" w:hAnsi="宋体" w:eastAsia="宋体" w:cs="宋体"/>
                <w:kern w:val="0"/>
                <w:sz w:val="24"/>
                <w:szCs w:val="24"/>
              </w:rPr>
              <w:t>网站</w:t>
            </w:r>
            <w:r>
              <w:rPr>
                <w:rFonts w:hint="eastAsia" w:ascii="宋体" w:hAnsi="宋体" w:eastAsia="宋体" w:cs="Times New Roman"/>
                <w:sz w:val="24"/>
                <w:szCs w:val="24"/>
              </w:rPr>
              <w:t>bug进行修复。</w:t>
            </w:r>
          </w:p>
          <w:p w14:paraId="47CEAAAB">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平台故障诊断</w:t>
            </w:r>
          </w:p>
          <w:p w14:paraId="788D16ED">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当系统出现故障无法使用时，由工程师介入诊断问题点，并提出修复方案。</w:t>
            </w:r>
          </w:p>
          <w:p w14:paraId="5FC03627">
            <w:pPr>
              <w:keepNext w:val="0"/>
              <w:keepLines w:val="0"/>
              <w:pageBreakBefore w:val="0"/>
              <w:widowControl/>
              <w:numPr>
                <w:ilvl w:val="0"/>
                <w:numId w:val="17"/>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平台故障修复</w:t>
            </w:r>
            <w:r>
              <w:rPr>
                <w:rFonts w:hint="eastAsia" w:ascii="宋体" w:hAnsi="宋体" w:eastAsia="宋体" w:cs="宋体"/>
                <w:kern w:val="0"/>
                <w:sz w:val="24"/>
                <w:szCs w:val="24"/>
              </w:rPr>
              <w:tab/>
            </w:r>
          </w:p>
          <w:p w14:paraId="0D1F8CAE">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对</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平台在运行过程中出现的故障进行修复服务，确保平台稳定，正常运维。</w:t>
            </w:r>
          </w:p>
        </w:tc>
      </w:tr>
      <w:tr w14:paraId="38119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6F086AAE">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1D79F44B">
            <w:pPr>
              <w:widowControl/>
              <w:spacing w:line="360" w:lineRule="auto"/>
              <w:ind w:firstLine="0" w:firstLineChars="0"/>
              <w:jc w:val="both"/>
              <w:rPr>
                <w:rFonts w:hint="eastAsia" w:ascii="宋体" w:hAnsi="宋体" w:eastAsia="宋体" w:cs="Times New Roman"/>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1530CFEC">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安全保障服务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72FF5783">
            <w:pPr>
              <w:keepNext w:val="0"/>
              <w:keepLines w:val="0"/>
              <w:pageBreakBefore w:val="0"/>
              <w:widowControl/>
              <w:numPr>
                <w:ilvl w:val="0"/>
                <w:numId w:val="18"/>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安全漏洞修复</w:t>
            </w:r>
          </w:p>
          <w:p w14:paraId="10E430E7">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非学校环境因素的情况下，要求可以对安全厂商、上级部门的漏扫报告进行一对一资深技术分析、处理，并提供书面的正式处理回复报告。</w:t>
            </w:r>
          </w:p>
          <w:p w14:paraId="469429AD">
            <w:pPr>
              <w:keepNext w:val="0"/>
              <w:keepLines w:val="0"/>
              <w:pageBreakBefore w:val="0"/>
              <w:widowControl/>
              <w:numPr>
                <w:ilvl w:val="0"/>
                <w:numId w:val="18"/>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数据安全服务</w:t>
            </w:r>
            <w:r>
              <w:rPr>
                <w:rFonts w:hint="eastAsia" w:ascii="宋体" w:hAnsi="宋体" w:eastAsia="宋体" w:cs="宋体"/>
                <w:kern w:val="0"/>
                <w:sz w:val="24"/>
                <w:szCs w:val="24"/>
              </w:rPr>
              <w:tab/>
            </w:r>
          </w:p>
          <w:p w14:paraId="061E0C64">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当数据意外损坏或丢失，工程师可使用现存的数据备份进行技术恢复，保证损失最小化。</w:t>
            </w:r>
          </w:p>
          <w:p w14:paraId="40A35BAC">
            <w:pPr>
              <w:keepNext w:val="0"/>
              <w:keepLines w:val="0"/>
              <w:pageBreakBefore w:val="0"/>
              <w:widowControl/>
              <w:numPr>
                <w:ilvl w:val="0"/>
                <w:numId w:val="18"/>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站群等保整改</w:t>
            </w:r>
          </w:p>
          <w:p w14:paraId="32FD7024">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非学校环境因素的情况下，要求可为</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提供技术支持，协助完成等保评测过程中涉及到站群功能整改、中间件及数据库配置等工作。</w:t>
            </w:r>
          </w:p>
          <w:p w14:paraId="0DD99378">
            <w:pPr>
              <w:keepNext w:val="0"/>
              <w:keepLines w:val="0"/>
              <w:pageBreakBefore w:val="0"/>
              <w:widowControl/>
              <w:numPr>
                <w:ilvl w:val="0"/>
                <w:numId w:val="18"/>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攻防演练方案支持</w:t>
            </w:r>
            <w:r>
              <w:rPr>
                <w:rFonts w:hint="eastAsia" w:ascii="宋体" w:hAnsi="宋体" w:eastAsia="宋体" w:cs="宋体"/>
                <w:kern w:val="0"/>
                <w:sz w:val="24"/>
                <w:szCs w:val="24"/>
              </w:rPr>
              <w:tab/>
            </w:r>
          </w:p>
          <w:p w14:paraId="342D5305">
            <w:pPr>
              <w:keepNext w:val="0"/>
              <w:keepLines w:val="0"/>
              <w:pageBreakBefore w:val="0"/>
              <w:widowControl/>
              <w:numPr>
                <w:ilvl w:val="0"/>
                <w:numId w:val="18"/>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要求可以为</w:t>
            </w:r>
            <w:r>
              <w:rPr>
                <w:rFonts w:hint="eastAsia" w:ascii="宋体" w:hAnsi="宋体" w:cs="宋体"/>
                <w:kern w:val="0"/>
                <w:sz w:val="24"/>
                <w:szCs w:val="24"/>
                <w:lang w:val="en-US" w:eastAsia="zh-CN"/>
              </w:rPr>
              <w:t>采购人</w:t>
            </w:r>
            <w:r>
              <w:rPr>
                <w:rFonts w:hint="eastAsia" w:ascii="宋体" w:hAnsi="宋体" w:eastAsia="宋体" w:cs="宋体"/>
                <w:kern w:val="0"/>
                <w:sz w:val="24"/>
                <w:szCs w:val="24"/>
              </w:rPr>
              <w:t>在攻防演练中提供方案。</w:t>
            </w:r>
          </w:p>
        </w:tc>
      </w:tr>
      <w:tr w14:paraId="539E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485E4557">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28222EAA">
            <w:pPr>
              <w:widowControl/>
              <w:spacing w:line="360" w:lineRule="auto"/>
              <w:ind w:firstLine="0" w:firstLineChars="0"/>
              <w:jc w:val="both"/>
              <w:rPr>
                <w:rFonts w:hint="eastAsia" w:ascii="宋体" w:hAnsi="宋体" w:eastAsia="宋体" w:cs="Times New Roman"/>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6A9D7382">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针对信息中心的网站实施设计服务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0E841AAA">
            <w:pPr>
              <w:keepNext w:val="0"/>
              <w:keepLines w:val="0"/>
              <w:pageBreakBefore w:val="0"/>
              <w:widowControl/>
              <w:numPr>
                <w:ilvl w:val="0"/>
                <w:numId w:val="19"/>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页面兼容性优化</w:t>
            </w:r>
          </w:p>
          <w:p w14:paraId="7E6AD74B">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当页面出现变形等视觉差异问题时，能够确保页面在主流浏览器版本下正常显示。</w:t>
            </w:r>
          </w:p>
          <w:p w14:paraId="567BEF30">
            <w:pPr>
              <w:keepNext w:val="0"/>
              <w:keepLines w:val="0"/>
              <w:pageBreakBefore w:val="0"/>
              <w:widowControl/>
              <w:numPr>
                <w:ilvl w:val="0"/>
                <w:numId w:val="19"/>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栏目调整服务</w:t>
            </w:r>
            <w:r>
              <w:rPr>
                <w:rFonts w:hint="eastAsia" w:ascii="宋体" w:hAnsi="宋体" w:eastAsia="宋体" w:cs="宋体"/>
                <w:kern w:val="0"/>
                <w:sz w:val="24"/>
                <w:szCs w:val="24"/>
              </w:rPr>
              <w:tab/>
            </w:r>
          </w:p>
          <w:p w14:paraId="4B3E08C3">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根据</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要求对网站栏目框架进行微调。</w:t>
            </w:r>
          </w:p>
          <w:p w14:paraId="2C0691EB">
            <w:pPr>
              <w:keepNext w:val="0"/>
              <w:keepLines w:val="0"/>
              <w:pageBreakBefore w:val="0"/>
              <w:widowControl/>
              <w:numPr>
                <w:ilvl w:val="0"/>
                <w:numId w:val="19"/>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校领导简介页维护</w:t>
            </w:r>
            <w:r>
              <w:rPr>
                <w:rFonts w:hint="eastAsia" w:ascii="宋体" w:hAnsi="宋体" w:eastAsia="宋体" w:cs="宋体"/>
                <w:kern w:val="0"/>
                <w:sz w:val="24"/>
                <w:szCs w:val="24"/>
              </w:rPr>
              <w:tab/>
            </w:r>
          </w:p>
          <w:p w14:paraId="416F0791">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对校领导等重要页面进行协助维护服务，包括文章格式调整等服务。</w:t>
            </w:r>
          </w:p>
          <w:p w14:paraId="4A0A256F">
            <w:pPr>
              <w:keepNext w:val="0"/>
              <w:keepLines w:val="0"/>
              <w:pageBreakBefore w:val="0"/>
              <w:widowControl/>
              <w:numPr>
                <w:ilvl w:val="0"/>
                <w:numId w:val="19"/>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模板调整</w:t>
            </w:r>
            <w:r>
              <w:rPr>
                <w:rFonts w:hint="eastAsia" w:ascii="宋体" w:hAnsi="宋体" w:eastAsia="宋体" w:cs="宋体"/>
                <w:kern w:val="0"/>
                <w:sz w:val="24"/>
                <w:szCs w:val="24"/>
              </w:rPr>
              <w:tab/>
            </w:r>
          </w:p>
          <w:p w14:paraId="66ED9633">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在节假日，学校活动日等，对</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网站页面进行微调服务，在链接、备案信息发生变化时支持进行网站页面处理。</w:t>
            </w:r>
          </w:p>
          <w:p w14:paraId="320DF0E3">
            <w:pPr>
              <w:keepNext w:val="0"/>
              <w:keepLines w:val="0"/>
              <w:pageBreakBefore w:val="0"/>
              <w:widowControl/>
              <w:numPr>
                <w:ilvl w:val="0"/>
                <w:numId w:val="19"/>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装饰图片制作服务</w:t>
            </w:r>
          </w:p>
          <w:p w14:paraId="5047B9C0">
            <w:pPr>
              <w:keepNext w:val="0"/>
              <w:keepLines w:val="0"/>
              <w:pageBreakBefore w:val="0"/>
              <w:widowControl/>
              <w:numPr>
                <w:ilvl w:val="0"/>
                <w:numId w:val="19"/>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支持为</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制作网站日常使用的装饰图片10张（不含</w:t>
            </w:r>
            <w:r>
              <w:rPr>
                <w:rFonts w:hint="eastAsia" w:ascii="宋体" w:hAnsi="宋体" w:eastAsia="宋体" w:cs="宋体"/>
                <w:kern w:val="0"/>
                <w:sz w:val="24"/>
                <w:szCs w:val="24"/>
                <w:lang w:eastAsia="zh-CN"/>
              </w:rPr>
              <w:t>banner</w:t>
            </w:r>
            <w:r>
              <w:rPr>
                <w:rFonts w:hint="eastAsia" w:ascii="宋体" w:hAnsi="宋体" w:eastAsia="宋体" w:cs="宋体"/>
                <w:kern w:val="0"/>
                <w:sz w:val="24"/>
                <w:szCs w:val="24"/>
              </w:rPr>
              <w:t>等设计类图片）。</w:t>
            </w:r>
          </w:p>
        </w:tc>
      </w:tr>
      <w:tr w14:paraId="23CD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33A2CAAC">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44A53FB8">
            <w:pPr>
              <w:widowControl/>
              <w:spacing w:line="360" w:lineRule="auto"/>
              <w:ind w:firstLine="0" w:firstLineChars="0"/>
              <w:jc w:val="both"/>
              <w:rPr>
                <w:rFonts w:hint="eastAsia" w:ascii="宋体" w:hAnsi="宋体" w:eastAsia="宋体" w:cs="Times New Roman"/>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39B904F4">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例行检查服务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47FAEDAA">
            <w:pPr>
              <w:keepNext w:val="0"/>
              <w:keepLines w:val="0"/>
              <w:pageBreakBefore w:val="0"/>
              <w:widowControl/>
              <w:numPr>
                <w:ilvl w:val="0"/>
                <w:numId w:val="20"/>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安全补丁更新服务</w:t>
            </w:r>
            <w:r>
              <w:rPr>
                <w:rFonts w:hint="eastAsia" w:ascii="宋体" w:hAnsi="宋体" w:eastAsia="宋体" w:cs="宋体"/>
                <w:kern w:val="0"/>
                <w:sz w:val="24"/>
                <w:szCs w:val="24"/>
              </w:rPr>
              <w:tab/>
            </w:r>
          </w:p>
          <w:p w14:paraId="00A80B81">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更新</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网站群相关的安全补丁，同时对平台基础软件Apache、tomcat及postgresql进行配置优化及版本内升级，检查历史安全补丁是否有遗漏，确保系统安全性。</w:t>
            </w:r>
          </w:p>
          <w:p w14:paraId="12C7E7D3">
            <w:pPr>
              <w:keepNext w:val="0"/>
              <w:keepLines w:val="0"/>
              <w:pageBreakBefore w:val="0"/>
              <w:widowControl/>
              <w:numPr>
                <w:ilvl w:val="0"/>
                <w:numId w:val="20"/>
              </w:numPr>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主站可用性监测</w:t>
            </w:r>
          </w:p>
          <w:p w14:paraId="4365B204">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为</w:t>
            </w:r>
            <w:r>
              <w:rPr>
                <w:rFonts w:hint="eastAsia" w:ascii="宋体" w:hAnsi="宋体" w:eastAsia="宋体" w:cs="Times New Roman"/>
                <w:sz w:val="24"/>
                <w:szCs w:val="24"/>
                <w:lang w:val="en-US" w:eastAsia="zh-CN"/>
              </w:rPr>
              <w:t>采购人</w:t>
            </w:r>
            <w:r>
              <w:rPr>
                <w:rFonts w:hint="eastAsia" w:ascii="宋体" w:hAnsi="宋体" w:eastAsia="宋体" w:cs="Times New Roman"/>
                <w:sz w:val="24"/>
                <w:szCs w:val="24"/>
              </w:rPr>
              <w:t>开通主站可用性监测功能，可以通过服务小程序查看学校主站连通性。</w:t>
            </w:r>
          </w:p>
          <w:p w14:paraId="3346DF01">
            <w:pPr>
              <w:keepNext w:val="0"/>
              <w:keepLines w:val="0"/>
              <w:pageBreakBefore w:val="0"/>
              <w:widowControl/>
              <w:numPr>
                <w:ilvl w:val="0"/>
                <w:numId w:val="20"/>
              </w:numPr>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网站SSL证书监测服务</w:t>
            </w:r>
          </w:p>
          <w:p w14:paraId="2DD14589">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对</w:t>
            </w:r>
            <w:r>
              <w:rPr>
                <w:rFonts w:hint="eastAsia" w:ascii="宋体" w:hAnsi="宋体" w:eastAsia="宋体" w:cs="Times New Roman"/>
                <w:sz w:val="24"/>
                <w:szCs w:val="24"/>
                <w:lang w:val="en-US" w:eastAsia="zh-CN"/>
              </w:rPr>
              <w:t>采购人</w:t>
            </w:r>
            <w:r>
              <w:rPr>
                <w:rFonts w:hint="eastAsia" w:ascii="宋体" w:hAnsi="宋体" w:eastAsia="宋体" w:cs="Times New Roman"/>
                <w:sz w:val="24"/>
                <w:szCs w:val="24"/>
              </w:rPr>
              <w:t>网站SSL证书有效期进行监测，支持提前1个月预警。</w:t>
            </w:r>
          </w:p>
          <w:p w14:paraId="29C70B3E">
            <w:pPr>
              <w:keepNext w:val="0"/>
              <w:keepLines w:val="0"/>
              <w:pageBreakBefore w:val="0"/>
              <w:widowControl/>
              <w:numPr>
                <w:ilvl w:val="0"/>
                <w:numId w:val="20"/>
              </w:numPr>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每周</w:t>
            </w:r>
            <w:r>
              <w:rPr>
                <w:rFonts w:hint="eastAsia" w:ascii="宋体" w:hAnsi="宋体" w:eastAsia="宋体" w:cs="宋体"/>
                <w:kern w:val="0"/>
                <w:sz w:val="24"/>
                <w:szCs w:val="24"/>
              </w:rPr>
              <w:t>诊断</w:t>
            </w:r>
          </w:p>
          <w:p w14:paraId="2C460095">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rPr>
              <w:t>实时监控</w:t>
            </w:r>
            <w:r>
              <w:rPr>
                <w:rFonts w:hint="eastAsia" w:ascii="宋体" w:hAnsi="宋体" w:eastAsia="宋体" w:cs="Times New Roman"/>
                <w:sz w:val="24"/>
                <w:szCs w:val="24"/>
                <w:lang w:val="en-US" w:eastAsia="zh-CN"/>
              </w:rPr>
              <w:t>采购人</w:t>
            </w:r>
            <w:r>
              <w:rPr>
                <w:rFonts w:hint="eastAsia" w:ascii="宋体" w:hAnsi="宋体" w:eastAsia="宋体" w:cs="Times New Roman"/>
                <w:sz w:val="24"/>
                <w:szCs w:val="24"/>
              </w:rPr>
              <w:t>站群环境</w:t>
            </w:r>
            <w:r>
              <w:rPr>
                <w:rFonts w:hint="eastAsia" w:ascii="宋体" w:hAnsi="宋体" w:eastAsia="宋体" w:cs="宋体"/>
                <w:kern w:val="0"/>
                <w:sz w:val="24"/>
                <w:szCs w:val="24"/>
              </w:rPr>
              <w:t>健康</w:t>
            </w:r>
            <w:r>
              <w:rPr>
                <w:rFonts w:hint="eastAsia" w:ascii="宋体" w:hAnsi="宋体" w:eastAsia="宋体" w:cs="Times New Roman"/>
                <w:sz w:val="24"/>
                <w:szCs w:val="24"/>
              </w:rPr>
              <w:t>指数，每周支持由工程师进行多次诊断，并出具诊断报告。</w:t>
            </w:r>
          </w:p>
          <w:p w14:paraId="50A6738A">
            <w:pPr>
              <w:keepNext w:val="0"/>
              <w:keepLines w:val="0"/>
              <w:pageBreakBefore w:val="0"/>
              <w:widowControl/>
              <w:numPr>
                <w:ilvl w:val="0"/>
                <w:numId w:val="20"/>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人工巡检</w:t>
            </w:r>
            <w:r>
              <w:rPr>
                <w:rFonts w:ascii="宋体" w:hAnsi="宋体" w:eastAsia="宋体" w:cs="宋体"/>
                <w:kern w:val="0"/>
                <w:sz w:val="24"/>
                <w:szCs w:val="24"/>
              </w:rPr>
              <w:t>1</w:t>
            </w:r>
            <w:r>
              <w:rPr>
                <w:rFonts w:hint="eastAsia" w:ascii="宋体" w:hAnsi="宋体" w:eastAsia="宋体" w:cs="宋体"/>
                <w:kern w:val="0"/>
                <w:sz w:val="24"/>
                <w:szCs w:val="24"/>
              </w:rPr>
              <w:t>次/年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远程对网站群应用环境，进行全面检查、对操作系统资源使用情况进行分析，及时发现各项隐患，并生成巡检记录报告。</w:t>
            </w:r>
          </w:p>
        </w:tc>
      </w:tr>
      <w:tr w14:paraId="597C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1F793CDD">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336F07BC">
            <w:pPr>
              <w:widowControl/>
              <w:spacing w:line="360" w:lineRule="auto"/>
              <w:ind w:firstLine="0" w:firstLineChars="0"/>
              <w:jc w:val="both"/>
              <w:rPr>
                <w:rFonts w:hint="eastAsia" w:ascii="宋体" w:hAnsi="宋体" w:eastAsia="宋体" w:cs="Times New Roman"/>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B4E6196">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专项运维服务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63BA4FDD">
            <w:pPr>
              <w:keepNext w:val="0"/>
              <w:keepLines w:val="0"/>
              <w:pageBreakBefore w:val="0"/>
              <w:widowControl/>
              <w:numPr>
                <w:ilvl w:val="0"/>
                <w:numId w:val="21"/>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网站群运维数据检测优化1次</w:t>
            </w:r>
          </w:p>
          <w:p w14:paraId="3E8F6C5D">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进行用户账号安全性检查，检查并禁用长期未登录或简单密码的账号；</w:t>
            </w:r>
          </w:p>
          <w:p w14:paraId="68ABEEF2">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对站群系统在长期运行后产生的垃圾文件、临时目录、临时文件进行清理；</w:t>
            </w:r>
          </w:p>
          <w:p w14:paraId="6B7B26A0">
            <w:pPr>
              <w:keepNext w:val="0"/>
              <w:keepLines w:val="0"/>
              <w:pageBreakBefore w:val="0"/>
              <w:widowControl/>
              <w:numPr>
                <w:ilvl w:val="0"/>
                <w:numId w:val="21"/>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网站群运行环境检测优化1次</w:t>
            </w:r>
          </w:p>
          <w:p w14:paraId="3FF4B83A">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检查备份包完整性并重新优化系统数据备份策略；</w:t>
            </w:r>
          </w:p>
          <w:p w14:paraId="2FA3AFD7">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检查站群系统日志运行情况，并验证日志有效性，对各项日志进行人工分析，及时发现各项隐患；</w:t>
            </w:r>
          </w:p>
          <w:p w14:paraId="422C80FA">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检查网站群应用防火墙，并进行配置优化；</w:t>
            </w:r>
          </w:p>
          <w:p w14:paraId="28944724">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检查并优化站群密码管理策略；</w:t>
            </w:r>
          </w:p>
          <w:p w14:paraId="551098BC">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检查站群授权文件有效性；</w:t>
            </w:r>
          </w:p>
          <w:p w14:paraId="04F30FCE">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宋体"/>
                <w:kern w:val="0"/>
                <w:sz w:val="24"/>
                <w:szCs w:val="24"/>
              </w:rPr>
              <w:t>对站群环境进行检查并优化，网站群登录失败管理功能、数据库连接池、站群各类访问日志。</w:t>
            </w:r>
          </w:p>
          <w:p w14:paraId="366836B2">
            <w:pPr>
              <w:keepNext w:val="0"/>
              <w:keepLines w:val="0"/>
              <w:pageBreakBefore w:val="0"/>
              <w:widowControl/>
              <w:numPr>
                <w:ilvl w:val="0"/>
                <w:numId w:val="21"/>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操作系统安全加固1次</w:t>
            </w:r>
          </w:p>
          <w:p w14:paraId="4AB2A32D">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检查记录磁盘空间使用情况，并进行必要的清理；</w:t>
            </w:r>
          </w:p>
          <w:p w14:paraId="1EF3B9FA">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检查操作系统密码复杂度、系统时间、操作系统历史命令记录情况进行检查，看是否符合管理要求；</w:t>
            </w:r>
          </w:p>
          <w:p w14:paraId="75C1BD92">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进行安全性检查，对系统异常进程端口、防火墙、DNSserver设置、/etc/hosts、系统启动项、计划任务等配置进行相关检查；</w:t>
            </w:r>
          </w:p>
          <w:p w14:paraId="3B2C05E4">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宋体"/>
                <w:kern w:val="0"/>
                <w:sz w:val="24"/>
                <w:szCs w:val="24"/>
              </w:rPr>
              <w:t>进行系统性能检查，检查CPU、磁盘读写情况、内存占用情况等进行检查并进行记录、优化。</w:t>
            </w:r>
          </w:p>
          <w:p w14:paraId="7D459EE3">
            <w:pPr>
              <w:keepNext w:val="0"/>
              <w:keepLines w:val="0"/>
              <w:pageBreakBefore w:val="0"/>
              <w:widowControl/>
              <w:numPr>
                <w:ilvl w:val="0"/>
                <w:numId w:val="21"/>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网站群应用安全加固1次</w:t>
            </w:r>
          </w:p>
          <w:p w14:paraId="749930A7">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历史安全补丁全面检查，识别未及时更新的安全补丁并全面更新；</w:t>
            </w:r>
          </w:p>
          <w:p w14:paraId="49246142">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系统安全规则检查并配置，账号登录失败锁定、组件代码开启状态、账号密码复杂度等；</w:t>
            </w:r>
          </w:p>
          <w:p w14:paraId="4CA73D41">
            <w:pPr>
              <w:keepNext w:val="0"/>
              <w:keepLines w:val="0"/>
              <w:pageBreakBefore w:val="0"/>
              <w:widowControl/>
              <w:numPr>
                <w:ilvl w:val="0"/>
                <w:numId w:val="21"/>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网站群中间件、数据库版本检查并进行必要升级。</w:t>
            </w:r>
          </w:p>
        </w:tc>
      </w:tr>
      <w:tr w14:paraId="4C56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386A4D17">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6676CC47">
            <w:pPr>
              <w:widowControl/>
              <w:spacing w:line="360" w:lineRule="auto"/>
              <w:ind w:firstLine="0" w:firstLineChars="0"/>
              <w:jc w:val="both"/>
              <w:rPr>
                <w:rFonts w:hint="eastAsia" w:ascii="宋体" w:hAnsi="宋体" w:eastAsia="宋体" w:cs="Times New Roman"/>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DCC5B0C">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安全运维服务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63E29AB4">
            <w:pPr>
              <w:keepNext w:val="0"/>
              <w:keepLines w:val="0"/>
              <w:pageBreakBefore w:val="0"/>
              <w:widowControl/>
              <w:numPr>
                <w:ilvl w:val="0"/>
                <w:numId w:val="22"/>
              </w:numPr>
              <w:tabs>
                <w:tab w:val="left" w:pos="0"/>
              </w:tabs>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重大活动保障服务</w:t>
            </w:r>
            <w:r>
              <w:rPr>
                <w:rFonts w:hint="eastAsia" w:ascii="宋体" w:hAnsi="宋体" w:eastAsia="宋体" w:cs="宋体"/>
                <w:kern w:val="0"/>
                <w:sz w:val="24"/>
                <w:szCs w:val="24"/>
              </w:rPr>
              <w:tab/>
            </w:r>
          </w:p>
          <w:p w14:paraId="7FF62E20">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在国家重大活动、学校重大活动、重大事件场景下要求为</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提供保障服务，进行事前检查、安全加固，并配备专业的运维团队随时响应。</w:t>
            </w:r>
          </w:p>
          <w:p w14:paraId="2E707217">
            <w:pPr>
              <w:keepNext w:val="0"/>
              <w:keepLines w:val="0"/>
              <w:pageBreakBefore w:val="0"/>
              <w:widowControl/>
              <w:numPr>
                <w:ilvl w:val="0"/>
                <w:numId w:val="22"/>
              </w:numPr>
              <w:tabs>
                <w:tab w:val="left" w:pos="0"/>
              </w:tabs>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HTTPS安全改造支持</w:t>
            </w:r>
            <w:r>
              <w:rPr>
                <w:rFonts w:hint="eastAsia" w:ascii="宋体" w:hAnsi="宋体" w:eastAsia="宋体" w:cs="宋体"/>
                <w:kern w:val="0"/>
                <w:sz w:val="24"/>
                <w:szCs w:val="24"/>
              </w:rPr>
              <w:tab/>
            </w:r>
          </w:p>
          <w:p w14:paraId="77FCCC76">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在</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单独购买的情况下，支持完成平台HTTPS适配。</w:t>
            </w:r>
          </w:p>
          <w:p w14:paraId="28E6B278">
            <w:pPr>
              <w:keepNext w:val="0"/>
              <w:keepLines w:val="0"/>
              <w:pageBreakBefore w:val="0"/>
              <w:widowControl/>
              <w:numPr>
                <w:ilvl w:val="0"/>
                <w:numId w:val="22"/>
              </w:numPr>
              <w:tabs>
                <w:tab w:val="left" w:pos="0"/>
              </w:tabs>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等保支持</w:t>
            </w:r>
          </w:p>
          <w:p w14:paraId="56FCAE9F">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为</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等级保护期间的技术支持服务要求包含：应用安全配置整改。</w:t>
            </w:r>
          </w:p>
          <w:p w14:paraId="2970FC0F">
            <w:pPr>
              <w:keepNext w:val="0"/>
              <w:keepLines w:val="0"/>
              <w:pageBreakBefore w:val="0"/>
              <w:widowControl/>
              <w:numPr>
                <w:ilvl w:val="0"/>
                <w:numId w:val="22"/>
              </w:numPr>
              <w:tabs>
                <w:tab w:val="left" w:pos="0"/>
              </w:tabs>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攻防演练支持</w:t>
            </w:r>
            <w:r>
              <w:rPr>
                <w:rFonts w:hint="eastAsia" w:ascii="宋体" w:hAnsi="宋体" w:eastAsia="宋体" w:cs="宋体"/>
                <w:kern w:val="0"/>
                <w:sz w:val="24"/>
                <w:szCs w:val="24"/>
              </w:rPr>
              <w:tab/>
            </w:r>
          </w:p>
          <w:p w14:paraId="7C054B4D">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要求为</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提供标准的方案，配合进行演练前安全检查，当出现紧急情况时，由应急团队紧急支持。</w:t>
            </w:r>
          </w:p>
          <w:p w14:paraId="54C2CC54">
            <w:pPr>
              <w:keepNext w:val="0"/>
              <w:keepLines w:val="0"/>
              <w:pageBreakBefore w:val="0"/>
              <w:widowControl/>
              <w:numPr>
                <w:ilvl w:val="0"/>
                <w:numId w:val="22"/>
              </w:numPr>
              <w:tabs>
                <w:tab w:val="left" w:pos="0"/>
              </w:tabs>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敏感文章批量撤稿</w:t>
            </w:r>
          </w:p>
          <w:p w14:paraId="629F1EC6">
            <w:pPr>
              <w:keepNext w:val="0"/>
              <w:keepLines w:val="0"/>
              <w:pageBreakBefore w:val="0"/>
              <w:widowControl/>
              <w:numPr>
                <w:ilvl w:val="-1"/>
                <w:numId w:val="0"/>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支持对</w:t>
            </w:r>
            <w:r>
              <w:rPr>
                <w:rFonts w:hint="eastAsia" w:ascii="宋体" w:hAnsi="宋体" w:eastAsia="宋体" w:cs="宋体"/>
                <w:kern w:val="0"/>
                <w:sz w:val="24"/>
                <w:szCs w:val="24"/>
                <w:lang w:val="en-US" w:eastAsia="zh-CN"/>
              </w:rPr>
              <w:t>采购人</w:t>
            </w:r>
            <w:r>
              <w:rPr>
                <w:rFonts w:hint="eastAsia" w:ascii="宋体" w:hAnsi="宋体" w:eastAsia="宋体" w:cs="宋体"/>
                <w:kern w:val="0"/>
                <w:sz w:val="24"/>
                <w:szCs w:val="24"/>
              </w:rPr>
              <w:t>指定包含敏感字的文章进行快速批量撤稿。</w:t>
            </w:r>
          </w:p>
        </w:tc>
      </w:tr>
      <w:tr w14:paraId="2CA2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398" w:type="pct"/>
            <w:tcBorders>
              <w:top w:val="single" w:color="auto" w:sz="4" w:space="0"/>
              <w:left w:val="single" w:color="auto" w:sz="4" w:space="0"/>
              <w:bottom w:val="single" w:color="auto" w:sz="4" w:space="0"/>
              <w:right w:val="single" w:color="auto" w:sz="4" w:space="0"/>
            </w:tcBorders>
            <w:noWrap w:val="0"/>
            <w:vAlign w:val="center"/>
          </w:tcPr>
          <w:p w14:paraId="3F49AF9D">
            <w:pPr>
              <w:numPr>
                <w:ilvl w:val="0"/>
                <w:numId w:val="3"/>
              </w:numPr>
              <w:spacing w:line="360" w:lineRule="auto"/>
              <w:ind w:left="0" w:firstLine="0" w:firstLineChars="0"/>
              <w:jc w:val="both"/>
              <w:rPr>
                <w:rFonts w:ascii="宋体" w:hAnsi="宋体" w:eastAsia="宋体" w:cs="宋体"/>
                <w:kern w:val="0"/>
                <w:sz w:val="24"/>
                <w:szCs w:val="24"/>
              </w:rPr>
            </w:pPr>
          </w:p>
        </w:tc>
        <w:tc>
          <w:tcPr>
            <w:tcW w:w="369" w:type="pct"/>
            <w:vMerge w:val="continue"/>
            <w:tcBorders>
              <w:left w:val="single" w:color="auto" w:sz="4" w:space="0"/>
              <w:right w:val="single" w:color="auto" w:sz="4" w:space="0"/>
            </w:tcBorders>
            <w:noWrap w:val="0"/>
            <w:vAlign w:val="center"/>
          </w:tcPr>
          <w:p w14:paraId="0811A9C1">
            <w:pPr>
              <w:widowControl/>
              <w:spacing w:line="360" w:lineRule="auto"/>
              <w:ind w:firstLine="0" w:firstLineChars="0"/>
              <w:jc w:val="both"/>
              <w:rPr>
                <w:rFonts w:hint="eastAsia" w:ascii="宋体" w:hAnsi="宋体" w:eastAsia="宋体" w:cs="Times New Roman"/>
                <w:sz w:val="24"/>
                <w:szCs w:val="24"/>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75E56DE8">
            <w:pPr>
              <w:widowControl/>
              <w:spacing w:line="360" w:lineRule="auto"/>
              <w:ind w:firstLine="0" w:firstLineChars="0"/>
              <w:jc w:val="both"/>
              <w:rPr>
                <w:rFonts w:hint="eastAsia" w:ascii="宋体" w:hAnsi="宋体" w:eastAsia="宋体" w:cs="宋体"/>
                <w:kern w:val="0"/>
                <w:sz w:val="24"/>
                <w:szCs w:val="24"/>
              </w:rPr>
            </w:pPr>
            <w:r>
              <w:rPr>
                <w:rFonts w:hint="eastAsia" w:ascii="宋体" w:hAnsi="宋体" w:eastAsia="宋体" w:cs="宋体"/>
                <w:kern w:val="0"/>
                <w:sz w:val="24"/>
                <w:szCs w:val="24"/>
              </w:rPr>
              <w:t>报修服务</w:t>
            </w:r>
          </w:p>
        </w:tc>
        <w:tc>
          <w:tcPr>
            <w:tcW w:w="3862" w:type="pct"/>
            <w:tcBorders>
              <w:top w:val="single" w:color="auto" w:sz="4" w:space="0"/>
              <w:left w:val="single" w:color="auto" w:sz="4" w:space="0"/>
              <w:bottom w:val="single" w:color="auto" w:sz="4" w:space="0"/>
              <w:right w:val="single" w:color="auto" w:sz="4" w:space="0"/>
            </w:tcBorders>
            <w:noWrap w:val="0"/>
            <w:vAlign w:val="center"/>
          </w:tcPr>
          <w:p w14:paraId="5BCB29E9">
            <w:pPr>
              <w:keepNext w:val="0"/>
              <w:keepLines w:val="0"/>
              <w:pageBreakBefore w:val="0"/>
              <w:widowControl/>
              <w:kinsoku/>
              <w:wordWrap/>
              <w:overflowPunct/>
              <w:topLinePunct w:val="0"/>
              <w:autoSpaceDE/>
              <w:autoSpaceDN/>
              <w:bidi w:val="0"/>
              <w:snapToGrid/>
              <w:spacing w:line="400" w:lineRule="exact"/>
              <w:ind w:left="0" w:firstLine="0" w:firstLineChars="0"/>
              <w:jc w:val="both"/>
              <w:textAlignment w:val="auto"/>
              <w:rPr>
                <w:rFonts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w:t>
            </w:r>
            <w:r>
              <w:rPr>
                <w:rFonts w:hint="eastAsia" w:ascii="宋体" w:hAnsi="宋体" w:eastAsia="宋体" w:cs="Times New Roman"/>
                <w:sz w:val="24"/>
                <w:szCs w:val="24"/>
              </w:rPr>
              <w:t>▲提供服务小程序，解决服务入口统一的问题，小程序需要具备报修/报修任务查看等功能，能够在服务小程序上实现问题快速报修，支持语音、文字、图片方式进行问题反馈。同时集成网站群运行与管理的知识体系，满足使用者日常维护服务的需求。</w:t>
            </w:r>
          </w:p>
          <w:p w14:paraId="46305626">
            <w:pPr>
              <w:keepNext w:val="0"/>
              <w:keepLines w:val="0"/>
              <w:pageBreakBefore w:val="0"/>
              <w:widowControl/>
              <w:numPr>
                <w:ilvl w:val="-1"/>
                <w:numId w:val="0"/>
              </w:numPr>
              <w:kinsoku/>
              <w:wordWrap/>
              <w:overflowPunct/>
              <w:topLinePunct w:val="0"/>
              <w:autoSpaceDE/>
              <w:autoSpaceDN/>
              <w:bidi w:val="0"/>
              <w:snapToGrid/>
              <w:spacing w:line="400" w:lineRule="exact"/>
              <w:ind w:left="0" w:firstLine="0" w:firstLineChars="0"/>
              <w:jc w:val="both"/>
              <w:textAlignment w:val="auto"/>
              <w:rPr>
                <w:rFonts w:hint="eastAsia" w:ascii="宋体" w:hAnsi="宋体" w:eastAsia="宋体" w:cs="宋体"/>
                <w:kern w:val="0"/>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rPr>
              <w:t>▲</w:t>
            </w:r>
            <w:r>
              <w:rPr>
                <w:rFonts w:hint="eastAsia" w:ascii="宋体" w:hAnsi="宋体" w:eastAsia="宋体" w:cs="宋体"/>
                <w:kern w:val="0"/>
                <w:sz w:val="24"/>
                <w:szCs w:val="24"/>
              </w:rPr>
              <w:t>针对售后服务提供成熟的信息化客户服务系统，系统业务</w:t>
            </w:r>
            <w:r>
              <w:rPr>
                <w:rFonts w:hint="eastAsia" w:ascii="宋体" w:hAnsi="宋体" w:eastAsia="宋体" w:cs="宋体"/>
                <w:kern w:val="0"/>
                <w:sz w:val="24"/>
                <w:szCs w:val="24"/>
                <w:lang w:val="en-US" w:eastAsia="zh-CN"/>
              </w:rPr>
              <w:t>支持</w:t>
            </w:r>
            <w:r>
              <w:rPr>
                <w:rFonts w:hint="eastAsia" w:ascii="宋体" w:hAnsi="宋体" w:eastAsia="宋体" w:cs="宋体"/>
                <w:kern w:val="0"/>
                <w:sz w:val="24"/>
                <w:szCs w:val="24"/>
              </w:rPr>
              <w:t>显示用户客户</w:t>
            </w:r>
            <w:r>
              <w:rPr>
                <w:rFonts w:hint="eastAsia" w:ascii="宋体" w:hAnsi="宋体" w:eastAsia="宋体" w:cs="宋体"/>
                <w:kern w:val="0"/>
                <w:sz w:val="24"/>
                <w:szCs w:val="24"/>
                <w:lang w:val="en-US" w:eastAsia="zh-CN"/>
              </w:rPr>
              <w:t>正在进行的</w:t>
            </w:r>
            <w:r>
              <w:rPr>
                <w:rFonts w:hint="eastAsia" w:ascii="宋体" w:hAnsi="宋体" w:eastAsia="宋体" w:cs="宋体"/>
                <w:kern w:val="0"/>
                <w:sz w:val="24"/>
                <w:szCs w:val="24"/>
              </w:rPr>
              <w:t>售后服务，实现客户问题处理的显性化跟踪处理。</w:t>
            </w:r>
          </w:p>
        </w:tc>
      </w:tr>
    </w:tbl>
    <w:p w14:paraId="59E0EF97">
      <w:pPr>
        <w:keepNext w:val="0"/>
        <w:keepLines w:val="0"/>
        <w:pageBreakBefore w:val="0"/>
        <w:widowControl w:val="0"/>
        <w:kinsoku/>
        <w:wordWrap/>
        <w:overflowPunct/>
        <w:topLinePunct w:val="0"/>
        <w:autoSpaceDE w:val="0"/>
        <w:autoSpaceDN w:val="0"/>
        <w:bidi w:val="0"/>
        <w:adjustRightInd w:val="0"/>
        <w:snapToGrid/>
        <w:spacing w:line="400" w:lineRule="exact"/>
        <w:ind w:left="0" w:firstLine="482" w:firstLineChars="200"/>
        <w:jc w:val="left"/>
        <w:textAlignment w:val="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cs="宋体"/>
          <w:b/>
          <w:bCs/>
          <w:color w:val="auto"/>
          <w:sz w:val="24"/>
          <w:szCs w:val="24"/>
          <w:highlight w:val="none"/>
          <w:lang w:val="en-US" w:eastAsia="zh-CN"/>
        </w:rPr>
        <w:t>①标注</w:t>
      </w:r>
      <w:r>
        <w:rPr>
          <w:rFonts w:hint="eastAsia" w:ascii="宋体" w:hAnsi="宋体" w:eastAsia="宋体" w:cs="宋体"/>
          <w:b/>
          <w:bCs/>
          <w:color w:val="auto"/>
          <w:sz w:val="24"/>
          <w:szCs w:val="24"/>
          <w:highlight w:val="none"/>
          <w:lang w:val="en-US" w:eastAsia="zh-CN"/>
        </w:rPr>
        <w:t>“▲”项参数为重要指标参数</w:t>
      </w:r>
      <w:r>
        <w:rPr>
          <w:rFonts w:hint="eastAsia" w:ascii="宋体" w:hAnsi="宋体" w:cs="宋体"/>
          <w:b/>
          <w:bCs/>
          <w:color w:val="auto"/>
          <w:sz w:val="24"/>
          <w:szCs w:val="24"/>
          <w:highlight w:val="none"/>
          <w:lang w:val="en-US" w:eastAsia="zh-CN"/>
        </w:rPr>
        <w:t>，供应商提供系统截图或制造商出具的技术白皮书或第三方检测报告进行响应，未提供或负偏离的将根据评分办法的规定扣除对应分值（未标注符号的为一般指标参数，供应商须在技术响应偏离表中进行偏离说明）。如采购文件第三部分采购需求中对需要证明材料有明确要求的，以第三部分采购需求为准。</w:t>
      </w:r>
    </w:p>
    <w:p w14:paraId="03BFBA8F">
      <w:pPr>
        <w:keepNext w:val="0"/>
        <w:keepLines w:val="0"/>
        <w:pageBreakBefore w:val="0"/>
        <w:widowControl w:val="0"/>
        <w:kinsoku/>
        <w:wordWrap/>
        <w:overflowPunct/>
        <w:topLinePunct w:val="0"/>
        <w:autoSpaceDE w:val="0"/>
        <w:autoSpaceDN w:val="0"/>
        <w:bidi w:val="0"/>
        <w:adjustRightInd w:val="0"/>
        <w:snapToGrid/>
        <w:spacing w:line="400" w:lineRule="exact"/>
        <w:ind w:left="0" w:firstLine="480" w:firstLineChars="200"/>
        <w:jc w:val="left"/>
        <w:textAlignment w:val="auto"/>
        <w:rPr>
          <w:rFonts w:hint="eastAsia" w:ascii="宋体" w:hAnsi="宋体" w:eastAsia="宋体" w:cs="宋体"/>
          <w:b w:val="0"/>
          <w:bCs w:val="0"/>
          <w:snapToGrid w:val="0"/>
          <w:kern w:val="0"/>
          <w:sz w:val="24"/>
          <w:szCs w:val="24"/>
        </w:rPr>
      </w:pPr>
      <w:r>
        <w:rPr>
          <w:rFonts w:hint="eastAsia" w:ascii="宋体" w:hAnsi="宋体" w:eastAsia="宋体" w:cs="宋体"/>
          <w:b w:val="0"/>
          <w:bCs w:val="0"/>
          <w:snapToGrid w:val="0"/>
          <w:kern w:val="0"/>
          <w:sz w:val="24"/>
          <w:szCs w:val="24"/>
          <w:lang w:val="en-US" w:eastAsia="zh-CN"/>
        </w:rPr>
        <w:t>②</w:t>
      </w:r>
      <w:r>
        <w:rPr>
          <w:rFonts w:hint="eastAsia" w:ascii="宋体" w:hAnsi="宋体" w:eastAsia="宋体" w:cs="宋体"/>
          <w:b w:val="0"/>
          <w:bCs w:val="0"/>
          <w:snapToGrid w:val="0"/>
          <w:kern w:val="0"/>
          <w:sz w:val="24"/>
          <w:szCs w:val="24"/>
        </w:rPr>
        <w:t>技术参数中如出现了参考品牌或规格型号的均为参考或推荐，其目的是为了方便供应商直观和准确地把握相应产品或材料的技术标准，并不具有唯一性。供应商应当参考所列品牌，采购相当于或高于所列品牌技术标准的产品，并提供相应技术参数证明其符合采购需求，否则视其为不满足采购需求。</w:t>
      </w:r>
    </w:p>
    <w:p w14:paraId="1CAAE69E">
      <w:pPr>
        <w:keepNext w:val="0"/>
        <w:keepLines w:val="0"/>
        <w:pageBreakBefore w:val="0"/>
        <w:widowControl w:val="0"/>
        <w:kinsoku/>
        <w:wordWrap/>
        <w:overflowPunct/>
        <w:topLinePunct w:val="0"/>
        <w:autoSpaceDE w:val="0"/>
        <w:autoSpaceDN w:val="0"/>
        <w:bidi w:val="0"/>
        <w:adjustRightInd w:val="0"/>
        <w:snapToGrid/>
        <w:spacing w:line="400" w:lineRule="exact"/>
        <w:ind w:left="0" w:firstLine="480" w:firstLineChars="200"/>
        <w:jc w:val="left"/>
        <w:textAlignment w:val="auto"/>
        <w:rPr>
          <w:rFonts w:hint="eastAsia" w:ascii="宋体" w:hAnsi="宋体" w:eastAsia="宋体" w:cs="宋体"/>
          <w:b w:val="0"/>
          <w:bCs w:val="0"/>
          <w:snapToGrid w:val="0"/>
          <w:kern w:val="0"/>
          <w:sz w:val="24"/>
          <w:szCs w:val="24"/>
        </w:rPr>
      </w:pPr>
      <w:r>
        <w:rPr>
          <w:rFonts w:hint="eastAsia" w:ascii="宋体" w:hAnsi="宋体" w:eastAsia="宋体" w:cs="宋体"/>
          <w:b w:val="0"/>
          <w:bCs w:val="0"/>
          <w:snapToGrid w:val="0"/>
          <w:kern w:val="0"/>
          <w:sz w:val="24"/>
          <w:szCs w:val="24"/>
          <w:lang w:val="en-US" w:eastAsia="zh-CN"/>
        </w:rPr>
        <w:t>③</w:t>
      </w:r>
      <w:r>
        <w:rPr>
          <w:rFonts w:hint="eastAsia" w:ascii="宋体" w:hAnsi="宋体" w:eastAsia="宋体" w:cs="宋体"/>
          <w:b w:val="0"/>
          <w:bCs w:val="0"/>
          <w:snapToGrid w:val="0"/>
          <w:kern w:val="0"/>
          <w:sz w:val="24"/>
          <w:szCs w:val="24"/>
        </w:rPr>
        <w:t>本文件中规定的各项技术规格均不指向某一特定的专利技术、商标、名称、设计、原产地或供应者等。若引用某一供应者的技术规格才能准确或清楚地说明拟采购货物的技术规格时，其含义为“供参考或相当于”该品牌，供应商可以在满足项目技术需求要求前提下选定所投产品品牌，推荐品牌并不限制其他品牌参与投标。</w:t>
      </w:r>
    </w:p>
    <w:p w14:paraId="36D11F42">
      <w:pPr>
        <w:keepNext w:val="0"/>
        <w:keepLines w:val="0"/>
        <w:pageBreakBefore w:val="0"/>
        <w:widowControl w:val="0"/>
        <w:kinsoku/>
        <w:wordWrap/>
        <w:overflowPunct/>
        <w:topLinePunct w:val="0"/>
        <w:autoSpaceDE w:val="0"/>
        <w:autoSpaceDN w:val="0"/>
        <w:bidi w:val="0"/>
        <w:adjustRightInd w:val="0"/>
        <w:snapToGrid/>
        <w:spacing w:line="400" w:lineRule="exact"/>
        <w:ind w:left="0" w:firstLine="480" w:firstLineChars="200"/>
        <w:jc w:val="left"/>
        <w:textAlignment w:val="auto"/>
        <w:rPr>
          <w:rFonts w:ascii="Times New Roman" w:hAnsi="Times New Roman" w:eastAsia="宋体" w:cs="Times New Roman"/>
          <w:b w:val="0"/>
          <w:bCs w:val="0"/>
          <w:szCs w:val="24"/>
        </w:rPr>
      </w:pPr>
      <w:r>
        <w:rPr>
          <w:rFonts w:hint="eastAsia" w:ascii="宋体" w:hAnsi="宋体" w:eastAsia="宋体" w:cs="宋体"/>
          <w:b w:val="0"/>
          <w:bCs w:val="0"/>
          <w:snapToGrid w:val="0"/>
          <w:kern w:val="0"/>
          <w:sz w:val="24"/>
          <w:szCs w:val="24"/>
          <w:lang w:eastAsia="zh-CN"/>
        </w:rPr>
        <w:t>④</w:t>
      </w:r>
      <w:r>
        <w:rPr>
          <w:rFonts w:hint="eastAsia" w:ascii="宋体" w:hAnsi="宋体" w:eastAsia="宋体" w:cs="宋体"/>
          <w:b w:val="0"/>
          <w:bCs w:val="0"/>
          <w:snapToGrid w:val="0"/>
          <w:kern w:val="0"/>
          <w:sz w:val="24"/>
          <w:szCs w:val="24"/>
        </w:rPr>
        <w:t>项目需执行国家相关标准、行业标准、地方标准或者其他标准、规范，有最新的标准的，按最新标准执行。地方执行标准不一致时或各标准之间如有差异，以国家、行业及地方较高标准执行。</w:t>
      </w:r>
    </w:p>
    <w:p w14:paraId="0B3666DA">
      <w:pPr>
        <w:keepNext/>
        <w:keepLines/>
        <w:pageBreakBefore w:val="0"/>
        <w:widowControl w:val="0"/>
        <w:numPr>
          <w:ilvl w:val="0"/>
          <w:numId w:val="0"/>
        </w:numPr>
        <w:kinsoku/>
        <w:wordWrap/>
        <w:overflowPunct/>
        <w:topLinePunct w:val="0"/>
        <w:bidi w:val="0"/>
        <w:snapToGrid/>
        <w:spacing w:line="400" w:lineRule="exact"/>
        <w:ind w:leftChars="0"/>
        <w:jc w:val="left"/>
        <w:textAlignment w:val="auto"/>
        <w:outlineLvl w:val="0"/>
        <w:rPr>
          <w:rFonts w:hint="eastAsia" w:ascii="Calibri" w:hAnsi="Calibri" w:eastAsia="宋体" w:cs="Times New Roman"/>
          <w:b/>
          <w:bCs/>
          <w:kern w:val="44"/>
          <w:sz w:val="24"/>
          <w:szCs w:val="40"/>
          <w:lang w:val="en-US" w:eastAsia="zh-CN" w:bidi="ar-SA"/>
        </w:rPr>
      </w:pPr>
      <w:r>
        <w:rPr>
          <w:rFonts w:hint="eastAsia" w:ascii="Calibri" w:hAnsi="Calibri" w:eastAsia="宋体" w:cs="Times New Roman"/>
          <w:b/>
          <w:bCs/>
          <w:kern w:val="44"/>
          <w:sz w:val="24"/>
          <w:szCs w:val="40"/>
          <w:lang w:val="en-US" w:eastAsia="zh-CN" w:bidi="ar-SA"/>
        </w:rPr>
        <w:t>三、商务要求</w:t>
      </w:r>
    </w:p>
    <w:p w14:paraId="773A294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color w:val="auto"/>
          <w:sz w:val="24"/>
          <w:szCs w:val="24"/>
          <w:highlight w:val="none"/>
        </w:rPr>
        <w:t>合同履行期限：合同签订之日起</w:t>
      </w:r>
      <w:r>
        <w:rPr>
          <w:rFonts w:hint="eastAsia" w:ascii="宋体" w:hAnsi="宋体" w:cs="宋体"/>
          <w:color w:val="auto"/>
          <w:sz w:val="24"/>
          <w:szCs w:val="24"/>
          <w:highlight w:val="none"/>
          <w:lang w:val="en-US" w:eastAsia="zh-CN"/>
        </w:rPr>
        <w:t>80个</w:t>
      </w:r>
      <w:r>
        <w:rPr>
          <w:rFonts w:hint="eastAsia" w:ascii="宋体" w:hAnsi="宋体" w:eastAsia="宋体" w:cs="宋体"/>
          <w:color w:val="auto"/>
          <w:sz w:val="24"/>
          <w:szCs w:val="24"/>
          <w:highlight w:val="none"/>
        </w:rPr>
        <w:t>工作日内完成全部部署工作、提交验收文档并通过采购人验收，部署验收完成后提供三年运</w:t>
      </w:r>
      <w:r>
        <w:rPr>
          <w:rFonts w:hint="eastAsia" w:ascii="宋体" w:hAnsi="宋体" w:eastAsia="宋体" w:cs="宋体"/>
          <w:color w:val="auto"/>
          <w:sz w:val="24"/>
          <w:szCs w:val="24"/>
          <w:highlight w:val="none"/>
          <w:lang w:val="en-US" w:eastAsia="zh-CN"/>
        </w:rPr>
        <w:t>保</w:t>
      </w:r>
      <w:r>
        <w:rPr>
          <w:rFonts w:hint="eastAsia" w:ascii="宋体" w:hAnsi="宋体" w:eastAsia="宋体" w:cs="宋体"/>
          <w:color w:val="auto"/>
          <w:sz w:val="24"/>
          <w:szCs w:val="24"/>
          <w:highlight w:val="none"/>
        </w:rPr>
        <w:t>服务。</w:t>
      </w:r>
    </w:p>
    <w:p w14:paraId="044DA4C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2、质保期：</w:t>
      </w:r>
      <w:r>
        <w:rPr>
          <w:rFonts w:hint="eastAsia" w:ascii="宋体" w:hAnsi="宋体" w:eastAsia="宋体" w:cs="宋体"/>
          <w:color w:val="auto"/>
          <w:spacing w:val="-2"/>
          <w:sz w:val="24"/>
          <w:szCs w:val="24"/>
          <w:highlight w:val="none"/>
          <w:lang w:val="en-US" w:eastAsia="zh-CN"/>
        </w:rPr>
        <w:t>部署验收完成后三年。</w:t>
      </w:r>
      <w:r>
        <w:rPr>
          <w:rFonts w:hint="eastAsia" w:ascii="宋体" w:hAnsi="宋体" w:eastAsia="宋体" w:cs="宋体"/>
          <w:color w:val="auto"/>
          <w:sz w:val="24"/>
          <w:szCs w:val="24"/>
          <w:highlight w:val="none"/>
          <w:lang w:val="en-US" w:eastAsia="zh-CN"/>
        </w:rPr>
        <w:t>质保期供应商需提供质保期内的产品技术支持、bug补丁、产品使用指导、网站故障技术支持等服务；费用包含在总报价中，采购人不再另行支付其他费用。质保期结束后，采购人若有后续技术支持等服务的需要，供应商应给到采购人不高于成本价的售后技术支持维护费用，质保期后的服务要求需不低于质保期内的服务要求(具体费用、服务内容及要求由双方合同签订时约定）。</w:t>
      </w:r>
    </w:p>
    <w:p w14:paraId="39E093D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、付款条件（进度和方式）：</w:t>
      </w:r>
      <w:r>
        <w:rPr>
          <w:rFonts w:hint="eastAsia" w:ascii="宋体" w:hAnsi="宋体" w:cs="宋体"/>
          <w:kern w:val="0"/>
          <w:sz w:val="24"/>
          <w:szCs w:val="24"/>
          <w:lang w:val="en-US" w:eastAsia="zh-CN"/>
        </w:rPr>
        <w:t>本项目分三期付款</w:t>
      </w:r>
      <w:r>
        <w:rPr>
          <w:rFonts w:hint="eastAsia" w:ascii="Times New Roman" w:eastAsia="宋体"/>
          <w:lang w:val="en-US" w:eastAsia="zh-CN"/>
        </w:rPr>
        <w:t>，</w:t>
      </w:r>
      <w:r>
        <w:rPr>
          <w:rFonts w:hint="eastAsia" w:ascii="宋体" w:hAnsi="宋体" w:cs="宋体"/>
          <w:kern w:val="0"/>
          <w:sz w:val="24"/>
          <w:szCs w:val="24"/>
          <w:lang w:val="en-US" w:eastAsia="zh-CN"/>
        </w:rPr>
        <w:t>今年（2025年）项目建设完成验收合格后支付总款项的45%；项目建设验收完成后一年（明年，2026年）支付总款项的45%；项目三年维保期结束后（2028年）支付剩余10%。</w:t>
      </w:r>
    </w:p>
    <w:p w14:paraId="7009A00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、培训要求</w:t>
      </w:r>
      <w:r>
        <w:rPr>
          <w:rFonts w:hint="eastAsia" w:ascii="宋体" w:hAnsi="宋体" w:eastAsia="宋体" w:cs="宋体"/>
          <w:sz w:val="24"/>
          <w:szCs w:val="24"/>
          <w:lang w:eastAsia="zh-CN"/>
        </w:rPr>
        <w:t>：供应商须承诺在完成应用软件开发，进行部署实施、试运行、正式运行等阶段工作时，根据采购人的要求，可多次派培训工程师开展培训工作。培训内容包括应用软件部署实施培训、应用软件操作使用培训和应用软件运行维护培训等。培训的时间、内容、人员、期次等具体内容在具体执行过程中需根据采购人意见进行调整。供应商在响应文件中须提供详细的培训方案，并按照上述要求进行详细说明。</w:t>
      </w:r>
      <w:r>
        <w:rPr>
          <w:rFonts w:hint="eastAsia" w:ascii="宋体" w:hAnsi="宋体" w:eastAsia="宋体" w:cs="宋体"/>
          <w:sz w:val="24"/>
          <w:szCs w:val="24"/>
        </w:rPr>
        <w:t>该项费用由</w:t>
      </w:r>
      <w:r>
        <w:rPr>
          <w:rFonts w:hint="eastAsia" w:ascii="宋体" w:hAnsi="宋体" w:eastAsia="宋体" w:cs="宋体"/>
          <w:sz w:val="24"/>
          <w:szCs w:val="24"/>
          <w:lang w:eastAsia="zh-CN"/>
        </w:rPr>
        <w:t>供应商</w:t>
      </w:r>
      <w:r>
        <w:rPr>
          <w:rFonts w:hint="eastAsia" w:ascii="宋体" w:hAnsi="宋体" w:eastAsia="宋体" w:cs="宋体"/>
          <w:sz w:val="24"/>
          <w:szCs w:val="24"/>
        </w:rPr>
        <w:t>承担。</w:t>
      </w:r>
    </w:p>
    <w:p w14:paraId="6E60EB4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5、总体实施进度：</w:t>
      </w:r>
    </w:p>
    <w:p w14:paraId="69B8B3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供应商应根据交付时间要求，制定项目进度计划及资源保障计划，并按计划实施。总体进度要求如下：</w:t>
      </w:r>
    </w:p>
    <w:p w14:paraId="3149858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第一阶段：合同签订后15个工作日完成本项目的应用部署与开发测试工作。</w:t>
      </w:r>
    </w:p>
    <w:p w14:paraId="09996E1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第二阶段：合同签订后30个工作日完成合同中要求的网站建设内容，进入试运行阶段并进行应用推广和培训工作。</w:t>
      </w:r>
    </w:p>
    <w:p w14:paraId="401802F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第三阶段：合同签订</w:t>
      </w:r>
      <w:r>
        <w:rPr>
          <w:rFonts w:hint="eastAsia" w:ascii="宋体" w:hAnsi="宋体" w:cs="宋体"/>
          <w:sz w:val="24"/>
          <w:szCs w:val="24"/>
          <w:lang w:val="en-US" w:eastAsia="zh-CN"/>
        </w:rPr>
        <w:t>80</w:t>
      </w:r>
      <w:r>
        <w:rPr>
          <w:rFonts w:hint="eastAsia" w:ascii="宋体" w:hAnsi="宋体" w:eastAsia="宋体" w:cs="宋体"/>
          <w:sz w:val="24"/>
          <w:szCs w:val="24"/>
          <w:lang w:val="en-US" w:eastAsia="zh-CN"/>
        </w:rPr>
        <w:t>个工作日完成项目最终验收，提交验收文档。</w:t>
      </w:r>
    </w:p>
    <w:p w14:paraId="454CF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验收要求：</w:t>
      </w:r>
    </w:p>
    <w:p w14:paraId="7B7667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6.1试运行</w:t>
      </w:r>
    </w:p>
    <w:p w14:paraId="4FF4ABF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网站上线后，进入15天连续试运行期。</w:t>
      </w:r>
    </w:p>
    <w:p w14:paraId="28F7BD9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试运行期间，成交人一方面要提供足够的培训和技术支持，保障用户能够正确的理解和使用系统，另一方面，要根据运行中出现的问题以及用户需求情况，及时修改完善系统。成交人应保证任何故障或问题都能在48小时内被修复和解决并给出详细修复细节报告。</w:t>
      </w:r>
    </w:p>
    <w:p w14:paraId="5EEBCF0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试运行期内如出现重大故障，则试运行期从故障排除之日起重新计算，直到系统连续两个月无重大故障为止。重大故障系指因中标人原因致使系统不能正常运行，影响到采购人系统软件的正常安装和运行。</w:t>
      </w:r>
    </w:p>
    <w:p w14:paraId="267814E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所有试运行期间系统的修改和软件变化都应在试运行结束后由成交人写入操作和维护手册中。</w:t>
      </w:r>
    </w:p>
    <w:p w14:paraId="3ACCE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6.2项目验收</w:t>
      </w:r>
    </w:p>
    <w:p w14:paraId="06E4282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试运行期满合格可以进行项目验收。合格必须满足以下条件：</w:t>
      </w:r>
    </w:p>
    <w:p w14:paraId="5588038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1）已提供了合同的全部系统和资料；</w:t>
      </w:r>
    </w:p>
    <w:p w14:paraId="41D819D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2）提交实施过程中所产生的全部文档，如技术文档、实施文档、用户使用和操作手册等；</w:t>
      </w:r>
    </w:p>
    <w:p w14:paraId="11194E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3）安装、调试、测试和试运行时出现的问题均已被解决；</w:t>
      </w:r>
    </w:p>
    <w:p w14:paraId="3AA4B1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4）最终用户单位出具的系统可正常运转的说明文件。</w:t>
      </w:r>
    </w:p>
    <w:p w14:paraId="756973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、报价要求：</w:t>
      </w:r>
    </w:p>
    <w:p w14:paraId="22B2DD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.1供应商报价应以人民币报价。</w:t>
      </w:r>
    </w:p>
    <w:p w14:paraId="5B70FEF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.2供应商报价为包干价。报价应为完成本次采购范围内全部内容的所有费用（</w:t>
      </w:r>
      <w:r>
        <w:rPr>
          <w:rFonts w:hint="eastAsia" w:ascii="宋体" w:hAnsi="宋体" w:eastAsia="宋体" w:cs="宋体"/>
          <w:color w:val="auto"/>
          <w:sz w:val="24"/>
          <w:szCs w:val="24"/>
          <w:lang w:val="en-US" w:eastAsia="zh-CN"/>
        </w:rPr>
        <w:t>包含软件开发、质保期内的技术支持及系统维护等全部费用</w:t>
      </w:r>
      <w:r>
        <w:rPr>
          <w:rFonts w:hint="eastAsia" w:ascii="宋体" w:hAnsi="宋体" w:eastAsia="宋体" w:cs="宋体"/>
          <w:color w:val="auto"/>
          <w:sz w:val="24"/>
          <w:szCs w:val="24"/>
          <w:lang w:eastAsia="zh-CN"/>
        </w:rPr>
        <w:t>）。对于采购人提出的技术实现方式、手段和要求，供应商必须无条件服从并完成有关工作，不再另计开发费用。供应商对报价的准确性负责，任何漏报、错报等均是供应商的风险。</w:t>
      </w:r>
    </w:p>
    <w:p w14:paraId="4BABE4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地点：湖北工业大学</w:t>
      </w:r>
    </w:p>
    <w:p w14:paraId="7D68481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lang w:eastAsia="zh-CN"/>
        </w:rPr>
        <w:sectPr>
          <w:pgSz w:w="11906" w:h="16838"/>
          <w:pgMar w:top="1440" w:right="1083" w:bottom="1440" w:left="1083" w:header="851" w:footer="765" w:gutter="0"/>
          <w:cols w:space="720" w:num="1"/>
          <w:docGrid w:type="lines" w:linePitch="286" w:charSpace="0"/>
        </w:sect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确保合法取得与本项目合同内容有关的全部知识产权或其使用权，并全部承担因此而可能引发的相关法律责任。</w:t>
      </w:r>
    </w:p>
    <w:bookmarkEnd w:id="61"/>
    <w:bookmarkEnd w:id="65"/>
    <w:bookmarkEnd w:id="66"/>
    <w:bookmarkEnd w:id="67"/>
    <w:bookmarkEnd w:id="68"/>
    <w:p w14:paraId="3CE7CAEE">
      <w:pPr>
        <w:pStyle w:val="69"/>
        <w:numPr>
          <w:ilvl w:val="0"/>
          <w:numId w:val="23"/>
        </w:numPr>
        <w:spacing w:line="360" w:lineRule="auto"/>
        <w:ind w:left="0" w:firstLine="0"/>
        <w:jc w:val="center"/>
        <w:outlineLvl w:val="0"/>
        <w:rPr>
          <w:rStyle w:val="50"/>
          <w:rFonts w:hint="eastAsia" w:ascii="宋体" w:hAnsi="宋体" w:cs="宋体"/>
          <w:b/>
          <w:bCs/>
          <w:sz w:val="24"/>
          <w:szCs w:val="24"/>
        </w:rPr>
      </w:pPr>
      <w:bookmarkStart w:id="70" w:name="_Toc10855"/>
      <w:r>
        <w:rPr>
          <w:rStyle w:val="50"/>
          <w:rFonts w:hint="eastAsia" w:ascii="宋体" w:hAnsi="宋体" w:cs="宋体"/>
          <w:b/>
          <w:bCs/>
          <w:sz w:val="24"/>
          <w:szCs w:val="24"/>
          <w:lang w:val="en-US"/>
        </w:rPr>
        <w:t xml:space="preserve"> </w:t>
      </w:r>
      <w:r>
        <w:rPr>
          <w:rStyle w:val="50"/>
          <w:rFonts w:hint="eastAsia" w:ascii="宋体" w:hAnsi="宋体" w:cs="宋体"/>
          <w:b/>
          <w:bCs/>
          <w:sz w:val="24"/>
          <w:szCs w:val="24"/>
        </w:rPr>
        <w:t xml:space="preserve"> 合同条款</w:t>
      </w:r>
      <w:bookmarkEnd w:id="62"/>
      <w:bookmarkEnd w:id="63"/>
      <w:bookmarkEnd w:id="70"/>
    </w:p>
    <w:bookmarkEnd w:id="64"/>
    <w:p w14:paraId="20BB44BA">
      <w:pPr>
        <w:spacing w:line="500" w:lineRule="exact"/>
        <w:ind w:firstLine="5670" w:firstLineChars="2700"/>
        <w:rPr>
          <w:rFonts w:hint="eastAsia" w:ascii="宋体" w:hAnsi="宋体" w:eastAsia="宋体" w:cs="宋体"/>
          <w:szCs w:val="21"/>
        </w:rPr>
      </w:pPr>
      <w:bookmarkStart w:id="71" w:name="_Toc4978"/>
      <w:bookmarkStart w:id="72" w:name="_Toc13973"/>
      <w:bookmarkStart w:id="73" w:name="_Toc6793"/>
      <w:r>
        <w:rPr>
          <w:rFonts w:hint="eastAsia" w:ascii="宋体" w:hAnsi="宋体" w:eastAsia="宋体" w:cs="宋体"/>
          <w:szCs w:val="21"/>
        </w:rPr>
        <w:t>合同编号（项目招标编号）：</w:t>
      </w:r>
    </w:p>
    <w:p w14:paraId="11C4C8ED">
      <w:pPr>
        <w:widowControl/>
        <w:spacing w:line="480" w:lineRule="auto"/>
        <w:jc w:val="center"/>
        <w:rPr>
          <w:rFonts w:hint="eastAsia" w:ascii="宋体" w:hAnsi="宋体" w:eastAsia="宋体" w:cs="宋体"/>
          <w:kern w:val="0"/>
        </w:rPr>
      </w:pPr>
      <w:r>
        <w:rPr>
          <w:rFonts w:hint="eastAsia" w:ascii="宋体" w:hAnsi="宋体" w:eastAsia="宋体" w:cs="宋体"/>
          <w:kern w:val="0"/>
          <w:szCs w:val="21"/>
        </w:rPr>
        <w:t>（此合同书仅供签订正式合同时参考用）</w:t>
      </w:r>
    </w:p>
    <w:p w14:paraId="491AC4CF">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项目名称： </w:t>
      </w:r>
    </w:p>
    <w:p w14:paraId="4BD6E398">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合同编号： </w:t>
      </w:r>
    </w:p>
    <w:p w14:paraId="267EF17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签订日期： </w:t>
      </w:r>
    </w:p>
    <w:p w14:paraId="66B31AF7">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签订合同地点： </w:t>
      </w:r>
    </w:p>
    <w:p w14:paraId="0F0C2F4A">
      <w:pPr>
        <w:widowControl/>
        <w:spacing w:line="480" w:lineRule="auto"/>
        <w:jc w:val="left"/>
        <w:rPr>
          <w:rFonts w:hint="eastAsia" w:ascii="宋体" w:hAnsi="宋体" w:eastAsia="宋体" w:cs="宋体"/>
          <w:kern w:val="0"/>
        </w:rPr>
      </w:pPr>
    </w:p>
    <w:p w14:paraId="176CEFF7">
      <w:pPr>
        <w:widowControl/>
        <w:spacing w:line="480" w:lineRule="auto"/>
        <w:ind w:firstLine="1050" w:firstLineChars="500"/>
        <w:jc w:val="left"/>
        <w:rPr>
          <w:rFonts w:hint="eastAsia" w:ascii="宋体" w:hAnsi="宋体" w:eastAsia="宋体" w:cs="宋体"/>
        </w:rPr>
      </w:pPr>
      <w:r>
        <w:rPr>
          <w:rFonts w:hint="eastAsia" w:ascii="宋体" w:hAnsi="宋体" w:eastAsia="宋体" w:cs="宋体"/>
          <w:kern w:val="0"/>
          <w:szCs w:val="21"/>
        </w:rPr>
        <w:t xml:space="preserve">本合同由       （以下简称“甲方”）与    （以下简称“乙方”）签订。 </w:t>
      </w:r>
    </w:p>
    <w:p w14:paraId="47C0F0FB">
      <w:pPr>
        <w:widowControl/>
        <w:spacing w:line="480" w:lineRule="auto"/>
        <w:jc w:val="left"/>
        <w:rPr>
          <w:rFonts w:hint="eastAsia" w:ascii="宋体" w:hAnsi="宋体" w:eastAsia="宋体" w:cs="宋体"/>
        </w:rPr>
      </w:pPr>
      <w:r>
        <w:rPr>
          <w:rFonts w:hint="eastAsia" w:ascii="宋体" w:hAnsi="宋体" w:eastAsia="宋体" w:cs="宋体"/>
          <w:kern w:val="0"/>
          <w:szCs w:val="21"/>
        </w:rPr>
        <w:t>乙方以总金额万元人民币（用大写数字书写）向甲方提供如下</w:t>
      </w:r>
      <w:r>
        <w:rPr>
          <w:rFonts w:hint="eastAsia" w:ascii="宋体" w:hAnsi="宋体" w:eastAsia="宋体" w:cs="宋体"/>
          <w:kern w:val="0"/>
          <w:szCs w:val="21"/>
          <w:u w:val="single"/>
        </w:rPr>
        <w:t xml:space="preserve"> （工程/货物/服务） </w:t>
      </w:r>
      <w:r>
        <w:rPr>
          <w:rFonts w:hint="eastAsia" w:ascii="宋体" w:hAnsi="宋体" w:eastAsia="宋体" w:cs="宋体"/>
          <w:kern w:val="0"/>
          <w:szCs w:val="21"/>
        </w:rPr>
        <w:t xml:space="preserve">： </w:t>
      </w:r>
    </w:p>
    <w:p w14:paraId="180107BA">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经双方协商，同意按下列条文执行： </w:t>
      </w:r>
    </w:p>
    <w:p w14:paraId="2E51209A">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1.本合同供、需双方必须遵守国家颁布的“民法典”，并各自履行应负的全部责任和义务。 </w:t>
      </w:r>
    </w:p>
    <w:p w14:paraId="4AA61495">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2.甲方保证按合同条款规定的时间和方式付给乙方到期应付的货款，并承担应负的责任和义务。 </w:t>
      </w:r>
    </w:p>
    <w:p w14:paraId="056B73FF">
      <w:pPr>
        <w:widowControl/>
        <w:spacing w:line="480" w:lineRule="auto"/>
        <w:jc w:val="left"/>
        <w:rPr>
          <w:rFonts w:hint="eastAsia" w:ascii="宋体" w:hAnsi="宋体" w:eastAsia="宋体" w:cs="宋体"/>
        </w:rPr>
      </w:pPr>
      <w:r>
        <w:rPr>
          <w:rFonts w:hint="eastAsia" w:ascii="宋体" w:hAnsi="宋体" w:eastAsia="宋体" w:cs="宋体"/>
          <w:kern w:val="0"/>
          <w:szCs w:val="21"/>
        </w:rPr>
        <w:t>3.乙方保证全部按合同条款规定的内容和交付期向甲方提供合格的</w:t>
      </w:r>
      <w:r>
        <w:rPr>
          <w:rFonts w:hint="eastAsia" w:ascii="宋体" w:hAnsi="宋体" w:eastAsia="宋体" w:cs="宋体"/>
          <w:kern w:val="0"/>
          <w:szCs w:val="21"/>
          <w:u w:val="single"/>
        </w:rPr>
        <w:t xml:space="preserve"> （工程/货物/服务） </w:t>
      </w:r>
      <w:r>
        <w:rPr>
          <w:rFonts w:hint="eastAsia" w:ascii="宋体" w:hAnsi="宋体" w:eastAsia="宋体" w:cs="宋体"/>
          <w:kern w:val="0"/>
          <w:szCs w:val="21"/>
        </w:rPr>
        <w:t xml:space="preserve">，并承 </w:t>
      </w:r>
    </w:p>
    <w:p w14:paraId="52277AEA">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担应负的责任和义务。 </w:t>
      </w:r>
    </w:p>
    <w:p w14:paraId="52DA5BE4">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4. 合同文件 </w:t>
      </w:r>
    </w:p>
    <w:p w14:paraId="49F8307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下列文件为本合同不可分割的部分。 </w:t>
      </w:r>
    </w:p>
    <w:p w14:paraId="113C92AF">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4.1 本竞争性磋商采购文件； </w:t>
      </w:r>
    </w:p>
    <w:p w14:paraId="1FAC0209">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4.2 乙方成交的竞争性磋商响应文件； </w:t>
      </w:r>
    </w:p>
    <w:p w14:paraId="769BD3C3">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4.3 合同书； </w:t>
      </w:r>
    </w:p>
    <w:p w14:paraId="70C17EC3">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4.4 合同条款； </w:t>
      </w:r>
    </w:p>
    <w:p w14:paraId="3EE0D40E">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4.5 （政府采购代理机构） 发出的成交通知书； </w:t>
      </w:r>
    </w:p>
    <w:p w14:paraId="2A923C88">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 附件： </w:t>
      </w:r>
    </w:p>
    <w:p w14:paraId="65F9A981">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4.6.1 采购方在采购期间发布的所有补充通知； </w:t>
      </w:r>
    </w:p>
    <w:p w14:paraId="21C3FF0A">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4.6.2 乙方在磋商期内补充的所有书面文件； </w:t>
      </w:r>
    </w:p>
    <w:p w14:paraId="6E732AB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4.6.3 乙方在磋商时随同竞争性磋商响应文件一起递送的资料及附图； </w:t>
      </w:r>
    </w:p>
    <w:p w14:paraId="4C0782D5">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4.6.4 在商洽本合同时，双方澄清、确认并共同签字的补充文件、技术协议。 </w:t>
      </w:r>
    </w:p>
    <w:p w14:paraId="33684CC1">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5. 合同范围和条件 </w:t>
      </w:r>
    </w:p>
    <w:p w14:paraId="2F5E87FD">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本合同的范围和条件应与上述规定的合同文件内容相一致。 </w:t>
      </w:r>
    </w:p>
    <w:p w14:paraId="4C72FD8F">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6. 货物及数量 </w:t>
      </w:r>
    </w:p>
    <w:p w14:paraId="5551B94B">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本合同所提供的 （工程/货物/服务） 及数量详见竞争性磋商采购文件的要求及乙方竞争性磋商响应文件中的承诺。 </w:t>
      </w:r>
    </w:p>
    <w:p w14:paraId="6536F35B">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7. 付款条件 </w:t>
      </w:r>
    </w:p>
    <w:p w14:paraId="51470AB4">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本合同的付款条件在竞争性磋商采购文件中有明确规定。 </w:t>
      </w:r>
    </w:p>
    <w:p w14:paraId="34131F6B">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8. 合同金额 </w:t>
      </w:r>
    </w:p>
    <w:p w14:paraId="168F2242">
      <w:pPr>
        <w:widowControl/>
        <w:spacing w:line="480" w:lineRule="auto"/>
        <w:jc w:val="left"/>
        <w:rPr>
          <w:rFonts w:hint="eastAsia" w:ascii="宋体" w:hAnsi="宋体" w:eastAsia="宋体" w:cs="宋体"/>
        </w:rPr>
      </w:pPr>
      <w:r>
        <w:rPr>
          <w:rFonts w:hint="eastAsia" w:ascii="宋体" w:hAnsi="宋体" w:eastAsia="宋体" w:cs="宋体"/>
          <w:kern w:val="0"/>
          <w:szCs w:val="21"/>
        </w:rPr>
        <w:t>合同总金额</w:t>
      </w:r>
      <w:r>
        <w:rPr>
          <w:rFonts w:hint="eastAsia" w:ascii="宋体" w:hAnsi="宋体" w:eastAsia="宋体" w:cs="宋体"/>
          <w:kern w:val="0"/>
          <w:szCs w:val="21"/>
          <w:lang w:eastAsia="zh-CN"/>
        </w:rPr>
        <w:t>以</w:t>
      </w:r>
      <w:r>
        <w:rPr>
          <w:rFonts w:hint="eastAsia" w:ascii="宋体" w:hAnsi="宋体" w:eastAsia="宋体" w:cs="宋体"/>
          <w:kern w:val="0"/>
          <w:szCs w:val="21"/>
        </w:rPr>
        <w:t xml:space="preserve">中标通知书为准见合同书，分项价格在乙方的竞争性磋商响应文件中有明确规定。 </w:t>
      </w:r>
    </w:p>
    <w:p w14:paraId="34FD562E">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9. 交付时间和交货地点 </w:t>
      </w:r>
    </w:p>
    <w:p w14:paraId="69815D2D">
      <w:pPr>
        <w:widowControl/>
        <w:spacing w:line="480" w:lineRule="auto"/>
        <w:jc w:val="left"/>
        <w:rPr>
          <w:rFonts w:hint="eastAsia" w:ascii="宋体" w:hAnsi="宋体" w:eastAsia="宋体" w:cs="宋体"/>
        </w:rPr>
      </w:pPr>
      <w:r>
        <w:rPr>
          <w:rFonts w:hint="eastAsia" w:ascii="宋体" w:hAnsi="宋体" w:eastAsia="宋体" w:cs="宋体"/>
          <w:kern w:val="0"/>
          <w:szCs w:val="21"/>
        </w:rPr>
        <w:t>本合同中</w:t>
      </w:r>
      <w:r>
        <w:rPr>
          <w:rFonts w:hint="eastAsia" w:ascii="宋体" w:hAnsi="宋体" w:eastAsia="宋体" w:cs="宋体"/>
          <w:kern w:val="0"/>
          <w:szCs w:val="21"/>
          <w:u w:val="single"/>
        </w:rPr>
        <w:t xml:space="preserve"> （工程/货物/服务） </w:t>
      </w:r>
      <w:r>
        <w:rPr>
          <w:rFonts w:hint="eastAsia" w:ascii="宋体" w:hAnsi="宋体" w:eastAsia="宋体" w:cs="宋体"/>
          <w:kern w:val="0"/>
          <w:szCs w:val="21"/>
        </w:rPr>
        <w:t>的</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eastAsia="zh-CN"/>
        </w:rPr>
        <w:t>（</w:t>
      </w:r>
      <w:r>
        <w:rPr>
          <w:rFonts w:hint="eastAsia" w:ascii="宋体" w:hAnsi="宋体" w:eastAsia="宋体" w:cs="宋体"/>
          <w:kern w:val="0"/>
          <w:szCs w:val="21"/>
          <w:u w:val="single"/>
        </w:rPr>
        <w:t xml:space="preserve">交付时间/服务完成时间） </w:t>
      </w:r>
      <w:r>
        <w:rPr>
          <w:rFonts w:hint="eastAsia" w:ascii="宋体" w:hAnsi="宋体" w:eastAsia="宋体" w:cs="宋体"/>
          <w:kern w:val="0"/>
          <w:szCs w:val="21"/>
        </w:rPr>
        <w:t>、</w:t>
      </w:r>
      <w:r>
        <w:rPr>
          <w:rFonts w:hint="eastAsia" w:ascii="宋体" w:hAnsi="宋体" w:eastAsia="宋体" w:cs="宋体"/>
          <w:kern w:val="0"/>
          <w:szCs w:val="21"/>
          <w:u w:val="single"/>
        </w:rPr>
        <w:t xml:space="preserve"> </w:t>
      </w:r>
      <w:r>
        <w:rPr>
          <w:rFonts w:hint="eastAsia" w:ascii="宋体" w:hAnsi="宋体" w:eastAsia="宋体" w:cs="宋体"/>
          <w:kern w:val="0"/>
          <w:szCs w:val="21"/>
          <w:u w:val="single"/>
          <w:lang w:eastAsia="zh-CN"/>
        </w:rPr>
        <w:t>（</w:t>
      </w:r>
      <w:r>
        <w:rPr>
          <w:rFonts w:hint="eastAsia" w:ascii="宋体" w:hAnsi="宋体" w:eastAsia="宋体" w:cs="宋体"/>
          <w:kern w:val="0"/>
          <w:szCs w:val="21"/>
          <w:u w:val="single"/>
        </w:rPr>
        <w:t>交货地点/服务地点）</w:t>
      </w:r>
      <w:r>
        <w:rPr>
          <w:rFonts w:hint="eastAsia" w:ascii="宋体" w:hAnsi="宋体" w:eastAsia="宋体" w:cs="宋体"/>
          <w:kern w:val="0"/>
          <w:szCs w:val="21"/>
        </w:rPr>
        <w:t xml:space="preserve"> 在 </w:t>
      </w:r>
    </w:p>
    <w:p w14:paraId="0994381F">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竞争性磋商采购文件中有明确规定。 </w:t>
      </w:r>
    </w:p>
    <w:p w14:paraId="670662E5">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10. 合同生效 </w:t>
      </w:r>
    </w:p>
    <w:p w14:paraId="53583D48">
      <w:pPr>
        <w:widowControl/>
        <w:spacing w:line="480" w:lineRule="auto"/>
        <w:jc w:val="left"/>
        <w:rPr>
          <w:rFonts w:hint="eastAsia" w:ascii="宋体" w:hAnsi="宋体" w:eastAsia="宋体" w:cs="宋体"/>
        </w:rPr>
      </w:pPr>
      <w:r>
        <w:rPr>
          <w:rFonts w:hint="eastAsia" w:ascii="宋体" w:hAnsi="宋体" w:eastAsia="宋体" w:cs="宋体"/>
          <w:kern w:val="0"/>
          <w:szCs w:val="21"/>
        </w:rPr>
        <w:t>本合同经供、需双方法定代表人或</w:t>
      </w:r>
      <w:r>
        <w:rPr>
          <w:rFonts w:hint="eastAsia" w:ascii="宋体" w:hAnsi="宋体" w:eastAsia="宋体" w:cs="宋体"/>
          <w:szCs w:val="21"/>
          <w:lang w:val="en-US" w:eastAsia="zh-CN"/>
        </w:rPr>
        <w:t>法定代表人</w:t>
      </w:r>
      <w:r>
        <w:rPr>
          <w:rFonts w:hint="eastAsia" w:ascii="宋体" w:hAnsi="宋体" w:eastAsia="宋体" w:cs="宋体"/>
          <w:kern w:val="0"/>
          <w:szCs w:val="21"/>
        </w:rPr>
        <w:t xml:space="preserve">授权人签字和加盖公章（或合同专用章）后生效。 </w:t>
      </w:r>
    </w:p>
    <w:p w14:paraId="71AB0436">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如采购申请公证的，合同需经公证机构公证后生效。 </w:t>
      </w:r>
    </w:p>
    <w:p w14:paraId="2F01C5AC">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11. 合同的份数 </w:t>
      </w:r>
    </w:p>
    <w:p w14:paraId="3EE3617E">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本合同正本一式份，甲方执份，乙方执份；副本一式份，甲方执份，乙方执份， </w:t>
      </w:r>
    </w:p>
    <w:p w14:paraId="00AC281E">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主管部门执份。 </w:t>
      </w:r>
    </w:p>
    <w:p w14:paraId="7A857F27">
      <w:pPr>
        <w:widowControl/>
        <w:spacing w:line="480" w:lineRule="auto"/>
        <w:jc w:val="left"/>
        <w:rPr>
          <w:rFonts w:hint="eastAsia" w:ascii="宋体" w:hAnsi="宋体" w:eastAsia="宋体" w:cs="宋体"/>
        </w:rPr>
      </w:pPr>
      <w:r>
        <w:rPr>
          <w:rFonts w:hint="eastAsia" w:ascii="宋体" w:hAnsi="宋体" w:eastAsia="宋体" w:cs="宋体"/>
          <w:b/>
          <w:kern w:val="0"/>
          <w:szCs w:val="21"/>
        </w:rPr>
        <w:t xml:space="preserve">12. 合同的失效 </w:t>
      </w:r>
    </w:p>
    <w:p w14:paraId="1C079F86">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本合同在合同价款结清后失效。 </w:t>
      </w:r>
    </w:p>
    <w:p w14:paraId="366AE67A">
      <w:pPr>
        <w:widowControl/>
        <w:spacing w:line="480" w:lineRule="auto"/>
        <w:jc w:val="left"/>
        <w:rPr>
          <w:rFonts w:hint="eastAsia" w:ascii="宋体" w:hAnsi="宋体" w:eastAsia="宋体" w:cs="宋体"/>
          <w:kern w:val="0"/>
        </w:rPr>
      </w:pPr>
    </w:p>
    <w:p w14:paraId="166DB8F1">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需 方                                                   供 方 </w:t>
      </w:r>
    </w:p>
    <w:p w14:paraId="70861F55">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单位名称（盖章）：                                      单位名称（盖章）： </w:t>
      </w:r>
    </w:p>
    <w:p w14:paraId="2DB8EE83">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单位地址：                                              单位地址： </w:t>
      </w:r>
    </w:p>
    <w:p w14:paraId="4AD2EC10">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法定代表人                                              法定代表人 </w:t>
      </w:r>
    </w:p>
    <w:p w14:paraId="1B16D6EE">
      <w:pPr>
        <w:widowControl/>
        <w:spacing w:line="480" w:lineRule="auto"/>
        <w:jc w:val="left"/>
        <w:rPr>
          <w:rFonts w:hint="eastAsia" w:ascii="宋体" w:hAnsi="宋体" w:eastAsia="宋体" w:cs="宋体"/>
        </w:rPr>
      </w:pPr>
      <w:r>
        <w:rPr>
          <w:rFonts w:hint="eastAsia" w:ascii="宋体" w:hAnsi="宋体" w:eastAsia="宋体" w:cs="宋体"/>
          <w:kern w:val="0"/>
          <w:szCs w:val="21"/>
        </w:rPr>
        <w:t>或</w:t>
      </w:r>
      <w:r>
        <w:rPr>
          <w:rFonts w:hint="eastAsia" w:ascii="宋体" w:hAnsi="宋体" w:eastAsia="宋体" w:cs="宋体"/>
          <w:szCs w:val="21"/>
          <w:lang w:val="en-US" w:eastAsia="zh-CN"/>
        </w:rPr>
        <w:t>法定代表人</w:t>
      </w:r>
      <w:r>
        <w:rPr>
          <w:rFonts w:hint="eastAsia" w:ascii="宋体" w:hAnsi="宋体" w:eastAsia="宋体" w:cs="宋体"/>
          <w:kern w:val="0"/>
          <w:szCs w:val="21"/>
        </w:rPr>
        <w:t>授权人</w:t>
      </w:r>
      <w:r>
        <w:rPr>
          <w:rFonts w:hint="eastAsia" w:ascii="宋体" w:hAnsi="宋体" w:eastAsia="宋体" w:cs="宋体"/>
          <w:kern w:val="0"/>
          <w:szCs w:val="21"/>
          <w:lang w:eastAsia="zh-CN"/>
        </w:rPr>
        <w:t>（</w:t>
      </w:r>
      <w:r>
        <w:rPr>
          <w:rFonts w:hint="eastAsia" w:ascii="宋体" w:hAnsi="宋体" w:eastAsia="宋体" w:cs="宋体"/>
          <w:kern w:val="0"/>
          <w:szCs w:val="21"/>
        </w:rPr>
        <w:t>签字</w:t>
      </w:r>
      <w:r>
        <w:rPr>
          <w:rFonts w:hint="eastAsia" w:ascii="宋体" w:hAnsi="宋体" w:eastAsia="宋体" w:cs="宋体"/>
          <w:kern w:val="0"/>
          <w:szCs w:val="21"/>
          <w:lang w:eastAsia="zh-CN"/>
        </w:rPr>
        <w:t>）</w:t>
      </w:r>
      <w:r>
        <w:rPr>
          <w:rFonts w:hint="eastAsia" w:ascii="宋体" w:hAnsi="宋体" w:eastAsia="宋体" w:cs="宋体"/>
          <w:kern w:val="0"/>
          <w:szCs w:val="21"/>
        </w:rPr>
        <w:t>：                            或</w:t>
      </w:r>
      <w:r>
        <w:rPr>
          <w:rFonts w:hint="eastAsia" w:ascii="宋体" w:hAnsi="宋体" w:eastAsia="宋体" w:cs="宋体"/>
          <w:szCs w:val="21"/>
          <w:lang w:val="en-US" w:eastAsia="zh-CN"/>
        </w:rPr>
        <w:t>法定代表人</w:t>
      </w:r>
      <w:r>
        <w:rPr>
          <w:rFonts w:hint="eastAsia" w:ascii="宋体" w:hAnsi="宋体" w:eastAsia="宋体" w:cs="宋体"/>
          <w:kern w:val="0"/>
          <w:szCs w:val="21"/>
        </w:rPr>
        <w:t>授权人</w:t>
      </w:r>
      <w:r>
        <w:rPr>
          <w:rFonts w:hint="eastAsia" w:ascii="宋体" w:hAnsi="宋体" w:eastAsia="宋体" w:cs="宋体"/>
          <w:kern w:val="0"/>
          <w:szCs w:val="21"/>
          <w:lang w:eastAsia="zh-CN"/>
        </w:rPr>
        <w:t>（</w:t>
      </w:r>
      <w:r>
        <w:rPr>
          <w:rFonts w:hint="eastAsia" w:ascii="宋体" w:hAnsi="宋体" w:eastAsia="宋体" w:cs="宋体"/>
          <w:kern w:val="0"/>
          <w:szCs w:val="21"/>
        </w:rPr>
        <w:t>签字</w:t>
      </w:r>
      <w:r>
        <w:rPr>
          <w:rFonts w:hint="eastAsia" w:ascii="宋体" w:hAnsi="宋体" w:eastAsia="宋体" w:cs="宋体"/>
          <w:kern w:val="0"/>
          <w:szCs w:val="21"/>
          <w:lang w:eastAsia="zh-CN"/>
        </w:rPr>
        <w:t>）</w:t>
      </w:r>
      <w:r>
        <w:rPr>
          <w:rFonts w:hint="eastAsia" w:ascii="宋体" w:hAnsi="宋体" w:eastAsia="宋体" w:cs="宋体"/>
          <w:kern w:val="0"/>
          <w:szCs w:val="21"/>
        </w:rPr>
        <w:t xml:space="preserve">： </w:t>
      </w:r>
    </w:p>
    <w:p w14:paraId="02DF020B">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联 系 人：                                               联 系 人： </w:t>
      </w:r>
    </w:p>
    <w:p w14:paraId="1E9FFEEB">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电 话：                                                  电 话： </w:t>
      </w:r>
    </w:p>
    <w:p w14:paraId="32760E48">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传 真：                                                  传 真： </w:t>
      </w:r>
    </w:p>
    <w:p w14:paraId="4E2AE702">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邮政编码：                                               邮政编码： </w:t>
      </w:r>
    </w:p>
    <w:p w14:paraId="0801B951">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开户银行：                                               开户银行： </w:t>
      </w:r>
    </w:p>
    <w:p w14:paraId="45FA0D77">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帐 号：                                                  帐 号： </w:t>
      </w:r>
    </w:p>
    <w:p w14:paraId="1AC0A952">
      <w:pPr>
        <w:widowControl/>
        <w:spacing w:line="480" w:lineRule="auto"/>
        <w:jc w:val="left"/>
        <w:rPr>
          <w:rFonts w:hint="eastAsia" w:ascii="宋体" w:hAnsi="宋体" w:eastAsia="宋体" w:cs="宋体"/>
        </w:rPr>
      </w:pPr>
      <w:r>
        <w:rPr>
          <w:rFonts w:hint="eastAsia" w:ascii="宋体" w:hAnsi="宋体" w:eastAsia="宋体" w:cs="宋体"/>
          <w:kern w:val="0"/>
          <w:szCs w:val="21"/>
        </w:rPr>
        <w:t xml:space="preserve">税 号：                                                  税 号： </w:t>
      </w:r>
    </w:p>
    <w:p w14:paraId="1410589B">
      <w:pPr>
        <w:widowControl/>
        <w:spacing w:line="480" w:lineRule="auto"/>
        <w:jc w:val="left"/>
        <w:rPr>
          <w:rFonts w:hint="eastAsia" w:ascii="宋体" w:hAnsi="宋体" w:cs="宋体"/>
          <w:sz w:val="24"/>
          <w:szCs w:val="24"/>
        </w:rPr>
        <w:sectPr>
          <w:pgSz w:w="11906" w:h="16838"/>
          <w:pgMar w:top="1440" w:right="1083" w:bottom="1440" w:left="1083" w:header="851" w:footer="765" w:gutter="0"/>
          <w:cols w:space="720" w:num="1"/>
          <w:docGrid w:type="lines" w:linePitch="286" w:charSpace="0"/>
        </w:sectPr>
      </w:pPr>
      <w:r>
        <w:rPr>
          <w:rFonts w:hint="eastAsia" w:ascii="宋体" w:hAnsi="宋体" w:eastAsia="宋体" w:cs="宋体"/>
          <w:kern w:val="0"/>
          <w:szCs w:val="21"/>
        </w:rPr>
        <w:t>合同签订地址：</w:t>
      </w:r>
    </w:p>
    <w:p w14:paraId="227CE86C">
      <w:pPr>
        <w:pStyle w:val="26"/>
        <w:spacing w:before="0" w:after="0" w:line="360" w:lineRule="auto"/>
        <w:rPr>
          <w:rFonts w:ascii="宋体" w:hAnsi="宋体" w:cs="宋体"/>
          <w:sz w:val="24"/>
          <w:szCs w:val="24"/>
        </w:rPr>
      </w:pPr>
      <w:r>
        <w:rPr>
          <w:rFonts w:hint="eastAsia" w:ascii="宋体" w:hAnsi="宋体" w:cs="宋体"/>
          <w:sz w:val="24"/>
          <w:szCs w:val="24"/>
        </w:rPr>
        <w:t>第五部分  评审办法</w:t>
      </w:r>
      <w:bookmarkEnd w:id="71"/>
      <w:bookmarkEnd w:id="72"/>
    </w:p>
    <w:p w14:paraId="1ADEAEC0">
      <w:pPr>
        <w:pStyle w:val="15"/>
        <w:adjustRightInd w:val="0"/>
        <w:snapToGrid w:val="0"/>
        <w:spacing w:before="0" w:beforeAutospacing="0" w:after="0" w:afterAutospacing="0" w:line="360" w:lineRule="auto"/>
        <w:rPr>
          <w:rFonts w:cs="宋体"/>
          <w:color w:val="auto"/>
          <w:szCs w:val="24"/>
        </w:rPr>
      </w:pPr>
    </w:p>
    <w:p w14:paraId="62E016E4">
      <w:pPr>
        <w:pStyle w:val="15"/>
        <w:adjustRightInd w:val="0"/>
        <w:snapToGrid w:val="0"/>
        <w:spacing w:before="0" w:beforeAutospacing="0" w:after="0" w:afterAutospacing="0" w:line="360" w:lineRule="auto"/>
        <w:ind w:firstLine="480" w:firstLineChars="200"/>
        <w:rPr>
          <w:rFonts w:cs="宋体"/>
          <w:color w:val="auto"/>
          <w:szCs w:val="24"/>
        </w:rPr>
      </w:pPr>
      <w:r>
        <w:rPr>
          <w:rFonts w:hint="eastAsia" w:cs="宋体"/>
          <w:color w:val="auto"/>
          <w:szCs w:val="24"/>
        </w:rPr>
        <w:t>综合本项目的特点，根据相关法律法规的规定，本着保护竞争，维护采购工作公开、公平、公正原则，特制定本评审办法，作为选定本项目成交人的依据。</w:t>
      </w:r>
    </w:p>
    <w:p w14:paraId="51DADEAD">
      <w:pPr>
        <w:numPr>
          <w:ilvl w:val="0"/>
          <w:numId w:val="24"/>
        </w:numPr>
        <w:tabs>
          <w:tab w:val="left" w:pos="426"/>
        </w:tabs>
        <w:spacing w:line="360" w:lineRule="auto"/>
        <w:ind w:left="0" w:firstLine="482" w:firstLineChars="200"/>
        <w:rPr>
          <w:rFonts w:ascii="宋体" w:hAnsi="宋体" w:cs="宋体"/>
          <w:b/>
          <w:sz w:val="24"/>
          <w:szCs w:val="24"/>
        </w:rPr>
      </w:pPr>
      <w:r>
        <w:rPr>
          <w:rFonts w:hint="eastAsia" w:ascii="宋体" w:hAnsi="宋体" w:cs="宋体"/>
          <w:b/>
          <w:sz w:val="24"/>
          <w:szCs w:val="24"/>
        </w:rPr>
        <w:t>评审程序</w:t>
      </w:r>
    </w:p>
    <w:p w14:paraId="12D86B60">
      <w:pPr>
        <w:numPr>
          <w:ilvl w:val="0"/>
          <w:numId w:val="25"/>
        </w:numPr>
        <w:spacing w:line="360" w:lineRule="auto"/>
        <w:ind w:left="0" w:firstLine="480" w:firstLineChars="200"/>
        <w:rPr>
          <w:rFonts w:ascii="宋体" w:hAnsi="宋体" w:cs="宋体"/>
          <w:sz w:val="24"/>
          <w:szCs w:val="24"/>
        </w:rPr>
      </w:pPr>
      <w:r>
        <w:rPr>
          <w:rFonts w:hint="eastAsia" w:ascii="宋体" w:hAnsi="宋体" w:cs="宋体"/>
          <w:sz w:val="24"/>
          <w:szCs w:val="24"/>
        </w:rPr>
        <w:t>成立磋商小组；</w:t>
      </w:r>
    </w:p>
    <w:p w14:paraId="24DFE865">
      <w:pPr>
        <w:pStyle w:val="15"/>
        <w:numPr>
          <w:ilvl w:val="0"/>
          <w:numId w:val="26"/>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采购人、采购代理机构将根据本项目的特点，依法组建磋商小组，其成员由技术、经济等方面的专家和采购人的代表组成，其中随机抽取专家人数不少于磋商小组总人数的2/3。磋商小组对响应文件进行审查、质疑、评估和比较。</w:t>
      </w:r>
    </w:p>
    <w:p w14:paraId="015D28BF">
      <w:pPr>
        <w:pStyle w:val="15"/>
        <w:numPr>
          <w:ilvl w:val="0"/>
          <w:numId w:val="26"/>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磋商小组履行下列职责：</w:t>
      </w:r>
    </w:p>
    <w:p w14:paraId="20AFCC7D">
      <w:pPr>
        <w:pStyle w:val="15"/>
        <w:numPr>
          <w:ilvl w:val="0"/>
          <w:numId w:val="27"/>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按磋商文件确定的有关规定对各响应文件进行初步评审及详细评审；</w:t>
      </w:r>
    </w:p>
    <w:p w14:paraId="72274951">
      <w:pPr>
        <w:pStyle w:val="15"/>
        <w:numPr>
          <w:ilvl w:val="0"/>
          <w:numId w:val="27"/>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审查响应文件是否符合磋商文件要求，作出书面评价；</w:t>
      </w:r>
    </w:p>
    <w:p w14:paraId="1890F8AF">
      <w:pPr>
        <w:pStyle w:val="15"/>
        <w:numPr>
          <w:ilvl w:val="0"/>
          <w:numId w:val="27"/>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要求供应商对响应文件有关事项作出解释或者澄清；</w:t>
      </w:r>
    </w:p>
    <w:p w14:paraId="2ABE1486">
      <w:pPr>
        <w:pStyle w:val="15"/>
        <w:numPr>
          <w:ilvl w:val="0"/>
          <w:numId w:val="27"/>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向采购人或者有关部门报告非法干预评审工作的行为。</w:t>
      </w:r>
    </w:p>
    <w:p w14:paraId="0C7FE30A">
      <w:pPr>
        <w:pStyle w:val="15"/>
        <w:numPr>
          <w:ilvl w:val="0"/>
          <w:numId w:val="25"/>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根据采购项目实际情况以及供应商的响应文件制定磋商要点。磋商要点应当明确磋商程序、磋商内容、合同草案的条款以及评定成交的标准等事项；</w:t>
      </w:r>
    </w:p>
    <w:p w14:paraId="35153D21">
      <w:pPr>
        <w:pStyle w:val="15"/>
        <w:numPr>
          <w:ilvl w:val="0"/>
          <w:numId w:val="25"/>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本项目不唱标，直接磋商。磋商前，供应商如系法定代表人出席的则须交验法定代表人证明及本人身份证，如系委托代理人出席的则必须交验法定代表人委托书及本人身份证。</w:t>
      </w:r>
    </w:p>
    <w:p w14:paraId="6A418354">
      <w:pPr>
        <w:pStyle w:val="15"/>
        <w:numPr>
          <w:ilvl w:val="0"/>
          <w:numId w:val="25"/>
        </w:numPr>
        <w:adjustRightInd w:val="0"/>
        <w:snapToGrid w:val="0"/>
        <w:spacing w:before="0" w:beforeAutospacing="0" w:after="0" w:afterAutospacing="0" w:line="360" w:lineRule="auto"/>
        <w:ind w:left="0" w:firstLine="480" w:firstLineChars="200"/>
        <w:rPr>
          <w:rFonts w:cs="宋体"/>
          <w:color w:val="auto"/>
          <w:szCs w:val="24"/>
        </w:rPr>
      </w:pPr>
      <w:r>
        <w:rPr>
          <w:rFonts w:hint="eastAsia" w:cs="宋体"/>
          <w:color w:val="auto"/>
          <w:szCs w:val="24"/>
        </w:rPr>
        <w:t>资格审查表</w:t>
      </w:r>
    </w:p>
    <w:tbl>
      <w:tblPr>
        <w:tblStyle w:val="30"/>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2943"/>
        <w:gridCol w:w="6214"/>
      </w:tblGrid>
      <w:tr w14:paraId="638C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3DF0E1AB">
            <w:pPr>
              <w:spacing w:line="360" w:lineRule="exact"/>
              <w:jc w:val="center"/>
              <w:rPr>
                <w:rFonts w:ascii="宋体" w:hAnsi="宋体" w:cs="宋体"/>
                <w:b/>
                <w:sz w:val="24"/>
                <w:szCs w:val="24"/>
              </w:rPr>
            </w:pPr>
            <w:r>
              <w:rPr>
                <w:rFonts w:hint="eastAsia" w:ascii="宋体" w:hAnsi="宋体" w:cs="宋体"/>
                <w:b/>
                <w:sz w:val="24"/>
                <w:szCs w:val="24"/>
              </w:rPr>
              <w:t>序号</w:t>
            </w:r>
          </w:p>
        </w:tc>
        <w:tc>
          <w:tcPr>
            <w:tcW w:w="2943" w:type="dxa"/>
            <w:vAlign w:val="center"/>
          </w:tcPr>
          <w:p w14:paraId="567F26A5">
            <w:pPr>
              <w:spacing w:line="360" w:lineRule="exact"/>
              <w:jc w:val="center"/>
              <w:rPr>
                <w:rFonts w:ascii="宋体" w:hAnsi="宋体" w:cs="宋体"/>
                <w:b/>
                <w:sz w:val="24"/>
                <w:szCs w:val="24"/>
              </w:rPr>
            </w:pPr>
            <w:r>
              <w:rPr>
                <w:rFonts w:hint="eastAsia" w:ascii="宋体" w:hAnsi="宋体" w:cs="宋体"/>
                <w:b/>
                <w:sz w:val="24"/>
                <w:szCs w:val="24"/>
              </w:rPr>
              <w:t>资格要求</w:t>
            </w:r>
          </w:p>
        </w:tc>
        <w:tc>
          <w:tcPr>
            <w:tcW w:w="6214" w:type="dxa"/>
            <w:vAlign w:val="center"/>
          </w:tcPr>
          <w:p w14:paraId="2C76D3E8">
            <w:pPr>
              <w:spacing w:line="360" w:lineRule="exact"/>
              <w:jc w:val="center"/>
              <w:rPr>
                <w:rFonts w:ascii="宋体" w:hAnsi="宋体" w:cs="宋体"/>
                <w:b/>
                <w:sz w:val="24"/>
                <w:szCs w:val="24"/>
              </w:rPr>
            </w:pPr>
            <w:r>
              <w:rPr>
                <w:rFonts w:hint="eastAsia" w:ascii="宋体" w:hAnsi="宋体" w:cs="宋体"/>
                <w:b/>
                <w:sz w:val="24"/>
                <w:szCs w:val="24"/>
              </w:rPr>
              <w:t>需提供的资料</w:t>
            </w:r>
          </w:p>
        </w:tc>
      </w:tr>
      <w:tr w14:paraId="07D2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77C81574">
            <w:pPr>
              <w:spacing w:line="360" w:lineRule="exact"/>
              <w:jc w:val="center"/>
              <w:rPr>
                <w:rFonts w:ascii="宋体" w:hAnsi="宋体" w:cs="宋体"/>
                <w:sz w:val="24"/>
                <w:szCs w:val="24"/>
              </w:rPr>
            </w:pPr>
            <w:r>
              <w:rPr>
                <w:rFonts w:hint="eastAsia" w:ascii="宋体" w:hAnsi="宋体" w:cs="宋体"/>
                <w:sz w:val="24"/>
                <w:szCs w:val="24"/>
              </w:rPr>
              <w:t>1</w:t>
            </w:r>
          </w:p>
        </w:tc>
        <w:tc>
          <w:tcPr>
            <w:tcW w:w="2943" w:type="dxa"/>
            <w:vAlign w:val="center"/>
          </w:tcPr>
          <w:p w14:paraId="7B13A1A8">
            <w:pPr>
              <w:spacing w:line="360" w:lineRule="exact"/>
              <w:rPr>
                <w:rFonts w:ascii="宋体" w:hAnsi="宋体" w:cs="宋体"/>
                <w:sz w:val="24"/>
                <w:szCs w:val="24"/>
              </w:rPr>
            </w:pPr>
            <w:r>
              <w:rPr>
                <w:rFonts w:hint="eastAsia" w:ascii="宋体" w:hAnsi="宋体" w:cs="宋体"/>
                <w:sz w:val="24"/>
                <w:szCs w:val="24"/>
              </w:rPr>
              <w:t>具有独立承担民事责任的能力（供应商法人资格等证明文件）</w:t>
            </w:r>
          </w:p>
        </w:tc>
        <w:tc>
          <w:tcPr>
            <w:tcW w:w="6214" w:type="dxa"/>
            <w:vAlign w:val="center"/>
          </w:tcPr>
          <w:p w14:paraId="72A6F793">
            <w:pPr>
              <w:spacing w:line="360" w:lineRule="exact"/>
              <w:rPr>
                <w:rFonts w:ascii="宋体" w:hAnsi="宋体" w:cs="宋体"/>
                <w:sz w:val="24"/>
                <w:szCs w:val="24"/>
              </w:rPr>
            </w:pPr>
            <w:r>
              <w:rPr>
                <w:rFonts w:hint="eastAsia" w:ascii="宋体" w:hAnsi="宋体" w:cs="宋体"/>
                <w:sz w:val="24"/>
                <w:szCs w:val="24"/>
              </w:rPr>
              <w:t>1、法人</w:t>
            </w:r>
          </w:p>
          <w:p w14:paraId="334592C6">
            <w:pPr>
              <w:spacing w:line="360" w:lineRule="exact"/>
              <w:rPr>
                <w:rFonts w:ascii="宋体" w:hAnsi="宋体" w:cs="宋体"/>
                <w:sz w:val="24"/>
                <w:szCs w:val="24"/>
              </w:rPr>
            </w:pPr>
            <w:r>
              <w:rPr>
                <w:rFonts w:hint="eastAsia" w:ascii="宋体" w:hAnsi="宋体" w:cs="宋体"/>
                <w:sz w:val="24"/>
                <w:szCs w:val="24"/>
              </w:rPr>
              <w:t>1.1企业法人（包括合伙企业）：提供工商部门注册的有效“企业法人营业执照”或“营业执照”；</w:t>
            </w:r>
          </w:p>
          <w:p w14:paraId="70929E6C">
            <w:pPr>
              <w:spacing w:line="360" w:lineRule="exact"/>
              <w:rPr>
                <w:rFonts w:ascii="宋体" w:hAnsi="宋体" w:cs="宋体"/>
                <w:sz w:val="24"/>
                <w:szCs w:val="24"/>
              </w:rPr>
            </w:pPr>
            <w:r>
              <w:rPr>
                <w:rFonts w:hint="eastAsia" w:ascii="宋体" w:hAnsi="宋体" w:cs="宋体"/>
                <w:sz w:val="24"/>
                <w:szCs w:val="24"/>
              </w:rPr>
              <w:t>1.2事业单位法人：提供有效的“事业单位法人证书”。</w:t>
            </w:r>
          </w:p>
          <w:p w14:paraId="4D1FECB0">
            <w:pPr>
              <w:spacing w:line="360" w:lineRule="exact"/>
              <w:rPr>
                <w:rFonts w:ascii="宋体" w:hAnsi="宋体" w:cs="宋体"/>
                <w:sz w:val="24"/>
                <w:szCs w:val="24"/>
              </w:rPr>
            </w:pPr>
            <w:r>
              <w:rPr>
                <w:rFonts w:hint="eastAsia" w:ascii="宋体" w:hAnsi="宋体" w:cs="宋体"/>
                <w:sz w:val="24"/>
                <w:szCs w:val="24"/>
              </w:rPr>
              <w:t>2、其他组织</w:t>
            </w:r>
          </w:p>
          <w:p w14:paraId="667F68B2">
            <w:pPr>
              <w:spacing w:line="360" w:lineRule="exact"/>
              <w:rPr>
                <w:rFonts w:ascii="宋体" w:hAnsi="宋体" w:cs="宋体"/>
                <w:sz w:val="24"/>
                <w:szCs w:val="24"/>
              </w:rPr>
            </w:pPr>
            <w:r>
              <w:rPr>
                <w:rFonts w:hint="eastAsia" w:ascii="宋体" w:hAnsi="宋体" w:cs="宋体"/>
                <w:sz w:val="24"/>
                <w:szCs w:val="24"/>
              </w:rPr>
              <w:t>2.1非企业专业服务机构：提供执业许可证等证明文件；</w:t>
            </w:r>
          </w:p>
          <w:p w14:paraId="22969AD3">
            <w:pPr>
              <w:spacing w:line="360" w:lineRule="exact"/>
              <w:rPr>
                <w:rFonts w:ascii="宋体" w:hAnsi="宋体" w:cs="宋体"/>
                <w:sz w:val="24"/>
                <w:szCs w:val="24"/>
              </w:rPr>
            </w:pPr>
            <w:r>
              <w:rPr>
                <w:rFonts w:hint="eastAsia" w:ascii="宋体" w:hAnsi="宋体" w:cs="宋体"/>
                <w:sz w:val="24"/>
                <w:szCs w:val="24"/>
              </w:rPr>
              <w:t>2.2个体工商户：提供有效的“个体工商户营业执照”。</w:t>
            </w:r>
          </w:p>
          <w:p w14:paraId="01F5A00D">
            <w:pPr>
              <w:spacing w:line="360" w:lineRule="exact"/>
              <w:rPr>
                <w:rFonts w:ascii="宋体" w:hAnsi="宋体" w:cs="宋体"/>
                <w:sz w:val="24"/>
                <w:szCs w:val="24"/>
              </w:rPr>
            </w:pPr>
            <w:r>
              <w:rPr>
                <w:rFonts w:hint="eastAsia" w:ascii="宋体" w:hAnsi="宋体" w:cs="宋体"/>
                <w:sz w:val="24"/>
                <w:szCs w:val="24"/>
              </w:rPr>
              <w:t>3、自然人：提供有效的自然人身份证明。（仅限中国公民）。</w:t>
            </w:r>
          </w:p>
        </w:tc>
      </w:tr>
      <w:tr w14:paraId="26559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049854E3">
            <w:pPr>
              <w:spacing w:line="360" w:lineRule="exact"/>
              <w:jc w:val="center"/>
              <w:rPr>
                <w:rFonts w:ascii="宋体" w:hAnsi="宋体" w:cs="宋体"/>
                <w:sz w:val="24"/>
                <w:szCs w:val="24"/>
              </w:rPr>
            </w:pPr>
            <w:r>
              <w:rPr>
                <w:rFonts w:hint="eastAsia" w:ascii="宋体" w:hAnsi="宋体" w:cs="宋体"/>
                <w:sz w:val="24"/>
                <w:szCs w:val="24"/>
              </w:rPr>
              <w:t>2</w:t>
            </w:r>
          </w:p>
        </w:tc>
        <w:tc>
          <w:tcPr>
            <w:tcW w:w="2943" w:type="dxa"/>
            <w:vAlign w:val="center"/>
          </w:tcPr>
          <w:p w14:paraId="3595C8F6">
            <w:pPr>
              <w:spacing w:line="360" w:lineRule="exact"/>
              <w:jc w:val="center"/>
              <w:rPr>
                <w:rFonts w:ascii="宋体" w:hAnsi="宋体" w:cs="宋体"/>
                <w:sz w:val="24"/>
                <w:szCs w:val="24"/>
              </w:rPr>
            </w:pPr>
            <w:r>
              <w:rPr>
                <w:rFonts w:hint="eastAsia" w:ascii="宋体" w:hAnsi="宋体" w:cs="宋体"/>
                <w:sz w:val="24"/>
                <w:szCs w:val="24"/>
              </w:rPr>
              <w:t>具有良好的商业信誉和健全财务会计制度</w:t>
            </w:r>
          </w:p>
        </w:tc>
        <w:tc>
          <w:tcPr>
            <w:tcW w:w="6214" w:type="dxa"/>
            <w:vAlign w:val="center"/>
          </w:tcPr>
          <w:p w14:paraId="34BA373C">
            <w:pPr>
              <w:spacing w:line="360" w:lineRule="exact"/>
              <w:jc w:val="left"/>
              <w:rPr>
                <w:rFonts w:hint="eastAsia" w:ascii="宋体" w:hAnsi="宋体" w:eastAsia="宋体" w:cs="宋体"/>
                <w:b/>
                <w:sz w:val="24"/>
                <w:szCs w:val="24"/>
                <w:lang w:eastAsia="zh-CN"/>
              </w:rPr>
            </w:pPr>
            <w:r>
              <w:rPr>
                <w:rFonts w:hint="eastAsia" w:ascii="宋体" w:hAnsi="宋体" w:eastAsia="宋体" w:cs="宋体"/>
                <w:b/>
                <w:sz w:val="24"/>
                <w:szCs w:val="24"/>
                <w:lang w:val="hr-HR"/>
              </w:rPr>
              <w:t>由供应商提供书面承诺或声明或提供相应证明材料</w:t>
            </w:r>
            <w:r>
              <w:rPr>
                <w:rFonts w:hint="eastAsia" w:ascii="宋体" w:hAnsi="宋体" w:eastAsia="宋体" w:cs="宋体"/>
                <w:b/>
                <w:sz w:val="24"/>
                <w:szCs w:val="24"/>
                <w:lang w:val="hr-HR" w:eastAsia="zh-CN"/>
              </w:rPr>
              <w:t>：</w:t>
            </w:r>
          </w:p>
          <w:p w14:paraId="5CD0D7C8">
            <w:pPr>
              <w:spacing w:line="360" w:lineRule="exact"/>
              <w:jc w:val="left"/>
              <w:rPr>
                <w:rFonts w:ascii="宋体" w:hAnsi="宋体" w:cs="宋体"/>
                <w:b/>
                <w:sz w:val="24"/>
                <w:szCs w:val="24"/>
              </w:rPr>
            </w:pPr>
            <w:r>
              <w:rPr>
                <w:rFonts w:hint="eastAsia" w:ascii="宋体" w:hAnsi="宋体" w:cs="宋体"/>
                <w:b/>
                <w:sz w:val="24"/>
                <w:szCs w:val="24"/>
              </w:rPr>
              <w:t>财务状况报告/资信证明/担保函</w:t>
            </w:r>
          </w:p>
          <w:p w14:paraId="2B71584F">
            <w:pPr>
              <w:spacing w:line="360" w:lineRule="exact"/>
              <w:jc w:val="left"/>
              <w:rPr>
                <w:rFonts w:ascii="宋体" w:hAnsi="宋体" w:cs="宋体"/>
                <w:sz w:val="24"/>
                <w:szCs w:val="24"/>
              </w:rPr>
            </w:pPr>
            <w:r>
              <w:rPr>
                <w:rFonts w:hint="eastAsia" w:ascii="宋体" w:hAnsi="宋体" w:cs="宋体"/>
                <w:sz w:val="24"/>
                <w:szCs w:val="24"/>
              </w:rPr>
              <w:t>1、法人：提供经第三方审计的财务报告，或其基本开户银行出具的资信证明；</w:t>
            </w:r>
          </w:p>
          <w:p w14:paraId="4DA69025">
            <w:pPr>
              <w:spacing w:line="360" w:lineRule="exact"/>
              <w:jc w:val="left"/>
              <w:rPr>
                <w:rFonts w:ascii="宋体" w:hAnsi="宋体" w:cs="宋体"/>
                <w:sz w:val="24"/>
                <w:szCs w:val="24"/>
              </w:rPr>
            </w:pPr>
            <w:r>
              <w:rPr>
                <w:rFonts w:hint="eastAsia" w:ascii="宋体" w:hAnsi="宋体" w:cs="宋体"/>
                <w:sz w:val="24"/>
                <w:szCs w:val="24"/>
              </w:rPr>
              <w:t>2、部分其他组织和自然人：没有经第三方审计的财务报告的，可以提供银行公告发布之日或开标之日前3个月内出具的资信证明。</w:t>
            </w:r>
          </w:p>
        </w:tc>
      </w:tr>
      <w:tr w14:paraId="2BB2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25795F22">
            <w:pPr>
              <w:spacing w:line="360" w:lineRule="exact"/>
              <w:jc w:val="center"/>
              <w:rPr>
                <w:rFonts w:ascii="宋体" w:hAnsi="宋体" w:cs="宋体"/>
                <w:sz w:val="24"/>
                <w:szCs w:val="24"/>
              </w:rPr>
            </w:pPr>
            <w:r>
              <w:rPr>
                <w:rFonts w:hint="eastAsia" w:ascii="宋体" w:hAnsi="宋体" w:cs="宋体"/>
                <w:sz w:val="24"/>
                <w:szCs w:val="24"/>
              </w:rPr>
              <w:t>3</w:t>
            </w:r>
          </w:p>
        </w:tc>
        <w:tc>
          <w:tcPr>
            <w:tcW w:w="2943" w:type="dxa"/>
            <w:vAlign w:val="center"/>
          </w:tcPr>
          <w:p w14:paraId="1CCBF198">
            <w:pPr>
              <w:spacing w:line="360" w:lineRule="exact"/>
              <w:rPr>
                <w:rFonts w:ascii="宋体" w:hAnsi="宋体" w:cs="宋体"/>
                <w:sz w:val="24"/>
                <w:szCs w:val="24"/>
              </w:rPr>
            </w:pPr>
            <w:r>
              <w:rPr>
                <w:rFonts w:hint="eastAsia" w:ascii="宋体" w:hAnsi="宋体" w:cs="宋体"/>
                <w:sz w:val="24"/>
                <w:szCs w:val="24"/>
              </w:rPr>
              <w:t>依法缴纳税收和社会保障资金的证明材料</w:t>
            </w:r>
          </w:p>
        </w:tc>
        <w:tc>
          <w:tcPr>
            <w:tcW w:w="6214" w:type="dxa"/>
            <w:vAlign w:val="center"/>
          </w:tcPr>
          <w:p w14:paraId="34FDDB0D">
            <w:pPr>
              <w:spacing w:line="360" w:lineRule="exact"/>
              <w:jc w:val="left"/>
              <w:rPr>
                <w:rFonts w:hint="eastAsia" w:ascii="宋体" w:hAnsi="宋体" w:cs="宋体"/>
                <w:b/>
                <w:sz w:val="24"/>
                <w:szCs w:val="24"/>
              </w:rPr>
            </w:pPr>
            <w:r>
              <w:rPr>
                <w:rFonts w:hint="eastAsia" w:ascii="宋体" w:hAnsi="宋体" w:eastAsia="宋体" w:cs="宋体"/>
                <w:b/>
                <w:sz w:val="24"/>
                <w:szCs w:val="24"/>
                <w:lang w:val="hr-HR"/>
              </w:rPr>
              <w:t>由供应商提供书面承诺或声明或提供相应证明材料</w:t>
            </w:r>
            <w:r>
              <w:rPr>
                <w:rFonts w:hint="eastAsia" w:ascii="宋体" w:hAnsi="宋体" w:eastAsia="宋体" w:cs="宋体"/>
                <w:b/>
                <w:sz w:val="24"/>
                <w:szCs w:val="24"/>
                <w:lang w:val="hr-HR" w:eastAsia="zh-CN"/>
              </w:rPr>
              <w:t>：</w:t>
            </w:r>
          </w:p>
          <w:p w14:paraId="03E98637">
            <w:pPr>
              <w:spacing w:line="360" w:lineRule="exact"/>
              <w:rPr>
                <w:rFonts w:ascii="宋体" w:hAnsi="宋体" w:cs="宋体"/>
                <w:b/>
                <w:sz w:val="24"/>
                <w:szCs w:val="24"/>
              </w:rPr>
            </w:pPr>
            <w:r>
              <w:rPr>
                <w:rFonts w:hint="eastAsia" w:ascii="宋体" w:hAnsi="宋体" w:cs="宋体"/>
                <w:b/>
                <w:sz w:val="24"/>
                <w:szCs w:val="24"/>
              </w:rPr>
              <w:t>1、缴纳税收</w:t>
            </w:r>
          </w:p>
          <w:p w14:paraId="22BA96C5">
            <w:pPr>
              <w:spacing w:line="360" w:lineRule="exact"/>
              <w:rPr>
                <w:rFonts w:ascii="宋体" w:hAnsi="宋体" w:cs="宋体"/>
                <w:sz w:val="24"/>
                <w:szCs w:val="24"/>
              </w:rPr>
            </w:pPr>
            <w:r>
              <w:rPr>
                <w:rFonts w:hint="eastAsia" w:ascii="宋体" w:hAnsi="宋体" w:cs="宋体"/>
                <w:sz w:val="24"/>
                <w:szCs w:val="24"/>
              </w:rPr>
              <w:t>1.1法人：公告发布前</w:t>
            </w:r>
            <w:r>
              <w:rPr>
                <w:rFonts w:hint="eastAsia" w:ascii="宋体" w:hAnsi="宋体" w:cs="宋体"/>
                <w:sz w:val="24"/>
                <w:szCs w:val="24"/>
                <w:lang w:val="en-US" w:eastAsia="zh-CN"/>
              </w:rPr>
              <w:t>一段时间</w:t>
            </w:r>
            <w:r>
              <w:rPr>
                <w:rFonts w:hint="eastAsia" w:ascii="宋体" w:hAnsi="宋体" w:cs="宋体"/>
                <w:sz w:val="24"/>
                <w:szCs w:val="24"/>
              </w:rPr>
              <w:t>缴纳增值税或企业所得税等的凭据（完税证、缴款书、印花税票、银行代扣（代缴）转账凭证等均可）</w:t>
            </w:r>
          </w:p>
          <w:p w14:paraId="5A8D79B3">
            <w:pPr>
              <w:spacing w:line="360" w:lineRule="exact"/>
              <w:rPr>
                <w:rFonts w:ascii="宋体" w:hAnsi="宋体" w:cs="宋体"/>
                <w:sz w:val="24"/>
                <w:szCs w:val="24"/>
              </w:rPr>
            </w:pPr>
            <w:r>
              <w:rPr>
                <w:rFonts w:hint="eastAsia" w:ascii="宋体" w:hAnsi="宋体" w:cs="宋体"/>
                <w:sz w:val="24"/>
                <w:szCs w:val="24"/>
              </w:rPr>
              <w:t>1.2其他组织和自然人：公告发布前</w:t>
            </w:r>
            <w:r>
              <w:rPr>
                <w:rFonts w:hint="eastAsia" w:ascii="宋体" w:hAnsi="宋体" w:cs="宋体"/>
                <w:sz w:val="24"/>
                <w:szCs w:val="24"/>
                <w:lang w:val="en-US" w:eastAsia="zh-CN"/>
              </w:rPr>
              <w:t>一段时间</w:t>
            </w:r>
            <w:r>
              <w:rPr>
                <w:rFonts w:hint="eastAsia" w:ascii="宋体" w:hAnsi="宋体" w:cs="宋体"/>
                <w:sz w:val="24"/>
                <w:szCs w:val="24"/>
              </w:rPr>
              <w:t>缴纳税收的凭据</w:t>
            </w:r>
          </w:p>
          <w:p w14:paraId="7EA2C410">
            <w:pPr>
              <w:spacing w:line="360" w:lineRule="exact"/>
              <w:rPr>
                <w:rFonts w:ascii="宋体" w:hAnsi="宋体" w:cs="宋体"/>
                <w:sz w:val="24"/>
                <w:szCs w:val="24"/>
              </w:rPr>
            </w:pPr>
            <w:r>
              <w:rPr>
                <w:rFonts w:hint="eastAsia" w:ascii="宋体" w:hAnsi="宋体" w:cs="宋体"/>
                <w:sz w:val="24"/>
                <w:szCs w:val="24"/>
              </w:rPr>
              <w:t>1.3 依法免税的供应商：提供其依法免税的相关证明文件。</w:t>
            </w:r>
          </w:p>
          <w:p w14:paraId="32627FBE">
            <w:pPr>
              <w:spacing w:line="360" w:lineRule="exact"/>
              <w:rPr>
                <w:rFonts w:ascii="宋体" w:hAnsi="宋体" w:cs="宋体"/>
                <w:b/>
                <w:sz w:val="24"/>
                <w:szCs w:val="24"/>
              </w:rPr>
            </w:pPr>
            <w:r>
              <w:rPr>
                <w:rFonts w:hint="eastAsia" w:ascii="宋体" w:hAnsi="宋体" w:cs="宋体"/>
                <w:b/>
                <w:sz w:val="24"/>
                <w:szCs w:val="24"/>
              </w:rPr>
              <w:t>2、缴纳社会保障资金</w:t>
            </w:r>
          </w:p>
          <w:p w14:paraId="452FF040">
            <w:pPr>
              <w:spacing w:line="360" w:lineRule="exact"/>
              <w:rPr>
                <w:rFonts w:ascii="宋体" w:hAnsi="宋体" w:cs="宋体"/>
                <w:sz w:val="24"/>
                <w:szCs w:val="24"/>
              </w:rPr>
            </w:pPr>
            <w:r>
              <w:rPr>
                <w:rFonts w:hint="eastAsia" w:ascii="宋体" w:hAnsi="宋体" w:cs="宋体"/>
                <w:sz w:val="24"/>
                <w:szCs w:val="24"/>
              </w:rPr>
              <w:t>2.1法人：公告发布前</w:t>
            </w:r>
            <w:r>
              <w:rPr>
                <w:rFonts w:hint="eastAsia" w:ascii="宋体" w:hAnsi="宋体" w:cs="宋体"/>
                <w:sz w:val="24"/>
                <w:szCs w:val="24"/>
                <w:lang w:val="en-US" w:eastAsia="zh-CN"/>
              </w:rPr>
              <w:t>一段时间</w:t>
            </w:r>
            <w:r>
              <w:rPr>
                <w:rFonts w:hint="eastAsia" w:ascii="宋体" w:hAnsi="宋体" w:cs="宋体"/>
                <w:sz w:val="24"/>
                <w:szCs w:val="24"/>
              </w:rPr>
              <w:t>缴纳社会保险的凭据（专用收据或社会保险缴纳清单）</w:t>
            </w:r>
          </w:p>
          <w:p w14:paraId="1D98E165">
            <w:pPr>
              <w:spacing w:line="360" w:lineRule="exact"/>
              <w:rPr>
                <w:rFonts w:ascii="宋体" w:hAnsi="宋体" w:cs="宋体"/>
                <w:sz w:val="24"/>
                <w:szCs w:val="24"/>
              </w:rPr>
            </w:pPr>
            <w:r>
              <w:rPr>
                <w:rFonts w:hint="eastAsia" w:ascii="宋体" w:hAnsi="宋体" w:cs="宋体"/>
                <w:sz w:val="24"/>
                <w:szCs w:val="24"/>
              </w:rPr>
              <w:t>2.2其他组织和自然人：公告发布前</w:t>
            </w:r>
            <w:r>
              <w:rPr>
                <w:rFonts w:hint="eastAsia" w:ascii="宋体" w:hAnsi="宋体" w:cs="宋体"/>
                <w:sz w:val="24"/>
                <w:szCs w:val="24"/>
                <w:lang w:val="en-US" w:eastAsia="zh-CN"/>
              </w:rPr>
              <w:t>一段时间</w:t>
            </w:r>
            <w:r>
              <w:rPr>
                <w:rFonts w:hint="eastAsia" w:ascii="宋体" w:hAnsi="宋体" w:cs="宋体"/>
                <w:sz w:val="24"/>
                <w:szCs w:val="24"/>
              </w:rPr>
              <w:t>缴纳社会保险的凭据（专用收据或社会保险缴纳清单）</w:t>
            </w:r>
          </w:p>
          <w:p w14:paraId="53FAA51F">
            <w:pPr>
              <w:spacing w:line="360" w:lineRule="exact"/>
              <w:rPr>
                <w:rFonts w:ascii="宋体" w:hAnsi="宋体" w:cs="宋体"/>
                <w:sz w:val="24"/>
                <w:szCs w:val="24"/>
              </w:rPr>
            </w:pPr>
            <w:r>
              <w:rPr>
                <w:rFonts w:hint="eastAsia" w:ascii="宋体" w:hAnsi="宋体" w:cs="宋体"/>
                <w:sz w:val="24"/>
                <w:szCs w:val="24"/>
              </w:rPr>
              <w:t>2.3 依法不需要缴纳社会保险资金的供应商：提供其依法不需要缴纳社会保险资金的相关证明文件。</w:t>
            </w:r>
          </w:p>
        </w:tc>
      </w:tr>
      <w:tr w14:paraId="0761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5202E789">
            <w:pPr>
              <w:spacing w:line="360" w:lineRule="exact"/>
              <w:jc w:val="center"/>
              <w:rPr>
                <w:rFonts w:ascii="宋体" w:hAnsi="宋体" w:cs="宋体"/>
                <w:sz w:val="24"/>
                <w:szCs w:val="24"/>
              </w:rPr>
            </w:pPr>
            <w:r>
              <w:rPr>
                <w:rFonts w:hint="eastAsia" w:ascii="宋体" w:hAnsi="宋体" w:cs="宋体"/>
                <w:sz w:val="24"/>
                <w:szCs w:val="24"/>
              </w:rPr>
              <w:t>4</w:t>
            </w:r>
          </w:p>
        </w:tc>
        <w:tc>
          <w:tcPr>
            <w:tcW w:w="2943" w:type="dxa"/>
            <w:vAlign w:val="center"/>
          </w:tcPr>
          <w:p w14:paraId="5AD7B1A6">
            <w:pPr>
              <w:spacing w:line="360" w:lineRule="exact"/>
              <w:jc w:val="left"/>
              <w:rPr>
                <w:rFonts w:ascii="宋体" w:hAnsi="宋体" w:cs="宋体"/>
                <w:sz w:val="24"/>
                <w:szCs w:val="24"/>
              </w:rPr>
            </w:pPr>
            <w:r>
              <w:rPr>
                <w:rFonts w:hint="eastAsia" w:ascii="宋体" w:hAnsi="宋体" w:cs="宋体"/>
                <w:sz w:val="24"/>
                <w:szCs w:val="24"/>
              </w:rPr>
              <w:t>具备履行合同所必需的设备和专业技术能力的证明材料（如有，请提供）</w:t>
            </w:r>
          </w:p>
        </w:tc>
        <w:tc>
          <w:tcPr>
            <w:tcW w:w="6214" w:type="dxa"/>
            <w:vAlign w:val="center"/>
          </w:tcPr>
          <w:p w14:paraId="23820D9E">
            <w:pPr>
              <w:spacing w:line="360" w:lineRule="exact"/>
              <w:jc w:val="left"/>
              <w:rPr>
                <w:rFonts w:hint="eastAsia" w:ascii="宋体" w:hAnsi="宋体" w:eastAsia="宋体" w:cs="宋体"/>
                <w:sz w:val="24"/>
                <w:szCs w:val="24"/>
                <w:lang w:eastAsia="zh-CN"/>
              </w:rPr>
            </w:pPr>
            <w:r>
              <w:rPr>
                <w:rFonts w:hint="eastAsia" w:ascii="宋体" w:hAnsi="宋体" w:eastAsia="宋体" w:cs="宋体"/>
                <w:b/>
                <w:sz w:val="24"/>
                <w:szCs w:val="24"/>
                <w:lang w:val="hr-HR"/>
              </w:rPr>
              <w:t>由供应商提供书面承诺或声明或提供相应证明材料</w:t>
            </w:r>
            <w:r>
              <w:rPr>
                <w:rFonts w:hint="eastAsia" w:ascii="宋体" w:hAnsi="宋体" w:eastAsia="宋体" w:cs="宋体"/>
                <w:b/>
                <w:sz w:val="24"/>
                <w:szCs w:val="24"/>
                <w:lang w:val="hr-HR" w:eastAsia="zh-CN"/>
              </w:rPr>
              <w:t>。</w:t>
            </w:r>
          </w:p>
        </w:tc>
      </w:tr>
      <w:tr w14:paraId="17CB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04E510B5">
            <w:pPr>
              <w:spacing w:line="360" w:lineRule="exact"/>
              <w:jc w:val="center"/>
              <w:rPr>
                <w:rFonts w:ascii="宋体" w:hAnsi="宋体" w:cs="宋体"/>
                <w:sz w:val="24"/>
                <w:szCs w:val="24"/>
              </w:rPr>
            </w:pPr>
            <w:r>
              <w:rPr>
                <w:rFonts w:hint="eastAsia" w:ascii="宋体" w:hAnsi="宋体" w:cs="宋体"/>
                <w:sz w:val="24"/>
                <w:szCs w:val="24"/>
              </w:rPr>
              <w:t>5</w:t>
            </w:r>
          </w:p>
        </w:tc>
        <w:tc>
          <w:tcPr>
            <w:tcW w:w="2943" w:type="dxa"/>
            <w:vAlign w:val="center"/>
          </w:tcPr>
          <w:p w14:paraId="40BFA22A">
            <w:pPr>
              <w:spacing w:line="360" w:lineRule="exact"/>
              <w:jc w:val="left"/>
              <w:rPr>
                <w:rFonts w:ascii="宋体" w:hAnsi="宋体" w:cs="宋体"/>
                <w:sz w:val="24"/>
                <w:szCs w:val="24"/>
              </w:rPr>
            </w:pPr>
            <w:r>
              <w:rPr>
                <w:rFonts w:hint="eastAsia" w:ascii="宋体" w:hAnsi="宋体" w:cs="宋体"/>
                <w:sz w:val="24"/>
                <w:szCs w:val="24"/>
              </w:rPr>
              <w:t>参加本项目采购活动前3年内在经营活动中没有重大违法记录的书面声明</w:t>
            </w:r>
          </w:p>
        </w:tc>
        <w:tc>
          <w:tcPr>
            <w:tcW w:w="6214" w:type="dxa"/>
            <w:vAlign w:val="center"/>
          </w:tcPr>
          <w:p w14:paraId="566DBA9E">
            <w:pPr>
              <w:spacing w:line="360" w:lineRule="exact"/>
              <w:rPr>
                <w:rFonts w:ascii="宋体" w:hAnsi="宋体" w:cs="宋体"/>
                <w:sz w:val="24"/>
                <w:szCs w:val="24"/>
              </w:rPr>
            </w:pPr>
            <w:r>
              <w:rPr>
                <w:rFonts w:hint="eastAsia" w:ascii="宋体" w:hAnsi="宋体" w:cs="宋体"/>
                <w:sz w:val="24"/>
                <w:szCs w:val="24"/>
              </w:rPr>
              <w:t>应严格按照附件格式提交“参加本项目采购活动前三年内在经营活动中没有重大违法记录的书面声明函”。</w:t>
            </w:r>
          </w:p>
        </w:tc>
      </w:tr>
      <w:tr w14:paraId="12C0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3BC0A1E9">
            <w:pPr>
              <w:spacing w:line="360" w:lineRule="exact"/>
              <w:jc w:val="center"/>
              <w:rPr>
                <w:rFonts w:ascii="宋体" w:hAnsi="宋体" w:cs="宋体"/>
                <w:sz w:val="24"/>
                <w:szCs w:val="24"/>
              </w:rPr>
            </w:pPr>
            <w:r>
              <w:rPr>
                <w:rFonts w:hint="eastAsia" w:ascii="宋体" w:hAnsi="宋体" w:cs="宋体"/>
                <w:sz w:val="24"/>
                <w:szCs w:val="24"/>
              </w:rPr>
              <w:t>6</w:t>
            </w:r>
          </w:p>
        </w:tc>
        <w:tc>
          <w:tcPr>
            <w:tcW w:w="2943" w:type="dxa"/>
            <w:vAlign w:val="center"/>
          </w:tcPr>
          <w:p w14:paraId="2455EA13">
            <w:pPr>
              <w:wordWrap w:val="0"/>
              <w:topLinePunct/>
              <w:spacing w:line="360" w:lineRule="exact"/>
              <w:jc w:val="left"/>
              <w:rPr>
                <w:rFonts w:ascii="宋体" w:hAnsi="宋体" w:cs="宋体"/>
                <w:sz w:val="24"/>
                <w:szCs w:val="24"/>
              </w:rPr>
            </w:pPr>
            <w:r>
              <w:rPr>
                <w:rFonts w:hint="eastAsia" w:ascii="宋体" w:hAnsi="宋体" w:cs="宋体"/>
                <w:sz w:val="24"/>
                <w:szCs w:val="24"/>
              </w:rPr>
              <w:t>未被列入“信用中国”网站（www.creditchina.gov.cn）失信被执行人、重大税收违法案件当事人和“中国政府采购”网站（www.ccgp.gov.cn）政府采购严重违法失信行为记录名单。（以磋商当天采购代理机构查询结果为准）</w:t>
            </w:r>
          </w:p>
        </w:tc>
        <w:tc>
          <w:tcPr>
            <w:tcW w:w="6214" w:type="dxa"/>
            <w:vAlign w:val="center"/>
          </w:tcPr>
          <w:p w14:paraId="3D2B0930">
            <w:pPr>
              <w:spacing w:line="360" w:lineRule="exact"/>
              <w:rPr>
                <w:rFonts w:ascii="宋体" w:hAnsi="宋体" w:cs="宋体"/>
                <w:sz w:val="24"/>
                <w:szCs w:val="24"/>
              </w:rPr>
            </w:pPr>
            <w:r>
              <w:rPr>
                <w:rFonts w:hint="eastAsia" w:ascii="宋体" w:hAnsi="宋体" w:cs="宋体"/>
                <w:sz w:val="24"/>
                <w:szCs w:val="24"/>
              </w:rPr>
              <w:t>以磋商当天采购代理机构查询结果为准</w:t>
            </w:r>
          </w:p>
        </w:tc>
      </w:tr>
      <w:tr w14:paraId="6BE2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6BA97237">
            <w:pPr>
              <w:spacing w:line="360" w:lineRule="exact"/>
              <w:jc w:val="center"/>
              <w:rPr>
                <w:rFonts w:ascii="宋体" w:hAnsi="宋体" w:cs="宋体"/>
                <w:sz w:val="24"/>
                <w:szCs w:val="24"/>
              </w:rPr>
            </w:pPr>
            <w:r>
              <w:rPr>
                <w:rFonts w:hint="eastAsia" w:ascii="宋体" w:hAnsi="宋体" w:cs="宋体"/>
                <w:sz w:val="24"/>
                <w:szCs w:val="24"/>
              </w:rPr>
              <w:t>7</w:t>
            </w:r>
          </w:p>
        </w:tc>
        <w:tc>
          <w:tcPr>
            <w:tcW w:w="2943" w:type="dxa"/>
            <w:vAlign w:val="center"/>
          </w:tcPr>
          <w:p w14:paraId="6DF15AE0">
            <w:pPr>
              <w:spacing w:line="360" w:lineRule="exact"/>
              <w:rPr>
                <w:rFonts w:ascii="宋体" w:hAnsi="宋体" w:cs="宋体"/>
                <w:sz w:val="24"/>
                <w:szCs w:val="24"/>
              </w:rPr>
            </w:pPr>
            <w:r>
              <w:rPr>
                <w:rFonts w:hint="eastAsia" w:ascii="宋体" w:hAnsi="宋体" w:cs="宋体"/>
                <w:sz w:val="24"/>
                <w:szCs w:val="24"/>
              </w:rPr>
              <w:t>采购（招标）文件“第一部分 合格供应商资格要求”中有其他要求的，供应商应提供其符合要求的证明材料</w:t>
            </w:r>
          </w:p>
        </w:tc>
        <w:tc>
          <w:tcPr>
            <w:tcW w:w="6214" w:type="dxa"/>
            <w:vAlign w:val="center"/>
          </w:tcPr>
          <w:p w14:paraId="1F707C69">
            <w:pPr>
              <w:spacing w:line="360" w:lineRule="exact"/>
              <w:rPr>
                <w:rFonts w:ascii="宋体" w:hAnsi="宋体" w:cs="宋体"/>
                <w:sz w:val="24"/>
                <w:szCs w:val="24"/>
              </w:rPr>
            </w:pPr>
            <w:r>
              <w:rPr>
                <w:rFonts w:hint="eastAsia" w:ascii="宋体" w:hAnsi="宋体" w:cs="宋体"/>
                <w:sz w:val="24"/>
                <w:szCs w:val="24"/>
              </w:rPr>
              <w:t>详见“第一部分 合格供应商资格要求”。</w:t>
            </w:r>
          </w:p>
        </w:tc>
      </w:tr>
      <w:tr w14:paraId="15C6B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48389C76">
            <w:pPr>
              <w:spacing w:line="360" w:lineRule="exact"/>
              <w:jc w:val="center"/>
              <w:rPr>
                <w:rFonts w:ascii="宋体" w:hAnsi="宋体" w:cs="宋体"/>
                <w:sz w:val="24"/>
                <w:szCs w:val="24"/>
              </w:rPr>
            </w:pPr>
            <w:r>
              <w:rPr>
                <w:rFonts w:hint="eastAsia" w:ascii="宋体" w:hAnsi="宋体" w:cs="宋体"/>
                <w:sz w:val="24"/>
                <w:szCs w:val="24"/>
              </w:rPr>
              <w:t>8</w:t>
            </w:r>
          </w:p>
        </w:tc>
        <w:tc>
          <w:tcPr>
            <w:tcW w:w="2943" w:type="dxa"/>
            <w:vAlign w:val="center"/>
          </w:tcPr>
          <w:p w14:paraId="3122D81D">
            <w:pPr>
              <w:spacing w:line="360" w:lineRule="exact"/>
              <w:rPr>
                <w:rFonts w:ascii="宋体" w:hAnsi="宋体" w:cs="宋体"/>
                <w:sz w:val="24"/>
                <w:szCs w:val="24"/>
              </w:rPr>
            </w:pPr>
            <w:r>
              <w:rPr>
                <w:rFonts w:hint="eastAsia" w:ascii="宋体" w:hAnsi="宋体" w:cs="宋体"/>
                <w:sz w:val="24"/>
                <w:szCs w:val="24"/>
              </w:rPr>
              <w:t>供应商认为需提供的其他相关资格证明材料（如有，请提供）</w:t>
            </w:r>
          </w:p>
        </w:tc>
        <w:tc>
          <w:tcPr>
            <w:tcW w:w="6214" w:type="dxa"/>
            <w:vAlign w:val="center"/>
          </w:tcPr>
          <w:p w14:paraId="5D19E8DC">
            <w:pPr>
              <w:spacing w:line="360" w:lineRule="exact"/>
              <w:rPr>
                <w:rFonts w:ascii="宋体" w:hAnsi="宋体" w:cs="宋体"/>
                <w:sz w:val="24"/>
                <w:szCs w:val="24"/>
              </w:rPr>
            </w:pPr>
          </w:p>
        </w:tc>
      </w:tr>
    </w:tbl>
    <w:p w14:paraId="3DA1DE06">
      <w:pPr>
        <w:spacing w:line="360" w:lineRule="auto"/>
        <w:rPr>
          <w:rFonts w:ascii="宋体" w:hAnsi="宋体" w:cs="宋体"/>
          <w:sz w:val="24"/>
          <w:szCs w:val="24"/>
        </w:rPr>
      </w:pPr>
      <w:r>
        <w:rPr>
          <w:rFonts w:hint="eastAsia" w:ascii="宋体" w:hAnsi="宋体" w:cs="宋体"/>
          <w:sz w:val="24"/>
          <w:szCs w:val="24"/>
        </w:rPr>
        <w:t>注：</w:t>
      </w:r>
    </w:p>
    <w:p w14:paraId="08126023">
      <w:pPr>
        <w:spacing w:line="360" w:lineRule="auto"/>
        <w:rPr>
          <w:rFonts w:ascii="宋体" w:hAnsi="宋体" w:cs="宋体"/>
          <w:sz w:val="24"/>
          <w:szCs w:val="24"/>
        </w:rPr>
      </w:pPr>
      <w:r>
        <w:rPr>
          <w:rFonts w:hint="eastAsia" w:ascii="宋体" w:hAnsi="宋体" w:cs="宋体"/>
          <w:sz w:val="24"/>
          <w:szCs w:val="24"/>
        </w:rPr>
        <w:t>1、以上材料提供不实的，按照有关规定给予处罚；</w:t>
      </w:r>
    </w:p>
    <w:p w14:paraId="51982183">
      <w:pPr>
        <w:spacing w:line="360" w:lineRule="auto"/>
        <w:rPr>
          <w:rFonts w:ascii="宋体" w:hAnsi="宋体" w:cs="宋体"/>
          <w:sz w:val="24"/>
          <w:szCs w:val="24"/>
        </w:rPr>
      </w:pPr>
      <w:r>
        <w:rPr>
          <w:rFonts w:hint="eastAsia" w:ascii="宋体" w:hAnsi="宋体" w:cs="宋体"/>
          <w:sz w:val="24"/>
          <w:szCs w:val="24"/>
        </w:rPr>
        <w:t>2、资格证明文件正本应为清晰影印件且加盖单位公章，否则按照无效投标处理。</w:t>
      </w:r>
    </w:p>
    <w:p w14:paraId="6FBBBB21">
      <w:pPr>
        <w:pStyle w:val="15"/>
        <w:numPr>
          <w:ilvl w:val="0"/>
          <w:numId w:val="25"/>
        </w:numPr>
        <w:adjustRightInd w:val="0"/>
        <w:snapToGrid w:val="0"/>
        <w:spacing w:before="0" w:beforeAutospacing="0" w:after="0" w:afterAutospacing="0" w:line="360" w:lineRule="auto"/>
        <w:ind w:left="0" w:firstLine="0"/>
        <w:rPr>
          <w:rFonts w:cs="宋体"/>
          <w:color w:val="auto"/>
          <w:szCs w:val="24"/>
        </w:rPr>
      </w:pPr>
      <w:r>
        <w:rPr>
          <w:rFonts w:hint="eastAsia" w:cs="宋体"/>
          <w:color w:val="auto"/>
          <w:szCs w:val="24"/>
        </w:rPr>
        <w:t>符合性审查表</w:t>
      </w:r>
    </w:p>
    <w:tbl>
      <w:tblPr>
        <w:tblStyle w:val="30"/>
        <w:tblW w:w="0" w:type="auto"/>
        <w:tblInd w:w="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49"/>
      </w:tblGrid>
      <w:tr w14:paraId="62F97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36EBE9B">
            <w:pPr>
              <w:tabs>
                <w:tab w:val="left" w:pos="426"/>
              </w:tabs>
              <w:spacing w:line="360" w:lineRule="exact"/>
              <w:jc w:val="center"/>
              <w:rPr>
                <w:rFonts w:ascii="宋体" w:hAnsi="宋体" w:cs="宋体"/>
                <w:b/>
                <w:bCs/>
                <w:kern w:val="0"/>
                <w:sz w:val="24"/>
                <w:szCs w:val="24"/>
              </w:rPr>
            </w:pPr>
            <w:r>
              <w:rPr>
                <w:rFonts w:hint="eastAsia" w:ascii="宋体" w:hAnsi="宋体" w:cs="宋体"/>
                <w:b/>
                <w:bCs/>
                <w:kern w:val="0"/>
                <w:sz w:val="24"/>
                <w:szCs w:val="24"/>
              </w:rPr>
              <w:t>序号</w:t>
            </w:r>
          </w:p>
        </w:tc>
        <w:tc>
          <w:tcPr>
            <w:tcW w:w="9049" w:type="dxa"/>
          </w:tcPr>
          <w:p w14:paraId="13D19C51">
            <w:pPr>
              <w:tabs>
                <w:tab w:val="left" w:pos="426"/>
              </w:tabs>
              <w:spacing w:line="360" w:lineRule="exact"/>
              <w:jc w:val="center"/>
              <w:rPr>
                <w:rFonts w:ascii="宋体" w:hAnsi="宋体" w:cs="宋体"/>
                <w:b/>
                <w:bCs/>
                <w:kern w:val="0"/>
                <w:sz w:val="24"/>
                <w:szCs w:val="24"/>
              </w:rPr>
            </w:pPr>
            <w:r>
              <w:rPr>
                <w:rFonts w:hint="eastAsia" w:ascii="宋体" w:hAnsi="宋体" w:cs="宋体"/>
                <w:b/>
                <w:bCs/>
                <w:kern w:val="0"/>
                <w:sz w:val="24"/>
                <w:szCs w:val="24"/>
              </w:rPr>
              <w:t>检查内容</w:t>
            </w:r>
          </w:p>
        </w:tc>
      </w:tr>
      <w:tr w14:paraId="1FE1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4E80AF13">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359DAEBF">
            <w:pPr>
              <w:tabs>
                <w:tab w:val="left" w:pos="426"/>
              </w:tabs>
              <w:spacing w:line="360" w:lineRule="exact"/>
              <w:rPr>
                <w:rFonts w:ascii="宋体" w:hAnsi="宋体" w:cs="宋体"/>
                <w:kern w:val="0"/>
                <w:sz w:val="24"/>
                <w:szCs w:val="24"/>
              </w:rPr>
            </w:pPr>
            <w:r>
              <w:rPr>
                <w:rFonts w:hint="eastAsia" w:ascii="宋体" w:hAnsi="宋体" w:cs="宋体"/>
                <w:kern w:val="0"/>
                <w:sz w:val="24"/>
                <w:szCs w:val="24"/>
              </w:rPr>
              <w:t>响应文件满足磋商文件规定的签字、盖章要求的；</w:t>
            </w:r>
          </w:p>
        </w:tc>
      </w:tr>
      <w:tr w14:paraId="42EB2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7CEF5CB6">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725EFC0F">
            <w:pPr>
              <w:tabs>
                <w:tab w:val="left" w:pos="426"/>
              </w:tabs>
              <w:spacing w:line="360" w:lineRule="exact"/>
              <w:rPr>
                <w:rFonts w:ascii="宋体" w:hAnsi="宋体" w:cs="宋体"/>
                <w:kern w:val="0"/>
                <w:sz w:val="24"/>
                <w:szCs w:val="24"/>
              </w:rPr>
            </w:pPr>
            <w:r>
              <w:rPr>
                <w:rFonts w:hint="eastAsia" w:ascii="宋体" w:hAnsi="宋体" w:cs="宋体"/>
                <w:kern w:val="0"/>
                <w:sz w:val="24"/>
                <w:szCs w:val="24"/>
              </w:rPr>
              <w:t>供应商对响应文件进行修改后，在修改处由供应商单位法定代表人或法定代表人委托的投标代理人签字或盖章的；</w:t>
            </w:r>
          </w:p>
        </w:tc>
      </w:tr>
      <w:tr w14:paraId="22C3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BAE654F">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7C7BDB95">
            <w:pPr>
              <w:tabs>
                <w:tab w:val="left" w:pos="426"/>
              </w:tabs>
              <w:spacing w:line="360" w:lineRule="exact"/>
              <w:rPr>
                <w:rFonts w:ascii="宋体" w:hAnsi="宋体" w:cs="宋体"/>
                <w:kern w:val="0"/>
                <w:sz w:val="24"/>
                <w:szCs w:val="24"/>
              </w:rPr>
            </w:pPr>
            <w:r>
              <w:rPr>
                <w:rFonts w:hint="eastAsia" w:ascii="宋体" w:hAnsi="宋体" w:cs="宋体"/>
                <w:kern w:val="0"/>
                <w:sz w:val="24"/>
                <w:szCs w:val="24"/>
              </w:rPr>
              <w:t>同一供应商</w:t>
            </w:r>
            <w:r>
              <w:rPr>
                <w:rFonts w:hint="eastAsia" w:ascii="宋体" w:hAnsi="宋体" w:cs="宋体"/>
                <w:kern w:val="0"/>
                <w:sz w:val="24"/>
                <w:szCs w:val="24"/>
                <w:lang w:val="en-US" w:eastAsia="zh-CN"/>
              </w:rPr>
              <w:t>未</w:t>
            </w:r>
            <w:r>
              <w:rPr>
                <w:rFonts w:hint="eastAsia" w:ascii="宋体" w:hAnsi="宋体" w:cs="宋体"/>
                <w:kern w:val="0"/>
                <w:sz w:val="24"/>
                <w:szCs w:val="24"/>
              </w:rPr>
              <w:t>提交两个以上不同的响应文件或者响应报价，但磋商文件要求提交备选投标的除外；</w:t>
            </w:r>
          </w:p>
        </w:tc>
      </w:tr>
      <w:tr w14:paraId="6B215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F40C68E">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1D9D14BC">
            <w:pPr>
              <w:tabs>
                <w:tab w:val="left" w:pos="426"/>
              </w:tabs>
              <w:spacing w:line="360" w:lineRule="exact"/>
              <w:rPr>
                <w:rFonts w:ascii="宋体" w:hAnsi="宋体" w:cs="宋体"/>
                <w:kern w:val="0"/>
                <w:sz w:val="24"/>
                <w:szCs w:val="24"/>
              </w:rPr>
            </w:pPr>
            <w:r>
              <w:rPr>
                <w:rFonts w:hint="eastAsia" w:ascii="宋体" w:hAnsi="宋体" w:cs="宋体"/>
                <w:kern w:val="0"/>
                <w:sz w:val="24"/>
                <w:szCs w:val="24"/>
                <w:lang w:val="en-US" w:eastAsia="zh-CN"/>
              </w:rPr>
              <w:t>不存在</w:t>
            </w:r>
            <w:r>
              <w:rPr>
                <w:rFonts w:hint="eastAsia" w:ascii="宋体" w:hAnsi="宋体" w:cs="宋体"/>
                <w:kern w:val="0"/>
                <w:sz w:val="24"/>
                <w:szCs w:val="24"/>
              </w:rPr>
              <w:t>响应文件有效期少于磋商文件规定有效期的；</w:t>
            </w:r>
          </w:p>
        </w:tc>
      </w:tr>
      <w:tr w14:paraId="55F0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9CCCB89">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5F22481E">
            <w:pPr>
              <w:tabs>
                <w:tab w:val="left" w:pos="426"/>
              </w:tabs>
              <w:spacing w:line="360" w:lineRule="exact"/>
              <w:rPr>
                <w:rFonts w:ascii="宋体" w:hAnsi="宋体" w:cs="宋体"/>
                <w:kern w:val="0"/>
                <w:sz w:val="24"/>
                <w:szCs w:val="24"/>
              </w:rPr>
            </w:pPr>
            <w:r>
              <w:rPr>
                <w:rFonts w:hint="eastAsia" w:ascii="宋体" w:hAnsi="宋体" w:cs="宋体"/>
                <w:kern w:val="0"/>
                <w:sz w:val="24"/>
                <w:szCs w:val="24"/>
                <w:lang w:val="en-US" w:eastAsia="zh-CN"/>
              </w:rPr>
              <w:t>不存在</w:t>
            </w:r>
            <w:r>
              <w:rPr>
                <w:rFonts w:hint="eastAsia" w:ascii="宋体" w:hAnsi="宋体" w:cs="宋体"/>
                <w:kern w:val="0"/>
                <w:sz w:val="24"/>
                <w:szCs w:val="24"/>
              </w:rPr>
              <w:t>响应文件附有采购人不能接受的条件的；</w:t>
            </w:r>
          </w:p>
        </w:tc>
      </w:tr>
      <w:tr w14:paraId="2343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9C863CA">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5AE2C954">
            <w:pPr>
              <w:tabs>
                <w:tab w:val="left" w:pos="426"/>
              </w:tabs>
              <w:spacing w:line="360" w:lineRule="exact"/>
              <w:rPr>
                <w:rFonts w:ascii="宋体" w:hAnsi="宋体" w:cs="宋体"/>
                <w:kern w:val="0"/>
                <w:sz w:val="24"/>
                <w:szCs w:val="24"/>
              </w:rPr>
            </w:pPr>
            <w:r>
              <w:rPr>
                <w:rFonts w:hint="eastAsia" w:ascii="宋体" w:hAnsi="宋体" w:cs="宋体"/>
                <w:kern w:val="0"/>
                <w:sz w:val="24"/>
                <w:szCs w:val="24"/>
              </w:rPr>
              <w:t>接受本须知25.6规定调整响应文件中计算错误或其他错误的；</w:t>
            </w:r>
          </w:p>
        </w:tc>
      </w:tr>
      <w:tr w14:paraId="59859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0B32392">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13C5D7F3">
            <w:pPr>
              <w:tabs>
                <w:tab w:val="left" w:pos="426"/>
              </w:tabs>
              <w:spacing w:line="360" w:lineRule="exact"/>
              <w:rPr>
                <w:rFonts w:ascii="宋体" w:hAnsi="宋体" w:cs="宋体"/>
                <w:kern w:val="0"/>
                <w:sz w:val="24"/>
                <w:szCs w:val="24"/>
              </w:rPr>
            </w:pPr>
            <w:r>
              <w:rPr>
                <w:rFonts w:hint="eastAsia" w:ascii="宋体" w:hAnsi="宋体" w:cs="宋体"/>
                <w:kern w:val="0"/>
                <w:sz w:val="24"/>
                <w:szCs w:val="24"/>
              </w:rPr>
              <w:t>满足磋商文件中“★”号条款的或磋商文件规定的其他实质性要求的；</w:t>
            </w:r>
          </w:p>
        </w:tc>
      </w:tr>
      <w:tr w14:paraId="0133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694F667C">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37F01F9D">
            <w:pPr>
              <w:tabs>
                <w:tab w:val="left" w:pos="426"/>
              </w:tabs>
              <w:spacing w:line="360" w:lineRule="exact"/>
              <w:rPr>
                <w:rFonts w:ascii="宋体" w:hAnsi="宋体" w:cs="宋体"/>
                <w:kern w:val="0"/>
                <w:sz w:val="24"/>
                <w:szCs w:val="24"/>
              </w:rPr>
            </w:pPr>
            <w:r>
              <w:rPr>
                <w:rFonts w:hint="eastAsia" w:ascii="宋体" w:hAnsi="宋体" w:cs="宋体"/>
                <w:kern w:val="0"/>
                <w:sz w:val="24"/>
                <w:szCs w:val="24"/>
                <w:lang w:val="en-US" w:eastAsia="zh-CN"/>
              </w:rPr>
              <w:t>不存在</w:t>
            </w:r>
            <w:r>
              <w:rPr>
                <w:rFonts w:hint="eastAsia" w:ascii="宋体" w:hAnsi="宋体" w:cs="宋体"/>
                <w:kern w:val="0"/>
                <w:sz w:val="24"/>
                <w:szCs w:val="24"/>
              </w:rPr>
              <w:t>响应报价低于成本或者高于磋商文件设定的预算金额的；</w:t>
            </w:r>
          </w:p>
        </w:tc>
      </w:tr>
      <w:tr w14:paraId="5E9A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385E209F">
            <w:pPr>
              <w:numPr>
                <w:ilvl w:val="0"/>
                <w:numId w:val="28"/>
              </w:numPr>
              <w:tabs>
                <w:tab w:val="left" w:pos="426"/>
              </w:tabs>
              <w:spacing w:line="360" w:lineRule="exact"/>
              <w:ind w:left="425" w:leftChars="0" w:hanging="425" w:firstLineChars="0"/>
              <w:jc w:val="center"/>
              <w:rPr>
                <w:rFonts w:ascii="宋体" w:hAnsi="宋体" w:cs="宋体"/>
                <w:kern w:val="0"/>
                <w:sz w:val="24"/>
                <w:szCs w:val="24"/>
              </w:rPr>
            </w:pPr>
          </w:p>
        </w:tc>
        <w:tc>
          <w:tcPr>
            <w:tcW w:w="9049" w:type="dxa"/>
          </w:tcPr>
          <w:p w14:paraId="4A01770F">
            <w:pPr>
              <w:tabs>
                <w:tab w:val="left" w:pos="426"/>
              </w:tabs>
              <w:spacing w:line="360" w:lineRule="exact"/>
              <w:rPr>
                <w:rFonts w:ascii="宋体" w:hAnsi="宋体" w:cs="宋体"/>
                <w:kern w:val="0"/>
                <w:sz w:val="24"/>
                <w:szCs w:val="24"/>
              </w:rPr>
            </w:pPr>
            <w:r>
              <w:rPr>
                <w:rFonts w:hint="eastAsia" w:ascii="宋体" w:hAnsi="宋体" w:cs="宋体"/>
                <w:kern w:val="0"/>
                <w:sz w:val="24"/>
                <w:szCs w:val="24"/>
              </w:rPr>
              <w:t>有下列情形之一的，属于恶意串通：</w:t>
            </w:r>
          </w:p>
          <w:p w14:paraId="46D90300">
            <w:pPr>
              <w:tabs>
                <w:tab w:val="left" w:pos="426"/>
              </w:tabs>
              <w:spacing w:line="360" w:lineRule="exact"/>
              <w:rPr>
                <w:rFonts w:ascii="宋体" w:hAnsi="宋体" w:cs="宋体"/>
                <w:kern w:val="0"/>
                <w:sz w:val="24"/>
                <w:szCs w:val="24"/>
              </w:rPr>
            </w:pPr>
            <w:r>
              <w:rPr>
                <w:rFonts w:hint="eastAsia" w:ascii="宋体" w:hAnsi="宋体" w:cs="宋体"/>
                <w:kern w:val="0"/>
                <w:sz w:val="24"/>
                <w:szCs w:val="24"/>
              </w:rPr>
              <w:t>（一）供应商直接或者间接从采购人或者采购代理机构处获得其他供应商的相关情况并修改其投标文件或者响应文件；</w:t>
            </w:r>
          </w:p>
          <w:p w14:paraId="55D1FF9C">
            <w:pPr>
              <w:tabs>
                <w:tab w:val="left" w:pos="426"/>
              </w:tabs>
              <w:spacing w:line="360" w:lineRule="exact"/>
              <w:rPr>
                <w:rFonts w:ascii="宋体" w:hAnsi="宋体" w:cs="宋体"/>
                <w:kern w:val="0"/>
                <w:sz w:val="24"/>
                <w:szCs w:val="24"/>
              </w:rPr>
            </w:pPr>
            <w:r>
              <w:rPr>
                <w:rFonts w:hint="eastAsia" w:ascii="宋体" w:hAnsi="宋体" w:cs="宋体"/>
                <w:kern w:val="0"/>
                <w:sz w:val="24"/>
                <w:szCs w:val="24"/>
              </w:rPr>
              <w:t>（二）供应商按照采购人或者采购代理机构的授意撤换、修改投标文件或者响应文件；</w:t>
            </w:r>
          </w:p>
          <w:p w14:paraId="29FBC1A0">
            <w:pPr>
              <w:tabs>
                <w:tab w:val="left" w:pos="426"/>
              </w:tabs>
              <w:spacing w:line="360" w:lineRule="exact"/>
              <w:rPr>
                <w:rFonts w:ascii="宋体" w:hAnsi="宋体" w:cs="宋体"/>
                <w:kern w:val="0"/>
                <w:sz w:val="24"/>
                <w:szCs w:val="24"/>
              </w:rPr>
            </w:pPr>
            <w:r>
              <w:rPr>
                <w:rFonts w:hint="eastAsia" w:ascii="宋体" w:hAnsi="宋体" w:cs="宋体"/>
                <w:kern w:val="0"/>
                <w:sz w:val="24"/>
                <w:szCs w:val="24"/>
              </w:rPr>
              <w:t>（三）供应商之间协商报价、技术方案等投标文件或者响应文件的实质性内容；</w:t>
            </w:r>
          </w:p>
          <w:p w14:paraId="2A71A8CD">
            <w:pPr>
              <w:tabs>
                <w:tab w:val="left" w:pos="426"/>
              </w:tabs>
              <w:spacing w:line="360" w:lineRule="exact"/>
              <w:rPr>
                <w:rFonts w:ascii="宋体" w:hAnsi="宋体" w:cs="宋体"/>
                <w:kern w:val="0"/>
                <w:sz w:val="24"/>
                <w:szCs w:val="24"/>
              </w:rPr>
            </w:pPr>
            <w:r>
              <w:rPr>
                <w:rFonts w:hint="eastAsia" w:ascii="宋体" w:hAnsi="宋体" w:cs="宋体"/>
                <w:kern w:val="0"/>
                <w:sz w:val="24"/>
                <w:szCs w:val="24"/>
              </w:rPr>
              <w:t>（四）属于同一集团、协会、商会等组织成员的供应商按照该组织要求协同参加采购活动；</w:t>
            </w:r>
          </w:p>
          <w:p w14:paraId="234A9EFC">
            <w:pPr>
              <w:tabs>
                <w:tab w:val="left" w:pos="426"/>
              </w:tabs>
              <w:spacing w:line="360" w:lineRule="exact"/>
              <w:rPr>
                <w:rFonts w:ascii="宋体" w:hAnsi="宋体" w:cs="宋体"/>
                <w:kern w:val="0"/>
                <w:sz w:val="24"/>
                <w:szCs w:val="24"/>
              </w:rPr>
            </w:pPr>
            <w:r>
              <w:rPr>
                <w:rFonts w:hint="eastAsia" w:ascii="宋体" w:hAnsi="宋体" w:cs="宋体"/>
                <w:kern w:val="0"/>
                <w:sz w:val="24"/>
                <w:szCs w:val="24"/>
              </w:rPr>
              <w:t>（五）供应商之间事先约定由某一特定供应商中标、成交；</w:t>
            </w:r>
          </w:p>
          <w:p w14:paraId="39603ADF">
            <w:pPr>
              <w:tabs>
                <w:tab w:val="left" w:pos="426"/>
              </w:tabs>
              <w:spacing w:line="360" w:lineRule="exact"/>
              <w:rPr>
                <w:rFonts w:ascii="宋体" w:hAnsi="宋体" w:cs="宋体"/>
                <w:kern w:val="0"/>
                <w:sz w:val="24"/>
                <w:szCs w:val="24"/>
              </w:rPr>
            </w:pPr>
            <w:r>
              <w:rPr>
                <w:rFonts w:hint="eastAsia" w:ascii="宋体" w:hAnsi="宋体" w:cs="宋体"/>
                <w:kern w:val="0"/>
                <w:sz w:val="24"/>
                <w:szCs w:val="24"/>
              </w:rPr>
              <w:t>（六）供应商之间商定部分供应商放弃参加采购活动或者放弃中标、成交；</w:t>
            </w:r>
          </w:p>
          <w:p w14:paraId="4EB4BBC4">
            <w:pPr>
              <w:tabs>
                <w:tab w:val="left" w:pos="426"/>
              </w:tabs>
              <w:spacing w:line="360" w:lineRule="exact"/>
              <w:rPr>
                <w:rFonts w:ascii="宋体" w:hAnsi="宋体" w:cs="宋体"/>
                <w:kern w:val="0"/>
                <w:sz w:val="24"/>
                <w:szCs w:val="24"/>
              </w:rPr>
            </w:pPr>
            <w:r>
              <w:rPr>
                <w:rFonts w:hint="eastAsia" w:ascii="宋体" w:hAnsi="宋体" w:cs="宋体"/>
                <w:kern w:val="0"/>
                <w:sz w:val="24"/>
                <w:szCs w:val="24"/>
              </w:rPr>
              <w:t>（七）供应商与采购人或者采购代理机构之间、供应商相互之间，为谋求特定供应商中标、成交或者排斥其他供应商的其他串通行为。</w:t>
            </w:r>
          </w:p>
        </w:tc>
      </w:tr>
    </w:tbl>
    <w:p w14:paraId="1E3B6C63">
      <w:pPr>
        <w:numPr>
          <w:ilvl w:val="0"/>
          <w:numId w:val="24"/>
        </w:numPr>
        <w:tabs>
          <w:tab w:val="left" w:pos="426"/>
        </w:tabs>
        <w:spacing w:line="360" w:lineRule="auto"/>
        <w:ind w:left="0" w:firstLine="0"/>
        <w:rPr>
          <w:rFonts w:ascii="宋体" w:hAnsi="宋体" w:cs="宋体"/>
          <w:b/>
          <w:sz w:val="24"/>
          <w:szCs w:val="24"/>
        </w:rPr>
      </w:pPr>
      <w:r>
        <w:rPr>
          <w:rFonts w:hint="eastAsia" w:ascii="宋体" w:hAnsi="宋体" w:cs="宋体"/>
          <w:b/>
          <w:sz w:val="24"/>
          <w:szCs w:val="24"/>
        </w:rPr>
        <w:t>磋商要求</w:t>
      </w:r>
    </w:p>
    <w:p w14:paraId="69C35C76">
      <w:pPr>
        <w:pStyle w:val="15"/>
        <w:keepNext w:val="0"/>
        <w:keepLines w:val="0"/>
        <w:pageBreakBefore w:val="0"/>
        <w:widowControl/>
        <w:numPr>
          <w:ilvl w:val="0"/>
          <w:numId w:val="29"/>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磋商顺序按供应商磋商会签到先后顺序，</w:t>
      </w:r>
      <w:r>
        <w:rPr>
          <w:rFonts w:hint="eastAsia" w:cs="宋体"/>
          <w:b/>
          <w:color w:val="auto"/>
          <w:szCs w:val="24"/>
        </w:rPr>
        <w:t>后签先谈</w:t>
      </w:r>
      <w:r>
        <w:rPr>
          <w:rFonts w:hint="eastAsia" w:cs="宋体"/>
          <w:color w:val="auto"/>
          <w:szCs w:val="24"/>
        </w:rPr>
        <w:t>。</w:t>
      </w:r>
    </w:p>
    <w:p w14:paraId="2380D968">
      <w:pPr>
        <w:pStyle w:val="15"/>
        <w:keepNext w:val="0"/>
        <w:keepLines w:val="0"/>
        <w:pageBreakBefore w:val="0"/>
        <w:widowControl/>
        <w:numPr>
          <w:ilvl w:val="0"/>
          <w:numId w:val="29"/>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小组所有成员与供应商逐个进行磋商。磋商内容包括：要求提供的商务文件、技术文件等（如为多次报价时还包括竞标报价）。磋商文件有实质性变动的，磋商小组应当以书面形式通知所有参加磋商的供应商。</w:t>
      </w:r>
    </w:p>
    <w:p w14:paraId="7B10A4DA">
      <w:pPr>
        <w:pStyle w:val="15"/>
        <w:keepNext w:val="0"/>
        <w:keepLines w:val="0"/>
        <w:pageBreakBefore w:val="0"/>
        <w:widowControl/>
        <w:numPr>
          <w:ilvl w:val="0"/>
          <w:numId w:val="29"/>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磋商小组与供应商进行磋商的内容，供应商除当场答复外，还应对磋商中所涉及的澄清、达成的修改或报价资料等在规定的时间内以书面形式提交至磋商小组，否则以上资料视为无效报价。</w:t>
      </w:r>
    </w:p>
    <w:p w14:paraId="11193106">
      <w:pPr>
        <w:pStyle w:val="15"/>
        <w:keepNext w:val="0"/>
        <w:keepLines w:val="0"/>
        <w:pageBreakBefore w:val="0"/>
        <w:widowControl/>
        <w:numPr>
          <w:ilvl w:val="0"/>
          <w:numId w:val="29"/>
        </w:numPr>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cs="宋体"/>
          <w:color w:val="auto"/>
          <w:szCs w:val="24"/>
        </w:rPr>
      </w:pPr>
      <w:r>
        <w:rPr>
          <w:rFonts w:hint="eastAsia" w:cs="宋体"/>
          <w:color w:val="auto"/>
          <w:szCs w:val="24"/>
        </w:rPr>
        <w:t>磋商的结果以书面为准，应答文件必须由供应商的法定代表人或其委托代理人签字（盖章）或盖公章，经供应商和磋商小组确认后，替代响应文件中相应的内容。如成交，则作为合同的组成部分。</w:t>
      </w:r>
    </w:p>
    <w:p w14:paraId="6CA68558">
      <w:pPr>
        <w:widowControl/>
        <w:numPr>
          <w:ilvl w:val="0"/>
          <w:numId w:val="24"/>
        </w:numPr>
        <w:tabs>
          <w:tab w:val="left" w:pos="426"/>
        </w:tabs>
        <w:spacing w:line="360" w:lineRule="auto"/>
        <w:ind w:left="0" w:firstLine="0"/>
        <w:rPr>
          <w:rFonts w:ascii="宋体" w:hAnsi="宋体" w:cs="宋体"/>
          <w:b/>
          <w:sz w:val="24"/>
          <w:szCs w:val="24"/>
        </w:rPr>
      </w:pPr>
      <w:r>
        <w:rPr>
          <w:rFonts w:hint="eastAsia" w:ascii="宋体" w:hAnsi="宋体" w:cs="宋体"/>
          <w:b/>
          <w:sz w:val="24"/>
          <w:szCs w:val="24"/>
        </w:rPr>
        <w:t>评审总则</w:t>
      </w:r>
    </w:p>
    <w:p w14:paraId="73750D52">
      <w:pPr>
        <w:keepNext w:val="0"/>
        <w:keepLines w:val="0"/>
        <w:pageBreakBefore w:val="0"/>
        <w:kinsoku/>
        <w:wordWrap w:val="0"/>
        <w:overflowPunct/>
        <w:topLinePunct w:val="0"/>
        <w:autoSpaceDE/>
        <w:autoSpaceDN/>
        <w:bidi w:val="0"/>
        <w:snapToGrid/>
        <w:spacing w:line="360" w:lineRule="auto"/>
        <w:ind w:left="96" w:firstLine="420" w:firstLineChars="200"/>
        <w:textAlignment w:val="auto"/>
        <w:rPr>
          <w:rFonts w:ascii="宋体" w:hAnsi="宋体" w:eastAsia="宋体" w:cs="宋体"/>
          <w:sz w:val="24"/>
          <w:szCs w:val="24"/>
          <w:highlight w:val="none"/>
        </w:rPr>
      </w:pPr>
      <w:r>
        <w:rPr>
          <w:rFonts w:hint="eastAsia" w:cs="宋体"/>
          <w:color w:val="auto"/>
          <w:szCs w:val="24"/>
          <w:lang w:val="en-US" w:eastAsia="zh-CN"/>
        </w:rPr>
        <w:t>1.</w:t>
      </w:r>
      <w:r>
        <w:rPr>
          <w:rFonts w:hint="eastAsia" w:cs="宋体"/>
          <w:color w:val="auto"/>
          <w:szCs w:val="24"/>
        </w:rPr>
        <w:t>本项目的评审采用综合评分法，总分100分，其中价格部分权数</w:t>
      </w:r>
      <w:r>
        <w:rPr>
          <w:rFonts w:hint="eastAsia" w:cs="宋体"/>
          <w:b/>
          <w:bCs/>
          <w:color w:val="auto"/>
          <w:szCs w:val="24"/>
        </w:rPr>
        <w:t>20％</w:t>
      </w:r>
      <w:r>
        <w:rPr>
          <w:rFonts w:hint="eastAsia" w:cs="宋体"/>
          <w:color w:val="auto"/>
          <w:szCs w:val="24"/>
        </w:rPr>
        <w:t>，商务技术部分权数</w:t>
      </w:r>
      <w:r>
        <w:rPr>
          <w:rFonts w:hint="eastAsia" w:cs="宋体"/>
          <w:b/>
          <w:bCs/>
          <w:color w:val="auto"/>
          <w:szCs w:val="24"/>
        </w:rPr>
        <w:t>80％</w:t>
      </w:r>
      <w:r>
        <w:rPr>
          <w:rFonts w:hint="eastAsia" w:cs="宋体"/>
          <w:color w:val="auto"/>
          <w:szCs w:val="24"/>
        </w:rPr>
        <w:t>。</w:t>
      </w:r>
      <w:bookmarkStart w:id="74" w:name="_Hlk530344830"/>
      <w:r>
        <w:rPr>
          <w:rFonts w:hint="eastAsia" w:cs="宋体"/>
          <w:color w:val="auto"/>
          <w:szCs w:val="24"/>
        </w:rPr>
        <w:t>价格部分相关优惠政策如下：</w:t>
      </w:r>
    </w:p>
    <w:p w14:paraId="6C8CF44E">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（1）中小企业划型标准按照《关于印发中小企业划型标准规定的通知（工信部联企业〔2011〕300号）》文的相关规定认定。</w:t>
      </w:r>
    </w:p>
    <w:p w14:paraId="7685355D">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b/>
          <w:bCs/>
          <w:kern w:val="0"/>
          <w:sz w:val="24"/>
          <w:szCs w:val="24"/>
          <w:highlight w:val="none"/>
        </w:rPr>
        <w:t>根据《政府采购促进中小企业发展管理办法》的相关规定，非专门面向中小微企业采购项目对小型和微型企业的价格给予10%的扣除</w:t>
      </w:r>
      <w:r>
        <w:rPr>
          <w:rFonts w:hint="eastAsia" w:ascii="宋体" w:hAnsi="宋体" w:eastAsia="宋体" w:cs="宋体"/>
          <w:kern w:val="0"/>
          <w:sz w:val="24"/>
          <w:szCs w:val="24"/>
          <w:highlight w:val="none"/>
        </w:rPr>
        <w:t>，若投标人为联合体，组成联合体或者接受分包合同的中小企业与联合体内其他企业、分包企业之间不得存在直接控股、管理关系。接受大中型企业与小微企业组成联合体或者允许大中型企业向一家或者多家小微企业分包的采购项目，对于联合协议或者分包意向协议约定小微企业的合同份额占到合同总金额30%以上的，招标人、招标代理机构应当对联合体或者大中型企业的报价给予4%的扣除。以扣除后的价格作为评审价格。</w:t>
      </w:r>
    </w:p>
    <w:p w14:paraId="6F5D39AD">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667A9CA7">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（4）根据《财库〔2017〕141号》符合条件的残疾人福利性单位视同小型、微型企业，享受中小企业发展的政府采购政策。残疾人福利性单位属于小型、微型企业的，不重复享受政策。</w:t>
      </w:r>
    </w:p>
    <w:p w14:paraId="08D8A7C9">
      <w:pPr>
        <w:keepNext w:val="0"/>
        <w:keepLines w:val="0"/>
        <w:pageBreakBefore w:val="0"/>
        <w:kinsoku/>
        <w:wordWrap w:val="0"/>
        <w:overflowPunct/>
        <w:topLinePunct w:val="0"/>
        <w:autoSpaceDE/>
        <w:autoSpaceDN/>
        <w:bidi w:val="0"/>
        <w:snapToGrid/>
        <w:spacing w:line="360" w:lineRule="auto"/>
        <w:ind w:firstLine="240" w:firstLineChars="100"/>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（5）货物由中小企业制造，即货物由中小企业生产且使用该中小企业商号或者注册商标，货物采购项目中，投标人提供的货物既有中小企业制造货物，也有大型企业制造货物的，不享受中小企业扶持政策；</w:t>
      </w:r>
    </w:p>
    <w:p w14:paraId="08493565">
      <w:pPr>
        <w:keepNext w:val="0"/>
        <w:keepLines w:val="0"/>
        <w:pageBreakBefore w:val="0"/>
        <w:kinsoku/>
        <w:wordWrap w:val="0"/>
        <w:overflowPunct/>
        <w:topLinePunct w:val="0"/>
        <w:autoSpaceDE/>
        <w:autoSpaceDN/>
        <w:bidi w:val="0"/>
        <w:snapToGrid/>
        <w:spacing w:line="360" w:lineRule="auto"/>
        <w:ind w:left="96" w:firstLine="480" w:firstLineChars="200"/>
        <w:textAlignment w:val="auto"/>
        <w:rPr>
          <w:rFonts w:cs="宋体"/>
          <w:color w:val="auto"/>
          <w:szCs w:val="24"/>
        </w:rPr>
      </w:pPr>
      <w:r>
        <w:rPr>
          <w:rFonts w:hint="eastAsia" w:ascii="宋体" w:hAnsi="宋体" w:eastAsia="宋体" w:cs="宋体"/>
          <w:sz w:val="24"/>
          <w:szCs w:val="24"/>
          <w:highlight w:val="none"/>
        </w:rPr>
        <w:t>参加政府采购活动的中小企业应当按“关于印发《政府采购促进中小企业发展管理办法》的通知[财库〔2020〕46号]”和《财库〔2017〕141号》规定提供《中小企业声明函》和《残疾人福利性单位声明函》。未提供上述资料的报价，其价格不予扣除。</w:t>
      </w:r>
    </w:p>
    <w:bookmarkEnd w:id="74"/>
    <w:p w14:paraId="1B5F11F8">
      <w:pPr>
        <w:pStyle w:val="15"/>
        <w:keepNext w:val="0"/>
        <w:keepLines w:val="0"/>
        <w:pageBreakBefore w:val="0"/>
        <w:widowControl/>
        <w:numPr>
          <w:ilvl w:val="0"/>
          <w:numId w:val="0"/>
        </w:numPr>
        <w:kinsoku/>
        <w:wordWrap/>
        <w:overflowPunct/>
        <w:topLinePunct w:val="0"/>
        <w:autoSpaceDE/>
        <w:autoSpaceDN/>
        <w:bidi w:val="0"/>
        <w:adjustRightInd w:val="0"/>
        <w:snapToGrid/>
        <w:spacing w:before="0" w:beforeAutospacing="0" w:after="0" w:afterAutospacing="0" w:line="360" w:lineRule="auto"/>
        <w:ind w:leftChars="0" w:firstLine="480" w:firstLineChars="200"/>
        <w:textAlignment w:val="auto"/>
        <w:rPr>
          <w:rFonts w:cs="宋体"/>
          <w:color w:val="auto"/>
          <w:szCs w:val="24"/>
        </w:rPr>
      </w:pPr>
      <w:r>
        <w:rPr>
          <w:rFonts w:hint="eastAsia" w:cs="宋体"/>
          <w:color w:val="auto"/>
          <w:szCs w:val="24"/>
          <w:lang w:val="en-US" w:eastAsia="zh-CN"/>
        </w:rPr>
        <w:t>2.</w:t>
      </w:r>
      <w:r>
        <w:rPr>
          <w:rFonts w:hint="eastAsia" w:cs="宋体"/>
          <w:color w:val="auto"/>
          <w:szCs w:val="24"/>
        </w:rPr>
        <w:t>本次评审采用综合评分法在满足文件要求的前提下，对每个有效供应商的响应文件分别进行综合评分并汇总。综合得分（价格标得分+商务技术标得分）最高者为第一名，依次类推确定得分排名顺序，推荐排名第一的成交候选人为成交人。若出现二家供应商并列，则确定报价较低者排名靠前为成交候选人，如最终报价也相同，则由评审小组通过随机抽取确认排名靠前的成交候选人。若出现排名第一的成交候选人放弃中选或不能按磋商文件规定签订合同等原因取消中选资格，则按排名顺序依次确定排名其后的成交候选人为成交人或重新采购。具体评分细则如下：</w:t>
      </w:r>
    </w:p>
    <w:p w14:paraId="6CE92CEA">
      <w:pPr>
        <w:numPr>
          <w:ilvl w:val="0"/>
          <w:numId w:val="24"/>
        </w:numPr>
        <w:tabs>
          <w:tab w:val="left" w:pos="426"/>
        </w:tabs>
        <w:spacing w:line="360" w:lineRule="auto"/>
        <w:ind w:left="0" w:firstLine="0"/>
        <w:rPr>
          <w:rFonts w:ascii="宋体" w:hAnsi="宋体" w:cs="宋体"/>
          <w:b/>
          <w:sz w:val="24"/>
          <w:szCs w:val="24"/>
        </w:rPr>
      </w:pPr>
      <w:r>
        <w:rPr>
          <w:rFonts w:hint="eastAsia" w:ascii="宋体" w:hAnsi="宋体" w:cs="宋体"/>
          <w:b/>
          <w:sz w:val="24"/>
          <w:szCs w:val="24"/>
        </w:rPr>
        <w:t>评分细则</w:t>
      </w:r>
    </w:p>
    <w:tbl>
      <w:tblPr>
        <w:tblStyle w:val="30"/>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175"/>
        <w:gridCol w:w="900"/>
        <w:gridCol w:w="6679"/>
      </w:tblGrid>
      <w:tr w14:paraId="26C03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271" w:type="dxa"/>
            <w:noWrap w:val="0"/>
            <w:vAlign w:val="center"/>
          </w:tcPr>
          <w:p w14:paraId="4830FDFE">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b/>
                <w:bCs/>
                <w:spacing w:val="-6"/>
                <w:szCs w:val="21"/>
              </w:rPr>
            </w:pPr>
            <w:r>
              <w:rPr>
                <w:rFonts w:hint="eastAsia" w:ascii="宋体" w:hAnsi="宋体" w:eastAsia="宋体" w:cs="Times New Roman"/>
                <w:b/>
                <w:bCs/>
                <w:spacing w:val="-6"/>
                <w:szCs w:val="21"/>
              </w:rPr>
              <w:t>评标项目</w:t>
            </w:r>
          </w:p>
        </w:tc>
        <w:tc>
          <w:tcPr>
            <w:tcW w:w="1175" w:type="dxa"/>
            <w:noWrap w:val="0"/>
            <w:vAlign w:val="center"/>
          </w:tcPr>
          <w:p w14:paraId="02870C25">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b/>
                <w:bCs/>
                <w:spacing w:val="-6"/>
                <w:szCs w:val="21"/>
              </w:rPr>
            </w:pPr>
            <w:r>
              <w:rPr>
                <w:rFonts w:hint="eastAsia" w:ascii="宋体" w:hAnsi="宋体" w:eastAsia="宋体" w:cs="Times New Roman"/>
                <w:b/>
                <w:bCs/>
                <w:spacing w:val="-6"/>
                <w:szCs w:val="21"/>
              </w:rPr>
              <w:t>评标分项</w:t>
            </w:r>
          </w:p>
        </w:tc>
        <w:tc>
          <w:tcPr>
            <w:tcW w:w="900" w:type="dxa"/>
            <w:noWrap w:val="0"/>
            <w:vAlign w:val="center"/>
          </w:tcPr>
          <w:p w14:paraId="373E845B">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b/>
                <w:bCs/>
                <w:spacing w:val="-6"/>
                <w:szCs w:val="21"/>
              </w:rPr>
            </w:pPr>
            <w:r>
              <w:rPr>
                <w:rFonts w:hint="eastAsia" w:ascii="宋体" w:hAnsi="宋体" w:eastAsia="宋体" w:cs="Times New Roman"/>
                <w:b/>
                <w:bCs/>
                <w:spacing w:val="-6"/>
                <w:szCs w:val="21"/>
              </w:rPr>
              <w:t>分值</w:t>
            </w:r>
          </w:p>
        </w:tc>
        <w:tc>
          <w:tcPr>
            <w:tcW w:w="6679" w:type="dxa"/>
            <w:noWrap w:val="0"/>
            <w:vAlign w:val="center"/>
          </w:tcPr>
          <w:p w14:paraId="55020FD8">
            <w:pPr>
              <w:keepNext w:val="0"/>
              <w:keepLines w:val="0"/>
              <w:pageBreakBefore w:val="0"/>
              <w:kinsoku/>
              <w:wordWrap/>
              <w:overflowPunct/>
              <w:topLinePunct w:val="0"/>
              <w:bidi w:val="0"/>
              <w:snapToGrid w:val="0"/>
              <w:spacing w:line="400" w:lineRule="exact"/>
              <w:ind w:firstLine="0" w:firstLineChars="0"/>
              <w:jc w:val="center"/>
              <w:textAlignment w:val="auto"/>
              <w:rPr>
                <w:rFonts w:hint="eastAsia" w:ascii="宋体" w:hAnsi="宋体" w:eastAsia="宋体" w:cs="Times New Roman"/>
                <w:b/>
                <w:bCs/>
                <w:szCs w:val="21"/>
              </w:rPr>
            </w:pPr>
            <w:r>
              <w:rPr>
                <w:rFonts w:hint="eastAsia" w:ascii="宋体" w:hAnsi="宋体" w:eastAsia="宋体" w:cs="Times New Roman"/>
                <w:b/>
                <w:bCs/>
                <w:szCs w:val="21"/>
              </w:rPr>
              <w:t>子项目及分值</w:t>
            </w:r>
          </w:p>
        </w:tc>
      </w:tr>
      <w:tr w14:paraId="6458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noWrap w:val="0"/>
            <w:vAlign w:val="center"/>
          </w:tcPr>
          <w:p w14:paraId="677BF416">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价格部分</w:t>
            </w:r>
          </w:p>
          <w:p w14:paraId="4F444E3E">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（20分）</w:t>
            </w:r>
          </w:p>
        </w:tc>
        <w:tc>
          <w:tcPr>
            <w:tcW w:w="1175" w:type="dxa"/>
            <w:tcBorders>
              <w:bottom w:val="single" w:color="auto" w:sz="4" w:space="0"/>
            </w:tcBorders>
            <w:noWrap w:val="0"/>
            <w:vAlign w:val="center"/>
          </w:tcPr>
          <w:p w14:paraId="10583143">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报价</w:t>
            </w:r>
          </w:p>
        </w:tc>
        <w:tc>
          <w:tcPr>
            <w:tcW w:w="900" w:type="dxa"/>
            <w:noWrap w:val="0"/>
            <w:vAlign w:val="center"/>
          </w:tcPr>
          <w:p w14:paraId="742090FD">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20</w:t>
            </w:r>
          </w:p>
        </w:tc>
        <w:tc>
          <w:tcPr>
            <w:tcW w:w="6679" w:type="dxa"/>
            <w:noWrap w:val="0"/>
            <w:vAlign w:val="center"/>
          </w:tcPr>
          <w:p w14:paraId="25D0E37E">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磋商小组只对资格和符合性审查合格的响应文件进行价格评审，报价分采用低价优先法计算，即满足磋商文件要求且最后报价最低的为磋商基准价，其报价得分为满分。其他供应商的报价得分按照下列公式计算：报价得分=(磋商基准价/最后磋商报价)×权重。</w:t>
            </w:r>
          </w:p>
        </w:tc>
      </w:tr>
      <w:tr w14:paraId="194A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1271" w:type="dxa"/>
            <w:vMerge w:val="restart"/>
            <w:noWrap w:val="0"/>
            <w:vAlign w:val="center"/>
          </w:tcPr>
          <w:p w14:paraId="41F97EF2">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商务部分</w:t>
            </w:r>
          </w:p>
          <w:p w14:paraId="207A95B4">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w:t>
            </w:r>
            <w:r>
              <w:rPr>
                <w:rFonts w:hint="eastAsia" w:ascii="宋体" w:hAnsi="宋体" w:eastAsia="宋体" w:cs="Times New Roman"/>
                <w:spacing w:val="-6"/>
                <w:szCs w:val="21"/>
                <w:lang w:val="en-US" w:eastAsia="zh-CN"/>
              </w:rPr>
              <w:t>23</w:t>
            </w:r>
            <w:r>
              <w:rPr>
                <w:rFonts w:hint="eastAsia" w:ascii="宋体" w:hAnsi="宋体" w:eastAsia="宋体" w:cs="Times New Roman"/>
                <w:spacing w:val="-6"/>
                <w:szCs w:val="21"/>
              </w:rPr>
              <w:t>分）</w:t>
            </w:r>
          </w:p>
        </w:tc>
        <w:tc>
          <w:tcPr>
            <w:tcW w:w="1175" w:type="dxa"/>
            <w:tcBorders>
              <w:top w:val="single" w:color="auto" w:sz="4" w:space="0"/>
            </w:tcBorders>
            <w:noWrap w:val="0"/>
            <w:vAlign w:val="center"/>
          </w:tcPr>
          <w:p w14:paraId="2E6C9B8B">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类似项目业绩</w:t>
            </w:r>
          </w:p>
        </w:tc>
        <w:tc>
          <w:tcPr>
            <w:tcW w:w="900" w:type="dxa"/>
            <w:noWrap w:val="0"/>
            <w:vAlign w:val="center"/>
          </w:tcPr>
          <w:p w14:paraId="0903611D">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10</w:t>
            </w:r>
          </w:p>
        </w:tc>
        <w:tc>
          <w:tcPr>
            <w:tcW w:w="6679" w:type="dxa"/>
            <w:noWrap w:val="0"/>
            <w:vAlign w:val="center"/>
          </w:tcPr>
          <w:p w14:paraId="5D06FC40">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rPr>
              <w:t>供应商提供近一年以来（</w:t>
            </w:r>
            <w:r>
              <w:rPr>
                <w:rFonts w:hint="eastAsia" w:ascii="宋体" w:hAnsi="宋体" w:eastAsia="宋体" w:cs="Times New Roman"/>
                <w:lang w:val="en-US" w:eastAsia="zh-CN"/>
              </w:rPr>
              <w:t>响应文件递交截止时间往前推算1年，</w:t>
            </w:r>
            <w:r>
              <w:rPr>
                <w:rFonts w:hint="eastAsia" w:ascii="宋体" w:hAnsi="宋体" w:eastAsia="宋体" w:cs="Times New Roman"/>
              </w:rPr>
              <w:t>以合同签订日期为准）所完成的与本项目类似</w:t>
            </w:r>
            <w:r>
              <w:rPr>
                <w:rFonts w:hint="eastAsia" w:ascii="宋体" w:hAnsi="宋体" w:eastAsia="宋体" w:cs="Times New Roman"/>
                <w:lang w:val="en-US" w:eastAsia="zh-CN"/>
              </w:rPr>
              <w:t>服务</w:t>
            </w:r>
            <w:r>
              <w:rPr>
                <w:rFonts w:hint="eastAsia" w:ascii="宋体" w:hAnsi="宋体" w:eastAsia="宋体" w:cs="Times New Roman"/>
              </w:rPr>
              <w:t>业绩的。每提供一个得</w:t>
            </w:r>
            <w:r>
              <w:rPr>
                <w:rFonts w:hint="eastAsia" w:ascii="宋体" w:hAnsi="宋体" w:eastAsia="宋体" w:cs="Times New Roman"/>
                <w:lang w:val="en-US" w:eastAsia="zh-CN"/>
              </w:rPr>
              <w:t>2</w:t>
            </w:r>
            <w:r>
              <w:rPr>
                <w:rFonts w:hint="eastAsia" w:ascii="宋体" w:hAnsi="宋体" w:eastAsia="宋体" w:cs="Times New Roman"/>
              </w:rPr>
              <w:t>分，最多得10分。（</w:t>
            </w:r>
            <w:r>
              <w:rPr>
                <w:rFonts w:hint="eastAsia" w:ascii="宋体" w:hAnsi="宋体"/>
                <w:b/>
                <w:bCs/>
                <w:kern w:val="0"/>
                <w:szCs w:val="21"/>
                <w:highlight w:val="none"/>
              </w:rPr>
              <w:t>上述内容以加盖供应商公章的</w:t>
            </w:r>
            <w:r>
              <w:rPr>
                <w:rFonts w:ascii="宋体" w:hAnsi="宋体"/>
                <w:b/>
                <w:bCs/>
                <w:kern w:val="0"/>
                <w:szCs w:val="21"/>
                <w:highlight w:val="none"/>
              </w:rPr>
              <w:t>签约合同关键页复印件</w:t>
            </w:r>
            <w:r>
              <w:rPr>
                <w:rFonts w:hint="eastAsia" w:ascii="宋体" w:hAnsi="宋体"/>
                <w:b/>
                <w:bCs/>
                <w:kern w:val="0"/>
                <w:szCs w:val="21"/>
                <w:highlight w:val="none"/>
              </w:rPr>
              <w:t>为准</w:t>
            </w:r>
            <w:r>
              <w:rPr>
                <w:rFonts w:ascii="宋体" w:hAnsi="宋体"/>
                <w:b/>
                <w:bCs/>
                <w:kern w:val="0"/>
                <w:szCs w:val="21"/>
                <w:highlight w:val="none"/>
              </w:rPr>
              <w:t>，未提供的不得分</w:t>
            </w:r>
            <w:r>
              <w:rPr>
                <w:rFonts w:hint="eastAsia" w:ascii="宋体" w:hAnsi="宋体" w:eastAsia="宋体" w:cs="Times New Roman"/>
              </w:rPr>
              <w:t>）</w:t>
            </w:r>
          </w:p>
        </w:tc>
      </w:tr>
      <w:tr w14:paraId="5865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19ED2A5C">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tcBorders>
              <w:top w:val="single" w:color="auto" w:sz="4" w:space="0"/>
            </w:tcBorders>
            <w:noWrap w:val="0"/>
            <w:vAlign w:val="center"/>
          </w:tcPr>
          <w:p w14:paraId="264339ED">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综合实力</w:t>
            </w:r>
          </w:p>
        </w:tc>
        <w:tc>
          <w:tcPr>
            <w:tcW w:w="900" w:type="dxa"/>
            <w:noWrap w:val="0"/>
            <w:vAlign w:val="center"/>
          </w:tcPr>
          <w:p w14:paraId="26B1D3FF">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cs="Times New Roman"/>
                <w:spacing w:val="-6"/>
                <w:szCs w:val="21"/>
                <w:lang w:val="en-US" w:eastAsia="zh-CN"/>
              </w:rPr>
              <w:t>4</w:t>
            </w:r>
          </w:p>
        </w:tc>
        <w:tc>
          <w:tcPr>
            <w:tcW w:w="6679" w:type="dxa"/>
            <w:noWrap w:val="0"/>
            <w:vAlign w:val="center"/>
          </w:tcPr>
          <w:p w14:paraId="4057022E">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lang w:eastAsia="zh-CN"/>
              </w:rPr>
            </w:pPr>
            <w:r>
              <w:rPr>
                <w:rFonts w:hint="eastAsia" w:ascii="宋体" w:hAnsi="宋体" w:eastAsia="宋体" w:cs="Times New Roman"/>
                <w:strike w:val="0"/>
                <w:dstrike w:val="0"/>
                <w:szCs w:val="21"/>
              </w:rPr>
              <w:t>供应</w:t>
            </w:r>
            <w:r>
              <w:rPr>
                <w:rFonts w:ascii="宋体" w:hAnsi="宋体" w:eastAsia="宋体" w:cs="Times New Roman"/>
                <w:strike w:val="0"/>
                <w:dstrike w:val="0"/>
                <w:szCs w:val="21"/>
              </w:rPr>
              <w:t>商</w:t>
            </w:r>
            <w:r>
              <w:rPr>
                <w:rFonts w:hint="eastAsia" w:ascii="宋体" w:hAnsi="宋体" w:eastAsia="宋体" w:cs="Times New Roman"/>
                <w:szCs w:val="21"/>
              </w:rPr>
              <w:t>具备</w:t>
            </w:r>
            <w:r>
              <w:rPr>
                <w:rFonts w:hint="eastAsia" w:ascii="宋体" w:hAnsi="宋体" w:cs="Times New Roman"/>
                <w:szCs w:val="21"/>
                <w:lang w:eastAsia="zh-CN"/>
              </w:rPr>
              <w:t>：</w:t>
            </w:r>
          </w:p>
          <w:p w14:paraId="4219E0E2">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rPr>
            </w:pPr>
            <w:r>
              <w:rPr>
                <w:rFonts w:hint="eastAsia" w:ascii="宋体" w:hAnsi="宋体" w:eastAsia="宋体" w:cs="Times New Roman"/>
                <w:lang w:val="en-US" w:eastAsia="zh-CN"/>
              </w:rPr>
              <w:t>1.</w:t>
            </w:r>
            <w:r>
              <w:rPr>
                <w:rFonts w:hint="eastAsia" w:ascii="宋体" w:hAnsi="宋体" w:eastAsia="宋体" w:cs="Times New Roman"/>
              </w:rPr>
              <w:t>全媒体网站管理类软件著作权</w:t>
            </w:r>
            <w:r>
              <w:rPr>
                <w:rFonts w:hint="eastAsia" w:ascii="宋体" w:hAnsi="宋体" w:eastAsia="宋体" w:cs="Times New Roman"/>
                <w:lang w:val="en-US" w:eastAsia="zh-CN"/>
              </w:rPr>
              <w:t>证书</w:t>
            </w:r>
            <w:r>
              <w:rPr>
                <w:rFonts w:hint="eastAsia" w:ascii="宋体" w:hAnsi="宋体" w:eastAsia="宋体" w:cs="Times New Roman"/>
              </w:rPr>
              <w:t>；</w:t>
            </w:r>
          </w:p>
          <w:p w14:paraId="67529FC2">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rPr>
            </w:pPr>
            <w:r>
              <w:rPr>
                <w:rFonts w:hint="eastAsia" w:ascii="宋体" w:hAnsi="宋体" w:eastAsia="宋体" w:cs="Times New Roman"/>
                <w:lang w:val="en-US" w:eastAsia="zh-CN"/>
              </w:rPr>
              <w:t>2.</w:t>
            </w:r>
            <w:r>
              <w:rPr>
                <w:rFonts w:hint="eastAsia" w:ascii="宋体" w:hAnsi="宋体" w:eastAsia="宋体" w:cs="Times New Roman"/>
              </w:rPr>
              <w:t>重保管理类系统著作权</w:t>
            </w:r>
            <w:r>
              <w:rPr>
                <w:rFonts w:hint="eastAsia" w:ascii="宋体" w:hAnsi="宋体" w:eastAsia="宋体" w:cs="Times New Roman"/>
                <w:lang w:val="en-US" w:eastAsia="zh-CN"/>
              </w:rPr>
              <w:t>证书</w:t>
            </w:r>
            <w:r>
              <w:rPr>
                <w:rFonts w:hint="eastAsia" w:ascii="宋体" w:hAnsi="宋体" w:eastAsia="宋体" w:cs="Times New Roman"/>
              </w:rPr>
              <w:t>；</w:t>
            </w:r>
          </w:p>
          <w:p w14:paraId="495B361F">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lang w:eastAsia="zh-CN"/>
              </w:rPr>
            </w:pPr>
            <w:r>
              <w:rPr>
                <w:rFonts w:hint="eastAsia" w:ascii="宋体" w:hAnsi="宋体" w:eastAsia="宋体" w:cs="Times New Roman"/>
                <w:lang w:val="en-US" w:eastAsia="zh-CN"/>
              </w:rPr>
              <w:t>3.</w:t>
            </w:r>
            <w:r>
              <w:rPr>
                <w:rFonts w:hint="eastAsia" w:ascii="宋体" w:hAnsi="宋体" w:eastAsia="宋体" w:cs="Times New Roman"/>
              </w:rPr>
              <w:t>用户与权限管理类软件系统著作权证书</w:t>
            </w:r>
            <w:r>
              <w:rPr>
                <w:rFonts w:hint="eastAsia" w:ascii="宋体" w:hAnsi="宋体" w:eastAsia="宋体" w:cs="Times New Roman"/>
                <w:lang w:eastAsia="zh-CN"/>
              </w:rPr>
              <w:t>；</w:t>
            </w:r>
          </w:p>
          <w:p w14:paraId="1274AE45">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lang w:eastAsia="zh-CN"/>
              </w:rPr>
            </w:pPr>
            <w:r>
              <w:rPr>
                <w:rFonts w:hint="eastAsia" w:ascii="宋体" w:hAnsi="宋体" w:eastAsia="宋体" w:cs="Times New Roman"/>
                <w:lang w:val="en-US" w:eastAsia="zh-CN"/>
              </w:rPr>
              <w:t>4.</w:t>
            </w:r>
            <w:r>
              <w:rPr>
                <w:rFonts w:hint="eastAsia" w:ascii="宋体" w:hAnsi="宋体" w:eastAsia="宋体" w:cs="Times New Roman"/>
              </w:rPr>
              <w:t>网页防篡改系统著作权证书</w:t>
            </w:r>
            <w:r>
              <w:rPr>
                <w:rFonts w:hint="eastAsia" w:ascii="宋体" w:hAnsi="宋体" w:eastAsia="宋体" w:cs="Times New Roman"/>
                <w:lang w:eastAsia="zh-CN"/>
              </w:rPr>
              <w:t>。</w:t>
            </w:r>
          </w:p>
          <w:p w14:paraId="14E0D77A">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rPr>
            </w:pPr>
            <w:r>
              <w:rPr>
                <w:rFonts w:hint="eastAsia" w:ascii="宋体" w:hAnsi="宋体" w:eastAsia="宋体" w:cs="Times New Roman"/>
                <w:lang w:val="en-US" w:eastAsia="zh-CN"/>
              </w:rPr>
              <w:t>以上证书每满足一项得1分，共</w:t>
            </w:r>
            <w:r>
              <w:rPr>
                <w:rFonts w:hint="eastAsia" w:ascii="宋体" w:hAnsi="宋体" w:cs="Times New Roman"/>
                <w:lang w:val="en-US" w:eastAsia="zh-CN"/>
              </w:rPr>
              <w:t>4</w:t>
            </w:r>
            <w:r>
              <w:rPr>
                <w:rFonts w:hint="eastAsia" w:ascii="宋体" w:hAnsi="宋体" w:eastAsia="宋体" w:cs="Times New Roman"/>
                <w:lang w:val="en-US" w:eastAsia="zh-CN"/>
              </w:rPr>
              <w:t>分。</w:t>
            </w:r>
          </w:p>
          <w:p w14:paraId="76BD625F">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lang w:val="en-US" w:eastAsia="zh-CN"/>
              </w:rPr>
              <w:t>（须提供符合要求的且在有效期内的相关证明资料复印件并加盖公章，未提供者不得分</w:t>
            </w:r>
            <w:r>
              <w:rPr>
                <w:rFonts w:hint="eastAsia" w:ascii="宋体" w:hAnsi="宋体" w:cs="Times New Roman"/>
                <w:lang w:val="en-US" w:eastAsia="zh-CN"/>
              </w:rPr>
              <w:t>，</w:t>
            </w:r>
            <w:r>
              <w:rPr>
                <w:rFonts w:hint="eastAsia" w:ascii="宋体" w:hAnsi="宋体" w:eastAsia="宋体" w:cs="Times New Roman"/>
              </w:rPr>
              <w:t>证书名称不同但功能相似的或某一大类包含上述子项的均予以认可</w:t>
            </w:r>
            <w:r>
              <w:rPr>
                <w:rFonts w:hint="eastAsia" w:ascii="宋体" w:hAnsi="宋体" w:eastAsia="宋体" w:cs="Times New Roman"/>
                <w:lang w:val="en-US" w:eastAsia="zh-CN"/>
              </w:rPr>
              <w:t>）。</w:t>
            </w:r>
          </w:p>
        </w:tc>
      </w:tr>
      <w:tr w14:paraId="55439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4005FC8E">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tcBorders>
              <w:top w:val="single" w:color="auto" w:sz="4" w:space="0"/>
            </w:tcBorders>
            <w:noWrap w:val="0"/>
            <w:vAlign w:val="center"/>
          </w:tcPr>
          <w:p w14:paraId="1C8A4F57">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lang w:val="en-US" w:eastAsia="zh-CN"/>
              </w:rPr>
            </w:pPr>
            <w:r>
              <w:rPr>
                <w:rFonts w:hint="eastAsia" w:ascii="宋体" w:hAnsi="宋体" w:cs="Times New Roman"/>
                <w:spacing w:val="-6"/>
                <w:szCs w:val="21"/>
                <w:lang w:val="en-US" w:eastAsia="zh-CN"/>
              </w:rPr>
              <w:t>体系认证</w:t>
            </w:r>
          </w:p>
        </w:tc>
        <w:tc>
          <w:tcPr>
            <w:tcW w:w="900" w:type="dxa"/>
            <w:noWrap w:val="0"/>
            <w:vAlign w:val="center"/>
          </w:tcPr>
          <w:p w14:paraId="5DC82DE4">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default" w:ascii="宋体" w:hAnsi="宋体" w:eastAsia="宋体" w:cs="Times New Roman"/>
                <w:spacing w:val="-6"/>
                <w:szCs w:val="21"/>
                <w:lang w:val="en-US" w:eastAsia="zh-CN"/>
              </w:rPr>
            </w:pPr>
            <w:r>
              <w:rPr>
                <w:rFonts w:hint="eastAsia" w:ascii="宋体" w:hAnsi="宋体" w:cs="Times New Roman"/>
                <w:spacing w:val="-6"/>
                <w:szCs w:val="21"/>
                <w:lang w:val="en-US" w:eastAsia="zh-CN"/>
              </w:rPr>
              <w:t>2</w:t>
            </w:r>
          </w:p>
        </w:tc>
        <w:tc>
          <w:tcPr>
            <w:tcW w:w="6679" w:type="dxa"/>
            <w:noWrap w:val="0"/>
            <w:vAlign w:val="center"/>
          </w:tcPr>
          <w:p w14:paraId="2B63E269">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default" w:ascii="宋体" w:hAnsi="宋体" w:eastAsia="宋体" w:cs="Times New Roman"/>
                <w:szCs w:val="21"/>
                <w:lang w:val="en-US" w:eastAsia="zh-CN"/>
              </w:rPr>
            </w:pPr>
            <w:r>
              <w:rPr>
                <w:rFonts w:hint="eastAsia" w:ascii="宋体" w:hAnsi="宋体" w:cs="Times New Roman"/>
                <w:szCs w:val="21"/>
                <w:lang w:val="en-US" w:eastAsia="zh-CN"/>
              </w:rPr>
              <w:t>供应商具备有效期内的</w:t>
            </w:r>
            <w:r>
              <w:rPr>
                <w:rFonts w:hint="eastAsia" w:ascii="宋体" w:hAnsi="宋体" w:eastAsia="宋体" w:cs="Times New Roman"/>
                <w:szCs w:val="21"/>
              </w:rPr>
              <w:t>环境管理体系认证证书</w:t>
            </w:r>
            <w:r>
              <w:rPr>
                <w:rFonts w:hint="eastAsia" w:ascii="宋体" w:hAnsi="宋体" w:cs="Times New Roman"/>
                <w:szCs w:val="21"/>
                <w:lang w:eastAsia="zh-CN"/>
              </w:rPr>
              <w:t>、</w:t>
            </w:r>
            <w:r>
              <w:rPr>
                <w:rFonts w:hint="eastAsia" w:ascii="宋体" w:hAnsi="宋体" w:eastAsia="宋体" w:cs="Times New Roman"/>
                <w:szCs w:val="21"/>
              </w:rPr>
              <w:t>职业健康安全管理体系认证证书</w:t>
            </w:r>
            <w:r>
              <w:rPr>
                <w:rFonts w:hint="eastAsia" w:ascii="宋体" w:hAnsi="宋体" w:cs="Times New Roman"/>
                <w:szCs w:val="21"/>
                <w:lang w:eastAsia="zh-CN"/>
              </w:rPr>
              <w:t>，</w:t>
            </w:r>
            <w:r>
              <w:rPr>
                <w:rFonts w:hint="eastAsia" w:ascii="宋体" w:hAnsi="宋体" w:cs="Times New Roman"/>
                <w:szCs w:val="21"/>
                <w:lang w:val="en-US" w:eastAsia="zh-CN"/>
              </w:rPr>
              <w:t>每提供1个证书得1分，全部满足得2分。</w:t>
            </w:r>
          </w:p>
          <w:p w14:paraId="5A96CEBF">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提供证书复印件并加盖供应商公章</w:t>
            </w:r>
            <w:r>
              <w:rPr>
                <w:rFonts w:hint="eastAsia" w:ascii="宋体" w:hAnsi="宋体" w:cs="Times New Roman"/>
                <w:szCs w:val="21"/>
                <w:lang w:eastAsia="zh-CN"/>
              </w:rPr>
              <w:t>）</w:t>
            </w:r>
          </w:p>
        </w:tc>
      </w:tr>
      <w:tr w14:paraId="6621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4DE7856B">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tcBorders>
              <w:top w:val="single" w:color="auto" w:sz="4" w:space="0"/>
            </w:tcBorders>
            <w:noWrap w:val="0"/>
            <w:vAlign w:val="center"/>
          </w:tcPr>
          <w:p w14:paraId="34E379FD">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lang w:val="en-US" w:eastAsia="zh-CN"/>
              </w:rPr>
            </w:pPr>
            <w:r>
              <w:rPr>
                <w:rFonts w:hint="eastAsia" w:ascii="宋体" w:hAnsi="宋体" w:cs="Times New Roman"/>
                <w:spacing w:val="-6"/>
                <w:szCs w:val="21"/>
                <w:lang w:val="en-US" w:eastAsia="zh-CN"/>
              </w:rPr>
              <w:t>人员配备</w:t>
            </w:r>
          </w:p>
        </w:tc>
        <w:tc>
          <w:tcPr>
            <w:tcW w:w="900" w:type="dxa"/>
            <w:noWrap w:val="0"/>
            <w:vAlign w:val="center"/>
          </w:tcPr>
          <w:p w14:paraId="0DEF9349">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default" w:ascii="宋体" w:hAnsi="宋体" w:eastAsia="宋体" w:cs="Times New Roman"/>
                <w:spacing w:val="-6"/>
                <w:szCs w:val="21"/>
                <w:lang w:val="en-US" w:eastAsia="zh-CN"/>
              </w:rPr>
            </w:pPr>
            <w:r>
              <w:rPr>
                <w:rFonts w:hint="eastAsia" w:ascii="宋体" w:hAnsi="宋体" w:cs="Times New Roman"/>
                <w:spacing w:val="-6"/>
                <w:szCs w:val="21"/>
                <w:lang w:val="en-US" w:eastAsia="zh-CN"/>
              </w:rPr>
              <w:t>4</w:t>
            </w:r>
          </w:p>
        </w:tc>
        <w:tc>
          <w:tcPr>
            <w:tcW w:w="6679" w:type="dxa"/>
            <w:noWrap w:val="0"/>
            <w:vAlign w:val="center"/>
          </w:tcPr>
          <w:p w14:paraId="006D37F6">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供应商拟派项目组人员，达到以下要求：</w:t>
            </w:r>
          </w:p>
          <w:p w14:paraId="3ABB1F40">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①</w:t>
            </w:r>
            <w:r>
              <w:rPr>
                <w:rFonts w:ascii="宋体" w:hAnsi="宋体" w:eastAsia="宋体" w:cs="Times New Roman"/>
                <w:szCs w:val="21"/>
              </w:rPr>
              <w:t>项目经理需获得全国计算机技术与软件专业技术资格（水平)考试高级</w:t>
            </w:r>
            <w:r>
              <w:rPr>
                <w:rFonts w:hint="eastAsia" w:ascii="宋体" w:hAnsi="宋体" w:cs="Times New Roman"/>
                <w:szCs w:val="21"/>
                <w:lang w:val="en-US" w:eastAsia="zh-CN"/>
              </w:rPr>
              <w:t>资格</w:t>
            </w:r>
            <w:r>
              <w:rPr>
                <w:rFonts w:ascii="宋体" w:hAnsi="宋体" w:eastAsia="宋体" w:cs="Times New Roman"/>
                <w:szCs w:val="21"/>
              </w:rPr>
              <w:t>证书得2分</w:t>
            </w:r>
            <w:r>
              <w:rPr>
                <w:rFonts w:hint="eastAsia" w:ascii="宋体" w:hAnsi="宋体" w:eastAsia="宋体" w:cs="Times New Roman"/>
                <w:szCs w:val="21"/>
              </w:rPr>
              <w:t>，中级</w:t>
            </w:r>
            <w:r>
              <w:rPr>
                <w:rFonts w:ascii="宋体" w:hAnsi="宋体" w:eastAsia="宋体" w:cs="Times New Roman"/>
                <w:szCs w:val="21"/>
              </w:rPr>
              <w:t>得</w:t>
            </w:r>
            <w:r>
              <w:rPr>
                <w:rFonts w:hint="eastAsia" w:ascii="宋体" w:hAnsi="宋体" w:eastAsia="宋体" w:cs="Times New Roman"/>
                <w:szCs w:val="21"/>
              </w:rPr>
              <w:t>1分</w:t>
            </w:r>
            <w:r>
              <w:rPr>
                <w:rFonts w:ascii="宋体" w:hAnsi="宋体" w:eastAsia="宋体" w:cs="Times New Roman"/>
                <w:szCs w:val="21"/>
              </w:rPr>
              <w:t>，其他不得分。</w:t>
            </w:r>
          </w:p>
          <w:p w14:paraId="01A1C756">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②</w:t>
            </w:r>
            <w:r>
              <w:rPr>
                <w:rFonts w:ascii="宋体" w:hAnsi="宋体" w:eastAsia="宋体" w:cs="Times New Roman"/>
                <w:szCs w:val="21"/>
              </w:rPr>
              <w:t>项目组</w:t>
            </w:r>
            <w:r>
              <w:rPr>
                <w:rFonts w:hint="eastAsia" w:ascii="宋体" w:hAnsi="宋体" w:eastAsia="宋体" w:cs="Times New Roman"/>
                <w:szCs w:val="21"/>
              </w:rPr>
              <w:t>任一</w:t>
            </w:r>
            <w:r>
              <w:rPr>
                <w:rFonts w:ascii="宋体" w:hAnsi="宋体" w:eastAsia="宋体" w:cs="Times New Roman"/>
                <w:szCs w:val="21"/>
              </w:rPr>
              <w:t>人员</w:t>
            </w:r>
            <w:r>
              <w:rPr>
                <w:rFonts w:hint="eastAsia" w:ascii="宋体" w:hAnsi="宋体" w:eastAsia="宋体" w:cs="Times New Roman"/>
                <w:szCs w:val="21"/>
              </w:rPr>
              <w:t>具备</w:t>
            </w:r>
            <w:r>
              <w:rPr>
                <w:rFonts w:ascii="宋体" w:hAnsi="宋体" w:eastAsia="宋体" w:cs="Times New Roman"/>
                <w:szCs w:val="21"/>
              </w:rPr>
              <w:t>全国计算机技术与软件专业技术资格（水平)考试软件设计师证书</w:t>
            </w:r>
            <w:r>
              <w:rPr>
                <w:rFonts w:hint="eastAsia" w:ascii="宋体" w:hAnsi="宋体" w:eastAsia="宋体" w:cs="Times New Roman"/>
                <w:szCs w:val="21"/>
              </w:rPr>
              <w:t>得2分</w:t>
            </w:r>
            <w:r>
              <w:rPr>
                <w:rFonts w:ascii="宋体" w:hAnsi="宋体" w:eastAsia="宋体" w:cs="Times New Roman"/>
                <w:szCs w:val="21"/>
              </w:rPr>
              <w:t>；</w:t>
            </w:r>
          </w:p>
          <w:p w14:paraId="016C77C5">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（供应商提供证书复印件及相关人员社保</w:t>
            </w:r>
            <w:r>
              <w:rPr>
                <w:rFonts w:hint="eastAsia" w:ascii="宋体" w:hAnsi="宋体" w:eastAsia="宋体" w:cs="Times New Roman"/>
                <w:szCs w:val="21"/>
                <w:lang w:val="en-US" w:eastAsia="zh-CN"/>
              </w:rPr>
              <w:t>在保</w:t>
            </w:r>
            <w:r>
              <w:rPr>
                <w:rFonts w:hint="eastAsia" w:ascii="宋体" w:hAnsi="宋体" w:eastAsia="宋体" w:cs="Times New Roman"/>
                <w:szCs w:val="21"/>
              </w:rPr>
              <w:t>缴纳证明并加盖供应商公章。</w:t>
            </w:r>
            <w:r>
              <w:rPr>
                <w:rFonts w:ascii="宋体" w:hAnsi="宋体" w:eastAsia="宋体" w:cs="Times New Roman"/>
                <w:szCs w:val="21"/>
              </w:rPr>
              <w:t>同一人拥有多类证书不重复计分</w:t>
            </w:r>
            <w:r>
              <w:rPr>
                <w:rFonts w:hint="eastAsia" w:ascii="宋体" w:hAnsi="宋体" w:eastAsia="宋体" w:cs="Times New Roman"/>
                <w:szCs w:val="21"/>
              </w:rPr>
              <w:t>）</w:t>
            </w:r>
          </w:p>
        </w:tc>
      </w:tr>
      <w:tr w14:paraId="2285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2AB7DB27">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tcBorders>
              <w:top w:val="single" w:color="auto" w:sz="4" w:space="0"/>
            </w:tcBorders>
            <w:noWrap w:val="0"/>
            <w:vAlign w:val="center"/>
          </w:tcPr>
          <w:p w14:paraId="1706F07A">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产品国产化兼容特性</w:t>
            </w:r>
          </w:p>
        </w:tc>
        <w:tc>
          <w:tcPr>
            <w:tcW w:w="900" w:type="dxa"/>
            <w:noWrap w:val="0"/>
            <w:vAlign w:val="center"/>
          </w:tcPr>
          <w:p w14:paraId="43618DCE">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lang w:eastAsia="zh-CN"/>
              </w:rPr>
            </w:pPr>
            <w:r>
              <w:rPr>
                <w:rFonts w:hint="eastAsia" w:ascii="宋体" w:hAnsi="宋体" w:eastAsia="宋体" w:cs="Times New Roman"/>
                <w:spacing w:val="-6"/>
                <w:szCs w:val="21"/>
                <w:lang w:val="en-US" w:eastAsia="zh-CN"/>
              </w:rPr>
              <w:t>3</w:t>
            </w:r>
          </w:p>
        </w:tc>
        <w:tc>
          <w:tcPr>
            <w:tcW w:w="6679" w:type="dxa"/>
            <w:noWrap w:val="0"/>
            <w:vAlign w:val="center"/>
          </w:tcPr>
          <w:p w14:paraId="06562B71">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供应商需具备国产化兼容性认证证书，证明具备国产化适配改造的能力，提供网站管理平台与国产化中间件、数据库、操作系统、硬件等互认证书，每提供一个得</w:t>
            </w:r>
            <w:r>
              <w:rPr>
                <w:rFonts w:ascii="宋体" w:hAnsi="宋体" w:eastAsia="宋体" w:cs="Times New Roman"/>
                <w:szCs w:val="21"/>
              </w:rPr>
              <w:t>1</w:t>
            </w:r>
            <w:r>
              <w:rPr>
                <w:rFonts w:hint="eastAsia" w:ascii="宋体" w:hAnsi="宋体" w:eastAsia="宋体" w:cs="Times New Roman"/>
                <w:szCs w:val="21"/>
              </w:rPr>
              <w:t>分，计满3分为止。</w:t>
            </w:r>
          </w:p>
        </w:tc>
      </w:tr>
      <w:tr w14:paraId="01AF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3" w:hRule="atLeast"/>
          <w:jc w:val="center"/>
        </w:trPr>
        <w:tc>
          <w:tcPr>
            <w:tcW w:w="1271" w:type="dxa"/>
            <w:vMerge w:val="restart"/>
            <w:noWrap w:val="0"/>
            <w:vAlign w:val="center"/>
          </w:tcPr>
          <w:p w14:paraId="1972B1BC">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技术部分</w:t>
            </w:r>
          </w:p>
          <w:p w14:paraId="215FBD76">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w:t>
            </w:r>
            <w:r>
              <w:rPr>
                <w:rFonts w:hint="eastAsia" w:ascii="宋体" w:hAnsi="宋体" w:eastAsia="宋体" w:cs="Times New Roman"/>
                <w:spacing w:val="-6"/>
                <w:szCs w:val="21"/>
                <w:lang w:val="en-US" w:eastAsia="zh-CN"/>
              </w:rPr>
              <w:t>57</w:t>
            </w:r>
            <w:r>
              <w:rPr>
                <w:rFonts w:hint="eastAsia" w:ascii="宋体" w:hAnsi="宋体" w:eastAsia="宋体" w:cs="Times New Roman"/>
                <w:spacing w:val="-6"/>
                <w:szCs w:val="21"/>
              </w:rPr>
              <w:t>分）</w:t>
            </w:r>
          </w:p>
        </w:tc>
        <w:tc>
          <w:tcPr>
            <w:tcW w:w="1175" w:type="dxa"/>
            <w:tcBorders>
              <w:top w:val="single" w:color="auto" w:sz="4" w:space="0"/>
            </w:tcBorders>
            <w:noWrap w:val="0"/>
            <w:vAlign w:val="center"/>
          </w:tcPr>
          <w:p w14:paraId="65E69D71">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center"/>
              <w:textAlignment w:val="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技术指标符合性</w:t>
            </w:r>
          </w:p>
        </w:tc>
        <w:tc>
          <w:tcPr>
            <w:tcW w:w="900" w:type="dxa"/>
            <w:noWrap w:val="0"/>
            <w:vAlign w:val="center"/>
          </w:tcPr>
          <w:p w14:paraId="4CCE62FD">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center"/>
              <w:textAlignment w:val="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26.5</w:t>
            </w:r>
          </w:p>
        </w:tc>
        <w:tc>
          <w:tcPr>
            <w:tcW w:w="6679" w:type="dxa"/>
            <w:noWrap w:val="0"/>
            <w:vAlign w:val="center"/>
          </w:tcPr>
          <w:p w14:paraId="48164FF1">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1.采购需求“二、系统具体技术参数”中标注“▲”的技术要求（共</w:t>
            </w:r>
            <w:r>
              <w:rPr>
                <w:rFonts w:hint="eastAsia" w:ascii="宋体" w:hAnsi="宋体" w:eastAsia="宋体" w:cs="Times New Roman"/>
                <w:szCs w:val="21"/>
                <w:lang w:val="en-US" w:eastAsia="zh-CN"/>
              </w:rPr>
              <w:t>16</w:t>
            </w:r>
            <w:r>
              <w:rPr>
                <w:rFonts w:hint="eastAsia" w:ascii="宋体" w:hAnsi="宋体" w:eastAsia="宋体" w:cs="Times New Roman"/>
                <w:szCs w:val="21"/>
              </w:rPr>
              <w:t>项），每满足1项得</w:t>
            </w:r>
            <w:r>
              <w:rPr>
                <w:rFonts w:hint="eastAsia" w:ascii="宋体" w:hAnsi="宋体" w:eastAsia="宋体" w:cs="Times New Roman"/>
                <w:szCs w:val="21"/>
                <w:lang w:val="en-US" w:eastAsia="zh-CN"/>
              </w:rPr>
              <w:t>1</w:t>
            </w:r>
            <w:r>
              <w:rPr>
                <w:rFonts w:hint="eastAsia" w:ascii="宋体" w:hAnsi="宋体" w:eastAsia="宋体" w:cs="Times New Roman"/>
                <w:szCs w:val="21"/>
              </w:rPr>
              <w:t>分，最高得</w:t>
            </w:r>
            <w:r>
              <w:rPr>
                <w:rFonts w:hint="eastAsia" w:ascii="宋体" w:hAnsi="宋体" w:eastAsia="宋体" w:cs="Times New Roman"/>
                <w:szCs w:val="21"/>
                <w:lang w:val="en-US" w:eastAsia="zh-CN"/>
              </w:rPr>
              <w:t>16</w:t>
            </w:r>
            <w:r>
              <w:rPr>
                <w:rFonts w:hint="eastAsia" w:ascii="宋体" w:hAnsi="宋体" w:eastAsia="宋体" w:cs="Times New Roman"/>
                <w:szCs w:val="21"/>
              </w:rPr>
              <w:t>分；</w:t>
            </w:r>
          </w:p>
          <w:p w14:paraId="72B15685">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Times New Roman"/>
                <w:szCs w:val="21"/>
              </w:rPr>
              <w:t>2.未标注符号的一般参数指标，按“二、系统具体技术参数”中的服务项（共21项）计分：每个服务项中的任意一条一般参数指标不能满足则扣0.5分，同一类服务项不重复扣分。全部一般参数指标均满足得10.5分。</w:t>
            </w:r>
          </w:p>
          <w:p w14:paraId="05E7CF43">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注：标注“▲”项参数为重要指标参数，供应商提供系统截图或制造商出具的技术白皮书或第三方检测报告进行响应，未提供或负偏离的将根据评分办法的规定扣除对应分值（未标注符号的为一般指标参数，供应商须在技术响应偏离表中进行偏离说明）。如采购文件第三部分采购需求中对需要证明材料有明确要求的，以第三部分采购需求为准。</w:t>
            </w:r>
          </w:p>
        </w:tc>
      </w:tr>
      <w:tr w14:paraId="2D13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7FA6E3B1">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noWrap w:val="0"/>
            <w:vAlign w:val="center"/>
          </w:tcPr>
          <w:p w14:paraId="425969B0">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ascii="宋体" w:hAnsi="宋体" w:eastAsia="宋体" w:cs="Times New Roman"/>
                <w:spacing w:val="-6"/>
                <w:szCs w:val="21"/>
              </w:rPr>
              <w:t>风险</w:t>
            </w:r>
            <w:r>
              <w:rPr>
                <w:rFonts w:hint="eastAsia" w:ascii="宋体" w:hAnsi="宋体" w:eastAsia="宋体" w:cs="Times New Roman"/>
                <w:spacing w:val="-6"/>
                <w:szCs w:val="21"/>
              </w:rPr>
              <w:t>保障及质量管理措施方案</w:t>
            </w:r>
          </w:p>
        </w:tc>
        <w:tc>
          <w:tcPr>
            <w:tcW w:w="900" w:type="dxa"/>
            <w:noWrap w:val="0"/>
            <w:vAlign w:val="center"/>
          </w:tcPr>
          <w:p w14:paraId="4B293805">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lang w:val="en-US" w:eastAsia="zh-CN"/>
              </w:rPr>
              <w:t>8</w:t>
            </w:r>
          </w:p>
        </w:tc>
        <w:tc>
          <w:tcPr>
            <w:tcW w:w="6679" w:type="dxa"/>
            <w:noWrap w:val="0"/>
            <w:vAlign w:val="center"/>
          </w:tcPr>
          <w:p w14:paraId="5A8F2FD9">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textAlignment w:val="auto"/>
              <w:rPr>
                <w:rFonts w:ascii="Times New Roman" w:hAnsi="Times New Roman" w:eastAsia="宋体" w:cs="Times New Roman"/>
                <w:szCs w:val="22"/>
              </w:rPr>
            </w:pPr>
            <w:r>
              <w:rPr>
                <w:rFonts w:hint="eastAsia" w:ascii="宋体" w:hAnsi="宋体" w:eastAsia="宋体" w:cs="宋体"/>
                <w:szCs w:val="21"/>
                <w:highlight w:val="none"/>
              </w:rPr>
              <w:t>根据供应商</w:t>
            </w:r>
            <w:r>
              <w:rPr>
                <w:rFonts w:hint="eastAsia" w:ascii="宋体" w:hAnsi="宋体" w:eastAsia="宋体" w:cs="宋体"/>
                <w:szCs w:val="21"/>
                <w:highlight w:val="none"/>
                <w:lang w:val="en-US" w:eastAsia="zh-CN"/>
              </w:rPr>
              <w:t>提供的</w:t>
            </w:r>
            <w:r>
              <w:rPr>
                <w:rFonts w:hint="eastAsia" w:ascii="宋体" w:hAnsi="宋体" w:eastAsia="宋体" w:cs="宋体"/>
                <w:szCs w:val="21"/>
                <w:highlight w:val="none"/>
                <w:lang w:val="en-US" w:eastAsia="zh-CN" w:bidi="ar"/>
              </w:rPr>
              <w:t>1.</w:t>
            </w:r>
            <w:r>
              <w:rPr>
                <w:rFonts w:hint="eastAsia" w:ascii="宋体" w:hAnsi="宋体" w:eastAsia="宋体" w:cs="Times New Roman"/>
                <w:szCs w:val="21"/>
              </w:rPr>
              <w:t>风险保障措施方案</w:t>
            </w:r>
            <w:r>
              <w:rPr>
                <w:rFonts w:hint="eastAsia" w:ascii="宋体" w:hAnsi="宋体" w:eastAsia="宋体" w:cs="Times New Roman"/>
                <w:szCs w:val="21"/>
                <w:lang w:eastAsia="zh-CN"/>
              </w:rPr>
              <w:t>（</w:t>
            </w:r>
            <w:r>
              <w:rPr>
                <w:rFonts w:hint="eastAsia" w:ascii="宋体" w:hAnsi="宋体" w:eastAsia="宋体" w:cs="Times New Roman"/>
                <w:szCs w:val="21"/>
              </w:rPr>
              <w:t>方案包括但不限于技术风险、政策风险、管理风险、运维风险、集成风险进行评估并提出应对措施</w:t>
            </w:r>
            <w:r>
              <w:rPr>
                <w:rFonts w:hint="eastAsia" w:ascii="宋体" w:hAnsi="宋体" w:eastAsia="宋体" w:cs="Times New Roman"/>
                <w:szCs w:val="21"/>
                <w:lang w:eastAsia="zh-CN"/>
              </w:rPr>
              <w:t>）</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2.</w:t>
            </w:r>
            <w:r>
              <w:rPr>
                <w:rFonts w:hint="eastAsia" w:ascii="宋体" w:hAnsi="宋体" w:eastAsia="宋体" w:cs="Times New Roman"/>
                <w:szCs w:val="21"/>
              </w:rPr>
              <w:t>项目质量管理措施</w:t>
            </w:r>
            <w:r>
              <w:rPr>
                <w:rFonts w:hint="eastAsia" w:ascii="宋体" w:hAnsi="宋体" w:eastAsia="宋体" w:cs="Times New Roman"/>
                <w:szCs w:val="21"/>
                <w:lang w:eastAsia="zh-CN"/>
              </w:rPr>
              <w:t>（</w:t>
            </w:r>
            <w:r>
              <w:rPr>
                <w:rFonts w:hint="eastAsia" w:ascii="宋体" w:hAnsi="宋体" w:eastAsia="宋体" w:cs="Times New Roman"/>
                <w:szCs w:val="21"/>
              </w:rPr>
              <w:t>方案包括但不限于确保质量管理工作内容、程序、措施</w:t>
            </w:r>
            <w:r>
              <w:rPr>
                <w:rFonts w:hint="eastAsia" w:ascii="宋体" w:hAnsi="宋体" w:eastAsia="宋体" w:cs="Times New Roman"/>
                <w:szCs w:val="21"/>
                <w:lang w:eastAsia="zh-CN"/>
              </w:rPr>
              <w:t>）</w:t>
            </w:r>
            <w:r>
              <w:rPr>
                <w:rFonts w:hint="eastAsia" w:ascii="宋体" w:hAnsi="宋体" w:eastAsia="宋体" w:cs="宋体"/>
                <w:szCs w:val="21"/>
                <w:highlight w:val="none"/>
              </w:rPr>
              <w:t>进行评审：</w:t>
            </w:r>
          </w:p>
          <w:p w14:paraId="36DEE024">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①符合性：投标人所述方案应充分考虑本项目特性，结合采购人特点，要求与本项目的实际需求相契合；</w:t>
            </w:r>
          </w:p>
          <w:p w14:paraId="1B0ADE5E">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②可行性：所述方案应具备实际操作性；</w:t>
            </w:r>
          </w:p>
          <w:p w14:paraId="0390943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③完整性：所述方案应具有全面性，考虑到方案实施的各个环节和影响因素。</w:t>
            </w:r>
          </w:p>
          <w:p w14:paraId="3A1FC1ED">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宋体"/>
                <w:kern w:val="2"/>
                <w:sz w:val="21"/>
                <w:szCs w:val="21"/>
                <w:highlight w:val="none"/>
              </w:rPr>
              <w:t>对上述“</w:t>
            </w:r>
            <w:r>
              <w:rPr>
                <w:rFonts w:hint="eastAsia" w:ascii="宋体" w:hAnsi="宋体" w:eastAsia="宋体" w:cs="宋体"/>
                <w:kern w:val="2"/>
                <w:sz w:val="21"/>
                <w:szCs w:val="21"/>
                <w:highlight w:val="none"/>
                <w:lang w:val="en-US" w:eastAsia="zh-CN"/>
              </w:rPr>
              <w:t>1-2</w:t>
            </w:r>
            <w:r>
              <w:rPr>
                <w:rFonts w:hint="eastAsia" w:ascii="宋体" w:hAnsi="宋体" w:eastAsia="宋体" w:cs="宋体"/>
                <w:kern w:val="2"/>
                <w:sz w:val="21"/>
                <w:szCs w:val="21"/>
                <w:highlight w:val="none"/>
              </w:rPr>
              <w:t>”项方案的内容进行综合评分；每项方案满足全部评审点的得</w:t>
            </w:r>
            <w:r>
              <w:rPr>
                <w:rFonts w:hint="eastAsia" w:ascii="宋体" w:hAnsi="宋体" w:eastAsia="宋体" w:cs="宋体"/>
                <w:kern w:val="2"/>
                <w:sz w:val="21"/>
                <w:szCs w:val="21"/>
                <w:highlight w:val="none"/>
                <w:lang w:val="en-US" w:eastAsia="zh-CN"/>
              </w:rPr>
              <w:t>4</w:t>
            </w:r>
            <w:r>
              <w:rPr>
                <w:rFonts w:hint="eastAsia" w:ascii="宋体" w:hAnsi="宋体" w:eastAsia="宋体" w:cs="宋体"/>
                <w:kern w:val="2"/>
                <w:sz w:val="21"/>
                <w:szCs w:val="21"/>
                <w:highlight w:val="none"/>
              </w:rPr>
              <w:t>分，满足其中2项评审点的得</w:t>
            </w:r>
            <w:r>
              <w:rPr>
                <w:rFonts w:hint="eastAsia" w:ascii="宋体" w:hAnsi="宋体" w:eastAsia="宋体" w:cs="宋体"/>
                <w:kern w:val="2"/>
                <w:sz w:val="21"/>
                <w:szCs w:val="21"/>
                <w:highlight w:val="none"/>
                <w:lang w:val="en-US" w:eastAsia="zh-CN"/>
              </w:rPr>
              <w:t>2</w:t>
            </w:r>
            <w:r>
              <w:rPr>
                <w:rFonts w:hint="eastAsia" w:ascii="宋体" w:hAnsi="宋体" w:eastAsia="宋体" w:cs="宋体"/>
                <w:kern w:val="2"/>
                <w:sz w:val="21"/>
                <w:szCs w:val="21"/>
                <w:highlight w:val="none"/>
              </w:rPr>
              <w:t>分；满足其中</w:t>
            </w:r>
            <w:r>
              <w:rPr>
                <w:rFonts w:hint="eastAsia" w:ascii="宋体" w:hAnsi="宋体" w:eastAsia="宋体" w:cs="宋体"/>
                <w:kern w:val="2"/>
                <w:sz w:val="21"/>
                <w:szCs w:val="21"/>
                <w:highlight w:val="none"/>
                <w:lang w:val="en-US" w:eastAsia="zh-CN"/>
              </w:rPr>
              <w:t>1</w:t>
            </w:r>
            <w:r>
              <w:rPr>
                <w:rFonts w:hint="eastAsia" w:ascii="宋体" w:hAnsi="宋体" w:eastAsia="宋体" w:cs="宋体"/>
                <w:kern w:val="2"/>
                <w:sz w:val="21"/>
                <w:szCs w:val="21"/>
                <w:highlight w:val="none"/>
              </w:rPr>
              <w:t>项评审点的得</w:t>
            </w:r>
            <w:r>
              <w:rPr>
                <w:rFonts w:hint="eastAsia" w:ascii="宋体" w:hAnsi="宋体" w:eastAsia="宋体" w:cs="宋体"/>
                <w:kern w:val="2"/>
                <w:sz w:val="21"/>
                <w:szCs w:val="21"/>
                <w:highlight w:val="none"/>
                <w:lang w:val="en-US" w:eastAsia="zh-CN"/>
              </w:rPr>
              <w:t>1</w:t>
            </w:r>
            <w:r>
              <w:rPr>
                <w:rFonts w:hint="eastAsia" w:ascii="宋体" w:hAnsi="宋体" w:eastAsia="宋体" w:cs="宋体"/>
                <w:kern w:val="2"/>
                <w:sz w:val="21"/>
                <w:szCs w:val="21"/>
                <w:highlight w:val="none"/>
              </w:rPr>
              <w:t>分</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未提供或不满足项目需求的不得分，本项满分</w:t>
            </w:r>
            <w:r>
              <w:rPr>
                <w:rFonts w:hint="eastAsia" w:ascii="宋体" w:hAnsi="宋体" w:eastAsia="宋体" w:cs="宋体"/>
                <w:kern w:val="2"/>
                <w:sz w:val="21"/>
                <w:szCs w:val="21"/>
                <w:highlight w:val="none"/>
                <w:lang w:val="en-US" w:eastAsia="zh-CN"/>
              </w:rPr>
              <w:t>8</w:t>
            </w:r>
            <w:r>
              <w:rPr>
                <w:rFonts w:hint="eastAsia" w:ascii="宋体" w:hAnsi="宋体" w:eastAsia="宋体" w:cs="宋体"/>
                <w:kern w:val="2"/>
                <w:sz w:val="21"/>
                <w:szCs w:val="21"/>
                <w:highlight w:val="none"/>
              </w:rPr>
              <w:t>分。</w:t>
            </w:r>
          </w:p>
        </w:tc>
      </w:tr>
      <w:tr w14:paraId="7EDF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248F9B25">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tcBorders>
              <w:top w:val="single" w:color="auto" w:sz="4" w:space="0"/>
            </w:tcBorders>
            <w:noWrap w:val="0"/>
            <w:vAlign w:val="center"/>
          </w:tcPr>
          <w:p w14:paraId="6B818768">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培训方案</w:t>
            </w:r>
          </w:p>
        </w:tc>
        <w:tc>
          <w:tcPr>
            <w:tcW w:w="900" w:type="dxa"/>
            <w:noWrap w:val="0"/>
            <w:vAlign w:val="center"/>
          </w:tcPr>
          <w:p w14:paraId="23D4F6CB">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cs="Times New Roman"/>
                <w:spacing w:val="-6"/>
                <w:szCs w:val="21"/>
                <w:lang w:val="en-US" w:eastAsia="zh-CN"/>
              </w:rPr>
              <w:t>6.5</w:t>
            </w:r>
          </w:p>
        </w:tc>
        <w:tc>
          <w:tcPr>
            <w:tcW w:w="6679" w:type="dxa"/>
            <w:noWrap w:val="0"/>
            <w:vAlign w:val="center"/>
          </w:tcPr>
          <w:p w14:paraId="05668ADE">
            <w:pPr>
              <w:keepNext w:val="0"/>
              <w:keepLines w:val="0"/>
              <w:pageBreakBefore w:val="0"/>
              <w:kinsoku/>
              <w:wordWrap/>
              <w:overflowPunct/>
              <w:topLinePunct w:val="0"/>
              <w:autoSpaceDE/>
              <w:autoSpaceDN/>
              <w:bidi w:val="0"/>
              <w:adjustRightInd/>
              <w:snapToGrid/>
              <w:spacing w:line="400" w:lineRule="exact"/>
              <w:ind w:firstLine="0" w:firstLineChars="0"/>
              <w:textAlignment w:val="auto"/>
              <w:rPr>
                <w:rFonts w:ascii="Times New Roman" w:hAnsi="Times New Roman" w:eastAsia="宋体" w:cs="Times New Roman"/>
                <w:szCs w:val="22"/>
              </w:rPr>
            </w:pPr>
            <w:r>
              <w:rPr>
                <w:rFonts w:hint="eastAsia" w:ascii="宋体" w:hAnsi="宋体" w:eastAsia="宋体" w:cs="宋体"/>
                <w:szCs w:val="21"/>
                <w:highlight w:val="none"/>
              </w:rPr>
              <w:t>根据供应商</w:t>
            </w:r>
            <w:r>
              <w:rPr>
                <w:rFonts w:hint="eastAsia" w:ascii="宋体" w:hAnsi="宋体" w:eastAsia="宋体" w:cs="宋体"/>
                <w:szCs w:val="21"/>
                <w:highlight w:val="none"/>
                <w:lang w:val="en-US" w:eastAsia="zh-CN"/>
              </w:rPr>
              <w:t>提供的培训方案</w:t>
            </w:r>
            <w:r>
              <w:rPr>
                <w:rFonts w:hint="eastAsia" w:ascii="宋体" w:hAnsi="宋体" w:eastAsia="宋体" w:cs="Times New Roman"/>
                <w:szCs w:val="21"/>
                <w:lang w:eastAsia="zh-CN"/>
              </w:rPr>
              <w:t>（</w:t>
            </w:r>
            <w:r>
              <w:rPr>
                <w:rFonts w:hint="eastAsia" w:ascii="宋体" w:hAnsi="宋体" w:eastAsia="宋体" w:cs="Times New Roman"/>
                <w:szCs w:val="21"/>
              </w:rPr>
              <w:t>包括但不限于培训计划、</w:t>
            </w:r>
            <w:r>
              <w:rPr>
                <w:rFonts w:hint="eastAsia" w:ascii="宋体" w:hAnsi="宋体" w:cs="Times New Roman"/>
                <w:szCs w:val="21"/>
                <w:lang w:val="en-US" w:eastAsia="zh-CN"/>
              </w:rPr>
              <w:t>培训内容、</w:t>
            </w:r>
            <w:r>
              <w:rPr>
                <w:rFonts w:hint="eastAsia" w:ascii="宋体" w:hAnsi="宋体" w:eastAsia="宋体" w:cs="Times New Roman"/>
                <w:szCs w:val="21"/>
              </w:rPr>
              <w:t>培训次数、培训方式、培训人员数量</w:t>
            </w:r>
            <w:r>
              <w:rPr>
                <w:rFonts w:hint="eastAsia" w:ascii="宋体" w:hAnsi="宋体" w:cs="Times New Roman"/>
                <w:szCs w:val="21"/>
                <w:lang w:eastAsia="zh-CN"/>
              </w:rPr>
              <w:t>、</w:t>
            </w:r>
            <w:r>
              <w:rPr>
                <w:rFonts w:hint="eastAsia" w:ascii="宋体" w:hAnsi="宋体" w:cs="Times New Roman"/>
                <w:szCs w:val="21"/>
                <w:lang w:val="en-US" w:eastAsia="zh-CN"/>
              </w:rPr>
              <w:t>培训目标</w:t>
            </w:r>
            <w:r>
              <w:rPr>
                <w:rFonts w:hint="eastAsia" w:ascii="宋体" w:hAnsi="宋体" w:eastAsia="宋体" w:cs="Times New Roman"/>
                <w:szCs w:val="21"/>
                <w:lang w:eastAsia="zh-CN"/>
              </w:rPr>
              <w:t>）</w:t>
            </w:r>
            <w:r>
              <w:rPr>
                <w:rFonts w:hint="eastAsia" w:ascii="宋体" w:hAnsi="宋体" w:eastAsia="宋体" w:cs="宋体"/>
                <w:szCs w:val="21"/>
                <w:highlight w:val="none"/>
              </w:rPr>
              <w:t>进行评审：</w:t>
            </w:r>
          </w:p>
          <w:p w14:paraId="14AD88F2">
            <w:pPr>
              <w:keepNext w:val="0"/>
              <w:keepLines w:val="0"/>
              <w:pageBreakBefore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①符合性：投标人所述方案应充分考虑本项目特性，结合采购人特点，要求与本项目的实际需求相契合；</w:t>
            </w:r>
          </w:p>
          <w:p w14:paraId="18C45B31">
            <w:pPr>
              <w:keepNext w:val="0"/>
              <w:keepLines w:val="0"/>
              <w:pageBreakBefore w:val="0"/>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②可行性：所述方案应具备实际操作性；</w:t>
            </w:r>
          </w:p>
          <w:p w14:paraId="4D50894C">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③完整性：所述方案应具有全面性，考虑到方案实施的各个环节和影响因素。</w:t>
            </w:r>
          </w:p>
          <w:p w14:paraId="513E9E92">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宋体" w:hAnsi="宋体" w:eastAsia="宋体" w:cs="宋体"/>
                <w:kern w:val="2"/>
                <w:sz w:val="21"/>
                <w:szCs w:val="21"/>
                <w:highlight w:val="none"/>
              </w:rPr>
              <w:t>对上述方案的内容进行综合评分；每项方案满足全部评审点的得</w:t>
            </w:r>
            <w:r>
              <w:rPr>
                <w:rFonts w:hint="eastAsia" w:ascii="宋体" w:hAnsi="宋体" w:cs="宋体"/>
                <w:kern w:val="2"/>
                <w:sz w:val="21"/>
                <w:szCs w:val="21"/>
                <w:highlight w:val="none"/>
                <w:lang w:val="en-US" w:eastAsia="zh-CN"/>
              </w:rPr>
              <w:t>6.5</w:t>
            </w:r>
            <w:r>
              <w:rPr>
                <w:rFonts w:hint="eastAsia" w:ascii="宋体" w:hAnsi="宋体" w:eastAsia="宋体" w:cs="宋体"/>
                <w:kern w:val="2"/>
                <w:sz w:val="21"/>
                <w:szCs w:val="21"/>
                <w:highlight w:val="none"/>
              </w:rPr>
              <w:t>分，满足其中2项评审点的得</w:t>
            </w:r>
            <w:r>
              <w:rPr>
                <w:rFonts w:hint="eastAsia" w:ascii="宋体" w:hAnsi="宋体" w:cs="宋体"/>
                <w:kern w:val="2"/>
                <w:sz w:val="21"/>
                <w:szCs w:val="21"/>
                <w:highlight w:val="none"/>
                <w:lang w:val="en-US" w:eastAsia="zh-CN"/>
              </w:rPr>
              <w:t>4.5</w:t>
            </w:r>
            <w:r>
              <w:rPr>
                <w:rFonts w:hint="eastAsia" w:ascii="宋体" w:hAnsi="宋体" w:eastAsia="宋体" w:cs="宋体"/>
                <w:kern w:val="2"/>
                <w:sz w:val="21"/>
                <w:szCs w:val="21"/>
                <w:highlight w:val="none"/>
              </w:rPr>
              <w:t>分；满足其中</w:t>
            </w:r>
            <w:r>
              <w:rPr>
                <w:rFonts w:hint="eastAsia" w:ascii="宋体" w:hAnsi="宋体" w:eastAsia="宋体" w:cs="宋体"/>
                <w:kern w:val="2"/>
                <w:sz w:val="21"/>
                <w:szCs w:val="21"/>
                <w:highlight w:val="none"/>
                <w:lang w:val="en-US" w:eastAsia="zh-CN"/>
              </w:rPr>
              <w:t>1</w:t>
            </w:r>
            <w:r>
              <w:rPr>
                <w:rFonts w:hint="eastAsia" w:ascii="宋体" w:hAnsi="宋体" w:eastAsia="宋体" w:cs="宋体"/>
                <w:kern w:val="2"/>
                <w:sz w:val="21"/>
                <w:szCs w:val="21"/>
                <w:highlight w:val="none"/>
              </w:rPr>
              <w:t>项评审点的得</w:t>
            </w:r>
            <w:r>
              <w:rPr>
                <w:rFonts w:hint="eastAsia" w:ascii="宋体" w:hAnsi="宋体" w:cs="宋体"/>
                <w:kern w:val="2"/>
                <w:sz w:val="21"/>
                <w:szCs w:val="21"/>
                <w:highlight w:val="none"/>
                <w:lang w:val="en-US" w:eastAsia="zh-CN"/>
              </w:rPr>
              <w:t>1</w:t>
            </w:r>
            <w:r>
              <w:rPr>
                <w:rFonts w:hint="eastAsia" w:ascii="宋体" w:hAnsi="宋体" w:eastAsia="宋体" w:cs="宋体"/>
                <w:kern w:val="2"/>
                <w:sz w:val="21"/>
                <w:szCs w:val="21"/>
                <w:highlight w:val="none"/>
                <w:lang w:val="en-US" w:eastAsia="zh-CN"/>
              </w:rPr>
              <w:t>.5</w:t>
            </w:r>
            <w:r>
              <w:rPr>
                <w:rFonts w:hint="eastAsia" w:ascii="宋体" w:hAnsi="宋体" w:eastAsia="宋体" w:cs="宋体"/>
                <w:kern w:val="2"/>
                <w:sz w:val="21"/>
                <w:szCs w:val="21"/>
                <w:highlight w:val="none"/>
              </w:rPr>
              <w:t>分</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未提供或不满足项目需求的不得分，本项满分</w:t>
            </w:r>
            <w:r>
              <w:rPr>
                <w:rFonts w:hint="eastAsia" w:ascii="宋体" w:hAnsi="宋体" w:cs="宋体"/>
                <w:kern w:val="2"/>
                <w:sz w:val="21"/>
                <w:szCs w:val="21"/>
                <w:highlight w:val="none"/>
                <w:lang w:val="en-US" w:eastAsia="zh-CN"/>
              </w:rPr>
              <w:t>6.5</w:t>
            </w:r>
            <w:r>
              <w:rPr>
                <w:rFonts w:hint="eastAsia" w:ascii="宋体" w:hAnsi="宋体" w:eastAsia="宋体" w:cs="宋体"/>
                <w:kern w:val="2"/>
                <w:sz w:val="21"/>
                <w:szCs w:val="21"/>
                <w:highlight w:val="none"/>
              </w:rPr>
              <w:t>分。</w:t>
            </w:r>
          </w:p>
        </w:tc>
      </w:tr>
      <w:tr w14:paraId="4D61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1018E9B5">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tcBorders>
              <w:top w:val="single" w:color="auto" w:sz="4" w:space="0"/>
            </w:tcBorders>
            <w:noWrap w:val="0"/>
            <w:vAlign w:val="center"/>
          </w:tcPr>
          <w:p w14:paraId="7B5F76B5">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售后服务</w:t>
            </w:r>
          </w:p>
        </w:tc>
        <w:tc>
          <w:tcPr>
            <w:tcW w:w="900" w:type="dxa"/>
            <w:tcBorders>
              <w:bottom w:val="single" w:color="auto" w:sz="4" w:space="0"/>
            </w:tcBorders>
            <w:noWrap w:val="0"/>
            <w:vAlign w:val="center"/>
          </w:tcPr>
          <w:p w14:paraId="30E7DE7B">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lang w:val="en-US" w:eastAsia="zh-CN"/>
              </w:rPr>
              <w:t>8</w:t>
            </w:r>
          </w:p>
        </w:tc>
        <w:tc>
          <w:tcPr>
            <w:tcW w:w="6679" w:type="dxa"/>
            <w:tcBorders>
              <w:bottom w:val="single" w:color="auto" w:sz="4" w:space="0"/>
            </w:tcBorders>
            <w:noWrap w:val="0"/>
            <w:vAlign w:val="center"/>
          </w:tcPr>
          <w:p w14:paraId="5FDF5BE9">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textAlignment w:val="auto"/>
              <w:rPr>
                <w:rFonts w:ascii="Times New Roman" w:hAnsi="Times New Roman" w:eastAsia="宋体" w:cs="Times New Roman"/>
                <w:szCs w:val="22"/>
              </w:rPr>
            </w:pPr>
            <w:r>
              <w:rPr>
                <w:rFonts w:hint="eastAsia" w:ascii="宋体" w:hAnsi="宋体" w:eastAsia="宋体" w:cs="宋体"/>
                <w:szCs w:val="21"/>
                <w:highlight w:val="none"/>
              </w:rPr>
              <w:t>根据供应商</w:t>
            </w:r>
            <w:r>
              <w:rPr>
                <w:rFonts w:hint="eastAsia" w:ascii="宋体" w:hAnsi="宋体" w:eastAsia="宋体" w:cs="宋体"/>
                <w:szCs w:val="21"/>
                <w:highlight w:val="none"/>
                <w:lang w:val="en-US" w:eastAsia="zh-CN"/>
              </w:rPr>
              <w:t>提供的</w:t>
            </w:r>
            <w:r>
              <w:rPr>
                <w:rFonts w:hint="eastAsia" w:ascii="宋体" w:hAnsi="宋体" w:eastAsia="宋体" w:cs="Times New Roman"/>
                <w:szCs w:val="21"/>
              </w:rPr>
              <w:t>售后服务</w:t>
            </w:r>
            <w:r>
              <w:rPr>
                <w:rFonts w:hint="eastAsia" w:ascii="宋体" w:hAnsi="宋体" w:eastAsia="宋体" w:cs="宋体"/>
                <w:szCs w:val="21"/>
                <w:highlight w:val="none"/>
                <w:lang w:val="en-US" w:eastAsia="zh-CN"/>
              </w:rPr>
              <w:t>方案</w:t>
            </w:r>
            <w:r>
              <w:rPr>
                <w:rFonts w:hint="eastAsia" w:ascii="宋体" w:hAnsi="宋体" w:eastAsia="宋体" w:cs="Times New Roman"/>
                <w:szCs w:val="21"/>
                <w:lang w:eastAsia="zh-CN"/>
              </w:rPr>
              <w:t>（</w:t>
            </w:r>
            <w:r>
              <w:rPr>
                <w:rFonts w:hint="eastAsia" w:ascii="宋体" w:hAnsi="宋体" w:eastAsia="宋体" w:cs="Times New Roman"/>
                <w:szCs w:val="21"/>
              </w:rPr>
              <w:t>包括但不限于</w:t>
            </w:r>
            <w:r>
              <w:rPr>
                <w:rFonts w:hint="eastAsia" w:ascii="宋体" w:hAnsi="宋体" w:eastAsia="宋体" w:cs="Times New Roman"/>
                <w:szCs w:val="21"/>
                <w:lang w:val="en-US" w:eastAsia="zh-CN"/>
              </w:rPr>
              <w:t>1.</w:t>
            </w:r>
            <w:r>
              <w:rPr>
                <w:rFonts w:hint="eastAsia" w:ascii="宋体" w:hAnsi="宋体" w:eastAsia="宋体" w:cs="Times New Roman"/>
                <w:szCs w:val="21"/>
              </w:rPr>
              <w:t>售后服务组织体系、</w:t>
            </w:r>
            <w:r>
              <w:rPr>
                <w:rFonts w:hint="eastAsia" w:ascii="宋体" w:hAnsi="宋体" w:eastAsia="宋体" w:cs="Times New Roman"/>
                <w:szCs w:val="21"/>
                <w:lang w:val="en-US" w:eastAsia="zh-CN"/>
              </w:rPr>
              <w:t>2.</w:t>
            </w:r>
            <w:r>
              <w:rPr>
                <w:rFonts w:hint="eastAsia" w:ascii="宋体" w:hAnsi="宋体" w:eastAsia="宋体" w:cs="Times New Roman"/>
                <w:szCs w:val="21"/>
              </w:rPr>
              <w:t>日常运维服务保障方式、</w:t>
            </w:r>
            <w:r>
              <w:rPr>
                <w:rFonts w:hint="eastAsia" w:ascii="宋体" w:hAnsi="宋体" w:eastAsia="宋体" w:cs="Times New Roman"/>
                <w:szCs w:val="21"/>
                <w:lang w:val="en-US" w:eastAsia="zh-CN"/>
              </w:rPr>
              <w:t>3.</w:t>
            </w:r>
            <w:r>
              <w:rPr>
                <w:rFonts w:hint="eastAsia" w:ascii="宋体" w:hAnsi="宋体" w:eastAsia="宋体" w:cs="Times New Roman"/>
                <w:szCs w:val="21"/>
              </w:rPr>
              <w:t>安全保障服务、</w:t>
            </w:r>
            <w:r>
              <w:rPr>
                <w:rFonts w:hint="eastAsia" w:ascii="宋体" w:hAnsi="宋体" w:eastAsia="宋体" w:cs="Times New Roman"/>
                <w:szCs w:val="21"/>
                <w:lang w:val="en-US" w:eastAsia="zh-CN"/>
              </w:rPr>
              <w:t>4.</w:t>
            </w:r>
            <w:r>
              <w:rPr>
                <w:rFonts w:hint="eastAsia" w:ascii="宋体" w:hAnsi="宋体" w:eastAsia="宋体" w:cs="Times New Roman"/>
                <w:szCs w:val="21"/>
              </w:rPr>
              <w:t>售后服务承诺等</w:t>
            </w:r>
            <w:r>
              <w:rPr>
                <w:rFonts w:hint="eastAsia" w:ascii="宋体" w:hAnsi="宋体" w:eastAsia="宋体" w:cs="Times New Roman"/>
                <w:szCs w:val="21"/>
                <w:lang w:eastAsia="zh-CN"/>
              </w:rPr>
              <w:t>）</w:t>
            </w:r>
            <w:r>
              <w:rPr>
                <w:rFonts w:hint="eastAsia" w:ascii="宋体" w:hAnsi="宋体" w:eastAsia="宋体" w:cs="宋体"/>
                <w:szCs w:val="21"/>
                <w:highlight w:val="none"/>
              </w:rPr>
              <w:t>进行评审：</w:t>
            </w:r>
          </w:p>
          <w:p w14:paraId="29EC18E2">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①符合性：投标人所述方案应充分考虑本项目特性，结合采购人特点，要求与本项目的实际需求相契合；</w:t>
            </w:r>
          </w:p>
          <w:p w14:paraId="43F2D8C9">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②可行性：所述方案应具备实际操作性；</w:t>
            </w:r>
          </w:p>
          <w:p w14:paraId="005A48B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rPr>
              <w:t>③完整性：所述方案应具有全面性，考虑到方案实施的各个环节和影响因素。</w:t>
            </w:r>
          </w:p>
          <w:p w14:paraId="59F2503A">
            <w:pPr>
              <w:keepNext w:val="0"/>
              <w:keepLines w:val="0"/>
              <w:pageBreakBefore w:val="0"/>
              <w:numPr>
                <w:ilvl w:val="0"/>
                <w:numId w:val="0"/>
              </w:numPr>
              <w:kinsoku/>
              <w:wordWrap/>
              <w:overflowPunct/>
              <w:topLinePunct w:val="0"/>
              <w:autoSpaceDE/>
              <w:autoSpaceDN/>
              <w:bidi w:val="0"/>
              <w:adjustRightInd/>
              <w:snapToGrid/>
              <w:spacing w:line="400" w:lineRule="exact"/>
              <w:ind w:firstLine="0" w:firstLineChars="0"/>
              <w:jc w:val="both"/>
              <w:textAlignment w:val="auto"/>
              <w:rPr>
                <w:rFonts w:hint="eastAsia" w:ascii="宋体" w:hAnsi="宋体" w:eastAsia="宋体" w:cs="Times New Roman"/>
                <w:szCs w:val="21"/>
              </w:rPr>
            </w:pPr>
            <w:r>
              <w:rPr>
                <w:rFonts w:hint="eastAsia" w:ascii="宋体" w:hAnsi="宋体" w:eastAsia="宋体" w:cs="宋体"/>
                <w:kern w:val="2"/>
                <w:sz w:val="21"/>
                <w:szCs w:val="21"/>
                <w:highlight w:val="none"/>
              </w:rPr>
              <w:t>对上述</w:t>
            </w:r>
            <w:r>
              <w:rPr>
                <w:rFonts w:hint="eastAsia" w:ascii="宋体" w:hAnsi="宋体" w:eastAsia="宋体" w:cs="宋体"/>
                <w:kern w:val="2"/>
                <w:sz w:val="21"/>
                <w:szCs w:val="21"/>
                <w:highlight w:val="none"/>
                <w:lang w:val="en-US" w:eastAsia="zh-CN"/>
              </w:rPr>
              <w:t>1-4项</w:t>
            </w:r>
            <w:r>
              <w:rPr>
                <w:rFonts w:hint="eastAsia" w:ascii="宋体" w:hAnsi="宋体" w:eastAsia="宋体" w:cs="宋体"/>
                <w:kern w:val="2"/>
                <w:sz w:val="21"/>
                <w:szCs w:val="21"/>
                <w:highlight w:val="none"/>
              </w:rPr>
              <w:t>方案的内容进行综合评分；每项方案满足全部评审点的得</w:t>
            </w:r>
            <w:r>
              <w:rPr>
                <w:rFonts w:hint="eastAsia" w:ascii="宋体" w:hAnsi="宋体" w:eastAsia="宋体" w:cs="宋体"/>
                <w:kern w:val="2"/>
                <w:sz w:val="21"/>
                <w:szCs w:val="21"/>
                <w:highlight w:val="none"/>
                <w:lang w:val="en-US" w:eastAsia="zh-CN"/>
              </w:rPr>
              <w:t>2</w:t>
            </w:r>
            <w:r>
              <w:rPr>
                <w:rFonts w:hint="eastAsia" w:ascii="宋体" w:hAnsi="宋体" w:eastAsia="宋体" w:cs="宋体"/>
                <w:kern w:val="2"/>
                <w:sz w:val="21"/>
                <w:szCs w:val="21"/>
                <w:highlight w:val="none"/>
              </w:rPr>
              <w:t>分，满足其中2项评审点的得</w:t>
            </w:r>
            <w:r>
              <w:rPr>
                <w:rFonts w:hint="eastAsia" w:ascii="宋体" w:hAnsi="宋体" w:eastAsia="宋体" w:cs="宋体"/>
                <w:kern w:val="2"/>
                <w:sz w:val="21"/>
                <w:szCs w:val="21"/>
                <w:highlight w:val="none"/>
                <w:lang w:val="en-US" w:eastAsia="zh-CN"/>
              </w:rPr>
              <w:t>1</w:t>
            </w:r>
            <w:r>
              <w:rPr>
                <w:rFonts w:hint="eastAsia" w:ascii="宋体" w:hAnsi="宋体" w:eastAsia="宋体" w:cs="宋体"/>
                <w:kern w:val="2"/>
                <w:sz w:val="21"/>
                <w:szCs w:val="21"/>
                <w:highlight w:val="none"/>
              </w:rPr>
              <w:t>分；满足其中</w:t>
            </w:r>
            <w:r>
              <w:rPr>
                <w:rFonts w:hint="eastAsia" w:ascii="宋体" w:hAnsi="宋体" w:eastAsia="宋体" w:cs="宋体"/>
                <w:kern w:val="2"/>
                <w:sz w:val="21"/>
                <w:szCs w:val="21"/>
                <w:highlight w:val="none"/>
                <w:lang w:val="en-US" w:eastAsia="zh-CN"/>
              </w:rPr>
              <w:t>1</w:t>
            </w:r>
            <w:r>
              <w:rPr>
                <w:rFonts w:hint="eastAsia" w:ascii="宋体" w:hAnsi="宋体" w:eastAsia="宋体" w:cs="宋体"/>
                <w:kern w:val="2"/>
                <w:sz w:val="21"/>
                <w:szCs w:val="21"/>
                <w:highlight w:val="none"/>
              </w:rPr>
              <w:t>项评审点的得</w:t>
            </w:r>
            <w:r>
              <w:rPr>
                <w:rFonts w:hint="eastAsia" w:ascii="宋体" w:hAnsi="宋体" w:eastAsia="宋体" w:cs="宋体"/>
                <w:kern w:val="2"/>
                <w:sz w:val="21"/>
                <w:szCs w:val="21"/>
                <w:highlight w:val="none"/>
                <w:lang w:val="en-US" w:eastAsia="zh-CN"/>
              </w:rPr>
              <w:t>0.5</w:t>
            </w:r>
            <w:r>
              <w:rPr>
                <w:rFonts w:hint="eastAsia" w:ascii="宋体" w:hAnsi="宋体" w:eastAsia="宋体" w:cs="宋体"/>
                <w:kern w:val="2"/>
                <w:sz w:val="21"/>
                <w:szCs w:val="21"/>
                <w:highlight w:val="none"/>
              </w:rPr>
              <w:t>分</w:t>
            </w:r>
            <w:r>
              <w:rPr>
                <w:rFonts w:hint="eastAsia" w:ascii="宋体" w:hAnsi="宋体" w:eastAsia="宋体" w:cs="宋体"/>
                <w:kern w:val="2"/>
                <w:sz w:val="21"/>
                <w:szCs w:val="21"/>
                <w:highlight w:val="none"/>
                <w:lang w:eastAsia="zh-CN"/>
              </w:rPr>
              <w:t>；</w:t>
            </w:r>
            <w:r>
              <w:rPr>
                <w:rFonts w:hint="eastAsia" w:ascii="宋体" w:hAnsi="宋体" w:eastAsia="宋体" w:cs="宋体"/>
                <w:kern w:val="2"/>
                <w:sz w:val="21"/>
                <w:szCs w:val="21"/>
                <w:highlight w:val="none"/>
              </w:rPr>
              <w:t>未提供或不满足项目需求的不得分，本项满分</w:t>
            </w:r>
            <w:r>
              <w:rPr>
                <w:rFonts w:hint="eastAsia" w:ascii="宋体" w:hAnsi="宋体" w:eastAsia="宋体" w:cs="宋体"/>
                <w:kern w:val="2"/>
                <w:sz w:val="21"/>
                <w:szCs w:val="21"/>
                <w:highlight w:val="none"/>
                <w:lang w:val="en-US" w:eastAsia="zh-CN"/>
              </w:rPr>
              <w:t>8</w:t>
            </w:r>
            <w:r>
              <w:rPr>
                <w:rFonts w:hint="eastAsia" w:ascii="宋体" w:hAnsi="宋体" w:eastAsia="宋体" w:cs="宋体"/>
                <w:kern w:val="2"/>
                <w:sz w:val="21"/>
                <w:szCs w:val="21"/>
                <w:highlight w:val="none"/>
              </w:rPr>
              <w:t>分。</w:t>
            </w:r>
          </w:p>
        </w:tc>
      </w:tr>
      <w:tr w14:paraId="54511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21EF6435">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noWrap w:val="0"/>
            <w:vAlign w:val="center"/>
          </w:tcPr>
          <w:p w14:paraId="24735460">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rPr>
              <w:t>IPv6网络环境支持</w:t>
            </w:r>
          </w:p>
        </w:tc>
        <w:tc>
          <w:tcPr>
            <w:tcW w:w="900" w:type="dxa"/>
            <w:tcBorders>
              <w:bottom w:val="single" w:color="auto" w:sz="4" w:space="0"/>
            </w:tcBorders>
            <w:noWrap w:val="0"/>
            <w:vAlign w:val="center"/>
          </w:tcPr>
          <w:p w14:paraId="36827E10">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rPr>
              <w:t>2</w:t>
            </w:r>
          </w:p>
        </w:tc>
        <w:tc>
          <w:tcPr>
            <w:tcW w:w="6679" w:type="dxa"/>
            <w:tcBorders>
              <w:bottom w:val="single" w:color="auto" w:sz="4" w:space="0"/>
            </w:tcBorders>
            <w:noWrap w:val="0"/>
            <w:vAlign w:val="center"/>
          </w:tcPr>
          <w:p w14:paraId="02B25648">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lang w:eastAsia="zh-CN"/>
              </w:rPr>
            </w:pPr>
            <w:r>
              <w:rPr>
                <w:rFonts w:hint="eastAsia" w:ascii="宋体" w:hAnsi="宋体" w:eastAsia="宋体" w:cs="Times New Roman"/>
                <w:kern w:val="0"/>
              </w:rPr>
              <w:t>系统需支持IPv6网络环境，须提供第三方测试机构经过测评后的测试报告，得2分，提供符合要求的相关报告复印件，并加盖公章，未提供者不得分</w:t>
            </w:r>
            <w:r>
              <w:rPr>
                <w:rFonts w:hint="eastAsia" w:ascii="宋体" w:hAnsi="宋体" w:cs="Times New Roman"/>
                <w:kern w:val="0"/>
                <w:lang w:eastAsia="zh-CN"/>
              </w:rPr>
              <w:t>。</w:t>
            </w:r>
          </w:p>
        </w:tc>
      </w:tr>
      <w:tr w14:paraId="7886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71" w:type="dxa"/>
            <w:vMerge w:val="continue"/>
            <w:noWrap w:val="0"/>
            <w:vAlign w:val="center"/>
          </w:tcPr>
          <w:p w14:paraId="618A265F">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p>
        </w:tc>
        <w:tc>
          <w:tcPr>
            <w:tcW w:w="1175" w:type="dxa"/>
            <w:noWrap w:val="0"/>
            <w:vAlign w:val="center"/>
          </w:tcPr>
          <w:p w14:paraId="44C631C1">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eastAsia" w:ascii="宋体" w:hAnsi="宋体" w:eastAsia="宋体" w:cs="Times New Roman"/>
                <w:spacing w:val="-6"/>
                <w:szCs w:val="21"/>
              </w:rPr>
            </w:pPr>
            <w:r>
              <w:rPr>
                <w:rFonts w:hint="eastAsia" w:ascii="宋体" w:hAnsi="宋体" w:eastAsia="宋体" w:cs="Times New Roman"/>
                <w:spacing w:val="-6"/>
                <w:szCs w:val="21"/>
              </w:rPr>
              <w:t>安全评估报告</w:t>
            </w:r>
          </w:p>
        </w:tc>
        <w:tc>
          <w:tcPr>
            <w:tcW w:w="900" w:type="dxa"/>
            <w:tcBorders>
              <w:bottom w:val="single" w:color="auto" w:sz="4" w:space="0"/>
            </w:tcBorders>
            <w:noWrap w:val="0"/>
            <w:vAlign w:val="center"/>
          </w:tcPr>
          <w:p w14:paraId="0DB8E5BA">
            <w:pPr>
              <w:keepNext w:val="0"/>
              <w:keepLines w:val="0"/>
              <w:pageBreakBefore w:val="0"/>
              <w:kinsoku/>
              <w:wordWrap/>
              <w:overflowPunct/>
              <w:topLinePunct w:val="0"/>
              <w:bidi w:val="0"/>
              <w:adjustRightInd w:val="0"/>
              <w:snapToGrid w:val="0"/>
              <w:spacing w:line="400" w:lineRule="exact"/>
              <w:ind w:firstLine="0" w:firstLineChars="0"/>
              <w:jc w:val="center"/>
              <w:textAlignment w:val="auto"/>
              <w:rPr>
                <w:rFonts w:hint="default" w:ascii="宋体" w:hAnsi="宋体" w:eastAsia="宋体" w:cs="Times New Roman"/>
                <w:spacing w:val="-6"/>
                <w:szCs w:val="21"/>
                <w:lang w:val="en-US" w:eastAsia="zh-CN"/>
              </w:rPr>
            </w:pPr>
            <w:r>
              <w:rPr>
                <w:rFonts w:hint="eastAsia" w:ascii="宋体" w:hAnsi="宋体" w:eastAsia="宋体" w:cs="Times New Roman"/>
                <w:spacing w:val="-6"/>
                <w:szCs w:val="21"/>
                <w:lang w:val="en-US" w:eastAsia="zh-CN"/>
              </w:rPr>
              <w:t>6</w:t>
            </w:r>
          </w:p>
        </w:tc>
        <w:tc>
          <w:tcPr>
            <w:tcW w:w="6679" w:type="dxa"/>
            <w:tcBorders>
              <w:bottom w:val="single" w:color="auto" w:sz="4" w:space="0"/>
            </w:tcBorders>
            <w:noWrap w:val="0"/>
            <w:vAlign w:val="center"/>
          </w:tcPr>
          <w:p w14:paraId="52DA3604">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lang w:val="en-US" w:eastAsia="zh-CN"/>
              </w:rPr>
            </w:pPr>
            <w:r>
              <w:rPr>
                <w:rFonts w:hint="eastAsia" w:ascii="Times New Roman" w:eastAsia="宋体"/>
                <w:lang w:val="en-US" w:eastAsia="zh-CN"/>
              </w:rPr>
              <w:t>为保障本次项目的建设安全符合国家要求，</w:t>
            </w:r>
            <w:r>
              <w:rPr>
                <w:rFonts w:hint="eastAsia"/>
                <w:lang w:val="en-US" w:eastAsia="zh-CN"/>
              </w:rPr>
              <w:t>供应商</w:t>
            </w:r>
            <w:r>
              <w:rPr>
                <w:rFonts w:hint="eastAsia" w:ascii="Times New Roman" w:eastAsia="宋体"/>
                <w:lang w:val="en-US" w:eastAsia="zh-CN"/>
              </w:rPr>
              <w:t>须提供相关</w:t>
            </w:r>
            <w:r>
              <w:rPr>
                <w:rFonts w:hint="eastAsia"/>
                <w:lang w:val="en-US" w:eastAsia="zh-CN"/>
              </w:rPr>
              <w:t>产品</w:t>
            </w:r>
            <w:r>
              <w:rPr>
                <w:rFonts w:hint="eastAsia" w:ascii="Times New Roman" w:eastAsia="宋体"/>
                <w:lang w:val="en-US" w:eastAsia="zh-CN"/>
              </w:rPr>
              <w:t>的安全评估报告，提供保护等级为第三级及以上的合规性检查报告得2分、渗透测试合格报告得2分、源代码审计合格报告得2分</w:t>
            </w:r>
            <w:r>
              <w:rPr>
                <w:rFonts w:hint="eastAsia"/>
                <w:lang w:val="en-US" w:eastAsia="zh-CN"/>
              </w:rPr>
              <w:t>。</w:t>
            </w:r>
          </w:p>
          <w:p w14:paraId="66865147">
            <w:pPr>
              <w:keepNext w:val="0"/>
              <w:keepLines w:val="0"/>
              <w:pageBreakBefore w:val="0"/>
              <w:kinsoku/>
              <w:wordWrap/>
              <w:overflowPunct/>
              <w:topLinePunct w:val="0"/>
              <w:autoSpaceDE w:val="0"/>
              <w:autoSpaceDN w:val="0"/>
              <w:bidi w:val="0"/>
              <w:adjustRightInd w:val="0"/>
              <w:snapToGrid w:val="0"/>
              <w:spacing w:line="400" w:lineRule="exact"/>
              <w:ind w:firstLine="0" w:firstLineChars="0"/>
              <w:jc w:val="left"/>
              <w:textAlignment w:val="auto"/>
              <w:rPr>
                <w:rFonts w:hint="eastAsia" w:ascii="宋体" w:hAnsi="宋体" w:eastAsia="宋体" w:cs="Times New Roman"/>
                <w:szCs w:val="21"/>
              </w:rPr>
            </w:pPr>
            <w:r>
              <w:rPr>
                <w:rFonts w:hint="eastAsia" w:ascii="Times New Roman" w:eastAsia="宋体"/>
                <w:lang w:val="en-US" w:eastAsia="zh-CN"/>
              </w:rPr>
              <w:t>提供符合要求的相关报告复印件并加盖公章，未提供不得分。</w:t>
            </w:r>
          </w:p>
        </w:tc>
      </w:tr>
      <w:tr w14:paraId="18ED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6" w:type="dxa"/>
            <w:gridSpan w:val="2"/>
            <w:noWrap w:val="0"/>
            <w:vAlign w:val="center"/>
          </w:tcPr>
          <w:p w14:paraId="0032CAC4">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t>合计</w:t>
            </w:r>
          </w:p>
        </w:tc>
        <w:tc>
          <w:tcPr>
            <w:tcW w:w="900" w:type="dxa"/>
            <w:tcBorders>
              <w:bottom w:val="single" w:color="auto" w:sz="4" w:space="0"/>
            </w:tcBorders>
            <w:noWrap w:val="0"/>
            <w:vAlign w:val="center"/>
          </w:tcPr>
          <w:p w14:paraId="704B392B">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Times New Roman"/>
                <w:spacing w:val="-6"/>
                <w:szCs w:val="21"/>
              </w:rPr>
            </w:pPr>
            <w:r>
              <w:rPr>
                <w:rFonts w:hint="eastAsia" w:ascii="宋体" w:hAnsi="宋体" w:eastAsia="宋体" w:cs="Times New Roman"/>
                <w:spacing w:val="-6"/>
                <w:szCs w:val="21"/>
              </w:rPr>
              <w:fldChar w:fldCharType="begin"/>
            </w:r>
            <w:r>
              <w:rPr>
                <w:rFonts w:hint="eastAsia" w:ascii="宋体" w:hAnsi="宋体" w:eastAsia="宋体" w:cs="Times New Roman"/>
                <w:spacing w:val="-6"/>
                <w:szCs w:val="21"/>
              </w:rPr>
              <w:instrText xml:space="preserve"> =SUM(ABOVE) </w:instrText>
            </w:r>
            <w:r>
              <w:rPr>
                <w:rFonts w:hint="eastAsia" w:ascii="宋体" w:hAnsi="宋体" w:eastAsia="宋体" w:cs="Times New Roman"/>
                <w:spacing w:val="-6"/>
                <w:szCs w:val="21"/>
              </w:rPr>
              <w:fldChar w:fldCharType="separate"/>
            </w:r>
            <w:r>
              <w:rPr>
                <w:rFonts w:hint="eastAsia" w:ascii="宋体" w:hAnsi="宋体" w:eastAsia="宋体" w:cs="Times New Roman"/>
                <w:spacing w:val="-6"/>
                <w:szCs w:val="21"/>
              </w:rPr>
              <w:t>100</w:t>
            </w:r>
            <w:r>
              <w:rPr>
                <w:rFonts w:hint="eastAsia" w:ascii="宋体" w:hAnsi="宋体" w:eastAsia="宋体" w:cs="Times New Roman"/>
                <w:spacing w:val="-6"/>
                <w:szCs w:val="21"/>
              </w:rPr>
              <w:fldChar w:fldCharType="end"/>
            </w:r>
          </w:p>
        </w:tc>
        <w:tc>
          <w:tcPr>
            <w:tcW w:w="6679" w:type="dxa"/>
            <w:tcBorders>
              <w:bottom w:val="single" w:color="auto" w:sz="4" w:space="0"/>
            </w:tcBorders>
            <w:noWrap w:val="0"/>
            <w:vAlign w:val="center"/>
          </w:tcPr>
          <w:p w14:paraId="0AEE6B66">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宋体"/>
                <w:kern w:val="0"/>
                <w:szCs w:val="21"/>
              </w:rPr>
            </w:pPr>
          </w:p>
        </w:tc>
      </w:tr>
    </w:tbl>
    <w:p w14:paraId="14754E21">
      <w:pPr>
        <w:snapToGrid w:val="0"/>
        <w:spacing w:line="360" w:lineRule="auto"/>
        <w:rPr>
          <w:rFonts w:ascii="宋体" w:hAnsi="宋体" w:cs="宋体"/>
          <w:sz w:val="24"/>
          <w:szCs w:val="24"/>
        </w:rPr>
      </w:pPr>
    </w:p>
    <w:p w14:paraId="15EF18AF">
      <w:pPr>
        <w:snapToGrid w:val="0"/>
        <w:spacing w:line="360" w:lineRule="auto"/>
        <w:rPr>
          <w:rFonts w:hint="eastAsia" w:ascii="宋体" w:hAnsi="宋体" w:cs="宋体"/>
          <w:sz w:val="24"/>
          <w:szCs w:val="24"/>
        </w:rPr>
      </w:pPr>
      <w:r>
        <w:rPr>
          <w:rFonts w:hint="eastAsia" w:ascii="宋体" w:hAnsi="宋体" w:cs="宋体"/>
          <w:sz w:val="24"/>
          <w:szCs w:val="24"/>
        </w:rPr>
        <w:t>注：价格部分得分保留小数点后2位。以上各项评分内容，如供应商未提供相对应内容，磋商小组不受最低评分标准限制，可予以零分计算。</w:t>
      </w:r>
    </w:p>
    <w:p w14:paraId="69CC78B6">
      <w:pPr>
        <w:numPr>
          <w:ilvl w:val="0"/>
          <w:numId w:val="30"/>
        </w:numPr>
        <w:spacing w:line="360" w:lineRule="auto"/>
        <w:ind w:left="0" w:firstLine="0"/>
        <w:jc w:val="center"/>
        <w:rPr>
          <w:rFonts w:ascii="宋体" w:hAnsi="宋体" w:cs="宋体"/>
          <w:bCs/>
          <w:sz w:val="24"/>
          <w:szCs w:val="24"/>
        </w:rPr>
      </w:pPr>
      <w:r>
        <w:rPr>
          <w:rFonts w:hint="eastAsia" w:ascii="宋体" w:hAnsi="宋体" w:cs="宋体"/>
          <w:sz w:val="24"/>
          <w:szCs w:val="24"/>
        </w:rPr>
        <w:t>总分计算</w:t>
      </w:r>
      <w:bookmarkStart w:id="75" w:name="_Toc524526748"/>
    </w:p>
    <w:p w14:paraId="1C9080BC">
      <w:pPr>
        <w:spacing w:line="360" w:lineRule="auto"/>
        <w:rPr>
          <w:rFonts w:hint="eastAsia" w:ascii="宋体" w:hAnsi="宋体" w:cs="宋体"/>
          <w:sz w:val="24"/>
          <w:szCs w:val="24"/>
        </w:rPr>
      </w:pPr>
      <w:r>
        <w:rPr>
          <w:rFonts w:hint="eastAsia" w:ascii="宋体" w:hAnsi="宋体" w:cs="宋体"/>
          <w:sz w:val="24"/>
          <w:szCs w:val="24"/>
        </w:rPr>
        <w:t>由磋商小组成员对每一份响应文件进行独立评分，然后取算术平均值（保留小数点两位）。计算每个供应商的实际得分（价格部分得分+商务技术部分得分），并按得分高低排出名次。</w:t>
      </w:r>
      <w:bookmarkEnd w:id="75"/>
    </w:p>
    <w:p w14:paraId="47C6C8C1">
      <w:pPr>
        <w:pStyle w:val="43"/>
        <w:rPr>
          <w:rFonts w:ascii="宋体" w:hAnsi="宋体" w:eastAsia="宋体" w:cs="宋体"/>
          <w:b/>
          <w:bCs/>
          <w:strike w:val="0"/>
          <w:dstrike w:val="0"/>
          <w:sz w:val="24"/>
          <w:szCs w:val="24"/>
          <w:highlight w:val="yellow"/>
        </w:rPr>
      </w:pPr>
    </w:p>
    <w:p w14:paraId="5DAFB80C">
      <w:pPr>
        <w:pStyle w:val="4"/>
        <w:numPr>
          <w:ilvl w:val="0"/>
          <w:numId w:val="31"/>
        </w:numPr>
        <w:adjustRightInd/>
        <w:spacing w:before="0" w:after="0" w:line="360" w:lineRule="auto"/>
        <w:rPr>
          <w:rFonts w:ascii="宋体" w:hAnsi="宋体" w:cs="宋体"/>
          <w:b/>
          <w:bCs/>
          <w:sz w:val="28"/>
          <w:szCs w:val="28"/>
        </w:rPr>
        <w:sectPr>
          <w:pgSz w:w="11906" w:h="16838"/>
          <w:pgMar w:top="1440" w:right="1083" w:bottom="1440" w:left="1083" w:header="851" w:footer="765" w:gutter="0"/>
          <w:cols w:space="720" w:num="1"/>
          <w:docGrid w:type="lines" w:linePitch="286" w:charSpace="0"/>
        </w:sectPr>
      </w:pPr>
    </w:p>
    <w:p w14:paraId="1A9FEA94">
      <w:pPr>
        <w:pStyle w:val="4"/>
        <w:numPr>
          <w:ilvl w:val="0"/>
          <w:numId w:val="31"/>
        </w:numPr>
        <w:adjustRightInd/>
        <w:spacing w:before="0" w:after="0" w:line="360" w:lineRule="auto"/>
        <w:rPr>
          <w:rFonts w:ascii="宋体" w:hAnsi="宋体" w:cs="宋体"/>
          <w:b/>
          <w:bCs/>
          <w:sz w:val="28"/>
          <w:szCs w:val="28"/>
        </w:rPr>
      </w:pPr>
      <w:r>
        <w:rPr>
          <w:rFonts w:hint="eastAsia" w:ascii="宋体" w:hAnsi="宋体" w:cs="宋体"/>
          <w:b/>
          <w:bCs/>
          <w:sz w:val="28"/>
          <w:szCs w:val="28"/>
        </w:rPr>
        <w:t xml:space="preserve">  </w:t>
      </w:r>
      <w:bookmarkStart w:id="76" w:name="_Toc166"/>
      <w:r>
        <w:rPr>
          <w:rFonts w:hint="eastAsia" w:ascii="宋体" w:hAnsi="宋体" w:cs="宋体"/>
          <w:b/>
          <w:bCs/>
          <w:sz w:val="28"/>
          <w:szCs w:val="28"/>
        </w:rPr>
        <w:t>格式附件</w:t>
      </w:r>
      <w:bookmarkEnd w:id="73"/>
      <w:bookmarkEnd w:id="76"/>
    </w:p>
    <w:p w14:paraId="4F87CDF5">
      <w:pPr>
        <w:spacing w:line="360" w:lineRule="auto"/>
        <w:rPr>
          <w:rFonts w:ascii="宋体" w:hAnsi="宋体" w:cs="宋体"/>
          <w:sz w:val="32"/>
          <w:szCs w:val="32"/>
        </w:rPr>
      </w:pPr>
    </w:p>
    <w:p w14:paraId="0D0B2D16">
      <w:pPr>
        <w:spacing w:line="360" w:lineRule="auto"/>
        <w:rPr>
          <w:rFonts w:ascii="宋体" w:hAnsi="宋体" w:cs="宋体"/>
          <w:sz w:val="32"/>
          <w:szCs w:val="32"/>
        </w:rPr>
      </w:pPr>
      <w:r>
        <w:rPr>
          <w:rFonts w:hint="eastAsia" w:ascii="宋体" w:hAnsi="宋体" w:cs="宋体"/>
          <w:sz w:val="32"/>
          <w:szCs w:val="32"/>
        </w:rPr>
        <w:t>封面：</w:t>
      </w:r>
    </w:p>
    <w:p w14:paraId="531C6173">
      <w:pPr>
        <w:spacing w:line="360" w:lineRule="auto"/>
        <w:rPr>
          <w:rFonts w:ascii="宋体" w:hAnsi="宋体" w:cs="宋体"/>
          <w:sz w:val="32"/>
          <w:szCs w:val="32"/>
        </w:rPr>
      </w:pPr>
    </w:p>
    <w:p w14:paraId="38D31E42">
      <w:pPr>
        <w:spacing w:line="360" w:lineRule="auto"/>
        <w:rPr>
          <w:rFonts w:ascii="宋体" w:hAnsi="宋体" w:cs="宋体"/>
          <w:b/>
          <w:bCs/>
          <w:sz w:val="32"/>
          <w:szCs w:val="32"/>
        </w:rPr>
      </w:pPr>
    </w:p>
    <w:p w14:paraId="6A517A71">
      <w:pPr>
        <w:spacing w:line="360" w:lineRule="auto"/>
        <w:rPr>
          <w:rFonts w:ascii="宋体" w:hAnsi="宋体" w:cs="宋体"/>
          <w:b/>
          <w:bCs/>
          <w:sz w:val="32"/>
          <w:szCs w:val="32"/>
        </w:rPr>
      </w:pPr>
    </w:p>
    <w:p w14:paraId="4E618A73">
      <w:pPr>
        <w:spacing w:line="360" w:lineRule="auto"/>
        <w:jc w:val="center"/>
        <w:rPr>
          <w:rFonts w:ascii="宋体" w:hAnsi="宋体" w:cs="宋体"/>
          <w:b/>
          <w:bCs/>
          <w:sz w:val="56"/>
          <w:szCs w:val="56"/>
        </w:rPr>
      </w:pPr>
      <w:r>
        <w:rPr>
          <w:rFonts w:hint="eastAsia" w:ascii="宋体" w:hAnsi="宋体" w:cs="宋体"/>
          <w:b/>
          <w:bCs/>
          <w:sz w:val="56"/>
          <w:szCs w:val="56"/>
        </w:rPr>
        <w:t>响 应 文 件</w:t>
      </w:r>
    </w:p>
    <w:p w14:paraId="2FBD4FC7">
      <w:pPr>
        <w:spacing w:line="360" w:lineRule="auto"/>
        <w:rPr>
          <w:rFonts w:ascii="宋体" w:hAnsi="宋体" w:cs="宋体"/>
          <w:sz w:val="32"/>
          <w:szCs w:val="32"/>
        </w:rPr>
      </w:pPr>
    </w:p>
    <w:p w14:paraId="3258820D">
      <w:pPr>
        <w:spacing w:line="360" w:lineRule="auto"/>
        <w:rPr>
          <w:rFonts w:ascii="宋体" w:hAnsi="宋体" w:cs="宋体"/>
          <w:sz w:val="32"/>
          <w:szCs w:val="32"/>
        </w:rPr>
      </w:pPr>
    </w:p>
    <w:p w14:paraId="5DF14FC5">
      <w:pPr>
        <w:spacing w:line="360" w:lineRule="auto"/>
        <w:jc w:val="center"/>
        <w:rPr>
          <w:rFonts w:ascii="宋体" w:hAnsi="宋体" w:cs="宋体"/>
          <w:sz w:val="32"/>
          <w:szCs w:val="32"/>
        </w:rPr>
      </w:pPr>
      <w:r>
        <w:rPr>
          <w:rFonts w:hint="eastAsia" w:ascii="宋体" w:hAnsi="宋体" w:cs="宋体"/>
          <w:sz w:val="32"/>
          <w:szCs w:val="32"/>
        </w:rPr>
        <w:t>（正本/副本）</w:t>
      </w:r>
    </w:p>
    <w:p w14:paraId="09E21841">
      <w:pPr>
        <w:spacing w:line="360" w:lineRule="auto"/>
        <w:rPr>
          <w:rFonts w:ascii="宋体" w:hAnsi="宋体" w:cs="宋体"/>
          <w:sz w:val="32"/>
          <w:szCs w:val="32"/>
        </w:rPr>
      </w:pPr>
    </w:p>
    <w:p w14:paraId="57A9D699">
      <w:pPr>
        <w:spacing w:line="360" w:lineRule="auto"/>
        <w:rPr>
          <w:rFonts w:ascii="宋体" w:hAnsi="宋体" w:cs="宋体"/>
          <w:sz w:val="32"/>
          <w:szCs w:val="32"/>
        </w:rPr>
      </w:pPr>
    </w:p>
    <w:p w14:paraId="38C38BFE">
      <w:pPr>
        <w:spacing w:line="360" w:lineRule="auto"/>
        <w:rPr>
          <w:rFonts w:ascii="宋体" w:hAnsi="宋体" w:cs="宋体"/>
          <w:b/>
          <w:bCs/>
          <w:sz w:val="32"/>
          <w:szCs w:val="32"/>
        </w:rPr>
      </w:pPr>
      <w:r>
        <w:rPr>
          <w:rFonts w:hint="eastAsia" w:ascii="宋体" w:hAnsi="宋体" w:cs="宋体"/>
          <w:b/>
          <w:bCs/>
          <w:sz w:val="32"/>
          <w:szCs w:val="32"/>
        </w:rPr>
        <w:t>项目编号：</w:t>
      </w:r>
    </w:p>
    <w:p w14:paraId="07724164">
      <w:pPr>
        <w:spacing w:line="360" w:lineRule="auto"/>
        <w:rPr>
          <w:rFonts w:ascii="宋体" w:hAnsi="宋体" w:cs="宋体"/>
          <w:sz w:val="32"/>
          <w:szCs w:val="32"/>
        </w:rPr>
      </w:pPr>
      <w:r>
        <w:rPr>
          <w:rFonts w:hint="eastAsia" w:ascii="宋体" w:hAnsi="宋体" w:cs="宋体"/>
          <w:b/>
          <w:bCs/>
          <w:sz w:val="32"/>
          <w:szCs w:val="32"/>
        </w:rPr>
        <w:t>项目名称：</w:t>
      </w:r>
    </w:p>
    <w:p w14:paraId="449E3560">
      <w:pPr>
        <w:spacing w:line="360" w:lineRule="auto"/>
        <w:rPr>
          <w:rFonts w:ascii="宋体" w:hAnsi="宋体" w:cs="宋体"/>
          <w:sz w:val="32"/>
          <w:szCs w:val="32"/>
        </w:rPr>
      </w:pPr>
    </w:p>
    <w:p w14:paraId="1E172BB9">
      <w:pPr>
        <w:spacing w:line="360" w:lineRule="auto"/>
        <w:rPr>
          <w:rFonts w:ascii="宋体" w:hAnsi="宋体" w:cs="宋体"/>
          <w:sz w:val="32"/>
          <w:szCs w:val="32"/>
        </w:rPr>
      </w:pPr>
    </w:p>
    <w:p w14:paraId="447E4333">
      <w:pPr>
        <w:spacing w:line="360" w:lineRule="auto"/>
        <w:rPr>
          <w:rFonts w:ascii="宋体" w:hAnsi="宋体" w:cs="宋体"/>
          <w:sz w:val="32"/>
          <w:szCs w:val="32"/>
        </w:rPr>
      </w:pPr>
    </w:p>
    <w:p w14:paraId="32091945">
      <w:pPr>
        <w:spacing w:line="360" w:lineRule="auto"/>
        <w:rPr>
          <w:rFonts w:ascii="宋体" w:hAnsi="宋体" w:cs="宋体"/>
          <w:sz w:val="32"/>
          <w:szCs w:val="32"/>
        </w:rPr>
      </w:pPr>
      <w:r>
        <w:rPr>
          <w:rFonts w:hint="eastAsia" w:ascii="宋体" w:hAnsi="宋体" w:cs="宋体"/>
          <w:sz w:val="32"/>
          <w:szCs w:val="32"/>
        </w:rPr>
        <w:t>磋商供应商名称（盖章）：</w:t>
      </w:r>
    </w:p>
    <w:p w14:paraId="30BA5EDC">
      <w:pPr>
        <w:spacing w:line="360" w:lineRule="auto"/>
        <w:rPr>
          <w:rFonts w:ascii="宋体" w:hAnsi="宋体" w:cs="宋体"/>
          <w:sz w:val="32"/>
          <w:szCs w:val="32"/>
        </w:rPr>
      </w:pPr>
      <w:r>
        <w:rPr>
          <w:rFonts w:hint="eastAsia" w:ascii="宋体" w:hAnsi="宋体" w:cs="宋体"/>
          <w:sz w:val="32"/>
          <w:szCs w:val="32"/>
        </w:rPr>
        <w:t>日          期：年月日</w:t>
      </w:r>
      <w:bookmarkStart w:id="77" w:name="_Toc3634"/>
      <w:bookmarkStart w:id="78" w:name="_Toc490494257"/>
      <w:bookmarkStart w:id="79" w:name="_Toc461875572"/>
      <w:bookmarkStart w:id="80" w:name="_Toc18694"/>
      <w:bookmarkStart w:id="81" w:name="_Toc461870958"/>
      <w:bookmarkStart w:id="82" w:name="_Toc9567"/>
      <w:bookmarkStart w:id="83" w:name="_Toc524526750"/>
    </w:p>
    <w:p w14:paraId="43005E05">
      <w:pPr>
        <w:spacing w:line="360" w:lineRule="auto"/>
        <w:rPr>
          <w:rFonts w:ascii="宋体" w:hAnsi="宋体" w:cs="宋体"/>
          <w:sz w:val="24"/>
          <w:szCs w:val="24"/>
        </w:rPr>
        <w:sectPr>
          <w:pgSz w:w="11906" w:h="16838"/>
          <w:pgMar w:top="1440" w:right="1083" w:bottom="1440" w:left="1083" w:header="851" w:footer="765" w:gutter="0"/>
          <w:cols w:space="720" w:num="1"/>
          <w:docGrid w:type="lines" w:linePitch="286" w:charSpace="0"/>
        </w:sectPr>
      </w:pPr>
    </w:p>
    <w:p w14:paraId="5B1BD85D">
      <w:pPr>
        <w:pStyle w:val="15"/>
        <w:spacing w:before="0" w:beforeAutospacing="0" w:after="0" w:afterAutospacing="0" w:line="360" w:lineRule="auto"/>
        <w:jc w:val="center"/>
        <w:rPr>
          <w:rFonts w:cs="宋体"/>
          <w:b/>
          <w:bCs/>
          <w:color w:val="auto"/>
          <w:szCs w:val="24"/>
        </w:rPr>
      </w:pPr>
      <w:r>
        <w:rPr>
          <w:rFonts w:hint="eastAsia" w:cs="宋体"/>
          <w:b/>
          <w:bCs/>
          <w:color w:val="auto"/>
          <w:szCs w:val="24"/>
        </w:rPr>
        <w:t>响应文件目录</w:t>
      </w:r>
    </w:p>
    <w:p w14:paraId="7EFAE1AA">
      <w:pPr>
        <w:pStyle w:val="15"/>
        <w:spacing w:before="0" w:beforeAutospacing="0" w:after="0" w:afterAutospacing="0" w:line="360" w:lineRule="auto"/>
        <w:jc w:val="center"/>
        <w:rPr>
          <w:rFonts w:cs="宋体"/>
          <w:b/>
          <w:bCs/>
          <w:color w:val="auto"/>
          <w:szCs w:val="24"/>
        </w:rPr>
      </w:pPr>
    </w:p>
    <w:p w14:paraId="033F1563">
      <w:pPr>
        <w:pStyle w:val="15"/>
        <w:spacing w:before="0" w:beforeAutospacing="0" w:after="0" w:afterAutospacing="0" w:line="360" w:lineRule="auto"/>
        <w:rPr>
          <w:rFonts w:cs="宋体"/>
          <w:b/>
          <w:bCs/>
          <w:color w:val="auto"/>
          <w:szCs w:val="24"/>
        </w:rPr>
      </w:pPr>
      <w:r>
        <w:rPr>
          <w:rFonts w:hint="eastAsia" w:cs="宋体"/>
          <w:b/>
          <w:bCs/>
          <w:color w:val="auto"/>
          <w:szCs w:val="24"/>
        </w:rPr>
        <w:t>注：响应文件目录及内容每页须顺序编写页码。</w:t>
      </w:r>
    </w:p>
    <w:p w14:paraId="4B87164C">
      <w:pPr>
        <w:pStyle w:val="15"/>
        <w:spacing w:before="0" w:beforeAutospacing="0" w:after="0" w:afterAutospacing="0" w:line="360" w:lineRule="auto"/>
        <w:rPr>
          <w:rFonts w:cs="宋体"/>
          <w:b/>
          <w:bCs/>
          <w:color w:val="auto"/>
          <w:szCs w:val="24"/>
        </w:rPr>
      </w:pPr>
    </w:p>
    <w:p w14:paraId="7D042A20">
      <w:pPr>
        <w:pStyle w:val="15"/>
        <w:spacing w:before="0" w:beforeAutospacing="0" w:after="0" w:afterAutospacing="0" w:line="360" w:lineRule="auto"/>
        <w:jc w:val="center"/>
        <w:rPr>
          <w:rFonts w:cs="宋体"/>
          <w:b/>
          <w:bCs/>
          <w:color w:val="auto"/>
          <w:szCs w:val="24"/>
        </w:rPr>
      </w:pPr>
      <w:r>
        <w:rPr>
          <w:rFonts w:hint="eastAsia" w:cs="宋体"/>
          <w:b/>
          <w:bCs/>
          <w:color w:val="auto"/>
          <w:szCs w:val="24"/>
        </w:rPr>
        <w:t>一、评分标准索引表</w:t>
      </w:r>
    </w:p>
    <w:tbl>
      <w:tblPr>
        <w:tblStyle w:val="3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1258"/>
        <w:gridCol w:w="1258"/>
      </w:tblGrid>
      <w:tr w14:paraId="19CF3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noWrap/>
            <w:vAlign w:val="center"/>
          </w:tcPr>
          <w:p w14:paraId="559895F2">
            <w:pPr>
              <w:pStyle w:val="15"/>
              <w:spacing w:before="0" w:beforeAutospacing="0" w:after="0" w:afterAutospacing="0" w:line="360" w:lineRule="auto"/>
              <w:jc w:val="center"/>
              <w:rPr>
                <w:rFonts w:cs="宋体"/>
                <w:b/>
                <w:bCs/>
                <w:color w:val="auto"/>
                <w:szCs w:val="24"/>
              </w:rPr>
            </w:pPr>
            <w:r>
              <w:rPr>
                <w:rFonts w:hint="eastAsia" w:cs="宋体"/>
                <w:b/>
                <w:bCs/>
                <w:color w:val="auto"/>
                <w:szCs w:val="24"/>
              </w:rPr>
              <w:t>类别</w:t>
            </w:r>
          </w:p>
        </w:tc>
        <w:tc>
          <w:tcPr>
            <w:tcW w:w="1285" w:type="dxa"/>
            <w:tcBorders>
              <w:top w:val="single" w:color="auto" w:sz="12" w:space="0"/>
            </w:tcBorders>
            <w:noWrap/>
            <w:vAlign w:val="center"/>
          </w:tcPr>
          <w:p w14:paraId="3E8C5C18">
            <w:pPr>
              <w:pStyle w:val="15"/>
              <w:spacing w:before="0" w:beforeAutospacing="0" w:after="0" w:afterAutospacing="0" w:line="360" w:lineRule="auto"/>
              <w:jc w:val="center"/>
              <w:rPr>
                <w:rFonts w:cs="宋体"/>
                <w:b/>
                <w:bCs/>
                <w:color w:val="auto"/>
                <w:szCs w:val="24"/>
              </w:rPr>
            </w:pPr>
            <w:r>
              <w:rPr>
                <w:rFonts w:hint="eastAsia" w:cs="宋体"/>
                <w:b/>
                <w:bCs/>
                <w:color w:val="auto"/>
                <w:szCs w:val="24"/>
              </w:rPr>
              <w:t>评审因素</w:t>
            </w:r>
          </w:p>
        </w:tc>
        <w:tc>
          <w:tcPr>
            <w:tcW w:w="5358" w:type="dxa"/>
            <w:tcBorders>
              <w:top w:val="single" w:color="auto" w:sz="12" w:space="0"/>
            </w:tcBorders>
            <w:noWrap/>
            <w:vAlign w:val="center"/>
          </w:tcPr>
          <w:p w14:paraId="752410C8">
            <w:pPr>
              <w:pStyle w:val="15"/>
              <w:spacing w:before="0" w:beforeAutospacing="0" w:after="0" w:afterAutospacing="0" w:line="360" w:lineRule="auto"/>
              <w:jc w:val="center"/>
              <w:rPr>
                <w:rFonts w:cs="宋体"/>
                <w:b/>
                <w:bCs/>
                <w:color w:val="auto"/>
                <w:szCs w:val="24"/>
              </w:rPr>
            </w:pPr>
            <w:r>
              <w:rPr>
                <w:rFonts w:hint="eastAsia" w:cs="宋体"/>
                <w:b/>
                <w:bCs/>
                <w:color w:val="auto"/>
                <w:szCs w:val="24"/>
              </w:rPr>
              <w:t>评审标准</w:t>
            </w:r>
          </w:p>
        </w:tc>
        <w:tc>
          <w:tcPr>
            <w:tcW w:w="1258" w:type="dxa"/>
            <w:tcBorders>
              <w:top w:val="single" w:color="auto" w:sz="12" w:space="0"/>
            </w:tcBorders>
            <w:noWrap/>
            <w:vAlign w:val="center"/>
          </w:tcPr>
          <w:p w14:paraId="3EC86317">
            <w:pPr>
              <w:pStyle w:val="15"/>
              <w:spacing w:before="0" w:beforeAutospacing="0" w:after="0" w:afterAutospacing="0" w:line="360" w:lineRule="auto"/>
              <w:jc w:val="center"/>
              <w:rPr>
                <w:rFonts w:cs="宋体"/>
                <w:b/>
                <w:bCs/>
                <w:color w:val="auto"/>
                <w:szCs w:val="24"/>
              </w:rPr>
            </w:pPr>
            <w:r>
              <w:rPr>
                <w:rFonts w:hint="eastAsia" w:cs="宋体"/>
                <w:b/>
                <w:bCs/>
                <w:color w:val="auto"/>
                <w:szCs w:val="24"/>
              </w:rPr>
              <w:t>分值</w:t>
            </w:r>
          </w:p>
        </w:tc>
        <w:tc>
          <w:tcPr>
            <w:tcW w:w="1258" w:type="dxa"/>
            <w:tcBorders>
              <w:top w:val="single" w:color="auto" w:sz="12" w:space="0"/>
            </w:tcBorders>
            <w:noWrap/>
            <w:vAlign w:val="center"/>
          </w:tcPr>
          <w:p w14:paraId="7DD63A00">
            <w:pPr>
              <w:pStyle w:val="15"/>
              <w:spacing w:before="0" w:beforeAutospacing="0" w:after="0" w:afterAutospacing="0" w:line="360" w:lineRule="auto"/>
              <w:jc w:val="center"/>
              <w:rPr>
                <w:rFonts w:cs="宋体"/>
                <w:b/>
                <w:bCs/>
                <w:color w:val="auto"/>
                <w:szCs w:val="24"/>
              </w:rPr>
            </w:pPr>
            <w:r>
              <w:rPr>
                <w:rFonts w:hint="eastAsia" w:cs="宋体"/>
                <w:b/>
                <w:bCs/>
                <w:color w:val="auto"/>
                <w:szCs w:val="24"/>
              </w:rPr>
              <w:t>对应页码</w:t>
            </w:r>
          </w:p>
        </w:tc>
      </w:tr>
      <w:tr w14:paraId="12B674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noWrap/>
            <w:vAlign w:val="center"/>
          </w:tcPr>
          <w:p w14:paraId="53DF688D">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1793EE3A">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03C08C05">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5D68AC03">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783C2630">
            <w:pPr>
              <w:pStyle w:val="15"/>
              <w:spacing w:before="0" w:beforeAutospacing="0" w:after="0" w:afterAutospacing="0" w:line="360" w:lineRule="auto"/>
              <w:jc w:val="center"/>
              <w:outlineLvl w:val="0"/>
              <w:rPr>
                <w:rFonts w:cs="宋体"/>
                <w:b/>
                <w:bCs/>
                <w:color w:val="auto"/>
                <w:szCs w:val="24"/>
              </w:rPr>
            </w:pPr>
          </w:p>
        </w:tc>
      </w:tr>
      <w:tr w14:paraId="349EB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noWrap/>
            <w:vAlign w:val="center"/>
          </w:tcPr>
          <w:p w14:paraId="555E6F90">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1302803C">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3931CD02">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FE51571">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240908F9">
            <w:pPr>
              <w:pStyle w:val="15"/>
              <w:spacing w:before="0" w:beforeAutospacing="0" w:after="0" w:afterAutospacing="0" w:line="360" w:lineRule="auto"/>
              <w:jc w:val="center"/>
              <w:outlineLvl w:val="0"/>
              <w:rPr>
                <w:rFonts w:cs="宋体"/>
                <w:b/>
                <w:bCs/>
                <w:color w:val="auto"/>
                <w:szCs w:val="24"/>
              </w:rPr>
            </w:pPr>
          </w:p>
        </w:tc>
      </w:tr>
      <w:tr w14:paraId="5C4C6A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5CB94BDC">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61144BEF">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784D28F2">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1D9ACF58">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A146CAF">
            <w:pPr>
              <w:pStyle w:val="15"/>
              <w:spacing w:before="0" w:beforeAutospacing="0" w:after="0" w:afterAutospacing="0" w:line="360" w:lineRule="auto"/>
              <w:jc w:val="center"/>
              <w:outlineLvl w:val="0"/>
              <w:rPr>
                <w:rFonts w:cs="宋体"/>
                <w:b/>
                <w:bCs/>
                <w:color w:val="auto"/>
                <w:szCs w:val="24"/>
              </w:rPr>
            </w:pPr>
          </w:p>
        </w:tc>
      </w:tr>
      <w:tr w14:paraId="533A7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44607AB2">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7B9AD716">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2B11F903">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7984C56">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75F93301">
            <w:pPr>
              <w:pStyle w:val="15"/>
              <w:spacing w:before="0" w:beforeAutospacing="0" w:after="0" w:afterAutospacing="0" w:line="360" w:lineRule="auto"/>
              <w:jc w:val="center"/>
              <w:outlineLvl w:val="0"/>
              <w:rPr>
                <w:rFonts w:cs="宋体"/>
                <w:b/>
                <w:bCs/>
                <w:color w:val="auto"/>
                <w:szCs w:val="24"/>
              </w:rPr>
            </w:pPr>
          </w:p>
        </w:tc>
      </w:tr>
      <w:tr w14:paraId="29D6F8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38B7CB11">
            <w:pPr>
              <w:pStyle w:val="15"/>
              <w:spacing w:before="0" w:beforeAutospacing="0" w:after="0" w:afterAutospacing="0" w:line="360" w:lineRule="auto"/>
              <w:jc w:val="center"/>
              <w:outlineLvl w:val="0"/>
              <w:rPr>
                <w:rFonts w:cs="宋体"/>
                <w:b/>
                <w:bCs/>
                <w:color w:val="auto"/>
                <w:szCs w:val="24"/>
              </w:rPr>
            </w:pPr>
          </w:p>
        </w:tc>
        <w:tc>
          <w:tcPr>
            <w:tcW w:w="1285" w:type="dxa"/>
            <w:tcBorders>
              <w:bottom w:val="single" w:color="auto" w:sz="4" w:space="0"/>
            </w:tcBorders>
            <w:noWrap/>
            <w:vAlign w:val="center"/>
          </w:tcPr>
          <w:p w14:paraId="70F66DCD">
            <w:pPr>
              <w:pStyle w:val="15"/>
              <w:spacing w:before="0" w:beforeAutospacing="0" w:after="0" w:afterAutospacing="0" w:line="360" w:lineRule="auto"/>
              <w:jc w:val="center"/>
              <w:outlineLvl w:val="0"/>
              <w:rPr>
                <w:rFonts w:cs="宋体"/>
                <w:b/>
                <w:bCs/>
                <w:color w:val="auto"/>
                <w:szCs w:val="24"/>
              </w:rPr>
            </w:pPr>
          </w:p>
        </w:tc>
        <w:tc>
          <w:tcPr>
            <w:tcW w:w="5358" w:type="dxa"/>
            <w:tcBorders>
              <w:bottom w:val="single" w:color="auto" w:sz="4" w:space="0"/>
            </w:tcBorders>
            <w:noWrap/>
            <w:vAlign w:val="center"/>
          </w:tcPr>
          <w:p w14:paraId="5755760D">
            <w:pPr>
              <w:pStyle w:val="15"/>
              <w:spacing w:before="0" w:beforeAutospacing="0" w:after="0" w:afterAutospacing="0" w:line="360" w:lineRule="auto"/>
              <w:jc w:val="center"/>
              <w:outlineLvl w:val="0"/>
              <w:rPr>
                <w:rFonts w:cs="宋体"/>
                <w:b/>
                <w:bCs/>
                <w:color w:val="auto"/>
                <w:szCs w:val="24"/>
              </w:rPr>
            </w:pPr>
          </w:p>
        </w:tc>
        <w:tc>
          <w:tcPr>
            <w:tcW w:w="1258" w:type="dxa"/>
            <w:tcBorders>
              <w:bottom w:val="single" w:color="auto" w:sz="4" w:space="0"/>
            </w:tcBorders>
            <w:noWrap/>
            <w:vAlign w:val="center"/>
          </w:tcPr>
          <w:p w14:paraId="406F4A63">
            <w:pPr>
              <w:pStyle w:val="15"/>
              <w:spacing w:before="0" w:beforeAutospacing="0" w:after="0" w:afterAutospacing="0" w:line="360" w:lineRule="auto"/>
              <w:jc w:val="center"/>
              <w:outlineLvl w:val="0"/>
              <w:rPr>
                <w:rFonts w:cs="宋体"/>
                <w:b/>
                <w:bCs/>
                <w:color w:val="auto"/>
                <w:szCs w:val="24"/>
              </w:rPr>
            </w:pPr>
          </w:p>
        </w:tc>
        <w:tc>
          <w:tcPr>
            <w:tcW w:w="1258" w:type="dxa"/>
            <w:tcBorders>
              <w:bottom w:val="single" w:color="auto" w:sz="4" w:space="0"/>
            </w:tcBorders>
            <w:noWrap/>
            <w:vAlign w:val="center"/>
          </w:tcPr>
          <w:p w14:paraId="07F6A412">
            <w:pPr>
              <w:pStyle w:val="15"/>
              <w:spacing w:before="0" w:beforeAutospacing="0" w:after="0" w:afterAutospacing="0" w:line="360" w:lineRule="auto"/>
              <w:jc w:val="center"/>
              <w:outlineLvl w:val="0"/>
              <w:rPr>
                <w:rFonts w:cs="宋体"/>
                <w:b/>
                <w:bCs/>
                <w:color w:val="auto"/>
                <w:szCs w:val="24"/>
              </w:rPr>
            </w:pPr>
          </w:p>
        </w:tc>
      </w:tr>
      <w:tr w14:paraId="2AD75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19A71F2B">
            <w:pPr>
              <w:pStyle w:val="15"/>
              <w:spacing w:before="0" w:beforeAutospacing="0" w:after="0" w:afterAutospacing="0" w:line="360" w:lineRule="auto"/>
              <w:jc w:val="center"/>
              <w:outlineLvl w:val="0"/>
              <w:rPr>
                <w:rFonts w:cs="宋体"/>
                <w:b/>
                <w:bCs/>
                <w:color w:val="auto"/>
                <w:szCs w:val="24"/>
              </w:rPr>
            </w:pPr>
          </w:p>
        </w:tc>
        <w:tc>
          <w:tcPr>
            <w:tcW w:w="1285" w:type="dxa"/>
            <w:tcBorders>
              <w:top w:val="single" w:color="auto" w:sz="4" w:space="0"/>
            </w:tcBorders>
            <w:noWrap/>
            <w:vAlign w:val="center"/>
          </w:tcPr>
          <w:p w14:paraId="5795D361">
            <w:pPr>
              <w:pStyle w:val="15"/>
              <w:spacing w:before="0" w:beforeAutospacing="0" w:after="0" w:afterAutospacing="0" w:line="360" w:lineRule="auto"/>
              <w:jc w:val="center"/>
              <w:outlineLvl w:val="0"/>
              <w:rPr>
                <w:rFonts w:cs="宋体"/>
                <w:b/>
                <w:bCs/>
                <w:color w:val="auto"/>
                <w:szCs w:val="24"/>
              </w:rPr>
            </w:pPr>
          </w:p>
        </w:tc>
        <w:tc>
          <w:tcPr>
            <w:tcW w:w="5358" w:type="dxa"/>
            <w:tcBorders>
              <w:top w:val="single" w:color="auto" w:sz="4" w:space="0"/>
            </w:tcBorders>
            <w:noWrap/>
            <w:vAlign w:val="center"/>
          </w:tcPr>
          <w:p w14:paraId="2D10FA9A">
            <w:pPr>
              <w:pStyle w:val="15"/>
              <w:spacing w:before="0" w:beforeAutospacing="0" w:after="0" w:afterAutospacing="0" w:line="360" w:lineRule="auto"/>
              <w:jc w:val="center"/>
              <w:outlineLvl w:val="0"/>
              <w:rPr>
                <w:rFonts w:cs="宋体"/>
                <w:b/>
                <w:bCs/>
                <w:color w:val="auto"/>
                <w:szCs w:val="24"/>
              </w:rPr>
            </w:pPr>
          </w:p>
        </w:tc>
        <w:tc>
          <w:tcPr>
            <w:tcW w:w="1258" w:type="dxa"/>
            <w:tcBorders>
              <w:top w:val="single" w:color="auto" w:sz="4" w:space="0"/>
            </w:tcBorders>
            <w:noWrap/>
            <w:vAlign w:val="center"/>
          </w:tcPr>
          <w:p w14:paraId="1CBF97E2">
            <w:pPr>
              <w:pStyle w:val="15"/>
              <w:spacing w:before="0" w:beforeAutospacing="0" w:after="0" w:afterAutospacing="0" w:line="360" w:lineRule="auto"/>
              <w:jc w:val="center"/>
              <w:outlineLvl w:val="0"/>
              <w:rPr>
                <w:rFonts w:cs="宋体"/>
                <w:b/>
                <w:bCs/>
                <w:color w:val="auto"/>
                <w:szCs w:val="24"/>
              </w:rPr>
            </w:pPr>
          </w:p>
        </w:tc>
        <w:tc>
          <w:tcPr>
            <w:tcW w:w="1258" w:type="dxa"/>
            <w:tcBorders>
              <w:top w:val="single" w:color="auto" w:sz="4" w:space="0"/>
            </w:tcBorders>
            <w:noWrap/>
            <w:vAlign w:val="center"/>
          </w:tcPr>
          <w:p w14:paraId="2DB0630E">
            <w:pPr>
              <w:pStyle w:val="15"/>
              <w:spacing w:before="0" w:beforeAutospacing="0" w:after="0" w:afterAutospacing="0" w:line="360" w:lineRule="auto"/>
              <w:jc w:val="center"/>
              <w:outlineLvl w:val="0"/>
              <w:rPr>
                <w:rFonts w:cs="宋体"/>
                <w:b/>
                <w:bCs/>
                <w:color w:val="auto"/>
                <w:szCs w:val="24"/>
              </w:rPr>
            </w:pPr>
          </w:p>
        </w:tc>
      </w:tr>
      <w:tr w14:paraId="3D81D4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noWrap/>
            <w:vAlign w:val="center"/>
          </w:tcPr>
          <w:p w14:paraId="11CC1A73">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2395D78F">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03EAE9C7">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0686A9F0">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DD1B86D">
            <w:pPr>
              <w:pStyle w:val="15"/>
              <w:spacing w:before="0" w:beforeAutospacing="0" w:after="0" w:afterAutospacing="0" w:line="360" w:lineRule="auto"/>
              <w:jc w:val="center"/>
              <w:outlineLvl w:val="0"/>
              <w:rPr>
                <w:rFonts w:cs="宋体"/>
                <w:b/>
                <w:bCs/>
                <w:color w:val="auto"/>
                <w:szCs w:val="24"/>
              </w:rPr>
            </w:pPr>
          </w:p>
        </w:tc>
      </w:tr>
      <w:tr w14:paraId="74535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674971D8">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3081A192">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5B1C41F6">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5A09D667">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4535A6E4">
            <w:pPr>
              <w:pStyle w:val="15"/>
              <w:spacing w:before="0" w:beforeAutospacing="0" w:after="0" w:afterAutospacing="0" w:line="360" w:lineRule="auto"/>
              <w:jc w:val="center"/>
              <w:outlineLvl w:val="0"/>
              <w:rPr>
                <w:rFonts w:cs="宋体"/>
                <w:b/>
                <w:bCs/>
                <w:color w:val="auto"/>
                <w:szCs w:val="24"/>
              </w:rPr>
            </w:pPr>
          </w:p>
        </w:tc>
      </w:tr>
      <w:tr w14:paraId="24516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20A544B1">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62625DDF">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2F3F3AA5">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76191409">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2C6EDFCF">
            <w:pPr>
              <w:pStyle w:val="15"/>
              <w:spacing w:before="0" w:beforeAutospacing="0" w:after="0" w:afterAutospacing="0" w:line="360" w:lineRule="auto"/>
              <w:jc w:val="center"/>
              <w:outlineLvl w:val="0"/>
              <w:rPr>
                <w:rFonts w:cs="宋体"/>
                <w:b/>
                <w:bCs/>
                <w:color w:val="auto"/>
                <w:szCs w:val="24"/>
              </w:rPr>
            </w:pPr>
          </w:p>
        </w:tc>
      </w:tr>
      <w:tr w14:paraId="5BB22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0C89B035">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323E8FDB">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00CAF90E">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6C76C5CD">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03B922C7">
            <w:pPr>
              <w:pStyle w:val="15"/>
              <w:spacing w:before="0" w:beforeAutospacing="0" w:after="0" w:afterAutospacing="0" w:line="360" w:lineRule="auto"/>
              <w:jc w:val="center"/>
              <w:outlineLvl w:val="0"/>
              <w:rPr>
                <w:rFonts w:cs="宋体"/>
                <w:b/>
                <w:bCs/>
                <w:color w:val="auto"/>
                <w:szCs w:val="24"/>
              </w:rPr>
            </w:pPr>
          </w:p>
        </w:tc>
      </w:tr>
      <w:tr w14:paraId="425E7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ign w:val="center"/>
          </w:tcPr>
          <w:p w14:paraId="5C3D1C11">
            <w:pPr>
              <w:pStyle w:val="15"/>
              <w:spacing w:before="0" w:beforeAutospacing="0" w:after="0" w:afterAutospacing="0" w:line="360" w:lineRule="auto"/>
              <w:jc w:val="center"/>
              <w:outlineLvl w:val="0"/>
              <w:rPr>
                <w:rFonts w:cs="宋体"/>
                <w:b/>
                <w:bCs/>
                <w:color w:val="auto"/>
                <w:szCs w:val="24"/>
              </w:rPr>
            </w:pPr>
          </w:p>
        </w:tc>
        <w:tc>
          <w:tcPr>
            <w:tcW w:w="1285" w:type="dxa"/>
            <w:noWrap/>
            <w:vAlign w:val="center"/>
          </w:tcPr>
          <w:p w14:paraId="6E5C6048">
            <w:pPr>
              <w:pStyle w:val="15"/>
              <w:spacing w:before="0" w:beforeAutospacing="0" w:after="0" w:afterAutospacing="0" w:line="360" w:lineRule="auto"/>
              <w:jc w:val="center"/>
              <w:outlineLvl w:val="0"/>
              <w:rPr>
                <w:rFonts w:cs="宋体"/>
                <w:b/>
                <w:bCs/>
                <w:color w:val="auto"/>
                <w:szCs w:val="24"/>
              </w:rPr>
            </w:pPr>
          </w:p>
        </w:tc>
        <w:tc>
          <w:tcPr>
            <w:tcW w:w="5358" w:type="dxa"/>
            <w:noWrap/>
            <w:vAlign w:val="center"/>
          </w:tcPr>
          <w:p w14:paraId="2DC77407">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6DFFEE66">
            <w:pPr>
              <w:pStyle w:val="15"/>
              <w:spacing w:before="0" w:beforeAutospacing="0" w:after="0" w:afterAutospacing="0" w:line="360" w:lineRule="auto"/>
              <w:jc w:val="center"/>
              <w:outlineLvl w:val="0"/>
              <w:rPr>
                <w:rFonts w:cs="宋体"/>
                <w:b/>
                <w:bCs/>
                <w:color w:val="auto"/>
                <w:szCs w:val="24"/>
              </w:rPr>
            </w:pPr>
          </w:p>
        </w:tc>
        <w:tc>
          <w:tcPr>
            <w:tcW w:w="1258" w:type="dxa"/>
            <w:noWrap/>
            <w:vAlign w:val="center"/>
          </w:tcPr>
          <w:p w14:paraId="30C0D981">
            <w:pPr>
              <w:pStyle w:val="15"/>
              <w:spacing w:before="0" w:beforeAutospacing="0" w:after="0" w:afterAutospacing="0" w:line="360" w:lineRule="auto"/>
              <w:jc w:val="center"/>
              <w:outlineLvl w:val="0"/>
              <w:rPr>
                <w:rFonts w:cs="宋体"/>
                <w:b/>
                <w:bCs/>
                <w:color w:val="auto"/>
                <w:szCs w:val="24"/>
              </w:rPr>
            </w:pPr>
          </w:p>
        </w:tc>
      </w:tr>
    </w:tbl>
    <w:p w14:paraId="47BBCE65">
      <w:pPr>
        <w:pStyle w:val="5"/>
        <w:spacing w:before="0" w:after="0" w:line="360" w:lineRule="auto"/>
        <w:jc w:val="center"/>
        <w:rPr>
          <w:rFonts w:ascii="宋体" w:hAnsi="宋体" w:cs="宋体"/>
          <w:sz w:val="24"/>
          <w:szCs w:val="24"/>
        </w:rPr>
      </w:pPr>
      <w:bookmarkStart w:id="84" w:name="_Toc6785"/>
      <w:r>
        <w:rPr>
          <w:rFonts w:hint="eastAsia" w:ascii="宋体" w:hAnsi="宋体" w:cs="宋体"/>
          <w:sz w:val="24"/>
          <w:szCs w:val="24"/>
        </w:rPr>
        <w:t>附件1  响应函（格式）</w:t>
      </w:r>
      <w:bookmarkEnd w:id="77"/>
      <w:bookmarkEnd w:id="78"/>
      <w:bookmarkEnd w:id="79"/>
      <w:bookmarkEnd w:id="80"/>
      <w:bookmarkEnd w:id="81"/>
      <w:bookmarkEnd w:id="82"/>
      <w:bookmarkEnd w:id="83"/>
      <w:bookmarkEnd w:id="84"/>
    </w:p>
    <w:p w14:paraId="37AF3D5C">
      <w:pPr>
        <w:pStyle w:val="15"/>
        <w:adjustRightInd w:val="0"/>
        <w:snapToGrid w:val="0"/>
        <w:spacing w:before="0" w:beforeAutospacing="0" w:after="0" w:afterAutospacing="0" w:line="360" w:lineRule="auto"/>
        <w:rPr>
          <w:rFonts w:cs="宋体"/>
          <w:bCs/>
          <w:color w:val="auto"/>
          <w:szCs w:val="24"/>
        </w:rPr>
      </w:pPr>
    </w:p>
    <w:p w14:paraId="085848D2">
      <w:pPr>
        <w:pStyle w:val="15"/>
        <w:adjustRightInd w:val="0"/>
        <w:snapToGrid w:val="0"/>
        <w:spacing w:before="0" w:beforeAutospacing="0" w:after="0" w:afterAutospacing="0" w:line="360" w:lineRule="auto"/>
        <w:rPr>
          <w:rFonts w:cs="宋体"/>
          <w:bCs/>
          <w:color w:val="auto"/>
          <w:szCs w:val="24"/>
        </w:rPr>
      </w:pPr>
      <w:r>
        <w:rPr>
          <w:rFonts w:hint="eastAsia" w:cs="宋体"/>
          <w:bCs/>
          <w:color w:val="auto"/>
          <w:szCs w:val="24"/>
        </w:rPr>
        <w:t>致</w:t>
      </w:r>
      <w:r>
        <w:rPr>
          <w:rFonts w:hint="eastAsia" w:cs="宋体"/>
          <w:bCs/>
          <w:color w:val="auto"/>
          <w:szCs w:val="24"/>
          <w:u w:val="single"/>
        </w:rPr>
        <w:t xml:space="preserve">  （采购人）  </w:t>
      </w:r>
      <w:r>
        <w:rPr>
          <w:rFonts w:hint="eastAsia" w:cs="宋体"/>
          <w:bCs/>
          <w:color w:val="auto"/>
          <w:szCs w:val="24"/>
        </w:rPr>
        <w:t>：</w:t>
      </w:r>
    </w:p>
    <w:p w14:paraId="2F17C0F7">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根据贵方为</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）的邀请，签字代表（全名职务）</w:t>
      </w:r>
      <w:r>
        <w:rPr>
          <w:rFonts w:hint="eastAsia" w:ascii="宋体" w:hAnsi="宋体" w:cs="宋体"/>
          <w:sz w:val="24"/>
          <w:szCs w:val="24"/>
          <w:u w:val="single"/>
        </w:rPr>
        <w:t xml:space="preserve">         </w:t>
      </w:r>
      <w:r>
        <w:rPr>
          <w:rFonts w:hint="eastAsia" w:ascii="宋体" w:hAnsi="宋体" w:cs="宋体"/>
          <w:sz w:val="24"/>
          <w:szCs w:val="24"/>
        </w:rPr>
        <w:t>经正式授权并代表供应商（供应商名称、地址）</w:t>
      </w:r>
      <w:r>
        <w:rPr>
          <w:rFonts w:hint="eastAsia" w:ascii="宋体" w:hAnsi="宋体" w:cs="宋体"/>
          <w:sz w:val="24"/>
          <w:szCs w:val="24"/>
          <w:u w:val="single"/>
        </w:rPr>
        <w:t xml:space="preserve">                 </w:t>
      </w:r>
      <w:r>
        <w:rPr>
          <w:rFonts w:hint="eastAsia" w:ascii="宋体" w:hAnsi="宋体" w:cs="宋体"/>
          <w:sz w:val="24"/>
          <w:szCs w:val="24"/>
        </w:rPr>
        <w:t>提交响应文件正本</w:t>
      </w:r>
      <w:r>
        <w:rPr>
          <w:rFonts w:hint="eastAsia"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hint="eastAsia" w:ascii="宋体" w:hAnsi="宋体" w:cs="宋体"/>
          <w:sz w:val="24"/>
          <w:szCs w:val="24"/>
        </w:rPr>
        <w:t>份、其他</w:t>
      </w:r>
      <w:r>
        <w:rPr>
          <w:rFonts w:hint="eastAsia" w:ascii="宋体" w:hAnsi="宋体" w:cs="宋体"/>
          <w:sz w:val="24"/>
          <w:szCs w:val="24"/>
          <w:u w:val="single"/>
        </w:rPr>
        <w:t xml:space="preserve">    </w:t>
      </w:r>
      <w:r>
        <w:rPr>
          <w:rFonts w:hint="eastAsia" w:ascii="宋体" w:hAnsi="宋体" w:cs="宋体"/>
          <w:sz w:val="24"/>
          <w:szCs w:val="24"/>
        </w:rPr>
        <w:t>。</w:t>
      </w:r>
    </w:p>
    <w:p w14:paraId="1D6EF067">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全权代表宣布如下：</w:t>
      </w:r>
    </w:p>
    <w:p w14:paraId="04AE2B83">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我方针对本次项目的总报价见《报价一览表》。</w:t>
      </w:r>
    </w:p>
    <w:p w14:paraId="03D4A4D7">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我方已详细研究了全部磋商文件，包括磋商文件的澄清和修改文件（如果有的话）、参考资料及有关附件，我们已完全理解并接受磋商文件的各项规定和要求，对磋商文件的合理性、合法性不再有异议。</w:t>
      </w:r>
    </w:p>
    <w:p w14:paraId="7BC83902">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我方承诺在响应文件有效期内（响应文件递交截止之日起</w:t>
      </w:r>
      <w:r>
        <w:rPr>
          <w:rFonts w:hint="eastAsia" w:cs="宋体"/>
          <w:bCs/>
          <w:color w:val="auto"/>
          <w:szCs w:val="24"/>
          <w:u w:val="single"/>
        </w:rPr>
        <w:t>90</w:t>
      </w:r>
      <w:r>
        <w:rPr>
          <w:rFonts w:hint="eastAsia" w:cs="宋体"/>
          <w:bCs/>
          <w:color w:val="auto"/>
          <w:szCs w:val="24"/>
        </w:rPr>
        <w:t>日历日）不修改、撤销响应文件。</w:t>
      </w:r>
    </w:p>
    <w:p w14:paraId="2E8C92CE">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我方同意按照贵方要求提交有关的一切数据或资料，完全理解贵方不一定要接受最低价的报价。</w:t>
      </w:r>
    </w:p>
    <w:p w14:paraId="09BC3F1C">
      <w:pPr>
        <w:pStyle w:val="15"/>
        <w:numPr>
          <w:ilvl w:val="0"/>
          <w:numId w:val="32"/>
        </w:numPr>
        <w:tabs>
          <w:tab w:val="left" w:pos="284"/>
          <w:tab w:val="left" w:pos="426"/>
        </w:tabs>
        <w:adjustRightInd w:val="0"/>
        <w:snapToGrid w:val="0"/>
        <w:spacing w:before="0" w:beforeAutospacing="0" w:after="0" w:afterAutospacing="0" w:line="360" w:lineRule="auto"/>
        <w:ind w:left="0" w:firstLine="472" w:firstLineChars="200"/>
        <w:rPr>
          <w:rFonts w:cs="宋体"/>
          <w:bCs/>
          <w:color w:val="auto"/>
          <w:szCs w:val="24"/>
        </w:rPr>
      </w:pPr>
      <w:r>
        <w:rPr>
          <w:rFonts w:hint="eastAsia" w:cs="宋体"/>
          <w:color w:val="auto"/>
          <w:spacing w:val="-2"/>
          <w:szCs w:val="24"/>
        </w:rPr>
        <w:t>我方不存在单位负责人为同一人或者存在直接控股、管理关系的不同供应商，参加本项目同一合同项下的政府采购活动的情形。</w:t>
      </w:r>
    </w:p>
    <w:p w14:paraId="1EAE16F2">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我方承诺未为本采购项目提供整体设计、规范编制或者项目管理、监理、检测等服务。</w:t>
      </w:r>
    </w:p>
    <w:p w14:paraId="3E63ADD1">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color w:val="auto"/>
          <w:szCs w:val="24"/>
        </w:rPr>
        <w:t>我方承诺响应文件中的所有内容均为真实、准确、完整的</w:t>
      </w:r>
      <w:r>
        <w:rPr>
          <w:rFonts w:hint="eastAsia" w:cs="宋体"/>
          <w:bCs/>
          <w:color w:val="auto"/>
          <w:szCs w:val="24"/>
        </w:rPr>
        <w:t>。</w:t>
      </w:r>
    </w:p>
    <w:p w14:paraId="524B3601">
      <w:pPr>
        <w:pStyle w:val="15"/>
        <w:numPr>
          <w:ilvl w:val="0"/>
          <w:numId w:val="32"/>
        </w:numPr>
        <w:tabs>
          <w:tab w:val="left" w:pos="284"/>
          <w:tab w:val="left" w:pos="426"/>
        </w:tabs>
        <w:adjustRightInd w:val="0"/>
        <w:snapToGrid w:val="0"/>
        <w:spacing w:before="0" w:beforeAutospacing="0" w:after="0" w:afterAutospacing="0" w:line="360" w:lineRule="auto"/>
        <w:ind w:left="0" w:firstLine="480" w:firstLineChars="200"/>
        <w:rPr>
          <w:rFonts w:cs="宋体"/>
          <w:bCs/>
          <w:color w:val="auto"/>
          <w:szCs w:val="24"/>
        </w:rPr>
      </w:pPr>
      <w:r>
        <w:rPr>
          <w:rFonts w:hint="eastAsia" w:cs="宋体"/>
          <w:bCs/>
          <w:color w:val="auto"/>
          <w:szCs w:val="24"/>
        </w:rPr>
        <w:t>与本磋商有关的一切正式往来通讯请寄：</w:t>
      </w:r>
    </w:p>
    <w:p w14:paraId="1B847E63">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地址： 邮编：</w:t>
      </w:r>
    </w:p>
    <w:p w14:paraId="0076AC43">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 xml:space="preserve">电话： </w:t>
      </w:r>
    </w:p>
    <w:p w14:paraId="6C02EEE5">
      <w:pPr>
        <w:pStyle w:val="15"/>
        <w:adjustRightInd w:val="0"/>
        <w:snapToGrid w:val="0"/>
        <w:spacing w:before="0" w:beforeAutospacing="0" w:after="0" w:afterAutospacing="0" w:line="360" w:lineRule="auto"/>
        <w:ind w:firstLine="480" w:firstLineChars="200"/>
        <w:rPr>
          <w:rFonts w:cs="宋体"/>
          <w:bCs/>
          <w:color w:val="auto"/>
          <w:szCs w:val="24"/>
        </w:rPr>
      </w:pPr>
      <w:r>
        <w:rPr>
          <w:rFonts w:hint="eastAsia" w:cs="宋体"/>
          <w:bCs/>
          <w:color w:val="auto"/>
          <w:szCs w:val="24"/>
        </w:rPr>
        <w:t>供应商全权代表姓名、职务（印刷体）</w:t>
      </w:r>
    </w:p>
    <w:p w14:paraId="2EBDA90B">
      <w:pPr>
        <w:pStyle w:val="15"/>
        <w:adjustRightInd w:val="0"/>
        <w:snapToGrid w:val="0"/>
        <w:spacing w:before="0" w:beforeAutospacing="0" w:after="0" w:afterAutospacing="0" w:line="360" w:lineRule="auto"/>
        <w:ind w:firstLine="482" w:firstLineChars="200"/>
        <w:rPr>
          <w:rFonts w:cs="宋体"/>
          <w:b/>
          <w:color w:val="auto"/>
          <w:szCs w:val="24"/>
          <w:u w:val="none"/>
        </w:rPr>
      </w:pPr>
      <w:r>
        <w:rPr>
          <w:rFonts w:hint="eastAsia" w:cs="宋体"/>
          <w:b/>
          <w:color w:val="auto"/>
          <w:szCs w:val="24"/>
          <w:u w:val="none"/>
        </w:rPr>
        <w:t xml:space="preserve">供应商名称（公章）：                                             </w:t>
      </w:r>
    </w:p>
    <w:p w14:paraId="60F9353E">
      <w:pPr>
        <w:pStyle w:val="15"/>
        <w:adjustRightInd w:val="0"/>
        <w:snapToGrid w:val="0"/>
        <w:spacing w:before="0" w:beforeAutospacing="0" w:after="0" w:afterAutospacing="0" w:line="360" w:lineRule="auto"/>
        <w:ind w:firstLine="482" w:firstLineChars="200"/>
        <w:rPr>
          <w:rFonts w:cs="宋体"/>
          <w:b/>
          <w:color w:val="auto"/>
          <w:szCs w:val="24"/>
          <w:u w:val="none"/>
        </w:rPr>
      </w:pPr>
      <w:r>
        <w:rPr>
          <w:rFonts w:hint="eastAsia" w:cs="宋体"/>
          <w:b/>
          <w:color w:val="auto"/>
          <w:szCs w:val="24"/>
          <w:u w:val="none"/>
        </w:rPr>
        <w:t xml:space="preserve">法定代表人（签字或盖章）：                                       </w:t>
      </w:r>
    </w:p>
    <w:p w14:paraId="77452EEB">
      <w:pPr>
        <w:pStyle w:val="15"/>
        <w:adjustRightInd w:val="0"/>
        <w:snapToGrid w:val="0"/>
        <w:spacing w:before="0" w:beforeAutospacing="0" w:after="0" w:afterAutospacing="0" w:line="360" w:lineRule="auto"/>
        <w:ind w:firstLine="482" w:firstLineChars="200"/>
        <w:rPr>
          <w:rFonts w:cs="宋体"/>
          <w:b/>
          <w:color w:val="auto"/>
          <w:szCs w:val="24"/>
          <w:u w:val="none"/>
        </w:rPr>
      </w:pPr>
      <w:r>
        <w:rPr>
          <w:rFonts w:hint="eastAsia" w:cs="宋体"/>
          <w:b/>
          <w:color w:val="auto"/>
          <w:szCs w:val="24"/>
          <w:u w:val="none"/>
        </w:rPr>
        <w:t xml:space="preserve">被授权人签字：                            </w:t>
      </w:r>
    </w:p>
    <w:p w14:paraId="6865A2A3">
      <w:pPr>
        <w:pStyle w:val="15"/>
        <w:adjustRightInd w:val="0"/>
        <w:snapToGrid w:val="0"/>
        <w:spacing w:before="0" w:beforeAutospacing="0" w:after="0" w:afterAutospacing="0" w:line="360" w:lineRule="auto"/>
        <w:ind w:firstLine="480" w:firstLineChars="200"/>
        <w:rPr>
          <w:rFonts w:cs="宋体"/>
          <w:color w:val="auto"/>
          <w:szCs w:val="24"/>
        </w:rPr>
      </w:pPr>
      <w:r>
        <w:rPr>
          <w:rFonts w:hint="eastAsia" w:cs="宋体"/>
          <w:bCs/>
          <w:color w:val="auto"/>
          <w:szCs w:val="24"/>
        </w:rPr>
        <w:t>日期：   年    月    日</w:t>
      </w:r>
    </w:p>
    <w:p w14:paraId="6E94AA51">
      <w:pPr>
        <w:pStyle w:val="25"/>
        <w:spacing w:before="0" w:beforeAutospacing="0" w:after="0" w:afterAutospacing="0" w:line="360" w:lineRule="auto"/>
        <w:ind w:firstLine="480" w:firstLineChars="200"/>
        <w:rPr>
          <w:rFonts w:cs="宋体"/>
          <w:color w:val="auto"/>
          <w:szCs w:val="24"/>
        </w:rPr>
        <w:sectPr>
          <w:pgSz w:w="11906" w:h="16838"/>
          <w:pgMar w:top="1440" w:right="1083" w:bottom="1440" w:left="1083" w:header="851" w:footer="765" w:gutter="0"/>
          <w:cols w:space="720" w:num="1"/>
          <w:docGrid w:type="lines" w:linePitch="286" w:charSpace="0"/>
        </w:sectPr>
      </w:pPr>
    </w:p>
    <w:p w14:paraId="33746C41">
      <w:pPr>
        <w:pStyle w:val="5"/>
        <w:spacing w:before="0" w:after="0" w:line="360" w:lineRule="auto"/>
        <w:jc w:val="center"/>
        <w:rPr>
          <w:rFonts w:ascii="宋体" w:hAnsi="宋体" w:cs="宋体"/>
          <w:sz w:val="24"/>
          <w:szCs w:val="24"/>
        </w:rPr>
      </w:pPr>
      <w:bookmarkStart w:id="85" w:name="_Toc461875573"/>
      <w:bookmarkStart w:id="86" w:name="_Toc461870959"/>
      <w:bookmarkStart w:id="87" w:name="_Toc1773"/>
      <w:bookmarkStart w:id="88" w:name="_Toc21422"/>
      <w:bookmarkStart w:id="89" w:name="_Toc524526751"/>
      <w:bookmarkStart w:id="90" w:name="_Toc22850"/>
      <w:bookmarkStart w:id="91" w:name="_Toc1916"/>
      <w:bookmarkStart w:id="92" w:name="_Toc490494258"/>
      <w:r>
        <w:rPr>
          <w:rFonts w:hint="eastAsia" w:ascii="宋体" w:hAnsi="宋体" w:cs="宋体"/>
          <w:sz w:val="24"/>
          <w:szCs w:val="24"/>
        </w:rPr>
        <w:t>附件2  法定代表人等证明书（格式）</w:t>
      </w:r>
      <w:bookmarkEnd w:id="85"/>
      <w:bookmarkEnd w:id="86"/>
      <w:bookmarkEnd w:id="87"/>
      <w:bookmarkEnd w:id="88"/>
      <w:bookmarkEnd w:id="89"/>
      <w:bookmarkEnd w:id="90"/>
      <w:bookmarkEnd w:id="91"/>
      <w:bookmarkEnd w:id="92"/>
    </w:p>
    <w:p w14:paraId="78A24EB5">
      <w:pPr>
        <w:pStyle w:val="25"/>
        <w:spacing w:before="0" w:beforeAutospacing="0" w:after="0" w:afterAutospacing="0" w:line="360" w:lineRule="auto"/>
        <w:rPr>
          <w:rFonts w:cs="宋体"/>
          <w:color w:val="auto"/>
          <w:szCs w:val="24"/>
        </w:rPr>
      </w:pPr>
    </w:p>
    <w:p w14:paraId="1A3BF614">
      <w:pPr>
        <w:pStyle w:val="25"/>
        <w:spacing w:before="0" w:beforeAutospacing="0" w:after="0" w:afterAutospacing="0" w:line="360" w:lineRule="auto"/>
        <w:rPr>
          <w:rFonts w:cs="宋体"/>
          <w:color w:val="auto"/>
          <w:szCs w:val="24"/>
        </w:rPr>
      </w:pPr>
      <w:r>
        <w:rPr>
          <w:rFonts w:hint="eastAsia" w:cs="宋体"/>
          <w:color w:val="auto"/>
          <w:szCs w:val="24"/>
        </w:rPr>
        <w:t>致</w:t>
      </w:r>
      <w:r>
        <w:rPr>
          <w:rFonts w:hint="eastAsia" w:cs="宋体"/>
          <w:bCs/>
          <w:color w:val="auto"/>
          <w:szCs w:val="24"/>
          <w:u w:val="single"/>
        </w:rPr>
        <w:t xml:space="preserve">    （采购人）</w:t>
      </w:r>
      <w:r>
        <w:rPr>
          <w:rFonts w:hint="eastAsia" w:cs="宋体"/>
          <w:bCs/>
          <w:color w:val="auto"/>
          <w:szCs w:val="24"/>
        </w:rPr>
        <w:t>：</w:t>
      </w:r>
    </w:p>
    <w:p w14:paraId="2238D0A5">
      <w:pPr>
        <w:pStyle w:val="25"/>
        <w:spacing w:before="0" w:beforeAutospacing="0" w:after="0" w:afterAutospacing="0" w:line="360" w:lineRule="auto"/>
        <w:rPr>
          <w:rFonts w:cs="宋体"/>
          <w:color w:val="auto"/>
          <w:szCs w:val="24"/>
        </w:rPr>
      </w:pPr>
      <w:r>
        <w:rPr>
          <w:rFonts w:hint="eastAsia" w:cs="宋体"/>
          <w:color w:val="auto"/>
          <w:szCs w:val="24"/>
        </w:rPr>
        <w:t xml:space="preserve">    兹证明</w:t>
      </w:r>
      <w:r>
        <w:rPr>
          <w:rFonts w:hint="eastAsia" w:cs="宋体"/>
          <w:color w:val="auto"/>
          <w:szCs w:val="24"/>
          <w:u w:val="single"/>
        </w:rPr>
        <w:t xml:space="preserve">         </w:t>
      </w:r>
      <w:r>
        <w:rPr>
          <w:rFonts w:hint="eastAsia" w:cs="宋体"/>
          <w:color w:val="auto"/>
          <w:szCs w:val="24"/>
        </w:rPr>
        <w:t>（姓名），性别</w:t>
      </w:r>
      <w:r>
        <w:rPr>
          <w:rFonts w:hint="eastAsia" w:cs="宋体"/>
          <w:color w:val="auto"/>
          <w:szCs w:val="24"/>
          <w:u w:val="single"/>
        </w:rPr>
        <w:t xml:space="preserve">      </w:t>
      </w:r>
      <w:r>
        <w:rPr>
          <w:rFonts w:hint="eastAsia" w:cs="宋体"/>
          <w:color w:val="auto"/>
          <w:szCs w:val="24"/>
        </w:rPr>
        <w:t>年龄</w:t>
      </w:r>
      <w:r>
        <w:rPr>
          <w:rFonts w:hint="eastAsia" w:cs="宋体"/>
          <w:color w:val="auto"/>
          <w:szCs w:val="24"/>
          <w:u w:val="single"/>
        </w:rPr>
        <w:t xml:space="preserve">      </w:t>
      </w:r>
      <w:r>
        <w:rPr>
          <w:rFonts w:hint="eastAsia" w:cs="宋体"/>
          <w:color w:val="auto"/>
          <w:szCs w:val="24"/>
        </w:rPr>
        <w:t>身份证号码</w:t>
      </w:r>
      <w:r>
        <w:rPr>
          <w:rFonts w:hint="eastAsia" w:cs="宋体"/>
          <w:color w:val="auto"/>
          <w:szCs w:val="24"/>
          <w:u w:val="single"/>
        </w:rPr>
        <w:t xml:space="preserve">        </w:t>
      </w:r>
      <w:r>
        <w:rPr>
          <w:rFonts w:hint="eastAsia" w:cs="宋体"/>
          <w:color w:val="auto"/>
          <w:szCs w:val="24"/>
        </w:rPr>
        <w:t>现任我单位</w:t>
      </w:r>
      <w:r>
        <w:rPr>
          <w:rFonts w:hint="eastAsia" w:cs="宋体"/>
          <w:color w:val="auto"/>
          <w:szCs w:val="24"/>
          <w:u w:val="single"/>
        </w:rPr>
        <w:t xml:space="preserve">        </w:t>
      </w:r>
      <w:r>
        <w:rPr>
          <w:rFonts w:hint="eastAsia" w:cs="宋体"/>
          <w:color w:val="auto"/>
          <w:szCs w:val="24"/>
        </w:rPr>
        <w:t>职务，系本公司法定代表人（负责人）。</w:t>
      </w:r>
    </w:p>
    <w:p w14:paraId="0AA4AA7E">
      <w:pPr>
        <w:pStyle w:val="25"/>
        <w:spacing w:before="0" w:beforeAutospacing="0" w:after="0" w:afterAutospacing="0" w:line="360" w:lineRule="auto"/>
        <w:rPr>
          <w:rFonts w:cs="宋体"/>
          <w:color w:val="auto"/>
          <w:szCs w:val="24"/>
        </w:rPr>
      </w:pPr>
    </w:p>
    <w:p w14:paraId="40FDE613">
      <w:pPr>
        <w:pStyle w:val="25"/>
        <w:spacing w:before="0" w:beforeAutospacing="0" w:after="0" w:afterAutospacing="0" w:line="360" w:lineRule="auto"/>
        <w:rPr>
          <w:rFonts w:cs="宋体"/>
          <w:color w:val="auto"/>
          <w:szCs w:val="24"/>
          <w:u w:val="single"/>
        </w:rPr>
      </w:pPr>
      <w:r>
        <w:rPr>
          <w:rFonts w:hint="eastAsia" w:cs="宋体"/>
          <w:color w:val="auto"/>
          <w:szCs w:val="24"/>
        </w:rPr>
        <w:t>附：法定代表人姓名：</w:t>
      </w:r>
    </w:p>
    <w:p w14:paraId="249FF112">
      <w:pPr>
        <w:pStyle w:val="25"/>
        <w:spacing w:before="0" w:beforeAutospacing="0" w:after="0" w:afterAutospacing="0" w:line="360" w:lineRule="auto"/>
        <w:rPr>
          <w:rFonts w:cs="宋体"/>
          <w:color w:val="auto"/>
          <w:szCs w:val="24"/>
        </w:rPr>
      </w:pPr>
      <w:r>
        <w:rPr>
          <w:rFonts w:hint="eastAsia" w:cs="宋体"/>
          <w:color w:val="auto"/>
          <w:szCs w:val="24"/>
        </w:rPr>
        <w:t>身份证号码：</w:t>
      </w:r>
    </w:p>
    <w:p w14:paraId="6673404B">
      <w:pPr>
        <w:pStyle w:val="25"/>
        <w:spacing w:before="0" w:beforeAutospacing="0" w:after="0" w:afterAutospacing="0" w:line="360" w:lineRule="auto"/>
        <w:rPr>
          <w:rFonts w:cs="宋体"/>
          <w:color w:val="auto"/>
          <w:szCs w:val="24"/>
          <w:u w:val="single"/>
        </w:rPr>
      </w:pPr>
      <w:r>
        <w:rPr>
          <w:rFonts w:hint="eastAsia" w:cs="宋体"/>
          <w:color w:val="auto"/>
          <w:szCs w:val="24"/>
        </w:rPr>
        <w:t>统一社会信用代码：</w:t>
      </w:r>
    </w:p>
    <w:p w14:paraId="489E24B9">
      <w:pPr>
        <w:pStyle w:val="25"/>
        <w:spacing w:before="0" w:beforeAutospacing="0" w:after="0" w:afterAutospacing="0" w:line="360" w:lineRule="auto"/>
        <w:rPr>
          <w:rFonts w:cs="宋体"/>
          <w:color w:val="auto"/>
          <w:szCs w:val="24"/>
        </w:rPr>
      </w:pPr>
      <w:r>
        <w:rPr>
          <w:rFonts w:hint="eastAsia" w:cs="宋体"/>
          <w:color w:val="auto"/>
          <w:szCs w:val="24"/>
        </w:rPr>
        <w:t>单位类型：</w:t>
      </w:r>
    </w:p>
    <w:p w14:paraId="15483D24">
      <w:pPr>
        <w:pStyle w:val="25"/>
        <w:spacing w:before="0" w:beforeAutospacing="0" w:after="0" w:afterAutospacing="0" w:line="360" w:lineRule="auto"/>
        <w:rPr>
          <w:rFonts w:cs="宋体"/>
          <w:color w:val="auto"/>
          <w:szCs w:val="24"/>
        </w:rPr>
      </w:pPr>
      <w:r>
        <w:rPr>
          <w:rFonts w:hint="eastAsia" w:cs="宋体"/>
          <w:color w:val="auto"/>
          <w:szCs w:val="24"/>
        </w:rPr>
        <w:t>经营范围：</w:t>
      </w:r>
    </w:p>
    <w:p w14:paraId="5FB6386F">
      <w:pPr>
        <w:pStyle w:val="25"/>
        <w:spacing w:before="0" w:beforeAutospacing="0" w:after="0" w:afterAutospacing="0" w:line="360" w:lineRule="auto"/>
        <w:rPr>
          <w:rFonts w:cs="宋体"/>
          <w:color w:val="auto"/>
          <w:szCs w:val="24"/>
        </w:rPr>
      </w:pPr>
    </w:p>
    <w:p w14:paraId="008876BF">
      <w:pPr>
        <w:pStyle w:val="25"/>
        <w:spacing w:before="0" w:beforeAutospacing="0" w:after="0" w:afterAutospacing="0" w:line="360" w:lineRule="auto"/>
        <w:rPr>
          <w:rFonts w:cs="宋体"/>
          <w:color w:val="auto"/>
          <w:szCs w:val="24"/>
        </w:rPr>
      </w:pPr>
      <w:r>
        <w:rPr>
          <w:rFonts w:hint="eastAsia" w:cs="宋体"/>
          <w:color w:val="auto"/>
          <w:szCs w:val="24"/>
        </w:rPr>
        <w:t xml:space="preserve">                                             供应商名称：（盖章）</w:t>
      </w:r>
    </w:p>
    <w:p w14:paraId="35F9F026">
      <w:pPr>
        <w:pStyle w:val="25"/>
        <w:tabs>
          <w:tab w:val="left" w:pos="7020"/>
          <w:tab w:val="left" w:pos="7200"/>
        </w:tabs>
        <w:spacing w:before="0" w:beforeAutospacing="0" w:after="0" w:afterAutospacing="0" w:line="360" w:lineRule="auto"/>
        <w:rPr>
          <w:rFonts w:cs="宋体"/>
          <w:bCs/>
          <w:color w:val="auto"/>
          <w:szCs w:val="24"/>
        </w:rPr>
      </w:pPr>
      <w:r>
        <w:rPr>
          <w:rFonts w:hint="eastAsia" w:cs="宋体"/>
          <w:color w:val="auto"/>
          <w:szCs w:val="24"/>
        </w:rPr>
        <w:t xml:space="preserve">                                             日期：   年    月   日</w:t>
      </w:r>
    </w:p>
    <w:tbl>
      <w:tblPr>
        <w:tblStyle w:val="30"/>
        <w:tblW w:w="5000" w:type="pct"/>
        <w:tblInd w:w="0" w:type="dxa"/>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Layout w:type="autofit"/>
        <w:tblCellMar>
          <w:top w:w="0" w:type="dxa"/>
          <w:left w:w="108" w:type="dxa"/>
          <w:bottom w:w="0" w:type="dxa"/>
          <w:right w:w="108" w:type="dxa"/>
        </w:tblCellMar>
      </w:tblPr>
      <w:tblGrid>
        <w:gridCol w:w="9956"/>
      </w:tblGrid>
      <w:tr w14:paraId="535FAF99">
        <w:tblPrEx>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CellMar>
            <w:top w:w="0" w:type="dxa"/>
            <w:left w:w="108" w:type="dxa"/>
            <w:bottom w:w="0" w:type="dxa"/>
            <w:right w:w="108" w:type="dxa"/>
          </w:tblCellMar>
        </w:tblPrEx>
        <w:trPr>
          <w:trHeight w:val="1988" w:hRule="atLeast"/>
        </w:trPr>
        <w:tc>
          <w:tcPr>
            <w:tcW w:w="5000" w:type="pct"/>
          </w:tcPr>
          <w:p w14:paraId="50E6834A">
            <w:pPr>
              <w:spacing w:line="360" w:lineRule="auto"/>
              <w:jc w:val="left"/>
              <w:rPr>
                <w:rFonts w:ascii="宋体" w:hAnsi="宋体" w:cs="宋体"/>
                <w:sz w:val="24"/>
                <w:szCs w:val="24"/>
              </w:rPr>
            </w:pPr>
            <w:r>
              <w:rPr>
                <w:rFonts w:hint="eastAsia" w:ascii="宋体" w:hAnsi="宋体" w:cs="宋体"/>
                <w:sz w:val="24"/>
                <w:szCs w:val="24"/>
              </w:rPr>
              <w:t>附法定代表人身份证复印件（正反面）</w:t>
            </w:r>
          </w:p>
          <w:p w14:paraId="058B2C27">
            <w:pPr>
              <w:spacing w:line="360" w:lineRule="auto"/>
              <w:jc w:val="left"/>
              <w:rPr>
                <w:rFonts w:ascii="宋体" w:hAnsi="宋体" w:cs="宋体"/>
                <w:sz w:val="24"/>
                <w:szCs w:val="24"/>
              </w:rPr>
            </w:pPr>
          </w:p>
          <w:p w14:paraId="649E2542">
            <w:pPr>
              <w:spacing w:line="360" w:lineRule="auto"/>
              <w:jc w:val="left"/>
              <w:rPr>
                <w:rFonts w:ascii="宋体" w:hAnsi="宋体" w:cs="宋体"/>
                <w:sz w:val="24"/>
                <w:szCs w:val="24"/>
              </w:rPr>
            </w:pPr>
          </w:p>
          <w:p w14:paraId="6FAE46D9">
            <w:pPr>
              <w:spacing w:line="360" w:lineRule="auto"/>
              <w:jc w:val="left"/>
              <w:rPr>
                <w:rFonts w:ascii="宋体" w:hAnsi="宋体" w:cs="宋体"/>
                <w:sz w:val="24"/>
                <w:szCs w:val="24"/>
              </w:rPr>
            </w:pPr>
          </w:p>
          <w:p w14:paraId="568CD184">
            <w:pPr>
              <w:spacing w:line="360" w:lineRule="auto"/>
              <w:jc w:val="left"/>
              <w:rPr>
                <w:rFonts w:ascii="宋体" w:hAnsi="宋体" w:cs="宋体"/>
                <w:sz w:val="24"/>
                <w:szCs w:val="24"/>
              </w:rPr>
            </w:pPr>
          </w:p>
          <w:p w14:paraId="1270F263">
            <w:pPr>
              <w:spacing w:line="360" w:lineRule="auto"/>
              <w:jc w:val="left"/>
              <w:rPr>
                <w:rFonts w:ascii="宋体" w:hAnsi="宋体" w:cs="宋体"/>
                <w:sz w:val="24"/>
                <w:szCs w:val="24"/>
              </w:rPr>
            </w:pPr>
          </w:p>
          <w:p w14:paraId="3C8CC20D">
            <w:pPr>
              <w:spacing w:line="360" w:lineRule="auto"/>
              <w:jc w:val="left"/>
              <w:rPr>
                <w:rFonts w:ascii="宋体" w:hAnsi="宋体" w:cs="宋体"/>
                <w:sz w:val="24"/>
                <w:szCs w:val="24"/>
              </w:rPr>
            </w:pPr>
          </w:p>
          <w:p w14:paraId="24067FB4">
            <w:pPr>
              <w:spacing w:line="360" w:lineRule="auto"/>
              <w:jc w:val="left"/>
              <w:rPr>
                <w:rFonts w:ascii="宋体" w:hAnsi="宋体" w:cs="宋体"/>
                <w:sz w:val="24"/>
                <w:szCs w:val="24"/>
              </w:rPr>
            </w:pPr>
          </w:p>
          <w:p w14:paraId="0CC5C759">
            <w:pPr>
              <w:spacing w:line="360" w:lineRule="auto"/>
              <w:jc w:val="left"/>
              <w:rPr>
                <w:rFonts w:ascii="宋体" w:hAnsi="宋体" w:cs="宋体"/>
                <w:sz w:val="24"/>
                <w:szCs w:val="24"/>
              </w:rPr>
            </w:pPr>
          </w:p>
          <w:p w14:paraId="7B47EAEA">
            <w:pPr>
              <w:spacing w:line="360" w:lineRule="auto"/>
              <w:jc w:val="left"/>
              <w:rPr>
                <w:rFonts w:ascii="宋体" w:hAnsi="宋体" w:cs="宋体"/>
                <w:sz w:val="24"/>
                <w:szCs w:val="24"/>
              </w:rPr>
            </w:pPr>
          </w:p>
          <w:p w14:paraId="5EE329A1">
            <w:pPr>
              <w:spacing w:line="360" w:lineRule="auto"/>
              <w:jc w:val="left"/>
              <w:rPr>
                <w:rFonts w:ascii="宋体" w:hAnsi="宋体" w:cs="宋体"/>
                <w:sz w:val="24"/>
                <w:szCs w:val="24"/>
              </w:rPr>
            </w:pPr>
          </w:p>
          <w:p w14:paraId="0CAC394B">
            <w:pPr>
              <w:spacing w:line="360" w:lineRule="auto"/>
              <w:jc w:val="left"/>
              <w:rPr>
                <w:rFonts w:ascii="宋体" w:hAnsi="宋体" w:cs="宋体"/>
                <w:sz w:val="24"/>
                <w:szCs w:val="24"/>
              </w:rPr>
            </w:pPr>
          </w:p>
          <w:p w14:paraId="5F17E27C">
            <w:pPr>
              <w:spacing w:line="360" w:lineRule="auto"/>
              <w:jc w:val="left"/>
              <w:rPr>
                <w:rFonts w:ascii="宋体" w:hAnsi="宋体" w:cs="宋体"/>
                <w:sz w:val="24"/>
                <w:szCs w:val="24"/>
              </w:rPr>
            </w:pPr>
          </w:p>
        </w:tc>
      </w:tr>
    </w:tbl>
    <w:p w14:paraId="58CE48A5">
      <w:pPr>
        <w:pStyle w:val="25"/>
        <w:spacing w:before="0" w:beforeAutospacing="0" w:after="0" w:afterAutospacing="0" w:line="360" w:lineRule="auto"/>
        <w:jc w:val="both"/>
        <w:rPr>
          <w:rFonts w:cs="宋体"/>
          <w:bCs/>
          <w:color w:val="auto"/>
          <w:szCs w:val="24"/>
        </w:rPr>
      </w:pPr>
    </w:p>
    <w:p w14:paraId="0F480D7F">
      <w:pPr>
        <w:pStyle w:val="15"/>
        <w:spacing w:before="0" w:beforeAutospacing="0" w:after="0" w:afterAutospacing="0" w:line="360" w:lineRule="auto"/>
        <w:jc w:val="center"/>
        <w:rPr>
          <w:rFonts w:cs="宋体"/>
          <w:b/>
          <w:bCs/>
          <w:color w:val="auto"/>
          <w:szCs w:val="24"/>
        </w:rPr>
      </w:pPr>
      <w:bookmarkStart w:id="93" w:name="_Toc461870960"/>
      <w:bookmarkStart w:id="94" w:name="_Toc461875574"/>
      <w:bookmarkStart w:id="95" w:name="_Toc15453"/>
      <w:bookmarkStart w:id="96" w:name="_Toc490494259"/>
      <w:bookmarkStart w:id="97" w:name="_Toc125"/>
      <w:bookmarkStart w:id="98" w:name="_Toc524526752"/>
    </w:p>
    <w:p w14:paraId="6BBB1E93">
      <w:pPr>
        <w:pStyle w:val="5"/>
        <w:spacing w:before="0" w:after="0" w:line="360" w:lineRule="auto"/>
        <w:jc w:val="center"/>
        <w:rPr>
          <w:rFonts w:ascii="宋体" w:hAnsi="宋体" w:cs="宋体"/>
          <w:sz w:val="24"/>
          <w:szCs w:val="24"/>
        </w:rPr>
        <w:sectPr>
          <w:pgSz w:w="11906" w:h="16838"/>
          <w:pgMar w:top="1440" w:right="1083" w:bottom="1440" w:left="1083" w:header="851" w:footer="992" w:gutter="0"/>
          <w:cols w:space="720" w:num="1"/>
        </w:sectPr>
      </w:pPr>
      <w:bookmarkStart w:id="99" w:name="_Toc10191"/>
    </w:p>
    <w:p w14:paraId="0597DCDC">
      <w:pPr>
        <w:pStyle w:val="5"/>
        <w:spacing w:before="0" w:after="0" w:line="360" w:lineRule="auto"/>
        <w:jc w:val="center"/>
        <w:rPr>
          <w:rFonts w:ascii="宋体" w:hAnsi="宋体" w:cs="宋体"/>
          <w:sz w:val="24"/>
          <w:szCs w:val="24"/>
        </w:rPr>
      </w:pPr>
      <w:bookmarkStart w:id="100" w:name="_Toc9718"/>
      <w:r>
        <w:rPr>
          <w:rFonts w:hint="eastAsia" w:ascii="宋体" w:hAnsi="宋体" w:cs="宋体"/>
          <w:sz w:val="24"/>
          <w:szCs w:val="24"/>
        </w:rPr>
        <w:t>附件3  授权委托书（格式）</w:t>
      </w:r>
      <w:bookmarkEnd w:id="93"/>
      <w:bookmarkEnd w:id="94"/>
      <w:bookmarkEnd w:id="95"/>
      <w:bookmarkEnd w:id="96"/>
      <w:bookmarkEnd w:id="97"/>
      <w:bookmarkEnd w:id="98"/>
      <w:bookmarkEnd w:id="99"/>
      <w:bookmarkEnd w:id="100"/>
    </w:p>
    <w:p w14:paraId="0B10E908">
      <w:pPr>
        <w:pStyle w:val="25"/>
        <w:spacing w:before="0" w:beforeAutospacing="0" w:after="0" w:afterAutospacing="0" w:line="360" w:lineRule="auto"/>
        <w:rPr>
          <w:rFonts w:cs="宋体"/>
          <w:bCs/>
          <w:color w:val="auto"/>
          <w:szCs w:val="24"/>
        </w:rPr>
      </w:pPr>
    </w:p>
    <w:p w14:paraId="27A3494B">
      <w:pPr>
        <w:pStyle w:val="25"/>
        <w:spacing w:before="0" w:beforeAutospacing="0" w:after="0" w:afterAutospacing="0" w:line="360" w:lineRule="auto"/>
        <w:rPr>
          <w:rFonts w:cs="宋体"/>
          <w:color w:val="auto"/>
          <w:szCs w:val="24"/>
        </w:rPr>
      </w:pPr>
      <w:r>
        <w:rPr>
          <w:rFonts w:hint="eastAsia" w:cs="宋体"/>
          <w:bCs/>
          <w:color w:val="auto"/>
          <w:szCs w:val="24"/>
        </w:rPr>
        <w:t>致</w:t>
      </w:r>
      <w:r>
        <w:rPr>
          <w:rFonts w:hint="eastAsia" w:cs="宋体"/>
          <w:bCs/>
          <w:color w:val="auto"/>
          <w:szCs w:val="24"/>
          <w:u w:val="single"/>
        </w:rPr>
        <w:t xml:space="preserve">    （采购人）          </w:t>
      </w:r>
      <w:r>
        <w:rPr>
          <w:rFonts w:hint="eastAsia" w:cs="宋体"/>
          <w:color w:val="auto"/>
          <w:szCs w:val="24"/>
        </w:rPr>
        <w:t>：</w:t>
      </w:r>
    </w:p>
    <w:p w14:paraId="6940A1F0">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兹委托（姓名）全权代表我公司参与</w:t>
      </w:r>
      <w:r>
        <w:rPr>
          <w:rFonts w:hint="eastAsia" w:ascii="宋体" w:hAnsi="宋体" w:cs="宋体"/>
          <w:bCs/>
          <w:kern w:val="0"/>
          <w:sz w:val="24"/>
          <w:szCs w:val="24"/>
          <w:u w:val="single"/>
        </w:rPr>
        <w:t xml:space="preserve">            （项目名称、项目编号）</w:t>
      </w:r>
      <w:r>
        <w:rPr>
          <w:rFonts w:hint="eastAsia" w:ascii="宋体" w:hAnsi="宋体" w:cs="宋体"/>
          <w:bCs/>
          <w:kern w:val="0"/>
          <w:sz w:val="24"/>
          <w:szCs w:val="24"/>
        </w:rPr>
        <w:t>的采购活动，受委托人由此所出具并签订的一切有关文件，我公司均予承认。</w:t>
      </w:r>
    </w:p>
    <w:p w14:paraId="5C19AC4A">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受委托人姓名：</w:t>
      </w:r>
      <w:r>
        <w:rPr>
          <w:rFonts w:hint="eastAsia" w:ascii="宋体" w:hAnsi="宋体" w:cs="宋体"/>
          <w:bCs/>
          <w:kern w:val="0"/>
          <w:sz w:val="24"/>
          <w:szCs w:val="24"/>
          <w:u w:val="single"/>
        </w:rPr>
        <w:t xml:space="preserve">              </w:t>
      </w:r>
      <w:r>
        <w:rPr>
          <w:rFonts w:hint="eastAsia" w:ascii="宋体" w:hAnsi="宋体" w:cs="宋体"/>
          <w:bCs/>
          <w:kern w:val="0"/>
          <w:sz w:val="24"/>
          <w:szCs w:val="24"/>
        </w:rPr>
        <w:t>性别：</w:t>
      </w:r>
      <w:r>
        <w:rPr>
          <w:rFonts w:hint="eastAsia" w:ascii="宋体" w:hAnsi="宋体" w:cs="宋体"/>
          <w:bCs/>
          <w:kern w:val="0"/>
          <w:sz w:val="24"/>
          <w:szCs w:val="24"/>
          <w:u w:val="single"/>
        </w:rPr>
        <w:t xml:space="preserve">        </w:t>
      </w:r>
      <w:r>
        <w:rPr>
          <w:rFonts w:hint="eastAsia" w:ascii="宋体" w:hAnsi="宋体" w:cs="宋体"/>
          <w:bCs/>
          <w:kern w:val="0"/>
          <w:sz w:val="24"/>
          <w:szCs w:val="24"/>
        </w:rPr>
        <w:t>年龄：</w:t>
      </w:r>
      <w:r>
        <w:rPr>
          <w:rFonts w:hint="eastAsia" w:ascii="宋体" w:hAnsi="宋体" w:cs="宋体"/>
          <w:bCs/>
          <w:kern w:val="0"/>
          <w:sz w:val="24"/>
          <w:szCs w:val="24"/>
          <w:u w:val="single"/>
        </w:rPr>
        <w:t xml:space="preserve">                 </w:t>
      </w:r>
    </w:p>
    <w:p w14:paraId="5D7F1E6D">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工作部门：</w:t>
      </w:r>
      <w:r>
        <w:rPr>
          <w:rFonts w:hint="eastAsia" w:ascii="宋体" w:hAnsi="宋体" w:cs="宋体"/>
          <w:bCs/>
          <w:kern w:val="0"/>
          <w:sz w:val="24"/>
          <w:szCs w:val="24"/>
          <w:u w:val="single"/>
        </w:rPr>
        <w:t xml:space="preserve">                  </w:t>
      </w:r>
      <w:r>
        <w:rPr>
          <w:rFonts w:hint="eastAsia" w:ascii="宋体" w:hAnsi="宋体" w:cs="宋体"/>
          <w:bCs/>
          <w:kern w:val="0"/>
          <w:sz w:val="24"/>
          <w:szCs w:val="24"/>
        </w:rPr>
        <w:t>职务：</w:t>
      </w:r>
      <w:r>
        <w:rPr>
          <w:rFonts w:hint="eastAsia" w:ascii="宋体" w:hAnsi="宋体" w:cs="宋体"/>
          <w:bCs/>
          <w:kern w:val="0"/>
          <w:sz w:val="24"/>
          <w:szCs w:val="24"/>
          <w:u w:val="single"/>
        </w:rPr>
        <w:t xml:space="preserve">        </w:t>
      </w:r>
      <w:r>
        <w:rPr>
          <w:rFonts w:hint="eastAsia" w:ascii="宋体" w:hAnsi="宋体" w:cs="宋体"/>
          <w:bCs/>
          <w:kern w:val="0"/>
          <w:sz w:val="24"/>
          <w:szCs w:val="24"/>
        </w:rPr>
        <w:t>联系电话：</w:t>
      </w:r>
      <w:r>
        <w:rPr>
          <w:rFonts w:hint="eastAsia" w:ascii="宋体" w:hAnsi="宋体" w:cs="宋体"/>
          <w:bCs/>
          <w:kern w:val="0"/>
          <w:sz w:val="24"/>
          <w:szCs w:val="24"/>
          <w:u w:val="single"/>
        </w:rPr>
        <w:t xml:space="preserve">             </w:t>
      </w:r>
    </w:p>
    <w:p w14:paraId="75203C28">
      <w:pPr>
        <w:tabs>
          <w:tab w:val="left" w:pos="0"/>
        </w:tabs>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身份证号码：</w:t>
      </w:r>
      <w:r>
        <w:rPr>
          <w:rFonts w:hint="eastAsia" w:ascii="宋体" w:hAnsi="宋体" w:cs="宋体"/>
          <w:bCs/>
          <w:kern w:val="0"/>
          <w:sz w:val="24"/>
          <w:szCs w:val="24"/>
          <w:u w:val="single"/>
        </w:rPr>
        <w:t xml:space="preserve">                </w:t>
      </w:r>
      <w:r>
        <w:rPr>
          <w:rFonts w:hint="eastAsia" w:ascii="宋体" w:hAnsi="宋体" w:cs="宋体"/>
          <w:bCs/>
          <w:kern w:val="0"/>
          <w:sz w:val="24"/>
          <w:szCs w:val="24"/>
        </w:rPr>
        <w:t>。</w:t>
      </w:r>
    </w:p>
    <w:p w14:paraId="77676BDA">
      <w:pPr>
        <w:pStyle w:val="25"/>
        <w:spacing w:before="0" w:beforeAutospacing="0" w:after="0" w:afterAutospacing="0" w:line="360" w:lineRule="auto"/>
        <w:ind w:firstLine="480" w:firstLineChars="200"/>
        <w:rPr>
          <w:rFonts w:cs="宋体"/>
          <w:color w:val="auto"/>
          <w:szCs w:val="24"/>
        </w:rPr>
      </w:pPr>
      <w:r>
        <w:rPr>
          <w:rFonts w:hint="eastAsia" w:cs="宋体"/>
          <w:color w:val="auto"/>
          <w:szCs w:val="24"/>
        </w:rPr>
        <w:t>本授权书有效期：</w:t>
      </w:r>
      <w:r>
        <w:rPr>
          <w:rFonts w:hint="eastAsia" w:cs="宋体"/>
          <w:color w:val="auto"/>
          <w:szCs w:val="24"/>
          <w:u w:val="single"/>
        </w:rPr>
        <w:t xml:space="preserve">        </w:t>
      </w:r>
      <w:r>
        <w:rPr>
          <w:rFonts w:hint="eastAsia" w:cs="宋体"/>
          <w:color w:val="auto"/>
          <w:szCs w:val="24"/>
        </w:rPr>
        <w:t>年</w:t>
      </w:r>
      <w:r>
        <w:rPr>
          <w:rFonts w:hint="eastAsia" w:cs="宋体"/>
          <w:color w:val="auto"/>
          <w:szCs w:val="24"/>
          <w:u w:val="single"/>
        </w:rPr>
        <w:t xml:space="preserve">    </w:t>
      </w:r>
      <w:r>
        <w:rPr>
          <w:rFonts w:hint="eastAsia" w:cs="宋体"/>
          <w:color w:val="auto"/>
          <w:szCs w:val="24"/>
        </w:rPr>
        <w:t>月</w:t>
      </w:r>
      <w:r>
        <w:rPr>
          <w:rFonts w:hint="eastAsia" w:cs="宋体"/>
          <w:color w:val="auto"/>
          <w:szCs w:val="24"/>
          <w:u w:val="single"/>
        </w:rPr>
        <w:t xml:space="preserve">    </w:t>
      </w:r>
      <w:r>
        <w:rPr>
          <w:rFonts w:hint="eastAsia" w:cs="宋体"/>
          <w:color w:val="auto"/>
          <w:szCs w:val="24"/>
        </w:rPr>
        <w:t>日至</w:t>
      </w:r>
      <w:r>
        <w:rPr>
          <w:rFonts w:hint="eastAsia" w:cs="宋体"/>
          <w:color w:val="auto"/>
          <w:szCs w:val="24"/>
          <w:u w:val="single"/>
        </w:rPr>
        <w:t xml:space="preserve">        </w:t>
      </w:r>
      <w:r>
        <w:rPr>
          <w:rFonts w:hint="eastAsia" w:cs="宋体"/>
          <w:color w:val="auto"/>
          <w:szCs w:val="24"/>
        </w:rPr>
        <w:t>年</w:t>
      </w:r>
      <w:r>
        <w:rPr>
          <w:rFonts w:hint="eastAsia" w:cs="宋体"/>
          <w:color w:val="auto"/>
          <w:szCs w:val="24"/>
          <w:u w:val="single"/>
        </w:rPr>
        <w:t xml:space="preserve">    </w:t>
      </w:r>
      <w:r>
        <w:rPr>
          <w:rFonts w:hint="eastAsia" w:cs="宋体"/>
          <w:color w:val="auto"/>
          <w:szCs w:val="24"/>
        </w:rPr>
        <w:t>月</w:t>
      </w:r>
      <w:r>
        <w:rPr>
          <w:rFonts w:hint="eastAsia" w:cs="宋体"/>
          <w:color w:val="auto"/>
          <w:szCs w:val="24"/>
          <w:u w:val="single"/>
        </w:rPr>
        <w:t xml:space="preserve">    </w:t>
      </w:r>
      <w:r>
        <w:rPr>
          <w:rFonts w:hint="eastAsia" w:cs="宋体"/>
          <w:color w:val="auto"/>
          <w:szCs w:val="24"/>
        </w:rPr>
        <w:t>日</w:t>
      </w:r>
    </w:p>
    <w:p w14:paraId="47A7D13F">
      <w:pPr>
        <w:tabs>
          <w:tab w:val="left" w:pos="0"/>
        </w:tabs>
        <w:spacing w:line="360" w:lineRule="auto"/>
        <w:rPr>
          <w:rFonts w:ascii="宋体" w:hAnsi="宋体" w:cs="宋体"/>
          <w:bCs/>
          <w:kern w:val="0"/>
          <w:sz w:val="24"/>
          <w:szCs w:val="24"/>
        </w:rPr>
      </w:pPr>
    </w:p>
    <w:p w14:paraId="58ABD1BB">
      <w:pPr>
        <w:tabs>
          <w:tab w:val="left" w:pos="0"/>
        </w:tabs>
        <w:spacing w:line="360" w:lineRule="auto"/>
        <w:jc w:val="right"/>
        <w:rPr>
          <w:rFonts w:ascii="宋体" w:hAnsi="宋体" w:cs="宋体"/>
          <w:bCs/>
          <w:kern w:val="0"/>
          <w:sz w:val="24"/>
          <w:szCs w:val="24"/>
        </w:rPr>
      </w:pPr>
      <w:r>
        <w:rPr>
          <w:rFonts w:hint="eastAsia" w:ascii="宋体" w:hAnsi="宋体" w:cs="宋体"/>
          <w:bCs/>
          <w:kern w:val="0"/>
          <w:sz w:val="24"/>
          <w:szCs w:val="24"/>
        </w:rPr>
        <w:t xml:space="preserve">    供应商名称：（盖  章）</w:t>
      </w:r>
    </w:p>
    <w:p w14:paraId="2026B36C">
      <w:pPr>
        <w:tabs>
          <w:tab w:val="left" w:pos="0"/>
        </w:tabs>
        <w:spacing w:line="360" w:lineRule="auto"/>
        <w:jc w:val="right"/>
        <w:rPr>
          <w:rFonts w:ascii="宋体" w:hAnsi="宋体" w:cs="宋体"/>
          <w:bCs/>
          <w:kern w:val="0"/>
          <w:sz w:val="24"/>
          <w:szCs w:val="24"/>
        </w:rPr>
      </w:pPr>
      <w:r>
        <w:rPr>
          <w:rFonts w:hint="eastAsia" w:ascii="宋体" w:hAnsi="宋体" w:cs="宋体"/>
          <w:bCs/>
          <w:kern w:val="0"/>
          <w:sz w:val="24"/>
          <w:szCs w:val="24"/>
        </w:rPr>
        <w:t xml:space="preserve">                    法定代表人：（签字或盖章）</w:t>
      </w:r>
    </w:p>
    <w:p w14:paraId="032183DF">
      <w:pPr>
        <w:tabs>
          <w:tab w:val="left" w:pos="0"/>
        </w:tabs>
        <w:spacing w:line="360" w:lineRule="auto"/>
        <w:jc w:val="center"/>
        <w:rPr>
          <w:rFonts w:ascii="宋体" w:hAnsi="宋体" w:cs="宋体"/>
          <w:bCs/>
          <w:kern w:val="0"/>
          <w:sz w:val="24"/>
          <w:szCs w:val="24"/>
        </w:rPr>
      </w:pPr>
      <w:r>
        <w:rPr>
          <w:rFonts w:hint="eastAsia" w:ascii="宋体" w:hAnsi="宋体" w:cs="宋体"/>
          <w:bCs/>
          <w:kern w:val="0"/>
          <w:sz w:val="24"/>
          <w:szCs w:val="24"/>
        </w:rPr>
        <w:t xml:space="preserve">                                            被授权人：（签字）</w:t>
      </w:r>
    </w:p>
    <w:tbl>
      <w:tblPr>
        <w:tblStyle w:val="30"/>
        <w:tblW w:w="5000" w:type="pct"/>
        <w:tblInd w:w="0" w:type="dxa"/>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Layout w:type="autofit"/>
        <w:tblCellMar>
          <w:top w:w="0" w:type="dxa"/>
          <w:left w:w="108" w:type="dxa"/>
          <w:bottom w:w="0" w:type="dxa"/>
          <w:right w:w="108" w:type="dxa"/>
        </w:tblCellMar>
      </w:tblPr>
      <w:tblGrid>
        <w:gridCol w:w="9956"/>
      </w:tblGrid>
      <w:tr w14:paraId="08957282">
        <w:tblPrEx>
          <w:tblBorders>
            <w:top w:val="dotDash" w:color="auto" w:sz="4" w:space="0"/>
            <w:left w:val="dotDash" w:color="auto" w:sz="4" w:space="0"/>
            <w:bottom w:val="dotDash" w:color="auto" w:sz="4" w:space="0"/>
            <w:right w:val="dotDash" w:color="auto" w:sz="4" w:space="0"/>
            <w:insideH w:val="dotDash" w:color="auto" w:sz="4" w:space="0"/>
            <w:insideV w:val="single" w:color="auto" w:sz="6" w:space="0"/>
          </w:tblBorders>
          <w:tblCellMar>
            <w:top w:w="0" w:type="dxa"/>
            <w:left w:w="108" w:type="dxa"/>
            <w:bottom w:w="0" w:type="dxa"/>
            <w:right w:w="108" w:type="dxa"/>
          </w:tblCellMar>
        </w:tblPrEx>
        <w:trPr>
          <w:trHeight w:val="2442" w:hRule="atLeast"/>
        </w:trPr>
        <w:tc>
          <w:tcPr>
            <w:tcW w:w="5000" w:type="pct"/>
          </w:tcPr>
          <w:p w14:paraId="7675EB05">
            <w:pPr>
              <w:spacing w:line="360" w:lineRule="auto"/>
              <w:jc w:val="left"/>
              <w:rPr>
                <w:rFonts w:ascii="宋体" w:hAnsi="宋体" w:cs="宋体"/>
                <w:sz w:val="24"/>
                <w:szCs w:val="24"/>
              </w:rPr>
            </w:pPr>
            <w:r>
              <w:rPr>
                <w:rFonts w:hint="eastAsia" w:ascii="宋体" w:hAnsi="宋体" w:cs="宋体"/>
                <w:sz w:val="24"/>
                <w:szCs w:val="24"/>
              </w:rPr>
              <w:t>附法定代表人及被授权人身份证复印件（正反面）</w:t>
            </w:r>
          </w:p>
          <w:p w14:paraId="1BAEBEC5">
            <w:pPr>
              <w:spacing w:line="360" w:lineRule="auto"/>
              <w:jc w:val="left"/>
              <w:rPr>
                <w:rFonts w:ascii="宋体" w:hAnsi="宋体" w:cs="宋体"/>
                <w:sz w:val="24"/>
                <w:szCs w:val="24"/>
              </w:rPr>
            </w:pPr>
          </w:p>
          <w:p w14:paraId="7A580AA5">
            <w:pPr>
              <w:spacing w:line="360" w:lineRule="auto"/>
              <w:jc w:val="left"/>
              <w:rPr>
                <w:rFonts w:ascii="宋体" w:hAnsi="宋体" w:cs="宋体"/>
                <w:sz w:val="24"/>
                <w:szCs w:val="24"/>
              </w:rPr>
            </w:pPr>
          </w:p>
          <w:p w14:paraId="37025160">
            <w:pPr>
              <w:spacing w:line="360" w:lineRule="auto"/>
              <w:jc w:val="left"/>
              <w:rPr>
                <w:rFonts w:ascii="宋体" w:hAnsi="宋体" w:cs="宋体"/>
                <w:sz w:val="24"/>
                <w:szCs w:val="24"/>
              </w:rPr>
            </w:pPr>
          </w:p>
          <w:p w14:paraId="7D5D2BD2">
            <w:pPr>
              <w:spacing w:line="360" w:lineRule="auto"/>
              <w:jc w:val="left"/>
              <w:rPr>
                <w:rFonts w:ascii="宋体" w:hAnsi="宋体" w:cs="宋体"/>
                <w:sz w:val="24"/>
                <w:szCs w:val="24"/>
              </w:rPr>
            </w:pPr>
          </w:p>
          <w:p w14:paraId="1855D1EB">
            <w:pPr>
              <w:spacing w:line="360" w:lineRule="auto"/>
              <w:jc w:val="left"/>
              <w:rPr>
                <w:rFonts w:ascii="宋体" w:hAnsi="宋体" w:cs="宋体"/>
                <w:sz w:val="24"/>
                <w:szCs w:val="24"/>
              </w:rPr>
            </w:pPr>
          </w:p>
          <w:p w14:paraId="10451D2A">
            <w:pPr>
              <w:spacing w:line="360" w:lineRule="auto"/>
              <w:jc w:val="left"/>
              <w:rPr>
                <w:rFonts w:ascii="宋体" w:hAnsi="宋体" w:cs="宋体"/>
                <w:sz w:val="24"/>
                <w:szCs w:val="24"/>
              </w:rPr>
            </w:pPr>
          </w:p>
          <w:p w14:paraId="38934BA2">
            <w:pPr>
              <w:spacing w:line="360" w:lineRule="auto"/>
              <w:jc w:val="left"/>
              <w:rPr>
                <w:rFonts w:ascii="宋体" w:hAnsi="宋体" w:cs="宋体"/>
                <w:sz w:val="24"/>
                <w:szCs w:val="24"/>
              </w:rPr>
            </w:pPr>
          </w:p>
          <w:p w14:paraId="0ADA73FA">
            <w:pPr>
              <w:spacing w:line="360" w:lineRule="auto"/>
              <w:jc w:val="left"/>
              <w:rPr>
                <w:rFonts w:ascii="宋体" w:hAnsi="宋体" w:cs="宋体"/>
                <w:sz w:val="24"/>
                <w:szCs w:val="24"/>
              </w:rPr>
            </w:pPr>
          </w:p>
          <w:p w14:paraId="6E8FA9FA">
            <w:pPr>
              <w:spacing w:line="360" w:lineRule="auto"/>
              <w:jc w:val="left"/>
              <w:rPr>
                <w:rFonts w:ascii="宋体" w:hAnsi="宋体" w:cs="宋体"/>
                <w:sz w:val="24"/>
                <w:szCs w:val="24"/>
              </w:rPr>
            </w:pPr>
          </w:p>
          <w:p w14:paraId="173CA7E3">
            <w:pPr>
              <w:spacing w:line="360" w:lineRule="auto"/>
              <w:jc w:val="left"/>
              <w:rPr>
                <w:rFonts w:ascii="宋体" w:hAnsi="宋体" w:cs="宋体"/>
                <w:sz w:val="24"/>
                <w:szCs w:val="24"/>
              </w:rPr>
            </w:pPr>
          </w:p>
          <w:p w14:paraId="7EB45ED4">
            <w:pPr>
              <w:spacing w:line="360" w:lineRule="auto"/>
              <w:jc w:val="left"/>
              <w:rPr>
                <w:rFonts w:ascii="宋体" w:hAnsi="宋体" w:cs="宋体"/>
                <w:sz w:val="24"/>
                <w:szCs w:val="24"/>
              </w:rPr>
            </w:pPr>
          </w:p>
          <w:p w14:paraId="060A9E3F">
            <w:pPr>
              <w:spacing w:line="360" w:lineRule="auto"/>
              <w:jc w:val="left"/>
              <w:rPr>
                <w:rFonts w:ascii="宋体" w:hAnsi="宋体" w:cs="宋体"/>
                <w:sz w:val="24"/>
                <w:szCs w:val="24"/>
              </w:rPr>
            </w:pPr>
          </w:p>
          <w:p w14:paraId="2A842F33">
            <w:pPr>
              <w:spacing w:line="360" w:lineRule="auto"/>
              <w:jc w:val="left"/>
              <w:rPr>
                <w:rFonts w:ascii="宋体" w:hAnsi="宋体" w:cs="宋体"/>
                <w:sz w:val="24"/>
                <w:szCs w:val="24"/>
              </w:rPr>
            </w:pPr>
          </w:p>
        </w:tc>
      </w:tr>
    </w:tbl>
    <w:p w14:paraId="23C576D3">
      <w:pPr>
        <w:pStyle w:val="15"/>
        <w:spacing w:before="0" w:beforeAutospacing="0" w:after="0" w:afterAutospacing="0" w:line="360" w:lineRule="auto"/>
        <w:jc w:val="center"/>
        <w:rPr>
          <w:rFonts w:cs="宋体"/>
          <w:b/>
          <w:bCs/>
          <w:color w:val="auto"/>
          <w:szCs w:val="24"/>
        </w:rPr>
      </w:pPr>
      <w:bookmarkStart w:id="101" w:name="_Toc681"/>
      <w:bookmarkStart w:id="102" w:name="_Toc524526753"/>
      <w:bookmarkStart w:id="103" w:name="_Toc6280"/>
      <w:bookmarkStart w:id="104" w:name="_Toc461870961"/>
      <w:bookmarkStart w:id="105" w:name="_Toc461875575"/>
      <w:bookmarkStart w:id="106" w:name="_Toc490494260"/>
    </w:p>
    <w:p w14:paraId="6232BDA7">
      <w:pPr>
        <w:pStyle w:val="15"/>
        <w:spacing w:before="0" w:beforeAutospacing="0" w:after="0" w:afterAutospacing="0" w:line="360" w:lineRule="auto"/>
        <w:jc w:val="center"/>
        <w:rPr>
          <w:rFonts w:cs="宋体"/>
          <w:b/>
          <w:bCs/>
          <w:color w:val="auto"/>
          <w:szCs w:val="24"/>
        </w:rPr>
      </w:pPr>
    </w:p>
    <w:p w14:paraId="6B43F4E5">
      <w:pPr>
        <w:pStyle w:val="5"/>
        <w:spacing w:before="0" w:after="0" w:line="360" w:lineRule="auto"/>
        <w:jc w:val="center"/>
        <w:rPr>
          <w:rFonts w:ascii="宋体" w:hAnsi="宋体" w:cs="宋体"/>
          <w:sz w:val="24"/>
          <w:szCs w:val="24"/>
        </w:rPr>
      </w:pPr>
      <w:bookmarkStart w:id="107" w:name="_Toc20823"/>
      <w:bookmarkStart w:id="108" w:name="_Toc23331"/>
      <w:r>
        <w:rPr>
          <w:rFonts w:hint="eastAsia" w:ascii="宋体" w:hAnsi="宋体" w:cs="宋体"/>
          <w:sz w:val="24"/>
          <w:szCs w:val="24"/>
        </w:rPr>
        <w:t>附件4  报价一览表（格式）</w:t>
      </w:r>
      <w:bookmarkEnd w:id="101"/>
      <w:bookmarkEnd w:id="102"/>
      <w:bookmarkEnd w:id="103"/>
      <w:bookmarkEnd w:id="104"/>
      <w:bookmarkEnd w:id="105"/>
      <w:bookmarkEnd w:id="106"/>
      <w:bookmarkEnd w:id="107"/>
      <w:bookmarkEnd w:id="108"/>
    </w:p>
    <w:p w14:paraId="66DD159F">
      <w:pPr>
        <w:pStyle w:val="25"/>
        <w:tabs>
          <w:tab w:val="left" w:pos="2520"/>
          <w:tab w:val="left" w:pos="2700"/>
        </w:tabs>
        <w:spacing w:before="0" w:beforeAutospacing="0" w:after="0" w:afterAutospacing="0" w:line="360" w:lineRule="auto"/>
        <w:rPr>
          <w:rFonts w:cs="宋体"/>
          <w:bCs/>
          <w:color w:val="auto"/>
          <w:szCs w:val="24"/>
        </w:rPr>
      </w:pPr>
    </w:p>
    <w:p w14:paraId="6906AFA2">
      <w:pPr>
        <w:pStyle w:val="25"/>
        <w:tabs>
          <w:tab w:val="left" w:pos="5580"/>
          <w:tab w:val="left" w:pos="7020"/>
        </w:tabs>
        <w:spacing w:before="0" w:beforeAutospacing="0" w:after="0" w:afterAutospacing="0" w:line="360" w:lineRule="auto"/>
        <w:jc w:val="center"/>
        <w:rPr>
          <w:rFonts w:cs="宋体"/>
          <w:bCs/>
          <w:color w:val="auto"/>
          <w:szCs w:val="24"/>
        </w:rPr>
      </w:pPr>
      <w:r>
        <w:rPr>
          <w:rFonts w:hint="eastAsia" w:cs="宋体"/>
          <w:bCs/>
          <w:color w:val="auto"/>
          <w:szCs w:val="24"/>
        </w:rPr>
        <w:t xml:space="preserve">                                                          货币单位：元（人民币）</w:t>
      </w:r>
    </w:p>
    <w:tbl>
      <w:tblPr>
        <w:tblStyle w:val="3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66"/>
        <w:gridCol w:w="1983"/>
        <w:gridCol w:w="7203"/>
      </w:tblGrid>
      <w:tr w14:paraId="795BBE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385" w:type="pct"/>
            <w:tcBorders>
              <w:top w:val="single" w:color="auto" w:sz="4" w:space="0"/>
              <w:left w:val="single" w:color="auto" w:sz="4" w:space="0"/>
              <w:bottom w:val="single" w:color="auto" w:sz="4" w:space="0"/>
              <w:right w:val="single" w:color="auto" w:sz="4" w:space="0"/>
            </w:tcBorders>
            <w:vAlign w:val="center"/>
          </w:tcPr>
          <w:p w14:paraId="17EDE763">
            <w:pPr>
              <w:spacing w:line="360" w:lineRule="auto"/>
              <w:jc w:val="center"/>
              <w:rPr>
                <w:rFonts w:ascii="宋体" w:hAnsi="宋体" w:cs="宋体"/>
                <w:sz w:val="24"/>
                <w:szCs w:val="24"/>
              </w:rPr>
            </w:pPr>
            <w:r>
              <w:rPr>
                <w:rFonts w:hint="eastAsia" w:ascii="宋体" w:hAnsi="宋体" w:cs="宋体"/>
                <w:sz w:val="24"/>
                <w:szCs w:val="24"/>
              </w:rPr>
              <w:t>1</w:t>
            </w:r>
          </w:p>
        </w:tc>
        <w:tc>
          <w:tcPr>
            <w:tcW w:w="996" w:type="pct"/>
            <w:tcBorders>
              <w:top w:val="single" w:color="auto" w:sz="4" w:space="0"/>
              <w:left w:val="single" w:color="auto" w:sz="4" w:space="0"/>
              <w:bottom w:val="single" w:color="auto" w:sz="4" w:space="0"/>
              <w:right w:val="single" w:color="auto" w:sz="4" w:space="0"/>
            </w:tcBorders>
            <w:vAlign w:val="center"/>
          </w:tcPr>
          <w:p w14:paraId="22D756B6">
            <w:pPr>
              <w:spacing w:line="360" w:lineRule="auto"/>
              <w:jc w:val="center"/>
              <w:rPr>
                <w:rFonts w:ascii="宋体" w:hAnsi="宋体" w:cs="宋体"/>
                <w:sz w:val="24"/>
                <w:szCs w:val="24"/>
              </w:rPr>
            </w:pPr>
            <w:r>
              <w:rPr>
                <w:rFonts w:hint="eastAsia" w:ascii="宋体" w:hAnsi="宋体" w:cs="宋体"/>
                <w:sz w:val="24"/>
                <w:szCs w:val="24"/>
              </w:rPr>
              <w:t>项目名称</w:t>
            </w:r>
          </w:p>
        </w:tc>
        <w:tc>
          <w:tcPr>
            <w:tcW w:w="3618" w:type="pct"/>
            <w:tcBorders>
              <w:top w:val="single" w:color="auto" w:sz="4" w:space="0"/>
              <w:left w:val="single" w:color="auto" w:sz="4" w:space="0"/>
              <w:bottom w:val="single" w:color="auto" w:sz="4" w:space="0"/>
              <w:right w:val="single" w:color="auto" w:sz="4" w:space="0"/>
            </w:tcBorders>
            <w:vAlign w:val="center"/>
          </w:tcPr>
          <w:p w14:paraId="6765821C">
            <w:pPr>
              <w:pStyle w:val="25"/>
              <w:spacing w:before="0" w:beforeAutospacing="0" w:after="0" w:afterAutospacing="0" w:line="360" w:lineRule="auto"/>
              <w:rPr>
                <w:rFonts w:cs="宋体"/>
                <w:bCs/>
                <w:color w:val="auto"/>
                <w:szCs w:val="24"/>
              </w:rPr>
            </w:pPr>
          </w:p>
        </w:tc>
      </w:tr>
      <w:tr w14:paraId="1AEB9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0" w:hRule="atLeast"/>
          <w:jc w:val="center"/>
        </w:trPr>
        <w:tc>
          <w:tcPr>
            <w:tcW w:w="385" w:type="pct"/>
            <w:tcBorders>
              <w:top w:val="single" w:color="auto" w:sz="4" w:space="0"/>
              <w:left w:val="single" w:color="auto" w:sz="4" w:space="0"/>
              <w:bottom w:val="single" w:color="auto" w:sz="4" w:space="0"/>
              <w:right w:val="single" w:color="auto" w:sz="4" w:space="0"/>
            </w:tcBorders>
            <w:vAlign w:val="center"/>
          </w:tcPr>
          <w:p w14:paraId="5FC079BF">
            <w:pPr>
              <w:spacing w:line="360" w:lineRule="auto"/>
              <w:jc w:val="center"/>
              <w:rPr>
                <w:rFonts w:ascii="宋体" w:hAnsi="宋体" w:cs="宋体"/>
                <w:sz w:val="24"/>
                <w:szCs w:val="24"/>
              </w:rPr>
            </w:pPr>
            <w:r>
              <w:rPr>
                <w:rFonts w:hint="eastAsia" w:ascii="宋体" w:hAnsi="宋体" w:cs="宋体"/>
                <w:sz w:val="24"/>
                <w:szCs w:val="24"/>
              </w:rPr>
              <w:t>2</w:t>
            </w:r>
          </w:p>
        </w:tc>
        <w:tc>
          <w:tcPr>
            <w:tcW w:w="996" w:type="pct"/>
            <w:tcBorders>
              <w:top w:val="single" w:color="auto" w:sz="4" w:space="0"/>
              <w:left w:val="single" w:color="auto" w:sz="4" w:space="0"/>
              <w:bottom w:val="single" w:color="auto" w:sz="4" w:space="0"/>
              <w:right w:val="single" w:color="auto" w:sz="4" w:space="0"/>
            </w:tcBorders>
            <w:vAlign w:val="center"/>
          </w:tcPr>
          <w:p w14:paraId="557DF278">
            <w:pPr>
              <w:spacing w:line="360" w:lineRule="auto"/>
              <w:jc w:val="center"/>
              <w:rPr>
                <w:rFonts w:ascii="宋体" w:hAnsi="宋体" w:cs="宋体"/>
                <w:sz w:val="24"/>
                <w:szCs w:val="24"/>
              </w:rPr>
            </w:pPr>
            <w:r>
              <w:rPr>
                <w:rFonts w:hint="eastAsia" w:ascii="宋体" w:hAnsi="宋体" w:cs="宋体"/>
                <w:sz w:val="24"/>
                <w:szCs w:val="24"/>
              </w:rPr>
              <w:t>项目编号</w:t>
            </w:r>
          </w:p>
        </w:tc>
        <w:tc>
          <w:tcPr>
            <w:tcW w:w="3618" w:type="pct"/>
            <w:tcBorders>
              <w:top w:val="single" w:color="auto" w:sz="4" w:space="0"/>
              <w:left w:val="single" w:color="auto" w:sz="4" w:space="0"/>
              <w:bottom w:val="single" w:color="auto" w:sz="4" w:space="0"/>
              <w:right w:val="single" w:color="auto" w:sz="4" w:space="0"/>
            </w:tcBorders>
            <w:vAlign w:val="center"/>
          </w:tcPr>
          <w:p w14:paraId="7A22F056">
            <w:pPr>
              <w:pStyle w:val="25"/>
              <w:spacing w:before="0" w:beforeAutospacing="0" w:after="0" w:afterAutospacing="0" w:line="360" w:lineRule="auto"/>
              <w:rPr>
                <w:rFonts w:cs="宋体"/>
                <w:bCs/>
                <w:color w:val="auto"/>
                <w:szCs w:val="24"/>
              </w:rPr>
            </w:pPr>
          </w:p>
        </w:tc>
      </w:tr>
      <w:tr w14:paraId="2DAE2A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385" w:type="pct"/>
            <w:vMerge w:val="restart"/>
            <w:tcBorders>
              <w:top w:val="single" w:color="auto" w:sz="4" w:space="0"/>
              <w:left w:val="single" w:color="auto" w:sz="4" w:space="0"/>
              <w:right w:val="single" w:color="auto" w:sz="4" w:space="0"/>
            </w:tcBorders>
            <w:vAlign w:val="center"/>
          </w:tcPr>
          <w:p w14:paraId="185ED368">
            <w:pPr>
              <w:spacing w:line="360" w:lineRule="auto"/>
              <w:jc w:val="center"/>
              <w:rPr>
                <w:rFonts w:ascii="宋体" w:hAnsi="宋体" w:cs="宋体"/>
                <w:sz w:val="24"/>
                <w:szCs w:val="24"/>
              </w:rPr>
            </w:pPr>
            <w:r>
              <w:rPr>
                <w:rFonts w:hint="eastAsia" w:ascii="宋体" w:hAnsi="宋体" w:cs="宋体"/>
                <w:sz w:val="24"/>
                <w:szCs w:val="24"/>
              </w:rPr>
              <w:t>3</w:t>
            </w:r>
          </w:p>
        </w:tc>
        <w:tc>
          <w:tcPr>
            <w:tcW w:w="996" w:type="pct"/>
            <w:vMerge w:val="restart"/>
            <w:tcBorders>
              <w:top w:val="single" w:color="auto" w:sz="4" w:space="0"/>
              <w:left w:val="single" w:color="auto" w:sz="4" w:space="0"/>
              <w:right w:val="single" w:color="auto" w:sz="4" w:space="0"/>
            </w:tcBorders>
            <w:vAlign w:val="center"/>
          </w:tcPr>
          <w:p w14:paraId="7DC41A09">
            <w:pPr>
              <w:widowControl/>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总价（元）</w:t>
            </w:r>
          </w:p>
        </w:tc>
        <w:tc>
          <w:tcPr>
            <w:tcW w:w="3618" w:type="pct"/>
            <w:tcBorders>
              <w:top w:val="single" w:color="auto" w:sz="4" w:space="0"/>
              <w:left w:val="single" w:color="auto" w:sz="4" w:space="0"/>
              <w:right w:val="single" w:color="auto" w:sz="4" w:space="0"/>
            </w:tcBorders>
            <w:vAlign w:val="center"/>
          </w:tcPr>
          <w:p w14:paraId="7AFFA079">
            <w:pPr>
              <w:tabs>
                <w:tab w:val="left" w:pos="12285"/>
              </w:tabs>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小写：￥</w:t>
            </w:r>
            <w:r>
              <w:rPr>
                <w:rFonts w:hint="eastAsia" w:ascii="宋体" w:hAnsi="宋体" w:cs="宋体"/>
                <w:sz w:val="24"/>
                <w:szCs w:val="24"/>
                <w:lang w:val="en-US" w:eastAsia="zh-CN"/>
              </w:rPr>
              <w:t xml:space="preserve">        </w:t>
            </w:r>
          </w:p>
        </w:tc>
      </w:tr>
      <w:tr w14:paraId="0F211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jc w:val="center"/>
        </w:trPr>
        <w:tc>
          <w:tcPr>
            <w:tcW w:w="385" w:type="pct"/>
            <w:vMerge w:val="continue"/>
            <w:tcBorders>
              <w:left w:val="single" w:color="auto" w:sz="4" w:space="0"/>
              <w:right w:val="single" w:color="auto" w:sz="4" w:space="0"/>
            </w:tcBorders>
            <w:vAlign w:val="center"/>
          </w:tcPr>
          <w:p w14:paraId="5C374753">
            <w:pPr>
              <w:tabs>
                <w:tab w:val="left" w:pos="12285"/>
              </w:tabs>
              <w:spacing w:line="360" w:lineRule="auto"/>
              <w:jc w:val="left"/>
              <w:rPr>
                <w:rFonts w:ascii="宋体" w:hAnsi="宋体" w:cs="宋体"/>
                <w:sz w:val="24"/>
                <w:szCs w:val="24"/>
              </w:rPr>
            </w:pPr>
          </w:p>
        </w:tc>
        <w:tc>
          <w:tcPr>
            <w:tcW w:w="996" w:type="pct"/>
            <w:vMerge w:val="continue"/>
            <w:tcBorders>
              <w:left w:val="single" w:color="auto" w:sz="4" w:space="0"/>
              <w:right w:val="single" w:color="auto" w:sz="4" w:space="0"/>
            </w:tcBorders>
            <w:vAlign w:val="center"/>
          </w:tcPr>
          <w:p w14:paraId="655EECD0">
            <w:pPr>
              <w:tabs>
                <w:tab w:val="left" w:pos="12285"/>
              </w:tabs>
              <w:spacing w:line="360" w:lineRule="auto"/>
              <w:jc w:val="left"/>
              <w:rPr>
                <w:rFonts w:ascii="宋体" w:hAnsi="宋体" w:cs="宋体"/>
                <w:sz w:val="24"/>
                <w:szCs w:val="24"/>
              </w:rPr>
            </w:pPr>
          </w:p>
        </w:tc>
        <w:tc>
          <w:tcPr>
            <w:tcW w:w="3618" w:type="pct"/>
            <w:tcBorders>
              <w:top w:val="single" w:color="auto" w:sz="4" w:space="0"/>
              <w:left w:val="single" w:color="auto" w:sz="4" w:space="0"/>
              <w:right w:val="single" w:color="auto" w:sz="4" w:space="0"/>
            </w:tcBorders>
            <w:vAlign w:val="center"/>
          </w:tcPr>
          <w:p w14:paraId="6476CA00">
            <w:pPr>
              <w:tabs>
                <w:tab w:val="left" w:pos="12285"/>
              </w:tabs>
              <w:spacing w:line="360" w:lineRule="auto"/>
              <w:jc w:val="left"/>
              <w:rPr>
                <w:rFonts w:hint="default" w:ascii="宋体" w:hAnsi="宋体" w:eastAsia="宋体" w:cs="宋体"/>
                <w:sz w:val="24"/>
                <w:szCs w:val="24"/>
                <w:lang w:val="en-US" w:eastAsia="zh-CN"/>
              </w:rPr>
            </w:pPr>
            <w:r>
              <w:rPr>
                <w:rFonts w:hint="eastAsia" w:ascii="宋体" w:hAnsi="宋体" w:cs="宋体"/>
                <w:sz w:val="24"/>
                <w:szCs w:val="24"/>
              </w:rPr>
              <w:t>大写：人民币</w:t>
            </w:r>
            <w:r>
              <w:rPr>
                <w:rFonts w:hint="eastAsia" w:ascii="宋体" w:hAnsi="宋体" w:cs="宋体"/>
                <w:sz w:val="24"/>
                <w:szCs w:val="24"/>
                <w:lang w:val="en-US" w:eastAsia="zh-CN"/>
              </w:rPr>
              <w:t xml:space="preserve">                                   </w:t>
            </w:r>
          </w:p>
        </w:tc>
      </w:tr>
      <w:tr w14:paraId="233D4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4" w:hRule="atLeast"/>
          <w:jc w:val="center"/>
        </w:trPr>
        <w:tc>
          <w:tcPr>
            <w:tcW w:w="385" w:type="pct"/>
            <w:tcBorders>
              <w:top w:val="single" w:color="auto" w:sz="4" w:space="0"/>
              <w:left w:val="single" w:color="auto" w:sz="4" w:space="0"/>
              <w:bottom w:val="single" w:color="auto" w:sz="4" w:space="0"/>
              <w:right w:val="single" w:color="auto" w:sz="4" w:space="0"/>
            </w:tcBorders>
            <w:vAlign w:val="center"/>
          </w:tcPr>
          <w:p w14:paraId="625531E7">
            <w:pPr>
              <w:spacing w:line="360" w:lineRule="auto"/>
              <w:jc w:val="center"/>
              <w:rPr>
                <w:rFonts w:ascii="宋体" w:hAnsi="宋体" w:cs="宋体"/>
                <w:sz w:val="24"/>
                <w:szCs w:val="24"/>
              </w:rPr>
            </w:pPr>
            <w:r>
              <w:rPr>
                <w:rFonts w:hint="eastAsia" w:ascii="宋体" w:hAnsi="宋体" w:cs="宋体"/>
                <w:sz w:val="24"/>
                <w:szCs w:val="24"/>
              </w:rPr>
              <w:t>4</w:t>
            </w:r>
          </w:p>
        </w:tc>
        <w:tc>
          <w:tcPr>
            <w:tcW w:w="996" w:type="pct"/>
            <w:tcBorders>
              <w:top w:val="single" w:color="auto" w:sz="4" w:space="0"/>
              <w:left w:val="single" w:color="auto" w:sz="4" w:space="0"/>
              <w:bottom w:val="single" w:color="auto" w:sz="4" w:space="0"/>
              <w:right w:val="single" w:color="auto" w:sz="4" w:space="0"/>
            </w:tcBorders>
            <w:vAlign w:val="center"/>
          </w:tcPr>
          <w:p w14:paraId="6415DD52">
            <w:pPr>
              <w:spacing w:line="360" w:lineRule="auto"/>
              <w:jc w:val="center"/>
              <w:rPr>
                <w:rFonts w:ascii="宋体" w:hAnsi="宋体" w:cs="宋体"/>
                <w:sz w:val="24"/>
                <w:szCs w:val="24"/>
              </w:rPr>
            </w:pPr>
            <w:r>
              <w:rPr>
                <w:rFonts w:hint="eastAsia" w:ascii="宋体" w:hAnsi="宋体" w:cs="宋体"/>
                <w:sz w:val="24"/>
                <w:szCs w:val="24"/>
              </w:rPr>
              <w:t>合同履行期限</w:t>
            </w:r>
          </w:p>
        </w:tc>
        <w:tc>
          <w:tcPr>
            <w:tcW w:w="3618" w:type="pct"/>
            <w:tcBorders>
              <w:top w:val="single" w:color="auto" w:sz="4" w:space="0"/>
              <w:left w:val="single" w:color="auto" w:sz="4" w:space="0"/>
              <w:bottom w:val="single" w:color="auto" w:sz="4" w:space="0"/>
              <w:right w:val="single" w:color="auto" w:sz="4" w:space="0"/>
            </w:tcBorders>
            <w:vAlign w:val="center"/>
          </w:tcPr>
          <w:p w14:paraId="036E684A">
            <w:pPr>
              <w:spacing w:line="360" w:lineRule="auto"/>
              <w:jc w:val="center"/>
              <w:rPr>
                <w:rFonts w:ascii="宋体" w:hAnsi="宋体" w:cs="宋体"/>
                <w:sz w:val="24"/>
                <w:szCs w:val="24"/>
              </w:rPr>
            </w:pPr>
          </w:p>
        </w:tc>
      </w:tr>
    </w:tbl>
    <w:p w14:paraId="38FBA80F">
      <w:pPr>
        <w:spacing w:line="360" w:lineRule="auto"/>
        <w:rPr>
          <w:rFonts w:ascii="宋体" w:hAnsi="宋体" w:cs="宋体"/>
          <w:sz w:val="24"/>
          <w:szCs w:val="24"/>
        </w:rPr>
      </w:pPr>
    </w:p>
    <w:p w14:paraId="13136A23">
      <w:pPr>
        <w:spacing w:line="360" w:lineRule="auto"/>
        <w:rPr>
          <w:rFonts w:ascii="宋体" w:hAnsi="宋体" w:cs="宋体"/>
          <w:sz w:val="24"/>
          <w:szCs w:val="24"/>
        </w:rPr>
      </w:pPr>
      <w:r>
        <w:rPr>
          <w:rFonts w:hint="eastAsia" w:ascii="宋体" w:hAnsi="宋体" w:cs="宋体"/>
          <w:sz w:val="24"/>
          <w:szCs w:val="24"/>
        </w:rPr>
        <w:t>1、报价包括完成本项目的所有费用。</w:t>
      </w:r>
    </w:p>
    <w:p w14:paraId="046E3DF6">
      <w:pPr>
        <w:spacing w:line="360" w:lineRule="auto"/>
        <w:rPr>
          <w:rFonts w:ascii="宋体" w:hAnsi="宋体" w:cs="宋体"/>
          <w:sz w:val="24"/>
          <w:szCs w:val="24"/>
        </w:rPr>
      </w:pPr>
      <w:r>
        <w:rPr>
          <w:rFonts w:hint="eastAsia" w:ascii="宋体" w:hAnsi="宋体" w:cs="宋体"/>
          <w:sz w:val="24"/>
          <w:szCs w:val="24"/>
        </w:rPr>
        <w:t>2、此表不得自行增减内容。</w:t>
      </w:r>
    </w:p>
    <w:p w14:paraId="2CCE5562">
      <w:pPr>
        <w:spacing w:line="360" w:lineRule="auto"/>
        <w:rPr>
          <w:rFonts w:ascii="宋体" w:hAnsi="宋体" w:cs="宋体"/>
          <w:sz w:val="24"/>
          <w:szCs w:val="24"/>
        </w:rPr>
      </w:pPr>
      <w:r>
        <w:rPr>
          <w:rFonts w:hint="eastAsia" w:ascii="宋体" w:hAnsi="宋体" w:cs="宋体"/>
          <w:sz w:val="24"/>
          <w:szCs w:val="24"/>
        </w:rPr>
        <w:t>3、报价一览表须另附一份单独封装，可与电子文档（U盘）一起密封递交。</w:t>
      </w:r>
    </w:p>
    <w:p w14:paraId="15425C78">
      <w:pPr>
        <w:pStyle w:val="25"/>
        <w:spacing w:before="0" w:beforeAutospacing="0" w:after="0" w:afterAutospacing="0" w:line="360" w:lineRule="auto"/>
        <w:rPr>
          <w:rFonts w:cs="宋体"/>
          <w:bCs/>
          <w:color w:val="auto"/>
          <w:szCs w:val="24"/>
        </w:rPr>
      </w:pPr>
    </w:p>
    <w:p w14:paraId="407D4595">
      <w:pPr>
        <w:spacing w:line="360" w:lineRule="auto"/>
        <w:rPr>
          <w:rFonts w:ascii="宋体" w:hAnsi="宋体" w:cs="宋体"/>
          <w:sz w:val="24"/>
          <w:szCs w:val="24"/>
          <w:u w:val="single"/>
        </w:rPr>
      </w:pPr>
      <w:r>
        <w:rPr>
          <w:rFonts w:hint="eastAsia" w:ascii="宋体" w:hAnsi="宋体" w:cs="宋体"/>
          <w:sz w:val="24"/>
          <w:szCs w:val="24"/>
        </w:rPr>
        <w:t>供应商（公章）：</w:t>
      </w:r>
    </w:p>
    <w:p w14:paraId="783FBCC4">
      <w:pPr>
        <w:spacing w:line="360" w:lineRule="auto"/>
        <w:rPr>
          <w:rFonts w:ascii="宋体" w:hAnsi="宋体" w:cs="宋体"/>
          <w:sz w:val="24"/>
          <w:szCs w:val="24"/>
          <w:u w:val="single"/>
        </w:rPr>
      </w:pPr>
      <w:r>
        <w:rPr>
          <w:rFonts w:hint="eastAsia" w:ascii="宋体" w:hAnsi="宋体" w:cs="宋体"/>
          <w:sz w:val="24"/>
          <w:szCs w:val="24"/>
        </w:rPr>
        <w:t>法定代表人或其授权委托人（签字或盖章）：</w:t>
      </w:r>
    </w:p>
    <w:p w14:paraId="2F15A727">
      <w:pPr>
        <w:spacing w:line="360" w:lineRule="auto"/>
        <w:rPr>
          <w:rFonts w:ascii="宋体" w:hAnsi="宋体" w:cs="宋体"/>
          <w:sz w:val="24"/>
          <w:szCs w:val="24"/>
        </w:rPr>
      </w:pPr>
      <w:r>
        <w:rPr>
          <w:rFonts w:hint="eastAsia" w:ascii="宋体" w:hAnsi="宋体" w:cs="宋体"/>
          <w:sz w:val="24"/>
          <w:szCs w:val="24"/>
        </w:rPr>
        <w:t>日期：    年   月   日</w:t>
      </w:r>
    </w:p>
    <w:p w14:paraId="77B02108">
      <w:pPr>
        <w:pStyle w:val="25"/>
        <w:spacing w:before="0" w:beforeAutospacing="0" w:after="0" w:afterAutospacing="0" w:line="360" w:lineRule="auto"/>
        <w:rPr>
          <w:rFonts w:cs="宋体"/>
          <w:bCs/>
          <w:color w:val="auto"/>
          <w:szCs w:val="24"/>
        </w:rPr>
      </w:pPr>
    </w:p>
    <w:p w14:paraId="39E50ADF">
      <w:pPr>
        <w:pStyle w:val="25"/>
        <w:spacing w:before="0" w:beforeAutospacing="0" w:after="0" w:afterAutospacing="0" w:line="360" w:lineRule="auto"/>
        <w:rPr>
          <w:rFonts w:cs="宋体"/>
          <w:bCs/>
          <w:color w:val="auto"/>
          <w:szCs w:val="24"/>
        </w:rPr>
      </w:pPr>
    </w:p>
    <w:p w14:paraId="68A52833">
      <w:pPr>
        <w:pStyle w:val="25"/>
        <w:spacing w:before="0" w:beforeAutospacing="0" w:after="0" w:afterAutospacing="0" w:line="360" w:lineRule="auto"/>
        <w:rPr>
          <w:rFonts w:cs="宋体"/>
          <w:bCs/>
          <w:color w:val="auto"/>
          <w:szCs w:val="24"/>
        </w:rPr>
      </w:pPr>
    </w:p>
    <w:p w14:paraId="2F56828C">
      <w:pPr>
        <w:pStyle w:val="25"/>
        <w:spacing w:before="0" w:beforeAutospacing="0" w:after="0" w:afterAutospacing="0" w:line="360" w:lineRule="auto"/>
        <w:rPr>
          <w:rFonts w:cs="宋体"/>
          <w:bCs/>
          <w:color w:val="auto"/>
          <w:szCs w:val="24"/>
        </w:rPr>
      </w:pPr>
    </w:p>
    <w:p w14:paraId="746E5893">
      <w:pPr>
        <w:pStyle w:val="25"/>
        <w:spacing w:before="0" w:beforeAutospacing="0" w:after="0" w:afterAutospacing="0" w:line="360" w:lineRule="auto"/>
        <w:rPr>
          <w:rFonts w:cs="宋体"/>
          <w:bCs/>
          <w:color w:val="auto"/>
          <w:szCs w:val="24"/>
        </w:rPr>
      </w:pPr>
    </w:p>
    <w:p w14:paraId="3EC6987E">
      <w:pPr>
        <w:pStyle w:val="25"/>
        <w:spacing w:before="0" w:beforeAutospacing="0" w:after="0" w:afterAutospacing="0" w:line="360" w:lineRule="auto"/>
        <w:rPr>
          <w:rFonts w:cs="宋体"/>
          <w:bCs/>
          <w:color w:val="auto"/>
          <w:szCs w:val="24"/>
        </w:rPr>
      </w:pPr>
    </w:p>
    <w:p w14:paraId="0AB7D53E">
      <w:pPr>
        <w:pStyle w:val="25"/>
        <w:spacing w:before="0" w:beforeAutospacing="0" w:after="0" w:afterAutospacing="0" w:line="360" w:lineRule="auto"/>
        <w:rPr>
          <w:rFonts w:cs="宋体"/>
          <w:bCs/>
          <w:color w:val="auto"/>
          <w:szCs w:val="24"/>
        </w:rPr>
      </w:pPr>
    </w:p>
    <w:p w14:paraId="05205F9A">
      <w:pPr>
        <w:pStyle w:val="25"/>
        <w:spacing w:before="0" w:beforeAutospacing="0" w:after="0" w:afterAutospacing="0" w:line="360" w:lineRule="auto"/>
        <w:rPr>
          <w:rFonts w:cs="宋体"/>
          <w:bCs/>
          <w:color w:val="auto"/>
          <w:szCs w:val="24"/>
        </w:rPr>
      </w:pPr>
    </w:p>
    <w:p w14:paraId="102F1DAD">
      <w:pPr>
        <w:pStyle w:val="25"/>
        <w:spacing w:before="0" w:beforeAutospacing="0" w:after="0" w:afterAutospacing="0" w:line="360" w:lineRule="auto"/>
        <w:rPr>
          <w:rFonts w:cs="宋体"/>
          <w:bCs/>
          <w:color w:val="auto"/>
          <w:szCs w:val="24"/>
        </w:rPr>
      </w:pPr>
    </w:p>
    <w:p w14:paraId="6B52F57E">
      <w:pPr>
        <w:pStyle w:val="5"/>
        <w:spacing w:before="0" w:after="0" w:line="360" w:lineRule="auto"/>
        <w:jc w:val="center"/>
        <w:rPr>
          <w:rFonts w:ascii="宋体" w:hAnsi="宋体" w:cs="宋体"/>
          <w:sz w:val="24"/>
          <w:szCs w:val="24"/>
          <w:highlight w:val="yellow"/>
        </w:rPr>
      </w:pPr>
      <w:bookmarkStart w:id="109" w:name="_Toc524526754"/>
      <w:bookmarkStart w:id="110" w:name="_Toc23852"/>
      <w:bookmarkStart w:id="111" w:name="_Toc490494261"/>
      <w:bookmarkStart w:id="112" w:name="_Toc7271"/>
      <w:bookmarkStart w:id="113" w:name="_Toc1840"/>
      <w:bookmarkStart w:id="114" w:name="_Toc29230"/>
      <w:bookmarkStart w:id="115" w:name="_Toc490494262"/>
      <w:bookmarkStart w:id="116" w:name="_Toc524526755"/>
      <w:bookmarkStart w:id="117" w:name="_Toc31266"/>
      <w:bookmarkStart w:id="118" w:name="_Toc461875578"/>
      <w:r>
        <w:rPr>
          <w:rFonts w:hint="eastAsia" w:ascii="宋体" w:hAnsi="宋体" w:cs="宋体"/>
          <w:sz w:val="24"/>
          <w:szCs w:val="24"/>
        </w:rPr>
        <w:t>附件5  报价明细表</w:t>
      </w:r>
      <w:bookmarkEnd w:id="109"/>
      <w:bookmarkEnd w:id="110"/>
      <w:bookmarkEnd w:id="111"/>
      <w:r>
        <w:rPr>
          <w:rFonts w:hint="eastAsia" w:ascii="宋体" w:hAnsi="宋体" w:cs="宋体"/>
          <w:sz w:val="24"/>
          <w:szCs w:val="24"/>
        </w:rPr>
        <w:t>（格式可自拟）</w:t>
      </w:r>
      <w:bookmarkEnd w:id="112"/>
      <w:bookmarkEnd w:id="113"/>
    </w:p>
    <w:p w14:paraId="5ED9C43F">
      <w:pPr>
        <w:pStyle w:val="25"/>
        <w:tabs>
          <w:tab w:val="left" w:pos="2520"/>
          <w:tab w:val="left" w:pos="2700"/>
        </w:tabs>
        <w:spacing w:before="0" w:beforeAutospacing="0" w:after="0" w:afterAutospacing="0" w:line="360" w:lineRule="auto"/>
        <w:ind w:firstLine="240" w:firstLineChars="100"/>
        <w:rPr>
          <w:rFonts w:cs="宋体"/>
          <w:bCs/>
          <w:color w:val="auto"/>
          <w:szCs w:val="24"/>
          <w:u w:val="single"/>
        </w:rPr>
      </w:pPr>
      <w:r>
        <w:rPr>
          <w:rFonts w:hint="eastAsia" w:cs="宋体"/>
          <w:bCs/>
          <w:color w:val="auto"/>
          <w:szCs w:val="24"/>
        </w:rPr>
        <w:t>项目名称：</w:t>
      </w:r>
    </w:p>
    <w:p w14:paraId="20C0D746">
      <w:pPr>
        <w:pStyle w:val="25"/>
        <w:tabs>
          <w:tab w:val="left" w:pos="2520"/>
          <w:tab w:val="left" w:pos="2700"/>
        </w:tabs>
        <w:spacing w:before="0" w:beforeAutospacing="0" w:after="0" w:afterAutospacing="0" w:line="360" w:lineRule="auto"/>
        <w:ind w:firstLine="240" w:firstLineChars="100"/>
        <w:rPr>
          <w:rFonts w:cs="宋体"/>
          <w:color w:val="auto"/>
          <w:szCs w:val="24"/>
        </w:rPr>
      </w:pPr>
      <w:r>
        <w:rPr>
          <w:rFonts w:hint="eastAsia" w:cs="宋体"/>
          <w:color w:val="auto"/>
          <w:szCs w:val="24"/>
        </w:rPr>
        <w:t>项目编号：</w:t>
      </w:r>
    </w:p>
    <w:p w14:paraId="6749B953">
      <w:pPr>
        <w:pStyle w:val="25"/>
        <w:tabs>
          <w:tab w:val="left" w:pos="2520"/>
          <w:tab w:val="left" w:pos="2700"/>
        </w:tabs>
        <w:spacing w:before="0" w:beforeAutospacing="0" w:after="0" w:afterAutospacing="0" w:line="360" w:lineRule="auto"/>
        <w:ind w:firstLine="240" w:firstLineChars="100"/>
        <w:rPr>
          <w:rFonts w:cs="宋体"/>
          <w:color w:val="auto"/>
          <w:szCs w:val="24"/>
        </w:rPr>
      </w:pPr>
      <w:r>
        <w:rPr>
          <w:rFonts w:hint="eastAsia" w:cs="宋体"/>
          <w:bCs/>
          <w:color w:val="auto"/>
          <w:szCs w:val="24"/>
        </w:rPr>
        <w:t>货币单位：元（人民币）</w:t>
      </w:r>
    </w:p>
    <w:tbl>
      <w:tblPr>
        <w:tblStyle w:val="30"/>
        <w:tblpPr w:leftFromText="180" w:rightFromText="180" w:vertAnchor="text" w:horzAnchor="page" w:tblpX="1465" w:tblpY="122"/>
        <w:tblOverlap w:val="never"/>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2295"/>
        <w:gridCol w:w="2670"/>
        <w:gridCol w:w="1665"/>
        <w:gridCol w:w="1065"/>
        <w:gridCol w:w="945"/>
      </w:tblGrid>
      <w:tr w14:paraId="6850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exact"/>
        </w:trPr>
        <w:tc>
          <w:tcPr>
            <w:tcW w:w="915" w:type="dxa"/>
            <w:vAlign w:val="center"/>
          </w:tcPr>
          <w:p w14:paraId="10FD0122">
            <w:pPr>
              <w:widowControl/>
              <w:spacing w:line="360" w:lineRule="auto"/>
              <w:jc w:val="center"/>
              <w:outlineLvl w:val="1"/>
              <w:rPr>
                <w:rFonts w:ascii="宋体" w:hAnsi="宋体" w:cs="宋体"/>
                <w:b/>
                <w:bCs/>
                <w:kern w:val="0"/>
                <w:sz w:val="24"/>
                <w:szCs w:val="24"/>
              </w:rPr>
            </w:pPr>
            <w:bookmarkStart w:id="119" w:name="_Toc17492"/>
            <w:bookmarkStart w:id="120" w:name="_Toc2039"/>
            <w:bookmarkStart w:id="121" w:name="_Toc23691"/>
            <w:bookmarkStart w:id="122" w:name="_Toc15565"/>
            <w:bookmarkStart w:id="123" w:name="_Toc16907"/>
            <w:r>
              <w:rPr>
                <w:rFonts w:hint="eastAsia" w:ascii="宋体" w:hAnsi="宋体" w:cs="宋体"/>
                <w:b/>
                <w:bCs/>
                <w:kern w:val="0"/>
                <w:sz w:val="24"/>
                <w:szCs w:val="24"/>
              </w:rPr>
              <w:t>序号</w:t>
            </w:r>
            <w:bookmarkEnd w:id="119"/>
            <w:bookmarkEnd w:id="120"/>
            <w:bookmarkEnd w:id="121"/>
            <w:bookmarkEnd w:id="122"/>
            <w:bookmarkEnd w:id="123"/>
          </w:p>
        </w:tc>
        <w:tc>
          <w:tcPr>
            <w:tcW w:w="2295" w:type="dxa"/>
            <w:vAlign w:val="center"/>
          </w:tcPr>
          <w:p w14:paraId="4A6D8C15">
            <w:pPr>
              <w:keepNext w:val="0"/>
              <w:keepLines w:val="0"/>
              <w:pageBreakBefore w:val="0"/>
              <w:widowControl/>
              <w:kinsoku/>
              <w:wordWrap/>
              <w:overflowPunct/>
              <w:topLinePunct w:val="0"/>
              <w:autoSpaceDE/>
              <w:autoSpaceDN/>
              <w:bidi w:val="0"/>
              <w:adjustRightInd/>
              <w:snapToGrid/>
              <w:spacing w:line="400" w:lineRule="exact"/>
              <w:jc w:val="center"/>
              <w:textAlignment w:val="auto"/>
              <w:outlineLvl w:val="1"/>
              <w:rPr>
                <w:rFonts w:ascii="宋体" w:hAnsi="宋体" w:cs="宋体"/>
                <w:b/>
                <w:bCs/>
                <w:kern w:val="0"/>
                <w:sz w:val="24"/>
                <w:szCs w:val="24"/>
              </w:rPr>
            </w:pPr>
            <w:bookmarkStart w:id="124" w:name="_Toc378"/>
            <w:bookmarkStart w:id="125" w:name="_Toc32715"/>
            <w:r>
              <w:rPr>
                <w:rFonts w:hint="eastAsia" w:ascii="宋体" w:hAnsi="宋体" w:cs="宋体"/>
                <w:b/>
                <w:bCs/>
                <w:kern w:val="0"/>
                <w:sz w:val="24"/>
                <w:szCs w:val="24"/>
              </w:rPr>
              <w:t>服务项目</w:t>
            </w:r>
            <w:bookmarkEnd w:id="124"/>
            <w:bookmarkStart w:id="126" w:name="_Toc24296"/>
            <w:r>
              <w:rPr>
                <w:rFonts w:hint="eastAsia" w:ascii="宋体" w:hAnsi="宋体" w:cs="宋体"/>
                <w:b/>
                <w:bCs/>
                <w:kern w:val="0"/>
                <w:sz w:val="24"/>
                <w:szCs w:val="24"/>
              </w:rPr>
              <w:t>（服务具体内容、服务标准等）</w:t>
            </w:r>
            <w:bookmarkEnd w:id="125"/>
            <w:bookmarkEnd w:id="126"/>
          </w:p>
        </w:tc>
        <w:tc>
          <w:tcPr>
            <w:tcW w:w="2670" w:type="dxa"/>
            <w:vAlign w:val="center"/>
          </w:tcPr>
          <w:p w14:paraId="5E62F383">
            <w:pPr>
              <w:widowControl/>
              <w:spacing w:line="360" w:lineRule="auto"/>
              <w:jc w:val="center"/>
              <w:outlineLvl w:val="1"/>
              <w:rPr>
                <w:rFonts w:ascii="宋体" w:hAnsi="宋体" w:cs="宋体"/>
                <w:b/>
                <w:bCs/>
                <w:kern w:val="0"/>
                <w:sz w:val="24"/>
                <w:szCs w:val="24"/>
              </w:rPr>
            </w:pPr>
            <w:bookmarkStart w:id="127" w:name="_Toc20232"/>
            <w:bookmarkStart w:id="128" w:name="_Toc9623"/>
            <w:r>
              <w:rPr>
                <w:rFonts w:hint="eastAsia" w:ascii="宋体" w:hAnsi="宋体" w:cs="宋体"/>
                <w:b/>
                <w:bCs/>
                <w:kern w:val="0"/>
                <w:sz w:val="24"/>
                <w:szCs w:val="24"/>
              </w:rPr>
              <w:t>服务费用</w:t>
            </w:r>
            <w:bookmarkEnd w:id="127"/>
            <w:bookmarkEnd w:id="128"/>
          </w:p>
        </w:tc>
        <w:tc>
          <w:tcPr>
            <w:tcW w:w="1665" w:type="dxa"/>
            <w:vAlign w:val="center"/>
          </w:tcPr>
          <w:p w14:paraId="28B578EB">
            <w:pPr>
              <w:widowControl/>
              <w:spacing w:line="360" w:lineRule="auto"/>
              <w:jc w:val="center"/>
              <w:outlineLvl w:val="1"/>
              <w:rPr>
                <w:rFonts w:ascii="宋体" w:hAnsi="宋体" w:cs="宋体"/>
                <w:b/>
                <w:bCs/>
                <w:kern w:val="0"/>
                <w:sz w:val="24"/>
                <w:szCs w:val="24"/>
              </w:rPr>
            </w:pPr>
            <w:bookmarkStart w:id="129" w:name="_Toc10642"/>
            <w:bookmarkStart w:id="130" w:name="_Toc3478"/>
            <w:bookmarkStart w:id="131" w:name="_Toc13760"/>
            <w:bookmarkStart w:id="132" w:name="_Toc6428"/>
            <w:bookmarkStart w:id="133" w:name="_Toc21298"/>
            <w:r>
              <w:rPr>
                <w:rFonts w:hint="eastAsia" w:ascii="宋体" w:hAnsi="宋体" w:cs="宋体"/>
                <w:b/>
                <w:bCs/>
                <w:kern w:val="0"/>
                <w:sz w:val="24"/>
                <w:szCs w:val="24"/>
              </w:rPr>
              <w:t>时间期限</w:t>
            </w:r>
            <w:bookmarkEnd w:id="129"/>
            <w:bookmarkEnd w:id="130"/>
          </w:p>
        </w:tc>
        <w:tc>
          <w:tcPr>
            <w:tcW w:w="1065" w:type="dxa"/>
            <w:vAlign w:val="center"/>
          </w:tcPr>
          <w:p w14:paraId="59AA5EA9">
            <w:pPr>
              <w:widowControl/>
              <w:spacing w:line="360" w:lineRule="auto"/>
              <w:jc w:val="center"/>
              <w:outlineLvl w:val="1"/>
              <w:rPr>
                <w:rFonts w:ascii="宋体" w:hAnsi="宋体" w:cs="宋体"/>
                <w:b/>
                <w:bCs/>
                <w:kern w:val="0"/>
                <w:sz w:val="24"/>
                <w:szCs w:val="24"/>
              </w:rPr>
            </w:pPr>
            <w:bookmarkStart w:id="134" w:name="_Toc30396"/>
            <w:bookmarkStart w:id="135" w:name="_Toc7119"/>
            <w:r>
              <w:rPr>
                <w:rFonts w:hint="eastAsia" w:ascii="宋体" w:hAnsi="宋体" w:cs="宋体"/>
                <w:b/>
                <w:bCs/>
                <w:kern w:val="0"/>
                <w:sz w:val="24"/>
                <w:szCs w:val="24"/>
              </w:rPr>
              <w:t>总价</w:t>
            </w:r>
            <w:bookmarkEnd w:id="134"/>
            <w:bookmarkEnd w:id="135"/>
          </w:p>
        </w:tc>
        <w:tc>
          <w:tcPr>
            <w:tcW w:w="945" w:type="dxa"/>
            <w:vAlign w:val="center"/>
          </w:tcPr>
          <w:p w14:paraId="1165AF16">
            <w:pPr>
              <w:widowControl/>
              <w:spacing w:line="360" w:lineRule="auto"/>
              <w:jc w:val="center"/>
              <w:outlineLvl w:val="1"/>
              <w:rPr>
                <w:rFonts w:ascii="宋体" w:hAnsi="宋体" w:cs="宋体"/>
                <w:b/>
                <w:bCs/>
                <w:kern w:val="0"/>
                <w:sz w:val="24"/>
                <w:szCs w:val="24"/>
              </w:rPr>
            </w:pPr>
            <w:bookmarkStart w:id="136" w:name="_Toc8282"/>
            <w:bookmarkStart w:id="137" w:name="_Toc26471"/>
            <w:r>
              <w:rPr>
                <w:rFonts w:hint="eastAsia" w:ascii="宋体" w:hAnsi="宋体" w:cs="宋体"/>
                <w:b/>
                <w:bCs/>
                <w:kern w:val="0"/>
                <w:sz w:val="24"/>
                <w:szCs w:val="24"/>
              </w:rPr>
              <w:t>备注</w:t>
            </w:r>
            <w:bookmarkEnd w:id="131"/>
            <w:bookmarkEnd w:id="132"/>
            <w:bookmarkEnd w:id="133"/>
            <w:bookmarkEnd w:id="136"/>
            <w:bookmarkEnd w:id="137"/>
          </w:p>
        </w:tc>
      </w:tr>
      <w:tr w14:paraId="532A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atLeast"/>
        </w:trPr>
        <w:tc>
          <w:tcPr>
            <w:tcW w:w="915" w:type="dxa"/>
            <w:vAlign w:val="center"/>
          </w:tcPr>
          <w:p w14:paraId="18439C72">
            <w:pPr>
              <w:widowControl/>
              <w:spacing w:line="360" w:lineRule="auto"/>
              <w:jc w:val="center"/>
              <w:outlineLvl w:val="1"/>
              <w:rPr>
                <w:rFonts w:ascii="宋体" w:hAnsi="宋体" w:cs="宋体"/>
                <w:sz w:val="24"/>
                <w:szCs w:val="24"/>
              </w:rPr>
            </w:pPr>
            <w:bookmarkStart w:id="138" w:name="_Toc23264"/>
            <w:bookmarkStart w:id="139" w:name="_Toc26118"/>
            <w:r>
              <w:rPr>
                <w:rFonts w:hint="eastAsia" w:ascii="宋体" w:hAnsi="宋体" w:cs="宋体"/>
                <w:sz w:val="24"/>
                <w:szCs w:val="24"/>
              </w:rPr>
              <w:t>1</w:t>
            </w:r>
            <w:bookmarkEnd w:id="138"/>
            <w:bookmarkEnd w:id="139"/>
          </w:p>
        </w:tc>
        <w:tc>
          <w:tcPr>
            <w:tcW w:w="2295" w:type="dxa"/>
            <w:vAlign w:val="center"/>
          </w:tcPr>
          <w:p w14:paraId="2AC54EDD">
            <w:pPr>
              <w:widowControl/>
              <w:spacing w:line="360" w:lineRule="auto"/>
              <w:jc w:val="center"/>
              <w:outlineLvl w:val="1"/>
              <w:rPr>
                <w:rFonts w:ascii="宋体" w:hAnsi="宋体" w:cs="宋体"/>
                <w:sz w:val="24"/>
                <w:szCs w:val="24"/>
              </w:rPr>
            </w:pPr>
          </w:p>
        </w:tc>
        <w:tc>
          <w:tcPr>
            <w:tcW w:w="2670" w:type="dxa"/>
            <w:vAlign w:val="center"/>
          </w:tcPr>
          <w:p w14:paraId="5EA89519">
            <w:pPr>
              <w:widowControl/>
              <w:spacing w:line="360" w:lineRule="auto"/>
              <w:jc w:val="left"/>
              <w:outlineLvl w:val="1"/>
              <w:rPr>
                <w:rFonts w:ascii="宋体" w:hAnsi="宋体" w:cs="宋体"/>
                <w:sz w:val="24"/>
                <w:szCs w:val="24"/>
              </w:rPr>
            </w:pPr>
          </w:p>
        </w:tc>
        <w:tc>
          <w:tcPr>
            <w:tcW w:w="1665" w:type="dxa"/>
            <w:vAlign w:val="center"/>
          </w:tcPr>
          <w:p w14:paraId="5F647120">
            <w:pPr>
              <w:widowControl/>
              <w:spacing w:line="360" w:lineRule="auto"/>
              <w:jc w:val="center"/>
              <w:outlineLvl w:val="1"/>
              <w:rPr>
                <w:rFonts w:ascii="宋体" w:hAnsi="宋体" w:cs="宋体"/>
                <w:sz w:val="24"/>
                <w:szCs w:val="24"/>
              </w:rPr>
            </w:pPr>
          </w:p>
        </w:tc>
        <w:tc>
          <w:tcPr>
            <w:tcW w:w="1065" w:type="dxa"/>
            <w:vAlign w:val="center"/>
          </w:tcPr>
          <w:p w14:paraId="3E78E392">
            <w:pPr>
              <w:widowControl/>
              <w:spacing w:line="360" w:lineRule="auto"/>
              <w:jc w:val="center"/>
              <w:outlineLvl w:val="1"/>
              <w:rPr>
                <w:rFonts w:ascii="宋体" w:hAnsi="宋体" w:cs="宋体"/>
                <w:sz w:val="24"/>
                <w:szCs w:val="24"/>
              </w:rPr>
            </w:pPr>
          </w:p>
        </w:tc>
        <w:tc>
          <w:tcPr>
            <w:tcW w:w="945" w:type="dxa"/>
            <w:vAlign w:val="center"/>
          </w:tcPr>
          <w:p w14:paraId="4C67DA7A">
            <w:pPr>
              <w:widowControl/>
              <w:spacing w:line="360" w:lineRule="auto"/>
              <w:jc w:val="left"/>
              <w:outlineLvl w:val="1"/>
              <w:rPr>
                <w:rFonts w:ascii="宋体" w:hAnsi="宋体" w:cs="宋体"/>
                <w:sz w:val="24"/>
                <w:szCs w:val="24"/>
              </w:rPr>
            </w:pPr>
          </w:p>
        </w:tc>
      </w:tr>
      <w:tr w14:paraId="2380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0" w:hRule="atLeast"/>
        </w:trPr>
        <w:tc>
          <w:tcPr>
            <w:tcW w:w="915" w:type="dxa"/>
            <w:vAlign w:val="center"/>
          </w:tcPr>
          <w:p w14:paraId="03705A26">
            <w:pPr>
              <w:widowControl/>
              <w:spacing w:line="360" w:lineRule="auto"/>
              <w:jc w:val="center"/>
              <w:outlineLvl w:val="1"/>
              <w:rPr>
                <w:rFonts w:ascii="宋体" w:hAnsi="宋体" w:cs="宋体"/>
                <w:sz w:val="24"/>
                <w:szCs w:val="24"/>
              </w:rPr>
            </w:pPr>
            <w:bookmarkStart w:id="140" w:name="_Toc1310"/>
            <w:bookmarkStart w:id="141" w:name="_Toc14693"/>
            <w:r>
              <w:rPr>
                <w:rFonts w:hint="eastAsia" w:ascii="宋体" w:hAnsi="宋体" w:cs="宋体"/>
                <w:sz w:val="24"/>
                <w:szCs w:val="24"/>
              </w:rPr>
              <w:t>2</w:t>
            </w:r>
            <w:bookmarkEnd w:id="140"/>
            <w:bookmarkEnd w:id="141"/>
          </w:p>
        </w:tc>
        <w:tc>
          <w:tcPr>
            <w:tcW w:w="2295" w:type="dxa"/>
            <w:vAlign w:val="center"/>
          </w:tcPr>
          <w:p w14:paraId="653C3678">
            <w:pPr>
              <w:widowControl/>
              <w:spacing w:line="360" w:lineRule="auto"/>
              <w:jc w:val="center"/>
              <w:outlineLvl w:val="1"/>
              <w:rPr>
                <w:rFonts w:ascii="宋体" w:hAnsi="宋体" w:cs="宋体"/>
                <w:sz w:val="24"/>
                <w:szCs w:val="24"/>
              </w:rPr>
            </w:pPr>
          </w:p>
        </w:tc>
        <w:tc>
          <w:tcPr>
            <w:tcW w:w="2670" w:type="dxa"/>
            <w:vAlign w:val="center"/>
          </w:tcPr>
          <w:p w14:paraId="5BD597DD">
            <w:pPr>
              <w:widowControl/>
              <w:spacing w:line="360" w:lineRule="auto"/>
              <w:jc w:val="left"/>
              <w:outlineLvl w:val="1"/>
              <w:rPr>
                <w:rFonts w:ascii="宋体" w:hAnsi="宋体" w:cs="宋体"/>
                <w:sz w:val="24"/>
                <w:szCs w:val="24"/>
              </w:rPr>
            </w:pPr>
          </w:p>
        </w:tc>
        <w:tc>
          <w:tcPr>
            <w:tcW w:w="1665" w:type="dxa"/>
            <w:vAlign w:val="center"/>
          </w:tcPr>
          <w:p w14:paraId="0E3D50F3">
            <w:pPr>
              <w:spacing w:line="360" w:lineRule="auto"/>
              <w:jc w:val="center"/>
              <w:rPr>
                <w:rFonts w:ascii="宋体" w:hAnsi="宋体" w:cs="宋体"/>
                <w:sz w:val="24"/>
                <w:szCs w:val="24"/>
              </w:rPr>
            </w:pPr>
          </w:p>
        </w:tc>
        <w:tc>
          <w:tcPr>
            <w:tcW w:w="1065" w:type="dxa"/>
            <w:vAlign w:val="center"/>
          </w:tcPr>
          <w:p w14:paraId="5A8D4926">
            <w:pPr>
              <w:spacing w:line="360" w:lineRule="auto"/>
              <w:jc w:val="center"/>
              <w:rPr>
                <w:rFonts w:ascii="宋体" w:hAnsi="宋体" w:cs="宋体"/>
                <w:sz w:val="24"/>
                <w:szCs w:val="24"/>
              </w:rPr>
            </w:pPr>
          </w:p>
        </w:tc>
        <w:tc>
          <w:tcPr>
            <w:tcW w:w="945" w:type="dxa"/>
            <w:vAlign w:val="center"/>
          </w:tcPr>
          <w:p w14:paraId="040A0658">
            <w:pPr>
              <w:widowControl/>
              <w:spacing w:line="360" w:lineRule="auto"/>
              <w:jc w:val="left"/>
              <w:outlineLvl w:val="1"/>
              <w:rPr>
                <w:rFonts w:ascii="宋体" w:hAnsi="宋体" w:cs="宋体"/>
                <w:sz w:val="24"/>
                <w:szCs w:val="24"/>
              </w:rPr>
            </w:pPr>
          </w:p>
        </w:tc>
      </w:tr>
      <w:tr w14:paraId="749A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9555" w:type="dxa"/>
            <w:gridSpan w:val="6"/>
            <w:vAlign w:val="center"/>
          </w:tcPr>
          <w:p w14:paraId="3C558F1F">
            <w:pPr>
              <w:widowControl/>
              <w:spacing w:line="360" w:lineRule="auto"/>
              <w:jc w:val="left"/>
              <w:outlineLvl w:val="1"/>
              <w:rPr>
                <w:rFonts w:ascii="宋体" w:hAnsi="宋体" w:cs="宋体"/>
                <w:sz w:val="24"/>
                <w:szCs w:val="24"/>
              </w:rPr>
            </w:pPr>
            <w:bookmarkStart w:id="142" w:name="_Toc14622"/>
            <w:bookmarkStart w:id="143" w:name="_Toc14143"/>
            <w:r>
              <w:rPr>
                <w:rFonts w:hint="eastAsia" w:ascii="宋体" w:hAnsi="宋体" w:cs="宋体"/>
                <w:sz w:val="24"/>
                <w:szCs w:val="24"/>
              </w:rPr>
              <w:t>合计金额：人民币</w:t>
            </w:r>
            <w:r>
              <w:rPr>
                <w:rFonts w:hint="eastAsia" w:ascii="宋体" w:hAnsi="宋体" w:cs="宋体"/>
                <w:sz w:val="24"/>
                <w:szCs w:val="24"/>
                <w:u w:val="single"/>
              </w:rPr>
              <w:t xml:space="preserve">                  </w:t>
            </w:r>
            <w:r>
              <w:rPr>
                <w:rFonts w:hint="eastAsia" w:ascii="宋体" w:hAnsi="宋体" w:cs="宋体"/>
                <w:sz w:val="24"/>
                <w:szCs w:val="24"/>
              </w:rPr>
              <w:t>元</w:t>
            </w:r>
            <w:bookmarkEnd w:id="142"/>
            <w:bookmarkEnd w:id="143"/>
          </w:p>
        </w:tc>
      </w:tr>
    </w:tbl>
    <w:p w14:paraId="2D51CECA">
      <w:pPr>
        <w:pStyle w:val="25"/>
        <w:spacing w:before="0" w:beforeAutospacing="0" w:after="0" w:afterAutospacing="0" w:line="360" w:lineRule="auto"/>
        <w:rPr>
          <w:rFonts w:cs="宋体"/>
          <w:color w:val="auto"/>
          <w:szCs w:val="24"/>
        </w:rPr>
      </w:pPr>
    </w:p>
    <w:p w14:paraId="6D1BD872">
      <w:pPr>
        <w:pStyle w:val="25"/>
        <w:spacing w:before="0" w:beforeAutospacing="0" w:after="0" w:afterAutospacing="0" w:line="360" w:lineRule="auto"/>
        <w:rPr>
          <w:rFonts w:cs="宋体"/>
          <w:color w:val="auto"/>
          <w:szCs w:val="24"/>
        </w:rPr>
      </w:pPr>
      <w:r>
        <w:rPr>
          <w:rFonts w:hint="eastAsia" w:cs="宋体"/>
          <w:color w:val="auto"/>
          <w:szCs w:val="24"/>
        </w:rPr>
        <w:t>注：</w:t>
      </w:r>
    </w:p>
    <w:p w14:paraId="70252EC8">
      <w:pPr>
        <w:spacing w:line="360" w:lineRule="auto"/>
        <w:rPr>
          <w:rFonts w:ascii="宋体" w:hAnsi="宋体" w:cs="宋体"/>
          <w:sz w:val="24"/>
          <w:szCs w:val="24"/>
        </w:rPr>
      </w:pPr>
      <w:r>
        <w:rPr>
          <w:rFonts w:hint="eastAsia" w:ascii="宋体" w:hAnsi="宋体" w:cs="宋体"/>
          <w:sz w:val="24"/>
          <w:szCs w:val="24"/>
        </w:rPr>
        <w:t>1.供应商报价需包含完成本项目的一切费用。</w:t>
      </w:r>
    </w:p>
    <w:p w14:paraId="534859DE">
      <w:pPr>
        <w:spacing w:line="360" w:lineRule="auto"/>
        <w:rPr>
          <w:rFonts w:ascii="宋体" w:hAnsi="宋体" w:cs="宋体"/>
          <w:sz w:val="24"/>
          <w:szCs w:val="24"/>
        </w:rPr>
      </w:pPr>
      <w:r>
        <w:rPr>
          <w:rFonts w:hint="eastAsia" w:ascii="宋体" w:hAnsi="宋体" w:cs="宋体"/>
          <w:sz w:val="24"/>
          <w:szCs w:val="24"/>
        </w:rPr>
        <w:t>2.所有价格均系用人民币表示，单位为元，精确到小数点后两位。</w:t>
      </w:r>
    </w:p>
    <w:p w14:paraId="2A93702B">
      <w:pPr>
        <w:spacing w:line="360" w:lineRule="auto"/>
        <w:rPr>
          <w:rFonts w:ascii="宋体" w:hAnsi="宋体" w:cs="宋体"/>
          <w:sz w:val="24"/>
          <w:szCs w:val="24"/>
        </w:rPr>
      </w:pPr>
      <w:r>
        <w:rPr>
          <w:rFonts w:hint="eastAsia" w:ascii="宋体" w:hAnsi="宋体" w:cs="宋体"/>
          <w:sz w:val="24"/>
          <w:szCs w:val="24"/>
        </w:rPr>
        <w:t>3.该表中包含供应商认为完成本项目所需的所有费用，各项费用须列出明细清单。</w:t>
      </w:r>
    </w:p>
    <w:p w14:paraId="0D7182CD">
      <w:pPr>
        <w:spacing w:line="360" w:lineRule="auto"/>
        <w:rPr>
          <w:rFonts w:ascii="宋体" w:hAnsi="宋体" w:cs="宋体"/>
          <w:b/>
          <w:sz w:val="24"/>
          <w:szCs w:val="24"/>
        </w:rPr>
      </w:pPr>
      <w:r>
        <w:rPr>
          <w:rFonts w:hint="eastAsia" w:ascii="宋体" w:hAnsi="宋体" w:cs="宋体"/>
          <w:b/>
          <w:sz w:val="24"/>
          <w:szCs w:val="24"/>
        </w:rPr>
        <w:t>4.合计总价应与附件4：报价一览表响应报价金额一致。</w:t>
      </w:r>
    </w:p>
    <w:p w14:paraId="1B56E60C">
      <w:pPr>
        <w:pStyle w:val="25"/>
        <w:spacing w:before="0" w:beforeAutospacing="0" w:after="0" w:afterAutospacing="0" w:line="360" w:lineRule="auto"/>
        <w:rPr>
          <w:rFonts w:cs="宋体"/>
          <w:color w:val="auto"/>
          <w:szCs w:val="24"/>
        </w:rPr>
      </w:pPr>
    </w:p>
    <w:p w14:paraId="52DCD100">
      <w:pPr>
        <w:pStyle w:val="25"/>
        <w:spacing w:before="0" w:beforeAutospacing="0" w:after="0" w:afterAutospacing="0" w:line="360" w:lineRule="auto"/>
        <w:rPr>
          <w:rFonts w:cs="宋体"/>
          <w:b/>
          <w:color w:val="auto"/>
          <w:szCs w:val="24"/>
        </w:rPr>
      </w:pPr>
    </w:p>
    <w:p w14:paraId="39841FF3">
      <w:pPr>
        <w:pStyle w:val="25"/>
        <w:spacing w:before="0" w:beforeAutospacing="0" w:after="0" w:afterAutospacing="0" w:line="360" w:lineRule="auto"/>
        <w:rPr>
          <w:rFonts w:cs="宋体"/>
          <w:color w:val="auto"/>
          <w:szCs w:val="24"/>
        </w:rPr>
      </w:pPr>
      <w:r>
        <w:rPr>
          <w:rFonts w:hint="eastAsia" w:cs="宋体"/>
          <w:color w:val="auto"/>
          <w:szCs w:val="24"/>
        </w:rPr>
        <w:t>供应商名称：（盖章）</w:t>
      </w:r>
    </w:p>
    <w:p w14:paraId="6874954A">
      <w:pPr>
        <w:pStyle w:val="25"/>
        <w:spacing w:before="0" w:beforeAutospacing="0" w:after="0" w:afterAutospacing="0" w:line="360" w:lineRule="auto"/>
        <w:rPr>
          <w:rFonts w:cs="宋体"/>
          <w:color w:val="auto"/>
          <w:szCs w:val="24"/>
        </w:rPr>
      </w:pPr>
      <w:r>
        <w:rPr>
          <w:rFonts w:hint="eastAsia" w:cs="宋体"/>
          <w:color w:val="auto"/>
          <w:szCs w:val="24"/>
        </w:rPr>
        <w:t>法定代表人或其授权委托人：（签字或盖章）</w:t>
      </w:r>
    </w:p>
    <w:p w14:paraId="1D1918D5">
      <w:pPr>
        <w:pStyle w:val="25"/>
        <w:spacing w:before="0" w:beforeAutospacing="0" w:after="0" w:afterAutospacing="0" w:line="360" w:lineRule="auto"/>
        <w:rPr>
          <w:rFonts w:cs="宋体"/>
          <w:color w:val="auto"/>
          <w:szCs w:val="24"/>
        </w:rPr>
        <w:sectPr>
          <w:pgSz w:w="11906" w:h="16838"/>
          <w:pgMar w:top="1440" w:right="1083" w:bottom="1440" w:left="1083" w:header="851" w:footer="992" w:gutter="0"/>
          <w:cols w:space="720" w:num="1"/>
          <w:docGrid w:linePitch="286" w:charSpace="0"/>
        </w:sectPr>
      </w:pPr>
      <w:r>
        <w:rPr>
          <w:rFonts w:hint="eastAsia" w:cs="宋体"/>
          <w:color w:val="auto"/>
          <w:szCs w:val="24"/>
        </w:rPr>
        <w:t xml:space="preserve">日期：    年    月   </w:t>
      </w:r>
    </w:p>
    <w:p w14:paraId="4F1CC6AA">
      <w:pPr>
        <w:pStyle w:val="15"/>
        <w:spacing w:before="0" w:beforeAutospacing="0" w:after="0" w:afterAutospacing="0" w:line="360" w:lineRule="auto"/>
        <w:jc w:val="center"/>
        <w:outlineLvl w:val="1"/>
        <w:rPr>
          <w:rFonts w:cs="宋体"/>
          <w:b/>
          <w:bCs/>
          <w:color w:val="auto"/>
          <w:szCs w:val="24"/>
        </w:rPr>
      </w:pPr>
      <w:bookmarkStart w:id="144" w:name="_Toc25790"/>
      <w:bookmarkStart w:id="145" w:name="_Toc24496"/>
      <w:r>
        <w:rPr>
          <w:rStyle w:val="55"/>
          <w:rFonts w:hint="eastAsia" w:ascii="宋体" w:hAnsi="宋体" w:cs="宋体"/>
          <w:color w:val="auto"/>
          <w:sz w:val="24"/>
          <w:szCs w:val="24"/>
        </w:rPr>
        <w:t>附件6  技术响应、偏离说明表（格式）</w:t>
      </w:r>
      <w:bookmarkEnd w:id="114"/>
      <w:bookmarkEnd w:id="115"/>
      <w:bookmarkEnd w:id="116"/>
      <w:bookmarkEnd w:id="117"/>
      <w:bookmarkEnd w:id="118"/>
      <w:bookmarkEnd w:id="144"/>
      <w:bookmarkEnd w:id="145"/>
    </w:p>
    <w:p w14:paraId="4D3E83D1">
      <w:pPr>
        <w:pStyle w:val="9"/>
        <w:spacing w:line="360" w:lineRule="auto"/>
        <w:ind w:firstLine="0"/>
        <w:rPr>
          <w:rFonts w:ascii="宋体" w:hAnsi="宋体" w:cs="宋体"/>
          <w:bCs/>
          <w:szCs w:val="24"/>
          <w:u w:val="single"/>
        </w:rPr>
      </w:pPr>
      <w:r>
        <w:rPr>
          <w:rFonts w:hint="eastAsia" w:ascii="宋体" w:hAnsi="宋体" w:cs="宋体"/>
          <w:bCs/>
          <w:szCs w:val="24"/>
        </w:rPr>
        <w:t>项目名称：</w:t>
      </w:r>
    </w:p>
    <w:p w14:paraId="2C153357">
      <w:pPr>
        <w:pStyle w:val="9"/>
        <w:spacing w:line="360" w:lineRule="auto"/>
        <w:ind w:firstLine="0"/>
        <w:rPr>
          <w:rFonts w:ascii="宋体" w:hAnsi="宋体" w:cs="宋体"/>
          <w:bCs/>
          <w:szCs w:val="24"/>
          <w:u w:val="single"/>
        </w:rPr>
      </w:pPr>
      <w:r>
        <w:rPr>
          <w:rFonts w:hint="eastAsia" w:ascii="宋体" w:hAnsi="宋体" w:cs="宋体"/>
          <w:bCs/>
          <w:szCs w:val="24"/>
        </w:rPr>
        <w:t>项目编号：</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50"/>
        <w:gridCol w:w="3156"/>
        <w:gridCol w:w="1953"/>
        <w:gridCol w:w="1953"/>
        <w:gridCol w:w="1953"/>
      </w:tblGrid>
      <w:tr w14:paraId="54F6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6F2A2E10">
            <w:pPr>
              <w:spacing w:line="360" w:lineRule="auto"/>
              <w:jc w:val="center"/>
              <w:rPr>
                <w:rFonts w:ascii="宋体" w:hAnsi="宋体" w:cs="宋体"/>
                <w:b/>
                <w:sz w:val="24"/>
                <w:szCs w:val="24"/>
              </w:rPr>
            </w:pPr>
            <w:r>
              <w:rPr>
                <w:rFonts w:hint="eastAsia" w:ascii="宋体" w:hAnsi="宋体" w:cs="宋体"/>
                <w:b/>
                <w:sz w:val="24"/>
                <w:szCs w:val="24"/>
              </w:rPr>
              <w:t>序号</w:t>
            </w:r>
          </w:p>
        </w:tc>
        <w:tc>
          <w:tcPr>
            <w:tcW w:w="3156" w:type="dxa"/>
            <w:vAlign w:val="center"/>
          </w:tcPr>
          <w:p w14:paraId="21A5F688">
            <w:pPr>
              <w:spacing w:line="360" w:lineRule="auto"/>
              <w:jc w:val="center"/>
              <w:rPr>
                <w:rFonts w:ascii="宋体" w:hAnsi="宋体" w:cs="宋体"/>
                <w:b/>
                <w:sz w:val="24"/>
                <w:szCs w:val="24"/>
              </w:rPr>
            </w:pPr>
            <w:r>
              <w:rPr>
                <w:rFonts w:hint="eastAsia" w:ascii="宋体" w:hAnsi="宋体" w:cs="宋体"/>
                <w:b/>
                <w:sz w:val="24"/>
                <w:szCs w:val="24"/>
              </w:rPr>
              <w:t>磋商文件的采购要求</w:t>
            </w:r>
          </w:p>
        </w:tc>
        <w:tc>
          <w:tcPr>
            <w:tcW w:w="1953" w:type="dxa"/>
            <w:vAlign w:val="center"/>
          </w:tcPr>
          <w:p w14:paraId="2C45CC9B">
            <w:pPr>
              <w:spacing w:line="360" w:lineRule="auto"/>
              <w:jc w:val="center"/>
              <w:rPr>
                <w:rFonts w:ascii="宋体" w:hAnsi="宋体" w:cs="宋体"/>
                <w:b/>
                <w:sz w:val="24"/>
                <w:szCs w:val="24"/>
              </w:rPr>
            </w:pPr>
            <w:r>
              <w:rPr>
                <w:rFonts w:hint="eastAsia" w:ascii="宋体" w:hAnsi="宋体" w:cs="宋体"/>
                <w:b/>
                <w:sz w:val="24"/>
                <w:szCs w:val="24"/>
              </w:rPr>
              <w:t>响应文件的响应</w:t>
            </w:r>
          </w:p>
        </w:tc>
        <w:tc>
          <w:tcPr>
            <w:tcW w:w="1953" w:type="dxa"/>
            <w:vAlign w:val="center"/>
          </w:tcPr>
          <w:p w14:paraId="02211689">
            <w:pPr>
              <w:spacing w:line="360" w:lineRule="auto"/>
              <w:jc w:val="center"/>
              <w:rPr>
                <w:rFonts w:ascii="宋体" w:hAnsi="宋体" w:cs="宋体"/>
                <w:b/>
                <w:sz w:val="24"/>
                <w:szCs w:val="24"/>
              </w:rPr>
            </w:pPr>
            <w:r>
              <w:rPr>
                <w:rFonts w:hint="eastAsia" w:ascii="宋体" w:hAnsi="宋体" w:cs="宋体"/>
                <w:b/>
                <w:sz w:val="24"/>
                <w:szCs w:val="24"/>
              </w:rPr>
              <w:t>偏差说明</w:t>
            </w:r>
          </w:p>
        </w:tc>
        <w:tc>
          <w:tcPr>
            <w:tcW w:w="1953" w:type="dxa"/>
            <w:vAlign w:val="center"/>
          </w:tcPr>
          <w:p w14:paraId="3C7338BA">
            <w:pPr>
              <w:spacing w:line="360" w:lineRule="auto"/>
              <w:jc w:val="center"/>
              <w:rPr>
                <w:rFonts w:ascii="宋体" w:hAnsi="宋体" w:cs="宋体"/>
                <w:b/>
                <w:sz w:val="24"/>
                <w:szCs w:val="24"/>
              </w:rPr>
            </w:pPr>
            <w:r>
              <w:rPr>
                <w:rFonts w:hint="eastAsia" w:ascii="宋体" w:hAnsi="宋体" w:cs="宋体"/>
                <w:b/>
                <w:sz w:val="24"/>
                <w:szCs w:val="24"/>
              </w:rPr>
              <w:t>证明材料页码</w:t>
            </w:r>
          </w:p>
        </w:tc>
      </w:tr>
      <w:tr w14:paraId="4CDA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11CF11D5">
            <w:pPr>
              <w:spacing w:line="360" w:lineRule="auto"/>
              <w:jc w:val="center"/>
              <w:rPr>
                <w:rFonts w:ascii="宋体" w:hAnsi="宋体" w:cs="宋体"/>
                <w:sz w:val="24"/>
                <w:szCs w:val="24"/>
              </w:rPr>
            </w:pPr>
            <w:r>
              <w:rPr>
                <w:rFonts w:hint="eastAsia" w:ascii="宋体" w:hAnsi="宋体" w:cs="宋体"/>
                <w:sz w:val="24"/>
                <w:szCs w:val="24"/>
              </w:rPr>
              <w:t>1</w:t>
            </w:r>
          </w:p>
        </w:tc>
        <w:tc>
          <w:tcPr>
            <w:tcW w:w="3156" w:type="dxa"/>
            <w:vAlign w:val="center"/>
          </w:tcPr>
          <w:p w14:paraId="7E6C7B9A">
            <w:pPr>
              <w:spacing w:line="360" w:lineRule="auto"/>
              <w:jc w:val="center"/>
              <w:rPr>
                <w:rFonts w:ascii="宋体" w:hAnsi="宋体" w:cs="宋体"/>
                <w:sz w:val="24"/>
                <w:szCs w:val="24"/>
              </w:rPr>
            </w:pPr>
          </w:p>
        </w:tc>
        <w:tc>
          <w:tcPr>
            <w:tcW w:w="1953" w:type="dxa"/>
            <w:vAlign w:val="center"/>
          </w:tcPr>
          <w:p w14:paraId="670BF23E">
            <w:pPr>
              <w:spacing w:line="360" w:lineRule="auto"/>
              <w:jc w:val="center"/>
              <w:rPr>
                <w:rFonts w:ascii="宋体" w:hAnsi="宋体" w:cs="宋体"/>
                <w:sz w:val="24"/>
                <w:szCs w:val="24"/>
              </w:rPr>
            </w:pPr>
          </w:p>
        </w:tc>
        <w:tc>
          <w:tcPr>
            <w:tcW w:w="1953" w:type="dxa"/>
            <w:vAlign w:val="center"/>
          </w:tcPr>
          <w:p w14:paraId="791B94B3">
            <w:pPr>
              <w:spacing w:line="360" w:lineRule="auto"/>
              <w:jc w:val="center"/>
              <w:rPr>
                <w:rFonts w:ascii="宋体" w:hAnsi="宋体" w:cs="宋体"/>
                <w:sz w:val="24"/>
                <w:szCs w:val="24"/>
              </w:rPr>
            </w:pPr>
          </w:p>
        </w:tc>
        <w:tc>
          <w:tcPr>
            <w:tcW w:w="1953" w:type="dxa"/>
            <w:vAlign w:val="center"/>
          </w:tcPr>
          <w:p w14:paraId="376A7FD1">
            <w:pPr>
              <w:spacing w:line="360" w:lineRule="auto"/>
              <w:jc w:val="center"/>
              <w:rPr>
                <w:rFonts w:ascii="宋体" w:hAnsi="宋体" w:cs="宋体"/>
                <w:sz w:val="24"/>
                <w:szCs w:val="24"/>
              </w:rPr>
            </w:pPr>
          </w:p>
        </w:tc>
      </w:tr>
      <w:tr w14:paraId="4753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2C5C01B4">
            <w:pPr>
              <w:spacing w:line="360" w:lineRule="auto"/>
              <w:jc w:val="center"/>
              <w:rPr>
                <w:rFonts w:ascii="宋体" w:hAnsi="宋体" w:cs="宋体"/>
                <w:sz w:val="24"/>
                <w:szCs w:val="24"/>
              </w:rPr>
            </w:pPr>
            <w:r>
              <w:rPr>
                <w:rFonts w:hint="eastAsia" w:ascii="宋体" w:hAnsi="宋体" w:cs="宋体"/>
                <w:sz w:val="24"/>
                <w:szCs w:val="24"/>
              </w:rPr>
              <w:t>2</w:t>
            </w:r>
          </w:p>
        </w:tc>
        <w:tc>
          <w:tcPr>
            <w:tcW w:w="3156" w:type="dxa"/>
            <w:vAlign w:val="center"/>
          </w:tcPr>
          <w:p w14:paraId="7A91FA2B">
            <w:pPr>
              <w:spacing w:line="360" w:lineRule="auto"/>
              <w:jc w:val="center"/>
              <w:rPr>
                <w:rFonts w:ascii="宋体" w:hAnsi="宋体" w:cs="宋体"/>
                <w:sz w:val="24"/>
                <w:szCs w:val="24"/>
              </w:rPr>
            </w:pPr>
          </w:p>
        </w:tc>
        <w:tc>
          <w:tcPr>
            <w:tcW w:w="1953" w:type="dxa"/>
            <w:vAlign w:val="center"/>
          </w:tcPr>
          <w:p w14:paraId="3A308913">
            <w:pPr>
              <w:spacing w:line="360" w:lineRule="auto"/>
              <w:jc w:val="center"/>
              <w:rPr>
                <w:rFonts w:ascii="宋体" w:hAnsi="宋体" w:cs="宋体"/>
                <w:sz w:val="24"/>
                <w:szCs w:val="24"/>
              </w:rPr>
            </w:pPr>
          </w:p>
        </w:tc>
        <w:tc>
          <w:tcPr>
            <w:tcW w:w="1953" w:type="dxa"/>
            <w:vAlign w:val="center"/>
          </w:tcPr>
          <w:p w14:paraId="1F338B0C">
            <w:pPr>
              <w:spacing w:line="360" w:lineRule="auto"/>
              <w:jc w:val="center"/>
              <w:rPr>
                <w:rFonts w:ascii="宋体" w:hAnsi="宋体" w:cs="宋体"/>
                <w:sz w:val="24"/>
                <w:szCs w:val="24"/>
              </w:rPr>
            </w:pPr>
          </w:p>
        </w:tc>
        <w:tc>
          <w:tcPr>
            <w:tcW w:w="1953" w:type="dxa"/>
            <w:vAlign w:val="center"/>
          </w:tcPr>
          <w:p w14:paraId="3841C392">
            <w:pPr>
              <w:spacing w:line="360" w:lineRule="auto"/>
              <w:jc w:val="center"/>
              <w:rPr>
                <w:rFonts w:ascii="宋体" w:hAnsi="宋体" w:cs="宋体"/>
                <w:sz w:val="24"/>
                <w:szCs w:val="24"/>
              </w:rPr>
            </w:pPr>
          </w:p>
        </w:tc>
      </w:tr>
      <w:tr w14:paraId="72683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44801977">
            <w:pPr>
              <w:spacing w:line="360" w:lineRule="auto"/>
              <w:jc w:val="center"/>
              <w:rPr>
                <w:rFonts w:ascii="宋体" w:hAnsi="宋体" w:cs="宋体"/>
                <w:sz w:val="24"/>
                <w:szCs w:val="24"/>
              </w:rPr>
            </w:pPr>
            <w:r>
              <w:rPr>
                <w:rFonts w:hint="eastAsia" w:ascii="宋体" w:hAnsi="宋体" w:cs="宋体"/>
                <w:sz w:val="24"/>
                <w:szCs w:val="24"/>
              </w:rPr>
              <w:t>3</w:t>
            </w:r>
          </w:p>
        </w:tc>
        <w:tc>
          <w:tcPr>
            <w:tcW w:w="3156" w:type="dxa"/>
            <w:vAlign w:val="center"/>
          </w:tcPr>
          <w:p w14:paraId="3D3517FF">
            <w:pPr>
              <w:spacing w:line="360" w:lineRule="auto"/>
              <w:jc w:val="center"/>
              <w:rPr>
                <w:rFonts w:ascii="宋体" w:hAnsi="宋体" w:cs="宋体"/>
                <w:sz w:val="24"/>
                <w:szCs w:val="24"/>
              </w:rPr>
            </w:pPr>
          </w:p>
        </w:tc>
        <w:tc>
          <w:tcPr>
            <w:tcW w:w="1953" w:type="dxa"/>
            <w:vAlign w:val="center"/>
          </w:tcPr>
          <w:p w14:paraId="3ED71207">
            <w:pPr>
              <w:spacing w:line="360" w:lineRule="auto"/>
              <w:jc w:val="center"/>
              <w:rPr>
                <w:rFonts w:ascii="宋体" w:hAnsi="宋体" w:cs="宋体"/>
                <w:sz w:val="24"/>
                <w:szCs w:val="24"/>
              </w:rPr>
            </w:pPr>
          </w:p>
        </w:tc>
        <w:tc>
          <w:tcPr>
            <w:tcW w:w="1953" w:type="dxa"/>
            <w:vAlign w:val="center"/>
          </w:tcPr>
          <w:p w14:paraId="3653AE10">
            <w:pPr>
              <w:spacing w:line="360" w:lineRule="auto"/>
              <w:jc w:val="center"/>
              <w:rPr>
                <w:rFonts w:ascii="宋体" w:hAnsi="宋体" w:cs="宋体"/>
                <w:sz w:val="24"/>
                <w:szCs w:val="24"/>
              </w:rPr>
            </w:pPr>
          </w:p>
        </w:tc>
        <w:tc>
          <w:tcPr>
            <w:tcW w:w="1953" w:type="dxa"/>
            <w:vAlign w:val="center"/>
          </w:tcPr>
          <w:p w14:paraId="01A11732">
            <w:pPr>
              <w:spacing w:line="360" w:lineRule="auto"/>
              <w:jc w:val="center"/>
              <w:rPr>
                <w:rFonts w:ascii="宋体" w:hAnsi="宋体" w:cs="宋体"/>
                <w:sz w:val="24"/>
                <w:szCs w:val="24"/>
              </w:rPr>
            </w:pPr>
          </w:p>
        </w:tc>
      </w:tr>
      <w:tr w14:paraId="67DA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7296B45F">
            <w:pPr>
              <w:spacing w:line="360" w:lineRule="auto"/>
              <w:jc w:val="center"/>
              <w:rPr>
                <w:rFonts w:ascii="宋体" w:hAnsi="宋体" w:cs="宋体"/>
                <w:sz w:val="24"/>
                <w:szCs w:val="24"/>
              </w:rPr>
            </w:pPr>
            <w:r>
              <w:rPr>
                <w:rFonts w:hint="eastAsia" w:ascii="宋体" w:hAnsi="宋体" w:cs="宋体"/>
                <w:sz w:val="24"/>
                <w:szCs w:val="24"/>
              </w:rPr>
              <w:t>4</w:t>
            </w:r>
          </w:p>
        </w:tc>
        <w:tc>
          <w:tcPr>
            <w:tcW w:w="3156" w:type="dxa"/>
            <w:vAlign w:val="center"/>
          </w:tcPr>
          <w:p w14:paraId="2208445C">
            <w:pPr>
              <w:spacing w:line="360" w:lineRule="auto"/>
              <w:jc w:val="center"/>
              <w:rPr>
                <w:rFonts w:ascii="宋体" w:hAnsi="宋体" w:cs="宋体"/>
                <w:sz w:val="24"/>
                <w:szCs w:val="24"/>
              </w:rPr>
            </w:pPr>
          </w:p>
        </w:tc>
        <w:tc>
          <w:tcPr>
            <w:tcW w:w="1953" w:type="dxa"/>
            <w:vAlign w:val="center"/>
          </w:tcPr>
          <w:p w14:paraId="67FE44F9">
            <w:pPr>
              <w:spacing w:line="360" w:lineRule="auto"/>
              <w:jc w:val="center"/>
              <w:rPr>
                <w:rFonts w:ascii="宋体" w:hAnsi="宋体" w:cs="宋体"/>
                <w:sz w:val="24"/>
                <w:szCs w:val="24"/>
              </w:rPr>
            </w:pPr>
          </w:p>
        </w:tc>
        <w:tc>
          <w:tcPr>
            <w:tcW w:w="1953" w:type="dxa"/>
            <w:vAlign w:val="center"/>
          </w:tcPr>
          <w:p w14:paraId="52207E3A">
            <w:pPr>
              <w:spacing w:line="360" w:lineRule="auto"/>
              <w:jc w:val="center"/>
              <w:rPr>
                <w:rFonts w:ascii="宋体" w:hAnsi="宋体" w:cs="宋体"/>
                <w:sz w:val="24"/>
                <w:szCs w:val="24"/>
              </w:rPr>
            </w:pPr>
          </w:p>
        </w:tc>
        <w:tc>
          <w:tcPr>
            <w:tcW w:w="1953" w:type="dxa"/>
            <w:vAlign w:val="center"/>
          </w:tcPr>
          <w:p w14:paraId="36A3FA06">
            <w:pPr>
              <w:spacing w:line="360" w:lineRule="auto"/>
              <w:jc w:val="center"/>
              <w:rPr>
                <w:rFonts w:ascii="宋体" w:hAnsi="宋体" w:cs="宋体"/>
                <w:sz w:val="24"/>
                <w:szCs w:val="24"/>
              </w:rPr>
            </w:pPr>
          </w:p>
        </w:tc>
      </w:tr>
      <w:tr w14:paraId="0F46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0667CB8F">
            <w:pPr>
              <w:spacing w:line="360" w:lineRule="auto"/>
              <w:jc w:val="center"/>
              <w:rPr>
                <w:rFonts w:ascii="宋体" w:hAnsi="宋体" w:cs="宋体"/>
                <w:sz w:val="24"/>
                <w:szCs w:val="24"/>
              </w:rPr>
            </w:pPr>
            <w:r>
              <w:rPr>
                <w:rFonts w:hint="eastAsia" w:ascii="宋体" w:hAnsi="宋体" w:cs="宋体"/>
                <w:sz w:val="24"/>
                <w:szCs w:val="24"/>
              </w:rPr>
              <w:t>5</w:t>
            </w:r>
          </w:p>
        </w:tc>
        <w:tc>
          <w:tcPr>
            <w:tcW w:w="3156" w:type="dxa"/>
            <w:vAlign w:val="center"/>
          </w:tcPr>
          <w:p w14:paraId="11E7AE98">
            <w:pPr>
              <w:spacing w:line="360" w:lineRule="auto"/>
              <w:jc w:val="center"/>
              <w:rPr>
                <w:rFonts w:ascii="宋体" w:hAnsi="宋体" w:cs="宋体"/>
                <w:sz w:val="24"/>
                <w:szCs w:val="24"/>
              </w:rPr>
            </w:pPr>
          </w:p>
        </w:tc>
        <w:tc>
          <w:tcPr>
            <w:tcW w:w="1953" w:type="dxa"/>
            <w:vAlign w:val="center"/>
          </w:tcPr>
          <w:p w14:paraId="2D34E38B">
            <w:pPr>
              <w:spacing w:line="360" w:lineRule="auto"/>
              <w:jc w:val="center"/>
              <w:rPr>
                <w:rFonts w:ascii="宋体" w:hAnsi="宋体" w:cs="宋体"/>
                <w:sz w:val="24"/>
                <w:szCs w:val="24"/>
              </w:rPr>
            </w:pPr>
          </w:p>
        </w:tc>
        <w:tc>
          <w:tcPr>
            <w:tcW w:w="1953" w:type="dxa"/>
            <w:vAlign w:val="center"/>
          </w:tcPr>
          <w:p w14:paraId="1A64BF06">
            <w:pPr>
              <w:spacing w:line="360" w:lineRule="auto"/>
              <w:jc w:val="center"/>
              <w:rPr>
                <w:rFonts w:ascii="宋体" w:hAnsi="宋体" w:cs="宋体"/>
                <w:sz w:val="24"/>
                <w:szCs w:val="24"/>
              </w:rPr>
            </w:pPr>
          </w:p>
        </w:tc>
        <w:tc>
          <w:tcPr>
            <w:tcW w:w="1953" w:type="dxa"/>
            <w:vAlign w:val="center"/>
          </w:tcPr>
          <w:p w14:paraId="38A9E2D1">
            <w:pPr>
              <w:spacing w:line="360" w:lineRule="auto"/>
              <w:jc w:val="center"/>
              <w:rPr>
                <w:rFonts w:ascii="宋体" w:hAnsi="宋体" w:cs="宋体"/>
                <w:sz w:val="24"/>
                <w:szCs w:val="24"/>
              </w:rPr>
            </w:pPr>
          </w:p>
        </w:tc>
      </w:tr>
      <w:tr w14:paraId="389FB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774" w:hRule="atLeast"/>
        </w:trPr>
        <w:tc>
          <w:tcPr>
            <w:tcW w:w="750" w:type="dxa"/>
            <w:vAlign w:val="center"/>
          </w:tcPr>
          <w:p w14:paraId="7E6B5772">
            <w:pPr>
              <w:spacing w:line="360" w:lineRule="auto"/>
              <w:jc w:val="center"/>
              <w:rPr>
                <w:rFonts w:ascii="宋体" w:hAnsi="宋体" w:cs="宋体"/>
                <w:sz w:val="24"/>
                <w:szCs w:val="24"/>
              </w:rPr>
            </w:pPr>
            <w:r>
              <w:rPr>
                <w:rFonts w:hint="eastAsia" w:ascii="宋体" w:hAnsi="宋体" w:cs="宋体"/>
                <w:sz w:val="24"/>
                <w:szCs w:val="24"/>
              </w:rPr>
              <w:t>…</w:t>
            </w:r>
          </w:p>
        </w:tc>
        <w:tc>
          <w:tcPr>
            <w:tcW w:w="3156" w:type="dxa"/>
            <w:vAlign w:val="center"/>
          </w:tcPr>
          <w:p w14:paraId="36D901F3">
            <w:pPr>
              <w:spacing w:line="360" w:lineRule="auto"/>
              <w:jc w:val="center"/>
              <w:rPr>
                <w:rFonts w:ascii="宋体" w:hAnsi="宋体" w:cs="宋体"/>
                <w:sz w:val="24"/>
                <w:szCs w:val="24"/>
              </w:rPr>
            </w:pPr>
          </w:p>
        </w:tc>
        <w:tc>
          <w:tcPr>
            <w:tcW w:w="1953" w:type="dxa"/>
            <w:vAlign w:val="center"/>
          </w:tcPr>
          <w:p w14:paraId="5D70F36F">
            <w:pPr>
              <w:spacing w:line="360" w:lineRule="auto"/>
              <w:jc w:val="center"/>
              <w:rPr>
                <w:rFonts w:ascii="宋体" w:hAnsi="宋体" w:cs="宋体"/>
                <w:sz w:val="24"/>
                <w:szCs w:val="24"/>
              </w:rPr>
            </w:pPr>
          </w:p>
        </w:tc>
        <w:tc>
          <w:tcPr>
            <w:tcW w:w="1953" w:type="dxa"/>
            <w:vAlign w:val="center"/>
          </w:tcPr>
          <w:p w14:paraId="070EE4C3">
            <w:pPr>
              <w:spacing w:line="360" w:lineRule="auto"/>
              <w:jc w:val="center"/>
              <w:rPr>
                <w:rFonts w:ascii="宋体" w:hAnsi="宋体" w:cs="宋体"/>
                <w:sz w:val="24"/>
                <w:szCs w:val="24"/>
              </w:rPr>
            </w:pPr>
          </w:p>
        </w:tc>
        <w:tc>
          <w:tcPr>
            <w:tcW w:w="1953" w:type="dxa"/>
            <w:vAlign w:val="center"/>
          </w:tcPr>
          <w:p w14:paraId="5AF142E6">
            <w:pPr>
              <w:spacing w:line="360" w:lineRule="auto"/>
              <w:jc w:val="center"/>
              <w:rPr>
                <w:rFonts w:ascii="宋体" w:hAnsi="宋体" w:cs="宋体"/>
                <w:sz w:val="24"/>
                <w:szCs w:val="24"/>
              </w:rPr>
            </w:pPr>
          </w:p>
        </w:tc>
      </w:tr>
    </w:tbl>
    <w:p w14:paraId="36067AFD">
      <w:pPr>
        <w:pStyle w:val="25"/>
        <w:spacing w:before="0" w:beforeAutospacing="0" w:after="0" w:afterAutospacing="0" w:line="360" w:lineRule="auto"/>
        <w:rPr>
          <w:rFonts w:cs="宋体"/>
          <w:b/>
          <w:color w:val="auto"/>
          <w:szCs w:val="24"/>
        </w:rPr>
      </w:pPr>
      <w:r>
        <w:rPr>
          <w:rFonts w:hint="eastAsia" w:cs="宋体"/>
          <w:b/>
          <w:color w:val="auto"/>
          <w:szCs w:val="24"/>
        </w:rPr>
        <w:t xml:space="preserve">注： </w:t>
      </w:r>
    </w:p>
    <w:p w14:paraId="6B2EAA86">
      <w:pPr>
        <w:spacing w:line="360" w:lineRule="auto"/>
        <w:rPr>
          <w:rFonts w:ascii="宋体" w:hAnsi="宋体" w:cs="宋体"/>
          <w:b/>
          <w:sz w:val="24"/>
          <w:szCs w:val="24"/>
        </w:rPr>
      </w:pPr>
      <w:r>
        <w:rPr>
          <w:rFonts w:hint="eastAsia" w:ascii="宋体" w:hAnsi="宋体" w:cs="宋体"/>
          <w:b/>
          <w:sz w:val="24"/>
          <w:szCs w:val="24"/>
        </w:rPr>
        <w:t>1. 须针对磋商文件“第三部分 采购需求”逐条响应，如有遗漏或仅注明“符合”“满足”“响应”“无偏离”或简单复制磋商文件的要求，将可能导致投标被拒绝。</w:t>
      </w:r>
    </w:p>
    <w:p w14:paraId="4F78AC33">
      <w:pPr>
        <w:spacing w:line="360" w:lineRule="auto"/>
        <w:rPr>
          <w:rFonts w:ascii="宋体" w:hAnsi="宋体" w:cs="宋体"/>
          <w:b/>
          <w:sz w:val="24"/>
          <w:szCs w:val="24"/>
        </w:rPr>
      </w:pPr>
      <w:r>
        <w:rPr>
          <w:rFonts w:hint="eastAsia" w:ascii="宋体" w:hAnsi="宋体" w:cs="宋体"/>
          <w:b/>
          <w:sz w:val="24"/>
          <w:szCs w:val="24"/>
        </w:rPr>
        <w:t>2.如果表格叙述不下，可另附页说明，但要便于采购人查阅。</w:t>
      </w:r>
    </w:p>
    <w:p w14:paraId="1E1935FE">
      <w:pPr>
        <w:spacing w:line="360" w:lineRule="auto"/>
        <w:rPr>
          <w:rFonts w:ascii="宋体" w:hAnsi="宋体" w:cs="宋体"/>
          <w:b/>
          <w:sz w:val="24"/>
          <w:szCs w:val="24"/>
        </w:rPr>
        <w:sectPr>
          <w:pgSz w:w="11906" w:h="16838"/>
          <w:pgMar w:top="1440" w:right="1083" w:bottom="1440" w:left="1083" w:header="851" w:footer="992" w:gutter="0"/>
          <w:cols w:space="720" w:num="1"/>
        </w:sectPr>
      </w:pPr>
      <w:r>
        <w:rPr>
          <w:rFonts w:hint="eastAsia" w:ascii="宋体" w:hAnsi="宋体" w:cs="宋体"/>
          <w:b/>
          <w:sz w:val="24"/>
          <w:szCs w:val="24"/>
        </w:rPr>
        <w:t>3.供应商须详细描述偏离内容。</w:t>
      </w:r>
    </w:p>
    <w:p w14:paraId="5B109759">
      <w:pPr>
        <w:pStyle w:val="5"/>
        <w:spacing w:before="0" w:after="0" w:line="360" w:lineRule="auto"/>
        <w:jc w:val="center"/>
        <w:rPr>
          <w:rFonts w:ascii="宋体" w:hAnsi="宋体" w:cs="宋体"/>
          <w:sz w:val="24"/>
          <w:szCs w:val="24"/>
        </w:rPr>
      </w:pPr>
      <w:bookmarkStart w:id="146" w:name="_Toc31311"/>
      <w:bookmarkStart w:id="147" w:name="_Toc16305"/>
      <w:bookmarkStart w:id="148" w:name="_Toc490494263"/>
      <w:bookmarkStart w:id="149" w:name="_Toc16154"/>
      <w:bookmarkStart w:id="150" w:name="_Toc524526756"/>
      <w:bookmarkStart w:id="151" w:name="_Toc30237"/>
      <w:bookmarkStart w:id="152" w:name="_Toc461875579"/>
      <w:r>
        <w:rPr>
          <w:rFonts w:hint="eastAsia" w:ascii="宋体" w:hAnsi="宋体" w:cs="宋体"/>
          <w:sz w:val="24"/>
          <w:szCs w:val="24"/>
        </w:rPr>
        <w:t>附件7  货物/服务报告</w:t>
      </w:r>
      <w:bookmarkEnd w:id="146"/>
      <w:bookmarkEnd w:id="147"/>
      <w:bookmarkEnd w:id="148"/>
      <w:bookmarkEnd w:id="149"/>
      <w:bookmarkEnd w:id="150"/>
      <w:bookmarkEnd w:id="151"/>
      <w:bookmarkEnd w:id="152"/>
    </w:p>
    <w:p w14:paraId="28F899C8">
      <w:pPr>
        <w:spacing w:line="360" w:lineRule="auto"/>
        <w:rPr>
          <w:rFonts w:ascii="宋体" w:hAnsi="宋体" w:cs="宋体"/>
          <w:sz w:val="24"/>
          <w:szCs w:val="24"/>
        </w:rPr>
      </w:pPr>
    </w:p>
    <w:p w14:paraId="444D587D">
      <w:pPr>
        <w:spacing w:line="360" w:lineRule="auto"/>
        <w:rPr>
          <w:rFonts w:ascii="宋体" w:hAnsi="宋体" w:cs="宋体"/>
          <w:sz w:val="24"/>
          <w:szCs w:val="24"/>
        </w:rPr>
      </w:pPr>
    </w:p>
    <w:p w14:paraId="117D7EF0">
      <w:pPr>
        <w:spacing w:line="360" w:lineRule="auto"/>
        <w:rPr>
          <w:rFonts w:ascii="宋体" w:hAnsi="宋体" w:cs="宋体"/>
          <w:sz w:val="24"/>
          <w:szCs w:val="24"/>
        </w:rPr>
      </w:pPr>
      <w:r>
        <w:rPr>
          <w:rFonts w:hint="eastAsia" w:ascii="宋体" w:hAnsi="宋体" w:cs="宋体"/>
          <w:sz w:val="24"/>
          <w:szCs w:val="24"/>
        </w:rPr>
        <w:t>注：供应商应结合本磋商文件“第三部分 采购需求”及“第五部分 评审办法”的要求详细描述并提供相关证明文件。</w:t>
      </w:r>
      <w:bookmarkStart w:id="153" w:name="_Toc29665"/>
      <w:bookmarkStart w:id="154" w:name="_Toc26858"/>
      <w:bookmarkStart w:id="155" w:name="_Toc19755"/>
    </w:p>
    <w:p w14:paraId="78BCA09E">
      <w:pPr>
        <w:spacing w:line="360" w:lineRule="auto"/>
        <w:rPr>
          <w:rFonts w:ascii="宋体" w:hAnsi="宋体" w:cs="宋体"/>
          <w:sz w:val="24"/>
          <w:szCs w:val="24"/>
        </w:rPr>
      </w:pPr>
    </w:p>
    <w:p w14:paraId="4488F303">
      <w:pPr>
        <w:spacing w:line="360" w:lineRule="auto"/>
        <w:rPr>
          <w:rFonts w:ascii="宋体" w:hAnsi="宋体" w:cs="宋体"/>
          <w:sz w:val="24"/>
          <w:szCs w:val="24"/>
        </w:rPr>
      </w:pPr>
    </w:p>
    <w:p w14:paraId="221E6CFD">
      <w:pPr>
        <w:spacing w:line="360" w:lineRule="auto"/>
        <w:rPr>
          <w:rFonts w:ascii="宋体" w:hAnsi="宋体" w:cs="宋体"/>
          <w:sz w:val="24"/>
          <w:szCs w:val="24"/>
        </w:rPr>
      </w:pPr>
    </w:p>
    <w:p w14:paraId="31135D58">
      <w:pPr>
        <w:spacing w:line="360" w:lineRule="auto"/>
        <w:rPr>
          <w:rFonts w:ascii="宋体" w:hAnsi="宋体" w:cs="宋体"/>
          <w:sz w:val="24"/>
          <w:szCs w:val="24"/>
        </w:rPr>
      </w:pPr>
    </w:p>
    <w:p w14:paraId="5B7A6CEE">
      <w:pPr>
        <w:spacing w:line="360" w:lineRule="auto"/>
        <w:rPr>
          <w:rFonts w:ascii="宋体" w:hAnsi="宋体" w:cs="宋体"/>
          <w:sz w:val="24"/>
          <w:szCs w:val="24"/>
        </w:rPr>
      </w:pPr>
    </w:p>
    <w:p w14:paraId="16DF255A">
      <w:pPr>
        <w:spacing w:line="360" w:lineRule="auto"/>
        <w:rPr>
          <w:rFonts w:ascii="宋体" w:hAnsi="宋体" w:cs="宋体"/>
          <w:sz w:val="24"/>
          <w:szCs w:val="24"/>
        </w:rPr>
      </w:pPr>
    </w:p>
    <w:p w14:paraId="13AFDD75">
      <w:pPr>
        <w:spacing w:line="360" w:lineRule="auto"/>
        <w:rPr>
          <w:rFonts w:ascii="宋体" w:hAnsi="宋体" w:cs="宋体"/>
          <w:sz w:val="24"/>
          <w:szCs w:val="24"/>
        </w:rPr>
      </w:pPr>
    </w:p>
    <w:p w14:paraId="2E2F7EC6">
      <w:pPr>
        <w:spacing w:line="360" w:lineRule="auto"/>
        <w:rPr>
          <w:rFonts w:ascii="宋体" w:hAnsi="宋体" w:cs="宋体"/>
          <w:sz w:val="24"/>
          <w:szCs w:val="24"/>
        </w:rPr>
      </w:pPr>
    </w:p>
    <w:p w14:paraId="3358C705">
      <w:pPr>
        <w:spacing w:line="360" w:lineRule="auto"/>
        <w:rPr>
          <w:rFonts w:ascii="宋体" w:hAnsi="宋体" w:cs="宋体"/>
          <w:sz w:val="24"/>
          <w:szCs w:val="24"/>
        </w:rPr>
      </w:pPr>
    </w:p>
    <w:p w14:paraId="68770496">
      <w:pPr>
        <w:pStyle w:val="5"/>
        <w:spacing w:before="0" w:after="0" w:line="360" w:lineRule="auto"/>
        <w:jc w:val="center"/>
        <w:rPr>
          <w:rFonts w:ascii="宋体" w:hAnsi="宋体" w:cs="宋体"/>
          <w:sz w:val="24"/>
          <w:szCs w:val="24"/>
        </w:rPr>
        <w:sectPr>
          <w:pgSz w:w="11906" w:h="16838"/>
          <w:pgMar w:top="1440" w:right="1083" w:bottom="1440" w:left="1083" w:header="851" w:footer="992" w:gutter="0"/>
          <w:cols w:space="720" w:num="1"/>
        </w:sectPr>
      </w:pPr>
    </w:p>
    <w:p w14:paraId="75572FF7">
      <w:pPr>
        <w:pStyle w:val="5"/>
        <w:spacing w:before="0" w:after="0" w:line="360" w:lineRule="auto"/>
        <w:jc w:val="center"/>
        <w:rPr>
          <w:rFonts w:ascii="宋体" w:hAnsi="宋体" w:cs="宋体"/>
          <w:sz w:val="24"/>
          <w:szCs w:val="24"/>
        </w:rPr>
      </w:pPr>
      <w:bookmarkStart w:id="156" w:name="_Toc26078"/>
      <w:r>
        <w:rPr>
          <w:rFonts w:hint="eastAsia" w:ascii="宋体" w:hAnsi="宋体" w:cs="宋体"/>
          <w:sz w:val="24"/>
          <w:szCs w:val="24"/>
        </w:rPr>
        <w:t xml:space="preserve">附件7-1 </w:t>
      </w:r>
      <w:bookmarkEnd w:id="153"/>
      <w:bookmarkStart w:id="157" w:name="_Toc10881"/>
      <w:r>
        <w:rPr>
          <w:rFonts w:hint="eastAsia" w:ascii="宋体" w:hAnsi="宋体" w:cs="宋体"/>
          <w:sz w:val="24"/>
          <w:szCs w:val="24"/>
        </w:rPr>
        <w:t>供应商承担的类似项目业绩一览表（格式自拟）</w:t>
      </w:r>
      <w:bookmarkEnd w:id="154"/>
      <w:bookmarkEnd w:id="155"/>
      <w:bookmarkEnd w:id="156"/>
      <w:bookmarkEnd w:id="157"/>
    </w:p>
    <w:p w14:paraId="026A80D2">
      <w:pPr>
        <w:spacing w:line="360" w:lineRule="auto"/>
        <w:rPr>
          <w:rFonts w:ascii="宋体" w:hAnsi="宋体" w:cs="宋体"/>
          <w:sz w:val="24"/>
          <w:szCs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2605"/>
        <w:gridCol w:w="1255"/>
        <w:gridCol w:w="1360"/>
        <w:gridCol w:w="1300"/>
        <w:gridCol w:w="1398"/>
        <w:gridCol w:w="947"/>
      </w:tblGrid>
      <w:tr w14:paraId="71CE3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1B596BC7">
            <w:pPr>
              <w:spacing w:line="360" w:lineRule="auto"/>
              <w:jc w:val="center"/>
              <w:rPr>
                <w:rFonts w:ascii="宋体" w:hAnsi="宋体" w:cs="宋体"/>
                <w:sz w:val="24"/>
                <w:szCs w:val="24"/>
              </w:rPr>
            </w:pPr>
            <w:r>
              <w:rPr>
                <w:rFonts w:hint="eastAsia" w:ascii="宋体" w:hAnsi="宋体" w:cs="宋体"/>
                <w:sz w:val="24"/>
                <w:szCs w:val="24"/>
              </w:rPr>
              <w:t>序号</w:t>
            </w:r>
          </w:p>
        </w:tc>
        <w:tc>
          <w:tcPr>
            <w:tcW w:w="2605" w:type="dxa"/>
            <w:tcBorders>
              <w:top w:val="single" w:color="auto" w:sz="4" w:space="0"/>
              <w:left w:val="single" w:color="auto" w:sz="4" w:space="0"/>
              <w:bottom w:val="single" w:color="auto" w:sz="4" w:space="0"/>
              <w:right w:val="single" w:color="auto" w:sz="4" w:space="0"/>
            </w:tcBorders>
            <w:vAlign w:val="center"/>
          </w:tcPr>
          <w:p w14:paraId="765AA800">
            <w:pPr>
              <w:spacing w:line="360" w:lineRule="auto"/>
              <w:jc w:val="center"/>
              <w:rPr>
                <w:rFonts w:ascii="宋体" w:hAnsi="宋体" w:cs="宋体"/>
                <w:sz w:val="24"/>
                <w:szCs w:val="24"/>
              </w:rPr>
            </w:pPr>
            <w:r>
              <w:rPr>
                <w:rFonts w:hint="eastAsia" w:ascii="宋体" w:hAnsi="宋体" w:cs="宋体"/>
                <w:sz w:val="24"/>
                <w:szCs w:val="24"/>
              </w:rPr>
              <w:t>项目名称</w:t>
            </w:r>
          </w:p>
        </w:tc>
        <w:tc>
          <w:tcPr>
            <w:tcW w:w="1255" w:type="dxa"/>
            <w:tcBorders>
              <w:top w:val="single" w:color="auto" w:sz="4" w:space="0"/>
              <w:left w:val="single" w:color="auto" w:sz="4" w:space="0"/>
              <w:bottom w:val="single" w:color="auto" w:sz="4" w:space="0"/>
              <w:right w:val="single" w:color="auto" w:sz="4" w:space="0"/>
            </w:tcBorders>
            <w:vAlign w:val="center"/>
          </w:tcPr>
          <w:p w14:paraId="4D9837BA">
            <w:pPr>
              <w:spacing w:line="360" w:lineRule="auto"/>
              <w:jc w:val="center"/>
              <w:rPr>
                <w:rFonts w:ascii="宋体" w:hAnsi="宋体" w:cs="宋体"/>
                <w:sz w:val="24"/>
                <w:szCs w:val="24"/>
              </w:rPr>
            </w:pPr>
            <w:r>
              <w:rPr>
                <w:rFonts w:hint="eastAsia" w:ascii="宋体" w:hAnsi="宋体" w:cs="宋体"/>
                <w:sz w:val="24"/>
                <w:szCs w:val="24"/>
              </w:rPr>
              <w:t>委托单位</w:t>
            </w:r>
          </w:p>
        </w:tc>
        <w:tc>
          <w:tcPr>
            <w:tcW w:w="1360" w:type="dxa"/>
            <w:tcBorders>
              <w:top w:val="single" w:color="auto" w:sz="4" w:space="0"/>
              <w:left w:val="single" w:color="auto" w:sz="4" w:space="0"/>
              <w:bottom w:val="single" w:color="auto" w:sz="4" w:space="0"/>
              <w:right w:val="single" w:color="auto" w:sz="4" w:space="0"/>
            </w:tcBorders>
            <w:vAlign w:val="center"/>
          </w:tcPr>
          <w:p w14:paraId="0ABAF735">
            <w:pPr>
              <w:spacing w:line="360" w:lineRule="auto"/>
              <w:jc w:val="center"/>
              <w:rPr>
                <w:rFonts w:ascii="宋体" w:hAnsi="宋体" w:cs="宋体"/>
                <w:sz w:val="24"/>
                <w:szCs w:val="24"/>
              </w:rPr>
            </w:pPr>
            <w:r>
              <w:rPr>
                <w:rFonts w:hint="eastAsia" w:ascii="宋体" w:hAnsi="宋体" w:cs="宋体"/>
                <w:sz w:val="24"/>
                <w:szCs w:val="24"/>
              </w:rPr>
              <w:t>项目</w:t>
            </w:r>
          </w:p>
          <w:p w14:paraId="057B04E7">
            <w:pPr>
              <w:spacing w:line="360" w:lineRule="auto"/>
              <w:jc w:val="center"/>
              <w:rPr>
                <w:rFonts w:ascii="宋体" w:hAnsi="宋体" w:cs="宋体"/>
                <w:sz w:val="24"/>
                <w:szCs w:val="24"/>
              </w:rPr>
            </w:pPr>
            <w:r>
              <w:rPr>
                <w:rFonts w:hint="eastAsia" w:ascii="宋体" w:hAnsi="宋体" w:cs="宋体"/>
                <w:sz w:val="24"/>
                <w:szCs w:val="24"/>
              </w:rPr>
              <w:t>完成时间</w:t>
            </w:r>
          </w:p>
        </w:tc>
        <w:tc>
          <w:tcPr>
            <w:tcW w:w="1300" w:type="dxa"/>
            <w:tcBorders>
              <w:top w:val="single" w:color="auto" w:sz="4" w:space="0"/>
              <w:left w:val="single" w:color="auto" w:sz="4" w:space="0"/>
              <w:bottom w:val="single" w:color="auto" w:sz="4" w:space="0"/>
              <w:right w:val="single" w:color="auto" w:sz="4" w:space="0"/>
            </w:tcBorders>
            <w:vAlign w:val="center"/>
          </w:tcPr>
          <w:p w14:paraId="7B3426C2">
            <w:pPr>
              <w:spacing w:line="360" w:lineRule="auto"/>
              <w:jc w:val="center"/>
              <w:rPr>
                <w:rFonts w:ascii="宋体" w:hAnsi="宋体" w:cs="宋体"/>
                <w:sz w:val="24"/>
                <w:szCs w:val="24"/>
              </w:rPr>
            </w:pPr>
            <w:r>
              <w:rPr>
                <w:rFonts w:hint="eastAsia" w:ascii="宋体" w:hAnsi="宋体" w:cs="宋体"/>
                <w:sz w:val="24"/>
                <w:szCs w:val="24"/>
              </w:rPr>
              <w:t>项目实施地</w:t>
            </w:r>
          </w:p>
        </w:tc>
        <w:tc>
          <w:tcPr>
            <w:tcW w:w="1398" w:type="dxa"/>
            <w:tcBorders>
              <w:top w:val="single" w:color="auto" w:sz="4" w:space="0"/>
              <w:left w:val="single" w:color="auto" w:sz="4" w:space="0"/>
              <w:bottom w:val="single" w:color="auto" w:sz="4" w:space="0"/>
              <w:right w:val="single" w:color="auto" w:sz="4" w:space="0"/>
            </w:tcBorders>
            <w:vAlign w:val="center"/>
          </w:tcPr>
          <w:p w14:paraId="5F3B401B">
            <w:pPr>
              <w:spacing w:line="360" w:lineRule="auto"/>
              <w:jc w:val="center"/>
              <w:rPr>
                <w:rFonts w:ascii="宋体" w:hAnsi="宋体" w:cs="宋体"/>
                <w:sz w:val="24"/>
                <w:szCs w:val="24"/>
              </w:rPr>
            </w:pPr>
            <w:r>
              <w:rPr>
                <w:rFonts w:hint="eastAsia" w:ascii="宋体" w:hAnsi="宋体" w:cs="宋体"/>
                <w:sz w:val="24"/>
                <w:szCs w:val="24"/>
              </w:rPr>
              <w:t>合同金额</w:t>
            </w:r>
          </w:p>
        </w:tc>
        <w:tc>
          <w:tcPr>
            <w:tcW w:w="947" w:type="dxa"/>
            <w:tcBorders>
              <w:top w:val="single" w:color="auto" w:sz="4" w:space="0"/>
              <w:left w:val="single" w:color="auto" w:sz="4" w:space="0"/>
              <w:bottom w:val="single" w:color="auto" w:sz="4" w:space="0"/>
              <w:right w:val="single" w:color="auto" w:sz="4" w:space="0"/>
            </w:tcBorders>
            <w:vAlign w:val="center"/>
          </w:tcPr>
          <w:p w14:paraId="4886225D">
            <w:pPr>
              <w:spacing w:line="360" w:lineRule="auto"/>
              <w:jc w:val="center"/>
              <w:rPr>
                <w:rFonts w:ascii="宋体" w:hAnsi="宋体" w:cs="宋体"/>
                <w:sz w:val="24"/>
                <w:szCs w:val="24"/>
              </w:rPr>
            </w:pPr>
            <w:r>
              <w:rPr>
                <w:rFonts w:hint="eastAsia" w:ascii="宋体" w:hAnsi="宋体" w:cs="宋体"/>
                <w:sz w:val="24"/>
                <w:szCs w:val="24"/>
              </w:rPr>
              <w:t>备注</w:t>
            </w:r>
          </w:p>
        </w:tc>
      </w:tr>
      <w:tr w14:paraId="34C9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266BF4FA">
            <w:pPr>
              <w:spacing w:line="360" w:lineRule="auto"/>
              <w:jc w:val="center"/>
              <w:rPr>
                <w:rFonts w:ascii="宋体" w:hAnsi="宋体" w:cs="宋体"/>
                <w:sz w:val="24"/>
                <w:szCs w:val="24"/>
              </w:rPr>
            </w:pPr>
            <w:r>
              <w:rPr>
                <w:rFonts w:hint="eastAsia" w:ascii="宋体" w:hAnsi="宋体" w:cs="宋体"/>
                <w:sz w:val="24"/>
                <w:szCs w:val="24"/>
              </w:rPr>
              <w:t>1</w:t>
            </w:r>
          </w:p>
        </w:tc>
        <w:tc>
          <w:tcPr>
            <w:tcW w:w="2605" w:type="dxa"/>
            <w:tcBorders>
              <w:top w:val="single" w:color="auto" w:sz="4" w:space="0"/>
              <w:left w:val="single" w:color="auto" w:sz="4" w:space="0"/>
              <w:bottom w:val="single" w:color="auto" w:sz="4" w:space="0"/>
              <w:right w:val="single" w:color="auto" w:sz="4" w:space="0"/>
            </w:tcBorders>
          </w:tcPr>
          <w:p w14:paraId="40BB91B4">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53D75604">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12C98892">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11D9BCA1">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5E66DD85">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6BB8B5E0">
            <w:pPr>
              <w:spacing w:line="360" w:lineRule="auto"/>
              <w:rPr>
                <w:rFonts w:ascii="宋体" w:hAnsi="宋体" w:cs="宋体"/>
                <w:sz w:val="24"/>
                <w:szCs w:val="24"/>
              </w:rPr>
            </w:pPr>
          </w:p>
        </w:tc>
      </w:tr>
      <w:tr w14:paraId="4F44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5C063717">
            <w:pPr>
              <w:spacing w:line="360" w:lineRule="auto"/>
              <w:jc w:val="center"/>
              <w:rPr>
                <w:rFonts w:ascii="宋体" w:hAnsi="宋体" w:cs="宋体"/>
                <w:sz w:val="24"/>
                <w:szCs w:val="24"/>
              </w:rPr>
            </w:pPr>
            <w:r>
              <w:rPr>
                <w:rFonts w:hint="eastAsia" w:ascii="宋体" w:hAnsi="宋体" w:cs="宋体"/>
                <w:sz w:val="24"/>
                <w:szCs w:val="24"/>
              </w:rPr>
              <w:t>2</w:t>
            </w:r>
          </w:p>
        </w:tc>
        <w:tc>
          <w:tcPr>
            <w:tcW w:w="2605" w:type="dxa"/>
            <w:tcBorders>
              <w:top w:val="single" w:color="auto" w:sz="4" w:space="0"/>
              <w:left w:val="single" w:color="auto" w:sz="4" w:space="0"/>
              <w:bottom w:val="single" w:color="auto" w:sz="4" w:space="0"/>
              <w:right w:val="single" w:color="auto" w:sz="4" w:space="0"/>
            </w:tcBorders>
          </w:tcPr>
          <w:p w14:paraId="5787E27F">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25192E61">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742C2196">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2B5104EA">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3D9DCE13">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6B778FEB">
            <w:pPr>
              <w:spacing w:line="360" w:lineRule="auto"/>
              <w:rPr>
                <w:rFonts w:ascii="宋体" w:hAnsi="宋体" w:cs="宋体"/>
                <w:sz w:val="24"/>
                <w:szCs w:val="24"/>
              </w:rPr>
            </w:pPr>
          </w:p>
        </w:tc>
      </w:tr>
      <w:tr w14:paraId="4CE41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6D236E09">
            <w:pPr>
              <w:spacing w:line="360" w:lineRule="auto"/>
              <w:jc w:val="center"/>
              <w:rPr>
                <w:rFonts w:ascii="宋体" w:hAnsi="宋体" w:cs="宋体"/>
                <w:sz w:val="24"/>
                <w:szCs w:val="24"/>
              </w:rPr>
            </w:pPr>
            <w:r>
              <w:rPr>
                <w:rFonts w:hint="eastAsia" w:ascii="宋体" w:hAnsi="宋体" w:cs="宋体"/>
                <w:sz w:val="24"/>
                <w:szCs w:val="24"/>
              </w:rPr>
              <w:t>3</w:t>
            </w:r>
          </w:p>
        </w:tc>
        <w:tc>
          <w:tcPr>
            <w:tcW w:w="2605" w:type="dxa"/>
            <w:tcBorders>
              <w:top w:val="single" w:color="auto" w:sz="4" w:space="0"/>
              <w:left w:val="single" w:color="auto" w:sz="4" w:space="0"/>
              <w:bottom w:val="single" w:color="auto" w:sz="4" w:space="0"/>
              <w:right w:val="single" w:color="auto" w:sz="4" w:space="0"/>
            </w:tcBorders>
          </w:tcPr>
          <w:p w14:paraId="4C68F741">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79A98514">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3F4D76BE">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780E0A2C">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44EB1C59">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340E6DEB">
            <w:pPr>
              <w:spacing w:line="360" w:lineRule="auto"/>
              <w:rPr>
                <w:rFonts w:ascii="宋体" w:hAnsi="宋体" w:cs="宋体"/>
                <w:sz w:val="24"/>
                <w:szCs w:val="24"/>
              </w:rPr>
            </w:pPr>
          </w:p>
        </w:tc>
      </w:tr>
      <w:tr w14:paraId="7F473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7D04103F">
            <w:pPr>
              <w:spacing w:line="360" w:lineRule="auto"/>
              <w:jc w:val="center"/>
              <w:rPr>
                <w:rFonts w:ascii="宋体" w:hAnsi="宋体" w:cs="宋体"/>
                <w:sz w:val="24"/>
                <w:szCs w:val="24"/>
              </w:rPr>
            </w:pPr>
            <w:r>
              <w:rPr>
                <w:rFonts w:hint="eastAsia" w:ascii="宋体" w:hAnsi="宋体" w:cs="宋体"/>
                <w:sz w:val="24"/>
                <w:szCs w:val="24"/>
              </w:rPr>
              <w:t>4</w:t>
            </w:r>
          </w:p>
        </w:tc>
        <w:tc>
          <w:tcPr>
            <w:tcW w:w="2605" w:type="dxa"/>
            <w:tcBorders>
              <w:top w:val="single" w:color="auto" w:sz="4" w:space="0"/>
              <w:left w:val="single" w:color="auto" w:sz="4" w:space="0"/>
              <w:bottom w:val="single" w:color="auto" w:sz="4" w:space="0"/>
              <w:right w:val="single" w:color="auto" w:sz="4" w:space="0"/>
            </w:tcBorders>
          </w:tcPr>
          <w:p w14:paraId="373CA078">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61786046">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458583C3">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2570669E">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68A735AE">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6DE3DE2B">
            <w:pPr>
              <w:spacing w:line="360" w:lineRule="auto"/>
              <w:rPr>
                <w:rFonts w:ascii="宋体" w:hAnsi="宋体" w:cs="宋体"/>
                <w:sz w:val="24"/>
                <w:szCs w:val="24"/>
              </w:rPr>
            </w:pPr>
          </w:p>
        </w:tc>
      </w:tr>
      <w:tr w14:paraId="2837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8" w:type="dxa"/>
            <w:tcBorders>
              <w:top w:val="single" w:color="auto" w:sz="4" w:space="0"/>
              <w:left w:val="single" w:color="auto" w:sz="4" w:space="0"/>
              <w:bottom w:val="single" w:color="auto" w:sz="4" w:space="0"/>
              <w:right w:val="single" w:color="auto" w:sz="4" w:space="0"/>
            </w:tcBorders>
            <w:vAlign w:val="center"/>
          </w:tcPr>
          <w:p w14:paraId="0660B4F5">
            <w:pPr>
              <w:spacing w:line="360" w:lineRule="auto"/>
              <w:jc w:val="center"/>
              <w:rPr>
                <w:rFonts w:ascii="宋体" w:hAnsi="宋体" w:cs="宋体"/>
                <w:sz w:val="24"/>
                <w:szCs w:val="24"/>
              </w:rPr>
            </w:pPr>
            <w:r>
              <w:rPr>
                <w:rFonts w:hint="eastAsia" w:ascii="宋体" w:hAnsi="宋体" w:cs="宋体"/>
                <w:sz w:val="24"/>
                <w:szCs w:val="24"/>
              </w:rPr>
              <w:t>……</w:t>
            </w:r>
          </w:p>
        </w:tc>
        <w:tc>
          <w:tcPr>
            <w:tcW w:w="2605" w:type="dxa"/>
            <w:tcBorders>
              <w:top w:val="single" w:color="auto" w:sz="4" w:space="0"/>
              <w:left w:val="single" w:color="auto" w:sz="4" w:space="0"/>
              <w:bottom w:val="single" w:color="auto" w:sz="4" w:space="0"/>
              <w:right w:val="single" w:color="auto" w:sz="4" w:space="0"/>
            </w:tcBorders>
          </w:tcPr>
          <w:p w14:paraId="2AA0BD25">
            <w:pPr>
              <w:spacing w:line="360" w:lineRule="auto"/>
              <w:rPr>
                <w:rFonts w:ascii="宋体" w:hAnsi="宋体" w:cs="宋体"/>
                <w:sz w:val="24"/>
                <w:szCs w:val="24"/>
              </w:rPr>
            </w:pPr>
          </w:p>
        </w:tc>
        <w:tc>
          <w:tcPr>
            <w:tcW w:w="1255" w:type="dxa"/>
            <w:tcBorders>
              <w:top w:val="single" w:color="auto" w:sz="4" w:space="0"/>
              <w:left w:val="single" w:color="auto" w:sz="4" w:space="0"/>
              <w:bottom w:val="single" w:color="auto" w:sz="4" w:space="0"/>
              <w:right w:val="single" w:color="auto" w:sz="4" w:space="0"/>
            </w:tcBorders>
          </w:tcPr>
          <w:p w14:paraId="654716E5">
            <w:pPr>
              <w:spacing w:line="360" w:lineRule="auto"/>
              <w:rPr>
                <w:rFonts w:ascii="宋体" w:hAnsi="宋体" w:cs="宋体"/>
                <w:sz w:val="24"/>
                <w:szCs w:val="24"/>
              </w:rPr>
            </w:pPr>
          </w:p>
        </w:tc>
        <w:tc>
          <w:tcPr>
            <w:tcW w:w="1360" w:type="dxa"/>
            <w:tcBorders>
              <w:top w:val="single" w:color="auto" w:sz="4" w:space="0"/>
              <w:left w:val="single" w:color="auto" w:sz="4" w:space="0"/>
              <w:bottom w:val="single" w:color="auto" w:sz="4" w:space="0"/>
              <w:right w:val="single" w:color="auto" w:sz="4" w:space="0"/>
            </w:tcBorders>
          </w:tcPr>
          <w:p w14:paraId="69D15CB7">
            <w:pPr>
              <w:spacing w:line="360" w:lineRule="auto"/>
              <w:rPr>
                <w:rFonts w:ascii="宋体" w:hAnsi="宋体" w:cs="宋体"/>
                <w:sz w:val="24"/>
                <w:szCs w:val="24"/>
              </w:rPr>
            </w:pPr>
          </w:p>
        </w:tc>
        <w:tc>
          <w:tcPr>
            <w:tcW w:w="1300" w:type="dxa"/>
            <w:tcBorders>
              <w:top w:val="single" w:color="auto" w:sz="4" w:space="0"/>
              <w:left w:val="single" w:color="auto" w:sz="4" w:space="0"/>
              <w:bottom w:val="single" w:color="auto" w:sz="4" w:space="0"/>
              <w:right w:val="single" w:color="auto" w:sz="4" w:space="0"/>
            </w:tcBorders>
          </w:tcPr>
          <w:p w14:paraId="7930E851">
            <w:pPr>
              <w:spacing w:line="360" w:lineRule="auto"/>
              <w:rPr>
                <w:rFonts w:ascii="宋体" w:hAnsi="宋体" w:cs="宋体"/>
                <w:sz w:val="24"/>
                <w:szCs w:val="24"/>
              </w:rPr>
            </w:pPr>
          </w:p>
        </w:tc>
        <w:tc>
          <w:tcPr>
            <w:tcW w:w="1398" w:type="dxa"/>
            <w:tcBorders>
              <w:top w:val="single" w:color="auto" w:sz="4" w:space="0"/>
              <w:left w:val="single" w:color="auto" w:sz="4" w:space="0"/>
              <w:bottom w:val="single" w:color="auto" w:sz="4" w:space="0"/>
              <w:right w:val="single" w:color="auto" w:sz="4" w:space="0"/>
            </w:tcBorders>
          </w:tcPr>
          <w:p w14:paraId="29C21242">
            <w:pPr>
              <w:spacing w:line="360" w:lineRule="auto"/>
              <w:rPr>
                <w:rFonts w:ascii="宋体" w:hAnsi="宋体" w:cs="宋体"/>
                <w:sz w:val="24"/>
                <w:szCs w:val="24"/>
              </w:rPr>
            </w:pPr>
          </w:p>
        </w:tc>
        <w:tc>
          <w:tcPr>
            <w:tcW w:w="947" w:type="dxa"/>
            <w:tcBorders>
              <w:top w:val="single" w:color="auto" w:sz="4" w:space="0"/>
              <w:left w:val="single" w:color="auto" w:sz="4" w:space="0"/>
              <w:bottom w:val="single" w:color="auto" w:sz="4" w:space="0"/>
              <w:right w:val="single" w:color="auto" w:sz="4" w:space="0"/>
            </w:tcBorders>
          </w:tcPr>
          <w:p w14:paraId="3F80DBB9">
            <w:pPr>
              <w:spacing w:line="360" w:lineRule="auto"/>
              <w:rPr>
                <w:rFonts w:ascii="宋体" w:hAnsi="宋体" w:cs="宋体"/>
                <w:sz w:val="24"/>
                <w:szCs w:val="24"/>
              </w:rPr>
            </w:pPr>
          </w:p>
        </w:tc>
      </w:tr>
    </w:tbl>
    <w:p w14:paraId="47DFD5D1">
      <w:pPr>
        <w:spacing w:line="360" w:lineRule="auto"/>
        <w:rPr>
          <w:rFonts w:ascii="宋体" w:hAnsi="宋体" w:cs="宋体"/>
          <w:b/>
          <w:bCs/>
          <w:sz w:val="24"/>
          <w:szCs w:val="24"/>
        </w:rPr>
      </w:pPr>
    </w:p>
    <w:p w14:paraId="365DFEA0">
      <w:pPr>
        <w:spacing w:line="360" w:lineRule="auto"/>
        <w:rPr>
          <w:rFonts w:ascii="宋体" w:hAnsi="宋体" w:cs="宋体"/>
          <w:b/>
          <w:bCs/>
          <w:sz w:val="24"/>
          <w:szCs w:val="24"/>
        </w:rPr>
      </w:pPr>
      <w:r>
        <w:rPr>
          <w:rFonts w:hint="eastAsia" w:ascii="宋体" w:hAnsi="宋体" w:cs="宋体"/>
          <w:b/>
          <w:bCs/>
          <w:sz w:val="24"/>
          <w:szCs w:val="24"/>
        </w:rPr>
        <w:t>注：1.上述业绩所需证明材料，详见“第五部分 评审办法”中的规定；</w:t>
      </w:r>
    </w:p>
    <w:p w14:paraId="77128494">
      <w:pPr>
        <w:spacing w:line="360" w:lineRule="auto"/>
        <w:rPr>
          <w:rFonts w:ascii="宋体" w:hAnsi="宋体" w:cs="宋体"/>
          <w:b/>
          <w:bCs/>
          <w:sz w:val="24"/>
          <w:szCs w:val="24"/>
        </w:rPr>
      </w:pPr>
      <w:r>
        <w:rPr>
          <w:rFonts w:hint="eastAsia" w:ascii="宋体" w:hAnsi="宋体" w:cs="宋体"/>
          <w:b/>
          <w:bCs/>
          <w:sz w:val="24"/>
          <w:szCs w:val="24"/>
        </w:rPr>
        <w:t xml:space="preserve">    2.业绩时间以合同签订时间为准。</w:t>
      </w:r>
    </w:p>
    <w:p w14:paraId="36D6C309">
      <w:pPr>
        <w:spacing w:line="360" w:lineRule="auto"/>
        <w:jc w:val="center"/>
        <w:outlineLvl w:val="1"/>
        <w:rPr>
          <w:rFonts w:ascii="宋体" w:hAnsi="宋体" w:cs="宋体"/>
          <w:b/>
          <w:sz w:val="24"/>
          <w:szCs w:val="24"/>
        </w:rPr>
      </w:pPr>
      <w:r>
        <w:rPr>
          <w:rFonts w:hint="eastAsia" w:ascii="宋体" w:hAnsi="宋体" w:cs="宋体"/>
          <w:b/>
          <w:bCs/>
          <w:sz w:val="24"/>
          <w:szCs w:val="24"/>
        </w:rPr>
        <w:br w:type="page"/>
      </w:r>
      <w:bookmarkStart w:id="158" w:name="_Toc19223"/>
      <w:bookmarkStart w:id="159" w:name="_Toc32038"/>
      <w:bookmarkStart w:id="160" w:name="_Toc10613"/>
      <w:r>
        <w:rPr>
          <w:rStyle w:val="55"/>
          <w:rFonts w:hint="eastAsia" w:ascii="宋体" w:hAnsi="宋体" w:cs="宋体"/>
          <w:sz w:val="24"/>
          <w:szCs w:val="24"/>
        </w:rPr>
        <w:t>附件7-2 拟投入本项目的项目负责人情况表（格式可自拟）</w:t>
      </w:r>
      <w:bookmarkEnd w:id="158"/>
      <w:bookmarkEnd w:id="159"/>
      <w:bookmarkEnd w:id="160"/>
    </w:p>
    <w:p w14:paraId="046A0F7F">
      <w:pPr>
        <w:spacing w:line="360" w:lineRule="auto"/>
        <w:rPr>
          <w:rFonts w:ascii="宋体" w:hAnsi="宋体" w:cs="宋体"/>
          <w:sz w:val="24"/>
          <w:szCs w:val="24"/>
        </w:rPr>
      </w:pPr>
    </w:p>
    <w:p w14:paraId="1E42670E">
      <w:pPr>
        <w:spacing w:line="360" w:lineRule="auto"/>
        <w:rPr>
          <w:rFonts w:ascii="宋体" w:hAnsi="宋体" w:cs="宋体"/>
          <w:sz w:val="24"/>
          <w:szCs w:val="24"/>
        </w:rPr>
      </w:pPr>
      <w:r>
        <w:rPr>
          <w:rFonts w:hint="eastAsia" w:ascii="宋体" w:hAnsi="宋体" w:cs="宋体"/>
          <w:sz w:val="24"/>
          <w:szCs w:val="24"/>
        </w:rPr>
        <w:t>项目名称：</w:t>
      </w:r>
    </w:p>
    <w:p w14:paraId="3A4B0D6B">
      <w:pPr>
        <w:spacing w:line="360" w:lineRule="auto"/>
        <w:rPr>
          <w:rFonts w:ascii="宋体" w:hAnsi="宋体" w:cs="宋体"/>
          <w:b/>
          <w:sz w:val="24"/>
          <w:szCs w:val="24"/>
        </w:rPr>
      </w:pPr>
      <w:r>
        <w:rPr>
          <w:rFonts w:hint="eastAsia" w:ascii="宋体" w:hAnsi="宋体" w:cs="宋体"/>
          <w:sz w:val="24"/>
          <w:szCs w:val="24"/>
        </w:rPr>
        <w:t>项目编号：</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1078"/>
        <w:gridCol w:w="2276"/>
        <w:gridCol w:w="958"/>
        <w:gridCol w:w="2276"/>
        <w:gridCol w:w="2060"/>
      </w:tblGrid>
      <w:tr w14:paraId="4208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9738" w:type="dxa"/>
            <w:gridSpan w:val="6"/>
            <w:tcBorders>
              <w:top w:val="single" w:color="auto" w:sz="4" w:space="0"/>
              <w:left w:val="single" w:color="auto" w:sz="4" w:space="0"/>
              <w:bottom w:val="single" w:color="auto" w:sz="4" w:space="0"/>
              <w:right w:val="single" w:color="auto" w:sz="4" w:space="0"/>
            </w:tcBorders>
            <w:vAlign w:val="center"/>
          </w:tcPr>
          <w:p w14:paraId="0CA889DD">
            <w:pPr>
              <w:pStyle w:val="73"/>
              <w:spacing w:before="0" w:after="0" w:line="360" w:lineRule="auto"/>
              <w:jc w:val="left"/>
              <w:rPr>
                <w:rFonts w:ascii="宋体" w:hAnsi="宋体" w:eastAsia="宋体" w:cs="宋体"/>
                <w:sz w:val="24"/>
                <w:szCs w:val="24"/>
              </w:rPr>
            </w:pPr>
            <w:r>
              <w:rPr>
                <w:rFonts w:hint="eastAsia" w:ascii="宋体" w:hAnsi="宋体" w:eastAsia="宋体" w:cs="宋体"/>
                <w:sz w:val="24"/>
                <w:szCs w:val="24"/>
              </w:rPr>
              <w:t>1.一般情况</w:t>
            </w:r>
          </w:p>
        </w:tc>
      </w:tr>
      <w:tr w14:paraId="44B06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090" w:type="dxa"/>
            <w:tcBorders>
              <w:top w:val="single" w:color="auto" w:sz="4" w:space="0"/>
              <w:left w:val="single" w:color="auto" w:sz="4" w:space="0"/>
              <w:bottom w:val="single" w:color="auto" w:sz="4" w:space="0"/>
              <w:right w:val="single" w:color="auto" w:sz="4" w:space="0"/>
            </w:tcBorders>
            <w:vAlign w:val="center"/>
          </w:tcPr>
          <w:p w14:paraId="36F37050">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姓名</w:t>
            </w:r>
          </w:p>
        </w:tc>
        <w:tc>
          <w:tcPr>
            <w:tcW w:w="1078" w:type="dxa"/>
            <w:tcBorders>
              <w:top w:val="single" w:color="auto" w:sz="4" w:space="0"/>
              <w:left w:val="single" w:color="auto" w:sz="4" w:space="0"/>
              <w:bottom w:val="single" w:color="auto" w:sz="4" w:space="0"/>
              <w:right w:val="single" w:color="auto" w:sz="4" w:space="0"/>
            </w:tcBorders>
          </w:tcPr>
          <w:p w14:paraId="122A10DE">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337BBE41">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年龄</w:t>
            </w:r>
          </w:p>
        </w:tc>
        <w:tc>
          <w:tcPr>
            <w:tcW w:w="958" w:type="dxa"/>
            <w:tcBorders>
              <w:top w:val="single" w:color="auto" w:sz="4" w:space="0"/>
              <w:left w:val="single" w:color="auto" w:sz="4" w:space="0"/>
              <w:bottom w:val="single" w:color="auto" w:sz="4" w:space="0"/>
              <w:right w:val="single" w:color="auto" w:sz="4" w:space="0"/>
            </w:tcBorders>
            <w:vAlign w:val="center"/>
          </w:tcPr>
          <w:p w14:paraId="32A5ABE5">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015C99DB">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技术职务</w:t>
            </w:r>
          </w:p>
        </w:tc>
        <w:tc>
          <w:tcPr>
            <w:tcW w:w="2060" w:type="dxa"/>
            <w:tcBorders>
              <w:top w:val="single" w:color="auto" w:sz="4" w:space="0"/>
              <w:left w:val="single" w:color="auto" w:sz="4" w:space="0"/>
              <w:bottom w:val="single" w:color="auto" w:sz="4" w:space="0"/>
              <w:right w:val="single" w:color="auto" w:sz="4" w:space="0"/>
            </w:tcBorders>
            <w:vAlign w:val="center"/>
          </w:tcPr>
          <w:p w14:paraId="22713213">
            <w:pPr>
              <w:autoSpaceDE w:val="0"/>
              <w:autoSpaceDN w:val="0"/>
              <w:adjustRightInd w:val="0"/>
              <w:spacing w:line="360" w:lineRule="auto"/>
              <w:jc w:val="center"/>
              <w:rPr>
                <w:rFonts w:ascii="宋体" w:hAnsi="宋体" w:cs="宋体"/>
                <w:spacing w:val="20"/>
                <w:kern w:val="0"/>
                <w:sz w:val="24"/>
                <w:szCs w:val="24"/>
              </w:rPr>
            </w:pPr>
          </w:p>
        </w:tc>
      </w:tr>
      <w:tr w14:paraId="15AA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090" w:type="dxa"/>
            <w:tcBorders>
              <w:top w:val="single" w:color="auto" w:sz="4" w:space="0"/>
              <w:left w:val="single" w:color="auto" w:sz="4" w:space="0"/>
              <w:bottom w:val="single" w:color="auto" w:sz="4" w:space="0"/>
              <w:right w:val="single" w:color="auto" w:sz="4" w:space="0"/>
            </w:tcBorders>
            <w:vAlign w:val="center"/>
          </w:tcPr>
          <w:p w14:paraId="22D6E4D9">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职务</w:t>
            </w:r>
          </w:p>
        </w:tc>
        <w:tc>
          <w:tcPr>
            <w:tcW w:w="1078" w:type="dxa"/>
            <w:tcBorders>
              <w:top w:val="single" w:color="auto" w:sz="4" w:space="0"/>
              <w:left w:val="single" w:color="auto" w:sz="4" w:space="0"/>
              <w:bottom w:val="single" w:color="auto" w:sz="4" w:space="0"/>
              <w:right w:val="single" w:color="auto" w:sz="4" w:space="0"/>
            </w:tcBorders>
          </w:tcPr>
          <w:p w14:paraId="418F1671">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35545925">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本合同中拟任职务</w:t>
            </w:r>
          </w:p>
        </w:tc>
        <w:tc>
          <w:tcPr>
            <w:tcW w:w="958" w:type="dxa"/>
            <w:tcBorders>
              <w:top w:val="single" w:color="auto" w:sz="4" w:space="0"/>
              <w:left w:val="single" w:color="auto" w:sz="4" w:space="0"/>
              <w:bottom w:val="single" w:color="auto" w:sz="4" w:space="0"/>
              <w:right w:val="single" w:color="auto" w:sz="4" w:space="0"/>
            </w:tcBorders>
            <w:vAlign w:val="center"/>
          </w:tcPr>
          <w:p w14:paraId="637BA21F">
            <w:pPr>
              <w:pStyle w:val="73"/>
              <w:spacing w:before="0" w:after="0" w:line="360" w:lineRule="auto"/>
              <w:rPr>
                <w:rFonts w:ascii="宋体" w:hAnsi="宋体" w:eastAsia="宋体" w:cs="宋体"/>
                <w:sz w:val="24"/>
                <w:szCs w:val="24"/>
              </w:rPr>
            </w:pPr>
          </w:p>
        </w:tc>
        <w:tc>
          <w:tcPr>
            <w:tcW w:w="2276" w:type="dxa"/>
            <w:tcBorders>
              <w:top w:val="single" w:color="auto" w:sz="4" w:space="0"/>
              <w:left w:val="single" w:color="auto" w:sz="4" w:space="0"/>
              <w:bottom w:val="single" w:color="auto" w:sz="4" w:space="0"/>
              <w:right w:val="single" w:color="auto" w:sz="4" w:space="0"/>
            </w:tcBorders>
            <w:vAlign w:val="center"/>
          </w:tcPr>
          <w:p w14:paraId="7D9F3C3A">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为响应人服务期限</w:t>
            </w:r>
          </w:p>
        </w:tc>
        <w:tc>
          <w:tcPr>
            <w:tcW w:w="2060" w:type="dxa"/>
            <w:tcBorders>
              <w:top w:val="single" w:color="auto" w:sz="4" w:space="0"/>
              <w:left w:val="single" w:color="auto" w:sz="4" w:space="0"/>
              <w:bottom w:val="single" w:color="auto" w:sz="4" w:space="0"/>
              <w:right w:val="single" w:color="auto" w:sz="4" w:space="0"/>
            </w:tcBorders>
            <w:vAlign w:val="center"/>
          </w:tcPr>
          <w:p w14:paraId="7507EF83">
            <w:pPr>
              <w:autoSpaceDE w:val="0"/>
              <w:autoSpaceDN w:val="0"/>
              <w:adjustRightInd w:val="0"/>
              <w:spacing w:line="360" w:lineRule="auto"/>
              <w:jc w:val="center"/>
              <w:rPr>
                <w:rFonts w:ascii="宋体" w:hAnsi="宋体" w:cs="宋体"/>
                <w:spacing w:val="20"/>
                <w:kern w:val="0"/>
                <w:sz w:val="24"/>
                <w:szCs w:val="24"/>
              </w:rPr>
            </w:pPr>
          </w:p>
        </w:tc>
      </w:tr>
      <w:tr w14:paraId="553F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1090" w:type="dxa"/>
            <w:tcBorders>
              <w:top w:val="single" w:color="auto" w:sz="4" w:space="0"/>
              <w:left w:val="single" w:color="auto" w:sz="4" w:space="0"/>
              <w:bottom w:val="single" w:color="auto" w:sz="4" w:space="0"/>
              <w:right w:val="single" w:color="auto" w:sz="4" w:space="0"/>
            </w:tcBorders>
            <w:vAlign w:val="center"/>
          </w:tcPr>
          <w:p w14:paraId="2790EC08">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学历</w:t>
            </w:r>
          </w:p>
        </w:tc>
        <w:tc>
          <w:tcPr>
            <w:tcW w:w="8648" w:type="dxa"/>
            <w:gridSpan w:val="5"/>
            <w:tcBorders>
              <w:top w:val="single" w:color="auto" w:sz="4" w:space="0"/>
              <w:left w:val="single" w:color="auto" w:sz="4" w:space="0"/>
              <w:bottom w:val="single" w:color="auto" w:sz="4" w:space="0"/>
              <w:right w:val="single" w:color="auto" w:sz="4" w:space="0"/>
            </w:tcBorders>
            <w:vAlign w:val="center"/>
          </w:tcPr>
          <w:p w14:paraId="2709B2D3">
            <w:pPr>
              <w:pStyle w:val="73"/>
              <w:spacing w:before="0" w:after="0" w:line="360" w:lineRule="auto"/>
              <w:rPr>
                <w:rFonts w:ascii="宋体" w:hAnsi="宋体" w:eastAsia="宋体" w:cs="宋体"/>
                <w:sz w:val="24"/>
                <w:szCs w:val="24"/>
              </w:rPr>
            </w:pPr>
          </w:p>
        </w:tc>
      </w:tr>
      <w:tr w14:paraId="49EE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2168" w:type="dxa"/>
            <w:gridSpan w:val="2"/>
            <w:tcBorders>
              <w:top w:val="single" w:color="auto" w:sz="4" w:space="0"/>
              <w:left w:val="single" w:color="auto" w:sz="4" w:space="0"/>
              <w:bottom w:val="single" w:color="auto" w:sz="4" w:space="0"/>
              <w:right w:val="single" w:color="auto" w:sz="4" w:space="0"/>
            </w:tcBorders>
            <w:vAlign w:val="center"/>
          </w:tcPr>
          <w:p w14:paraId="42A5A841">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相关职业/执业资格</w:t>
            </w:r>
          </w:p>
        </w:tc>
        <w:tc>
          <w:tcPr>
            <w:tcW w:w="2276" w:type="dxa"/>
            <w:tcBorders>
              <w:top w:val="single" w:color="auto" w:sz="4" w:space="0"/>
              <w:left w:val="single" w:color="auto" w:sz="4" w:space="0"/>
              <w:bottom w:val="single" w:color="auto" w:sz="4" w:space="0"/>
              <w:right w:val="single" w:color="auto" w:sz="4" w:space="0"/>
            </w:tcBorders>
            <w:vAlign w:val="center"/>
          </w:tcPr>
          <w:p w14:paraId="319BEDB1">
            <w:pPr>
              <w:pStyle w:val="73"/>
              <w:spacing w:before="0" w:after="0" w:line="360" w:lineRule="auto"/>
              <w:rPr>
                <w:rFonts w:ascii="宋体" w:hAnsi="宋体" w:eastAsia="宋体" w:cs="宋体"/>
                <w:sz w:val="24"/>
                <w:szCs w:val="24"/>
              </w:rPr>
            </w:pPr>
          </w:p>
        </w:tc>
        <w:tc>
          <w:tcPr>
            <w:tcW w:w="3234" w:type="dxa"/>
            <w:gridSpan w:val="2"/>
            <w:tcBorders>
              <w:top w:val="single" w:color="auto" w:sz="4" w:space="0"/>
              <w:left w:val="single" w:color="auto" w:sz="4" w:space="0"/>
              <w:bottom w:val="single" w:color="auto" w:sz="4" w:space="0"/>
              <w:right w:val="single" w:color="auto" w:sz="4" w:space="0"/>
            </w:tcBorders>
            <w:vAlign w:val="center"/>
          </w:tcPr>
          <w:p w14:paraId="60823A8B">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取得职业/执业资格时间</w:t>
            </w:r>
          </w:p>
        </w:tc>
        <w:tc>
          <w:tcPr>
            <w:tcW w:w="2060" w:type="dxa"/>
            <w:tcBorders>
              <w:top w:val="single" w:color="auto" w:sz="4" w:space="0"/>
              <w:left w:val="single" w:color="auto" w:sz="4" w:space="0"/>
              <w:bottom w:val="single" w:color="auto" w:sz="4" w:space="0"/>
              <w:right w:val="single" w:color="auto" w:sz="4" w:space="0"/>
            </w:tcBorders>
            <w:vAlign w:val="center"/>
          </w:tcPr>
          <w:p w14:paraId="049E88C9">
            <w:pPr>
              <w:autoSpaceDE w:val="0"/>
              <w:autoSpaceDN w:val="0"/>
              <w:adjustRightInd w:val="0"/>
              <w:spacing w:line="360" w:lineRule="auto"/>
              <w:jc w:val="center"/>
              <w:rPr>
                <w:rFonts w:ascii="宋体" w:hAnsi="宋体" w:cs="宋体"/>
                <w:spacing w:val="20"/>
                <w:kern w:val="0"/>
                <w:sz w:val="24"/>
                <w:szCs w:val="24"/>
              </w:rPr>
            </w:pPr>
          </w:p>
        </w:tc>
      </w:tr>
      <w:tr w14:paraId="3479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9738" w:type="dxa"/>
            <w:gridSpan w:val="6"/>
            <w:tcBorders>
              <w:top w:val="single" w:color="auto" w:sz="4" w:space="0"/>
              <w:left w:val="single" w:color="auto" w:sz="4" w:space="0"/>
              <w:bottom w:val="single" w:color="auto" w:sz="4" w:space="0"/>
              <w:right w:val="single" w:color="auto" w:sz="4" w:space="0"/>
            </w:tcBorders>
            <w:vAlign w:val="center"/>
          </w:tcPr>
          <w:p w14:paraId="10305FF4">
            <w:pPr>
              <w:pStyle w:val="73"/>
              <w:spacing w:before="0" w:after="0" w:line="360" w:lineRule="auto"/>
              <w:jc w:val="left"/>
              <w:rPr>
                <w:rFonts w:ascii="宋体" w:hAnsi="宋体" w:eastAsia="宋体" w:cs="宋体"/>
                <w:sz w:val="24"/>
                <w:szCs w:val="24"/>
              </w:rPr>
            </w:pPr>
            <w:r>
              <w:rPr>
                <w:rFonts w:hint="eastAsia" w:ascii="宋体" w:hAnsi="宋体" w:eastAsia="宋体" w:cs="宋体"/>
                <w:sz w:val="24"/>
                <w:szCs w:val="24"/>
              </w:rPr>
              <w:t>2.经历</w:t>
            </w:r>
          </w:p>
        </w:tc>
      </w:tr>
      <w:tr w14:paraId="4ACE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trPr>
        <w:tc>
          <w:tcPr>
            <w:tcW w:w="1090" w:type="dxa"/>
            <w:tcBorders>
              <w:top w:val="single" w:color="auto" w:sz="4" w:space="0"/>
              <w:left w:val="single" w:color="auto" w:sz="4" w:space="0"/>
              <w:bottom w:val="single" w:color="auto" w:sz="4" w:space="0"/>
              <w:right w:val="single" w:color="auto" w:sz="4" w:space="0"/>
            </w:tcBorders>
            <w:vAlign w:val="center"/>
          </w:tcPr>
          <w:p w14:paraId="51DC7E60">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年份</w:t>
            </w:r>
          </w:p>
        </w:tc>
        <w:tc>
          <w:tcPr>
            <w:tcW w:w="3354" w:type="dxa"/>
            <w:gridSpan w:val="2"/>
            <w:tcBorders>
              <w:top w:val="single" w:color="auto" w:sz="4" w:space="0"/>
              <w:left w:val="single" w:color="auto" w:sz="4" w:space="0"/>
              <w:bottom w:val="single" w:color="auto" w:sz="4" w:space="0"/>
              <w:right w:val="single" w:color="auto" w:sz="4" w:space="0"/>
            </w:tcBorders>
            <w:vAlign w:val="center"/>
          </w:tcPr>
          <w:p w14:paraId="242740F0">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负责过的主要项目</w:t>
            </w:r>
          </w:p>
          <w:p w14:paraId="598B4EE1">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（类型金额）</w:t>
            </w:r>
          </w:p>
        </w:tc>
        <w:tc>
          <w:tcPr>
            <w:tcW w:w="3234" w:type="dxa"/>
            <w:gridSpan w:val="2"/>
            <w:tcBorders>
              <w:top w:val="single" w:color="auto" w:sz="4" w:space="0"/>
              <w:left w:val="single" w:color="auto" w:sz="4" w:space="0"/>
              <w:bottom w:val="single" w:color="auto" w:sz="4" w:space="0"/>
              <w:right w:val="single" w:color="auto" w:sz="4" w:space="0"/>
            </w:tcBorders>
            <w:vAlign w:val="center"/>
          </w:tcPr>
          <w:p w14:paraId="5435051A">
            <w:pPr>
              <w:pStyle w:val="73"/>
              <w:spacing w:before="0" w:after="0" w:line="360" w:lineRule="auto"/>
              <w:rPr>
                <w:rFonts w:ascii="宋体" w:hAnsi="宋体" w:eastAsia="宋体" w:cs="宋体"/>
                <w:sz w:val="24"/>
                <w:szCs w:val="24"/>
              </w:rPr>
            </w:pPr>
            <w:r>
              <w:rPr>
                <w:rFonts w:hint="eastAsia" w:ascii="宋体" w:hAnsi="宋体" w:eastAsia="宋体" w:cs="宋体"/>
                <w:sz w:val="24"/>
                <w:szCs w:val="24"/>
              </w:rPr>
              <w:t>该项目中任职</w:t>
            </w:r>
          </w:p>
        </w:tc>
        <w:tc>
          <w:tcPr>
            <w:tcW w:w="2060" w:type="dxa"/>
            <w:tcBorders>
              <w:top w:val="single" w:color="auto" w:sz="4" w:space="0"/>
              <w:left w:val="single" w:color="auto" w:sz="4" w:space="0"/>
              <w:bottom w:val="single" w:color="auto" w:sz="4" w:space="0"/>
              <w:right w:val="single" w:color="auto" w:sz="4" w:space="0"/>
            </w:tcBorders>
            <w:vAlign w:val="center"/>
          </w:tcPr>
          <w:p w14:paraId="1A239169">
            <w:pPr>
              <w:pStyle w:val="73"/>
              <w:spacing w:before="0" w:after="0" w:line="360" w:lineRule="auto"/>
              <w:rPr>
                <w:rFonts w:ascii="宋体" w:hAnsi="宋体" w:eastAsia="宋体" w:cs="宋体"/>
                <w:spacing w:val="20"/>
                <w:sz w:val="24"/>
                <w:szCs w:val="24"/>
              </w:rPr>
            </w:pPr>
            <w:r>
              <w:rPr>
                <w:rFonts w:hint="eastAsia" w:ascii="宋体" w:hAnsi="宋体" w:eastAsia="宋体" w:cs="宋体"/>
                <w:sz w:val="24"/>
                <w:szCs w:val="24"/>
              </w:rPr>
              <w:t>备注</w:t>
            </w:r>
          </w:p>
        </w:tc>
      </w:tr>
      <w:tr w14:paraId="6472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8" w:hRule="atLeast"/>
        </w:trPr>
        <w:tc>
          <w:tcPr>
            <w:tcW w:w="1090" w:type="dxa"/>
            <w:tcBorders>
              <w:top w:val="single" w:color="auto" w:sz="4" w:space="0"/>
              <w:left w:val="single" w:color="auto" w:sz="4" w:space="0"/>
              <w:bottom w:val="single" w:color="auto" w:sz="4" w:space="0"/>
              <w:right w:val="single" w:color="auto" w:sz="4" w:space="0"/>
            </w:tcBorders>
          </w:tcPr>
          <w:p w14:paraId="68ECE0B5">
            <w:pPr>
              <w:pStyle w:val="73"/>
              <w:spacing w:before="0" w:after="0" w:line="360" w:lineRule="auto"/>
              <w:rPr>
                <w:rFonts w:ascii="宋体" w:hAnsi="宋体" w:eastAsia="宋体" w:cs="宋体"/>
                <w:sz w:val="24"/>
                <w:szCs w:val="24"/>
              </w:rPr>
            </w:pPr>
          </w:p>
          <w:p w14:paraId="054B668C">
            <w:pPr>
              <w:pStyle w:val="73"/>
              <w:spacing w:before="0" w:after="0" w:line="360" w:lineRule="auto"/>
              <w:rPr>
                <w:rFonts w:ascii="宋体" w:hAnsi="宋体" w:eastAsia="宋体" w:cs="宋体"/>
                <w:sz w:val="24"/>
                <w:szCs w:val="24"/>
              </w:rPr>
            </w:pPr>
          </w:p>
          <w:p w14:paraId="4B2BEB0B">
            <w:pPr>
              <w:pStyle w:val="73"/>
              <w:spacing w:before="0" w:after="0" w:line="360" w:lineRule="auto"/>
              <w:rPr>
                <w:rFonts w:ascii="宋体" w:hAnsi="宋体" w:eastAsia="宋体" w:cs="宋体"/>
                <w:sz w:val="24"/>
                <w:szCs w:val="24"/>
              </w:rPr>
            </w:pPr>
          </w:p>
          <w:p w14:paraId="5A7A2664">
            <w:pPr>
              <w:pStyle w:val="73"/>
              <w:spacing w:before="0" w:after="0" w:line="360" w:lineRule="auto"/>
              <w:rPr>
                <w:rFonts w:ascii="宋体" w:hAnsi="宋体" w:eastAsia="宋体" w:cs="宋体"/>
                <w:sz w:val="24"/>
                <w:szCs w:val="24"/>
              </w:rPr>
            </w:pPr>
          </w:p>
          <w:p w14:paraId="7C30EB1E">
            <w:pPr>
              <w:pStyle w:val="73"/>
              <w:spacing w:before="0" w:after="0" w:line="360" w:lineRule="auto"/>
              <w:rPr>
                <w:rFonts w:ascii="宋体" w:hAnsi="宋体" w:eastAsia="宋体" w:cs="宋体"/>
                <w:sz w:val="24"/>
                <w:szCs w:val="24"/>
              </w:rPr>
            </w:pPr>
          </w:p>
          <w:p w14:paraId="0B3E5E66">
            <w:pPr>
              <w:pStyle w:val="73"/>
              <w:spacing w:before="0" w:after="0" w:line="360" w:lineRule="auto"/>
              <w:rPr>
                <w:rFonts w:ascii="宋体" w:hAnsi="宋体" w:eastAsia="宋体" w:cs="宋体"/>
                <w:sz w:val="24"/>
                <w:szCs w:val="24"/>
              </w:rPr>
            </w:pPr>
          </w:p>
          <w:p w14:paraId="64852AF9">
            <w:pPr>
              <w:pStyle w:val="73"/>
              <w:spacing w:before="0" w:after="0" w:line="360" w:lineRule="auto"/>
              <w:rPr>
                <w:rFonts w:ascii="宋体" w:hAnsi="宋体" w:eastAsia="宋体" w:cs="宋体"/>
                <w:sz w:val="24"/>
                <w:szCs w:val="24"/>
              </w:rPr>
            </w:pPr>
          </w:p>
          <w:p w14:paraId="1E2F4808">
            <w:pPr>
              <w:pStyle w:val="73"/>
              <w:spacing w:before="0" w:after="0" w:line="360" w:lineRule="auto"/>
              <w:rPr>
                <w:rFonts w:ascii="宋体" w:hAnsi="宋体" w:eastAsia="宋体" w:cs="宋体"/>
                <w:sz w:val="24"/>
                <w:szCs w:val="24"/>
              </w:rPr>
            </w:pPr>
          </w:p>
          <w:p w14:paraId="05B6AA60">
            <w:pPr>
              <w:pStyle w:val="73"/>
              <w:spacing w:before="0" w:after="0" w:line="360" w:lineRule="auto"/>
              <w:rPr>
                <w:rFonts w:ascii="宋体" w:hAnsi="宋体" w:eastAsia="宋体" w:cs="宋体"/>
                <w:sz w:val="24"/>
                <w:szCs w:val="24"/>
              </w:rPr>
            </w:pPr>
          </w:p>
        </w:tc>
        <w:tc>
          <w:tcPr>
            <w:tcW w:w="3354" w:type="dxa"/>
            <w:gridSpan w:val="2"/>
            <w:tcBorders>
              <w:top w:val="single" w:color="auto" w:sz="4" w:space="0"/>
              <w:left w:val="single" w:color="auto" w:sz="4" w:space="0"/>
              <w:bottom w:val="single" w:color="auto" w:sz="4" w:space="0"/>
              <w:right w:val="single" w:color="auto" w:sz="4" w:space="0"/>
            </w:tcBorders>
            <w:vAlign w:val="center"/>
          </w:tcPr>
          <w:p w14:paraId="27D95DE0">
            <w:pPr>
              <w:pStyle w:val="73"/>
              <w:spacing w:before="0" w:after="0" w:line="360" w:lineRule="auto"/>
              <w:rPr>
                <w:rFonts w:ascii="宋体" w:hAnsi="宋体" w:eastAsia="宋体" w:cs="宋体"/>
                <w:sz w:val="24"/>
                <w:szCs w:val="24"/>
              </w:rPr>
            </w:pPr>
          </w:p>
        </w:tc>
        <w:tc>
          <w:tcPr>
            <w:tcW w:w="3234" w:type="dxa"/>
            <w:gridSpan w:val="2"/>
            <w:tcBorders>
              <w:top w:val="single" w:color="auto" w:sz="4" w:space="0"/>
              <w:left w:val="single" w:color="auto" w:sz="4" w:space="0"/>
              <w:bottom w:val="single" w:color="auto" w:sz="4" w:space="0"/>
              <w:right w:val="single" w:color="auto" w:sz="4" w:space="0"/>
            </w:tcBorders>
            <w:vAlign w:val="center"/>
          </w:tcPr>
          <w:p w14:paraId="7CC5B818">
            <w:pPr>
              <w:pStyle w:val="73"/>
              <w:spacing w:before="0" w:after="0" w:line="360" w:lineRule="auto"/>
              <w:jc w:val="both"/>
              <w:rPr>
                <w:rFonts w:ascii="宋体" w:hAnsi="宋体" w:eastAsia="宋体" w:cs="宋体"/>
                <w:sz w:val="24"/>
                <w:szCs w:val="24"/>
              </w:rPr>
            </w:pPr>
          </w:p>
        </w:tc>
        <w:tc>
          <w:tcPr>
            <w:tcW w:w="2060" w:type="dxa"/>
            <w:tcBorders>
              <w:top w:val="single" w:color="auto" w:sz="4" w:space="0"/>
              <w:left w:val="single" w:color="auto" w:sz="4" w:space="0"/>
              <w:bottom w:val="single" w:color="auto" w:sz="4" w:space="0"/>
              <w:right w:val="single" w:color="auto" w:sz="4" w:space="0"/>
            </w:tcBorders>
            <w:vAlign w:val="center"/>
          </w:tcPr>
          <w:p w14:paraId="74DEC47A">
            <w:pPr>
              <w:autoSpaceDE w:val="0"/>
              <w:autoSpaceDN w:val="0"/>
              <w:adjustRightInd w:val="0"/>
              <w:spacing w:line="360" w:lineRule="auto"/>
              <w:jc w:val="center"/>
              <w:rPr>
                <w:rFonts w:ascii="宋体" w:hAnsi="宋体" w:cs="宋体"/>
                <w:spacing w:val="20"/>
                <w:kern w:val="0"/>
                <w:sz w:val="24"/>
                <w:szCs w:val="24"/>
              </w:rPr>
            </w:pPr>
          </w:p>
        </w:tc>
      </w:tr>
    </w:tbl>
    <w:p w14:paraId="70C16E7F">
      <w:pPr>
        <w:spacing w:line="360" w:lineRule="auto"/>
        <w:rPr>
          <w:rFonts w:ascii="宋体" w:hAnsi="宋体" w:cs="宋体"/>
          <w:sz w:val="24"/>
          <w:szCs w:val="24"/>
        </w:rPr>
      </w:pPr>
      <w:r>
        <w:rPr>
          <w:rFonts w:hint="eastAsia" w:ascii="宋体" w:hAnsi="宋体" w:cs="宋体"/>
          <w:sz w:val="24"/>
          <w:szCs w:val="24"/>
        </w:rPr>
        <w:t>注：</w:t>
      </w:r>
    </w:p>
    <w:p w14:paraId="31CD310F">
      <w:pPr>
        <w:spacing w:line="360" w:lineRule="auto"/>
        <w:rPr>
          <w:rFonts w:ascii="宋体" w:hAnsi="宋体" w:cs="宋体"/>
          <w:sz w:val="24"/>
          <w:szCs w:val="24"/>
        </w:rPr>
      </w:pPr>
      <w:r>
        <w:rPr>
          <w:rFonts w:hint="eastAsia" w:ascii="宋体" w:hAnsi="宋体" w:cs="宋体"/>
          <w:sz w:val="24"/>
          <w:szCs w:val="24"/>
        </w:rPr>
        <w:t>1.须提供相关证明材料。</w:t>
      </w:r>
    </w:p>
    <w:p w14:paraId="0DA56836">
      <w:pPr>
        <w:spacing w:line="360" w:lineRule="auto"/>
        <w:rPr>
          <w:rFonts w:ascii="宋体" w:hAnsi="宋体" w:cs="宋体"/>
          <w:sz w:val="24"/>
          <w:szCs w:val="24"/>
        </w:rPr>
      </w:pPr>
      <w:r>
        <w:rPr>
          <w:rFonts w:hint="eastAsia" w:ascii="宋体" w:hAnsi="宋体" w:cs="宋体"/>
          <w:sz w:val="24"/>
          <w:szCs w:val="24"/>
        </w:rPr>
        <w:t>2.项目负责人一旦确定，成交后原则上不再变更，若变更，须征得采购人同意。</w:t>
      </w:r>
    </w:p>
    <w:p w14:paraId="4ABE9F44">
      <w:pPr>
        <w:pStyle w:val="15"/>
        <w:spacing w:before="0" w:beforeAutospacing="0" w:after="0" w:afterAutospacing="0" w:line="360" w:lineRule="auto"/>
        <w:rPr>
          <w:rFonts w:cs="宋体"/>
          <w:b/>
          <w:color w:val="auto"/>
          <w:szCs w:val="24"/>
        </w:rPr>
      </w:pPr>
    </w:p>
    <w:p w14:paraId="0C98CACF">
      <w:pPr>
        <w:pStyle w:val="15"/>
        <w:spacing w:before="0" w:beforeAutospacing="0" w:after="0" w:afterAutospacing="0" w:line="360" w:lineRule="auto"/>
        <w:rPr>
          <w:rFonts w:cs="宋体"/>
          <w:b/>
          <w:color w:val="auto"/>
          <w:szCs w:val="24"/>
        </w:rPr>
      </w:pPr>
    </w:p>
    <w:p w14:paraId="11E1C8EC">
      <w:pPr>
        <w:pStyle w:val="15"/>
        <w:spacing w:before="0" w:beforeAutospacing="0" w:after="0" w:afterAutospacing="0" w:line="360" w:lineRule="auto"/>
        <w:rPr>
          <w:rFonts w:cs="宋体"/>
          <w:b/>
          <w:color w:val="auto"/>
          <w:szCs w:val="24"/>
        </w:rPr>
      </w:pPr>
    </w:p>
    <w:p w14:paraId="198A7F17">
      <w:pPr>
        <w:pStyle w:val="15"/>
        <w:spacing w:before="0" w:beforeAutospacing="0" w:after="0" w:afterAutospacing="0" w:line="360" w:lineRule="auto"/>
        <w:rPr>
          <w:rFonts w:cs="宋体"/>
          <w:b/>
          <w:color w:val="auto"/>
          <w:szCs w:val="24"/>
        </w:rPr>
      </w:pPr>
    </w:p>
    <w:p w14:paraId="3A0CCD23">
      <w:pPr>
        <w:pStyle w:val="5"/>
        <w:spacing w:before="0" w:after="0" w:line="360" w:lineRule="auto"/>
        <w:jc w:val="center"/>
        <w:rPr>
          <w:rFonts w:ascii="宋体" w:hAnsi="宋体" w:cs="宋体"/>
          <w:sz w:val="24"/>
          <w:szCs w:val="24"/>
        </w:rPr>
      </w:pPr>
      <w:bookmarkStart w:id="161" w:name="_Toc29856"/>
      <w:bookmarkStart w:id="162" w:name="_Toc11120"/>
      <w:bookmarkStart w:id="163" w:name="_Toc23979"/>
      <w:r>
        <w:rPr>
          <w:rFonts w:hint="eastAsia" w:ascii="宋体" w:hAnsi="宋体" w:cs="宋体"/>
          <w:sz w:val="24"/>
          <w:szCs w:val="24"/>
        </w:rPr>
        <w:t>附件7-3 拟投入本项目的项目人员一览表（格式）</w:t>
      </w:r>
      <w:bookmarkEnd w:id="161"/>
      <w:bookmarkEnd w:id="162"/>
      <w:bookmarkEnd w:id="163"/>
    </w:p>
    <w:p w14:paraId="75D79ECD">
      <w:pPr>
        <w:spacing w:line="360" w:lineRule="auto"/>
        <w:rPr>
          <w:rFonts w:ascii="宋体" w:hAnsi="宋体" w:cs="宋体"/>
          <w:b/>
          <w:sz w:val="24"/>
          <w:szCs w:val="24"/>
        </w:rPr>
      </w:pPr>
    </w:p>
    <w:p w14:paraId="3D8EA9E6">
      <w:pPr>
        <w:spacing w:line="360" w:lineRule="auto"/>
        <w:rPr>
          <w:rFonts w:ascii="宋体" w:hAnsi="宋体" w:cs="宋体"/>
          <w:sz w:val="24"/>
          <w:szCs w:val="24"/>
        </w:rPr>
      </w:pPr>
      <w:r>
        <w:rPr>
          <w:rFonts w:hint="eastAsia" w:ascii="宋体" w:hAnsi="宋体" w:cs="宋体"/>
          <w:sz w:val="24"/>
          <w:szCs w:val="24"/>
        </w:rPr>
        <w:t>项目名称：</w:t>
      </w:r>
    </w:p>
    <w:p w14:paraId="71997824">
      <w:pPr>
        <w:spacing w:line="360" w:lineRule="auto"/>
        <w:rPr>
          <w:rFonts w:ascii="宋体" w:hAnsi="宋体" w:cs="宋体"/>
          <w:b/>
          <w:sz w:val="24"/>
          <w:szCs w:val="24"/>
        </w:rPr>
      </w:pPr>
      <w:r>
        <w:rPr>
          <w:rFonts w:hint="eastAsia" w:ascii="宋体" w:hAnsi="宋体" w:cs="宋体"/>
          <w:sz w:val="24"/>
          <w:szCs w:val="24"/>
        </w:rPr>
        <w:t>项目编号：</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973"/>
        <w:gridCol w:w="1297"/>
        <w:gridCol w:w="1297"/>
        <w:gridCol w:w="1563"/>
        <w:gridCol w:w="1679"/>
        <w:gridCol w:w="1622"/>
      </w:tblGrid>
      <w:tr w14:paraId="5D97F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704BE6A4">
            <w:pPr>
              <w:spacing w:line="360" w:lineRule="auto"/>
              <w:jc w:val="center"/>
              <w:rPr>
                <w:rFonts w:ascii="宋体" w:hAnsi="宋体" w:cs="宋体"/>
                <w:sz w:val="24"/>
                <w:szCs w:val="24"/>
              </w:rPr>
            </w:pPr>
            <w:r>
              <w:rPr>
                <w:rFonts w:hint="eastAsia" w:ascii="宋体" w:hAnsi="宋体" w:cs="宋体"/>
                <w:sz w:val="24"/>
                <w:szCs w:val="24"/>
              </w:rPr>
              <w:t>序号</w:t>
            </w:r>
          </w:p>
        </w:tc>
        <w:tc>
          <w:tcPr>
            <w:tcW w:w="973" w:type="dxa"/>
            <w:tcBorders>
              <w:top w:val="single" w:color="auto" w:sz="4" w:space="0"/>
              <w:left w:val="single" w:color="auto" w:sz="4" w:space="0"/>
              <w:bottom w:val="single" w:color="auto" w:sz="4" w:space="0"/>
              <w:right w:val="single" w:color="auto" w:sz="4" w:space="0"/>
            </w:tcBorders>
            <w:vAlign w:val="center"/>
          </w:tcPr>
          <w:p w14:paraId="33E77AA5">
            <w:pPr>
              <w:spacing w:line="360" w:lineRule="auto"/>
              <w:jc w:val="center"/>
              <w:rPr>
                <w:rFonts w:ascii="宋体" w:hAnsi="宋体" w:cs="宋体"/>
                <w:sz w:val="24"/>
                <w:szCs w:val="24"/>
              </w:rPr>
            </w:pPr>
            <w:r>
              <w:rPr>
                <w:rFonts w:hint="eastAsia" w:ascii="宋体" w:hAnsi="宋体" w:cs="宋体"/>
                <w:sz w:val="24"/>
                <w:szCs w:val="24"/>
              </w:rPr>
              <w:t>姓名</w:t>
            </w:r>
          </w:p>
        </w:tc>
        <w:tc>
          <w:tcPr>
            <w:tcW w:w="1297" w:type="dxa"/>
            <w:tcBorders>
              <w:top w:val="single" w:color="auto" w:sz="4" w:space="0"/>
              <w:left w:val="single" w:color="auto" w:sz="4" w:space="0"/>
              <w:bottom w:val="single" w:color="auto" w:sz="4" w:space="0"/>
              <w:right w:val="single" w:color="auto" w:sz="4" w:space="0"/>
            </w:tcBorders>
            <w:vAlign w:val="center"/>
          </w:tcPr>
          <w:p w14:paraId="5F7FEA37">
            <w:pPr>
              <w:spacing w:line="360" w:lineRule="auto"/>
              <w:jc w:val="center"/>
              <w:rPr>
                <w:rFonts w:ascii="宋体" w:hAnsi="宋体" w:cs="宋体"/>
                <w:sz w:val="24"/>
                <w:szCs w:val="24"/>
              </w:rPr>
            </w:pPr>
            <w:r>
              <w:rPr>
                <w:rFonts w:hint="eastAsia" w:ascii="宋体" w:hAnsi="宋体" w:cs="宋体"/>
                <w:sz w:val="24"/>
                <w:szCs w:val="24"/>
              </w:rPr>
              <w:t>技术职称</w:t>
            </w:r>
          </w:p>
        </w:tc>
        <w:tc>
          <w:tcPr>
            <w:tcW w:w="1297" w:type="dxa"/>
            <w:tcBorders>
              <w:top w:val="single" w:color="auto" w:sz="4" w:space="0"/>
              <w:left w:val="single" w:color="auto" w:sz="4" w:space="0"/>
              <w:bottom w:val="single" w:color="auto" w:sz="4" w:space="0"/>
              <w:right w:val="single" w:color="auto" w:sz="4" w:space="0"/>
            </w:tcBorders>
            <w:vAlign w:val="center"/>
          </w:tcPr>
          <w:p w14:paraId="610148F5">
            <w:pPr>
              <w:spacing w:line="360" w:lineRule="auto"/>
              <w:jc w:val="center"/>
              <w:rPr>
                <w:rFonts w:ascii="宋体" w:hAnsi="宋体" w:cs="宋体"/>
                <w:sz w:val="24"/>
                <w:szCs w:val="24"/>
              </w:rPr>
            </w:pPr>
            <w:r>
              <w:rPr>
                <w:rFonts w:hint="eastAsia" w:ascii="宋体" w:hAnsi="宋体" w:cs="宋体"/>
                <w:sz w:val="24"/>
                <w:szCs w:val="24"/>
              </w:rPr>
              <w:t>持证情况</w:t>
            </w:r>
          </w:p>
        </w:tc>
        <w:tc>
          <w:tcPr>
            <w:tcW w:w="1563" w:type="dxa"/>
            <w:tcBorders>
              <w:top w:val="single" w:color="auto" w:sz="4" w:space="0"/>
              <w:left w:val="single" w:color="auto" w:sz="4" w:space="0"/>
              <w:bottom w:val="single" w:color="auto" w:sz="4" w:space="0"/>
              <w:right w:val="single" w:color="auto" w:sz="4" w:space="0"/>
            </w:tcBorders>
            <w:vAlign w:val="center"/>
          </w:tcPr>
          <w:p w14:paraId="14708AA4">
            <w:pPr>
              <w:spacing w:line="360" w:lineRule="auto"/>
              <w:jc w:val="center"/>
              <w:rPr>
                <w:rFonts w:ascii="宋体" w:hAnsi="宋体" w:cs="宋体"/>
                <w:sz w:val="24"/>
                <w:szCs w:val="24"/>
              </w:rPr>
            </w:pPr>
            <w:r>
              <w:rPr>
                <w:rFonts w:hint="eastAsia" w:ascii="宋体" w:hAnsi="宋体" w:cs="宋体"/>
                <w:sz w:val="24"/>
                <w:szCs w:val="24"/>
              </w:rPr>
              <w:t>本项目中担任职务</w:t>
            </w:r>
          </w:p>
        </w:tc>
        <w:tc>
          <w:tcPr>
            <w:tcW w:w="1679" w:type="dxa"/>
            <w:tcBorders>
              <w:top w:val="single" w:color="auto" w:sz="4" w:space="0"/>
              <w:left w:val="single" w:color="auto" w:sz="4" w:space="0"/>
              <w:bottom w:val="single" w:color="auto" w:sz="4" w:space="0"/>
              <w:right w:val="single" w:color="auto" w:sz="4" w:space="0"/>
            </w:tcBorders>
            <w:vAlign w:val="center"/>
          </w:tcPr>
          <w:p w14:paraId="68BE42B7">
            <w:pPr>
              <w:spacing w:line="360" w:lineRule="auto"/>
              <w:jc w:val="center"/>
              <w:rPr>
                <w:rFonts w:ascii="宋体" w:hAnsi="宋体" w:cs="宋体"/>
                <w:sz w:val="24"/>
                <w:szCs w:val="24"/>
              </w:rPr>
            </w:pPr>
            <w:r>
              <w:rPr>
                <w:rFonts w:hint="eastAsia" w:ascii="宋体" w:hAnsi="宋体" w:cs="宋体"/>
                <w:sz w:val="24"/>
                <w:szCs w:val="24"/>
              </w:rPr>
              <w:t>类似项目</w:t>
            </w:r>
          </w:p>
          <w:p w14:paraId="1A82D867">
            <w:pPr>
              <w:spacing w:line="360" w:lineRule="auto"/>
              <w:jc w:val="center"/>
              <w:rPr>
                <w:rFonts w:ascii="宋体" w:hAnsi="宋体" w:cs="宋体"/>
                <w:sz w:val="24"/>
                <w:szCs w:val="24"/>
              </w:rPr>
            </w:pPr>
            <w:r>
              <w:rPr>
                <w:rFonts w:hint="eastAsia" w:ascii="宋体" w:hAnsi="宋体" w:cs="宋体"/>
                <w:sz w:val="24"/>
                <w:szCs w:val="24"/>
              </w:rPr>
              <w:t>经验</w:t>
            </w:r>
          </w:p>
        </w:tc>
        <w:tc>
          <w:tcPr>
            <w:tcW w:w="1622" w:type="dxa"/>
            <w:tcBorders>
              <w:top w:val="single" w:color="auto" w:sz="4" w:space="0"/>
              <w:left w:val="single" w:color="auto" w:sz="4" w:space="0"/>
              <w:bottom w:val="single" w:color="auto" w:sz="4" w:space="0"/>
              <w:right w:val="single" w:color="auto" w:sz="4" w:space="0"/>
            </w:tcBorders>
            <w:vAlign w:val="center"/>
          </w:tcPr>
          <w:p w14:paraId="23A4872D">
            <w:pPr>
              <w:spacing w:line="360" w:lineRule="auto"/>
              <w:jc w:val="center"/>
              <w:rPr>
                <w:rFonts w:ascii="宋体" w:hAnsi="宋体" w:cs="宋体"/>
                <w:sz w:val="24"/>
                <w:szCs w:val="24"/>
              </w:rPr>
            </w:pPr>
            <w:r>
              <w:rPr>
                <w:rFonts w:hint="eastAsia" w:ascii="宋体" w:hAnsi="宋体" w:cs="宋体"/>
                <w:sz w:val="24"/>
                <w:szCs w:val="24"/>
              </w:rPr>
              <w:t>备注</w:t>
            </w:r>
          </w:p>
        </w:tc>
      </w:tr>
      <w:tr w14:paraId="5626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5D1618ED">
            <w:pPr>
              <w:spacing w:line="360" w:lineRule="auto"/>
              <w:jc w:val="center"/>
              <w:rPr>
                <w:rFonts w:ascii="宋体" w:hAnsi="宋体" w:cs="宋体"/>
                <w:sz w:val="24"/>
                <w:szCs w:val="24"/>
              </w:rPr>
            </w:pPr>
            <w:r>
              <w:rPr>
                <w:rFonts w:hint="eastAsia" w:ascii="宋体" w:hAnsi="宋体" w:cs="宋体"/>
                <w:sz w:val="24"/>
                <w:szCs w:val="24"/>
              </w:rPr>
              <w:t>1</w:t>
            </w:r>
          </w:p>
        </w:tc>
        <w:tc>
          <w:tcPr>
            <w:tcW w:w="973" w:type="dxa"/>
            <w:tcBorders>
              <w:top w:val="single" w:color="auto" w:sz="4" w:space="0"/>
              <w:left w:val="single" w:color="auto" w:sz="4" w:space="0"/>
              <w:bottom w:val="single" w:color="auto" w:sz="4" w:space="0"/>
              <w:right w:val="single" w:color="auto" w:sz="4" w:space="0"/>
            </w:tcBorders>
            <w:vAlign w:val="center"/>
          </w:tcPr>
          <w:p w14:paraId="31C7C715">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454B627">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2A598AFB">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2AD119A6">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66946D23">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36359E75">
            <w:pPr>
              <w:spacing w:line="360" w:lineRule="auto"/>
              <w:jc w:val="center"/>
              <w:rPr>
                <w:rFonts w:ascii="宋体" w:hAnsi="宋体" w:cs="宋体"/>
                <w:sz w:val="24"/>
                <w:szCs w:val="24"/>
              </w:rPr>
            </w:pPr>
          </w:p>
        </w:tc>
      </w:tr>
      <w:tr w14:paraId="50364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05F83EF8">
            <w:pPr>
              <w:spacing w:line="360" w:lineRule="auto"/>
              <w:jc w:val="center"/>
              <w:rPr>
                <w:rFonts w:ascii="宋体" w:hAnsi="宋体" w:cs="宋体"/>
                <w:sz w:val="24"/>
                <w:szCs w:val="24"/>
              </w:rPr>
            </w:pPr>
            <w:r>
              <w:rPr>
                <w:rFonts w:hint="eastAsia" w:ascii="宋体" w:hAnsi="宋体" w:cs="宋体"/>
                <w:sz w:val="24"/>
                <w:szCs w:val="24"/>
              </w:rPr>
              <w:t>2</w:t>
            </w:r>
          </w:p>
        </w:tc>
        <w:tc>
          <w:tcPr>
            <w:tcW w:w="973" w:type="dxa"/>
            <w:tcBorders>
              <w:top w:val="single" w:color="auto" w:sz="4" w:space="0"/>
              <w:left w:val="single" w:color="auto" w:sz="4" w:space="0"/>
              <w:bottom w:val="single" w:color="auto" w:sz="4" w:space="0"/>
              <w:right w:val="single" w:color="auto" w:sz="4" w:space="0"/>
            </w:tcBorders>
            <w:vAlign w:val="center"/>
          </w:tcPr>
          <w:p w14:paraId="3053786C">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C2C62B4">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24CC373B">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0E9201F9">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6DA4E443">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5767D2EF">
            <w:pPr>
              <w:spacing w:line="360" w:lineRule="auto"/>
              <w:jc w:val="center"/>
              <w:rPr>
                <w:rFonts w:ascii="宋体" w:hAnsi="宋体" w:cs="宋体"/>
                <w:sz w:val="24"/>
                <w:szCs w:val="24"/>
              </w:rPr>
            </w:pPr>
          </w:p>
        </w:tc>
      </w:tr>
      <w:tr w14:paraId="3463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50ED592">
            <w:pPr>
              <w:spacing w:line="360" w:lineRule="auto"/>
              <w:jc w:val="center"/>
              <w:rPr>
                <w:rFonts w:ascii="宋体" w:hAnsi="宋体" w:cs="宋体"/>
                <w:sz w:val="24"/>
                <w:szCs w:val="24"/>
              </w:rPr>
            </w:pPr>
            <w:r>
              <w:rPr>
                <w:rFonts w:hint="eastAsia" w:ascii="宋体" w:hAnsi="宋体" w:cs="宋体"/>
                <w:sz w:val="24"/>
                <w:szCs w:val="24"/>
              </w:rPr>
              <w:t>3</w:t>
            </w:r>
          </w:p>
        </w:tc>
        <w:tc>
          <w:tcPr>
            <w:tcW w:w="973" w:type="dxa"/>
            <w:tcBorders>
              <w:top w:val="single" w:color="auto" w:sz="4" w:space="0"/>
              <w:left w:val="single" w:color="auto" w:sz="4" w:space="0"/>
              <w:bottom w:val="single" w:color="auto" w:sz="4" w:space="0"/>
              <w:right w:val="single" w:color="auto" w:sz="4" w:space="0"/>
            </w:tcBorders>
            <w:vAlign w:val="center"/>
          </w:tcPr>
          <w:p w14:paraId="4D3FC47F">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323753DA">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367C95D9">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486BC746">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274A5B50">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721DB010">
            <w:pPr>
              <w:spacing w:line="360" w:lineRule="auto"/>
              <w:jc w:val="center"/>
              <w:rPr>
                <w:rFonts w:ascii="宋体" w:hAnsi="宋体" w:cs="宋体"/>
                <w:sz w:val="24"/>
                <w:szCs w:val="24"/>
              </w:rPr>
            </w:pPr>
          </w:p>
        </w:tc>
      </w:tr>
      <w:tr w14:paraId="60C2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5D2E8194">
            <w:pPr>
              <w:spacing w:line="360" w:lineRule="auto"/>
              <w:jc w:val="center"/>
              <w:rPr>
                <w:rFonts w:ascii="宋体" w:hAnsi="宋体" w:cs="宋体"/>
                <w:sz w:val="24"/>
                <w:szCs w:val="24"/>
              </w:rPr>
            </w:pPr>
            <w:r>
              <w:rPr>
                <w:rFonts w:hint="eastAsia" w:ascii="宋体" w:hAnsi="宋体" w:cs="宋体"/>
                <w:sz w:val="24"/>
                <w:szCs w:val="24"/>
              </w:rPr>
              <w:t>4</w:t>
            </w:r>
          </w:p>
        </w:tc>
        <w:tc>
          <w:tcPr>
            <w:tcW w:w="973" w:type="dxa"/>
            <w:tcBorders>
              <w:top w:val="single" w:color="auto" w:sz="4" w:space="0"/>
              <w:left w:val="single" w:color="auto" w:sz="4" w:space="0"/>
              <w:bottom w:val="single" w:color="auto" w:sz="4" w:space="0"/>
              <w:right w:val="single" w:color="auto" w:sz="4" w:space="0"/>
            </w:tcBorders>
            <w:vAlign w:val="center"/>
          </w:tcPr>
          <w:p w14:paraId="1A2BA920">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32A32D5">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428720FF">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67D95C96">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56ADD690">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76336155">
            <w:pPr>
              <w:spacing w:line="360" w:lineRule="auto"/>
              <w:jc w:val="center"/>
              <w:rPr>
                <w:rFonts w:ascii="宋体" w:hAnsi="宋体" w:cs="宋体"/>
                <w:sz w:val="24"/>
                <w:szCs w:val="24"/>
              </w:rPr>
            </w:pPr>
          </w:p>
        </w:tc>
      </w:tr>
      <w:tr w14:paraId="736B1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B4212A8">
            <w:pPr>
              <w:spacing w:line="360" w:lineRule="auto"/>
              <w:jc w:val="center"/>
              <w:rPr>
                <w:rFonts w:ascii="宋体" w:hAnsi="宋体" w:cs="宋体"/>
                <w:sz w:val="24"/>
                <w:szCs w:val="24"/>
              </w:rPr>
            </w:pPr>
          </w:p>
        </w:tc>
        <w:tc>
          <w:tcPr>
            <w:tcW w:w="973" w:type="dxa"/>
            <w:tcBorders>
              <w:top w:val="single" w:color="auto" w:sz="4" w:space="0"/>
              <w:left w:val="single" w:color="auto" w:sz="4" w:space="0"/>
              <w:bottom w:val="single" w:color="auto" w:sz="4" w:space="0"/>
              <w:right w:val="single" w:color="auto" w:sz="4" w:space="0"/>
            </w:tcBorders>
            <w:vAlign w:val="center"/>
          </w:tcPr>
          <w:p w14:paraId="7319DB76">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3C289C64">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4A525B28">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1A2AA787">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4D8EFC4E">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17667F78">
            <w:pPr>
              <w:spacing w:line="360" w:lineRule="auto"/>
              <w:jc w:val="center"/>
              <w:rPr>
                <w:rFonts w:ascii="宋体" w:hAnsi="宋体" w:cs="宋体"/>
                <w:sz w:val="24"/>
                <w:szCs w:val="24"/>
              </w:rPr>
            </w:pPr>
          </w:p>
        </w:tc>
      </w:tr>
      <w:tr w14:paraId="66CF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79D6628">
            <w:pPr>
              <w:spacing w:line="360" w:lineRule="auto"/>
              <w:jc w:val="center"/>
              <w:rPr>
                <w:rFonts w:ascii="宋体" w:hAnsi="宋体" w:cs="宋体"/>
                <w:sz w:val="24"/>
                <w:szCs w:val="24"/>
              </w:rPr>
            </w:pPr>
          </w:p>
        </w:tc>
        <w:tc>
          <w:tcPr>
            <w:tcW w:w="973" w:type="dxa"/>
            <w:tcBorders>
              <w:top w:val="single" w:color="auto" w:sz="4" w:space="0"/>
              <w:left w:val="single" w:color="auto" w:sz="4" w:space="0"/>
              <w:bottom w:val="single" w:color="auto" w:sz="4" w:space="0"/>
              <w:right w:val="single" w:color="auto" w:sz="4" w:space="0"/>
            </w:tcBorders>
            <w:vAlign w:val="center"/>
          </w:tcPr>
          <w:p w14:paraId="25C11795">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4BA782B3">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1CEAB68F">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538EDEF9">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1CF4CB0B">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7364510F">
            <w:pPr>
              <w:spacing w:line="360" w:lineRule="auto"/>
              <w:jc w:val="center"/>
              <w:rPr>
                <w:rFonts w:ascii="宋体" w:hAnsi="宋体" w:cs="宋体"/>
                <w:sz w:val="24"/>
                <w:szCs w:val="24"/>
              </w:rPr>
            </w:pPr>
          </w:p>
        </w:tc>
      </w:tr>
      <w:tr w14:paraId="1F8DF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2B567AD0">
            <w:pPr>
              <w:spacing w:line="360" w:lineRule="auto"/>
              <w:jc w:val="center"/>
              <w:rPr>
                <w:rFonts w:ascii="宋体" w:hAnsi="宋体" w:cs="宋体"/>
                <w:sz w:val="24"/>
                <w:szCs w:val="24"/>
              </w:rPr>
            </w:pPr>
          </w:p>
        </w:tc>
        <w:tc>
          <w:tcPr>
            <w:tcW w:w="973" w:type="dxa"/>
            <w:tcBorders>
              <w:top w:val="single" w:color="auto" w:sz="4" w:space="0"/>
              <w:left w:val="single" w:color="auto" w:sz="4" w:space="0"/>
              <w:bottom w:val="single" w:color="auto" w:sz="4" w:space="0"/>
              <w:right w:val="single" w:color="auto" w:sz="4" w:space="0"/>
            </w:tcBorders>
            <w:vAlign w:val="center"/>
          </w:tcPr>
          <w:p w14:paraId="0D801BE3">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7D9997CA">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64BB9B35">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0295857C">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633269F7">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4D679F47">
            <w:pPr>
              <w:spacing w:line="360" w:lineRule="auto"/>
              <w:jc w:val="center"/>
              <w:rPr>
                <w:rFonts w:ascii="宋体" w:hAnsi="宋体" w:cs="宋体"/>
                <w:sz w:val="24"/>
                <w:szCs w:val="24"/>
              </w:rPr>
            </w:pPr>
          </w:p>
        </w:tc>
      </w:tr>
      <w:tr w14:paraId="2E21F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26B284F3">
            <w:pPr>
              <w:spacing w:line="360" w:lineRule="auto"/>
              <w:jc w:val="center"/>
              <w:rPr>
                <w:rFonts w:ascii="宋体" w:hAnsi="宋体" w:cs="宋体"/>
                <w:sz w:val="24"/>
                <w:szCs w:val="24"/>
              </w:rPr>
            </w:pPr>
            <w:r>
              <w:rPr>
                <w:rFonts w:hint="eastAsia" w:ascii="宋体" w:hAnsi="宋体" w:cs="宋体"/>
                <w:sz w:val="24"/>
                <w:szCs w:val="24"/>
              </w:rPr>
              <w:t>…</w:t>
            </w:r>
          </w:p>
        </w:tc>
        <w:tc>
          <w:tcPr>
            <w:tcW w:w="973" w:type="dxa"/>
            <w:tcBorders>
              <w:top w:val="single" w:color="auto" w:sz="4" w:space="0"/>
              <w:left w:val="single" w:color="auto" w:sz="4" w:space="0"/>
              <w:bottom w:val="single" w:color="auto" w:sz="4" w:space="0"/>
              <w:right w:val="single" w:color="auto" w:sz="4" w:space="0"/>
            </w:tcBorders>
            <w:vAlign w:val="center"/>
          </w:tcPr>
          <w:p w14:paraId="32AEA329">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526109DC">
            <w:pPr>
              <w:spacing w:line="360" w:lineRule="auto"/>
              <w:jc w:val="center"/>
              <w:rPr>
                <w:rFonts w:ascii="宋体" w:hAnsi="宋体" w:cs="宋体"/>
                <w:sz w:val="24"/>
                <w:szCs w:val="24"/>
              </w:rPr>
            </w:pPr>
          </w:p>
        </w:tc>
        <w:tc>
          <w:tcPr>
            <w:tcW w:w="1297" w:type="dxa"/>
            <w:tcBorders>
              <w:top w:val="single" w:color="auto" w:sz="4" w:space="0"/>
              <w:left w:val="single" w:color="auto" w:sz="4" w:space="0"/>
              <w:bottom w:val="single" w:color="auto" w:sz="4" w:space="0"/>
              <w:right w:val="single" w:color="auto" w:sz="4" w:space="0"/>
            </w:tcBorders>
            <w:vAlign w:val="center"/>
          </w:tcPr>
          <w:p w14:paraId="0B33B47C">
            <w:pPr>
              <w:spacing w:line="360" w:lineRule="auto"/>
              <w:jc w:val="center"/>
              <w:rPr>
                <w:rFonts w:ascii="宋体" w:hAnsi="宋体" w:cs="宋体"/>
                <w:sz w:val="24"/>
                <w:szCs w:val="24"/>
              </w:rPr>
            </w:pPr>
          </w:p>
        </w:tc>
        <w:tc>
          <w:tcPr>
            <w:tcW w:w="1563" w:type="dxa"/>
            <w:tcBorders>
              <w:top w:val="single" w:color="auto" w:sz="4" w:space="0"/>
              <w:left w:val="single" w:color="auto" w:sz="4" w:space="0"/>
              <w:bottom w:val="single" w:color="auto" w:sz="4" w:space="0"/>
              <w:right w:val="single" w:color="auto" w:sz="4" w:space="0"/>
            </w:tcBorders>
            <w:vAlign w:val="center"/>
          </w:tcPr>
          <w:p w14:paraId="25D73D5A">
            <w:pPr>
              <w:spacing w:line="360" w:lineRule="auto"/>
              <w:jc w:val="center"/>
              <w:rPr>
                <w:rFonts w:ascii="宋体" w:hAnsi="宋体" w:cs="宋体"/>
                <w:sz w:val="24"/>
                <w:szCs w:val="24"/>
              </w:rPr>
            </w:pPr>
          </w:p>
        </w:tc>
        <w:tc>
          <w:tcPr>
            <w:tcW w:w="1679" w:type="dxa"/>
            <w:tcBorders>
              <w:top w:val="single" w:color="auto" w:sz="4" w:space="0"/>
              <w:left w:val="single" w:color="auto" w:sz="4" w:space="0"/>
              <w:bottom w:val="single" w:color="auto" w:sz="4" w:space="0"/>
              <w:right w:val="single" w:color="auto" w:sz="4" w:space="0"/>
            </w:tcBorders>
            <w:vAlign w:val="center"/>
          </w:tcPr>
          <w:p w14:paraId="035F5E00">
            <w:pPr>
              <w:spacing w:line="360" w:lineRule="auto"/>
              <w:jc w:val="center"/>
              <w:rPr>
                <w:rFonts w:ascii="宋体" w:hAnsi="宋体" w:cs="宋体"/>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14:paraId="074AA0AC">
            <w:pPr>
              <w:spacing w:line="360" w:lineRule="auto"/>
              <w:jc w:val="center"/>
              <w:rPr>
                <w:rFonts w:ascii="宋体" w:hAnsi="宋体" w:cs="宋体"/>
                <w:sz w:val="24"/>
                <w:szCs w:val="24"/>
              </w:rPr>
            </w:pPr>
          </w:p>
        </w:tc>
      </w:tr>
    </w:tbl>
    <w:p w14:paraId="327430F5">
      <w:pPr>
        <w:spacing w:line="360" w:lineRule="auto"/>
        <w:rPr>
          <w:rFonts w:ascii="宋体" w:hAnsi="宋体" w:cs="宋体"/>
          <w:b/>
          <w:sz w:val="24"/>
          <w:szCs w:val="24"/>
        </w:rPr>
      </w:pPr>
      <w:r>
        <w:rPr>
          <w:rFonts w:hint="eastAsia" w:ascii="宋体" w:hAnsi="宋体" w:cs="宋体"/>
          <w:b/>
          <w:sz w:val="24"/>
          <w:szCs w:val="24"/>
        </w:rPr>
        <w:t>1.须提供相关证明材料；</w:t>
      </w:r>
    </w:p>
    <w:p w14:paraId="4E68AA64">
      <w:pPr>
        <w:spacing w:line="360" w:lineRule="auto"/>
        <w:rPr>
          <w:rFonts w:ascii="宋体" w:hAnsi="宋体" w:cs="宋体"/>
          <w:b/>
          <w:bCs/>
          <w:sz w:val="24"/>
          <w:szCs w:val="24"/>
        </w:rPr>
      </w:pPr>
      <w:r>
        <w:rPr>
          <w:rFonts w:hint="eastAsia" w:ascii="宋体" w:hAnsi="宋体" w:cs="宋体"/>
          <w:b/>
          <w:sz w:val="24"/>
          <w:szCs w:val="24"/>
        </w:rPr>
        <w:t>2.人员一旦确定，成交后原则上不再变更，若变更，须征得采购人同意。</w:t>
      </w:r>
    </w:p>
    <w:p w14:paraId="453C636C">
      <w:pPr>
        <w:spacing w:line="360" w:lineRule="auto"/>
        <w:rPr>
          <w:rFonts w:ascii="宋体" w:hAnsi="宋体" w:cs="宋体"/>
          <w:sz w:val="24"/>
          <w:szCs w:val="24"/>
        </w:rPr>
      </w:pPr>
    </w:p>
    <w:p w14:paraId="45FD3884">
      <w:pPr>
        <w:pStyle w:val="15"/>
        <w:spacing w:before="0" w:beforeAutospacing="0" w:after="0" w:afterAutospacing="0" w:line="360" w:lineRule="auto"/>
        <w:jc w:val="center"/>
        <w:rPr>
          <w:rFonts w:cs="宋体"/>
          <w:b/>
          <w:bCs/>
          <w:color w:val="auto"/>
          <w:szCs w:val="24"/>
        </w:rPr>
      </w:pPr>
      <w:bookmarkStart w:id="164" w:name="_Toc3299"/>
      <w:bookmarkStart w:id="165" w:name="_Toc490494267"/>
      <w:bookmarkStart w:id="166" w:name="_Toc461875581"/>
      <w:bookmarkStart w:id="167" w:name="_Toc524526759"/>
    </w:p>
    <w:p w14:paraId="69896CD1">
      <w:pPr>
        <w:pStyle w:val="15"/>
        <w:spacing w:before="0" w:beforeAutospacing="0" w:after="0" w:afterAutospacing="0" w:line="360" w:lineRule="auto"/>
        <w:jc w:val="center"/>
        <w:rPr>
          <w:rFonts w:cs="宋体"/>
          <w:b/>
          <w:bCs/>
          <w:color w:val="auto"/>
          <w:szCs w:val="24"/>
        </w:rPr>
      </w:pPr>
    </w:p>
    <w:p w14:paraId="2290D347">
      <w:pPr>
        <w:pStyle w:val="15"/>
        <w:spacing w:before="0" w:beforeAutospacing="0" w:after="0" w:afterAutospacing="0" w:line="360" w:lineRule="auto"/>
        <w:jc w:val="center"/>
        <w:rPr>
          <w:rFonts w:cs="宋体"/>
          <w:b/>
          <w:bCs/>
          <w:color w:val="auto"/>
          <w:szCs w:val="24"/>
        </w:rPr>
      </w:pPr>
    </w:p>
    <w:p w14:paraId="5F1CA383">
      <w:pPr>
        <w:pStyle w:val="15"/>
        <w:spacing w:before="0" w:beforeAutospacing="0" w:after="0" w:afterAutospacing="0" w:line="360" w:lineRule="auto"/>
        <w:jc w:val="center"/>
        <w:rPr>
          <w:rFonts w:cs="宋体"/>
          <w:b/>
          <w:bCs/>
          <w:color w:val="auto"/>
          <w:szCs w:val="24"/>
        </w:rPr>
      </w:pPr>
    </w:p>
    <w:p w14:paraId="2DB5C8CE">
      <w:pPr>
        <w:pStyle w:val="15"/>
        <w:spacing w:before="0" w:beforeAutospacing="0" w:after="0" w:afterAutospacing="0" w:line="360" w:lineRule="auto"/>
        <w:jc w:val="center"/>
        <w:rPr>
          <w:rFonts w:cs="宋体"/>
          <w:b/>
          <w:bCs/>
          <w:color w:val="auto"/>
          <w:szCs w:val="24"/>
        </w:rPr>
      </w:pPr>
    </w:p>
    <w:p w14:paraId="2F4541F3">
      <w:pPr>
        <w:pStyle w:val="15"/>
        <w:spacing w:before="0" w:beforeAutospacing="0" w:after="0" w:afterAutospacing="0" w:line="360" w:lineRule="auto"/>
        <w:jc w:val="center"/>
        <w:rPr>
          <w:rFonts w:cs="宋体"/>
          <w:b/>
          <w:bCs/>
          <w:color w:val="auto"/>
          <w:szCs w:val="24"/>
        </w:rPr>
      </w:pPr>
    </w:p>
    <w:p w14:paraId="185F8C7A">
      <w:pPr>
        <w:pStyle w:val="15"/>
        <w:spacing w:before="0" w:beforeAutospacing="0" w:after="0" w:afterAutospacing="0" w:line="360" w:lineRule="auto"/>
        <w:jc w:val="center"/>
        <w:rPr>
          <w:rFonts w:cs="宋体"/>
          <w:b/>
          <w:bCs/>
          <w:color w:val="auto"/>
          <w:szCs w:val="24"/>
        </w:rPr>
      </w:pPr>
    </w:p>
    <w:p w14:paraId="29779AF5">
      <w:pPr>
        <w:pStyle w:val="15"/>
        <w:spacing w:before="0" w:beforeAutospacing="0" w:after="0" w:afterAutospacing="0" w:line="360" w:lineRule="auto"/>
        <w:jc w:val="center"/>
        <w:rPr>
          <w:rFonts w:cs="宋体"/>
          <w:b/>
          <w:bCs/>
          <w:color w:val="auto"/>
          <w:szCs w:val="24"/>
        </w:rPr>
      </w:pPr>
    </w:p>
    <w:p w14:paraId="31D016E8">
      <w:pPr>
        <w:pStyle w:val="15"/>
        <w:spacing w:before="0" w:beforeAutospacing="0" w:after="0" w:afterAutospacing="0" w:line="360" w:lineRule="auto"/>
        <w:jc w:val="center"/>
        <w:rPr>
          <w:rFonts w:cs="宋体"/>
          <w:b/>
          <w:bCs/>
          <w:color w:val="auto"/>
          <w:szCs w:val="24"/>
        </w:rPr>
      </w:pPr>
    </w:p>
    <w:p w14:paraId="3C3B3977">
      <w:pPr>
        <w:pStyle w:val="15"/>
        <w:spacing w:before="0" w:beforeAutospacing="0" w:after="0" w:afterAutospacing="0" w:line="360" w:lineRule="auto"/>
        <w:jc w:val="center"/>
        <w:rPr>
          <w:rFonts w:cs="宋体"/>
          <w:b/>
          <w:bCs/>
          <w:color w:val="auto"/>
          <w:szCs w:val="24"/>
        </w:rPr>
      </w:pPr>
    </w:p>
    <w:p w14:paraId="168D58F3">
      <w:pPr>
        <w:pStyle w:val="5"/>
        <w:spacing w:before="0" w:after="0" w:line="360" w:lineRule="auto"/>
        <w:jc w:val="center"/>
        <w:rPr>
          <w:rFonts w:ascii="宋体" w:hAnsi="宋体" w:cs="宋体"/>
          <w:sz w:val="24"/>
          <w:szCs w:val="24"/>
        </w:rPr>
      </w:pPr>
      <w:bookmarkStart w:id="168" w:name="_Toc28504"/>
      <w:bookmarkStart w:id="169" w:name="_Toc30243"/>
      <w:bookmarkStart w:id="170" w:name="_Toc29028"/>
      <w:r>
        <w:rPr>
          <w:rFonts w:hint="eastAsia" w:ascii="宋体" w:hAnsi="宋体" w:cs="宋体"/>
          <w:sz w:val="24"/>
          <w:szCs w:val="24"/>
        </w:rPr>
        <w:t>附件8  资格证明文件</w:t>
      </w:r>
      <w:bookmarkEnd w:id="164"/>
      <w:bookmarkEnd w:id="165"/>
      <w:bookmarkEnd w:id="166"/>
      <w:bookmarkEnd w:id="167"/>
      <w:bookmarkEnd w:id="168"/>
      <w:bookmarkEnd w:id="169"/>
      <w:bookmarkEnd w:id="170"/>
    </w:p>
    <w:p w14:paraId="44C6C033">
      <w:pPr>
        <w:pStyle w:val="15"/>
        <w:spacing w:before="0" w:beforeAutospacing="0" w:after="0" w:afterAutospacing="0" w:line="360" w:lineRule="auto"/>
        <w:jc w:val="center"/>
        <w:rPr>
          <w:rFonts w:cs="宋体"/>
          <w:color w:val="auto"/>
          <w:szCs w:val="24"/>
        </w:rPr>
      </w:pPr>
      <w:r>
        <w:rPr>
          <w:rFonts w:hint="eastAsia" w:cs="宋体"/>
          <w:color w:val="auto"/>
          <w:szCs w:val="24"/>
        </w:rPr>
        <w:t>目 录</w:t>
      </w:r>
    </w:p>
    <w:p w14:paraId="00A4F0A0">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1.关于资格的声明函；</w:t>
      </w:r>
    </w:p>
    <w:p w14:paraId="5D99534A">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2.满足下列规定，即</w:t>
      </w:r>
    </w:p>
    <w:p w14:paraId="1A9CC34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（1）具有独立承担民事责任的能力；</w:t>
      </w:r>
    </w:p>
    <w:p w14:paraId="0FFA927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（2）具有良好的商业信誉和健全的财务会计制度；</w:t>
      </w:r>
    </w:p>
    <w:p w14:paraId="1DA6E8B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（3）具有履行合同所必需的设备和专业技术能力；</w:t>
      </w:r>
    </w:p>
    <w:p w14:paraId="2285000E">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（4）有依法缴纳税收和社会保障资金的良好记录；</w:t>
      </w:r>
    </w:p>
    <w:p w14:paraId="11DC1F2C">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（5）参加本项目采购活动前三年内，在经营活动中没有重大违法记录；</w:t>
      </w:r>
    </w:p>
    <w:p w14:paraId="4A47D47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rPr>
      </w:pPr>
      <w:r>
        <w:rPr>
          <w:rFonts w:hint="eastAsia" w:ascii="宋体" w:hAnsi="宋体" w:cs="宋体"/>
          <w:sz w:val="24"/>
          <w:szCs w:val="24"/>
        </w:rPr>
        <w:t>（6）法律、行政法规规定的其他条件。</w:t>
      </w:r>
    </w:p>
    <w:p w14:paraId="706C2B9C">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rPr>
      </w:pPr>
      <w:r>
        <w:rPr>
          <w:rFonts w:hint="eastAsia" w:ascii="宋体" w:hAnsi="宋体" w:cs="宋体"/>
          <w:spacing w:val="-2"/>
          <w:sz w:val="24"/>
          <w:szCs w:val="24"/>
        </w:rPr>
        <w:t>3.单位负责人为同一人或者存在直接控股、管理关系的不同供应商，不得参加本项目同一合同项下的采购活动。</w:t>
      </w:r>
    </w:p>
    <w:p w14:paraId="3986246B">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rPr>
      </w:pPr>
      <w:r>
        <w:rPr>
          <w:rFonts w:hint="eastAsia" w:ascii="宋体" w:hAnsi="宋体" w:cs="宋体"/>
          <w:spacing w:val="-2"/>
          <w:sz w:val="24"/>
          <w:szCs w:val="24"/>
        </w:rPr>
        <w:t>4.为本采购项目提供整体设计、规范编制或者项目管理、监理、检测等服务的，不得再参加本项目的其他招标采购活动。</w:t>
      </w:r>
    </w:p>
    <w:p w14:paraId="3C54DF4F">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rPr>
      </w:pPr>
      <w:r>
        <w:rPr>
          <w:rFonts w:hint="eastAsia" w:ascii="宋体" w:hAnsi="宋体" w:cs="宋体"/>
          <w:spacing w:val="-2"/>
          <w:sz w:val="24"/>
          <w:szCs w:val="24"/>
        </w:rPr>
        <w:t>5.未被列入失信被执行人、重大税收违法失信主体，未被列入政府采购严重违法失信行为记录名单。</w:t>
      </w:r>
    </w:p>
    <w:p w14:paraId="5E4FD2C8">
      <w:pPr>
        <w:keepNext w:val="0"/>
        <w:keepLines w:val="0"/>
        <w:pageBreakBefore w:val="0"/>
        <w:kinsoku/>
        <w:wordWrap/>
        <w:overflowPunct/>
        <w:topLinePunct w:val="0"/>
        <w:autoSpaceDE/>
        <w:autoSpaceDN/>
        <w:bidi w:val="0"/>
        <w:spacing w:line="400" w:lineRule="exact"/>
        <w:ind w:firstLine="472" w:firstLineChars="200"/>
        <w:textAlignment w:val="auto"/>
        <w:rPr>
          <w:rFonts w:ascii="宋体" w:hAnsi="宋体" w:cs="宋体"/>
          <w:sz w:val="24"/>
          <w:szCs w:val="24"/>
          <w:highlight w:val="none"/>
        </w:rPr>
      </w:pPr>
      <w:r>
        <w:rPr>
          <w:rFonts w:hint="eastAsia" w:ascii="宋体" w:hAnsi="宋体" w:cs="宋体"/>
          <w:spacing w:val="-2"/>
          <w:sz w:val="24"/>
          <w:szCs w:val="24"/>
          <w:highlight w:val="none"/>
        </w:rPr>
        <w:t>6.落实政府采购政策需满足的资格要求：</w:t>
      </w: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非</w:t>
      </w:r>
      <w:r>
        <w:rPr>
          <w:rFonts w:hint="eastAsia" w:ascii="宋体" w:hAnsi="宋体" w:cs="宋体"/>
          <w:sz w:val="24"/>
          <w:szCs w:val="24"/>
          <w:highlight w:val="none"/>
        </w:rPr>
        <w:t>专门面向中小企业采购。</w:t>
      </w:r>
    </w:p>
    <w:p w14:paraId="327BF997">
      <w:pPr>
        <w:keepNext w:val="0"/>
        <w:keepLines w:val="0"/>
        <w:pageBreakBefore w:val="0"/>
        <w:kinsoku/>
        <w:wordWrap/>
        <w:overflowPunct/>
        <w:topLinePunct w:val="0"/>
        <w:autoSpaceDE/>
        <w:autoSpaceDN/>
        <w:bidi w:val="0"/>
        <w:spacing w:line="400" w:lineRule="exact"/>
        <w:ind w:firstLine="480" w:firstLineChars="200"/>
        <w:textAlignment w:val="auto"/>
        <w:rPr>
          <w:rFonts w:ascii="宋体" w:hAnsi="宋体" w:cs="宋体"/>
          <w:spacing w:val="-2"/>
          <w:sz w:val="24"/>
          <w:szCs w:val="24"/>
          <w:highlight w:val="none"/>
        </w:rPr>
      </w:pPr>
      <w:r>
        <w:rPr>
          <w:rFonts w:hint="eastAsia" w:ascii="宋体" w:hAnsi="宋体" w:cs="宋体"/>
          <w:sz w:val="24"/>
          <w:szCs w:val="24"/>
          <w:highlight w:val="none"/>
        </w:rPr>
        <w:t>7.本项目的特定资格要求：</w:t>
      </w:r>
      <w:r>
        <w:rPr>
          <w:rFonts w:hint="eastAsia" w:ascii="宋体" w:hAnsi="宋体" w:cs="宋体"/>
          <w:spacing w:val="-2"/>
          <w:sz w:val="24"/>
          <w:szCs w:val="24"/>
          <w:highlight w:val="none"/>
        </w:rPr>
        <w:t>未被列入“信用中国”网站（www.creditchina.gov.cn）失信被执行人、重大税收违法失信主体和“中国政府采购网”（www.ccgp.gov.cn）政府采购严重违法失信行为记录名单（以磋商当天采购代理机构查询结果为准）。</w:t>
      </w:r>
    </w:p>
    <w:p w14:paraId="619737A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8.根据本磋商文件还需提供的其他证明文件。</w:t>
      </w:r>
    </w:p>
    <w:p w14:paraId="144F9B1F">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hAnsi="宋体" w:cs="宋体"/>
          <w:b/>
          <w:sz w:val="24"/>
          <w:szCs w:val="24"/>
          <w:highlight w:val="none"/>
        </w:rPr>
      </w:pPr>
    </w:p>
    <w:p w14:paraId="2807C32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Style w:val="58"/>
          <w:rFonts w:ascii="宋体" w:hAnsi="宋体" w:cs="宋体"/>
          <w:color w:val="auto"/>
          <w:sz w:val="24"/>
          <w:szCs w:val="24"/>
          <w:highlight w:val="none"/>
        </w:rPr>
      </w:pPr>
      <w:r>
        <w:rPr>
          <w:rFonts w:hint="eastAsia" w:ascii="宋体" w:hAnsi="宋体" w:cs="宋体"/>
          <w:b/>
          <w:sz w:val="24"/>
          <w:szCs w:val="24"/>
          <w:highlight w:val="none"/>
        </w:rPr>
        <w:t>注：以上均须复印件加盖公章。</w:t>
      </w:r>
    </w:p>
    <w:p w14:paraId="4A51397E">
      <w:pPr>
        <w:pStyle w:val="15"/>
        <w:keepNext w:val="0"/>
        <w:keepLines w:val="0"/>
        <w:pageBreakBefore w:val="0"/>
        <w:kinsoku/>
        <w:wordWrap/>
        <w:overflowPunct/>
        <w:topLinePunct w:val="0"/>
        <w:autoSpaceDE/>
        <w:autoSpaceDN/>
        <w:bidi w:val="0"/>
        <w:spacing w:before="0" w:beforeAutospacing="0" w:after="0" w:afterAutospacing="0" w:line="400" w:lineRule="exact"/>
        <w:ind w:firstLine="480" w:firstLineChars="200"/>
        <w:jc w:val="center"/>
        <w:textAlignment w:val="auto"/>
        <w:rPr>
          <w:rStyle w:val="58"/>
          <w:rFonts w:ascii="宋体" w:hAnsi="宋体" w:cs="宋体"/>
          <w:color w:val="auto"/>
          <w:kern w:val="2"/>
          <w:sz w:val="24"/>
          <w:szCs w:val="24"/>
          <w:highlight w:val="none"/>
        </w:rPr>
      </w:pPr>
    </w:p>
    <w:p w14:paraId="71EF7A0C">
      <w:pPr>
        <w:pStyle w:val="15"/>
        <w:keepNext w:val="0"/>
        <w:keepLines w:val="0"/>
        <w:pageBreakBefore w:val="0"/>
        <w:kinsoku/>
        <w:wordWrap/>
        <w:overflowPunct/>
        <w:topLinePunct w:val="0"/>
        <w:autoSpaceDE/>
        <w:autoSpaceDN/>
        <w:bidi w:val="0"/>
        <w:spacing w:before="0" w:beforeAutospacing="0" w:after="0" w:afterAutospacing="0" w:line="400" w:lineRule="exact"/>
        <w:ind w:firstLine="480" w:firstLineChars="200"/>
        <w:jc w:val="center"/>
        <w:textAlignment w:val="auto"/>
        <w:rPr>
          <w:rStyle w:val="58"/>
          <w:rFonts w:ascii="宋体" w:hAnsi="宋体" w:cs="宋体"/>
          <w:color w:val="auto"/>
          <w:kern w:val="2"/>
          <w:sz w:val="24"/>
          <w:szCs w:val="24"/>
          <w:highlight w:val="none"/>
        </w:rPr>
      </w:pPr>
      <w:r>
        <w:rPr>
          <w:rStyle w:val="58"/>
          <w:rFonts w:hint="eastAsia" w:ascii="宋体" w:hAnsi="宋体" w:cs="宋体"/>
          <w:color w:val="auto"/>
          <w:kern w:val="2"/>
          <w:sz w:val="24"/>
          <w:szCs w:val="24"/>
          <w:highlight w:val="none"/>
        </w:rPr>
        <w:t>须 知</w:t>
      </w:r>
    </w:p>
    <w:p w14:paraId="40218441">
      <w:pPr>
        <w:keepNext w:val="0"/>
        <w:keepLines w:val="0"/>
        <w:pageBreakBefore w:val="0"/>
        <w:kinsoku/>
        <w:wordWrap/>
        <w:overflowPunct/>
        <w:topLinePunct w:val="0"/>
        <w:autoSpaceDE/>
        <w:autoSpaceDN/>
        <w:bidi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1、供应商应提交相关证明文件（详见“第五部分 评审办法”中“资格审查表”），以及提供其他有关资料。</w:t>
      </w:r>
    </w:p>
    <w:p w14:paraId="20F1EA7F">
      <w:pPr>
        <w:keepNext w:val="0"/>
        <w:keepLines w:val="0"/>
        <w:pageBreakBefore w:val="0"/>
        <w:kinsoku/>
        <w:wordWrap/>
        <w:overflowPunct/>
        <w:topLinePunct w:val="0"/>
        <w:autoSpaceDE/>
        <w:autoSpaceDN/>
        <w:bidi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2、供应商提供的资格文件将由采购人使用，并据此进行评价和判断，确定供应商的资格和履约能力。</w:t>
      </w:r>
    </w:p>
    <w:p w14:paraId="5FEFA3BA">
      <w:pPr>
        <w:keepNext w:val="0"/>
        <w:keepLines w:val="0"/>
        <w:pageBreakBefore w:val="0"/>
        <w:kinsoku/>
        <w:wordWrap/>
        <w:overflowPunct/>
        <w:topLinePunct w:val="0"/>
        <w:autoSpaceDE/>
        <w:autoSpaceDN/>
        <w:bidi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3、供应商提交的文件将给予保密，但不退还。</w:t>
      </w:r>
    </w:p>
    <w:p w14:paraId="6F46CC02">
      <w:pPr>
        <w:pStyle w:val="15"/>
        <w:spacing w:before="0" w:beforeAutospacing="0" w:after="0" w:afterAutospacing="0" w:line="360" w:lineRule="auto"/>
        <w:jc w:val="center"/>
        <w:outlineLvl w:val="1"/>
        <w:rPr>
          <w:rFonts w:cs="宋体"/>
          <w:b/>
          <w:bCs/>
          <w:color w:val="auto"/>
          <w:kern w:val="2"/>
          <w:szCs w:val="24"/>
          <w:highlight w:val="none"/>
        </w:rPr>
      </w:pPr>
      <w:bookmarkStart w:id="171" w:name="_Toc490494268"/>
      <w:bookmarkStart w:id="172" w:name="_Toc461875582"/>
      <w:bookmarkStart w:id="173" w:name="_Toc5275"/>
      <w:bookmarkStart w:id="174" w:name="_Toc524526760"/>
      <w:bookmarkStart w:id="175" w:name="_Toc32564"/>
      <w:r>
        <w:rPr>
          <w:rFonts w:hint="eastAsia" w:cs="宋体"/>
          <w:b/>
          <w:bCs/>
          <w:color w:val="auto"/>
          <w:szCs w:val="24"/>
          <w:highlight w:val="none"/>
        </w:rPr>
        <w:br w:type="page"/>
      </w:r>
      <w:bookmarkStart w:id="176" w:name="_Toc18442"/>
      <w:bookmarkStart w:id="177" w:name="_Toc23887"/>
      <w:r>
        <w:rPr>
          <w:rFonts w:hint="eastAsia" w:cs="宋体"/>
          <w:b/>
          <w:bCs/>
          <w:color w:val="auto"/>
          <w:kern w:val="2"/>
          <w:szCs w:val="24"/>
          <w:highlight w:val="none"/>
        </w:rPr>
        <w:t>附件8-1  供应商资格声明函（格式）</w:t>
      </w:r>
      <w:bookmarkEnd w:id="171"/>
      <w:bookmarkEnd w:id="172"/>
      <w:bookmarkEnd w:id="173"/>
      <w:bookmarkEnd w:id="174"/>
      <w:bookmarkEnd w:id="175"/>
      <w:bookmarkEnd w:id="176"/>
      <w:bookmarkEnd w:id="177"/>
    </w:p>
    <w:p w14:paraId="77E1EC27">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sz w:val="24"/>
          <w:szCs w:val="24"/>
          <w:highlight w:val="none"/>
        </w:rPr>
      </w:pPr>
      <w:r>
        <w:rPr>
          <w:rFonts w:hint="eastAsia" w:ascii="宋体" w:hAnsi="宋体" w:cs="宋体"/>
          <w:sz w:val="24"/>
          <w:szCs w:val="24"/>
          <w:highlight w:val="none"/>
        </w:rPr>
        <w:t>致</w:t>
      </w:r>
      <w:r>
        <w:rPr>
          <w:rFonts w:hint="eastAsia" w:ascii="宋体" w:hAnsi="宋体" w:cs="宋体"/>
          <w:sz w:val="24"/>
          <w:szCs w:val="24"/>
          <w:highlight w:val="none"/>
          <w:u w:val="single"/>
        </w:rPr>
        <w:t xml:space="preserve">   （采购人）     </w:t>
      </w:r>
      <w:r>
        <w:rPr>
          <w:rFonts w:hint="eastAsia" w:ascii="宋体" w:hAnsi="宋体" w:cs="宋体"/>
          <w:sz w:val="24"/>
          <w:szCs w:val="24"/>
          <w:highlight w:val="none"/>
        </w:rPr>
        <w:t>：</w:t>
      </w:r>
    </w:p>
    <w:p w14:paraId="6A6F9884">
      <w:pPr>
        <w:keepNext w:val="0"/>
        <w:keepLines w:val="0"/>
        <w:pageBreakBefore w:val="0"/>
        <w:widowControl w:val="0"/>
        <w:kinsoku/>
        <w:wordWrap/>
        <w:overflowPunct/>
        <w:topLinePunct w:val="0"/>
        <w:autoSpaceDE/>
        <w:autoSpaceDN/>
        <w:bidi w:val="0"/>
        <w:spacing w:line="400" w:lineRule="exact"/>
        <w:textAlignment w:val="auto"/>
        <w:rPr>
          <w:rFonts w:ascii="宋体" w:hAnsi="宋体" w:cs="宋体"/>
          <w:sz w:val="24"/>
          <w:szCs w:val="24"/>
          <w:highlight w:val="none"/>
        </w:rPr>
      </w:pPr>
      <w:r>
        <w:rPr>
          <w:rFonts w:hint="eastAsia" w:ascii="宋体" w:hAnsi="宋体" w:cs="宋体"/>
          <w:sz w:val="24"/>
          <w:szCs w:val="24"/>
          <w:highlight w:val="none"/>
        </w:rPr>
        <w:t xml:space="preserve">    关于贵方</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年</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日</w:t>
      </w:r>
      <w:r>
        <w:rPr>
          <w:rFonts w:hint="eastAsia" w:ascii="宋体" w:hAnsi="宋体" w:cs="宋体"/>
          <w:sz w:val="24"/>
          <w:szCs w:val="24"/>
          <w:highlight w:val="none"/>
          <w:u w:val="single"/>
        </w:rPr>
        <w:t xml:space="preserve">            项目（项目编号：  ）</w:t>
      </w:r>
      <w:r>
        <w:rPr>
          <w:rFonts w:hint="eastAsia" w:ascii="宋体" w:hAnsi="宋体" w:cs="宋体"/>
          <w:sz w:val="24"/>
          <w:szCs w:val="24"/>
          <w:highlight w:val="none"/>
        </w:rPr>
        <w:t>的磋商邀请，本签字人愿意参加磋商，并证明提交的下列文件和说明是准确和真实的。</w:t>
      </w:r>
    </w:p>
    <w:p w14:paraId="0615573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1.关于资格的声明函；</w:t>
      </w:r>
    </w:p>
    <w:p w14:paraId="3A99FBD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2.满足下列规定，即</w:t>
      </w:r>
    </w:p>
    <w:p w14:paraId="0DA65EC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（1）具有独立承担民事责任的能力；</w:t>
      </w:r>
    </w:p>
    <w:p w14:paraId="34881D4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（2）具有良好的商业信誉和健全的财务会计制度；</w:t>
      </w:r>
    </w:p>
    <w:p w14:paraId="7CA0E80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（3）具有履行合同所必需的设备和专业技术能力；</w:t>
      </w:r>
    </w:p>
    <w:p w14:paraId="36E9F4B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（4）有依法缴纳税收和社会保障资金的良好记录；</w:t>
      </w:r>
    </w:p>
    <w:p w14:paraId="06C7B38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（5）参加本项目采购活动前三年内，在经营活动中没有重大违法记录；</w:t>
      </w:r>
    </w:p>
    <w:p w14:paraId="3ED10ED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（6）法律、行政法规规定的其他条件。</w:t>
      </w:r>
    </w:p>
    <w:p w14:paraId="54C8A4F3">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highlight w:val="none"/>
        </w:rPr>
      </w:pPr>
      <w:r>
        <w:rPr>
          <w:rFonts w:hint="eastAsia" w:ascii="宋体" w:hAnsi="宋体" w:cs="宋体"/>
          <w:spacing w:val="-2"/>
          <w:sz w:val="24"/>
          <w:szCs w:val="24"/>
          <w:highlight w:val="none"/>
        </w:rPr>
        <w:t>3.单位负责人为同一人或者存在直接控股、管理关系的不同供应商，不得参加本项目同一合同项下的采购活动。</w:t>
      </w:r>
    </w:p>
    <w:p w14:paraId="1D3C0564">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highlight w:val="none"/>
        </w:rPr>
      </w:pPr>
      <w:r>
        <w:rPr>
          <w:rFonts w:hint="eastAsia" w:ascii="宋体" w:hAnsi="宋体" w:cs="宋体"/>
          <w:spacing w:val="-2"/>
          <w:sz w:val="24"/>
          <w:szCs w:val="24"/>
          <w:highlight w:val="none"/>
        </w:rPr>
        <w:t>4.为本采购项目提供整体设计、规范编制或者项目管理、监理、检测等服务的，不得再参加本项目的其他招标采购活动。</w:t>
      </w:r>
    </w:p>
    <w:p w14:paraId="155F209A">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pacing w:val="-2"/>
          <w:sz w:val="24"/>
          <w:szCs w:val="24"/>
          <w:highlight w:val="none"/>
        </w:rPr>
      </w:pPr>
      <w:r>
        <w:rPr>
          <w:rFonts w:hint="eastAsia" w:ascii="宋体" w:hAnsi="宋体" w:cs="宋体"/>
          <w:spacing w:val="-2"/>
          <w:sz w:val="24"/>
          <w:szCs w:val="24"/>
          <w:highlight w:val="none"/>
        </w:rPr>
        <w:t>5.未被列入失信被执行人、重大税收违法失信主体，未被列入政府采购严重违法失信行为记录名单。</w:t>
      </w:r>
    </w:p>
    <w:p w14:paraId="10A3F9FB">
      <w:pPr>
        <w:keepNext w:val="0"/>
        <w:keepLines w:val="0"/>
        <w:pageBreakBefore w:val="0"/>
        <w:widowControl w:val="0"/>
        <w:kinsoku/>
        <w:wordWrap/>
        <w:overflowPunct/>
        <w:topLinePunct w:val="0"/>
        <w:autoSpaceDE/>
        <w:autoSpaceDN/>
        <w:bidi w:val="0"/>
        <w:spacing w:line="400" w:lineRule="exact"/>
        <w:ind w:firstLine="472" w:firstLineChars="200"/>
        <w:textAlignment w:val="auto"/>
        <w:rPr>
          <w:rFonts w:ascii="宋体" w:hAnsi="宋体" w:cs="宋体"/>
          <w:sz w:val="24"/>
          <w:szCs w:val="24"/>
          <w:highlight w:val="none"/>
        </w:rPr>
      </w:pPr>
      <w:r>
        <w:rPr>
          <w:rFonts w:hint="eastAsia" w:ascii="宋体" w:hAnsi="宋体" w:cs="宋体"/>
          <w:spacing w:val="-2"/>
          <w:sz w:val="24"/>
          <w:szCs w:val="24"/>
          <w:highlight w:val="none"/>
        </w:rPr>
        <w:t>6.落实政府采购政策需满足的资格要求：</w:t>
      </w: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非</w:t>
      </w:r>
      <w:r>
        <w:rPr>
          <w:rFonts w:hint="eastAsia" w:ascii="宋体" w:hAnsi="宋体" w:cs="宋体"/>
          <w:sz w:val="24"/>
          <w:szCs w:val="24"/>
          <w:highlight w:val="none"/>
        </w:rPr>
        <w:t>专门面向中小企业采购</w:t>
      </w:r>
      <w:r>
        <w:rPr>
          <w:rFonts w:hint="eastAsia" w:ascii="宋体" w:hAnsi="宋体" w:eastAsia="宋体" w:cs="宋体"/>
          <w:spacing w:val="-2"/>
          <w:sz w:val="24"/>
          <w:szCs w:val="24"/>
          <w:highlight w:val="none"/>
        </w:rPr>
        <w:t>。</w:t>
      </w:r>
    </w:p>
    <w:p w14:paraId="4449537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pacing w:val="-2"/>
          <w:sz w:val="24"/>
          <w:szCs w:val="24"/>
          <w:highlight w:val="none"/>
        </w:rPr>
      </w:pPr>
      <w:r>
        <w:rPr>
          <w:rFonts w:hint="eastAsia" w:ascii="宋体" w:hAnsi="宋体" w:cs="宋体"/>
          <w:sz w:val="24"/>
          <w:szCs w:val="24"/>
          <w:highlight w:val="none"/>
        </w:rPr>
        <w:t>7.本项目的特定资格要求：</w:t>
      </w:r>
      <w:r>
        <w:rPr>
          <w:rFonts w:hint="eastAsia" w:ascii="宋体" w:hAnsi="宋体" w:cs="宋体"/>
          <w:spacing w:val="-2"/>
          <w:sz w:val="24"/>
          <w:szCs w:val="24"/>
          <w:highlight w:val="none"/>
        </w:rPr>
        <w:t>未被列入“信用中国”网站（www.creditchina.gov.cn）失信被执行人、重大税收违法失信主体和“中国政府采购网”（www.ccgp.gov.cn）政府采购严重违法失信行为记录名单（以磋商当天采购代理机构查询结果为准）。</w:t>
      </w:r>
    </w:p>
    <w:p w14:paraId="3BE8CB8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sz w:val="24"/>
          <w:szCs w:val="24"/>
          <w:highlight w:val="none"/>
        </w:rPr>
      </w:pPr>
      <w:r>
        <w:rPr>
          <w:rFonts w:hint="eastAsia" w:ascii="宋体" w:hAnsi="宋体" w:cs="宋体"/>
          <w:sz w:val="24"/>
          <w:szCs w:val="24"/>
          <w:highlight w:val="none"/>
        </w:rPr>
        <w:t>8.根据本磋商文件还需提供的其他证明文件。</w:t>
      </w:r>
    </w:p>
    <w:p w14:paraId="2EC8EA0D">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ascii="宋体" w:hAnsi="宋体" w:cs="宋体"/>
          <w:b/>
          <w:kern w:val="0"/>
          <w:sz w:val="24"/>
          <w:szCs w:val="24"/>
          <w:highlight w:val="none"/>
        </w:rPr>
      </w:pPr>
      <w:r>
        <w:rPr>
          <w:rFonts w:hint="eastAsia" w:ascii="宋体" w:hAnsi="宋体" w:cs="宋体"/>
          <w:b/>
          <w:sz w:val="24"/>
          <w:szCs w:val="24"/>
          <w:highlight w:val="none"/>
        </w:rPr>
        <w:t>注：以上均须复印件加盖公章。</w:t>
      </w:r>
    </w:p>
    <w:p w14:paraId="1F7F25D1">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kern w:val="0"/>
          <w:sz w:val="24"/>
          <w:szCs w:val="24"/>
        </w:rPr>
      </w:pPr>
      <w:r>
        <w:rPr>
          <w:rFonts w:hint="eastAsia" w:ascii="宋体" w:hAnsi="宋体" w:cs="宋体"/>
          <w:kern w:val="0"/>
          <w:sz w:val="24"/>
          <w:szCs w:val="24"/>
        </w:rPr>
        <w:t>本签字人确认响应文件中关于资格的一切说明都是真实的、准确的。</w:t>
      </w:r>
    </w:p>
    <w:p w14:paraId="74E0DDE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z w:val="24"/>
          <w:szCs w:val="24"/>
          <w:u w:val="single"/>
        </w:rPr>
      </w:pPr>
      <w:r>
        <w:rPr>
          <w:rFonts w:hint="eastAsia" w:ascii="宋体" w:hAnsi="宋体" w:cs="宋体"/>
          <w:sz w:val="24"/>
          <w:szCs w:val="24"/>
        </w:rPr>
        <w:t>供应商名称</w:t>
      </w:r>
      <w:r>
        <w:rPr>
          <w:rFonts w:hint="eastAsia" w:ascii="宋体" w:hAnsi="宋体" w:cs="宋体"/>
          <w:bCs/>
          <w:kern w:val="0"/>
          <w:sz w:val="24"/>
          <w:szCs w:val="24"/>
        </w:rPr>
        <w:t>（盖章）</w:t>
      </w:r>
      <w:r>
        <w:rPr>
          <w:rFonts w:hint="eastAsia" w:ascii="宋体" w:hAnsi="宋体" w:cs="宋体"/>
          <w:sz w:val="24"/>
          <w:szCs w:val="24"/>
        </w:rPr>
        <w:t>：</w:t>
      </w:r>
    </w:p>
    <w:p w14:paraId="1A0CDC9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z w:val="24"/>
          <w:szCs w:val="24"/>
          <w:u w:val="single"/>
        </w:rPr>
      </w:pPr>
      <w:r>
        <w:rPr>
          <w:rFonts w:hint="eastAsia" w:ascii="宋体" w:hAnsi="宋体" w:cs="宋体"/>
          <w:sz w:val="24"/>
          <w:szCs w:val="24"/>
        </w:rPr>
        <w:t>供应商地址：</w:t>
      </w:r>
    </w:p>
    <w:p w14:paraId="11477152">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sz w:val="24"/>
          <w:szCs w:val="24"/>
          <w:u w:val="single"/>
        </w:rPr>
      </w:pPr>
      <w:r>
        <w:rPr>
          <w:rFonts w:hint="eastAsia" w:ascii="宋体" w:hAnsi="宋体" w:cs="宋体"/>
          <w:sz w:val="24"/>
          <w:szCs w:val="24"/>
        </w:rPr>
        <w:t>本资格声明函授权代表</w:t>
      </w:r>
      <w:r>
        <w:rPr>
          <w:rFonts w:hint="eastAsia" w:ascii="宋体" w:hAnsi="宋体" w:cs="宋体"/>
          <w:bCs/>
          <w:kern w:val="0"/>
          <w:sz w:val="24"/>
          <w:szCs w:val="24"/>
        </w:rPr>
        <w:t>（签字）</w:t>
      </w:r>
      <w:r>
        <w:rPr>
          <w:rFonts w:hint="eastAsia" w:ascii="宋体" w:hAnsi="宋体" w:cs="宋体"/>
          <w:sz w:val="24"/>
          <w:szCs w:val="24"/>
        </w:rPr>
        <w:t>：</w:t>
      </w:r>
    </w:p>
    <w:p w14:paraId="0DDFABE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ascii="宋体" w:hAnsi="宋体" w:cs="宋体"/>
          <w:b/>
          <w:bCs/>
          <w:sz w:val="24"/>
          <w:szCs w:val="24"/>
        </w:rPr>
      </w:pPr>
      <w:bookmarkStart w:id="178" w:name="_Toc11180"/>
      <w:r>
        <w:rPr>
          <w:rFonts w:hint="eastAsia" w:ascii="宋体" w:hAnsi="宋体" w:cs="宋体"/>
          <w:sz w:val="24"/>
          <w:szCs w:val="24"/>
        </w:rPr>
        <w:t xml:space="preserve">邮编： </w:t>
      </w:r>
      <w:bookmarkStart w:id="179" w:name="_Toc32225"/>
      <w:bookmarkStart w:id="180" w:name="_Toc524526764"/>
      <w:bookmarkStart w:id="181" w:name="_Toc10984"/>
      <w:bookmarkStart w:id="182" w:name="_Toc461875584"/>
      <w:r>
        <w:rPr>
          <w:rFonts w:hint="eastAsia" w:ascii="宋体" w:hAnsi="宋体" w:cs="宋体"/>
          <w:b/>
          <w:sz w:val="24"/>
          <w:szCs w:val="24"/>
        </w:rPr>
        <w:br w:type="page"/>
      </w:r>
      <w:bookmarkStart w:id="183" w:name="_Toc2793"/>
      <w:r>
        <w:rPr>
          <w:rFonts w:hint="eastAsia" w:ascii="宋体" w:hAnsi="宋体" w:cs="宋体"/>
          <w:b/>
          <w:bCs/>
          <w:sz w:val="24"/>
          <w:szCs w:val="24"/>
        </w:rPr>
        <w:t>附件8-2 参加本项目采购活动前3年内在经营活动中没有重大违法记录的书面声明（格式）</w:t>
      </w:r>
      <w:bookmarkEnd w:id="178"/>
      <w:bookmarkEnd w:id="179"/>
      <w:bookmarkEnd w:id="180"/>
      <w:bookmarkEnd w:id="181"/>
      <w:bookmarkEnd w:id="183"/>
    </w:p>
    <w:p w14:paraId="036158B6">
      <w:pPr>
        <w:pStyle w:val="25"/>
        <w:spacing w:before="0" w:beforeAutospacing="0" w:after="0" w:afterAutospacing="0" w:line="360" w:lineRule="auto"/>
        <w:rPr>
          <w:rFonts w:cs="宋体"/>
          <w:color w:val="auto"/>
          <w:szCs w:val="24"/>
        </w:rPr>
      </w:pPr>
    </w:p>
    <w:p w14:paraId="4FF05925">
      <w:pPr>
        <w:pStyle w:val="25"/>
        <w:spacing w:before="0" w:beforeAutospacing="0" w:after="0" w:afterAutospacing="0" w:line="360" w:lineRule="auto"/>
        <w:rPr>
          <w:rFonts w:cs="宋体"/>
          <w:color w:val="auto"/>
          <w:szCs w:val="24"/>
        </w:rPr>
      </w:pPr>
    </w:p>
    <w:p w14:paraId="54D85E91">
      <w:pPr>
        <w:pStyle w:val="25"/>
        <w:spacing w:before="0" w:beforeAutospacing="0" w:after="0" w:afterAutospacing="0" w:line="360" w:lineRule="auto"/>
        <w:rPr>
          <w:rFonts w:cs="宋体"/>
          <w:color w:val="auto"/>
          <w:kern w:val="2"/>
          <w:szCs w:val="24"/>
        </w:rPr>
      </w:pPr>
      <w:r>
        <w:rPr>
          <w:rFonts w:hint="eastAsia" w:cs="宋体"/>
          <w:color w:val="auto"/>
          <w:szCs w:val="24"/>
        </w:rPr>
        <w:t>致：</w:t>
      </w:r>
      <w:r>
        <w:rPr>
          <w:rFonts w:hint="eastAsia" w:cs="宋体"/>
          <w:color w:val="auto"/>
          <w:szCs w:val="24"/>
          <w:u w:val="single"/>
        </w:rPr>
        <w:t xml:space="preserve">    （采购人）      </w:t>
      </w:r>
    </w:p>
    <w:p w14:paraId="2827B3E5">
      <w:pPr>
        <w:pStyle w:val="25"/>
        <w:spacing w:before="0" w:beforeAutospacing="0" w:after="0" w:afterAutospacing="0" w:line="360" w:lineRule="auto"/>
        <w:rPr>
          <w:rFonts w:cs="宋体"/>
          <w:color w:val="auto"/>
          <w:kern w:val="2"/>
          <w:szCs w:val="24"/>
        </w:rPr>
      </w:pPr>
    </w:p>
    <w:p w14:paraId="2C8126DF">
      <w:pPr>
        <w:pStyle w:val="25"/>
        <w:spacing w:before="0" w:beforeAutospacing="0" w:after="0" w:afterAutospacing="0" w:line="360" w:lineRule="auto"/>
        <w:rPr>
          <w:rFonts w:cs="宋体"/>
          <w:color w:val="auto"/>
          <w:kern w:val="2"/>
          <w:szCs w:val="24"/>
        </w:rPr>
      </w:pPr>
    </w:p>
    <w:p w14:paraId="1CE6B7F5">
      <w:pPr>
        <w:spacing w:line="360" w:lineRule="auto"/>
        <w:ind w:firstLine="480" w:firstLineChars="200"/>
        <w:rPr>
          <w:rFonts w:ascii="宋体" w:hAnsi="宋体" w:cs="宋体"/>
          <w:sz w:val="24"/>
          <w:szCs w:val="24"/>
        </w:rPr>
      </w:pPr>
      <w:r>
        <w:rPr>
          <w:rFonts w:hint="eastAsia" w:ascii="宋体" w:hAnsi="宋体" w:cs="宋体"/>
          <w:sz w:val="24"/>
          <w:szCs w:val="24"/>
        </w:rPr>
        <w:t>我公司承诺在参加本项目采购活动前三年内，在经营活动中没有重大违法记录，遵守国家其他有关的法律法规和管理办法。</w:t>
      </w:r>
    </w:p>
    <w:p w14:paraId="307C5FC9">
      <w:pPr>
        <w:spacing w:line="360" w:lineRule="auto"/>
        <w:ind w:firstLine="480" w:firstLineChars="200"/>
        <w:rPr>
          <w:rFonts w:ascii="宋体" w:hAnsi="宋体" w:cs="宋体"/>
          <w:sz w:val="24"/>
          <w:szCs w:val="24"/>
        </w:rPr>
      </w:pPr>
      <w:r>
        <w:rPr>
          <w:rFonts w:hint="eastAsia" w:ascii="宋体" w:hAnsi="宋体" w:cs="宋体"/>
          <w:sz w:val="24"/>
          <w:szCs w:val="24"/>
        </w:rPr>
        <w:t>特此声明。</w:t>
      </w:r>
    </w:p>
    <w:p w14:paraId="7EABCCD7">
      <w:pPr>
        <w:pStyle w:val="25"/>
        <w:spacing w:before="0" w:beforeAutospacing="0" w:after="0" w:afterAutospacing="0" w:line="360" w:lineRule="auto"/>
        <w:rPr>
          <w:rFonts w:cs="宋体"/>
          <w:color w:val="auto"/>
          <w:kern w:val="2"/>
          <w:szCs w:val="24"/>
        </w:rPr>
      </w:pPr>
    </w:p>
    <w:p w14:paraId="0227AF87">
      <w:pPr>
        <w:pStyle w:val="25"/>
        <w:spacing w:before="0" w:beforeAutospacing="0" w:after="0" w:afterAutospacing="0" w:line="360" w:lineRule="auto"/>
        <w:rPr>
          <w:rFonts w:cs="宋体"/>
          <w:color w:val="auto"/>
          <w:kern w:val="2"/>
          <w:szCs w:val="24"/>
        </w:rPr>
      </w:pPr>
    </w:p>
    <w:p w14:paraId="3779BEDF">
      <w:pPr>
        <w:pStyle w:val="25"/>
        <w:spacing w:before="0" w:beforeAutospacing="0" w:after="0" w:afterAutospacing="0" w:line="360" w:lineRule="auto"/>
        <w:rPr>
          <w:rFonts w:cs="宋体"/>
          <w:color w:val="auto"/>
          <w:kern w:val="2"/>
          <w:szCs w:val="24"/>
        </w:rPr>
      </w:pPr>
    </w:p>
    <w:p w14:paraId="22CAAA8C">
      <w:pPr>
        <w:spacing w:line="360" w:lineRule="auto"/>
        <w:rPr>
          <w:rFonts w:ascii="宋体" w:hAnsi="宋体" w:cs="宋体"/>
          <w:sz w:val="24"/>
          <w:szCs w:val="24"/>
        </w:rPr>
      </w:pPr>
      <w:r>
        <w:rPr>
          <w:rFonts w:hint="eastAsia" w:ascii="宋体" w:hAnsi="宋体" w:cs="宋体"/>
          <w:sz w:val="24"/>
          <w:szCs w:val="24"/>
        </w:rPr>
        <w:t>注：重大违法记录是指供应商因违法经营受到刑事处罚或者责令停产停业、吊销许可证或者执照、较大数额罚款等行政处罚。</w:t>
      </w:r>
    </w:p>
    <w:p w14:paraId="75357DF2">
      <w:pPr>
        <w:pStyle w:val="25"/>
        <w:spacing w:before="0" w:beforeAutospacing="0" w:after="0" w:afterAutospacing="0" w:line="360" w:lineRule="auto"/>
        <w:rPr>
          <w:rFonts w:cs="宋体"/>
          <w:color w:val="auto"/>
          <w:kern w:val="2"/>
          <w:szCs w:val="24"/>
        </w:rPr>
      </w:pPr>
    </w:p>
    <w:p w14:paraId="4FAB20F6">
      <w:pPr>
        <w:pStyle w:val="25"/>
        <w:spacing w:before="0" w:beforeAutospacing="0" w:after="0" w:afterAutospacing="0" w:line="360" w:lineRule="auto"/>
        <w:rPr>
          <w:rFonts w:cs="宋体"/>
          <w:color w:val="auto"/>
          <w:kern w:val="2"/>
          <w:szCs w:val="24"/>
        </w:rPr>
      </w:pPr>
    </w:p>
    <w:p w14:paraId="61581E88">
      <w:pPr>
        <w:pStyle w:val="25"/>
        <w:spacing w:before="0" w:beforeAutospacing="0" w:after="0" w:afterAutospacing="0" w:line="360" w:lineRule="auto"/>
        <w:rPr>
          <w:rFonts w:cs="宋体"/>
          <w:color w:val="auto"/>
          <w:kern w:val="2"/>
          <w:szCs w:val="24"/>
        </w:rPr>
      </w:pPr>
    </w:p>
    <w:p w14:paraId="0D911AED">
      <w:pPr>
        <w:spacing w:line="360" w:lineRule="auto"/>
        <w:rPr>
          <w:rFonts w:ascii="宋体" w:hAnsi="宋体" w:cs="宋体"/>
          <w:sz w:val="24"/>
          <w:szCs w:val="24"/>
          <w:u w:val="single"/>
        </w:rPr>
      </w:pPr>
      <w:r>
        <w:rPr>
          <w:rFonts w:hint="eastAsia" w:ascii="宋体" w:hAnsi="宋体" w:cs="宋体"/>
          <w:sz w:val="24"/>
          <w:szCs w:val="24"/>
        </w:rPr>
        <w:t>供应商（公章）：</w:t>
      </w:r>
    </w:p>
    <w:p w14:paraId="3F57A16B">
      <w:pPr>
        <w:spacing w:line="360" w:lineRule="auto"/>
        <w:rPr>
          <w:rFonts w:ascii="宋体" w:hAnsi="宋体" w:cs="宋体"/>
          <w:sz w:val="24"/>
          <w:szCs w:val="24"/>
          <w:u w:val="single"/>
        </w:rPr>
      </w:pPr>
      <w:r>
        <w:rPr>
          <w:rFonts w:hint="eastAsia" w:ascii="宋体" w:hAnsi="宋体" w:cs="宋体"/>
          <w:sz w:val="24"/>
          <w:szCs w:val="24"/>
        </w:rPr>
        <w:t>法定代表人或其授权委托人（签字或盖章）：</w:t>
      </w:r>
    </w:p>
    <w:p w14:paraId="525DAD15">
      <w:pPr>
        <w:spacing w:line="360" w:lineRule="auto"/>
        <w:rPr>
          <w:rFonts w:ascii="宋体" w:hAnsi="宋体" w:cs="宋体"/>
          <w:sz w:val="24"/>
          <w:szCs w:val="24"/>
        </w:rPr>
      </w:pPr>
      <w:r>
        <w:rPr>
          <w:rFonts w:hint="eastAsia" w:ascii="宋体" w:hAnsi="宋体" w:cs="宋体"/>
          <w:sz w:val="24"/>
          <w:szCs w:val="24"/>
        </w:rPr>
        <w:t>日期：   年   月   日</w:t>
      </w:r>
    </w:p>
    <w:p w14:paraId="3660E807">
      <w:pPr>
        <w:spacing w:line="360" w:lineRule="auto"/>
        <w:jc w:val="center"/>
        <w:rPr>
          <w:rFonts w:ascii="宋体" w:hAnsi="宋体" w:cs="宋体"/>
          <w:sz w:val="24"/>
          <w:szCs w:val="24"/>
        </w:rPr>
      </w:pPr>
    </w:p>
    <w:p w14:paraId="53F73A6D">
      <w:pPr>
        <w:spacing w:line="360" w:lineRule="auto"/>
        <w:rPr>
          <w:rFonts w:ascii="宋体" w:hAnsi="宋体" w:cs="宋体"/>
          <w:sz w:val="24"/>
          <w:szCs w:val="24"/>
        </w:rPr>
      </w:pPr>
    </w:p>
    <w:p w14:paraId="78D2F69A">
      <w:pPr>
        <w:spacing w:line="360" w:lineRule="auto"/>
        <w:rPr>
          <w:rFonts w:ascii="宋体" w:hAnsi="宋体" w:cs="宋体"/>
          <w:sz w:val="24"/>
          <w:szCs w:val="24"/>
        </w:rPr>
      </w:pPr>
    </w:p>
    <w:p w14:paraId="6A4227E3">
      <w:pPr>
        <w:spacing w:line="360" w:lineRule="auto"/>
        <w:rPr>
          <w:rFonts w:ascii="宋体" w:hAnsi="宋体" w:cs="宋体"/>
          <w:sz w:val="24"/>
          <w:szCs w:val="24"/>
        </w:rPr>
      </w:pPr>
    </w:p>
    <w:p w14:paraId="69E96569">
      <w:pPr>
        <w:spacing w:line="360" w:lineRule="auto"/>
        <w:rPr>
          <w:rFonts w:ascii="宋体" w:hAnsi="宋体" w:cs="宋体"/>
          <w:sz w:val="24"/>
          <w:szCs w:val="24"/>
        </w:rPr>
      </w:pPr>
    </w:p>
    <w:p w14:paraId="65235144">
      <w:pPr>
        <w:spacing w:line="360" w:lineRule="auto"/>
        <w:rPr>
          <w:rFonts w:ascii="宋体" w:hAnsi="宋体" w:cs="宋体"/>
          <w:sz w:val="24"/>
          <w:szCs w:val="24"/>
        </w:rPr>
      </w:pPr>
    </w:p>
    <w:p w14:paraId="0CB81007">
      <w:pPr>
        <w:spacing w:line="360" w:lineRule="auto"/>
        <w:rPr>
          <w:rFonts w:ascii="宋体" w:hAnsi="宋体" w:cs="宋体"/>
          <w:sz w:val="24"/>
          <w:szCs w:val="24"/>
        </w:rPr>
      </w:pPr>
    </w:p>
    <w:p w14:paraId="4C7A9F16">
      <w:pPr>
        <w:spacing w:line="360" w:lineRule="auto"/>
        <w:rPr>
          <w:rFonts w:ascii="宋体" w:hAnsi="宋体" w:cs="宋体"/>
          <w:sz w:val="24"/>
          <w:szCs w:val="24"/>
        </w:rPr>
      </w:pPr>
    </w:p>
    <w:bookmarkEnd w:id="182"/>
    <w:p w14:paraId="2D817AC0">
      <w:pPr>
        <w:spacing w:line="360" w:lineRule="auto"/>
        <w:jc w:val="center"/>
        <w:rPr>
          <w:rFonts w:ascii="宋体" w:hAnsi="宋体" w:cs="宋体"/>
          <w:b/>
          <w:bCs/>
          <w:sz w:val="24"/>
          <w:szCs w:val="24"/>
        </w:rPr>
      </w:pPr>
      <w:bookmarkStart w:id="184" w:name="_Toc17414"/>
      <w:bookmarkStart w:id="185" w:name="_Toc490494271"/>
    </w:p>
    <w:p w14:paraId="43B4C3EA">
      <w:pPr>
        <w:tabs>
          <w:tab w:val="left" w:pos="540"/>
        </w:tabs>
        <w:autoSpaceDE w:val="0"/>
        <w:autoSpaceDN w:val="0"/>
        <w:adjustRightInd w:val="0"/>
        <w:spacing w:line="360" w:lineRule="auto"/>
        <w:jc w:val="center"/>
        <w:outlineLvl w:val="1"/>
        <w:rPr>
          <w:rFonts w:ascii="宋体" w:hAnsi="宋体" w:cs="宋体"/>
          <w:b/>
          <w:sz w:val="24"/>
          <w:szCs w:val="24"/>
          <w:lang w:val="zh-CN"/>
        </w:rPr>
      </w:pPr>
      <w:bookmarkStart w:id="186" w:name="_Toc18429"/>
      <w:bookmarkStart w:id="187" w:name="_Toc27867"/>
      <w:r>
        <w:rPr>
          <w:rStyle w:val="55"/>
          <w:rFonts w:hint="eastAsia" w:ascii="宋体" w:hAnsi="宋体" w:cs="宋体"/>
          <w:sz w:val="24"/>
          <w:szCs w:val="24"/>
        </w:rPr>
        <w:t xml:space="preserve">附件9 </w:t>
      </w:r>
      <w:bookmarkStart w:id="188" w:name="_Toc29404"/>
      <w:bookmarkStart w:id="189" w:name="_Toc24102"/>
      <w:bookmarkStart w:id="190" w:name="_Toc9608"/>
      <w:r>
        <w:rPr>
          <w:rFonts w:hint="eastAsia" w:ascii="宋体" w:hAnsi="宋体" w:cs="宋体"/>
          <w:b/>
          <w:sz w:val="24"/>
          <w:szCs w:val="24"/>
        </w:rPr>
        <w:t>中小企业声明函</w:t>
      </w:r>
      <w:bookmarkEnd w:id="186"/>
      <w:bookmarkEnd w:id="188"/>
      <w:bookmarkEnd w:id="189"/>
      <w:bookmarkEnd w:id="190"/>
    </w:p>
    <w:p w14:paraId="51B015CE">
      <w:pPr>
        <w:pStyle w:val="20"/>
        <w:spacing w:line="360" w:lineRule="auto"/>
        <w:rPr>
          <w:rFonts w:ascii="宋体" w:hAnsi="宋体" w:cs="宋体"/>
          <w:sz w:val="24"/>
          <w:szCs w:val="24"/>
          <w:lang w:val="zh-CN"/>
        </w:rPr>
      </w:pPr>
    </w:p>
    <w:p w14:paraId="6176D94C">
      <w:pPr>
        <w:widowControl/>
        <w:spacing w:line="360" w:lineRule="auto"/>
        <w:jc w:val="center"/>
        <w:rPr>
          <w:rFonts w:ascii="宋体" w:hAnsi="宋体" w:cs="宋体"/>
          <w:sz w:val="24"/>
          <w:szCs w:val="24"/>
        </w:rPr>
      </w:pPr>
      <w:bookmarkStart w:id="191" w:name="_Toc22328"/>
      <w:r>
        <w:rPr>
          <w:rFonts w:hint="eastAsia" w:ascii="宋体" w:hAnsi="宋体" w:cs="宋体"/>
          <w:b/>
          <w:kern w:val="0"/>
          <w:sz w:val="24"/>
          <w:szCs w:val="24"/>
        </w:rPr>
        <w:t>中小企业声明函</w:t>
      </w:r>
    </w:p>
    <w:p w14:paraId="68C48512">
      <w:pPr>
        <w:spacing w:line="360" w:lineRule="auto"/>
        <w:ind w:firstLine="480" w:firstLineChars="20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 （联合体）参加</w:t>
      </w:r>
      <w:r>
        <w:rPr>
          <w:rFonts w:hint="eastAsia" w:ascii="宋体" w:hAnsi="宋体" w:cs="宋体"/>
          <w:sz w:val="24"/>
          <w:szCs w:val="24"/>
          <w:u w:val="single"/>
        </w:rPr>
        <w:t>（</w:t>
      </w:r>
      <w:r>
        <w:rPr>
          <w:rFonts w:hint="eastAsia" w:ascii="宋体" w:hAnsi="宋体" w:cs="宋体"/>
          <w:sz w:val="24"/>
          <w:szCs w:val="24"/>
          <w:u w:val="single"/>
          <w:lang w:eastAsia="zh-CN"/>
        </w:rPr>
        <w:t>湖北工业大学</w:t>
      </w:r>
      <w:r>
        <w:rPr>
          <w:rFonts w:hint="eastAsia" w:ascii="宋体" w:hAnsi="宋体" w:cs="宋体"/>
          <w:sz w:val="24"/>
          <w:szCs w:val="24"/>
          <w:u w:val="single"/>
        </w:rPr>
        <w:t>）</w:t>
      </w:r>
      <w:r>
        <w:rPr>
          <w:rFonts w:hint="eastAsia" w:ascii="宋体" w:hAnsi="宋体" w:cs="宋体"/>
          <w:sz w:val="24"/>
          <w:szCs w:val="24"/>
        </w:rPr>
        <w:t>的</w:t>
      </w:r>
      <w:r>
        <w:rPr>
          <w:rFonts w:hint="eastAsia" w:ascii="宋体" w:hAnsi="宋体" w:cs="宋体"/>
          <w:sz w:val="24"/>
          <w:szCs w:val="24"/>
          <w:u w:val="single"/>
        </w:rPr>
        <w:t>（</w:t>
      </w:r>
      <w:r>
        <w:rPr>
          <w:rFonts w:hint="eastAsia" w:ascii="宋体" w:hAnsi="宋体" w:cs="宋体"/>
          <w:sz w:val="24"/>
          <w:szCs w:val="24"/>
          <w:lang w:eastAsia="zh-CN"/>
        </w:rPr>
        <w:t>湖北工业大学站群管理服务拓展项目（第二次）</w:t>
      </w:r>
      <w:r>
        <w:rPr>
          <w:rFonts w:hint="eastAsia" w:ascii="宋体" w:hAnsi="宋体" w:cs="宋体"/>
          <w:sz w:val="24"/>
          <w:szCs w:val="24"/>
          <w:u w:val="single"/>
        </w:rPr>
        <w:t>）</w:t>
      </w:r>
      <w:r>
        <w:rPr>
          <w:rFonts w:hint="eastAsia" w:ascii="宋体" w:hAnsi="宋体" w:cs="宋体"/>
          <w:sz w:val="24"/>
          <w:szCs w:val="24"/>
        </w:rPr>
        <w:t>采购活动，</w:t>
      </w:r>
      <w:r>
        <w:rPr>
          <w:rFonts w:hint="eastAsia" w:ascii="宋体" w:hAnsi="宋体" w:cs="宋体"/>
          <w:b/>
          <w:bCs/>
          <w:sz w:val="24"/>
          <w:szCs w:val="24"/>
        </w:rPr>
        <w:t>服务全部由符合政策要求的中小企业承接</w:t>
      </w:r>
      <w:r>
        <w:rPr>
          <w:rFonts w:hint="eastAsia" w:ascii="宋体" w:hAnsi="宋体" w:cs="宋体"/>
          <w:sz w:val="24"/>
          <w:szCs w:val="24"/>
        </w:rPr>
        <w:t xml:space="preserve">。相关企业（含联合体中的中小企业、签订分包意向协议的中小企业）的具体情况如下： </w:t>
      </w:r>
    </w:p>
    <w:p w14:paraId="3665028F">
      <w:pPr>
        <w:numPr>
          <w:ilvl w:val="0"/>
          <w:numId w:val="33"/>
        </w:numPr>
        <w:spacing w:line="360" w:lineRule="auto"/>
        <w:ind w:firstLine="480" w:firstLineChars="200"/>
        <w:rPr>
          <w:rFonts w:ascii="宋体" w:hAnsi="宋体" w:cs="宋体"/>
          <w:sz w:val="24"/>
          <w:szCs w:val="24"/>
        </w:rPr>
      </w:pPr>
      <w:r>
        <w:rPr>
          <w:rFonts w:hint="eastAsia" w:ascii="宋体" w:hAnsi="宋体" w:cs="宋体"/>
          <w:sz w:val="24"/>
          <w:szCs w:val="24"/>
          <w:u w:val="single"/>
        </w:rPr>
        <w:t>（</w:t>
      </w:r>
      <w:r>
        <w:rPr>
          <w:rFonts w:hint="eastAsia" w:ascii="宋体" w:hAnsi="宋体" w:cs="宋体"/>
          <w:sz w:val="24"/>
          <w:szCs w:val="24"/>
          <w:lang w:eastAsia="zh-CN"/>
        </w:rPr>
        <w:t>站群管理服务拓展</w:t>
      </w:r>
      <w:r>
        <w:rPr>
          <w:rFonts w:hint="eastAsia" w:ascii="宋体" w:hAnsi="宋体" w:cs="宋体"/>
          <w:sz w:val="24"/>
          <w:szCs w:val="24"/>
          <w:u w:val="single"/>
        </w:rPr>
        <w:t xml:space="preserve">） </w:t>
      </w:r>
      <w:r>
        <w:rPr>
          <w:rFonts w:hint="eastAsia" w:ascii="宋体" w:hAnsi="宋体" w:cs="宋体"/>
          <w:sz w:val="24"/>
          <w:szCs w:val="24"/>
        </w:rPr>
        <w:t>，属于</w:t>
      </w:r>
      <w:r>
        <w:rPr>
          <w:rFonts w:hint="eastAsia" w:ascii="宋体" w:hAnsi="宋体" w:cs="宋体"/>
          <w:sz w:val="24"/>
          <w:szCs w:val="24"/>
          <w:u w:val="single"/>
        </w:rPr>
        <w:t>（</w:t>
      </w:r>
      <w:r>
        <w:rPr>
          <w:rFonts w:hint="eastAsia" w:ascii="宋体" w:hAnsi="宋体" w:cs="宋体"/>
          <w:kern w:val="0"/>
          <w:sz w:val="24"/>
          <w:szCs w:val="24"/>
          <w:u w:val="single"/>
        </w:rPr>
        <w:t>软件和信息技术服务业</w:t>
      </w:r>
      <w:r>
        <w:rPr>
          <w:rFonts w:hint="eastAsia" w:ascii="宋体" w:hAnsi="宋体" w:cs="宋体"/>
          <w:sz w:val="24"/>
          <w:szCs w:val="24"/>
          <w:u w:val="single"/>
        </w:rPr>
        <w:t>）</w:t>
      </w:r>
      <w:r>
        <w:rPr>
          <w:rFonts w:hint="eastAsia" w:ascii="宋体" w:hAnsi="宋体" w:cs="宋体"/>
          <w:sz w:val="24"/>
          <w:szCs w:val="24"/>
        </w:rPr>
        <w:t xml:space="preserve">； </w:t>
      </w:r>
      <w:r>
        <w:rPr>
          <w:rFonts w:hint="eastAsia" w:ascii="宋体" w:hAnsi="宋体" w:cs="宋体"/>
          <w:kern w:val="0"/>
          <w:sz w:val="24"/>
          <w:szCs w:val="24"/>
        </w:rPr>
        <w:t>承建（承接）企业</w:t>
      </w:r>
      <w:r>
        <w:rPr>
          <w:rFonts w:hint="eastAsia" w:ascii="宋体" w:hAnsi="宋体" w:cs="宋体"/>
          <w:sz w:val="24"/>
          <w:szCs w:val="24"/>
        </w:rPr>
        <w:t>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19A00611">
      <w:pPr>
        <w:numPr>
          <w:ilvl w:val="0"/>
          <w:numId w:val="33"/>
        </w:numPr>
        <w:spacing w:line="360" w:lineRule="auto"/>
        <w:ind w:firstLine="480" w:firstLineChars="200"/>
        <w:rPr>
          <w:rFonts w:ascii="宋体" w:hAnsi="宋体" w:cs="宋体"/>
          <w:sz w:val="24"/>
          <w:szCs w:val="24"/>
        </w:rPr>
      </w:pP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w:t>
      </w:r>
      <w:r>
        <w:rPr>
          <w:rFonts w:hint="eastAsia" w:ascii="宋体" w:hAnsi="宋体" w:cs="宋体"/>
          <w:kern w:val="0"/>
          <w:sz w:val="24"/>
          <w:szCs w:val="24"/>
          <w:u w:val="single"/>
        </w:rPr>
        <w:t>软件和信息技术服务业</w:t>
      </w:r>
      <w:r>
        <w:rPr>
          <w:rFonts w:hint="eastAsia" w:ascii="宋体" w:hAnsi="宋体" w:cs="宋体"/>
          <w:sz w:val="24"/>
          <w:szCs w:val="24"/>
          <w:u w:val="single"/>
        </w:rPr>
        <w:t>）</w:t>
      </w:r>
      <w:r>
        <w:rPr>
          <w:rFonts w:hint="eastAsia" w:ascii="宋体" w:hAnsi="宋体" w:cs="宋体"/>
          <w:sz w:val="24"/>
          <w:szCs w:val="24"/>
        </w:rPr>
        <w:t xml:space="preserve">； </w:t>
      </w:r>
      <w:r>
        <w:rPr>
          <w:rFonts w:hint="eastAsia" w:ascii="宋体" w:hAnsi="宋体" w:cs="宋体"/>
          <w:kern w:val="0"/>
          <w:sz w:val="24"/>
          <w:szCs w:val="24"/>
        </w:rPr>
        <w:t>承建（承接）企业</w:t>
      </w:r>
      <w:r>
        <w:rPr>
          <w:rFonts w:hint="eastAsia" w:ascii="宋体" w:hAnsi="宋体" w:cs="宋体"/>
          <w:sz w:val="24"/>
          <w:szCs w:val="24"/>
        </w:rPr>
        <w:t>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 xml:space="preserve">； </w:t>
      </w:r>
    </w:p>
    <w:p w14:paraId="4F7FC9E2">
      <w:pPr>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14:paraId="0E02E0E3">
      <w:pPr>
        <w:spacing w:line="360" w:lineRule="auto"/>
        <w:ind w:firstLine="480" w:firstLineChars="200"/>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 </w:t>
      </w:r>
    </w:p>
    <w:p w14:paraId="274585CE">
      <w:pPr>
        <w:spacing w:line="360" w:lineRule="auto"/>
        <w:ind w:firstLine="480" w:firstLineChars="200"/>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 </w:t>
      </w:r>
    </w:p>
    <w:p w14:paraId="288F4774">
      <w:pPr>
        <w:spacing w:line="360" w:lineRule="auto"/>
        <w:rPr>
          <w:rFonts w:ascii="宋体" w:hAnsi="宋体" w:cs="宋体"/>
          <w:sz w:val="24"/>
          <w:szCs w:val="24"/>
        </w:rPr>
      </w:pPr>
    </w:p>
    <w:p w14:paraId="132E7587">
      <w:pPr>
        <w:spacing w:line="360" w:lineRule="auto"/>
        <w:rPr>
          <w:rFonts w:ascii="宋体" w:hAnsi="宋体" w:cs="宋体"/>
          <w:sz w:val="24"/>
          <w:szCs w:val="24"/>
        </w:rPr>
      </w:pPr>
      <w:r>
        <w:rPr>
          <w:rFonts w:hint="eastAsia" w:ascii="宋体" w:hAnsi="宋体" w:cs="宋体"/>
          <w:sz w:val="24"/>
          <w:szCs w:val="24"/>
        </w:rPr>
        <w:t xml:space="preserve">企业名称（盖章）： </w:t>
      </w:r>
    </w:p>
    <w:p w14:paraId="53A564F3">
      <w:pPr>
        <w:spacing w:line="360" w:lineRule="auto"/>
        <w:rPr>
          <w:rFonts w:ascii="宋体" w:hAnsi="宋体" w:cs="宋体"/>
          <w:sz w:val="24"/>
          <w:szCs w:val="24"/>
        </w:rPr>
      </w:pPr>
      <w:r>
        <w:rPr>
          <w:rFonts w:hint="eastAsia" w:ascii="宋体" w:hAnsi="宋体" w:cs="宋体"/>
          <w:sz w:val="24"/>
          <w:szCs w:val="24"/>
        </w:rPr>
        <w:t>日 期：</w:t>
      </w:r>
    </w:p>
    <w:p w14:paraId="76C6B5DC">
      <w:pPr>
        <w:autoSpaceDN w:val="0"/>
        <w:spacing w:line="360" w:lineRule="auto"/>
        <w:rPr>
          <w:rFonts w:ascii="宋体" w:hAnsi="宋体" w:cs="宋体"/>
          <w:bCs/>
          <w:kern w:val="0"/>
          <w:sz w:val="24"/>
          <w:szCs w:val="24"/>
        </w:rPr>
      </w:pPr>
    </w:p>
    <w:p w14:paraId="280FB0E7">
      <w:pPr>
        <w:autoSpaceDN w:val="0"/>
        <w:spacing w:line="360" w:lineRule="auto"/>
        <w:rPr>
          <w:rFonts w:ascii="宋体" w:hAnsi="宋体" w:cs="宋体"/>
          <w:bCs/>
          <w:kern w:val="0"/>
          <w:sz w:val="24"/>
          <w:szCs w:val="24"/>
        </w:rPr>
      </w:pPr>
      <w:r>
        <w:rPr>
          <w:rFonts w:hint="eastAsia" w:ascii="宋体" w:hAnsi="宋体" w:cs="宋体"/>
          <w:bCs/>
          <w:kern w:val="0"/>
          <w:sz w:val="24"/>
          <w:szCs w:val="24"/>
        </w:rPr>
        <w:t>说明：</w:t>
      </w:r>
    </w:p>
    <w:p w14:paraId="02463DED">
      <w:pPr>
        <w:autoSpaceDN w:val="0"/>
        <w:spacing w:line="360" w:lineRule="auto"/>
        <w:rPr>
          <w:rFonts w:ascii="宋体" w:hAnsi="宋体" w:cs="宋体"/>
          <w:bCs/>
          <w:kern w:val="0"/>
          <w:sz w:val="24"/>
          <w:szCs w:val="24"/>
        </w:rPr>
      </w:pPr>
      <w:r>
        <w:rPr>
          <w:rFonts w:hint="eastAsia" w:ascii="宋体" w:hAnsi="宋体" w:cs="宋体"/>
          <w:bCs/>
          <w:kern w:val="0"/>
          <w:sz w:val="24"/>
          <w:szCs w:val="24"/>
        </w:rPr>
        <w:t>（1）本声明函适用于所有在中国境内依法设立的各类所有制和各种组织形式的企业。事业单位、团体组织等非企业性质的政府采购供应商，不属于中小企业划型标准确定的中小企业，不得按《关于印发中小企业划型标准规定的通知》规定声明为中小微企业，也不适用《政府采购促进中小企业发展管理办法》。</w:t>
      </w:r>
    </w:p>
    <w:p w14:paraId="72D15786">
      <w:pPr>
        <w:autoSpaceDN w:val="0"/>
        <w:spacing w:line="360" w:lineRule="auto"/>
        <w:rPr>
          <w:rFonts w:ascii="宋体" w:hAnsi="宋体" w:cs="宋体"/>
          <w:bCs/>
          <w:kern w:val="0"/>
          <w:sz w:val="24"/>
          <w:szCs w:val="24"/>
        </w:rPr>
      </w:pPr>
      <w:r>
        <w:rPr>
          <w:rFonts w:hint="eastAsia" w:ascii="宋体" w:hAnsi="宋体" w:cs="宋体"/>
          <w:bCs/>
          <w:kern w:val="0"/>
          <w:sz w:val="24"/>
          <w:szCs w:val="24"/>
        </w:rPr>
        <w:t>（2）如供应商为联合投标的，联合体各方需分别出具上述《中小企业声明函》。</w:t>
      </w:r>
    </w:p>
    <w:p w14:paraId="2568BA87">
      <w:pPr>
        <w:autoSpaceDN w:val="0"/>
        <w:spacing w:line="360" w:lineRule="auto"/>
        <w:rPr>
          <w:rFonts w:ascii="宋体" w:hAnsi="宋体" w:cs="宋体"/>
          <w:bCs/>
          <w:kern w:val="0"/>
          <w:sz w:val="24"/>
          <w:szCs w:val="24"/>
        </w:rPr>
      </w:pPr>
      <w:r>
        <w:rPr>
          <w:rFonts w:hint="eastAsia" w:ascii="宋体" w:hAnsi="宋体" w:cs="宋体"/>
          <w:bCs/>
          <w:kern w:val="0"/>
          <w:sz w:val="24"/>
          <w:szCs w:val="24"/>
        </w:rPr>
        <w:t>（3）若中标，本声明函作为成交公告的一部分进行公示，接受社会监督，请如实填写。</w:t>
      </w:r>
    </w:p>
    <w:p w14:paraId="4F28F48B">
      <w:pPr>
        <w:widowControl/>
        <w:spacing w:line="360" w:lineRule="auto"/>
        <w:rPr>
          <w:rFonts w:ascii="宋体" w:hAnsi="宋体" w:cs="宋体"/>
          <w:kern w:val="0"/>
          <w:sz w:val="24"/>
          <w:szCs w:val="24"/>
          <w:lang w:bidi="ar"/>
        </w:rPr>
        <w:sectPr>
          <w:pgSz w:w="11906" w:h="16838"/>
          <w:pgMar w:top="1417" w:right="1417" w:bottom="1417" w:left="1417" w:header="851" w:footer="992" w:gutter="0"/>
          <w:cols w:space="720" w:num="1"/>
          <w:docGrid w:type="lines" w:linePitch="312" w:charSpace="0"/>
        </w:sectPr>
      </w:pPr>
    </w:p>
    <w:p w14:paraId="2FA0B9B0">
      <w:pPr>
        <w:pStyle w:val="15"/>
        <w:spacing w:before="0" w:beforeAutospacing="0" w:after="0" w:afterAutospacing="0" w:line="360" w:lineRule="auto"/>
        <w:jc w:val="center"/>
        <w:rPr>
          <w:rFonts w:cs="宋体"/>
          <w:b/>
          <w:color w:val="auto"/>
          <w:kern w:val="2"/>
          <w:szCs w:val="24"/>
        </w:rPr>
      </w:pPr>
      <w:bookmarkStart w:id="192" w:name="_Toc28564"/>
      <w:bookmarkStart w:id="193" w:name="_Toc29745"/>
      <w:bookmarkStart w:id="194" w:name="_Toc29812"/>
      <w:r>
        <w:rPr>
          <w:rFonts w:hint="eastAsia" w:cs="宋体"/>
          <w:b/>
          <w:color w:val="auto"/>
          <w:kern w:val="2"/>
          <w:szCs w:val="24"/>
        </w:rPr>
        <w:t>附：工业和信息化部 国家统计局 国家发展和改革委员会 财政部关于印发中小企业划型标准规定的通知（工信部联企业[2011]300号）</w:t>
      </w:r>
      <w:bookmarkEnd w:id="192"/>
      <w:bookmarkEnd w:id="193"/>
      <w:bookmarkEnd w:id="194"/>
    </w:p>
    <w:tbl>
      <w:tblPr>
        <w:tblStyle w:val="30"/>
        <w:tblW w:w="5000" w:type="pct"/>
        <w:jc w:val="center"/>
        <w:tblCellSpacing w:w="0" w:type="dxa"/>
        <w:tblLayout w:type="autofit"/>
        <w:tblCellMar>
          <w:top w:w="0" w:type="dxa"/>
          <w:left w:w="0" w:type="dxa"/>
          <w:bottom w:w="0" w:type="dxa"/>
          <w:right w:w="0" w:type="dxa"/>
        </w:tblCellMar>
      </w:tblPr>
      <w:tblGrid>
        <w:gridCol w:w="9740"/>
      </w:tblGrid>
      <w:tr w14:paraId="412FF19F">
        <w:tblPrEx>
          <w:tblCellMar>
            <w:top w:w="0" w:type="dxa"/>
            <w:left w:w="0" w:type="dxa"/>
            <w:bottom w:w="0" w:type="dxa"/>
            <w:right w:w="0" w:type="dxa"/>
          </w:tblCellMar>
        </w:tblPrEx>
        <w:trPr>
          <w:tblCellSpacing w:w="0" w:type="dxa"/>
          <w:jc w:val="center"/>
        </w:trPr>
        <w:tc>
          <w:tcPr>
            <w:tcW w:w="5000" w:type="pct"/>
            <w:tcBorders>
              <w:top w:val="nil"/>
              <w:left w:val="nil"/>
              <w:bottom w:val="nil"/>
              <w:right w:val="nil"/>
              <w:tl2br w:val="nil"/>
              <w:tr2bl w:val="nil"/>
            </w:tcBorders>
            <w:shd w:val="clear" w:color="auto" w:fill="FFFFFF"/>
            <w:vAlign w:val="center"/>
          </w:tcPr>
          <w:p w14:paraId="5A40DBD1">
            <w:pPr>
              <w:widowControl/>
              <w:spacing w:line="360" w:lineRule="auto"/>
              <w:jc w:val="left"/>
              <w:rPr>
                <w:rFonts w:ascii="宋体" w:hAnsi="宋体" w:cs="宋体"/>
                <w:kern w:val="0"/>
                <w:sz w:val="24"/>
                <w:szCs w:val="24"/>
              </w:rPr>
            </w:pPr>
            <w:r>
              <w:rPr>
                <w:rFonts w:hint="eastAsia" w:ascii="宋体" w:hAnsi="宋体" w:cs="宋体"/>
                <w:kern w:val="0"/>
                <w:sz w:val="24"/>
                <w:szCs w:val="24"/>
              </w:rPr>
              <w:t>各省、自治区、直辖市人民政府，国务院各部委、各直属机构及有关单位：</w:t>
            </w:r>
          </w:p>
          <w:p w14:paraId="59BB67CF">
            <w:pPr>
              <w:widowControl/>
              <w:spacing w:line="360" w:lineRule="auto"/>
              <w:jc w:val="left"/>
              <w:rPr>
                <w:rFonts w:ascii="宋体" w:hAnsi="宋体" w:cs="宋体"/>
                <w:kern w:val="0"/>
                <w:sz w:val="24"/>
                <w:szCs w:val="24"/>
              </w:rPr>
            </w:pPr>
            <w:r>
              <w:rPr>
                <w:rFonts w:hint="eastAsia" w:ascii="宋体" w:hAnsi="宋体" w:cs="宋体"/>
                <w:kern w:val="0"/>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B43DEF3">
            <w:pPr>
              <w:widowControl/>
              <w:spacing w:line="360" w:lineRule="auto"/>
              <w:jc w:val="left"/>
              <w:rPr>
                <w:rFonts w:ascii="宋体" w:hAnsi="宋体" w:cs="宋体"/>
                <w:kern w:val="0"/>
                <w:sz w:val="24"/>
                <w:szCs w:val="24"/>
              </w:rPr>
            </w:pPr>
            <w:r>
              <w:rPr>
                <w:rFonts w:hint="eastAsia" w:ascii="宋体" w:hAnsi="宋体" w:cs="宋体"/>
                <w:kern w:val="0"/>
                <w:sz w:val="24"/>
                <w:szCs w:val="24"/>
              </w:rPr>
              <w:t>　　　　　　　　　　　　　　　　　　　　　　 工业和信息化部　国家统计局</w:t>
            </w:r>
          </w:p>
          <w:p w14:paraId="6A5AD0BD">
            <w:pPr>
              <w:widowControl/>
              <w:spacing w:line="360" w:lineRule="auto"/>
              <w:jc w:val="left"/>
              <w:rPr>
                <w:rFonts w:ascii="宋体" w:hAnsi="宋体" w:cs="宋体"/>
                <w:kern w:val="0"/>
                <w:sz w:val="24"/>
                <w:szCs w:val="24"/>
              </w:rPr>
            </w:pPr>
            <w:r>
              <w:rPr>
                <w:rFonts w:hint="eastAsia" w:ascii="宋体" w:hAnsi="宋体" w:cs="宋体"/>
                <w:kern w:val="0"/>
                <w:sz w:val="24"/>
                <w:szCs w:val="24"/>
              </w:rPr>
              <w:t>　　　　　　　　　　　　　　　　　　　　　　国家发展和改革委员会　财政部</w:t>
            </w:r>
          </w:p>
          <w:p w14:paraId="491863B2">
            <w:pPr>
              <w:widowControl/>
              <w:spacing w:line="360" w:lineRule="auto"/>
              <w:jc w:val="left"/>
              <w:rPr>
                <w:rFonts w:ascii="宋体" w:hAnsi="宋体" w:cs="宋体"/>
                <w:kern w:val="0"/>
                <w:sz w:val="24"/>
                <w:szCs w:val="24"/>
              </w:rPr>
            </w:pPr>
            <w:r>
              <w:rPr>
                <w:rFonts w:hint="eastAsia" w:ascii="宋体" w:hAnsi="宋体" w:cs="宋体"/>
                <w:kern w:val="0"/>
                <w:sz w:val="24"/>
                <w:szCs w:val="24"/>
              </w:rPr>
              <w:t>　　　　　　　　　　　　　　　　　　　　　　　　二○一一年六月十八日</w:t>
            </w:r>
          </w:p>
          <w:p w14:paraId="61494E83">
            <w:pPr>
              <w:widowControl/>
              <w:spacing w:line="360" w:lineRule="auto"/>
              <w:jc w:val="center"/>
              <w:rPr>
                <w:rFonts w:ascii="宋体" w:hAnsi="宋体" w:cs="宋体"/>
                <w:kern w:val="0"/>
                <w:sz w:val="24"/>
                <w:szCs w:val="24"/>
              </w:rPr>
            </w:pPr>
            <w:r>
              <w:rPr>
                <w:rFonts w:hint="eastAsia" w:ascii="宋体" w:hAnsi="宋体" w:cs="宋体"/>
                <w:kern w:val="0"/>
                <w:sz w:val="24"/>
                <w:szCs w:val="24"/>
              </w:rPr>
              <w:t>中小企业划型标准规定</w:t>
            </w:r>
          </w:p>
          <w:p w14:paraId="5EAFD3A1">
            <w:pPr>
              <w:widowControl/>
              <w:spacing w:line="360" w:lineRule="auto"/>
              <w:jc w:val="left"/>
              <w:rPr>
                <w:rFonts w:ascii="宋体" w:hAnsi="宋体" w:cs="宋体"/>
                <w:kern w:val="0"/>
                <w:sz w:val="24"/>
                <w:szCs w:val="24"/>
              </w:rPr>
            </w:pPr>
            <w:r>
              <w:rPr>
                <w:rFonts w:hint="eastAsia" w:ascii="宋体" w:hAnsi="宋体" w:cs="宋体"/>
                <w:kern w:val="0"/>
                <w:sz w:val="24"/>
                <w:szCs w:val="24"/>
              </w:rPr>
              <w:t>　　一、根据《中华人民共和国中小企业促进法》和《国务院关于进一步促进中小企业发展的若干意见》（国发〔2009〕36号），制定本规定。</w:t>
            </w:r>
          </w:p>
          <w:p w14:paraId="075D41F6">
            <w:pPr>
              <w:widowControl/>
              <w:spacing w:line="360" w:lineRule="auto"/>
              <w:jc w:val="left"/>
              <w:rPr>
                <w:rFonts w:ascii="宋体" w:hAnsi="宋体" w:cs="宋体"/>
                <w:kern w:val="0"/>
                <w:sz w:val="24"/>
                <w:szCs w:val="24"/>
              </w:rPr>
            </w:pPr>
            <w:r>
              <w:rPr>
                <w:rFonts w:hint="eastAsia" w:ascii="宋体" w:hAnsi="宋体" w:cs="宋体"/>
                <w:kern w:val="0"/>
                <w:sz w:val="24"/>
                <w:szCs w:val="24"/>
              </w:rPr>
              <w:t>　　二、中小企业划分为中型、小型、微型三种类型，具体标准根据企业从业人员、营业收入、资产总额等指标，结合行业特点制定。</w:t>
            </w:r>
          </w:p>
          <w:p w14:paraId="00E04123">
            <w:pPr>
              <w:widowControl/>
              <w:spacing w:line="360" w:lineRule="auto"/>
              <w:jc w:val="left"/>
              <w:rPr>
                <w:rFonts w:ascii="宋体" w:hAnsi="宋体" w:cs="宋体"/>
                <w:kern w:val="0"/>
                <w:sz w:val="24"/>
                <w:szCs w:val="24"/>
              </w:rPr>
            </w:pPr>
            <w:r>
              <w:rPr>
                <w:rFonts w:hint="eastAsia" w:ascii="宋体" w:hAnsi="宋体" w:cs="宋体"/>
                <w:kern w:val="0"/>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85F4B73">
            <w:pPr>
              <w:widowControl/>
              <w:spacing w:line="360" w:lineRule="auto"/>
              <w:jc w:val="left"/>
              <w:rPr>
                <w:rFonts w:ascii="宋体" w:hAnsi="宋体" w:cs="宋体"/>
                <w:kern w:val="0"/>
                <w:sz w:val="24"/>
                <w:szCs w:val="24"/>
              </w:rPr>
            </w:pPr>
            <w:r>
              <w:rPr>
                <w:rFonts w:hint="eastAsia" w:ascii="宋体" w:hAnsi="宋体" w:cs="宋体"/>
                <w:kern w:val="0"/>
                <w:sz w:val="24"/>
                <w:szCs w:val="24"/>
              </w:rPr>
              <w:t>　　四、各行业划型标准为：</w:t>
            </w:r>
          </w:p>
          <w:p w14:paraId="65C64AE1">
            <w:pPr>
              <w:widowControl/>
              <w:spacing w:line="360" w:lineRule="auto"/>
              <w:jc w:val="left"/>
              <w:rPr>
                <w:rFonts w:ascii="宋体" w:hAnsi="宋体" w:cs="宋体"/>
                <w:kern w:val="0"/>
                <w:sz w:val="24"/>
                <w:szCs w:val="24"/>
              </w:rPr>
            </w:pPr>
            <w:r>
              <w:rPr>
                <w:rFonts w:hint="eastAsia" w:ascii="宋体" w:hAnsi="宋体" w:cs="宋体"/>
                <w:kern w:val="0"/>
                <w:sz w:val="24"/>
                <w:szCs w:val="24"/>
              </w:rPr>
              <w:t>　　（一）农、林、牧、渔业。营业收入20000万元以下的为中小微型企业。其中，营业收入500万元及以上的为中型企业，营业收入50万元及以上的为小型企业，营业收入50万元以下的为微型企业。</w:t>
            </w:r>
          </w:p>
          <w:p w14:paraId="1EF3398F">
            <w:pPr>
              <w:widowControl/>
              <w:spacing w:line="360" w:lineRule="auto"/>
              <w:jc w:val="left"/>
              <w:rPr>
                <w:rFonts w:ascii="宋体" w:hAnsi="宋体" w:cs="宋体"/>
                <w:kern w:val="0"/>
                <w:sz w:val="24"/>
                <w:szCs w:val="24"/>
              </w:rPr>
            </w:pPr>
            <w:r>
              <w:rPr>
                <w:rFonts w:hint="eastAsia" w:ascii="宋体" w:hAnsi="宋体" w:cs="宋体"/>
                <w:kern w:val="0"/>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F1626E">
            <w:pPr>
              <w:widowControl/>
              <w:spacing w:line="360" w:lineRule="auto"/>
              <w:jc w:val="left"/>
              <w:rPr>
                <w:rFonts w:ascii="宋体" w:hAnsi="宋体" w:cs="宋体"/>
                <w:kern w:val="0"/>
                <w:sz w:val="24"/>
                <w:szCs w:val="24"/>
              </w:rPr>
            </w:pPr>
            <w:r>
              <w:rPr>
                <w:rFonts w:hint="eastAsia" w:ascii="宋体" w:hAnsi="宋体" w:cs="宋体"/>
                <w:kern w:val="0"/>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0A42639">
            <w:pPr>
              <w:widowControl/>
              <w:spacing w:line="360" w:lineRule="auto"/>
              <w:jc w:val="left"/>
              <w:rPr>
                <w:rFonts w:ascii="宋体" w:hAnsi="宋体" w:cs="宋体"/>
                <w:kern w:val="0"/>
                <w:sz w:val="24"/>
                <w:szCs w:val="24"/>
              </w:rPr>
            </w:pPr>
            <w:r>
              <w:rPr>
                <w:rFonts w:hint="eastAsia" w:ascii="宋体" w:hAnsi="宋体" w:cs="宋体"/>
                <w:kern w:val="0"/>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A154AA">
            <w:pPr>
              <w:widowControl/>
              <w:spacing w:line="360" w:lineRule="auto"/>
              <w:jc w:val="left"/>
              <w:rPr>
                <w:rFonts w:ascii="宋体" w:hAnsi="宋体" w:cs="宋体"/>
                <w:kern w:val="0"/>
                <w:sz w:val="24"/>
                <w:szCs w:val="24"/>
              </w:rPr>
            </w:pPr>
            <w:r>
              <w:rPr>
                <w:rFonts w:hint="eastAsia" w:ascii="宋体" w:hAnsi="宋体" w:cs="宋体"/>
                <w:kern w:val="0"/>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8EA0AE9">
            <w:pPr>
              <w:widowControl/>
              <w:spacing w:line="360" w:lineRule="auto"/>
              <w:jc w:val="left"/>
              <w:rPr>
                <w:rFonts w:ascii="宋体" w:hAnsi="宋体" w:cs="宋体"/>
                <w:kern w:val="0"/>
                <w:sz w:val="24"/>
                <w:szCs w:val="24"/>
              </w:rPr>
            </w:pPr>
            <w:r>
              <w:rPr>
                <w:rFonts w:hint="eastAsia" w:ascii="宋体" w:hAnsi="宋体" w:cs="宋体"/>
                <w:kern w:val="0"/>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F2E785A">
            <w:pPr>
              <w:widowControl/>
              <w:spacing w:line="360" w:lineRule="auto"/>
              <w:jc w:val="left"/>
              <w:rPr>
                <w:rFonts w:ascii="宋体" w:hAnsi="宋体" w:cs="宋体"/>
                <w:kern w:val="0"/>
                <w:sz w:val="24"/>
                <w:szCs w:val="24"/>
              </w:rPr>
            </w:pPr>
            <w:r>
              <w:rPr>
                <w:rFonts w:hint="eastAsia" w:ascii="宋体" w:hAnsi="宋体" w:cs="宋体"/>
                <w:kern w:val="0"/>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8D2809A">
            <w:pPr>
              <w:widowControl/>
              <w:spacing w:line="360" w:lineRule="auto"/>
              <w:jc w:val="left"/>
              <w:rPr>
                <w:rFonts w:ascii="宋体" w:hAnsi="宋体" w:cs="宋体"/>
                <w:kern w:val="0"/>
                <w:sz w:val="24"/>
                <w:szCs w:val="24"/>
              </w:rPr>
            </w:pPr>
            <w:r>
              <w:rPr>
                <w:rFonts w:hint="eastAsia" w:ascii="宋体" w:hAnsi="宋体" w:cs="宋体"/>
                <w:kern w:val="0"/>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7D45647">
            <w:pPr>
              <w:widowControl/>
              <w:spacing w:line="360" w:lineRule="auto"/>
              <w:jc w:val="left"/>
              <w:rPr>
                <w:rFonts w:ascii="宋体" w:hAnsi="宋体" w:cs="宋体"/>
                <w:kern w:val="0"/>
                <w:sz w:val="24"/>
                <w:szCs w:val="24"/>
              </w:rPr>
            </w:pPr>
            <w:r>
              <w:rPr>
                <w:rFonts w:hint="eastAsia" w:ascii="宋体" w:hAnsi="宋体" w:cs="宋体"/>
                <w:kern w:val="0"/>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3BE108">
            <w:pPr>
              <w:widowControl/>
              <w:spacing w:line="360" w:lineRule="auto"/>
              <w:jc w:val="left"/>
              <w:rPr>
                <w:rFonts w:ascii="宋体" w:hAnsi="宋体" w:cs="宋体"/>
                <w:kern w:val="0"/>
                <w:sz w:val="24"/>
                <w:szCs w:val="24"/>
              </w:rPr>
            </w:pPr>
            <w:r>
              <w:rPr>
                <w:rFonts w:hint="eastAsia" w:ascii="宋体" w:hAnsi="宋体" w:cs="宋体"/>
                <w:kern w:val="0"/>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101B90">
            <w:pPr>
              <w:widowControl/>
              <w:spacing w:line="360" w:lineRule="auto"/>
              <w:jc w:val="left"/>
              <w:rPr>
                <w:rFonts w:ascii="宋体" w:hAnsi="宋体" w:cs="宋体"/>
                <w:kern w:val="0"/>
                <w:sz w:val="24"/>
                <w:szCs w:val="24"/>
              </w:rPr>
            </w:pPr>
            <w:r>
              <w:rPr>
                <w:rFonts w:hint="eastAsia" w:ascii="宋体" w:hAnsi="宋体" w:cs="宋体"/>
                <w:kern w:val="0"/>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9B89208">
            <w:pPr>
              <w:widowControl/>
              <w:spacing w:line="360" w:lineRule="auto"/>
              <w:jc w:val="left"/>
              <w:rPr>
                <w:rFonts w:ascii="宋体" w:hAnsi="宋体" w:cs="宋体"/>
                <w:kern w:val="0"/>
                <w:sz w:val="24"/>
                <w:szCs w:val="24"/>
              </w:rPr>
            </w:pPr>
            <w:r>
              <w:rPr>
                <w:rFonts w:hint="eastAsia" w:ascii="宋体" w:hAnsi="宋体" w:cs="宋体"/>
                <w:kern w:val="0"/>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E19BE1">
            <w:pPr>
              <w:widowControl/>
              <w:spacing w:line="360" w:lineRule="auto"/>
              <w:jc w:val="left"/>
              <w:rPr>
                <w:rFonts w:ascii="宋体" w:hAnsi="宋体" w:cs="宋体"/>
                <w:kern w:val="0"/>
                <w:sz w:val="24"/>
                <w:szCs w:val="24"/>
              </w:rPr>
            </w:pPr>
            <w:r>
              <w:rPr>
                <w:rFonts w:hint="eastAsia" w:ascii="宋体" w:hAnsi="宋体" w:cs="宋体"/>
                <w:kern w:val="0"/>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2F024F1">
            <w:pPr>
              <w:widowControl/>
              <w:spacing w:line="360" w:lineRule="auto"/>
              <w:jc w:val="left"/>
              <w:rPr>
                <w:rFonts w:ascii="宋体" w:hAnsi="宋体" w:cs="宋体"/>
                <w:kern w:val="0"/>
                <w:sz w:val="24"/>
                <w:szCs w:val="24"/>
              </w:rPr>
            </w:pPr>
            <w:r>
              <w:rPr>
                <w:rFonts w:hint="eastAsia" w:ascii="宋体" w:hAnsi="宋体" w:cs="宋体"/>
                <w:kern w:val="0"/>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858262D">
            <w:pPr>
              <w:widowControl/>
              <w:spacing w:line="360" w:lineRule="auto"/>
              <w:jc w:val="left"/>
              <w:rPr>
                <w:rFonts w:ascii="宋体" w:hAnsi="宋体" w:cs="宋体"/>
                <w:kern w:val="0"/>
                <w:sz w:val="24"/>
                <w:szCs w:val="24"/>
              </w:rPr>
            </w:pPr>
            <w:r>
              <w:rPr>
                <w:rFonts w:hint="eastAsia" w:ascii="宋体" w:hAnsi="宋体" w:cs="宋体"/>
                <w:kern w:val="0"/>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E0490A">
            <w:pPr>
              <w:widowControl/>
              <w:spacing w:line="360" w:lineRule="auto"/>
              <w:jc w:val="left"/>
              <w:rPr>
                <w:rFonts w:ascii="宋体" w:hAnsi="宋体" w:cs="宋体"/>
                <w:kern w:val="0"/>
                <w:sz w:val="24"/>
                <w:szCs w:val="24"/>
              </w:rPr>
            </w:pPr>
            <w:r>
              <w:rPr>
                <w:rFonts w:hint="eastAsia" w:ascii="宋体" w:hAnsi="宋体" w:cs="宋体"/>
                <w:kern w:val="0"/>
                <w:sz w:val="24"/>
                <w:szCs w:val="24"/>
              </w:rPr>
              <w:t>　　（十六）其他未列明行业。从业人员300人以下的为中小微型企业。其中，从业人员100人及以上的为中型企业；从业人员10人及以上的为小型企业；从业人员10人以下的为微型企业。</w:t>
            </w:r>
          </w:p>
          <w:p w14:paraId="5DAD3744">
            <w:pPr>
              <w:widowControl/>
              <w:spacing w:line="360" w:lineRule="auto"/>
              <w:jc w:val="left"/>
              <w:rPr>
                <w:rFonts w:ascii="宋体" w:hAnsi="宋体" w:cs="宋体"/>
                <w:kern w:val="0"/>
                <w:sz w:val="24"/>
                <w:szCs w:val="24"/>
              </w:rPr>
            </w:pPr>
            <w:r>
              <w:rPr>
                <w:rFonts w:hint="eastAsia" w:ascii="宋体" w:hAnsi="宋体" w:cs="宋体"/>
                <w:kern w:val="0"/>
                <w:sz w:val="24"/>
                <w:szCs w:val="24"/>
              </w:rPr>
              <w:t>　　五、企业类型的划分以统计部门的统计数据为依据。</w:t>
            </w:r>
          </w:p>
          <w:p w14:paraId="44D8057A">
            <w:pPr>
              <w:widowControl/>
              <w:spacing w:line="360" w:lineRule="auto"/>
              <w:jc w:val="left"/>
              <w:rPr>
                <w:rFonts w:ascii="宋体" w:hAnsi="宋体" w:cs="宋体"/>
                <w:kern w:val="0"/>
                <w:sz w:val="24"/>
                <w:szCs w:val="24"/>
              </w:rPr>
            </w:pPr>
            <w:r>
              <w:rPr>
                <w:rFonts w:hint="eastAsia" w:ascii="宋体" w:hAnsi="宋体" w:cs="宋体"/>
                <w:kern w:val="0"/>
                <w:sz w:val="24"/>
                <w:szCs w:val="24"/>
              </w:rPr>
              <w:t>　　六、本规定适用于在中华人民共和国境内依法设立的各类所有制和各种组织形式的企业。个体工商户和本规定以外的行业，参照本规定进行划型。</w:t>
            </w:r>
          </w:p>
          <w:p w14:paraId="7DE4BE4E">
            <w:pPr>
              <w:widowControl/>
              <w:spacing w:line="360" w:lineRule="auto"/>
              <w:jc w:val="left"/>
              <w:rPr>
                <w:rFonts w:ascii="宋体" w:hAnsi="宋体" w:cs="宋体"/>
                <w:kern w:val="0"/>
                <w:sz w:val="24"/>
                <w:szCs w:val="24"/>
              </w:rPr>
            </w:pPr>
            <w:r>
              <w:rPr>
                <w:rFonts w:hint="eastAsia" w:ascii="宋体" w:hAnsi="宋体" w:cs="宋体"/>
                <w:kern w:val="0"/>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3948E523">
            <w:pPr>
              <w:widowControl/>
              <w:spacing w:line="360" w:lineRule="auto"/>
              <w:jc w:val="left"/>
              <w:rPr>
                <w:rFonts w:ascii="宋体" w:hAnsi="宋体" w:cs="宋体"/>
                <w:kern w:val="0"/>
                <w:sz w:val="24"/>
                <w:szCs w:val="24"/>
              </w:rPr>
            </w:pPr>
            <w:r>
              <w:rPr>
                <w:rFonts w:hint="eastAsia" w:ascii="宋体" w:hAnsi="宋体" w:cs="宋体"/>
                <w:kern w:val="0"/>
                <w:sz w:val="24"/>
                <w:szCs w:val="24"/>
              </w:rPr>
              <w:t>　　八、本规定由工业和信息化部、国家统计局会同有关部门根据《国民经济行业分类》修订情况和企业发展变化情况适时修订。</w:t>
            </w:r>
          </w:p>
          <w:p w14:paraId="50759D04">
            <w:pPr>
              <w:widowControl/>
              <w:spacing w:line="360" w:lineRule="auto"/>
              <w:jc w:val="left"/>
              <w:rPr>
                <w:rFonts w:ascii="宋体" w:hAnsi="宋体" w:cs="宋体"/>
                <w:kern w:val="0"/>
                <w:sz w:val="24"/>
                <w:szCs w:val="24"/>
              </w:rPr>
            </w:pPr>
            <w:r>
              <w:rPr>
                <w:rFonts w:hint="eastAsia" w:ascii="宋体" w:hAnsi="宋体" w:cs="宋体"/>
                <w:kern w:val="0"/>
                <w:sz w:val="24"/>
                <w:szCs w:val="24"/>
              </w:rPr>
              <w:t>　　九、本规定由工业和信息化部、国家统计局会同有关部门负责解释。</w:t>
            </w:r>
          </w:p>
          <w:p w14:paraId="3B6D7EF8">
            <w:pPr>
              <w:widowControl/>
              <w:spacing w:line="360" w:lineRule="auto"/>
              <w:jc w:val="left"/>
              <w:rPr>
                <w:rFonts w:ascii="宋体" w:hAnsi="宋体" w:cs="宋体"/>
                <w:kern w:val="0"/>
                <w:sz w:val="24"/>
                <w:szCs w:val="24"/>
              </w:rPr>
            </w:pPr>
            <w:r>
              <w:rPr>
                <w:rFonts w:hint="eastAsia" w:ascii="宋体" w:hAnsi="宋体" w:cs="宋体"/>
                <w:kern w:val="0"/>
                <w:sz w:val="24"/>
                <w:szCs w:val="24"/>
              </w:rPr>
              <w:t>　　十、本规定自发布之日起执行，原国家经贸委、原国家计委、财政部和国家统计局2003年颁布的《中小企业标准暂行规定》同时废止。</w:t>
            </w:r>
          </w:p>
        </w:tc>
      </w:tr>
    </w:tbl>
    <w:p w14:paraId="6C346836">
      <w:pPr>
        <w:tabs>
          <w:tab w:val="left" w:pos="540"/>
        </w:tabs>
        <w:autoSpaceDE w:val="0"/>
        <w:autoSpaceDN w:val="0"/>
        <w:adjustRightInd w:val="0"/>
        <w:spacing w:line="360" w:lineRule="auto"/>
        <w:outlineLvl w:val="1"/>
        <w:rPr>
          <w:rFonts w:ascii="宋体" w:hAnsi="宋体" w:cs="宋体"/>
          <w:b/>
          <w:kern w:val="0"/>
          <w:sz w:val="24"/>
          <w:szCs w:val="24"/>
          <w:lang w:val="zh-CN" w:bidi="zh-CN"/>
        </w:rPr>
        <w:sectPr>
          <w:pgSz w:w="11906" w:h="16838"/>
          <w:pgMar w:top="1440" w:right="1083" w:bottom="1440" w:left="1083" w:header="851" w:footer="992" w:gutter="0"/>
          <w:cols w:space="720" w:num="1"/>
        </w:sectPr>
      </w:pPr>
    </w:p>
    <w:p w14:paraId="5FE2DB04">
      <w:pPr>
        <w:tabs>
          <w:tab w:val="left" w:pos="540"/>
        </w:tabs>
        <w:autoSpaceDE w:val="0"/>
        <w:autoSpaceDN w:val="0"/>
        <w:adjustRightInd w:val="0"/>
        <w:spacing w:line="360" w:lineRule="auto"/>
        <w:outlineLvl w:val="1"/>
        <w:rPr>
          <w:rFonts w:ascii="宋体" w:hAnsi="宋体" w:cs="宋体"/>
          <w:b/>
          <w:kern w:val="0"/>
          <w:sz w:val="24"/>
          <w:szCs w:val="24"/>
          <w:lang w:val="zh-CN" w:bidi="zh-CN"/>
        </w:rPr>
      </w:pPr>
      <w:bookmarkStart w:id="195" w:name="_Toc20882"/>
      <w:r>
        <w:rPr>
          <w:rStyle w:val="55"/>
          <w:rFonts w:hint="eastAsia" w:ascii="宋体" w:hAnsi="宋体" w:cs="宋体"/>
          <w:sz w:val="24"/>
          <w:szCs w:val="24"/>
        </w:rPr>
        <w:t xml:space="preserve">附件10 </w:t>
      </w:r>
      <w:r>
        <w:rPr>
          <w:rFonts w:hint="eastAsia" w:ascii="宋体" w:hAnsi="宋体" w:cs="宋体"/>
          <w:b/>
          <w:kern w:val="0"/>
          <w:sz w:val="24"/>
          <w:szCs w:val="24"/>
          <w:lang w:val="zh-CN" w:bidi="zh-CN"/>
        </w:rPr>
        <w:t>监狱企业证明文件</w:t>
      </w:r>
      <w:r>
        <w:rPr>
          <w:rFonts w:hint="eastAsia" w:ascii="宋体" w:hAnsi="宋体" w:cs="宋体"/>
          <w:b/>
          <w:sz w:val="24"/>
          <w:szCs w:val="24"/>
          <w:lang w:val="zh-CN"/>
        </w:rPr>
        <w:t>（若</w:t>
      </w:r>
      <w:r>
        <w:rPr>
          <w:rFonts w:hint="eastAsia" w:ascii="宋体" w:hAnsi="宋体" w:cs="宋体"/>
          <w:b/>
          <w:sz w:val="24"/>
          <w:szCs w:val="24"/>
        </w:rPr>
        <w:t>符合</w:t>
      </w:r>
      <w:r>
        <w:rPr>
          <w:rFonts w:hint="eastAsia" w:ascii="宋体" w:hAnsi="宋体" w:cs="宋体"/>
          <w:b/>
          <w:sz w:val="24"/>
          <w:szCs w:val="24"/>
          <w:lang w:val="zh-CN"/>
        </w:rPr>
        <w:t>）</w:t>
      </w:r>
      <w:bookmarkEnd w:id="191"/>
      <w:bookmarkEnd w:id="195"/>
    </w:p>
    <w:p w14:paraId="2FFBE09F">
      <w:pPr>
        <w:autoSpaceDE w:val="0"/>
        <w:autoSpaceDN w:val="0"/>
        <w:spacing w:line="360" w:lineRule="auto"/>
        <w:jc w:val="left"/>
        <w:rPr>
          <w:rFonts w:ascii="宋体" w:hAnsi="宋体" w:cs="宋体"/>
          <w:b/>
          <w:kern w:val="0"/>
          <w:sz w:val="24"/>
          <w:szCs w:val="24"/>
          <w:lang w:val="zh-CN" w:bidi="zh-CN"/>
        </w:rPr>
      </w:pPr>
    </w:p>
    <w:p w14:paraId="58B2F3D6">
      <w:pPr>
        <w:autoSpaceDE w:val="0"/>
        <w:autoSpaceDN w:val="0"/>
        <w:spacing w:line="360" w:lineRule="auto"/>
        <w:jc w:val="left"/>
        <w:rPr>
          <w:rFonts w:ascii="宋体" w:hAnsi="宋体" w:cs="宋体"/>
          <w:b/>
          <w:kern w:val="0"/>
          <w:sz w:val="24"/>
          <w:szCs w:val="24"/>
          <w:lang w:val="zh-CN" w:bidi="zh-CN"/>
        </w:rPr>
      </w:pPr>
    </w:p>
    <w:p w14:paraId="291F3A05">
      <w:pPr>
        <w:autoSpaceDE w:val="0"/>
        <w:autoSpaceDN w:val="0"/>
        <w:spacing w:line="360" w:lineRule="auto"/>
        <w:jc w:val="left"/>
        <w:rPr>
          <w:rFonts w:ascii="宋体" w:hAnsi="宋体" w:cs="宋体"/>
          <w:b/>
          <w:kern w:val="0"/>
          <w:sz w:val="24"/>
          <w:szCs w:val="24"/>
          <w:lang w:val="zh-CN" w:bidi="zh-CN"/>
        </w:rPr>
      </w:pPr>
    </w:p>
    <w:p w14:paraId="3B52C869">
      <w:pPr>
        <w:autoSpaceDE w:val="0"/>
        <w:autoSpaceDN w:val="0"/>
        <w:spacing w:line="360" w:lineRule="auto"/>
        <w:jc w:val="left"/>
        <w:rPr>
          <w:rFonts w:ascii="宋体" w:hAnsi="宋体" w:cs="宋体"/>
          <w:b/>
          <w:kern w:val="0"/>
          <w:sz w:val="24"/>
          <w:szCs w:val="24"/>
          <w:lang w:val="zh-CN" w:bidi="zh-CN"/>
        </w:rPr>
      </w:pPr>
    </w:p>
    <w:p w14:paraId="41CB7601">
      <w:pPr>
        <w:autoSpaceDE w:val="0"/>
        <w:autoSpaceDN w:val="0"/>
        <w:spacing w:line="360" w:lineRule="auto"/>
        <w:jc w:val="left"/>
        <w:rPr>
          <w:rFonts w:ascii="宋体" w:hAnsi="宋体" w:cs="宋体"/>
          <w:b/>
          <w:kern w:val="0"/>
          <w:sz w:val="24"/>
          <w:szCs w:val="24"/>
          <w:lang w:val="zh-CN" w:bidi="zh-CN"/>
        </w:rPr>
      </w:pPr>
    </w:p>
    <w:p w14:paraId="285C74D9">
      <w:pPr>
        <w:autoSpaceDE w:val="0"/>
        <w:autoSpaceDN w:val="0"/>
        <w:spacing w:line="360" w:lineRule="auto"/>
        <w:jc w:val="left"/>
        <w:rPr>
          <w:rFonts w:ascii="宋体" w:hAnsi="宋体" w:cs="宋体"/>
          <w:b/>
          <w:kern w:val="0"/>
          <w:sz w:val="24"/>
          <w:szCs w:val="24"/>
          <w:lang w:val="zh-CN" w:bidi="zh-CN"/>
        </w:rPr>
      </w:pPr>
    </w:p>
    <w:p w14:paraId="280976F4">
      <w:pPr>
        <w:autoSpaceDE w:val="0"/>
        <w:autoSpaceDN w:val="0"/>
        <w:spacing w:line="360" w:lineRule="auto"/>
        <w:jc w:val="left"/>
        <w:rPr>
          <w:rFonts w:ascii="宋体" w:hAnsi="宋体" w:cs="宋体"/>
          <w:b/>
          <w:kern w:val="0"/>
          <w:sz w:val="24"/>
          <w:szCs w:val="24"/>
          <w:lang w:val="zh-CN" w:bidi="zh-CN"/>
        </w:rPr>
      </w:pPr>
    </w:p>
    <w:p w14:paraId="0D276ADF">
      <w:pPr>
        <w:autoSpaceDE w:val="0"/>
        <w:autoSpaceDN w:val="0"/>
        <w:spacing w:line="360" w:lineRule="auto"/>
        <w:jc w:val="left"/>
        <w:rPr>
          <w:rFonts w:ascii="宋体" w:hAnsi="宋体" w:cs="宋体"/>
          <w:b/>
          <w:kern w:val="0"/>
          <w:sz w:val="24"/>
          <w:szCs w:val="24"/>
          <w:lang w:val="zh-CN" w:bidi="zh-CN"/>
        </w:rPr>
      </w:pPr>
    </w:p>
    <w:p w14:paraId="524D7F3E">
      <w:pPr>
        <w:autoSpaceDE w:val="0"/>
        <w:autoSpaceDN w:val="0"/>
        <w:spacing w:line="360" w:lineRule="auto"/>
        <w:jc w:val="center"/>
        <w:rPr>
          <w:rFonts w:ascii="宋体" w:hAnsi="宋体" w:cs="宋体"/>
          <w:kern w:val="0"/>
          <w:sz w:val="24"/>
          <w:szCs w:val="24"/>
          <w:lang w:val="zh-CN" w:bidi="zh-CN"/>
        </w:rPr>
      </w:pPr>
      <w:r>
        <w:rPr>
          <w:rFonts w:hint="eastAsia" w:ascii="宋体" w:hAnsi="宋体" w:cs="宋体"/>
          <w:kern w:val="0"/>
          <w:sz w:val="24"/>
          <w:szCs w:val="24"/>
          <w:lang w:val="zh-CN" w:bidi="zh-CN"/>
        </w:rPr>
        <w:t>供应商如是监狱企业，提供相关证明文件。</w:t>
      </w:r>
    </w:p>
    <w:p w14:paraId="40803AF0">
      <w:pPr>
        <w:pStyle w:val="20"/>
        <w:spacing w:line="360" w:lineRule="auto"/>
        <w:rPr>
          <w:rFonts w:ascii="宋体" w:hAnsi="宋体" w:cs="宋体"/>
          <w:sz w:val="24"/>
          <w:szCs w:val="24"/>
          <w:lang w:val="zh-CN" w:bidi="zh-CN"/>
        </w:rPr>
      </w:pPr>
    </w:p>
    <w:p w14:paraId="169F51BF">
      <w:pPr>
        <w:spacing w:line="360" w:lineRule="auto"/>
        <w:rPr>
          <w:rFonts w:ascii="宋体" w:hAnsi="宋体" w:cs="宋体"/>
          <w:sz w:val="24"/>
          <w:szCs w:val="24"/>
          <w:lang w:val="zh-CN" w:bidi="zh-CN"/>
        </w:rPr>
      </w:pPr>
    </w:p>
    <w:p w14:paraId="1DEDBA65">
      <w:pPr>
        <w:pStyle w:val="20"/>
        <w:spacing w:line="360" w:lineRule="auto"/>
        <w:rPr>
          <w:rFonts w:ascii="宋体" w:hAnsi="宋体" w:cs="宋体"/>
          <w:sz w:val="24"/>
          <w:szCs w:val="24"/>
          <w:lang w:val="zh-CN" w:bidi="zh-CN"/>
        </w:rPr>
      </w:pPr>
    </w:p>
    <w:p w14:paraId="45B5EAF5">
      <w:pPr>
        <w:spacing w:line="360" w:lineRule="auto"/>
        <w:rPr>
          <w:rFonts w:ascii="宋体" w:hAnsi="宋体" w:cs="宋体"/>
          <w:sz w:val="24"/>
          <w:szCs w:val="24"/>
          <w:lang w:val="zh-CN" w:bidi="zh-CN"/>
        </w:rPr>
      </w:pPr>
    </w:p>
    <w:p w14:paraId="063770BE">
      <w:pPr>
        <w:pStyle w:val="20"/>
        <w:spacing w:line="360" w:lineRule="auto"/>
        <w:rPr>
          <w:rFonts w:ascii="宋体" w:hAnsi="宋体" w:cs="宋体"/>
          <w:sz w:val="24"/>
          <w:szCs w:val="24"/>
          <w:lang w:val="zh-CN" w:bidi="zh-CN"/>
        </w:rPr>
      </w:pPr>
    </w:p>
    <w:p w14:paraId="0E5445C6">
      <w:pPr>
        <w:spacing w:line="360" w:lineRule="auto"/>
        <w:rPr>
          <w:rFonts w:ascii="宋体" w:hAnsi="宋体" w:cs="宋体"/>
          <w:sz w:val="24"/>
          <w:szCs w:val="24"/>
          <w:lang w:val="zh-CN" w:bidi="zh-CN"/>
        </w:rPr>
      </w:pPr>
    </w:p>
    <w:p w14:paraId="3F044023">
      <w:pPr>
        <w:spacing w:line="360" w:lineRule="auto"/>
        <w:rPr>
          <w:rFonts w:ascii="宋体" w:hAnsi="宋体" w:cs="宋体"/>
          <w:sz w:val="24"/>
          <w:szCs w:val="24"/>
        </w:rPr>
      </w:pPr>
      <w:r>
        <w:rPr>
          <w:rFonts w:hint="eastAsia" w:ascii="宋体" w:hAnsi="宋体" w:cs="宋体"/>
          <w:sz w:val="24"/>
          <w:szCs w:val="24"/>
        </w:rPr>
        <w:t>供应商授权代表（签字）：</w:t>
      </w:r>
      <w:r>
        <w:rPr>
          <w:rFonts w:hint="eastAsia" w:ascii="宋体" w:hAnsi="宋体" w:cs="宋体"/>
          <w:sz w:val="24"/>
          <w:szCs w:val="24"/>
          <w:u w:val="single"/>
        </w:rPr>
        <w:t xml:space="preserve">                        </w:t>
      </w:r>
    </w:p>
    <w:p w14:paraId="74A2E18E">
      <w:pPr>
        <w:spacing w:line="360" w:lineRule="auto"/>
        <w:rPr>
          <w:rFonts w:ascii="宋体" w:hAnsi="宋体" w:cs="宋体"/>
          <w:sz w:val="24"/>
          <w:szCs w:val="24"/>
          <w:u w:val="single"/>
        </w:rPr>
      </w:pPr>
      <w:r>
        <w:rPr>
          <w:rFonts w:hint="eastAsia" w:ascii="宋体" w:hAnsi="宋体" w:cs="宋体"/>
          <w:sz w:val="24"/>
          <w:szCs w:val="24"/>
        </w:rPr>
        <w:t>供应商名称（盖章 ）：</w:t>
      </w:r>
      <w:r>
        <w:rPr>
          <w:rFonts w:hint="eastAsia" w:ascii="宋体" w:hAnsi="宋体" w:cs="宋体"/>
          <w:sz w:val="24"/>
          <w:szCs w:val="24"/>
          <w:u w:val="single"/>
        </w:rPr>
        <w:t xml:space="preserve">                                     </w:t>
      </w:r>
    </w:p>
    <w:p w14:paraId="30BE3781">
      <w:pPr>
        <w:spacing w:line="360" w:lineRule="auto"/>
        <w:rPr>
          <w:rFonts w:ascii="宋体" w:hAnsi="宋体" w:cs="宋体"/>
          <w:sz w:val="24"/>
          <w:szCs w:val="24"/>
        </w:rPr>
      </w:pPr>
      <w:r>
        <w:rPr>
          <w:rFonts w:hint="eastAsia" w:ascii="宋体" w:hAnsi="宋体" w:cs="宋体"/>
          <w:sz w:val="24"/>
          <w:szCs w:val="24"/>
        </w:rPr>
        <w:t>时               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68744B1">
      <w:pPr>
        <w:spacing w:line="360" w:lineRule="auto"/>
        <w:rPr>
          <w:rFonts w:ascii="宋体" w:hAnsi="宋体" w:cs="宋体"/>
          <w:sz w:val="24"/>
          <w:szCs w:val="24"/>
          <w:lang w:val="zh-CN" w:bidi="zh-CN"/>
        </w:rPr>
      </w:pPr>
    </w:p>
    <w:p w14:paraId="1EB6C363">
      <w:pPr>
        <w:pStyle w:val="20"/>
        <w:spacing w:line="360" w:lineRule="auto"/>
        <w:rPr>
          <w:rFonts w:ascii="宋体" w:hAnsi="宋体" w:cs="宋体"/>
          <w:sz w:val="24"/>
          <w:szCs w:val="24"/>
          <w:lang w:val="zh-CN" w:bidi="zh-CN"/>
        </w:rPr>
      </w:pPr>
      <w:r>
        <w:rPr>
          <w:rFonts w:hint="eastAsia" w:ascii="宋体" w:hAnsi="宋体" w:cs="宋体"/>
          <w:sz w:val="24"/>
          <w:szCs w:val="24"/>
          <w:lang w:val="zh-CN" w:bidi="zh-CN"/>
        </w:rPr>
        <w:br w:type="page"/>
      </w:r>
    </w:p>
    <w:p w14:paraId="4F08FC15">
      <w:pPr>
        <w:tabs>
          <w:tab w:val="left" w:pos="540"/>
        </w:tabs>
        <w:autoSpaceDE w:val="0"/>
        <w:autoSpaceDN w:val="0"/>
        <w:adjustRightInd w:val="0"/>
        <w:spacing w:line="360" w:lineRule="auto"/>
        <w:outlineLvl w:val="1"/>
        <w:rPr>
          <w:rFonts w:ascii="宋体" w:hAnsi="宋体" w:cs="宋体"/>
          <w:b/>
          <w:kern w:val="0"/>
          <w:sz w:val="24"/>
          <w:szCs w:val="24"/>
          <w:lang w:val="zh-CN" w:bidi="zh-CN"/>
        </w:rPr>
      </w:pPr>
      <w:bookmarkStart w:id="196" w:name="_Toc1759"/>
      <w:bookmarkStart w:id="197" w:name="_Toc6439"/>
      <w:r>
        <w:rPr>
          <w:rFonts w:hint="eastAsia" w:ascii="宋体" w:hAnsi="宋体" w:cs="宋体"/>
          <w:b/>
          <w:kern w:val="0"/>
          <w:sz w:val="24"/>
          <w:szCs w:val="24"/>
          <w:lang w:val="zh-CN" w:bidi="zh-CN"/>
        </w:rPr>
        <w:t>附件</w:t>
      </w:r>
      <w:r>
        <w:rPr>
          <w:rFonts w:hint="eastAsia" w:ascii="宋体" w:hAnsi="宋体" w:cs="宋体"/>
          <w:b/>
          <w:kern w:val="0"/>
          <w:sz w:val="24"/>
          <w:szCs w:val="24"/>
          <w:lang w:bidi="zh-CN"/>
        </w:rPr>
        <w:t xml:space="preserve">11 </w:t>
      </w:r>
      <w:r>
        <w:rPr>
          <w:rFonts w:hint="eastAsia" w:ascii="宋体" w:hAnsi="宋体" w:cs="宋体"/>
          <w:b/>
          <w:kern w:val="0"/>
          <w:sz w:val="24"/>
          <w:szCs w:val="24"/>
          <w:lang w:val="zh-CN" w:bidi="zh-CN"/>
        </w:rPr>
        <w:t>残疾人福利性单位声明函</w:t>
      </w:r>
      <w:r>
        <w:rPr>
          <w:rFonts w:hint="eastAsia" w:ascii="宋体" w:hAnsi="宋体" w:cs="宋体"/>
          <w:b/>
          <w:sz w:val="24"/>
          <w:szCs w:val="24"/>
          <w:lang w:val="zh-CN"/>
        </w:rPr>
        <w:t>（若</w:t>
      </w:r>
      <w:r>
        <w:rPr>
          <w:rFonts w:hint="eastAsia" w:ascii="宋体" w:hAnsi="宋体" w:cs="宋体"/>
          <w:b/>
          <w:sz w:val="24"/>
          <w:szCs w:val="24"/>
        </w:rPr>
        <w:t>符合</w:t>
      </w:r>
      <w:r>
        <w:rPr>
          <w:rFonts w:hint="eastAsia" w:ascii="宋体" w:hAnsi="宋体" w:cs="宋体"/>
          <w:b/>
          <w:sz w:val="24"/>
          <w:szCs w:val="24"/>
          <w:lang w:val="zh-CN"/>
        </w:rPr>
        <w:t>）</w:t>
      </w:r>
      <w:bookmarkEnd w:id="196"/>
      <w:bookmarkEnd w:id="197"/>
    </w:p>
    <w:p w14:paraId="60ABA7AC">
      <w:pPr>
        <w:autoSpaceDE w:val="0"/>
        <w:autoSpaceDN w:val="0"/>
        <w:spacing w:line="360" w:lineRule="auto"/>
        <w:jc w:val="left"/>
        <w:rPr>
          <w:rFonts w:ascii="宋体" w:hAnsi="宋体" w:cs="宋体"/>
          <w:b/>
          <w:kern w:val="0"/>
          <w:sz w:val="24"/>
          <w:szCs w:val="24"/>
          <w:lang w:val="zh-CN" w:bidi="zh-CN"/>
        </w:rPr>
      </w:pPr>
    </w:p>
    <w:p w14:paraId="3DA54DB8">
      <w:pPr>
        <w:spacing w:line="360" w:lineRule="auto"/>
        <w:jc w:val="center"/>
        <w:rPr>
          <w:rFonts w:ascii="宋体" w:hAnsi="宋体" w:cs="宋体"/>
          <w:b/>
          <w:spacing w:val="6"/>
          <w:sz w:val="24"/>
          <w:szCs w:val="24"/>
          <w:lang w:val="zh-CN"/>
        </w:rPr>
      </w:pPr>
      <w:r>
        <w:rPr>
          <w:rFonts w:hint="eastAsia" w:ascii="宋体" w:hAnsi="宋体" w:cs="宋体"/>
          <w:b/>
          <w:spacing w:val="6"/>
          <w:sz w:val="24"/>
          <w:szCs w:val="24"/>
          <w:lang w:val="zh-CN"/>
        </w:rPr>
        <w:t>残疾人福利性单位声明函</w:t>
      </w:r>
    </w:p>
    <w:p w14:paraId="1BA4B326">
      <w:pPr>
        <w:autoSpaceDE w:val="0"/>
        <w:autoSpaceDN w:val="0"/>
        <w:spacing w:line="360" w:lineRule="auto"/>
        <w:jc w:val="left"/>
        <w:rPr>
          <w:rFonts w:ascii="宋体" w:hAnsi="宋体" w:cs="宋体"/>
          <w:b/>
          <w:kern w:val="0"/>
          <w:sz w:val="24"/>
          <w:szCs w:val="24"/>
          <w:lang w:val="zh-CN" w:bidi="zh-CN"/>
        </w:rPr>
      </w:pPr>
    </w:p>
    <w:p w14:paraId="71596558">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本单位郑重声明，根据《财政部 民政部 中国残疾人联合会关于促进残疾人就业政府采购政策的通知》（财库〔2017〕 141 号）的规定，本单位为符合条件的残疾人福利性单位， 且本单位参加______单位的</w:t>
      </w:r>
      <w:r>
        <w:rPr>
          <w:rFonts w:hint="eastAsia" w:ascii="宋体" w:hAnsi="宋体" w:cs="宋体"/>
          <w:spacing w:val="6"/>
          <w:sz w:val="24"/>
          <w:szCs w:val="24"/>
        </w:rPr>
        <w:tab/>
      </w:r>
      <w:r>
        <w:rPr>
          <w:rFonts w:hint="eastAsia" w:ascii="宋体" w:hAnsi="宋体" w:cs="宋体"/>
          <w:spacing w:val="6"/>
          <w:sz w:val="24"/>
          <w:szCs w:val="24"/>
        </w:rPr>
        <w:t>项目采购活动提供本单位制造的货物（由本单位承担工程/</w:t>
      </w:r>
    </w:p>
    <w:p w14:paraId="4964A016">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提供服务），或者提供其他残疾人福利性单位制造的货物（不包括使用非残疾人福利性单位  注册商标的货物）。</w:t>
      </w:r>
    </w:p>
    <w:p w14:paraId="25AF9DE4">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本单位对上述声明的真实性负责。如有虚假，将依法承担相应责任。</w:t>
      </w:r>
    </w:p>
    <w:p w14:paraId="2B9C4FA9">
      <w:pPr>
        <w:spacing w:line="360" w:lineRule="auto"/>
        <w:ind w:firstLine="504" w:firstLineChars="200"/>
        <w:rPr>
          <w:rFonts w:ascii="宋体" w:hAnsi="宋体" w:cs="宋体"/>
          <w:spacing w:val="6"/>
          <w:sz w:val="24"/>
          <w:szCs w:val="24"/>
        </w:rPr>
      </w:pPr>
    </w:p>
    <w:p w14:paraId="1E89984F">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单位名称（盖章）：</w:t>
      </w:r>
    </w:p>
    <w:p w14:paraId="5C4CBFDD">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日</w:t>
      </w:r>
      <w:r>
        <w:rPr>
          <w:rFonts w:hint="eastAsia" w:ascii="宋体" w:hAnsi="宋体" w:cs="宋体"/>
          <w:spacing w:val="6"/>
          <w:sz w:val="24"/>
          <w:szCs w:val="24"/>
        </w:rPr>
        <w:tab/>
      </w:r>
      <w:r>
        <w:rPr>
          <w:rFonts w:hint="eastAsia" w:ascii="宋体" w:hAnsi="宋体" w:cs="宋体"/>
          <w:spacing w:val="6"/>
          <w:sz w:val="24"/>
          <w:szCs w:val="24"/>
        </w:rPr>
        <w:t>期：</w:t>
      </w:r>
    </w:p>
    <w:p w14:paraId="6ECD1976">
      <w:pPr>
        <w:pStyle w:val="20"/>
        <w:spacing w:line="360" w:lineRule="auto"/>
        <w:ind w:firstLine="482" w:firstLineChars="200"/>
        <w:rPr>
          <w:rFonts w:ascii="宋体" w:hAnsi="宋体" w:cs="宋体"/>
          <w:sz w:val="24"/>
          <w:szCs w:val="24"/>
        </w:rPr>
      </w:pPr>
    </w:p>
    <w:p w14:paraId="2ED7224A">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备注：享受政府采购支持政策的残疾人福利性单位应当同时满足以下条件：</w:t>
      </w:r>
    </w:p>
    <w:p w14:paraId="6C2E3567">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安置的残疾人占本单位在职职工人数的比例不低于 25%（含 25%），并且安置的残疾人人数不少于 10 人（含 10 人）；</w:t>
      </w:r>
    </w:p>
    <w:p w14:paraId="2650652B">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依法与安置的每位残疾人签订了一年以上（含一年）的劳动合同或服务协议；</w:t>
      </w:r>
    </w:p>
    <w:p w14:paraId="39E0B7C5">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为安置的每位残疾人按月足额缴纳了基本养老保险、基本医疗保险、失业保险、工伤保险和生育保险等社会保险费；</w:t>
      </w:r>
    </w:p>
    <w:p w14:paraId="40001239">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通过银行等金融机构向安置的每位残疾人，按月支付了不低于单位所在区县适用的经省级人民政府批准的月最低工资标准的工资；</w:t>
      </w:r>
    </w:p>
    <w:p w14:paraId="6E5D376C">
      <w:pPr>
        <w:spacing w:line="360" w:lineRule="auto"/>
        <w:ind w:firstLine="504" w:firstLineChars="200"/>
        <w:rPr>
          <w:rFonts w:ascii="宋体" w:hAnsi="宋体" w:cs="宋体"/>
          <w:spacing w:val="6"/>
          <w:sz w:val="24"/>
          <w:szCs w:val="24"/>
        </w:rPr>
      </w:pPr>
      <w:r>
        <w:rPr>
          <w:rFonts w:hint="eastAsia" w:ascii="宋体" w:hAnsi="宋体" w:cs="宋体"/>
          <w:spacing w:val="6"/>
          <w:sz w:val="24"/>
          <w:szCs w:val="24"/>
        </w:rPr>
        <w:t>提供本单位制造的货物、承担的工程或者服务（以下简称产品），或者提供其他残疾人福利性单位制造的货物（不包括使用非残疾人福利性单位注册商标的货物）。</w:t>
      </w:r>
    </w:p>
    <w:p w14:paraId="0CFEB6AF">
      <w:pPr>
        <w:spacing w:line="360" w:lineRule="auto"/>
        <w:ind w:firstLine="504" w:firstLineChars="200"/>
        <w:rPr>
          <w:rFonts w:ascii="宋体" w:hAnsi="宋体" w:cs="宋体"/>
          <w:sz w:val="24"/>
          <w:szCs w:val="24"/>
          <w:lang w:val="zh-CN" w:bidi="zh-CN"/>
        </w:rPr>
      </w:pPr>
      <w:r>
        <w:rPr>
          <w:rFonts w:hint="eastAsia" w:ascii="宋体" w:hAnsi="宋体" w:cs="宋体"/>
          <w:spacing w:val="6"/>
          <w:sz w:val="24"/>
          <w:szCs w:val="24"/>
        </w:rPr>
        <w:t>前款所称残疾人是指法定劳动年龄内，持有《中华人民共和国残疾人证》或者《中华人民共和国残   疾军人证（1 至 8 级）》的自然人，包括具有劳动条件和劳动意愿的精神残疾人。在职职工人数是指与残疾人福利性单位建立劳动关系并依法签订劳动合同或者服务协议的雇员人数。</w:t>
      </w:r>
    </w:p>
    <w:p w14:paraId="48E29F44">
      <w:pPr>
        <w:pStyle w:val="15"/>
        <w:spacing w:before="0" w:beforeAutospacing="0" w:after="0" w:afterAutospacing="0" w:line="360" w:lineRule="auto"/>
        <w:rPr>
          <w:rFonts w:cs="宋体"/>
          <w:color w:val="auto"/>
          <w:szCs w:val="24"/>
        </w:rPr>
      </w:pPr>
    </w:p>
    <w:p w14:paraId="24A25EA6">
      <w:pPr>
        <w:spacing w:line="360" w:lineRule="auto"/>
        <w:jc w:val="center"/>
        <w:outlineLvl w:val="1"/>
        <w:rPr>
          <w:rStyle w:val="55"/>
          <w:rFonts w:ascii="宋体" w:hAnsi="宋体" w:cs="宋体"/>
          <w:sz w:val="24"/>
          <w:szCs w:val="24"/>
        </w:rPr>
        <w:sectPr>
          <w:pgSz w:w="11906" w:h="16838"/>
          <w:pgMar w:top="1440" w:right="1083" w:bottom="1440" w:left="1083" w:header="851" w:footer="992" w:gutter="0"/>
          <w:cols w:space="720" w:num="1"/>
        </w:sectPr>
      </w:pPr>
    </w:p>
    <w:p w14:paraId="1697F0E4">
      <w:pPr>
        <w:pageBreakBefore w:val="0"/>
        <w:kinsoku/>
        <w:wordWrap w:val="0"/>
        <w:overflowPunct/>
        <w:bidi w:val="0"/>
        <w:spacing w:line="360" w:lineRule="auto"/>
        <w:jc w:val="center"/>
        <w:outlineLvl w:val="1"/>
        <w:rPr>
          <w:rStyle w:val="93"/>
          <w:rFonts w:hint="eastAsia" w:ascii="宋体" w:hAnsi="宋体" w:cs="宋体"/>
          <w:sz w:val="24"/>
          <w:szCs w:val="24"/>
        </w:rPr>
      </w:pPr>
      <w:bookmarkStart w:id="198" w:name="_Toc293"/>
      <w:bookmarkStart w:id="199" w:name="_Toc8611"/>
      <w:bookmarkStart w:id="200" w:name="_Toc4570"/>
      <w:bookmarkStart w:id="201" w:name="_Toc18117"/>
      <w:bookmarkStart w:id="202" w:name="_Toc4162"/>
      <w:bookmarkStart w:id="203" w:name="_Toc8183"/>
      <w:r>
        <w:rPr>
          <w:rStyle w:val="93"/>
          <w:rFonts w:ascii="宋体" w:hAnsi="宋体" w:cs="宋体"/>
          <w:sz w:val="24"/>
          <w:szCs w:val="24"/>
        </w:rPr>
        <w:t>附件</w:t>
      </w:r>
      <w:r>
        <w:rPr>
          <w:rStyle w:val="93"/>
          <w:rFonts w:hint="eastAsia" w:ascii="宋体" w:hAnsi="宋体" w:eastAsia="宋体" w:cs="宋体"/>
          <w:sz w:val="24"/>
          <w:szCs w:val="24"/>
          <w:lang w:val="en-US" w:eastAsia="zh-CN"/>
        </w:rPr>
        <w:t>12</w:t>
      </w:r>
      <w:r>
        <w:rPr>
          <w:rStyle w:val="93"/>
          <w:rFonts w:hint="eastAsia" w:ascii="宋体" w:hAnsi="宋体" w:cs="宋体"/>
          <w:sz w:val="24"/>
          <w:szCs w:val="24"/>
        </w:rPr>
        <w:t xml:space="preserve"> 商务要求</w:t>
      </w:r>
      <w:r>
        <w:rPr>
          <w:rStyle w:val="93"/>
          <w:rFonts w:hint="eastAsia" w:ascii="宋体" w:hAnsi="宋体" w:cs="宋体"/>
          <w:sz w:val="24"/>
          <w:szCs w:val="24"/>
          <w:lang w:val="en-US" w:eastAsia="zh-CN"/>
        </w:rPr>
        <w:t>及“</w:t>
      </w:r>
      <w:r>
        <w:rPr>
          <w:rStyle w:val="93"/>
          <w:rFonts w:hint="eastAsia" w:ascii="宋体" w:hAnsi="宋体" w:eastAsia="宋体" w:cs="宋体"/>
          <w:sz w:val="24"/>
          <w:szCs w:val="24"/>
          <w:lang w:val="en-US" w:eastAsia="zh-CN"/>
        </w:rPr>
        <w:t>★</w:t>
      </w:r>
      <w:r>
        <w:rPr>
          <w:rStyle w:val="93"/>
          <w:rFonts w:hint="eastAsia" w:ascii="宋体" w:hAnsi="宋体" w:cs="宋体"/>
          <w:sz w:val="24"/>
          <w:szCs w:val="24"/>
          <w:lang w:val="en-US" w:eastAsia="zh-CN"/>
        </w:rPr>
        <w:t>”条款</w:t>
      </w:r>
      <w:r>
        <w:rPr>
          <w:rStyle w:val="93"/>
          <w:rFonts w:hint="eastAsia" w:ascii="宋体" w:hAnsi="宋体" w:cs="宋体"/>
          <w:sz w:val="24"/>
          <w:szCs w:val="24"/>
        </w:rPr>
        <w:t>承诺函</w:t>
      </w:r>
      <w:bookmarkEnd w:id="198"/>
      <w:bookmarkEnd w:id="199"/>
      <w:bookmarkEnd w:id="200"/>
      <w:bookmarkEnd w:id="201"/>
      <w:bookmarkEnd w:id="202"/>
      <w:bookmarkEnd w:id="203"/>
    </w:p>
    <w:p w14:paraId="4CEE58A6">
      <w:pPr>
        <w:pageBreakBefore w:val="0"/>
        <w:kinsoku/>
        <w:wordWrap w:val="0"/>
        <w:overflowPunct/>
        <w:bidi w:val="0"/>
        <w:spacing w:line="360" w:lineRule="auto"/>
        <w:rPr>
          <w:rFonts w:hint="eastAsia" w:ascii="宋体" w:hAnsi="宋体" w:cs="宋体"/>
          <w:sz w:val="24"/>
          <w:szCs w:val="24"/>
        </w:rPr>
      </w:pPr>
    </w:p>
    <w:p w14:paraId="622BE792">
      <w:pPr>
        <w:pageBreakBefore w:val="0"/>
        <w:kinsoku/>
        <w:wordWrap w:val="0"/>
        <w:overflowPunct/>
        <w:bidi w:val="0"/>
        <w:spacing w:line="360" w:lineRule="auto"/>
        <w:rPr>
          <w:rFonts w:hint="eastAsia" w:ascii="宋体" w:hAnsi="宋体" w:cs="宋体"/>
          <w:sz w:val="24"/>
          <w:szCs w:val="24"/>
        </w:rPr>
      </w:pPr>
    </w:p>
    <w:p w14:paraId="14393FE6">
      <w:pPr>
        <w:pageBreakBefore w:val="0"/>
        <w:kinsoku/>
        <w:wordWrap w:val="0"/>
        <w:overflowPunct/>
        <w:bidi w:val="0"/>
        <w:spacing w:line="36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采购人</w:t>
      </w:r>
      <w:r>
        <w:rPr>
          <w:rFonts w:hint="eastAsia" w:ascii="宋体" w:hAnsi="宋体" w:cs="宋体"/>
          <w:sz w:val="24"/>
          <w:szCs w:val="24"/>
          <w:u w:val="single"/>
        </w:rPr>
        <w:t xml:space="preserve">）     </w:t>
      </w:r>
      <w:r>
        <w:rPr>
          <w:rFonts w:hint="eastAsia" w:ascii="宋体" w:hAnsi="宋体" w:cs="宋体"/>
          <w:sz w:val="24"/>
          <w:szCs w:val="24"/>
        </w:rPr>
        <w:t>：</w:t>
      </w:r>
    </w:p>
    <w:p w14:paraId="2158738F">
      <w:pPr>
        <w:pageBreakBefore w:val="0"/>
        <w:kinsoku/>
        <w:wordWrap w:val="0"/>
        <w:overflowPunct/>
        <w:bidi w:val="0"/>
        <w:spacing w:line="360" w:lineRule="auto"/>
        <w:ind w:firstLine="480" w:firstLineChars="200"/>
        <w:rPr>
          <w:rFonts w:hint="eastAsia" w:ascii="宋体" w:hAnsi="宋体" w:cs="宋体"/>
          <w:sz w:val="24"/>
          <w:szCs w:val="24"/>
        </w:rPr>
      </w:pPr>
    </w:p>
    <w:p w14:paraId="7932E298">
      <w:pPr>
        <w:pageBreakBefore w:val="0"/>
        <w:kinsoku/>
        <w:wordWrap w:val="0"/>
        <w:overflowPunct/>
        <w:bidi w:val="0"/>
        <w:spacing w:line="360" w:lineRule="auto"/>
        <w:ind w:firstLine="480" w:firstLineChars="200"/>
        <w:rPr>
          <w:rFonts w:hint="eastAsia" w:ascii="宋体" w:hAnsi="宋体" w:cs="宋体"/>
          <w:sz w:val="24"/>
          <w:szCs w:val="24"/>
        </w:rPr>
      </w:pPr>
      <w:r>
        <w:rPr>
          <w:rFonts w:hint="eastAsia" w:ascii="宋体" w:hAnsi="宋体" w:cs="宋体"/>
          <w:sz w:val="24"/>
          <w:szCs w:val="24"/>
        </w:rPr>
        <w:t>我公司承诺响应以下要求：</w:t>
      </w:r>
    </w:p>
    <w:p w14:paraId="14208444">
      <w:pPr>
        <w:pageBreakBefore w:val="0"/>
        <w:numPr>
          <w:ilvl w:val="0"/>
          <w:numId w:val="34"/>
        </w:numPr>
        <w:kinsoku/>
        <w:wordWrap w:val="0"/>
        <w:overflowPunct/>
        <w:bidi w:val="0"/>
        <w:spacing w:line="360" w:lineRule="auto"/>
        <w:ind w:firstLine="480" w:firstLineChars="200"/>
        <w:rPr>
          <w:rFonts w:hint="eastAsia" w:ascii="宋体" w:hAnsi="宋体" w:cs="宋体"/>
          <w:sz w:val="24"/>
          <w:szCs w:val="24"/>
        </w:rPr>
      </w:pPr>
    </w:p>
    <w:p w14:paraId="430DCC6F">
      <w:pPr>
        <w:pageBreakBefore w:val="0"/>
        <w:numPr>
          <w:ilvl w:val="0"/>
          <w:numId w:val="34"/>
        </w:numPr>
        <w:kinsoku/>
        <w:wordWrap w:val="0"/>
        <w:overflowPunct/>
        <w:bidi w:val="0"/>
        <w:spacing w:line="360" w:lineRule="auto"/>
        <w:ind w:firstLine="480" w:firstLineChars="200"/>
        <w:rPr>
          <w:rFonts w:hint="eastAsia" w:ascii="宋体" w:hAnsi="宋体" w:cs="宋体"/>
          <w:sz w:val="24"/>
          <w:szCs w:val="24"/>
        </w:rPr>
      </w:pPr>
    </w:p>
    <w:p w14:paraId="348EDAB4">
      <w:pPr>
        <w:pageBreakBefore w:val="0"/>
        <w:kinsoku/>
        <w:wordWrap w:val="0"/>
        <w:overflowPunct/>
        <w:bidi w:val="0"/>
        <w:spacing w:line="360" w:lineRule="auto"/>
        <w:ind w:firstLine="480" w:firstLineChars="200"/>
        <w:rPr>
          <w:rFonts w:hint="eastAsia" w:ascii="宋体" w:hAnsi="宋体" w:cs="宋体"/>
          <w:sz w:val="24"/>
          <w:szCs w:val="24"/>
        </w:rPr>
      </w:pPr>
      <w:r>
        <w:rPr>
          <w:rFonts w:hint="eastAsia" w:ascii="宋体" w:hAnsi="宋体" w:cs="宋体"/>
          <w:sz w:val="24"/>
          <w:szCs w:val="24"/>
        </w:rPr>
        <w:t>……</w:t>
      </w:r>
    </w:p>
    <w:p w14:paraId="63B2E7AD">
      <w:pPr>
        <w:pageBreakBefore w:val="0"/>
        <w:kinsoku/>
        <w:wordWrap w:val="0"/>
        <w:overflowPunct/>
        <w:bidi w:val="0"/>
        <w:rPr>
          <w:rStyle w:val="93"/>
          <w:rFonts w:hint="eastAsia" w:ascii="宋体" w:hAnsi="宋体" w:cs="宋体"/>
          <w:sz w:val="24"/>
          <w:szCs w:val="24"/>
        </w:rPr>
      </w:pPr>
      <w:bookmarkStart w:id="204" w:name="_Toc9039"/>
      <w:r>
        <w:rPr>
          <w:rStyle w:val="93"/>
          <w:rFonts w:hint="eastAsia" w:ascii="宋体" w:hAnsi="宋体" w:cs="宋体"/>
          <w:sz w:val="24"/>
          <w:szCs w:val="24"/>
        </w:rPr>
        <w:t>（根据要求自行填入）</w:t>
      </w:r>
    </w:p>
    <w:bookmarkEnd w:id="204"/>
    <w:p w14:paraId="621D0A13">
      <w:pPr>
        <w:pStyle w:val="25"/>
        <w:pageBreakBefore w:val="0"/>
        <w:kinsoku/>
        <w:wordWrap w:val="0"/>
        <w:overflowPunct/>
        <w:bidi w:val="0"/>
        <w:spacing w:before="0" w:beforeAutospacing="0" w:after="0" w:afterAutospacing="0" w:line="360" w:lineRule="auto"/>
        <w:rPr>
          <w:rFonts w:hint="eastAsia" w:cs="宋体"/>
          <w:color w:val="auto"/>
          <w:kern w:val="2"/>
          <w:szCs w:val="24"/>
        </w:rPr>
      </w:pPr>
    </w:p>
    <w:p w14:paraId="684E4511">
      <w:pPr>
        <w:pageBreakBefore w:val="0"/>
        <w:kinsoku/>
        <w:wordWrap w:val="0"/>
        <w:overflowPunct/>
        <w:bidi w:val="0"/>
        <w:spacing w:line="360" w:lineRule="auto"/>
        <w:rPr>
          <w:rFonts w:hint="eastAsia" w:ascii="宋体" w:hAnsi="宋体" w:cs="宋体"/>
          <w:sz w:val="24"/>
          <w:szCs w:val="24"/>
          <w:u w:val="single"/>
        </w:rPr>
      </w:pPr>
      <w:r>
        <w:rPr>
          <w:rFonts w:hint="eastAsia" w:ascii="宋体" w:hAnsi="宋体" w:cs="宋体"/>
          <w:sz w:val="24"/>
          <w:szCs w:val="24"/>
          <w:lang w:val="en-US" w:eastAsia="zh-CN"/>
        </w:rPr>
        <w:t>供应商</w:t>
      </w:r>
      <w:r>
        <w:rPr>
          <w:rFonts w:hint="eastAsia" w:ascii="宋体" w:hAnsi="宋体" w:cs="宋体"/>
          <w:sz w:val="24"/>
          <w:szCs w:val="24"/>
        </w:rPr>
        <w:t>（公章）：</w:t>
      </w:r>
    </w:p>
    <w:p w14:paraId="772E3CBE">
      <w:pPr>
        <w:pageBreakBefore w:val="0"/>
        <w:kinsoku/>
        <w:wordWrap w:val="0"/>
        <w:overflowPunct/>
        <w:bidi w:val="0"/>
        <w:spacing w:line="360" w:lineRule="auto"/>
        <w:rPr>
          <w:rFonts w:hint="eastAsia" w:ascii="宋体" w:hAnsi="宋体" w:cs="宋体"/>
          <w:sz w:val="24"/>
          <w:szCs w:val="24"/>
          <w:u w:val="single"/>
        </w:rPr>
      </w:pPr>
      <w:r>
        <w:rPr>
          <w:rFonts w:hint="eastAsia" w:ascii="宋体" w:hAnsi="宋体" w:cs="宋体"/>
          <w:sz w:val="24"/>
          <w:szCs w:val="24"/>
        </w:rPr>
        <w:t>法定代表人或其授权委托人（签字或盖章）：</w:t>
      </w:r>
    </w:p>
    <w:p w14:paraId="01FF6523">
      <w:pPr>
        <w:pageBreakBefore w:val="0"/>
        <w:kinsoku/>
        <w:wordWrap w:val="0"/>
        <w:overflowPunct/>
        <w:bidi w:val="0"/>
        <w:spacing w:line="360" w:lineRule="auto"/>
        <w:rPr>
          <w:rFonts w:hint="eastAsia" w:ascii="宋体" w:hAnsi="宋体" w:cs="宋体"/>
          <w:sz w:val="24"/>
          <w:szCs w:val="24"/>
        </w:rPr>
      </w:pPr>
      <w:r>
        <w:rPr>
          <w:rFonts w:hint="eastAsia" w:ascii="宋体" w:hAnsi="宋体" w:cs="宋体"/>
          <w:sz w:val="24"/>
          <w:szCs w:val="24"/>
        </w:rPr>
        <w:t>日期：    年  月  日</w:t>
      </w:r>
    </w:p>
    <w:p w14:paraId="2239FB63">
      <w:pPr>
        <w:spacing w:line="360" w:lineRule="auto"/>
        <w:jc w:val="center"/>
        <w:rPr>
          <w:rStyle w:val="55"/>
          <w:rFonts w:ascii="宋体" w:hAnsi="宋体" w:cs="宋体"/>
          <w:sz w:val="24"/>
          <w:szCs w:val="24"/>
        </w:rPr>
      </w:pPr>
    </w:p>
    <w:p w14:paraId="286D9B9C">
      <w:pPr>
        <w:spacing w:line="360" w:lineRule="auto"/>
        <w:jc w:val="center"/>
        <w:rPr>
          <w:rStyle w:val="55"/>
          <w:rFonts w:ascii="宋体" w:hAnsi="宋体" w:cs="宋体"/>
          <w:sz w:val="24"/>
          <w:szCs w:val="24"/>
        </w:rPr>
        <w:sectPr>
          <w:pgSz w:w="11906" w:h="16838"/>
          <w:pgMar w:top="1440" w:right="1083" w:bottom="1440" w:left="1083" w:header="851" w:footer="992" w:gutter="0"/>
          <w:cols w:space="720" w:num="1"/>
        </w:sectPr>
      </w:pPr>
    </w:p>
    <w:p w14:paraId="6A5B3A9C">
      <w:pPr>
        <w:spacing w:line="360" w:lineRule="auto"/>
        <w:jc w:val="center"/>
        <w:outlineLvl w:val="1"/>
        <w:rPr>
          <w:rFonts w:ascii="宋体" w:hAnsi="宋体" w:cs="宋体"/>
          <w:b/>
          <w:bCs/>
          <w:sz w:val="24"/>
          <w:szCs w:val="24"/>
        </w:rPr>
      </w:pPr>
      <w:bookmarkStart w:id="205" w:name="_Toc1050"/>
      <w:r>
        <w:rPr>
          <w:rStyle w:val="55"/>
          <w:rFonts w:hint="eastAsia" w:ascii="宋体" w:hAnsi="宋体" w:cs="宋体"/>
          <w:sz w:val="24"/>
          <w:szCs w:val="24"/>
        </w:rPr>
        <w:t>附件13 成交服务费承诺书</w:t>
      </w:r>
      <w:bookmarkEnd w:id="184"/>
      <w:bookmarkEnd w:id="187"/>
      <w:bookmarkEnd w:id="205"/>
    </w:p>
    <w:p w14:paraId="0B3A9AA8">
      <w:pPr>
        <w:autoSpaceDE w:val="0"/>
        <w:autoSpaceDN w:val="0"/>
        <w:adjustRightInd w:val="0"/>
        <w:spacing w:line="360" w:lineRule="auto"/>
        <w:rPr>
          <w:rFonts w:ascii="宋体" w:hAnsi="宋体" w:cs="宋体"/>
          <w:sz w:val="24"/>
          <w:szCs w:val="24"/>
        </w:rPr>
      </w:pPr>
    </w:p>
    <w:p w14:paraId="7556D19A">
      <w:pPr>
        <w:autoSpaceDE w:val="0"/>
        <w:autoSpaceDN w:val="0"/>
        <w:adjustRightInd w:val="0"/>
        <w:spacing w:line="360" w:lineRule="auto"/>
        <w:rPr>
          <w:rFonts w:ascii="宋体" w:hAnsi="宋体" w:cs="宋体"/>
          <w:sz w:val="24"/>
          <w:szCs w:val="24"/>
        </w:rPr>
      </w:pPr>
      <w:r>
        <w:rPr>
          <w:rFonts w:hint="eastAsia" w:ascii="宋体" w:hAnsi="宋体" w:cs="宋体"/>
          <w:sz w:val="24"/>
          <w:szCs w:val="24"/>
        </w:rPr>
        <w:t>致：湖北世发招标有限公司</w:t>
      </w:r>
    </w:p>
    <w:p w14:paraId="60F727EF">
      <w:pPr>
        <w:autoSpaceDE w:val="0"/>
        <w:autoSpaceDN w:val="0"/>
        <w:adjustRightInd w:val="0"/>
        <w:spacing w:line="360" w:lineRule="auto"/>
        <w:rPr>
          <w:rFonts w:ascii="宋体" w:hAnsi="宋体" w:cs="宋体"/>
          <w:sz w:val="24"/>
          <w:szCs w:val="24"/>
        </w:rPr>
      </w:pPr>
    </w:p>
    <w:p w14:paraId="3371CF10">
      <w:pPr>
        <w:autoSpaceDE w:val="0"/>
        <w:autoSpaceDN w:val="0"/>
        <w:adjustRightInd w:val="0"/>
        <w:spacing w:line="360" w:lineRule="auto"/>
        <w:ind w:firstLine="480" w:firstLineChars="200"/>
        <w:rPr>
          <w:rFonts w:ascii="宋体" w:hAnsi="宋体" w:cs="宋体"/>
          <w:sz w:val="24"/>
          <w:szCs w:val="24"/>
        </w:rPr>
      </w:pPr>
      <w:r>
        <w:rPr>
          <w:rFonts w:hint="eastAsia" w:ascii="宋体" w:hAnsi="宋体" w:cs="宋体"/>
          <w:sz w:val="24"/>
          <w:szCs w:val="24"/>
        </w:rPr>
        <w:t>如我公司在贵公司组织的</w:t>
      </w:r>
      <w:r>
        <w:rPr>
          <w:rFonts w:hint="eastAsia" w:ascii="宋体" w:hAnsi="宋体" w:cs="宋体"/>
          <w:sz w:val="24"/>
          <w:szCs w:val="24"/>
          <w:lang w:eastAsia="zh-CN"/>
        </w:rPr>
        <w:t>湖北工业大学站群管理服务拓展项目（第二次）</w:t>
      </w:r>
      <w:r>
        <w:rPr>
          <w:rFonts w:hint="eastAsia" w:ascii="宋体" w:hAnsi="宋体" w:cs="宋体"/>
          <w:sz w:val="24"/>
          <w:szCs w:val="24"/>
        </w:rPr>
        <w:t>中获得成交（项目编号：</w:t>
      </w:r>
      <w:r>
        <w:rPr>
          <w:rFonts w:hint="eastAsia" w:ascii="宋体" w:hAnsi="宋体" w:cs="宋体"/>
          <w:sz w:val="24"/>
          <w:szCs w:val="24"/>
          <w:lang w:eastAsia="zh-CN"/>
        </w:rPr>
        <w:t>HGDXW25-042/HBSF-GN-25061616</w:t>
      </w:r>
      <w:r>
        <w:rPr>
          <w:rFonts w:hint="eastAsia" w:ascii="宋体" w:hAnsi="宋体" w:cs="宋体"/>
          <w:sz w:val="24"/>
          <w:szCs w:val="24"/>
        </w:rPr>
        <w:t>），我们保证按竞争性磋商文件的规定以电汇或经贵方认可的方式，向贵方缴纳成交服务费，成交服务费金额按供应商须知前附表计算得出。成交服务费收取账户如下：</w:t>
      </w:r>
    </w:p>
    <w:p w14:paraId="5396BCF4">
      <w:pPr>
        <w:spacing w:line="360" w:lineRule="auto"/>
        <w:rPr>
          <w:rFonts w:ascii="宋体" w:hAnsi="宋体" w:cs="宋体"/>
          <w:spacing w:val="-2"/>
          <w:sz w:val="24"/>
          <w:szCs w:val="24"/>
        </w:rPr>
      </w:pPr>
    </w:p>
    <w:p w14:paraId="320C593B">
      <w:pPr>
        <w:spacing w:line="360" w:lineRule="auto"/>
        <w:rPr>
          <w:rFonts w:ascii="宋体" w:hAnsi="宋体" w:cs="宋体"/>
          <w:spacing w:val="-2"/>
          <w:sz w:val="24"/>
          <w:szCs w:val="24"/>
        </w:rPr>
      </w:pPr>
      <w:r>
        <w:rPr>
          <w:rFonts w:hint="eastAsia" w:ascii="宋体" w:hAnsi="宋体" w:cs="宋体"/>
          <w:spacing w:val="-2"/>
          <w:sz w:val="24"/>
          <w:szCs w:val="24"/>
        </w:rPr>
        <w:t>开户名称：湖北世发招标有限公司</w:t>
      </w:r>
    </w:p>
    <w:p w14:paraId="7D344348">
      <w:pPr>
        <w:spacing w:line="360" w:lineRule="auto"/>
        <w:rPr>
          <w:rFonts w:ascii="宋体" w:hAnsi="宋体" w:cs="宋体"/>
          <w:spacing w:val="-2"/>
          <w:sz w:val="24"/>
          <w:szCs w:val="24"/>
        </w:rPr>
      </w:pPr>
      <w:r>
        <w:rPr>
          <w:rFonts w:hint="eastAsia" w:ascii="宋体" w:hAnsi="宋体" w:cs="宋体"/>
          <w:spacing w:val="-2"/>
          <w:sz w:val="24"/>
          <w:szCs w:val="24"/>
        </w:rPr>
        <w:t>开 户 行：湖北银行股份有限公司武汉洪山支行</w:t>
      </w:r>
    </w:p>
    <w:p w14:paraId="612AD5A9">
      <w:pPr>
        <w:autoSpaceDE w:val="0"/>
        <w:autoSpaceDN w:val="0"/>
        <w:adjustRightInd w:val="0"/>
        <w:spacing w:line="360" w:lineRule="auto"/>
        <w:rPr>
          <w:rFonts w:ascii="宋体" w:hAnsi="宋体" w:cs="宋体"/>
          <w:spacing w:val="-2"/>
          <w:sz w:val="24"/>
          <w:szCs w:val="24"/>
        </w:rPr>
      </w:pPr>
      <w:r>
        <w:rPr>
          <w:rFonts w:hint="eastAsia" w:ascii="宋体" w:hAnsi="宋体" w:cs="宋体"/>
          <w:spacing w:val="-2"/>
          <w:sz w:val="24"/>
          <w:szCs w:val="24"/>
        </w:rPr>
        <w:t>账    号：1019 0200 0000 00074</w:t>
      </w:r>
    </w:p>
    <w:p w14:paraId="34BA64E5">
      <w:pPr>
        <w:spacing w:line="360" w:lineRule="auto"/>
        <w:rPr>
          <w:rFonts w:ascii="宋体" w:hAnsi="宋体" w:cs="宋体"/>
          <w:spacing w:val="-2"/>
          <w:sz w:val="24"/>
          <w:szCs w:val="24"/>
        </w:rPr>
      </w:pPr>
      <w:r>
        <w:rPr>
          <w:rFonts w:hint="eastAsia" w:ascii="宋体" w:hAnsi="宋体" w:cs="宋体"/>
          <w:spacing w:val="-2"/>
          <w:sz w:val="24"/>
          <w:szCs w:val="24"/>
        </w:rPr>
        <w:t>行    号：3135 2100 6472</w:t>
      </w:r>
    </w:p>
    <w:p w14:paraId="15C1A732">
      <w:pPr>
        <w:autoSpaceDE w:val="0"/>
        <w:autoSpaceDN w:val="0"/>
        <w:adjustRightInd w:val="0"/>
        <w:spacing w:line="360" w:lineRule="auto"/>
        <w:rPr>
          <w:rFonts w:ascii="宋体" w:hAnsi="宋体" w:cs="宋体"/>
          <w:sz w:val="24"/>
          <w:szCs w:val="24"/>
        </w:rPr>
      </w:pPr>
    </w:p>
    <w:p w14:paraId="66A8776A">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特此承诺！ </w:t>
      </w:r>
    </w:p>
    <w:p w14:paraId="1FE15647">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承诺方法定名称： </w:t>
      </w:r>
    </w:p>
    <w:p w14:paraId="2DF8D6FC">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地址： </w:t>
      </w:r>
    </w:p>
    <w:p w14:paraId="7ACDDBEC">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邮编： </w:t>
      </w:r>
    </w:p>
    <w:p w14:paraId="23FA2839">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电话： </w:t>
      </w:r>
    </w:p>
    <w:p w14:paraId="5E551768">
      <w:pPr>
        <w:autoSpaceDE w:val="0"/>
        <w:autoSpaceDN w:val="0"/>
        <w:adjustRightInd w:val="0"/>
        <w:spacing w:line="360" w:lineRule="auto"/>
        <w:rPr>
          <w:rFonts w:ascii="宋体" w:hAnsi="宋体" w:cs="宋体"/>
          <w:sz w:val="24"/>
          <w:szCs w:val="24"/>
        </w:rPr>
      </w:pPr>
      <w:r>
        <w:rPr>
          <w:rFonts w:hint="eastAsia" w:ascii="宋体" w:hAnsi="宋体" w:cs="宋体"/>
          <w:sz w:val="24"/>
          <w:szCs w:val="24"/>
        </w:rPr>
        <w:t>承诺方授权代表签字：</w:t>
      </w:r>
    </w:p>
    <w:p w14:paraId="36813578">
      <w:pPr>
        <w:autoSpaceDE w:val="0"/>
        <w:autoSpaceDN w:val="0"/>
        <w:adjustRightInd w:val="0"/>
        <w:spacing w:line="360" w:lineRule="auto"/>
        <w:rPr>
          <w:rFonts w:ascii="宋体" w:hAnsi="宋体" w:cs="宋体"/>
          <w:sz w:val="24"/>
          <w:szCs w:val="24"/>
        </w:rPr>
      </w:pPr>
      <w:r>
        <w:rPr>
          <w:rFonts w:hint="eastAsia" w:ascii="宋体" w:hAnsi="宋体" w:cs="宋体"/>
          <w:sz w:val="24"/>
          <w:szCs w:val="24"/>
        </w:rPr>
        <w:t xml:space="preserve">承诺日期： </w:t>
      </w:r>
    </w:p>
    <w:p w14:paraId="6D5DF41D">
      <w:pPr>
        <w:autoSpaceDE w:val="0"/>
        <w:autoSpaceDN w:val="0"/>
        <w:adjustRightInd w:val="0"/>
        <w:spacing w:line="360" w:lineRule="auto"/>
        <w:jc w:val="left"/>
        <w:rPr>
          <w:rFonts w:ascii="宋体" w:hAnsi="宋体" w:cs="宋体"/>
          <w:kern w:val="0"/>
          <w:sz w:val="24"/>
          <w:szCs w:val="24"/>
        </w:rPr>
      </w:pPr>
      <w:r>
        <w:rPr>
          <w:rFonts w:hint="eastAsia" w:ascii="宋体" w:hAnsi="宋体" w:cs="宋体"/>
          <w:sz w:val="24"/>
          <w:szCs w:val="24"/>
        </w:rPr>
        <w:t>承诺方盖章：</w:t>
      </w:r>
    </w:p>
    <w:bookmarkEnd w:id="185"/>
    <w:p w14:paraId="42F9061A">
      <w:pPr>
        <w:pStyle w:val="15"/>
        <w:spacing w:before="0" w:beforeAutospacing="0" w:after="0" w:afterAutospacing="0" w:line="360" w:lineRule="auto"/>
        <w:rPr>
          <w:rFonts w:cs="宋体"/>
          <w:color w:val="auto"/>
          <w:szCs w:val="24"/>
        </w:rPr>
      </w:pPr>
    </w:p>
    <w:sectPr>
      <w:pgSz w:w="11906" w:h="16838"/>
      <w:pgMar w:top="1440" w:right="1083" w:bottom="1440" w:left="1083"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AE986">
    <w:pPr>
      <w:pStyle w:val="17"/>
      <w:tabs>
        <w:tab w:val="center" w:pos="4153"/>
        <w:tab w:val="right" w:pos="8306"/>
        <w:tab w:val="clear" w:pos="4140"/>
        <w:tab w:val="clear" w:pos="83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BDB01">
    <w:pPr>
      <w:pStyle w:val="17"/>
      <w:tabs>
        <w:tab w:val="center" w:pos="4153"/>
        <w:tab w:val="right" w:pos="8306"/>
        <w:tab w:val="clear" w:pos="4140"/>
        <w:tab w:val="clear" w:pos="830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A094F">
    <w:pPr>
      <w:pStyle w:val="17"/>
      <w:tabs>
        <w:tab w:val="center" w:pos="4153"/>
        <w:tab w:val="right" w:pos="8306"/>
        <w:tab w:val="clear" w:pos="4140"/>
        <w:tab w:val="clear" w:pos="8300"/>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215214">
                          <w:pPr>
                            <w:pStyle w:val="17"/>
                          </w:pPr>
                          <w:r>
                            <w:fldChar w:fldCharType="begin"/>
                          </w:r>
                          <w:r>
                            <w:instrText xml:space="preserve"> PAGE  \* MERGEFORMAT </w:instrText>
                          </w:r>
                          <w:r>
                            <w:fldChar w:fldCharType="separate"/>
                          </w:r>
                          <w:r>
                            <w:t>21</w:t>
                          </w:r>
                          <w: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aQNE8EBAACN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IoSxy0O/PLzx+XXn8vv72SZ&#10;5ekD1Jh1HzAvDe/8gEsz+wGdmfWgos1f5EMwjuKer+LKIRGRH61X63WFIYGx+YL47OF5iJDeS29J&#10;NhoacXpFVH76CGlMnVNyNefvtDFlgsb940DM7GG597HHbKVhP0yE9r49I58eB99Qh3tOifngUNe8&#10;I7MRZ2M/GbkGhNtjwsKln4w6Qk3FcEqF0bRReQ0e30vWw1+0/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qaQNE8EBAACNAwAADgAAAAAAAAABACAAAAAeAQAAZHJzL2Uyb0RvYy54bWxQSwUG&#10;AAAAAAYABgBZAQAAUQUAAAAA&#10;">
              <v:fill on="f" focussize="0,0"/>
              <v:stroke on="f"/>
              <v:imagedata o:title=""/>
              <o:lock v:ext="edit" aspectratio="f"/>
              <v:textbox inset="0mm,0mm,0mm,0mm" style="mso-fit-shape-to-text:t;">
                <w:txbxContent>
                  <w:p w14:paraId="02215214">
                    <w:pPr>
                      <w:pStyle w:val="17"/>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16EA1">
    <w:pPr>
      <w:pStyle w:val="17"/>
      <w:framePr w:wrap="around" w:vAnchor="text" w:hAnchor="margin" w:xAlign="center" w:y="1"/>
      <w:tabs>
        <w:tab w:val="center" w:pos="4153"/>
        <w:tab w:val="right" w:pos="8306"/>
        <w:tab w:val="clear" w:pos="4140"/>
        <w:tab w:val="clear" w:pos="8300"/>
      </w:tabs>
      <w:rPr>
        <w:rStyle w:val="34"/>
      </w:rPr>
    </w:pPr>
    <w:r>
      <w:fldChar w:fldCharType="begin"/>
    </w:r>
    <w:r>
      <w:rPr>
        <w:rStyle w:val="34"/>
      </w:rPr>
      <w:instrText xml:space="preserve">PAGE  </w:instrText>
    </w:r>
    <w:r>
      <w:fldChar w:fldCharType="end"/>
    </w:r>
  </w:p>
  <w:p w14:paraId="235684B8">
    <w:pPr>
      <w:pStyle w:val="17"/>
      <w:tabs>
        <w:tab w:val="center" w:pos="4153"/>
        <w:tab w:val="right" w:pos="8306"/>
        <w:tab w:val="clear" w:pos="4140"/>
        <w:tab w:val="clear" w:pos="8300"/>
      </w:tabs>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DD6D5">
    <w:pPr>
      <w:pStyle w:val="19"/>
      <w:pBdr>
        <w:bottom w:val="none" w:color="auto" w:sz="0" w:space="0"/>
      </w:pBdr>
      <w:tabs>
        <w:tab w:val="center" w:pos="4153"/>
        <w:tab w:val="right" w:pos="8306"/>
        <w:tab w:val="clear" w:pos="4140"/>
        <w:tab w:val="clear" w:pos="830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286D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34E308"/>
    <w:multiLevelType w:val="multilevel"/>
    <w:tmpl w:val="9134E308"/>
    <w:lvl w:ilvl="0" w:tentative="0">
      <w:start w:val="1"/>
      <w:numFmt w:val="japaneseCounting"/>
      <w:suff w:val="nothing"/>
      <w:lvlText w:val="%1、"/>
      <w:lvlJc w:val="left"/>
      <w:pPr>
        <w:ind w:left="420" w:hanging="420"/>
      </w:pPr>
      <w:rPr>
        <w:rFonts w:hint="eastAsia" w:ascii="宋体" w:hAnsi="宋体" w:eastAsia="宋体" w:cs="宋体"/>
        <w:sz w:val="24"/>
        <w:szCs w:val="24"/>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B05979BE"/>
    <w:multiLevelType w:val="singleLevel"/>
    <w:tmpl w:val="B05979BE"/>
    <w:lvl w:ilvl="0" w:tentative="0">
      <w:start w:val="1"/>
      <w:numFmt w:val="decimal"/>
      <w:suff w:val="nothing"/>
      <w:lvlText w:val="(%1)"/>
      <w:lvlJc w:val="left"/>
      <w:pPr>
        <w:ind w:left="425" w:hanging="425"/>
      </w:pPr>
      <w:rPr>
        <w:rFonts w:hint="default"/>
        <w:b w:val="0"/>
        <w:bCs w:val="0"/>
        <w:strike w:val="0"/>
        <w:dstrike w:val="0"/>
      </w:rPr>
    </w:lvl>
  </w:abstractNum>
  <w:abstractNum w:abstractNumId="2">
    <w:nsid w:val="B9FFAFF6"/>
    <w:multiLevelType w:val="singleLevel"/>
    <w:tmpl w:val="B9FFAFF6"/>
    <w:lvl w:ilvl="0" w:tentative="0">
      <w:start w:val="1"/>
      <w:numFmt w:val="decimal"/>
      <w:lvlText w:val="(%1)"/>
      <w:lvlJc w:val="left"/>
      <w:pPr>
        <w:ind w:left="425" w:hanging="425"/>
      </w:pPr>
      <w:rPr>
        <w:rFonts w:hint="default"/>
      </w:rPr>
    </w:lvl>
  </w:abstractNum>
  <w:abstractNum w:abstractNumId="3">
    <w:nsid w:val="BC4735E3"/>
    <w:multiLevelType w:val="singleLevel"/>
    <w:tmpl w:val="BC4735E3"/>
    <w:lvl w:ilvl="0" w:tentative="0">
      <w:start w:val="1"/>
      <w:numFmt w:val="decimal"/>
      <w:lvlText w:val="(%1)"/>
      <w:lvlJc w:val="left"/>
      <w:pPr>
        <w:ind w:left="425" w:hanging="425"/>
      </w:pPr>
      <w:rPr>
        <w:rFonts w:hint="default" w:ascii="等线" w:hAnsi="等线" w:eastAsia="等线" w:cs="等线"/>
      </w:rPr>
    </w:lvl>
  </w:abstractNum>
  <w:abstractNum w:abstractNumId="4">
    <w:nsid w:val="BC6AF4AB"/>
    <w:multiLevelType w:val="multilevel"/>
    <w:tmpl w:val="BC6AF4AB"/>
    <w:lvl w:ilvl="0" w:tentative="0">
      <w:start w:val="1"/>
      <w:numFmt w:val="decimal"/>
      <w:suff w:val="nothing"/>
      <w:lvlText w:val="1.%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CBE8B9C0"/>
    <w:multiLevelType w:val="singleLevel"/>
    <w:tmpl w:val="CBE8B9C0"/>
    <w:lvl w:ilvl="0" w:tentative="0">
      <w:start w:val="4"/>
      <w:numFmt w:val="chineseCounting"/>
      <w:suff w:val="space"/>
      <w:lvlText w:val="第%1部分"/>
      <w:lvlJc w:val="left"/>
      <w:rPr>
        <w:rFonts w:hint="eastAsia"/>
      </w:rPr>
    </w:lvl>
  </w:abstractNum>
  <w:abstractNum w:abstractNumId="6">
    <w:nsid w:val="CC5D74DE"/>
    <w:multiLevelType w:val="singleLevel"/>
    <w:tmpl w:val="CC5D74DE"/>
    <w:lvl w:ilvl="0" w:tentative="0">
      <w:start w:val="6"/>
      <w:numFmt w:val="chineseCounting"/>
      <w:suff w:val="space"/>
      <w:lvlText w:val="第%1部分"/>
      <w:lvlJc w:val="left"/>
      <w:rPr>
        <w:rFonts w:hint="eastAsia"/>
      </w:rPr>
    </w:lvl>
  </w:abstractNum>
  <w:abstractNum w:abstractNumId="7">
    <w:nsid w:val="D5A335FC"/>
    <w:multiLevelType w:val="multilevel"/>
    <w:tmpl w:val="D5A335FC"/>
    <w:lvl w:ilvl="0" w:tentative="0">
      <w:start w:val="1"/>
      <w:numFmt w:val="decimal"/>
      <w:suff w:val="nothing"/>
      <w:lvlText w:val="%1、"/>
      <w:lvlJc w:val="left"/>
      <w:pPr>
        <w:ind w:left="880" w:hanging="420"/>
      </w:pPr>
      <w:rPr>
        <w:rFonts w:hint="default"/>
      </w:rPr>
    </w:lvl>
    <w:lvl w:ilvl="1" w:tentative="0">
      <w:start w:val="1"/>
      <w:numFmt w:val="lowerLetter"/>
      <w:lvlText w:val="%2)"/>
      <w:lvlJc w:val="left"/>
      <w:pPr>
        <w:ind w:left="1300" w:hanging="420"/>
      </w:pPr>
    </w:lvl>
    <w:lvl w:ilvl="2" w:tentative="0">
      <w:start w:val="1"/>
      <w:numFmt w:val="lowerRoman"/>
      <w:lvlText w:val="%3."/>
      <w:lvlJc w:val="right"/>
      <w:pPr>
        <w:ind w:left="1720" w:hanging="420"/>
      </w:pPr>
    </w:lvl>
    <w:lvl w:ilvl="3" w:tentative="0">
      <w:start w:val="1"/>
      <w:numFmt w:val="decimal"/>
      <w:lvlText w:val="%4."/>
      <w:lvlJc w:val="left"/>
      <w:pPr>
        <w:ind w:left="2140" w:hanging="420"/>
      </w:pPr>
    </w:lvl>
    <w:lvl w:ilvl="4" w:tentative="0">
      <w:start w:val="1"/>
      <w:numFmt w:val="lowerLetter"/>
      <w:lvlText w:val="%5)"/>
      <w:lvlJc w:val="left"/>
      <w:pPr>
        <w:ind w:left="2560" w:hanging="420"/>
      </w:pPr>
    </w:lvl>
    <w:lvl w:ilvl="5" w:tentative="0">
      <w:start w:val="1"/>
      <w:numFmt w:val="lowerRoman"/>
      <w:lvlText w:val="%6."/>
      <w:lvlJc w:val="right"/>
      <w:pPr>
        <w:ind w:left="2980" w:hanging="420"/>
      </w:pPr>
    </w:lvl>
    <w:lvl w:ilvl="6" w:tentative="0">
      <w:start w:val="1"/>
      <w:numFmt w:val="decimal"/>
      <w:lvlText w:val="%7."/>
      <w:lvlJc w:val="left"/>
      <w:pPr>
        <w:ind w:left="3400" w:hanging="420"/>
      </w:pPr>
    </w:lvl>
    <w:lvl w:ilvl="7" w:tentative="0">
      <w:start w:val="1"/>
      <w:numFmt w:val="lowerLetter"/>
      <w:lvlText w:val="%8)"/>
      <w:lvlJc w:val="left"/>
      <w:pPr>
        <w:ind w:left="3820" w:hanging="420"/>
      </w:pPr>
    </w:lvl>
    <w:lvl w:ilvl="8" w:tentative="0">
      <w:start w:val="1"/>
      <w:numFmt w:val="lowerRoman"/>
      <w:lvlText w:val="%9."/>
      <w:lvlJc w:val="right"/>
      <w:pPr>
        <w:ind w:left="4240" w:hanging="420"/>
      </w:pPr>
    </w:lvl>
  </w:abstractNum>
  <w:abstractNum w:abstractNumId="8">
    <w:nsid w:val="D7B8007B"/>
    <w:multiLevelType w:val="singleLevel"/>
    <w:tmpl w:val="D7B8007B"/>
    <w:lvl w:ilvl="0" w:tentative="0">
      <w:start w:val="1"/>
      <w:numFmt w:val="decimal"/>
      <w:lvlText w:val="(%1)"/>
      <w:lvlJc w:val="left"/>
      <w:pPr>
        <w:ind w:left="425" w:hanging="425"/>
      </w:pPr>
      <w:rPr>
        <w:rFonts w:hint="default"/>
      </w:rPr>
    </w:lvl>
  </w:abstractNum>
  <w:abstractNum w:abstractNumId="9">
    <w:nsid w:val="D7C0A0E0"/>
    <w:multiLevelType w:val="singleLevel"/>
    <w:tmpl w:val="D7C0A0E0"/>
    <w:lvl w:ilvl="0" w:tentative="0">
      <w:start w:val="1"/>
      <w:numFmt w:val="decimal"/>
      <w:lvlText w:val="(%1)"/>
      <w:lvlJc w:val="left"/>
      <w:pPr>
        <w:ind w:left="425" w:hanging="425"/>
      </w:pPr>
      <w:rPr>
        <w:rFonts w:hint="default"/>
      </w:rPr>
    </w:lvl>
  </w:abstractNum>
  <w:abstractNum w:abstractNumId="10">
    <w:nsid w:val="DA4B332B"/>
    <w:multiLevelType w:val="singleLevel"/>
    <w:tmpl w:val="DA4B332B"/>
    <w:lvl w:ilvl="0" w:tentative="0">
      <w:start w:val="1"/>
      <w:numFmt w:val="decimal"/>
      <w:suff w:val="nothing"/>
      <w:lvlText w:val="%1、"/>
      <w:lvlJc w:val="left"/>
      <w:pPr>
        <w:ind w:left="0" w:firstLine="403"/>
      </w:pPr>
      <w:rPr>
        <w:rFonts w:hint="default"/>
      </w:rPr>
    </w:lvl>
  </w:abstractNum>
  <w:abstractNum w:abstractNumId="11">
    <w:nsid w:val="DF2BDD7B"/>
    <w:multiLevelType w:val="singleLevel"/>
    <w:tmpl w:val="DF2BDD7B"/>
    <w:lvl w:ilvl="0" w:tentative="0">
      <w:start w:val="1"/>
      <w:numFmt w:val="decimal"/>
      <w:lvlText w:val="%1."/>
      <w:lvlJc w:val="left"/>
      <w:pPr>
        <w:ind w:left="425" w:hanging="425"/>
      </w:pPr>
      <w:rPr>
        <w:rFonts w:hint="default"/>
      </w:rPr>
    </w:lvl>
  </w:abstractNum>
  <w:abstractNum w:abstractNumId="12">
    <w:nsid w:val="F5189982"/>
    <w:multiLevelType w:val="singleLevel"/>
    <w:tmpl w:val="F5189982"/>
    <w:lvl w:ilvl="0" w:tentative="0">
      <w:start w:val="1"/>
      <w:numFmt w:val="decimal"/>
      <w:suff w:val="nothing"/>
      <w:lvlText w:val="(%1)"/>
      <w:lvlJc w:val="left"/>
      <w:pPr>
        <w:ind w:left="425" w:hanging="425"/>
      </w:pPr>
      <w:rPr>
        <w:rFonts w:hint="default"/>
      </w:rPr>
    </w:lvl>
  </w:abstractNum>
  <w:abstractNum w:abstractNumId="13">
    <w:nsid w:val="F708F337"/>
    <w:multiLevelType w:val="singleLevel"/>
    <w:tmpl w:val="F708F337"/>
    <w:lvl w:ilvl="0" w:tentative="0">
      <w:start w:val="1"/>
      <w:numFmt w:val="decimal"/>
      <w:suff w:val="nothing"/>
      <w:lvlText w:val="%1、"/>
      <w:lvlJc w:val="left"/>
    </w:lvl>
  </w:abstractNum>
  <w:abstractNum w:abstractNumId="14">
    <w:nsid w:val="FBD6150F"/>
    <w:multiLevelType w:val="singleLevel"/>
    <w:tmpl w:val="FBD6150F"/>
    <w:lvl w:ilvl="0" w:tentative="0">
      <w:start w:val="1"/>
      <w:numFmt w:val="decimal"/>
      <w:lvlText w:val="(%1)"/>
      <w:lvlJc w:val="left"/>
      <w:pPr>
        <w:ind w:left="425" w:hanging="425"/>
      </w:pPr>
      <w:rPr>
        <w:rFonts w:hint="default"/>
      </w:rPr>
    </w:lvl>
  </w:abstractNum>
  <w:abstractNum w:abstractNumId="15">
    <w:nsid w:val="00000006"/>
    <w:multiLevelType w:val="multilevel"/>
    <w:tmpl w:val="00000006"/>
    <w:lvl w:ilvl="0" w:tentative="0">
      <w:start w:val="1"/>
      <w:numFmt w:val="decimal"/>
      <w:lvlText w:val="1.2.%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
    <w:nsid w:val="0000000C"/>
    <w:multiLevelType w:val="multilevel"/>
    <w:tmpl w:val="0000000C"/>
    <w:lvl w:ilvl="0" w:tentative="0">
      <w:start w:val="1"/>
      <w:numFmt w:val="chineseCountingThousand"/>
      <w:lvlText w:val="(%1)"/>
      <w:lvlJc w:val="left"/>
      <w:pPr>
        <w:ind w:left="840" w:hanging="420"/>
      </w:pPr>
    </w:lvl>
    <w:lvl w:ilvl="1" w:tentative="0">
      <w:start w:val="1"/>
      <w:numFmt w:val="decimal"/>
      <w:lvlText w:val="%2、"/>
      <w:lvlJc w:val="left"/>
      <w:pPr>
        <w:ind w:left="1200" w:hanging="360"/>
      </w:pPr>
      <w:rPr>
        <w:rFonts w:hint="default"/>
      </w:rPr>
    </w:lvl>
    <w:lvl w:ilvl="2" w:tentative="0">
      <w:start w:val="1"/>
      <w:numFmt w:val="decimal"/>
      <w:lvlText w:val="%3"/>
      <w:lvlJc w:val="left"/>
      <w:pPr>
        <w:ind w:left="1680" w:hanging="420"/>
      </w:pPr>
      <w:rPr>
        <w:rFonts w:hint="default"/>
      </w:r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00000011"/>
    <w:multiLevelType w:val="multilevel"/>
    <w:tmpl w:val="0000001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A665DA5"/>
    <w:multiLevelType w:val="singleLevel"/>
    <w:tmpl w:val="0A665DA5"/>
    <w:lvl w:ilvl="0" w:tentative="0">
      <w:start w:val="1"/>
      <w:numFmt w:val="decimal"/>
      <w:suff w:val="nothing"/>
      <w:lvlText w:val="(%1)"/>
      <w:lvlJc w:val="left"/>
      <w:pPr>
        <w:ind w:left="425" w:hanging="425"/>
      </w:pPr>
      <w:rPr>
        <w:rFonts w:hint="default"/>
      </w:rPr>
    </w:lvl>
  </w:abstractNum>
  <w:abstractNum w:abstractNumId="19">
    <w:nsid w:val="1A680B99"/>
    <w:multiLevelType w:val="singleLevel"/>
    <w:tmpl w:val="1A680B99"/>
    <w:lvl w:ilvl="0" w:tentative="0">
      <w:start w:val="1"/>
      <w:numFmt w:val="decimal"/>
      <w:suff w:val="nothing"/>
      <w:lvlText w:val="%1."/>
      <w:lvlJc w:val="left"/>
      <w:pPr>
        <w:ind w:left="425" w:hanging="425"/>
      </w:pPr>
      <w:rPr>
        <w:rFonts w:hint="default"/>
      </w:rPr>
    </w:lvl>
  </w:abstractNum>
  <w:abstractNum w:abstractNumId="20">
    <w:nsid w:val="1E69912B"/>
    <w:multiLevelType w:val="singleLevel"/>
    <w:tmpl w:val="1E69912B"/>
    <w:lvl w:ilvl="0" w:tentative="0">
      <w:start w:val="1"/>
      <w:numFmt w:val="decimal"/>
      <w:lvlText w:val="(%1)"/>
      <w:lvlJc w:val="left"/>
      <w:pPr>
        <w:ind w:left="425" w:hanging="425"/>
      </w:pPr>
      <w:rPr>
        <w:rFonts w:hint="default"/>
      </w:rPr>
    </w:lvl>
  </w:abstractNum>
  <w:abstractNum w:abstractNumId="21">
    <w:nsid w:val="204D9C5D"/>
    <w:multiLevelType w:val="singleLevel"/>
    <w:tmpl w:val="204D9C5D"/>
    <w:lvl w:ilvl="0" w:tentative="0">
      <w:start w:val="1"/>
      <w:numFmt w:val="decimal"/>
      <w:suff w:val="nothing"/>
      <w:lvlText w:val="（%1）"/>
      <w:lvlJc w:val="left"/>
    </w:lvl>
  </w:abstractNum>
  <w:abstractNum w:abstractNumId="22">
    <w:nsid w:val="42427B3A"/>
    <w:multiLevelType w:val="multilevel"/>
    <w:tmpl w:val="42427B3A"/>
    <w:lvl w:ilvl="0" w:tentative="0">
      <w:start w:val="1"/>
      <w:numFmt w:val="decimal"/>
      <w:suff w:val="noth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3">
    <w:nsid w:val="446C99FA"/>
    <w:multiLevelType w:val="singleLevel"/>
    <w:tmpl w:val="446C99FA"/>
    <w:lvl w:ilvl="0" w:tentative="0">
      <w:start w:val="7"/>
      <w:numFmt w:val="decimal"/>
      <w:lvlText w:val="%1."/>
      <w:lvlJc w:val="left"/>
      <w:pPr>
        <w:tabs>
          <w:tab w:val="left" w:pos="312"/>
        </w:tabs>
      </w:pPr>
    </w:lvl>
  </w:abstractNum>
  <w:abstractNum w:abstractNumId="24">
    <w:nsid w:val="49DC96AA"/>
    <w:multiLevelType w:val="singleLevel"/>
    <w:tmpl w:val="49DC96AA"/>
    <w:lvl w:ilvl="0" w:tentative="0">
      <w:start w:val="1"/>
      <w:numFmt w:val="decimal"/>
      <w:lvlText w:val="(%1)"/>
      <w:lvlJc w:val="left"/>
      <w:pPr>
        <w:ind w:left="425" w:hanging="425"/>
      </w:pPr>
      <w:rPr>
        <w:rFonts w:hint="default"/>
      </w:rPr>
    </w:lvl>
  </w:abstractNum>
  <w:abstractNum w:abstractNumId="25">
    <w:nsid w:val="4DD4AD8B"/>
    <w:multiLevelType w:val="singleLevel"/>
    <w:tmpl w:val="4DD4AD8B"/>
    <w:lvl w:ilvl="0" w:tentative="0">
      <w:start w:val="1"/>
      <w:numFmt w:val="decimal"/>
      <w:suff w:val="nothing"/>
      <w:lvlText w:val="(%1)"/>
      <w:lvlJc w:val="left"/>
      <w:pPr>
        <w:ind w:left="425" w:hanging="425"/>
      </w:pPr>
      <w:rPr>
        <w:rFonts w:hint="default"/>
      </w:rPr>
    </w:lvl>
  </w:abstractNum>
  <w:abstractNum w:abstractNumId="26">
    <w:nsid w:val="54405393"/>
    <w:multiLevelType w:val="multilevel"/>
    <w:tmpl w:val="54405393"/>
    <w:lvl w:ilvl="0" w:tentative="0">
      <w:start w:val="1"/>
      <w:numFmt w:val="decimal"/>
      <w:suff w:val="nothing"/>
      <w:lvlText w:val="%1、"/>
      <w:lvlJc w:val="left"/>
      <w:pPr>
        <w:ind w:left="880" w:hanging="420"/>
      </w:pPr>
      <w:rPr>
        <w:rFonts w:hint="default"/>
      </w:rPr>
    </w:lvl>
    <w:lvl w:ilvl="1" w:tentative="0">
      <w:start w:val="1"/>
      <w:numFmt w:val="lowerLetter"/>
      <w:lvlText w:val="%2)"/>
      <w:lvlJc w:val="left"/>
      <w:pPr>
        <w:ind w:left="1300" w:hanging="420"/>
      </w:pPr>
    </w:lvl>
    <w:lvl w:ilvl="2" w:tentative="0">
      <w:start w:val="1"/>
      <w:numFmt w:val="lowerRoman"/>
      <w:lvlText w:val="%3."/>
      <w:lvlJc w:val="right"/>
      <w:pPr>
        <w:ind w:left="1720" w:hanging="420"/>
      </w:pPr>
    </w:lvl>
    <w:lvl w:ilvl="3" w:tentative="0">
      <w:start w:val="1"/>
      <w:numFmt w:val="decimal"/>
      <w:lvlText w:val="%4."/>
      <w:lvlJc w:val="left"/>
      <w:pPr>
        <w:ind w:left="2140" w:hanging="420"/>
      </w:pPr>
    </w:lvl>
    <w:lvl w:ilvl="4" w:tentative="0">
      <w:start w:val="1"/>
      <w:numFmt w:val="lowerLetter"/>
      <w:lvlText w:val="%5)"/>
      <w:lvlJc w:val="left"/>
      <w:pPr>
        <w:ind w:left="2560" w:hanging="420"/>
      </w:pPr>
    </w:lvl>
    <w:lvl w:ilvl="5" w:tentative="0">
      <w:start w:val="1"/>
      <w:numFmt w:val="lowerRoman"/>
      <w:lvlText w:val="%6."/>
      <w:lvlJc w:val="right"/>
      <w:pPr>
        <w:ind w:left="2980" w:hanging="420"/>
      </w:pPr>
    </w:lvl>
    <w:lvl w:ilvl="6" w:tentative="0">
      <w:start w:val="1"/>
      <w:numFmt w:val="decimal"/>
      <w:lvlText w:val="%7."/>
      <w:lvlJc w:val="left"/>
      <w:pPr>
        <w:ind w:left="3400" w:hanging="420"/>
      </w:pPr>
    </w:lvl>
    <w:lvl w:ilvl="7" w:tentative="0">
      <w:start w:val="1"/>
      <w:numFmt w:val="lowerLetter"/>
      <w:lvlText w:val="%8)"/>
      <w:lvlJc w:val="left"/>
      <w:pPr>
        <w:ind w:left="3820" w:hanging="420"/>
      </w:pPr>
    </w:lvl>
    <w:lvl w:ilvl="8" w:tentative="0">
      <w:start w:val="1"/>
      <w:numFmt w:val="lowerRoman"/>
      <w:lvlText w:val="%9."/>
      <w:lvlJc w:val="right"/>
      <w:pPr>
        <w:ind w:left="4240" w:hanging="420"/>
      </w:pPr>
    </w:lvl>
  </w:abstractNum>
  <w:abstractNum w:abstractNumId="27">
    <w:nsid w:val="6280D556"/>
    <w:multiLevelType w:val="singleLevel"/>
    <w:tmpl w:val="6280D556"/>
    <w:lvl w:ilvl="0" w:tentative="0">
      <w:start w:val="1"/>
      <w:numFmt w:val="decimal"/>
      <w:suff w:val="space"/>
      <w:lvlText w:val="%1."/>
      <w:lvlJc w:val="left"/>
    </w:lvl>
  </w:abstractNum>
  <w:abstractNum w:abstractNumId="28">
    <w:nsid w:val="65D72DAC"/>
    <w:multiLevelType w:val="singleLevel"/>
    <w:tmpl w:val="65D72DAC"/>
    <w:lvl w:ilvl="0" w:tentative="0">
      <w:start w:val="1"/>
      <w:numFmt w:val="decimal"/>
      <w:lvlText w:val="(%1)"/>
      <w:lvlJc w:val="left"/>
      <w:pPr>
        <w:ind w:left="425" w:hanging="425"/>
      </w:pPr>
      <w:rPr>
        <w:rFonts w:hint="default" w:ascii="等线" w:hAnsi="等线" w:eastAsia="等线" w:cs="等线"/>
      </w:rPr>
    </w:lvl>
  </w:abstractNum>
  <w:abstractNum w:abstractNumId="29">
    <w:nsid w:val="6C2DC908"/>
    <w:multiLevelType w:val="singleLevel"/>
    <w:tmpl w:val="6C2DC908"/>
    <w:lvl w:ilvl="0" w:tentative="0">
      <w:start w:val="1"/>
      <w:numFmt w:val="decimal"/>
      <w:lvlText w:val="(%1)"/>
      <w:lvlJc w:val="left"/>
      <w:pPr>
        <w:ind w:left="425" w:hanging="425"/>
      </w:pPr>
      <w:rPr>
        <w:rFonts w:hint="default"/>
      </w:rPr>
    </w:lvl>
  </w:abstractNum>
  <w:abstractNum w:abstractNumId="30">
    <w:nsid w:val="70F48EF7"/>
    <w:multiLevelType w:val="singleLevel"/>
    <w:tmpl w:val="70F48EF7"/>
    <w:lvl w:ilvl="0" w:tentative="0">
      <w:start w:val="1"/>
      <w:numFmt w:val="decimal"/>
      <w:lvlText w:val="(%1)"/>
      <w:lvlJc w:val="left"/>
      <w:pPr>
        <w:ind w:left="425" w:hanging="425"/>
      </w:pPr>
      <w:rPr>
        <w:rFonts w:hint="default"/>
      </w:rPr>
    </w:lvl>
  </w:abstractNum>
  <w:abstractNum w:abstractNumId="31">
    <w:nsid w:val="7ACF1B24"/>
    <w:multiLevelType w:val="multilevel"/>
    <w:tmpl w:val="7ACF1B24"/>
    <w:lvl w:ilvl="0" w:tentative="0">
      <w:start w:val="1"/>
      <w:numFmt w:val="decimal"/>
      <w:lvlText w:val="(%1)"/>
      <w:lvlJc w:val="left"/>
      <w:pPr>
        <w:ind w:left="630" w:hanging="4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32">
    <w:nsid w:val="7CE4D2CA"/>
    <w:multiLevelType w:val="singleLevel"/>
    <w:tmpl w:val="7CE4D2CA"/>
    <w:lvl w:ilvl="0" w:tentative="0">
      <w:start w:val="1"/>
      <w:numFmt w:val="decimal"/>
      <w:lvlText w:val="(%1)"/>
      <w:lvlJc w:val="left"/>
      <w:pPr>
        <w:ind w:left="425" w:hanging="425"/>
      </w:pPr>
      <w:rPr>
        <w:rFonts w:hint="default"/>
      </w:rPr>
    </w:lvl>
  </w:abstractNum>
  <w:abstractNum w:abstractNumId="33">
    <w:nsid w:val="7E76C6B9"/>
    <w:multiLevelType w:val="singleLevel"/>
    <w:tmpl w:val="7E76C6B9"/>
    <w:lvl w:ilvl="0" w:tentative="0">
      <w:start w:val="1"/>
      <w:numFmt w:val="decimal"/>
      <w:suff w:val="nothing"/>
      <w:lvlText w:val="（%1）"/>
      <w:lvlJc w:val="left"/>
    </w:lvl>
  </w:abstractNum>
  <w:num w:numId="1">
    <w:abstractNumId w:val="23"/>
  </w:num>
  <w:num w:numId="2">
    <w:abstractNumId w:val="17"/>
  </w:num>
  <w:num w:numId="3">
    <w:abstractNumId w:val="19"/>
  </w:num>
  <w:num w:numId="4">
    <w:abstractNumId w:val="25"/>
  </w:num>
  <w:num w:numId="5">
    <w:abstractNumId w:val="22"/>
  </w:num>
  <w:num w:numId="6">
    <w:abstractNumId w:val="21"/>
  </w:num>
  <w:num w:numId="7">
    <w:abstractNumId w:val="10"/>
  </w:num>
  <w:num w:numId="8">
    <w:abstractNumId w:val="33"/>
  </w:num>
  <w:num w:numId="9">
    <w:abstractNumId w:val="29"/>
  </w:num>
  <w:num w:numId="10">
    <w:abstractNumId w:val="2"/>
  </w:num>
  <w:num w:numId="11">
    <w:abstractNumId w:val="18"/>
  </w:num>
  <w:num w:numId="12">
    <w:abstractNumId w:val="8"/>
  </w:num>
  <w:num w:numId="13">
    <w:abstractNumId w:val="31"/>
  </w:num>
  <w:num w:numId="14">
    <w:abstractNumId w:val="24"/>
  </w:num>
  <w:num w:numId="15">
    <w:abstractNumId w:val="20"/>
  </w:num>
  <w:num w:numId="16">
    <w:abstractNumId w:val="1"/>
  </w:num>
  <w:num w:numId="17">
    <w:abstractNumId w:val="28"/>
  </w:num>
  <w:num w:numId="18">
    <w:abstractNumId w:val="9"/>
  </w:num>
  <w:num w:numId="19">
    <w:abstractNumId w:val="30"/>
  </w:num>
  <w:num w:numId="20">
    <w:abstractNumId w:val="3"/>
  </w:num>
  <w:num w:numId="21">
    <w:abstractNumId w:val="14"/>
  </w:num>
  <w:num w:numId="22">
    <w:abstractNumId w:val="32"/>
  </w:num>
  <w:num w:numId="23">
    <w:abstractNumId w:val="5"/>
  </w:num>
  <w:num w:numId="24">
    <w:abstractNumId w:val="0"/>
  </w:num>
  <w:num w:numId="25">
    <w:abstractNumId w:val="7"/>
  </w:num>
  <w:num w:numId="26">
    <w:abstractNumId w:val="4"/>
  </w:num>
  <w:num w:numId="27">
    <w:abstractNumId w:val="15"/>
  </w:num>
  <w:num w:numId="28">
    <w:abstractNumId w:val="11"/>
  </w:num>
  <w:num w:numId="29">
    <w:abstractNumId w:val="26"/>
  </w:num>
  <w:num w:numId="30">
    <w:abstractNumId w:val="16"/>
  </w:num>
  <w:num w:numId="31">
    <w:abstractNumId w:val="6"/>
  </w:num>
  <w:num w:numId="32">
    <w:abstractNumId w:val="12"/>
  </w:num>
  <w:num w:numId="33">
    <w:abstractNumId w:val="27"/>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M2YWRlODU3MzFiZWUzNjAwMmFlZjhlYmE3YjgyZjgifQ=="/>
    <w:docVar w:name="KSO_WPS_MARK_KEY" w:val="e1bda7df-6b4c-490a-a3dd-9dd9a003b25c"/>
  </w:docVars>
  <w:rsids>
    <w:rsidRoot w:val="00172A27"/>
    <w:rsid w:val="000011EC"/>
    <w:rsid w:val="000020BC"/>
    <w:rsid w:val="00003196"/>
    <w:rsid w:val="00003434"/>
    <w:rsid w:val="0000590B"/>
    <w:rsid w:val="00005DA1"/>
    <w:rsid w:val="00006FAC"/>
    <w:rsid w:val="000107DA"/>
    <w:rsid w:val="00011314"/>
    <w:rsid w:val="00011DFF"/>
    <w:rsid w:val="00013AD6"/>
    <w:rsid w:val="000150D3"/>
    <w:rsid w:val="000151FF"/>
    <w:rsid w:val="00015690"/>
    <w:rsid w:val="000157E4"/>
    <w:rsid w:val="00016163"/>
    <w:rsid w:val="00016BC6"/>
    <w:rsid w:val="00021214"/>
    <w:rsid w:val="0002321A"/>
    <w:rsid w:val="0002330F"/>
    <w:rsid w:val="000325AD"/>
    <w:rsid w:val="00032CBC"/>
    <w:rsid w:val="000344E5"/>
    <w:rsid w:val="00036087"/>
    <w:rsid w:val="00040CA5"/>
    <w:rsid w:val="000425B7"/>
    <w:rsid w:val="000431A0"/>
    <w:rsid w:val="000454C5"/>
    <w:rsid w:val="00046122"/>
    <w:rsid w:val="00046942"/>
    <w:rsid w:val="000500D3"/>
    <w:rsid w:val="00050A62"/>
    <w:rsid w:val="0005349E"/>
    <w:rsid w:val="0005369D"/>
    <w:rsid w:val="00055D1F"/>
    <w:rsid w:val="00056B9E"/>
    <w:rsid w:val="00060BCA"/>
    <w:rsid w:val="00061E9D"/>
    <w:rsid w:val="000620ED"/>
    <w:rsid w:val="000654C0"/>
    <w:rsid w:val="00065ED5"/>
    <w:rsid w:val="00067164"/>
    <w:rsid w:val="00070FD7"/>
    <w:rsid w:val="00076F73"/>
    <w:rsid w:val="0008394C"/>
    <w:rsid w:val="00084DAD"/>
    <w:rsid w:val="00092215"/>
    <w:rsid w:val="000941BC"/>
    <w:rsid w:val="000951DE"/>
    <w:rsid w:val="0009734A"/>
    <w:rsid w:val="000A2560"/>
    <w:rsid w:val="000A4DEC"/>
    <w:rsid w:val="000A7907"/>
    <w:rsid w:val="000B247C"/>
    <w:rsid w:val="000B4C51"/>
    <w:rsid w:val="000B518B"/>
    <w:rsid w:val="000B71CE"/>
    <w:rsid w:val="000C0379"/>
    <w:rsid w:val="000C0959"/>
    <w:rsid w:val="000C500C"/>
    <w:rsid w:val="000D05D7"/>
    <w:rsid w:val="000D0BBD"/>
    <w:rsid w:val="000D23F4"/>
    <w:rsid w:val="000D304B"/>
    <w:rsid w:val="000E1DCD"/>
    <w:rsid w:val="000E2B17"/>
    <w:rsid w:val="000E4EDE"/>
    <w:rsid w:val="000F0658"/>
    <w:rsid w:val="000F0DBF"/>
    <w:rsid w:val="000F1BE7"/>
    <w:rsid w:val="000F1E3D"/>
    <w:rsid w:val="000F382F"/>
    <w:rsid w:val="000F4801"/>
    <w:rsid w:val="000F7110"/>
    <w:rsid w:val="001007F3"/>
    <w:rsid w:val="0010084D"/>
    <w:rsid w:val="00103C69"/>
    <w:rsid w:val="00105D7F"/>
    <w:rsid w:val="00106773"/>
    <w:rsid w:val="00107C4B"/>
    <w:rsid w:val="0011034D"/>
    <w:rsid w:val="00121C3C"/>
    <w:rsid w:val="00122107"/>
    <w:rsid w:val="0012260F"/>
    <w:rsid w:val="001229E6"/>
    <w:rsid w:val="0012432A"/>
    <w:rsid w:val="001246BE"/>
    <w:rsid w:val="001253B9"/>
    <w:rsid w:val="0013111F"/>
    <w:rsid w:val="001368E6"/>
    <w:rsid w:val="0013796E"/>
    <w:rsid w:val="00141C1D"/>
    <w:rsid w:val="00143C4F"/>
    <w:rsid w:val="00144E75"/>
    <w:rsid w:val="0014747A"/>
    <w:rsid w:val="0015012B"/>
    <w:rsid w:val="00151A22"/>
    <w:rsid w:val="00151E5B"/>
    <w:rsid w:val="00154D46"/>
    <w:rsid w:val="00156DBD"/>
    <w:rsid w:val="00157F3A"/>
    <w:rsid w:val="001648C7"/>
    <w:rsid w:val="00164B56"/>
    <w:rsid w:val="001663E7"/>
    <w:rsid w:val="00171A55"/>
    <w:rsid w:val="0017260B"/>
    <w:rsid w:val="00172A27"/>
    <w:rsid w:val="00175889"/>
    <w:rsid w:val="00177137"/>
    <w:rsid w:val="001800B1"/>
    <w:rsid w:val="00182163"/>
    <w:rsid w:val="00186AFE"/>
    <w:rsid w:val="001904E1"/>
    <w:rsid w:val="00194401"/>
    <w:rsid w:val="0019569D"/>
    <w:rsid w:val="00197C00"/>
    <w:rsid w:val="001A0DB7"/>
    <w:rsid w:val="001A4CAB"/>
    <w:rsid w:val="001A64FD"/>
    <w:rsid w:val="001A6D76"/>
    <w:rsid w:val="001B1DE0"/>
    <w:rsid w:val="001B405E"/>
    <w:rsid w:val="001B4AD9"/>
    <w:rsid w:val="001B6969"/>
    <w:rsid w:val="001C3B6C"/>
    <w:rsid w:val="001C696A"/>
    <w:rsid w:val="001C72CF"/>
    <w:rsid w:val="001D1DBF"/>
    <w:rsid w:val="001D4F2C"/>
    <w:rsid w:val="001D5107"/>
    <w:rsid w:val="001D5968"/>
    <w:rsid w:val="001D66F7"/>
    <w:rsid w:val="001E1B70"/>
    <w:rsid w:val="001E33CF"/>
    <w:rsid w:val="001F032D"/>
    <w:rsid w:val="001F243E"/>
    <w:rsid w:val="001F55F9"/>
    <w:rsid w:val="00200A8B"/>
    <w:rsid w:val="00201073"/>
    <w:rsid w:val="00204D01"/>
    <w:rsid w:val="00206A10"/>
    <w:rsid w:val="00211520"/>
    <w:rsid w:val="002157E4"/>
    <w:rsid w:val="00216397"/>
    <w:rsid w:val="0021667B"/>
    <w:rsid w:val="002177B9"/>
    <w:rsid w:val="00217ED2"/>
    <w:rsid w:val="00221523"/>
    <w:rsid w:val="00223ACA"/>
    <w:rsid w:val="002270AF"/>
    <w:rsid w:val="00240489"/>
    <w:rsid w:val="00243221"/>
    <w:rsid w:val="00243B71"/>
    <w:rsid w:val="0024573A"/>
    <w:rsid w:val="00245D48"/>
    <w:rsid w:val="002502DA"/>
    <w:rsid w:val="00251A5F"/>
    <w:rsid w:val="00251C83"/>
    <w:rsid w:val="00254FFE"/>
    <w:rsid w:val="0025723D"/>
    <w:rsid w:val="00261098"/>
    <w:rsid w:val="00262AF2"/>
    <w:rsid w:val="0027649A"/>
    <w:rsid w:val="00277164"/>
    <w:rsid w:val="00277499"/>
    <w:rsid w:val="00280147"/>
    <w:rsid w:val="00282747"/>
    <w:rsid w:val="002830C4"/>
    <w:rsid w:val="00283FDE"/>
    <w:rsid w:val="002843FA"/>
    <w:rsid w:val="00284A69"/>
    <w:rsid w:val="002863D8"/>
    <w:rsid w:val="0028645B"/>
    <w:rsid w:val="002874A2"/>
    <w:rsid w:val="00290FDD"/>
    <w:rsid w:val="002913FD"/>
    <w:rsid w:val="002932BE"/>
    <w:rsid w:val="0029419B"/>
    <w:rsid w:val="002A2295"/>
    <w:rsid w:val="002A71E8"/>
    <w:rsid w:val="002A7E82"/>
    <w:rsid w:val="002B00A1"/>
    <w:rsid w:val="002B0184"/>
    <w:rsid w:val="002B64A3"/>
    <w:rsid w:val="002B656F"/>
    <w:rsid w:val="002B7E93"/>
    <w:rsid w:val="002C2FD2"/>
    <w:rsid w:val="002C7119"/>
    <w:rsid w:val="002D5604"/>
    <w:rsid w:val="002D59B0"/>
    <w:rsid w:val="002E2DF7"/>
    <w:rsid w:val="002E3214"/>
    <w:rsid w:val="002E433B"/>
    <w:rsid w:val="002E5483"/>
    <w:rsid w:val="002E59C1"/>
    <w:rsid w:val="002E5C81"/>
    <w:rsid w:val="002E6008"/>
    <w:rsid w:val="002E6661"/>
    <w:rsid w:val="0030159D"/>
    <w:rsid w:val="00304038"/>
    <w:rsid w:val="0030493B"/>
    <w:rsid w:val="00305137"/>
    <w:rsid w:val="003056E6"/>
    <w:rsid w:val="003115B2"/>
    <w:rsid w:val="0031370B"/>
    <w:rsid w:val="0031453F"/>
    <w:rsid w:val="0032227A"/>
    <w:rsid w:val="0032551B"/>
    <w:rsid w:val="00327F01"/>
    <w:rsid w:val="00331F83"/>
    <w:rsid w:val="00332D0D"/>
    <w:rsid w:val="0033715A"/>
    <w:rsid w:val="003421F3"/>
    <w:rsid w:val="003434CB"/>
    <w:rsid w:val="00346018"/>
    <w:rsid w:val="003464D8"/>
    <w:rsid w:val="00347201"/>
    <w:rsid w:val="00353E54"/>
    <w:rsid w:val="003556E5"/>
    <w:rsid w:val="00361BCD"/>
    <w:rsid w:val="0036287D"/>
    <w:rsid w:val="00364014"/>
    <w:rsid w:val="00364703"/>
    <w:rsid w:val="00367070"/>
    <w:rsid w:val="00367FBA"/>
    <w:rsid w:val="00370210"/>
    <w:rsid w:val="0037438D"/>
    <w:rsid w:val="00374F1D"/>
    <w:rsid w:val="00374F94"/>
    <w:rsid w:val="003751EB"/>
    <w:rsid w:val="00380410"/>
    <w:rsid w:val="00381C8D"/>
    <w:rsid w:val="00381ED8"/>
    <w:rsid w:val="00382E9A"/>
    <w:rsid w:val="0038372C"/>
    <w:rsid w:val="003847C0"/>
    <w:rsid w:val="00387293"/>
    <w:rsid w:val="003935EE"/>
    <w:rsid w:val="00395A84"/>
    <w:rsid w:val="003A36BA"/>
    <w:rsid w:val="003A4ADA"/>
    <w:rsid w:val="003A6A5A"/>
    <w:rsid w:val="003B24EB"/>
    <w:rsid w:val="003B44B5"/>
    <w:rsid w:val="003B666E"/>
    <w:rsid w:val="003B769A"/>
    <w:rsid w:val="003C1466"/>
    <w:rsid w:val="003C1CAA"/>
    <w:rsid w:val="003C382E"/>
    <w:rsid w:val="003C607A"/>
    <w:rsid w:val="003C6415"/>
    <w:rsid w:val="003D2A1C"/>
    <w:rsid w:val="003D5056"/>
    <w:rsid w:val="003D7B66"/>
    <w:rsid w:val="003E1018"/>
    <w:rsid w:val="003E1632"/>
    <w:rsid w:val="003E3647"/>
    <w:rsid w:val="003E3F63"/>
    <w:rsid w:val="003F2098"/>
    <w:rsid w:val="003F3DCE"/>
    <w:rsid w:val="003F4767"/>
    <w:rsid w:val="00400CE7"/>
    <w:rsid w:val="0040286F"/>
    <w:rsid w:val="00406AB5"/>
    <w:rsid w:val="00407664"/>
    <w:rsid w:val="00411660"/>
    <w:rsid w:val="0042087F"/>
    <w:rsid w:val="00422C50"/>
    <w:rsid w:val="0042438C"/>
    <w:rsid w:val="00424F8E"/>
    <w:rsid w:val="00430E57"/>
    <w:rsid w:val="0043583E"/>
    <w:rsid w:val="004359F7"/>
    <w:rsid w:val="00436053"/>
    <w:rsid w:val="00450506"/>
    <w:rsid w:val="00450912"/>
    <w:rsid w:val="004512D6"/>
    <w:rsid w:val="0045263A"/>
    <w:rsid w:val="0045300E"/>
    <w:rsid w:val="004534FC"/>
    <w:rsid w:val="004536E1"/>
    <w:rsid w:val="00454555"/>
    <w:rsid w:val="00456831"/>
    <w:rsid w:val="00464676"/>
    <w:rsid w:val="00464802"/>
    <w:rsid w:val="004648E2"/>
    <w:rsid w:val="00465269"/>
    <w:rsid w:val="00466692"/>
    <w:rsid w:val="0046710D"/>
    <w:rsid w:val="0047076C"/>
    <w:rsid w:val="00470958"/>
    <w:rsid w:val="00472D67"/>
    <w:rsid w:val="0047339E"/>
    <w:rsid w:val="004761A0"/>
    <w:rsid w:val="0048111F"/>
    <w:rsid w:val="004835BB"/>
    <w:rsid w:val="004838E3"/>
    <w:rsid w:val="0048492A"/>
    <w:rsid w:val="0048562D"/>
    <w:rsid w:val="00485A9B"/>
    <w:rsid w:val="00486921"/>
    <w:rsid w:val="00490F67"/>
    <w:rsid w:val="00493A74"/>
    <w:rsid w:val="00495328"/>
    <w:rsid w:val="004961E6"/>
    <w:rsid w:val="00497D95"/>
    <w:rsid w:val="004A4ACE"/>
    <w:rsid w:val="004B45EE"/>
    <w:rsid w:val="004B460A"/>
    <w:rsid w:val="004B6951"/>
    <w:rsid w:val="004B7DC2"/>
    <w:rsid w:val="004C0158"/>
    <w:rsid w:val="004C32E2"/>
    <w:rsid w:val="004C4215"/>
    <w:rsid w:val="004C66F2"/>
    <w:rsid w:val="004C67D6"/>
    <w:rsid w:val="004D2390"/>
    <w:rsid w:val="004D3295"/>
    <w:rsid w:val="004D4B63"/>
    <w:rsid w:val="004D4E9E"/>
    <w:rsid w:val="004E116E"/>
    <w:rsid w:val="004E16CB"/>
    <w:rsid w:val="004E5847"/>
    <w:rsid w:val="004E702A"/>
    <w:rsid w:val="004E76D0"/>
    <w:rsid w:val="004E799E"/>
    <w:rsid w:val="004F4303"/>
    <w:rsid w:val="004F61DC"/>
    <w:rsid w:val="004F6C9A"/>
    <w:rsid w:val="004F7B2B"/>
    <w:rsid w:val="00506B3A"/>
    <w:rsid w:val="0051071C"/>
    <w:rsid w:val="00510F98"/>
    <w:rsid w:val="00513717"/>
    <w:rsid w:val="00517472"/>
    <w:rsid w:val="0052248E"/>
    <w:rsid w:val="00524563"/>
    <w:rsid w:val="00525167"/>
    <w:rsid w:val="00526F94"/>
    <w:rsid w:val="00531A28"/>
    <w:rsid w:val="00537317"/>
    <w:rsid w:val="00542A39"/>
    <w:rsid w:val="005437C2"/>
    <w:rsid w:val="00544B5B"/>
    <w:rsid w:val="005479F0"/>
    <w:rsid w:val="005514E4"/>
    <w:rsid w:val="00551CD1"/>
    <w:rsid w:val="00551D2E"/>
    <w:rsid w:val="00552598"/>
    <w:rsid w:val="00552707"/>
    <w:rsid w:val="00555D0C"/>
    <w:rsid w:val="00555DB1"/>
    <w:rsid w:val="005601B8"/>
    <w:rsid w:val="00562E18"/>
    <w:rsid w:val="005648ED"/>
    <w:rsid w:val="00566DC5"/>
    <w:rsid w:val="00572F3D"/>
    <w:rsid w:val="00574146"/>
    <w:rsid w:val="00574C12"/>
    <w:rsid w:val="00575E9F"/>
    <w:rsid w:val="00577041"/>
    <w:rsid w:val="00577330"/>
    <w:rsid w:val="00582346"/>
    <w:rsid w:val="00585A8E"/>
    <w:rsid w:val="005924F5"/>
    <w:rsid w:val="0059253F"/>
    <w:rsid w:val="005951CF"/>
    <w:rsid w:val="00596E89"/>
    <w:rsid w:val="005977BD"/>
    <w:rsid w:val="005A1DAA"/>
    <w:rsid w:val="005A2CB3"/>
    <w:rsid w:val="005A6FD0"/>
    <w:rsid w:val="005A7AB5"/>
    <w:rsid w:val="005B123B"/>
    <w:rsid w:val="005B472A"/>
    <w:rsid w:val="005C0011"/>
    <w:rsid w:val="005C2842"/>
    <w:rsid w:val="005C2FE1"/>
    <w:rsid w:val="005C5672"/>
    <w:rsid w:val="005C5F26"/>
    <w:rsid w:val="005D2FD8"/>
    <w:rsid w:val="005D4AF5"/>
    <w:rsid w:val="005D65D0"/>
    <w:rsid w:val="005E09BF"/>
    <w:rsid w:val="005F1F84"/>
    <w:rsid w:val="005F4DCF"/>
    <w:rsid w:val="00605E3A"/>
    <w:rsid w:val="00610AAD"/>
    <w:rsid w:val="0061348B"/>
    <w:rsid w:val="00614568"/>
    <w:rsid w:val="00615804"/>
    <w:rsid w:val="006221AE"/>
    <w:rsid w:val="00622C63"/>
    <w:rsid w:val="00624F6E"/>
    <w:rsid w:val="006250A8"/>
    <w:rsid w:val="00626AFF"/>
    <w:rsid w:val="0062721A"/>
    <w:rsid w:val="0063064E"/>
    <w:rsid w:val="0063140F"/>
    <w:rsid w:val="00633FCC"/>
    <w:rsid w:val="00637F5F"/>
    <w:rsid w:val="006401F5"/>
    <w:rsid w:val="00641A4E"/>
    <w:rsid w:val="0064235F"/>
    <w:rsid w:val="00645AFA"/>
    <w:rsid w:val="00650202"/>
    <w:rsid w:val="006530CE"/>
    <w:rsid w:val="00655F4F"/>
    <w:rsid w:val="00660406"/>
    <w:rsid w:val="00660DBD"/>
    <w:rsid w:val="00662F66"/>
    <w:rsid w:val="00666E6C"/>
    <w:rsid w:val="006723AE"/>
    <w:rsid w:val="0067354D"/>
    <w:rsid w:val="006765C4"/>
    <w:rsid w:val="00691792"/>
    <w:rsid w:val="00693B79"/>
    <w:rsid w:val="00696AF4"/>
    <w:rsid w:val="006A598F"/>
    <w:rsid w:val="006B065D"/>
    <w:rsid w:val="006B0E60"/>
    <w:rsid w:val="006B1D96"/>
    <w:rsid w:val="006B2F53"/>
    <w:rsid w:val="006B6813"/>
    <w:rsid w:val="006C0EF3"/>
    <w:rsid w:val="006C2BD4"/>
    <w:rsid w:val="006C4B62"/>
    <w:rsid w:val="006C5509"/>
    <w:rsid w:val="006D1600"/>
    <w:rsid w:val="006D3037"/>
    <w:rsid w:val="006D4306"/>
    <w:rsid w:val="006D4F4E"/>
    <w:rsid w:val="006D78E0"/>
    <w:rsid w:val="006E6C16"/>
    <w:rsid w:val="006E6F62"/>
    <w:rsid w:val="006F2346"/>
    <w:rsid w:val="006F4409"/>
    <w:rsid w:val="006F519E"/>
    <w:rsid w:val="006F6322"/>
    <w:rsid w:val="006F79DA"/>
    <w:rsid w:val="0070157D"/>
    <w:rsid w:val="007018CF"/>
    <w:rsid w:val="00707BCB"/>
    <w:rsid w:val="007105DE"/>
    <w:rsid w:val="007130A7"/>
    <w:rsid w:val="00715859"/>
    <w:rsid w:val="00716233"/>
    <w:rsid w:val="007178CE"/>
    <w:rsid w:val="00717F95"/>
    <w:rsid w:val="00722B98"/>
    <w:rsid w:val="0072313E"/>
    <w:rsid w:val="00732441"/>
    <w:rsid w:val="00733154"/>
    <w:rsid w:val="00733642"/>
    <w:rsid w:val="007354D8"/>
    <w:rsid w:val="0073653B"/>
    <w:rsid w:val="00737F61"/>
    <w:rsid w:val="0074041B"/>
    <w:rsid w:val="007412F4"/>
    <w:rsid w:val="00745327"/>
    <w:rsid w:val="007464A9"/>
    <w:rsid w:val="007504C8"/>
    <w:rsid w:val="00752C55"/>
    <w:rsid w:val="007565AD"/>
    <w:rsid w:val="00760870"/>
    <w:rsid w:val="00767904"/>
    <w:rsid w:val="00772897"/>
    <w:rsid w:val="00772D66"/>
    <w:rsid w:val="007742E4"/>
    <w:rsid w:val="00776E73"/>
    <w:rsid w:val="00783ABB"/>
    <w:rsid w:val="00784C53"/>
    <w:rsid w:val="00785DE7"/>
    <w:rsid w:val="007901AF"/>
    <w:rsid w:val="00792B77"/>
    <w:rsid w:val="007965A3"/>
    <w:rsid w:val="00797BF4"/>
    <w:rsid w:val="007A3176"/>
    <w:rsid w:val="007A4764"/>
    <w:rsid w:val="007B0658"/>
    <w:rsid w:val="007B092D"/>
    <w:rsid w:val="007B1C81"/>
    <w:rsid w:val="007B3DD2"/>
    <w:rsid w:val="007B672C"/>
    <w:rsid w:val="007C44D3"/>
    <w:rsid w:val="007D6CEC"/>
    <w:rsid w:val="007E7B26"/>
    <w:rsid w:val="007F0872"/>
    <w:rsid w:val="007F15AC"/>
    <w:rsid w:val="007F292E"/>
    <w:rsid w:val="007F4C9A"/>
    <w:rsid w:val="007F66A8"/>
    <w:rsid w:val="007F77B6"/>
    <w:rsid w:val="007F7A8E"/>
    <w:rsid w:val="00811F61"/>
    <w:rsid w:val="00813109"/>
    <w:rsid w:val="00813FC1"/>
    <w:rsid w:val="00815AC7"/>
    <w:rsid w:val="00815F5A"/>
    <w:rsid w:val="008174A3"/>
    <w:rsid w:val="00817BA2"/>
    <w:rsid w:val="008219D3"/>
    <w:rsid w:val="00825FBF"/>
    <w:rsid w:val="00825FD1"/>
    <w:rsid w:val="0082605E"/>
    <w:rsid w:val="00835469"/>
    <w:rsid w:val="00836D3F"/>
    <w:rsid w:val="00836FB4"/>
    <w:rsid w:val="008420E2"/>
    <w:rsid w:val="00842199"/>
    <w:rsid w:val="00842764"/>
    <w:rsid w:val="0084440F"/>
    <w:rsid w:val="0084491C"/>
    <w:rsid w:val="008535EA"/>
    <w:rsid w:val="0085459C"/>
    <w:rsid w:val="00854752"/>
    <w:rsid w:val="00861684"/>
    <w:rsid w:val="00861C17"/>
    <w:rsid w:val="00862D9C"/>
    <w:rsid w:val="008631FC"/>
    <w:rsid w:val="00870C2B"/>
    <w:rsid w:val="0087207B"/>
    <w:rsid w:val="0088068E"/>
    <w:rsid w:val="008846A4"/>
    <w:rsid w:val="00884BD6"/>
    <w:rsid w:val="00890CA0"/>
    <w:rsid w:val="00894E22"/>
    <w:rsid w:val="00895D39"/>
    <w:rsid w:val="00897FF1"/>
    <w:rsid w:val="008A00BC"/>
    <w:rsid w:val="008A343D"/>
    <w:rsid w:val="008A72C1"/>
    <w:rsid w:val="008A7C81"/>
    <w:rsid w:val="008B1E1F"/>
    <w:rsid w:val="008B638D"/>
    <w:rsid w:val="008B6737"/>
    <w:rsid w:val="008C0A0F"/>
    <w:rsid w:val="008C2F95"/>
    <w:rsid w:val="008C6EB8"/>
    <w:rsid w:val="008D10A8"/>
    <w:rsid w:val="008D5E3B"/>
    <w:rsid w:val="008D5FE9"/>
    <w:rsid w:val="008D7801"/>
    <w:rsid w:val="008F0363"/>
    <w:rsid w:val="008F15C7"/>
    <w:rsid w:val="008F1E9F"/>
    <w:rsid w:val="008F2618"/>
    <w:rsid w:val="008F46A6"/>
    <w:rsid w:val="008F53A7"/>
    <w:rsid w:val="008F78B9"/>
    <w:rsid w:val="008F7EAA"/>
    <w:rsid w:val="00912975"/>
    <w:rsid w:val="00913198"/>
    <w:rsid w:val="009142DD"/>
    <w:rsid w:val="009179C8"/>
    <w:rsid w:val="0092077B"/>
    <w:rsid w:val="00924B66"/>
    <w:rsid w:val="00926466"/>
    <w:rsid w:val="009305C8"/>
    <w:rsid w:val="00936997"/>
    <w:rsid w:val="0093778A"/>
    <w:rsid w:val="0094151A"/>
    <w:rsid w:val="00947669"/>
    <w:rsid w:val="0095151A"/>
    <w:rsid w:val="009518FE"/>
    <w:rsid w:val="0095326C"/>
    <w:rsid w:val="00953F74"/>
    <w:rsid w:val="00962BE4"/>
    <w:rsid w:val="009633E8"/>
    <w:rsid w:val="00965437"/>
    <w:rsid w:val="0096758A"/>
    <w:rsid w:val="00971DF0"/>
    <w:rsid w:val="00972E7D"/>
    <w:rsid w:val="00974A86"/>
    <w:rsid w:val="00975B78"/>
    <w:rsid w:val="00975C6A"/>
    <w:rsid w:val="009808D5"/>
    <w:rsid w:val="009819E3"/>
    <w:rsid w:val="00982C98"/>
    <w:rsid w:val="0098760C"/>
    <w:rsid w:val="009878BF"/>
    <w:rsid w:val="009A048C"/>
    <w:rsid w:val="009A6F38"/>
    <w:rsid w:val="009B283C"/>
    <w:rsid w:val="009B289F"/>
    <w:rsid w:val="009B2A78"/>
    <w:rsid w:val="009B46BF"/>
    <w:rsid w:val="009B4CC3"/>
    <w:rsid w:val="009B5C0E"/>
    <w:rsid w:val="009B60E8"/>
    <w:rsid w:val="009C0365"/>
    <w:rsid w:val="009C0496"/>
    <w:rsid w:val="009C1372"/>
    <w:rsid w:val="009C39D1"/>
    <w:rsid w:val="009C7F80"/>
    <w:rsid w:val="009D17BD"/>
    <w:rsid w:val="009D4741"/>
    <w:rsid w:val="009D6CB0"/>
    <w:rsid w:val="009E0BBC"/>
    <w:rsid w:val="009E55E6"/>
    <w:rsid w:val="009E79AD"/>
    <w:rsid w:val="009E7B00"/>
    <w:rsid w:val="009F2114"/>
    <w:rsid w:val="009F5CAB"/>
    <w:rsid w:val="009F7B09"/>
    <w:rsid w:val="009F7C56"/>
    <w:rsid w:val="00A00363"/>
    <w:rsid w:val="00A00C48"/>
    <w:rsid w:val="00A025C9"/>
    <w:rsid w:val="00A02EB0"/>
    <w:rsid w:val="00A0533D"/>
    <w:rsid w:val="00A05AC5"/>
    <w:rsid w:val="00A05AF2"/>
    <w:rsid w:val="00A06472"/>
    <w:rsid w:val="00A07868"/>
    <w:rsid w:val="00A10343"/>
    <w:rsid w:val="00A106DC"/>
    <w:rsid w:val="00A10D92"/>
    <w:rsid w:val="00A12398"/>
    <w:rsid w:val="00A15481"/>
    <w:rsid w:val="00A16FBC"/>
    <w:rsid w:val="00A24E30"/>
    <w:rsid w:val="00A25D35"/>
    <w:rsid w:val="00A3048F"/>
    <w:rsid w:val="00A30BAF"/>
    <w:rsid w:val="00A316A7"/>
    <w:rsid w:val="00A350D8"/>
    <w:rsid w:val="00A35F4D"/>
    <w:rsid w:val="00A43D2E"/>
    <w:rsid w:val="00A46189"/>
    <w:rsid w:val="00A5070C"/>
    <w:rsid w:val="00A50A9D"/>
    <w:rsid w:val="00A50FDD"/>
    <w:rsid w:val="00A51256"/>
    <w:rsid w:val="00A51D3B"/>
    <w:rsid w:val="00A5339B"/>
    <w:rsid w:val="00A550AD"/>
    <w:rsid w:val="00A615D3"/>
    <w:rsid w:val="00A6480D"/>
    <w:rsid w:val="00A66E70"/>
    <w:rsid w:val="00A7020A"/>
    <w:rsid w:val="00A708CE"/>
    <w:rsid w:val="00A712A4"/>
    <w:rsid w:val="00A717CE"/>
    <w:rsid w:val="00A72F59"/>
    <w:rsid w:val="00A73F70"/>
    <w:rsid w:val="00A74762"/>
    <w:rsid w:val="00A81CC3"/>
    <w:rsid w:val="00A823A6"/>
    <w:rsid w:val="00A8315E"/>
    <w:rsid w:val="00A84F62"/>
    <w:rsid w:val="00A84FD8"/>
    <w:rsid w:val="00A855FB"/>
    <w:rsid w:val="00A8652D"/>
    <w:rsid w:val="00A87D5B"/>
    <w:rsid w:val="00A93E13"/>
    <w:rsid w:val="00A94023"/>
    <w:rsid w:val="00A943A8"/>
    <w:rsid w:val="00A9487C"/>
    <w:rsid w:val="00A95244"/>
    <w:rsid w:val="00A957EE"/>
    <w:rsid w:val="00AA1810"/>
    <w:rsid w:val="00AA2604"/>
    <w:rsid w:val="00AA27C7"/>
    <w:rsid w:val="00AA3777"/>
    <w:rsid w:val="00AA386F"/>
    <w:rsid w:val="00AA3921"/>
    <w:rsid w:val="00AA6611"/>
    <w:rsid w:val="00AA7D56"/>
    <w:rsid w:val="00AB2D8B"/>
    <w:rsid w:val="00AB3099"/>
    <w:rsid w:val="00AB54D6"/>
    <w:rsid w:val="00AB579B"/>
    <w:rsid w:val="00AB6168"/>
    <w:rsid w:val="00AC0C3F"/>
    <w:rsid w:val="00AC1A1D"/>
    <w:rsid w:val="00AC1DE4"/>
    <w:rsid w:val="00AC340A"/>
    <w:rsid w:val="00AC5970"/>
    <w:rsid w:val="00AC7A74"/>
    <w:rsid w:val="00AD3775"/>
    <w:rsid w:val="00AD3B73"/>
    <w:rsid w:val="00AD5155"/>
    <w:rsid w:val="00AD7132"/>
    <w:rsid w:val="00AE24EF"/>
    <w:rsid w:val="00AE3BE9"/>
    <w:rsid w:val="00AE666F"/>
    <w:rsid w:val="00AF0EFE"/>
    <w:rsid w:val="00AF199C"/>
    <w:rsid w:val="00AF2D29"/>
    <w:rsid w:val="00AF4FEC"/>
    <w:rsid w:val="00AF629B"/>
    <w:rsid w:val="00AF7F0C"/>
    <w:rsid w:val="00B014A9"/>
    <w:rsid w:val="00B01A0E"/>
    <w:rsid w:val="00B02A24"/>
    <w:rsid w:val="00B122F2"/>
    <w:rsid w:val="00B14A5B"/>
    <w:rsid w:val="00B14C76"/>
    <w:rsid w:val="00B157C5"/>
    <w:rsid w:val="00B21A5A"/>
    <w:rsid w:val="00B21D04"/>
    <w:rsid w:val="00B2686E"/>
    <w:rsid w:val="00B27EEF"/>
    <w:rsid w:val="00B318A3"/>
    <w:rsid w:val="00B323DE"/>
    <w:rsid w:val="00B360C8"/>
    <w:rsid w:val="00B36636"/>
    <w:rsid w:val="00B36E1A"/>
    <w:rsid w:val="00B416C2"/>
    <w:rsid w:val="00B428C0"/>
    <w:rsid w:val="00B42DBE"/>
    <w:rsid w:val="00B475C5"/>
    <w:rsid w:val="00B47892"/>
    <w:rsid w:val="00B515B9"/>
    <w:rsid w:val="00B52B94"/>
    <w:rsid w:val="00B55EA8"/>
    <w:rsid w:val="00B563C7"/>
    <w:rsid w:val="00B57B47"/>
    <w:rsid w:val="00B6279D"/>
    <w:rsid w:val="00B6386E"/>
    <w:rsid w:val="00B63F01"/>
    <w:rsid w:val="00B66B2D"/>
    <w:rsid w:val="00B67096"/>
    <w:rsid w:val="00B67FB4"/>
    <w:rsid w:val="00B70E5A"/>
    <w:rsid w:val="00B721F6"/>
    <w:rsid w:val="00B72B34"/>
    <w:rsid w:val="00B749CD"/>
    <w:rsid w:val="00B75A55"/>
    <w:rsid w:val="00B7780A"/>
    <w:rsid w:val="00B802D9"/>
    <w:rsid w:val="00B81288"/>
    <w:rsid w:val="00B82C05"/>
    <w:rsid w:val="00B83C59"/>
    <w:rsid w:val="00B83D20"/>
    <w:rsid w:val="00B84369"/>
    <w:rsid w:val="00B87643"/>
    <w:rsid w:val="00B90BF8"/>
    <w:rsid w:val="00B91150"/>
    <w:rsid w:val="00BA05D5"/>
    <w:rsid w:val="00BA3F84"/>
    <w:rsid w:val="00BA61BA"/>
    <w:rsid w:val="00BB4A8B"/>
    <w:rsid w:val="00BB6D78"/>
    <w:rsid w:val="00BC1961"/>
    <w:rsid w:val="00BC34AB"/>
    <w:rsid w:val="00BC3B6D"/>
    <w:rsid w:val="00BD1ED4"/>
    <w:rsid w:val="00BD2EE2"/>
    <w:rsid w:val="00BD5550"/>
    <w:rsid w:val="00BE2F95"/>
    <w:rsid w:val="00BE5CAB"/>
    <w:rsid w:val="00C009F4"/>
    <w:rsid w:val="00C04A75"/>
    <w:rsid w:val="00C0557A"/>
    <w:rsid w:val="00C05FFA"/>
    <w:rsid w:val="00C07383"/>
    <w:rsid w:val="00C07B92"/>
    <w:rsid w:val="00C1003F"/>
    <w:rsid w:val="00C12DED"/>
    <w:rsid w:val="00C1574F"/>
    <w:rsid w:val="00C1598C"/>
    <w:rsid w:val="00C174DA"/>
    <w:rsid w:val="00C21498"/>
    <w:rsid w:val="00C23603"/>
    <w:rsid w:val="00C272C1"/>
    <w:rsid w:val="00C30EF2"/>
    <w:rsid w:val="00C3543B"/>
    <w:rsid w:val="00C4326B"/>
    <w:rsid w:val="00C43539"/>
    <w:rsid w:val="00C521A5"/>
    <w:rsid w:val="00C523B8"/>
    <w:rsid w:val="00C53507"/>
    <w:rsid w:val="00C53759"/>
    <w:rsid w:val="00C6094E"/>
    <w:rsid w:val="00C60BED"/>
    <w:rsid w:val="00C6626E"/>
    <w:rsid w:val="00C66997"/>
    <w:rsid w:val="00C80A8B"/>
    <w:rsid w:val="00C81E73"/>
    <w:rsid w:val="00C900EB"/>
    <w:rsid w:val="00C91781"/>
    <w:rsid w:val="00C91CC1"/>
    <w:rsid w:val="00C9208A"/>
    <w:rsid w:val="00C97786"/>
    <w:rsid w:val="00CA4EA4"/>
    <w:rsid w:val="00CA6B78"/>
    <w:rsid w:val="00CB1EDA"/>
    <w:rsid w:val="00CB38C7"/>
    <w:rsid w:val="00CB3C7C"/>
    <w:rsid w:val="00CC3FB2"/>
    <w:rsid w:val="00CC5DEE"/>
    <w:rsid w:val="00CC7001"/>
    <w:rsid w:val="00CD5B47"/>
    <w:rsid w:val="00CD6533"/>
    <w:rsid w:val="00CD6B17"/>
    <w:rsid w:val="00CE0ADA"/>
    <w:rsid w:val="00CE24B2"/>
    <w:rsid w:val="00CE54C7"/>
    <w:rsid w:val="00CE621E"/>
    <w:rsid w:val="00CE716E"/>
    <w:rsid w:val="00CF2287"/>
    <w:rsid w:val="00CF3A1F"/>
    <w:rsid w:val="00D02617"/>
    <w:rsid w:val="00D03080"/>
    <w:rsid w:val="00D107C3"/>
    <w:rsid w:val="00D1286A"/>
    <w:rsid w:val="00D13950"/>
    <w:rsid w:val="00D13BF9"/>
    <w:rsid w:val="00D140B3"/>
    <w:rsid w:val="00D1490A"/>
    <w:rsid w:val="00D14AC8"/>
    <w:rsid w:val="00D1532C"/>
    <w:rsid w:val="00D15454"/>
    <w:rsid w:val="00D206D2"/>
    <w:rsid w:val="00D32B66"/>
    <w:rsid w:val="00D347A3"/>
    <w:rsid w:val="00D36396"/>
    <w:rsid w:val="00D4293D"/>
    <w:rsid w:val="00D430A0"/>
    <w:rsid w:val="00D43414"/>
    <w:rsid w:val="00D452D1"/>
    <w:rsid w:val="00D4691A"/>
    <w:rsid w:val="00D5244A"/>
    <w:rsid w:val="00D537F2"/>
    <w:rsid w:val="00D54473"/>
    <w:rsid w:val="00D54C17"/>
    <w:rsid w:val="00D564B1"/>
    <w:rsid w:val="00D61273"/>
    <w:rsid w:val="00D617F0"/>
    <w:rsid w:val="00D61FA4"/>
    <w:rsid w:val="00D65484"/>
    <w:rsid w:val="00D6559E"/>
    <w:rsid w:val="00D66844"/>
    <w:rsid w:val="00D67CFC"/>
    <w:rsid w:val="00D70D72"/>
    <w:rsid w:val="00D71E26"/>
    <w:rsid w:val="00D72304"/>
    <w:rsid w:val="00D7277F"/>
    <w:rsid w:val="00D73F21"/>
    <w:rsid w:val="00D75EC6"/>
    <w:rsid w:val="00D77043"/>
    <w:rsid w:val="00D77943"/>
    <w:rsid w:val="00D809A6"/>
    <w:rsid w:val="00D809DA"/>
    <w:rsid w:val="00D82CD0"/>
    <w:rsid w:val="00D82DCE"/>
    <w:rsid w:val="00D84632"/>
    <w:rsid w:val="00D85CE4"/>
    <w:rsid w:val="00D87EC0"/>
    <w:rsid w:val="00D91537"/>
    <w:rsid w:val="00D91606"/>
    <w:rsid w:val="00D95FB1"/>
    <w:rsid w:val="00D97197"/>
    <w:rsid w:val="00DA276C"/>
    <w:rsid w:val="00DA380E"/>
    <w:rsid w:val="00DA536F"/>
    <w:rsid w:val="00DB295D"/>
    <w:rsid w:val="00DB45D8"/>
    <w:rsid w:val="00DB7575"/>
    <w:rsid w:val="00DC1287"/>
    <w:rsid w:val="00DC2DE7"/>
    <w:rsid w:val="00DD271E"/>
    <w:rsid w:val="00DD3B90"/>
    <w:rsid w:val="00DD4229"/>
    <w:rsid w:val="00DD5238"/>
    <w:rsid w:val="00DD67EC"/>
    <w:rsid w:val="00DE4BD4"/>
    <w:rsid w:val="00DE52D0"/>
    <w:rsid w:val="00DE5891"/>
    <w:rsid w:val="00DE6E9C"/>
    <w:rsid w:val="00DF07FE"/>
    <w:rsid w:val="00DF1F32"/>
    <w:rsid w:val="00DF7BA2"/>
    <w:rsid w:val="00E012A5"/>
    <w:rsid w:val="00E02975"/>
    <w:rsid w:val="00E02C7C"/>
    <w:rsid w:val="00E063F7"/>
    <w:rsid w:val="00E123DC"/>
    <w:rsid w:val="00E1534F"/>
    <w:rsid w:val="00E1602E"/>
    <w:rsid w:val="00E212F1"/>
    <w:rsid w:val="00E235CB"/>
    <w:rsid w:val="00E23EC4"/>
    <w:rsid w:val="00E2489A"/>
    <w:rsid w:val="00E30566"/>
    <w:rsid w:val="00E30DB8"/>
    <w:rsid w:val="00E416F2"/>
    <w:rsid w:val="00E472B0"/>
    <w:rsid w:val="00E51DFC"/>
    <w:rsid w:val="00E53606"/>
    <w:rsid w:val="00E60428"/>
    <w:rsid w:val="00E615CF"/>
    <w:rsid w:val="00E67923"/>
    <w:rsid w:val="00E71D21"/>
    <w:rsid w:val="00E732F5"/>
    <w:rsid w:val="00E74C26"/>
    <w:rsid w:val="00E77500"/>
    <w:rsid w:val="00E81F02"/>
    <w:rsid w:val="00E84DAE"/>
    <w:rsid w:val="00E85A58"/>
    <w:rsid w:val="00E905C5"/>
    <w:rsid w:val="00E914C7"/>
    <w:rsid w:val="00E94434"/>
    <w:rsid w:val="00E96017"/>
    <w:rsid w:val="00E9752D"/>
    <w:rsid w:val="00E97A61"/>
    <w:rsid w:val="00EA6042"/>
    <w:rsid w:val="00EA6A19"/>
    <w:rsid w:val="00EB4960"/>
    <w:rsid w:val="00EB5F06"/>
    <w:rsid w:val="00EB6001"/>
    <w:rsid w:val="00EB69DC"/>
    <w:rsid w:val="00EC3B66"/>
    <w:rsid w:val="00EC6A8A"/>
    <w:rsid w:val="00ED0984"/>
    <w:rsid w:val="00ED5BDA"/>
    <w:rsid w:val="00ED6D18"/>
    <w:rsid w:val="00ED72DB"/>
    <w:rsid w:val="00ED773B"/>
    <w:rsid w:val="00EE0AB9"/>
    <w:rsid w:val="00EE286E"/>
    <w:rsid w:val="00EE2FF0"/>
    <w:rsid w:val="00EE4717"/>
    <w:rsid w:val="00EF24C1"/>
    <w:rsid w:val="00EF660A"/>
    <w:rsid w:val="00F0312E"/>
    <w:rsid w:val="00F052CE"/>
    <w:rsid w:val="00F164F5"/>
    <w:rsid w:val="00F16B99"/>
    <w:rsid w:val="00F2000B"/>
    <w:rsid w:val="00F208D8"/>
    <w:rsid w:val="00F22725"/>
    <w:rsid w:val="00F22F88"/>
    <w:rsid w:val="00F247C4"/>
    <w:rsid w:val="00F31845"/>
    <w:rsid w:val="00F33BEB"/>
    <w:rsid w:val="00F42A54"/>
    <w:rsid w:val="00F45197"/>
    <w:rsid w:val="00F500CB"/>
    <w:rsid w:val="00F5428A"/>
    <w:rsid w:val="00F5549E"/>
    <w:rsid w:val="00F55F6D"/>
    <w:rsid w:val="00F606AA"/>
    <w:rsid w:val="00F61ADA"/>
    <w:rsid w:val="00F64450"/>
    <w:rsid w:val="00F64EE9"/>
    <w:rsid w:val="00F65160"/>
    <w:rsid w:val="00F73D1E"/>
    <w:rsid w:val="00F74235"/>
    <w:rsid w:val="00F7689D"/>
    <w:rsid w:val="00F81624"/>
    <w:rsid w:val="00F831A2"/>
    <w:rsid w:val="00F8561A"/>
    <w:rsid w:val="00F87D7B"/>
    <w:rsid w:val="00F911C8"/>
    <w:rsid w:val="00F93FFF"/>
    <w:rsid w:val="00F956EC"/>
    <w:rsid w:val="00F96287"/>
    <w:rsid w:val="00FA0590"/>
    <w:rsid w:val="00FA3D1B"/>
    <w:rsid w:val="00FB1A8B"/>
    <w:rsid w:val="00FB446C"/>
    <w:rsid w:val="00FC1746"/>
    <w:rsid w:val="00FC29E1"/>
    <w:rsid w:val="00FC4AE7"/>
    <w:rsid w:val="00FD0D7B"/>
    <w:rsid w:val="00FD26D1"/>
    <w:rsid w:val="00FD359D"/>
    <w:rsid w:val="00FD65EC"/>
    <w:rsid w:val="00FE09E2"/>
    <w:rsid w:val="00FE177B"/>
    <w:rsid w:val="00FE345F"/>
    <w:rsid w:val="00FE7654"/>
    <w:rsid w:val="00FE7D5F"/>
    <w:rsid w:val="00FF186F"/>
    <w:rsid w:val="00FF25EE"/>
    <w:rsid w:val="00FF2AF8"/>
    <w:rsid w:val="00FF3D47"/>
    <w:rsid w:val="01154EDD"/>
    <w:rsid w:val="011A4D50"/>
    <w:rsid w:val="01281B77"/>
    <w:rsid w:val="012D5443"/>
    <w:rsid w:val="012E3330"/>
    <w:rsid w:val="012E3F5B"/>
    <w:rsid w:val="013B3B1A"/>
    <w:rsid w:val="01804694"/>
    <w:rsid w:val="01821B74"/>
    <w:rsid w:val="018F2EE2"/>
    <w:rsid w:val="019E4AD3"/>
    <w:rsid w:val="01C14571"/>
    <w:rsid w:val="01C307BD"/>
    <w:rsid w:val="01C917E6"/>
    <w:rsid w:val="022E1EB7"/>
    <w:rsid w:val="02324D32"/>
    <w:rsid w:val="023A2E4D"/>
    <w:rsid w:val="02457A2C"/>
    <w:rsid w:val="024B71F0"/>
    <w:rsid w:val="02525CE3"/>
    <w:rsid w:val="025433FD"/>
    <w:rsid w:val="026223A4"/>
    <w:rsid w:val="02680BF5"/>
    <w:rsid w:val="027A2EBC"/>
    <w:rsid w:val="0285246E"/>
    <w:rsid w:val="02927021"/>
    <w:rsid w:val="02971F57"/>
    <w:rsid w:val="02AE1145"/>
    <w:rsid w:val="02BA3F8E"/>
    <w:rsid w:val="02D311C4"/>
    <w:rsid w:val="02D35FA4"/>
    <w:rsid w:val="02F14C9A"/>
    <w:rsid w:val="0319319D"/>
    <w:rsid w:val="03354802"/>
    <w:rsid w:val="034241B8"/>
    <w:rsid w:val="03433CC0"/>
    <w:rsid w:val="035369D2"/>
    <w:rsid w:val="03542181"/>
    <w:rsid w:val="03575D3D"/>
    <w:rsid w:val="0361440A"/>
    <w:rsid w:val="037F55BF"/>
    <w:rsid w:val="038B790A"/>
    <w:rsid w:val="038E441F"/>
    <w:rsid w:val="039A4378"/>
    <w:rsid w:val="03B242C8"/>
    <w:rsid w:val="03BE7AAE"/>
    <w:rsid w:val="04021749"/>
    <w:rsid w:val="04621D60"/>
    <w:rsid w:val="04712734"/>
    <w:rsid w:val="04781ECF"/>
    <w:rsid w:val="04DE6E97"/>
    <w:rsid w:val="04E038CF"/>
    <w:rsid w:val="05057DD1"/>
    <w:rsid w:val="051165CF"/>
    <w:rsid w:val="05394517"/>
    <w:rsid w:val="053D1604"/>
    <w:rsid w:val="053E4A03"/>
    <w:rsid w:val="054914EA"/>
    <w:rsid w:val="05516F2F"/>
    <w:rsid w:val="055B584A"/>
    <w:rsid w:val="0566014A"/>
    <w:rsid w:val="056C29A7"/>
    <w:rsid w:val="057E3BE8"/>
    <w:rsid w:val="05823B19"/>
    <w:rsid w:val="058503AE"/>
    <w:rsid w:val="0595609D"/>
    <w:rsid w:val="0597211E"/>
    <w:rsid w:val="05E355AA"/>
    <w:rsid w:val="061135CE"/>
    <w:rsid w:val="0613348D"/>
    <w:rsid w:val="06271A97"/>
    <w:rsid w:val="06473FB0"/>
    <w:rsid w:val="066917AE"/>
    <w:rsid w:val="06977591"/>
    <w:rsid w:val="07194697"/>
    <w:rsid w:val="0721638A"/>
    <w:rsid w:val="073929FB"/>
    <w:rsid w:val="073C5020"/>
    <w:rsid w:val="073D6B84"/>
    <w:rsid w:val="075A60B1"/>
    <w:rsid w:val="07660241"/>
    <w:rsid w:val="076B4F66"/>
    <w:rsid w:val="07852B7A"/>
    <w:rsid w:val="078B7B6F"/>
    <w:rsid w:val="078F43D8"/>
    <w:rsid w:val="079B0ED3"/>
    <w:rsid w:val="079C7626"/>
    <w:rsid w:val="07B0512D"/>
    <w:rsid w:val="07B23B66"/>
    <w:rsid w:val="07C0025D"/>
    <w:rsid w:val="07C16458"/>
    <w:rsid w:val="07C9045D"/>
    <w:rsid w:val="07CF107E"/>
    <w:rsid w:val="07DC6755"/>
    <w:rsid w:val="07E94AF6"/>
    <w:rsid w:val="07F25B24"/>
    <w:rsid w:val="07FA2C8F"/>
    <w:rsid w:val="07FA5463"/>
    <w:rsid w:val="07FF1541"/>
    <w:rsid w:val="080475C1"/>
    <w:rsid w:val="080E6111"/>
    <w:rsid w:val="08114679"/>
    <w:rsid w:val="08397703"/>
    <w:rsid w:val="083B16CD"/>
    <w:rsid w:val="08467B03"/>
    <w:rsid w:val="086278D5"/>
    <w:rsid w:val="08A01390"/>
    <w:rsid w:val="08A53897"/>
    <w:rsid w:val="08BE0916"/>
    <w:rsid w:val="08D51C9F"/>
    <w:rsid w:val="08D82B7E"/>
    <w:rsid w:val="08EA3DFB"/>
    <w:rsid w:val="08F214DB"/>
    <w:rsid w:val="091E085F"/>
    <w:rsid w:val="09267C87"/>
    <w:rsid w:val="09556AB3"/>
    <w:rsid w:val="095701E4"/>
    <w:rsid w:val="09581E0B"/>
    <w:rsid w:val="095962AF"/>
    <w:rsid w:val="09772D60"/>
    <w:rsid w:val="09774AA6"/>
    <w:rsid w:val="099C619C"/>
    <w:rsid w:val="09B12D77"/>
    <w:rsid w:val="09BC3801"/>
    <w:rsid w:val="09C0788D"/>
    <w:rsid w:val="09C66EC2"/>
    <w:rsid w:val="09E509EC"/>
    <w:rsid w:val="09EC2DB7"/>
    <w:rsid w:val="09FC5F80"/>
    <w:rsid w:val="0A2C4CDC"/>
    <w:rsid w:val="0A2D738B"/>
    <w:rsid w:val="0A510058"/>
    <w:rsid w:val="0A552519"/>
    <w:rsid w:val="0A5C37C1"/>
    <w:rsid w:val="0A8235E3"/>
    <w:rsid w:val="0A8F3EFF"/>
    <w:rsid w:val="0A9802A4"/>
    <w:rsid w:val="0A9E5AC0"/>
    <w:rsid w:val="0AA425D1"/>
    <w:rsid w:val="0AB149F1"/>
    <w:rsid w:val="0AB26A24"/>
    <w:rsid w:val="0AB87744"/>
    <w:rsid w:val="0ABD461B"/>
    <w:rsid w:val="0ABE1A72"/>
    <w:rsid w:val="0AC920BC"/>
    <w:rsid w:val="0AD84167"/>
    <w:rsid w:val="0ADB230B"/>
    <w:rsid w:val="0AE03C85"/>
    <w:rsid w:val="0AEC6126"/>
    <w:rsid w:val="0AF3442D"/>
    <w:rsid w:val="0AFC0332"/>
    <w:rsid w:val="0AFE302F"/>
    <w:rsid w:val="0B015CF1"/>
    <w:rsid w:val="0B04561C"/>
    <w:rsid w:val="0B103076"/>
    <w:rsid w:val="0B1D3B9E"/>
    <w:rsid w:val="0B224DC6"/>
    <w:rsid w:val="0B242101"/>
    <w:rsid w:val="0B552AA6"/>
    <w:rsid w:val="0B615182"/>
    <w:rsid w:val="0B7F3FC7"/>
    <w:rsid w:val="0B875E89"/>
    <w:rsid w:val="0B8D770B"/>
    <w:rsid w:val="0BB953B8"/>
    <w:rsid w:val="0BD17C20"/>
    <w:rsid w:val="0BE219CF"/>
    <w:rsid w:val="0C2152A5"/>
    <w:rsid w:val="0C216A12"/>
    <w:rsid w:val="0C3044EA"/>
    <w:rsid w:val="0C595CFB"/>
    <w:rsid w:val="0C5C465F"/>
    <w:rsid w:val="0C5D08A0"/>
    <w:rsid w:val="0C66143F"/>
    <w:rsid w:val="0CA22A22"/>
    <w:rsid w:val="0CA3334F"/>
    <w:rsid w:val="0CA8781E"/>
    <w:rsid w:val="0CA94973"/>
    <w:rsid w:val="0CC02223"/>
    <w:rsid w:val="0CD0724F"/>
    <w:rsid w:val="0CDB6FDB"/>
    <w:rsid w:val="0CF05162"/>
    <w:rsid w:val="0D173E05"/>
    <w:rsid w:val="0D1F15BD"/>
    <w:rsid w:val="0D2A1D10"/>
    <w:rsid w:val="0D38100C"/>
    <w:rsid w:val="0D3E59E4"/>
    <w:rsid w:val="0D487B3D"/>
    <w:rsid w:val="0D645FE7"/>
    <w:rsid w:val="0D6A1D4D"/>
    <w:rsid w:val="0D744A90"/>
    <w:rsid w:val="0D7A2C98"/>
    <w:rsid w:val="0D7D3895"/>
    <w:rsid w:val="0D7E0697"/>
    <w:rsid w:val="0D8B3A81"/>
    <w:rsid w:val="0DAF25EB"/>
    <w:rsid w:val="0DB20807"/>
    <w:rsid w:val="0DBC62B0"/>
    <w:rsid w:val="0DC93F14"/>
    <w:rsid w:val="0DD979BE"/>
    <w:rsid w:val="0DE100AF"/>
    <w:rsid w:val="0E1A0110"/>
    <w:rsid w:val="0E1A7C4D"/>
    <w:rsid w:val="0E287DCB"/>
    <w:rsid w:val="0E3246BA"/>
    <w:rsid w:val="0E39362C"/>
    <w:rsid w:val="0E471161"/>
    <w:rsid w:val="0E4B1F3E"/>
    <w:rsid w:val="0E534406"/>
    <w:rsid w:val="0E590AFF"/>
    <w:rsid w:val="0E670AF3"/>
    <w:rsid w:val="0E682AF0"/>
    <w:rsid w:val="0E6858D0"/>
    <w:rsid w:val="0E7541FF"/>
    <w:rsid w:val="0E812106"/>
    <w:rsid w:val="0E833DCE"/>
    <w:rsid w:val="0E88026A"/>
    <w:rsid w:val="0E8D2557"/>
    <w:rsid w:val="0E987AFA"/>
    <w:rsid w:val="0E9E24F4"/>
    <w:rsid w:val="0EA574E2"/>
    <w:rsid w:val="0EB412DB"/>
    <w:rsid w:val="0EC57542"/>
    <w:rsid w:val="0EE05519"/>
    <w:rsid w:val="0EEA6280"/>
    <w:rsid w:val="0EF16F8A"/>
    <w:rsid w:val="0EF711F8"/>
    <w:rsid w:val="0EFD148A"/>
    <w:rsid w:val="0EFE2B22"/>
    <w:rsid w:val="0F0F769F"/>
    <w:rsid w:val="0F32623A"/>
    <w:rsid w:val="0F3524F1"/>
    <w:rsid w:val="0F384BB3"/>
    <w:rsid w:val="0F3D05B4"/>
    <w:rsid w:val="0F3F54EE"/>
    <w:rsid w:val="0F61617A"/>
    <w:rsid w:val="0FBA256F"/>
    <w:rsid w:val="0FC164B5"/>
    <w:rsid w:val="0FEC700A"/>
    <w:rsid w:val="0FED38B1"/>
    <w:rsid w:val="0FF1481A"/>
    <w:rsid w:val="10394D13"/>
    <w:rsid w:val="104B17E4"/>
    <w:rsid w:val="10511524"/>
    <w:rsid w:val="1058095E"/>
    <w:rsid w:val="106A27B5"/>
    <w:rsid w:val="106A2B50"/>
    <w:rsid w:val="10727445"/>
    <w:rsid w:val="1087686A"/>
    <w:rsid w:val="10895DDC"/>
    <w:rsid w:val="10AA2F0A"/>
    <w:rsid w:val="10B237FB"/>
    <w:rsid w:val="10CC487D"/>
    <w:rsid w:val="110C221D"/>
    <w:rsid w:val="1110096B"/>
    <w:rsid w:val="11103548"/>
    <w:rsid w:val="111D5E14"/>
    <w:rsid w:val="115A0E16"/>
    <w:rsid w:val="115C2EBC"/>
    <w:rsid w:val="11602030"/>
    <w:rsid w:val="116D6122"/>
    <w:rsid w:val="1185333C"/>
    <w:rsid w:val="118E4980"/>
    <w:rsid w:val="11A71B1F"/>
    <w:rsid w:val="11AF37F1"/>
    <w:rsid w:val="11AF4ADF"/>
    <w:rsid w:val="11B0526D"/>
    <w:rsid w:val="11B5558D"/>
    <w:rsid w:val="11DA50FB"/>
    <w:rsid w:val="11FB79A2"/>
    <w:rsid w:val="1206335A"/>
    <w:rsid w:val="12083B33"/>
    <w:rsid w:val="121223A9"/>
    <w:rsid w:val="12137F71"/>
    <w:rsid w:val="125E7FC7"/>
    <w:rsid w:val="12723F0A"/>
    <w:rsid w:val="12844BA1"/>
    <w:rsid w:val="128A083A"/>
    <w:rsid w:val="128B3D3F"/>
    <w:rsid w:val="12935E71"/>
    <w:rsid w:val="129479AB"/>
    <w:rsid w:val="12A0267D"/>
    <w:rsid w:val="12A80B19"/>
    <w:rsid w:val="12AC6A59"/>
    <w:rsid w:val="12C03239"/>
    <w:rsid w:val="12C701A9"/>
    <w:rsid w:val="12C97B2F"/>
    <w:rsid w:val="12E143F1"/>
    <w:rsid w:val="12EA0A18"/>
    <w:rsid w:val="12FA7500"/>
    <w:rsid w:val="12FB108C"/>
    <w:rsid w:val="134A06F9"/>
    <w:rsid w:val="135249C3"/>
    <w:rsid w:val="135250D0"/>
    <w:rsid w:val="136044BA"/>
    <w:rsid w:val="13695D6B"/>
    <w:rsid w:val="136E0BA9"/>
    <w:rsid w:val="137719C3"/>
    <w:rsid w:val="13830CE4"/>
    <w:rsid w:val="13877EBC"/>
    <w:rsid w:val="13900FA4"/>
    <w:rsid w:val="13951E01"/>
    <w:rsid w:val="13961EAE"/>
    <w:rsid w:val="139679E9"/>
    <w:rsid w:val="139F4D6C"/>
    <w:rsid w:val="13CF19C7"/>
    <w:rsid w:val="13D262EC"/>
    <w:rsid w:val="13E34245"/>
    <w:rsid w:val="13E4036C"/>
    <w:rsid w:val="13F7795E"/>
    <w:rsid w:val="141D437D"/>
    <w:rsid w:val="142972C1"/>
    <w:rsid w:val="142F4DFD"/>
    <w:rsid w:val="14400B7A"/>
    <w:rsid w:val="14665F58"/>
    <w:rsid w:val="146E4BD8"/>
    <w:rsid w:val="14703633"/>
    <w:rsid w:val="14743BC2"/>
    <w:rsid w:val="14756662"/>
    <w:rsid w:val="14771CDF"/>
    <w:rsid w:val="148B12E6"/>
    <w:rsid w:val="149C5972"/>
    <w:rsid w:val="14C11897"/>
    <w:rsid w:val="14CB442C"/>
    <w:rsid w:val="14CD5DA3"/>
    <w:rsid w:val="14E135FC"/>
    <w:rsid w:val="14E4192E"/>
    <w:rsid w:val="14E76FC2"/>
    <w:rsid w:val="14F57280"/>
    <w:rsid w:val="15082937"/>
    <w:rsid w:val="150A2E94"/>
    <w:rsid w:val="150D4F4D"/>
    <w:rsid w:val="15250ACE"/>
    <w:rsid w:val="152E7096"/>
    <w:rsid w:val="156758B0"/>
    <w:rsid w:val="157D4A1B"/>
    <w:rsid w:val="15853F88"/>
    <w:rsid w:val="1588458C"/>
    <w:rsid w:val="158A78EA"/>
    <w:rsid w:val="1597668B"/>
    <w:rsid w:val="15A7365F"/>
    <w:rsid w:val="15A97CD6"/>
    <w:rsid w:val="15C71939"/>
    <w:rsid w:val="15CF55FB"/>
    <w:rsid w:val="15DA30A4"/>
    <w:rsid w:val="15E40FC8"/>
    <w:rsid w:val="15F02D77"/>
    <w:rsid w:val="15F743B1"/>
    <w:rsid w:val="15F94E5C"/>
    <w:rsid w:val="160C18C5"/>
    <w:rsid w:val="161D49A4"/>
    <w:rsid w:val="162A5428"/>
    <w:rsid w:val="16311BCE"/>
    <w:rsid w:val="16371D03"/>
    <w:rsid w:val="163A0737"/>
    <w:rsid w:val="163B5C35"/>
    <w:rsid w:val="165072F3"/>
    <w:rsid w:val="16565924"/>
    <w:rsid w:val="166209A8"/>
    <w:rsid w:val="167E1E2F"/>
    <w:rsid w:val="168E2527"/>
    <w:rsid w:val="169018FF"/>
    <w:rsid w:val="16A20B69"/>
    <w:rsid w:val="16C36B80"/>
    <w:rsid w:val="16CA4564"/>
    <w:rsid w:val="16CC7784"/>
    <w:rsid w:val="176866B9"/>
    <w:rsid w:val="177745BD"/>
    <w:rsid w:val="17795BEB"/>
    <w:rsid w:val="178C40FC"/>
    <w:rsid w:val="1798391D"/>
    <w:rsid w:val="17AD72E9"/>
    <w:rsid w:val="17B3202D"/>
    <w:rsid w:val="17E13301"/>
    <w:rsid w:val="17E9596D"/>
    <w:rsid w:val="18004324"/>
    <w:rsid w:val="180C4B40"/>
    <w:rsid w:val="18112868"/>
    <w:rsid w:val="18207509"/>
    <w:rsid w:val="184E0269"/>
    <w:rsid w:val="18551694"/>
    <w:rsid w:val="185557C5"/>
    <w:rsid w:val="185F62F7"/>
    <w:rsid w:val="18610CDC"/>
    <w:rsid w:val="18647238"/>
    <w:rsid w:val="189D783A"/>
    <w:rsid w:val="18A21247"/>
    <w:rsid w:val="18C56CD1"/>
    <w:rsid w:val="18D117C2"/>
    <w:rsid w:val="18DA4CBD"/>
    <w:rsid w:val="18DD63FB"/>
    <w:rsid w:val="18E519CE"/>
    <w:rsid w:val="18E67433"/>
    <w:rsid w:val="18EB08D1"/>
    <w:rsid w:val="18F505A0"/>
    <w:rsid w:val="18F65F6C"/>
    <w:rsid w:val="191108A3"/>
    <w:rsid w:val="19116380"/>
    <w:rsid w:val="19183BAB"/>
    <w:rsid w:val="191B537A"/>
    <w:rsid w:val="1921603F"/>
    <w:rsid w:val="197E7AE7"/>
    <w:rsid w:val="199035B5"/>
    <w:rsid w:val="19AD4B4E"/>
    <w:rsid w:val="19BA14B7"/>
    <w:rsid w:val="19BC0989"/>
    <w:rsid w:val="19BC30BA"/>
    <w:rsid w:val="19CC03D7"/>
    <w:rsid w:val="19E520B5"/>
    <w:rsid w:val="19E83489"/>
    <w:rsid w:val="19F36696"/>
    <w:rsid w:val="1A081EEB"/>
    <w:rsid w:val="1A1B0915"/>
    <w:rsid w:val="1A1C3150"/>
    <w:rsid w:val="1A2521DD"/>
    <w:rsid w:val="1A362609"/>
    <w:rsid w:val="1A540119"/>
    <w:rsid w:val="1A670D65"/>
    <w:rsid w:val="1A825CB9"/>
    <w:rsid w:val="1A8C5DB8"/>
    <w:rsid w:val="1A8D2956"/>
    <w:rsid w:val="1AB45789"/>
    <w:rsid w:val="1AC6084A"/>
    <w:rsid w:val="1AC703D9"/>
    <w:rsid w:val="1ACA75E5"/>
    <w:rsid w:val="1AD60BA2"/>
    <w:rsid w:val="1AE413E5"/>
    <w:rsid w:val="1AED48A1"/>
    <w:rsid w:val="1AF813CE"/>
    <w:rsid w:val="1B03673C"/>
    <w:rsid w:val="1B155E9B"/>
    <w:rsid w:val="1B1742AF"/>
    <w:rsid w:val="1B6B08F1"/>
    <w:rsid w:val="1B8B53D1"/>
    <w:rsid w:val="1BAB6509"/>
    <w:rsid w:val="1BAC3CD8"/>
    <w:rsid w:val="1BB67DDC"/>
    <w:rsid w:val="1BD065D5"/>
    <w:rsid w:val="1BD12556"/>
    <w:rsid w:val="1BDA38D1"/>
    <w:rsid w:val="1BE678DC"/>
    <w:rsid w:val="1BEB7049"/>
    <w:rsid w:val="1C057BD0"/>
    <w:rsid w:val="1C2A310F"/>
    <w:rsid w:val="1C2C33AF"/>
    <w:rsid w:val="1C2D0F37"/>
    <w:rsid w:val="1C586B4C"/>
    <w:rsid w:val="1C60776B"/>
    <w:rsid w:val="1C737BD1"/>
    <w:rsid w:val="1CA10322"/>
    <w:rsid w:val="1CA95AED"/>
    <w:rsid w:val="1CB533A4"/>
    <w:rsid w:val="1CCD6586"/>
    <w:rsid w:val="1CD13F56"/>
    <w:rsid w:val="1CD14400"/>
    <w:rsid w:val="1CD17B3A"/>
    <w:rsid w:val="1CE95CBC"/>
    <w:rsid w:val="1CEB6DC6"/>
    <w:rsid w:val="1CEF6506"/>
    <w:rsid w:val="1CFC63F8"/>
    <w:rsid w:val="1CFE1BAA"/>
    <w:rsid w:val="1D046632"/>
    <w:rsid w:val="1D3C1D18"/>
    <w:rsid w:val="1D3F1509"/>
    <w:rsid w:val="1D491D3F"/>
    <w:rsid w:val="1D5457FE"/>
    <w:rsid w:val="1D5574BA"/>
    <w:rsid w:val="1D6130DD"/>
    <w:rsid w:val="1D954F84"/>
    <w:rsid w:val="1D963155"/>
    <w:rsid w:val="1D981D7D"/>
    <w:rsid w:val="1D982358"/>
    <w:rsid w:val="1DB028AE"/>
    <w:rsid w:val="1DC53848"/>
    <w:rsid w:val="1DD7239C"/>
    <w:rsid w:val="1DDB5FE7"/>
    <w:rsid w:val="1DE251DD"/>
    <w:rsid w:val="1DEA52D0"/>
    <w:rsid w:val="1DF04476"/>
    <w:rsid w:val="1DF54BEE"/>
    <w:rsid w:val="1DF95B26"/>
    <w:rsid w:val="1E031EC9"/>
    <w:rsid w:val="1E167A35"/>
    <w:rsid w:val="1E196518"/>
    <w:rsid w:val="1E213506"/>
    <w:rsid w:val="1E4E0DD4"/>
    <w:rsid w:val="1E4F7829"/>
    <w:rsid w:val="1E687652"/>
    <w:rsid w:val="1E8522FD"/>
    <w:rsid w:val="1E875215"/>
    <w:rsid w:val="1E953426"/>
    <w:rsid w:val="1E9E6E16"/>
    <w:rsid w:val="1EB23D94"/>
    <w:rsid w:val="1EB3572E"/>
    <w:rsid w:val="1EEF74EE"/>
    <w:rsid w:val="1EF81C6E"/>
    <w:rsid w:val="1EFE1905"/>
    <w:rsid w:val="1F132604"/>
    <w:rsid w:val="1F240CB5"/>
    <w:rsid w:val="1F334045"/>
    <w:rsid w:val="1F35525B"/>
    <w:rsid w:val="1F381E36"/>
    <w:rsid w:val="1F454074"/>
    <w:rsid w:val="1F6B16D5"/>
    <w:rsid w:val="1F7D37A4"/>
    <w:rsid w:val="1F886296"/>
    <w:rsid w:val="1F8D3628"/>
    <w:rsid w:val="1F93031F"/>
    <w:rsid w:val="1F9360F4"/>
    <w:rsid w:val="1FA769A1"/>
    <w:rsid w:val="1FC17785"/>
    <w:rsid w:val="1FC85AE5"/>
    <w:rsid w:val="1FDD12F3"/>
    <w:rsid w:val="1FE22738"/>
    <w:rsid w:val="200D3461"/>
    <w:rsid w:val="2010158D"/>
    <w:rsid w:val="2010251D"/>
    <w:rsid w:val="2019679D"/>
    <w:rsid w:val="20250841"/>
    <w:rsid w:val="202B02F2"/>
    <w:rsid w:val="202B40D8"/>
    <w:rsid w:val="2047472A"/>
    <w:rsid w:val="204C04C4"/>
    <w:rsid w:val="206A094A"/>
    <w:rsid w:val="208351E1"/>
    <w:rsid w:val="20A41A9B"/>
    <w:rsid w:val="20A72EBC"/>
    <w:rsid w:val="20DA3C69"/>
    <w:rsid w:val="20E83702"/>
    <w:rsid w:val="20EA6462"/>
    <w:rsid w:val="20F35EED"/>
    <w:rsid w:val="20F46E53"/>
    <w:rsid w:val="21462836"/>
    <w:rsid w:val="21465EAB"/>
    <w:rsid w:val="215E526B"/>
    <w:rsid w:val="2172757D"/>
    <w:rsid w:val="217934DB"/>
    <w:rsid w:val="217D2EA0"/>
    <w:rsid w:val="21972F2F"/>
    <w:rsid w:val="219F2875"/>
    <w:rsid w:val="21B15326"/>
    <w:rsid w:val="21C8256B"/>
    <w:rsid w:val="21E07DE5"/>
    <w:rsid w:val="21F56197"/>
    <w:rsid w:val="21F96523"/>
    <w:rsid w:val="2203768A"/>
    <w:rsid w:val="2222762F"/>
    <w:rsid w:val="22264DBF"/>
    <w:rsid w:val="22671BD1"/>
    <w:rsid w:val="22821F7B"/>
    <w:rsid w:val="2289137A"/>
    <w:rsid w:val="228E63B8"/>
    <w:rsid w:val="22993D92"/>
    <w:rsid w:val="22A7378F"/>
    <w:rsid w:val="22AE0FC2"/>
    <w:rsid w:val="22EF4F37"/>
    <w:rsid w:val="2305684D"/>
    <w:rsid w:val="23064884"/>
    <w:rsid w:val="23137077"/>
    <w:rsid w:val="232B3403"/>
    <w:rsid w:val="2355143D"/>
    <w:rsid w:val="236153A1"/>
    <w:rsid w:val="236F6DFB"/>
    <w:rsid w:val="238543C6"/>
    <w:rsid w:val="23CA1478"/>
    <w:rsid w:val="23E42769"/>
    <w:rsid w:val="23EB7FF4"/>
    <w:rsid w:val="240C3129"/>
    <w:rsid w:val="241A4E8B"/>
    <w:rsid w:val="243640A3"/>
    <w:rsid w:val="2442713A"/>
    <w:rsid w:val="244B2A8A"/>
    <w:rsid w:val="246054C4"/>
    <w:rsid w:val="246D1FB0"/>
    <w:rsid w:val="24772387"/>
    <w:rsid w:val="24816E59"/>
    <w:rsid w:val="24912949"/>
    <w:rsid w:val="2493194A"/>
    <w:rsid w:val="24961D0D"/>
    <w:rsid w:val="24B16F92"/>
    <w:rsid w:val="24B33695"/>
    <w:rsid w:val="24B403E6"/>
    <w:rsid w:val="24CA7C09"/>
    <w:rsid w:val="24DF0E4F"/>
    <w:rsid w:val="24EE7E12"/>
    <w:rsid w:val="24F71AA7"/>
    <w:rsid w:val="24F86524"/>
    <w:rsid w:val="24FC2A9D"/>
    <w:rsid w:val="251B4060"/>
    <w:rsid w:val="252A0A5B"/>
    <w:rsid w:val="252B1208"/>
    <w:rsid w:val="253F4153"/>
    <w:rsid w:val="255159C1"/>
    <w:rsid w:val="255E51C7"/>
    <w:rsid w:val="25934D4C"/>
    <w:rsid w:val="259903A7"/>
    <w:rsid w:val="259C6252"/>
    <w:rsid w:val="259D1E3B"/>
    <w:rsid w:val="25A434E6"/>
    <w:rsid w:val="25CE54D7"/>
    <w:rsid w:val="25D30FCF"/>
    <w:rsid w:val="25DC3867"/>
    <w:rsid w:val="25E44CFA"/>
    <w:rsid w:val="25E5333B"/>
    <w:rsid w:val="25EE1CEA"/>
    <w:rsid w:val="25FE3C5F"/>
    <w:rsid w:val="260450DB"/>
    <w:rsid w:val="26306192"/>
    <w:rsid w:val="26325D01"/>
    <w:rsid w:val="2634244E"/>
    <w:rsid w:val="263F7AE0"/>
    <w:rsid w:val="26497630"/>
    <w:rsid w:val="2650413E"/>
    <w:rsid w:val="265B3850"/>
    <w:rsid w:val="267338B8"/>
    <w:rsid w:val="26751DF6"/>
    <w:rsid w:val="267628A6"/>
    <w:rsid w:val="267B41A3"/>
    <w:rsid w:val="2686121B"/>
    <w:rsid w:val="26861291"/>
    <w:rsid w:val="268B33C8"/>
    <w:rsid w:val="26946721"/>
    <w:rsid w:val="269E1128"/>
    <w:rsid w:val="26AD61B0"/>
    <w:rsid w:val="26E8767B"/>
    <w:rsid w:val="27054F28"/>
    <w:rsid w:val="270C4509"/>
    <w:rsid w:val="2719075D"/>
    <w:rsid w:val="27626132"/>
    <w:rsid w:val="277D5407"/>
    <w:rsid w:val="278F0C96"/>
    <w:rsid w:val="279070C4"/>
    <w:rsid w:val="279B399A"/>
    <w:rsid w:val="279C2E8F"/>
    <w:rsid w:val="27A9380F"/>
    <w:rsid w:val="27B25164"/>
    <w:rsid w:val="27C54283"/>
    <w:rsid w:val="27CF07AB"/>
    <w:rsid w:val="27D40178"/>
    <w:rsid w:val="27D47078"/>
    <w:rsid w:val="27DF66E8"/>
    <w:rsid w:val="27FE6547"/>
    <w:rsid w:val="28013F40"/>
    <w:rsid w:val="280476B6"/>
    <w:rsid w:val="28083ABE"/>
    <w:rsid w:val="28126F2A"/>
    <w:rsid w:val="283E2A52"/>
    <w:rsid w:val="284056C7"/>
    <w:rsid w:val="28510CB4"/>
    <w:rsid w:val="2852303F"/>
    <w:rsid w:val="285A5F0E"/>
    <w:rsid w:val="28644B3C"/>
    <w:rsid w:val="28761753"/>
    <w:rsid w:val="287A7458"/>
    <w:rsid w:val="287E2826"/>
    <w:rsid w:val="289775FC"/>
    <w:rsid w:val="28F475AB"/>
    <w:rsid w:val="28FC7FAE"/>
    <w:rsid w:val="29057B74"/>
    <w:rsid w:val="29076A4E"/>
    <w:rsid w:val="290D0099"/>
    <w:rsid w:val="291067BC"/>
    <w:rsid w:val="29267510"/>
    <w:rsid w:val="293B5764"/>
    <w:rsid w:val="296138D0"/>
    <w:rsid w:val="296E2B85"/>
    <w:rsid w:val="296F46AC"/>
    <w:rsid w:val="29913223"/>
    <w:rsid w:val="299E408D"/>
    <w:rsid w:val="29A23DF1"/>
    <w:rsid w:val="29A73A61"/>
    <w:rsid w:val="29AA386F"/>
    <w:rsid w:val="29AB7F18"/>
    <w:rsid w:val="29C51EC9"/>
    <w:rsid w:val="29C8128C"/>
    <w:rsid w:val="29DE1296"/>
    <w:rsid w:val="29F6324E"/>
    <w:rsid w:val="2A08153D"/>
    <w:rsid w:val="2A183759"/>
    <w:rsid w:val="2A1C2CB5"/>
    <w:rsid w:val="2A20312D"/>
    <w:rsid w:val="2A3150E1"/>
    <w:rsid w:val="2A570191"/>
    <w:rsid w:val="2A7869AF"/>
    <w:rsid w:val="2A7C106C"/>
    <w:rsid w:val="2A8E3487"/>
    <w:rsid w:val="2AA941C6"/>
    <w:rsid w:val="2ABF40CE"/>
    <w:rsid w:val="2AC25580"/>
    <w:rsid w:val="2ACD5ABD"/>
    <w:rsid w:val="2ACF7332"/>
    <w:rsid w:val="2ADF1CFE"/>
    <w:rsid w:val="2AEC0148"/>
    <w:rsid w:val="2AF0253B"/>
    <w:rsid w:val="2AF9157D"/>
    <w:rsid w:val="2B276BFA"/>
    <w:rsid w:val="2B3F257D"/>
    <w:rsid w:val="2B400C25"/>
    <w:rsid w:val="2B464111"/>
    <w:rsid w:val="2B473320"/>
    <w:rsid w:val="2B783F07"/>
    <w:rsid w:val="2B8B0731"/>
    <w:rsid w:val="2B9D185B"/>
    <w:rsid w:val="2B9D7C53"/>
    <w:rsid w:val="2BA80578"/>
    <w:rsid w:val="2BB024EC"/>
    <w:rsid w:val="2BB132A3"/>
    <w:rsid w:val="2BC16042"/>
    <w:rsid w:val="2BC17563"/>
    <w:rsid w:val="2BC257D2"/>
    <w:rsid w:val="2BEB75B2"/>
    <w:rsid w:val="2BFB15BD"/>
    <w:rsid w:val="2BFB709E"/>
    <w:rsid w:val="2C2349FA"/>
    <w:rsid w:val="2C3771C8"/>
    <w:rsid w:val="2C500D39"/>
    <w:rsid w:val="2C82172E"/>
    <w:rsid w:val="2C9E13ED"/>
    <w:rsid w:val="2CAE497F"/>
    <w:rsid w:val="2CB5471F"/>
    <w:rsid w:val="2CBD3FD1"/>
    <w:rsid w:val="2CC0745A"/>
    <w:rsid w:val="2CD8427D"/>
    <w:rsid w:val="2CD924A0"/>
    <w:rsid w:val="2CDC3B67"/>
    <w:rsid w:val="2CE1463A"/>
    <w:rsid w:val="2CEA07B9"/>
    <w:rsid w:val="2D087E61"/>
    <w:rsid w:val="2D141689"/>
    <w:rsid w:val="2D19427C"/>
    <w:rsid w:val="2D1B7597"/>
    <w:rsid w:val="2D1F5259"/>
    <w:rsid w:val="2D4F597F"/>
    <w:rsid w:val="2D601A06"/>
    <w:rsid w:val="2D621327"/>
    <w:rsid w:val="2D6F6215"/>
    <w:rsid w:val="2D9832AE"/>
    <w:rsid w:val="2DBA631F"/>
    <w:rsid w:val="2DC27BEB"/>
    <w:rsid w:val="2DCA46C0"/>
    <w:rsid w:val="2DF86A5D"/>
    <w:rsid w:val="2E3507E9"/>
    <w:rsid w:val="2E422255"/>
    <w:rsid w:val="2E453916"/>
    <w:rsid w:val="2E8A2E95"/>
    <w:rsid w:val="2E907C65"/>
    <w:rsid w:val="2E994352"/>
    <w:rsid w:val="2E9C2616"/>
    <w:rsid w:val="2EA1724B"/>
    <w:rsid w:val="2EA829D8"/>
    <w:rsid w:val="2EC8419E"/>
    <w:rsid w:val="2EDD3F6F"/>
    <w:rsid w:val="2EDE2C2F"/>
    <w:rsid w:val="2EDE3D6A"/>
    <w:rsid w:val="2EFC71FF"/>
    <w:rsid w:val="2F00517E"/>
    <w:rsid w:val="2F021FBA"/>
    <w:rsid w:val="2F124424"/>
    <w:rsid w:val="2F3B1EFD"/>
    <w:rsid w:val="2F3F0955"/>
    <w:rsid w:val="2F4A1B88"/>
    <w:rsid w:val="2F605BC8"/>
    <w:rsid w:val="2F733CE7"/>
    <w:rsid w:val="2F7C3510"/>
    <w:rsid w:val="2F831D77"/>
    <w:rsid w:val="2F8B4D60"/>
    <w:rsid w:val="2F99355C"/>
    <w:rsid w:val="2F9C7F18"/>
    <w:rsid w:val="2FAA472A"/>
    <w:rsid w:val="2FAB4DB8"/>
    <w:rsid w:val="2FB219C5"/>
    <w:rsid w:val="2FC71FC9"/>
    <w:rsid w:val="2FCB56D1"/>
    <w:rsid w:val="2FDE44E7"/>
    <w:rsid w:val="2FE672B4"/>
    <w:rsid w:val="2FE8003F"/>
    <w:rsid w:val="300645B8"/>
    <w:rsid w:val="300B3E94"/>
    <w:rsid w:val="30184E09"/>
    <w:rsid w:val="3022262C"/>
    <w:rsid w:val="302723B3"/>
    <w:rsid w:val="302B0468"/>
    <w:rsid w:val="302E1C73"/>
    <w:rsid w:val="303007F4"/>
    <w:rsid w:val="30497A80"/>
    <w:rsid w:val="304F2C7A"/>
    <w:rsid w:val="30556EEC"/>
    <w:rsid w:val="3070796D"/>
    <w:rsid w:val="30780E7E"/>
    <w:rsid w:val="30837FAC"/>
    <w:rsid w:val="30C53E9F"/>
    <w:rsid w:val="30D0755A"/>
    <w:rsid w:val="30E41C95"/>
    <w:rsid w:val="30E444EA"/>
    <w:rsid w:val="30E6004D"/>
    <w:rsid w:val="30F635B6"/>
    <w:rsid w:val="30F80BF9"/>
    <w:rsid w:val="310B541F"/>
    <w:rsid w:val="310D54FB"/>
    <w:rsid w:val="310E70CF"/>
    <w:rsid w:val="312C5C65"/>
    <w:rsid w:val="313429C6"/>
    <w:rsid w:val="31391E91"/>
    <w:rsid w:val="3149205F"/>
    <w:rsid w:val="31501496"/>
    <w:rsid w:val="31583E7B"/>
    <w:rsid w:val="315C42A6"/>
    <w:rsid w:val="3167361D"/>
    <w:rsid w:val="3175614B"/>
    <w:rsid w:val="31921985"/>
    <w:rsid w:val="319412E5"/>
    <w:rsid w:val="31B307DF"/>
    <w:rsid w:val="31C67E5B"/>
    <w:rsid w:val="31CD2A89"/>
    <w:rsid w:val="31E25F34"/>
    <w:rsid w:val="31F031CD"/>
    <w:rsid w:val="31F35F89"/>
    <w:rsid w:val="3216448E"/>
    <w:rsid w:val="3229733F"/>
    <w:rsid w:val="32584F94"/>
    <w:rsid w:val="3260395B"/>
    <w:rsid w:val="32617D8A"/>
    <w:rsid w:val="326D10DA"/>
    <w:rsid w:val="32A71838"/>
    <w:rsid w:val="32B015C2"/>
    <w:rsid w:val="32B16AFF"/>
    <w:rsid w:val="32C26ED8"/>
    <w:rsid w:val="32CC775C"/>
    <w:rsid w:val="32D211FE"/>
    <w:rsid w:val="32D3300C"/>
    <w:rsid w:val="32D54061"/>
    <w:rsid w:val="33010C9A"/>
    <w:rsid w:val="330B7588"/>
    <w:rsid w:val="33147D5F"/>
    <w:rsid w:val="33152997"/>
    <w:rsid w:val="332C482A"/>
    <w:rsid w:val="33337964"/>
    <w:rsid w:val="33407F2F"/>
    <w:rsid w:val="334E5D39"/>
    <w:rsid w:val="33574FAB"/>
    <w:rsid w:val="335E2E19"/>
    <w:rsid w:val="3363091B"/>
    <w:rsid w:val="336E602C"/>
    <w:rsid w:val="337C7D79"/>
    <w:rsid w:val="338F58D1"/>
    <w:rsid w:val="33C530C9"/>
    <w:rsid w:val="33CE6D86"/>
    <w:rsid w:val="33D4307D"/>
    <w:rsid w:val="33D740F0"/>
    <w:rsid w:val="33D9411C"/>
    <w:rsid w:val="33E764CF"/>
    <w:rsid w:val="340B1B17"/>
    <w:rsid w:val="340C1A63"/>
    <w:rsid w:val="341C7E34"/>
    <w:rsid w:val="347D1435"/>
    <w:rsid w:val="349A50E8"/>
    <w:rsid w:val="34B0793B"/>
    <w:rsid w:val="34D97170"/>
    <w:rsid w:val="350A0A9D"/>
    <w:rsid w:val="35461755"/>
    <w:rsid w:val="356948BD"/>
    <w:rsid w:val="359F1579"/>
    <w:rsid w:val="35AD4B87"/>
    <w:rsid w:val="3620283E"/>
    <w:rsid w:val="36297806"/>
    <w:rsid w:val="36352E47"/>
    <w:rsid w:val="36447D6F"/>
    <w:rsid w:val="369C6DAD"/>
    <w:rsid w:val="36A9358B"/>
    <w:rsid w:val="36B8762C"/>
    <w:rsid w:val="36E147EB"/>
    <w:rsid w:val="36F61E52"/>
    <w:rsid w:val="370734EA"/>
    <w:rsid w:val="37165CDA"/>
    <w:rsid w:val="37342795"/>
    <w:rsid w:val="37460BE1"/>
    <w:rsid w:val="37461490"/>
    <w:rsid w:val="374E00C0"/>
    <w:rsid w:val="37511B3D"/>
    <w:rsid w:val="375C308B"/>
    <w:rsid w:val="37682E2E"/>
    <w:rsid w:val="37774E31"/>
    <w:rsid w:val="377C16EA"/>
    <w:rsid w:val="378A4CDD"/>
    <w:rsid w:val="379F29E8"/>
    <w:rsid w:val="37A40C55"/>
    <w:rsid w:val="37A7490A"/>
    <w:rsid w:val="37B25021"/>
    <w:rsid w:val="37C61288"/>
    <w:rsid w:val="37C977D5"/>
    <w:rsid w:val="37E968C2"/>
    <w:rsid w:val="37ED0E47"/>
    <w:rsid w:val="37EF0164"/>
    <w:rsid w:val="38057AB7"/>
    <w:rsid w:val="380D6333"/>
    <w:rsid w:val="38254BCD"/>
    <w:rsid w:val="383C3871"/>
    <w:rsid w:val="384F7DAC"/>
    <w:rsid w:val="38563E3A"/>
    <w:rsid w:val="38581ACE"/>
    <w:rsid w:val="38793253"/>
    <w:rsid w:val="388B23D6"/>
    <w:rsid w:val="38990112"/>
    <w:rsid w:val="38A93AFE"/>
    <w:rsid w:val="38B44A00"/>
    <w:rsid w:val="38B77A20"/>
    <w:rsid w:val="38C16934"/>
    <w:rsid w:val="38DD3958"/>
    <w:rsid w:val="38E84B50"/>
    <w:rsid w:val="39033CDF"/>
    <w:rsid w:val="39091BF0"/>
    <w:rsid w:val="390E55DB"/>
    <w:rsid w:val="390F526F"/>
    <w:rsid w:val="391265BD"/>
    <w:rsid w:val="391334D5"/>
    <w:rsid w:val="3914035A"/>
    <w:rsid w:val="39230041"/>
    <w:rsid w:val="39297E56"/>
    <w:rsid w:val="393C48FB"/>
    <w:rsid w:val="39561D05"/>
    <w:rsid w:val="39601130"/>
    <w:rsid w:val="396F79E3"/>
    <w:rsid w:val="39797D93"/>
    <w:rsid w:val="397B75C8"/>
    <w:rsid w:val="399179C8"/>
    <w:rsid w:val="399E7D1D"/>
    <w:rsid w:val="39AD1B7B"/>
    <w:rsid w:val="39B26B17"/>
    <w:rsid w:val="39C11193"/>
    <w:rsid w:val="39CE2EC6"/>
    <w:rsid w:val="39EB4B63"/>
    <w:rsid w:val="39F74554"/>
    <w:rsid w:val="3A153375"/>
    <w:rsid w:val="3A195DF2"/>
    <w:rsid w:val="3A213E11"/>
    <w:rsid w:val="3A220359"/>
    <w:rsid w:val="3A360E76"/>
    <w:rsid w:val="3A3C19A3"/>
    <w:rsid w:val="3A3C7F1B"/>
    <w:rsid w:val="3A660C5D"/>
    <w:rsid w:val="3A6E0168"/>
    <w:rsid w:val="3A8F7E20"/>
    <w:rsid w:val="3A9A1DC2"/>
    <w:rsid w:val="3AAC1E18"/>
    <w:rsid w:val="3AB70FDB"/>
    <w:rsid w:val="3ACB6DFF"/>
    <w:rsid w:val="3AD85DEE"/>
    <w:rsid w:val="3AE53256"/>
    <w:rsid w:val="3AE8066E"/>
    <w:rsid w:val="3AED0F90"/>
    <w:rsid w:val="3AFD268F"/>
    <w:rsid w:val="3AFE3F84"/>
    <w:rsid w:val="3B0E6247"/>
    <w:rsid w:val="3B1D0CC7"/>
    <w:rsid w:val="3B220CAE"/>
    <w:rsid w:val="3B321A57"/>
    <w:rsid w:val="3B4F136D"/>
    <w:rsid w:val="3B590C59"/>
    <w:rsid w:val="3B7D5DF5"/>
    <w:rsid w:val="3B9D0648"/>
    <w:rsid w:val="3B9D55CE"/>
    <w:rsid w:val="3BA72EB8"/>
    <w:rsid w:val="3BC35686"/>
    <w:rsid w:val="3BE8179D"/>
    <w:rsid w:val="3C0C42BD"/>
    <w:rsid w:val="3C0D7CBF"/>
    <w:rsid w:val="3C1020AE"/>
    <w:rsid w:val="3C17799F"/>
    <w:rsid w:val="3C26295B"/>
    <w:rsid w:val="3C340CD4"/>
    <w:rsid w:val="3C47635D"/>
    <w:rsid w:val="3C637624"/>
    <w:rsid w:val="3C665017"/>
    <w:rsid w:val="3C6A3D54"/>
    <w:rsid w:val="3C6D31E4"/>
    <w:rsid w:val="3C7851D8"/>
    <w:rsid w:val="3C8810D3"/>
    <w:rsid w:val="3C9A4A8F"/>
    <w:rsid w:val="3CA254F7"/>
    <w:rsid w:val="3CA37266"/>
    <w:rsid w:val="3CB26A83"/>
    <w:rsid w:val="3CC85245"/>
    <w:rsid w:val="3CE37F58"/>
    <w:rsid w:val="3CE57C58"/>
    <w:rsid w:val="3CFF35C4"/>
    <w:rsid w:val="3D003DF6"/>
    <w:rsid w:val="3D0773D6"/>
    <w:rsid w:val="3D122615"/>
    <w:rsid w:val="3D2C1009"/>
    <w:rsid w:val="3D380F65"/>
    <w:rsid w:val="3D385C00"/>
    <w:rsid w:val="3D4904D8"/>
    <w:rsid w:val="3D491703"/>
    <w:rsid w:val="3D6A38DF"/>
    <w:rsid w:val="3DBA1EFB"/>
    <w:rsid w:val="3DCC4147"/>
    <w:rsid w:val="3DCF453A"/>
    <w:rsid w:val="3DE35BAF"/>
    <w:rsid w:val="3DEC20E9"/>
    <w:rsid w:val="3DF06238"/>
    <w:rsid w:val="3DFF57E4"/>
    <w:rsid w:val="3E147391"/>
    <w:rsid w:val="3E2B6B4F"/>
    <w:rsid w:val="3E365E0A"/>
    <w:rsid w:val="3E3F5047"/>
    <w:rsid w:val="3E4936A9"/>
    <w:rsid w:val="3E4D57D2"/>
    <w:rsid w:val="3E5537F5"/>
    <w:rsid w:val="3E564ED7"/>
    <w:rsid w:val="3E6508F3"/>
    <w:rsid w:val="3E6C6B7E"/>
    <w:rsid w:val="3E854D02"/>
    <w:rsid w:val="3E9879B2"/>
    <w:rsid w:val="3E9C7851"/>
    <w:rsid w:val="3EB57EEC"/>
    <w:rsid w:val="3EC0123B"/>
    <w:rsid w:val="3EC84D62"/>
    <w:rsid w:val="3ECA38D5"/>
    <w:rsid w:val="3ECA482E"/>
    <w:rsid w:val="3ED04E79"/>
    <w:rsid w:val="3ED308F2"/>
    <w:rsid w:val="3ED91EE3"/>
    <w:rsid w:val="3EE25EED"/>
    <w:rsid w:val="3EEE7E07"/>
    <w:rsid w:val="3EF002DF"/>
    <w:rsid w:val="3EF06A26"/>
    <w:rsid w:val="3F04511D"/>
    <w:rsid w:val="3F0A61C3"/>
    <w:rsid w:val="3F216F60"/>
    <w:rsid w:val="3F4C0433"/>
    <w:rsid w:val="3F603327"/>
    <w:rsid w:val="3F774742"/>
    <w:rsid w:val="3F7F7B16"/>
    <w:rsid w:val="3F8066C4"/>
    <w:rsid w:val="3F8B5DFE"/>
    <w:rsid w:val="3F956100"/>
    <w:rsid w:val="3F97662F"/>
    <w:rsid w:val="3FAB7DC3"/>
    <w:rsid w:val="3FC3686F"/>
    <w:rsid w:val="3FC63852"/>
    <w:rsid w:val="3FD818D4"/>
    <w:rsid w:val="3FF0539D"/>
    <w:rsid w:val="3FF94FE1"/>
    <w:rsid w:val="400D6006"/>
    <w:rsid w:val="400E3AF7"/>
    <w:rsid w:val="401638A3"/>
    <w:rsid w:val="402F22A1"/>
    <w:rsid w:val="4052194D"/>
    <w:rsid w:val="405F7506"/>
    <w:rsid w:val="4070512B"/>
    <w:rsid w:val="407701A6"/>
    <w:rsid w:val="407739D8"/>
    <w:rsid w:val="40912C00"/>
    <w:rsid w:val="4094508C"/>
    <w:rsid w:val="40BB3FC8"/>
    <w:rsid w:val="40BB408C"/>
    <w:rsid w:val="40D10A79"/>
    <w:rsid w:val="40DC3739"/>
    <w:rsid w:val="40DE4A35"/>
    <w:rsid w:val="40EF4D6D"/>
    <w:rsid w:val="410D1C68"/>
    <w:rsid w:val="411675F2"/>
    <w:rsid w:val="411C2F01"/>
    <w:rsid w:val="41214E94"/>
    <w:rsid w:val="41275F29"/>
    <w:rsid w:val="413E2FE5"/>
    <w:rsid w:val="415F7A57"/>
    <w:rsid w:val="41814793"/>
    <w:rsid w:val="41857B40"/>
    <w:rsid w:val="419D24D5"/>
    <w:rsid w:val="41A53458"/>
    <w:rsid w:val="41B82D1B"/>
    <w:rsid w:val="41BC6B48"/>
    <w:rsid w:val="41BE1878"/>
    <w:rsid w:val="41C30D9C"/>
    <w:rsid w:val="41DE03DB"/>
    <w:rsid w:val="41DF704A"/>
    <w:rsid w:val="41E50829"/>
    <w:rsid w:val="42056368"/>
    <w:rsid w:val="420B0AC7"/>
    <w:rsid w:val="423C7F91"/>
    <w:rsid w:val="4241698C"/>
    <w:rsid w:val="428C0CF8"/>
    <w:rsid w:val="429E4757"/>
    <w:rsid w:val="42A5146F"/>
    <w:rsid w:val="42A86BF2"/>
    <w:rsid w:val="42C835A6"/>
    <w:rsid w:val="42EA7B36"/>
    <w:rsid w:val="42F437D6"/>
    <w:rsid w:val="43082491"/>
    <w:rsid w:val="43087029"/>
    <w:rsid w:val="430D5439"/>
    <w:rsid w:val="430D71E7"/>
    <w:rsid w:val="43212026"/>
    <w:rsid w:val="434170B4"/>
    <w:rsid w:val="43462580"/>
    <w:rsid w:val="43652813"/>
    <w:rsid w:val="43746A96"/>
    <w:rsid w:val="43856CB8"/>
    <w:rsid w:val="43A90372"/>
    <w:rsid w:val="43CA2B38"/>
    <w:rsid w:val="43CF6FF7"/>
    <w:rsid w:val="43EB1E2A"/>
    <w:rsid w:val="43F32881"/>
    <w:rsid w:val="43FA2A19"/>
    <w:rsid w:val="441D5B23"/>
    <w:rsid w:val="4423266A"/>
    <w:rsid w:val="4427077C"/>
    <w:rsid w:val="44305658"/>
    <w:rsid w:val="443941AE"/>
    <w:rsid w:val="443F1622"/>
    <w:rsid w:val="44773AA4"/>
    <w:rsid w:val="448F085F"/>
    <w:rsid w:val="44922B3E"/>
    <w:rsid w:val="44952059"/>
    <w:rsid w:val="44A27E03"/>
    <w:rsid w:val="44AF4C2F"/>
    <w:rsid w:val="44B55581"/>
    <w:rsid w:val="44C30FD1"/>
    <w:rsid w:val="44EF48D1"/>
    <w:rsid w:val="45045086"/>
    <w:rsid w:val="450A4EF5"/>
    <w:rsid w:val="45115022"/>
    <w:rsid w:val="452F3A5F"/>
    <w:rsid w:val="45330DD7"/>
    <w:rsid w:val="453C3DB3"/>
    <w:rsid w:val="453E7B26"/>
    <w:rsid w:val="45461B91"/>
    <w:rsid w:val="455D3F88"/>
    <w:rsid w:val="45617057"/>
    <w:rsid w:val="45815FAD"/>
    <w:rsid w:val="4582799C"/>
    <w:rsid w:val="45897AC1"/>
    <w:rsid w:val="45927E77"/>
    <w:rsid w:val="459963C2"/>
    <w:rsid w:val="45A32872"/>
    <w:rsid w:val="45A75961"/>
    <w:rsid w:val="45B039A0"/>
    <w:rsid w:val="45BA19C0"/>
    <w:rsid w:val="45BB31DE"/>
    <w:rsid w:val="45CB2A98"/>
    <w:rsid w:val="45EE30DF"/>
    <w:rsid w:val="46191231"/>
    <w:rsid w:val="461A142D"/>
    <w:rsid w:val="46250E74"/>
    <w:rsid w:val="462D16C5"/>
    <w:rsid w:val="462D194E"/>
    <w:rsid w:val="462D6516"/>
    <w:rsid w:val="464467D0"/>
    <w:rsid w:val="464A59ED"/>
    <w:rsid w:val="464C7F9A"/>
    <w:rsid w:val="46757B11"/>
    <w:rsid w:val="467A5F7D"/>
    <w:rsid w:val="4683407C"/>
    <w:rsid w:val="46A2058E"/>
    <w:rsid w:val="46C923AF"/>
    <w:rsid w:val="46CA53C3"/>
    <w:rsid w:val="46D931B5"/>
    <w:rsid w:val="46ED1809"/>
    <w:rsid w:val="46F04E55"/>
    <w:rsid w:val="47031FE2"/>
    <w:rsid w:val="47180715"/>
    <w:rsid w:val="47284B16"/>
    <w:rsid w:val="474E2088"/>
    <w:rsid w:val="47537247"/>
    <w:rsid w:val="4755115C"/>
    <w:rsid w:val="476640F0"/>
    <w:rsid w:val="47691D5C"/>
    <w:rsid w:val="47694C08"/>
    <w:rsid w:val="476A71D0"/>
    <w:rsid w:val="476A7E48"/>
    <w:rsid w:val="477E4B57"/>
    <w:rsid w:val="47854DBB"/>
    <w:rsid w:val="47CA2C5D"/>
    <w:rsid w:val="47D13BA3"/>
    <w:rsid w:val="47D75D2E"/>
    <w:rsid w:val="47DE52C7"/>
    <w:rsid w:val="47E7564D"/>
    <w:rsid w:val="47E8563D"/>
    <w:rsid w:val="480B761B"/>
    <w:rsid w:val="48174664"/>
    <w:rsid w:val="484779AB"/>
    <w:rsid w:val="488A3088"/>
    <w:rsid w:val="48A018E9"/>
    <w:rsid w:val="48D62C74"/>
    <w:rsid w:val="48F22448"/>
    <w:rsid w:val="48F6341B"/>
    <w:rsid w:val="49057370"/>
    <w:rsid w:val="490A0EE9"/>
    <w:rsid w:val="491219D7"/>
    <w:rsid w:val="49237287"/>
    <w:rsid w:val="4933371F"/>
    <w:rsid w:val="4936702C"/>
    <w:rsid w:val="494E7398"/>
    <w:rsid w:val="49523EC1"/>
    <w:rsid w:val="49715E7D"/>
    <w:rsid w:val="498054FB"/>
    <w:rsid w:val="49831D56"/>
    <w:rsid w:val="498B7053"/>
    <w:rsid w:val="498C44FC"/>
    <w:rsid w:val="49A83B93"/>
    <w:rsid w:val="49AC5A24"/>
    <w:rsid w:val="49B54134"/>
    <w:rsid w:val="49BA37C4"/>
    <w:rsid w:val="49BF7FBF"/>
    <w:rsid w:val="49EE325E"/>
    <w:rsid w:val="4A205A52"/>
    <w:rsid w:val="4A2319E6"/>
    <w:rsid w:val="4A235FF0"/>
    <w:rsid w:val="4A2F70EF"/>
    <w:rsid w:val="4A530A39"/>
    <w:rsid w:val="4AA25C0C"/>
    <w:rsid w:val="4AA76C25"/>
    <w:rsid w:val="4AAC38F8"/>
    <w:rsid w:val="4ABD74C7"/>
    <w:rsid w:val="4ABD7EE5"/>
    <w:rsid w:val="4ACB4AB7"/>
    <w:rsid w:val="4AE274E7"/>
    <w:rsid w:val="4AE616BF"/>
    <w:rsid w:val="4B1E72B8"/>
    <w:rsid w:val="4B3441A7"/>
    <w:rsid w:val="4B495F4C"/>
    <w:rsid w:val="4B4F07B5"/>
    <w:rsid w:val="4B5A2ED1"/>
    <w:rsid w:val="4B783A75"/>
    <w:rsid w:val="4B7F3A7D"/>
    <w:rsid w:val="4B8D02F2"/>
    <w:rsid w:val="4B9401F2"/>
    <w:rsid w:val="4B95246F"/>
    <w:rsid w:val="4BB57EC2"/>
    <w:rsid w:val="4BC05F54"/>
    <w:rsid w:val="4BC909A7"/>
    <w:rsid w:val="4BD049A3"/>
    <w:rsid w:val="4BD353B7"/>
    <w:rsid w:val="4BDF44D5"/>
    <w:rsid w:val="4BE85878"/>
    <w:rsid w:val="4BF43EA0"/>
    <w:rsid w:val="4C072C72"/>
    <w:rsid w:val="4C124891"/>
    <w:rsid w:val="4C124AC4"/>
    <w:rsid w:val="4C1930A0"/>
    <w:rsid w:val="4C1B0BC7"/>
    <w:rsid w:val="4C3B6560"/>
    <w:rsid w:val="4C45787C"/>
    <w:rsid w:val="4C4E03D8"/>
    <w:rsid w:val="4C5915C4"/>
    <w:rsid w:val="4C5C4D3B"/>
    <w:rsid w:val="4C5E6D05"/>
    <w:rsid w:val="4C60031B"/>
    <w:rsid w:val="4C6A5F9A"/>
    <w:rsid w:val="4C6E6818"/>
    <w:rsid w:val="4C78046F"/>
    <w:rsid w:val="4C8F142F"/>
    <w:rsid w:val="4CB777D8"/>
    <w:rsid w:val="4CC53AED"/>
    <w:rsid w:val="4CCD6DD2"/>
    <w:rsid w:val="4CD40D75"/>
    <w:rsid w:val="4CD51874"/>
    <w:rsid w:val="4CD52050"/>
    <w:rsid w:val="4CDC6792"/>
    <w:rsid w:val="4CE33BB1"/>
    <w:rsid w:val="4D200DFF"/>
    <w:rsid w:val="4D2A2DD4"/>
    <w:rsid w:val="4D2D6B40"/>
    <w:rsid w:val="4D352CC8"/>
    <w:rsid w:val="4D6773AA"/>
    <w:rsid w:val="4D6A20A7"/>
    <w:rsid w:val="4D8D0A96"/>
    <w:rsid w:val="4D955D3F"/>
    <w:rsid w:val="4D963282"/>
    <w:rsid w:val="4D9E5561"/>
    <w:rsid w:val="4DA57DB2"/>
    <w:rsid w:val="4DAB4BAF"/>
    <w:rsid w:val="4DFC0B76"/>
    <w:rsid w:val="4E09744C"/>
    <w:rsid w:val="4E373A5B"/>
    <w:rsid w:val="4E4477DE"/>
    <w:rsid w:val="4E4F16FE"/>
    <w:rsid w:val="4E580D3D"/>
    <w:rsid w:val="4E59220B"/>
    <w:rsid w:val="4E592DDE"/>
    <w:rsid w:val="4E5C1022"/>
    <w:rsid w:val="4E610E2E"/>
    <w:rsid w:val="4E741A0E"/>
    <w:rsid w:val="4E777477"/>
    <w:rsid w:val="4E830CA5"/>
    <w:rsid w:val="4E94148F"/>
    <w:rsid w:val="4E9B7D46"/>
    <w:rsid w:val="4EA10FB1"/>
    <w:rsid w:val="4EA433C5"/>
    <w:rsid w:val="4EAA1F24"/>
    <w:rsid w:val="4EB021B3"/>
    <w:rsid w:val="4EBB6FE2"/>
    <w:rsid w:val="4EC3367F"/>
    <w:rsid w:val="4ED10B97"/>
    <w:rsid w:val="4ED141EC"/>
    <w:rsid w:val="4EDF237F"/>
    <w:rsid w:val="4EFE4656"/>
    <w:rsid w:val="4F1466B3"/>
    <w:rsid w:val="4F4B34B6"/>
    <w:rsid w:val="4F5D14F6"/>
    <w:rsid w:val="4F603C00"/>
    <w:rsid w:val="4F6770C2"/>
    <w:rsid w:val="4F6F6663"/>
    <w:rsid w:val="4F757B7E"/>
    <w:rsid w:val="4F804CB0"/>
    <w:rsid w:val="4F9A742C"/>
    <w:rsid w:val="4FC645C0"/>
    <w:rsid w:val="4FCF482A"/>
    <w:rsid w:val="4FE35115"/>
    <w:rsid w:val="50081462"/>
    <w:rsid w:val="500B4C7D"/>
    <w:rsid w:val="50131BB5"/>
    <w:rsid w:val="501550E9"/>
    <w:rsid w:val="501B6173"/>
    <w:rsid w:val="50243DC2"/>
    <w:rsid w:val="502A76B2"/>
    <w:rsid w:val="50372874"/>
    <w:rsid w:val="50381924"/>
    <w:rsid w:val="5039643E"/>
    <w:rsid w:val="50597F0F"/>
    <w:rsid w:val="506166EB"/>
    <w:rsid w:val="50707007"/>
    <w:rsid w:val="509C1BAA"/>
    <w:rsid w:val="50A25D9F"/>
    <w:rsid w:val="50AF7865"/>
    <w:rsid w:val="50BF61EE"/>
    <w:rsid w:val="50C33D59"/>
    <w:rsid w:val="50FA22C8"/>
    <w:rsid w:val="510D7491"/>
    <w:rsid w:val="512F2A1E"/>
    <w:rsid w:val="51314E63"/>
    <w:rsid w:val="51385D77"/>
    <w:rsid w:val="513A62DA"/>
    <w:rsid w:val="513F0EF4"/>
    <w:rsid w:val="51513D46"/>
    <w:rsid w:val="5162638C"/>
    <w:rsid w:val="516427DC"/>
    <w:rsid w:val="516B32E8"/>
    <w:rsid w:val="51750D79"/>
    <w:rsid w:val="518A7140"/>
    <w:rsid w:val="519D3ED9"/>
    <w:rsid w:val="51A11B6E"/>
    <w:rsid w:val="51B22A51"/>
    <w:rsid w:val="51CC1E39"/>
    <w:rsid w:val="51E22987"/>
    <w:rsid w:val="51E31DF9"/>
    <w:rsid w:val="51E92C49"/>
    <w:rsid w:val="51F93739"/>
    <w:rsid w:val="51FF6894"/>
    <w:rsid w:val="520E53F9"/>
    <w:rsid w:val="521D4202"/>
    <w:rsid w:val="522E2942"/>
    <w:rsid w:val="523B1BE0"/>
    <w:rsid w:val="523F6CB3"/>
    <w:rsid w:val="525766D1"/>
    <w:rsid w:val="52591053"/>
    <w:rsid w:val="528E0E18"/>
    <w:rsid w:val="52952D55"/>
    <w:rsid w:val="529960C2"/>
    <w:rsid w:val="52A03BD4"/>
    <w:rsid w:val="52A71D17"/>
    <w:rsid w:val="52AA6800"/>
    <w:rsid w:val="52D670E6"/>
    <w:rsid w:val="52D67851"/>
    <w:rsid w:val="52E12CD8"/>
    <w:rsid w:val="52E57B5A"/>
    <w:rsid w:val="52F22F9C"/>
    <w:rsid w:val="52F43BD4"/>
    <w:rsid w:val="52F7582A"/>
    <w:rsid w:val="53064979"/>
    <w:rsid w:val="53122126"/>
    <w:rsid w:val="531707AB"/>
    <w:rsid w:val="534E45FF"/>
    <w:rsid w:val="535B07D4"/>
    <w:rsid w:val="535B7D2F"/>
    <w:rsid w:val="536B319B"/>
    <w:rsid w:val="53751F49"/>
    <w:rsid w:val="53751F71"/>
    <w:rsid w:val="537B3E85"/>
    <w:rsid w:val="538C5174"/>
    <w:rsid w:val="53A343A5"/>
    <w:rsid w:val="53A87C51"/>
    <w:rsid w:val="53B373CC"/>
    <w:rsid w:val="53B73745"/>
    <w:rsid w:val="53B81B75"/>
    <w:rsid w:val="53BB6D8A"/>
    <w:rsid w:val="53CF5412"/>
    <w:rsid w:val="53D54CC1"/>
    <w:rsid w:val="53EF0E21"/>
    <w:rsid w:val="54051587"/>
    <w:rsid w:val="54084BF3"/>
    <w:rsid w:val="54124E05"/>
    <w:rsid w:val="541E2377"/>
    <w:rsid w:val="54243E8D"/>
    <w:rsid w:val="54265DD3"/>
    <w:rsid w:val="54280ADF"/>
    <w:rsid w:val="54586BE0"/>
    <w:rsid w:val="54672CE3"/>
    <w:rsid w:val="546D2D79"/>
    <w:rsid w:val="546D5D37"/>
    <w:rsid w:val="547A37FB"/>
    <w:rsid w:val="54BB1C89"/>
    <w:rsid w:val="54DE3429"/>
    <w:rsid w:val="54DE5BB1"/>
    <w:rsid w:val="54DF5AEF"/>
    <w:rsid w:val="54E3547C"/>
    <w:rsid w:val="54EF499E"/>
    <w:rsid w:val="55005A82"/>
    <w:rsid w:val="550348EE"/>
    <w:rsid w:val="55146FA9"/>
    <w:rsid w:val="55386BEB"/>
    <w:rsid w:val="55556995"/>
    <w:rsid w:val="55556CE7"/>
    <w:rsid w:val="557C1E00"/>
    <w:rsid w:val="557D7F84"/>
    <w:rsid w:val="559B397E"/>
    <w:rsid w:val="559B7540"/>
    <w:rsid w:val="55A27413"/>
    <w:rsid w:val="55C22D8A"/>
    <w:rsid w:val="56091A90"/>
    <w:rsid w:val="560B41A5"/>
    <w:rsid w:val="56101CFE"/>
    <w:rsid w:val="56170651"/>
    <w:rsid w:val="561D19DF"/>
    <w:rsid w:val="561F3B9B"/>
    <w:rsid w:val="562570B1"/>
    <w:rsid w:val="56362508"/>
    <w:rsid w:val="56493BAD"/>
    <w:rsid w:val="566969D2"/>
    <w:rsid w:val="566E223B"/>
    <w:rsid w:val="56823AA0"/>
    <w:rsid w:val="568E5EBD"/>
    <w:rsid w:val="56AF6F3E"/>
    <w:rsid w:val="56B511FD"/>
    <w:rsid w:val="56B934B6"/>
    <w:rsid w:val="56CA22E6"/>
    <w:rsid w:val="56F049FE"/>
    <w:rsid w:val="57112CB9"/>
    <w:rsid w:val="57546553"/>
    <w:rsid w:val="575530C1"/>
    <w:rsid w:val="57587625"/>
    <w:rsid w:val="577E200A"/>
    <w:rsid w:val="577F7EC3"/>
    <w:rsid w:val="57853398"/>
    <w:rsid w:val="578A30A4"/>
    <w:rsid w:val="579C3E76"/>
    <w:rsid w:val="57AC12F0"/>
    <w:rsid w:val="57B465A8"/>
    <w:rsid w:val="57C0090C"/>
    <w:rsid w:val="57C95893"/>
    <w:rsid w:val="57CA1059"/>
    <w:rsid w:val="57CC715D"/>
    <w:rsid w:val="57D269D8"/>
    <w:rsid w:val="57D4431F"/>
    <w:rsid w:val="57D55C8D"/>
    <w:rsid w:val="57DE2206"/>
    <w:rsid w:val="57F30BF6"/>
    <w:rsid w:val="57F57982"/>
    <w:rsid w:val="58236E10"/>
    <w:rsid w:val="58400B81"/>
    <w:rsid w:val="5845648F"/>
    <w:rsid w:val="58515970"/>
    <w:rsid w:val="5853793A"/>
    <w:rsid w:val="58651F05"/>
    <w:rsid w:val="588B17BF"/>
    <w:rsid w:val="589E7065"/>
    <w:rsid w:val="58DE31C9"/>
    <w:rsid w:val="58F34119"/>
    <w:rsid w:val="58F50EF0"/>
    <w:rsid w:val="59084BDD"/>
    <w:rsid w:val="59125ED6"/>
    <w:rsid w:val="59196AAD"/>
    <w:rsid w:val="591C7555"/>
    <w:rsid w:val="591F52BC"/>
    <w:rsid w:val="59310487"/>
    <w:rsid w:val="59346858"/>
    <w:rsid w:val="59436DD7"/>
    <w:rsid w:val="594C0BCF"/>
    <w:rsid w:val="594C535A"/>
    <w:rsid w:val="59586F86"/>
    <w:rsid w:val="59691FED"/>
    <w:rsid w:val="5977503E"/>
    <w:rsid w:val="597D1BD9"/>
    <w:rsid w:val="598002BB"/>
    <w:rsid w:val="59846623"/>
    <w:rsid w:val="598E0440"/>
    <w:rsid w:val="59A00B87"/>
    <w:rsid w:val="59BE0216"/>
    <w:rsid w:val="59CB033E"/>
    <w:rsid w:val="59E00B08"/>
    <w:rsid w:val="59E3592A"/>
    <w:rsid w:val="59ED0CC7"/>
    <w:rsid w:val="59F72010"/>
    <w:rsid w:val="59FA4645"/>
    <w:rsid w:val="5A0233C6"/>
    <w:rsid w:val="5A0B210F"/>
    <w:rsid w:val="5A0E53A5"/>
    <w:rsid w:val="5A1035F7"/>
    <w:rsid w:val="5A157023"/>
    <w:rsid w:val="5A2A0227"/>
    <w:rsid w:val="5A373645"/>
    <w:rsid w:val="5A4038C0"/>
    <w:rsid w:val="5A4D15C9"/>
    <w:rsid w:val="5A5B3719"/>
    <w:rsid w:val="5A5E6AA6"/>
    <w:rsid w:val="5A7768E9"/>
    <w:rsid w:val="5ABE3C84"/>
    <w:rsid w:val="5AC6634B"/>
    <w:rsid w:val="5ADE69F5"/>
    <w:rsid w:val="5AE605F2"/>
    <w:rsid w:val="5AEF58A6"/>
    <w:rsid w:val="5AF20232"/>
    <w:rsid w:val="5AFD609D"/>
    <w:rsid w:val="5B0678A5"/>
    <w:rsid w:val="5B3E6C6A"/>
    <w:rsid w:val="5B5D7C55"/>
    <w:rsid w:val="5B6A2FD1"/>
    <w:rsid w:val="5B6B0AF7"/>
    <w:rsid w:val="5B750793"/>
    <w:rsid w:val="5B7E2DCE"/>
    <w:rsid w:val="5B892782"/>
    <w:rsid w:val="5B89764C"/>
    <w:rsid w:val="5B8E01DB"/>
    <w:rsid w:val="5B962018"/>
    <w:rsid w:val="5BB16C17"/>
    <w:rsid w:val="5BB25F3F"/>
    <w:rsid w:val="5BC032F4"/>
    <w:rsid w:val="5BDC32DD"/>
    <w:rsid w:val="5BEE7325"/>
    <w:rsid w:val="5BF329C8"/>
    <w:rsid w:val="5BFB740A"/>
    <w:rsid w:val="5C074CC3"/>
    <w:rsid w:val="5C0C756C"/>
    <w:rsid w:val="5C0F08EB"/>
    <w:rsid w:val="5C23478B"/>
    <w:rsid w:val="5C2657C3"/>
    <w:rsid w:val="5C2D54A9"/>
    <w:rsid w:val="5C2F1B89"/>
    <w:rsid w:val="5C62014C"/>
    <w:rsid w:val="5C632970"/>
    <w:rsid w:val="5C8A256E"/>
    <w:rsid w:val="5C974299"/>
    <w:rsid w:val="5C97606F"/>
    <w:rsid w:val="5C9F41E0"/>
    <w:rsid w:val="5CA72002"/>
    <w:rsid w:val="5CCA665F"/>
    <w:rsid w:val="5CCD0742"/>
    <w:rsid w:val="5CDA167E"/>
    <w:rsid w:val="5CDE0992"/>
    <w:rsid w:val="5D007F40"/>
    <w:rsid w:val="5D162263"/>
    <w:rsid w:val="5D295176"/>
    <w:rsid w:val="5D2F3C01"/>
    <w:rsid w:val="5D5802FC"/>
    <w:rsid w:val="5D636DDA"/>
    <w:rsid w:val="5D731D8F"/>
    <w:rsid w:val="5D8500FF"/>
    <w:rsid w:val="5D8774BB"/>
    <w:rsid w:val="5DA53BA9"/>
    <w:rsid w:val="5DAD338E"/>
    <w:rsid w:val="5DB3454D"/>
    <w:rsid w:val="5DE30050"/>
    <w:rsid w:val="5DE476A7"/>
    <w:rsid w:val="5DEC23C3"/>
    <w:rsid w:val="5DFE5C52"/>
    <w:rsid w:val="5E067BFA"/>
    <w:rsid w:val="5E0845BA"/>
    <w:rsid w:val="5E0A62C7"/>
    <w:rsid w:val="5E1D7B0C"/>
    <w:rsid w:val="5E394EDC"/>
    <w:rsid w:val="5E455BB3"/>
    <w:rsid w:val="5E486DCD"/>
    <w:rsid w:val="5E6374FE"/>
    <w:rsid w:val="5E7F452B"/>
    <w:rsid w:val="5E7F776A"/>
    <w:rsid w:val="5E852832"/>
    <w:rsid w:val="5E861398"/>
    <w:rsid w:val="5E932F9F"/>
    <w:rsid w:val="5E97484A"/>
    <w:rsid w:val="5E9C0C62"/>
    <w:rsid w:val="5EAB4A36"/>
    <w:rsid w:val="5ED379E5"/>
    <w:rsid w:val="5ED87F2C"/>
    <w:rsid w:val="5EDE2E81"/>
    <w:rsid w:val="5EE027E7"/>
    <w:rsid w:val="5EEC01A1"/>
    <w:rsid w:val="5F01344E"/>
    <w:rsid w:val="5F0B6A62"/>
    <w:rsid w:val="5F0F40C8"/>
    <w:rsid w:val="5F145621"/>
    <w:rsid w:val="5F1D7B2C"/>
    <w:rsid w:val="5F260276"/>
    <w:rsid w:val="5F2E53CA"/>
    <w:rsid w:val="5F482DB8"/>
    <w:rsid w:val="5F4C2A31"/>
    <w:rsid w:val="5F540690"/>
    <w:rsid w:val="5F566DB2"/>
    <w:rsid w:val="5F577D10"/>
    <w:rsid w:val="5F6610C8"/>
    <w:rsid w:val="5F7B5755"/>
    <w:rsid w:val="5F7F1015"/>
    <w:rsid w:val="5F88611B"/>
    <w:rsid w:val="5FD05A45"/>
    <w:rsid w:val="5FD26694"/>
    <w:rsid w:val="5FED22E8"/>
    <w:rsid w:val="5FFE2323"/>
    <w:rsid w:val="601A3ED3"/>
    <w:rsid w:val="603E14D6"/>
    <w:rsid w:val="604950F3"/>
    <w:rsid w:val="60531942"/>
    <w:rsid w:val="606B7BD8"/>
    <w:rsid w:val="60703713"/>
    <w:rsid w:val="6079189C"/>
    <w:rsid w:val="60831F50"/>
    <w:rsid w:val="60C82547"/>
    <w:rsid w:val="60D3422F"/>
    <w:rsid w:val="60DB227B"/>
    <w:rsid w:val="60E479FE"/>
    <w:rsid w:val="61176FFC"/>
    <w:rsid w:val="61225FEB"/>
    <w:rsid w:val="61262FE0"/>
    <w:rsid w:val="612E3E9B"/>
    <w:rsid w:val="613B374C"/>
    <w:rsid w:val="613F3621"/>
    <w:rsid w:val="6142324B"/>
    <w:rsid w:val="61446072"/>
    <w:rsid w:val="614C5F5A"/>
    <w:rsid w:val="614E1BC1"/>
    <w:rsid w:val="61604BA5"/>
    <w:rsid w:val="6165443B"/>
    <w:rsid w:val="617709C6"/>
    <w:rsid w:val="618A6E69"/>
    <w:rsid w:val="61AA5226"/>
    <w:rsid w:val="61C04A24"/>
    <w:rsid w:val="61C27434"/>
    <w:rsid w:val="61C55886"/>
    <w:rsid w:val="61CF0346"/>
    <w:rsid w:val="61E11853"/>
    <w:rsid w:val="61E81904"/>
    <w:rsid w:val="61E83FC8"/>
    <w:rsid w:val="61EE1044"/>
    <w:rsid w:val="61FD5973"/>
    <w:rsid w:val="62087FB9"/>
    <w:rsid w:val="62276165"/>
    <w:rsid w:val="624E40B2"/>
    <w:rsid w:val="625B23FB"/>
    <w:rsid w:val="626C3986"/>
    <w:rsid w:val="628232F6"/>
    <w:rsid w:val="628904FC"/>
    <w:rsid w:val="628C7D19"/>
    <w:rsid w:val="629B41DE"/>
    <w:rsid w:val="62AA3545"/>
    <w:rsid w:val="62C106B5"/>
    <w:rsid w:val="62C125EF"/>
    <w:rsid w:val="62C84579"/>
    <w:rsid w:val="62D238F5"/>
    <w:rsid w:val="62D7155C"/>
    <w:rsid w:val="62ED58D8"/>
    <w:rsid w:val="62F04611"/>
    <w:rsid w:val="62F25FE1"/>
    <w:rsid w:val="62F40B35"/>
    <w:rsid w:val="62FF3D34"/>
    <w:rsid w:val="63051806"/>
    <w:rsid w:val="63053350"/>
    <w:rsid w:val="6306726E"/>
    <w:rsid w:val="631F2E9E"/>
    <w:rsid w:val="634919C8"/>
    <w:rsid w:val="6357290E"/>
    <w:rsid w:val="63667C3E"/>
    <w:rsid w:val="636C656F"/>
    <w:rsid w:val="636D2D43"/>
    <w:rsid w:val="638E5BFC"/>
    <w:rsid w:val="638F5E6D"/>
    <w:rsid w:val="639B1A12"/>
    <w:rsid w:val="639C7ED5"/>
    <w:rsid w:val="63A963E2"/>
    <w:rsid w:val="63B14E1B"/>
    <w:rsid w:val="63BF2BB4"/>
    <w:rsid w:val="63CB430B"/>
    <w:rsid w:val="63D63F11"/>
    <w:rsid w:val="63FC24E8"/>
    <w:rsid w:val="6401649C"/>
    <w:rsid w:val="6406316A"/>
    <w:rsid w:val="64083E53"/>
    <w:rsid w:val="64290D8F"/>
    <w:rsid w:val="643B1611"/>
    <w:rsid w:val="644A5FA4"/>
    <w:rsid w:val="644B0F02"/>
    <w:rsid w:val="645211BA"/>
    <w:rsid w:val="645E569D"/>
    <w:rsid w:val="64637B3B"/>
    <w:rsid w:val="64662FEF"/>
    <w:rsid w:val="6470717E"/>
    <w:rsid w:val="64831651"/>
    <w:rsid w:val="649479DE"/>
    <w:rsid w:val="64967380"/>
    <w:rsid w:val="6497295D"/>
    <w:rsid w:val="64A61959"/>
    <w:rsid w:val="64C164E7"/>
    <w:rsid w:val="64CB362A"/>
    <w:rsid w:val="64E0050E"/>
    <w:rsid w:val="64EB5E98"/>
    <w:rsid w:val="64F3638E"/>
    <w:rsid w:val="65390AA0"/>
    <w:rsid w:val="65431B0A"/>
    <w:rsid w:val="654C15C2"/>
    <w:rsid w:val="65501A95"/>
    <w:rsid w:val="655C5D52"/>
    <w:rsid w:val="65726676"/>
    <w:rsid w:val="658E0D2D"/>
    <w:rsid w:val="65B15D6F"/>
    <w:rsid w:val="65BA3EB5"/>
    <w:rsid w:val="65C040D8"/>
    <w:rsid w:val="65D35D83"/>
    <w:rsid w:val="65E47E23"/>
    <w:rsid w:val="65E64E83"/>
    <w:rsid w:val="65F507C7"/>
    <w:rsid w:val="65FD7CC9"/>
    <w:rsid w:val="661673E0"/>
    <w:rsid w:val="661E0555"/>
    <w:rsid w:val="66240220"/>
    <w:rsid w:val="66243097"/>
    <w:rsid w:val="66272771"/>
    <w:rsid w:val="663568D1"/>
    <w:rsid w:val="664F2019"/>
    <w:rsid w:val="66776809"/>
    <w:rsid w:val="667925A7"/>
    <w:rsid w:val="668E590D"/>
    <w:rsid w:val="66C26AE3"/>
    <w:rsid w:val="66D112D0"/>
    <w:rsid w:val="66EA1469"/>
    <w:rsid w:val="66EC521F"/>
    <w:rsid w:val="67104534"/>
    <w:rsid w:val="6725501E"/>
    <w:rsid w:val="6732302E"/>
    <w:rsid w:val="674E3EB8"/>
    <w:rsid w:val="676236F6"/>
    <w:rsid w:val="6763229A"/>
    <w:rsid w:val="67645D45"/>
    <w:rsid w:val="676B40F0"/>
    <w:rsid w:val="67CA29B2"/>
    <w:rsid w:val="67D5211A"/>
    <w:rsid w:val="67D73549"/>
    <w:rsid w:val="67E20288"/>
    <w:rsid w:val="67E20393"/>
    <w:rsid w:val="67F12A18"/>
    <w:rsid w:val="681674C0"/>
    <w:rsid w:val="682E63BC"/>
    <w:rsid w:val="68465536"/>
    <w:rsid w:val="68612EAF"/>
    <w:rsid w:val="686334A0"/>
    <w:rsid w:val="687354BA"/>
    <w:rsid w:val="68787E53"/>
    <w:rsid w:val="689833F6"/>
    <w:rsid w:val="68AB67DA"/>
    <w:rsid w:val="68D65CEB"/>
    <w:rsid w:val="68F92C6D"/>
    <w:rsid w:val="69081A94"/>
    <w:rsid w:val="69116718"/>
    <w:rsid w:val="6916277A"/>
    <w:rsid w:val="692C0C80"/>
    <w:rsid w:val="693A1715"/>
    <w:rsid w:val="693B32BC"/>
    <w:rsid w:val="69477BA3"/>
    <w:rsid w:val="69617209"/>
    <w:rsid w:val="69737FD8"/>
    <w:rsid w:val="697E6B18"/>
    <w:rsid w:val="69802201"/>
    <w:rsid w:val="699A62E0"/>
    <w:rsid w:val="69A920BB"/>
    <w:rsid w:val="69BC2916"/>
    <w:rsid w:val="69BD10B7"/>
    <w:rsid w:val="69C03318"/>
    <w:rsid w:val="69C82707"/>
    <w:rsid w:val="69E71C90"/>
    <w:rsid w:val="69EB4EFD"/>
    <w:rsid w:val="69FD2D3E"/>
    <w:rsid w:val="6A3B6EAE"/>
    <w:rsid w:val="6A695F64"/>
    <w:rsid w:val="6A717AB7"/>
    <w:rsid w:val="6A892D47"/>
    <w:rsid w:val="6AA46A88"/>
    <w:rsid w:val="6AB9122B"/>
    <w:rsid w:val="6AE85CC0"/>
    <w:rsid w:val="6AEF57D2"/>
    <w:rsid w:val="6AFF1A15"/>
    <w:rsid w:val="6B032AFA"/>
    <w:rsid w:val="6B076BA0"/>
    <w:rsid w:val="6B091857"/>
    <w:rsid w:val="6B0A1374"/>
    <w:rsid w:val="6B0C3A6B"/>
    <w:rsid w:val="6B1835DE"/>
    <w:rsid w:val="6B3E1409"/>
    <w:rsid w:val="6B625FFA"/>
    <w:rsid w:val="6B75747C"/>
    <w:rsid w:val="6B8D1736"/>
    <w:rsid w:val="6B923DA7"/>
    <w:rsid w:val="6BAB6E72"/>
    <w:rsid w:val="6BAD06E2"/>
    <w:rsid w:val="6BBD4C30"/>
    <w:rsid w:val="6C0438E3"/>
    <w:rsid w:val="6C132AF4"/>
    <w:rsid w:val="6C2472CA"/>
    <w:rsid w:val="6C282C24"/>
    <w:rsid w:val="6C2B08EE"/>
    <w:rsid w:val="6C557DF9"/>
    <w:rsid w:val="6C685905"/>
    <w:rsid w:val="6C6E50C6"/>
    <w:rsid w:val="6C746648"/>
    <w:rsid w:val="6C7955DD"/>
    <w:rsid w:val="6C7A4BA9"/>
    <w:rsid w:val="6C7D0430"/>
    <w:rsid w:val="6CB64DAE"/>
    <w:rsid w:val="6CD9503C"/>
    <w:rsid w:val="6CE76F15"/>
    <w:rsid w:val="6CEC361C"/>
    <w:rsid w:val="6D225C7F"/>
    <w:rsid w:val="6D267C77"/>
    <w:rsid w:val="6D303DAA"/>
    <w:rsid w:val="6D6B5FEF"/>
    <w:rsid w:val="6D7A53D3"/>
    <w:rsid w:val="6D7E35CB"/>
    <w:rsid w:val="6D8223FC"/>
    <w:rsid w:val="6D8D7800"/>
    <w:rsid w:val="6D906DB8"/>
    <w:rsid w:val="6D9A171F"/>
    <w:rsid w:val="6D9C34E0"/>
    <w:rsid w:val="6D9E578A"/>
    <w:rsid w:val="6DAB3D2D"/>
    <w:rsid w:val="6DBA59C7"/>
    <w:rsid w:val="6DC43270"/>
    <w:rsid w:val="6DC50154"/>
    <w:rsid w:val="6DC92B12"/>
    <w:rsid w:val="6DD16D9F"/>
    <w:rsid w:val="6DEA7B57"/>
    <w:rsid w:val="6DEC5FBB"/>
    <w:rsid w:val="6E0745F0"/>
    <w:rsid w:val="6E1A6F80"/>
    <w:rsid w:val="6E246F31"/>
    <w:rsid w:val="6E267122"/>
    <w:rsid w:val="6E385756"/>
    <w:rsid w:val="6E4F6038"/>
    <w:rsid w:val="6E52212A"/>
    <w:rsid w:val="6E616DAE"/>
    <w:rsid w:val="6E6871C0"/>
    <w:rsid w:val="6E78740F"/>
    <w:rsid w:val="6EB76FF0"/>
    <w:rsid w:val="6ECB07D0"/>
    <w:rsid w:val="6ECE19F3"/>
    <w:rsid w:val="6ED63B41"/>
    <w:rsid w:val="6EEA6B63"/>
    <w:rsid w:val="6F02420A"/>
    <w:rsid w:val="6F051113"/>
    <w:rsid w:val="6F0C05B8"/>
    <w:rsid w:val="6F1836D1"/>
    <w:rsid w:val="6F193D25"/>
    <w:rsid w:val="6F1A6A06"/>
    <w:rsid w:val="6F274F39"/>
    <w:rsid w:val="6F2F4636"/>
    <w:rsid w:val="6F3B6D06"/>
    <w:rsid w:val="6F600F73"/>
    <w:rsid w:val="6F7B2807"/>
    <w:rsid w:val="6F80296B"/>
    <w:rsid w:val="6F904BDE"/>
    <w:rsid w:val="6F992DEB"/>
    <w:rsid w:val="6FA61D23"/>
    <w:rsid w:val="6FB23973"/>
    <w:rsid w:val="6FB343EE"/>
    <w:rsid w:val="6FB40ADB"/>
    <w:rsid w:val="6FBF58B9"/>
    <w:rsid w:val="6FC62670"/>
    <w:rsid w:val="6FCB2F54"/>
    <w:rsid w:val="6FE25F31"/>
    <w:rsid w:val="6FF5639F"/>
    <w:rsid w:val="70313C65"/>
    <w:rsid w:val="703928CE"/>
    <w:rsid w:val="706407AB"/>
    <w:rsid w:val="70642373"/>
    <w:rsid w:val="70676AD8"/>
    <w:rsid w:val="707024CA"/>
    <w:rsid w:val="707F50BE"/>
    <w:rsid w:val="707F53BD"/>
    <w:rsid w:val="70943D3A"/>
    <w:rsid w:val="70A34978"/>
    <w:rsid w:val="70A67A3E"/>
    <w:rsid w:val="70B40B3D"/>
    <w:rsid w:val="70C1197D"/>
    <w:rsid w:val="70C92457"/>
    <w:rsid w:val="70E1415F"/>
    <w:rsid w:val="70EA301E"/>
    <w:rsid w:val="70FF7AD8"/>
    <w:rsid w:val="713569BF"/>
    <w:rsid w:val="71465B7B"/>
    <w:rsid w:val="715A0D47"/>
    <w:rsid w:val="71750ADE"/>
    <w:rsid w:val="718F6606"/>
    <w:rsid w:val="7192168D"/>
    <w:rsid w:val="71924C1B"/>
    <w:rsid w:val="71A75EA0"/>
    <w:rsid w:val="71BB056F"/>
    <w:rsid w:val="71D70DDB"/>
    <w:rsid w:val="71D86DC5"/>
    <w:rsid w:val="71DF0A8B"/>
    <w:rsid w:val="71E27F4F"/>
    <w:rsid w:val="71F3132A"/>
    <w:rsid w:val="71F71872"/>
    <w:rsid w:val="720300D2"/>
    <w:rsid w:val="721C31C1"/>
    <w:rsid w:val="721C4485"/>
    <w:rsid w:val="72251364"/>
    <w:rsid w:val="724763D1"/>
    <w:rsid w:val="72532286"/>
    <w:rsid w:val="72785122"/>
    <w:rsid w:val="7281391A"/>
    <w:rsid w:val="72816665"/>
    <w:rsid w:val="728D32E8"/>
    <w:rsid w:val="729B2D91"/>
    <w:rsid w:val="729D017E"/>
    <w:rsid w:val="72AA4CEF"/>
    <w:rsid w:val="72AB3F7B"/>
    <w:rsid w:val="72B65A7C"/>
    <w:rsid w:val="72B73DE2"/>
    <w:rsid w:val="72B744A1"/>
    <w:rsid w:val="72BF6F74"/>
    <w:rsid w:val="72C44E88"/>
    <w:rsid w:val="72D04BD1"/>
    <w:rsid w:val="72D8187A"/>
    <w:rsid w:val="72EF265E"/>
    <w:rsid w:val="72F125B9"/>
    <w:rsid w:val="72FC5704"/>
    <w:rsid w:val="73025D8D"/>
    <w:rsid w:val="73073425"/>
    <w:rsid w:val="734407CA"/>
    <w:rsid w:val="734C4BE3"/>
    <w:rsid w:val="73733AA6"/>
    <w:rsid w:val="737A69F2"/>
    <w:rsid w:val="737E0B7F"/>
    <w:rsid w:val="73850A02"/>
    <w:rsid w:val="739723CE"/>
    <w:rsid w:val="73AE6D24"/>
    <w:rsid w:val="73CB3A11"/>
    <w:rsid w:val="73CC5951"/>
    <w:rsid w:val="73D77B7F"/>
    <w:rsid w:val="73DC4C85"/>
    <w:rsid w:val="73DC6AD2"/>
    <w:rsid w:val="740164FE"/>
    <w:rsid w:val="740333E6"/>
    <w:rsid w:val="74177616"/>
    <w:rsid w:val="742D636F"/>
    <w:rsid w:val="744C1D4E"/>
    <w:rsid w:val="744E5160"/>
    <w:rsid w:val="746A1E3C"/>
    <w:rsid w:val="746E765E"/>
    <w:rsid w:val="748968E7"/>
    <w:rsid w:val="74987F7E"/>
    <w:rsid w:val="749C49CC"/>
    <w:rsid w:val="74D42B41"/>
    <w:rsid w:val="74E246E7"/>
    <w:rsid w:val="74EA4844"/>
    <w:rsid w:val="74EF65B0"/>
    <w:rsid w:val="754971B6"/>
    <w:rsid w:val="754A0335"/>
    <w:rsid w:val="75513AF3"/>
    <w:rsid w:val="75741279"/>
    <w:rsid w:val="757D607D"/>
    <w:rsid w:val="757E2685"/>
    <w:rsid w:val="758E2328"/>
    <w:rsid w:val="75B025A4"/>
    <w:rsid w:val="75B61135"/>
    <w:rsid w:val="75B612C2"/>
    <w:rsid w:val="75D7705D"/>
    <w:rsid w:val="76016AD3"/>
    <w:rsid w:val="762314E5"/>
    <w:rsid w:val="763B7286"/>
    <w:rsid w:val="76513E55"/>
    <w:rsid w:val="76556244"/>
    <w:rsid w:val="765C2EE6"/>
    <w:rsid w:val="766633AA"/>
    <w:rsid w:val="76A36F77"/>
    <w:rsid w:val="76A71CDF"/>
    <w:rsid w:val="76CE66B2"/>
    <w:rsid w:val="76E73C23"/>
    <w:rsid w:val="76EA21CA"/>
    <w:rsid w:val="76EF7751"/>
    <w:rsid w:val="76FE46DD"/>
    <w:rsid w:val="770A4851"/>
    <w:rsid w:val="773553C0"/>
    <w:rsid w:val="774420B0"/>
    <w:rsid w:val="77520B27"/>
    <w:rsid w:val="77680A60"/>
    <w:rsid w:val="776910A6"/>
    <w:rsid w:val="77741253"/>
    <w:rsid w:val="77750966"/>
    <w:rsid w:val="778E79E6"/>
    <w:rsid w:val="779A2AF6"/>
    <w:rsid w:val="77B119E4"/>
    <w:rsid w:val="77B5517C"/>
    <w:rsid w:val="77E20CA5"/>
    <w:rsid w:val="77F33273"/>
    <w:rsid w:val="77F87238"/>
    <w:rsid w:val="78070F74"/>
    <w:rsid w:val="780A36F2"/>
    <w:rsid w:val="781521C4"/>
    <w:rsid w:val="78344444"/>
    <w:rsid w:val="78513A53"/>
    <w:rsid w:val="78580767"/>
    <w:rsid w:val="786F5BE8"/>
    <w:rsid w:val="788B7AFB"/>
    <w:rsid w:val="78A30E67"/>
    <w:rsid w:val="78AE0042"/>
    <w:rsid w:val="78C41FE6"/>
    <w:rsid w:val="78DB13ED"/>
    <w:rsid w:val="78E75809"/>
    <w:rsid w:val="79091FA2"/>
    <w:rsid w:val="7915769B"/>
    <w:rsid w:val="793234D0"/>
    <w:rsid w:val="793A0DC3"/>
    <w:rsid w:val="793A2745"/>
    <w:rsid w:val="79464C25"/>
    <w:rsid w:val="79497994"/>
    <w:rsid w:val="795126D6"/>
    <w:rsid w:val="79537AC3"/>
    <w:rsid w:val="796A3B5F"/>
    <w:rsid w:val="79763A69"/>
    <w:rsid w:val="798720A8"/>
    <w:rsid w:val="79984052"/>
    <w:rsid w:val="79A072E2"/>
    <w:rsid w:val="79B547F7"/>
    <w:rsid w:val="79D70012"/>
    <w:rsid w:val="79FD2E0A"/>
    <w:rsid w:val="7A0D5690"/>
    <w:rsid w:val="7A2F7D90"/>
    <w:rsid w:val="7A325859"/>
    <w:rsid w:val="7A3E0E95"/>
    <w:rsid w:val="7A6C702A"/>
    <w:rsid w:val="7A7C6425"/>
    <w:rsid w:val="7A895529"/>
    <w:rsid w:val="7A8D7916"/>
    <w:rsid w:val="7AA7000F"/>
    <w:rsid w:val="7AB03552"/>
    <w:rsid w:val="7AB3268B"/>
    <w:rsid w:val="7ABD435E"/>
    <w:rsid w:val="7AD6051F"/>
    <w:rsid w:val="7AEA67F5"/>
    <w:rsid w:val="7AEB5134"/>
    <w:rsid w:val="7AEC0AF7"/>
    <w:rsid w:val="7AED662E"/>
    <w:rsid w:val="7AF46434"/>
    <w:rsid w:val="7AF919B9"/>
    <w:rsid w:val="7AFD78BE"/>
    <w:rsid w:val="7B022DCE"/>
    <w:rsid w:val="7B0906B9"/>
    <w:rsid w:val="7B223D6F"/>
    <w:rsid w:val="7B3411CB"/>
    <w:rsid w:val="7B3C13C2"/>
    <w:rsid w:val="7B4612AA"/>
    <w:rsid w:val="7B494559"/>
    <w:rsid w:val="7B564907"/>
    <w:rsid w:val="7B612878"/>
    <w:rsid w:val="7B65011B"/>
    <w:rsid w:val="7B851309"/>
    <w:rsid w:val="7BBF387D"/>
    <w:rsid w:val="7BC1179B"/>
    <w:rsid w:val="7BC77B74"/>
    <w:rsid w:val="7BDE30FB"/>
    <w:rsid w:val="7BE41C3E"/>
    <w:rsid w:val="7BF754E3"/>
    <w:rsid w:val="7C026B44"/>
    <w:rsid w:val="7C1222D4"/>
    <w:rsid w:val="7C2724FD"/>
    <w:rsid w:val="7C611D76"/>
    <w:rsid w:val="7C7F22FA"/>
    <w:rsid w:val="7C945CA8"/>
    <w:rsid w:val="7C9A3B9A"/>
    <w:rsid w:val="7CA13EED"/>
    <w:rsid w:val="7CA33731"/>
    <w:rsid w:val="7CB13E60"/>
    <w:rsid w:val="7CBF0865"/>
    <w:rsid w:val="7CC21BDE"/>
    <w:rsid w:val="7CC92466"/>
    <w:rsid w:val="7CF56B04"/>
    <w:rsid w:val="7D1C4721"/>
    <w:rsid w:val="7D1F09F2"/>
    <w:rsid w:val="7D290A45"/>
    <w:rsid w:val="7D314526"/>
    <w:rsid w:val="7D3D45D1"/>
    <w:rsid w:val="7D4551F4"/>
    <w:rsid w:val="7D62202A"/>
    <w:rsid w:val="7D672ACC"/>
    <w:rsid w:val="7D830B5B"/>
    <w:rsid w:val="7D832FED"/>
    <w:rsid w:val="7D8349B7"/>
    <w:rsid w:val="7D845D1C"/>
    <w:rsid w:val="7D954E2F"/>
    <w:rsid w:val="7D9C5C27"/>
    <w:rsid w:val="7DB11E39"/>
    <w:rsid w:val="7DDC4D2E"/>
    <w:rsid w:val="7DEA0A3F"/>
    <w:rsid w:val="7E061390"/>
    <w:rsid w:val="7E064C7A"/>
    <w:rsid w:val="7E076AB1"/>
    <w:rsid w:val="7E2E7A36"/>
    <w:rsid w:val="7E36511A"/>
    <w:rsid w:val="7E3A387B"/>
    <w:rsid w:val="7E516319"/>
    <w:rsid w:val="7E895760"/>
    <w:rsid w:val="7EB86087"/>
    <w:rsid w:val="7ED53443"/>
    <w:rsid w:val="7EDE61C4"/>
    <w:rsid w:val="7EE711ED"/>
    <w:rsid w:val="7F160E03"/>
    <w:rsid w:val="7F194931"/>
    <w:rsid w:val="7F1D2CD3"/>
    <w:rsid w:val="7F364DF4"/>
    <w:rsid w:val="7F4C4332"/>
    <w:rsid w:val="7F6724F2"/>
    <w:rsid w:val="7F6F606E"/>
    <w:rsid w:val="7F7435C9"/>
    <w:rsid w:val="7F746D2D"/>
    <w:rsid w:val="7F771683"/>
    <w:rsid w:val="7F914720"/>
    <w:rsid w:val="7FA0723C"/>
    <w:rsid w:val="7FB4400E"/>
    <w:rsid w:val="7FBA618F"/>
    <w:rsid w:val="7FCB5E84"/>
    <w:rsid w:val="7FDA7E75"/>
    <w:rsid w:val="7FDC4BE3"/>
    <w:rsid w:val="7FE61B08"/>
    <w:rsid w:val="7FF8569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iPriority="0"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50"/>
    <w:qFormat/>
    <w:uiPriority w:val="99"/>
    <w:pPr>
      <w:keepNext/>
      <w:keepLines/>
      <w:adjustRightInd w:val="0"/>
      <w:spacing w:before="340" w:after="330" w:line="578" w:lineRule="atLeast"/>
      <w:jc w:val="center"/>
      <w:outlineLvl w:val="0"/>
    </w:pPr>
    <w:rPr>
      <w:kern w:val="44"/>
      <w:sz w:val="44"/>
      <w:szCs w:val="44"/>
    </w:rPr>
  </w:style>
  <w:style w:type="paragraph" w:styleId="5">
    <w:name w:val="heading 2"/>
    <w:basedOn w:val="1"/>
    <w:next w:val="1"/>
    <w:link w:val="55"/>
    <w:qFormat/>
    <w:uiPriority w:val="0"/>
    <w:pPr>
      <w:keepNext/>
      <w:keepLines/>
      <w:spacing w:before="260" w:after="260" w:line="415" w:lineRule="auto"/>
      <w:outlineLvl w:val="1"/>
    </w:pPr>
    <w:rPr>
      <w:rFonts w:ascii="Cambria" w:hAnsi="Cambria"/>
      <w:b/>
      <w:bCs/>
      <w:sz w:val="32"/>
      <w:szCs w:val="32"/>
    </w:rPr>
  </w:style>
  <w:style w:type="paragraph" w:styleId="6">
    <w:name w:val="heading 3"/>
    <w:basedOn w:val="1"/>
    <w:next w:val="1"/>
    <w:qFormat/>
    <w:uiPriority w:val="0"/>
    <w:pPr>
      <w:keepNext/>
      <w:keepLines/>
      <w:spacing w:before="260" w:after="260" w:line="415" w:lineRule="auto"/>
      <w:outlineLvl w:val="2"/>
    </w:pPr>
    <w:rPr>
      <w:b/>
      <w:bCs/>
      <w:sz w:val="32"/>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Cs w:val="24"/>
    </w:rPr>
  </w:style>
  <w:style w:type="paragraph" w:styleId="3">
    <w:name w:val="Date"/>
    <w:basedOn w:val="1"/>
    <w:next w:val="1"/>
    <w:unhideWhenUsed/>
    <w:qFormat/>
    <w:uiPriority w:val="0"/>
    <w:pPr>
      <w:ind w:left="100" w:leftChars="2500"/>
    </w:pPr>
    <w:rPr>
      <w:rFonts w:hint="eastAsia" w:ascii="宋体" w:hAnsi="宋体"/>
      <w:sz w:val="24"/>
      <w:szCs w:val="24"/>
    </w:rPr>
  </w:style>
  <w:style w:type="paragraph" w:styleId="8">
    <w:name w:val="Note Heading"/>
    <w:basedOn w:val="1"/>
    <w:next w:val="1"/>
    <w:link w:val="60"/>
    <w:qFormat/>
    <w:uiPriority w:val="0"/>
    <w:pPr>
      <w:spacing w:line="360" w:lineRule="auto"/>
      <w:jc w:val="center"/>
    </w:pPr>
    <w:rPr>
      <w:sz w:val="24"/>
      <w:szCs w:val="24"/>
    </w:rPr>
  </w:style>
  <w:style w:type="paragraph" w:styleId="9">
    <w:name w:val="Normal Indent"/>
    <w:basedOn w:val="1"/>
    <w:link w:val="64"/>
    <w:qFormat/>
    <w:uiPriority w:val="0"/>
    <w:pPr>
      <w:adjustRightInd w:val="0"/>
      <w:spacing w:line="360" w:lineRule="atLeast"/>
      <w:ind w:firstLine="480"/>
    </w:pPr>
    <w:rPr>
      <w:kern w:val="0"/>
      <w:sz w:val="24"/>
    </w:rPr>
  </w:style>
  <w:style w:type="paragraph" w:styleId="10">
    <w:name w:val="index 5"/>
    <w:basedOn w:val="1"/>
    <w:next w:val="1"/>
    <w:qFormat/>
    <w:uiPriority w:val="0"/>
    <w:pPr>
      <w:ind w:left="1680"/>
    </w:pPr>
  </w:style>
  <w:style w:type="paragraph" w:styleId="11">
    <w:name w:val="Document Map"/>
    <w:basedOn w:val="1"/>
    <w:link w:val="46"/>
    <w:qFormat/>
    <w:uiPriority w:val="0"/>
    <w:rPr>
      <w:rFonts w:ascii="宋体"/>
      <w:sz w:val="18"/>
      <w:szCs w:val="18"/>
    </w:rPr>
  </w:style>
  <w:style w:type="paragraph" w:styleId="12">
    <w:name w:val="annotation text"/>
    <w:basedOn w:val="1"/>
    <w:link w:val="52"/>
    <w:qFormat/>
    <w:uiPriority w:val="0"/>
    <w:pPr>
      <w:jc w:val="left"/>
    </w:pPr>
  </w:style>
  <w:style w:type="paragraph" w:styleId="13">
    <w:name w:val="Body Text Indent"/>
    <w:basedOn w:val="1"/>
    <w:qFormat/>
    <w:uiPriority w:val="0"/>
    <w:pPr>
      <w:spacing w:after="120"/>
      <w:ind w:left="420" w:leftChars="200"/>
    </w:pPr>
    <w:rPr>
      <w:szCs w:val="24"/>
    </w:rPr>
  </w:style>
  <w:style w:type="paragraph" w:styleId="14">
    <w:name w:val="index 4"/>
    <w:basedOn w:val="1"/>
    <w:next w:val="1"/>
    <w:semiHidden/>
    <w:qFormat/>
    <w:uiPriority w:val="99"/>
    <w:pPr>
      <w:ind w:left="1260"/>
    </w:pPr>
  </w:style>
  <w:style w:type="paragraph" w:styleId="15">
    <w:name w:val="Plain Text"/>
    <w:basedOn w:val="1"/>
    <w:link w:val="57"/>
    <w:qFormat/>
    <w:uiPriority w:val="0"/>
    <w:pPr>
      <w:widowControl/>
      <w:spacing w:before="100" w:beforeAutospacing="1" w:after="100" w:afterAutospacing="1"/>
      <w:jc w:val="left"/>
    </w:pPr>
    <w:rPr>
      <w:rFonts w:ascii="宋体" w:hAnsi="宋体"/>
      <w:color w:val="000000"/>
      <w:kern w:val="0"/>
      <w:sz w:val="24"/>
    </w:rPr>
  </w:style>
  <w:style w:type="paragraph" w:styleId="16">
    <w:name w:val="Balloon Text"/>
    <w:basedOn w:val="1"/>
    <w:link w:val="62"/>
    <w:qFormat/>
    <w:uiPriority w:val="0"/>
    <w:rPr>
      <w:sz w:val="18"/>
      <w:szCs w:val="18"/>
    </w:rPr>
  </w:style>
  <w:style w:type="paragraph" w:styleId="17">
    <w:name w:val="footer"/>
    <w:basedOn w:val="1"/>
    <w:qFormat/>
    <w:uiPriority w:val="0"/>
    <w:pPr>
      <w:tabs>
        <w:tab w:val="center" w:pos="4140"/>
        <w:tab w:val="right" w:pos="8300"/>
      </w:tabs>
      <w:snapToGrid w:val="0"/>
      <w:jc w:val="left"/>
    </w:pPr>
    <w:rPr>
      <w:sz w:val="18"/>
    </w:rPr>
  </w:style>
  <w:style w:type="paragraph" w:styleId="18">
    <w:name w:val="envelope return"/>
    <w:basedOn w:val="1"/>
    <w:qFormat/>
    <w:uiPriority w:val="0"/>
    <w:pPr>
      <w:snapToGrid w:val="0"/>
    </w:pPr>
    <w:rPr>
      <w:rFonts w:ascii="Arial" w:hAnsi="Arial"/>
    </w:rPr>
  </w:style>
  <w:style w:type="paragraph" w:styleId="19">
    <w:name w:val="header"/>
    <w:basedOn w:val="1"/>
    <w:next w:val="1"/>
    <w:qFormat/>
    <w:uiPriority w:val="0"/>
    <w:pPr>
      <w:pBdr>
        <w:bottom w:val="single" w:color="000000" w:sz="6" w:space="1"/>
      </w:pBdr>
      <w:tabs>
        <w:tab w:val="center" w:pos="4140"/>
        <w:tab w:val="right" w:pos="8300"/>
      </w:tabs>
      <w:snapToGrid w:val="0"/>
      <w:jc w:val="center"/>
    </w:pPr>
    <w:rPr>
      <w:sz w:val="18"/>
    </w:rPr>
  </w:style>
  <w:style w:type="paragraph" w:styleId="20">
    <w:name w:val="toc 1"/>
    <w:basedOn w:val="1"/>
    <w:next w:val="1"/>
    <w:qFormat/>
    <w:uiPriority w:val="0"/>
    <w:pPr>
      <w:tabs>
        <w:tab w:val="right" w:leader="dot" w:pos="8940"/>
      </w:tabs>
      <w:jc w:val="center"/>
    </w:pPr>
    <w:rPr>
      <w:b/>
      <w:bCs/>
      <w:sz w:val="28"/>
      <w:szCs w:val="28"/>
    </w:rPr>
  </w:style>
  <w:style w:type="paragraph" w:styleId="21">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22">
    <w:name w:val="Body Text Indent 3"/>
    <w:basedOn w:val="1"/>
    <w:qFormat/>
    <w:uiPriority w:val="0"/>
    <w:pPr>
      <w:spacing w:after="120"/>
      <w:ind w:left="420" w:leftChars="200"/>
    </w:pPr>
    <w:rPr>
      <w:sz w:val="16"/>
      <w:szCs w:val="16"/>
    </w:rPr>
  </w:style>
  <w:style w:type="paragraph" w:styleId="23">
    <w:name w:val="toc 2"/>
    <w:basedOn w:val="1"/>
    <w:next w:val="1"/>
    <w:qFormat/>
    <w:uiPriority w:val="0"/>
    <w:pPr>
      <w:ind w:left="420" w:leftChars="200"/>
    </w:pPr>
  </w:style>
  <w:style w:type="paragraph" w:styleId="2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5">
    <w:name w:val="Normal (Web)"/>
    <w:basedOn w:val="1"/>
    <w:link w:val="59"/>
    <w:qFormat/>
    <w:uiPriority w:val="0"/>
    <w:pPr>
      <w:widowControl/>
      <w:spacing w:before="100" w:beforeAutospacing="1" w:after="100" w:afterAutospacing="1"/>
      <w:jc w:val="left"/>
    </w:pPr>
    <w:rPr>
      <w:rFonts w:ascii="宋体" w:hAnsi="宋体"/>
      <w:color w:val="000000"/>
      <w:kern w:val="0"/>
      <w:sz w:val="24"/>
    </w:rPr>
  </w:style>
  <w:style w:type="paragraph" w:styleId="26">
    <w:name w:val="Title"/>
    <w:basedOn w:val="1"/>
    <w:next w:val="1"/>
    <w:qFormat/>
    <w:uiPriority w:val="0"/>
    <w:pPr>
      <w:spacing w:before="240" w:after="60"/>
      <w:jc w:val="center"/>
      <w:outlineLvl w:val="0"/>
    </w:pPr>
    <w:rPr>
      <w:rFonts w:ascii="Cambria" w:hAnsi="Cambria"/>
      <w:b/>
      <w:bCs/>
      <w:sz w:val="32"/>
      <w:szCs w:val="32"/>
    </w:rPr>
  </w:style>
  <w:style w:type="paragraph" w:styleId="27">
    <w:name w:val="annotation subject"/>
    <w:basedOn w:val="12"/>
    <w:next w:val="12"/>
    <w:link w:val="49"/>
    <w:qFormat/>
    <w:uiPriority w:val="0"/>
    <w:rPr>
      <w:b/>
      <w:bCs/>
    </w:rPr>
  </w:style>
  <w:style w:type="paragraph" w:styleId="28">
    <w:name w:val="Body Text First Indent"/>
    <w:basedOn w:val="2"/>
    <w:next w:val="29"/>
    <w:unhideWhenUsed/>
    <w:qFormat/>
    <w:uiPriority w:val="0"/>
    <w:pPr>
      <w:ind w:firstLine="420" w:firstLineChars="100"/>
    </w:pPr>
    <w:rPr>
      <w:rFonts w:ascii="宋体" w:hAnsi="宋体"/>
      <w:szCs w:val="20"/>
    </w:rPr>
  </w:style>
  <w:style w:type="paragraph" w:styleId="29">
    <w:name w:val="Body Text First Indent 2"/>
    <w:basedOn w:val="13"/>
    <w:unhideWhenUsed/>
    <w:qFormat/>
    <w:uiPriority w:val="0"/>
    <w:pPr>
      <w:ind w:firstLine="420" w:firstLineChars="200"/>
    </w:pPr>
  </w:style>
  <w:style w:type="table" w:styleId="31">
    <w:name w:val="Table Grid"/>
    <w:basedOn w:val="3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rFonts w:ascii="Times New Roman" w:hAnsi="Times New Roman" w:eastAsia="宋体" w:cs="Times New Roman"/>
      <w:b/>
    </w:rPr>
  </w:style>
  <w:style w:type="character" w:styleId="34">
    <w:name w:val="page number"/>
    <w:basedOn w:val="32"/>
    <w:qFormat/>
    <w:uiPriority w:val="0"/>
    <w:rPr>
      <w:rFonts w:ascii="Times New Roman" w:hAnsi="Times New Roman" w:eastAsia="宋体" w:cs="Times New Roman"/>
    </w:rPr>
  </w:style>
  <w:style w:type="character" w:styleId="35">
    <w:name w:val="FollowedHyperlink"/>
    <w:basedOn w:val="32"/>
    <w:qFormat/>
    <w:uiPriority w:val="0"/>
    <w:rPr>
      <w:color w:val="333333"/>
      <w:u w:val="none"/>
    </w:rPr>
  </w:style>
  <w:style w:type="character" w:styleId="36">
    <w:name w:val="Emphasis"/>
    <w:basedOn w:val="32"/>
    <w:qFormat/>
    <w:uiPriority w:val="0"/>
    <w:rPr>
      <w:i/>
    </w:rPr>
  </w:style>
  <w:style w:type="character" w:styleId="37">
    <w:name w:val="HTML Definition"/>
    <w:basedOn w:val="32"/>
    <w:qFormat/>
    <w:uiPriority w:val="0"/>
    <w:rPr>
      <w:i/>
      <w:iCs/>
    </w:rPr>
  </w:style>
  <w:style w:type="character" w:styleId="38">
    <w:name w:val="Hyperlink"/>
    <w:basedOn w:val="32"/>
    <w:qFormat/>
    <w:uiPriority w:val="0"/>
    <w:rPr>
      <w:rFonts w:ascii="Times New Roman" w:hAnsi="Times New Roman" w:eastAsia="宋体" w:cs="Times New Roman"/>
      <w:color w:val="003386"/>
      <w:u w:val="none"/>
    </w:rPr>
  </w:style>
  <w:style w:type="character" w:styleId="39">
    <w:name w:val="HTML Code"/>
    <w:basedOn w:val="32"/>
    <w:qFormat/>
    <w:uiPriority w:val="0"/>
    <w:rPr>
      <w:rFonts w:ascii="Consolas" w:hAnsi="Consolas" w:eastAsia="Consolas" w:cs="Consolas"/>
      <w:color w:val="C7254E"/>
      <w:sz w:val="21"/>
      <w:szCs w:val="21"/>
      <w:shd w:val="clear" w:color="auto" w:fill="F9F2F4"/>
    </w:rPr>
  </w:style>
  <w:style w:type="character" w:styleId="40">
    <w:name w:val="annotation reference"/>
    <w:qFormat/>
    <w:uiPriority w:val="0"/>
    <w:rPr>
      <w:rFonts w:ascii="Times New Roman" w:hAnsi="Times New Roman" w:eastAsia="宋体" w:cs="Times New Roman"/>
      <w:sz w:val="21"/>
      <w:szCs w:val="21"/>
    </w:rPr>
  </w:style>
  <w:style w:type="character" w:styleId="41">
    <w:name w:val="HTML Keyboard"/>
    <w:basedOn w:val="32"/>
    <w:qFormat/>
    <w:uiPriority w:val="0"/>
    <w:rPr>
      <w:rFonts w:hint="default" w:ascii="Consolas" w:hAnsi="Consolas" w:eastAsia="Consolas" w:cs="Consolas"/>
      <w:color w:val="FFFFFF"/>
      <w:sz w:val="21"/>
      <w:szCs w:val="21"/>
      <w:shd w:val="clear" w:color="auto" w:fill="333333"/>
    </w:rPr>
  </w:style>
  <w:style w:type="character" w:styleId="42">
    <w:name w:val="HTML Sample"/>
    <w:basedOn w:val="32"/>
    <w:qFormat/>
    <w:uiPriority w:val="0"/>
    <w:rPr>
      <w:rFonts w:hint="default" w:ascii="Consolas" w:hAnsi="Consolas" w:eastAsia="Consolas" w:cs="Consolas"/>
      <w:sz w:val="21"/>
      <w:szCs w:val="21"/>
    </w:rPr>
  </w:style>
  <w:style w:type="paragraph" w:customStyle="1" w:styleId="43">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Body Text First Indent1"/>
    <w:basedOn w:val="2"/>
    <w:qFormat/>
    <w:uiPriority w:val="0"/>
    <w:pPr>
      <w:tabs>
        <w:tab w:val="left" w:pos="1275"/>
      </w:tabs>
      <w:ind w:firstLine="420" w:firstLineChars="100"/>
    </w:pPr>
  </w:style>
  <w:style w:type="character" w:customStyle="1" w:styleId="45">
    <w:name w:val="注释标题 Char"/>
    <w:qFormat/>
    <w:uiPriority w:val="0"/>
    <w:rPr>
      <w:rFonts w:ascii="Times New Roman" w:hAnsi="Times New Roman" w:eastAsia="宋体" w:cs="Times New Roman"/>
      <w:kern w:val="2"/>
      <w:sz w:val="21"/>
      <w:szCs w:val="22"/>
    </w:rPr>
  </w:style>
  <w:style w:type="character" w:customStyle="1" w:styleId="46">
    <w:name w:val="文档结构图 Char"/>
    <w:link w:val="11"/>
    <w:qFormat/>
    <w:uiPriority w:val="0"/>
    <w:rPr>
      <w:rFonts w:ascii="宋体" w:hAnsi="Times New Roman" w:eastAsia="宋体" w:cs="Times New Roman"/>
      <w:kern w:val="2"/>
      <w:sz w:val="18"/>
      <w:szCs w:val="18"/>
    </w:rPr>
  </w:style>
  <w:style w:type="character" w:customStyle="1" w:styleId="47">
    <w:name w:val="列出段落 Char"/>
    <w:link w:val="48"/>
    <w:qFormat/>
    <w:uiPriority w:val="0"/>
    <w:rPr>
      <w:rFonts w:ascii="Times New Roman" w:hAnsi="Times New Roman" w:eastAsia="宋体" w:cs="Times New Roman"/>
      <w:kern w:val="2"/>
      <w:sz w:val="21"/>
      <w:szCs w:val="22"/>
    </w:rPr>
  </w:style>
  <w:style w:type="paragraph" w:styleId="48">
    <w:name w:val="List Paragraph"/>
    <w:basedOn w:val="1"/>
    <w:link w:val="47"/>
    <w:qFormat/>
    <w:uiPriority w:val="0"/>
    <w:pPr>
      <w:ind w:firstLine="420" w:firstLineChars="200"/>
    </w:pPr>
  </w:style>
  <w:style w:type="character" w:customStyle="1" w:styleId="49">
    <w:name w:val="批注主题 Char"/>
    <w:link w:val="27"/>
    <w:qFormat/>
    <w:uiPriority w:val="0"/>
    <w:rPr>
      <w:rFonts w:ascii="Times New Roman" w:hAnsi="Times New Roman" w:eastAsia="宋体" w:cs="Times New Roman"/>
      <w:b/>
      <w:bCs/>
      <w:kern w:val="2"/>
      <w:sz w:val="21"/>
      <w:szCs w:val="22"/>
    </w:rPr>
  </w:style>
  <w:style w:type="character" w:customStyle="1" w:styleId="50">
    <w:name w:val="标题 1 Char"/>
    <w:link w:val="4"/>
    <w:qFormat/>
    <w:locked/>
    <w:uiPriority w:val="99"/>
    <w:rPr>
      <w:rFonts w:ascii="Times New Roman" w:hAnsi="Times New Roman" w:eastAsia="宋体" w:cs="Times New Roman"/>
      <w:kern w:val="44"/>
      <w:sz w:val="44"/>
      <w:szCs w:val="44"/>
      <w:lang w:val="en-US" w:eastAsia="zh-CN" w:bidi="ar-SA"/>
    </w:rPr>
  </w:style>
  <w:style w:type="character" w:customStyle="1" w:styleId="51">
    <w:name w:val="font61"/>
    <w:qFormat/>
    <w:uiPriority w:val="0"/>
    <w:rPr>
      <w:rFonts w:hint="eastAsia" w:ascii="微软雅黑" w:hAnsi="微软雅黑" w:eastAsia="微软雅黑" w:cs="微软雅黑"/>
      <w:b/>
      <w:color w:val="000000"/>
      <w:sz w:val="18"/>
      <w:szCs w:val="18"/>
      <w:u w:val="none"/>
    </w:rPr>
  </w:style>
  <w:style w:type="character" w:customStyle="1" w:styleId="52">
    <w:name w:val="批注文字 Char1"/>
    <w:link w:val="12"/>
    <w:qFormat/>
    <w:uiPriority w:val="0"/>
    <w:rPr>
      <w:rFonts w:ascii="Times New Roman" w:hAnsi="Times New Roman" w:eastAsia="宋体" w:cs="Times New Roman"/>
      <w:kern w:val="2"/>
      <w:sz w:val="21"/>
      <w:szCs w:val="22"/>
    </w:rPr>
  </w:style>
  <w:style w:type="character" w:customStyle="1" w:styleId="53">
    <w:name w:val="font41"/>
    <w:qFormat/>
    <w:uiPriority w:val="0"/>
    <w:rPr>
      <w:rFonts w:hint="eastAsia" w:ascii="微软雅黑" w:hAnsi="微软雅黑" w:eastAsia="微软雅黑" w:cs="微软雅黑"/>
      <w:b/>
      <w:color w:val="000000"/>
      <w:sz w:val="18"/>
      <w:szCs w:val="18"/>
      <w:u w:val="none"/>
    </w:rPr>
  </w:style>
  <w:style w:type="character" w:customStyle="1" w:styleId="54">
    <w:name w:val="标题 2 字符"/>
    <w:qFormat/>
    <w:uiPriority w:val="0"/>
    <w:rPr>
      <w:rFonts w:ascii="等线 Light" w:hAnsi="等线 Light" w:eastAsia="等线 Light" w:cs="Times New Roman"/>
      <w:b/>
      <w:kern w:val="2"/>
      <w:sz w:val="32"/>
      <w:szCs w:val="32"/>
    </w:rPr>
  </w:style>
  <w:style w:type="character" w:customStyle="1" w:styleId="55">
    <w:name w:val="标题 2 Char"/>
    <w:link w:val="5"/>
    <w:qFormat/>
    <w:uiPriority w:val="0"/>
    <w:rPr>
      <w:rFonts w:ascii="Cambria" w:hAnsi="Cambria" w:eastAsia="宋体" w:cs="Times New Roman"/>
      <w:b/>
      <w:bCs/>
      <w:kern w:val="2"/>
      <w:sz w:val="32"/>
      <w:szCs w:val="32"/>
    </w:rPr>
  </w:style>
  <w:style w:type="character" w:customStyle="1" w:styleId="56">
    <w:name w:val="未处理的提及1"/>
    <w:unhideWhenUsed/>
    <w:qFormat/>
    <w:uiPriority w:val="99"/>
    <w:rPr>
      <w:rFonts w:ascii="Times New Roman" w:hAnsi="Times New Roman" w:eastAsia="宋体" w:cs="Times New Roman"/>
      <w:color w:val="605E5C"/>
      <w:shd w:val="clear" w:color="auto" w:fill="E1DFDD"/>
    </w:rPr>
  </w:style>
  <w:style w:type="character" w:customStyle="1" w:styleId="57">
    <w:name w:val="纯文本 Char"/>
    <w:link w:val="15"/>
    <w:qFormat/>
    <w:uiPriority w:val="0"/>
    <w:rPr>
      <w:rFonts w:ascii="宋体" w:hAnsi="宋体" w:eastAsia="宋体" w:cs="Times New Roman"/>
      <w:color w:val="000000"/>
      <w:sz w:val="24"/>
      <w:szCs w:val="22"/>
    </w:rPr>
  </w:style>
  <w:style w:type="character" w:customStyle="1" w:styleId="58">
    <w:name w:val="black1"/>
    <w:qFormat/>
    <w:uiPriority w:val="0"/>
    <w:rPr>
      <w:rFonts w:hint="default" w:ascii="ˎ̥" w:hAnsi="ˎ̥" w:eastAsia="宋体" w:cs="Times New Roman"/>
      <w:color w:val="333333"/>
      <w:sz w:val="20"/>
      <w:szCs w:val="20"/>
      <w:u w:val="none"/>
      <w:lang w:val="en-US" w:eastAsia="zh-CN" w:bidi="ar-SA"/>
    </w:rPr>
  </w:style>
  <w:style w:type="character" w:customStyle="1" w:styleId="59">
    <w:name w:val="普通(网站) Char"/>
    <w:link w:val="25"/>
    <w:qFormat/>
    <w:uiPriority w:val="0"/>
    <w:rPr>
      <w:rFonts w:ascii="宋体" w:hAnsi="宋体" w:eastAsia="宋体" w:cs="Times New Roman"/>
      <w:color w:val="000000"/>
      <w:sz w:val="24"/>
      <w:szCs w:val="22"/>
    </w:rPr>
  </w:style>
  <w:style w:type="character" w:customStyle="1" w:styleId="60">
    <w:name w:val="注释标题 Char1"/>
    <w:link w:val="8"/>
    <w:qFormat/>
    <w:uiPriority w:val="0"/>
    <w:rPr>
      <w:rFonts w:ascii="Times New Roman" w:hAnsi="Times New Roman" w:eastAsia="宋体" w:cs="Times New Roman"/>
      <w:kern w:val="2"/>
      <w:sz w:val="24"/>
      <w:szCs w:val="24"/>
    </w:rPr>
  </w:style>
  <w:style w:type="character" w:customStyle="1" w:styleId="61">
    <w:name w:val="批注文字 Char"/>
    <w:qFormat/>
    <w:uiPriority w:val="0"/>
    <w:rPr>
      <w:rFonts w:ascii="Times New Roman" w:hAnsi="Times New Roman" w:eastAsia="宋体" w:cs="Times New Roman"/>
      <w:kern w:val="2"/>
      <w:sz w:val="21"/>
      <w:szCs w:val="22"/>
    </w:rPr>
  </w:style>
  <w:style w:type="character" w:customStyle="1" w:styleId="62">
    <w:name w:val="批注框文本 Char"/>
    <w:link w:val="16"/>
    <w:qFormat/>
    <w:uiPriority w:val="0"/>
    <w:rPr>
      <w:rFonts w:ascii="Times New Roman" w:hAnsi="Times New Roman" w:eastAsia="宋体" w:cs="Times New Roman"/>
      <w:kern w:val="2"/>
      <w:sz w:val="18"/>
      <w:szCs w:val="18"/>
    </w:rPr>
  </w:style>
  <w:style w:type="character" w:customStyle="1" w:styleId="63">
    <w:name w:val="批注文字 字符1"/>
    <w:qFormat/>
    <w:uiPriority w:val="0"/>
    <w:rPr>
      <w:rFonts w:hint="default" w:ascii="Times New Roman" w:hAnsi="Times New Roman" w:eastAsia="宋体" w:cs="Times New Roman"/>
      <w:kern w:val="2"/>
      <w:sz w:val="21"/>
      <w:szCs w:val="22"/>
    </w:rPr>
  </w:style>
  <w:style w:type="character" w:customStyle="1" w:styleId="64">
    <w:name w:val="正文缩进 Char"/>
    <w:link w:val="9"/>
    <w:qFormat/>
    <w:uiPriority w:val="0"/>
    <w:rPr>
      <w:rFonts w:ascii="Times New Roman" w:hAnsi="Times New Roman" w:eastAsia="宋体" w:cs="Times New Roman"/>
      <w:sz w:val="24"/>
      <w:szCs w:val="22"/>
    </w:rPr>
  </w:style>
  <w:style w:type="paragraph" w:customStyle="1" w:styleId="65">
    <w:name w:val="首行缩进 正文"/>
    <w:basedOn w:val="1"/>
    <w:qFormat/>
    <w:uiPriority w:val="0"/>
    <w:pPr>
      <w:spacing w:line="360" w:lineRule="auto"/>
      <w:ind w:firstLine="200" w:firstLineChars="200"/>
    </w:pPr>
    <w:rPr>
      <w:rFonts w:ascii="Arial" w:hAnsi="Arial"/>
      <w:sz w:val="24"/>
      <w:szCs w:val="24"/>
    </w:rPr>
  </w:style>
  <w:style w:type="paragraph" w:customStyle="1" w:styleId="66">
    <w:name w:val="样式 标题 3 + 右侧:  0.49 字符"/>
    <w:basedOn w:val="6"/>
    <w:qFormat/>
    <w:uiPriority w:val="0"/>
    <w:pPr>
      <w:tabs>
        <w:tab w:val="left" w:pos="720"/>
      </w:tabs>
      <w:ind w:right="137" w:firstLine="138" w:firstLineChars="49"/>
    </w:pPr>
  </w:style>
  <w:style w:type="paragraph" w:customStyle="1" w:styleId="67">
    <w:name w:val="Table Paragraph"/>
    <w:basedOn w:val="1"/>
    <w:qFormat/>
    <w:uiPriority w:val="1"/>
    <w:pPr>
      <w:jc w:val="left"/>
    </w:pPr>
    <w:rPr>
      <w:rFonts w:ascii="Calibri" w:hAnsi="Calibri"/>
      <w:kern w:val="0"/>
      <w:sz w:val="22"/>
      <w:lang w:eastAsia="en-US"/>
    </w:rPr>
  </w:style>
  <w:style w:type="paragraph" w:customStyle="1" w:styleId="68">
    <w:name w:val="Heading4"/>
    <w:basedOn w:val="1"/>
    <w:next w:val="1"/>
    <w:qFormat/>
    <w:uiPriority w:val="0"/>
    <w:pPr>
      <w:keepNext/>
      <w:keepLines/>
      <w:spacing w:before="280" w:after="290" w:line="376" w:lineRule="auto"/>
      <w:textAlignment w:val="baseline"/>
    </w:pPr>
    <w:rPr>
      <w:rFonts w:ascii="Arial" w:hAnsi="Arial" w:eastAsia="黑体"/>
      <w:b/>
      <w:bCs/>
      <w:sz w:val="28"/>
      <w:szCs w:val="28"/>
    </w:rPr>
  </w:style>
  <w:style w:type="paragraph" w:customStyle="1" w:styleId="69">
    <w:name w:val="List Paragraph1"/>
    <w:basedOn w:val="1"/>
    <w:qFormat/>
    <w:uiPriority w:val="0"/>
    <w:pPr>
      <w:widowControl/>
      <w:ind w:left="720" w:firstLine="360"/>
      <w:jc w:val="left"/>
    </w:pPr>
    <w:rPr>
      <w:rFonts w:ascii="Calibri" w:hAnsi="Calibri"/>
      <w:sz w:val="22"/>
      <w:szCs w:val="20"/>
      <w:lang w:eastAsia="en-US"/>
    </w:rPr>
  </w:style>
  <w:style w:type="paragraph" w:customStyle="1" w:styleId="70">
    <w:name w:val="宋14"/>
    <w:qFormat/>
    <w:uiPriority w:val="99"/>
    <w:pPr>
      <w:widowControl w:val="0"/>
      <w:autoSpaceDE w:val="0"/>
      <w:autoSpaceDN w:val="0"/>
      <w:adjustRightInd w:val="0"/>
      <w:spacing w:before="113"/>
      <w:jc w:val="both"/>
    </w:pPr>
    <w:rPr>
      <w:rFonts w:ascii="宋体" w:hAnsi="Times New Roman" w:eastAsia="宋体" w:cs="Times New Roman"/>
      <w:b/>
      <w:bCs/>
      <w:sz w:val="28"/>
      <w:szCs w:val="28"/>
      <w:lang w:val="en-US" w:eastAsia="zh-CN" w:bidi="ar-SA"/>
    </w:rPr>
  </w:style>
  <w:style w:type="paragraph" w:customStyle="1" w:styleId="71">
    <w:name w:val="列出段落11"/>
    <w:basedOn w:val="1"/>
    <w:qFormat/>
    <w:uiPriority w:val="0"/>
    <w:pPr>
      <w:ind w:firstLine="420" w:firstLineChars="200"/>
    </w:pPr>
    <w:rPr>
      <w:szCs w:val="24"/>
    </w:rPr>
  </w:style>
  <w:style w:type="paragraph" w:customStyle="1" w:styleId="72">
    <w:name w:val="pa-17"/>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73">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74">
    <w:name w:val="_Style 59"/>
    <w:unhideWhenUsed/>
    <w:qFormat/>
    <w:uiPriority w:val="99"/>
    <w:rPr>
      <w:rFonts w:ascii="Times New Roman" w:hAnsi="Times New Roman" w:eastAsia="宋体" w:cs="Times New Roman"/>
      <w:kern w:val="2"/>
      <w:sz w:val="21"/>
      <w:szCs w:val="22"/>
      <w:lang w:val="en-US" w:eastAsia="zh-CN" w:bidi="ar-SA"/>
    </w:rPr>
  </w:style>
  <w:style w:type="paragraph" w:customStyle="1" w:styleId="75">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76">
    <w:name w:val="1册标题3"/>
    <w:basedOn w:val="1"/>
    <w:next w:val="1"/>
    <w:qFormat/>
    <w:uiPriority w:val="0"/>
    <w:pPr>
      <w:spacing w:line="360" w:lineRule="exact"/>
    </w:pPr>
    <w:rPr>
      <w:rFonts w:ascii="宋体" w:hAnsi="宋体"/>
      <w:szCs w:val="21"/>
    </w:rPr>
  </w:style>
  <w:style w:type="table" w:customStyle="1" w:styleId="77">
    <w:name w:val="网格型1"/>
    <w:basedOn w:val="30"/>
    <w:qFormat/>
    <w:uiPriority w:val="59"/>
    <w:rPr>
      <w:rFonts w:eastAsia="微软雅黑"/>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8">
    <w:name w:val="WPSOffice手动目录 1"/>
    <w:qFormat/>
    <w:uiPriority w:val="0"/>
    <w:rPr>
      <w:rFonts w:ascii="Times New Roman" w:hAnsi="Times New Roman" w:eastAsia="宋体" w:cs="Times New Roman"/>
      <w:lang w:val="en-US" w:eastAsia="zh-CN" w:bidi="ar-SA"/>
    </w:rPr>
  </w:style>
  <w:style w:type="character" w:customStyle="1" w:styleId="79">
    <w:name w:val="time4"/>
    <w:basedOn w:val="32"/>
    <w:qFormat/>
    <w:uiPriority w:val="0"/>
    <w:rPr>
      <w:color w:val="484848"/>
    </w:rPr>
  </w:style>
  <w:style w:type="paragraph" w:customStyle="1" w:styleId="80">
    <w:name w:val="style17"/>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81">
    <w:name w:val="列出段落111"/>
    <w:basedOn w:val="1"/>
    <w:qFormat/>
    <w:uiPriority w:val="99"/>
    <w:pPr>
      <w:ind w:firstLine="420" w:firstLineChars="200"/>
    </w:pPr>
  </w:style>
  <w:style w:type="paragraph" w:customStyle="1" w:styleId="82">
    <w:name w:val="Other|2"/>
    <w:basedOn w:val="1"/>
    <w:unhideWhenUsed/>
    <w:qFormat/>
    <w:uiPriority w:val="0"/>
    <w:rPr>
      <w:rFonts w:hint="eastAsia" w:ascii="宋体" w:hAnsi="宋体" w:cs="宋体"/>
      <w:sz w:val="22"/>
      <w:lang w:val="zh-TW" w:eastAsia="zh-TW" w:bidi="zh-TW"/>
    </w:rPr>
  </w:style>
  <w:style w:type="paragraph" w:customStyle="1" w:styleId="83">
    <w:name w:val="Other|1"/>
    <w:basedOn w:val="1"/>
    <w:unhideWhenUsed/>
    <w:qFormat/>
    <w:uiPriority w:val="0"/>
    <w:pPr>
      <w:jc w:val="center"/>
    </w:pPr>
    <w:rPr>
      <w:rFonts w:hint="eastAsia" w:ascii="宋体" w:hAnsi="宋体" w:cs="宋体"/>
      <w:sz w:val="15"/>
      <w:szCs w:val="15"/>
      <w:lang w:val="zh-TW" w:eastAsia="zh-TW" w:bidi="zh-TW"/>
    </w:rPr>
  </w:style>
  <w:style w:type="character" w:customStyle="1" w:styleId="84">
    <w:name w:val="on"/>
    <w:basedOn w:val="32"/>
    <w:qFormat/>
    <w:uiPriority w:val="0"/>
    <w:rPr>
      <w:color w:val="FFFFFF"/>
      <w:shd w:val="clear" w:color="auto" w:fill="2A79D1"/>
    </w:rPr>
  </w:style>
  <w:style w:type="character" w:customStyle="1" w:styleId="85">
    <w:name w:val="layui-laypage-curr"/>
    <w:basedOn w:val="32"/>
    <w:qFormat/>
    <w:uiPriority w:val="0"/>
  </w:style>
  <w:style w:type="character" w:customStyle="1" w:styleId="86">
    <w:name w:val="hover9"/>
    <w:basedOn w:val="32"/>
    <w:qFormat/>
    <w:uiPriority w:val="0"/>
  </w:style>
  <w:style w:type="character" w:customStyle="1" w:styleId="87">
    <w:name w:val="label"/>
    <w:basedOn w:val="32"/>
    <w:qFormat/>
    <w:uiPriority w:val="0"/>
    <w:rPr>
      <w:color w:val="999999"/>
    </w:rPr>
  </w:style>
  <w:style w:type="paragraph" w:customStyle="1" w:styleId="88">
    <w:name w:val="UserStyle_0"/>
    <w:next w:val="1"/>
    <w:qFormat/>
    <w:uiPriority w:val="0"/>
    <w:pPr>
      <w:ind w:firstLine="420" w:firstLineChars="200"/>
      <w:jc w:val="both"/>
      <w:textAlignment w:val="baseline"/>
    </w:pPr>
    <w:rPr>
      <w:rFonts w:ascii="Times New Roman" w:hAnsi="Times New Roman" w:eastAsia="宋体" w:cs="Times New Roman"/>
      <w:kern w:val="2"/>
      <w:sz w:val="21"/>
      <w:szCs w:val="24"/>
      <w:lang w:val="en-US" w:eastAsia="zh-CN" w:bidi="ar-SA"/>
    </w:rPr>
  </w:style>
  <w:style w:type="character" w:customStyle="1" w:styleId="89">
    <w:name w:val="hover10"/>
    <w:basedOn w:val="32"/>
    <w:qFormat/>
    <w:uiPriority w:val="0"/>
  </w:style>
  <w:style w:type="paragraph" w:customStyle="1" w:styleId="90">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黑体"/>
      <w:sz w:val="24"/>
      <w:szCs w:val="22"/>
      <w:lang w:val="en-US" w:eastAsia="zh-CN" w:bidi="ar-SA"/>
    </w:rPr>
  </w:style>
  <w:style w:type="paragraph" w:customStyle="1" w:styleId="91">
    <w:name w:val="Body text|1"/>
    <w:basedOn w:val="1"/>
    <w:qFormat/>
    <w:uiPriority w:val="0"/>
    <w:pPr>
      <w:spacing w:after="360"/>
      <w:jc w:val="center"/>
    </w:pPr>
    <w:rPr>
      <w:rFonts w:ascii="宋体" w:hAnsi="宋体" w:cs="宋体"/>
      <w:sz w:val="20"/>
      <w:szCs w:val="20"/>
      <w:lang w:val="zh-TW" w:eastAsia="zh-TW" w:bidi="zh-TW"/>
    </w:rPr>
  </w:style>
  <w:style w:type="paragraph" w:styleId="92">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93">
    <w:name w:val="标题 2 Char1"/>
    <w:qFormat/>
    <w:uiPriority w:val="0"/>
    <w:rPr>
      <w:rFonts w:ascii="Cambria" w:hAnsi="Cambria" w:eastAsia="宋体" w:cs="Times New Roman"/>
      <w:b/>
      <w:bCs/>
      <w:sz w:val="32"/>
      <w:szCs w:val="32"/>
    </w:rPr>
  </w:style>
  <w:style w:type="paragraph" w:customStyle="1" w:styleId="94">
    <w:name w:val="*正文"/>
    <w:qFormat/>
    <w:uiPriority w:val="0"/>
    <w:pPr>
      <w:widowControl w:val="0"/>
      <w:spacing w:line="480" w:lineRule="exact"/>
      <w:ind w:firstLine="200" w:firstLineChars="200"/>
      <w:jc w:val="both"/>
    </w:pPr>
    <w:rPr>
      <w:rFonts w:ascii="宋体" w:hAnsi="宋体" w:eastAsia="宋体" w:cs="Times New Roman"/>
      <w:kern w:val="0"/>
      <w:sz w:val="28"/>
      <w:szCs w:val="24"/>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74</Pages>
  <Words>3403</Words>
  <Characters>3914</Characters>
  <Lines>234</Lines>
  <Paragraphs>65</Paragraphs>
  <TotalTime>50</TotalTime>
  <ScaleCrop>false</ScaleCrop>
  <LinksUpToDate>false</LinksUpToDate>
  <CharactersWithSpaces>4046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2023-11-09T12:33:00Z</dcterms:created>
  <dc:creator>bhc</dc:creator>
  <cp:lastModifiedBy>xys</cp:lastModifiedBy>
  <cp:lastPrinted>2024-10-21T03:23:00Z</cp:lastPrinted>
  <dcterms:modified xsi:type="dcterms:W3CDTF">2025-07-07T09:16:39Z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B84123D4A0684C33981F0EF0CF0D728B_13</vt:lpwstr>
  </property>
  <property fmtid="{D5CDD505-2E9C-101B-9397-08002B2CF9AE}" pid="4" name="KSOTemplateDocerSaveRecord">
    <vt:lpwstr>eyJoZGlkIjoiNzFlZjgwZDY4N2NhOWQ4OTQ3NDc4MGYzYmQ4NWY2YzAiLCJ1c2VySWQiOiIzNzc2NDM0ODcifQ==</vt:lpwstr>
  </property>
</Properties>
</file>