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1"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20170807174919_93367"/>
                    <pic:cNvPicPr>
                      <a:picLocks noChangeAspect="1"/>
                    </pic:cNvPicPr>
                  </pic:nvPicPr>
                  <pic:blipFill>
                    <a:blip r:embed="rId13"/>
                    <a:srcRect r="10705"/>
                    <a:stretch>
                      <a:fillRect/>
                    </a:stretch>
                  </pic:blipFill>
                  <pic:spPr>
                    <a:xfrm>
                      <a:off x="0" y="0"/>
                      <a:ext cx="1444625" cy="341630"/>
                    </a:xfrm>
                    <a:prstGeom prst="rect">
                      <a:avLst/>
                    </a:prstGeom>
                    <a:effectLst>
                      <a:reflection blurRad="6350" stA="52000" endA="300" endPos="35000" dir="5400000" sy="-100000" algn="bl"/>
                    </a:effectLst>
                  </pic:spPr>
                </pic:pic>
              </a:graphicData>
            </a:graphic>
          </wp:anchor>
        </w:drawing>
      </w: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3"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字文稿7_01"/>
                    <pic:cNvPicPr>
                      <a:picLocks noChangeAspect="1"/>
                    </pic:cNvPicPr>
                  </pic:nvPicPr>
                  <pic:blipFill>
                    <a:blip r:embed="rId14"/>
                    <a:stretch>
                      <a:fillRect/>
                    </a:stretch>
                  </pic:blipFill>
                  <pic:spPr>
                    <a:xfrm>
                      <a:off x="0" y="0"/>
                      <a:ext cx="7557135" cy="10709910"/>
                    </a:xfrm>
                    <a:prstGeom prst="rect">
                      <a:avLst/>
                    </a:prstGeom>
                    <a:ln w="12700">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br w:type="textWrapping"/>
      </w:r>
      <w:r>
        <w:br w:type="textWrapping"/>
      </w:r>
    </w:p>
    <w:p>
      <w:pPr>
        <w:pStyle w:val="11"/>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1"/>
        <w:kinsoku w:val="0"/>
        <w:overflowPunct w:val="0"/>
        <w:rPr>
          <w:rFonts w:asciiTheme="minorEastAsia" w:hAnsiTheme="minorEastAsia" w:eastAsiaTheme="minorEastAsia" w:cstheme="minorEastAsia"/>
          <w:sz w:val="20"/>
        </w:rPr>
      </w:pPr>
    </w:p>
    <w:p>
      <w:pPr>
        <w:pStyle w:val="11"/>
        <w:kinsoku w:val="0"/>
        <w:overflowPunct w:val="0"/>
        <w:jc w:val="center"/>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2" w:after="1"/>
        <w:rPr>
          <w:rFonts w:asciiTheme="minorEastAsia" w:hAnsiTheme="minorEastAsia" w:eastAsiaTheme="minorEastAsia" w:cstheme="minorEastAsia"/>
          <w:sz w:val="11"/>
        </w:rPr>
      </w:pPr>
    </w:p>
    <w:tbl>
      <w:tblPr>
        <w:tblStyle w:val="27"/>
        <w:tblW w:w="8504" w:type="dxa"/>
        <w:tblInd w:w="690" w:type="dxa"/>
        <w:tblLayout w:type="fixed"/>
        <w:tblCellMar>
          <w:top w:w="0" w:type="dxa"/>
          <w:left w:w="0" w:type="dxa"/>
          <w:bottom w:w="0" w:type="dxa"/>
          <w:right w:w="0" w:type="dxa"/>
        </w:tblCellMar>
      </w:tblPr>
      <w:tblGrid>
        <w:gridCol w:w="2120"/>
        <w:gridCol w:w="6384"/>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8"/>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384" w:type="dxa"/>
            <w:tcBorders>
              <w:top w:val="nil"/>
              <w:left w:val="nil"/>
              <w:bottom w:val="nil"/>
              <w:right w:val="nil"/>
              <w:tl2br w:val="nil"/>
              <w:tr2bl w:val="nil"/>
            </w:tcBorders>
            <w:vAlign w:val="center"/>
          </w:tcPr>
          <w:p>
            <w:pPr>
              <w:pStyle w:val="98"/>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HGDXW23-047/ZCHM-202307-195</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8"/>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384" w:type="dxa"/>
            <w:tcBorders>
              <w:top w:val="nil"/>
              <w:left w:val="nil"/>
              <w:bottom w:val="nil"/>
              <w:right w:val="nil"/>
              <w:tl2br w:val="nil"/>
              <w:tr2bl w:val="nil"/>
            </w:tcBorders>
            <w:vAlign w:val="center"/>
          </w:tcPr>
          <w:p>
            <w:pPr>
              <w:pStyle w:val="98"/>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 xml:space="preserve">湖北工业大学2023年学生宿舍增补家具（北1、2栋）   </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8"/>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384" w:type="dxa"/>
            <w:tcBorders>
              <w:top w:val="nil"/>
              <w:left w:val="nil"/>
              <w:bottom w:val="nil"/>
              <w:right w:val="nil"/>
              <w:tl2br w:val="nil"/>
              <w:tr2bl w:val="nil"/>
            </w:tcBorders>
            <w:vAlign w:val="center"/>
          </w:tcPr>
          <w:p>
            <w:pPr>
              <w:pStyle w:val="98"/>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8"/>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384" w:type="dxa"/>
            <w:tcBorders>
              <w:top w:val="nil"/>
              <w:left w:val="nil"/>
              <w:bottom w:val="nil"/>
              <w:right w:val="nil"/>
              <w:tl2br w:val="nil"/>
              <w:tr2bl w:val="nil"/>
            </w:tcBorders>
            <w:vAlign w:val="center"/>
          </w:tcPr>
          <w:p>
            <w:pPr>
              <w:pStyle w:val="98"/>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4"/>
        <w:rPr>
          <w:rFonts w:asciiTheme="minorEastAsia" w:hAnsiTheme="minorEastAsia" w:eastAsiaTheme="minorEastAsia" w:cstheme="minorEastAsia"/>
          <w:sz w:val="20"/>
        </w:rPr>
      </w:pPr>
    </w:p>
    <w:tbl>
      <w:tblPr>
        <w:tblStyle w:val="27"/>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98"/>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9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98"/>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9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98"/>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9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2023年7月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tab/>
      </w:r>
      <w:r>
        <w:rPr>
          <w:rFonts w:hint="eastAsia" w:asciiTheme="minorEastAsia" w:hAnsiTheme="minorEastAsia" w:eastAsiaTheme="minorEastAsia" w:cstheme="minorEastAsia"/>
          <w:b/>
          <w:bCs/>
          <w:sz w:val="24"/>
          <w:lang w:val="zh-CN"/>
        </w:rPr>
        <w:t>目  录</w:t>
      </w:r>
      <w:r>
        <w:tab/>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_Toc3833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_Toc3833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_Toc6281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_Toc6281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_Toc17692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_Toc17692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_Toc3470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_Toc3470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_Toc3049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_Toc3049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_Toc825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五、 </w:t>
      </w:r>
      <w:r>
        <w:rPr>
          <w:rFonts w:hint="eastAsia" w:ascii="宋体" w:hAnsi="宋体" w:eastAsia="宋体" w:cs="宋体"/>
          <w:szCs w:val="21"/>
        </w:rPr>
        <w:t>开启</w:t>
      </w:r>
      <w:r>
        <w:tab/>
      </w:r>
      <w:r>
        <w:fldChar w:fldCharType="begin"/>
      </w:r>
      <w:r>
        <w:instrText xml:space="preserve"> PAGEREF _Toc825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_Toc6612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_Toc6612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_Toc9549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_Toc9549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_Toc1588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_Toc1588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_Toc17918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第一章 </w:t>
      </w:r>
      <w:r>
        <w:rPr>
          <w:rFonts w:hint="eastAsia" w:asciiTheme="minorEastAsia" w:hAnsiTheme="minorEastAsia" w:eastAsiaTheme="minorEastAsia" w:cstheme="minorEastAsia"/>
          <w:szCs w:val="36"/>
        </w:rPr>
        <w:t>供应商须知</w:t>
      </w:r>
      <w:r>
        <w:tab/>
      </w:r>
      <w:r>
        <w:fldChar w:fldCharType="begin"/>
      </w:r>
      <w:r>
        <w:instrText xml:space="preserve"> PAGEREF _Toc17918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_Toc22994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_Toc22994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_Toc29868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_Toc29868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_Toc29004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_Toc29004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_Toc25429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_Toc25429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_Toc10030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_Toc10030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_Toc22705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_Toc22705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_Toc11310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_Toc11310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_Toc7191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_Toc7191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_Toc26095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_Toc26095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_Toc29081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_Toc29081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_Toc12599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_Toc12599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_Toc12284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_Toc12284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_Toc2687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_Toc2687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_Toc1911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_Toc1911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_Toc30778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_Toc30778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_Toc1885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_Toc1885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_Toc11356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_Toc11356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_Toc8733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_Toc8733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_Toc16081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_Toc16081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_Toc10814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_Toc10814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_Toc12559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_Toc12559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_Toc22591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_Toc22591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_Toc10992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_Toc10992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_Toc10379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_Toc10379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_Toc9058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_Toc9058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_Toc6614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_Toc6614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_Toc31680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_Toc31680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_Toc22434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_Toc22434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_Toc2766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_Toc2766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_Toc31171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_Toc31171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_Toc15530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_Toc15530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_Toc2322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_Toc2322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_Toc22323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_Toc22323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_Toc15029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_Toc15029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_Toc11953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_Toc11953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_Toc7842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_Toc7842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_Toc13516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_Toc13516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_Toc9036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_Toc9036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_Toc23558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_Toc23558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_Toc8086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_Toc8086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_Toc23649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_Toc23649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_Toc23935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_Toc23935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_Toc2518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_Toc2518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_Toc13101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bCs/>
          <w:szCs w:val="36"/>
        </w:rPr>
        <w:t>采购需求</w:t>
      </w:r>
      <w:r>
        <w:tab/>
      </w:r>
      <w:r>
        <w:fldChar w:fldCharType="begin"/>
      </w:r>
      <w:r>
        <w:instrText xml:space="preserve"> PAGEREF _Toc13101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_Toc13246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_Toc13246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_Toc25915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_Toc25915 \h </w:instrText>
      </w:r>
      <w:r>
        <w:fldChar w:fldCharType="separate"/>
      </w:r>
      <w:r>
        <w:t>29</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_Toc31847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_Toc31847 \h </w:instrText>
      </w:r>
      <w:r>
        <w:fldChar w:fldCharType="separate"/>
      </w:r>
      <w:r>
        <w:t>32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_Toc9326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_Toc9326 \h </w:instrText>
      </w:r>
      <w:r>
        <w:fldChar w:fldCharType="separate"/>
      </w:r>
      <w:r>
        <w:t>32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_Toc21093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_Toc21093 \h </w:instrText>
      </w:r>
      <w:r>
        <w:fldChar w:fldCharType="separate"/>
      </w:r>
      <w:r>
        <w:t>34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_Toc16739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_Toc16739 \h </w:instrText>
      </w:r>
      <w:r>
        <w:fldChar w:fldCharType="separate"/>
      </w:r>
      <w:r>
        <w:t>36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_Toc21284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_Toc21284 \h </w:instrText>
      </w:r>
      <w:r>
        <w:fldChar w:fldCharType="separate"/>
      </w:r>
      <w:r>
        <w:t>39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_Toc16000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_Toc16000 \h </w:instrText>
      </w:r>
      <w:r>
        <w:fldChar w:fldCharType="separate"/>
      </w:r>
      <w:r>
        <w:t>40</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_Toc29812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kern w:val="0"/>
          <w:szCs w:val="36"/>
        </w:rPr>
        <w:t xml:space="preserve">第四章 </w:t>
      </w:r>
      <w:r>
        <w:rPr>
          <w:rFonts w:hint="eastAsia" w:asciiTheme="minorEastAsia" w:hAnsiTheme="minorEastAsia" w:eastAsiaTheme="minorEastAsia" w:cstheme="minorEastAsia"/>
          <w:szCs w:val="36"/>
        </w:rPr>
        <w:t>合同书格式</w:t>
      </w:r>
      <w:r>
        <w:tab/>
      </w:r>
      <w:r>
        <w:fldChar w:fldCharType="begin"/>
      </w:r>
      <w:r>
        <w:instrText xml:space="preserve"> PAGEREF _Toc29812 \h </w:instrText>
      </w:r>
      <w:r>
        <w:fldChar w:fldCharType="separate"/>
      </w:r>
      <w:r>
        <w:t>42</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_Toc13864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第五章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_Toc13864 \h </w:instrText>
      </w:r>
      <w:r>
        <w:fldChar w:fldCharType="separate"/>
      </w:r>
      <w:r>
        <w:t>46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_Toc30233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_Toc30233 \h </w:instrText>
      </w:r>
      <w:r>
        <w:fldChar w:fldCharType="separate"/>
      </w:r>
      <w:r>
        <w:t>47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_Toc267 \h </w:instrText>
      </w:r>
      <w:r>
        <w:fldChar w:fldCharType="separate"/>
      </w:r>
      <w:r>
        <w:t>48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_Toc12816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_Toc12816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_Toc21214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_Toc21214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_Toc6285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_Toc6285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_Toc17447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六、耗材清单</w:t>
      </w:r>
      <w:r>
        <w:tab/>
      </w:r>
      <w:r>
        <w:fldChar w:fldCharType="begin"/>
      </w:r>
      <w:r>
        <w:instrText xml:space="preserve"> PAGEREF _Toc17447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_Toc11415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七、拟投入设备/备件、工具情况</w:t>
      </w:r>
      <w:r>
        <w:tab/>
      </w:r>
      <w:r>
        <w:fldChar w:fldCharType="begin"/>
      </w:r>
      <w:r>
        <w:instrText xml:space="preserve"> PAGEREF _Toc11415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_Toc19970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八、缴纳保证金的银行凭证（如有）</w:t>
      </w:r>
      <w:r>
        <w:tab/>
      </w:r>
      <w:r>
        <w:fldChar w:fldCharType="begin"/>
      </w:r>
      <w:r>
        <w:instrText xml:space="preserve"> PAGEREF _Toc19970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_Toc17470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九、偏离说明表</w:t>
      </w:r>
      <w:r>
        <w:tab/>
      </w:r>
      <w:r>
        <w:fldChar w:fldCharType="begin"/>
      </w:r>
      <w:r>
        <w:instrText xml:space="preserve"> PAGEREF _Toc17470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_Toc20989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w:t>
      </w:r>
      <w:r>
        <w:rPr>
          <w:rFonts w:hint="eastAsia" w:asciiTheme="minorEastAsia" w:hAnsiTheme="minorEastAsia" w:eastAsiaTheme="minorEastAsia" w:cstheme="minorEastAsia"/>
          <w:bCs/>
          <w:szCs w:val="21"/>
        </w:rPr>
        <w:t>类似业绩一览表</w:t>
      </w:r>
      <w:r>
        <w:t xml:space="preserve"> </w:t>
      </w:r>
      <w:r>
        <w:tab/>
      </w:r>
      <w:r>
        <w:fldChar w:fldCharType="begin"/>
      </w:r>
      <w:r>
        <w:instrText xml:space="preserve"> PAGEREF _Toc20989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_Toc6043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十一、拟投入项目组人员一览表</w:t>
      </w:r>
      <w:r>
        <w:tab/>
      </w:r>
      <w:r>
        <w:fldChar w:fldCharType="begin"/>
      </w:r>
      <w:r>
        <w:instrText xml:space="preserve"> PAGEREF _Toc6043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_Toc31141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十二、</w:t>
      </w:r>
      <w:r>
        <w:rPr>
          <w:rFonts w:hint="eastAsia" w:asciiTheme="minorEastAsia" w:hAnsiTheme="minorEastAsia" w:eastAsiaTheme="minorEastAsia" w:cstheme="minorEastAsia"/>
          <w:bCs/>
          <w:szCs w:val="21"/>
        </w:rPr>
        <w:t>供应商的资格声明</w:t>
      </w:r>
      <w:r>
        <w:tab/>
      </w:r>
      <w:r>
        <w:fldChar w:fldCharType="begin"/>
      </w:r>
      <w:r>
        <w:instrText xml:space="preserve"> PAGEREF _Toc31141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_Toc31881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资格证明文件</w:t>
      </w:r>
      <w:r>
        <w:tab/>
      </w:r>
      <w:r>
        <w:fldChar w:fldCharType="begin"/>
      </w:r>
      <w:r>
        <w:instrText xml:space="preserve"> PAGEREF _Toc31881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_Toc29639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十四、报价技术文件</w:t>
      </w:r>
      <w:r>
        <w:tab/>
      </w:r>
      <w:r>
        <w:fldChar w:fldCharType="begin"/>
      </w:r>
      <w:r>
        <w:instrText xml:space="preserve"> PAGEREF _Toc29639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_Toc23934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十五、</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shd w:val="clear" w:color="FFFFFF" w:fill="D9D9D9"/>
          <w:lang w:val="zh-CN"/>
        </w:rPr>
        <w:t>（本项目必须提供）</w:t>
      </w:r>
      <w:r>
        <w:tab/>
      </w:r>
      <w:r>
        <w:fldChar w:fldCharType="begin"/>
      </w:r>
      <w:r>
        <w:instrText xml:space="preserve"> PAGEREF _Toc23934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_Toc1138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十六、</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_Toc1138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_Toc11256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十七、</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_Toc11256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_Toc17973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十八、节能环保产品证明材料（若符合）</w:t>
      </w:r>
      <w:r>
        <w:tab/>
      </w:r>
      <w:r>
        <w:fldChar w:fldCharType="begin"/>
      </w:r>
      <w:r>
        <w:instrText xml:space="preserve"> PAGEREF _Toc17973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_Toc21315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十九、</w:t>
      </w:r>
      <w:r>
        <w:rPr>
          <w:rFonts w:hint="eastAsia" w:asciiTheme="minorEastAsia" w:hAnsiTheme="minorEastAsia" w:eastAsiaTheme="minorEastAsia" w:cstheme="minorEastAsia"/>
        </w:rPr>
        <w:t>无重大违法记录声明</w:t>
      </w:r>
      <w:r>
        <w:tab/>
      </w:r>
      <w:r>
        <w:fldChar w:fldCharType="begin"/>
      </w:r>
      <w:r>
        <w:instrText xml:space="preserve"> PAGEREF _Toc21315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_Toc11830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shd w:val="clear" w:color="auto" w:fill="FFFFFF"/>
        </w:rPr>
        <w:t>二十、磋商供应商认为应该提交的其它文件（格式自拟）</w:t>
      </w:r>
      <w:r>
        <w:t xml:space="preserve"> </w:t>
      </w:r>
      <w:r>
        <w:tab/>
      </w:r>
      <w:r>
        <w:fldChar w:fldCharType="begin"/>
      </w:r>
      <w:r>
        <w:instrText xml:space="preserve"> PAGEREF _Toc11830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w:t>
      </w:r>
      <w:r>
        <w:rPr>
          <w:rFonts w:hint="eastAsia" w:ascii="宋体" w:hAnsi="宋体" w:cs="宋体"/>
          <w:b/>
          <w:bCs/>
          <w:color w:val="auto"/>
          <w:sz w:val="24"/>
          <w:szCs w:val="24"/>
        </w:rPr>
        <w:t>☆</w:t>
      </w:r>
      <w:r>
        <w:rPr>
          <w:rFonts w:hint="eastAsia" w:asciiTheme="minorEastAsia" w:hAnsiTheme="minorEastAsia" w:eastAsiaTheme="minorEastAsia" w:cstheme="minorEastAsia"/>
          <w:color w:val="auto"/>
          <w:sz w:val="24"/>
          <w:szCs w:val="24"/>
        </w:rPr>
        <w:t>”号条款均为实质性响应指标要求，必须全部响应。若有一项带“</w:t>
      </w:r>
      <w:r>
        <w:rPr>
          <w:rFonts w:hint="eastAsia" w:ascii="宋体" w:hAnsi="宋体" w:cs="宋体"/>
          <w:b/>
          <w:bCs/>
          <w:color w:val="auto"/>
          <w:sz w:val="24"/>
          <w:szCs w:val="24"/>
        </w:rPr>
        <w:t>☆</w:t>
      </w:r>
      <w:r>
        <w:rPr>
          <w:rFonts w:hint="eastAsia" w:asciiTheme="minorEastAsia" w:hAnsiTheme="minorEastAsia" w:eastAsiaTheme="minorEastAsia" w:cstheme="minorEastAsia"/>
          <w:color w:val="auto"/>
          <w:sz w:val="24"/>
          <w:szCs w:val="24"/>
        </w:rPr>
        <w:t>”条款未响应或不满足，均视为非实质性响应招标文件，按无效投标处理。</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4"/>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360" w:lineRule="auto"/>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br w:type="page"/>
      </w:r>
    </w:p>
    <w:p>
      <w:pPr>
        <w:numPr>
          <w:ilvl w:val="0"/>
          <w:numId w:val="5"/>
        </w:numPr>
        <w:spacing w:line="360" w:lineRule="auto"/>
        <w:jc w:val="center"/>
        <w:outlineLvl w:val="0"/>
        <w:rPr>
          <w:b/>
          <w:bCs/>
          <w:sz w:val="24"/>
        </w:rPr>
      </w:pPr>
      <w:bookmarkStart w:id="0" w:name="_Toc6866"/>
      <w:bookmarkEnd w:id="0"/>
      <w:bookmarkStart w:id="1" w:name="_Toc3833"/>
      <w:r>
        <w:rPr>
          <w:rFonts w:hint="eastAsia" w:ascii="宋体" w:hAnsi="宋体" w:cs="宋体"/>
          <w:b/>
          <w:sz w:val="36"/>
          <w:szCs w:val="36"/>
        </w:rPr>
        <w:t>竞争性磋商公告</w:t>
      </w:r>
      <w:bookmarkEnd w:id="1"/>
    </w:p>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szCs w:val="21"/>
        </w:rPr>
      </w:pPr>
      <w:r>
        <w:rPr>
          <w:rFonts w:hint="eastAsia" w:ascii="宋体" w:hAnsi="宋体" w:cs="宋体"/>
          <w:b/>
          <w:bCs/>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湖北工业大学2023年学生宿舍增补家具（北1、2栋）</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获取采购文件，并于</w:t>
      </w:r>
      <w:r>
        <w:rPr>
          <w:rFonts w:hint="eastAsia" w:ascii="宋体" w:hAnsi="宋体" w:cs="宋体"/>
          <w:color w:val="2327E9"/>
          <w:szCs w:val="21"/>
          <w:u w:val="single"/>
        </w:rPr>
        <w:t>2023年</w:t>
      </w:r>
      <w:r>
        <w:rPr>
          <w:rFonts w:hint="eastAsia" w:ascii="宋体" w:hAnsi="宋体" w:cs="宋体"/>
          <w:color w:val="2327E9"/>
          <w:szCs w:val="21"/>
          <w:u w:val="single"/>
          <w:lang w:val="en-US" w:eastAsia="zh-CN"/>
        </w:rPr>
        <w:t>8</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10</w:t>
      </w:r>
      <w:r>
        <w:rPr>
          <w:rFonts w:hint="eastAsia" w:ascii="宋体" w:hAnsi="宋体" w:cs="宋体"/>
          <w:color w:val="2327E9"/>
          <w:szCs w:val="21"/>
          <w:u w:val="single"/>
        </w:rPr>
        <w:t>日</w:t>
      </w:r>
      <w:r>
        <w:rPr>
          <w:rFonts w:hint="eastAsia" w:ascii="宋体" w:hAnsi="宋体" w:cs="宋体"/>
          <w:color w:val="2327E9"/>
          <w:szCs w:val="21"/>
          <w:u w:val="single"/>
          <w:lang w:val="en-US" w:eastAsia="zh-CN"/>
        </w:rPr>
        <w:t>14</w:t>
      </w:r>
      <w:r>
        <w:rPr>
          <w:rFonts w:hint="eastAsia" w:ascii="宋体" w:hAnsi="宋体" w:cs="宋体"/>
          <w:color w:val="2327E9"/>
          <w:szCs w:val="21"/>
          <w:u w:val="single"/>
        </w:rPr>
        <w:t>点</w:t>
      </w:r>
      <w:r>
        <w:rPr>
          <w:rFonts w:hint="eastAsia" w:ascii="宋体" w:hAnsi="宋体" w:cs="宋体"/>
          <w:color w:val="2327E9"/>
          <w:szCs w:val="21"/>
          <w:u w:val="single"/>
          <w:lang w:val="en-US" w:eastAsia="zh-CN"/>
        </w:rPr>
        <w:t>00</w:t>
      </w:r>
      <w:r>
        <w:rPr>
          <w:rFonts w:hint="eastAsia" w:ascii="宋体" w:hAnsi="宋体" w:cs="宋体"/>
          <w:color w:val="2327E9"/>
          <w:szCs w:val="21"/>
          <w:u w:val="single"/>
        </w:rPr>
        <w:t>分</w:t>
      </w:r>
      <w:r>
        <w:rPr>
          <w:rFonts w:hint="eastAsia" w:ascii="宋体" w:hAnsi="宋体" w:cs="宋体"/>
          <w:szCs w:val="21"/>
        </w:rPr>
        <w:t>（北京时间）前递交响应文件。</w:t>
      </w:r>
    </w:p>
    <w:p>
      <w:pPr>
        <w:pStyle w:val="4"/>
        <w:numPr>
          <w:ilvl w:val="0"/>
          <w:numId w:val="6"/>
        </w:numPr>
        <w:spacing w:line="360" w:lineRule="auto"/>
        <w:jc w:val="left"/>
        <w:rPr>
          <w:rFonts w:ascii="宋体" w:hAnsi="宋体" w:eastAsia="宋体" w:cs="宋体"/>
          <w:sz w:val="21"/>
          <w:szCs w:val="21"/>
        </w:rPr>
      </w:pPr>
      <w:bookmarkStart w:id="2" w:name="_Toc6281"/>
      <w:r>
        <w:rPr>
          <w:rFonts w:hint="eastAsia" w:ascii="宋体" w:hAnsi="宋体" w:eastAsia="宋体" w:cs="宋体"/>
          <w:sz w:val="21"/>
          <w:szCs w:val="21"/>
        </w:rPr>
        <w:t>项目基本情况</w:t>
      </w:r>
      <w:bookmarkEnd w:id="2"/>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1.项目编号：HGDXW23-047/ZCHM-202307-195</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2.项目名称：湖北工业大学2023年学生宿舍增补家具（北1、2栋）   </w:t>
      </w:r>
      <w:r>
        <w:br w:type="textWrapping"/>
      </w:r>
      <w:r>
        <w:rPr>
          <w:rFonts w:hint="eastAsia" w:asciiTheme="minorEastAsia" w:hAnsiTheme="minorEastAsia" w:eastAsiaTheme="minorEastAsia" w:cstheme="minorEastAsia"/>
          <w:szCs w:val="21"/>
        </w:rPr>
        <w:t>3.采购方式：竞争性磋商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4.预算金额：人民币</w:t>
      </w:r>
      <w:r>
        <w:rPr>
          <w:rFonts w:hint="eastAsia" w:asciiTheme="minorEastAsia" w:hAnsiTheme="minorEastAsia" w:eastAsiaTheme="minorEastAsia" w:cstheme="minorEastAsia"/>
          <w:szCs w:val="21"/>
          <w:u w:val="single"/>
        </w:rPr>
        <w:t xml:space="preserve"> 23.</w:t>
      </w:r>
      <w:r>
        <w:rPr>
          <w:rFonts w:asciiTheme="minorEastAsia" w:hAnsiTheme="minorEastAsia" w:eastAsiaTheme="minorEastAsia" w:cstheme="minorEastAsia"/>
          <w:szCs w:val="21"/>
          <w:u w:val="single"/>
        </w:rPr>
        <w:t>756</w:t>
      </w:r>
      <w:r>
        <w:rPr>
          <w:rFonts w:hint="eastAsia" w:asciiTheme="minorEastAsia" w:hAnsiTheme="minorEastAsia" w:eastAsiaTheme="minorEastAsia" w:cstheme="minorEastAsia"/>
          <w:szCs w:val="21"/>
          <w:u w:val="single"/>
        </w:rPr>
        <w:t>万元</w:t>
      </w:r>
      <w:r>
        <w:br w:type="textWrapping"/>
      </w:r>
      <w:r>
        <w:rPr>
          <w:rFonts w:hint="eastAsia" w:asciiTheme="minorEastAsia" w:hAnsiTheme="minorEastAsia" w:eastAsiaTheme="minorEastAsia" w:cstheme="minorEastAsia"/>
          <w:szCs w:val="21"/>
        </w:rPr>
        <w:t>5.最高限价：人民币</w:t>
      </w:r>
      <w:r>
        <w:rPr>
          <w:rFonts w:hint="eastAsia" w:asciiTheme="minorEastAsia" w:hAnsiTheme="minorEastAsia" w:eastAsiaTheme="minorEastAsia" w:cstheme="minorEastAsia"/>
          <w:szCs w:val="21"/>
          <w:u w:val="single"/>
        </w:rPr>
        <w:t xml:space="preserve"> 23.</w:t>
      </w:r>
      <w:r>
        <w:rPr>
          <w:rFonts w:asciiTheme="minorEastAsia" w:hAnsiTheme="minorEastAsia" w:eastAsiaTheme="minorEastAsia" w:cstheme="minorEastAsia"/>
          <w:szCs w:val="21"/>
          <w:u w:val="single"/>
        </w:rPr>
        <w:t>756</w:t>
      </w:r>
      <w:r>
        <w:rPr>
          <w:rFonts w:hint="eastAsia" w:asciiTheme="minorEastAsia" w:hAnsiTheme="minorEastAsia" w:eastAsiaTheme="minorEastAsia" w:cstheme="minorEastAsia"/>
          <w:szCs w:val="21"/>
          <w:u w:val="single"/>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6.采购需求：本项目共为1个包。采购内容包含</w:t>
      </w:r>
      <w:r>
        <w:rPr>
          <w:rFonts w:hint="eastAsia" w:ascii="宋体" w:hAnsi="宋体" w:cs="宋体" w:eastAsiaTheme="minorEastAsia"/>
          <w:kern w:val="0"/>
          <w:szCs w:val="21"/>
        </w:rPr>
        <w:t>上下铺公寓床</w:t>
      </w:r>
      <w:r>
        <w:rPr>
          <w:rFonts w:hint="eastAsia" w:ascii="宋体" w:hAnsi="宋体" w:cs="宋体"/>
          <w:kern w:val="0"/>
          <w:szCs w:val="21"/>
        </w:rPr>
        <w:t>（数量48套）、书桌（数量96</w:t>
      </w:r>
      <w:r>
        <w:rPr>
          <w:rFonts w:hint="eastAsia" w:ascii="宋体" w:hAnsi="宋体" w:cs="宋体"/>
          <w:szCs w:val="21"/>
        </w:rPr>
        <w:t>张</w:t>
      </w:r>
      <w:r>
        <w:rPr>
          <w:rFonts w:hint="eastAsia" w:ascii="宋体" w:hAnsi="宋体" w:cs="宋体"/>
          <w:kern w:val="0"/>
          <w:szCs w:val="21"/>
        </w:rPr>
        <w:t>）、学习椅（数量</w:t>
      </w:r>
      <w:r>
        <w:rPr>
          <w:rFonts w:ascii="宋体" w:hAnsi="宋体" w:cs="宋体"/>
          <w:kern w:val="0"/>
          <w:szCs w:val="21"/>
        </w:rPr>
        <w:t>700</w:t>
      </w:r>
      <w:r>
        <w:rPr>
          <w:rFonts w:hint="eastAsia" w:ascii="宋体" w:hAnsi="宋体" w:cs="宋体"/>
          <w:szCs w:val="21"/>
        </w:rPr>
        <w:t>把</w:t>
      </w:r>
      <w:r>
        <w:rPr>
          <w:rFonts w:hint="eastAsia" w:ascii="宋体" w:hAnsi="宋体" w:cs="宋体"/>
          <w:kern w:val="0"/>
          <w:szCs w:val="21"/>
        </w:rPr>
        <w:t>）</w:t>
      </w:r>
      <w:r>
        <w:rPr>
          <w:rFonts w:hint="eastAsia" w:asciiTheme="minorEastAsia" w:hAnsiTheme="minorEastAsia" w:eastAsiaTheme="minorEastAsia" w:cstheme="minorEastAsia"/>
          <w:szCs w:val="21"/>
        </w:rPr>
        <w:t>。(详见采购文件第三章“项目采购需求”）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7.合同履行期限：</w:t>
      </w:r>
      <w:r>
        <w:rPr>
          <w:rFonts w:hint="eastAsia" w:ascii="宋体" w:hAnsi="宋体" w:cs="宋体"/>
          <w:szCs w:val="21"/>
          <w:u w:val="single"/>
        </w:rPr>
        <w:t>交货期：</w:t>
      </w:r>
      <w:r>
        <w:rPr>
          <w:rFonts w:hint="eastAsia"/>
          <w:u w:val="single"/>
        </w:rPr>
        <w:t xml:space="preserve">自签订合同之日起 </w:t>
      </w:r>
      <w:r>
        <w:rPr>
          <w:u w:val="single"/>
        </w:rPr>
        <w:t>25</w:t>
      </w:r>
      <w:r>
        <w:rPr>
          <w:rFonts w:hint="eastAsia"/>
          <w:u w:val="single"/>
        </w:rPr>
        <w:t>天内完成供货、安装、调试工作。质保期/保修期：验收合格之日起 5年。</w:t>
      </w:r>
      <w:r>
        <w:rPr>
          <w:rFonts w:hint="eastAsia" w:ascii="宋体" w:hAnsi="宋体" w:cs="宋体"/>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8.本项目（是/否）接受联合体投标：否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9.是否可采购进口产品：否</w:t>
      </w:r>
    </w:p>
    <w:p>
      <w:pPr>
        <w:spacing w:line="360" w:lineRule="auto"/>
        <w:jc w:val="left"/>
        <w:rPr>
          <w:rFonts w:ascii="宋体" w:hAnsi="宋体" w:cs="宋体" w:eastAsiaTheme="minorEastAsia"/>
          <w:szCs w:val="21"/>
        </w:rPr>
      </w:pPr>
      <w:r>
        <w:rPr>
          <w:rFonts w:hint="eastAsia" w:asciiTheme="minorEastAsia" w:hAnsiTheme="minorEastAsia" w:eastAsiaTheme="minorEastAsia" w:cstheme="minorEastAsia"/>
          <w:szCs w:val="21"/>
        </w:rPr>
        <w:t>10.</w:t>
      </w:r>
      <w:r>
        <w:rPr>
          <w:rFonts w:hint="eastAsia" w:asciiTheme="minorEastAsia" w:hAnsiTheme="minorEastAsia" w:eastAsiaTheme="minorEastAsia" w:cstheme="minorEastAsia"/>
          <w:b/>
          <w:bCs/>
          <w:szCs w:val="21"/>
        </w:rPr>
        <w:t>本项目（是/否）专门面向中小微企业：是</w:t>
      </w:r>
    </w:p>
    <w:p>
      <w:pPr>
        <w:pStyle w:val="4"/>
        <w:numPr>
          <w:ilvl w:val="0"/>
          <w:numId w:val="6"/>
        </w:numPr>
        <w:spacing w:line="360" w:lineRule="auto"/>
        <w:jc w:val="left"/>
        <w:rPr>
          <w:rFonts w:ascii="宋体" w:hAnsi="宋体" w:eastAsia="宋体" w:cs="宋体"/>
          <w:sz w:val="21"/>
          <w:szCs w:val="21"/>
        </w:rPr>
      </w:pPr>
      <w:bookmarkStart w:id="3" w:name="_Toc17692"/>
      <w:r>
        <w:rPr>
          <w:rFonts w:hint="eastAsia" w:ascii="宋体" w:hAnsi="宋体" w:eastAsia="宋体" w:cs="宋体"/>
          <w:sz w:val="21"/>
          <w:szCs w:val="21"/>
        </w:rPr>
        <w:t>申请人的资格要求</w:t>
      </w:r>
      <w:bookmarkEnd w:id="3"/>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宋体" w:hAnsi="宋体" w:cs="宋体"/>
          <w:szCs w:val="21"/>
        </w:rPr>
      </w:pPr>
      <w:r>
        <w:rPr>
          <w:rFonts w:hint="eastAsia" w:ascii="宋体" w:hAnsi="宋体" w:cs="宋体"/>
          <w:szCs w:val="21"/>
        </w:rPr>
        <w:t>4.未被列入失信被执行人、重大税收违法案件当事人名单，未被列入政府采购严重违法失信行为记录名单。</w:t>
      </w:r>
    </w:p>
    <w:p>
      <w:pPr>
        <w:spacing w:line="360" w:lineRule="auto"/>
        <w:ind w:firstLine="420" w:firstLineChars="200"/>
        <w:jc w:val="left"/>
        <w:rPr>
          <w:rFonts w:ascii="宋体" w:hAnsi="宋体" w:cs="宋体"/>
          <w:szCs w:val="21"/>
        </w:rPr>
      </w:pPr>
      <w:r>
        <w:rPr>
          <w:rFonts w:hint="eastAsia" w:ascii="宋体" w:hAnsi="宋体" w:cs="宋体"/>
          <w:szCs w:val="21"/>
        </w:rPr>
        <w:t>5.落实政府采购政策需满足的资格要求：</w:t>
      </w:r>
      <w:r>
        <w:rPr>
          <w:rFonts w:hint="eastAsia" w:asciiTheme="minorEastAsia" w:hAnsiTheme="minorEastAsia" w:eastAsiaTheme="minorEastAsia" w:cstheme="minorEastAsia"/>
          <w:szCs w:val="21"/>
        </w:rPr>
        <w:t>本项目整体专门面向中小企业采购，供应商所投货物全部由符合《政府采购促进中小企业发展管理办法》（财库【2020】46号）规定的中小企业制造。（监狱企业、残疾人福利性单位均视同小型、微型企业）。本项目企业划分标准所属行业为“工业”。</w:t>
      </w:r>
    </w:p>
    <w:p>
      <w:pPr>
        <w:spacing w:line="360" w:lineRule="auto"/>
        <w:ind w:firstLine="422" w:firstLineChars="200"/>
        <w:jc w:val="left"/>
        <w:rPr>
          <w:rFonts w:ascii="宋体" w:hAnsi="宋体" w:cs="宋体"/>
          <w:szCs w:val="21"/>
        </w:rPr>
      </w:pPr>
      <w:r>
        <w:rPr>
          <w:rFonts w:hint="eastAsia" w:asciiTheme="minorEastAsia" w:hAnsiTheme="minorEastAsia" w:eastAsiaTheme="minorEastAsia" w:cstheme="minorEastAsia"/>
          <w:b/>
          <w:bCs/>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4" w:name="_Toc3470"/>
      <w:r>
        <w:rPr>
          <w:rFonts w:hint="eastAsia" w:ascii="宋体" w:hAnsi="宋体" w:eastAsia="宋体" w:cs="宋体"/>
          <w:sz w:val="21"/>
          <w:szCs w:val="21"/>
        </w:rPr>
        <w:t>获取采购文件</w:t>
      </w:r>
      <w:bookmarkEnd w:id="4"/>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2327E9"/>
          <w:szCs w:val="21"/>
          <w:u w:val="single"/>
        </w:rPr>
        <w:t>2023年</w:t>
      </w:r>
      <w:r>
        <w:rPr>
          <w:rFonts w:hint="eastAsia" w:ascii="宋体" w:hAnsi="宋体" w:cs="宋体"/>
          <w:color w:val="2327E9"/>
          <w:szCs w:val="21"/>
          <w:u w:val="single"/>
          <w:lang w:val="en-US" w:eastAsia="zh-CN"/>
        </w:rPr>
        <w:t>07</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31</w:t>
      </w:r>
      <w:r>
        <w:rPr>
          <w:rFonts w:hint="eastAsia" w:ascii="宋体" w:hAnsi="宋体" w:cs="宋体"/>
          <w:color w:val="2327E9"/>
          <w:szCs w:val="21"/>
          <w:u w:val="single"/>
        </w:rPr>
        <w:t>日至2023年</w:t>
      </w:r>
      <w:r>
        <w:rPr>
          <w:rFonts w:hint="eastAsia" w:ascii="宋体" w:hAnsi="宋体" w:cs="宋体"/>
          <w:color w:val="2327E9"/>
          <w:szCs w:val="21"/>
          <w:u w:val="single"/>
          <w:lang w:val="en-US" w:eastAsia="zh-CN"/>
        </w:rPr>
        <w:t>08</w:t>
      </w:r>
      <w:r>
        <w:rPr>
          <w:rFonts w:hint="eastAsia" w:ascii="宋体" w:hAnsi="宋体" w:cs="宋体"/>
          <w:color w:val="2327E9"/>
          <w:szCs w:val="21"/>
          <w:u w:val="single"/>
        </w:rPr>
        <w:t>月</w:t>
      </w:r>
      <w:r>
        <w:rPr>
          <w:rFonts w:hint="eastAsia" w:ascii="宋体" w:hAnsi="宋体" w:cs="宋体"/>
          <w:color w:val="2327E9"/>
          <w:szCs w:val="21"/>
          <w:u w:val="single"/>
          <w:lang w:val="en-US" w:eastAsia="zh-CN"/>
        </w:rPr>
        <w:t>04</w:t>
      </w:r>
      <w:r>
        <w:rPr>
          <w:rFonts w:hint="eastAsia" w:ascii="宋体" w:hAnsi="宋体" w:cs="宋体"/>
          <w:color w:val="2327E9"/>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ascii="宋体" w:hAnsi="宋体" w:cs="宋体"/>
          <w:szCs w:val="21"/>
        </w:rPr>
      </w:pPr>
      <w:r>
        <w:rPr>
          <w:rFonts w:hint="eastAsia" w:ascii="宋体" w:hAnsi="宋体" w:cs="宋体"/>
          <w:szCs w:val="21"/>
        </w:rPr>
        <w:t>（2）平台获取：供应商登陆诚亿达电子招标服务平台（http://zb.hubeidream.com/#/login），按照“操作指引”完成获取。</w:t>
      </w:r>
      <w:r>
        <w:br w:type="textWrapping"/>
      </w:r>
      <w:r>
        <w:rPr>
          <w:rFonts w:hint="eastAsia" w:ascii="宋体" w:hAnsi="宋体" w:cs="宋体"/>
          <w:szCs w:val="21"/>
        </w:rPr>
        <w:t xml:space="preserve">    （3）邮箱获取：</w:t>
      </w:r>
      <w:r>
        <w:fldChar w:fldCharType="begin"/>
      </w:r>
      <w:r>
        <w:instrText xml:space="preserve"> HYPERLINK "mailto: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 </w:instrText>
      </w:r>
      <w:r>
        <w:fldChar w:fldCharType="separate"/>
      </w:r>
      <w:r>
        <w:rPr>
          <w:rStyle w:val="33"/>
          <w:rFonts w:hint="eastAsia" w:ascii="宋体" w:hAnsi="宋体" w:cs="宋体"/>
          <w:color w:val="auto"/>
          <w:sz w:val="21"/>
          <w:szCs w:val="21"/>
          <w:u w:val="none"/>
        </w:rPr>
        <w:t>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w:t>
      </w:r>
      <w:r>
        <w:rPr>
          <w:rStyle w:val="33"/>
          <w:rFonts w:hint="eastAsia" w:ascii="宋体" w:hAnsi="宋体" w:cs="宋体"/>
          <w:color w:val="auto"/>
          <w:sz w:val="21"/>
          <w:szCs w:val="21"/>
          <w:u w:val="none"/>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售价：400（元）；</w:t>
      </w:r>
    </w:p>
    <w:p>
      <w:pPr>
        <w:pStyle w:val="4"/>
        <w:numPr>
          <w:ilvl w:val="0"/>
          <w:numId w:val="6"/>
        </w:numPr>
        <w:spacing w:before="100" w:after="100" w:line="360" w:lineRule="auto"/>
        <w:jc w:val="left"/>
        <w:rPr>
          <w:rFonts w:ascii="宋体" w:hAnsi="宋体" w:eastAsia="宋体" w:cs="宋体"/>
          <w:sz w:val="21"/>
          <w:szCs w:val="21"/>
        </w:rPr>
      </w:pPr>
      <w:bookmarkStart w:id="5" w:name="_Toc3049"/>
      <w:r>
        <w:rPr>
          <w:rFonts w:hint="eastAsia" w:ascii="宋体" w:hAnsi="宋体" w:eastAsia="宋体" w:cs="宋体"/>
          <w:sz w:val="21"/>
          <w:szCs w:val="21"/>
        </w:rPr>
        <w:t>响应文件提交</w:t>
      </w:r>
      <w:bookmarkEnd w:id="5"/>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8</w:t>
      </w:r>
      <w:r>
        <w:rPr>
          <w:rFonts w:hint="eastAsia" w:ascii="宋体" w:hAnsi="宋体" w:cs="宋体"/>
          <w:color w:val="2327E9"/>
          <w:szCs w:val="21"/>
          <w:u w:val="none"/>
        </w:rPr>
        <w:t>月</w:t>
      </w:r>
      <w:r>
        <w:rPr>
          <w:rFonts w:hint="eastAsia" w:ascii="宋体" w:hAnsi="宋体" w:cs="宋体"/>
          <w:color w:val="2327E9"/>
          <w:szCs w:val="21"/>
          <w:u w:val="none"/>
          <w:lang w:val="en-US" w:eastAsia="zh-CN"/>
        </w:rPr>
        <w:t>10</w:t>
      </w:r>
      <w:r>
        <w:rPr>
          <w:rFonts w:hint="eastAsia" w:ascii="宋体" w:hAnsi="宋体" w:cs="宋体"/>
          <w:color w:val="2327E9"/>
          <w:szCs w:val="21"/>
          <w:u w:val="none"/>
        </w:rPr>
        <w:t>日</w:t>
      </w:r>
      <w:r>
        <w:rPr>
          <w:rFonts w:hint="eastAsia" w:ascii="宋体" w:hAnsi="宋体" w:cs="宋体"/>
          <w:color w:val="2327E9"/>
          <w:szCs w:val="21"/>
          <w:u w:val="none"/>
          <w:lang w:val="en-US" w:eastAsia="zh-CN"/>
        </w:rPr>
        <w:t>12</w:t>
      </w:r>
      <w:r>
        <w:rPr>
          <w:rFonts w:hint="eastAsia" w:ascii="宋体" w:hAnsi="宋体" w:cs="宋体"/>
          <w:color w:val="2327E9"/>
          <w:szCs w:val="21"/>
          <w:u w:val="none"/>
        </w:rPr>
        <w:t>点</w:t>
      </w:r>
      <w:r>
        <w:rPr>
          <w:rFonts w:hint="eastAsia" w:ascii="宋体" w:hAnsi="宋体" w:cs="宋体"/>
          <w:color w:val="2327E9"/>
          <w:szCs w:val="21"/>
          <w:u w:val="none"/>
          <w:lang w:val="en-US" w:eastAsia="zh-CN"/>
        </w:rPr>
        <w:t>00</w:t>
      </w:r>
      <w:r>
        <w:rPr>
          <w:rFonts w:hint="eastAsia" w:ascii="宋体" w:hAnsi="宋体" w:cs="宋体"/>
          <w:color w:val="2327E9"/>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8</w:t>
      </w:r>
      <w:r>
        <w:rPr>
          <w:rFonts w:hint="eastAsia" w:ascii="宋体" w:hAnsi="宋体" w:cs="宋体"/>
          <w:color w:val="2327E9"/>
          <w:szCs w:val="21"/>
          <w:u w:val="none"/>
        </w:rPr>
        <w:t>月</w:t>
      </w:r>
      <w:r>
        <w:rPr>
          <w:rFonts w:hint="eastAsia" w:ascii="宋体" w:hAnsi="宋体" w:cs="宋体"/>
          <w:color w:val="2327E9"/>
          <w:szCs w:val="21"/>
          <w:u w:val="none"/>
          <w:lang w:val="en-US" w:eastAsia="zh-CN"/>
        </w:rPr>
        <w:t>10</w:t>
      </w:r>
      <w:r>
        <w:rPr>
          <w:rFonts w:hint="eastAsia" w:ascii="宋体" w:hAnsi="宋体" w:cs="宋体"/>
          <w:color w:val="2327E9"/>
          <w:szCs w:val="21"/>
          <w:u w:val="none"/>
        </w:rPr>
        <w:t>日</w:t>
      </w:r>
      <w:r>
        <w:rPr>
          <w:rFonts w:hint="eastAsia" w:ascii="宋体" w:hAnsi="宋体" w:cs="宋体"/>
          <w:color w:val="2327E9"/>
          <w:szCs w:val="21"/>
          <w:u w:val="none"/>
          <w:lang w:val="en-US" w:eastAsia="zh-CN"/>
        </w:rPr>
        <w:t>14</w:t>
      </w:r>
      <w:r>
        <w:rPr>
          <w:rFonts w:hint="eastAsia" w:ascii="宋体" w:hAnsi="宋体" w:cs="宋体"/>
          <w:color w:val="2327E9"/>
          <w:szCs w:val="21"/>
          <w:u w:val="none"/>
        </w:rPr>
        <w:t>点</w:t>
      </w:r>
      <w:r>
        <w:rPr>
          <w:rFonts w:hint="eastAsia" w:ascii="宋体" w:hAnsi="宋体" w:cs="宋体"/>
          <w:color w:val="2327E9"/>
          <w:szCs w:val="21"/>
          <w:u w:val="none"/>
          <w:lang w:val="en-US" w:eastAsia="zh-CN"/>
        </w:rPr>
        <w:t>00</w:t>
      </w:r>
      <w:r>
        <w:rPr>
          <w:rFonts w:hint="eastAsia" w:ascii="宋体" w:hAnsi="宋体" w:cs="宋体"/>
          <w:color w:val="2327E9"/>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4"/>
        <w:numPr>
          <w:ilvl w:val="0"/>
          <w:numId w:val="6"/>
        </w:numPr>
        <w:spacing w:before="100" w:after="100" w:line="360" w:lineRule="auto"/>
        <w:jc w:val="left"/>
        <w:rPr>
          <w:rFonts w:ascii="宋体" w:hAnsi="宋体" w:eastAsia="宋体" w:cs="宋体"/>
          <w:sz w:val="21"/>
          <w:szCs w:val="21"/>
        </w:rPr>
      </w:pPr>
      <w:bookmarkStart w:id="6" w:name="_Toc825"/>
      <w:r>
        <w:rPr>
          <w:rFonts w:hint="eastAsia" w:ascii="宋体" w:hAnsi="宋体" w:eastAsia="宋体" w:cs="宋体"/>
          <w:sz w:val="21"/>
          <w:szCs w:val="21"/>
        </w:rPr>
        <w:t>开启</w:t>
      </w:r>
      <w:bookmarkEnd w:id="6"/>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2327E9"/>
          <w:szCs w:val="21"/>
          <w:u w:val="none"/>
        </w:rPr>
        <w:t>2023年</w:t>
      </w:r>
      <w:r>
        <w:rPr>
          <w:rFonts w:hint="eastAsia" w:ascii="宋体" w:hAnsi="宋体" w:cs="宋体"/>
          <w:color w:val="2327E9"/>
          <w:szCs w:val="21"/>
          <w:u w:val="none"/>
          <w:lang w:val="en-US" w:eastAsia="zh-CN"/>
        </w:rPr>
        <w:t>8</w:t>
      </w:r>
      <w:r>
        <w:rPr>
          <w:rFonts w:hint="eastAsia" w:ascii="宋体" w:hAnsi="宋体" w:cs="宋体"/>
          <w:color w:val="2327E9"/>
          <w:szCs w:val="21"/>
          <w:u w:val="none"/>
        </w:rPr>
        <w:t>月</w:t>
      </w:r>
      <w:r>
        <w:rPr>
          <w:rFonts w:hint="eastAsia" w:ascii="宋体" w:hAnsi="宋体" w:cs="宋体"/>
          <w:color w:val="2327E9"/>
          <w:szCs w:val="21"/>
          <w:u w:val="none"/>
          <w:lang w:val="en-US" w:eastAsia="zh-CN"/>
        </w:rPr>
        <w:t>10</w:t>
      </w:r>
      <w:r>
        <w:rPr>
          <w:rFonts w:hint="eastAsia" w:ascii="宋体" w:hAnsi="宋体" w:cs="宋体"/>
          <w:color w:val="2327E9"/>
          <w:szCs w:val="21"/>
          <w:u w:val="none"/>
        </w:rPr>
        <w:t>日</w:t>
      </w:r>
      <w:r>
        <w:rPr>
          <w:rFonts w:hint="eastAsia" w:ascii="宋体" w:hAnsi="宋体" w:cs="宋体"/>
          <w:color w:val="2327E9"/>
          <w:szCs w:val="21"/>
          <w:u w:val="none"/>
          <w:lang w:val="en-US" w:eastAsia="zh-CN"/>
        </w:rPr>
        <w:t>14</w:t>
      </w:r>
      <w:r>
        <w:rPr>
          <w:rFonts w:hint="eastAsia" w:ascii="宋体" w:hAnsi="宋体" w:cs="宋体"/>
          <w:color w:val="2327E9"/>
          <w:szCs w:val="21"/>
          <w:u w:val="none"/>
        </w:rPr>
        <w:t>点</w:t>
      </w:r>
      <w:r>
        <w:rPr>
          <w:rFonts w:hint="eastAsia" w:ascii="宋体" w:hAnsi="宋体" w:cs="宋体"/>
          <w:color w:val="2327E9"/>
          <w:szCs w:val="21"/>
          <w:u w:val="none"/>
          <w:lang w:val="en-US" w:eastAsia="zh-CN"/>
        </w:rPr>
        <w:t>00</w:t>
      </w:r>
      <w:r>
        <w:rPr>
          <w:rFonts w:hint="eastAsia" w:ascii="宋体" w:hAnsi="宋体" w:cs="宋体"/>
          <w:color w:val="2327E9"/>
          <w:szCs w:val="21"/>
          <w:u w:val="none"/>
        </w:rPr>
        <w:t>分</w:t>
      </w:r>
      <w:r>
        <w:rPr>
          <w:rFonts w:hint="eastAsia" w:ascii="宋体" w:hAnsi="宋体" w:cs="宋体"/>
          <w:szCs w:val="21"/>
        </w:rPr>
        <w:t>（北京时间）</w:t>
      </w:r>
    </w:p>
    <w:p>
      <w:pPr>
        <w:pStyle w:val="4"/>
        <w:numPr>
          <w:ilvl w:val="0"/>
          <w:numId w:val="6"/>
        </w:numPr>
        <w:spacing w:before="100" w:after="100" w:line="360" w:lineRule="auto"/>
        <w:jc w:val="left"/>
        <w:rPr>
          <w:rFonts w:ascii="宋体" w:hAnsi="宋体" w:eastAsia="宋体" w:cs="宋体"/>
          <w:sz w:val="21"/>
          <w:szCs w:val="21"/>
        </w:rPr>
      </w:pPr>
      <w:bookmarkStart w:id="7" w:name="_Toc6612"/>
      <w:r>
        <w:rPr>
          <w:rFonts w:hint="eastAsia" w:ascii="宋体" w:hAnsi="宋体" w:eastAsia="宋体" w:cs="宋体"/>
          <w:sz w:val="21"/>
          <w:szCs w:val="21"/>
        </w:rPr>
        <w:t>公告期限</w:t>
      </w:r>
      <w:bookmarkEnd w:id="7"/>
    </w:p>
    <w:p>
      <w:pPr>
        <w:spacing w:line="360" w:lineRule="auto"/>
        <w:ind w:firstLine="420" w:firstLineChars="200"/>
        <w:jc w:val="left"/>
        <w:rPr>
          <w:rFonts w:ascii="宋体" w:hAnsi="宋体" w:cs="宋体"/>
          <w:szCs w:val="21"/>
        </w:rPr>
      </w:pPr>
      <w:r>
        <w:rPr>
          <w:rFonts w:hint="eastAsia" w:ascii="宋体" w:hAnsi="宋体" w:cs="宋体"/>
          <w:szCs w:val="21"/>
        </w:rPr>
        <w:t>自本公告发布之日起3个工作日</w:t>
      </w:r>
    </w:p>
    <w:p>
      <w:pPr>
        <w:pStyle w:val="4"/>
        <w:numPr>
          <w:ilvl w:val="0"/>
          <w:numId w:val="6"/>
        </w:numPr>
        <w:spacing w:before="100" w:after="100" w:line="360" w:lineRule="auto"/>
        <w:jc w:val="left"/>
        <w:rPr>
          <w:rFonts w:ascii="宋体" w:hAnsi="宋体" w:eastAsia="宋体" w:cs="宋体"/>
          <w:sz w:val="21"/>
          <w:szCs w:val="21"/>
        </w:rPr>
      </w:pPr>
      <w:bookmarkStart w:id="8" w:name="_Toc9549"/>
      <w:r>
        <w:rPr>
          <w:rFonts w:hint="eastAsia" w:ascii="宋体" w:hAnsi="宋体" w:eastAsia="宋体" w:cs="宋体"/>
          <w:sz w:val="21"/>
          <w:szCs w:val="21"/>
        </w:rPr>
        <w:t>其他补充事宜</w:t>
      </w:r>
      <w:bookmarkEnd w:id="8"/>
    </w:p>
    <w:p>
      <w:pPr>
        <w:spacing w:line="360" w:lineRule="auto"/>
        <w:ind w:firstLine="420" w:firstLineChars="200"/>
        <w:jc w:val="left"/>
        <w:rPr>
          <w:rFonts w:ascii="宋体" w:hAnsi="宋体" w:cs="宋体"/>
          <w:szCs w:val="21"/>
        </w:rPr>
      </w:pPr>
      <w:bookmarkStart w:id="216" w:name="_GoBack"/>
      <w:r>
        <w:rPr>
          <w:rFonts w:hint="eastAsia" w:ascii="宋体" w:hAnsi="宋体" w:cs="宋体"/>
          <w:szCs w:val="21"/>
        </w:rPr>
        <w:t>1.供应商如需查询技术要求可到我处查阅采购文件第三章相关内容。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2.本项目将在以下网站发布所有信息，请参加本项目竞标的供应商密切关注。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（1）《中国政府采购网》（网址：</w:t>
      </w:r>
      <w:r>
        <w:fldChar w:fldCharType="begin"/>
      </w:r>
      <w:r>
        <w:instrText xml:space="preserve"> HYPERLINK "http://www.ccgp.gov.cn/）" </w:instrText>
      </w:r>
      <w:r>
        <w:fldChar w:fldCharType="separate"/>
      </w:r>
      <w:r>
        <w:rPr>
          <w:rFonts w:hint="eastAsia" w:ascii="宋体" w:hAnsi="宋体" w:cs="宋体"/>
          <w:szCs w:val="21"/>
        </w:rPr>
        <w:t>http://www.ccgp.gov.cn/）</w:t>
      </w:r>
      <w:r>
        <w:rPr>
          <w:rFonts w:hint="eastAsia" w:ascii="宋体" w:hAnsi="宋体" w:cs="宋体"/>
          <w:szCs w:val="21"/>
        </w:rPr>
        <w:fldChar w:fldCharType="end"/>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bookmarkEnd w:id="216"/>
    <w:p>
      <w:pPr>
        <w:pStyle w:val="4"/>
        <w:numPr>
          <w:ilvl w:val="0"/>
          <w:numId w:val="6"/>
        </w:numPr>
        <w:spacing w:before="100" w:after="100" w:line="360" w:lineRule="auto"/>
        <w:jc w:val="left"/>
        <w:rPr>
          <w:rFonts w:ascii="宋体" w:hAnsi="宋体" w:eastAsia="宋体" w:cs="宋体"/>
          <w:sz w:val="21"/>
          <w:szCs w:val="21"/>
        </w:rPr>
      </w:pPr>
      <w:bookmarkStart w:id="9" w:name="_Toc1588"/>
      <w:r>
        <w:rPr>
          <w:rFonts w:hint="eastAsia" w:ascii="宋体" w:hAnsi="宋体" w:eastAsia="宋体" w:cs="宋体"/>
          <w:sz w:val="21"/>
          <w:szCs w:val="21"/>
        </w:rPr>
        <w:t>凡对本次采购提出询问，请按以下方式联系</w:t>
      </w:r>
      <w:bookmarkEnd w:id="9"/>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 xml:space="preserve">联系方式：刘老师、027-59750213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Cs w:val="21"/>
        </w:rPr>
        <w:t xml:space="preserve">                                                                     2023年7月</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日</w:t>
      </w:r>
      <w:r>
        <w:br w:type="page"/>
      </w:r>
    </w:p>
    <w:p>
      <w:pPr>
        <w:pStyle w:val="3"/>
        <w:numPr>
          <w:ilvl w:val="0"/>
          <w:numId w:val="4"/>
        </w:numPr>
        <w:jc w:val="center"/>
        <w:rPr>
          <w:rFonts w:asciiTheme="minorEastAsia" w:hAnsiTheme="minorEastAsia" w:eastAsiaTheme="minorEastAsia" w:cstheme="minorEastAsia"/>
          <w:sz w:val="32"/>
          <w:szCs w:val="32"/>
        </w:rPr>
      </w:pPr>
      <w:bookmarkStart w:id="10" w:name="_Toc17918"/>
      <w:r>
        <w:rPr>
          <w:rFonts w:hint="eastAsia" w:asciiTheme="minorEastAsia" w:hAnsiTheme="minorEastAsia" w:eastAsiaTheme="minorEastAsia" w:cstheme="minorEastAsia"/>
          <w:sz w:val="36"/>
          <w:szCs w:val="36"/>
        </w:rPr>
        <w:t>供应商须知</w:t>
      </w:r>
      <w:bookmarkEnd w:id="10"/>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11" w:name="_Toc22994"/>
      <w:r>
        <w:rPr>
          <w:rFonts w:hint="eastAsia" w:asciiTheme="minorEastAsia" w:hAnsiTheme="minorEastAsia" w:eastAsiaTheme="minorEastAsia" w:cstheme="minorEastAsia"/>
          <w:b/>
          <w:szCs w:val="21"/>
        </w:rPr>
        <w:t>《供应商须知前附表》</w:t>
      </w:r>
      <w:bookmarkEnd w:id="11"/>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5"/>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5"/>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5"/>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向采购代理机构支付招标代理服务费。招标代理服务费由成交供应商在领取成交通知书的同时，向采购代理机构支付。详见成交公告。不足3000元的按照保</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底服务费3000元收取。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5"/>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5"/>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5"/>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5"/>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。（或提供承诺函）</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或提供承诺函）</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kern w:val="0"/>
                <w:szCs w:val="21"/>
              </w:rPr>
            </w:pPr>
            <w:r>
              <w:rPr>
                <w:rFonts w:hint="eastAsia" w:ascii="宋体" w:hAnsi="宋体" w:cs="宋体"/>
                <w:color w:val="auto"/>
                <w:kern w:val="0"/>
                <w:szCs w:val="21"/>
                <w:lang w:val="zh-CN"/>
              </w:rPr>
              <w:t>样品</w:t>
            </w:r>
          </w:p>
        </w:tc>
        <w:tc>
          <w:tcPr>
            <w:tcW w:w="6130" w:type="dxa"/>
            <w:vAlign w:val="center"/>
          </w:tcPr>
          <w:p>
            <w:pPr>
              <w:rPr>
                <w:color w:val="auto"/>
              </w:rPr>
            </w:pPr>
            <w:r>
              <w:rPr>
                <w:rFonts w:hint="eastAsia"/>
                <w:color w:val="auto"/>
                <w:lang w:val="zh-CN"/>
              </w:rPr>
              <w:t>提交样品的相关规定：提供完整的上下铺公寓床</w:t>
            </w:r>
            <w:r>
              <w:rPr>
                <w:rFonts w:hint="eastAsia"/>
                <w:color w:val="auto"/>
              </w:rPr>
              <w:t>1</w:t>
            </w:r>
            <w:r>
              <w:rPr>
                <w:rFonts w:hint="eastAsia"/>
                <w:color w:val="auto"/>
                <w:lang w:val="zh-CN"/>
              </w:rPr>
              <w:t>套，应在样品上标明磋商供应商名称。</w:t>
            </w:r>
            <w:r>
              <w:rPr>
                <w:color w:val="auto"/>
              </w:rPr>
              <w:br w:type="textWrapping"/>
            </w:r>
            <w:r>
              <w:rPr>
                <w:rFonts w:hint="eastAsia"/>
                <w:color w:val="auto"/>
                <w:lang w:val="zh-CN"/>
              </w:rPr>
              <w:t>退还样品的相关规定：</w:t>
            </w:r>
            <w:r>
              <w:rPr>
                <w:rFonts w:hint="eastAsia"/>
                <w:color w:val="auto"/>
              </w:rPr>
              <w:t>未成交供应商在成交公告发布之日起5个工作日内退还，具体电话通知。成交供应商样品移交采购人作为验收依据，不予退还。</w:t>
            </w:r>
          </w:p>
          <w:p>
            <w:pPr>
              <w:rPr>
                <w:color w:val="auto"/>
                <w:lang w:val="zh-CN"/>
              </w:rPr>
            </w:pPr>
            <w:r>
              <w:rPr>
                <w:rFonts w:hint="eastAsia"/>
                <w:color w:val="auto"/>
              </w:rPr>
              <w:t>详见采购需求。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color w:val="auto"/>
                <w:kern w:val="0"/>
                <w:szCs w:val="21"/>
              </w:rPr>
            </w:pPr>
            <w:r>
              <w:rPr>
                <w:rFonts w:hint="eastAsia" w:asciiTheme="minorEastAsia" w:hAnsiTheme="minorEastAsia" w:eastAsiaTheme="minorEastAsia" w:cstheme="minorEastAsia"/>
                <w:b/>
                <w:bCs/>
                <w:snapToGrid w:val="0"/>
                <w:color w:val="auto"/>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color w:val="auto"/>
                <w:szCs w:val="21"/>
              </w:rPr>
              <w:t>为磋商小组详细介绍供应商公司情况及项目了解情况的人员，</w:t>
            </w:r>
            <w:r>
              <w:rPr>
                <w:rFonts w:hint="eastAsia" w:asciiTheme="minorEastAsia" w:hAnsiTheme="minorEastAsia" w:eastAsiaTheme="minorEastAsia" w:cstheme="minorEastAsia"/>
                <w:b/>
                <w:bCs/>
                <w:color w:val="auto"/>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color w:val="auto"/>
                <w:kern w:val="0"/>
                <w:szCs w:val="21"/>
              </w:rPr>
              <w:t>在指定地点以</w:t>
            </w:r>
            <w:r>
              <w:rPr>
                <w:rFonts w:hint="eastAsia" w:asciiTheme="minorEastAsia" w:hAnsiTheme="minorEastAsia" w:eastAsiaTheme="minorEastAsia" w:cstheme="minorEastAsia"/>
                <w:snapToGrid w:val="0"/>
                <w:color w:val="auto"/>
                <w:kern w:val="0"/>
                <w:szCs w:val="21"/>
                <w:lang w:val="zh-CN"/>
              </w:rPr>
              <w:t>密封</w:t>
            </w:r>
            <w:r>
              <w:rPr>
                <w:rFonts w:hint="eastAsia" w:asciiTheme="minorEastAsia" w:hAnsiTheme="minorEastAsia" w:eastAsiaTheme="minorEastAsia" w:cstheme="minorEastAsia"/>
                <w:snapToGrid w:val="0"/>
                <w:color w:val="auto"/>
                <w:kern w:val="0"/>
                <w:szCs w:val="21"/>
              </w:rPr>
              <w:t>等形式</w:t>
            </w:r>
            <w:r>
              <w:rPr>
                <w:rFonts w:hint="eastAsia" w:asciiTheme="minorEastAsia" w:hAnsiTheme="minorEastAsia" w:eastAsiaTheme="minorEastAsia" w:cstheme="minorEastAsia"/>
                <w:snapToGrid w:val="0"/>
                <w:color w:val="auto"/>
                <w:kern w:val="0"/>
                <w:szCs w:val="21"/>
                <w:lang w:val="zh-CN"/>
              </w:rPr>
              <w:t>递交</w:t>
            </w:r>
            <w:r>
              <w:rPr>
                <w:rFonts w:hint="eastAsia" w:asciiTheme="minorEastAsia" w:hAnsiTheme="minorEastAsia" w:eastAsiaTheme="minorEastAsia" w:cstheme="minorEastAsia"/>
                <w:snapToGrid w:val="0"/>
                <w:color w:val="auto"/>
                <w:kern w:val="0"/>
                <w:szCs w:val="21"/>
              </w:rPr>
              <w:t>给采购代理机构指定现场工作人员或</w:t>
            </w:r>
            <w:r>
              <w:rPr>
                <w:rFonts w:hint="eastAsia" w:asciiTheme="minorEastAsia" w:hAnsiTheme="minorEastAsia" w:eastAsiaTheme="minorEastAsia" w:cstheme="minorEastAsia"/>
                <w:snapToGrid w:val="0"/>
                <w:color w:val="auto"/>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推荐成交候选</w:t>
            </w:r>
            <w:r>
              <w:rPr>
                <w:rFonts w:hint="eastAsia" w:asciiTheme="minorEastAsia" w:hAnsiTheme="minorEastAsia" w:eastAsiaTheme="minorEastAsia" w:cstheme="minorEastAsia"/>
                <w:snapToGrid w:val="0"/>
                <w:color w:val="auto"/>
                <w:kern w:val="0"/>
                <w:szCs w:val="21"/>
              </w:rPr>
              <w:t>供应商</w:t>
            </w:r>
            <w:r>
              <w:rPr>
                <w:rFonts w:hint="eastAsia" w:asciiTheme="minorEastAsia" w:hAnsiTheme="minorEastAsia" w:eastAsiaTheme="minorEastAsia" w:cstheme="minorEastAsia"/>
                <w:snapToGrid w:val="0"/>
                <w:color w:val="auto"/>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本项目推荐</w:t>
            </w:r>
            <w:r>
              <w:rPr>
                <w:rFonts w:hint="eastAsia" w:asciiTheme="minorEastAsia" w:hAnsiTheme="minorEastAsia" w:eastAsiaTheme="minorEastAsia" w:cstheme="minorEastAsia"/>
                <w:bCs/>
                <w:color w:val="auto"/>
                <w:kern w:val="44"/>
                <w:szCs w:val="21"/>
                <w:u w:val="single"/>
              </w:rPr>
              <w:t>3</w:t>
            </w:r>
            <w:r>
              <w:rPr>
                <w:rFonts w:hint="eastAsia" w:asciiTheme="minorEastAsia" w:hAnsiTheme="minorEastAsia" w:eastAsiaTheme="minorEastAsia" w:cstheme="minorEastAsia"/>
                <w:bCs/>
                <w:color w:val="auto"/>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成交通知书的领取</w:t>
            </w:r>
            <w:r>
              <w:rPr>
                <w:rFonts w:hint="eastAsia" w:asciiTheme="minorEastAsia" w:hAnsiTheme="minorEastAsia" w:eastAsiaTheme="minorEastAsia" w:cstheme="minorEastAsia"/>
                <w:snapToGrid w:val="0"/>
                <w:color w:val="auto"/>
                <w:kern w:val="0"/>
                <w:szCs w:val="21"/>
              </w:rPr>
              <w:t>时</w:t>
            </w:r>
            <w:r>
              <w:rPr>
                <w:rFonts w:hint="eastAsia" w:asciiTheme="minorEastAsia" w:hAnsiTheme="minorEastAsia" w:eastAsiaTheme="minorEastAsia" w:cstheme="minorEastAsia"/>
                <w:snapToGrid w:val="0"/>
                <w:color w:val="auto"/>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b/>
                <w:bCs/>
                <w:color w:val="auto"/>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本项目竞标报价为“交钥匙”价。竞标报价应包括完成该项目的货物</w:t>
            </w:r>
            <w:r>
              <w:rPr>
                <w:rFonts w:hint="eastAsia" w:asciiTheme="minorEastAsia" w:hAnsiTheme="minorEastAsia" w:eastAsiaTheme="minorEastAsia" w:cstheme="minorEastAsia"/>
                <w:color w:val="auto"/>
                <w:szCs w:val="21"/>
              </w:rPr>
              <w:t>本身</w:t>
            </w:r>
            <w:r>
              <w:rPr>
                <w:rFonts w:hint="eastAsia" w:asciiTheme="minorEastAsia" w:hAnsiTheme="minorEastAsia" w:eastAsiaTheme="minorEastAsia" w:cstheme="minorEastAsia"/>
                <w:color w:val="auto"/>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各供应商按此要求进行报价，同时在合同实施过程中还将发生的其它费用</w:t>
            </w:r>
            <w:r>
              <w:rPr>
                <w:rFonts w:hint="eastAsia" w:asciiTheme="minorEastAsia" w:hAnsiTheme="minorEastAsia" w:eastAsiaTheme="minorEastAsia" w:cstheme="minorEastAsia"/>
                <w:color w:val="auto"/>
                <w:szCs w:val="21"/>
              </w:rPr>
              <w:t>也</w:t>
            </w:r>
            <w:r>
              <w:rPr>
                <w:rFonts w:hint="eastAsia" w:asciiTheme="minorEastAsia" w:hAnsiTheme="minorEastAsia" w:eastAsiaTheme="minorEastAsia" w:cstheme="minorEastAsia"/>
                <w:color w:val="auto"/>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color w:val="auto"/>
                <w:szCs w:val="21"/>
              </w:rPr>
              <w:t>采购人</w:t>
            </w:r>
            <w:r>
              <w:rPr>
                <w:rFonts w:hint="eastAsia" w:asciiTheme="minorEastAsia" w:hAnsiTheme="minorEastAsia" w:eastAsiaTheme="minorEastAsia" w:cstheme="minorEastAsia"/>
                <w:color w:val="auto"/>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zh-CN"/>
              </w:rPr>
              <w:t>对于</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文件未列明，而</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供应商认为</w:t>
            </w:r>
            <w:r>
              <w:rPr>
                <w:rFonts w:hint="eastAsia" w:asciiTheme="minorEastAsia" w:hAnsiTheme="minorEastAsia" w:eastAsiaTheme="minorEastAsia" w:cstheme="minorEastAsia"/>
                <w:color w:val="auto"/>
                <w:szCs w:val="21"/>
              </w:rPr>
              <w:t>必须</w:t>
            </w:r>
            <w:r>
              <w:rPr>
                <w:rFonts w:hint="eastAsia" w:asciiTheme="minorEastAsia" w:hAnsiTheme="minorEastAsia" w:eastAsiaTheme="minorEastAsia" w:cstheme="minorEastAsia"/>
                <w:color w:val="auto"/>
                <w:szCs w:val="21"/>
                <w:lang w:val="zh-CN"/>
              </w:rPr>
              <w:t>的费用也需列入总报价。在合同实施时，采购人将不予支付</w:t>
            </w:r>
            <w:r>
              <w:rPr>
                <w:rFonts w:hint="eastAsia" w:asciiTheme="minorEastAsia" w:hAnsiTheme="minorEastAsia" w:eastAsiaTheme="minorEastAsia" w:cstheme="minorEastAsia"/>
                <w:color w:val="auto"/>
                <w:szCs w:val="21"/>
              </w:rPr>
              <w:t>成交</w:t>
            </w:r>
            <w:r>
              <w:rPr>
                <w:rFonts w:hint="eastAsia" w:asciiTheme="minorEastAsia" w:hAnsiTheme="minorEastAsia" w:eastAsiaTheme="minorEastAsia" w:cstheme="minorEastAsia"/>
                <w:color w:val="auto"/>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color w:val="auto"/>
                <w:u w:val="single"/>
              </w:rPr>
            </w:pPr>
            <w:r>
              <w:rPr>
                <w:rFonts w:hint="eastAsia"/>
                <w:color w:val="auto"/>
              </w:rPr>
              <w:t>☑不接受；    □接  受；</w:t>
            </w:r>
            <w:r>
              <w:rPr>
                <w:color w:val="auto"/>
              </w:rPr>
              <w:br w:type="textWrapping"/>
            </w:r>
            <w:r>
              <w:rPr>
                <w:rFonts w:hint="eastAsia"/>
                <w:color w:val="auto"/>
              </w:rPr>
              <w:t>经财政部门审核同意购买的进口产品为：</w:t>
            </w:r>
            <w:r>
              <w:rPr>
                <w:rFonts w:hint="eastAsia"/>
                <w:color w:val="auto"/>
                <w:u w:val="single"/>
              </w:rPr>
              <w:t>         </w:t>
            </w:r>
          </w:p>
          <w:p>
            <w:pPr>
              <w:pStyle w:val="11"/>
              <w:rPr>
                <w:color w:val="auto"/>
              </w:rPr>
            </w:pPr>
            <w:r>
              <w:rPr>
                <w:rFonts w:hint="eastAsia"/>
                <w:color w:val="auto"/>
              </w:rPr>
              <w:t>备注：上述列明的货物均已履行相关论证手续，财政部门已审核同意购买进口产品。</w:t>
            </w:r>
          </w:p>
          <w:p>
            <w:pPr>
              <w:pStyle w:val="11"/>
              <w:rPr>
                <w:color w:val="auto"/>
              </w:rPr>
            </w:pPr>
            <w:r>
              <w:rPr>
                <w:rFonts w:hint="eastAsia"/>
                <w:color w:val="auto"/>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相同品牌的要求【本项目不适用】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本项目要求不同品牌的产品：</w:t>
            </w:r>
            <w:r>
              <w:rPr>
                <w:rFonts w:hint="eastAsia" w:asciiTheme="minorEastAsia" w:hAnsiTheme="minorEastAsia" w:eastAsiaTheme="minorEastAsia" w:cstheme="minorEastAsia"/>
                <w:color w:val="auto"/>
                <w:szCs w:val="21"/>
                <w:u w:val="single"/>
              </w:rPr>
              <w:t>/</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spacing w:line="360" w:lineRule="auto"/>
        <w:outlineLvl w:val="1"/>
        <w:rPr>
          <w:rFonts w:asciiTheme="minorEastAsia" w:hAnsiTheme="minorEastAsia" w:eastAsiaTheme="minorEastAsia" w:cstheme="minorEastAsia"/>
          <w:b/>
          <w:color w:val="auto"/>
          <w:szCs w:val="21"/>
        </w:rPr>
      </w:pPr>
      <w:bookmarkStart w:id="12" w:name="_Toc29868"/>
      <w:r>
        <w:rPr>
          <w:rFonts w:hint="eastAsia" w:asciiTheme="minorEastAsia" w:hAnsiTheme="minorEastAsia" w:eastAsiaTheme="minorEastAsia" w:cstheme="minorEastAsia"/>
          <w:b/>
          <w:color w:val="auto"/>
          <w:szCs w:val="21"/>
        </w:rPr>
        <w:t>供应商须知</w:t>
      </w:r>
      <w:bookmarkEnd w:id="12"/>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13" w:name="_Toc29004"/>
      <w:r>
        <w:rPr>
          <w:rFonts w:hint="eastAsia" w:asciiTheme="minorEastAsia" w:hAnsiTheme="minorEastAsia" w:eastAsiaTheme="minorEastAsia" w:cstheme="minorEastAsia"/>
          <w:b/>
          <w:color w:val="auto"/>
          <w:szCs w:val="21"/>
        </w:rPr>
        <w:t>总则</w:t>
      </w:r>
      <w:bookmarkEnd w:id="13"/>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14" w:name="_Toc27243"/>
      <w:bookmarkEnd w:id="14"/>
      <w:bookmarkStart w:id="15" w:name="_Toc25429"/>
      <w:r>
        <w:rPr>
          <w:rFonts w:hint="eastAsia" w:asciiTheme="minorEastAsia" w:hAnsiTheme="minorEastAsia" w:eastAsiaTheme="minorEastAsia" w:cstheme="minorEastAsia"/>
          <w:b/>
          <w:color w:val="auto"/>
          <w:szCs w:val="21"/>
        </w:rPr>
        <w:t>适用法律及范围</w:t>
      </w:r>
      <w:bookmarkEnd w:id="15"/>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16" w:name="_Toc30547"/>
      <w:bookmarkEnd w:id="16"/>
      <w:bookmarkStart w:id="17" w:name="_Toc10030"/>
      <w:r>
        <w:rPr>
          <w:rFonts w:hint="eastAsia" w:asciiTheme="minorEastAsia" w:hAnsiTheme="minorEastAsia" w:eastAsiaTheme="minorEastAsia" w:cstheme="minorEastAsia"/>
          <w:b/>
          <w:color w:val="auto"/>
          <w:szCs w:val="21"/>
        </w:rPr>
        <w:t>定义</w:t>
      </w:r>
      <w:bookmarkEnd w:id="17"/>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符合</w:t>
      </w:r>
      <w:r>
        <w:rPr>
          <w:rFonts w:hint="eastAsia" w:asciiTheme="minorEastAsia" w:hAnsiTheme="minorEastAsia" w:eastAsiaTheme="minorEastAsia" w:cstheme="minorEastAsia"/>
          <w:color w:val="auto"/>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“成交供应商”</w:t>
      </w:r>
      <w:r>
        <w:rPr>
          <w:rFonts w:hint="eastAsia" w:asciiTheme="minorEastAsia" w:hAnsiTheme="minorEastAsia" w:eastAsiaTheme="minorEastAsia" w:cstheme="minorEastAsia"/>
          <w:snapToGrid w:val="0"/>
          <w:color w:val="auto"/>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18" w:name="_Toc30503"/>
      <w:bookmarkEnd w:id="18"/>
      <w:bookmarkStart w:id="19" w:name="_Toc22705"/>
      <w:r>
        <w:rPr>
          <w:rFonts w:hint="eastAsia" w:asciiTheme="minorEastAsia" w:hAnsiTheme="minorEastAsia" w:eastAsiaTheme="minorEastAsia" w:cstheme="minorEastAsia"/>
          <w:b/>
          <w:snapToGrid w:val="0"/>
          <w:color w:val="auto"/>
          <w:kern w:val="0"/>
          <w:szCs w:val="21"/>
          <w:lang w:val="zh-CN"/>
        </w:rPr>
        <w:t>工程、货物及服务</w:t>
      </w:r>
      <w:bookmarkEnd w:id="19"/>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20" w:name="_Toc9974"/>
      <w:bookmarkEnd w:id="20"/>
      <w:bookmarkStart w:id="21" w:name="_Toc11310"/>
      <w:r>
        <w:rPr>
          <w:rFonts w:hint="eastAsia" w:asciiTheme="minorEastAsia" w:hAnsiTheme="minorEastAsia" w:eastAsiaTheme="minorEastAsia" w:cstheme="minorEastAsia"/>
          <w:b/>
          <w:color w:val="auto"/>
          <w:szCs w:val="21"/>
        </w:rPr>
        <w:t>费用</w:t>
      </w:r>
      <w:bookmarkEnd w:id="21"/>
      <w:r>
        <w:rPr>
          <w:rFonts w:hint="eastAsia" w:asciiTheme="minorEastAsia" w:hAnsiTheme="minorEastAsia" w:eastAsiaTheme="minorEastAsia" w:cstheme="minorEastAsia"/>
          <w:b/>
          <w:color w:val="auto"/>
          <w:szCs w:val="21"/>
        </w:rPr>
        <w:t xml:space="preserve">  </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国家计委计价格[2002]1980 号规定标准收费：</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r>
    </w:tbl>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0---100：100×1.500％=15000.000元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100---500：400×1.100％=44000.000元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500---1000：500×0.800％=40000.000元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1000---5000：4000×0.500％=200000.000元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5000---6000：1000×0.250％=25000.000元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22" w:name="_Toc7191"/>
      <w:r>
        <w:rPr>
          <w:rFonts w:hint="eastAsia" w:asciiTheme="minorEastAsia" w:hAnsiTheme="minorEastAsia" w:eastAsiaTheme="minorEastAsia" w:cstheme="minorEastAsia"/>
          <w:b/>
          <w:color w:val="auto"/>
          <w:szCs w:val="21"/>
        </w:rPr>
        <w:t>竞争性磋商采购文件</w:t>
      </w:r>
      <w:bookmarkEnd w:id="22"/>
    </w:p>
    <w:p>
      <w:pPr>
        <w:numPr>
          <w:ilvl w:val="0"/>
          <w:numId w:val="8"/>
        </w:numPr>
        <w:spacing w:line="360" w:lineRule="auto"/>
        <w:ind w:hanging="540"/>
        <w:outlineLvl w:val="1"/>
        <w:rPr>
          <w:rFonts w:asciiTheme="minorEastAsia" w:hAnsiTheme="minorEastAsia" w:eastAsiaTheme="minorEastAsia" w:cstheme="minorEastAsia"/>
          <w:b/>
          <w:color w:val="auto"/>
          <w:szCs w:val="21"/>
        </w:rPr>
      </w:pPr>
      <w:bookmarkStart w:id="23" w:name="_Toc4547"/>
      <w:bookmarkEnd w:id="23"/>
      <w:bookmarkStart w:id="24" w:name="_Toc26095"/>
      <w:r>
        <w:rPr>
          <w:rFonts w:hint="eastAsia" w:asciiTheme="minorEastAsia" w:hAnsiTheme="minorEastAsia" w:eastAsiaTheme="minorEastAsia" w:cstheme="minorEastAsia"/>
          <w:b/>
          <w:color w:val="auto"/>
          <w:szCs w:val="21"/>
        </w:rPr>
        <w:t>竞争性磋商采购文件的构成</w:t>
      </w:r>
      <w:bookmarkEnd w:id="24"/>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25" w:name="_Toc29700"/>
      <w:bookmarkEnd w:id="25"/>
      <w:bookmarkStart w:id="26" w:name="_Toc29081"/>
      <w:r>
        <w:rPr>
          <w:rFonts w:hint="eastAsia" w:asciiTheme="minorEastAsia" w:hAnsiTheme="minorEastAsia" w:eastAsiaTheme="minorEastAsia" w:cstheme="minorEastAsia"/>
          <w:b/>
          <w:snapToGrid w:val="0"/>
          <w:color w:val="auto"/>
          <w:kern w:val="0"/>
          <w:szCs w:val="21"/>
          <w:lang w:val="zh-CN"/>
        </w:rPr>
        <w:t>竞争性磋商采购文件的澄清</w:t>
      </w:r>
      <w:bookmarkEnd w:id="26"/>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澄清的内容是本竞争性磋商采购文件的组成部分，当竞争性磋商采购文件</w:t>
      </w:r>
      <w:r>
        <w:rPr>
          <w:rFonts w:hint="eastAsia" w:asciiTheme="minorEastAsia" w:hAnsiTheme="minorEastAsia" w:eastAsiaTheme="minorEastAsia" w:cstheme="minorEastAsia"/>
          <w:color w:val="auto"/>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27" w:name="_Toc31761"/>
      <w:bookmarkEnd w:id="27"/>
      <w:bookmarkStart w:id="28" w:name="_Toc12599"/>
      <w:r>
        <w:rPr>
          <w:rFonts w:hint="eastAsia" w:asciiTheme="minorEastAsia" w:hAnsiTheme="minorEastAsia" w:eastAsiaTheme="minorEastAsia" w:cstheme="minorEastAsia"/>
          <w:b/>
          <w:snapToGrid w:val="0"/>
          <w:color w:val="auto"/>
          <w:kern w:val="0"/>
          <w:szCs w:val="21"/>
          <w:lang w:val="zh-CN"/>
        </w:rPr>
        <w:t>竞争性磋商采购文件的修改</w:t>
      </w:r>
      <w:bookmarkEnd w:id="28"/>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个工作日前发出，不足</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29" w:name="_Toc12284"/>
      <w:r>
        <w:rPr>
          <w:rFonts w:hint="eastAsia" w:asciiTheme="minorEastAsia" w:hAnsiTheme="minorEastAsia" w:eastAsiaTheme="minorEastAsia" w:cstheme="minorEastAsia"/>
          <w:b/>
          <w:color w:val="auto"/>
          <w:szCs w:val="21"/>
        </w:rPr>
        <w:t>竞争性磋商响应文件</w:t>
      </w:r>
      <w:bookmarkEnd w:id="29"/>
    </w:p>
    <w:p>
      <w:pPr>
        <w:numPr>
          <w:ilvl w:val="0"/>
          <w:numId w:val="8"/>
        </w:numPr>
        <w:spacing w:line="360" w:lineRule="auto"/>
        <w:ind w:hanging="540"/>
        <w:outlineLvl w:val="1"/>
        <w:rPr>
          <w:rFonts w:asciiTheme="minorEastAsia" w:hAnsiTheme="minorEastAsia" w:eastAsiaTheme="minorEastAsia" w:cstheme="minorEastAsia"/>
          <w:snapToGrid w:val="0"/>
          <w:color w:val="auto"/>
          <w:kern w:val="0"/>
          <w:szCs w:val="21"/>
          <w:lang w:val="zh-CN"/>
        </w:rPr>
      </w:pPr>
      <w:bookmarkStart w:id="30" w:name="_Toc30987"/>
      <w:bookmarkEnd w:id="30"/>
      <w:bookmarkStart w:id="31" w:name="_Toc2687"/>
      <w:r>
        <w:rPr>
          <w:rFonts w:hint="eastAsia" w:asciiTheme="minorEastAsia" w:hAnsiTheme="minorEastAsia" w:eastAsiaTheme="minorEastAsia" w:cstheme="minorEastAsia"/>
          <w:b/>
          <w:snapToGrid w:val="0"/>
          <w:color w:val="auto"/>
          <w:kern w:val="0"/>
          <w:szCs w:val="21"/>
          <w:lang w:val="zh-CN"/>
        </w:rPr>
        <w:t>语言和计量单位</w:t>
      </w:r>
      <w:bookmarkEnd w:id="31"/>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32" w:name="_Toc32272"/>
      <w:bookmarkEnd w:id="32"/>
      <w:bookmarkStart w:id="33" w:name="_Toc1911"/>
      <w:r>
        <w:rPr>
          <w:rFonts w:hint="eastAsia" w:asciiTheme="minorEastAsia" w:hAnsiTheme="minorEastAsia" w:eastAsiaTheme="minorEastAsia" w:cstheme="minorEastAsia"/>
          <w:b/>
          <w:snapToGrid w:val="0"/>
          <w:color w:val="auto"/>
          <w:kern w:val="0"/>
          <w:szCs w:val="21"/>
          <w:lang w:val="zh-CN"/>
        </w:rPr>
        <w:t>竞争性磋商响应文件的构成</w:t>
      </w:r>
      <w:bookmarkEnd w:id="33"/>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供应商编制的竞争性磋商响应</w:t>
      </w:r>
      <w:r>
        <w:rPr>
          <w:rFonts w:hint="eastAsia" w:asciiTheme="minorEastAsia" w:hAnsiTheme="minorEastAsia" w:eastAsiaTheme="minorEastAsia" w:cstheme="minorEastAsia"/>
          <w:snapToGrid w:val="0"/>
          <w:color w:val="auto"/>
          <w:kern w:val="0"/>
          <w:szCs w:val="21"/>
        </w:rPr>
        <w:t>文</w:t>
      </w:r>
      <w:r>
        <w:rPr>
          <w:rFonts w:hint="eastAsia" w:asciiTheme="minorEastAsia" w:hAnsiTheme="minorEastAsia" w:eastAsiaTheme="minorEastAsia" w:cstheme="minorEastAsia"/>
          <w:snapToGrid w:val="0"/>
          <w:color w:val="auto"/>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bCs/>
          <w:color w:val="auto"/>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34" w:name="_Toc25217"/>
      <w:bookmarkEnd w:id="34"/>
      <w:bookmarkStart w:id="35" w:name="_Toc30778"/>
      <w:r>
        <w:rPr>
          <w:rFonts w:hint="eastAsia" w:asciiTheme="minorEastAsia" w:hAnsiTheme="minorEastAsia" w:eastAsiaTheme="minorEastAsia" w:cstheme="minorEastAsia"/>
          <w:b/>
          <w:snapToGrid w:val="0"/>
          <w:color w:val="auto"/>
          <w:kern w:val="0"/>
          <w:szCs w:val="21"/>
          <w:lang w:val="zh-CN"/>
        </w:rPr>
        <w:t>竞争性磋商响应文件的编制</w:t>
      </w:r>
      <w:bookmarkEnd w:id="35"/>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36" w:name="_Toc24544"/>
      <w:bookmarkEnd w:id="36"/>
      <w:bookmarkStart w:id="37" w:name="_Toc1885"/>
      <w:r>
        <w:rPr>
          <w:rFonts w:hint="eastAsia" w:asciiTheme="minorEastAsia" w:hAnsiTheme="minorEastAsia" w:eastAsiaTheme="minorEastAsia" w:cstheme="minorEastAsia"/>
          <w:b/>
          <w:snapToGrid w:val="0"/>
          <w:color w:val="auto"/>
          <w:kern w:val="0"/>
          <w:szCs w:val="21"/>
          <w:lang w:val="zh-CN"/>
        </w:rPr>
        <w:t>磋商报价</w:t>
      </w:r>
      <w:bookmarkEnd w:id="37"/>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供应商应根据本磋商文件的规定和要求、市场价格水平及其走势、</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供应商的管理水平、</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w:t>
      </w:r>
      <w:r>
        <w:rPr>
          <w:rFonts w:hint="eastAsia" w:asciiTheme="minorEastAsia" w:hAnsiTheme="minorEastAsia" w:eastAsiaTheme="minorEastAsia" w:cstheme="minorEastAsia"/>
          <w:snapToGrid w:val="0"/>
          <w:color w:val="auto"/>
          <w:kern w:val="0"/>
          <w:szCs w:val="21"/>
          <w:lang w:val="zh-CN"/>
        </w:rPr>
        <w:t>方案</w:t>
      </w:r>
      <w:r>
        <w:rPr>
          <w:rFonts w:hint="eastAsia" w:asciiTheme="minorEastAsia" w:hAnsiTheme="minorEastAsia" w:eastAsiaTheme="minorEastAsia" w:cstheme="minorEastAsia"/>
          <w:color w:val="auto"/>
          <w:szCs w:val="21"/>
        </w:rPr>
        <w:t>和由这些因素决定的磋商供应商之于本项目的成本水平等提出自己的报价。</w:t>
      </w:r>
      <w:r>
        <w:rPr>
          <w:rFonts w:hint="eastAsia" w:asciiTheme="minorEastAsia" w:hAnsiTheme="minorEastAsia" w:eastAsiaTheme="minorEastAsia" w:cstheme="minorEastAsia"/>
          <w:snapToGrid w:val="0"/>
          <w:color w:val="auto"/>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color w:val="auto"/>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供应商在响应文件中</w:t>
      </w:r>
      <w:r>
        <w:rPr>
          <w:rFonts w:hint="eastAsia" w:asciiTheme="minorEastAsia" w:hAnsiTheme="minorEastAsia" w:eastAsiaTheme="minorEastAsia" w:cstheme="minorEastAsia"/>
          <w:snapToGrid w:val="0"/>
          <w:color w:val="auto"/>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38" w:name="_Toc6176"/>
      <w:bookmarkEnd w:id="38"/>
      <w:bookmarkStart w:id="39" w:name="_Toc11356"/>
      <w:r>
        <w:rPr>
          <w:rFonts w:hint="eastAsia" w:asciiTheme="minorEastAsia" w:hAnsiTheme="minorEastAsia" w:eastAsiaTheme="minorEastAsia" w:cstheme="minorEastAsia"/>
          <w:b/>
          <w:snapToGrid w:val="0"/>
          <w:color w:val="auto"/>
          <w:kern w:val="0"/>
          <w:szCs w:val="21"/>
          <w:lang w:val="zh-CN"/>
        </w:rPr>
        <w:t>备选方案</w:t>
      </w:r>
      <w:bookmarkEnd w:id="39"/>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0" w:name="_Toc3324"/>
      <w:bookmarkEnd w:id="40"/>
      <w:bookmarkStart w:id="41" w:name="_Toc8733"/>
      <w:r>
        <w:rPr>
          <w:rFonts w:hint="eastAsia" w:asciiTheme="minorEastAsia" w:hAnsiTheme="minorEastAsia" w:eastAsiaTheme="minorEastAsia" w:cstheme="minorEastAsia"/>
          <w:b/>
          <w:snapToGrid w:val="0"/>
          <w:color w:val="auto"/>
          <w:kern w:val="0"/>
          <w:szCs w:val="21"/>
          <w:lang w:val="zh-CN"/>
        </w:rPr>
        <w:t>联合体</w:t>
      </w:r>
      <w:bookmarkEnd w:id="41"/>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2" w:name="_Toc2434"/>
      <w:bookmarkEnd w:id="42"/>
      <w:bookmarkStart w:id="43" w:name="_Toc16081"/>
      <w:r>
        <w:rPr>
          <w:rFonts w:hint="eastAsia" w:asciiTheme="minorEastAsia" w:hAnsiTheme="minorEastAsia" w:eastAsiaTheme="minorEastAsia" w:cstheme="minorEastAsia"/>
          <w:b/>
          <w:snapToGrid w:val="0"/>
          <w:color w:val="auto"/>
          <w:kern w:val="0"/>
          <w:szCs w:val="21"/>
          <w:lang w:val="zh-CN"/>
        </w:rPr>
        <w:t>供应商资格证明文件</w:t>
      </w:r>
      <w:bookmarkEnd w:id="43"/>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color w:val="auto"/>
          <w:kern w:val="0"/>
          <w:szCs w:val="21"/>
        </w:rPr>
        <w:t>实质性要求</w:t>
      </w: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color w:val="auto"/>
          <w:kern w:val="0"/>
          <w:szCs w:val="21"/>
        </w:rPr>
        <w:t>每页</w:t>
      </w:r>
      <w:r>
        <w:rPr>
          <w:rFonts w:hint="eastAsia" w:asciiTheme="minorEastAsia" w:hAnsiTheme="minorEastAsia" w:eastAsiaTheme="minorEastAsia" w:cstheme="minorEastAsia"/>
          <w:snapToGrid w:val="0"/>
          <w:color w:val="auto"/>
          <w:kern w:val="0"/>
          <w:szCs w:val="21"/>
          <w:lang w:val="zh-CN"/>
        </w:rPr>
        <w:t>加盖单位印章，</w:t>
      </w:r>
      <w:r>
        <w:rPr>
          <w:rFonts w:hint="eastAsia" w:asciiTheme="minorEastAsia" w:hAnsiTheme="minorEastAsia" w:eastAsiaTheme="minorEastAsia" w:cstheme="minorEastAsia"/>
          <w:snapToGrid w:val="0"/>
          <w:color w:val="auto"/>
          <w:kern w:val="0"/>
          <w:szCs w:val="21"/>
        </w:rPr>
        <w:t>否则做废标处理</w:t>
      </w:r>
      <w:r>
        <w:rPr>
          <w:rFonts w:hint="eastAsia" w:asciiTheme="minorEastAsia" w:hAnsiTheme="minorEastAsia" w:eastAsiaTheme="minorEastAsia" w:cstheme="minorEastAsia"/>
          <w:snapToGrid w:val="0"/>
          <w:color w:val="auto"/>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4" w:name="_Toc9935"/>
      <w:bookmarkEnd w:id="44"/>
      <w:bookmarkStart w:id="45" w:name="_Toc10814"/>
      <w:r>
        <w:rPr>
          <w:rFonts w:hint="eastAsia" w:asciiTheme="minorEastAsia" w:hAnsiTheme="minorEastAsia" w:eastAsiaTheme="minorEastAsia" w:cstheme="minorEastAsia"/>
          <w:b/>
          <w:snapToGrid w:val="0"/>
          <w:color w:val="auto"/>
          <w:kern w:val="0"/>
          <w:szCs w:val="21"/>
          <w:lang w:val="zh-CN"/>
        </w:rPr>
        <w:t>证明报价内容、服务合格性和符合竞争性磋商采购文件规定的文件</w:t>
      </w:r>
      <w:bookmarkEnd w:id="45"/>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6" w:name="_Toc27068"/>
      <w:bookmarkEnd w:id="46"/>
      <w:bookmarkStart w:id="47" w:name="_Toc12559"/>
      <w:r>
        <w:rPr>
          <w:rFonts w:hint="eastAsia" w:asciiTheme="minorEastAsia" w:hAnsiTheme="minorEastAsia" w:eastAsiaTheme="minorEastAsia" w:cstheme="minorEastAsia"/>
          <w:b/>
          <w:snapToGrid w:val="0"/>
          <w:color w:val="auto"/>
          <w:kern w:val="0"/>
          <w:szCs w:val="21"/>
          <w:lang w:val="zh-CN"/>
        </w:rPr>
        <w:t>磋商保证金</w:t>
      </w:r>
      <w:bookmarkEnd w:id="47"/>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color w:val="auto"/>
          <w:szCs w:val="21"/>
          <w:lang w:val="zh-CN"/>
        </w:rPr>
        <w:t>以到账为准。</w:t>
      </w:r>
      <w:r>
        <w:rPr>
          <w:rFonts w:hint="eastAsia" w:asciiTheme="minorEastAsia" w:hAnsiTheme="minorEastAsia" w:eastAsiaTheme="minorEastAsia" w:cstheme="minorEastAsia"/>
          <w:snapToGrid w:val="0"/>
          <w:color w:val="auto"/>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8" w:name="_Toc5668"/>
      <w:bookmarkEnd w:id="48"/>
      <w:bookmarkStart w:id="49" w:name="_Toc22591"/>
      <w:r>
        <w:rPr>
          <w:rFonts w:hint="eastAsia" w:asciiTheme="minorEastAsia" w:hAnsiTheme="minorEastAsia" w:eastAsiaTheme="minorEastAsia" w:cstheme="minorEastAsia"/>
          <w:b/>
          <w:snapToGrid w:val="0"/>
          <w:color w:val="auto"/>
          <w:kern w:val="0"/>
          <w:szCs w:val="21"/>
          <w:lang w:val="zh-CN"/>
        </w:rPr>
        <w:t>磋商有效期</w:t>
      </w:r>
      <w:bookmarkEnd w:id="49"/>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0" w:name="_Toc8272"/>
      <w:bookmarkEnd w:id="50"/>
      <w:bookmarkStart w:id="51" w:name="_Toc10992"/>
      <w:r>
        <w:rPr>
          <w:rFonts w:hint="eastAsia" w:asciiTheme="minorEastAsia" w:hAnsiTheme="minorEastAsia" w:eastAsiaTheme="minorEastAsia" w:cstheme="minorEastAsia"/>
          <w:b/>
          <w:snapToGrid w:val="0"/>
          <w:color w:val="auto"/>
          <w:kern w:val="0"/>
          <w:szCs w:val="21"/>
          <w:lang w:val="zh-CN"/>
        </w:rPr>
        <w:t>竞争性磋商响应文件的装订、签署和数量</w:t>
      </w:r>
      <w:bookmarkEnd w:id="51"/>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52" w:name="_Toc10379"/>
      <w:r>
        <w:rPr>
          <w:rFonts w:hint="eastAsia" w:asciiTheme="minorEastAsia" w:hAnsiTheme="minorEastAsia" w:eastAsiaTheme="minorEastAsia" w:cstheme="minorEastAsia"/>
          <w:b/>
          <w:color w:val="auto"/>
          <w:szCs w:val="21"/>
        </w:rPr>
        <w:t>竞争性磋商响应文件的递交</w:t>
      </w:r>
      <w:bookmarkEnd w:id="52"/>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3" w:name="_Toc27305"/>
      <w:bookmarkEnd w:id="53"/>
      <w:bookmarkStart w:id="54" w:name="_Toc9058"/>
      <w:r>
        <w:rPr>
          <w:rFonts w:hint="eastAsia" w:asciiTheme="minorEastAsia" w:hAnsiTheme="minorEastAsia" w:eastAsiaTheme="minorEastAsia" w:cstheme="minorEastAsia"/>
          <w:b/>
          <w:color w:val="auto"/>
          <w:szCs w:val="21"/>
        </w:rPr>
        <w:t>竞争性磋商响应文件</w:t>
      </w:r>
      <w:r>
        <w:rPr>
          <w:rFonts w:hint="eastAsia" w:asciiTheme="minorEastAsia" w:hAnsiTheme="minorEastAsia" w:eastAsiaTheme="minorEastAsia" w:cstheme="minorEastAsia"/>
          <w:b/>
          <w:snapToGrid w:val="0"/>
          <w:color w:val="auto"/>
          <w:kern w:val="0"/>
          <w:szCs w:val="21"/>
          <w:lang w:val="zh-CN"/>
        </w:rPr>
        <w:t>的密封和标记</w:t>
      </w:r>
      <w:bookmarkEnd w:id="54"/>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响应文件的正本、所有副本和电子文档必须密封，</w:t>
      </w:r>
      <w:r>
        <w:rPr>
          <w:rFonts w:hint="eastAsia" w:asciiTheme="minorEastAsia" w:hAnsiTheme="minorEastAsia" w:eastAsiaTheme="minorEastAsia" w:cstheme="minorEastAsia"/>
          <w:snapToGrid w:val="0"/>
          <w:color w:val="auto"/>
          <w:kern w:val="0"/>
          <w:szCs w:val="21"/>
        </w:rPr>
        <w:t>并在每一页以及骑缝处</w:t>
      </w:r>
      <w:r>
        <w:rPr>
          <w:rFonts w:hint="eastAsia" w:asciiTheme="minorEastAsia" w:hAnsiTheme="minorEastAsia" w:eastAsiaTheme="minorEastAsia" w:cstheme="minorEastAsia"/>
          <w:snapToGrid w:val="0"/>
          <w:color w:val="auto"/>
          <w:kern w:val="0"/>
          <w:szCs w:val="21"/>
          <w:lang w:val="zh-CN"/>
        </w:rPr>
        <w:t>加盖供应商公章</w:t>
      </w:r>
      <w:r>
        <w:rPr>
          <w:rFonts w:hint="eastAsia" w:asciiTheme="minorEastAsia" w:hAnsiTheme="minorEastAsia" w:eastAsiaTheme="minorEastAsia" w:cstheme="minorEastAsia"/>
          <w:snapToGrid w:val="0"/>
          <w:color w:val="auto"/>
          <w:kern w:val="0"/>
          <w:szCs w:val="21"/>
        </w:rPr>
        <w:t>后</w:t>
      </w:r>
      <w:r>
        <w:rPr>
          <w:rFonts w:hint="eastAsia" w:asciiTheme="minorEastAsia" w:hAnsiTheme="minorEastAsia" w:eastAsiaTheme="minorEastAsia" w:cstheme="minorEastAsia"/>
          <w:snapToGrid w:val="0"/>
          <w:color w:val="auto"/>
          <w:kern w:val="0"/>
          <w:szCs w:val="21"/>
          <w:lang w:val="zh-CN"/>
        </w:rPr>
        <w:t>递交，包装上应注明</w:t>
      </w:r>
      <w:r>
        <w:rPr>
          <w:rFonts w:hint="eastAsia" w:asciiTheme="minorEastAsia" w:hAnsiTheme="minorEastAsia" w:eastAsiaTheme="minorEastAsia" w:cstheme="minorEastAsia"/>
          <w:snapToGrid w:val="0"/>
          <w:color w:val="auto"/>
          <w:kern w:val="0"/>
          <w:szCs w:val="21"/>
        </w:rPr>
        <w:t>项目</w:t>
      </w:r>
      <w:r>
        <w:rPr>
          <w:rFonts w:hint="eastAsia" w:asciiTheme="minorEastAsia" w:hAnsiTheme="minorEastAsia" w:eastAsiaTheme="minorEastAsia" w:cstheme="minorEastAsia"/>
          <w:snapToGrid w:val="0"/>
          <w:color w:val="auto"/>
          <w:kern w:val="0"/>
          <w:szCs w:val="21"/>
          <w:lang w:val="zh-CN"/>
        </w:rPr>
        <w:t>编号、项目名称、包号、供应商名称及“</w:t>
      </w:r>
      <w:r>
        <w:rPr>
          <w:rFonts w:hint="eastAsia" w:asciiTheme="minorEastAsia" w:hAnsiTheme="minorEastAsia" w:eastAsiaTheme="minorEastAsia" w:cstheme="minorEastAsia"/>
          <w:snapToGrid w:val="0"/>
          <w:color w:val="auto"/>
          <w:kern w:val="0"/>
          <w:szCs w:val="21"/>
          <w:u w:val="single"/>
          <w:lang w:val="zh-CN"/>
        </w:rPr>
        <w:t xml:space="preserve">  （磋商</w:t>
      </w:r>
      <w:r>
        <w:rPr>
          <w:rFonts w:hint="eastAsia" w:asciiTheme="minorEastAsia" w:hAnsiTheme="minorEastAsia" w:eastAsiaTheme="minorEastAsia" w:cstheme="minorEastAsia"/>
          <w:snapToGrid w:val="0"/>
          <w:color w:val="auto"/>
          <w:kern w:val="0"/>
          <w:szCs w:val="21"/>
          <w:u w:val="single"/>
        </w:rPr>
        <w:t>截止</w:t>
      </w:r>
      <w:r>
        <w:rPr>
          <w:rFonts w:hint="eastAsia" w:asciiTheme="minorEastAsia" w:hAnsiTheme="minorEastAsia" w:eastAsiaTheme="minorEastAsia" w:cstheme="minorEastAsia"/>
          <w:snapToGrid w:val="0"/>
          <w:color w:val="auto"/>
          <w:kern w:val="0"/>
          <w:szCs w:val="21"/>
          <w:u w:val="single"/>
          <w:lang w:val="zh-CN"/>
        </w:rPr>
        <w:t>时间）  前</w:t>
      </w:r>
      <w:r>
        <w:rPr>
          <w:rFonts w:hint="eastAsia" w:asciiTheme="minorEastAsia" w:hAnsiTheme="minorEastAsia" w:eastAsiaTheme="minorEastAsia" w:cstheme="minorEastAsia"/>
          <w:snapToGrid w:val="0"/>
          <w:color w:val="auto"/>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5" w:name="_Toc17857"/>
      <w:bookmarkEnd w:id="55"/>
      <w:bookmarkStart w:id="56" w:name="_Toc6614"/>
      <w:r>
        <w:rPr>
          <w:rFonts w:hint="eastAsia" w:asciiTheme="minorEastAsia" w:hAnsiTheme="minorEastAsia" w:eastAsiaTheme="minorEastAsia" w:cstheme="minorEastAsia"/>
          <w:b/>
          <w:snapToGrid w:val="0"/>
          <w:color w:val="auto"/>
          <w:kern w:val="0"/>
          <w:szCs w:val="21"/>
          <w:lang w:val="zh-CN"/>
        </w:rPr>
        <w:t>竞争性磋商响应文件的送达地点及截止时间</w:t>
      </w:r>
      <w:bookmarkEnd w:id="56"/>
    </w:p>
    <w:p>
      <w:pPr>
        <w:autoSpaceDE w:val="0"/>
        <w:autoSpaceDN w:val="0"/>
        <w:adjustRightInd w:val="0"/>
        <w:spacing w:line="360" w:lineRule="auto"/>
        <w:ind w:left="539" w:hanging="539"/>
        <w:jc w:val="left"/>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b/>
          <w:snapToGrid w:val="0"/>
          <w:color w:val="auto"/>
          <w:kern w:val="0"/>
          <w:szCs w:val="21"/>
          <w:lang w:val="zh-CN"/>
        </w:rPr>
        <w:t>20.1</w:t>
      </w:r>
      <w:r>
        <w:rPr>
          <w:rFonts w:hint="eastAsia" w:asciiTheme="minorEastAsia" w:hAnsiTheme="minorEastAsia" w:eastAsiaTheme="minorEastAsia" w:cstheme="minorEastAsia"/>
          <w:b/>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截止时间是</w:t>
      </w:r>
      <w:r>
        <w:rPr>
          <w:rFonts w:hint="eastAsia" w:asciiTheme="minorEastAsia" w:hAnsiTheme="minorEastAsia" w:eastAsiaTheme="minorEastAsia" w:cstheme="minorEastAsia"/>
          <w:b/>
          <w:snapToGrid w:val="0"/>
          <w:color w:val="auto"/>
          <w:kern w:val="0"/>
          <w:szCs w:val="21"/>
          <w:lang w:val="zh-CN"/>
        </w:rPr>
        <w:t>竞争性磋商文件</w:t>
      </w:r>
      <w:r>
        <w:rPr>
          <w:rFonts w:hint="eastAsia" w:asciiTheme="minorEastAsia" w:hAnsiTheme="minorEastAsia" w:eastAsiaTheme="minorEastAsia" w:cstheme="minorEastAsia"/>
          <w:snapToGrid w:val="0"/>
          <w:color w:val="auto"/>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7" w:name="_Toc31376"/>
      <w:bookmarkEnd w:id="57"/>
      <w:bookmarkStart w:id="58" w:name="_Toc31680"/>
      <w:r>
        <w:rPr>
          <w:rFonts w:hint="eastAsia" w:asciiTheme="minorEastAsia" w:hAnsiTheme="minorEastAsia" w:eastAsiaTheme="minorEastAsia" w:cstheme="minorEastAsia"/>
          <w:b/>
          <w:snapToGrid w:val="0"/>
          <w:color w:val="auto"/>
          <w:kern w:val="0"/>
          <w:szCs w:val="21"/>
          <w:lang w:val="zh-CN"/>
        </w:rPr>
        <w:t>迟交的竞争性磋商响应文件</w:t>
      </w:r>
      <w:bookmarkEnd w:id="58"/>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9" w:name="_Toc31760"/>
      <w:bookmarkEnd w:id="59"/>
      <w:bookmarkStart w:id="60" w:name="_Toc22434"/>
      <w:r>
        <w:rPr>
          <w:rFonts w:hint="eastAsia" w:asciiTheme="minorEastAsia" w:hAnsiTheme="minorEastAsia" w:eastAsiaTheme="minorEastAsia" w:cstheme="minorEastAsia"/>
          <w:b/>
          <w:snapToGrid w:val="0"/>
          <w:color w:val="auto"/>
          <w:kern w:val="0"/>
          <w:szCs w:val="21"/>
          <w:lang w:val="zh-CN"/>
        </w:rPr>
        <w:t>竞争性磋商响应文件的补充、修改或者撤回</w:t>
      </w:r>
      <w:bookmarkEnd w:id="60"/>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响应文件截止时间前，供应商可以对</w:t>
      </w:r>
      <w:r>
        <w:rPr>
          <w:rFonts w:hint="eastAsia" w:asciiTheme="minorEastAsia" w:hAnsiTheme="minorEastAsia" w:eastAsiaTheme="minorEastAsia" w:cstheme="minorEastAsia"/>
          <w:snapToGrid w:val="0"/>
          <w:color w:val="auto"/>
          <w:kern w:val="0"/>
          <w:szCs w:val="21"/>
        </w:rPr>
        <w:t>已</w:t>
      </w:r>
      <w:r>
        <w:rPr>
          <w:rFonts w:hint="eastAsia" w:asciiTheme="minorEastAsia" w:hAnsiTheme="minorEastAsia" w:eastAsiaTheme="minorEastAsia" w:cstheme="minorEastAsia"/>
          <w:snapToGrid w:val="0"/>
          <w:color w:val="auto"/>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从</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color w:val="auto"/>
          <w:kern w:val="0"/>
          <w:szCs w:val="21"/>
        </w:rPr>
        <w:t>撤销</w:t>
      </w:r>
      <w:r>
        <w:rPr>
          <w:rFonts w:hint="eastAsia" w:asciiTheme="minorEastAsia" w:hAnsiTheme="minorEastAsia" w:eastAsiaTheme="minorEastAsia" w:cstheme="minorEastAsia"/>
          <w:snapToGrid w:val="0"/>
          <w:color w:val="auto"/>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61" w:name="_Toc2766"/>
      <w:r>
        <w:rPr>
          <w:rFonts w:hint="eastAsia" w:asciiTheme="minorEastAsia" w:hAnsiTheme="minorEastAsia" w:eastAsiaTheme="minorEastAsia" w:cstheme="minorEastAsia"/>
          <w:b/>
          <w:color w:val="auto"/>
          <w:szCs w:val="21"/>
        </w:rPr>
        <w:t>磋商程序及步骤</w:t>
      </w:r>
      <w:bookmarkEnd w:id="61"/>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2" w:name="_Toc22624"/>
      <w:bookmarkEnd w:id="62"/>
      <w:bookmarkStart w:id="63" w:name="_Toc31171"/>
      <w:r>
        <w:rPr>
          <w:rFonts w:hint="eastAsia" w:asciiTheme="minorEastAsia" w:hAnsiTheme="minorEastAsia" w:eastAsiaTheme="minorEastAsia" w:cstheme="minorEastAsia"/>
          <w:b/>
          <w:color w:val="auto"/>
        </w:rPr>
        <w:t>竞争性磋商小组</w:t>
      </w:r>
      <w:bookmarkEnd w:id="63"/>
    </w:p>
    <w:p>
      <w:pPr>
        <w:tabs>
          <w:tab w:val="left" w:pos="540"/>
        </w:tabs>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Cs w:val="21"/>
        </w:rPr>
        <w:t>23.1 采购人</w:t>
      </w:r>
      <w:r>
        <w:rPr>
          <w:rFonts w:hint="eastAsia" w:asciiTheme="minorEastAsia" w:hAnsiTheme="minorEastAsia" w:eastAsiaTheme="minorEastAsia" w:cstheme="minorEastAsia"/>
          <w:color w:val="auto"/>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磋商小组由采购人代表和评审专家共3人或3人以上单数组成</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磋商小组人数详见《供应商须知前附表》。</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4" w:name="_Toc21483"/>
      <w:bookmarkEnd w:id="64"/>
      <w:bookmarkStart w:id="65" w:name="_Toc15530"/>
      <w:r>
        <w:rPr>
          <w:rFonts w:hint="eastAsia" w:asciiTheme="minorEastAsia" w:hAnsiTheme="minorEastAsia" w:eastAsiaTheme="minorEastAsia" w:cstheme="minorEastAsia"/>
          <w:b/>
          <w:color w:val="auto"/>
        </w:rPr>
        <w:t>磋商代表</w:t>
      </w:r>
      <w:bookmarkEnd w:id="65"/>
    </w:p>
    <w:p>
      <w:pPr>
        <w:tabs>
          <w:tab w:val="left" w:pos="864"/>
          <w:tab w:val="left" w:pos="1080"/>
        </w:tabs>
        <w:spacing w:line="360" w:lineRule="auto"/>
        <w:ind w:left="539" w:hanging="539"/>
        <w:jc w:val="left"/>
        <w:rPr>
          <w:rFonts w:asciiTheme="minorEastAsia" w:hAnsiTheme="minorEastAsia" w:eastAsiaTheme="minorEastAsia" w:cstheme="minorEastAsia"/>
          <w:color w:val="auto"/>
          <w:szCs w:val="21"/>
        </w:rPr>
      </w:pPr>
      <w:bookmarkStart w:id="66" w:name="_Toc32662"/>
      <w:bookmarkEnd w:id="66"/>
      <w:bookmarkStart w:id="67" w:name="_Toc9967"/>
      <w:bookmarkEnd w:id="67"/>
      <w:r>
        <w:rPr>
          <w:rFonts w:hint="eastAsia" w:asciiTheme="minorEastAsia" w:hAnsiTheme="minorEastAsia" w:eastAsiaTheme="minorEastAsia" w:cstheme="minorEastAsia"/>
          <w:b/>
          <w:color w:val="auto"/>
        </w:rPr>
        <w:t xml:space="preserve">24.1 </w:t>
      </w:r>
      <w:r>
        <w:rPr>
          <w:rFonts w:hint="eastAsia" w:asciiTheme="minorEastAsia" w:hAnsiTheme="minorEastAsia" w:eastAsiaTheme="minorEastAsia" w:cstheme="minorEastAsia"/>
          <w:color w:val="auto"/>
          <w:szCs w:val="21"/>
        </w:rPr>
        <w:t>磋商供应商法定代表人或授权代表应携带本人身份证明参加磋商，授权代表参加磋商的，还应携带法定代表人授权书原件。磋商代表经磋商小组核对身份后，方可参加磋商。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68" w:name="_Toc2322"/>
      <w:r>
        <w:rPr>
          <w:rFonts w:hint="eastAsia" w:asciiTheme="minorEastAsia" w:hAnsiTheme="minorEastAsia" w:eastAsiaTheme="minorEastAsia" w:cstheme="minorEastAsia"/>
          <w:b/>
          <w:color w:val="auto"/>
        </w:rPr>
        <w:t>资格审查和符合性审查</w:t>
      </w:r>
      <w:bookmarkEnd w:id="68"/>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69" w:name="_Toc22323"/>
      <w:r>
        <w:rPr>
          <w:rFonts w:hint="eastAsia" w:asciiTheme="minorEastAsia" w:hAnsiTheme="minorEastAsia" w:eastAsiaTheme="minorEastAsia" w:cstheme="minorEastAsia"/>
          <w:b/>
          <w:color w:val="auto"/>
        </w:rPr>
        <w:t>磋商</w:t>
      </w:r>
      <w:bookmarkEnd w:id="69"/>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color w:val="auto"/>
        </w:rPr>
        <w:t>术资料、价格和其他信息。</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color w:val="auto"/>
          <w:szCs w:val="21"/>
        </w:rPr>
        <w:t>并提供必要的修正时间。</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26.3供应商应当按照磋商文件的变动情况和磋商小组的要求重新提交响应文件，</w:t>
      </w:r>
      <w:r>
        <w:rPr>
          <w:rFonts w:hint="eastAsia" w:asciiTheme="minorEastAsia" w:hAnsiTheme="minorEastAsia" w:eastAsiaTheme="minorEastAsia" w:cstheme="minorEastAsia"/>
          <w:color w:val="auto"/>
          <w:szCs w:val="21"/>
        </w:rPr>
        <w:t>对原响应文件进行技术、商务、价格修正，重新提交的响应文件应实质性响应本磋商文件及</w:t>
      </w:r>
      <w:r>
        <w:rPr>
          <w:rFonts w:hint="eastAsia" w:asciiTheme="minorEastAsia" w:hAnsiTheme="minorEastAsia" w:eastAsiaTheme="minorEastAsia" w:cstheme="minorEastAsia"/>
          <w:color w:val="auto"/>
        </w:rPr>
        <w:t>对磋商文件作出的实质性变动，</w:t>
      </w:r>
      <w:r>
        <w:rPr>
          <w:rFonts w:hint="eastAsia" w:asciiTheme="minorEastAsia" w:hAnsiTheme="minorEastAsia" w:eastAsiaTheme="minorEastAsia" w:cstheme="minorEastAsia"/>
          <w:color w:val="auto"/>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color w:val="auto"/>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26.5最后报价</w:t>
      </w:r>
    </w:p>
    <w:p>
      <w:pPr>
        <w:spacing w:line="360" w:lineRule="auto"/>
        <w:ind w:left="420" w:leftChars="200" w:firstLine="115" w:firstLine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color w:val="auto"/>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26.6</w:t>
      </w:r>
      <w:r>
        <w:rPr>
          <w:rFonts w:hint="eastAsia" w:asciiTheme="minorEastAsia" w:hAnsiTheme="minorEastAsia" w:eastAsiaTheme="minorEastAsia" w:cstheme="minorEastAsia"/>
          <w:bCs/>
          <w:color w:val="auto"/>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color w:val="auto"/>
        </w:rPr>
        <w:t>提交最后报价</w:t>
      </w:r>
      <w:r>
        <w:rPr>
          <w:rFonts w:hint="eastAsia" w:asciiTheme="minorEastAsia" w:hAnsiTheme="minorEastAsia" w:eastAsiaTheme="minorEastAsia" w:cstheme="minorEastAsia"/>
          <w:bCs/>
          <w:color w:val="auto"/>
          <w:kern w:val="44"/>
          <w:szCs w:val="21"/>
        </w:rPr>
        <w:t>。</w:t>
      </w:r>
    </w:p>
    <w:p>
      <w:pPr>
        <w:spacing w:line="360" w:lineRule="auto"/>
        <w:ind w:left="539" w:hanging="539"/>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color w:val="auto"/>
        </w:rPr>
        <w:t>26.7</w:t>
      </w:r>
      <w:r>
        <w:rPr>
          <w:rFonts w:hint="eastAsia" w:asciiTheme="minorEastAsia" w:hAnsiTheme="minorEastAsia" w:eastAsiaTheme="minorEastAsia" w:cstheme="minorEastAsia"/>
          <w:bCs/>
          <w:color w:val="auto"/>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70" w:name="_Toc15029"/>
      <w:r>
        <w:rPr>
          <w:rFonts w:hint="eastAsia" w:asciiTheme="minorEastAsia" w:hAnsiTheme="minorEastAsia" w:eastAsiaTheme="minorEastAsia" w:cstheme="minorEastAsia"/>
          <w:b/>
          <w:color w:val="auto"/>
          <w:lang w:val="zh-CN"/>
        </w:rPr>
        <w:t>保密</w:t>
      </w:r>
      <w:bookmarkEnd w:id="70"/>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color w:val="auto"/>
          <w:kern w:val="44"/>
          <w:szCs w:val="21"/>
        </w:rPr>
        <w:t>磋商小组</w:t>
      </w:r>
      <w:r>
        <w:rPr>
          <w:rFonts w:hint="eastAsia" w:asciiTheme="minorEastAsia" w:hAnsiTheme="minorEastAsia" w:eastAsiaTheme="minorEastAsia" w:cstheme="minorEastAsia"/>
          <w:snapToGrid w:val="0"/>
          <w:color w:val="auto"/>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color w:val="auto"/>
          <w:kern w:val="0"/>
          <w:szCs w:val="21"/>
        </w:rPr>
        <w:t>四</w:t>
      </w:r>
      <w:r>
        <w:rPr>
          <w:rFonts w:hint="eastAsia" w:asciiTheme="minorEastAsia" w:hAnsiTheme="minorEastAsia" w:eastAsiaTheme="minorEastAsia" w:cstheme="minorEastAsia"/>
          <w:snapToGrid w:val="0"/>
          <w:color w:val="auto"/>
          <w:kern w:val="0"/>
          <w:szCs w:val="21"/>
          <w:lang w:val="zh-CN"/>
        </w:rPr>
        <w:t>章“</w:t>
      </w:r>
      <w:r>
        <w:rPr>
          <w:rFonts w:hint="eastAsia" w:asciiTheme="minorEastAsia" w:hAnsiTheme="minorEastAsia" w:eastAsiaTheme="minorEastAsia" w:cstheme="minorEastAsia"/>
          <w:snapToGrid w:val="0"/>
          <w:color w:val="auto"/>
          <w:kern w:val="0"/>
          <w:szCs w:val="21"/>
        </w:rPr>
        <w:t>评定办法</w:t>
      </w:r>
      <w:r>
        <w:rPr>
          <w:rFonts w:hint="eastAsia" w:asciiTheme="minorEastAsia" w:hAnsiTheme="minorEastAsia" w:eastAsiaTheme="minorEastAsia" w:cstheme="minorEastAsia"/>
          <w:snapToGrid w:val="0"/>
          <w:color w:val="auto"/>
          <w:kern w:val="0"/>
          <w:szCs w:val="21"/>
          <w:lang w:val="zh-CN"/>
        </w:rPr>
        <w:t>”。</w:t>
      </w:r>
    </w:p>
    <w:p>
      <w:pPr>
        <w:numPr>
          <w:ilvl w:val="1"/>
          <w:numId w:val="32"/>
        </w:numPr>
        <w:autoSpaceDE w:val="0"/>
        <w:autoSpaceDN w:val="0"/>
        <w:adjustRightInd w:val="0"/>
        <w:spacing w:line="360" w:lineRule="auto"/>
        <w:jc w:val="left"/>
        <w:rPr>
          <w:color w:val="auto"/>
          <w:lang w:val="zh-CN"/>
        </w:rPr>
      </w:pPr>
      <w:r>
        <w:rPr>
          <w:rFonts w:hint="eastAsia" w:asciiTheme="minorEastAsia" w:hAnsiTheme="minorEastAsia" w:eastAsiaTheme="minorEastAsia" w:cstheme="minorEastAsia"/>
          <w:snapToGrid w:val="0"/>
          <w:color w:val="auto"/>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71" w:name="_Toc15936"/>
      <w:bookmarkEnd w:id="71"/>
      <w:bookmarkStart w:id="72" w:name="_Toc11953"/>
      <w:r>
        <w:rPr>
          <w:rFonts w:hint="eastAsia" w:asciiTheme="minorEastAsia" w:hAnsiTheme="minorEastAsia" w:eastAsiaTheme="minorEastAsia" w:cstheme="minorEastAsia"/>
          <w:b/>
          <w:color w:val="auto"/>
          <w:szCs w:val="21"/>
        </w:rPr>
        <w:t>成交与签订合同</w:t>
      </w:r>
      <w:bookmarkEnd w:id="72"/>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73" w:name="_Toc21514"/>
      <w:bookmarkEnd w:id="73"/>
      <w:bookmarkStart w:id="74" w:name="_Toc7842"/>
      <w:r>
        <w:rPr>
          <w:rFonts w:hint="eastAsia" w:asciiTheme="minorEastAsia" w:hAnsiTheme="minorEastAsia" w:eastAsiaTheme="minorEastAsia" w:cstheme="minorEastAsia"/>
          <w:b/>
          <w:color w:val="auto"/>
          <w:lang w:val="zh-CN"/>
        </w:rPr>
        <w:t>合同授予标准</w:t>
      </w:r>
      <w:bookmarkEnd w:id="74"/>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28.1</w:t>
      </w:r>
      <w:r>
        <w:rPr>
          <w:rFonts w:hint="eastAsia" w:asciiTheme="minorEastAsia" w:hAnsiTheme="minorEastAsia" w:eastAsiaTheme="minorEastAsia" w:cstheme="minorEastAsia"/>
          <w:iCs/>
          <w:snapToGrid w:val="0"/>
          <w:color w:val="auto"/>
          <w:kern w:val="0"/>
          <w:szCs w:val="21"/>
        </w:rPr>
        <w:t xml:space="preserve">  </w:t>
      </w:r>
      <w:r>
        <w:rPr>
          <w:rFonts w:hint="eastAsia" w:asciiTheme="minorEastAsia" w:hAnsiTheme="minorEastAsia" w:eastAsiaTheme="minorEastAsia" w:cstheme="minorEastAsia"/>
          <w:iCs/>
          <w:snapToGrid w:val="0"/>
          <w:color w:val="auto"/>
          <w:kern w:val="0"/>
          <w:szCs w:val="21"/>
          <w:lang w:val="zh-CN"/>
        </w:rPr>
        <w:t>采购人将把合同授予排名</w:t>
      </w:r>
      <w:r>
        <w:rPr>
          <w:rFonts w:hint="eastAsia" w:asciiTheme="minorEastAsia" w:hAnsiTheme="minorEastAsia" w:eastAsiaTheme="minorEastAsia" w:cstheme="minorEastAsia"/>
          <w:iCs/>
          <w:snapToGrid w:val="0"/>
          <w:color w:val="auto"/>
          <w:kern w:val="0"/>
          <w:szCs w:val="21"/>
        </w:rPr>
        <w:t>推荐数量</w:t>
      </w:r>
      <w:r>
        <w:rPr>
          <w:rFonts w:hint="eastAsia" w:asciiTheme="minorEastAsia" w:hAnsiTheme="minorEastAsia" w:eastAsiaTheme="minorEastAsia" w:cstheme="minorEastAsia"/>
          <w:iCs/>
          <w:snapToGrid w:val="0"/>
          <w:color w:val="auto"/>
          <w:kern w:val="0"/>
          <w:szCs w:val="21"/>
          <w:lang w:val="zh-CN"/>
        </w:rPr>
        <w:t>的供应商，特殊情况按本须知29.3的规定执行。</w:t>
      </w:r>
    </w:p>
    <w:p>
      <w:pPr>
        <w:spacing w:line="360" w:lineRule="auto"/>
        <w:ind w:left="630" w:hanging="630" w:hangingChars="300"/>
        <w:jc w:val="left"/>
        <w:rPr>
          <w:rFonts w:ascii="宋体" w:hAnsi="宋体" w:cs="宋体"/>
          <w:color w:val="auto"/>
          <w:szCs w:val="21"/>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2  </w:t>
      </w:r>
      <w:r>
        <w:rPr>
          <w:rFonts w:hint="eastAsia" w:asciiTheme="minorEastAsia" w:hAnsiTheme="minorEastAsia" w:eastAsiaTheme="minorEastAsia" w:cstheme="minorEastAsia"/>
          <w:iCs/>
          <w:snapToGrid w:val="0"/>
          <w:color w:val="auto"/>
          <w:kern w:val="0"/>
          <w:szCs w:val="21"/>
          <w:lang w:val="zh-CN"/>
        </w:rPr>
        <w:t>采购代理机构应当在评审结束后2个工作日内将评审报告送采购人确认。</w:t>
      </w:r>
      <w:r>
        <w:rPr>
          <w:rFonts w:ascii="宋体" w:hAnsi="宋体" w:cs="宋体"/>
          <w:color w:val="auto"/>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3  </w:t>
      </w:r>
      <w:r>
        <w:rPr>
          <w:rFonts w:hint="eastAsia" w:asciiTheme="minorEastAsia" w:hAnsiTheme="minorEastAsia" w:eastAsiaTheme="minorEastAsia" w:cstheme="minorEastAsia"/>
          <w:snapToGrid w:val="0"/>
          <w:color w:val="auto"/>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4  </w:t>
      </w:r>
      <w:r>
        <w:rPr>
          <w:rFonts w:hint="eastAsia" w:asciiTheme="minorEastAsia" w:hAnsiTheme="minorEastAsia" w:eastAsiaTheme="minorEastAsia" w:cstheme="minorEastAsia"/>
          <w:iCs/>
          <w:snapToGrid w:val="0"/>
          <w:color w:val="auto"/>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5  </w:t>
      </w:r>
      <w:r>
        <w:rPr>
          <w:rFonts w:hint="eastAsia" w:asciiTheme="minorEastAsia" w:hAnsiTheme="minorEastAsia" w:eastAsiaTheme="minorEastAsia" w:cstheme="minorEastAsia"/>
          <w:iCs/>
          <w:snapToGrid w:val="0"/>
          <w:color w:val="auto"/>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75" w:name="_Toc15727"/>
      <w:bookmarkEnd w:id="75"/>
      <w:bookmarkStart w:id="76" w:name="_Toc13516"/>
      <w:r>
        <w:rPr>
          <w:rFonts w:hint="eastAsia" w:asciiTheme="minorEastAsia" w:hAnsiTheme="minorEastAsia" w:eastAsiaTheme="minorEastAsia" w:cstheme="minorEastAsia"/>
          <w:b/>
          <w:color w:val="auto"/>
          <w:lang w:val="zh-CN"/>
        </w:rPr>
        <w:t>签订合同</w:t>
      </w:r>
      <w:bookmarkEnd w:id="76"/>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29.1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zCs w:val="21"/>
          <w:lang w:val="zh-CN"/>
        </w:rPr>
        <w:t xml:space="preserve">29.2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29.3  </w:t>
      </w:r>
      <w:r>
        <w:rPr>
          <w:rFonts w:hint="eastAsia" w:asciiTheme="minorEastAsia" w:hAnsiTheme="minorEastAsia" w:eastAsiaTheme="minorEastAsia" w:cstheme="minorEastAsia"/>
          <w:color w:val="auto"/>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29.4  </w:t>
      </w:r>
      <w:r>
        <w:rPr>
          <w:rFonts w:hint="eastAsia" w:asciiTheme="minorEastAsia" w:hAnsiTheme="minorEastAsia" w:eastAsiaTheme="minorEastAsia" w:cstheme="minorEastAsia"/>
          <w:snapToGrid w:val="0"/>
          <w:color w:val="auto"/>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29.5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szCs w:val="21"/>
          <w:lang w:val="zh-CN"/>
        </w:rPr>
        <w:t xml:space="preserve">29.6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color w:val="auto"/>
          <w:szCs w:val="21"/>
          <w:lang w:val="zh-CN"/>
        </w:rPr>
      </w:pPr>
      <w:bookmarkStart w:id="77" w:name="_Toc4883"/>
      <w:bookmarkEnd w:id="77"/>
      <w:bookmarkStart w:id="78" w:name="_Toc13988"/>
      <w:bookmarkEnd w:id="78"/>
      <w:bookmarkStart w:id="79" w:name="_Toc14510"/>
      <w:bookmarkEnd w:id="79"/>
      <w:r>
        <w:rPr>
          <w:rFonts w:hint="eastAsia" w:asciiTheme="minorEastAsia" w:hAnsiTheme="minorEastAsia" w:eastAsiaTheme="minorEastAsia" w:cstheme="minorEastAsia"/>
          <w:b/>
          <w:color w:val="auto"/>
          <w:szCs w:val="21"/>
          <w:lang w:val="zh-CN"/>
        </w:rPr>
        <w:t>质疑和投诉</w:t>
      </w:r>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color w:val="auto"/>
          <w:lang w:val="zh-CN"/>
        </w:rPr>
      </w:pPr>
      <w:r>
        <w:rPr>
          <w:rFonts w:hint="eastAsia" w:asciiTheme="minorEastAsia" w:hAnsiTheme="minorEastAsia" w:eastAsiaTheme="minorEastAsia" w:cstheme="minorEastAsia"/>
          <w:b/>
          <w:color w:val="auto"/>
          <w:lang w:val="zh-CN"/>
        </w:rPr>
        <w:t>质疑</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（7）</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0" w:name="_Toc20387"/>
      <w:bookmarkEnd w:id="80"/>
      <w:bookmarkStart w:id="81" w:name="_Toc9036"/>
      <w:r>
        <w:rPr>
          <w:rFonts w:hint="eastAsia" w:asciiTheme="minorEastAsia" w:hAnsiTheme="minorEastAsia" w:eastAsiaTheme="minorEastAsia" w:cstheme="minorEastAsia"/>
          <w:b/>
          <w:color w:val="auto"/>
          <w:lang w:val="zh-CN"/>
        </w:rPr>
        <w:t>质疑回复</w:t>
      </w:r>
      <w:bookmarkEnd w:id="81"/>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质疑答复应当包括下列内容：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2" w:name="_Toc459"/>
      <w:bookmarkEnd w:id="82"/>
      <w:bookmarkStart w:id="83" w:name="_Toc23558"/>
      <w:r>
        <w:rPr>
          <w:rFonts w:hint="eastAsia" w:asciiTheme="minorEastAsia" w:hAnsiTheme="minorEastAsia" w:eastAsiaTheme="minorEastAsia" w:cstheme="minorEastAsia"/>
          <w:b/>
          <w:color w:val="auto"/>
          <w:lang w:val="zh-CN"/>
        </w:rPr>
        <w:t>投诉</w:t>
      </w:r>
      <w:bookmarkEnd w:id="83"/>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84" w:name="_Toc14767"/>
      <w:bookmarkEnd w:id="84"/>
      <w:bookmarkStart w:id="85" w:name="_Toc30010"/>
      <w:bookmarkEnd w:id="85"/>
      <w:bookmarkStart w:id="86" w:name="_Toc28705"/>
      <w:bookmarkEnd w:id="86"/>
      <w:bookmarkStart w:id="87" w:name="_Toc5571"/>
      <w:bookmarkEnd w:id="87"/>
      <w:bookmarkStart w:id="88" w:name="_Toc8086"/>
      <w:r>
        <w:rPr>
          <w:rFonts w:hint="eastAsia" w:asciiTheme="minorEastAsia" w:hAnsiTheme="minorEastAsia" w:eastAsiaTheme="minorEastAsia" w:cstheme="minorEastAsia"/>
          <w:b/>
          <w:color w:val="auto"/>
          <w:szCs w:val="21"/>
          <w:lang w:val="zh-CN"/>
        </w:rPr>
        <w:t>政策</w:t>
      </w:r>
      <w:bookmarkEnd w:id="88"/>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89" w:name="_Toc28842"/>
      <w:bookmarkEnd w:id="89"/>
      <w:bookmarkStart w:id="90" w:name="_Toc23649"/>
      <w:r>
        <w:rPr>
          <w:rFonts w:hint="eastAsia" w:asciiTheme="minorEastAsia" w:hAnsiTheme="minorEastAsia" w:eastAsiaTheme="minorEastAsia" w:cstheme="minorEastAsia"/>
          <w:b/>
          <w:color w:val="auto"/>
        </w:rPr>
        <w:t>政府采购政策</w:t>
      </w:r>
      <w:bookmarkEnd w:id="90"/>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spacing w:val="-2"/>
          <w:kern w:val="0"/>
          <w:szCs w:val="21"/>
          <w:lang w:val="zh-CN"/>
        </w:rPr>
        <w:t>除非“供应商须知前附表”中有特殊规定，本项目所采购的货物</w:t>
      </w:r>
      <w:r>
        <w:rPr>
          <w:rFonts w:hint="eastAsia" w:ascii="宋体" w:hAnsi="宋体" w:cs="宋体"/>
          <w:snapToGrid w:val="0"/>
          <w:color w:val="auto"/>
          <w:spacing w:val="-2"/>
          <w:kern w:val="0"/>
          <w:szCs w:val="21"/>
        </w:rPr>
        <w:t>或服务或工程</w:t>
      </w:r>
      <w:r>
        <w:rPr>
          <w:rFonts w:hint="eastAsia" w:ascii="宋体" w:hAnsi="宋体" w:cs="宋体"/>
          <w:snapToGrid w:val="0"/>
          <w:color w:val="auto"/>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为促进中小企业发展，本项目供应商如符合工信部联企业【</w:t>
      </w:r>
      <w:r>
        <w:rPr>
          <w:rFonts w:hint="eastAsia" w:ascii="宋体" w:hAnsi="宋体" w:cs="宋体"/>
          <w:snapToGrid w:val="0"/>
          <w:color w:val="auto"/>
          <w:kern w:val="0"/>
          <w:szCs w:val="21"/>
        </w:rPr>
        <w:t>2011</w:t>
      </w:r>
      <w:r>
        <w:rPr>
          <w:rFonts w:hint="eastAsia" w:ascii="宋体" w:hAnsi="宋体" w:cs="宋体"/>
          <w:snapToGrid w:val="0"/>
          <w:color w:val="auto"/>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w:t>
      </w:r>
      <w:r>
        <w:rPr>
          <w:rFonts w:hint="eastAsia" w:ascii="宋体" w:hAnsi="宋体" w:cs="宋体"/>
          <w:snapToGrid w:val="0"/>
          <w:color w:val="auto"/>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33.</w:t>
      </w:r>
      <w:r>
        <w:rPr>
          <w:rFonts w:hint="eastAsia" w:ascii="宋体" w:hAnsi="宋体" w:cs="宋体"/>
          <w:snapToGrid w:val="0"/>
          <w:color w:val="auto"/>
          <w:kern w:val="0"/>
          <w:szCs w:val="21"/>
        </w:rPr>
        <w:t xml:space="preserve">6  </w:t>
      </w:r>
      <w:r>
        <w:rPr>
          <w:rFonts w:hint="eastAsia" w:ascii="宋体" w:hAnsi="宋体" w:cs="宋体"/>
          <w:snapToGrid w:val="0"/>
          <w:color w:val="auto"/>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color w:val="auto"/>
          <w:lang w:val="zh-CN"/>
        </w:rPr>
      </w:pPr>
      <w:r>
        <w:rPr>
          <w:rFonts w:hint="eastAsia" w:ascii="宋体" w:hAnsi="宋体" w:cs="宋体"/>
          <w:b/>
          <w:bCs/>
          <w:snapToGrid w:val="0"/>
          <w:color w:val="auto"/>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91" w:name="_Toc25296"/>
      <w:bookmarkEnd w:id="91"/>
      <w:bookmarkStart w:id="92" w:name="_Toc23935"/>
      <w:r>
        <w:rPr>
          <w:rFonts w:hint="eastAsia" w:asciiTheme="minorEastAsia" w:hAnsiTheme="minorEastAsia" w:eastAsiaTheme="minorEastAsia" w:cstheme="minorEastAsia"/>
          <w:b/>
          <w:color w:val="auto"/>
          <w:szCs w:val="21"/>
          <w:lang w:val="zh-CN"/>
        </w:rPr>
        <w:t>其他要求</w:t>
      </w:r>
      <w:bookmarkEnd w:id="92"/>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93" w:name="_Toc28137"/>
      <w:bookmarkEnd w:id="93"/>
      <w:bookmarkStart w:id="94" w:name="_Toc2518"/>
      <w:r>
        <w:rPr>
          <w:rFonts w:hint="eastAsia" w:asciiTheme="minorEastAsia" w:hAnsiTheme="minorEastAsia" w:eastAsiaTheme="minorEastAsia" w:cstheme="minorEastAsia"/>
          <w:b/>
          <w:color w:val="auto"/>
          <w:szCs w:val="21"/>
          <w:lang w:val="zh-CN"/>
        </w:rPr>
        <w:t>适用法律</w:t>
      </w:r>
      <w:bookmarkEnd w:id="94"/>
    </w:p>
    <w:p>
      <w:pPr>
        <w:autoSpaceDE w:val="0"/>
        <w:autoSpaceDN w:val="0"/>
        <w:adjustRightInd w:val="0"/>
        <w:spacing w:line="360" w:lineRule="auto"/>
        <w:ind w:left="630" w:leftChars="300"/>
        <w:jc w:val="left"/>
        <w:rPr>
          <w:rFonts w:asciiTheme="minorEastAsia" w:hAnsiTheme="minorEastAsia" w:eastAsiaTheme="minorEastAsia" w:cstheme="minorEastAsia"/>
          <w:snapToGrid w:val="0"/>
          <w:color w:val="auto"/>
          <w:kern w:val="0"/>
          <w:szCs w:val="21"/>
          <w:lang w:val="zh-CN"/>
        </w:rPr>
      </w:pPr>
      <w:r>
        <w:rPr>
          <w:rFonts w:hint="eastAsia"/>
          <w:b/>
          <w:bCs/>
          <w:color w:val="auto"/>
        </w:rPr>
        <w:t>采购人或者采购代理机构和供应商的一切采购活动均适用于《湖北工业大学招标管理办法》等校级相关规章制度的规定。采购人另有要求时，可参照执行《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color w:val="auto"/>
          <w:kern w:val="0"/>
          <w:szCs w:val="21"/>
          <w:lang w:val="zh-CN"/>
        </w:rPr>
        <w:t>。</w:t>
      </w:r>
      <w:r>
        <w:rPr>
          <w:color w:val="auto"/>
        </w:rPr>
        <w:br w:type="textWrapping"/>
      </w:r>
      <w:r>
        <w:rPr>
          <w:rFonts w:hint="eastAsia" w:asciiTheme="minorEastAsia" w:hAnsiTheme="minorEastAsia" w:eastAsiaTheme="minorEastAsia" w:cstheme="minorEastAsia"/>
          <w:b/>
          <w:bCs/>
          <w:snapToGrid w:val="0"/>
          <w:color w:val="auto"/>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 12 月 1 日至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color w:val="auto"/>
          <w:kern w:val="0"/>
          <w:szCs w:val="21"/>
        </w:rPr>
        <w:t>则</w:t>
      </w:r>
      <w:r>
        <w:rPr>
          <w:rFonts w:hint="eastAsia" w:asciiTheme="minorEastAsia" w:hAnsiTheme="minorEastAsia" w:eastAsiaTheme="minorEastAsia" w:cstheme="minorEastAsia"/>
          <w:snapToGrid w:val="0"/>
          <w:color w:val="auto"/>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6 月 9 日，则“近三年”</w:t>
      </w:r>
      <w:r>
        <w:rPr>
          <w:rFonts w:hint="eastAsia" w:asciiTheme="minorEastAsia" w:hAnsiTheme="minorEastAsia" w:eastAsiaTheme="minorEastAsia" w:cstheme="minorEastAsia"/>
          <w:snapToGrid w:val="0"/>
          <w:color w:val="auto"/>
          <w:kern w:val="0"/>
          <w:szCs w:val="21"/>
        </w:rPr>
        <w:t>是</w:t>
      </w:r>
      <w:r>
        <w:rPr>
          <w:rFonts w:hint="eastAsia" w:asciiTheme="minorEastAsia" w:hAnsiTheme="minorEastAsia" w:eastAsiaTheme="minorEastAsia" w:cstheme="minorEastAsia"/>
          <w:snapToGrid w:val="0"/>
          <w:color w:val="auto"/>
          <w:kern w:val="0"/>
          <w:szCs w:val="21"/>
          <w:lang w:val="zh-CN"/>
        </w:rPr>
        <w:t>指 201</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8</w:t>
      </w:r>
      <w:r>
        <w:rPr>
          <w:rFonts w:hint="eastAsia" w:asciiTheme="minorEastAsia" w:hAnsiTheme="minorEastAsia" w:eastAsiaTheme="minorEastAsia" w:cstheme="minorEastAsia"/>
          <w:snapToGrid w:val="0"/>
          <w:color w:val="auto"/>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成立时间不足应提交财务报告年份要求的，按成立时间起算。</w:t>
      </w:r>
      <w:r>
        <w:rPr>
          <w:color w:val="auto"/>
        </w:rPr>
        <w:br w:type="textWrapping"/>
      </w:r>
      <w:r>
        <w:rPr>
          <w:color w:val="auto"/>
        </w:rPr>
        <w:br w:type="textWrapping"/>
      </w:r>
      <w:r>
        <w:rPr>
          <w:color w:val="auto"/>
        </w:rPr>
        <w:br w:type="textWrapping"/>
      </w:r>
    </w:p>
    <w:p>
      <w:pPr>
        <w:numPr>
          <w:ilvl w:val="0"/>
          <w:numId w:val="4"/>
        </w:numPr>
        <w:jc w:val="center"/>
        <w:outlineLvl w:val="0"/>
        <w:rPr>
          <w:rFonts w:asciiTheme="minorEastAsia" w:hAnsiTheme="minorEastAsia" w:eastAsiaTheme="minorEastAsia" w:cstheme="minorEastAsia"/>
          <w:color w:val="auto"/>
          <w:szCs w:val="21"/>
        </w:rPr>
      </w:pPr>
      <w:r>
        <w:rPr>
          <w:color w:val="auto"/>
        </w:rPr>
        <w:br w:type="page"/>
      </w:r>
      <w:bookmarkStart w:id="95" w:name="_Toc13101"/>
      <w:r>
        <w:rPr>
          <w:rFonts w:hint="eastAsia" w:asciiTheme="minorEastAsia" w:hAnsiTheme="minorEastAsia" w:eastAsiaTheme="minorEastAsia" w:cstheme="minorEastAsia"/>
          <w:b/>
          <w:bCs/>
          <w:color w:val="auto"/>
          <w:sz w:val="36"/>
          <w:szCs w:val="36"/>
        </w:rPr>
        <w:t>采购需求</w:t>
      </w:r>
      <w:bookmarkEnd w:id="95"/>
    </w:p>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96" w:name="_Toc13246"/>
      <w:r>
        <w:rPr>
          <w:rFonts w:hint="eastAsia" w:asciiTheme="minorEastAsia" w:hAnsiTheme="minorEastAsia" w:eastAsiaTheme="minorEastAsia" w:cstheme="minorEastAsia"/>
          <w:b/>
          <w:bCs/>
          <w:color w:val="auto"/>
          <w:sz w:val="24"/>
        </w:rPr>
        <w:t>一、技术需求</w:t>
      </w:r>
      <w:bookmarkEnd w:id="96"/>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1.项目概况：</w:t>
      </w:r>
      <w:r>
        <w:rPr>
          <w:rFonts w:hint="eastAsia" w:asciiTheme="minorEastAsia" w:hAnsiTheme="minorEastAsia" w:eastAsiaTheme="minorEastAsia" w:cstheme="minorEastAsia"/>
          <w:color w:val="auto"/>
          <w:szCs w:val="21"/>
        </w:rPr>
        <w:t>本项目共为1个包。采购内容包含</w:t>
      </w:r>
      <w:r>
        <w:rPr>
          <w:rFonts w:hint="eastAsia" w:ascii="宋体" w:hAnsi="宋体" w:cs="宋体"/>
          <w:color w:val="auto"/>
          <w:kern w:val="0"/>
          <w:szCs w:val="21"/>
        </w:rPr>
        <w:t>上下铺公寓床（数量48套）、书桌（数量96</w:t>
      </w:r>
      <w:r>
        <w:rPr>
          <w:rFonts w:hint="eastAsia" w:ascii="宋体" w:hAnsi="宋体" w:cs="宋体"/>
          <w:color w:val="auto"/>
          <w:szCs w:val="21"/>
        </w:rPr>
        <w:t>张</w:t>
      </w:r>
      <w:r>
        <w:rPr>
          <w:rFonts w:hint="eastAsia" w:ascii="宋体" w:hAnsi="宋体" w:cs="宋体"/>
          <w:color w:val="auto"/>
          <w:kern w:val="0"/>
          <w:szCs w:val="21"/>
        </w:rPr>
        <w:t>）、学习椅（数量700</w:t>
      </w:r>
      <w:r>
        <w:rPr>
          <w:rFonts w:hint="eastAsia" w:ascii="宋体" w:hAnsi="宋体" w:cs="宋体"/>
          <w:color w:val="auto"/>
          <w:szCs w:val="21"/>
        </w:rPr>
        <w:t>把</w:t>
      </w:r>
      <w:r>
        <w:rPr>
          <w:rFonts w:hint="eastAsia" w:ascii="宋体" w:hAnsi="宋体" w:cs="宋体"/>
          <w:color w:val="auto"/>
          <w:kern w:val="0"/>
          <w:szCs w:val="21"/>
        </w:rPr>
        <w:t>）</w:t>
      </w:r>
      <w:r>
        <w:rPr>
          <w:rFonts w:hint="eastAsia" w:asciiTheme="minorEastAsia" w:hAnsiTheme="minorEastAsia" w:eastAsiaTheme="minorEastAsia" w:cstheme="minorEastAsia"/>
          <w:color w:val="auto"/>
          <w:szCs w:val="21"/>
        </w:rPr>
        <w:t>。</w:t>
      </w:r>
    </w:p>
    <w:p>
      <w:pPr>
        <w:autoSpaceDE w:val="0"/>
        <w:autoSpaceDN w:val="0"/>
        <w:adjustRightIn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2.设备/货物清单：</w:t>
      </w:r>
    </w:p>
    <w:p>
      <w:pPr>
        <w:autoSpaceDE w:val="0"/>
        <w:autoSpaceDN w:val="0"/>
        <w:adjustRightInd w:val="0"/>
        <w:spacing w:line="360" w:lineRule="auto"/>
        <w:ind w:firstLine="211" w:firstLineChars="10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2.1货物清单</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5" w:type="dxa"/>
          <w:bottom w:w="0" w:type="dxa"/>
          <w:right w:w="15" w:type="dxa"/>
        </w:tblCellMar>
      </w:tblPr>
      <w:tblGrid>
        <w:gridCol w:w="967"/>
        <w:gridCol w:w="2732"/>
        <w:gridCol w:w="1713"/>
        <w:gridCol w:w="1842"/>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3" w:hRule="atLeast"/>
          <w:jc w:val="center"/>
        </w:trPr>
        <w:tc>
          <w:tcPr>
            <w:tcW w:w="531" w:type="pct"/>
            <w:vAlign w:val="center"/>
          </w:tcPr>
          <w:p>
            <w:pPr>
              <w:kinsoku w:val="0"/>
              <w:autoSpaceDE w:val="0"/>
              <w:autoSpaceDN w:val="0"/>
              <w:adjustRightInd w:val="0"/>
              <w:snapToGrid w:val="0"/>
              <w:spacing w:line="360" w:lineRule="auto"/>
              <w:jc w:val="center"/>
              <w:rPr>
                <w:rFonts w:ascii="宋体" w:hAnsi="宋体" w:cs="宋体"/>
                <w:b/>
                <w:color w:val="auto"/>
                <w:kern w:val="0"/>
                <w:szCs w:val="21"/>
              </w:rPr>
            </w:pPr>
            <w:r>
              <w:rPr>
                <w:rFonts w:hint="eastAsia" w:ascii="宋体" w:hAnsi="宋体" w:cs="宋体"/>
                <w:b/>
                <w:color w:val="auto"/>
                <w:kern w:val="0"/>
                <w:szCs w:val="21"/>
              </w:rPr>
              <w:t>序号</w:t>
            </w:r>
          </w:p>
        </w:tc>
        <w:tc>
          <w:tcPr>
            <w:tcW w:w="1501" w:type="pct"/>
            <w:vAlign w:val="center"/>
          </w:tcPr>
          <w:p>
            <w:pPr>
              <w:kinsoku w:val="0"/>
              <w:autoSpaceDE w:val="0"/>
              <w:autoSpaceDN w:val="0"/>
              <w:adjustRightInd w:val="0"/>
              <w:snapToGrid w:val="0"/>
              <w:spacing w:line="360" w:lineRule="auto"/>
              <w:jc w:val="center"/>
              <w:rPr>
                <w:rFonts w:ascii="宋体" w:hAnsi="宋体" w:cs="宋体"/>
                <w:b/>
                <w:color w:val="auto"/>
                <w:kern w:val="0"/>
                <w:szCs w:val="21"/>
              </w:rPr>
            </w:pPr>
            <w:r>
              <w:rPr>
                <w:rFonts w:hint="eastAsia" w:ascii="宋体" w:hAnsi="宋体" w:cs="宋体"/>
                <w:b/>
                <w:color w:val="auto"/>
                <w:kern w:val="0"/>
                <w:szCs w:val="21"/>
              </w:rPr>
              <w:t>货物名称</w:t>
            </w:r>
          </w:p>
        </w:tc>
        <w:tc>
          <w:tcPr>
            <w:tcW w:w="941" w:type="pct"/>
            <w:vAlign w:val="center"/>
          </w:tcPr>
          <w:p>
            <w:pPr>
              <w:kinsoku w:val="0"/>
              <w:autoSpaceDE w:val="0"/>
              <w:autoSpaceDN w:val="0"/>
              <w:adjustRightInd w:val="0"/>
              <w:snapToGrid w:val="0"/>
              <w:spacing w:line="360" w:lineRule="auto"/>
              <w:jc w:val="center"/>
              <w:rPr>
                <w:rFonts w:ascii="宋体" w:hAnsi="宋体" w:cs="宋体"/>
                <w:b/>
                <w:color w:val="auto"/>
                <w:kern w:val="0"/>
                <w:szCs w:val="21"/>
              </w:rPr>
            </w:pPr>
            <w:r>
              <w:rPr>
                <w:rFonts w:hint="eastAsia" w:ascii="宋体" w:hAnsi="宋体" w:cs="宋体"/>
                <w:b/>
                <w:color w:val="auto"/>
                <w:kern w:val="0"/>
                <w:szCs w:val="21"/>
              </w:rPr>
              <w:t>单位</w:t>
            </w:r>
          </w:p>
        </w:tc>
        <w:tc>
          <w:tcPr>
            <w:tcW w:w="1012" w:type="pct"/>
            <w:vAlign w:val="center"/>
          </w:tcPr>
          <w:p>
            <w:pPr>
              <w:kinsoku w:val="0"/>
              <w:autoSpaceDE w:val="0"/>
              <w:autoSpaceDN w:val="0"/>
              <w:adjustRightInd w:val="0"/>
              <w:snapToGrid w:val="0"/>
              <w:spacing w:line="360" w:lineRule="auto"/>
              <w:jc w:val="center"/>
              <w:rPr>
                <w:rFonts w:ascii="宋体" w:hAnsi="宋体" w:cs="宋体"/>
                <w:b/>
                <w:color w:val="auto"/>
                <w:kern w:val="0"/>
                <w:szCs w:val="21"/>
              </w:rPr>
            </w:pPr>
            <w:r>
              <w:rPr>
                <w:rFonts w:hint="eastAsia" w:ascii="宋体" w:hAnsi="宋体" w:cs="宋体"/>
                <w:b/>
                <w:color w:val="auto"/>
                <w:kern w:val="0"/>
                <w:szCs w:val="21"/>
              </w:rPr>
              <w:t>数量</w:t>
            </w:r>
          </w:p>
        </w:tc>
        <w:tc>
          <w:tcPr>
            <w:tcW w:w="1012" w:type="pct"/>
            <w:vAlign w:val="center"/>
          </w:tcPr>
          <w:p>
            <w:pPr>
              <w:kinsoku w:val="0"/>
              <w:autoSpaceDE w:val="0"/>
              <w:autoSpaceDN w:val="0"/>
              <w:adjustRightInd w:val="0"/>
              <w:snapToGrid w:val="0"/>
              <w:spacing w:line="360" w:lineRule="auto"/>
              <w:jc w:val="center"/>
              <w:rPr>
                <w:rFonts w:ascii="宋体" w:hAnsi="宋体" w:cs="宋体"/>
                <w:b/>
                <w:color w:val="auto"/>
                <w:kern w:val="0"/>
                <w:szCs w:val="21"/>
              </w:rPr>
            </w:pPr>
            <w:r>
              <w:rPr>
                <w:rFonts w:hint="eastAsia" w:ascii="宋体" w:hAnsi="宋体" w:cs="宋体"/>
                <w:b/>
                <w:color w:val="auto"/>
                <w:kern w:val="0"/>
                <w:szCs w:val="21"/>
              </w:rPr>
              <w:t>是否进口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531" w:type="pct"/>
            <w:vAlign w:val="center"/>
          </w:tcPr>
          <w:p>
            <w:pPr>
              <w:numPr>
                <w:ilvl w:val="0"/>
                <w:numId w:val="34"/>
              </w:numPr>
              <w:kinsoku w:val="0"/>
              <w:autoSpaceDE w:val="0"/>
              <w:autoSpaceDN w:val="0"/>
              <w:adjustRightInd w:val="0"/>
              <w:snapToGrid w:val="0"/>
              <w:spacing w:line="360" w:lineRule="auto"/>
              <w:jc w:val="center"/>
              <w:rPr>
                <w:rFonts w:ascii="宋体" w:hAnsi="宋体" w:cs="宋体"/>
                <w:color w:val="auto"/>
                <w:kern w:val="0"/>
                <w:szCs w:val="21"/>
              </w:rPr>
            </w:pPr>
          </w:p>
        </w:tc>
        <w:tc>
          <w:tcPr>
            <w:tcW w:w="150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上下铺公寓床</w:t>
            </w:r>
          </w:p>
        </w:tc>
        <w:tc>
          <w:tcPr>
            <w:tcW w:w="94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套</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48</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531" w:type="pct"/>
            <w:vAlign w:val="center"/>
          </w:tcPr>
          <w:p>
            <w:pPr>
              <w:numPr>
                <w:ilvl w:val="0"/>
                <w:numId w:val="34"/>
              </w:numPr>
              <w:kinsoku w:val="0"/>
              <w:autoSpaceDE w:val="0"/>
              <w:autoSpaceDN w:val="0"/>
              <w:adjustRightInd w:val="0"/>
              <w:snapToGrid w:val="0"/>
              <w:spacing w:line="360" w:lineRule="auto"/>
              <w:jc w:val="center"/>
              <w:rPr>
                <w:rFonts w:ascii="宋体" w:hAnsi="宋体" w:cs="宋体"/>
                <w:color w:val="auto"/>
                <w:kern w:val="0"/>
                <w:szCs w:val="21"/>
              </w:rPr>
            </w:pPr>
          </w:p>
        </w:tc>
        <w:tc>
          <w:tcPr>
            <w:tcW w:w="150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书桌</w:t>
            </w:r>
          </w:p>
        </w:tc>
        <w:tc>
          <w:tcPr>
            <w:tcW w:w="94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张</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96</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531" w:type="pct"/>
            <w:vAlign w:val="center"/>
          </w:tcPr>
          <w:p>
            <w:pPr>
              <w:numPr>
                <w:ilvl w:val="0"/>
                <w:numId w:val="34"/>
              </w:numPr>
              <w:kinsoku w:val="0"/>
              <w:autoSpaceDE w:val="0"/>
              <w:autoSpaceDN w:val="0"/>
              <w:adjustRightInd w:val="0"/>
              <w:snapToGrid w:val="0"/>
              <w:spacing w:line="360" w:lineRule="auto"/>
              <w:jc w:val="center"/>
              <w:rPr>
                <w:rFonts w:ascii="宋体" w:hAnsi="宋体" w:cs="宋体"/>
                <w:color w:val="auto"/>
                <w:kern w:val="0"/>
                <w:szCs w:val="21"/>
              </w:rPr>
            </w:pPr>
          </w:p>
        </w:tc>
        <w:tc>
          <w:tcPr>
            <w:tcW w:w="150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学习椅</w:t>
            </w:r>
          </w:p>
        </w:tc>
        <w:tc>
          <w:tcPr>
            <w:tcW w:w="941"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把</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700</w:t>
            </w:r>
          </w:p>
        </w:tc>
        <w:tc>
          <w:tcPr>
            <w:tcW w:w="1012"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否</w:t>
            </w:r>
          </w:p>
        </w:tc>
      </w:tr>
    </w:tbl>
    <w:p>
      <w:pPr>
        <w:autoSpaceDE w:val="0"/>
        <w:autoSpaceDN w:val="0"/>
        <w:adjustRightInd w:val="0"/>
        <w:spacing w:line="360" w:lineRule="auto"/>
        <w:ind w:firstLine="211" w:firstLineChars="10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2.2技术要求及参数</w:t>
      </w:r>
    </w:p>
    <w:tbl>
      <w:tblPr>
        <w:tblStyle w:val="27"/>
        <w:tblW w:w="53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 w:type="dxa"/>
          <w:bottom w:w="0" w:type="dxa"/>
          <w:right w:w="15" w:type="dxa"/>
        </w:tblCellMar>
      </w:tblPr>
      <w:tblGrid>
        <w:gridCol w:w="467"/>
        <w:gridCol w:w="850"/>
        <w:gridCol w:w="6369"/>
        <w:gridCol w:w="1370"/>
        <w:gridCol w:w="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13" w:hRule="atLeast"/>
          <w:jc w:val="center"/>
        </w:trPr>
        <w:tc>
          <w:tcPr>
            <w:tcW w:w="238" w:type="pct"/>
            <w:vAlign w:val="center"/>
          </w:tcPr>
          <w:p>
            <w:pPr>
              <w:kinsoku w:val="0"/>
              <w:autoSpaceDE w:val="0"/>
              <w:autoSpaceDN w:val="0"/>
              <w:adjustRightInd w:val="0"/>
              <w:snapToGrid w:val="0"/>
              <w:jc w:val="center"/>
              <w:rPr>
                <w:rFonts w:ascii="宋体" w:hAnsi="宋体" w:cs="宋体"/>
                <w:b/>
                <w:color w:val="auto"/>
                <w:kern w:val="0"/>
                <w:szCs w:val="21"/>
              </w:rPr>
            </w:pPr>
            <w:r>
              <w:rPr>
                <w:rFonts w:hint="eastAsia" w:ascii="宋体" w:hAnsi="宋体" w:cs="宋体"/>
                <w:b/>
                <w:color w:val="auto"/>
                <w:kern w:val="0"/>
                <w:szCs w:val="21"/>
              </w:rPr>
              <w:t>序号</w:t>
            </w:r>
          </w:p>
        </w:tc>
        <w:tc>
          <w:tcPr>
            <w:tcW w:w="433" w:type="pct"/>
            <w:vAlign w:val="center"/>
          </w:tcPr>
          <w:p>
            <w:pPr>
              <w:kinsoku w:val="0"/>
              <w:autoSpaceDE w:val="0"/>
              <w:autoSpaceDN w:val="0"/>
              <w:adjustRightInd w:val="0"/>
              <w:snapToGrid w:val="0"/>
              <w:jc w:val="center"/>
              <w:rPr>
                <w:rFonts w:ascii="宋体" w:hAnsi="宋体" w:cs="宋体"/>
                <w:b/>
                <w:color w:val="auto"/>
                <w:kern w:val="0"/>
                <w:szCs w:val="21"/>
              </w:rPr>
            </w:pPr>
            <w:r>
              <w:rPr>
                <w:rFonts w:hint="eastAsia" w:ascii="宋体" w:hAnsi="宋体" w:cs="宋体"/>
                <w:b/>
                <w:color w:val="auto"/>
                <w:kern w:val="0"/>
                <w:szCs w:val="21"/>
              </w:rPr>
              <w:t>货物名称</w:t>
            </w:r>
          </w:p>
        </w:tc>
        <w:tc>
          <w:tcPr>
            <w:tcW w:w="3243" w:type="pct"/>
            <w:vAlign w:val="center"/>
          </w:tcPr>
          <w:p>
            <w:pPr>
              <w:kinsoku w:val="0"/>
              <w:autoSpaceDE w:val="0"/>
              <w:autoSpaceDN w:val="0"/>
              <w:adjustRightInd w:val="0"/>
              <w:snapToGrid w:val="0"/>
              <w:jc w:val="center"/>
              <w:rPr>
                <w:rFonts w:ascii="宋体" w:hAnsi="宋体" w:cs="宋体"/>
                <w:b/>
                <w:color w:val="auto"/>
                <w:kern w:val="0"/>
                <w:szCs w:val="21"/>
              </w:rPr>
            </w:pPr>
            <w:r>
              <w:rPr>
                <w:rFonts w:hint="eastAsia" w:ascii="宋体" w:hAnsi="宋体" w:cs="宋体"/>
                <w:b/>
                <w:color w:val="auto"/>
                <w:kern w:val="0"/>
                <w:szCs w:val="21"/>
              </w:rPr>
              <w:t>技术参数</w:t>
            </w:r>
          </w:p>
        </w:tc>
        <w:tc>
          <w:tcPr>
            <w:tcW w:w="696" w:type="pct"/>
            <w:vAlign w:val="center"/>
          </w:tcPr>
          <w:p>
            <w:pPr>
              <w:kinsoku w:val="0"/>
              <w:autoSpaceDE w:val="0"/>
              <w:autoSpaceDN w:val="0"/>
              <w:adjustRightInd w:val="0"/>
              <w:snapToGrid w:val="0"/>
              <w:jc w:val="center"/>
              <w:rPr>
                <w:rFonts w:ascii="宋体" w:hAnsi="宋体" w:cs="宋体"/>
                <w:b/>
                <w:color w:val="auto"/>
                <w:kern w:val="0"/>
                <w:szCs w:val="21"/>
              </w:rPr>
            </w:pPr>
            <w:r>
              <w:rPr>
                <w:rFonts w:hint="eastAsia" w:ascii="宋体" w:hAnsi="宋体" w:cs="宋体"/>
                <w:b/>
                <w:color w:val="auto"/>
                <w:kern w:val="0"/>
                <w:szCs w:val="21"/>
              </w:rPr>
              <w:t>参考图</w:t>
            </w:r>
          </w:p>
        </w:tc>
        <w:tc>
          <w:tcPr>
            <w:tcW w:w="387" w:type="pct"/>
            <w:vAlign w:val="center"/>
          </w:tcPr>
          <w:p>
            <w:pPr>
              <w:kinsoku w:val="0"/>
              <w:autoSpaceDE w:val="0"/>
              <w:autoSpaceDN w:val="0"/>
              <w:adjustRightInd w:val="0"/>
              <w:snapToGrid w:val="0"/>
              <w:jc w:val="center"/>
              <w:rPr>
                <w:rFonts w:ascii="宋体" w:hAnsi="宋体" w:cs="宋体"/>
                <w:b/>
                <w:color w:val="auto"/>
                <w:kern w:val="0"/>
                <w:szCs w:val="21"/>
              </w:rPr>
            </w:pPr>
            <w:r>
              <w:rPr>
                <w:rFonts w:hint="eastAsia" w:ascii="宋体" w:hAnsi="宋体" w:cs="宋体"/>
                <w:b/>
                <w:color w:val="auto"/>
                <w:kern w:val="0"/>
                <w:szCs w:val="21"/>
              </w:rPr>
              <w:t>投标时是否提供样品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2404" w:hRule="atLeast"/>
          <w:jc w:val="center"/>
        </w:trPr>
        <w:tc>
          <w:tcPr>
            <w:tcW w:w="238"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1</w:t>
            </w:r>
          </w:p>
        </w:tc>
        <w:tc>
          <w:tcPr>
            <w:tcW w:w="433"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上下铺公寓床</w:t>
            </w:r>
          </w:p>
        </w:tc>
        <w:tc>
          <w:tcPr>
            <w:tcW w:w="3243" w:type="pct"/>
            <w:vAlign w:val="center"/>
          </w:tcPr>
          <w:p>
            <w:pPr>
              <w:kinsoku w:val="0"/>
              <w:autoSpaceDE w:val="0"/>
              <w:autoSpaceDN w:val="0"/>
              <w:adjustRightInd w:val="0"/>
              <w:snapToGrid w:val="0"/>
              <w:spacing w:line="360" w:lineRule="auto"/>
              <w:jc w:val="left"/>
              <w:rPr>
                <w:rFonts w:ascii="宋体" w:hAnsi="宋体" w:cs="宋体"/>
                <w:color w:val="auto"/>
                <w:spacing w:val="9"/>
                <w:kern w:val="0"/>
                <w:szCs w:val="21"/>
              </w:rPr>
            </w:pPr>
            <w:r>
              <w:rPr>
                <w:rFonts w:ascii="宋体" w:hAnsi="宋体" w:cs="宋体"/>
                <w:color w:val="auto"/>
                <w:spacing w:val="9"/>
                <w:kern w:val="0"/>
                <w:szCs w:val="21"/>
              </w:rPr>
              <w:t>1、整体规格≥W2000*D900*H1</w:t>
            </w:r>
            <w:r>
              <w:rPr>
                <w:rFonts w:hint="eastAsia" w:ascii="宋体" w:hAnsi="宋体" w:cs="宋体"/>
                <w:color w:val="auto"/>
                <w:spacing w:val="9"/>
                <w:kern w:val="0"/>
                <w:szCs w:val="21"/>
              </w:rPr>
              <w:t>88</w:t>
            </w:r>
            <w:r>
              <w:rPr>
                <w:rFonts w:ascii="宋体" w:hAnsi="宋体" w:cs="宋体"/>
                <w:color w:val="auto"/>
                <w:spacing w:val="9"/>
                <w:kern w:val="0"/>
                <w:szCs w:val="21"/>
              </w:rPr>
              <w:t>0mm</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ascii="宋体" w:hAnsi="宋体" w:cs="宋体"/>
                <w:color w:val="auto"/>
                <w:spacing w:val="9"/>
                <w:kern w:val="0"/>
                <w:szCs w:val="21"/>
              </w:rPr>
              <w:t>2、</w:t>
            </w:r>
            <w:r>
              <w:rPr>
                <w:rFonts w:hint="eastAsia" w:asciiTheme="minorEastAsia" w:hAnsiTheme="minorEastAsia" w:eastAsiaTheme="minorEastAsia" w:cstheme="minorEastAsia"/>
                <w:color w:val="auto"/>
                <w:szCs w:val="21"/>
              </w:rPr>
              <w:t>★</w:t>
            </w:r>
            <w:r>
              <w:rPr>
                <w:rFonts w:ascii="宋体" w:hAnsi="宋体" w:cs="宋体"/>
                <w:color w:val="auto"/>
                <w:spacing w:val="9"/>
                <w:kern w:val="0"/>
                <w:szCs w:val="21"/>
              </w:rPr>
              <w:t>立柱：采用</w:t>
            </w:r>
            <w:r>
              <w:rPr>
                <w:rFonts w:ascii="Arial" w:hAnsi="Arial" w:cs="Arial"/>
                <w:color w:val="auto"/>
                <w:spacing w:val="9"/>
                <w:kern w:val="0"/>
                <w:szCs w:val="21"/>
              </w:rPr>
              <w:t>≥</w:t>
            </w:r>
            <w:r>
              <w:rPr>
                <w:rFonts w:ascii="宋体" w:hAnsi="宋体" w:cs="宋体"/>
                <w:color w:val="auto"/>
                <w:spacing w:val="9"/>
                <w:kern w:val="0"/>
                <w:szCs w:val="21"/>
              </w:rPr>
              <w:t>68mm</w:t>
            </w:r>
            <w:r>
              <w:rPr>
                <w:rFonts w:hint="eastAsia" w:ascii="宋体" w:hAnsi="宋体" w:cs="宋体"/>
                <w:color w:val="auto"/>
                <w:spacing w:val="9"/>
                <w:kern w:val="0"/>
                <w:szCs w:val="21"/>
              </w:rPr>
              <w:t>*</w:t>
            </w:r>
            <w:r>
              <w:rPr>
                <w:rFonts w:ascii="宋体" w:hAnsi="宋体" w:cs="宋体"/>
                <w:color w:val="auto"/>
                <w:spacing w:val="9"/>
                <w:kern w:val="0"/>
                <w:szCs w:val="21"/>
              </w:rPr>
              <w:t>68mm*1.</w:t>
            </w:r>
            <w:r>
              <w:rPr>
                <w:rFonts w:hint="eastAsia" w:ascii="宋体" w:hAnsi="宋体" w:cs="宋体"/>
                <w:color w:val="auto"/>
                <w:spacing w:val="9"/>
                <w:kern w:val="0"/>
                <w:szCs w:val="21"/>
              </w:rPr>
              <w:t>2</w:t>
            </w:r>
            <w:r>
              <w:rPr>
                <w:rFonts w:ascii="宋体" w:hAnsi="宋体" w:cs="宋体"/>
                <w:color w:val="auto"/>
                <w:spacing w:val="9"/>
                <w:kern w:val="0"/>
                <w:szCs w:val="21"/>
              </w:rPr>
              <w:t>mm的闭口型材管，管材截面无直角，防止学生碰伤；立柱上端采用带蚊帐杆紧固件的</w:t>
            </w:r>
            <w:r>
              <w:rPr>
                <w:rFonts w:hint="eastAsia" w:ascii="宋体" w:hAnsi="宋体" w:cs="宋体"/>
                <w:color w:val="auto"/>
                <w:spacing w:val="9"/>
                <w:kern w:val="0"/>
                <w:szCs w:val="21"/>
              </w:rPr>
              <w:t>标准</w:t>
            </w:r>
            <w:r>
              <w:rPr>
                <w:rFonts w:ascii="宋体" w:hAnsi="宋体" w:cs="宋体"/>
                <w:color w:val="auto"/>
                <w:spacing w:val="9"/>
                <w:kern w:val="0"/>
                <w:szCs w:val="21"/>
              </w:rPr>
              <w:t>环保PP塑料内塞，下均采用</w:t>
            </w:r>
            <w:r>
              <w:rPr>
                <w:rFonts w:hint="eastAsia" w:ascii="宋体" w:hAnsi="宋体" w:cs="宋体"/>
                <w:color w:val="auto"/>
                <w:spacing w:val="9"/>
                <w:kern w:val="0"/>
                <w:szCs w:val="21"/>
              </w:rPr>
              <w:t>标准</w:t>
            </w:r>
            <w:r>
              <w:rPr>
                <w:rFonts w:ascii="宋体" w:hAnsi="宋体" w:cs="宋体"/>
                <w:color w:val="auto"/>
                <w:spacing w:val="9"/>
                <w:kern w:val="0"/>
                <w:szCs w:val="21"/>
              </w:rPr>
              <w:t>环保PP塑料的静音内塞。</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ascii="宋体" w:hAnsi="宋体" w:cs="宋体"/>
                <w:color w:val="auto"/>
                <w:spacing w:val="9"/>
                <w:kern w:val="0"/>
                <w:szCs w:val="21"/>
              </w:rPr>
              <w:t>3、</w:t>
            </w:r>
            <w:r>
              <w:rPr>
                <w:rFonts w:hint="eastAsia" w:asciiTheme="minorEastAsia" w:hAnsiTheme="minorEastAsia" w:eastAsiaTheme="minorEastAsia" w:cstheme="minorEastAsia"/>
                <w:color w:val="auto"/>
                <w:szCs w:val="21"/>
              </w:rPr>
              <w:t>★</w:t>
            </w:r>
            <w:r>
              <w:rPr>
                <w:rFonts w:ascii="宋体" w:hAnsi="宋体" w:cs="宋体"/>
                <w:color w:val="auto"/>
                <w:spacing w:val="9"/>
                <w:kern w:val="0"/>
                <w:szCs w:val="21"/>
              </w:rPr>
              <w:t>床</w:t>
            </w:r>
            <w:r>
              <w:rPr>
                <w:rFonts w:hint="eastAsia" w:ascii="宋体" w:hAnsi="宋体" w:cs="宋体"/>
                <w:color w:val="auto"/>
                <w:spacing w:val="9"/>
                <w:kern w:val="0"/>
                <w:szCs w:val="21"/>
              </w:rPr>
              <w:t>横梁</w:t>
            </w:r>
            <w:r>
              <w:rPr>
                <w:rFonts w:ascii="宋体" w:hAnsi="宋体" w:cs="宋体"/>
                <w:color w:val="auto"/>
                <w:spacing w:val="9"/>
                <w:kern w:val="0"/>
                <w:szCs w:val="21"/>
              </w:rPr>
              <w:t>：采用</w:t>
            </w:r>
            <w:r>
              <w:rPr>
                <w:rFonts w:ascii="Arial" w:hAnsi="Arial" w:cs="Arial"/>
                <w:color w:val="auto"/>
                <w:spacing w:val="9"/>
                <w:kern w:val="0"/>
                <w:szCs w:val="21"/>
              </w:rPr>
              <w:t>≥</w:t>
            </w:r>
            <w:r>
              <w:rPr>
                <w:rFonts w:ascii="宋体" w:hAnsi="宋体" w:cs="宋体"/>
                <w:color w:val="auto"/>
                <w:spacing w:val="9"/>
                <w:kern w:val="0"/>
                <w:szCs w:val="21"/>
              </w:rPr>
              <w:t>80mm</w:t>
            </w:r>
            <w:r>
              <w:rPr>
                <w:rFonts w:hint="eastAsia" w:ascii="宋体" w:hAnsi="宋体" w:cs="宋体"/>
                <w:color w:val="auto"/>
                <w:spacing w:val="9"/>
                <w:kern w:val="0"/>
                <w:szCs w:val="21"/>
              </w:rPr>
              <w:t>*</w:t>
            </w:r>
            <w:r>
              <w:rPr>
                <w:rFonts w:ascii="宋体" w:hAnsi="宋体" w:cs="宋体"/>
                <w:color w:val="auto"/>
                <w:spacing w:val="9"/>
                <w:kern w:val="0"/>
                <w:szCs w:val="21"/>
              </w:rPr>
              <w:t>40mm*1.</w:t>
            </w:r>
            <w:r>
              <w:rPr>
                <w:rFonts w:hint="eastAsia" w:ascii="宋体" w:hAnsi="宋体" w:cs="宋体"/>
                <w:color w:val="auto"/>
                <w:spacing w:val="9"/>
                <w:kern w:val="0"/>
                <w:szCs w:val="21"/>
              </w:rPr>
              <w:t>2</w:t>
            </w:r>
            <w:r>
              <w:rPr>
                <w:rFonts w:ascii="宋体" w:hAnsi="宋体" w:cs="宋体"/>
                <w:color w:val="auto"/>
                <w:spacing w:val="9"/>
                <w:kern w:val="0"/>
                <w:szCs w:val="21"/>
              </w:rPr>
              <w:t>mm的闭口型材管，管材截面形状为B字形，卡扣式连接，防止学生头部碰撞。</w:t>
            </w:r>
          </w:p>
          <w:p>
            <w:pPr>
              <w:kinsoku w:val="0"/>
              <w:autoSpaceDE w:val="0"/>
              <w:autoSpaceDN w:val="0"/>
              <w:adjustRightInd w:val="0"/>
              <w:snapToGrid w:val="0"/>
              <w:spacing w:line="360" w:lineRule="auto"/>
              <w:jc w:val="left"/>
              <w:rPr>
                <w:color w:val="auto"/>
              </w:rPr>
            </w:pPr>
            <w:r>
              <w:rPr>
                <w:rFonts w:hint="eastAsia" w:ascii="宋体" w:hAnsi="宋体" w:cs="宋体"/>
                <w:color w:val="auto"/>
                <w:spacing w:val="9"/>
                <w:kern w:val="0"/>
                <w:szCs w:val="21"/>
              </w:rPr>
              <w:t>4</w:t>
            </w:r>
            <w:r>
              <w:rPr>
                <w:rFonts w:ascii="宋体" w:hAnsi="宋体" w:cs="宋体"/>
                <w:color w:val="auto"/>
                <w:spacing w:val="9"/>
                <w:kern w:val="0"/>
                <w:szCs w:val="21"/>
              </w:rPr>
              <w:t>、</w:t>
            </w:r>
            <w:r>
              <w:rPr>
                <w:rFonts w:hint="eastAsia" w:asciiTheme="minorEastAsia" w:hAnsiTheme="minorEastAsia" w:eastAsiaTheme="minorEastAsia" w:cstheme="minorEastAsia"/>
                <w:color w:val="auto"/>
                <w:szCs w:val="21"/>
              </w:rPr>
              <w:t>★</w:t>
            </w:r>
            <w:r>
              <w:rPr>
                <w:rFonts w:hint="eastAsia" w:ascii="宋体" w:hAnsi="宋体" w:cs="宋体"/>
                <w:color w:val="auto"/>
                <w:spacing w:val="9"/>
                <w:kern w:val="0"/>
                <w:szCs w:val="21"/>
              </w:rPr>
              <w:t>上铺前</w:t>
            </w:r>
            <w:r>
              <w:rPr>
                <w:rFonts w:ascii="宋体" w:hAnsi="宋体" w:cs="宋体"/>
                <w:color w:val="auto"/>
                <w:spacing w:val="9"/>
                <w:kern w:val="0"/>
                <w:szCs w:val="21"/>
              </w:rPr>
              <w:t>护栏：</w:t>
            </w:r>
            <w:r>
              <w:rPr>
                <w:rFonts w:hint="eastAsia" w:ascii="宋体" w:hAnsi="宋体" w:cs="宋体"/>
                <w:color w:val="auto"/>
                <w:spacing w:val="9"/>
                <w:kern w:val="0"/>
                <w:szCs w:val="21"/>
              </w:rPr>
              <w:t>整体尺寸</w:t>
            </w:r>
            <w:r>
              <w:rPr>
                <w:rFonts w:ascii="宋体" w:hAnsi="宋体" w:cs="宋体"/>
                <w:color w:val="auto"/>
                <w:spacing w:val="9"/>
                <w:kern w:val="0"/>
                <w:szCs w:val="21"/>
              </w:rPr>
              <w:t>≥</w:t>
            </w:r>
            <w:r>
              <w:rPr>
                <w:rFonts w:hint="eastAsia" w:ascii="宋体" w:hAnsi="宋体" w:cs="宋体"/>
                <w:color w:val="auto"/>
                <w:spacing w:val="9"/>
                <w:kern w:val="0"/>
                <w:szCs w:val="21"/>
              </w:rPr>
              <w:t>1400mm*300mm。</w:t>
            </w:r>
            <w:r>
              <w:rPr>
                <w:rFonts w:ascii="宋体" w:hAnsi="宋体" w:cs="宋体"/>
                <w:color w:val="auto"/>
                <w:spacing w:val="9"/>
                <w:kern w:val="0"/>
                <w:szCs w:val="21"/>
              </w:rPr>
              <w:t>护栏</w:t>
            </w:r>
            <w:r>
              <w:rPr>
                <w:rFonts w:hint="eastAsia" w:ascii="宋体" w:hAnsi="宋体" w:cs="宋体"/>
                <w:color w:val="auto"/>
                <w:spacing w:val="9"/>
                <w:kern w:val="0"/>
                <w:szCs w:val="21"/>
              </w:rPr>
              <w:t>外框</w:t>
            </w:r>
            <w:r>
              <w:rPr>
                <w:rFonts w:ascii="宋体" w:hAnsi="宋体" w:cs="宋体"/>
                <w:color w:val="auto"/>
                <w:spacing w:val="9"/>
                <w:kern w:val="0"/>
                <w:szCs w:val="21"/>
              </w:rPr>
              <w:t>采用PP塑料镂空拉手，</w:t>
            </w:r>
            <w:r>
              <w:rPr>
                <w:rFonts w:hint="eastAsia" w:ascii="宋体" w:hAnsi="宋体" w:cs="宋体"/>
                <w:color w:val="auto"/>
                <w:spacing w:val="9"/>
                <w:kern w:val="0"/>
                <w:szCs w:val="21"/>
              </w:rPr>
              <w:t>使用大型注塑设备气辅成型技术整体一次成型，确保护栏强度与刚性且四周无任何接缝及刃口,</w:t>
            </w:r>
            <w:r>
              <w:rPr>
                <w:rFonts w:ascii="宋体" w:hAnsi="宋体" w:cs="宋体"/>
                <w:color w:val="auto"/>
                <w:spacing w:val="9"/>
                <w:kern w:val="0"/>
                <w:szCs w:val="21"/>
              </w:rPr>
              <w:t>护栏与床厅带有4根加强钢管，中间基材采用环保E</w:t>
            </w:r>
            <w:r>
              <w:rPr>
                <w:rFonts w:hint="eastAsia" w:ascii="宋体" w:hAnsi="宋体" w:cs="宋体"/>
                <w:color w:val="auto"/>
                <w:spacing w:val="9"/>
                <w:kern w:val="0"/>
                <w:szCs w:val="21"/>
              </w:rPr>
              <w:t>1</w:t>
            </w:r>
            <w:r>
              <w:rPr>
                <w:rFonts w:ascii="宋体" w:hAnsi="宋体" w:cs="宋体"/>
                <w:color w:val="auto"/>
                <w:spacing w:val="9"/>
                <w:kern w:val="0"/>
                <w:szCs w:val="21"/>
              </w:rPr>
              <w:t>级（国家强制性健康标准）板材实木生态板（颜色可选）。护栏内侧加装一个内空为365</w:t>
            </w:r>
            <w:r>
              <w:rPr>
                <w:rFonts w:hint="eastAsia" w:ascii="宋体" w:hAnsi="宋体" w:cs="宋体"/>
                <w:color w:val="auto"/>
                <w:spacing w:val="9"/>
                <w:kern w:val="0"/>
                <w:szCs w:val="21"/>
              </w:rPr>
              <w:t>mm</w:t>
            </w:r>
            <w:r>
              <w:rPr>
                <w:rFonts w:ascii="宋体" w:hAnsi="宋体" w:cs="宋体"/>
                <w:color w:val="auto"/>
                <w:spacing w:val="9"/>
                <w:kern w:val="0"/>
                <w:szCs w:val="21"/>
              </w:rPr>
              <w:t>*27</w:t>
            </w:r>
            <w:r>
              <w:rPr>
                <w:rFonts w:hint="eastAsia" w:ascii="宋体" w:hAnsi="宋体" w:cs="宋体"/>
                <w:color w:val="auto"/>
                <w:spacing w:val="9"/>
                <w:kern w:val="0"/>
                <w:szCs w:val="21"/>
              </w:rPr>
              <w:t>mm</w:t>
            </w:r>
            <w:r>
              <w:rPr>
                <w:rFonts w:ascii="宋体" w:hAnsi="宋体" w:cs="宋体"/>
                <w:color w:val="auto"/>
                <w:spacing w:val="9"/>
                <w:kern w:val="0"/>
                <w:szCs w:val="21"/>
              </w:rPr>
              <w:t>*80mm的储物盒方便学生存放书本读物和手机等小物件，储物盒采用环保PP塑料注塑件。</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ascii="宋体" w:hAnsi="宋体" w:cs="宋体"/>
                <w:color w:val="auto"/>
                <w:spacing w:val="9"/>
                <w:kern w:val="0"/>
                <w:szCs w:val="21"/>
              </w:rPr>
              <w:t>5、床头床尾：下部横管采用60mm</w:t>
            </w:r>
            <w:r>
              <w:rPr>
                <w:rFonts w:hint="eastAsia" w:ascii="宋体" w:hAnsi="宋体" w:cs="宋体"/>
                <w:color w:val="auto"/>
                <w:spacing w:val="9"/>
                <w:kern w:val="0"/>
                <w:szCs w:val="21"/>
              </w:rPr>
              <w:t>*</w:t>
            </w:r>
            <w:r>
              <w:rPr>
                <w:rFonts w:ascii="宋体" w:hAnsi="宋体" w:cs="宋体"/>
                <w:color w:val="auto"/>
                <w:spacing w:val="9"/>
                <w:kern w:val="0"/>
                <w:szCs w:val="21"/>
              </w:rPr>
              <w:t>30mm</w:t>
            </w:r>
            <w:r>
              <w:rPr>
                <w:rFonts w:hint="eastAsia" w:ascii="宋体" w:hAnsi="宋体" w:cs="宋体"/>
                <w:color w:val="auto"/>
                <w:spacing w:val="9"/>
                <w:kern w:val="0"/>
                <w:szCs w:val="21"/>
              </w:rPr>
              <w:t>*</w:t>
            </w:r>
            <w:r>
              <w:rPr>
                <w:rFonts w:ascii="宋体" w:hAnsi="宋体" w:cs="宋体"/>
                <w:color w:val="auto"/>
                <w:spacing w:val="9"/>
                <w:kern w:val="0"/>
                <w:szCs w:val="21"/>
              </w:rPr>
              <w:t>1.2mm方管；上方横管采用30mm</w:t>
            </w:r>
            <w:r>
              <w:rPr>
                <w:rFonts w:hint="eastAsia" w:ascii="宋体" w:hAnsi="宋体" w:cs="宋体"/>
                <w:color w:val="auto"/>
                <w:spacing w:val="9"/>
                <w:kern w:val="0"/>
                <w:szCs w:val="21"/>
              </w:rPr>
              <w:t>*</w:t>
            </w:r>
            <w:r>
              <w:rPr>
                <w:rFonts w:ascii="宋体" w:hAnsi="宋体" w:cs="宋体"/>
                <w:color w:val="auto"/>
                <w:spacing w:val="9"/>
                <w:kern w:val="0"/>
                <w:szCs w:val="21"/>
              </w:rPr>
              <w:t>30mm</w:t>
            </w:r>
            <w:r>
              <w:rPr>
                <w:rFonts w:hint="eastAsia" w:ascii="宋体" w:hAnsi="宋体" w:cs="宋体"/>
                <w:color w:val="auto"/>
                <w:spacing w:val="9"/>
                <w:kern w:val="0"/>
                <w:szCs w:val="21"/>
              </w:rPr>
              <w:t>*</w:t>
            </w:r>
            <w:r>
              <w:rPr>
                <w:rFonts w:ascii="宋体" w:hAnsi="宋体" w:cs="宋体"/>
                <w:color w:val="auto"/>
                <w:spacing w:val="9"/>
                <w:kern w:val="0"/>
                <w:szCs w:val="21"/>
              </w:rPr>
              <w:t>1.2mm方管，上方竖管采用20mm</w:t>
            </w:r>
            <w:r>
              <w:rPr>
                <w:rFonts w:hint="eastAsia" w:ascii="宋体" w:hAnsi="宋体" w:cs="宋体"/>
                <w:color w:val="auto"/>
                <w:spacing w:val="9"/>
                <w:kern w:val="0"/>
                <w:szCs w:val="21"/>
              </w:rPr>
              <w:t>*</w:t>
            </w:r>
            <w:r>
              <w:rPr>
                <w:rFonts w:ascii="宋体" w:hAnsi="宋体" w:cs="宋体"/>
                <w:color w:val="auto"/>
                <w:spacing w:val="9"/>
                <w:kern w:val="0"/>
                <w:szCs w:val="21"/>
              </w:rPr>
              <w:t>20mm</w:t>
            </w:r>
            <w:r>
              <w:rPr>
                <w:rFonts w:hint="eastAsia" w:ascii="宋体" w:hAnsi="宋体" w:cs="宋体"/>
                <w:color w:val="auto"/>
                <w:spacing w:val="9"/>
                <w:kern w:val="0"/>
                <w:szCs w:val="21"/>
              </w:rPr>
              <w:t>*</w:t>
            </w:r>
            <w:r>
              <w:rPr>
                <w:rFonts w:ascii="宋体" w:hAnsi="宋体" w:cs="宋体"/>
                <w:color w:val="auto"/>
                <w:spacing w:val="9"/>
                <w:kern w:val="0"/>
                <w:szCs w:val="21"/>
              </w:rPr>
              <w:t>1.2mm方管加装实木生态板（颜色可选）以防学生头发外掉或缠绕。</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6</w:t>
            </w:r>
            <w:r>
              <w:rPr>
                <w:rFonts w:ascii="宋体" w:hAnsi="宋体" w:cs="宋体"/>
                <w:color w:val="auto"/>
                <w:spacing w:val="9"/>
                <w:kern w:val="0"/>
                <w:szCs w:val="21"/>
              </w:rPr>
              <w:t>、床撑：≥30mm</w:t>
            </w:r>
            <w:r>
              <w:rPr>
                <w:rFonts w:hint="eastAsia" w:ascii="宋体" w:hAnsi="宋体" w:cs="宋体"/>
                <w:color w:val="auto"/>
                <w:spacing w:val="9"/>
                <w:kern w:val="0"/>
                <w:szCs w:val="21"/>
              </w:rPr>
              <w:t>*</w:t>
            </w:r>
            <w:r>
              <w:rPr>
                <w:rFonts w:ascii="宋体" w:hAnsi="宋体" w:cs="宋体"/>
                <w:color w:val="auto"/>
                <w:spacing w:val="9"/>
                <w:kern w:val="0"/>
                <w:szCs w:val="21"/>
              </w:rPr>
              <w:t>20mm</w:t>
            </w:r>
            <w:r>
              <w:rPr>
                <w:rFonts w:hint="eastAsia" w:ascii="宋体" w:hAnsi="宋体" w:cs="宋体"/>
                <w:color w:val="auto"/>
                <w:spacing w:val="9"/>
                <w:kern w:val="0"/>
                <w:szCs w:val="21"/>
              </w:rPr>
              <w:t>*</w:t>
            </w:r>
            <w:r>
              <w:rPr>
                <w:rFonts w:ascii="宋体" w:hAnsi="宋体" w:cs="宋体"/>
                <w:color w:val="auto"/>
                <w:spacing w:val="9"/>
                <w:kern w:val="0"/>
                <w:szCs w:val="21"/>
              </w:rPr>
              <w:t>1.2mm的闭口型材管，采用二氧化碳保护焊焊接</w:t>
            </w:r>
            <w:r>
              <w:rPr>
                <w:rFonts w:hint="eastAsia" w:ascii="宋体" w:hAnsi="宋体" w:cs="宋体"/>
                <w:color w:val="auto"/>
                <w:spacing w:val="9"/>
                <w:kern w:val="0"/>
                <w:szCs w:val="21"/>
              </w:rPr>
              <w:t>口</w:t>
            </w:r>
            <w:r>
              <w:rPr>
                <w:rFonts w:ascii="宋体" w:hAnsi="宋体" w:cs="宋体"/>
                <w:color w:val="auto"/>
                <w:spacing w:val="9"/>
                <w:kern w:val="0"/>
                <w:szCs w:val="21"/>
              </w:rPr>
              <w:t>，保证永不松动。</w:t>
            </w:r>
          </w:p>
          <w:p>
            <w:pPr>
              <w:kinsoku w:val="0"/>
              <w:autoSpaceDE w:val="0"/>
              <w:autoSpaceDN w:val="0"/>
              <w:adjustRightInd w:val="0"/>
              <w:snapToGrid w:val="0"/>
              <w:spacing w:line="360" w:lineRule="auto"/>
              <w:jc w:val="left"/>
              <w:rPr>
                <w:color w:val="auto"/>
              </w:rPr>
            </w:pPr>
            <w:r>
              <w:rPr>
                <w:rFonts w:hint="eastAsia" w:ascii="宋体" w:hAnsi="宋体" w:cs="宋体"/>
                <w:color w:val="auto"/>
                <w:spacing w:val="9"/>
                <w:kern w:val="0"/>
                <w:szCs w:val="21"/>
              </w:rPr>
              <w:t>7</w:t>
            </w:r>
            <w:r>
              <w:rPr>
                <w:rFonts w:ascii="宋体" w:hAnsi="宋体" w:cs="宋体"/>
                <w:color w:val="auto"/>
                <w:spacing w:val="9"/>
                <w:kern w:val="0"/>
                <w:szCs w:val="21"/>
              </w:rPr>
              <w:t>、铺板：采用≥16mm 的全实木板材质，固定横条不少于 4 根（固定横条尺寸：30mm*20mm）， 自然风干防蛀处理，尺寸与床体相吻合，床板尺寸小于床的尺寸，四周间隙≤15mm</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8</w:t>
            </w:r>
            <w:r>
              <w:rPr>
                <w:rFonts w:ascii="宋体" w:hAnsi="宋体" w:cs="宋体"/>
                <w:color w:val="auto"/>
                <w:spacing w:val="9"/>
                <w:kern w:val="0"/>
                <w:szCs w:val="21"/>
              </w:rPr>
              <w:t>、</w:t>
            </w:r>
            <w:r>
              <w:rPr>
                <w:rFonts w:hint="eastAsia" w:asciiTheme="minorEastAsia" w:hAnsiTheme="minorEastAsia" w:eastAsiaTheme="minorEastAsia" w:cstheme="minorEastAsia"/>
                <w:color w:val="auto"/>
                <w:szCs w:val="21"/>
              </w:rPr>
              <w:t>★</w:t>
            </w:r>
            <w:r>
              <w:rPr>
                <w:rFonts w:ascii="宋体" w:hAnsi="宋体" w:cs="宋体"/>
                <w:color w:val="auto"/>
                <w:spacing w:val="9"/>
                <w:kern w:val="0"/>
                <w:szCs w:val="21"/>
              </w:rPr>
              <w:t>床卡式连接件：采用≥170mm</w:t>
            </w:r>
            <w:r>
              <w:rPr>
                <w:rFonts w:hint="eastAsia" w:ascii="宋体" w:hAnsi="宋体" w:cs="宋体"/>
                <w:color w:val="auto"/>
                <w:spacing w:val="9"/>
                <w:kern w:val="0"/>
                <w:szCs w:val="21"/>
              </w:rPr>
              <w:t>*</w:t>
            </w:r>
            <w:r>
              <w:rPr>
                <w:rFonts w:ascii="宋体" w:hAnsi="宋体" w:cs="宋体"/>
                <w:color w:val="auto"/>
                <w:spacing w:val="9"/>
                <w:kern w:val="0"/>
                <w:szCs w:val="21"/>
              </w:rPr>
              <w:t>49mm</w:t>
            </w:r>
            <w:r>
              <w:rPr>
                <w:rFonts w:hint="eastAsia" w:ascii="宋体" w:hAnsi="宋体" w:cs="宋体"/>
                <w:color w:val="auto"/>
                <w:spacing w:val="9"/>
                <w:kern w:val="0"/>
                <w:szCs w:val="21"/>
              </w:rPr>
              <w:t>*</w:t>
            </w:r>
            <w:r>
              <w:rPr>
                <w:rFonts w:ascii="宋体" w:hAnsi="宋体" w:cs="宋体"/>
                <w:color w:val="auto"/>
                <w:spacing w:val="9"/>
                <w:kern w:val="0"/>
                <w:szCs w:val="21"/>
              </w:rPr>
              <w:t>2.5mm冲压件；卡扣式连接件采用6爪闭口设计，具防倒退功能无需螺栓，立柱上6个连接孔，通过与卡式连接件无缝式下压连接，实现使用后越用越紧的状态。</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ascii="宋体" w:hAnsi="宋体" w:cs="宋体"/>
                <w:color w:val="auto"/>
                <w:spacing w:val="9"/>
                <w:kern w:val="0"/>
                <w:szCs w:val="21"/>
              </w:rPr>
              <w:t>9、</w:t>
            </w:r>
            <w:r>
              <w:rPr>
                <w:rFonts w:hint="eastAsia" w:asciiTheme="minorEastAsia" w:hAnsiTheme="minorEastAsia" w:eastAsiaTheme="minorEastAsia" w:cstheme="minorEastAsia"/>
                <w:color w:val="auto"/>
                <w:szCs w:val="21"/>
              </w:rPr>
              <w:t>★</w:t>
            </w:r>
            <w:r>
              <w:rPr>
                <w:rFonts w:ascii="宋体" w:hAnsi="宋体" w:cs="宋体"/>
                <w:color w:val="auto"/>
                <w:spacing w:val="9"/>
                <w:kern w:val="0"/>
                <w:szCs w:val="21"/>
              </w:rPr>
              <w:t>爬梯：采用40mm</w:t>
            </w:r>
            <w:r>
              <w:rPr>
                <w:rFonts w:hint="eastAsia" w:ascii="宋体" w:hAnsi="宋体" w:cs="宋体"/>
                <w:color w:val="auto"/>
                <w:spacing w:val="9"/>
                <w:kern w:val="0"/>
                <w:szCs w:val="21"/>
              </w:rPr>
              <w:t>*</w:t>
            </w:r>
            <w:r>
              <w:rPr>
                <w:rFonts w:ascii="宋体" w:hAnsi="宋体" w:cs="宋体"/>
                <w:color w:val="auto"/>
                <w:spacing w:val="9"/>
                <w:kern w:val="0"/>
                <w:szCs w:val="21"/>
              </w:rPr>
              <w:t>20mm</w:t>
            </w:r>
            <w:r>
              <w:rPr>
                <w:rFonts w:hint="eastAsia" w:ascii="宋体" w:hAnsi="宋体" w:cs="宋体"/>
                <w:color w:val="auto"/>
                <w:spacing w:val="9"/>
                <w:kern w:val="0"/>
                <w:szCs w:val="21"/>
              </w:rPr>
              <w:t>*</w:t>
            </w:r>
            <w:r>
              <w:rPr>
                <w:rFonts w:ascii="宋体" w:hAnsi="宋体" w:cs="宋体"/>
                <w:color w:val="auto"/>
                <w:spacing w:val="9"/>
                <w:kern w:val="0"/>
                <w:szCs w:val="21"/>
              </w:rPr>
              <w:t>1.2mm椭圆管，爬梯钢架下端内弯60mm设计制作，以防学生踢脚。爬梯踩板采</w:t>
            </w:r>
            <w:r>
              <w:rPr>
                <w:rFonts w:hint="eastAsia" w:ascii="宋体" w:hAnsi="宋体" w:cs="宋体"/>
                <w:color w:val="auto"/>
                <w:spacing w:val="9"/>
                <w:kern w:val="0"/>
                <w:szCs w:val="21"/>
              </w:rPr>
              <w:t>用</w:t>
            </w:r>
            <w:r>
              <w:rPr>
                <w:rFonts w:ascii="宋体" w:hAnsi="宋体" w:cs="宋体"/>
                <w:color w:val="auto"/>
                <w:spacing w:val="9"/>
                <w:kern w:val="0"/>
                <w:szCs w:val="21"/>
              </w:rPr>
              <w:t>330mm×65mm×1.5m</w:t>
            </w:r>
            <w:r>
              <w:rPr>
                <w:rFonts w:hint="eastAsia" w:ascii="宋体" w:hAnsi="宋体" w:cs="宋体"/>
                <w:color w:val="auto"/>
                <w:spacing w:val="9"/>
                <w:kern w:val="0"/>
                <w:szCs w:val="21"/>
              </w:rPr>
              <w:t>标准</w:t>
            </w:r>
            <w:r>
              <w:rPr>
                <w:rFonts w:ascii="宋体" w:hAnsi="宋体" w:cs="宋体"/>
                <w:color w:val="auto"/>
                <w:spacing w:val="9"/>
                <w:kern w:val="0"/>
                <w:szCs w:val="21"/>
              </w:rPr>
              <w:t>冷轧钢板与边管整体焊接成型，踩面安装全护套</w:t>
            </w:r>
            <w:r>
              <w:rPr>
                <w:rFonts w:hint="eastAsia" w:ascii="宋体" w:hAnsi="宋体" w:cs="宋体"/>
                <w:color w:val="auto"/>
                <w:spacing w:val="9"/>
                <w:kern w:val="0"/>
                <w:szCs w:val="21"/>
              </w:rPr>
              <w:t>标准</w:t>
            </w:r>
            <w:r>
              <w:rPr>
                <w:rFonts w:ascii="宋体" w:hAnsi="宋体" w:cs="宋体"/>
                <w:color w:val="auto"/>
                <w:spacing w:val="9"/>
                <w:kern w:val="0"/>
                <w:szCs w:val="21"/>
              </w:rPr>
              <w:t>改性PP塑料踏板，踩板底下加设1根20*20*1.2mm方管加强筋，踏面带发夜光颗粒(防止学生夜晚踩空）；爬梯上下均采用</w:t>
            </w:r>
            <w:r>
              <w:rPr>
                <w:rFonts w:hint="eastAsia" w:ascii="宋体" w:hAnsi="宋体" w:cs="宋体"/>
                <w:color w:val="auto"/>
                <w:spacing w:val="9"/>
                <w:kern w:val="0"/>
                <w:szCs w:val="21"/>
              </w:rPr>
              <w:t>标准</w:t>
            </w:r>
            <w:r>
              <w:rPr>
                <w:rFonts w:ascii="宋体" w:hAnsi="宋体" w:cs="宋体"/>
                <w:color w:val="auto"/>
                <w:spacing w:val="9"/>
                <w:kern w:val="0"/>
                <w:szCs w:val="21"/>
              </w:rPr>
              <w:t>PP塑料的静音胶套。</w:t>
            </w:r>
          </w:p>
          <w:p>
            <w:pPr>
              <w:kinsoku w:val="0"/>
              <w:autoSpaceDE w:val="0"/>
              <w:autoSpaceDN w:val="0"/>
              <w:adjustRightInd w:val="0"/>
              <w:snapToGrid w:val="0"/>
              <w:spacing w:line="360" w:lineRule="auto"/>
              <w:jc w:val="left"/>
              <w:rPr>
                <w:rFonts w:ascii="宋体" w:hAnsi="宋体" w:cs="宋体"/>
                <w:color w:val="auto"/>
                <w:kern w:val="0"/>
                <w:szCs w:val="21"/>
                <w:lang w:bidi="ar"/>
              </w:rPr>
            </w:pPr>
            <w:r>
              <w:rPr>
                <w:rFonts w:hint="eastAsia" w:ascii="宋体" w:hAnsi="宋体" w:cs="宋体"/>
                <w:color w:val="auto"/>
                <w:kern w:val="0"/>
                <w:szCs w:val="21"/>
                <w:lang w:bidi="ar"/>
              </w:rPr>
              <w:t>10、公寓床：外观性能（金属部件、木质部件）应符合 GB/T3325-2017《 金属家具通用技术条件》标准要求。</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 xml:space="preserve">11、钢制部件：涂层中的可溶性重金属符合 GB/T3325-2017《 金属家具通用技术条件》标准要求。 </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12、铺板：含水率符合GB/T3324-2017《木家具通用技术条件》标准要求。</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13、塑粉：金属喷涂层硬度、冲击强度、附着力符GB/T3325-2017《 金属家具通用技术条件》标准要求。</w:t>
            </w:r>
          </w:p>
          <w:p>
            <w:pPr>
              <w:kinsoku w:val="0"/>
              <w:autoSpaceDE w:val="0"/>
              <w:autoSpaceDN w:val="0"/>
              <w:adjustRightInd w:val="0"/>
              <w:snapToGrid w:val="0"/>
              <w:spacing w:line="360" w:lineRule="auto"/>
              <w:jc w:val="left"/>
              <w:rPr>
                <w:rFonts w:ascii="宋体" w:hAnsi="宋体" w:cs="宋体"/>
                <w:color w:val="auto"/>
                <w:spacing w:val="9"/>
                <w:kern w:val="0"/>
                <w:szCs w:val="21"/>
              </w:rPr>
            </w:pPr>
            <w:r>
              <w:rPr>
                <w:rFonts w:hint="eastAsia" w:ascii="宋体" w:hAnsi="宋体" w:cs="宋体"/>
                <w:color w:val="auto"/>
                <w:spacing w:val="9"/>
                <w:kern w:val="0"/>
                <w:szCs w:val="21"/>
              </w:rPr>
              <w:t xml:space="preserve">14、卡式连接件：力学性能（屈服强度、抗拉强度、断后伸长率）符合GB/T700-2006《碳素结构钢》标准要求。 </w:t>
            </w:r>
          </w:p>
        </w:tc>
        <w:tc>
          <w:tcPr>
            <w:tcW w:w="696" w:type="pct"/>
            <w:vAlign w:val="center"/>
          </w:tcPr>
          <w:p>
            <w:pPr>
              <w:kinsoku w:val="0"/>
              <w:autoSpaceDE w:val="0"/>
              <w:autoSpaceDN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drawing>
                <wp:inline distT="0" distB="0" distL="114300" distR="114300">
                  <wp:extent cx="921385" cy="916305"/>
                  <wp:effectExtent l="0" t="0" r="0" b="0"/>
                  <wp:docPr id="8" name="图片 8" descr="059fbbbce3acd53f413cab10a877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59fbbbce3acd53f413cab10a877c90"/>
                          <pic:cNvPicPr>
                            <a:picLocks noChangeAspect="1"/>
                          </pic:cNvPicPr>
                        </pic:nvPicPr>
                        <pic:blipFill>
                          <a:blip r:embed="rId15"/>
                          <a:srcRect l="15121" t="27268" r="11744"/>
                          <a:stretch>
                            <a:fillRect/>
                          </a:stretch>
                        </pic:blipFill>
                        <pic:spPr>
                          <a:xfrm>
                            <a:off x="0" y="0"/>
                            <a:ext cx="921385" cy="916305"/>
                          </a:xfrm>
                          <a:prstGeom prst="rect">
                            <a:avLst/>
                          </a:prstGeom>
                        </pic:spPr>
                      </pic:pic>
                    </a:graphicData>
                  </a:graphic>
                </wp:inline>
              </w:drawing>
            </w:r>
          </w:p>
        </w:tc>
        <w:tc>
          <w:tcPr>
            <w:tcW w:w="387" w:type="pct"/>
            <w:vAlign w:val="center"/>
          </w:tcPr>
          <w:p>
            <w:pPr>
              <w:kinsoku w:val="0"/>
              <w:autoSpaceDE w:val="0"/>
              <w:autoSpaceDN w:val="0"/>
              <w:adjustRightInd w:val="0"/>
              <w:snapToGrid w:val="0"/>
              <w:spacing w:line="360" w:lineRule="auto"/>
              <w:jc w:val="center"/>
              <w:rPr>
                <w:rFonts w:ascii="Arial" w:hAnsi="Arial" w:cs="Arial" w:eastAsiaTheme="minorEastAsia"/>
                <w:color w:val="auto"/>
                <w:kern w:val="0"/>
                <w:szCs w:val="21"/>
              </w:rPr>
            </w:pPr>
            <w:r>
              <w:rPr>
                <w:rFonts w:hint="eastAsia" w:ascii="Arial" w:hAnsi="Arial" w:cs="Arial" w:eastAsiaTheme="minorEastAsia"/>
                <w:color w:val="auto"/>
                <w:kern w:val="0"/>
                <w:szCs w:val="21"/>
              </w:rPr>
              <w:t>是，提供1套完整的</w:t>
            </w:r>
            <w:r>
              <w:rPr>
                <w:rFonts w:hint="eastAsia" w:ascii="宋体" w:hAnsi="宋体" w:cs="宋体"/>
                <w:color w:val="auto"/>
                <w:kern w:val="0"/>
                <w:szCs w:val="21"/>
              </w:rPr>
              <w:t>上下铺公寓床</w:t>
            </w:r>
            <w:r>
              <w:rPr>
                <w:rFonts w:hint="eastAsia" w:ascii="Arial" w:hAnsi="Arial" w:cs="Arial" w:eastAsiaTheme="minorEastAsia"/>
                <w:color w:val="auto"/>
                <w:kern w:val="0"/>
                <w:szCs w:val="21"/>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238" w:type="pct"/>
            <w:vAlign w:val="center"/>
          </w:tcPr>
          <w:p>
            <w:pPr>
              <w:kinsoku w:val="0"/>
              <w:autoSpaceDE w:val="0"/>
              <w:autoSpaceDN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433"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书桌</w:t>
            </w:r>
          </w:p>
        </w:tc>
        <w:tc>
          <w:tcPr>
            <w:tcW w:w="3243" w:type="pct"/>
            <w:vAlign w:val="center"/>
          </w:tcPr>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1、整体规格：</w:t>
            </w:r>
            <w:r>
              <w:rPr>
                <w:rFonts w:ascii="Arial" w:hAnsi="Arial" w:cs="Arial"/>
                <w:color w:val="auto"/>
                <w:kern w:val="0"/>
                <w:szCs w:val="21"/>
              </w:rPr>
              <w:t>≥</w:t>
            </w:r>
            <w:r>
              <w:rPr>
                <w:rFonts w:hint="eastAsia" w:ascii="宋体" w:hAnsi="宋体" w:cs="宋体"/>
                <w:color w:val="auto"/>
                <w:kern w:val="0"/>
                <w:szCs w:val="21"/>
              </w:rPr>
              <w:t>长800mm*宽600mm*高760mm</w:t>
            </w:r>
          </w:p>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2、</w:t>
            </w:r>
            <w:r>
              <w:rPr>
                <w:rFonts w:hint="eastAsia" w:asciiTheme="minorEastAsia" w:hAnsiTheme="minorEastAsia" w:eastAsiaTheme="minorEastAsia" w:cstheme="minorEastAsia"/>
                <w:color w:val="auto"/>
                <w:szCs w:val="21"/>
              </w:rPr>
              <w:t>★</w:t>
            </w:r>
            <w:r>
              <w:rPr>
                <w:rFonts w:hint="eastAsia" w:ascii="宋体" w:hAnsi="宋体" w:cs="宋体"/>
                <w:color w:val="auto"/>
                <w:kern w:val="0"/>
                <w:szCs w:val="21"/>
              </w:rPr>
              <w:t>整体采用E1级环保三聚氰胺饰面免漆生态木芯板</w:t>
            </w:r>
            <w:r>
              <w:rPr>
                <w:rFonts w:ascii="宋体" w:hAnsi="宋体" w:cs="宋体"/>
                <w:color w:val="auto"/>
                <w:kern w:val="0"/>
                <w:szCs w:val="21"/>
              </w:rPr>
              <w:t>，</w:t>
            </w:r>
            <w:r>
              <w:rPr>
                <w:rFonts w:hint="eastAsia" w:ascii="宋体" w:hAnsi="宋体" w:cs="宋体"/>
                <w:color w:val="auto"/>
                <w:kern w:val="0"/>
                <w:szCs w:val="21"/>
              </w:rPr>
              <w:t>同色PVC封边，</w:t>
            </w:r>
            <w:r>
              <w:rPr>
                <w:rFonts w:ascii="宋体" w:hAnsi="宋体" w:cs="宋体"/>
                <w:color w:val="auto"/>
                <w:kern w:val="0"/>
                <w:szCs w:val="21"/>
              </w:rPr>
              <w:t>板材厚度</w:t>
            </w:r>
            <w:r>
              <w:rPr>
                <w:rFonts w:hint="eastAsia" w:ascii="宋体" w:hAnsi="宋体" w:cs="宋体"/>
                <w:color w:val="auto"/>
                <w:kern w:val="0"/>
                <w:szCs w:val="21"/>
              </w:rPr>
              <w:t xml:space="preserve"> ≥</w:t>
            </w:r>
            <w:r>
              <w:rPr>
                <w:rFonts w:ascii="宋体" w:hAnsi="宋体" w:cs="宋体"/>
                <w:color w:val="auto"/>
                <w:kern w:val="0"/>
                <w:szCs w:val="21"/>
              </w:rPr>
              <w:t>17mm。</w:t>
            </w:r>
            <w:r>
              <w:rPr>
                <w:rFonts w:hint="eastAsia" w:ascii="宋体" w:hAnsi="宋体" w:cs="宋体"/>
                <w:color w:val="auto"/>
                <w:kern w:val="0"/>
                <w:szCs w:val="21"/>
              </w:rPr>
              <w:t>表面退色率(耐光性)色度褪变极微，具有防火、耐磨、防刮、很强抗击力和承载力</w:t>
            </w:r>
            <w:r>
              <w:rPr>
                <w:rFonts w:hint="eastAsia" w:ascii="宋体" w:hAnsi="宋体" w:cs="宋体"/>
                <w:color w:val="auto"/>
                <w:spacing w:val="9"/>
                <w:kern w:val="0"/>
                <w:szCs w:val="21"/>
              </w:rPr>
              <w:t>。</w:t>
            </w:r>
          </w:p>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3、桌面下带两个抽屉，大小等分。抽屉面安装铝合金拉手。抽屉滑道采用三节静音导轨。</w:t>
            </w:r>
          </w:p>
          <w:p>
            <w:pPr>
              <w:kinsoku w:val="0"/>
              <w:autoSpaceDE w:val="0"/>
              <w:autoSpaceDN w:val="0"/>
              <w:adjustRightInd w:val="0"/>
              <w:snapToGrid w:val="0"/>
              <w:spacing w:line="360" w:lineRule="auto"/>
              <w:jc w:val="left"/>
              <w:rPr>
                <w:rFonts w:ascii="Arial" w:hAnsi="Arial" w:eastAsia="Arial" w:cs="Arial"/>
                <w:color w:val="auto"/>
                <w:kern w:val="0"/>
                <w:szCs w:val="21"/>
              </w:rPr>
            </w:pPr>
            <w:r>
              <w:rPr>
                <w:rFonts w:hint="eastAsia" w:ascii="宋体" w:hAnsi="宋体" w:cs="宋体"/>
                <w:color w:val="auto"/>
                <w:kern w:val="0"/>
                <w:szCs w:val="21"/>
                <w:lang w:bidi="ar"/>
              </w:rPr>
              <w:t>4、</w:t>
            </w:r>
            <w:r>
              <w:rPr>
                <w:rFonts w:hint="eastAsia"/>
                <w:color w:val="auto"/>
              </w:rPr>
              <w:t>书桌（或学习桌）：外观要求（人造板件外观、五金件外观、木工要求）符合GB/T3324-2017《木家具通用技术条件》标准要求，甲醛释放量符合GB 18584-2001《室内装饰装修材料木家具中有害物质限量》标准要求。</w:t>
            </w:r>
          </w:p>
        </w:tc>
        <w:tc>
          <w:tcPr>
            <w:tcW w:w="696" w:type="pct"/>
            <w:vAlign w:val="center"/>
          </w:tcPr>
          <w:p>
            <w:pPr>
              <w:kinsoku w:val="0"/>
              <w:autoSpaceDE w:val="0"/>
              <w:autoSpaceDN w:val="0"/>
              <w:adjustRightInd w:val="0"/>
              <w:snapToGrid w:val="0"/>
              <w:spacing w:line="360" w:lineRule="auto"/>
              <w:jc w:val="center"/>
              <w:rPr>
                <w:rFonts w:ascii="宋体" w:hAnsi="宋体" w:cs="宋体"/>
                <w:color w:val="auto"/>
                <w:kern w:val="0"/>
                <w:szCs w:val="21"/>
              </w:rPr>
            </w:pPr>
            <w:r>
              <w:rPr>
                <w:color w:val="auto"/>
              </w:rPr>
              <w:drawing>
                <wp:inline distT="0" distB="0" distL="114300" distR="114300">
                  <wp:extent cx="664845" cy="695960"/>
                  <wp:effectExtent l="0" t="0" r="1905" b="889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6"/>
                          <a:stretch>
                            <a:fillRect/>
                          </a:stretch>
                        </pic:blipFill>
                        <pic:spPr>
                          <a:xfrm>
                            <a:off x="0" y="0"/>
                            <a:ext cx="664845" cy="695960"/>
                          </a:xfrm>
                          <a:prstGeom prst="rect">
                            <a:avLst/>
                          </a:prstGeom>
                          <a:noFill/>
                          <a:ln>
                            <a:noFill/>
                          </a:ln>
                        </pic:spPr>
                      </pic:pic>
                    </a:graphicData>
                  </a:graphic>
                </wp:inline>
              </w:drawing>
            </w:r>
          </w:p>
        </w:tc>
        <w:tc>
          <w:tcPr>
            <w:tcW w:w="387" w:type="pct"/>
            <w:vAlign w:val="center"/>
          </w:tcPr>
          <w:p>
            <w:pPr>
              <w:kinsoku w:val="0"/>
              <w:autoSpaceDE w:val="0"/>
              <w:autoSpaceDN w:val="0"/>
              <w:adjustRightInd w:val="0"/>
              <w:snapToGrid w:val="0"/>
              <w:spacing w:line="360" w:lineRule="auto"/>
              <w:jc w:val="center"/>
              <w:rPr>
                <w:rFonts w:ascii="Arial" w:hAnsi="Arial" w:cs="Arial"/>
                <w:color w:val="auto"/>
                <w:kern w:val="0"/>
                <w:szCs w:val="21"/>
              </w:rPr>
            </w:pPr>
            <w:r>
              <w:rPr>
                <w:rFonts w:hint="eastAsia" w:ascii="Arial" w:hAnsi="Arial" w:cs="Arial"/>
                <w:color w:val="auto"/>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238" w:type="pct"/>
            <w:vAlign w:val="center"/>
          </w:tcPr>
          <w:p>
            <w:pPr>
              <w:kinsoku w:val="0"/>
              <w:autoSpaceDE w:val="0"/>
              <w:autoSpaceDN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3</w:t>
            </w:r>
          </w:p>
        </w:tc>
        <w:tc>
          <w:tcPr>
            <w:tcW w:w="433" w:type="pct"/>
            <w:vAlign w:val="center"/>
          </w:tcPr>
          <w:p>
            <w:pPr>
              <w:kinsoku w:val="0"/>
              <w:autoSpaceDE w:val="0"/>
              <w:autoSpaceDN w:val="0"/>
              <w:adjustRightInd w:val="0"/>
              <w:snapToGrid w:val="0"/>
              <w:jc w:val="center"/>
              <w:rPr>
                <w:rFonts w:ascii="宋体" w:hAnsi="宋体" w:cs="宋体"/>
                <w:color w:val="auto"/>
                <w:kern w:val="0"/>
                <w:szCs w:val="21"/>
              </w:rPr>
            </w:pPr>
            <w:r>
              <w:rPr>
                <w:rFonts w:hint="eastAsia" w:ascii="宋体" w:hAnsi="宋体" w:cs="宋体"/>
                <w:color w:val="auto"/>
                <w:kern w:val="0"/>
                <w:szCs w:val="21"/>
              </w:rPr>
              <w:t>学习椅</w:t>
            </w:r>
          </w:p>
        </w:tc>
        <w:tc>
          <w:tcPr>
            <w:tcW w:w="3243" w:type="pct"/>
            <w:vAlign w:val="center"/>
          </w:tcPr>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1、规格：≥长 410mm*宽 365mm*高 440 (780) mm</w:t>
            </w:r>
          </w:p>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2、支架、背架采用≥30mm*15mm*1.2mm椭圆管。</w:t>
            </w:r>
          </w:p>
          <w:p>
            <w:pPr>
              <w:kinsoku w:val="0"/>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3、座背板采用高密度聚乙烯优质中空吹塑，钢架与地面接触部加装塑料脚套及胶垫。</w:t>
            </w:r>
          </w:p>
        </w:tc>
        <w:tc>
          <w:tcPr>
            <w:tcW w:w="696" w:type="pct"/>
            <w:vAlign w:val="center"/>
          </w:tcPr>
          <w:p>
            <w:pPr>
              <w:kinsoku w:val="0"/>
              <w:autoSpaceDE w:val="0"/>
              <w:autoSpaceDN w:val="0"/>
              <w:adjustRightInd w:val="0"/>
              <w:snapToGrid w:val="0"/>
              <w:spacing w:line="360" w:lineRule="auto"/>
              <w:jc w:val="center"/>
              <w:rPr>
                <w:rFonts w:ascii="宋体" w:hAnsi="宋体" w:cs="宋体"/>
                <w:color w:val="auto"/>
                <w:kern w:val="0"/>
                <w:szCs w:val="21"/>
              </w:rPr>
            </w:pPr>
            <w:r>
              <w:rPr>
                <w:rFonts w:ascii="Arial" w:hAnsi="Arial" w:eastAsia="Arial" w:cs="Arial"/>
                <w:color w:val="auto"/>
                <w:kern w:val="0"/>
                <w:szCs w:val="21"/>
              </w:rPr>
              <w:drawing>
                <wp:anchor distT="0" distB="0" distL="114300" distR="114300" simplePos="0" relativeHeight="251663360" behindDoc="1" locked="0" layoutInCell="1" allowOverlap="1">
                  <wp:simplePos x="0" y="0"/>
                  <wp:positionH relativeFrom="column">
                    <wp:posOffset>148590</wp:posOffset>
                  </wp:positionH>
                  <wp:positionV relativeFrom="paragraph">
                    <wp:posOffset>36195</wp:posOffset>
                  </wp:positionV>
                  <wp:extent cx="732155" cy="852170"/>
                  <wp:effectExtent l="0" t="0" r="48895" b="43180"/>
                  <wp:wrapThrough wrapText="bothSides">
                    <wp:wrapPolygon>
                      <wp:start x="0" y="0"/>
                      <wp:lineTo x="0" y="21246"/>
                      <wp:lineTo x="20794" y="21246"/>
                      <wp:lineTo x="20794" y="0"/>
                      <wp:lineTo x="0" y="0"/>
                    </wp:wrapPolygon>
                  </wp:wrapThrough>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7"/>
                          <a:srcRect t="8298"/>
                          <a:stretch>
                            <a:fillRect/>
                          </a:stretch>
                        </pic:blipFill>
                        <pic:spPr>
                          <a:xfrm>
                            <a:off x="0" y="0"/>
                            <a:ext cx="732155" cy="852170"/>
                          </a:xfrm>
                          <a:prstGeom prst="rect">
                            <a:avLst/>
                          </a:prstGeom>
                          <a:ln w="12700">
                            <a:noFill/>
                          </a:ln>
                        </pic:spPr>
                      </pic:pic>
                    </a:graphicData>
                  </a:graphic>
                </wp:anchor>
              </w:drawing>
            </w:r>
          </w:p>
        </w:tc>
        <w:tc>
          <w:tcPr>
            <w:tcW w:w="387" w:type="pct"/>
            <w:vAlign w:val="center"/>
          </w:tcPr>
          <w:p>
            <w:pPr>
              <w:kinsoku w:val="0"/>
              <w:autoSpaceDE w:val="0"/>
              <w:autoSpaceDN w:val="0"/>
              <w:adjustRightInd w:val="0"/>
              <w:snapToGrid w:val="0"/>
              <w:spacing w:line="360" w:lineRule="auto"/>
              <w:jc w:val="center"/>
              <w:rPr>
                <w:rFonts w:ascii="Arial" w:hAnsi="Arial" w:cs="Arial"/>
                <w:color w:val="auto"/>
                <w:kern w:val="0"/>
                <w:szCs w:val="21"/>
              </w:rPr>
            </w:pPr>
            <w:r>
              <w:rPr>
                <w:rFonts w:hint="eastAsia" w:cs="Arial" w:asciiTheme="minorEastAsia" w:hAnsiTheme="minorEastAsia" w:eastAsiaTheme="minorEastAsia"/>
                <w:color w:val="auto"/>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4" w:hRule="atLeast"/>
          <w:jc w:val="center"/>
        </w:trPr>
        <w:tc>
          <w:tcPr>
            <w:tcW w:w="4612" w:type="pct"/>
            <w:gridSpan w:val="4"/>
            <w:vAlign w:val="center"/>
          </w:tcPr>
          <w:p>
            <w:pPr>
              <w:kinsoku w:val="0"/>
              <w:autoSpaceDE w:val="0"/>
              <w:autoSpaceDN w:val="0"/>
              <w:adjustRightInd w:val="0"/>
              <w:snapToGrid w:val="0"/>
              <w:spacing w:line="360" w:lineRule="auto"/>
              <w:rPr>
                <w:rFonts w:ascii="Arial" w:hAnsi="Arial" w:cs="Arial"/>
                <w:b/>
                <w:bCs/>
                <w:color w:val="auto"/>
                <w:kern w:val="0"/>
                <w:szCs w:val="21"/>
              </w:rPr>
            </w:pPr>
            <w:r>
              <w:rPr>
                <w:rFonts w:hint="eastAsia" w:ascii="Arial" w:hAnsi="Arial" w:eastAsia="Arial" w:cs="Arial"/>
                <w:b/>
                <w:bCs/>
                <w:color w:val="auto"/>
                <w:kern w:val="0"/>
                <w:szCs w:val="21"/>
              </w:rPr>
              <w:t>备注：</w:t>
            </w:r>
            <w:r>
              <w:rPr>
                <w:rFonts w:hint="eastAsia" w:ascii="Arial" w:hAnsi="Arial" w:eastAsia="Arial" w:cs="Arial"/>
                <w:color w:val="auto"/>
                <w:kern w:val="0"/>
                <w:szCs w:val="21"/>
              </w:rPr>
              <w:t>1、上述货物投标供应商需根据实际投标情况提供整体实物彩色图片</w:t>
            </w:r>
            <w:r>
              <w:rPr>
                <w:rFonts w:hint="eastAsia" w:ascii="Arial" w:hAnsi="Arial" w:cs="Arial"/>
                <w:color w:val="auto"/>
                <w:kern w:val="0"/>
                <w:szCs w:val="21"/>
              </w:rPr>
              <w:t>及</w:t>
            </w:r>
            <w:r>
              <w:rPr>
                <w:rFonts w:hint="eastAsia" w:ascii="宋体" w:hAnsi="宋体" w:cs="宋体"/>
                <w:color w:val="auto"/>
                <w:szCs w:val="21"/>
              </w:rPr>
              <w:t>整体布局平面摆放图、效果图</w:t>
            </w:r>
            <w:r>
              <w:rPr>
                <w:rFonts w:hint="eastAsia" w:ascii="Arial" w:hAnsi="Arial" w:eastAsia="Arial" w:cs="Arial"/>
                <w:color w:val="auto"/>
                <w:kern w:val="0"/>
                <w:szCs w:val="21"/>
              </w:rPr>
              <w:t>。</w:t>
            </w:r>
          </w:p>
        </w:tc>
        <w:tc>
          <w:tcPr>
            <w:tcW w:w="387" w:type="pct"/>
            <w:vAlign w:val="center"/>
          </w:tcPr>
          <w:p>
            <w:pPr>
              <w:kinsoku w:val="0"/>
              <w:autoSpaceDE w:val="0"/>
              <w:autoSpaceDN w:val="0"/>
              <w:adjustRightInd w:val="0"/>
              <w:snapToGrid w:val="0"/>
              <w:spacing w:line="360" w:lineRule="auto"/>
              <w:jc w:val="left"/>
              <w:rPr>
                <w:rFonts w:ascii="Arial" w:hAnsi="Arial" w:eastAsia="Arial" w:cs="Arial"/>
                <w:color w:val="auto"/>
                <w:kern w:val="0"/>
                <w:szCs w:val="21"/>
              </w:rPr>
            </w:pPr>
          </w:p>
        </w:tc>
      </w:tr>
    </w:tbl>
    <w:p>
      <w:pPr>
        <w:autoSpaceDE w:val="0"/>
        <w:autoSpaceDN w:val="0"/>
        <w:adjustRightInd w:val="0"/>
        <w:spacing w:line="360" w:lineRule="auto"/>
        <w:rPr>
          <w:rFonts w:asciiTheme="minorEastAsia" w:hAnsiTheme="minorEastAsia" w:eastAsiaTheme="minorEastAsia" w:cstheme="minorEastAsia"/>
          <w:color w:val="auto"/>
          <w:szCs w:val="21"/>
        </w:rPr>
      </w:pP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r>
        <w:rPr>
          <w:color w:val="auto"/>
        </w:rPr>
        <w:br w:type="textWrapping"/>
      </w:r>
      <w:r>
        <w:rPr>
          <w:rFonts w:hint="eastAsia" w:asciiTheme="minorEastAsia" w:hAnsiTheme="minorEastAsia" w:eastAsiaTheme="minorEastAsia" w:cstheme="minorEastAsia"/>
          <w:color w:val="auto"/>
          <w:szCs w:val="21"/>
        </w:rPr>
        <w:t>3.本项目磋商文件中标注“</w:t>
      </w:r>
      <w:r>
        <w:rPr>
          <w:rFonts w:hint="eastAsia" w:ascii="宋体" w:hAnsi="宋体" w:cs="宋体"/>
          <w:b/>
          <w:bCs/>
          <w:color w:val="auto"/>
          <w:sz w:val="24"/>
        </w:rPr>
        <w:t>☆</w:t>
      </w:r>
      <w:r>
        <w:rPr>
          <w:rFonts w:hint="eastAsia" w:asciiTheme="minorEastAsia" w:hAnsiTheme="minorEastAsia" w:eastAsiaTheme="minorEastAsia" w:cstheme="minorEastAsia"/>
          <w:color w:val="auto"/>
          <w:szCs w:val="21"/>
        </w:rPr>
        <w:t>”的条款不允许负偏离，负偏离视为无效响应文件。</w:t>
      </w:r>
    </w:p>
    <w:p>
      <w:pPr>
        <w:autoSpaceDE w:val="0"/>
        <w:autoSpaceDN w:val="0"/>
        <w:adjustRightInd w:val="0"/>
        <w:spacing w:line="360" w:lineRule="auto"/>
        <w:rPr>
          <w:rFonts w:asciiTheme="minorEastAsia" w:hAnsiTheme="minorEastAsia" w:eastAsiaTheme="minorEastAsia" w:cstheme="minorEastAsia"/>
          <w:color w:val="auto"/>
          <w:szCs w:val="21"/>
        </w:rPr>
      </w:pPr>
      <w:r>
        <w:rPr>
          <w:color w:val="auto"/>
        </w:rPr>
        <w:br w:type="page"/>
      </w:r>
    </w:p>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97" w:name="_Toc2194"/>
      <w:bookmarkEnd w:id="97"/>
      <w:bookmarkStart w:id="98" w:name="_Toc25915"/>
      <w:r>
        <w:rPr>
          <w:rFonts w:hint="eastAsia" w:asciiTheme="minorEastAsia" w:hAnsiTheme="minorEastAsia" w:eastAsiaTheme="minorEastAsia" w:cstheme="minorEastAsia"/>
          <w:b/>
          <w:bCs/>
          <w:color w:val="auto"/>
          <w:sz w:val="24"/>
        </w:rPr>
        <w:t>二、商务需求</w:t>
      </w:r>
      <w:bookmarkEnd w:id="98"/>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1.违约责任：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1.1 若乙方未能按合同所规定的交货时间前完成本合同全部货物（含配套配件备件）安装调试并达到验收标准，每延迟一天，按合同总额的千分之一向甲方交纳违约金,违约金缴纳总额不超过合同总金额的百分之五。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1.2 若乙方未能在规定时间前完成本合同全部货物（含配件备件）安装调试并达到验收标准，甲方可中止本合同，并由乙方承担由此给甲方造成的一切损失。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1.3 乙方交付甲方的全部货物（含配件备件）及工程中使用的材料必须有合法的进货渠道，且符合协议和投标书中的质量约定，否则由乙方承担一切责任。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2.产品质量要求：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2.1投标供应商在招标及成交后，所提供的货物（含配套配件备件）必须为全新无瑕疵。</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3.产品进场安装、调试及验收：</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3.3交货时，乙方应将货物（含配套配件备件）的产品说明书、使用说明书，出厂合格证、用户手册、保修手册等单证交付给甲方，前述单证未交付完整的，视为未完全交货。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3.5采购人完成验收并不免除成交供应商对（含配套配件备件）质量应当承担的责任。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3.6成交供应商应安排专人负责合同中全部货物（含配套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4.售后服务要求：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4.1质保期、保修期内因国产货物（含配套配件备件）质量或安装调试原因引起的全部维修费用（包括更换零配件的费用）均由成交供应商承担。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4.2质保期、保修期外，成交供应商应定期回访，发现问题及时通知甲方，国产货物（含配套配件备件）维修零配件以优惠价给甲方（免收人工及差旅费）。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4.3确保所采购货物和服务无质量问题，能满足质保期的要求。完成出厂检验、设备安装、调试、备品备件的配备、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5.实施人员要求：按本项目情况配置齐全的实施人员，且分工明确。</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7.交货地点：采购人指定地点。</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8.履约保证金：本项目合同正式签订前，成交供应商需向采购人支付合同金额的5%作为履约保证金（优先以金融机构、担保机构出具的保函或者支票、汇票、本票等非现金形式提交）。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9.付款方式：</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9.1成交供应商须提供增值税专用发票。</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9.2全部货物（含配套系统、配件备件）经采购人验收合格并收到成交供应商发票后15个工作日内，采购人向成交供应商支付合同总金额的100%，上述履约保证金在产品验收合格满 1 年后，若无质量问题甲方将全额无息退还给乙方。</w:t>
      </w:r>
    </w:p>
    <w:p>
      <w:pPr>
        <w:autoSpaceDE w:val="0"/>
        <w:autoSpaceDN w:val="0"/>
        <w:adjustRightInd w:val="0"/>
        <w:spacing w:line="360" w:lineRule="auto"/>
        <w:jc w:val="left"/>
        <w:rPr>
          <w:rFonts w:ascii="宋体" w:hAnsi="宋体" w:cs="宋体"/>
          <w:color w:val="auto"/>
          <w:szCs w:val="21"/>
        </w:rPr>
      </w:pPr>
      <w:r>
        <w:rPr>
          <w:rFonts w:hint="eastAsia" w:ascii="宋体" w:hAnsi="宋体" w:cs="宋体"/>
          <w:color w:val="auto"/>
          <w:szCs w:val="21"/>
        </w:rPr>
        <w:t>10.其它：</w:t>
      </w:r>
    </w:p>
    <w:p>
      <w:pPr>
        <w:autoSpaceDE w:val="0"/>
        <w:autoSpaceDN w:val="0"/>
        <w:adjustRightInd w:val="0"/>
        <w:spacing w:line="360" w:lineRule="auto"/>
        <w:ind w:firstLine="420" w:firstLineChars="200"/>
        <w:rPr>
          <w:rFonts w:ascii="宋体" w:hAnsi="宋体" w:cs="宋体"/>
          <w:color w:val="auto"/>
          <w:szCs w:val="21"/>
        </w:rPr>
      </w:pPr>
      <w:r>
        <w:rPr>
          <w:rFonts w:hint="eastAsia" w:ascii="宋体" w:hAnsi="宋体" w:cs="宋体"/>
          <w:color w:val="auto"/>
          <w:szCs w:val="21"/>
        </w:rPr>
        <w:t>10.1供应商需针对本项目提供相关交货实施方案（包含但不限于：项目对接、人员安排、交货计划、货物运输、交货期保障措施、安装调试步骤及措施等）、质量管控措施（包含但不限于：质量目标、质量管理制度、质量保证措施等）、售后方案（包含但不限于：服务标准和应急维修时间安排、质保期满后的承诺、备品备件、其它服务承诺等）与本项目评审因素要求的相关材料。</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10.2其他未尽事宜由成交供应商和采购人按合同进行约定。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color w:val="auto"/>
          <w:szCs w:val="21"/>
        </w:rPr>
      </w:pPr>
      <w:r>
        <w:rPr>
          <w:color w:val="auto"/>
        </w:rPr>
        <w:br w:type="page"/>
      </w:r>
    </w:p>
    <w:p>
      <w:pPr>
        <w:pStyle w:val="3"/>
        <w:numPr>
          <w:ilvl w:val="0"/>
          <w:numId w:val="4"/>
        </w:numPr>
        <w:jc w:val="center"/>
        <w:rPr>
          <w:rFonts w:asciiTheme="minorEastAsia" w:hAnsiTheme="minorEastAsia" w:eastAsiaTheme="minorEastAsia" w:cstheme="minorEastAsia"/>
          <w:color w:val="auto"/>
          <w:szCs w:val="21"/>
        </w:rPr>
      </w:pPr>
      <w:bookmarkStart w:id="99" w:name="_Toc31847"/>
      <w:r>
        <w:rPr>
          <w:rFonts w:hint="eastAsia" w:asciiTheme="minorEastAsia" w:hAnsiTheme="minorEastAsia" w:eastAsiaTheme="minorEastAsia" w:cstheme="minorEastAsia"/>
          <w:color w:val="auto"/>
          <w:sz w:val="36"/>
          <w:szCs w:val="36"/>
        </w:rPr>
        <w:t>竞争性磋商采购评定办法</w:t>
      </w:r>
      <w:bookmarkEnd w:id="99"/>
    </w:p>
    <w:p>
      <w:pPr>
        <w:spacing w:line="360" w:lineRule="auto"/>
        <w:outlineLvl w:val="1"/>
        <w:rPr>
          <w:rFonts w:asciiTheme="minorEastAsia" w:hAnsiTheme="minorEastAsia" w:eastAsiaTheme="minorEastAsia" w:cstheme="minorEastAsia"/>
          <w:b/>
          <w:color w:val="auto"/>
          <w:szCs w:val="21"/>
        </w:rPr>
      </w:pPr>
      <w:bookmarkStart w:id="100" w:name="_Toc9326"/>
      <w:r>
        <w:rPr>
          <w:rFonts w:hint="eastAsia" w:asciiTheme="minorEastAsia" w:hAnsiTheme="minorEastAsia" w:eastAsiaTheme="minorEastAsia" w:cstheme="minorEastAsia"/>
          <w:b/>
          <w:color w:val="auto"/>
          <w:szCs w:val="21"/>
        </w:rPr>
        <w:t>一、评定办法前附表</w:t>
      </w:r>
      <w:bookmarkEnd w:id="100"/>
    </w:p>
    <w:tbl>
      <w:tblPr>
        <w:tblStyle w:val="2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条款号</w:t>
            </w:r>
          </w:p>
        </w:tc>
        <w:tc>
          <w:tcPr>
            <w:tcW w:w="2268"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评审因素</w:t>
            </w:r>
          </w:p>
        </w:tc>
        <w:tc>
          <w:tcPr>
            <w:tcW w:w="5563"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1.1</w:t>
            </w:r>
          </w:p>
        </w:tc>
        <w:tc>
          <w:tcPr>
            <w:tcW w:w="851"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szCs w:val="21"/>
              </w:rPr>
              <w:t>资格性审查标准</w:t>
            </w: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szCs w:val="21"/>
              </w:rPr>
            </w:pPr>
          </w:p>
        </w:tc>
        <w:tc>
          <w:tcPr>
            <w:tcW w:w="2268" w:type="dxa"/>
            <w:vMerge w:val="restart"/>
            <w:vAlign w:val="center"/>
          </w:tcPr>
          <w:p>
            <w:pPr>
              <w:spacing w:line="28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单位负责人为同一人或者存在直接控股、管理关系的不同供应商，不得参加本项目同一合同项下的政府采购活动。（按在采购代理机构获取文件的顺次序选择供应商参加本项目）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szCs w:val="21"/>
              </w:rPr>
            </w:pPr>
          </w:p>
        </w:tc>
        <w:tc>
          <w:tcPr>
            <w:tcW w:w="2268" w:type="dxa"/>
            <w:vMerge w:val="continue"/>
            <w:vAlign w:val="center"/>
          </w:tcPr>
          <w:p>
            <w:pPr>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szCs w:val="21"/>
              </w:rPr>
            </w:pPr>
          </w:p>
        </w:tc>
        <w:tc>
          <w:tcPr>
            <w:tcW w:w="2268" w:type="dxa"/>
            <w:vMerge w:val="continue"/>
            <w:vAlign w:val="center"/>
          </w:tcPr>
          <w:p>
            <w:pPr>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未被列入失信被执行人、重大税收违法案件当事人名单（链接：https://www.creditchina.gov.cn/），未被列入政府采购严重违法失信行为记录名单（链接：http://www.ccgp.gov.cn/search/cr/）。</w:t>
            </w:r>
            <w:r>
              <w:rPr>
                <w:color w:val="auto"/>
              </w:rPr>
              <w:br w:type="textWrapping"/>
            </w:r>
            <w:r>
              <w:rPr>
                <w:rFonts w:hint="eastAsia" w:asciiTheme="minorEastAsia" w:hAnsiTheme="minorEastAsia" w:eastAsiaTheme="minorEastAsia" w:cstheme="minorEastAsia"/>
                <w:color w:val="auto"/>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szCs w:val="21"/>
              </w:rPr>
            </w:pPr>
          </w:p>
        </w:tc>
        <w:tc>
          <w:tcPr>
            <w:tcW w:w="2268" w:type="dxa"/>
            <w:vAlign w:val="center"/>
          </w:tcPr>
          <w:p>
            <w:pPr>
              <w:spacing w:line="280" w:lineRule="exact"/>
              <w:jc w:val="center"/>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本项目属于专门面向中小企业、监狱企业、残疾人福利性单位的项目，竞标产品由中小企业制造。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szCs w:val="21"/>
              </w:rPr>
            </w:pPr>
          </w:p>
        </w:tc>
        <w:tc>
          <w:tcPr>
            <w:tcW w:w="2268" w:type="dxa"/>
            <w:vAlign w:val="center"/>
          </w:tcPr>
          <w:p>
            <w:pPr>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1.2</w:t>
            </w:r>
          </w:p>
        </w:tc>
        <w:tc>
          <w:tcPr>
            <w:tcW w:w="851" w:type="dxa"/>
            <w:vMerge w:val="restart"/>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w:t>
            </w:r>
          </w:p>
          <w:p>
            <w:pPr>
              <w:jc w:val="center"/>
              <w:rPr>
                <w:rFonts w:asciiTheme="minorEastAsia" w:hAnsiTheme="minorEastAsia" w:eastAsiaTheme="minorEastAsia" w:cstheme="minorEastAsia"/>
                <w:color w:val="auto"/>
                <w:szCs w:val="21"/>
              </w:rPr>
            </w:pP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磋商保证金（如有）</w:t>
            </w:r>
          </w:p>
        </w:tc>
        <w:tc>
          <w:tcPr>
            <w:tcW w:w="5563" w:type="dxa"/>
            <w:vAlign w:val="center"/>
          </w:tcPr>
          <w:p>
            <w:pP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w:t>
            </w:r>
          </w:p>
        </w:tc>
        <w:tc>
          <w:tcPr>
            <w:tcW w:w="5563"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磋商书签字盖章</w:t>
            </w:r>
          </w:p>
        </w:tc>
        <w:tc>
          <w:tcPr>
            <w:tcW w:w="5563"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w:t>
            </w:r>
          </w:p>
        </w:tc>
        <w:tc>
          <w:tcPr>
            <w:tcW w:w="5563"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Merge w:val="restart"/>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采购需求响应</w:t>
            </w:r>
          </w:p>
        </w:tc>
        <w:tc>
          <w:tcPr>
            <w:tcW w:w="5563" w:type="dxa"/>
            <w:vAlign w:val="center"/>
          </w:tcPr>
          <w:p>
            <w:pPr>
              <w:rPr>
                <w:rFonts w:asciiTheme="minorEastAsia" w:hAnsiTheme="minorEastAsia" w:eastAsiaTheme="minorEastAsia" w:cstheme="minorEastAsia"/>
                <w:color w:val="auto"/>
                <w:kern w:val="0"/>
                <w:szCs w:val="21"/>
              </w:rPr>
            </w:pPr>
            <w:r>
              <w:rPr>
                <w:rFonts w:hint="eastAsia" w:ascii="宋体" w:hAnsi="宋体" w:cs="宋体"/>
                <w:color w:val="auto"/>
                <w:kern w:val="0"/>
                <w:szCs w:val="21"/>
                <w:shd w:val="clear" w:color="auto" w:fill="FFFFFF"/>
              </w:rPr>
              <w:t>带“</w:t>
            </w:r>
            <w:r>
              <w:rPr>
                <w:rFonts w:hint="eastAsia" w:ascii="宋体" w:hAnsi="宋体" w:cs="宋体"/>
                <w:b/>
                <w:bCs/>
                <w:color w:val="auto"/>
                <w:sz w:val="24"/>
              </w:rPr>
              <w:t>☆</w:t>
            </w:r>
            <w:r>
              <w:rPr>
                <w:rFonts w:hint="eastAsia" w:ascii="宋体" w:hAnsi="宋体" w:cs="宋体"/>
                <w:color w:val="auto"/>
                <w:kern w:val="0"/>
                <w:szCs w:val="21"/>
                <w:shd w:val="clear" w:color="auto" w:fill="FFFFFF"/>
              </w:rPr>
              <w:t>”号条款（如有）是否实质性响应磋商文件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Merge w:val="continue"/>
            <w:vAlign w:val="center"/>
          </w:tcPr>
          <w:p>
            <w:pPr>
              <w:jc w:val="center"/>
              <w:rPr>
                <w:rFonts w:asciiTheme="minorEastAsia" w:hAnsiTheme="minorEastAsia" w:eastAsiaTheme="minorEastAsia" w:cstheme="minorEastAsia"/>
                <w:color w:val="auto"/>
                <w:kern w:val="0"/>
                <w:szCs w:val="21"/>
              </w:rPr>
            </w:pPr>
          </w:p>
        </w:tc>
        <w:tc>
          <w:tcPr>
            <w:tcW w:w="5563"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autoSpaceDE w:val="0"/>
              <w:autoSpaceDN w:val="0"/>
              <w:adjustRightInd w:val="0"/>
              <w:snapToGrid w:val="0"/>
              <w:jc w:val="center"/>
              <w:rPr>
                <w:rFonts w:ascii="宋体" w:hAnsi="宋体"/>
                <w:color w:val="auto"/>
                <w:szCs w:val="21"/>
              </w:rPr>
            </w:pPr>
            <w:r>
              <w:rPr>
                <w:rFonts w:hint="eastAsia" w:ascii="宋体" w:hAnsi="宋体"/>
                <w:color w:val="auto"/>
                <w:szCs w:val="21"/>
              </w:rPr>
              <w:t>其他要求（一）</w:t>
            </w:r>
          </w:p>
        </w:tc>
        <w:tc>
          <w:tcPr>
            <w:tcW w:w="5563" w:type="dxa"/>
            <w:vAlign w:val="center"/>
          </w:tcPr>
          <w:p>
            <w:pPr>
              <w:autoSpaceDE w:val="0"/>
              <w:autoSpaceDN w:val="0"/>
              <w:adjustRightInd w:val="0"/>
              <w:snapToGrid w:val="0"/>
              <w:rPr>
                <w:rFonts w:ascii="宋体" w:hAnsi="宋体"/>
                <w:color w:val="auto"/>
                <w:szCs w:val="21"/>
              </w:rPr>
            </w:pPr>
            <w:r>
              <w:rPr>
                <w:rFonts w:hint="eastAsia" w:ascii="宋体" w:hAnsi="宋体"/>
                <w:color w:val="auto"/>
                <w:szCs w:val="21"/>
              </w:rPr>
              <w:t>供应商未有下列任一情形：</w:t>
            </w:r>
          </w:p>
          <w:p>
            <w:pPr>
              <w:autoSpaceDE w:val="0"/>
              <w:autoSpaceDN w:val="0"/>
              <w:adjustRightInd w:val="0"/>
              <w:snapToGrid w:val="0"/>
              <w:rPr>
                <w:rFonts w:ascii="宋体" w:hAnsi="宋体"/>
                <w:color w:val="auto"/>
                <w:szCs w:val="21"/>
              </w:rPr>
            </w:pPr>
            <w:r>
              <w:rPr>
                <w:rFonts w:hint="eastAsia" w:ascii="宋体" w:hAnsi="宋体"/>
                <w:color w:val="auto"/>
                <w:szCs w:val="21"/>
              </w:rPr>
              <w:t>（1）不同供应商的响应文件由同一单位或者个人编制；</w:t>
            </w:r>
          </w:p>
          <w:p>
            <w:pPr>
              <w:autoSpaceDE w:val="0"/>
              <w:autoSpaceDN w:val="0"/>
              <w:adjustRightInd w:val="0"/>
              <w:snapToGrid w:val="0"/>
              <w:rPr>
                <w:rFonts w:ascii="宋体" w:hAnsi="宋体"/>
                <w:color w:val="auto"/>
                <w:szCs w:val="21"/>
              </w:rPr>
            </w:pPr>
            <w:r>
              <w:rPr>
                <w:rFonts w:hint="eastAsia" w:ascii="宋体" w:hAnsi="宋体"/>
                <w:color w:val="auto"/>
                <w:szCs w:val="21"/>
              </w:rPr>
              <w:t>（2）不同供应商委托同一单位或者个人办理投标事宜；</w:t>
            </w:r>
          </w:p>
          <w:p>
            <w:pPr>
              <w:autoSpaceDE w:val="0"/>
              <w:autoSpaceDN w:val="0"/>
              <w:adjustRightInd w:val="0"/>
              <w:snapToGrid w:val="0"/>
              <w:rPr>
                <w:rFonts w:ascii="宋体" w:hAnsi="宋体"/>
                <w:color w:val="auto"/>
                <w:szCs w:val="21"/>
              </w:rPr>
            </w:pPr>
            <w:r>
              <w:rPr>
                <w:rFonts w:hint="eastAsia" w:ascii="宋体" w:hAnsi="宋体"/>
                <w:color w:val="auto"/>
                <w:szCs w:val="21"/>
              </w:rPr>
              <w:t>（3）不同供应商的响应文件载明的项目管理成员或者联系人员为同一人；</w:t>
            </w:r>
          </w:p>
          <w:p>
            <w:pPr>
              <w:autoSpaceDE w:val="0"/>
              <w:autoSpaceDN w:val="0"/>
              <w:adjustRightInd w:val="0"/>
              <w:snapToGrid w:val="0"/>
              <w:rPr>
                <w:rFonts w:ascii="宋体" w:hAnsi="宋体"/>
                <w:color w:val="auto"/>
                <w:szCs w:val="21"/>
              </w:rPr>
            </w:pPr>
            <w:r>
              <w:rPr>
                <w:rFonts w:hint="eastAsia" w:ascii="宋体" w:hAnsi="宋体"/>
                <w:color w:val="auto"/>
                <w:szCs w:val="21"/>
              </w:rPr>
              <w:t>（4）不同供应商的响应文件异常一致或者投标报价呈规律性差异；</w:t>
            </w:r>
          </w:p>
          <w:p>
            <w:pPr>
              <w:autoSpaceDE w:val="0"/>
              <w:autoSpaceDN w:val="0"/>
              <w:adjustRightInd w:val="0"/>
              <w:snapToGrid w:val="0"/>
              <w:rPr>
                <w:rFonts w:ascii="宋体" w:hAnsi="宋体"/>
                <w:color w:val="auto"/>
                <w:szCs w:val="21"/>
              </w:rPr>
            </w:pPr>
            <w:r>
              <w:rPr>
                <w:rFonts w:hint="eastAsia" w:ascii="宋体" w:hAnsi="宋体"/>
                <w:color w:val="auto"/>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其他要求（二）</w:t>
            </w:r>
          </w:p>
        </w:tc>
        <w:tc>
          <w:tcPr>
            <w:tcW w:w="5563" w:type="dxa"/>
            <w:vAlign w:val="center"/>
          </w:tcPr>
          <w:p>
            <w:pPr>
              <w:rPr>
                <w:rFonts w:asciiTheme="minorEastAsia" w:hAnsiTheme="minorEastAsia" w:eastAsiaTheme="minorEastAsia" w:cstheme="minorEastAsia"/>
                <w:color w:val="auto"/>
                <w:kern w:val="0"/>
                <w:szCs w:val="21"/>
              </w:rPr>
            </w:pPr>
            <w:r>
              <w:rPr>
                <w:rFonts w:hint="eastAsia" w:ascii="宋体" w:hAnsi="宋体" w:cs="宋体"/>
                <w:color w:val="auto"/>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jc w:val="center"/>
              <w:rPr>
                <w:rFonts w:asciiTheme="minorEastAsia" w:hAnsiTheme="minorEastAsia" w:eastAsiaTheme="minorEastAsia" w:cstheme="minorEastAsia"/>
                <w:bCs/>
                <w:color w:val="auto"/>
                <w:kern w:val="0"/>
                <w:szCs w:val="21"/>
              </w:rPr>
            </w:pPr>
          </w:p>
        </w:tc>
        <w:tc>
          <w:tcPr>
            <w:tcW w:w="851" w:type="dxa"/>
            <w:vMerge w:val="continue"/>
            <w:vAlign w:val="center"/>
          </w:tcPr>
          <w:p>
            <w:pPr>
              <w:jc w:val="center"/>
              <w:rPr>
                <w:rFonts w:asciiTheme="minorEastAsia" w:hAnsiTheme="minorEastAsia" w:eastAsiaTheme="minorEastAsia" w:cstheme="minorEastAsia"/>
                <w:bCs/>
                <w:color w:val="auto"/>
                <w:kern w:val="0"/>
                <w:szCs w:val="21"/>
              </w:rPr>
            </w:pPr>
          </w:p>
        </w:tc>
        <w:tc>
          <w:tcPr>
            <w:tcW w:w="2268" w:type="dxa"/>
            <w:vAlign w:val="center"/>
          </w:tcPr>
          <w:p>
            <w:pPr>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其他要求（三）（如有）</w:t>
            </w:r>
          </w:p>
        </w:tc>
        <w:tc>
          <w:tcPr>
            <w:tcW w:w="5563" w:type="dxa"/>
            <w:vAlign w:val="center"/>
          </w:tcPr>
          <w:p>
            <w:pPr>
              <w:spacing w:line="360" w:lineRule="auto"/>
              <w:rPr>
                <w:rFonts w:ascii="宋体" w:hAnsi="宋体" w:cs="宋体"/>
                <w:color w:val="auto"/>
                <w:kern w:val="0"/>
                <w:szCs w:val="21"/>
              </w:rPr>
            </w:pPr>
            <w:r>
              <w:rPr>
                <w:rFonts w:hint="eastAsia" w:ascii="宋体" w:hAnsi="宋体" w:cs="宋体"/>
                <w:color w:val="auto"/>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w:t>
            </w:r>
          </w:p>
        </w:tc>
        <w:tc>
          <w:tcPr>
            <w:tcW w:w="851" w:type="dxa"/>
            <w:vMerge w:val="restart"/>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确定磋商供应商进行最后报价</w:t>
            </w:r>
          </w:p>
        </w:tc>
        <w:tc>
          <w:tcPr>
            <w:tcW w:w="2268"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磋商文件能完整、明确列明采购需求，无需要供应商提供最终设计方案或者解决方案的</w:t>
            </w:r>
          </w:p>
        </w:tc>
        <w:tc>
          <w:tcPr>
            <w:tcW w:w="5563" w:type="dxa"/>
            <w:vAlign w:val="center"/>
          </w:tcPr>
          <w:p>
            <w:pPr>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jc w:val="center"/>
              <w:rPr>
                <w:rFonts w:asciiTheme="minorEastAsia" w:hAnsiTheme="minorEastAsia" w:eastAsiaTheme="minorEastAsia" w:cstheme="minorEastAsia"/>
                <w:color w:val="auto"/>
                <w:kern w:val="0"/>
                <w:szCs w:val="21"/>
              </w:rPr>
            </w:pPr>
          </w:p>
        </w:tc>
        <w:tc>
          <w:tcPr>
            <w:tcW w:w="851" w:type="dxa"/>
            <w:vMerge w:val="continue"/>
            <w:vAlign w:val="center"/>
          </w:tcPr>
          <w:p>
            <w:pPr>
              <w:jc w:val="center"/>
              <w:rPr>
                <w:rFonts w:asciiTheme="minorEastAsia" w:hAnsiTheme="minorEastAsia" w:eastAsiaTheme="minorEastAsia" w:cstheme="minorEastAsia"/>
                <w:color w:val="auto"/>
                <w:kern w:val="0"/>
                <w:szCs w:val="21"/>
              </w:rPr>
            </w:pPr>
          </w:p>
        </w:tc>
        <w:tc>
          <w:tcPr>
            <w:tcW w:w="2268"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磋商文件不能完整、明确列明采购需求，需要由供应商提供最终设计方案或者解决方案的</w:t>
            </w:r>
          </w:p>
        </w:tc>
        <w:tc>
          <w:tcPr>
            <w:tcW w:w="5563" w:type="dxa"/>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3</w:t>
            </w:r>
          </w:p>
        </w:tc>
        <w:tc>
          <w:tcPr>
            <w:tcW w:w="851"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评定</w:t>
            </w:r>
          </w:p>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办法</w:t>
            </w: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kern w:val="0"/>
                <w:szCs w:val="21"/>
              </w:rPr>
              <w:t>综合评分法</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pBdr>
                <w:between w:val="single" w:color="auto" w:sz="4" w:space="0"/>
              </w:pBd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color w:val="auto"/>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所属行业及</w:t>
            </w:r>
          </w:p>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划型标准</w:t>
            </w:r>
          </w:p>
        </w:tc>
        <w:tc>
          <w:tcPr>
            <w:tcW w:w="7831" w:type="dxa"/>
            <w:gridSpan w:val="2"/>
            <w:vAlign w:val="center"/>
          </w:tcPr>
          <w:p>
            <w:pP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类型：工业</w:t>
            </w:r>
          </w:p>
          <w:p>
            <w:pPr>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小型：从业人员</w:t>
            </w:r>
            <w:r>
              <w:rPr>
                <w:rFonts w:hint="eastAsia" w:asciiTheme="minorEastAsia" w:hAnsiTheme="minorEastAsia" w:eastAsiaTheme="minorEastAsia" w:cstheme="minorEastAsia"/>
                <w:color w:val="auto"/>
                <w:kern w:val="0"/>
                <w:szCs w:val="21"/>
                <w:u w:val="single"/>
              </w:rPr>
              <w:t xml:space="preserve"> </w:t>
            </w:r>
            <w:r>
              <w:rPr>
                <w:color w:val="auto"/>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微型：从业人员</w:t>
            </w:r>
            <w:r>
              <w:rPr>
                <w:rFonts w:hint="eastAsia" w:asciiTheme="minorEastAsia" w:hAnsiTheme="minorEastAsia" w:eastAsiaTheme="minorEastAsia" w:cstheme="minorEastAsia"/>
                <w:color w:val="auto"/>
                <w:kern w:val="0"/>
                <w:szCs w:val="21"/>
                <w:u w:val="single"/>
              </w:rPr>
              <w:t xml:space="preserve"> </w:t>
            </w:r>
            <w:r>
              <w:rPr>
                <w:color w:val="auto"/>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中小企业</w:t>
            </w:r>
          </w:p>
        </w:tc>
        <w:tc>
          <w:tcPr>
            <w:tcW w:w="7831" w:type="dxa"/>
            <w:gridSpan w:val="2"/>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监狱企业</w:t>
            </w:r>
          </w:p>
        </w:tc>
        <w:tc>
          <w:tcPr>
            <w:tcW w:w="7831" w:type="dxa"/>
            <w:gridSpan w:val="2"/>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促进残疾人</w:t>
            </w:r>
          </w:p>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就业</w:t>
            </w:r>
          </w:p>
        </w:tc>
        <w:tc>
          <w:tcPr>
            <w:tcW w:w="7831" w:type="dxa"/>
            <w:gridSpan w:val="2"/>
            <w:vAlign w:val="center"/>
          </w:tcPr>
          <w:p>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color w:val="auto"/>
                <w:kern w:val="0"/>
                <w:szCs w:val="21"/>
                <w:lang w:val="zh-CN"/>
              </w:rPr>
            </w:pPr>
          </w:p>
          <w:p>
            <w:pPr>
              <w:autoSpaceDE w:val="0"/>
              <w:autoSpaceDN w:val="0"/>
              <w:adjustRightInd w:val="0"/>
              <w:jc w:val="center"/>
              <w:rPr>
                <w:rFonts w:asciiTheme="minorEastAsia" w:hAnsiTheme="minorEastAsia" w:cstheme="minorEastAsia"/>
                <w:color w:val="auto"/>
                <w:kern w:val="0"/>
                <w:szCs w:val="21"/>
              </w:rPr>
            </w:pPr>
            <w:r>
              <w:rPr>
                <w:rFonts w:hint="eastAsia" w:ascii="宋体" w:hAnsi="宋体" w:cs="宋体"/>
                <w:snapToGrid w:val="0"/>
                <w:color w:val="auto"/>
                <w:kern w:val="0"/>
                <w:szCs w:val="21"/>
                <w:lang w:val="zh-CN"/>
              </w:rPr>
              <w:t>节能</w:t>
            </w:r>
            <w:r>
              <w:rPr>
                <w:rFonts w:hint="eastAsia" w:ascii="宋体" w:hAnsi="宋体" w:cs="宋体"/>
                <w:snapToGrid w:val="0"/>
                <w:color w:val="auto"/>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color w:val="auto"/>
          <w:szCs w:val="21"/>
        </w:rPr>
      </w:pPr>
      <w:bookmarkStart w:id="101" w:name="_Toc21093"/>
      <w:r>
        <w:rPr>
          <w:color w:val="auto"/>
        </w:rPr>
        <w:br w:type="textWrapping"/>
      </w:r>
      <w:r>
        <w:rPr>
          <w:color w:val="auto"/>
        </w:rPr>
        <w:br w:type="textWrapping"/>
      </w:r>
      <w:r>
        <w:rPr>
          <w:rFonts w:hint="eastAsia" w:asciiTheme="minorEastAsia" w:hAnsiTheme="minorEastAsia" w:eastAsiaTheme="minorEastAsia" w:cstheme="minorEastAsia"/>
          <w:b/>
          <w:color w:val="auto"/>
          <w:szCs w:val="21"/>
        </w:rPr>
        <w:t>二、计算办法</w:t>
      </w:r>
      <w:bookmarkEnd w:id="101"/>
    </w:p>
    <w:tbl>
      <w:tblPr>
        <w:tblStyle w:val="27"/>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分值构成(总分100分)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评标基准价计算方法</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评分因素</w:t>
            </w:r>
          </w:p>
        </w:tc>
        <w:tc>
          <w:tcPr>
            <w:tcW w:w="6322"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技术部分评分标准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商务部分评分标准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竞标报价评分标准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各供应商的最终得分计算办法</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供应商最后得分相同时对供应商进行排序的方法</w:t>
            </w:r>
          </w:p>
        </w:tc>
        <w:tc>
          <w:tcPr>
            <w:tcW w:w="6322" w:type="dxa"/>
            <w:vAlign w:val="center"/>
          </w:tcPr>
          <w:p>
            <w:pPr>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得分相同的供应商，按竞标报价由低到高顺序排列。得分且报价相同的，按技术指标优劣顺序排列。</w:t>
            </w:r>
          </w:p>
        </w:tc>
      </w:tr>
    </w:tbl>
    <w:p>
      <w:pPr>
        <w:pStyle w:val="21"/>
        <w:outlineLvl w:val="1"/>
        <w:rPr>
          <w:rFonts w:asciiTheme="minorEastAsia" w:hAnsiTheme="minorEastAsia" w:eastAsiaTheme="minorEastAsia" w:cstheme="minorEastAsia"/>
          <w:color w:val="auto"/>
        </w:rPr>
        <w:sectPr>
          <w:footerReference r:id="rId11" w:type="default"/>
          <w:type w:val="continuous"/>
          <w:pgSz w:w="11906" w:h="16838"/>
          <w:pgMar w:top="1417" w:right="1417" w:bottom="1417" w:left="1417" w:header="851" w:footer="992" w:gutter="0"/>
          <w:cols w:space="720" w:num="1"/>
          <w:docGrid w:type="lines" w:linePitch="312" w:charSpace="0"/>
        </w:sectPr>
      </w:pPr>
      <w:bookmarkStart w:id="102" w:name="_Toc8676"/>
      <w:bookmarkEnd w:id="102"/>
      <w:bookmarkStart w:id="103" w:name="_Toc2596"/>
      <w:bookmarkEnd w:id="103"/>
      <w:bookmarkStart w:id="104" w:name="_Toc17585"/>
      <w:bookmarkEnd w:id="104"/>
      <w:bookmarkStart w:id="105" w:name="_Toc19020"/>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bookmarkEnd w:id="105"/>
    </w:p>
    <w:p>
      <w:pPr>
        <w:pStyle w:val="21"/>
        <w:outlineLvl w:val="1"/>
        <w:rPr>
          <w:rStyle w:val="102"/>
          <w:color w:val="auto"/>
        </w:rPr>
      </w:pPr>
      <w:bookmarkStart w:id="106" w:name="_Toc16739"/>
      <w:r>
        <w:rPr>
          <w:rFonts w:hint="eastAsia" w:asciiTheme="minorEastAsia" w:hAnsiTheme="minorEastAsia" w:eastAsiaTheme="minorEastAsia" w:cstheme="minorEastAsia"/>
          <w:b/>
          <w:color w:val="auto"/>
          <w:szCs w:val="21"/>
        </w:rPr>
        <w:t>三、评分细则</w:t>
      </w:r>
      <w:bookmarkEnd w:id="106"/>
    </w:p>
    <w:tbl>
      <w:tblPr>
        <w:tblStyle w:val="27"/>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87"/>
        <w:gridCol w:w="1110"/>
        <w:gridCol w:w="6210"/>
        <w:gridCol w:w="78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1187" w:type="dxa"/>
            <w:tcBorders>
              <w:top w:val="single" w:color="auto" w:sz="12" w:space="0"/>
            </w:tcBorders>
            <w:vAlign w:val="center"/>
          </w:tcPr>
          <w:p>
            <w:pPr>
              <w:spacing w:line="360" w:lineRule="auto"/>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类别</w:t>
            </w:r>
          </w:p>
        </w:tc>
        <w:tc>
          <w:tcPr>
            <w:tcW w:w="1110" w:type="dxa"/>
            <w:tcBorders>
              <w:top w:val="single" w:color="auto" w:sz="12" w:space="0"/>
            </w:tcBorders>
            <w:vAlign w:val="center"/>
          </w:tcPr>
          <w:p>
            <w:pPr>
              <w:spacing w:line="360" w:lineRule="auto"/>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评审因素</w:t>
            </w:r>
          </w:p>
        </w:tc>
        <w:tc>
          <w:tcPr>
            <w:tcW w:w="6210" w:type="dxa"/>
            <w:tcBorders>
              <w:top w:val="single" w:color="auto" w:sz="12" w:space="0"/>
            </w:tcBorders>
            <w:vAlign w:val="center"/>
          </w:tcPr>
          <w:p>
            <w:pPr>
              <w:spacing w:line="360" w:lineRule="auto"/>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评审标准</w:t>
            </w:r>
          </w:p>
        </w:tc>
        <w:tc>
          <w:tcPr>
            <w:tcW w:w="781" w:type="dxa"/>
            <w:tcBorders>
              <w:top w:val="single" w:color="auto" w:sz="12" w:space="0"/>
            </w:tcBorders>
            <w:vAlign w:val="center"/>
          </w:tcPr>
          <w:p>
            <w:pPr>
              <w:spacing w:line="360" w:lineRule="auto"/>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8" w:hRule="atLeast"/>
        </w:trPr>
        <w:tc>
          <w:tcPr>
            <w:tcW w:w="1187" w:type="dxa"/>
            <w:vAlign w:val="center"/>
          </w:tcPr>
          <w:p>
            <w:pPr>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竞标报价</w:t>
            </w:r>
            <w:r>
              <w:rPr>
                <w:color w:val="auto"/>
              </w:rPr>
              <w:br w:type="textWrapping"/>
            </w:r>
            <w:r>
              <w:rPr>
                <w:rFonts w:hint="eastAsia" w:asciiTheme="minorEastAsia" w:hAnsiTheme="minorEastAsia" w:eastAsiaTheme="minorEastAsia" w:cstheme="minorEastAsia"/>
                <w:color w:val="auto"/>
                <w:kern w:val="0"/>
                <w:szCs w:val="21"/>
                <w:lang w:bidi="ar"/>
              </w:rPr>
              <w:t>30分</w:t>
            </w:r>
          </w:p>
        </w:tc>
        <w:tc>
          <w:tcPr>
            <w:tcW w:w="1110" w:type="dxa"/>
            <w:vAlign w:val="center"/>
          </w:tcPr>
          <w:p>
            <w:pPr>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最后报价</w:t>
            </w:r>
          </w:p>
        </w:tc>
        <w:tc>
          <w:tcPr>
            <w:tcW w:w="6210" w:type="dxa"/>
            <w:vAlign w:val="center"/>
          </w:tcPr>
          <w:p>
            <w:pPr>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（1）报价采用低价优先法计算，即满足磋商采购文件要求且报价最低的报价为磋商基准价，其报价分为满分30分；</w:t>
            </w:r>
          </w:p>
          <w:p>
            <w:pPr>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报价分=（磋商基准价/磋商报价）×30</w:t>
            </w:r>
          </w:p>
          <w:p>
            <w:pPr>
              <w:spacing w:line="260" w:lineRule="exact"/>
              <w:jc w:val="left"/>
              <w:textAlignment w:val="center"/>
              <w:rPr>
                <w:color w:val="auto"/>
              </w:rPr>
            </w:pPr>
            <w:r>
              <w:rPr>
                <w:rFonts w:hint="eastAsia" w:asciiTheme="minorEastAsia" w:hAnsiTheme="minorEastAsia" w:eastAsiaTheme="minorEastAsia" w:cstheme="minorEastAsia"/>
                <w:b/>
                <w:bCs/>
                <w:color w:val="auto"/>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r>
              <w:rPr>
                <w:rFonts w:hint="eastAsia" w:ascii="宋体" w:hAnsi="宋体" w:cs="宋体"/>
                <w:b/>
                <w:bCs/>
                <w:color w:val="auto"/>
              </w:rPr>
              <w:t>2）符合本磋商文件第四章“政策支持”条件的，在评审时予以价格扣除，用扣除后的价格参与评审。</w:t>
            </w:r>
          </w:p>
        </w:tc>
        <w:tc>
          <w:tcPr>
            <w:tcW w:w="781" w:type="dxa"/>
            <w:vAlign w:val="center"/>
          </w:tcPr>
          <w:p>
            <w:pPr>
              <w:spacing w:line="260" w:lineRule="exact"/>
              <w:jc w:val="center"/>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lang w:bidi="ar"/>
              </w:rPr>
              <w:t>30分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15分</w:t>
            </w:r>
          </w:p>
        </w:tc>
        <w:tc>
          <w:tcPr>
            <w:tcW w:w="1110"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体系认证</w:t>
            </w:r>
          </w:p>
        </w:tc>
        <w:tc>
          <w:tcPr>
            <w:tcW w:w="6210" w:type="dxa"/>
            <w:vAlign w:val="center"/>
          </w:tcPr>
          <w:p>
            <w:pPr>
              <w:rPr>
                <w:rFonts w:asciiTheme="minorEastAsia" w:hAnsiTheme="minorEastAsia" w:eastAsiaTheme="minorEastAsia" w:cstheme="minorEastAsia"/>
                <w:color w:val="auto"/>
                <w:spacing w:val="-6"/>
                <w:szCs w:val="21"/>
              </w:rPr>
            </w:pPr>
            <w:r>
              <w:rPr>
                <w:rFonts w:hint="eastAsia" w:ascii="宋体" w:hAnsi="宋体" w:cs="宋体"/>
                <w:color w:val="auto"/>
                <w:szCs w:val="21"/>
              </w:rPr>
              <w:t>供应商具有职业健康安全管理体系认证证书、质量管理体系认证证书、环境管理体系认证。每提供1个证书得1分，不提供的不得分。</w:t>
            </w:r>
          </w:p>
        </w:tc>
        <w:tc>
          <w:tcPr>
            <w:tcW w:w="781" w:type="dxa"/>
            <w:vAlign w:val="center"/>
          </w:tcPr>
          <w:p>
            <w:pPr>
              <w:spacing w:line="360" w:lineRule="auto"/>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87" w:type="dxa"/>
            <w:vMerge w:val="continue"/>
            <w:vAlign w:val="center"/>
          </w:tcPr>
          <w:p>
            <w:pPr>
              <w:jc w:val="center"/>
              <w:rPr>
                <w:rFonts w:asciiTheme="minorEastAsia" w:hAnsiTheme="minorEastAsia" w:eastAsiaTheme="minorEastAsia" w:cstheme="minorEastAsia"/>
                <w:color w:val="auto"/>
                <w:spacing w:val="-6"/>
                <w:szCs w:val="21"/>
              </w:rPr>
            </w:pPr>
          </w:p>
        </w:tc>
        <w:tc>
          <w:tcPr>
            <w:tcW w:w="1110" w:type="dxa"/>
            <w:vAlign w:val="center"/>
          </w:tcPr>
          <w:p>
            <w:pPr>
              <w:jc w:val="center"/>
              <w:rPr>
                <w:rFonts w:ascii="宋体" w:hAnsi="宋体" w:cs="宋体"/>
                <w:color w:val="auto"/>
                <w:spacing w:val="-6"/>
                <w:kern w:val="0"/>
                <w:szCs w:val="21"/>
              </w:rPr>
            </w:pPr>
            <w:r>
              <w:rPr>
                <w:rFonts w:hint="eastAsia" w:ascii="宋体" w:hAnsi="宋体" w:cs="宋体"/>
                <w:color w:val="auto"/>
                <w:spacing w:val="-6"/>
                <w:kern w:val="0"/>
                <w:szCs w:val="21"/>
              </w:rPr>
              <w:t>效果图</w:t>
            </w:r>
          </w:p>
        </w:tc>
        <w:tc>
          <w:tcPr>
            <w:tcW w:w="6210"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提供整体布局平面摆放图、效果图；</w:t>
            </w:r>
          </w:p>
          <w:p>
            <w:pPr>
              <w:ind w:left="-4" w:leftChars="-2" w:firstLine="2" w:firstLineChars="1"/>
              <w:rPr>
                <w:rFonts w:ascii="宋体" w:hAnsi="宋体" w:cs="宋体"/>
                <w:color w:val="auto"/>
                <w:szCs w:val="21"/>
              </w:rPr>
            </w:pPr>
            <w:r>
              <w:rPr>
                <w:rFonts w:hint="eastAsia" w:ascii="宋体" w:hAnsi="宋体" w:cs="宋体"/>
                <w:color w:val="auto"/>
                <w:szCs w:val="21"/>
              </w:rPr>
              <w:t>效果图布局美观，合理，满足采购需求得2分；</w:t>
            </w:r>
          </w:p>
          <w:p>
            <w:pPr>
              <w:rPr>
                <w:rFonts w:ascii="宋体" w:hAnsi="宋体" w:cs="宋体"/>
                <w:color w:val="auto"/>
                <w:szCs w:val="21"/>
              </w:rPr>
            </w:pPr>
            <w:r>
              <w:rPr>
                <w:rFonts w:hint="eastAsia" w:ascii="宋体" w:hAnsi="宋体" w:cs="宋体"/>
                <w:color w:val="auto"/>
                <w:szCs w:val="21"/>
              </w:rPr>
              <w:t>效果图布局较美观，较合理，基本满足采购需求得1分； 未提供不得分。</w:t>
            </w:r>
          </w:p>
        </w:tc>
        <w:tc>
          <w:tcPr>
            <w:tcW w:w="781" w:type="dxa"/>
            <w:vAlign w:val="center"/>
          </w:tcPr>
          <w:p>
            <w:pPr>
              <w:spacing w:line="360" w:lineRule="auto"/>
              <w:jc w:val="center"/>
              <w:rPr>
                <w:rFonts w:asciiTheme="minorEastAsia" w:hAnsiTheme="minorEastAsia" w:eastAsiaTheme="minorEastAsia" w:cstheme="minorEastAsia"/>
                <w:color w:val="auto"/>
                <w:spacing w:val="-6"/>
                <w:szCs w:val="21"/>
              </w:rPr>
            </w:pPr>
            <w:r>
              <w:rPr>
                <w:rFonts w:hint="eastAsia" w:ascii="宋体" w:hAnsi="宋体" w:cs="宋体"/>
                <w:color w:val="auto"/>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210" w:type="dxa"/>
            <w:vAlign w:val="center"/>
          </w:tcPr>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供应商提供近三年（磋商截止时间往前推算36个月）具有类似采购业绩的，每个得1分，最多得5分；（需提供成交通知书和合同真彩扫描件）</w:t>
            </w:r>
          </w:p>
        </w:tc>
        <w:tc>
          <w:tcPr>
            <w:tcW w:w="781" w:type="dxa"/>
            <w:vAlign w:val="center"/>
          </w:tcPr>
          <w:p>
            <w:pPr>
              <w:autoSpaceDE w:val="0"/>
              <w:autoSpaceDN w:val="0"/>
              <w:adjustRightInd w:val="0"/>
              <w:spacing w:line="36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zCs w:val="21"/>
                <w:lang w:val="zh-CN"/>
              </w:rPr>
              <w:t>用户反馈</w:t>
            </w:r>
          </w:p>
        </w:tc>
        <w:tc>
          <w:tcPr>
            <w:tcW w:w="6210" w:type="dxa"/>
            <w:vAlign w:val="center"/>
          </w:tcPr>
          <w:p>
            <w:pPr>
              <w:rPr>
                <w:rFonts w:asciiTheme="minorEastAsia" w:hAnsiTheme="minorEastAsia" w:eastAsiaTheme="minorEastAsia" w:cstheme="minorEastAsia"/>
                <w:color w:val="auto"/>
                <w:spacing w:val="-6"/>
                <w:szCs w:val="21"/>
              </w:rPr>
            </w:pPr>
            <w:r>
              <w:rPr>
                <w:rFonts w:hint="eastAsia" w:ascii="宋体" w:hAnsi="宋体" w:cs="宋体"/>
                <w:color w:val="auto"/>
                <w:szCs w:val="21"/>
              </w:rPr>
              <w:t>供应商</w:t>
            </w:r>
            <w:r>
              <w:rPr>
                <w:rFonts w:hint="eastAsia" w:ascii="宋体" w:hAnsi="宋体" w:cs="宋体"/>
                <w:color w:val="auto"/>
                <w:szCs w:val="21"/>
                <w:lang w:val="zh-CN"/>
              </w:rPr>
              <w:t>提供近三年（磋商截止时间往前推算36个月）用户出具的满意评价证明（盖用户单位公章），每提供一个得</w:t>
            </w:r>
            <w:r>
              <w:rPr>
                <w:rFonts w:hint="eastAsia" w:ascii="宋体" w:hAnsi="宋体" w:cs="宋体"/>
                <w:color w:val="auto"/>
                <w:szCs w:val="21"/>
              </w:rPr>
              <w:t>1</w:t>
            </w:r>
            <w:r>
              <w:rPr>
                <w:rFonts w:hint="eastAsia" w:ascii="宋体" w:hAnsi="宋体" w:cs="宋体"/>
                <w:color w:val="auto"/>
                <w:szCs w:val="21"/>
                <w:lang w:val="zh-CN"/>
              </w:rPr>
              <w:t>分，最高得</w:t>
            </w:r>
            <w:r>
              <w:rPr>
                <w:rFonts w:hint="eastAsia" w:ascii="宋体" w:hAnsi="宋体" w:cs="宋体"/>
                <w:color w:val="auto"/>
                <w:szCs w:val="21"/>
              </w:rPr>
              <w:t>2</w:t>
            </w:r>
            <w:r>
              <w:rPr>
                <w:rFonts w:hint="eastAsia" w:ascii="宋体" w:hAnsi="宋体" w:cs="宋体"/>
                <w:color w:val="auto"/>
                <w:szCs w:val="21"/>
                <w:lang w:val="zh-CN"/>
              </w:rPr>
              <w:t>分。（需提供不同单位出具加盖公章的满意评价证明）</w:t>
            </w:r>
          </w:p>
        </w:tc>
        <w:tc>
          <w:tcPr>
            <w:tcW w:w="781" w:type="dxa"/>
            <w:vAlign w:val="center"/>
          </w:tcPr>
          <w:p>
            <w:pPr>
              <w:autoSpaceDE w:val="0"/>
              <w:autoSpaceDN w:val="0"/>
              <w:adjustRightInd w:val="0"/>
              <w:spacing w:line="360" w:lineRule="auto"/>
              <w:ind w:right="71" w:rightChars="34"/>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tcBorders>
              <w:bottom w:val="single" w:color="auto" w:sz="4" w:space="0"/>
            </w:tcBorders>
            <w:vAlign w:val="center"/>
          </w:tcPr>
          <w:p>
            <w:pPr>
              <w:jc w:val="center"/>
              <w:textAlignment w:val="cente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质保期/保修期</w:t>
            </w:r>
          </w:p>
        </w:tc>
        <w:tc>
          <w:tcPr>
            <w:tcW w:w="6210" w:type="dxa"/>
            <w:tcBorders>
              <w:bottom w:val="single" w:color="auto" w:sz="4" w:space="0"/>
            </w:tcBorders>
            <w:vAlign w:val="center"/>
          </w:tcPr>
          <w:p>
            <w:pPr>
              <w:jc w:val="left"/>
              <w:textAlignment w:val="cente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质保期/保修期在满足采购文件最低要求的基础上，每增加一年得1分，最多得3分。（需提供承诺书，否则不得分）。</w:t>
            </w:r>
          </w:p>
        </w:tc>
        <w:tc>
          <w:tcPr>
            <w:tcW w:w="781" w:type="dxa"/>
            <w:tcBorders>
              <w:bottom w:val="single" w:color="auto" w:sz="4" w:space="0"/>
            </w:tcBorders>
            <w:vAlign w:val="center"/>
          </w:tcPr>
          <w:p>
            <w:pPr>
              <w:spacing w:line="260" w:lineRule="exact"/>
              <w:jc w:val="center"/>
              <w:textAlignment w:val="center"/>
              <w:rPr>
                <w:rFonts w:asciiTheme="minorEastAsia" w:hAnsiTheme="minorEastAsia" w:eastAsiaTheme="minorEastAsia" w:cstheme="minorEastAsia"/>
                <w:color w:val="auto"/>
                <w:spacing w:val="-6"/>
                <w:kern w:val="0"/>
                <w:szCs w:val="21"/>
              </w:rPr>
            </w:pPr>
            <w:r>
              <w:rPr>
                <w:rFonts w:hint="eastAsia" w:ascii="宋体" w:hAnsi="宋体" w:cs="宋体"/>
                <w:color w:val="auto"/>
                <w:kern w:val="0"/>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55分</w:t>
            </w:r>
          </w:p>
        </w:tc>
        <w:tc>
          <w:tcPr>
            <w:tcW w:w="1110"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zCs w:val="21"/>
              </w:rPr>
              <w:t>设备技术响应</w:t>
            </w:r>
          </w:p>
        </w:tc>
        <w:tc>
          <w:tcPr>
            <w:tcW w:w="6210" w:type="dxa"/>
            <w:vAlign w:val="center"/>
          </w:tcPr>
          <w:p>
            <w:pPr>
              <w:rPr>
                <w:color w:val="auto"/>
              </w:rPr>
            </w:pPr>
            <w:r>
              <w:rPr>
                <w:rFonts w:hint="eastAsia"/>
                <w:color w:val="auto"/>
              </w:rPr>
              <w:t>设备技术性能及参数完全满足招标要求的得20分，具体由磋商小组根据投标供应商的响应文件中产品情况、《技术响应、偏离说明表》等有关资料打分。</w:t>
            </w:r>
          </w:p>
          <w:p>
            <w:pPr>
              <w:rPr>
                <w:color w:val="auto"/>
              </w:rPr>
            </w:pPr>
            <w:r>
              <w:rPr>
                <w:rFonts w:hint="eastAsia"/>
                <w:color w:val="auto"/>
              </w:rPr>
              <w:t>其中：完全满足招标技术参数要求的得20分；</w:t>
            </w:r>
            <w:r>
              <w:rPr>
                <w:rFonts w:hint="eastAsia"/>
                <w:color w:val="auto"/>
                <w:lang w:val="zh-CN"/>
              </w:rPr>
              <w:t>“</w:t>
            </w:r>
            <w:r>
              <w:rPr>
                <w:rFonts w:hint="eastAsia"/>
                <w:color w:val="auto"/>
              </w:rPr>
              <w:t>★</w:t>
            </w:r>
            <w:r>
              <w:rPr>
                <w:rFonts w:hint="eastAsia"/>
                <w:color w:val="auto"/>
                <w:lang w:val="zh-CN"/>
              </w:rPr>
              <w:t>”</w:t>
            </w:r>
            <w:r>
              <w:rPr>
                <w:rFonts w:hint="eastAsia"/>
                <w:color w:val="auto"/>
              </w:rPr>
              <w:t>条款有一项负偏离扣2分，非★条款有一项负偏离扣1分；扣完为止。</w:t>
            </w:r>
          </w:p>
          <w:p>
            <w:pPr>
              <w:rPr>
                <w:color w:val="auto"/>
              </w:rPr>
            </w:pPr>
            <w:r>
              <w:rPr>
                <w:rFonts w:hint="eastAsia"/>
                <w:color w:val="auto"/>
              </w:rPr>
              <w:t>备注：以提供的技术参数（原厂确认并盖章）或原厂出具的产品宣传彩页或官网参数查询截图</w:t>
            </w:r>
            <w:r>
              <w:rPr>
                <w:rFonts w:hint="eastAsia"/>
                <w:color w:val="auto"/>
                <w:lang w:val="zh-CN"/>
              </w:rPr>
              <w:t>或第三方机构检验报告或其他相关证明材料</w:t>
            </w:r>
            <w:r>
              <w:rPr>
                <w:rFonts w:hint="eastAsia"/>
                <w:color w:val="auto"/>
              </w:rPr>
              <w:t>资料为准。</w:t>
            </w:r>
            <w:r>
              <w:rPr>
                <w:rFonts w:hint="eastAsia"/>
                <w:color w:val="auto"/>
                <w:lang w:val="zh-CN"/>
              </w:rPr>
              <w:t>未提供有效证明材料或证明材料中内容与所填报指标不一致的，该条款按不</w:t>
            </w:r>
            <w:r>
              <w:rPr>
                <w:rFonts w:hint="eastAsia"/>
                <w:color w:val="auto"/>
              </w:rPr>
              <w:t>响应</w:t>
            </w:r>
            <w:r>
              <w:rPr>
                <w:rFonts w:hint="eastAsia"/>
                <w:color w:val="auto"/>
                <w:lang w:val="zh-CN"/>
              </w:rPr>
              <w:t>处理。</w:t>
            </w:r>
          </w:p>
        </w:tc>
        <w:tc>
          <w:tcPr>
            <w:tcW w:w="781"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pacing w:val="-6"/>
                <w:szCs w:val="21"/>
              </w:rPr>
              <w:t>20分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jc w:val="center"/>
              <w:rPr>
                <w:rFonts w:asciiTheme="minorEastAsia" w:hAnsiTheme="minorEastAsia" w:eastAsiaTheme="minorEastAsia" w:cstheme="minorEastAsia"/>
                <w:color w:val="auto"/>
                <w:spacing w:val="-6"/>
                <w:szCs w:val="21"/>
              </w:rPr>
            </w:pPr>
          </w:p>
        </w:tc>
        <w:tc>
          <w:tcPr>
            <w:tcW w:w="1110" w:type="dxa"/>
            <w:vAlign w:val="center"/>
          </w:tcPr>
          <w:p>
            <w:pPr>
              <w:widowControl/>
              <w:jc w:val="left"/>
              <w:rPr>
                <w:rFonts w:ascii="宋体" w:hAnsi="宋体" w:cs="宋体"/>
                <w:color w:val="auto"/>
                <w:kern w:val="0"/>
                <w:szCs w:val="21"/>
                <w:lang w:bidi="ar"/>
              </w:rPr>
            </w:pPr>
            <w:r>
              <w:rPr>
                <w:rFonts w:hint="eastAsia" w:ascii="宋体" w:hAnsi="宋体" w:cs="宋体"/>
                <w:color w:val="auto"/>
                <w:kern w:val="0"/>
                <w:szCs w:val="21"/>
                <w:lang w:bidi="ar"/>
              </w:rPr>
              <w:t>检测报告</w:t>
            </w:r>
          </w:p>
        </w:tc>
        <w:tc>
          <w:tcPr>
            <w:tcW w:w="6210" w:type="dxa"/>
            <w:vAlign w:val="center"/>
          </w:tcPr>
          <w:p>
            <w:pPr>
              <w:widowControl/>
              <w:jc w:val="left"/>
              <w:rPr>
                <w:rFonts w:ascii="宋体" w:hAnsi="宋体" w:cs="宋体"/>
                <w:color w:val="auto"/>
                <w:kern w:val="0"/>
                <w:szCs w:val="21"/>
                <w:lang w:bidi="ar"/>
              </w:rPr>
            </w:pPr>
            <w:r>
              <w:rPr>
                <w:rFonts w:hint="eastAsia" w:ascii="宋体" w:hAnsi="宋体" w:cs="宋体"/>
                <w:color w:val="auto"/>
                <w:kern w:val="0"/>
                <w:szCs w:val="21"/>
                <w:lang w:bidi="ar"/>
              </w:rPr>
              <w:t>供应商提供2022 年1月1 日以来</w:t>
            </w:r>
            <w:r>
              <w:rPr>
                <w:rFonts w:hint="eastAsia"/>
                <w:color w:val="auto"/>
              </w:rPr>
              <w:t>由市级及以上质量监督机构或第三方检测机构出具（具有CMA或CNAS标识的）</w:t>
            </w:r>
            <w:r>
              <w:rPr>
                <w:rFonts w:hint="eastAsia" w:ascii="宋体" w:hAnsi="宋体" w:cs="宋体"/>
                <w:color w:val="auto"/>
                <w:kern w:val="0"/>
                <w:szCs w:val="21"/>
                <w:lang w:bidi="ar"/>
              </w:rPr>
              <w:t>的符合国家、行业相应标准的检验报告：</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 xml:space="preserve">1.公寓床：外观性能（金属部件、木质部件）应符合 GB/T3325-2017《 金属家具通用技术条件》标准要求； </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2.书桌（或学习桌）：外观要求（人造板件外观、五金件外观、木工要求）符合GB/T3324-2017《木家具通用技术条件》标准要求，甲醛释放量符合GB 18584-2001《室内装饰装修材料木家具中有害物质限量》标准要求；</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 xml:space="preserve">3.钢制部件：涂层中的可溶性重金属符合 GB/T3325-2017《 金属家具通用技术条件》标准要求； </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4.铺板：含水率符合GB/T3324-2017《木家具通用技术条件》标准要求；</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5.塑粉：金属喷涂层硬度、冲击强度、附着力符合GB/T3325-2017《 金属家具通用技术条件》标准要求；</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6.卡式连接件：力学性能（屈服强度、抗拉强度、断后伸长率）符合GB/T700-2006《碳素结构钢》标准要求；</w:t>
            </w:r>
          </w:p>
          <w:p>
            <w:pPr>
              <w:widowControl/>
              <w:jc w:val="left"/>
              <w:rPr>
                <w:rFonts w:ascii="宋体" w:hAnsi="宋体" w:cs="宋体"/>
                <w:color w:val="auto"/>
                <w:kern w:val="0"/>
                <w:szCs w:val="21"/>
                <w:lang w:bidi="ar"/>
              </w:rPr>
            </w:pPr>
            <w:r>
              <w:rPr>
                <w:rFonts w:hint="eastAsia" w:ascii="宋体" w:hAnsi="宋体" w:cs="宋体"/>
                <w:color w:val="auto"/>
                <w:kern w:val="0"/>
                <w:szCs w:val="21"/>
                <w:lang w:bidi="ar"/>
              </w:rPr>
              <w:t>投标供应商须附辨别真伪检测报告网络查询截图，并加盖投标供应商公章，委托单位必须与供应商名称一致。全部符合条件的得12 分，</w:t>
            </w:r>
            <w:r>
              <w:rPr>
                <w:rFonts w:hint="eastAsia" w:ascii="Tahoma" w:hAnsi="Tahoma"/>
                <w:color w:val="auto"/>
              </w:rPr>
              <w:t>有一项不符合要求的，扣2分。扣完为止</w:t>
            </w:r>
            <w:r>
              <w:rPr>
                <w:rFonts w:hint="eastAsia" w:ascii="宋体" w:hAnsi="宋体" w:cs="宋体"/>
                <w:color w:val="auto"/>
                <w:kern w:val="0"/>
                <w:szCs w:val="21"/>
                <w:lang w:bidi="ar"/>
              </w:rPr>
              <w:t>。</w:t>
            </w:r>
          </w:p>
        </w:tc>
        <w:tc>
          <w:tcPr>
            <w:tcW w:w="781" w:type="dxa"/>
            <w:vAlign w:val="center"/>
          </w:tcPr>
          <w:p>
            <w:pPr>
              <w:jc w:val="center"/>
              <w:rPr>
                <w:rFonts w:ascii="宋体" w:hAnsi="宋体" w:cs="宋体"/>
                <w:color w:val="auto"/>
                <w:spacing w:val="-6"/>
                <w:szCs w:val="21"/>
              </w:rPr>
            </w:pPr>
            <w:r>
              <w:rPr>
                <w:rFonts w:hint="eastAsia" w:ascii="宋体" w:hAnsi="宋体" w:cs="宋体"/>
                <w:color w:val="auto"/>
                <w:spacing w:val="-6"/>
                <w:szCs w:val="21"/>
              </w:rPr>
              <w:t>12分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宋体" w:hAnsi="宋体" w:cs="宋体"/>
                <w:color w:val="auto"/>
                <w:szCs w:val="21"/>
              </w:rPr>
            </w:pPr>
            <w:r>
              <w:rPr>
                <w:rFonts w:hint="eastAsia" w:ascii="宋体" w:hAnsi="宋体" w:cs="宋体"/>
                <w:color w:val="auto"/>
                <w:szCs w:val="21"/>
              </w:rPr>
              <w:t>交货实施方案</w:t>
            </w:r>
          </w:p>
        </w:tc>
        <w:tc>
          <w:tcPr>
            <w:tcW w:w="6210"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根据投标供应商针对本项目提供的交货实施方案（包含项目对接、人员安排、交货计划、货物运输、交货期保障措施、安装调试步骤及措施等）的合理性及及完整性进行评分：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方案全面详细、科学合理、可行，</w:t>
            </w:r>
            <w:r>
              <w:rPr>
                <w:rFonts w:hint="eastAsia" w:ascii="宋体" w:hAnsi="宋体" w:cs="宋体"/>
                <w:color w:val="auto"/>
                <w:spacing w:val="-6"/>
                <w:szCs w:val="21"/>
              </w:rPr>
              <w:t>得3分；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方案全面详细、合理、可行，</w:t>
            </w:r>
            <w:r>
              <w:rPr>
                <w:rFonts w:hint="eastAsia" w:ascii="宋体" w:hAnsi="宋体" w:cs="宋体"/>
                <w:color w:val="auto"/>
                <w:spacing w:val="-6"/>
                <w:szCs w:val="21"/>
              </w:rPr>
              <w:t>得2分；</w:t>
            </w:r>
          </w:p>
          <w:p>
            <w:pPr>
              <w:ind w:left="-4" w:leftChars="-2" w:firstLine="2" w:firstLineChars="1"/>
              <w:rPr>
                <w:rFonts w:ascii="宋体" w:hAnsi="宋体" w:cs="宋体"/>
                <w:color w:val="auto"/>
                <w:szCs w:val="21"/>
              </w:rPr>
            </w:pPr>
            <w:r>
              <w:rPr>
                <w:rFonts w:hint="eastAsia" w:ascii="宋体" w:hAnsi="宋体" w:cs="宋体"/>
                <w:color w:val="auto"/>
                <w:szCs w:val="21"/>
              </w:rPr>
              <w:t>方案基本详细、可行，</w:t>
            </w:r>
            <w:r>
              <w:rPr>
                <w:rFonts w:hint="eastAsia" w:ascii="宋体" w:hAnsi="宋体" w:cs="宋体"/>
                <w:color w:val="auto"/>
                <w:spacing w:val="-6"/>
                <w:szCs w:val="21"/>
              </w:rPr>
              <w:t>得1分；</w:t>
            </w:r>
          </w:p>
          <w:p>
            <w:pPr>
              <w:ind w:left="-4" w:leftChars="-2" w:firstLine="2" w:firstLineChars="1"/>
              <w:rPr>
                <w:rFonts w:ascii="宋体" w:hAnsi="宋体" w:cs="宋体"/>
                <w:color w:val="auto"/>
                <w:szCs w:val="21"/>
                <w:highlight w:val="yellow"/>
              </w:rPr>
            </w:pPr>
            <w:r>
              <w:rPr>
                <w:rFonts w:hint="eastAsia" w:ascii="宋体" w:hAnsi="宋体" w:cs="宋体"/>
                <w:color w:val="auto"/>
                <w:szCs w:val="21"/>
              </w:rPr>
              <w:t>未提供、不可行的，</w:t>
            </w:r>
            <w:r>
              <w:rPr>
                <w:rFonts w:hint="eastAsia" w:ascii="宋体" w:hAnsi="宋体" w:cs="宋体"/>
                <w:color w:val="auto"/>
                <w:spacing w:val="-6"/>
                <w:szCs w:val="21"/>
              </w:rPr>
              <w:t>得0分</w:t>
            </w:r>
            <w:r>
              <w:rPr>
                <w:rFonts w:hint="eastAsia" w:ascii="宋体" w:hAnsi="宋体" w:cs="宋体"/>
                <w:color w:val="auto"/>
                <w:szCs w:val="21"/>
              </w:rPr>
              <w:t>。</w:t>
            </w:r>
          </w:p>
        </w:tc>
        <w:tc>
          <w:tcPr>
            <w:tcW w:w="781" w:type="dxa"/>
            <w:vAlign w:val="center"/>
          </w:tcPr>
          <w:p>
            <w:pPr>
              <w:jc w:val="center"/>
              <w:rPr>
                <w:rFonts w:ascii="宋体" w:hAnsi="宋体" w:cs="宋体"/>
                <w:color w:val="auto"/>
                <w:szCs w:val="21"/>
                <w:highlight w:val="yellow"/>
              </w:rPr>
            </w:pPr>
            <w:r>
              <w:rPr>
                <w:rFonts w:hint="eastAsia" w:ascii="宋体" w:hAnsi="宋体" w:cs="宋体"/>
                <w:color w:val="auto"/>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宋体" w:hAnsi="宋体" w:cs="宋体"/>
                <w:color w:val="auto"/>
                <w:szCs w:val="21"/>
              </w:rPr>
            </w:pPr>
            <w:r>
              <w:rPr>
                <w:rFonts w:hint="eastAsia" w:ascii="宋体" w:hAnsi="宋体" w:cs="宋体"/>
                <w:color w:val="auto"/>
                <w:szCs w:val="21"/>
              </w:rPr>
              <w:t>生产保障</w:t>
            </w:r>
          </w:p>
        </w:tc>
        <w:tc>
          <w:tcPr>
            <w:tcW w:w="6210" w:type="dxa"/>
            <w:vAlign w:val="center"/>
          </w:tcPr>
          <w:p>
            <w:pPr>
              <w:rPr>
                <w:rFonts w:ascii="宋体" w:hAnsi="宋体" w:cs="宋体"/>
                <w:color w:val="auto"/>
                <w:szCs w:val="21"/>
              </w:rPr>
            </w:pPr>
            <w:r>
              <w:rPr>
                <w:rFonts w:hint="eastAsia" w:ascii="Tahoma" w:hAnsi="Tahoma"/>
                <w:color w:val="auto"/>
              </w:rPr>
              <w:t>供应商具有本项目的生产保障能力，生产设备包含如下</w:t>
            </w:r>
            <w:r>
              <w:rPr>
                <w:rFonts w:hint="eastAsia" w:ascii="宋体" w:hAnsi="宋体" w:cs="宋体"/>
                <w:color w:val="auto"/>
                <w:szCs w:val="21"/>
              </w:rPr>
              <w:t>：全自动弯管机、折弯机、剪板机、智能喷涂生产线设备、排钻、封边机、包边机、激光切割机、电脑裁板锯、冲床、环保除尘设备，上述设备全部提供得4 分，提供 8-10 种得 3 分，提供5-7种得 2 分，提供3-4种得 1 分，其他不得分。以上提供设备购买发票复印件及设备安装后的彩色照片，并附设备附品牌、产地、规格、主要功能。否则不得分</w:t>
            </w:r>
          </w:p>
        </w:tc>
        <w:tc>
          <w:tcPr>
            <w:tcW w:w="781" w:type="dxa"/>
            <w:vAlign w:val="center"/>
          </w:tcPr>
          <w:p>
            <w:pPr>
              <w:jc w:val="center"/>
              <w:rPr>
                <w:rFonts w:ascii="宋体" w:hAnsi="宋体" w:cs="宋体"/>
                <w:color w:val="auto"/>
                <w:szCs w:val="21"/>
              </w:rPr>
            </w:pPr>
            <w:r>
              <w:rPr>
                <w:rFonts w:hint="eastAsia" w:ascii="宋体" w:hAnsi="宋体" w:cs="宋体"/>
                <w:color w:val="auto"/>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5"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宋体" w:hAnsi="宋体" w:cs="宋体"/>
                <w:color w:val="auto"/>
                <w:szCs w:val="21"/>
              </w:rPr>
            </w:pPr>
            <w:r>
              <w:rPr>
                <w:rFonts w:hint="eastAsia" w:ascii="宋体" w:hAnsi="宋体" w:cs="宋体"/>
                <w:color w:val="auto"/>
                <w:szCs w:val="21"/>
              </w:rPr>
              <w:t>质量管控措施</w:t>
            </w:r>
          </w:p>
        </w:tc>
        <w:tc>
          <w:tcPr>
            <w:tcW w:w="6210"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根据投标供应商针对本项目提供的质量管控措施（包含质量目标、质量管理制度、质量保证措施等）的合理性及及完整性进行评分：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方案全面详细、科学合理、可行，</w:t>
            </w:r>
            <w:r>
              <w:rPr>
                <w:rFonts w:hint="eastAsia" w:ascii="宋体" w:hAnsi="宋体" w:cs="宋体"/>
                <w:color w:val="auto"/>
                <w:spacing w:val="-6"/>
                <w:szCs w:val="21"/>
              </w:rPr>
              <w:t>得4分；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方案全面详细、合理、可行，</w:t>
            </w:r>
            <w:r>
              <w:rPr>
                <w:rFonts w:hint="eastAsia" w:ascii="宋体" w:hAnsi="宋体" w:cs="宋体"/>
                <w:color w:val="auto"/>
                <w:spacing w:val="-6"/>
                <w:szCs w:val="21"/>
              </w:rPr>
              <w:t>得2分；</w:t>
            </w:r>
          </w:p>
          <w:p>
            <w:pPr>
              <w:ind w:left="-4" w:leftChars="-2" w:firstLine="2" w:firstLineChars="1"/>
              <w:rPr>
                <w:rFonts w:ascii="宋体" w:hAnsi="宋体" w:cs="宋体"/>
                <w:color w:val="auto"/>
                <w:szCs w:val="21"/>
              </w:rPr>
            </w:pPr>
            <w:r>
              <w:rPr>
                <w:rFonts w:hint="eastAsia" w:ascii="宋体" w:hAnsi="宋体" w:cs="宋体"/>
                <w:color w:val="auto"/>
                <w:szCs w:val="21"/>
              </w:rPr>
              <w:t>方案基本详细、可行，</w:t>
            </w:r>
            <w:r>
              <w:rPr>
                <w:rFonts w:hint="eastAsia" w:ascii="宋体" w:hAnsi="宋体" w:cs="宋体"/>
                <w:color w:val="auto"/>
                <w:spacing w:val="-6"/>
                <w:szCs w:val="21"/>
              </w:rPr>
              <w:t>得1分；</w:t>
            </w:r>
          </w:p>
          <w:p>
            <w:pPr>
              <w:ind w:left="-4" w:leftChars="-2" w:firstLine="2" w:firstLineChars="1"/>
              <w:rPr>
                <w:rFonts w:ascii="仿宋" w:hAnsi="仿宋" w:cs="仿宋"/>
                <w:color w:val="auto"/>
                <w:szCs w:val="21"/>
                <w:highlight w:val="yellow"/>
              </w:rPr>
            </w:pPr>
            <w:r>
              <w:rPr>
                <w:rFonts w:hint="eastAsia" w:ascii="宋体" w:hAnsi="宋体" w:cs="宋体"/>
                <w:color w:val="auto"/>
                <w:szCs w:val="21"/>
              </w:rPr>
              <w:t>未提供、不可行的，</w:t>
            </w:r>
            <w:r>
              <w:rPr>
                <w:rFonts w:hint="eastAsia" w:ascii="宋体" w:hAnsi="宋体" w:cs="宋体"/>
                <w:color w:val="auto"/>
                <w:spacing w:val="-6"/>
                <w:szCs w:val="21"/>
              </w:rPr>
              <w:t>得0分</w:t>
            </w:r>
            <w:r>
              <w:rPr>
                <w:rFonts w:hint="eastAsia" w:ascii="宋体" w:hAnsi="宋体" w:cs="宋体"/>
                <w:color w:val="auto"/>
                <w:szCs w:val="21"/>
              </w:rPr>
              <w:t>。</w:t>
            </w:r>
          </w:p>
        </w:tc>
        <w:tc>
          <w:tcPr>
            <w:tcW w:w="781" w:type="dxa"/>
            <w:vAlign w:val="center"/>
          </w:tcPr>
          <w:p>
            <w:pPr>
              <w:jc w:val="center"/>
              <w:rPr>
                <w:rFonts w:ascii="宋体" w:hAnsi="宋体" w:cs="宋体"/>
                <w:color w:val="auto"/>
                <w:szCs w:val="21"/>
                <w:highlight w:val="yellow"/>
              </w:rPr>
            </w:pPr>
            <w:r>
              <w:rPr>
                <w:rFonts w:hint="eastAsia" w:ascii="宋体" w:hAnsi="宋体" w:cs="宋体"/>
                <w:color w:val="auto"/>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5"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宋体" w:hAnsi="宋体" w:cs="宋体"/>
                <w:color w:val="auto"/>
                <w:szCs w:val="21"/>
              </w:rPr>
            </w:pPr>
            <w:r>
              <w:rPr>
                <w:rFonts w:hint="eastAsia" w:ascii="宋体" w:hAnsi="宋体" w:cs="宋体"/>
                <w:color w:val="auto"/>
                <w:szCs w:val="21"/>
              </w:rPr>
              <w:t>售后方案</w:t>
            </w:r>
          </w:p>
        </w:tc>
        <w:tc>
          <w:tcPr>
            <w:tcW w:w="6210"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根据投标供应商针对本项目提供的售后方案（包含服务标准和应急维修时间安排、质保期满后的承诺、备品备件、其它服务承诺等）的合理性及及完整性进行评分：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方案全面详细、科学合理、可行，</w:t>
            </w:r>
            <w:r>
              <w:rPr>
                <w:rFonts w:hint="eastAsia" w:ascii="宋体" w:hAnsi="宋体" w:cs="宋体"/>
                <w:color w:val="auto"/>
                <w:spacing w:val="-6"/>
                <w:szCs w:val="21"/>
              </w:rPr>
              <w:t>得4分；</w:t>
            </w:r>
          </w:p>
          <w:p>
            <w:pPr>
              <w:ind w:left="-4" w:leftChars="-2" w:firstLine="2" w:firstLineChars="1"/>
              <w:rPr>
                <w:rFonts w:ascii="宋体" w:hAnsi="宋体" w:cs="宋体"/>
                <w:color w:val="auto"/>
                <w:szCs w:val="21"/>
              </w:rPr>
            </w:pPr>
            <w:r>
              <w:rPr>
                <w:rFonts w:hint="eastAsia" w:ascii="宋体" w:hAnsi="宋体" w:cs="宋体"/>
                <w:color w:val="auto"/>
                <w:szCs w:val="21"/>
              </w:rPr>
              <w:t>方案全面详细、合理、可行，</w:t>
            </w:r>
            <w:r>
              <w:rPr>
                <w:rFonts w:hint="eastAsia" w:ascii="宋体" w:hAnsi="宋体" w:cs="宋体"/>
                <w:color w:val="auto"/>
                <w:spacing w:val="-6"/>
                <w:szCs w:val="21"/>
              </w:rPr>
              <w:t>得2分；</w:t>
            </w:r>
          </w:p>
          <w:p>
            <w:pPr>
              <w:ind w:left="-4" w:leftChars="-2" w:firstLine="2" w:firstLineChars="1"/>
              <w:rPr>
                <w:rFonts w:ascii="宋体" w:hAnsi="宋体" w:cs="宋体"/>
                <w:color w:val="auto"/>
                <w:szCs w:val="21"/>
              </w:rPr>
            </w:pPr>
            <w:r>
              <w:rPr>
                <w:rFonts w:hint="eastAsia" w:ascii="宋体" w:hAnsi="宋体" w:cs="宋体"/>
                <w:color w:val="auto"/>
                <w:szCs w:val="21"/>
              </w:rPr>
              <w:t>方案基本详细、可行，</w:t>
            </w:r>
            <w:r>
              <w:rPr>
                <w:rFonts w:hint="eastAsia" w:ascii="宋体" w:hAnsi="宋体" w:cs="宋体"/>
                <w:color w:val="auto"/>
                <w:spacing w:val="-6"/>
                <w:szCs w:val="21"/>
              </w:rPr>
              <w:t>得1分；</w:t>
            </w:r>
          </w:p>
          <w:p>
            <w:pPr>
              <w:rPr>
                <w:rFonts w:ascii="宋体" w:hAnsi="宋体" w:cs="宋体"/>
                <w:color w:val="auto"/>
                <w:szCs w:val="21"/>
              </w:rPr>
            </w:pPr>
            <w:r>
              <w:rPr>
                <w:rFonts w:hint="eastAsia" w:ascii="宋体" w:hAnsi="宋体" w:cs="宋体"/>
                <w:color w:val="auto"/>
                <w:szCs w:val="21"/>
              </w:rPr>
              <w:t>未提供、不可行的，</w:t>
            </w:r>
            <w:r>
              <w:rPr>
                <w:rFonts w:hint="eastAsia" w:ascii="宋体" w:hAnsi="宋体" w:cs="宋体"/>
                <w:color w:val="auto"/>
                <w:spacing w:val="-6"/>
                <w:szCs w:val="21"/>
              </w:rPr>
              <w:t>得0分</w:t>
            </w:r>
            <w:r>
              <w:rPr>
                <w:rFonts w:hint="eastAsia" w:ascii="宋体" w:hAnsi="宋体" w:cs="宋体"/>
                <w:color w:val="auto"/>
                <w:szCs w:val="21"/>
              </w:rPr>
              <w:t>。</w:t>
            </w:r>
          </w:p>
        </w:tc>
        <w:tc>
          <w:tcPr>
            <w:tcW w:w="781" w:type="dxa"/>
            <w:vAlign w:val="center"/>
          </w:tcPr>
          <w:p>
            <w:pPr>
              <w:jc w:val="center"/>
              <w:rPr>
                <w:rFonts w:ascii="宋体" w:hAnsi="宋体" w:cs="宋体"/>
                <w:color w:val="auto"/>
                <w:spacing w:val="-6"/>
                <w:szCs w:val="21"/>
              </w:rPr>
            </w:pPr>
            <w:r>
              <w:rPr>
                <w:rFonts w:hint="eastAsia" w:ascii="宋体" w:hAnsi="宋体" w:cs="宋体"/>
                <w:color w:val="auto"/>
                <w:spacing w:val="-6"/>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1" w:hRule="atLeast"/>
        </w:trPr>
        <w:tc>
          <w:tcPr>
            <w:tcW w:w="1187" w:type="dxa"/>
            <w:vMerge w:val="continue"/>
            <w:vAlign w:val="center"/>
          </w:tcPr>
          <w:p>
            <w:pPr>
              <w:rPr>
                <w:rFonts w:asciiTheme="minorEastAsia" w:hAnsiTheme="minorEastAsia" w:eastAsiaTheme="minorEastAsia" w:cstheme="minorEastAsia"/>
                <w:color w:val="auto"/>
                <w:szCs w:val="21"/>
              </w:rPr>
            </w:pPr>
          </w:p>
        </w:tc>
        <w:tc>
          <w:tcPr>
            <w:tcW w:w="1110" w:type="dxa"/>
            <w:vAlign w:val="center"/>
          </w:tcPr>
          <w:p>
            <w:pPr>
              <w:jc w:val="center"/>
              <w:rPr>
                <w:rFonts w:ascii="宋体" w:hAnsi="宋体" w:cs="宋体"/>
                <w:color w:val="auto"/>
                <w:szCs w:val="21"/>
              </w:rPr>
            </w:pPr>
            <w:r>
              <w:rPr>
                <w:rFonts w:hint="eastAsia" w:ascii="宋体" w:hAnsi="宋体" w:cs="宋体"/>
                <w:color w:val="auto"/>
                <w:szCs w:val="21"/>
              </w:rPr>
              <w:t>样品</w:t>
            </w:r>
          </w:p>
        </w:tc>
        <w:tc>
          <w:tcPr>
            <w:tcW w:w="6210"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评标委员会对各投标人提供的样品按以下标准进行评分：（特别提醒：未按招标文件投标样品要求提供投标样品的、样品递交不齐全或未递交的，本项不得分）。</w:t>
            </w:r>
          </w:p>
          <w:p>
            <w:pPr>
              <w:widowControl/>
              <w:jc w:val="left"/>
              <w:rPr>
                <w:rFonts w:ascii="宋体" w:hAnsi="宋体" w:cs="宋体"/>
                <w:color w:val="auto"/>
                <w:szCs w:val="21"/>
              </w:rPr>
            </w:pPr>
            <w:r>
              <w:rPr>
                <w:rFonts w:hint="eastAsia" w:ascii="宋体" w:hAnsi="宋体" w:cs="宋体"/>
                <w:color w:val="auto"/>
                <w:kern w:val="0"/>
                <w:szCs w:val="21"/>
                <w:lang w:bidi="ar"/>
              </w:rPr>
              <w:t xml:space="preserve">1.样品整体尺寸、材料符合招标文件要求且外形美观、舒适度高； </w:t>
            </w:r>
          </w:p>
          <w:p>
            <w:pPr>
              <w:widowControl/>
              <w:jc w:val="left"/>
              <w:rPr>
                <w:rFonts w:ascii="宋体" w:hAnsi="宋体" w:cs="宋体"/>
                <w:color w:val="auto"/>
                <w:szCs w:val="21"/>
              </w:rPr>
            </w:pPr>
            <w:r>
              <w:rPr>
                <w:rFonts w:hint="eastAsia" w:ascii="宋体" w:hAnsi="宋体" w:cs="宋体"/>
                <w:color w:val="auto"/>
                <w:kern w:val="0"/>
                <w:szCs w:val="21"/>
                <w:lang w:bidi="ar"/>
              </w:rPr>
              <w:t xml:space="preserve">钢制件无漏焊、掉漆等现象，表面平整无缺陷，各部件连接紧密、 </w:t>
            </w:r>
          </w:p>
          <w:p>
            <w:pPr>
              <w:widowControl/>
              <w:jc w:val="left"/>
              <w:rPr>
                <w:rFonts w:ascii="宋体" w:hAnsi="宋体" w:cs="宋体"/>
                <w:color w:val="auto"/>
                <w:szCs w:val="21"/>
              </w:rPr>
            </w:pPr>
            <w:r>
              <w:rPr>
                <w:rFonts w:hint="eastAsia" w:ascii="宋体" w:hAnsi="宋体" w:cs="宋体"/>
                <w:color w:val="auto"/>
                <w:kern w:val="0"/>
                <w:szCs w:val="21"/>
                <w:lang w:bidi="ar"/>
              </w:rPr>
              <w:t xml:space="preserve">稳定性好的得8 分。 </w:t>
            </w:r>
          </w:p>
          <w:p>
            <w:pPr>
              <w:widowControl/>
              <w:jc w:val="left"/>
              <w:rPr>
                <w:rFonts w:ascii="宋体" w:hAnsi="宋体" w:cs="宋体"/>
                <w:color w:val="auto"/>
                <w:szCs w:val="21"/>
              </w:rPr>
            </w:pPr>
            <w:r>
              <w:rPr>
                <w:rFonts w:hint="eastAsia" w:ascii="宋体" w:hAnsi="宋体" w:cs="宋体"/>
                <w:color w:val="auto"/>
                <w:kern w:val="0"/>
                <w:szCs w:val="21"/>
                <w:lang w:bidi="ar"/>
              </w:rPr>
              <w:t xml:space="preserve">2.样品整体尺寸、材料基本符合招标文件要求且外形较美观、舒适度较高；钢制件无漏焊、掉漆等现象，表面平整、稳定性较好的得 </w:t>
            </w:r>
          </w:p>
          <w:p>
            <w:pPr>
              <w:widowControl/>
              <w:jc w:val="left"/>
              <w:rPr>
                <w:rFonts w:ascii="宋体" w:hAnsi="宋体" w:cs="宋体"/>
                <w:color w:val="auto"/>
                <w:szCs w:val="21"/>
              </w:rPr>
            </w:pPr>
            <w:r>
              <w:rPr>
                <w:rFonts w:hint="eastAsia" w:ascii="宋体" w:hAnsi="宋体" w:cs="宋体"/>
                <w:color w:val="auto"/>
                <w:kern w:val="0"/>
                <w:szCs w:val="21"/>
                <w:lang w:bidi="ar"/>
              </w:rPr>
              <w:t xml:space="preserve">6分。 </w:t>
            </w:r>
          </w:p>
          <w:p>
            <w:pPr>
              <w:widowControl/>
              <w:jc w:val="left"/>
              <w:rPr>
                <w:rFonts w:ascii="宋体" w:hAnsi="宋体" w:cs="宋体"/>
                <w:color w:val="auto"/>
                <w:szCs w:val="21"/>
              </w:rPr>
            </w:pPr>
            <w:r>
              <w:rPr>
                <w:rFonts w:hint="eastAsia" w:ascii="宋体" w:hAnsi="宋体" w:cs="宋体"/>
                <w:color w:val="auto"/>
                <w:kern w:val="0"/>
                <w:szCs w:val="21"/>
                <w:lang w:bidi="ar"/>
              </w:rPr>
              <w:t xml:space="preserve">3.样品整体尺寸、材料部分符合招标文件要求、舒适度一般；钢制 </w:t>
            </w:r>
          </w:p>
          <w:p>
            <w:pPr>
              <w:widowControl/>
              <w:jc w:val="left"/>
              <w:rPr>
                <w:rFonts w:ascii="宋体" w:hAnsi="宋体" w:cs="宋体"/>
                <w:color w:val="auto"/>
                <w:szCs w:val="21"/>
              </w:rPr>
            </w:pPr>
            <w:r>
              <w:rPr>
                <w:rFonts w:hint="eastAsia" w:ascii="宋体" w:hAnsi="宋体" w:cs="宋体"/>
                <w:color w:val="auto"/>
                <w:kern w:val="0"/>
                <w:szCs w:val="21"/>
                <w:lang w:bidi="ar"/>
              </w:rPr>
              <w:t xml:space="preserve">件部分掉漆等现象，表面不平整，稳定性一般的得 4分。 </w:t>
            </w:r>
          </w:p>
          <w:p>
            <w:pPr>
              <w:widowControl/>
              <w:jc w:val="left"/>
              <w:rPr>
                <w:rFonts w:ascii="宋体" w:hAnsi="宋体" w:cs="宋体"/>
                <w:color w:val="auto"/>
                <w:szCs w:val="21"/>
              </w:rPr>
            </w:pPr>
            <w:r>
              <w:rPr>
                <w:rFonts w:hint="eastAsia" w:ascii="宋体" w:hAnsi="宋体" w:cs="宋体"/>
                <w:color w:val="auto"/>
                <w:kern w:val="0"/>
                <w:szCs w:val="21"/>
                <w:lang w:bidi="ar"/>
              </w:rPr>
              <w:t xml:space="preserve">4.样品整体尺寸、材料部分符合招标文件要求、舒适度较差；钢制 </w:t>
            </w:r>
          </w:p>
          <w:p>
            <w:pPr>
              <w:widowControl/>
              <w:jc w:val="left"/>
              <w:rPr>
                <w:rFonts w:ascii="宋体" w:hAnsi="宋体" w:cs="宋体"/>
                <w:color w:val="auto"/>
                <w:szCs w:val="21"/>
              </w:rPr>
            </w:pPr>
            <w:r>
              <w:rPr>
                <w:rFonts w:hint="eastAsia" w:ascii="宋体" w:hAnsi="宋体" w:cs="宋体"/>
                <w:color w:val="auto"/>
                <w:kern w:val="0"/>
                <w:szCs w:val="21"/>
                <w:lang w:bidi="ar"/>
              </w:rPr>
              <w:t>件部分掉漆等现象，表面凹凸不平整，稳定性差的得 2分</w:t>
            </w:r>
          </w:p>
          <w:p>
            <w:pPr>
              <w:ind w:left="-4" w:leftChars="-2" w:firstLine="2" w:firstLineChars="1"/>
              <w:rPr>
                <w:rFonts w:ascii="宋体" w:hAnsi="宋体" w:cs="宋体"/>
                <w:color w:val="auto"/>
                <w:szCs w:val="21"/>
              </w:rPr>
            </w:pPr>
          </w:p>
        </w:tc>
        <w:tc>
          <w:tcPr>
            <w:tcW w:w="781" w:type="dxa"/>
            <w:vAlign w:val="center"/>
          </w:tcPr>
          <w:p>
            <w:pPr>
              <w:jc w:val="center"/>
              <w:rPr>
                <w:rFonts w:ascii="宋体" w:hAnsi="宋体" w:cs="宋体"/>
                <w:color w:val="auto"/>
                <w:spacing w:val="-6"/>
                <w:szCs w:val="21"/>
              </w:rPr>
            </w:pPr>
            <w:r>
              <w:rPr>
                <w:rFonts w:hint="eastAsia" w:ascii="宋体" w:hAnsi="宋体" w:cs="宋体"/>
                <w:color w:val="auto"/>
                <w:spacing w:val="-6"/>
                <w:szCs w:val="21"/>
              </w:rPr>
              <w:t>8分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5" w:hRule="atLeast"/>
        </w:trPr>
        <w:tc>
          <w:tcPr>
            <w:tcW w:w="1187" w:type="dxa"/>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总分</w:t>
            </w:r>
          </w:p>
        </w:tc>
        <w:tc>
          <w:tcPr>
            <w:tcW w:w="8101" w:type="dxa"/>
            <w:gridSpan w:val="3"/>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100</w:t>
            </w:r>
          </w:p>
        </w:tc>
      </w:tr>
    </w:tbl>
    <w:p>
      <w:pPr>
        <w:spacing w:line="360" w:lineRule="auto"/>
        <w:rPr>
          <w:rFonts w:asciiTheme="minorEastAsia" w:hAnsiTheme="minorEastAsia" w:eastAsiaTheme="minorEastAsia" w:cstheme="minorEastAsia"/>
          <w:b/>
          <w:color w:val="auto"/>
          <w:szCs w:val="21"/>
        </w:rPr>
        <w:sectPr>
          <w:pgSz w:w="11906" w:h="16838"/>
          <w:pgMar w:top="1417" w:right="1417" w:bottom="1417" w:left="1417" w:header="851" w:footer="992" w:gutter="0"/>
          <w:cols w:space="720" w:num="1"/>
          <w:docGrid w:type="lines" w:linePitch="312" w:charSpace="0"/>
        </w:sectPr>
      </w:pPr>
      <w:r>
        <w:rPr>
          <w:color w:val="auto"/>
        </w:rPr>
        <w:br w:type="textWrapping"/>
      </w:r>
      <w:r>
        <w:rPr>
          <w:rFonts w:hint="eastAsia" w:asciiTheme="minorEastAsia" w:hAnsiTheme="minorEastAsia" w:eastAsiaTheme="minorEastAsia" w:cstheme="minorEastAsia"/>
          <w:b/>
          <w:color w:val="auto"/>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color w:val="auto"/>
          <w:szCs w:val="21"/>
        </w:rPr>
      </w:pPr>
      <w:bookmarkStart w:id="107" w:name="_Toc21284"/>
      <w:r>
        <w:rPr>
          <w:rFonts w:hint="eastAsia" w:asciiTheme="minorEastAsia" w:hAnsiTheme="minorEastAsia" w:eastAsiaTheme="minorEastAsia" w:cstheme="minorEastAsia"/>
          <w:b/>
          <w:color w:val="auto"/>
          <w:szCs w:val="21"/>
        </w:rPr>
        <w:t>四、评定办法</w:t>
      </w:r>
      <w:bookmarkEnd w:id="107"/>
    </w:p>
    <w:p>
      <w:pPr>
        <w:numPr>
          <w:ilvl w:val="3"/>
          <w:numId w:val="35"/>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评定方法：见评定办法前附表。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 分值构成</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 评标基准价计算</w:t>
      </w:r>
    </w:p>
    <w:p>
      <w:pPr>
        <w:spacing w:line="360" w:lineRule="auto"/>
        <w:ind w:firstLine="840" w:firstLineChars="4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评标基准价计算方法：见评标办法前附表。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 评分标准</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评定结果</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3.2完成评定后，</w:t>
      </w:r>
      <w:r>
        <w:rPr>
          <w:rFonts w:hint="eastAsia" w:asciiTheme="minorEastAsia" w:hAnsiTheme="minorEastAsia" w:eastAsiaTheme="minorEastAsia" w:cstheme="minorEastAsia"/>
          <w:snapToGrid w:val="0"/>
          <w:color w:val="auto"/>
          <w:kern w:val="0"/>
          <w:szCs w:val="21"/>
          <w:lang w:val="zh-CN"/>
        </w:rPr>
        <w:t>磋商小组</w:t>
      </w:r>
      <w:r>
        <w:rPr>
          <w:rFonts w:hint="eastAsia" w:asciiTheme="minorEastAsia" w:hAnsiTheme="minorEastAsia" w:eastAsiaTheme="minorEastAsia" w:cstheme="minorEastAsia"/>
          <w:color w:val="auto"/>
          <w:szCs w:val="21"/>
        </w:rPr>
        <w:t>须在评审结果推荐意见上共同签字。</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其它</w:t>
      </w:r>
    </w:p>
    <w:p>
      <w:pPr>
        <w:spacing w:line="360" w:lineRule="auto"/>
        <w:ind w:firstLine="42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Pr>
        <w:rPr>
          <w:color w:val="auto"/>
        </w:rPr>
      </w:pPr>
    </w:p>
    <w:p>
      <w:pPr>
        <w:rPr>
          <w:color w:val="auto"/>
        </w:rPr>
      </w:pPr>
    </w:p>
    <w:p>
      <w:pPr>
        <w:rPr>
          <w:color w:val="auto"/>
        </w:rPr>
      </w:pPr>
    </w:p>
    <w:p>
      <w:pPr>
        <w:rPr>
          <w:color w:val="auto"/>
        </w:rPr>
      </w:pPr>
    </w:p>
    <w:p>
      <w:pPr>
        <w:spacing w:line="360" w:lineRule="auto"/>
        <w:outlineLvl w:val="1"/>
        <w:rPr>
          <w:rFonts w:asciiTheme="minorEastAsia" w:hAnsiTheme="minorEastAsia" w:eastAsiaTheme="minorEastAsia" w:cstheme="minorEastAsia"/>
          <w:b/>
          <w:color w:val="auto"/>
          <w:szCs w:val="21"/>
        </w:rPr>
      </w:pPr>
      <w:bookmarkStart w:id="108" w:name="_Toc16000"/>
      <w:r>
        <w:rPr>
          <w:rFonts w:hint="eastAsia" w:asciiTheme="minorEastAsia" w:hAnsiTheme="minorEastAsia" w:eastAsiaTheme="minorEastAsia" w:cstheme="minorEastAsia"/>
          <w:b/>
          <w:color w:val="auto"/>
          <w:szCs w:val="21"/>
        </w:rPr>
        <w:t>五、磋商及评审步骤</w:t>
      </w:r>
      <w:bookmarkEnd w:id="108"/>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1.验证委托代理人身份、响应文件密封检查</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主持人按以下程序进行：</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① 宣布会场纪律。</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color w:val="auto"/>
          <w:szCs w:val="28"/>
        </w:rPr>
      </w:pPr>
      <w:r>
        <w:rPr>
          <w:rFonts w:hint="eastAsia" w:asciiTheme="minorEastAsia" w:hAnsiTheme="minorEastAsia" w:eastAsiaTheme="minorEastAsia" w:cstheme="minorEastAsia"/>
          <w:color w:val="auto"/>
          <w:szCs w:val="28"/>
        </w:rPr>
        <w:t>③ 检查响应文件密封情况。</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2.资格和符合性审查</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color w:val="auto"/>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w:t>
      </w:r>
      <w:r>
        <w:rPr>
          <w:rFonts w:hint="eastAsia" w:asciiTheme="minorEastAsia" w:hAnsiTheme="minorEastAsia" w:eastAsiaTheme="minorEastAsia" w:cstheme="minorEastAsia"/>
          <w:szCs w:val="28"/>
        </w:rPr>
        <w:t>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09" w:name="_Toc211783328"/>
      <w:bookmarkStart w:id="110" w:name="_Toc318643471"/>
    </w:p>
    <w:bookmarkEnd w:id="109"/>
    <w:bookmarkEnd w:id="110"/>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11" w:name="_Toc29812"/>
      <w:r>
        <w:rPr>
          <w:rFonts w:hint="eastAsia" w:asciiTheme="minorEastAsia" w:hAnsiTheme="minorEastAsia" w:eastAsiaTheme="minorEastAsia" w:cstheme="minorEastAsia"/>
          <w:sz w:val="36"/>
          <w:szCs w:val="36"/>
        </w:rPr>
        <w:t>合同书格式</w:t>
      </w:r>
      <w:bookmarkEnd w:id="111"/>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7"/>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年后，若无质量问题甲方将全额无息退还给乙方；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ascii="宋体" w:hAnsi="宋体" w:cs="宋体"/>
          <w:sz w:val="24"/>
        </w:rPr>
        <w:t xml:space="preserve"> </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七、安装调试和搬运安全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九、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十一、本合同自双方签字并盖章之日起生效。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r>
        <w:br w:type="page"/>
      </w:r>
    </w:p>
    <w:p>
      <w:pPr>
        <w:pStyle w:val="3"/>
        <w:numPr>
          <w:ilvl w:val="0"/>
          <w:numId w:val="4"/>
        </w:numPr>
        <w:jc w:val="center"/>
        <w:rPr>
          <w:rFonts w:asciiTheme="minorEastAsia" w:hAnsiTheme="minorEastAsia" w:eastAsiaTheme="minorEastAsia" w:cstheme="minorEastAsia"/>
          <w:sz w:val="36"/>
          <w:szCs w:val="36"/>
        </w:rPr>
      </w:pPr>
      <w:bookmarkStart w:id="112" w:name="_Toc13864"/>
      <w:r>
        <w:rPr>
          <w:rFonts w:hint="eastAsia" w:asciiTheme="minorEastAsia" w:hAnsiTheme="minorEastAsia" w:eastAsiaTheme="minorEastAsia" w:cstheme="minorEastAsia"/>
          <w:sz w:val="36"/>
          <w:szCs w:val="36"/>
        </w:rPr>
        <w:t>竞争性磋商响应文件格式</w:t>
      </w:r>
      <w:bookmarkEnd w:id="112"/>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autoSpaceDE w:val="0"/>
        <w:autoSpaceDN w:val="0"/>
        <w:adjustRightInd w:val="0"/>
        <w:spacing w:line="360" w:lineRule="auto"/>
        <w:jc w:val="center"/>
        <w:rPr>
          <w:rFonts w:asciiTheme="minorEastAsia" w:hAnsiTheme="minorEastAsia" w:eastAsiaTheme="minorEastAsia" w:cstheme="minorEastAsia"/>
          <w:b/>
          <w:bCs/>
          <w:sz w:val="24"/>
        </w:rPr>
      </w:pPr>
      <w:bookmarkStart w:id="113" w:name="_Toc360174584"/>
      <w:bookmarkEnd w:id="113"/>
      <w:bookmarkStart w:id="114" w:name="_Toc264644272"/>
      <w:bookmarkEnd w:id="114"/>
      <w:r>
        <w:br w:type="page"/>
      </w:r>
      <w:r>
        <w:rPr>
          <w:rFonts w:hint="eastAsia" w:asciiTheme="minorEastAsia" w:hAnsiTheme="minorEastAsia" w:eastAsiaTheme="minorEastAsia" w:cstheme="minorEastAsia"/>
          <w:b/>
          <w:bCs/>
          <w:sz w:val="24"/>
        </w:rPr>
        <w:t>响应文件目录</w:t>
      </w:r>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15" w:name="_Toc30233"/>
      <w:r>
        <w:br w:type="textWrapping"/>
      </w:r>
      <w:r>
        <w:rPr>
          <w:rFonts w:hint="eastAsia" w:ascii="宋体" w:hAnsi="宋体" w:cs="宋体"/>
          <w:b/>
          <w:szCs w:val="21"/>
        </w:rPr>
        <w:t>一、评分标准索引表</w:t>
      </w:r>
      <w:bookmarkEnd w:id="115"/>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spacing w:line="360" w:lineRule="auto"/>
              <w:jc w:val="center"/>
              <w:textAlignment w:val="center"/>
              <w:rPr>
                <w:rFonts w:ascii="宋体" w:hAnsi="宋体" w:cs="宋体"/>
                <w:spacing w:val="-6"/>
                <w:szCs w:val="21"/>
              </w:rPr>
            </w:pPr>
          </w:p>
        </w:tc>
        <w:tc>
          <w:tcPr>
            <w:tcW w:w="1285" w:type="dxa"/>
            <w:vAlign w:val="center"/>
          </w:tcPr>
          <w:p>
            <w:pPr>
              <w:spacing w:line="360" w:lineRule="auto"/>
              <w:jc w:val="center"/>
              <w:textAlignment w:val="center"/>
              <w:rPr>
                <w:rFonts w:ascii="宋体" w:hAnsi="宋体" w:cs="宋体"/>
                <w:spacing w:val="-6"/>
                <w:szCs w:val="21"/>
              </w:rPr>
            </w:pPr>
          </w:p>
        </w:tc>
        <w:tc>
          <w:tcPr>
            <w:tcW w:w="5358" w:type="dxa"/>
            <w:vAlign w:val="center"/>
          </w:tcPr>
          <w:p>
            <w:pPr>
              <w:spacing w:line="360" w:lineRule="auto"/>
              <w:jc w:val="left"/>
              <w:textAlignment w:val="center"/>
              <w:rPr>
                <w:rFonts w:ascii="宋体" w:hAnsi="宋体" w:cs="宋体"/>
                <w:szCs w:val="21"/>
              </w:rPr>
            </w:pPr>
          </w:p>
        </w:tc>
        <w:tc>
          <w:tcPr>
            <w:tcW w:w="825" w:type="dxa"/>
            <w:vAlign w:val="center"/>
          </w:tcPr>
          <w:p>
            <w:pPr>
              <w:spacing w:line="360" w:lineRule="auto"/>
              <w:jc w:val="center"/>
              <w:textAlignment w:val="center"/>
              <w:rPr>
                <w:rFonts w:ascii="宋体" w:hAnsi="宋体" w:cs="宋体"/>
                <w:szCs w:val="21"/>
              </w:rPr>
            </w:pPr>
          </w:p>
        </w:tc>
        <w:tc>
          <w:tcPr>
            <w:tcW w:w="1133" w:type="dxa"/>
            <w:vAlign w:val="center"/>
          </w:tcPr>
          <w:p>
            <w:pPr>
              <w:spacing w:line="360" w:lineRule="auto"/>
              <w:jc w:val="center"/>
              <w:textAlignment w:val="center"/>
              <w:rPr>
                <w:rFonts w:ascii="宋体" w:hAnsi="宋体" w:cs="宋体"/>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szCs w:val="21"/>
              </w:rPr>
            </w:pPr>
          </w:p>
        </w:tc>
        <w:tc>
          <w:tcPr>
            <w:tcW w:w="825" w:type="dxa"/>
            <w:vAlign w:val="center"/>
          </w:tcPr>
          <w:p>
            <w:pPr>
              <w:autoSpaceDE w:val="0"/>
              <w:autoSpaceDN w:val="0"/>
              <w:adjustRightInd w:val="0"/>
              <w:spacing w:line="360" w:lineRule="auto"/>
              <w:ind w:right="71" w:rightChars="34"/>
              <w:rPr>
                <w:rFonts w:ascii="宋体" w:hAnsi="宋体" w:cs="宋体"/>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16" w:name="_Toc15789"/>
      <w:bookmarkEnd w:id="116"/>
      <w:bookmarkStart w:id="117" w:name="_Toc30144"/>
      <w:bookmarkEnd w:id="117"/>
      <w:bookmarkStart w:id="118" w:name="_Toc479184125"/>
      <w:bookmarkEnd w:id="118"/>
      <w:bookmarkStart w:id="119" w:name="_Toc267"/>
      <w:r>
        <w:rPr>
          <w:rFonts w:hint="eastAsia" w:asciiTheme="minorEastAsia" w:hAnsiTheme="minorEastAsia" w:eastAsiaTheme="minorEastAsia" w:cstheme="minorEastAsia"/>
          <w:b/>
        </w:rPr>
        <w:t>二、磋商书</w:t>
      </w:r>
      <w:bookmarkEnd w:id="119"/>
    </w:p>
    <w:p>
      <w:pPr>
        <w:pStyle w:val="21"/>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20" w:name="_Toc13969"/>
      <w:bookmarkEnd w:id="120"/>
      <w:bookmarkStart w:id="121" w:name="_Toc24205"/>
      <w:bookmarkEnd w:id="121"/>
      <w:bookmarkStart w:id="122" w:name="_Toc479184126"/>
      <w:bookmarkEnd w:id="122"/>
      <w:bookmarkStart w:id="123" w:name="_Toc12816"/>
      <w:r>
        <w:br w:type="textWrapping"/>
      </w:r>
      <w:r>
        <w:br w:type="textWrapping"/>
      </w:r>
      <w:r>
        <w:br w:type="textWrapping"/>
      </w:r>
      <w:r>
        <w:rPr>
          <w:rFonts w:hint="eastAsia" w:asciiTheme="minorEastAsia" w:hAnsiTheme="minorEastAsia" w:eastAsiaTheme="minorEastAsia" w:cstheme="minorEastAsia"/>
          <w:b/>
        </w:rPr>
        <w:t>三、法定代表人授权书</w:t>
      </w:r>
      <w:bookmarkEnd w:id="123"/>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24" w:name="_Toc479184127"/>
      <w:bookmarkEnd w:id="124"/>
      <w:bookmarkStart w:id="125" w:name="_Toc30245"/>
      <w:bookmarkEnd w:id="125"/>
      <w:bookmarkStart w:id="126" w:name="_Toc424832832"/>
      <w:bookmarkEnd w:id="126"/>
      <w:bookmarkStart w:id="127" w:name="_Toc29904"/>
      <w:bookmarkEnd w:id="127"/>
      <w:bookmarkStart w:id="128" w:name="_Toc30476"/>
      <w:bookmarkEnd w:id="128"/>
      <w:bookmarkStart w:id="129" w:name="_Toc360120184"/>
      <w:bookmarkEnd w:id="129"/>
      <w:bookmarkStart w:id="130" w:name="_Toc432149008"/>
      <w:bookmarkEnd w:id="130"/>
      <w:bookmarkStart w:id="131" w:name="_Toc21214"/>
      <w:r>
        <w:br w:type="textWrapping"/>
      </w:r>
      <w: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31"/>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32" w:name="_Toc422466732"/>
      <w:bookmarkEnd w:id="132"/>
      <w:bookmarkStart w:id="133" w:name="_Toc432149006"/>
      <w:bookmarkEnd w:id="133"/>
      <w:bookmarkStart w:id="134" w:name="_Toc479184128"/>
      <w:bookmarkEnd w:id="134"/>
      <w:bookmarkStart w:id="135" w:name="_Toc4741"/>
      <w:bookmarkEnd w:id="135"/>
      <w:bookmarkStart w:id="136" w:name="_Toc4301"/>
      <w:bookmarkEnd w:id="136"/>
      <w:r>
        <w:br w:type="page"/>
      </w:r>
      <w:bookmarkStart w:id="137" w:name="_Toc6285"/>
      <w:r>
        <w:rPr>
          <w:rFonts w:hint="eastAsia" w:asciiTheme="minorEastAsia" w:hAnsiTheme="minorEastAsia" w:eastAsiaTheme="minorEastAsia" w:cstheme="minorEastAsia"/>
          <w:b/>
          <w:bCs/>
          <w:szCs w:val="21"/>
        </w:rPr>
        <w:t>五、报价一览表</w:t>
      </w:r>
      <w:bookmarkEnd w:id="137"/>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7"/>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ahoma" w:hAnsi="Tahoma"/>
              </w:rPr>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38" w:name="_Toc28656"/>
      <w:bookmarkEnd w:id="138"/>
      <w:bookmarkStart w:id="139" w:name="_Toc460258117"/>
      <w:bookmarkEnd w:id="139"/>
      <w:bookmarkStart w:id="140" w:name="_Toc259028723"/>
      <w:bookmarkEnd w:id="140"/>
      <w:bookmarkStart w:id="141" w:name="_Toc479184130"/>
      <w:bookmarkEnd w:id="141"/>
      <w:bookmarkStart w:id="142" w:name="_Toc26825"/>
      <w:bookmarkEnd w:id="142"/>
      <w:r>
        <w:br w:type="page"/>
      </w:r>
      <w:bookmarkStart w:id="143" w:name="_Toc17447"/>
      <w:r>
        <w:rPr>
          <w:rFonts w:hint="eastAsia" w:asciiTheme="minorEastAsia" w:hAnsiTheme="minorEastAsia" w:eastAsiaTheme="minorEastAsia" w:cstheme="minorEastAsia"/>
          <w:b/>
          <w:bCs/>
          <w:szCs w:val="21"/>
        </w:rPr>
        <w:t>六、耗材清单</w:t>
      </w:r>
      <w:bookmarkEnd w:id="143"/>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left"/>
              <w:rPr>
                <w:rFonts w:asciiTheme="minorEastAsia" w:hAnsiTheme="minorEastAsia" w:eastAsiaTheme="minorEastAsia" w:cstheme="minorEastAsia"/>
                <w:kern w:val="0"/>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4" w:name="_Toc32726"/>
      <w:bookmarkEnd w:id="144"/>
      <w:bookmarkStart w:id="145" w:name="_Toc479184131"/>
      <w:bookmarkEnd w:id="145"/>
      <w:bookmarkStart w:id="146" w:name="_Toc7535"/>
      <w:bookmarkEnd w:id="146"/>
      <w:r>
        <w:br w:type="page"/>
      </w:r>
      <w:bookmarkStart w:id="147" w:name="_Toc11415"/>
      <w:r>
        <w:rPr>
          <w:rFonts w:hint="eastAsia" w:asciiTheme="minorEastAsia" w:hAnsiTheme="minorEastAsia" w:eastAsiaTheme="minorEastAsia" w:cstheme="minorEastAsia"/>
          <w:b/>
          <w:bCs/>
          <w:szCs w:val="21"/>
        </w:rPr>
        <w:t>七、拟投入设备/备件、工具情况</w:t>
      </w:r>
      <w:bookmarkEnd w:id="147"/>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left"/>
              <w:rPr>
                <w:rFonts w:asciiTheme="minorEastAsia" w:hAnsiTheme="minorEastAsia" w:eastAsiaTheme="minorEastAsia" w:cstheme="minorEastAsia"/>
                <w:kern w:val="0"/>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jc w:val="center"/>
              <w:rPr>
                <w:rFonts w:asciiTheme="minorEastAsia" w:hAnsiTheme="minorEastAsia" w:eastAsiaTheme="minorEastAsia" w:cstheme="minorEastAsia"/>
                <w:szCs w:val="21"/>
              </w:rPr>
            </w:pPr>
          </w:p>
        </w:tc>
        <w:tc>
          <w:tcPr>
            <w:tcW w:w="1512" w:type="dxa"/>
            <w:vAlign w:val="center"/>
          </w:tcPr>
          <w:p>
            <w:pPr>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8" w:name="_Toc479184132"/>
      <w:bookmarkEnd w:id="148"/>
      <w:bookmarkStart w:id="149" w:name="_Toc450827818"/>
      <w:bookmarkEnd w:id="149"/>
      <w:bookmarkStart w:id="150" w:name="_Toc10449"/>
      <w:bookmarkEnd w:id="150"/>
      <w:bookmarkStart w:id="151" w:name="_Toc27053"/>
      <w:bookmarkEnd w:id="151"/>
      <w:r>
        <w:br w:type="page"/>
      </w:r>
      <w:bookmarkStart w:id="152" w:name="_Toc19970"/>
      <w:r>
        <w:rPr>
          <w:rFonts w:hint="eastAsia" w:asciiTheme="minorEastAsia" w:hAnsiTheme="minorEastAsia" w:eastAsiaTheme="minorEastAsia" w:cstheme="minorEastAsia"/>
          <w:b/>
          <w:bCs/>
          <w:szCs w:val="21"/>
        </w:rPr>
        <w:t>八、缴纳保证金的银行凭证（如有）</w:t>
      </w:r>
      <w:bookmarkEnd w:id="152"/>
    </w:p>
    <w:p>
      <w:pPr>
        <w:spacing w:line="360" w:lineRule="auto"/>
        <w:jc w:val="center"/>
        <w:rPr>
          <w:rFonts w:asciiTheme="minorEastAsia" w:hAnsiTheme="minorEastAsia" w:eastAsiaTheme="minorEastAsia" w:cstheme="minorEastAsia"/>
          <w:bCs/>
          <w:szCs w:val="21"/>
        </w:rPr>
      </w:pPr>
      <w:r>
        <w:tab/>
      </w:r>
      <w:r>
        <w:tab/>
      </w:r>
      <w:r>
        <w:tab/>
      </w:r>
      <w:r>
        <w:tab/>
      </w:r>
      <w:r>
        <w:tab/>
      </w:r>
      <w:r>
        <w:tab/>
      </w:r>
      <w:r>
        <w:tab/>
      </w:r>
      <w:r>
        <w:tab/>
      </w:r>
      <w: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7"/>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3" w:name="_Toc1591"/>
      <w:bookmarkEnd w:id="153"/>
      <w:bookmarkStart w:id="154" w:name="_Toc422466736"/>
      <w:bookmarkEnd w:id="154"/>
      <w:bookmarkStart w:id="155" w:name="_Toc28200"/>
      <w:bookmarkEnd w:id="155"/>
      <w:bookmarkStart w:id="156" w:name="_Toc432149012"/>
      <w:bookmarkEnd w:id="156"/>
      <w:bookmarkStart w:id="157" w:name="_Toc479184133"/>
      <w:bookmarkEnd w:id="157"/>
      <w:r>
        <w:br w:type="page"/>
      </w:r>
      <w:bookmarkStart w:id="158" w:name="_Toc17470"/>
      <w:r>
        <w:rPr>
          <w:rFonts w:hint="eastAsia" w:asciiTheme="minorEastAsia" w:hAnsiTheme="minorEastAsia" w:eastAsiaTheme="minorEastAsia" w:cstheme="minorEastAsia"/>
          <w:b/>
          <w:bCs/>
          <w:szCs w:val="21"/>
        </w:rPr>
        <w:t>九、偏离说明表</w:t>
      </w:r>
      <w:bookmarkEnd w:id="158"/>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0"/>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0"/>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9" w:name="_Toc28283"/>
      <w:bookmarkEnd w:id="159"/>
      <w:bookmarkStart w:id="160" w:name="_Toc432149013"/>
      <w:bookmarkEnd w:id="160"/>
      <w:bookmarkStart w:id="161" w:name="_Toc362935521"/>
      <w:bookmarkEnd w:id="161"/>
      <w:bookmarkStart w:id="162" w:name="_Toc32060"/>
      <w:bookmarkEnd w:id="162"/>
      <w:bookmarkStart w:id="163" w:name="_Toc479184134"/>
      <w:bookmarkEnd w:id="163"/>
      <w:r>
        <w:br w:type="page"/>
      </w:r>
      <w:bookmarkStart w:id="164" w:name="_Toc20989"/>
      <w:r>
        <w:rPr>
          <w:rFonts w:hint="eastAsia" w:asciiTheme="minorEastAsia" w:hAnsiTheme="minorEastAsia" w:eastAsiaTheme="minorEastAsia" w:cstheme="minorEastAsia"/>
          <w:b/>
          <w:kern w:val="0"/>
          <w:szCs w:val="21"/>
        </w:rPr>
        <w:t>十、</w:t>
      </w:r>
      <w:r>
        <w:rPr>
          <w:rFonts w:hint="eastAsia" w:asciiTheme="minorEastAsia" w:hAnsiTheme="minorEastAsia" w:eastAsiaTheme="minorEastAsia" w:cstheme="minorEastAsia"/>
          <w:b/>
          <w:bCs/>
          <w:szCs w:val="21"/>
        </w:rPr>
        <w:t>类似业绩一览表</w:t>
      </w:r>
      <w:r>
        <w:br w:type="textWrapping"/>
      </w:r>
      <w:bookmarkEnd w:id="164"/>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7"/>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br w:type="textWrapping"/>
      </w:r>
      <w:r>
        <w:rPr>
          <w:rFonts w:hint="eastAsia" w:asciiTheme="minorEastAsia" w:hAnsiTheme="minorEastAsia" w:eastAsiaTheme="minorEastAsia" w:cstheme="minorEastAsia"/>
          <w:szCs w:val="21"/>
        </w:rPr>
        <w:t>2.公开竞标成交的类似业绩，还应提供成交/中标公告网页链接。</w:t>
      </w:r>
      <w: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65" w:name="_Toc454806053"/>
      <w:bookmarkStart w:id="166" w:name="_Toc460258118"/>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bookmarkEnd w:id="165"/>
    <w:bookmarkEnd w:id="166"/>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67" w:name="_Toc4834"/>
      <w:bookmarkEnd w:id="167"/>
      <w:bookmarkStart w:id="168" w:name="_Toc30455"/>
      <w:bookmarkEnd w:id="168"/>
      <w:bookmarkStart w:id="169" w:name="_Toc479184135"/>
      <w:bookmarkEnd w:id="169"/>
      <w:r>
        <w:br w:type="page"/>
      </w:r>
      <w:bookmarkStart w:id="170" w:name="_Toc6043"/>
      <w:r>
        <w:rPr>
          <w:rFonts w:hint="eastAsia" w:asciiTheme="minorEastAsia" w:hAnsiTheme="minorEastAsia" w:eastAsiaTheme="minorEastAsia" w:cstheme="minorEastAsia"/>
          <w:b/>
          <w:bCs/>
          <w:szCs w:val="21"/>
        </w:rPr>
        <w:t>十一、拟投入项目组人员一览表</w:t>
      </w:r>
      <w:bookmarkEnd w:id="170"/>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1" w:name="_Toc10429"/>
      <w:bookmarkEnd w:id="171"/>
      <w:bookmarkStart w:id="172" w:name="_Toc422466737"/>
      <w:bookmarkEnd w:id="172"/>
      <w:bookmarkStart w:id="173" w:name="_Toc432149014"/>
      <w:bookmarkEnd w:id="173"/>
      <w:bookmarkStart w:id="174" w:name="_Toc26838"/>
      <w:bookmarkEnd w:id="174"/>
      <w:bookmarkStart w:id="175" w:name="_Toc479184136"/>
      <w:bookmarkEnd w:id="175"/>
      <w:r>
        <w:br w:type="page"/>
      </w:r>
      <w:bookmarkStart w:id="176" w:name="_Toc31141"/>
      <w:r>
        <w:rPr>
          <w:rFonts w:hint="eastAsia" w:asciiTheme="minorEastAsia" w:hAnsiTheme="minorEastAsia" w:eastAsiaTheme="minorEastAsia" w:cstheme="minorEastAsia"/>
          <w:b/>
          <w:bCs/>
          <w:kern w:val="0"/>
          <w:szCs w:val="21"/>
        </w:rPr>
        <w:t>十二、</w:t>
      </w:r>
      <w:r>
        <w:rPr>
          <w:rFonts w:hint="eastAsia" w:asciiTheme="minorEastAsia" w:hAnsiTheme="minorEastAsia" w:eastAsiaTheme="minorEastAsia" w:cstheme="minorEastAsia"/>
          <w:b/>
          <w:bCs/>
          <w:szCs w:val="21"/>
        </w:rPr>
        <w:t>供应商的资格声明</w:t>
      </w:r>
      <w:bookmarkEnd w:id="176"/>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7" w:name="_Toc17527"/>
      <w:bookmarkEnd w:id="177"/>
      <w:bookmarkStart w:id="178" w:name="_Toc17331"/>
      <w:bookmarkEnd w:id="178"/>
      <w:bookmarkStart w:id="179" w:name="_Toc259028731"/>
      <w:bookmarkEnd w:id="179"/>
      <w:bookmarkStart w:id="180" w:name="_Toc450827823"/>
      <w:bookmarkEnd w:id="180"/>
      <w:bookmarkStart w:id="181" w:name="_Toc479184137"/>
      <w:bookmarkEnd w:id="181"/>
      <w:r>
        <w:br w:type="page"/>
      </w:r>
      <w:bookmarkStart w:id="182" w:name="_Toc31881"/>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资格证明文件</w:t>
      </w:r>
      <w:bookmarkEnd w:id="182"/>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br w:type="textWrapping"/>
      </w:r>
      <w:r>
        <w:br w:type="textWrapping"/>
      </w:r>
      <w:r>
        <w:br w:type="textWrapping"/>
      </w:r>
      <w:r>
        <w:br w:type="textWrapping"/>
      </w:r>
      <w:r>
        <w:br w:type="textWrapping"/>
      </w:r>
      <w:r>
        <w:br w:type="textWrapping"/>
      </w:r>
      <w:r>
        <w:br w:type="textWrapping"/>
      </w:r>
    </w:p>
    <w:p>
      <w:pPr>
        <w:spacing w:line="360" w:lineRule="auto"/>
        <w:ind w:left="168" w:leftChars="80"/>
        <w:jc w:val="center"/>
        <w:rPr>
          <w:rFonts w:asciiTheme="minorEastAsia" w:hAnsiTheme="minorEastAsia" w:eastAsiaTheme="minorEastAsia" w:cstheme="minorEastAsia"/>
          <w:bCs/>
          <w:szCs w:val="21"/>
        </w:rPr>
      </w:pPr>
      <w:bookmarkStart w:id="183" w:name="_Toc290207179"/>
      <w:bookmarkStart w:id="184" w:name="_Toc427239751"/>
      <w:bookmarkStart w:id="185" w:name="_Toc358447587"/>
      <w:bookmarkStart w:id="186" w:name="_Toc364868916"/>
      <w:bookmarkStart w:id="187" w:name="_Toc5793"/>
      <w:bookmarkStart w:id="188" w:name="_Toc18555"/>
      <w:bookmarkStart w:id="189" w:name="_Toc32187"/>
      <w:r>
        <w:br w:type="textWrapping"/>
      </w:r>
      <w:r>
        <w:br w:type="textWrapping"/>
      </w:r>
    </w:p>
    <w:bookmarkEnd w:id="183"/>
    <w:bookmarkEnd w:id="184"/>
    <w:bookmarkEnd w:id="185"/>
    <w:bookmarkEnd w:id="186"/>
    <w:bookmarkEnd w:id="187"/>
    <w:bookmarkEnd w:id="188"/>
    <w:bookmarkEnd w:id="189"/>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190" w:name="_Toc27229"/>
      <w:bookmarkEnd w:id="190"/>
      <w:bookmarkStart w:id="191" w:name="_Toc460258123"/>
      <w:bookmarkEnd w:id="191"/>
      <w:bookmarkStart w:id="192" w:name="_Toc479184138"/>
      <w:bookmarkEnd w:id="192"/>
      <w:bookmarkStart w:id="193" w:name="_Toc29785"/>
      <w:bookmarkEnd w:id="193"/>
      <w:bookmarkStart w:id="194" w:name="_Toc29639"/>
      <w:r>
        <w:rPr>
          <w:rFonts w:hint="eastAsia" w:asciiTheme="minorEastAsia" w:hAnsiTheme="minorEastAsia" w:eastAsiaTheme="minorEastAsia" w:cstheme="minorEastAsia"/>
          <w:b/>
          <w:bCs/>
          <w:kern w:val="0"/>
          <w:szCs w:val="21"/>
        </w:rPr>
        <w:t>十四、报价技术文件</w:t>
      </w:r>
      <w:bookmarkEnd w:id="194"/>
    </w:p>
    <w:p>
      <w:pPr>
        <w:rPr>
          <w:rFonts w:asciiTheme="minorEastAsia" w:hAnsiTheme="minorEastAsia" w:eastAsiaTheme="minorEastAsia" w:cstheme="minorEastAsia"/>
          <w:szCs w:val="21"/>
        </w:rPr>
      </w:pPr>
    </w:p>
    <w:p>
      <w:pPr>
        <w:pStyle w:val="100"/>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1"/>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bookmarkStart w:id="195" w:name="_Toc355802499"/>
      <w:bookmarkEnd w:id="195"/>
      <w:bookmarkStart w:id="196" w:name="_Toc432149016"/>
      <w:bookmarkEnd w:id="196"/>
      <w:bookmarkStart w:id="197" w:name="_Toc356836516"/>
      <w:bookmarkEnd w:id="197"/>
      <w:bookmarkStart w:id="198" w:name="_Toc422466739"/>
      <w:bookmarkEnd w:id="198"/>
      <w:bookmarkStart w:id="199" w:name="_Toc2101"/>
      <w:bookmarkEnd w:id="199"/>
      <w:bookmarkStart w:id="200" w:name="_Toc479184140"/>
      <w:bookmarkEnd w:id="200"/>
      <w:bookmarkStart w:id="201" w:name="_Toc22465"/>
      <w:bookmarkEnd w:id="201"/>
      <w:bookmarkStart w:id="202" w:name="_Toc8098"/>
      <w:bookmarkEnd w:id="202"/>
      <w:bookmarkStart w:id="203" w:name="_Toc12119"/>
      <w:bookmarkEnd w:id="203"/>
      <w:r>
        <w:br w:type="page"/>
      </w:r>
      <w:bookmarkStart w:id="204" w:name="_Toc23934"/>
      <w:r>
        <w:rPr>
          <w:rFonts w:hint="eastAsia" w:asciiTheme="minorEastAsia" w:hAnsiTheme="minorEastAsia" w:eastAsiaTheme="minorEastAsia" w:cstheme="minorEastAsia"/>
          <w:b/>
        </w:rPr>
        <w:t>十五、</w:t>
      </w:r>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w:t>
      </w:r>
      <w:r>
        <w:rPr>
          <w:rFonts w:hint="eastAsia" w:asciiTheme="minorEastAsia" w:hAnsiTheme="minorEastAsia" w:eastAsiaTheme="minorEastAsia" w:cstheme="minorEastAsia"/>
          <w:b/>
          <w:shd w:val="clear" w:color="FFFFFF" w:fill="D9D9D9"/>
          <w:lang w:val="zh-CN"/>
        </w:rPr>
        <w:t>（本项目必须提供）</w:t>
      </w:r>
      <w:bookmarkEnd w:id="204"/>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 </w:t>
      </w:r>
      <w: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20" w:firstLineChars="200"/>
        <w:rPr>
          <w:rFonts w:asciiTheme="minorEastAsia" w:hAnsiTheme="minorEastAsia" w:eastAsiaTheme="minorEastAsia" w:cstheme="minorEastAsia"/>
          <w:szCs w:val="21"/>
        </w:rPr>
      </w:pPr>
      <w:r>
        <w:br w:type="textWrapping"/>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br w:type="textWrapping"/>
      </w:r>
    </w:p>
    <w:p>
      <w:pPr>
        <w:adjustRightInd w:val="0"/>
        <w:snapToGrid w:val="0"/>
        <w:jc w:val="center"/>
        <w:outlineLvl w:val="1"/>
        <w:rPr>
          <w:rFonts w:asciiTheme="minorEastAsia" w:hAnsiTheme="minorEastAsia" w:eastAsiaTheme="minorEastAsia" w:cstheme="minorEastAsia"/>
          <w:b/>
        </w:rPr>
      </w:pPr>
      <w:bookmarkStart w:id="205" w:name="_Toc1138"/>
      <w:bookmarkStart w:id="206" w:name="_Toc476839034"/>
      <w:bookmarkStart w:id="207" w:name="_Toc7229"/>
      <w:bookmarkStart w:id="208" w:name="_Toc479184141"/>
      <w:bookmarkStart w:id="209" w:name="_Toc30406"/>
      <w:bookmarkStart w:id="210" w:name="_Toc4320"/>
      <w:r>
        <w:rPr>
          <w:rFonts w:hint="eastAsia" w:asciiTheme="minorEastAsia" w:hAnsiTheme="minorEastAsia" w:eastAsiaTheme="minorEastAsia" w:cstheme="minorEastAsia"/>
          <w:b/>
          <w:bCs/>
          <w:spacing w:val="6"/>
          <w:szCs w:val="21"/>
        </w:rPr>
        <w:t>十六、</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05"/>
    </w:p>
    <w:p>
      <w:pPr>
        <w:rPr>
          <w:rFonts w:asciiTheme="minorEastAsia" w:hAnsiTheme="minorEastAsia" w:eastAsiaTheme="minorEastAsia" w:cstheme="minorEastAsia"/>
          <w:szCs w:val="21"/>
        </w:rPr>
      </w:pPr>
      <w:r>
        <w:br w:type="textWrapping"/>
      </w:r>
      <w:r>
        <w:rPr>
          <w:rFonts w:hint="eastAsia" w:asciiTheme="minorEastAsia" w:hAnsiTheme="minorEastAsia" w:eastAsiaTheme="minorEastAsia" w:cstheme="minorEastAsia"/>
          <w:spacing w:val="6"/>
          <w:szCs w:val="21"/>
        </w:rPr>
        <w:t>供应商如是监狱企业，提供相关证明文件。</w:t>
      </w:r>
      <w: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11" w:name="_Toc11256"/>
      <w:r>
        <w:br w:type="textWrapping"/>
      </w:r>
      <w:r>
        <w:rPr>
          <w:rFonts w:hint="eastAsia" w:asciiTheme="minorEastAsia" w:hAnsiTheme="minorEastAsia" w:eastAsiaTheme="minorEastAsia" w:cstheme="minorEastAsia"/>
          <w:b/>
        </w:rPr>
        <w:t>十七、</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11"/>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2"/>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2"/>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2"/>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2"/>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2"/>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12" w:name="_Toc17973"/>
      <w:r>
        <w:rPr>
          <w:rFonts w:hint="eastAsia" w:asciiTheme="minorEastAsia" w:hAnsiTheme="minorEastAsia" w:eastAsiaTheme="minorEastAsia" w:cstheme="minorEastAsia"/>
          <w:b/>
        </w:rPr>
        <w:t>十八、节能环保产品证明材料（若符合）</w:t>
      </w:r>
      <w:bookmarkEnd w:id="212"/>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br w:type="textWrapping"/>
      </w:r>
      <w:r>
        <w:rPr>
          <w:rFonts w:hint="eastAsia" w:asciiTheme="minorEastAsia" w:hAnsiTheme="minorEastAsia" w:eastAsiaTheme="minorEastAsia" w:cstheme="minorEastAsia"/>
          <w:szCs w:val="21"/>
        </w:rPr>
        <w:t>（1）节能产品：</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br w:type="textWrapping"/>
      </w:r>
      <w: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br w:type="textWrapping"/>
      </w:r>
    </w:p>
    <w:bookmarkEnd w:id="206"/>
    <w:bookmarkEnd w:id="207"/>
    <w:bookmarkEnd w:id="208"/>
    <w:bookmarkEnd w:id="209"/>
    <w:bookmarkEnd w:id="210"/>
    <w:p>
      <w:pPr>
        <w:adjustRightInd w:val="0"/>
        <w:snapToGrid w:val="0"/>
        <w:spacing w:line="360" w:lineRule="auto"/>
        <w:jc w:val="center"/>
        <w:outlineLvl w:val="1"/>
        <w:rPr>
          <w:rFonts w:asciiTheme="minorEastAsia" w:hAnsiTheme="minorEastAsia" w:eastAsiaTheme="minorEastAsia" w:cstheme="minorEastAsia"/>
          <w:b/>
        </w:rPr>
      </w:pPr>
      <w:bookmarkStart w:id="213" w:name="_Toc21315"/>
      <w:r>
        <w:rPr>
          <w:rFonts w:hint="eastAsia" w:asciiTheme="minorEastAsia" w:hAnsiTheme="minorEastAsia" w:eastAsiaTheme="minorEastAsia" w:cstheme="minorEastAsia"/>
          <w:b/>
          <w:bCs/>
          <w:spacing w:val="6"/>
          <w:szCs w:val="21"/>
        </w:rPr>
        <w:t>十九、</w:t>
      </w:r>
      <w:r>
        <w:rPr>
          <w:rFonts w:hint="eastAsia" w:asciiTheme="minorEastAsia" w:hAnsiTheme="minorEastAsia" w:eastAsiaTheme="minorEastAsia" w:cstheme="minorEastAsia"/>
          <w:b/>
        </w:rPr>
        <w:t>无重大违法记录声明</w:t>
      </w:r>
      <w:bookmarkEnd w:id="213"/>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br w:type="textWrapping"/>
      </w:r>
    </w:p>
    <w:p>
      <w:pPr>
        <w:jc w:val="center"/>
        <w:outlineLvl w:val="1"/>
        <w:rPr>
          <w:rFonts w:asciiTheme="minorEastAsia" w:hAnsiTheme="minorEastAsia" w:eastAsiaTheme="minorEastAsia" w:cstheme="minorEastAsia"/>
          <w:spacing w:val="6"/>
          <w:szCs w:val="21"/>
        </w:rPr>
      </w:pPr>
      <w:bookmarkStart w:id="214" w:name="_Toc10829"/>
      <w:bookmarkEnd w:id="214"/>
      <w:bookmarkStart w:id="215" w:name="_Toc11830"/>
      <w:r>
        <w:br w:type="textWrapping"/>
      </w:r>
      <w:r>
        <w:rPr>
          <w:rFonts w:hint="eastAsia" w:asciiTheme="minorEastAsia" w:hAnsiTheme="minorEastAsia" w:eastAsiaTheme="minorEastAsia" w:cstheme="minorEastAsia"/>
          <w:b/>
          <w:bCs/>
          <w:kern w:val="0"/>
          <w:szCs w:val="21"/>
          <w:shd w:val="clear" w:color="auto" w:fill="FFFFFF"/>
        </w:rPr>
        <w:t>二十、磋商供应商认为应该提交的其它文件（格式自拟）</w:t>
      </w:r>
      <w:r>
        <w:br w:type="textWrapping"/>
      </w:r>
      <w:bookmarkEnd w:id="215"/>
    </w:p>
    <w:tbl>
      <w:tblPr>
        <w:tblStyle w:val="27"/>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29" w:usb3="00000000" w:csb0="000101F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6</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drawing>
        <wp:anchor distT="0" distB="0" distL="0" distR="0" simplePos="0" relativeHeight="251659264" behindDoc="1" locked="0" layoutInCell="1" allowOverlap="1">
          <wp:simplePos x="0" y="0"/>
          <wp:positionH relativeFrom="page">
            <wp:align>center</wp:align>
          </wp:positionH>
          <wp:positionV relativeFrom="page">
            <wp:align>center</wp:align>
          </wp:positionV>
          <wp:extent cx="7632700" cy="2540000"/>
          <wp:effectExtent l="0" t="0" r="0" b="0"/>
          <wp:wrapNone/>
          <wp:docPr id="16" name="PowerPlusWaterMarkObject2"/>
          <wp:cNvGraphicFramePr/>
          <a:graphic xmlns:a="http://schemas.openxmlformats.org/drawingml/2006/main">
            <a:graphicData uri="http://schemas.openxmlformats.org/drawingml/2006/picture">
              <pic:pic xmlns:pic="http://schemas.openxmlformats.org/drawingml/2006/picture">
                <pic:nvPicPr>
                  <pic:cNvPr id="16" name="PowerPlusWaterMarkObject2"/>
                  <pic:cNvPicPr/>
                </pic:nvPicPr>
                <pic:blipFill>
                  <a:blip/>
                </pic:blip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drawing>
        <wp:anchor distT="0" distB="0" distL="0" distR="0" simplePos="0" relativeHeight="251660288" behindDoc="1" locked="0" layoutInCell="1" allowOverlap="1">
          <wp:simplePos x="0" y="0"/>
          <wp:positionH relativeFrom="page">
            <wp:align>center</wp:align>
          </wp:positionH>
          <wp:positionV relativeFrom="page">
            <wp:align>center</wp:align>
          </wp:positionV>
          <wp:extent cx="7632700" cy="2540000"/>
          <wp:effectExtent l="0" t="0" r="0" b="0"/>
          <wp:wrapNone/>
          <wp:docPr id="15" name="_x0000_s2050"/>
          <wp:cNvGraphicFramePr/>
          <a:graphic xmlns:a="http://schemas.openxmlformats.org/drawingml/2006/main">
            <a:graphicData uri="http://schemas.openxmlformats.org/drawingml/2006/picture">
              <pic:pic xmlns:pic="http://schemas.openxmlformats.org/drawingml/2006/picture">
                <pic:nvPicPr>
                  <pic:cNvPr id="15" name="_x0000_s2050"/>
                  <pic:cNvPicPr/>
                </pic:nvPicPr>
                <pic:blipFill>
                  <a:blip/>
                </pic:blip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decimal"/>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9"/>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6">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7">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9">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lvlText w:val="%1.%2"/>
      <w:lvlJc w:val="left"/>
      <w:pPr>
        <w:ind w:left="510" w:hanging="510"/>
      </w:pPr>
      <w:rPr>
        <w:rFonts w:hint="default"/>
      </w:rPr>
    </w:lvl>
    <w:lvl w:ilvl="2" w:tentative="0">
      <w:start w:val="1"/>
      <w:numFmt w:val="decimal"/>
      <w:lvlText w:val="%1.%2.%3"/>
      <w:lvlJc w:val="left"/>
      <w:pPr>
        <w:ind w:left="510" w:hanging="510"/>
      </w:pPr>
      <w:rPr>
        <w:rFonts w:hint="default"/>
      </w:rPr>
    </w:lvl>
    <w:lvl w:ilvl="3" w:tentative="0">
      <w:start w:val="1"/>
      <w:numFmt w:val="decimal"/>
      <w:lvlText w:val="%1.%2.%3.%4"/>
      <w:lvlJc w:val="left"/>
      <w:pPr>
        <w:ind w:left="510" w:hanging="510"/>
      </w:pPr>
      <w:rPr>
        <w:rFonts w:hint="default"/>
      </w:rPr>
    </w:lvl>
    <w:lvl w:ilvl="4" w:tentative="0">
      <w:start w:val="1"/>
      <w:numFmt w:val="decimal"/>
      <w:lvlText w:val="%1.%2.%3.%4.%5"/>
      <w:lvlJc w:val="left"/>
      <w:pPr>
        <w:ind w:left="510" w:hanging="510"/>
      </w:pPr>
      <w:rPr>
        <w:rFonts w:hint="default"/>
      </w:rPr>
    </w:lvl>
    <w:lvl w:ilvl="5" w:tentative="0">
      <w:start w:val="1"/>
      <w:numFmt w:val="decimal"/>
      <w:lvlText w:val="%1.%2.%3.%4.%5.%6"/>
      <w:lvlJc w:val="left"/>
      <w:pPr>
        <w:ind w:left="510" w:hanging="510"/>
      </w:pPr>
      <w:rPr>
        <w:rFonts w:hint="default"/>
      </w:rPr>
    </w:lvl>
    <w:lvl w:ilvl="6" w:tentative="0">
      <w:start w:val="1"/>
      <w:numFmt w:val="decimal"/>
      <w:lvlText w:val="%1.%2.%3.%4.%5.%6.%7"/>
      <w:lvlJc w:val="left"/>
      <w:pPr>
        <w:ind w:left="510" w:hanging="510"/>
      </w:pPr>
      <w:rPr>
        <w:rFonts w:hint="default"/>
      </w:rPr>
    </w:lvl>
    <w:lvl w:ilvl="7" w:tentative="0">
      <w:start w:val="1"/>
      <w:numFmt w:val="decimal"/>
      <w:lvlText w:val="%1.%2.%3.%4.%5.%6.%7.%8"/>
      <w:lvlJc w:val="left"/>
      <w:pPr>
        <w:ind w:left="510" w:hanging="510"/>
      </w:pPr>
      <w:rPr>
        <w:rFonts w:hint="default"/>
      </w:rPr>
    </w:lvl>
    <w:lvl w:ilvl="8" w:tentative="0">
      <w:start w:val="1"/>
      <w:numFmt w:val="decimal"/>
      <w:lvlText w:val="%1.%2.%3.%4.%5.%6.%7.%8.%9"/>
      <w:lvlJc w:val="left"/>
      <w:pPr>
        <w:ind w:left="510" w:hanging="510"/>
      </w:pPr>
      <w:rPr>
        <w:rFonts w:hint="default"/>
      </w:rPr>
    </w:lvl>
  </w:abstractNum>
  <w:abstractNum w:abstractNumId="21">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3">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4">
    <w:nsid w:val="4A667C00"/>
    <w:multiLevelType w:val="multilevel"/>
    <w:tmpl w:val="4A667C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B331C36"/>
    <w:multiLevelType w:val="multilevel"/>
    <w:tmpl w:val="4B331C36"/>
    <w:lvl w:ilvl="0" w:tentative="0">
      <w:start w:val="1"/>
      <w:numFmt w:val="japaneseCounting"/>
      <w:pStyle w:val="94"/>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9">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0">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2">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4">
    <w:nsid w:val="6CEA2025"/>
    <w:multiLevelType w:val="multilevel"/>
    <w:tmpl w:val="6CEA2025"/>
    <w:lvl w:ilvl="0" w:tentative="0">
      <w:start w:val="1"/>
      <w:numFmt w:val="none"/>
      <w:pStyle w:val="71"/>
      <w:suff w:val="nothing"/>
      <w:lvlText w:val="%1"/>
      <w:lvlJc w:val="left"/>
      <w:pPr>
        <w:ind w:left="0" w:firstLine="0"/>
      </w:pPr>
      <w:rPr>
        <w:rFonts w:hint="default" w:ascii="Times New Roman" w:hAnsi="Times New Roman"/>
        <w:b/>
        <w:i w:val="0"/>
        <w:sz w:val="21"/>
      </w:rPr>
    </w:lvl>
    <w:lvl w:ilvl="1" w:tentative="0">
      <w:start w:val="1"/>
      <w:numFmt w:val="decimal"/>
      <w:pStyle w:val="74"/>
      <w:suff w:val="nothing"/>
      <w:lvlText w:val="%1%2　"/>
      <w:lvlJc w:val="left"/>
      <w:pPr>
        <w:ind w:left="180" w:firstLine="0"/>
      </w:pPr>
      <w:rPr>
        <w:rFonts w:hint="eastAsia" w:ascii="黑体" w:hAnsi="Times New Roman" w:eastAsia="黑体"/>
        <w:b/>
        <w:i w:val="0"/>
        <w:sz w:val="24"/>
        <w:szCs w:val="24"/>
      </w:rPr>
    </w:lvl>
    <w:lvl w:ilvl="2" w:tentative="0">
      <w:start w:val="1"/>
      <w:numFmt w:val="decimal"/>
      <w:suff w:val="nothing"/>
      <w:lvlText w:val="%1%2.%3　"/>
      <w:lvlJc w:val="left"/>
      <w:pPr>
        <w:ind w:left="720" w:firstLine="0"/>
      </w:pPr>
      <w:rPr>
        <w:rFonts w:hint="eastAsia" w:ascii="黑体" w:hAnsi="Times New Roman" w:eastAsia="黑体"/>
        <w:b w:val="0"/>
        <w:i w:val="0"/>
        <w:sz w:val="21"/>
      </w:rPr>
    </w:lvl>
    <w:lvl w:ilvl="3" w:tentative="0">
      <w:start w:val="1"/>
      <w:numFmt w:val="decimal"/>
      <w:suff w:val="nothing"/>
      <w:lvlText w:val="%1%2.4.%4　"/>
      <w:lvlJc w:val="left"/>
      <w:pPr>
        <w:ind w:left="420" w:firstLine="0"/>
      </w:pPr>
      <w:rPr>
        <w:rFonts w:hint="eastAsia" w:ascii="黑体" w:hAnsi="Times New Roman" w:eastAsia="黑体"/>
        <w:b w:val="0"/>
        <w:i w:val="0"/>
        <w:sz w:val="21"/>
      </w:rPr>
    </w:lvl>
    <w:lvl w:ilvl="4" w:tentative="0">
      <w:start w:val="1"/>
      <w:numFmt w:val="decimal"/>
      <w:suff w:val="nothing"/>
      <w:lvlText w:val="5.%12.5.%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5">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6">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1">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4"/>
  </w:num>
  <w:num w:numId="2">
    <w:abstractNumId w:val="8"/>
  </w:num>
  <w:num w:numId="3">
    <w:abstractNumId w:val="15"/>
  </w:num>
  <w:num w:numId="4">
    <w:abstractNumId w:val="25"/>
  </w:num>
  <w:num w:numId="5">
    <w:abstractNumId w:val="11"/>
  </w:num>
  <w:num w:numId="6">
    <w:abstractNumId w:val="10"/>
  </w:num>
  <w:num w:numId="7">
    <w:abstractNumId w:val="6"/>
  </w:num>
  <w:num w:numId="8">
    <w:abstractNumId w:val="12"/>
  </w:num>
  <w:num w:numId="9">
    <w:abstractNumId w:val="30"/>
  </w:num>
  <w:num w:numId="10">
    <w:abstractNumId w:val="40"/>
  </w:num>
  <w:num w:numId="11">
    <w:abstractNumId w:val="41"/>
  </w:num>
  <w:num w:numId="12">
    <w:abstractNumId w:val="23"/>
  </w:num>
  <w:num w:numId="13">
    <w:abstractNumId w:val="27"/>
  </w:num>
  <w:num w:numId="14">
    <w:abstractNumId w:val="29"/>
  </w:num>
  <w:num w:numId="15">
    <w:abstractNumId w:val="31"/>
  </w:num>
  <w:num w:numId="16">
    <w:abstractNumId w:val="1"/>
  </w:num>
  <w:num w:numId="17">
    <w:abstractNumId w:val="33"/>
  </w:num>
  <w:num w:numId="18">
    <w:abstractNumId w:val="3"/>
  </w:num>
  <w:num w:numId="19">
    <w:abstractNumId w:val="21"/>
  </w:num>
  <w:num w:numId="20">
    <w:abstractNumId w:val="17"/>
  </w:num>
  <w:num w:numId="21">
    <w:abstractNumId w:val="36"/>
  </w:num>
  <w:num w:numId="22">
    <w:abstractNumId w:val="9"/>
  </w:num>
  <w:num w:numId="23">
    <w:abstractNumId w:val="22"/>
  </w:num>
  <w:num w:numId="24">
    <w:abstractNumId w:val="5"/>
  </w:num>
  <w:num w:numId="25">
    <w:abstractNumId w:val="35"/>
  </w:num>
  <w:num w:numId="26">
    <w:abstractNumId w:val="39"/>
  </w:num>
  <w:num w:numId="27">
    <w:abstractNumId w:val="26"/>
  </w:num>
  <w:num w:numId="28">
    <w:abstractNumId w:val="19"/>
  </w:num>
  <w:num w:numId="29">
    <w:abstractNumId w:val="7"/>
  </w:num>
  <w:num w:numId="30">
    <w:abstractNumId w:val="16"/>
  </w:num>
  <w:num w:numId="31">
    <w:abstractNumId w:val="38"/>
  </w:num>
  <w:num w:numId="32">
    <w:abstractNumId w:val="20"/>
  </w:num>
  <w:num w:numId="33">
    <w:abstractNumId w:val="13"/>
  </w:num>
  <w:num w:numId="34">
    <w:abstractNumId w:val="24"/>
  </w:num>
  <w:num w:numId="35">
    <w:abstractNumId w:val="37"/>
  </w:num>
  <w:num w:numId="36">
    <w:abstractNumId w:val="32"/>
  </w:num>
  <w:num w:numId="37">
    <w:abstractNumId w:val="14"/>
  </w:num>
  <w:num w:numId="38">
    <w:abstractNumId w:val="28"/>
  </w:num>
  <w:num w:numId="39">
    <w:abstractNumId w:val="0"/>
  </w:num>
  <w:num w:numId="40">
    <w:abstractNumId w:val="18"/>
  </w:num>
  <w:num w:numId="41">
    <w:abstractNumId w:val="4"/>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14BC"/>
    <w:rsid w:val="0003259A"/>
    <w:rsid w:val="0003403B"/>
    <w:rsid w:val="00034188"/>
    <w:rsid w:val="00034401"/>
    <w:rsid w:val="00034C37"/>
    <w:rsid w:val="00034DD0"/>
    <w:rsid w:val="00036612"/>
    <w:rsid w:val="00040CD1"/>
    <w:rsid w:val="00041FF2"/>
    <w:rsid w:val="00042D58"/>
    <w:rsid w:val="00043B68"/>
    <w:rsid w:val="00044766"/>
    <w:rsid w:val="00045299"/>
    <w:rsid w:val="00045D5C"/>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3E20"/>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05F"/>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32DB"/>
    <w:rsid w:val="000E4823"/>
    <w:rsid w:val="000F09C3"/>
    <w:rsid w:val="000F25D9"/>
    <w:rsid w:val="000F2A59"/>
    <w:rsid w:val="000F661F"/>
    <w:rsid w:val="00100A0F"/>
    <w:rsid w:val="00101897"/>
    <w:rsid w:val="001025BD"/>
    <w:rsid w:val="00102981"/>
    <w:rsid w:val="00102DF0"/>
    <w:rsid w:val="00103BEA"/>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3BA7"/>
    <w:rsid w:val="001C43C7"/>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1123"/>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875F3"/>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1A1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579EE"/>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4CB8"/>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0F54"/>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84796"/>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42E"/>
    <w:rsid w:val="005F5ED3"/>
    <w:rsid w:val="006001B3"/>
    <w:rsid w:val="00601AE5"/>
    <w:rsid w:val="0060350F"/>
    <w:rsid w:val="00603B97"/>
    <w:rsid w:val="00603BB1"/>
    <w:rsid w:val="00604B0F"/>
    <w:rsid w:val="00604C27"/>
    <w:rsid w:val="00605E39"/>
    <w:rsid w:val="00610024"/>
    <w:rsid w:val="006100F0"/>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2E52"/>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0B3"/>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6976"/>
    <w:rsid w:val="00797750"/>
    <w:rsid w:val="007A196A"/>
    <w:rsid w:val="007A25EF"/>
    <w:rsid w:val="007A294B"/>
    <w:rsid w:val="007A3999"/>
    <w:rsid w:val="007B3F0C"/>
    <w:rsid w:val="007B3F75"/>
    <w:rsid w:val="007B6C3A"/>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557A"/>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3B38"/>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0E2"/>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183"/>
    <w:rsid w:val="00895994"/>
    <w:rsid w:val="008966B7"/>
    <w:rsid w:val="00896C4D"/>
    <w:rsid w:val="008A01C7"/>
    <w:rsid w:val="008A0C04"/>
    <w:rsid w:val="008A2560"/>
    <w:rsid w:val="008A3C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3F1C"/>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323"/>
    <w:rsid w:val="00A41BC5"/>
    <w:rsid w:val="00A42929"/>
    <w:rsid w:val="00A43083"/>
    <w:rsid w:val="00A442B8"/>
    <w:rsid w:val="00A468C1"/>
    <w:rsid w:val="00A47FB8"/>
    <w:rsid w:val="00A523FE"/>
    <w:rsid w:val="00A525FE"/>
    <w:rsid w:val="00A528E9"/>
    <w:rsid w:val="00A536B2"/>
    <w:rsid w:val="00A53EE5"/>
    <w:rsid w:val="00A54301"/>
    <w:rsid w:val="00A54DC0"/>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5E0F"/>
    <w:rsid w:val="00AB6072"/>
    <w:rsid w:val="00AC0904"/>
    <w:rsid w:val="00AC28BC"/>
    <w:rsid w:val="00AC2FB0"/>
    <w:rsid w:val="00AC48C4"/>
    <w:rsid w:val="00AC5864"/>
    <w:rsid w:val="00AC5D4F"/>
    <w:rsid w:val="00AC715E"/>
    <w:rsid w:val="00AC7895"/>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2242"/>
    <w:rsid w:val="00B5371E"/>
    <w:rsid w:val="00B553E9"/>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02B5"/>
    <w:rsid w:val="00C02FDF"/>
    <w:rsid w:val="00C05D13"/>
    <w:rsid w:val="00C06A5E"/>
    <w:rsid w:val="00C07810"/>
    <w:rsid w:val="00C07DF7"/>
    <w:rsid w:val="00C110CF"/>
    <w:rsid w:val="00C1247A"/>
    <w:rsid w:val="00C128BA"/>
    <w:rsid w:val="00C12B4F"/>
    <w:rsid w:val="00C135B6"/>
    <w:rsid w:val="00C13671"/>
    <w:rsid w:val="00C13C97"/>
    <w:rsid w:val="00C140AF"/>
    <w:rsid w:val="00C14851"/>
    <w:rsid w:val="00C1499B"/>
    <w:rsid w:val="00C14CEA"/>
    <w:rsid w:val="00C1588A"/>
    <w:rsid w:val="00C163FC"/>
    <w:rsid w:val="00C16FED"/>
    <w:rsid w:val="00C21B3A"/>
    <w:rsid w:val="00C224D2"/>
    <w:rsid w:val="00C22576"/>
    <w:rsid w:val="00C2315C"/>
    <w:rsid w:val="00C240F4"/>
    <w:rsid w:val="00C24558"/>
    <w:rsid w:val="00C245ED"/>
    <w:rsid w:val="00C2619E"/>
    <w:rsid w:val="00C306AC"/>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556BC"/>
    <w:rsid w:val="00D61731"/>
    <w:rsid w:val="00D62FB1"/>
    <w:rsid w:val="00D63289"/>
    <w:rsid w:val="00D6386B"/>
    <w:rsid w:val="00D63A65"/>
    <w:rsid w:val="00D64B1C"/>
    <w:rsid w:val="00D65F11"/>
    <w:rsid w:val="00D66546"/>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36DB"/>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4EB4"/>
    <w:rsid w:val="00F15112"/>
    <w:rsid w:val="00F23168"/>
    <w:rsid w:val="00F245B7"/>
    <w:rsid w:val="00F2575A"/>
    <w:rsid w:val="00F26A21"/>
    <w:rsid w:val="00F30ABF"/>
    <w:rsid w:val="00F30DCE"/>
    <w:rsid w:val="00F31A10"/>
    <w:rsid w:val="00F32776"/>
    <w:rsid w:val="00F32D0E"/>
    <w:rsid w:val="00F343EB"/>
    <w:rsid w:val="00F35E25"/>
    <w:rsid w:val="00F362F9"/>
    <w:rsid w:val="00F364D0"/>
    <w:rsid w:val="00F36871"/>
    <w:rsid w:val="00F40477"/>
    <w:rsid w:val="00F44260"/>
    <w:rsid w:val="00F449B9"/>
    <w:rsid w:val="00F449BD"/>
    <w:rsid w:val="00F507A1"/>
    <w:rsid w:val="00F53FEA"/>
    <w:rsid w:val="00F55C2D"/>
    <w:rsid w:val="00F56FF4"/>
    <w:rsid w:val="00F578AE"/>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142"/>
    <w:rsid w:val="00FB378E"/>
    <w:rsid w:val="00FB49C9"/>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D0205"/>
    <w:rsid w:val="01AE3368"/>
    <w:rsid w:val="01C12A88"/>
    <w:rsid w:val="01CC76EC"/>
    <w:rsid w:val="01D07706"/>
    <w:rsid w:val="01D50BD5"/>
    <w:rsid w:val="0221271C"/>
    <w:rsid w:val="022D649C"/>
    <w:rsid w:val="02351774"/>
    <w:rsid w:val="023A6ECB"/>
    <w:rsid w:val="02420646"/>
    <w:rsid w:val="028223A8"/>
    <w:rsid w:val="02A9706C"/>
    <w:rsid w:val="02AF6599"/>
    <w:rsid w:val="02DE374B"/>
    <w:rsid w:val="02F72868"/>
    <w:rsid w:val="03044359"/>
    <w:rsid w:val="03173665"/>
    <w:rsid w:val="031C67BA"/>
    <w:rsid w:val="03442A09"/>
    <w:rsid w:val="03511571"/>
    <w:rsid w:val="035E37BC"/>
    <w:rsid w:val="03715197"/>
    <w:rsid w:val="03A25185"/>
    <w:rsid w:val="03A92E0C"/>
    <w:rsid w:val="03A93F07"/>
    <w:rsid w:val="03DD17F0"/>
    <w:rsid w:val="03F51E23"/>
    <w:rsid w:val="03F730D5"/>
    <w:rsid w:val="040E2332"/>
    <w:rsid w:val="040E4213"/>
    <w:rsid w:val="04137380"/>
    <w:rsid w:val="04160294"/>
    <w:rsid w:val="0421064D"/>
    <w:rsid w:val="0424709F"/>
    <w:rsid w:val="04273734"/>
    <w:rsid w:val="042C6AE4"/>
    <w:rsid w:val="04333CD3"/>
    <w:rsid w:val="0439748C"/>
    <w:rsid w:val="045F4428"/>
    <w:rsid w:val="04663DEE"/>
    <w:rsid w:val="048B6224"/>
    <w:rsid w:val="049C3EF3"/>
    <w:rsid w:val="04BC1BA0"/>
    <w:rsid w:val="04CC4566"/>
    <w:rsid w:val="04DB553C"/>
    <w:rsid w:val="04E52637"/>
    <w:rsid w:val="04FD23FC"/>
    <w:rsid w:val="04FF72E6"/>
    <w:rsid w:val="05005426"/>
    <w:rsid w:val="053201CC"/>
    <w:rsid w:val="055A38B5"/>
    <w:rsid w:val="059C5F8E"/>
    <w:rsid w:val="05AD5736"/>
    <w:rsid w:val="05AD7DDA"/>
    <w:rsid w:val="05BB241B"/>
    <w:rsid w:val="05CA2818"/>
    <w:rsid w:val="05CF4780"/>
    <w:rsid w:val="05E14B07"/>
    <w:rsid w:val="05FA06DD"/>
    <w:rsid w:val="06023A8F"/>
    <w:rsid w:val="0611621E"/>
    <w:rsid w:val="063F258E"/>
    <w:rsid w:val="065044F8"/>
    <w:rsid w:val="0653482B"/>
    <w:rsid w:val="06710E08"/>
    <w:rsid w:val="06B7286F"/>
    <w:rsid w:val="06BF75C9"/>
    <w:rsid w:val="06C116BD"/>
    <w:rsid w:val="06C6516F"/>
    <w:rsid w:val="06C767F8"/>
    <w:rsid w:val="06EA2FBD"/>
    <w:rsid w:val="06ED1770"/>
    <w:rsid w:val="06FE4AAE"/>
    <w:rsid w:val="070157D1"/>
    <w:rsid w:val="07117CDC"/>
    <w:rsid w:val="07230E2A"/>
    <w:rsid w:val="07354BE2"/>
    <w:rsid w:val="073C402C"/>
    <w:rsid w:val="07506DDE"/>
    <w:rsid w:val="07637D5C"/>
    <w:rsid w:val="078360F1"/>
    <w:rsid w:val="079555F7"/>
    <w:rsid w:val="079E3E7E"/>
    <w:rsid w:val="07AA21A6"/>
    <w:rsid w:val="07B323DD"/>
    <w:rsid w:val="07CB1191"/>
    <w:rsid w:val="07D33E7D"/>
    <w:rsid w:val="07DA2552"/>
    <w:rsid w:val="07E61182"/>
    <w:rsid w:val="07F876CF"/>
    <w:rsid w:val="07FA3FC0"/>
    <w:rsid w:val="08337E2C"/>
    <w:rsid w:val="08376BE0"/>
    <w:rsid w:val="08424D1E"/>
    <w:rsid w:val="08483779"/>
    <w:rsid w:val="085D5FC0"/>
    <w:rsid w:val="086D3042"/>
    <w:rsid w:val="0886626A"/>
    <w:rsid w:val="08912C45"/>
    <w:rsid w:val="08AD0CF8"/>
    <w:rsid w:val="08AD503B"/>
    <w:rsid w:val="08B604BF"/>
    <w:rsid w:val="08C76CFD"/>
    <w:rsid w:val="08E340CC"/>
    <w:rsid w:val="08E95B0E"/>
    <w:rsid w:val="08FD2E27"/>
    <w:rsid w:val="090C54BE"/>
    <w:rsid w:val="09271627"/>
    <w:rsid w:val="092936B1"/>
    <w:rsid w:val="096A4BCE"/>
    <w:rsid w:val="09710521"/>
    <w:rsid w:val="098226D8"/>
    <w:rsid w:val="09894939"/>
    <w:rsid w:val="09A02CD8"/>
    <w:rsid w:val="09D771B0"/>
    <w:rsid w:val="09DA500D"/>
    <w:rsid w:val="0A165448"/>
    <w:rsid w:val="0A1F0C00"/>
    <w:rsid w:val="0A3F61A5"/>
    <w:rsid w:val="0A502EA2"/>
    <w:rsid w:val="0A5758F7"/>
    <w:rsid w:val="0A67144A"/>
    <w:rsid w:val="0A71618F"/>
    <w:rsid w:val="0A7E1671"/>
    <w:rsid w:val="0AB610B3"/>
    <w:rsid w:val="0AC16F66"/>
    <w:rsid w:val="0AE86D78"/>
    <w:rsid w:val="0B435CD5"/>
    <w:rsid w:val="0B456825"/>
    <w:rsid w:val="0B4B17AC"/>
    <w:rsid w:val="0B4C1B40"/>
    <w:rsid w:val="0B4F5787"/>
    <w:rsid w:val="0B625354"/>
    <w:rsid w:val="0B6438A9"/>
    <w:rsid w:val="0BB80799"/>
    <w:rsid w:val="0BC22757"/>
    <w:rsid w:val="0BD0342B"/>
    <w:rsid w:val="0BE3070D"/>
    <w:rsid w:val="0BE659E2"/>
    <w:rsid w:val="0BE94FBA"/>
    <w:rsid w:val="0C367BBD"/>
    <w:rsid w:val="0C3C4113"/>
    <w:rsid w:val="0C4225D4"/>
    <w:rsid w:val="0C49239C"/>
    <w:rsid w:val="0C4E57C8"/>
    <w:rsid w:val="0C7336D0"/>
    <w:rsid w:val="0C896AD7"/>
    <w:rsid w:val="0CB01184"/>
    <w:rsid w:val="0CC36F40"/>
    <w:rsid w:val="0CCE2CF7"/>
    <w:rsid w:val="0CE75800"/>
    <w:rsid w:val="0CEE2338"/>
    <w:rsid w:val="0CF02600"/>
    <w:rsid w:val="0D162766"/>
    <w:rsid w:val="0D30615A"/>
    <w:rsid w:val="0D3F7772"/>
    <w:rsid w:val="0D431886"/>
    <w:rsid w:val="0D4A590E"/>
    <w:rsid w:val="0D4C5E85"/>
    <w:rsid w:val="0D50445B"/>
    <w:rsid w:val="0D7807F1"/>
    <w:rsid w:val="0D895A46"/>
    <w:rsid w:val="0D9B67EB"/>
    <w:rsid w:val="0DA45AD2"/>
    <w:rsid w:val="0DE86CEC"/>
    <w:rsid w:val="0E057004"/>
    <w:rsid w:val="0E0A51BD"/>
    <w:rsid w:val="0E141CA7"/>
    <w:rsid w:val="0E1D6D0A"/>
    <w:rsid w:val="0E1F0234"/>
    <w:rsid w:val="0E386D2E"/>
    <w:rsid w:val="0E3D1DE5"/>
    <w:rsid w:val="0E442D5B"/>
    <w:rsid w:val="0E4E7B59"/>
    <w:rsid w:val="0E6E5960"/>
    <w:rsid w:val="0EAB7B80"/>
    <w:rsid w:val="0EAE4301"/>
    <w:rsid w:val="0ED27024"/>
    <w:rsid w:val="0ED94F19"/>
    <w:rsid w:val="0EDC5EDB"/>
    <w:rsid w:val="0F0A381F"/>
    <w:rsid w:val="0F1B0DB7"/>
    <w:rsid w:val="0F3425BB"/>
    <w:rsid w:val="0F5A5FCA"/>
    <w:rsid w:val="0F6C7EA7"/>
    <w:rsid w:val="0F7A2457"/>
    <w:rsid w:val="0FA03F81"/>
    <w:rsid w:val="0FB7129D"/>
    <w:rsid w:val="0FC5121F"/>
    <w:rsid w:val="0FC52200"/>
    <w:rsid w:val="0FC57219"/>
    <w:rsid w:val="0FCD54FE"/>
    <w:rsid w:val="0FD905B4"/>
    <w:rsid w:val="0FDB1E2E"/>
    <w:rsid w:val="0FF11896"/>
    <w:rsid w:val="0FF743B8"/>
    <w:rsid w:val="100205EE"/>
    <w:rsid w:val="104114BC"/>
    <w:rsid w:val="1045758D"/>
    <w:rsid w:val="104F21E7"/>
    <w:rsid w:val="10522A43"/>
    <w:rsid w:val="105950B7"/>
    <w:rsid w:val="10681B45"/>
    <w:rsid w:val="10D545EB"/>
    <w:rsid w:val="10E14BD5"/>
    <w:rsid w:val="10E51E7E"/>
    <w:rsid w:val="110045E6"/>
    <w:rsid w:val="1109548A"/>
    <w:rsid w:val="110E4212"/>
    <w:rsid w:val="11156035"/>
    <w:rsid w:val="111F2499"/>
    <w:rsid w:val="11296D36"/>
    <w:rsid w:val="1146103D"/>
    <w:rsid w:val="116C7384"/>
    <w:rsid w:val="11DD37F5"/>
    <w:rsid w:val="12305D0B"/>
    <w:rsid w:val="124B307E"/>
    <w:rsid w:val="12595354"/>
    <w:rsid w:val="12676ACE"/>
    <w:rsid w:val="128C79F5"/>
    <w:rsid w:val="12987FD1"/>
    <w:rsid w:val="12D57C7C"/>
    <w:rsid w:val="12DE2F04"/>
    <w:rsid w:val="12E84200"/>
    <w:rsid w:val="12F453F7"/>
    <w:rsid w:val="130D6A57"/>
    <w:rsid w:val="135A65CD"/>
    <w:rsid w:val="13681291"/>
    <w:rsid w:val="139A72A6"/>
    <w:rsid w:val="13D75C16"/>
    <w:rsid w:val="141A71FC"/>
    <w:rsid w:val="14393E39"/>
    <w:rsid w:val="1439492C"/>
    <w:rsid w:val="144E282E"/>
    <w:rsid w:val="148B16AC"/>
    <w:rsid w:val="14905D77"/>
    <w:rsid w:val="14B00E80"/>
    <w:rsid w:val="14B97AE2"/>
    <w:rsid w:val="14C13D98"/>
    <w:rsid w:val="14C818C6"/>
    <w:rsid w:val="14D17473"/>
    <w:rsid w:val="14D2285A"/>
    <w:rsid w:val="14F848F0"/>
    <w:rsid w:val="152D2F19"/>
    <w:rsid w:val="1533008F"/>
    <w:rsid w:val="153D3401"/>
    <w:rsid w:val="155142E7"/>
    <w:rsid w:val="15855A36"/>
    <w:rsid w:val="158E06A1"/>
    <w:rsid w:val="15932B1E"/>
    <w:rsid w:val="15AF36C0"/>
    <w:rsid w:val="15CA175D"/>
    <w:rsid w:val="15D73E4B"/>
    <w:rsid w:val="15E33907"/>
    <w:rsid w:val="15EE7CEF"/>
    <w:rsid w:val="160D691C"/>
    <w:rsid w:val="163329C3"/>
    <w:rsid w:val="16333435"/>
    <w:rsid w:val="16391530"/>
    <w:rsid w:val="16550678"/>
    <w:rsid w:val="166C136C"/>
    <w:rsid w:val="168C0198"/>
    <w:rsid w:val="16C6539F"/>
    <w:rsid w:val="16C83962"/>
    <w:rsid w:val="16ED23AA"/>
    <w:rsid w:val="17195883"/>
    <w:rsid w:val="173E2364"/>
    <w:rsid w:val="173E4E07"/>
    <w:rsid w:val="1761710C"/>
    <w:rsid w:val="17812612"/>
    <w:rsid w:val="1789592C"/>
    <w:rsid w:val="17933C9F"/>
    <w:rsid w:val="17936E30"/>
    <w:rsid w:val="17B13E29"/>
    <w:rsid w:val="17D67A38"/>
    <w:rsid w:val="17DB1463"/>
    <w:rsid w:val="17E77319"/>
    <w:rsid w:val="17E97C5D"/>
    <w:rsid w:val="17ED5B45"/>
    <w:rsid w:val="18260DD1"/>
    <w:rsid w:val="182656C2"/>
    <w:rsid w:val="182E7A85"/>
    <w:rsid w:val="18303541"/>
    <w:rsid w:val="183735E3"/>
    <w:rsid w:val="18485D36"/>
    <w:rsid w:val="18744310"/>
    <w:rsid w:val="189F530B"/>
    <w:rsid w:val="18A12DFD"/>
    <w:rsid w:val="18A922F3"/>
    <w:rsid w:val="18B137E8"/>
    <w:rsid w:val="18BB2661"/>
    <w:rsid w:val="18D46399"/>
    <w:rsid w:val="18DD438F"/>
    <w:rsid w:val="18EA09E3"/>
    <w:rsid w:val="18F10945"/>
    <w:rsid w:val="18F56002"/>
    <w:rsid w:val="192F50C9"/>
    <w:rsid w:val="195E66AA"/>
    <w:rsid w:val="19633F03"/>
    <w:rsid w:val="196F047E"/>
    <w:rsid w:val="19943641"/>
    <w:rsid w:val="199E02FC"/>
    <w:rsid w:val="19BA1CE3"/>
    <w:rsid w:val="19DF55C2"/>
    <w:rsid w:val="1A0C61A8"/>
    <w:rsid w:val="1A132F57"/>
    <w:rsid w:val="1A300E03"/>
    <w:rsid w:val="1A5F760F"/>
    <w:rsid w:val="1A6F3E95"/>
    <w:rsid w:val="1A6F6E85"/>
    <w:rsid w:val="1AD22ED2"/>
    <w:rsid w:val="1AD51B88"/>
    <w:rsid w:val="1B0167A6"/>
    <w:rsid w:val="1B2058A0"/>
    <w:rsid w:val="1B2D037E"/>
    <w:rsid w:val="1B566A66"/>
    <w:rsid w:val="1B8565CF"/>
    <w:rsid w:val="1B9104B0"/>
    <w:rsid w:val="1BA96293"/>
    <w:rsid w:val="1BAC363D"/>
    <w:rsid w:val="1BCC6EA6"/>
    <w:rsid w:val="1BD60F79"/>
    <w:rsid w:val="1C075926"/>
    <w:rsid w:val="1C0C60A0"/>
    <w:rsid w:val="1C261B3D"/>
    <w:rsid w:val="1C2A710A"/>
    <w:rsid w:val="1C41527E"/>
    <w:rsid w:val="1C49412F"/>
    <w:rsid w:val="1C4D3DCD"/>
    <w:rsid w:val="1C4F5FC4"/>
    <w:rsid w:val="1C64078D"/>
    <w:rsid w:val="1C81524F"/>
    <w:rsid w:val="1CA121A3"/>
    <w:rsid w:val="1CDF257F"/>
    <w:rsid w:val="1CE40841"/>
    <w:rsid w:val="1CF405AE"/>
    <w:rsid w:val="1CFB22F4"/>
    <w:rsid w:val="1D014450"/>
    <w:rsid w:val="1D1D3BBA"/>
    <w:rsid w:val="1D2131AC"/>
    <w:rsid w:val="1D2A2C86"/>
    <w:rsid w:val="1D2A6659"/>
    <w:rsid w:val="1D41310E"/>
    <w:rsid w:val="1D426DC5"/>
    <w:rsid w:val="1D4377C2"/>
    <w:rsid w:val="1D54682E"/>
    <w:rsid w:val="1D575B51"/>
    <w:rsid w:val="1D83301E"/>
    <w:rsid w:val="1D836FC7"/>
    <w:rsid w:val="1D8D5AA7"/>
    <w:rsid w:val="1D956BB8"/>
    <w:rsid w:val="1D9F4A19"/>
    <w:rsid w:val="1DA05599"/>
    <w:rsid w:val="1DAB519B"/>
    <w:rsid w:val="1DC65420"/>
    <w:rsid w:val="1DC94DC3"/>
    <w:rsid w:val="1DD04ECF"/>
    <w:rsid w:val="1DD44A27"/>
    <w:rsid w:val="1DFE319E"/>
    <w:rsid w:val="1E0649A4"/>
    <w:rsid w:val="1E144E53"/>
    <w:rsid w:val="1E474E6F"/>
    <w:rsid w:val="1E6843C7"/>
    <w:rsid w:val="1E84688B"/>
    <w:rsid w:val="1EA60FCA"/>
    <w:rsid w:val="1EA87417"/>
    <w:rsid w:val="1ED70A99"/>
    <w:rsid w:val="1F35766F"/>
    <w:rsid w:val="1F65672E"/>
    <w:rsid w:val="1F6B4880"/>
    <w:rsid w:val="1F6D18D3"/>
    <w:rsid w:val="1F7222CF"/>
    <w:rsid w:val="1F855EC8"/>
    <w:rsid w:val="1F865B87"/>
    <w:rsid w:val="1F8D0E35"/>
    <w:rsid w:val="1FB611E4"/>
    <w:rsid w:val="1FBA2E91"/>
    <w:rsid w:val="1FC02D54"/>
    <w:rsid w:val="1FD92D82"/>
    <w:rsid w:val="1FE56E8A"/>
    <w:rsid w:val="1FEE1F52"/>
    <w:rsid w:val="207471CF"/>
    <w:rsid w:val="20950348"/>
    <w:rsid w:val="20981E88"/>
    <w:rsid w:val="20A06A24"/>
    <w:rsid w:val="20A10137"/>
    <w:rsid w:val="20A76189"/>
    <w:rsid w:val="20B31279"/>
    <w:rsid w:val="20B97750"/>
    <w:rsid w:val="20BD2343"/>
    <w:rsid w:val="20C125E5"/>
    <w:rsid w:val="20F77EBA"/>
    <w:rsid w:val="20FE0571"/>
    <w:rsid w:val="21040EE9"/>
    <w:rsid w:val="212F48FD"/>
    <w:rsid w:val="21441300"/>
    <w:rsid w:val="21592DC8"/>
    <w:rsid w:val="216135E4"/>
    <w:rsid w:val="218E60D2"/>
    <w:rsid w:val="21A41CE3"/>
    <w:rsid w:val="21B23C30"/>
    <w:rsid w:val="21D5663A"/>
    <w:rsid w:val="21FF37BF"/>
    <w:rsid w:val="220D5F91"/>
    <w:rsid w:val="220F017A"/>
    <w:rsid w:val="221A07BB"/>
    <w:rsid w:val="223A4047"/>
    <w:rsid w:val="223D6488"/>
    <w:rsid w:val="224F423C"/>
    <w:rsid w:val="22590C76"/>
    <w:rsid w:val="227710AB"/>
    <w:rsid w:val="229B4E78"/>
    <w:rsid w:val="22C77F82"/>
    <w:rsid w:val="22E50F21"/>
    <w:rsid w:val="22F211C2"/>
    <w:rsid w:val="22F562BD"/>
    <w:rsid w:val="23054BAA"/>
    <w:rsid w:val="231C3AC6"/>
    <w:rsid w:val="23261385"/>
    <w:rsid w:val="233970A1"/>
    <w:rsid w:val="2390118C"/>
    <w:rsid w:val="239A7798"/>
    <w:rsid w:val="23A33225"/>
    <w:rsid w:val="23A3458B"/>
    <w:rsid w:val="23A83880"/>
    <w:rsid w:val="23AC3B0D"/>
    <w:rsid w:val="23AC7B00"/>
    <w:rsid w:val="23AE3EA4"/>
    <w:rsid w:val="23BD797B"/>
    <w:rsid w:val="23CC13DF"/>
    <w:rsid w:val="241374BB"/>
    <w:rsid w:val="24163F6F"/>
    <w:rsid w:val="241C0641"/>
    <w:rsid w:val="24210897"/>
    <w:rsid w:val="242E0AC8"/>
    <w:rsid w:val="24474E0A"/>
    <w:rsid w:val="244E4AD0"/>
    <w:rsid w:val="2457213D"/>
    <w:rsid w:val="246B4679"/>
    <w:rsid w:val="248A767B"/>
    <w:rsid w:val="249900C5"/>
    <w:rsid w:val="24BF7D42"/>
    <w:rsid w:val="253B4094"/>
    <w:rsid w:val="255D2F2A"/>
    <w:rsid w:val="256C5A3D"/>
    <w:rsid w:val="257963F1"/>
    <w:rsid w:val="257D2B89"/>
    <w:rsid w:val="259734FD"/>
    <w:rsid w:val="25A12DD9"/>
    <w:rsid w:val="25A7402B"/>
    <w:rsid w:val="25D966A6"/>
    <w:rsid w:val="25FE15DC"/>
    <w:rsid w:val="26272FA3"/>
    <w:rsid w:val="26363B13"/>
    <w:rsid w:val="26571428"/>
    <w:rsid w:val="26653EC4"/>
    <w:rsid w:val="26806C09"/>
    <w:rsid w:val="26863962"/>
    <w:rsid w:val="268F15B2"/>
    <w:rsid w:val="26983FA4"/>
    <w:rsid w:val="26FA6E39"/>
    <w:rsid w:val="271E4603"/>
    <w:rsid w:val="272342DC"/>
    <w:rsid w:val="27264DFC"/>
    <w:rsid w:val="272A0710"/>
    <w:rsid w:val="27555997"/>
    <w:rsid w:val="276E4B45"/>
    <w:rsid w:val="277E0E1B"/>
    <w:rsid w:val="27C13C20"/>
    <w:rsid w:val="27E47883"/>
    <w:rsid w:val="27EA0124"/>
    <w:rsid w:val="2807271F"/>
    <w:rsid w:val="28120519"/>
    <w:rsid w:val="281327C3"/>
    <w:rsid w:val="28195AAE"/>
    <w:rsid w:val="282E5A61"/>
    <w:rsid w:val="28323569"/>
    <w:rsid w:val="28326E12"/>
    <w:rsid w:val="28504863"/>
    <w:rsid w:val="28674296"/>
    <w:rsid w:val="287013AF"/>
    <w:rsid w:val="28934004"/>
    <w:rsid w:val="28943CBF"/>
    <w:rsid w:val="28B9246E"/>
    <w:rsid w:val="28E96526"/>
    <w:rsid w:val="28F77A34"/>
    <w:rsid w:val="28FB2B17"/>
    <w:rsid w:val="2905469E"/>
    <w:rsid w:val="29213FAC"/>
    <w:rsid w:val="2922131A"/>
    <w:rsid w:val="294019F3"/>
    <w:rsid w:val="295C30A0"/>
    <w:rsid w:val="295F6F3A"/>
    <w:rsid w:val="2978542E"/>
    <w:rsid w:val="298168E8"/>
    <w:rsid w:val="29880DC9"/>
    <w:rsid w:val="299658C8"/>
    <w:rsid w:val="29C74336"/>
    <w:rsid w:val="29EB473E"/>
    <w:rsid w:val="29FF6BE7"/>
    <w:rsid w:val="2A0C4705"/>
    <w:rsid w:val="2A104C01"/>
    <w:rsid w:val="2A2219FF"/>
    <w:rsid w:val="2A2649D3"/>
    <w:rsid w:val="2A2F0453"/>
    <w:rsid w:val="2A375CB0"/>
    <w:rsid w:val="2A4F7A8E"/>
    <w:rsid w:val="2A5C693A"/>
    <w:rsid w:val="2A783A41"/>
    <w:rsid w:val="2A7C052B"/>
    <w:rsid w:val="2A9D1044"/>
    <w:rsid w:val="2AA14EFF"/>
    <w:rsid w:val="2AC52B69"/>
    <w:rsid w:val="2AD22CF3"/>
    <w:rsid w:val="2AE42B9F"/>
    <w:rsid w:val="2AFA4FF0"/>
    <w:rsid w:val="2AFF35D3"/>
    <w:rsid w:val="2B0A651F"/>
    <w:rsid w:val="2B132D50"/>
    <w:rsid w:val="2B4604CF"/>
    <w:rsid w:val="2B6076B4"/>
    <w:rsid w:val="2B617D56"/>
    <w:rsid w:val="2B631EFF"/>
    <w:rsid w:val="2B6E542D"/>
    <w:rsid w:val="2BAC408F"/>
    <w:rsid w:val="2BAF7830"/>
    <w:rsid w:val="2BDD0A2E"/>
    <w:rsid w:val="2BEB27E3"/>
    <w:rsid w:val="2BEB2E9D"/>
    <w:rsid w:val="2BF06A06"/>
    <w:rsid w:val="2BF61207"/>
    <w:rsid w:val="2C1713D1"/>
    <w:rsid w:val="2C2E6F83"/>
    <w:rsid w:val="2C620007"/>
    <w:rsid w:val="2C842FD5"/>
    <w:rsid w:val="2CA8063D"/>
    <w:rsid w:val="2CD367CC"/>
    <w:rsid w:val="2CDD2B9E"/>
    <w:rsid w:val="2D09394F"/>
    <w:rsid w:val="2D1C132F"/>
    <w:rsid w:val="2D51298D"/>
    <w:rsid w:val="2D6345E9"/>
    <w:rsid w:val="2D7E4209"/>
    <w:rsid w:val="2D9B288E"/>
    <w:rsid w:val="2DBD42B5"/>
    <w:rsid w:val="2DC60B8D"/>
    <w:rsid w:val="2DCB5DC1"/>
    <w:rsid w:val="2DCE5309"/>
    <w:rsid w:val="2DE2242A"/>
    <w:rsid w:val="2E400D4B"/>
    <w:rsid w:val="2E4225F7"/>
    <w:rsid w:val="2E463849"/>
    <w:rsid w:val="2E5A5340"/>
    <w:rsid w:val="2E6E73D5"/>
    <w:rsid w:val="2E81141D"/>
    <w:rsid w:val="2E9A7ADA"/>
    <w:rsid w:val="2EC2396D"/>
    <w:rsid w:val="2ECC1FF9"/>
    <w:rsid w:val="2EF80558"/>
    <w:rsid w:val="2F1B0798"/>
    <w:rsid w:val="2F491BA5"/>
    <w:rsid w:val="2F4F0438"/>
    <w:rsid w:val="2F506BFB"/>
    <w:rsid w:val="2F7E2CC0"/>
    <w:rsid w:val="2F871ABC"/>
    <w:rsid w:val="2F921764"/>
    <w:rsid w:val="2F98405A"/>
    <w:rsid w:val="2FA276F4"/>
    <w:rsid w:val="2FAF32EB"/>
    <w:rsid w:val="2FD11EB8"/>
    <w:rsid w:val="2FE1749B"/>
    <w:rsid w:val="303606F3"/>
    <w:rsid w:val="303D5772"/>
    <w:rsid w:val="303E1ECD"/>
    <w:rsid w:val="303E2207"/>
    <w:rsid w:val="30533443"/>
    <w:rsid w:val="306E40F7"/>
    <w:rsid w:val="306F4499"/>
    <w:rsid w:val="30A604B3"/>
    <w:rsid w:val="30B15581"/>
    <w:rsid w:val="30B32EF2"/>
    <w:rsid w:val="30B93848"/>
    <w:rsid w:val="30BB37BA"/>
    <w:rsid w:val="30BE1DE8"/>
    <w:rsid w:val="31253510"/>
    <w:rsid w:val="313177AD"/>
    <w:rsid w:val="31341EAD"/>
    <w:rsid w:val="313712DD"/>
    <w:rsid w:val="31423CC5"/>
    <w:rsid w:val="31532C6E"/>
    <w:rsid w:val="3157256E"/>
    <w:rsid w:val="3160159B"/>
    <w:rsid w:val="316102EA"/>
    <w:rsid w:val="31665B97"/>
    <w:rsid w:val="31711EF3"/>
    <w:rsid w:val="317433D6"/>
    <w:rsid w:val="31854B7E"/>
    <w:rsid w:val="31E86EE4"/>
    <w:rsid w:val="31F00167"/>
    <w:rsid w:val="31FD6157"/>
    <w:rsid w:val="32171B71"/>
    <w:rsid w:val="322B53E9"/>
    <w:rsid w:val="3242780E"/>
    <w:rsid w:val="3259778C"/>
    <w:rsid w:val="32915ABA"/>
    <w:rsid w:val="329C1497"/>
    <w:rsid w:val="32D72576"/>
    <w:rsid w:val="32D93319"/>
    <w:rsid w:val="32E04086"/>
    <w:rsid w:val="32F96A45"/>
    <w:rsid w:val="330D0307"/>
    <w:rsid w:val="331D384C"/>
    <w:rsid w:val="332C3D97"/>
    <w:rsid w:val="3360351F"/>
    <w:rsid w:val="33620CB2"/>
    <w:rsid w:val="33777078"/>
    <w:rsid w:val="33B17CDB"/>
    <w:rsid w:val="33BB673F"/>
    <w:rsid w:val="33E04B57"/>
    <w:rsid w:val="33FA7456"/>
    <w:rsid w:val="34024883"/>
    <w:rsid w:val="342C6E98"/>
    <w:rsid w:val="343B422E"/>
    <w:rsid w:val="344F7140"/>
    <w:rsid w:val="34714E70"/>
    <w:rsid w:val="34755DB1"/>
    <w:rsid w:val="34935876"/>
    <w:rsid w:val="349E0FB2"/>
    <w:rsid w:val="34A96A1A"/>
    <w:rsid w:val="34B370D1"/>
    <w:rsid w:val="34CA52FD"/>
    <w:rsid w:val="34E622D6"/>
    <w:rsid w:val="35073B82"/>
    <w:rsid w:val="3518700F"/>
    <w:rsid w:val="352F2FF3"/>
    <w:rsid w:val="35375748"/>
    <w:rsid w:val="35486C73"/>
    <w:rsid w:val="35862EB2"/>
    <w:rsid w:val="359E09BB"/>
    <w:rsid w:val="35C556EC"/>
    <w:rsid w:val="35ED13C3"/>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2F4949"/>
    <w:rsid w:val="3736228A"/>
    <w:rsid w:val="37671725"/>
    <w:rsid w:val="376F122C"/>
    <w:rsid w:val="3798526A"/>
    <w:rsid w:val="37B72EB1"/>
    <w:rsid w:val="37C1607A"/>
    <w:rsid w:val="37C42A0D"/>
    <w:rsid w:val="37C806F3"/>
    <w:rsid w:val="37C85C3C"/>
    <w:rsid w:val="37CF1603"/>
    <w:rsid w:val="37D12506"/>
    <w:rsid w:val="38585500"/>
    <w:rsid w:val="385D1C71"/>
    <w:rsid w:val="386038B3"/>
    <w:rsid w:val="38684A38"/>
    <w:rsid w:val="388E1434"/>
    <w:rsid w:val="38BA5460"/>
    <w:rsid w:val="38C62FF5"/>
    <w:rsid w:val="38D62476"/>
    <w:rsid w:val="38E27127"/>
    <w:rsid w:val="39027E88"/>
    <w:rsid w:val="39075875"/>
    <w:rsid w:val="391904A1"/>
    <w:rsid w:val="391C718D"/>
    <w:rsid w:val="394D30B0"/>
    <w:rsid w:val="394F6067"/>
    <w:rsid w:val="39624091"/>
    <w:rsid w:val="397C6037"/>
    <w:rsid w:val="39D43B66"/>
    <w:rsid w:val="39EC03FA"/>
    <w:rsid w:val="3A1D058F"/>
    <w:rsid w:val="3A1E303B"/>
    <w:rsid w:val="3A1F74C9"/>
    <w:rsid w:val="3A2A1F54"/>
    <w:rsid w:val="3A2D40D1"/>
    <w:rsid w:val="3A314B02"/>
    <w:rsid w:val="3A5C2602"/>
    <w:rsid w:val="3A79657B"/>
    <w:rsid w:val="3A8B77C7"/>
    <w:rsid w:val="3A8F7DE5"/>
    <w:rsid w:val="3A9A32EA"/>
    <w:rsid w:val="3ACD391F"/>
    <w:rsid w:val="3B026D00"/>
    <w:rsid w:val="3B1471CB"/>
    <w:rsid w:val="3B3836C7"/>
    <w:rsid w:val="3B5F2B46"/>
    <w:rsid w:val="3B655681"/>
    <w:rsid w:val="3B6C4553"/>
    <w:rsid w:val="3B6F3ABC"/>
    <w:rsid w:val="3B7527F4"/>
    <w:rsid w:val="3B7754EB"/>
    <w:rsid w:val="3B9D358D"/>
    <w:rsid w:val="3BAA143A"/>
    <w:rsid w:val="3BAC7D85"/>
    <w:rsid w:val="3BC378A6"/>
    <w:rsid w:val="3BDC08FD"/>
    <w:rsid w:val="3BE42ECD"/>
    <w:rsid w:val="3BFE1CAB"/>
    <w:rsid w:val="3C10260E"/>
    <w:rsid w:val="3C274A05"/>
    <w:rsid w:val="3C43437F"/>
    <w:rsid w:val="3C4F746D"/>
    <w:rsid w:val="3C625F9F"/>
    <w:rsid w:val="3C6A66D6"/>
    <w:rsid w:val="3C7511AE"/>
    <w:rsid w:val="3CA977D2"/>
    <w:rsid w:val="3CBF0958"/>
    <w:rsid w:val="3CC733AF"/>
    <w:rsid w:val="3CCB1880"/>
    <w:rsid w:val="3CD72551"/>
    <w:rsid w:val="3CD80EE8"/>
    <w:rsid w:val="3CF76813"/>
    <w:rsid w:val="3CFC6063"/>
    <w:rsid w:val="3D1319B5"/>
    <w:rsid w:val="3D260CA6"/>
    <w:rsid w:val="3D520CCB"/>
    <w:rsid w:val="3D5C6974"/>
    <w:rsid w:val="3D6678B0"/>
    <w:rsid w:val="3D772181"/>
    <w:rsid w:val="3D823D30"/>
    <w:rsid w:val="3DC456E6"/>
    <w:rsid w:val="3DCE6FB3"/>
    <w:rsid w:val="3DD16176"/>
    <w:rsid w:val="3E104E3F"/>
    <w:rsid w:val="3E1D6E9C"/>
    <w:rsid w:val="3E3A052C"/>
    <w:rsid w:val="3E4A1BED"/>
    <w:rsid w:val="3E662345"/>
    <w:rsid w:val="3E82228B"/>
    <w:rsid w:val="3E8242C1"/>
    <w:rsid w:val="3E976A9E"/>
    <w:rsid w:val="3E9C0B16"/>
    <w:rsid w:val="3EB33AF3"/>
    <w:rsid w:val="3EEA62D8"/>
    <w:rsid w:val="3EFD0DF6"/>
    <w:rsid w:val="3EFE49C6"/>
    <w:rsid w:val="3F0A5B5C"/>
    <w:rsid w:val="3F1A0890"/>
    <w:rsid w:val="3F3F5846"/>
    <w:rsid w:val="3F71500B"/>
    <w:rsid w:val="3F7B33F8"/>
    <w:rsid w:val="3F801023"/>
    <w:rsid w:val="3F8064EB"/>
    <w:rsid w:val="3F934111"/>
    <w:rsid w:val="3F950FB5"/>
    <w:rsid w:val="3F982DCA"/>
    <w:rsid w:val="3FA05CDE"/>
    <w:rsid w:val="3FCB5632"/>
    <w:rsid w:val="3FD12D26"/>
    <w:rsid w:val="3FDE4917"/>
    <w:rsid w:val="3FE2412F"/>
    <w:rsid w:val="402F3ADF"/>
    <w:rsid w:val="40306F5A"/>
    <w:rsid w:val="40476BB3"/>
    <w:rsid w:val="404A17AD"/>
    <w:rsid w:val="40546FB6"/>
    <w:rsid w:val="40554803"/>
    <w:rsid w:val="407A60D5"/>
    <w:rsid w:val="407D4F24"/>
    <w:rsid w:val="40961808"/>
    <w:rsid w:val="40A54CE2"/>
    <w:rsid w:val="40AB4DEE"/>
    <w:rsid w:val="40D24BBE"/>
    <w:rsid w:val="40EC4043"/>
    <w:rsid w:val="41166469"/>
    <w:rsid w:val="412008E0"/>
    <w:rsid w:val="413A6D3B"/>
    <w:rsid w:val="41515AC7"/>
    <w:rsid w:val="41902B9F"/>
    <w:rsid w:val="41C02331"/>
    <w:rsid w:val="41C13A63"/>
    <w:rsid w:val="41C67037"/>
    <w:rsid w:val="41D229E1"/>
    <w:rsid w:val="41EC6E94"/>
    <w:rsid w:val="41F72149"/>
    <w:rsid w:val="4201663B"/>
    <w:rsid w:val="4228585D"/>
    <w:rsid w:val="42415ACC"/>
    <w:rsid w:val="425360DC"/>
    <w:rsid w:val="427D539F"/>
    <w:rsid w:val="428E01E1"/>
    <w:rsid w:val="42991E30"/>
    <w:rsid w:val="429F402B"/>
    <w:rsid w:val="42BF647C"/>
    <w:rsid w:val="42CC19F4"/>
    <w:rsid w:val="42CE0B28"/>
    <w:rsid w:val="42CF6367"/>
    <w:rsid w:val="42D36FBC"/>
    <w:rsid w:val="42DE1CCC"/>
    <w:rsid w:val="4308546B"/>
    <w:rsid w:val="43263445"/>
    <w:rsid w:val="434157E3"/>
    <w:rsid w:val="43494860"/>
    <w:rsid w:val="434D380E"/>
    <w:rsid w:val="43934189"/>
    <w:rsid w:val="439D4850"/>
    <w:rsid w:val="43C27232"/>
    <w:rsid w:val="43EC5186"/>
    <w:rsid w:val="43ED069F"/>
    <w:rsid w:val="442A6E5A"/>
    <w:rsid w:val="44356E29"/>
    <w:rsid w:val="443D4992"/>
    <w:rsid w:val="445C4B8F"/>
    <w:rsid w:val="447C2A1B"/>
    <w:rsid w:val="447F5CBE"/>
    <w:rsid w:val="44833851"/>
    <w:rsid w:val="44982752"/>
    <w:rsid w:val="44BF6F86"/>
    <w:rsid w:val="44C45031"/>
    <w:rsid w:val="44D31C1D"/>
    <w:rsid w:val="44D53AB2"/>
    <w:rsid w:val="44DA00B4"/>
    <w:rsid w:val="44F27B0D"/>
    <w:rsid w:val="45151583"/>
    <w:rsid w:val="45174CA4"/>
    <w:rsid w:val="45340249"/>
    <w:rsid w:val="45485BDE"/>
    <w:rsid w:val="457D4A3F"/>
    <w:rsid w:val="458571EC"/>
    <w:rsid w:val="45945C30"/>
    <w:rsid w:val="459F2306"/>
    <w:rsid w:val="45A832FE"/>
    <w:rsid w:val="45AB6174"/>
    <w:rsid w:val="45BA63E5"/>
    <w:rsid w:val="45CC5EDC"/>
    <w:rsid w:val="45CF584F"/>
    <w:rsid w:val="45F73D47"/>
    <w:rsid w:val="462D2575"/>
    <w:rsid w:val="46467FD8"/>
    <w:rsid w:val="46601D33"/>
    <w:rsid w:val="4662371D"/>
    <w:rsid w:val="4666746C"/>
    <w:rsid w:val="466F1D98"/>
    <w:rsid w:val="467505FA"/>
    <w:rsid w:val="467B6008"/>
    <w:rsid w:val="468720BA"/>
    <w:rsid w:val="46895AFC"/>
    <w:rsid w:val="468E6A9E"/>
    <w:rsid w:val="46BC623F"/>
    <w:rsid w:val="46D855B9"/>
    <w:rsid w:val="470D2C74"/>
    <w:rsid w:val="47176AEE"/>
    <w:rsid w:val="47236E19"/>
    <w:rsid w:val="47627EF4"/>
    <w:rsid w:val="477570F1"/>
    <w:rsid w:val="47AD33FA"/>
    <w:rsid w:val="47B41AAA"/>
    <w:rsid w:val="47B9631D"/>
    <w:rsid w:val="47CD38AD"/>
    <w:rsid w:val="47DB16D8"/>
    <w:rsid w:val="47DD6003"/>
    <w:rsid w:val="47F91F4D"/>
    <w:rsid w:val="481726F3"/>
    <w:rsid w:val="48416760"/>
    <w:rsid w:val="48466F81"/>
    <w:rsid w:val="484D02A2"/>
    <w:rsid w:val="486B647A"/>
    <w:rsid w:val="487A72F4"/>
    <w:rsid w:val="48896934"/>
    <w:rsid w:val="489B48B9"/>
    <w:rsid w:val="48C12AEC"/>
    <w:rsid w:val="48D072A1"/>
    <w:rsid w:val="48D1341D"/>
    <w:rsid w:val="48D63F90"/>
    <w:rsid w:val="48E0279A"/>
    <w:rsid w:val="48E64C8E"/>
    <w:rsid w:val="48EC7724"/>
    <w:rsid w:val="48FA7B87"/>
    <w:rsid w:val="49023E07"/>
    <w:rsid w:val="4919356E"/>
    <w:rsid w:val="492A7740"/>
    <w:rsid w:val="49300AA7"/>
    <w:rsid w:val="49391CB0"/>
    <w:rsid w:val="493C3A20"/>
    <w:rsid w:val="49401E21"/>
    <w:rsid w:val="49521DF7"/>
    <w:rsid w:val="49526EB9"/>
    <w:rsid w:val="49684311"/>
    <w:rsid w:val="496D00AD"/>
    <w:rsid w:val="49742114"/>
    <w:rsid w:val="49754CB4"/>
    <w:rsid w:val="49921F0F"/>
    <w:rsid w:val="49AD1720"/>
    <w:rsid w:val="49CE6B8E"/>
    <w:rsid w:val="49D72FF3"/>
    <w:rsid w:val="49E0102B"/>
    <w:rsid w:val="4A2945F2"/>
    <w:rsid w:val="4A392DEA"/>
    <w:rsid w:val="4A615154"/>
    <w:rsid w:val="4A844DE0"/>
    <w:rsid w:val="4A96607C"/>
    <w:rsid w:val="4AA91ED6"/>
    <w:rsid w:val="4AB92E92"/>
    <w:rsid w:val="4AC46B18"/>
    <w:rsid w:val="4AD9416A"/>
    <w:rsid w:val="4B2134B8"/>
    <w:rsid w:val="4B24233C"/>
    <w:rsid w:val="4B330A0B"/>
    <w:rsid w:val="4B3756CC"/>
    <w:rsid w:val="4B5E55F9"/>
    <w:rsid w:val="4B685D82"/>
    <w:rsid w:val="4B7B4674"/>
    <w:rsid w:val="4B7C663B"/>
    <w:rsid w:val="4B812078"/>
    <w:rsid w:val="4BF71347"/>
    <w:rsid w:val="4BF97932"/>
    <w:rsid w:val="4C107D48"/>
    <w:rsid w:val="4C141E75"/>
    <w:rsid w:val="4C2A4039"/>
    <w:rsid w:val="4C312198"/>
    <w:rsid w:val="4C561BFF"/>
    <w:rsid w:val="4C736F36"/>
    <w:rsid w:val="4CAE60E3"/>
    <w:rsid w:val="4CD37BDB"/>
    <w:rsid w:val="4CEE1D13"/>
    <w:rsid w:val="4D032DA9"/>
    <w:rsid w:val="4D0C6DBE"/>
    <w:rsid w:val="4D25615C"/>
    <w:rsid w:val="4D36054D"/>
    <w:rsid w:val="4D41137F"/>
    <w:rsid w:val="4D453062"/>
    <w:rsid w:val="4D4D3B7A"/>
    <w:rsid w:val="4D524AEA"/>
    <w:rsid w:val="4D5724F7"/>
    <w:rsid w:val="4D757452"/>
    <w:rsid w:val="4D8C3F82"/>
    <w:rsid w:val="4DBC14B8"/>
    <w:rsid w:val="4DE936C7"/>
    <w:rsid w:val="4DEB6C83"/>
    <w:rsid w:val="4DF23555"/>
    <w:rsid w:val="4E050D4C"/>
    <w:rsid w:val="4E06569E"/>
    <w:rsid w:val="4E093792"/>
    <w:rsid w:val="4E173610"/>
    <w:rsid w:val="4E1D26B7"/>
    <w:rsid w:val="4E1D3A0D"/>
    <w:rsid w:val="4E1F052C"/>
    <w:rsid w:val="4E451D41"/>
    <w:rsid w:val="4E7A454C"/>
    <w:rsid w:val="4E7E60C2"/>
    <w:rsid w:val="4E820B4C"/>
    <w:rsid w:val="4E85341C"/>
    <w:rsid w:val="4E956C8D"/>
    <w:rsid w:val="4E9B7B12"/>
    <w:rsid w:val="4EC47712"/>
    <w:rsid w:val="4EDD3C61"/>
    <w:rsid w:val="4EE43E79"/>
    <w:rsid w:val="4EF1457F"/>
    <w:rsid w:val="4F2A6DB6"/>
    <w:rsid w:val="4F2C40A0"/>
    <w:rsid w:val="4F2F3B98"/>
    <w:rsid w:val="4F380B7A"/>
    <w:rsid w:val="4F424B82"/>
    <w:rsid w:val="4F4B0CB3"/>
    <w:rsid w:val="4F4F0EBF"/>
    <w:rsid w:val="4F586D8F"/>
    <w:rsid w:val="4F8C4B40"/>
    <w:rsid w:val="4FAA5CD5"/>
    <w:rsid w:val="4FBD187E"/>
    <w:rsid w:val="4FC56067"/>
    <w:rsid w:val="4FD11AC0"/>
    <w:rsid w:val="4FEA4E33"/>
    <w:rsid w:val="500100D3"/>
    <w:rsid w:val="500A342C"/>
    <w:rsid w:val="501119C9"/>
    <w:rsid w:val="502F75EB"/>
    <w:rsid w:val="50400243"/>
    <w:rsid w:val="50494336"/>
    <w:rsid w:val="50784012"/>
    <w:rsid w:val="50813C12"/>
    <w:rsid w:val="5087463E"/>
    <w:rsid w:val="50A11680"/>
    <w:rsid w:val="50B136A5"/>
    <w:rsid w:val="50B77550"/>
    <w:rsid w:val="50C773AE"/>
    <w:rsid w:val="50CD6602"/>
    <w:rsid w:val="50E6022F"/>
    <w:rsid w:val="50E61077"/>
    <w:rsid w:val="510D0F23"/>
    <w:rsid w:val="51197B59"/>
    <w:rsid w:val="516105A3"/>
    <w:rsid w:val="51615030"/>
    <w:rsid w:val="51627812"/>
    <w:rsid w:val="51C136D4"/>
    <w:rsid w:val="51D33F6D"/>
    <w:rsid w:val="51DB1448"/>
    <w:rsid w:val="52045DB4"/>
    <w:rsid w:val="522C275E"/>
    <w:rsid w:val="52465321"/>
    <w:rsid w:val="524C13A2"/>
    <w:rsid w:val="529000F6"/>
    <w:rsid w:val="5296149A"/>
    <w:rsid w:val="52990A97"/>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4C0C16"/>
    <w:rsid w:val="535657D0"/>
    <w:rsid w:val="535868CC"/>
    <w:rsid w:val="53597EDB"/>
    <w:rsid w:val="535A2D18"/>
    <w:rsid w:val="538D066D"/>
    <w:rsid w:val="538F2FA5"/>
    <w:rsid w:val="53934B1D"/>
    <w:rsid w:val="53A2278E"/>
    <w:rsid w:val="53CB788B"/>
    <w:rsid w:val="53D17DBD"/>
    <w:rsid w:val="53E32E36"/>
    <w:rsid w:val="54203B94"/>
    <w:rsid w:val="5424233E"/>
    <w:rsid w:val="542A3DC2"/>
    <w:rsid w:val="542C299E"/>
    <w:rsid w:val="543527D7"/>
    <w:rsid w:val="543642C1"/>
    <w:rsid w:val="543F5E24"/>
    <w:rsid w:val="54506176"/>
    <w:rsid w:val="5461235D"/>
    <w:rsid w:val="54667BA2"/>
    <w:rsid w:val="547E7555"/>
    <w:rsid w:val="54806F19"/>
    <w:rsid w:val="54A01FAE"/>
    <w:rsid w:val="54A478E7"/>
    <w:rsid w:val="54AC3148"/>
    <w:rsid w:val="54C0256E"/>
    <w:rsid w:val="54C334B7"/>
    <w:rsid w:val="54D4667D"/>
    <w:rsid w:val="54D55C56"/>
    <w:rsid w:val="54EC389B"/>
    <w:rsid w:val="54F847D9"/>
    <w:rsid w:val="55126190"/>
    <w:rsid w:val="555F3833"/>
    <w:rsid w:val="55667780"/>
    <w:rsid w:val="556E493A"/>
    <w:rsid w:val="55725F14"/>
    <w:rsid w:val="55941D63"/>
    <w:rsid w:val="559C0CE1"/>
    <w:rsid w:val="55B42D88"/>
    <w:rsid w:val="55D11119"/>
    <w:rsid w:val="55DB1F79"/>
    <w:rsid w:val="55FD47AE"/>
    <w:rsid w:val="560A42BD"/>
    <w:rsid w:val="560C1D89"/>
    <w:rsid w:val="56353B20"/>
    <w:rsid w:val="563A6A4D"/>
    <w:rsid w:val="56443B98"/>
    <w:rsid w:val="56453A77"/>
    <w:rsid w:val="56757259"/>
    <w:rsid w:val="568B7EB7"/>
    <w:rsid w:val="56BC078F"/>
    <w:rsid w:val="56CB4BCB"/>
    <w:rsid w:val="56FB75FE"/>
    <w:rsid w:val="572C5521"/>
    <w:rsid w:val="572F42F6"/>
    <w:rsid w:val="57391A95"/>
    <w:rsid w:val="573F3C9E"/>
    <w:rsid w:val="574028CB"/>
    <w:rsid w:val="574C52C4"/>
    <w:rsid w:val="57526FDB"/>
    <w:rsid w:val="57572F35"/>
    <w:rsid w:val="575B33A4"/>
    <w:rsid w:val="57674A5D"/>
    <w:rsid w:val="579775E1"/>
    <w:rsid w:val="57C90530"/>
    <w:rsid w:val="57CE0836"/>
    <w:rsid w:val="582F44F7"/>
    <w:rsid w:val="583F27F2"/>
    <w:rsid w:val="58455B6D"/>
    <w:rsid w:val="584D29B0"/>
    <w:rsid w:val="584F7C49"/>
    <w:rsid w:val="5888302C"/>
    <w:rsid w:val="5889129A"/>
    <w:rsid w:val="589C09AA"/>
    <w:rsid w:val="58A70AE5"/>
    <w:rsid w:val="58AD528C"/>
    <w:rsid w:val="58B31955"/>
    <w:rsid w:val="58BA45A1"/>
    <w:rsid w:val="59457283"/>
    <w:rsid w:val="594F6915"/>
    <w:rsid w:val="59737A65"/>
    <w:rsid w:val="597C1E81"/>
    <w:rsid w:val="59842DF4"/>
    <w:rsid w:val="59947CE9"/>
    <w:rsid w:val="59A0359A"/>
    <w:rsid w:val="59E52D9A"/>
    <w:rsid w:val="5A300449"/>
    <w:rsid w:val="5A3317D1"/>
    <w:rsid w:val="5A482DEE"/>
    <w:rsid w:val="5A542102"/>
    <w:rsid w:val="5A55295D"/>
    <w:rsid w:val="5A7E104A"/>
    <w:rsid w:val="5A8208A0"/>
    <w:rsid w:val="5A861FD5"/>
    <w:rsid w:val="5AE3253A"/>
    <w:rsid w:val="5AEA30C9"/>
    <w:rsid w:val="5AEA3475"/>
    <w:rsid w:val="5AF54C6B"/>
    <w:rsid w:val="5B087B94"/>
    <w:rsid w:val="5B0C2FBE"/>
    <w:rsid w:val="5B0E3E89"/>
    <w:rsid w:val="5B124740"/>
    <w:rsid w:val="5B31434D"/>
    <w:rsid w:val="5B3A10B7"/>
    <w:rsid w:val="5B3F60FF"/>
    <w:rsid w:val="5B3F66E7"/>
    <w:rsid w:val="5B5C05CD"/>
    <w:rsid w:val="5B872AE6"/>
    <w:rsid w:val="5BA77753"/>
    <w:rsid w:val="5BB60E53"/>
    <w:rsid w:val="5BC025EF"/>
    <w:rsid w:val="5C077640"/>
    <w:rsid w:val="5C1203C7"/>
    <w:rsid w:val="5C1F35AE"/>
    <w:rsid w:val="5C3905BF"/>
    <w:rsid w:val="5C66397A"/>
    <w:rsid w:val="5C7349B6"/>
    <w:rsid w:val="5C824C05"/>
    <w:rsid w:val="5C8725EE"/>
    <w:rsid w:val="5CB0251A"/>
    <w:rsid w:val="5CB43AA6"/>
    <w:rsid w:val="5CB97030"/>
    <w:rsid w:val="5CC97332"/>
    <w:rsid w:val="5D073AE3"/>
    <w:rsid w:val="5D187049"/>
    <w:rsid w:val="5D1D2427"/>
    <w:rsid w:val="5D756277"/>
    <w:rsid w:val="5D760215"/>
    <w:rsid w:val="5D7D3B34"/>
    <w:rsid w:val="5D955FBD"/>
    <w:rsid w:val="5DA62524"/>
    <w:rsid w:val="5DAC3919"/>
    <w:rsid w:val="5DB36259"/>
    <w:rsid w:val="5DBD33B2"/>
    <w:rsid w:val="5DC223CB"/>
    <w:rsid w:val="5DF66637"/>
    <w:rsid w:val="5DFF6858"/>
    <w:rsid w:val="5E0F2B0E"/>
    <w:rsid w:val="5E185132"/>
    <w:rsid w:val="5E21523D"/>
    <w:rsid w:val="5E2A0167"/>
    <w:rsid w:val="5E306BD6"/>
    <w:rsid w:val="5E357F9F"/>
    <w:rsid w:val="5E5D68E8"/>
    <w:rsid w:val="5E802A96"/>
    <w:rsid w:val="5E9074FF"/>
    <w:rsid w:val="5EAD0273"/>
    <w:rsid w:val="5EAE1AF2"/>
    <w:rsid w:val="5EB62A77"/>
    <w:rsid w:val="5EB80355"/>
    <w:rsid w:val="5EBB2226"/>
    <w:rsid w:val="5EBE5F24"/>
    <w:rsid w:val="5ED70FCC"/>
    <w:rsid w:val="5EF07004"/>
    <w:rsid w:val="5F0E1E9A"/>
    <w:rsid w:val="5F1C4634"/>
    <w:rsid w:val="5F860C23"/>
    <w:rsid w:val="5FA35F78"/>
    <w:rsid w:val="5FC44411"/>
    <w:rsid w:val="5FE05236"/>
    <w:rsid w:val="5FE426E2"/>
    <w:rsid w:val="604E1CA9"/>
    <w:rsid w:val="605C7AA6"/>
    <w:rsid w:val="605F132B"/>
    <w:rsid w:val="608510A4"/>
    <w:rsid w:val="608762FF"/>
    <w:rsid w:val="609E1C45"/>
    <w:rsid w:val="60B74397"/>
    <w:rsid w:val="60BD4FD1"/>
    <w:rsid w:val="60C23FA5"/>
    <w:rsid w:val="60D507D0"/>
    <w:rsid w:val="60E07610"/>
    <w:rsid w:val="60EA1511"/>
    <w:rsid w:val="60EB6C34"/>
    <w:rsid w:val="60FD5C7B"/>
    <w:rsid w:val="610C1CA3"/>
    <w:rsid w:val="613D7E7B"/>
    <w:rsid w:val="61425C7D"/>
    <w:rsid w:val="6151633C"/>
    <w:rsid w:val="617162E9"/>
    <w:rsid w:val="61716B0A"/>
    <w:rsid w:val="61A52BAA"/>
    <w:rsid w:val="61C36FD5"/>
    <w:rsid w:val="61CF1360"/>
    <w:rsid w:val="61FA0AE4"/>
    <w:rsid w:val="621D7EC3"/>
    <w:rsid w:val="62221C10"/>
    <w:rsid w:val="623438BB"/>
    <w:rsid w:val="62352B2C"/>
    <w:rsid w:val="624B10F0"/>
    <w:rsid w:val="624F3E48"/>
    <w:rsid w:val="62516C98"/>
    <w:rsid w:val="62635981"/>
    <w:rsid w:val="629B3E75"/>
    <w:rsid w:val="629B5D43"/>
    <w:rsid w:val="62A36D1F"/>
    <w:rsid w:val="62A40365"/>
    <w:rsid w:val="62A42602"/>
    <w:rsid w:val="62A469A9"/>
    <w:rsid w:val="62A92FF1"/>
    <w:rsid w:val="62B90FFE"/>
    <w:rsid w:val="62E10186"/>
    <w:rsid w:val="62F6018D"/>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17834"/>
    <w:rsid w:val="63AB4D19"/>
    <w:rsid w:val="63DA4B5E"/>
    <w:rsid w:val="63DE2C24"/>
    <w:rsid w:val="64273E62"/>
    <w:rsid w:val="642E2892"/>
    <w:rsid w:val="643B736C"/>
    <w:rsid w:val="644F0FB6"/>
    <w:rsid w:val="647D446A"/>
    <w:rsid w:val="64AD7C37"/>
    <w:rsid w:val="64B0399F"/>
    <w:rsid w:val="64B05758"/>
    <w:rsid w:val="64BE4B0D"/>
    <w:rsid w:val="65075A96"/>
    <w:rsid w:val="650E600B"/>
    <w:rsid w:val="650F0C7B"/>
    <w:rsid w:val="651541F8"/>
    <w:rsid w:val="652B691A"/>
    <w:rsid w:val="652D1CE0"/>
    <w:rsid w:val="65B221E6"/>
    <w:rsid w:val="65BB5F2E"/>
    <w:rsid w:val="65E939D5"/>
    <w:rsid w:val="66426031"/>
    <w:rsid w:val="66593B74"/>
    <w:rsid w:val="665D2DD8"/>
    <w:rsid w:val="66651C8A"/>
    <w:rsid w:val="66675176"/>
    <w:rsid w:val="669F2C65"/>
    <w:rsid w:val="66BE6B53"/>
    <w:rsid w:val="66C55FD8"/>
    <w:rsid w:val="66C96C89"/>
    <w:rsid w:val="66D333AF"/>
    <w:rsid w:val="66E0683D"/>
    <w:rsid w:val="67023742"/>
    <w:rsid w:val="67192A34"/>
    <w:rsid w:val="674A4927"/>
    <w:rsid w:val="6760233B"/>
    <w:rsid w:val="677243C5"/>
    <w:rsid w:val="678568CD"/>
    <w:rsid w:val="67904A3A"/>
    <w:rsid w:val="679518BF"/>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9055229"/>
    <w:rsid w:val="69146C72"/>
    <w:rsid w:val="6929374C"/>
    <w:rsid w:val="692F20BB"/>
    <w:rsid w:val="69784C3F"/>
    <w:rsid w:val="69C1095D"/>
    <w:rsid w:val="6A0138F7"/>
    <w:rsid w:val="6A1E155A"/>
    <w:rsid w:val="6A682BD4"/>
    <w:rsid w:val="6A7B5447"/>
    <w:rsid w:val="6A9516EC"/>
    <w:rsid w:val="6AC54A4A"/>
    <w:rsid w:val="6ADB012D"/>
    <w:rsid w:val="6AE3748E"/>
    <w:rsid w:val="6AE83C5F"/>
    <w:rsid w:val="6AF53FAE"/>
    <w:rsid w:val="6B1C3EC6"/>
    <w:rsid w:val="6B3F4C28"/>
    <w:rsid w:val="6B574638"/>
    <w:rsid w:val="6B5F5B98"/>
    <w:rsid w:val="6B615C8D"/>
    <w:rsid w:val="6B67068F"/>
    <w:rsid w:val="6B6E2E8D"/>
    <w:rsid w:val="6B830718"/>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587652"/>
    <w:rsid w:val="6C725FD7"/>
    <w:rsid w:val="6C8379F5"/>
    <w:rsid w:val="6C852D02"/>
    <w:rsid w:val="6CA72DBB"/>
    <w:rsid w:val="6CBA18DE"/>
    <w:rsid w:val="6CC87955"/>
    <w:rsid w:val="6CDF07AF"/>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D763E"/>
    <w:rsid w:val="6E420FB1"/>
    <w:rsid w:val="6E6B46D3"/>
    <w:rsid w:val="6E953983"/>
    <w:rsid w:val="6E95768E"/>
    <w:rsid w:val="6EA14900"/>
    <w:rsid w:val="6EB27AA3"/>
    <w:rsid w:val="6EBD1CFE"/>
    <w:rsid w:val="6EF9461D"/>
    <w:rsid w:val="6F1348E9"/>
    <w:rsid w:val="6F2A01FE"/>
    <w:rsid w:val="6F2A71A4"/>
    <w:rsid w:val="6F5D1EE4"/>
    <w:rsid w:val="6F9415EA"/>
    <w:rsid w:val="6F9B042E"/>
    <w:rsid w:val="6FB72F84"/>
    <w:rsid w:val="6FB73BA3"/>
    <w:rsid w:val="6FCA5E7C"/>
    <w:rsid w:val="6FE11F22"/>
    <w:rsid w:val="6FE3419F"/>
    <w:rsid w:val="6FF778F1"/>
    <w:rsid w:val="700346D4"/>
    <w:rsid w:val="700972F0"/>
    <w:rsid w:val="70287F2C"/>
    <w:rsid w:val="705F6415"/>
    <w:rsid w:val="70AF69EB"/>
    <w:rsid w:val="70C667BE"/>
    <w:rsid w:val="70DE2249"/>
    <w:rsid w:val="70F97D93"/>
    <w:rsid w:val="710E13DA"/>
    <w:rsid w:val="71181113"/>
    <w:rsid w:val="711D7CA6"/>
    <w:rsid w:val="71226ACC"/>
    <w:rsid w:val="71227E63"/>
    <w:rsid w:val="71614B6B"/>
    <w:rsid w:val="718D2905"/>
    <w:rsid w:val="719909D2"/>
    <w:rsid w:val="719B61D4"/>
    <w:rsid w:val="71A10922"/>
    <w:rsid w:val="71B80695"/>
    <w:rsid w:val="71D214DD"/>
    <w:rsid w:val="71E107C1"/>
    <w:rsid w:val="71F62920"/>
    <w:rsid w:val="72091DAA"/>
    <w:rsid w:val="72267D97"/>
    <w:rsid w:val="723734D4"/>
    <w:rsid w:val="724E29D1"/>
    <w:rsid w:val="728564F5"/>
    <w:rsid w:val="728B7ACE"/>
    <w:rsid w:val="728E70EC"/>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712FDC"/>
    <w:rsid w:val="739E0038"/>
    <w:rsid w:val="73B34591"/>
    <w:rsid w:val="73BE3A62"/>
    <w:rsid w:val="73D850A2"/>
    <w:rsid w:val="73DE7F6C"/>
    <w:rsid w:val="73E365CE"/>
    <w:rsid w:val="73E64B1D"/>
    <w:rsid w:val="73E8370C"/>
    <w:rsid w:val="740735EA"/>
    <w:rsid w:val="7408106C"/>
    <w:rsid w:val="7412351E"/>
    <w:rsid w:val="749F2D9C"/>
    <w:rsid w:val="74B65705"/>
    <w:rsid w:val="74BB4279"/>
    <w:rsid w:val="74BE4E97"/>
    <w:rsid w:val="74D504C8"/>
    <w:rsid w:val="74E0512E"/>
    <w:rsid w:val="74F679F1"/>
    <w:rsid w:val="74F841F7"/>
    <w:rsid w:val="75003D28"/>
    <w:rsid w:val="750445F2"/>
    <w:rsid w:val="75194628"/>
    <w:rsid w:val="751D637E"/>
    <w:rsid w:val="751F2555"/>
    <w:rsid w:val="753504B8"/>
    <w:rsid w:val="75466A74"/>
    <w:rsid w:val="757F267E"/>
    <w:rsid w:val="758418D8"/>
    <w:rsid w:val="75A17528"/>
    <w:rsid w:val="75AA6AC3"/>
    <w:rsid w:val="75B749A9"/>
    <w:rsid w:val="75CB1443"/>
    <w:rsid w:val="75CD3F16"/>
    <w:rsid w:val="75EA5BFB"/>
    <w:rsid w:val="760F5209"/>
    <w:rsid w:val="761730D6"/>
    <w:rsid w:val="761A34DA"/>
    <w:rsid w:val="76781DCD"/>
    <w:rsid w:val="76D84698"/>
    <w:rsid w:val="772F7731"/>
    <w:rsid w:val="775865D7"/>
    <w:rsid w:val="775A33B3"/>
    <w:rsid w:val="775B4584"/>
    <w:rsid w:val="776234AF"/>
    <w:rsid w:val="776D12AE"/>
    <w:rsid w:val="776F6C29"/>
    <w:rsid w:val="77895532"/>
    <w:rsid w:val="77AD0FE0"/>
    <w:rsid w:val="77BE7384"/>
    <w:rsid w:val="780F37EC"/>
    <w:rsid w:val="787A6E12"/>
    <w:rsid w:val="78821B50"/>
    <w:rsid w:val="788E2A2A"/>
    <w:rsid w:val="78C52EE0"/>
    <w:rsid w:val="78D23C9C"/>
    <w:rsid w:val="7913610A"/>
    <w:rsid w:val="791A167A"/>
    <w:rsid w:val="794D119C"/>
    <w:rsid w:val="796B6F7E"/>
    <w:rsid w:val="79935707"/>
    <w:rsid w:val="799A2128"/>
    <w:rsid w:val="79C0552F"/>
    <w:rsid w:val="79C30D65"/>
    <w:rsid w:val="79CC3295"/>
    <w:rsid w:val="79D37E29"/>
    <w:rsid w:val="7A0B1561"/>
    <w:rsid w:val="7A25258A"/>
    <w:rsid w:val="7A2C646D"/>
    <w:rsid w:val="7A441CE6"/>
    <w:rsid w:val="7A55546C"/>
    <w:rsid w:val="7A743686"/>
    <w:rsid w:val="7A824E2E"/>
    <w:rsid w:val="7A9E7BE0"/>
    <w:rsid w:val="7AA8721A"/>
    <w:rsid w:val="7AFF6437"/>
    <w:rsid w:val="7B021BF1"/>
    <w:rsid w:val="7B4950F7"/>
    <w:rsid w:val="7B6906DD"/>
    <w:rsid w:val="7B9F2862"/>
    <w:rsid w:val="7BA9751C"/>
    <w:rsid w:val="7BAB44F6"/>
    <w:rsid w:val="7BB856C6"/>
    <w:rsid w:val="7BBB27D3"/>
    <w:rsid w:val="7BC24A45"/>
    <w:rsid w:val="7BD52A90"/>
    <w:rsid w:val="7C076616"/>
    <w:rsid w:val="7C0D60AB"/>
    <w:rsid w:val="7C295DFC"/>
    <w:rsid w:val="7C4B37FA"/>
    <w:rsid w:val="7C58255B"/>
    <w:rsid w:val="7C5B5FF8"/>
    <w:rsid w:val="7C910DB6"/>
    <w:rsid w:val="7C9E490F"/>
    <w:rsid w:val="7CE84908"/>
    <w:rsid w:val="7CF03F88"/>
    <w:rsid w:val="7CF73786"/>
    <w:rsid w:val="7D091FF0"/>
    <w:rsid w:val="7D2F2A9C"/>
    <w:rsid w:val="7D4C6AE0"/>
    <w:rsid w:val="7D573168"/>
    <w:rsid w:val="7D5E51C4"/>
    <w:rsid w:val="7D7525FB"/>
    <w:rsid w:val="7DC111D1"/>
    <w:rsid w:val="7DC43A43"/>
    <w:rsid w:val="7DC74225"/>
    <w:rsid w:val="7DDA69EF"/>
    <w:rsid w:val="7DDD18D5"/>
    <w:rsid w:val="7DF24C6A"/>
    <w:rsid w:val="7E6C26A2"/>
    <w:rsid w:val="7E9A525C"/>
    <w:rsid w:val="7EB35583"/>
    <w:rsid w:val="7EB5276C"/>
    <w:rsid w:val="7EBC57D7"/>
    <w:rsid w:val="7ED0794B"/>
    <w:rsid w:val="7ED70A6F"/>
    <w:rsid w:val="7EE20D78"/>
    <w:rsid w:val="7EE9231B"/>
    <w:rsid w:val="7EFF38D3"/>
    <w:rsid w:val="7F3206AA"/>
    <w:rsid w:val="7F5E6382"/>
    <w:rsid w:val="7F5F2553"/>
    <w:rsid w:val="7F89742A"/>
    <w:rsid w:val="7F935909"/>
    <w:rsid w:val="7F9B22D0"/>
    <w:rsid w:val="7F9F74D0"/>
    <w:rsid w:val="7FA200C0"/>
    <w:rsid w:val="7FA23B7F"/>
    <w:rsid w:val="7FBA072D"/>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2"/>
    <w:qFormat/>
    <w:uiPriority w:val="0"/>
    <w:pPr>
      <w:spacing w:before="340" w:after="330" w:line="578" w:lineRule="auto"/>
      <w:outlineLvl w:val="0"/>
    </w:pPr>
    <w:rPr>
      <w:b/>
      <w:bCs/>
      <w:kern w:val="44"/>
      <w:sz w:val="44"/>
      <w:szCs w:val="44"/>
    </w:rPr>
  </w:style>
  <w:style w:type="paragraph" w:styleId="4">
    <w:name w:val="heading 2"/>
    <w:basedOn w:val="1"/>
    <w:next w:val="1"/>
    <w:link w:val="101"/>
    <w:qFormat/>
    <w:uiPriority w:val="0"/>
    <w:pPr>
      <w:spacing w:before="260" w:after="260" w:line="416" w:lineRule="auto"/>
      <w:outlineLvl w:val="1"/>
    </w:pPr>
    <w:rPr>
      <w:rFonts w:ascii="Arial" w:hAnsi="Arial" w:eastAsia="黑体"/>
      <w:b/>
      <w:bCs/>
      <w:sz w:val="32"/>
      <w:szCs w:val="32"/>
    </w:rPr>
  </w:style>
  <w:style w:type="paragraph" w:styleId="5">
    <w:name w:val="heading 3"/>
    <w:basedOn w:val="1"/>
    <w:next w:val="1"/>
    <w:link w:val="35"/>
    <w:qFormat/>
    <w:uiPriority w:val="0"/>
    <w:pPr>
      <w:spacing w:before="260" w:after="260" w:line="416" w:lineRule="auto"/>
      <w:outlineLvl w:val="2"/>
    </w:pPr>
    <w:rPr>
      <w:b/>
      <w:bCs/>
      <w:sz w:val="32"/>
      <w:szCs w:val="32"/>
    </w:rPr>
  </w:style>
  <w:style w:type="paragraph" w:styleId="6">
    <w:name w:val="heading 4"/>
    <w:basedOn w:val="1"/>
    <w:next w:val="1"/>
    <w:qFormat/>
    <w:uiPriority w:val="0"/>
    <w:pPr>
      <w:spacing w:before="280" w:after="290" w:line="376" w:lineRule="auto"/>
      <w:outlineLvl w:val="3"/>
    </w:pPr>
    <w:rPr>
      <w:rFonts w:ascii="Cambria" w:hAnsi="Cambria"/>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styleId="7">
    <w:name w:val="Normal Indent"/>
    <w:basedOn w:val="1"/>
    <w:qFormat/>
    <w:uiPriority w:val="0"/>
    <w:pPr>
      <w:ind w:firstLine="420"/>
    </w:pPr>
    <w:rPr>
      <w:szCs w:val="20"/>
    </w:rPr>
  </w:style>
  <w:style w:type="paragraph" w:styleId="8">
    <w:name w:val="Document Map"/>
    <w:basedOn w:val="1"/>
    <w:link w:val="40"/>
    <w:qFormat/>
    <w:uiPriority w:val="0"/>
    <w:rPr>
      <w:rFonts w:ascii="宋体" w:hAnsi="Tahoma"/>
      <w:sz w:val="18"/>
      <w:szCs w:val="18"/>
    </w:rPr>
  </w:style>
  <w:style w:type="paragraph" w:styleId="9">
    <w:name w:val="annotation text"/>
    <w:basedOn w:val="1"/>
    <w:link w:val="68"/>
    <w:semiHidden/>
    <w:qFormat/>
    <w:uiPriority w:val="99"/>
    <w:pPr>
      <w:jc w:val="left"/>
    </w:pPr>
    <w:rPr>
      <w:rFonts w:ascii="Tahoma" w:hAnsi="Tahoma"/>
    </w:rPr>
  </w:style>
  <w:style w:type="paragraph" w:styleId="10">
    <w:name w:val="Body Text 3"/>
    <w:basedOn w:val="1"/>
    <w:qFormat/>
    <w:uiPriority w:val="0"/>
    <w:rPr>
      <w:kern w:val="0"/>
      <w:sz w:val="16"/>
      <w:szCs w:val="16"/>
    </w:rPr>
  </w:style>
  <w:style w:type="paragraph" w:styleId="11">
    <w:name w:val="Body Text"/>
    <w:basedOn w:val="1"/>
    <w:qFormat/>
    <w:uiPriority w:val="0"/>
    <w:pPr>
      <w:spacing w:after="120"/>
    </w:pPr>
  </w:style>
  <w:style w:type="paragraph" w:styleId="12">
    <w:name w:val="Body Text Indent"/>
    <w:basedOn w:val="1"/>
    <w:qFormat/>
    <w:uiPriority w:val="0"/>
    <w:pPr>
      <w:spacing w:after="120"/>
      <w:ind w:left="420" w:leftChars="200"/>
    </w:pPr>
  </w:style>
  <w:style w:type="paragraph" w:styleId="1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62"/>
    <w:qFormat/>
    <w:uiPriority w:val="99"/>
    <w:pPr>
      <w:tabs>
        <w:tab w:val="center" w:pos="4153"/>
        <w:tab w:val="right" w:pos="8306"/>
      </w:tabs>
      <w:snapToGrid w:val="0"/>
      <w:jc w:val="left"/>
    </w:pPr>
    <w:rPr>
      <w:rFonts w:ascii="Tahoma" w:hAnsi="Tahoma"/>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Body Text Indent 3"/>
    <w:basedOn w:val="1"/>
    <w:qFormat/>
    <w:uiPriority w:val="0"/>
    <w:pPr>
      <w:ind w:left="359" w:leftChars="171" w:firstLine="554" w:firstLineChars="198"/>
    </w:pPr>
    <w:rPr>
      <w:sz w:val="28"/>
      <w:szCs w:val="20"/>
    </w:rPr>
  </w:style>
  <w:style w:type="paragraph" w:styleId="23">
    <w:name w:val="toc 2"/>
    <w:basedOn w:val="1"/>
    <w:next w:val="1"/>
    <w:qFormat/>
    <w:uiPriority w:val="39"/>
    <w:pPr>
      <w:ind w:left="420" w:leftChars="200"/>
    </w:pPr>
  </w:style>
  <w:style w:type="paragraph" w:styleId="24">
    <w:name w:val="Body Text 2"/>
    <w:basedOn w:val="1"/>
    <w:qFormat/>
    <w:uiPriority w:val="0"/>
    <w:pPr>
      <w:spacing w:after="120" w:line="480" w:lineRule="auto"/>
    </w:pPr>
  </w:style>
  <w:style w:type="paragraph" w:styleId="25">
    <w:name w:val="Normal (Web)"/>
    <w:basedOn w:val="1"/>
    <w:qFormat/>
    <w:uiPriority w:val="99"/>
    <w:pPr>
      <w:spacing w:before="100" w:beforeAutospacing="1" w:after="100" w:afterAutospacing="1"/>
      <w:jc w:val="left"/>
    </w:pPr>
    <w:rPr>
      <w:rFonts w:hint="eastAsia" w:ascii="宋体" w:hAnsi="宋体"/>
      <w:kern w:val="0"/>
      <w:sz w:val="24"/>
    </w:rPr>
  </w:style>
  <w:style w:type="paragraph" w:styleId="26">
    <w:name w:val="annotation subject"/>
    <w:basedOn w:val="9"/>
    <w:next w:val="9"/>
    <w:link w:val="66"/>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rFonts w:ascii="Tahoma" w:hAnsi="Tahoma"/>
      <w:b/>
      <w:bCs/>
      <w:sz w:val="24"/>
    </w:rPr>
  </w:style>
  <w:style w:type="character" w:styleId="31">
    <w:name w:val="page number"/>
    <w:basedOn w:val="29"/>
    <w:qFormat/>
    <w:uiPriority w:val="0"/>
  </w:style>
  <w:style w:type="character" w:styleId="32">
    <w:name w:val="FollowedHyperlink"/>
    <w:qFormat/>
    <w:uiPriority w:val="0"/>
    <w:rPr>
      <w:rFonts w:ascii="Tahoma" w:hAnsi="Tahoma"/>
      <w:color w:val="000000"/>
      <w:sz w:val="18"/>
      <w:szCs w:val="18"/>
      <w:u w:val="none"/>
    </w:rPr>
  </w:style>
  <w:style w:type="character" w:styleId="33">
    <w:name w:val="Hyperlink"/>
    <w:qFormat/>
    <w:uiPriority w:val="99"/>
    <w:rPr>
      <w:rFonts w:ascii="Tahoma" w:hAnsi="Tahoma"/>
      <w:color w:val="0000FF"/>
      <w:sz w:val="24"/>
      <w:u w:val="single"/>
    </w:rPr>
  </w:style>
  <w:style w:type="character" w:styleId="34">
    <w:name w:val="annotation reference"/>
    <w:unhideWhenUsed/>
    <w:qFormat/>
    <w:uiPriority w:val="99"/>
    <w:rPr>
      <w:rFonts w:ascii="Tahoma" w:hAnsi="Tahoma"/>
      <w:sz w:val="21"/>
      <w:szCs w:val="21"/>
    </w:rPr>
  </w:style>
  <w:style w:type="character" w:customStyle="1" w:styleId="35">
    <w:name w:val="标题 3 Char"/>
    <w:link w:val="5"/>
    <w:qFormat/>
    <w:uiPriority w:val="0"/>
    <w:rPr>
      <w:b/>
      <w:bCs/>
      <w:sz w:val="32"/>
      <w:szCs w:val="32"/>
    </w:rPr>
  </w:style>
  <w:style w:type="character" w:customStyle="1" w:styleId="36">
    <w:name w:val="标题 2 Char"/>
    <w:qFormat/>
    <w:uiPriority w:val="0"/>
    <w:rPr>
      <w:rFonts w:ascii="Arial" w:hAnsi="Arial" w:eastAsia="黑体"/>
      <w:b/>
      <w:bCs/>
      <w:kern w:val="2"/>
      <w:sz w:val="32"/>
      <w:szCs w:val="32"/>
      <w:lang w:val="en-US" w:eastAsia="zh-CN" w:bidi="ar-SA"/>
    </w:rPr>
  </w:style>
  <w:style w:type="paragraph" w:customStyle="1" w:styleId="37">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paragraph" w:styleId="38">
    <w:name w:val="List Paragraph"/>
    <w:basedOn w:val="1"/>
    <w:qFormat/>
    <w:uiPriority w:val="34"/>
    <w:pPr>
      <w:ind w:firstLine="420" w:firstLineChars="200"/>
    </w:pPr>
    <w:rPr>
      <w:sz w:val="28"/>
    </w:rPr>
  </w:style>
  <w:style w:type="character" w:customStyle="1" w:styleId="39">
    <w:name w:val="cfdate"/>
    <w:basedOn w:val="29"/>
    <w:qFormat/>
    <w:uiPriority w:val="0"/>
    <w:rPr>
      <w:color w:val="333333"/>
      <w:sz w:val="18"/>
      <w:szCs w:val="18"/>
    </w:rPr>
  </w:style>
  <w:style w:type="character" w:customStyle="1" w:styleId="40">
    <w:name w:val="文档结构图 Char"/>
    <w:link w:val="8"/>
    <w:qFormat/>
    <w:uiPriority w:val="0"/>
    <w:rPr>
      <w:rFonts w:ascii="宋体" w:hAnsi="Tahoma"/>
      <w:kern w:val="2"/>
      <w:sz w:val="18"/>
      <w:szCs w:val="18"/>
    </w:rPr>
  </w:style>
  <w:style w:type="character" w:customStyle="1" w:styleId="41">
    <w:name w:val="copyright"/>
    <w:basedOn w:val="29"/>
    <w:qFormat/>
    <w:uiPriority w:val="0"/>
  </w:style>
  <w:style w:type="character" w:customStyle="1" w:styleId="42">
    <w:name w:val="Char Char6"/>
    <w:qFormat/>
    <w:uiPriority w:val="0"/>
    <w:rPr>
      <w:rFonts w:ascii="Tahoma" w:hAnsi="Tahoma" w:eastAsia="宋体"/>
      <w:b/>
      <w:bCs/>
      <w:kern w:val="2"/>
      <w:sz w:val="32"/>
      <w:szCs w:val="32"/>
      <w:lang w:val="en-US" w:eastAsia="zh-CN" w:bidi="ar-SA"/>
    </w:rPr>
  </w:style>
  <w:style w:type="character" w:customStyle="1" w:styleId="43">
    <w:name w:val="qxdate"/>
    <w:basedOn w:val="29"/>
    <w:qFormat/>
    <w:uiPriority w:val="0"/>
    <w:rPr>
      <w:color w:val="333333"/>
      <w:sz w:val="18"/>
      <w:szCs w:val="18"/>
    </w:rPr>
  </w:style>
  <w:style w:type="character" w:customStyle="1" w:styleId="44">
    <w:name w:val="gjfg"/>
    <w:basedOn w:val="29"/>
    <w:qFormat/>
    <w:uiPriority w:val="0"/>
  </w:style>
  <w:style w:type="character" w:customStyle="1" w:styleId="45">
    <w:name w:val="Char Char3"/>
    <w:semiHidden/>
    <w:qFormat/>
    <w:uiPriority w:val="0"/>
    <w:rPr>
      <w:rFonts w:ascii="Tahoma" w:hAnsi="Tahoma" w:eastAsia="宋体"/>
      <w:kern w:val="2"/>
      <w:sz w:val="18"/>
      <w:szCs w:val="18"/>
      <w:lang w:val="en-US" w:eastAsia="zh-CN" w:bidi="ar-SA"/>
    </w:rPr>
  </w:style>
  <w:style w:type="character" w:customStyle="1" w:styleId="46">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7">
    <w:name w:val="Char Char4"/>
    <w:qFormat/>
    <w:uiPriority w:val="0"/>
    <w:rPr>
      <w:rFonts w:ascii="Tahoma" w:hAnsi="Tahoma" w:eastAsia="宋体"/>
      <w:kern w:val="2"/>
      <w:sz w:val="18"/>
      <w:szCs w:val="18"/>
      <w:lang w:val="en-US" w:eastAsia="zh-CN" w:bidi="ar-SA"/>
    </w:rPr>
  </w:style>
  <w:style w:type="character" w:customStyle="1" w:styleId="48">
    <w:name w:val="font51"/>
    <w:qFormat/>
    <w:uiPriority w:val="0"/>
    <w:rPr>
      <w:rFonts w:hint="eastAsia" w:ascii="宋体" w:hAnsi="宋体" w:eastAsia="宋体" w:cs="宋体"/>
      <w:color w:val="000000"/>
      <w:sz w:val="21"/>
      <w:szCs w:val="21"/>
      <w:u w:val="none"/>
    </w:rPr>
  </w:style>
  <w:style w:type="character" w:customStyle="1" w:styleId="49">
    <w:name w:val="Char Char1"/>
    <w:semiHidden/>
    <w:qFormat/>
    <w:uiPriority w:val="0"/>
    <w:rPr>
      <w:rFonts w:ascii="Tahoma" w:hAnsi="Tahoma" w:eastAsia="宋体"/>
      <w:kern w:val="2"/>
      <w:sz w:val="28"/>
      <w:lang w:val="en-US" w:eastAsia="zh-CN" w:bidi="ar-SA"/>
    </w:rPr>
  </w:style>
  <w:style w:type="character" w:customStyle="1" w:styleId="50">
    <w:name w:val="profont1"/>
    <w:qFormat/>
    <w:uiPriority w:val="0"/>
    <w:rPr>
      <w:rFonts w:hint="default" w:ascii="Verdana" w:hAnsi="Verdana"/>
      <w:b/>
      <w:bCs/>
      <w:color w:val="333333"/>
      <w:sz w:val="24"/>
      <w:szCs w:val="24"/>
      <w:u w:val="none"/>
    </w:rPr>
  </w:style>
  <w:style w:type="character" w:customStyle="1" w:styleId="51">
    <w:name w:val="Char Char5"/>
    <w:qFormat/>
    <w:uiPriority w:val="0"/>
    <w:rPr>
      <w:rFonts w:ascii="Tahoma" w:hAnsi="Tahoma" w:eastAsia="宋体"/>
      <w:kern w:val="2"/>
      <w:sz w:val="18"/>
      <w:szCs w:val="18"/>
      <w:lang w:val="en-US" w:eastAsia="zh-CN" w:bidi="ar-SA"/>
    </w:rPr>
  </w:style>
  <w:style w:type="character" w:customStyle="1" w:styleId="52">
    <w:name w:val="标题 1.1 Char1"/>
    <w:qFormat/>
    <w:uiPriority w:val="0"/>
    <w:rPr>
      <w:rFonts w:ascii="Arial" w:hAnsi="Arial" w:eastAsia="黑体"/>
      <w:b/>
      <w:bCs/>
      <w:kern w:val="2"/>
      <w:sz w:val="32"/>
      <w:szCs w:val="32"/>
      <w:lang w:val="en-US" w:eastAsia="zh-CN" w:bidi="ar-SA"/>
    </w:rPr>
  </w:style>
  <w:style w:type="character" w:customStyle="1" w:styleId="53">
    <w:name w:val="font01"/>
    <w:qFormat/>
    <w:uiPriority w:val="0"/>
    <w:rPr>
      <w:rFonts w:hint="eastAsia" w:ascii="宋体" w:hAnsi="宋体" w:eastAsia="宋体" w:cs="宋体"/>
      <w:color w:val="000000"/>
      <w:sz w:val="24"/>
      <w:szCs w:val="24"/>
      <w:u w:val="none"/>
    </w:rPr>
  </w:style>
  <w:style w:type="character" w:customStyle="1" w:styleId="54">
    <w:name w:val="font11"/>
    <w:qFormat/>
    <w:uiPriority w:val="0"/>
    <w:rPr>
      <w:rFonts w:hint="eastAsia" w:ascii="宋体" w:hAnsi="宋体" w:eastAsia="宋体" w:cs="宋体"/>
      <w:b/>
      <w:color w:val="000000"/>
      <w:sz w:val="24"/>
      <w:szCs w:val="24"/>
      <w:u w:val="none"/>
    </w:rPr>
  </w:style>
  <w:style w:type="character" w:customStyle="1" w:styleId="55">
    <w:name w:val="Char Char"/>
    <w:qFormat/>
    <w:uiPriority w:val="0"/>
    <w:rPr>
      <w:rFonts w:ascii="Tahoma" w:hAnsi="Tahoma"/>
      <w:kern w:val="2"/>
      <w:sz w:val="21"/>
      <w:szCs w:val="24"/>
    </w:rPr>
  </w:style>
  <w:style w:type="character" w:customStyle="1" w:styleId="56">
    <w:name w:val="style111"/>
    <w:qFormat/>
    <w:uiPriority w:val="0"/>
    <w:rPr>
      <w:rFonts w:ascii="Tahoma" w:hAnsi="Tahoma"/>
      <w:sz w:val="22"/>
      <w:szCs w:val="22"/>
    </w:rPr>
  </w:style>
  <w:style w:type="character" w:customStyle="1" w:styleId="57">
    <w:name w:val="displayarti"/>
    <w:basedOn w:val="29"/>
    <w:qFormat/>
    <w:uiPriority w:val="0"/>
    <w:rPr>
      <w:color w:val="FFFFFF"/>
      <w:shd w:val="clear" w:color="auto" w:fill="A00000"/>
    </w:rPr>
  </w:style>
  <w:style w:type="character" w:customStyle="1" w:styleId="58">
    <w:name w:val="Char Char7"/>
    <w:qFormat/>
    <w:uiPriority w:val="0"/>
    <w:rPr>
      <w:rFonts w:ascii="Tahoma" w:hAnsi="Tahoma" w:eastAsia="宋体"/>
      <w:b/>
      <w:bCs/>
      <w:kern w:val="44"/>
      <w:sz w:val="44"/>
      <w:szCs w:val="44"/>
      <w:lang w:val="en-US" w:eastAsia="zh-CN" w:bidi="ar-SA"/>
    </w:rPr>
  </w:style>
  <w:style w:type="character" w:customStyle="1" w:styleId="59">
    <w:name w:val="font31"/>
    <w:qFormat/>
    <w:uiPriority w:val="0"/>
    <w:rPr>
      <w:rFonts w:hint="eastAsia" w:ascii="宋体" w:hAnsi="宋体" w:eastAsia="宋体" w:cs="宋体"/>
      <w:color w:val="000000"/>
      <w:sz w:val="21"/>
      <w:szCs w:val="21"/>
      <w:u w:val="none"/>
    </w:rPr>
  </w:style>
  <w:style w:type="character" w:customStyle="1" w:styleId="60">
    <w:name w:val="Char Char2"/>
    <w:qFormat/>
    <w:uiPriority w:val="0"/>
    <w:rPr>
      <w:rFonts w:ascii="华文仿宋" w:hAnsi="华文仿宋" w:eastAsia="华文仿宋"/>
      <w:color w:val="000000"/>
      <w:sz w:val="32"/>
      <w:szCs w:val="32"/>
      <w:lang w:val="en-US" w:eastAsia="zh-CN" w:bidi="ar-SA"/>
    </w:rPr>
  </w:style>
  <w:style w:type="character" w:customStyle="1" w:styleId="61">
    <w:name w:val="style51"/>
    <w:qFormat/>
    <w:uiPriority w:val="0"/>
    <w:rPr>
      <w:rFonts w:ascii="Tahoma" w:hAnsi="Tahoma"/>
      <w:b/>
      <w:bCs/>
      <w:color w:val="814107"/>
      <w:sz w:val="21"/>
      <w:szCs w:val="21"/>
    </w:rPr>
  </w:style>
  <w:style w:type="character" w:customStyle="1" w:styleId="62">
    <w:name w:val="页脚 Char"/>
    <w:link w:val="19"/>
    <w:qFormat/>
    <w:uiPriority w:val="99"/>
    <w:rPr>
      <w:rFonts w:ascii="Tahoma" w:hAnsi="Tahoma"/>
      <w:kern w:val="2"/>
      <w:sz w:val="18"/>
      <w:szCs w:val="18"/>
    </w:rPr>
  </w:style>
  <w:style w:type="character" w:customStyle="1" w:styleId="63">
    <w:name w:val="标题 1.1 Char"/>
    <w:qFormat/>
    <w:uiPriority w:val="0"/>
    <w:rPr>
      <w:rFonts w:ascii="仿宋_GB2312" w:hAnsi="Arial" w:eastAsia="仿宋_GB2312" w:cs="Arial"/>
      <w:b/>
      <w:bCs/>
      <w:kern w:val="2"/>
      <w:sz w:val="24"/>
      <w:szCs w:val="24"/>
      <w:lang w:val="en-US" w:eastAsia="zh-CN" w:bidi="ar-SA"/>
    </w:rPr>
  </w:style>
  <w:style w:type="character" w:customStyle="1" w:styleId="64">
    <w:name w:val="普通文字 Char1"/>
    <w:qFormat/>
    <w:uiPriority w:val="0"/>
    <w:rPr>
      <w:rFonts w:ascii="宋体" w:hAnsi="Courier New" w:eastAsia="宋体"/>
      <w:kern w:val="2"/>
      <w:sz w:val="21"/>
      <w:szCs w:val="21"/>
      <w:lang w:val="en-US" w:eastAsia="zh-CN" w:bidi="ar-SA"/>
    </w:rPr>
  </w:style>
  <w:style w:type="character" w:customStyle="1" w:styleId="65">
    <w:name w:val="font41"/>
    <w:qFormat/>
    <w:uiPriority w:val="0"/>
    <w:rPr>
      <w:rFonts w:ascii="font-weight : 400" w:hAnsi="font-weight : 400" w:eastAsia="font-weight : 400" w:cs="font-weight : 400"/>
      <w:color w:val="000000"/>
      <w:sz w:val="21"/>
      <w:szCs w:val="21"/>
      <w:u w:val="none"/>
    </w:rPr>
  </w:style>
  <w:style w:type="character" w:customStyle="1" w:styleId="66">
    <w:name w:val="批注主题 Char"/>
    <w:link w:val="26"/>
    <w:qFormat/>
    <w:uiPriority w:val="0"/>
    <w:rPr>
      <w:rFonts w:ascii="Tahoma" w:hAnsi="Tahoma"/>
      <w:b/>
      <w:bCs/>
      <w:kern w:val="2"/>
      <w:sz w:val="21"/>
      <w:szCs w:val="24"/>
    </w:rPr>
  </w:style>
  <w:style w:type="character" w:customStyle="1" w:styleId="67">
    <w:name w:val="redfilefwwh"/>
    <w:basedOn w:val="29"/>
    <w:qFormat/>
    <w:uiPriority w:val="0"/>
    <w:rPr>
      <w:color w:val="BA2636"/>
      <w:sz w:val="18"/>
      <w:szCs w:val="18"/>
    </w:rPr>
  </w:style>
  <w:style w:type="character" w:customStyle="1" w:styleId="68">
    <w:name w:val="批注文字 Char"/>
    <w:link w:val="9"/>
    <w:semiHidden/>
    <w:qFormat/>
    <w:uiPriority w:val="99"/>
    <w:rPr>
      <w:rFonts w:ascii="Tahoma" w:hAnsi="Tahoma"/>
      <w:kern w:val="2"/>
      <w:sz w:val="21"/>
      <w:szCs w:val="24"/>
    </w:rPr>
  </w:style>
  <w:style w:type="character" w:customStyle="1" w:styleId="69">
    <w:name w:val="redfilenumber"/>
    <w:basedOn w:val="29"/>
    <w:qFormat/>
    <w:uiPriority w:val="0"/>
    <w:rPr>
      <w:color w:val="BA2636"/>
      <w:sz w:val="18"/>
      <w:szCs w:val="18"/>
    </w:rPr>
  </w:style>
  <w:style w:type="paragraph" w:customStyle="1" w:styleId="70">
    <w:name w:val="Char1 Char Char Char"/>
    <w:basedOn w:val="1"/>
    <w:qFormat/>
    <w:uiPriority w:val="0"/>
    <w:pPr>
      <w:adjustRightInd w:val="0"/>
      <w:spacing w:line="360" w:lineRule="auto"/>
    </w:pPr>
    <w:rPr>
      <w:kern w:val="0"/>
      <w:sz w:val="24"/>
      <w:szCs w:val="20"/>
    </w:rPr>
  </w:style>
  <w:style w:type="paragraph" w:customStyle="1" w:styleId="71">
    <w:name w:val="前言、引言标题"/>
    <w:qFormat/>
    <w:uiPriority w:val="0"/>
    <w:pPr>
      <w:numPr>
        <w:ilvl w:val="0"/>
        <w:numId w:val="1"/>
      </w:numPr>
      <w:shd w:val="clear" w:color="FFFFFF" w:fill="FFFFFF"/>
      <w:spacing w:before="640" w:after="560"/>
      <w:jc w:val="center"/>
      <w:outlineLvl w:val="0"/>
    </w:pPr>
    <w:rPr>
      <w:rFonts w:ascii="黑体" w:hAnsi="Times New Roman" w:eastAsia="黑体" w:cs="Times New Roman"/>
      <w:kern w:val="2"/>
      <w:sz w:val="32"/>
      <w:szCs w:val="22"/>
      <w:lang w:val="en-US" w:eastAsia="zh-CN" w:bidi="ar-SA"/>
    </w:rPr>
  </w:style>
  <w:style w:type="paragraph" w:customStyle="1" w:styleId="72">
    <w:name w:val="_Style 2"/>
    <w:basedOn w:val="1"/>
    <w:qFormat/>
    <w:uiPriority w:val="34"/>
    <w:pPr>
      <w:ind w:firstLine="420" w:firstLineChars="200"/>
    </w:pPr>
  </w:style>
  <w:style w:type="paragraph" w:customStyle="1" w:styleId="73">
    <w:name w:val="Char Char Char Char Char Char"/>
    <w:basedOn w:val="1"/>
    <w:qFormat/>
    <w:uiPriority w:val="0"/>
    <w:rPr>
      <w:rFonts w:ascii="Tahoma" w:hAnsi="Tahoma"/>
      <w:sz w:val="24"/>
    </w:rPr>
  </w:style>
  <w:style w:type="paragraph" w:customStyle="1" w:styleId="74">
    <w:name w:val="章标题"/>
    <w:qFormat/>
    <w:uiPriority w:val="0"/>
    <w:pPr>
      <w:numPr>
        <w:ilvl w:val="1"/>
        <w:numId w:val="1"/>
      </w:numPr>
      <w:spacing w:beforeLines="50" w:afterLines="50"/>
      <w:jc w:val="both"/>
      <w:outlineLvl w:val="1"/>
    </w:pPr>
    <w:rPr>
      <w:rFonts w:ascii="黑体" w:hAnsi="Times New Roman" w:eastAsia="黑体" w:cs="Times New Roman"/>
      <w:kern w:val="2"/>
      <w:sz w:val="21"/>
      <w:szCs w:val="22"/>
      <w:lang w:val="en-US" w:eastAsia="zh-CN" w:bidi="ar-SA"/>
    </w:rPr>
  </w:style>
  <w:style w:type="paragraph" w:customStyle="1" w:styleId="75">
    <w:name w:val="Char Char Char"/>
    <w:basedOn w:val="1"/>
    <w:qFormat/>
    <w:uiPriority w:val="0"/>
    <w:rPr>
      <w:rFonts w:ascii="Tahoma" w:hAnsi="Tahoma"/>
      <w:sz w:val="24"/>
      <w:szCs w:val="20"/>
    </w:rPr>
  </w:style>
  <w:style w:type="paragraph" w:customStyle="1" w:styleId="7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7">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8">
    <w:name w:val="普通(网站)1"/>
    <w:basedOn w:val="1"/>
    <w:qFormat/>
    <w:uiPriority w:val="0"/>
    <w:pPr>
      <w:spacing w:before="100" w:beforeAutospacing="1" w:after="100" w:afterAutospacing="1"/>
      <w:jc w:val="left"/>
    </w:pPr>
    <w:rPr>
      <w:rFonts w:ascii="宋体" w:hAnsi="宋体" w:cs="宋体"/>
      <w:kern w:val="0"/>
      <w:sz w:val="24"/>
    </w:rPr>
  </w:style>
  <w:style w:type="paragraph" w:customStyle="1" w:styleId="79">
    <w:name w:val="二级条标题"/>
    <w:basedOn w:val="80"/>
    <w:qFormat/>
    <w:uiPriority w:val="0"/>
    <w:pPr>
      <w:numPr>
        <w:ilvl w:val="3"/>
      </w:numPr>
      <w:outlineLvl w:val="3"/>
    </w:pPr>
  </w:style>
  <w:style w:type="paragraph" w:customStyle="1" w:styleId="80">
    <w:name w:val="一级条标题"/>
    <w:basedOn w:val="74"/>
    <w:qFormat/>
    <w:uiPriority w:val="0"/>
    <w:pPr>
      <w:numPr>
        <w:ilvl w:val="2"/>
        <w:numId w:val="0"/>
      </w:numPr>
      <w:spacing w:beforeLines="0" w:afterLines="0"/>
      <w:outlineLvl w:val="2"/>
    </w:pPr>
  </w:style>
  <w:style w:type="paragraph" w:customStyle="1" w:styleId="81">
    <w:name w:val="Char Char Char1"/>
    <w:basedOn w:val="1"/>
    <w:qFormat/>
    <w:uiPriority w:val="0"/>
    <w:rPr>
      <w:rFonts w:ascii="Tahoma" w:hAnsi="Tahoma"/>
      <w:sz w:val="24"/>
      <w:szCs w:val="20"/>
    </w:rPr>
  </w:style>
  <w:style w:type="paragraph" w:customStyle="1" w:styleId="82">
    <w:name w:val="样式5"/>
    <w:basedOn w:val="83"/>
    <w:qFormat/>
    <w:uiPriority w:val="0"/>
    <w:pPr>
      <w:numPr>
        <w:ilvl w:val="3"/>
        <w:numId w:val="0"/>
      </w:numPr>
      <w:tabs>
        <w:tab w:val="left" w:pos="432"/>
      </w:tabs>
      <w:spacing w:before="156"/>
    </w:pPr>
  </w:style>
  <w:style w:type="paragraph" w:customStyle="1" w:styleId="83">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4">
    <w:name w:val="Char"/>
    <w:basedOn w:val="1"/>
    <w:qFormat/>
    <w:uiPriority w:val="0"/>
    <w:pPr>
      <w:adjustRightInd w:val="0"/>
      <w:spacing w:line="360" w:lineRule="auto"/>
    </w:pPr>
    <w:rPr>
      <w:kern w:val="0"/>
      <w:sz w:val="24"/>
      <w:szCs w:val="20"/>
    </w:rPr>
  </w:style>
  <w:style w:type="paragraph" w:customStyle="1" w:styleId="85">
    <w:name w:val="Char1"/>
    <w:basedOn w:val="1"/>
    <w:qFormat/>
    <w:uiPriority w:val="0"/>
    <w:pPr>
      <w:adjustRightInd w:val="0"/>
      <w:spacing w:line="360" w:lineRule="auto"/>
    </w:pPr>
    <w:rPr>
      <w:kern w:val="0"/>
      <w:sz w:val="24"/>
      <w:szCs w:val="20"/>
    </w:rPr>
  </w:style>
  <w:style w:type="paragraph" w:customStyle="1" w:styleId="86">
    <w:name w:val="三级条标题"/>
    <w:basedOn w:val="79"/>
    <w:qFormat/>
    <w:uiPriority w:val="0"/>
    <w:pPr>
      <w:numPr>
        <w:ilvl w:val="4"/>
      </w:numPr>
      <w:outlineLvl w:val="4"/>
    </w:pPr>
  </w:style>
  <w:style w:type="paragraph" w:customStyle="1" w:styleId="87">
    <w:name w:val="Char Char8"/>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88">
    <w:name w:val="Char Char Char Char Char Char Char"/>
    <w:basedOn w:val="1"/>
    <w:qFormat/>
    <w:uiPriority w:val="0"/>
    <w:rPr>
      <w:rFonts w:ascii="Tahoma" w:hAnsi="Tahoma" w:cs="Arial"/>
      <w:szCs w:val="21"/>
    </w:rPr>
  </w:style>
  <w:style w:type="paragraph" w:customStyle="1" w:styleId="89">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0">
    <w:name w:val="px12black"/>
    <w:basedOn w:val="1"/>
    <w:qFormat/>
    <w:uiPriority w:val="0"/>
    <w:pPr>
      <w:spacing w:before="100" w:beforeAutospacing="1" w:after="100" w:afterAutospacing="1"/>
      <w:jc w:val="left"/>
    </w:pPr>
    <w:rPr>
      <w:rFonts w:ascii="宋体" w:hAnsi="宋体"/>
      <w:kern w:val="0"/>
      <w:sz w:val="24"/>
      <w:szCs w:val="20"/>
    </w:rPr>
  </w:style>
  <w:style w:type="paragraph" w:customStyle="1" w:styleId="91">
    <w:name w:val="五级条标题"/>
    <w:basedOn w:val="92"/>
    <w:qFormat/>
    <w:uiPriority w:val="0"/>
    <w:pPr>
      <w:numPr>
        <w:ilvl w:val="6"/>
      </w:numPr>
      <w:outlineLvl w:val="6"/>
    </w:pPr>
  </w:style>
  <w:style w:type="paragraph" w:customStyle="1" w:styleId="92">
    <w:name w:val="四级条标题"/>
    <w:basedOn w:val="86"/>
    <w:qFormat/>
    <w:uiPriority w:val="0"/>
    <w:pPr>
      <w:numPr>
        <w:ilvl w:val="5"/>
      </w:numPr>
      <w:outlineLvl w:val="5"/>
    </w:pPr>
  </w:style>
  <w:style w:type="paragraph" w:customStyle="1" w:styleId="93">
    <w:name w:val="Normal Indent1"/>
    <w:basedOn w:val="1"/>
    <w:qFormat/>
    <w:uiPriority w:val="99"/>
    <w:pPr>
      <w:autoSpaceDE w:val="0"/>
      <w:autoSpaceDN w:val="0"/>
      <w:adjustRightInd w:val="0"/>
      <w:ind w:firstLine="420"/>
    </w:pPr>
    <w:rPr>
      <w:kern w:val="0"/>
      <w:szCs w:val="21"/>
    </w:rPr>
  </w:style>
  <w:style w:type="paragraph" w:customStyle="1" w:styleId="94">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5">
    <w:name w:val="样式6"/>
    <w:basedOn w:val="83"/>
    <w:qFormat/>
    <w:uiPriority w:val="0"/>
    <w:pPr>
      <w:numPr>
        <w:ilvl w:val="2"/>
        <w:numId w:val="0"/>
      </w:numPr>
      <w:tabs>
        <w:tab w:val="clear" w:pos="432"/>
      </w:tabs>
      <w:spacing w:before="156"/>
      <w:outlineLvl w:val="4"/>
    </w:pPr>
    <w:rPr>
      <w:rFonts w:ascii="MS Shell Dlg" w:hAnsi="MS Shell Dlg"/>
    </w:rPr>
  </w:style>
  <w:style w:type="paragraph" w:customStyle="1" w:styleId="96">
    <w:name w:val="列出段落1"/>
    <w:basedOn w:val="1"/>
    <w:qFormat/>
    <w:uiPriority w:val="0"/>
    <w:pPr>
      <w:ind w:firstLine="420" w:firstLineChars="200"/>
    </w:pPr>
    <w:rPr>
      <w:rFonts w:ascii="Calibri" w:hAnsi="Calibri"/>
      <w:kern w:val="0"/>
      <w:sz w:val="20"/>
      <w:szCs w:val="20"/>
    </w:rPr>
  </w:style>
  <w:style w:type="paragraph" w:customStyle="1" w:styleId="97">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98">
    <w:name w:val="Table Paragraph"/>
    <w:basedOn w:val="1"/>
    <w:unhideWhenUsed/>
    <w:qFormat/>
    <w:uiPriority w:val="1"/>
    <w:rPr>
      <w:rFonts w:hint="eastAsia"/>
      <w:sz w:val="24"/>
    </w:rPr>
  </w:style>
  <w:style w:type="paragraph" w:customStyle="1" w:styleId="99">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0">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1">
    <w:name w:val="标题 2 Char1"/>
    <w:link w:val="4"/>
    <w:qFormat/>
    <w:uiPriority w:val="0"/>
    <w:rPr>
      <w:rFonts w:ascii="Arial" w:hAnsi="Arial" w:eastAsia="黑体"/>
      <w:b/>
      <w:bCs/>
      <w:sz w:val="32"/>
      <w:szCs w:val="32"/>
    </w:rPr>
  </w:style>
  <w:style w:type="character" w:customStyle="1" w:styleId="102">
    <w:name w:val="标题 1 Char"/>
    <w:link w:val="3"/>
    <w:qFormat/>
    <w:uiPriority w:val="0"/>
    <w:rPr>
      <w:b/>
      <w:bCs/>
      <w:kern w:val="44"/>
      <w:sz w:val="44"/>
      <w:szCs w:val="44"/>
    </w:rPr>
  </w:style>
  <w:style w:type="paragraph" w:customStyle="1" w:styleId="103">
    <w:name w:val="段"/>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kern w:val="2"/>
      <w:sz w:val="24"/>
      <w:szCs w:val="22"/>
      <w:lang w:val="en-US" w:eastAsia="zh-CN" w:bidi="ar-SA"/>
    </w:rPr>
  </w:style>
  <w:style w:type="paragraph" w:customStyle="1" w:styleId="104">
    <w:name w:val="正文文字缩进"/>
    <w:qFormat/>
    <w:uiPriority w:val="0"/>
    <w:pPr>
      <w:spacing w:line="351" w:lineRule="atLeast"/>
      <w:ind w:firstLine="555"/>
      <w:textAlignment w:val="baseline"/>
    </w:pPr>
    <w:rPr>
      <w:rFonts w:ascii="Times New Roman" w:hAnsi="Times New Roman" w:eastAsia="宋体" w:cs="Times New Roman"/>
      <w:color w:val="000000"/>
      <w:kern w:val="2"/>
      <w:sz w:val="28"/>
      <w:szCs w:val="22"/>
      <w:lang w:val="en-US" w:eastAsia="zh-CN" w:bidi="ar-SA"/>
    </w:rPr>
  </w:style>
  <w:style w:type="character" w:customStyle="1" w:styleId="105">
    <w:name w:val="label"/>
    <w:basedOn w:val="29"/>
    <w:qFormat/>
    <w:uiPriority w:val="0"/>
    <w:rPr>
      <w:color w:val="999999"/>
    </w:rPr>
  </w:style>
  <w:style w:type="character" w:customStyle="1" w:styleId="106">
    <w:name w:val="layui-laypage-curr"/>
    <w:basedOn w:val="29"/>
    <w:qFormat/>
    <w:uiPriority w:val="0"/>
  </w:style>
  <w:style w:type="character" w:customStyle="1" w:styleId="107">
    <w:name w:val="hover10"/>
    <w:basedOn w:val="29"/>
    <w:qFormat/>
    <w:uiPriority w:val="0"/>
  </w:style>
  <w:style w:type="paragraph" w:customStyle="1" w:styleId="108">
    <w:name w:val="正文缩进1"/>
    <w:basedOn w:val="1"/>
    <w:qFormat/>
    <w:uiPriority w:val="0"/>
    <w:pPr>
      <w:widowControl/>
      <w:ind w:firstLine="420"/>
      <w:jc w:val="left"/>
    </w:pPr>
    <w:rPr>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65</Pages>
  <Words>36496</Words>
  <Characters>38613</Characters>
  <Lines>356</Lines>
  <Paragraphs>100</Paragraphs>
  <TotalTime>11</TotalTime>
  <ScaleCrop>false</ScaleCrop>
  <LinksUpToDate>false</LinksUpToDate>
  <CharactersWithSpaces>44508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2023-07-26T01:58:00Z</cp:lastPrinted>
  <dcterms:modified xsi:type="dcterms:W3CDTF">2023-07-30T09:40:51Z</dcterms:modified>
  <dc:title>湖 北  招 标</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E12EF3D6AB684DEB979F0F59B2FB9AA9_13</vt:lpwstr>
  </property>
</Properties>
</file>