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rPr>
          <w:rFonts w:hint="default" w:ascii="微软雅黑" w:hAnsi="微软雅黑" w:eastAsia="微软雅黑"/>
          <w:szCs w:val="32"/>
        </w:rPr>
      </w:pPr>
      <w:bookmarkStart w:id="0" w:name="_Toc109899996"/>
      <w:bookmarkStart w:id="1" w:name="_Toc109897478"/>
      <w:bookmarkStart w:id="2" w:name="_Toc256000058"/>
      <w:bookmarkStart w:id="3" w:name="_Toc109899577"/>
      <w:bookmarkStart w:id="4" w:name="_Toc109900415"/>
      <w:r>
        <w:rPr>
          <w:rFonts w:ascii="微软雅黑" w:hAnsi="微软雅黑" w:eastAsia="微软雅黑"/>
          <w:szCs w:val="32"/>
        </w:rPr>
        <w:t>第三章 项目采购需求</w:t>
      </w:r>
      <w:bookmarkEnd w:id="0"/>
      <w:bookmarkEnd w:id="1"/>
      <w:bookmarkEnd w:id="2"/>
      <w:bookmarkEnd w:id="3"/>
      <w:bookmarkEnd w:id="4"/>
      <w:bookmarkStart w:id="5" w:name="目录_第三章_采购需求_40"/>
      <w:r>
        <w:rPr>
          <w:rFonts w:ascii="微软雅黑" w:hAnsi="微软雅黑" w:eastAsia="微软雅黑"/>
          <w:szCs w:val="32"/>
        </w:rPr>
        <w:t xml:space="preserve"> </w:t>
      </w:r>
      <w:bookmarkEnd w:id="5"/>
      <w:r>
        <w:rPr>
          <w:rFonts w:hint="eastAsia" w:ascii="微软雅黑" w:hAnsi="微软雅黑" w:eastAsia="微软雅黑" w:cs="微软雅黑"/>
          <w:bCs/>
          <w:kern w:val="44"/>
          <w:sz w:val="32"/>
          <w:szCs w:val="32"/>
          <w:lang w:val="en-US" w:eastAsia="zh-CN"/>
        </w:rPr>
        <w:t xml:space="preserve"> </w:t>
      </w:r>
    </w:p>
    <w:p>
      <w:pPr>
        <w:wordWrap w:val="0"/>
        <w:spacing w:line="360" w:lineRule="auto"/>
        <w:rPr>
          <w:lang w:val="zh-CN"/>
        </w:rPr>
      </w:pPr>
      <w:r>
        <w:rPr>
          <w:rFonts w:hint="eastAsia"/>
          <w:b/>
          <w:lang w:val="zh-CN"/>
        </w:rPr>
        <w:t>说明：</w:t>
      </w:r>
      <w:r>
        <w:rPr>
          <w:rFonts w:hint="eastAsia"/>
          <w:lang w:val="zh-CN"/>
        </w:rPr>
        <w:t>“★”号标注的内容为实质性要求，必须满足或优于该要求，否则按照</w:t>
      </w:r>
      <w:r>
        <w:rPr>
          <w:rFonts w:hint="eastAsia"/>
          <w:b/>
          <w:lang w:val="zh-CN"/>
        </w:rPr>
        <w:t>无效投标处理</w:t>
      </w:r>
      <w:r>
        <w:rPr>
          <w:rFonts w:hint="eastAsia"/>
          <w:lang w:val="zh-CN"/>
        </w:rPr>
        <w:t>。</w:t>
      </w:r>
    </w:p>
    <w:p>
      <w:pPr>
        <w:pStyle w:val="4"/>
        <w:numPr>
          <w:ilvl w:val="0"/>
          <w:numId w:val="1"/>
        </w:numPr>
      </w:pPr>
      <w:bookmarkStart w:id="6" w:name="_Toc256000059"/>
      <w:bookmarkStart w:id="7" w:name="_Toc140132812"/>
      <w:r>
        <w:rPr>
          <w:rFonts w:hint="eastAsia"/>
        </w:rPr>
        <w:t>采购清单</w:t>
      </w:r>
      <w:bookmarkEnd w:id="6"/>
      <w:bookmarkEnd w:id="7"/>
    </w:p>
    <w:tbl>
      <w:tblPr>
        <w:tblStyle w:val="7"/>
        <w:tblW w:w="9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538"/>
        <w:gridCol w:w="1043"/>
        <w:gridCol w:w="832"/>
        <w:gridCol w:w="1254"/>
        <w:gridCol w:w="1043"/>
        <w:gridCol w:w="1043"/>
        <w:gridCol w:w="1043"/>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54" w:type="dxa"/>
            <w:vAlign w:val="center"/>
          </w:tcPr>
          <w:p>
            <w:pPr>
              <w:bidi w:val="0"/>
              <w:jc w:val="center"/>
              <w:rPr>
                <w:rFonts w:hint="eastAsia" w:ascii="宋体" w:hAnsi="宋体" w:eastAsia="宋体" w:cs="宋体"/>
                <w:sz w:val="21"/>
                <w:szCs w:val="21"/>
              </w:rPr>
            </w:pPr>
            <w:bookmarkStart w:id="8" w:name="hbzc_第三章_hwqd_c_采购清单_40_10_r_n"/>
            <w:bookmarkEnd w:id="8"/>
            <w:r>
              <w:rPr>
                <w:rFonts w:hint="eastAsia" w:ascii="宋体" w:hAnsi="宋体" w:eastAsia="宋体" w:cs="宋体"/>
                <w:sz w:val="21"/>
                <w:szCs w:val="21"/>
              </w:rPr>
              <w:t>序号</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名称</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数量</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单位</w:t>
            </w:r>
          </w:p>
        </w:tc>
        <w:tc>
          <w:tcPr>
            <w:tcW w:w="12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是否接受进口产品</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是否为核心产品</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是否面向中小微企业</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服务/货物/工程</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服务器①</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台</w:t>
            </w:r>
          </w:p>
        </w:tc>
        <w:tc>
          <w:tcPr>
            <w:tcW w:w="12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2</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服务器②</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3</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台</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3</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设计云桌面</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1100</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套</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4</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协同设计平台</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25</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套</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是</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5</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应用分析平台</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套</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6</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运维服务平台</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套</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7</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智能网关</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个</w:t>
            </w:r>
          </w:p>
        </w:tc>
        <w:tc>
          <w:tcPr>
            <w:tcW w:w="1254" w:type="dxa"/>
            <w:vAlign w:val="center"/>
          </w:tcPr>
          <w:p>
            <w:pPr>
              <w:bidi w:val="0"/>
              <w:jc w:val="center"/>
              <w:rPr>
                <w:rFonts w:hint="eastAsia" w:ascii="宋体" w:hAnsi="宋体" w:eastAsia="宋体" w:cs="宋体"/>
                <w:sz w:val="21"/>
                <w:szCs w:val="21"/>
                <w:lang w:val="hr-HR"/>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8</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交换机①</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台</w:t>
            </w:r>
          </w:p>
        </w:tc>
        <w:tc>
          <w:tcPr>
            <w:tcW w:w="12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9</w:t>
            </w:r>
          </w:p>
        </w:tc>
        <w:tc>
          <w:tcPr>
            <w:tcW w:w="1538"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交换机②</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832"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台</w:t>
            </w:r>
          </w:p>
        </w:tc>
        <w:tc>
          <w:tcPr>
            <w:tcW w:w="1254"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否</w:t>
            </w:r>
          </w:p>
        </w:tc>
        <w:tc>
          <w:tcPr>
            <w:tcW w:w="1043"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货物</w:t>
            </w:r>
          </w:p>
        </w:tc>
        <w:tc>
          <w:tcPr>
            <w:tcW w:w="1391" w:type="dxa"/>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lang w:val="en-US"/>
              </w:rPr>
              <w:t>工业</w:t>
            </w:r>
          </w:p>
        </w:tc>
      </w:tr>
    </w:tbl>
    <w:p>
      <w:pPr>
        <w:rPr>
          <w:rFonts w:hint="default"/>
          <w:lang w:val="en-US"/>
        </w:rPr>
      </w:pPr>
    </w:p>
    <w:p>
      <w:pPr>
        <w:pStyle w:val="4"/>
        <w:numPr>
          <w:ilvl w:val="0"/>
          <w:numId w:val="1"/>
        </w:numPr>
      </w:pPr>
      <w:bookmarkStart w:id="9" w:name="_Toc256000060"/>
      <w:bookmarkStart w:id="10" w:name="_Toc140132813"/>
      <w:r>
        <w:rPr>
          <w:rFonts w:hint="eastAsia"/>
        </w:rPr>
        <w:t>项目概述简介</w:t>
      </w:r>
      <w:bookmarkEnd w:id="9"/>
      <w:bookmarkEnd w:id="10"/>
    </w:p>
    <w:p>
      <w:pPr>
        <w:spacing w:line="360" w:lineRule="auto"/>
        <w:rPr>
          <w:rFonts w:hint="eastAsia" w:ascii="宋体" w:hAnsi="宋体" w:eastAsia="宋体" w:cs="宋体"/>
          <w:kern w:val="2"/>
          <w:sz w:val="21"/>
          <w:szCs w:val="21"/>
          <w:highlight w:val="none"/>
        </w:rPr>
      </w:pPr>
      <w:bookmarkStart w:id="11" w:name="hbzc_第三章_xmgs_s_项目概述_40_12_r_y"/>
      <w:bookmarkStart w:id="12" w:name="_Hlk140140181"/>
      <w:r>
        <w:rPr>
          <w:rFonts w:hint="eastAsia" w:ascii="宋体" w:hAnsi="宋体" w:eastAsia="宋体" w:cs="宋体"/>
          <w:kern w:val="2"/>
          <w:sz w:val="21"/>
          <w:szCs w:val="21"/>
          <w:highlight w:val="none"/>
        </w:rPr>
        <w:t>（一）项目建设背景及意义</w:t>
      </w:r>
    </w:p>
    <w:p>
      <w:pPr>
        <w:spacing w:line="360" w:lineRule="auto"/>
        <w:ind w:firstLine="42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智能建造是以新发展理念为引领、以科技创新为支撑、以项目建设为抓手,推动现代信息技术与工程建造技术深度融合,实现工程建造全过程全要素信息化、数字化、智能化的新型建造方式。</w:t>
      </w:r>
    </w:p>
    <w:p>
      <w:pPr>
        <w:spacing w:line="360" w:lineRule="auto"/>
        <w:ind w:firstLine="42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目前土木与建筑行业正面临智能建造转型升级，顺应社会需求，于2020年设立新工科智能建造专业，但缺乏相应的教学与实验平台。因此，搭建数字化设计与智能建造云平台将有效地促进智能建造方向的人才培养和学科建设。</w:t>
      </w:r>
    </w:p>
    <w:p>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（二）政策支撑</w:t>
      </w:r>
    </w:p>
    <w:p>
      <w:pPr>
        <w:spacing w:line="360" w:lineRule="auto"/>
        <w:ind w:firstLine="42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建筑业的十四五规划明确指出要重点发展智能建造产业，积极鼓励高校和科研机构开展智能建造领域的科研，培养更多相关领域的人才。我校是湖北省智能建造产业联盟核心成员，担负智能建造人才培养的重任。武汉市是全国首批智能建造试点城市，在试点城市建设任务中，我校被列为智能建造人才培养基地。综上所述，搭建适合我校的数字化设计与智能建造云平台是以上政策在人才培养方面的具体举措。</w:t>
      </w:r>
    </w:p>
    <w:p>
      <w:pPr>
        <w:numPr>
          <w:ilvl w:val="0"/>
          <w:numId w:val="2"/>
        </w:num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可行性分析</w:t>
      </w:r>
    </w:p>
    <w:p>
      <w:pPr>
        <w:spacing w:line="360" w:lineRule="auto"/>
        <w:ind w:firstLine="42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目前，数字化设计与智能建造云平台已搭建总体架构：</w:t>
      </w:r>
    </w:p>
    <w:p>
      <w:pPr>
        <w:spacing w:line="360" w:lineRule="auto"/>
        <w:rPr>
          <w:rFonts w:hint="eastAsia" w:ascii="宋体" w:hAnsi="宋体" w:eastAsia="宋体" w:cs="宋体"/>
          <w:kern w:val="2"/>
          <w:sz w:val="21"/>
          <w:szCs w:val="21"/>
          <w:highlight w:val="none"/>
        </w:rPr>
      </w:pPr>
      <w:r>
        <w:rPr>
          <w:rFonts w:hint="eastAsia" w:ascii="宋体" w:hAnsi="宋体" w:eastAsia="宋体" w:cs="宋体"/>
          <w:sz w:val="21"/>
          <w:szCs w:val="21"/>
          <w:highlight w:val="none"/>
        </w:rPr>
        <w:drawing>
          <wp:inline distT="0" distB="0" distL="114300" distR="114300">
            <wp:extent cx="5272405" cy="3215640"/>
            <wp:effectExtent l="0" t="0" r="444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3215640"/>
                    </a:xfrm>
                    <a:prstGeom prst="rect">
                      <a:avLst/>
                    </a:prstGeom>
                    <a:noFill/>
                    <a:ln>
                      <a:noFill/>
                    </a:ln>
                  </pic:spPr>
                </pic:pic>
              </a:graphicData>
            </a:graphic>
          </wp:inline>
        </w:drawing>
      </w:r>
    </w:p>
    <w:p>
      <w:pPr>
        <w:tabs>
          <w:tab w:val="left" w:pos="426"/>
        </w:tabs>
        <w:autoSpaceDE w:val="0"/>
        <w:autoSpaceDN w:val="0"/>
        <w:adjustRightInd w:val="0"/>
        <w:snapToGrid w:val="0"/>
        <w:spacing w:line="360" w:lineRule="auto"/>
        <w:ind w:firstLine="420" w:firstLineChars="200"/>
        <w:rPr>
          <w:rFonts w:ascii="宋体" w:hAnsi="宋体" w:cs="仿宋_GB2312"/>
          <w:snapToGrid w:val="0"/>
          <w:sz w:val="24"/>
          <w:szCs w:val="24"/>
          <w:lang w:val="zh-CN"/>
        </w:rPr>
      </w:pPr>
      <w:r>
        <w:rPr>
          <w:rFonts w:hint="eastAsia" w:ascii="宋体" w:hAnsi="宋体" w:eastAsia="宋体" w:cs="宋体"/>
          <w:kern w:val="2"/>
          <w:sz w:val="21"/>
          <w:szCs w:val="21"/>
          <w:highlight w:val="none"/>
        </w:rPr>
        <w:t>本项目具有重要的理论意义和实际价值。从理论上来说，本项目将探索建筑项目全生命周期数据管理与应用的方法和模式，为数字化设计与智能建造领域提供新的思路和方法。从实际上来说，本项目将为建筑行业提供一个集数据管理分析、应用于一体的云平台，为提高建筑项目的质量、效率和安全性提供技术支撑。同时，本项目还将为高校教学和科研提供一个数字化设计与智能建造实验教学平台，为培养数字化设计与智能建造人才提供教育资源</w:t>
      </w:r>
      <w:r>
        <w:rPr>
          <w:rFonts w:ascii="宋体" w:hAnsi="宋体" w:cs="仿宋_GB2312"/>
          <w:snapToGrid w:val="0"/>
          <w:sz w:val="24"/>
          <w:szCs w:val="24"/>
          <w:lang w:val="zh-CN"/>
        </w:rPr>
        <w:t>。</w:t>
      </w:r>
      <w:bookmarkEnd w:id="11"/>
    </w:p>
    <w:p>
      <w:pPr>
        <w:pStyle w:val="4"/>
        <w:numPr>
          <w:ilvl w:val="0"/>
          <w:numId w:val="1"/>
        </w:numPr>
      </w:pPr>
      <w:bookmarkStart w:id="13" w:name="_Toc117244369"/>
      <w:bookmarkStart w:id="14" w:name="_Toc511894510"/>
      <w:bookmarkStart w:id="15" w:name="_Toc102114935"/>
      <w:bookmarkStart w:id="16" w:name="_Toc102057733"/>
      <w:bookmarkStart w:id="17" w:name="_Toc494561954"/>
      <w:bookmarkStart w:id="18" w:name="_Toc102119868"/>
      <w:bookmarkStart w:id="19" w:name="_Toc256000061"/>
      <w:bookmarkStart w:id="20" w:name="_Toc102116167"/>
      <w:bookmarkStart w:id="21" w:name="_Toc122685177"/>
      <w:bookmarkStart w:id="22" w:name="_Toc102116037"/>
      <w:bookmarkStart w:id="23" w:name="_Toc117244484"/>
      <w:bookmarkStart w:id="24" w:name="_Toc102056233"/>
      <w:bookmarkStart w:id="25" w:name="_Toc511889432"/>
      <w:bookmarkStart w:id="26" w:name="_Toc107561287"/>
      <w:r>
        <w:rPr>
          <w:rFonts w:hint="eastAsia"/>
        </w:rPr>
        <w:t>执行的相关标准、规范</w:t>
      </w:r>
      <w:bookmarkEnd w:id="13"/>
      <w:bookmarkEnd w:id="14"/>
      <w:bookmarkEnd w:id="15"/>
      <w:bookmarkEnd w:id="16"/>
      <w:bookmarkEnd w:id="17"/>
      <w:bookmarkEnd w:id="18"/>
      <w:bookmarkEnd w:id="19"/>
      <w:bookmarkEnd w:id="20"/>
      <w:bookmarkEnd w:id="21"/>
      <w:bookmarkEnd w:id="22"/>
      <w:bookmarkEnd w:id="23"/>
      <w:bookmarkEnd w:id="24"/>
      <w:bookmarkEnd w:id="25"/>
      <w:bookmarkEnd w:id="26"/>
    </w:p>
    <w:p>
      <w:pPr>
        <w:wordWrap w:val="0"/>
        <w:spacing w:line="360" w:lineRule="auto"/>
        <w:rPr>
          <w:rFonts w:hint="eastAsia" w:cs="Helvetica"/>
          <w:szCs w:val="24"/>
        </w:rPr>
      </w:pPr>
      <w:r>
        <w:rPr>
          <w:rFonts w:cs="Helvetica"/>
          <w:szCs w:val="24"/>
        </w:rPr>
        <w:t>采购</w:t>
      </w:r>
      <w:r>
        <w:rPr>
          <w:rFonts w:hint="eastAsia" w:cs="Helvetica"/>
          <w:szCs w:val="24"/>
        </w:rPr>
        <w:t>内容</w:t>
      </w:r>
      <w:r>
        <w:rPr>
          <w:rFonts w:cs="Helvetica"/>
          <w:szCs w:val="24"/>
        </w:rPr>
        <w:t>需执行的国家相关标准、行业标准、地方标准或者其他标准、规范</w:t>
      </w:r>
      <w:r>
        <w:rPr>
          <w:rFonts w:hint="eastAsia" w:cs="Helvetica"/>
          <w:szCs w:val="24"/>
        </w:rPr>
        <w:t>。</w:t>
      </w:r>
    </w:p>
    <w:p>
      <w:pPr>
        <w:pStyle w:val="5"/>
        <w:rPr>
          <w:rFonts w:hint="eastAsia"/>
        </w:rPr>
      </w:pPr>
    </w:p>
    <w:p>
      <w:pPr>
        <w:pStyle w:val="4"/>
        <w:numPr>
          <w:ilvl w:val="0"/>
          <w:numId w:val="1"/>
        </w:numPr>
      </w:pPr>
      <w:bookmarkStart w:id="27" w:name="_Toc511894511"/>
      <w:bookmarkStart w:id="28" w:name="_Toc494561955"/>
      <w:bookmarkStart w:id="29" w:name="_Toc117244485"/>
      <w:bookmarkStart w:id="30" w:name="_Toc102057734"/>
      <w:bookmarkStart w:id="31" w:name="_Toc122685178"/>
      <w:bookmarkStart w:id="32" w:name="_Toc102119869"/>
      <w:bookmarkStart w:id="33" w:name="_Toc117244370"/>
      <w:bookmarkStart w:id="34" w:name="_Toc102116038"/>
      <w:bookmarkStart w:id="35" w:name="_Toc511889433"/>
      <w:bookmarkStart w:id="36" w:name="_Toc102116168"/>
      <w:bookmarkStart w:id="37" w:name="_Toc107561288"/>
      <w:bookmarkStart w:id="38" w:name="_Toc102056234"/>
      <w:bookmarkStart w:id="39" w:name="_Toc102114936"/>
      <w:bookmarkStart w:id="40" w:name="_Toc256000062"/>
      <w:r>
        <w:rPr>
          <w:rFonts w:hint="eastAsia"/>
        </w:rPr>
        <w:t>技术要求</w:t>
      </w:r>
      <w:bookmarkEnd w:id="27"/>
      <w:bookmarkEnd w:id="28"/>
      <w:bookmarkEnd w:id="29"/>
      <w:bookmarkEnd w:id="30"/>
      <w:bookmarkEnd w:id="31"/>
      <w:bookmarkEnd w:id="32"/>
      <w:bookmarkEnd w:id="33"/>
      <w:bookmarkEnd w:id="34"/>
      <w:bookmarkEnd w:id="35"/>
      <w:bookmarkEnd w:id="36"/>
      <w:bookmarkEnd w:id="37"/>
      <w:bookmarkEnd w:id="38"/>
      <w:bookmarkEnd w:id="39"/>
      <w:r>
        <w:rPr>
          <w:rFonts w:hint="eastAsia"/>
          <w:lang w:eastAsia="zh-CN"/>
        </w:rPr>
        <w:t>、</w:t>
      </w:r>
      <w:r>
        <w:rPr>
          <w:rFonts w:hint="eastAsia"/>
        </w:rPr>
        <w:t>商务要求</w:t>
      </w:r>
      <w:bookmarkEnd w:id="40"/>
    </w:p>
    <w:bookmarkEnd w:id="12"/>
    <w:p>
      <w:pPr>
        <w:numPr>
          <w:ilvl w:val="0"/>
          <w:numId w:val="0"/>
        </w:numPr>
        <w:wordWrap w:val="0"/>
        <w:spacing w:line="360" w:lineRule="auto"/>
        <w:ind w:left="1022" w:leftChars="26" w:hanging="970" w:hangingChars="441"/>
        <w:rPr>
          <w:rFonts w:hint="default" w:eastAsia="宋体" w:cs="宋体"/>
          <w:sz w:val="22"/>
          <w:szCs w:val="32"/>
          <w:lang w:val="en-US" w:eastAsia="zh-CN"/>
        </w:rPr>
      </w:pPr>
      <w:r>
        <w:rPr>
          <w:rFonts w:hint="eastAsia" w:ascii="Times New Roman" w:hAnsi="Times New Roman" w:eastAsia="宋体" w:cs="宋体"/>
          <w:sz w:val="22"/>
          <w:szCs w:val="32"/>
          <w:lang w:val="en-US" w:eastAsia="zh-CN" w:bidi="ar-SA"/>
        </w:rPr>
        <w:t>（一）</w:t>
      </w:r>
      <w:r>
        <w:rPr>
          <w:rFonts w:hint="eastAsia" w:cs="宋体"/>
          <w:b/>
          <w:sz w:val="22"/>
          <w:szCs w:val="32"/>
          <w:lang w:val="en-US" w:eastAsia="zh-CN"/>
        </w:rPr>
        <w:t>技术要求</w:t>
      </w:r>
    </w:p>
    <w:tbl>
      <w:tblPr>
        <w:tblStyle w:val="6"/>
        <w:tblW w:w="5392" w:type="pct"/>
        <w:jc w:val="center"/>
        <w:tblLayout w:type="fixed"/>
        <w:tblCellMar>
          <w:top w:w="0" w:type="dxa"/>
          <w:left w:w="108" w:type="dxa"/>
          <w:bottom w:w="0" w:type="dxa"/>
          <w:right w:w="108" w:type="dxa"/>
        </w:tblCellMar>
      </w:tblPr>
      <w:tblGrid>
        <w:gridCol w:w="710"/>
        <w:gridCol w:w="857"/>
        <w:gridCol w:w="718"/>
        <w:gridCol w:w="5655"/>
        <w:gridCol w:w="1249"/>
      </w:tblGrid>
      <w:tr>
        <w:tblPrEx>
          <w:tblCellMar>
            <w:top w:w="0" w:type="dxa"/>
            <w:left w:w="108" w:type="dxa"/>
            <w:bottom w:w="0" w:type="dxa"/>
            <w:right w:w="108" w:type="dxa"/>
          </w:tblCellMar>
        </w:tblPrEx>
        <w:trPr>
          <w:trHeight w:val="810" w:hRule="atLeast"/>
          <w:jc w:val="center"/>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序号</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技术参数或服务名称</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参数</w:t>
            </w:r>
          </w:p>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标注</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技术参数要求或服务内容</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是否需要提交证明材料佐证</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服务器①</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1．处理器：数量≥2颗；每颗核数≥16核，32线程；主频≥2.9GHz</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2．内存：容量≥256GB</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3．固态硬盘：数量≥3 ；单块硬盘容量≥ 1.92TB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4．显卡：显存类型：GDDR6X；显存容量≥12GB；CUDA核心数量≥10240；显卡数量≥4块 ；显存位宽≥384bit，最高支持10块GPU卡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5．I/O拓展槽：≥12个PCI-E 3.0 x16，或最大支持10片双宽GPU卡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6．网卡：电口数量≥2；接口速率≥千兆</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7．电源：冗余电源数量≥</w:t>
            </w:r>
            <w:r>
              <w:rPr>
                <w:rFonts w:ascii="宋体" w:hAnsi="宋体" w:cs="宋体"/>
                <w:color w:val="000000"/>
                <w:sz w:val="21"/>
                <w:szCs w:val="21"/>
                <w:highlight w:val="none"/>
                <w:lang w:bidi="ar"/>
              </w:rPr>
              <w:t>4</w:t>
            </w:r>
            <w:r>
              <w:rPr>
                <w:rFonts w:hint="eastAsia" w:ascii="宋体" w:hAnsi="宋体" w:cs="宋体"/>
                <w:color w:val="000000"/>
                <w:sz w:val="21"/>
                <w:szCs w:val="21"/>
                <w:highlight w:val="none"/>
                <w:lang w:bidi="ar"/>
              </w:rPr>
              <w:t>；电源功率≥</w:t>
            </w:r>
            <w:r>
              <w:rPr>
                <w:rFonts w:ascii="宋体" w:hAnsi="宋体" w:cs="宋体"/>
                <w:color w:val="000000"/>
                <w:sz w:val="21"/>
                <w:szCs w:val="21"/>
                <w:highlight w:val="none"/>
                <w:lang w:bidi="ar"/>
              </w:rPr>
              <w:t>160</w:t>
            </w:r>
            <w:r>
              <w:rPr>
                <w:rFonts w:hint="eastAsia" w:ascii="宋体" w:hAnsi="宋体" w:cs="宋体"/>
                <w:color w:val="000000"/>
                <w:sz w:val="21"/>
                <w:szCs w:val="21"/>
                <w:highlight w:val="none"/>
                <w:lang w:bidi="ar"/>
              </w:rPr>
              <w:t>0W；</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服务器②</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1．处理器：数量≥2颗；每颗核数≥16核，32线程；主频≥2.9GHz</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2．内存：容量≥256GB</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3．固态硬盘：数量≥3 ；单块硬盘容量≥ 1.92TB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4．显卡：显存类型：GDDR6；显存容量≥16GB；CUDA核心数量≥6144；显卡数量≥2块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5．I/O拓展槽：≥12个PCI-E 3.0 x16，或最大支持10片双宽GPU卡；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6．网卡：电口数量≥2；接口速率≥千兆</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7．电源：冗余电源数量≥</w:t>
            </w:r>
            <w:r>
              <w:rPr>
                <w:rFonts w:ascii="宋体" w:hAnsi="宋体" w:cs="宋体"/>
                <w:color w:val="000000"/>
                <w:sz w:val="21"/>
                <w:szCs w:val="21"/>
                <w:highlight w:val="none"/>
                <w:lang w:bidi="ar"/>
              </w:rPr>
              <w:t>4</w:t>
            </w:r>
            <w:r>
              <w:rPr>
                <w:rFonts w:hint="eastAsia" w:ascii="宋体" w:hAnsi="宋体" w:cs="宋体"/>
                <w:color w:val="000000"/>
                <w:sz w:val="21"/>
                <w:szCs w:val="21"/>
                <w:highlight w:val="none"/>
                <w:lang w:bidi="ar"/>
              </w:rPr>
              <w:t>；电源功率≥</w:t>
            </w:r>
            <w:r>
              <w:rPr>
                <w:rFonts w:ascii="宋体" w:hAnsi="宋体" w:cs="宋体"/>
                <w:color w:val="000000"/>
                <w:sz w:val="21"/>
                <w:szCs w:val="21"/>
                <w:highlight w:val="none"/>
                <w:lang w:bidi="ar"/>
              </w:rPr>
              <w:t>160</w:t>
            </w:r>
            <w:r>
              <w:rPr>
                <w:rFonts w:hint="eastAsia" w:ascii="宋体" w:hAnsi="宋体" w:cs="宋体"/>
                <w:color w:val="000000"/>
                <w:sz w:val="21"/>
                <w:szCs w:val="21"/>
                <w:highlight w:val="none"/>
                <w:lang w:bidi="ar"/>
              </w:rPr>
              <w:t>0W；</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设计云桌面</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1.GPU支持：同时支持NVIDIA显卡直通模式及显卡共享模式。</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2.高清显示支持：支持高清用户体验，用户在局域网中能体验高清视频，能支持合适码率、流媒体4k视频播放。</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3.定制化教学空间：定制化3D云桌面为全院提供教学或实验空间、学习空间，独立于终端设备之外。包括自定义应用分组、文件分级管控、资源实施监控。</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4.交付用户可通过Client客户端，实现本地或互联网云端接入</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5.性能要求：支持WINDOWS或 Linux操作系统环境下部署运行；</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6.环境隔离：将用户定制云桌面与操作系统界面隔离，提高使用稳定性；将用户配置文件，用户数据与操作系统自动隔离，保障用户数据安全性</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7.桌面定制：根据学院实际情况，分为学院、班级、学生三个层级，可自定义桌面背景、院系或班级名称以及桌面应用分组、共享文件夹权限等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9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8.自动连接：支持用户在任意服务器之间进行自由切换，某一台服务器出现故障，其他服务器可快速接管应用正常使用；支持会话连接断开后的自动重连功能、会话保持功能</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9.文件管理系统：可进行独享盘与共享盘的设置，支持根据师生按层级不同进行文件权限管控，支持本地大文件上传云桌面</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w:t>
            </w:r>
            <w:r>
              <w:rPr>
                <w:rFonts w:ascii="宋体" w:hAnsi="宋体" w:cs="宋体"/>
                <w:color w:val="000000"/>
                <w:sz w:val="21"/>
                <w:szCs w:val="21"/>
                <w:highlight w:val="none"/>
                <w:lang w:bidi="ar"/>
              </w:rPr>
              <w:t>0</w:t>
            </w:r>
            <w:r>
              <w:rPr>
                <w:rFonts w:hint="eastAsia" w:ascii="宋体" w:hAnsi="宋体" w:cs="宋体"/>
                <w:color w:val="000000"/>
                <w:sz w:val="21"/>
                <w:szCs w:val="21"/>
                <w:highlight w:val="none"/>
                <w:lang w:bidi="ar"/>
              </w:rPr>
              <w:t>.GPU资源切换模式：提供三种资源选择模式；1张显卡给多用户使用：1张显卡给单用户使用；多张显卡给单个用户使用；根据教学课程需求，可在每节课程之前选择不同的资源分配模式。</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协同设计平台</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w:t>
            </w:r>
            <w:r>
              <w:rPr>
                <w:rFonts w:hint="eastAsia"/>
                <w:sz w:val="21"/>
                <w:szCs w:val="21"/>
                <w:highlight w:val="none"/>
              </w:rPr>
              <w:t xml:space="preserve"> </w:t>
            </w:r>
            <w:r>
              <w:rPr>
                <w:rFonts w:hint="eastAsia" w:ascii="宋体" w:hAnsi="宋体" w:cs="宋体"/>
                <w:color w:val="000000"/>
                <w:sz w:val="21"/>
                <w:szCs w:val="21"/>
                <w:highlight w:val="none"/>
                <w:lang w:bidi="ar"/>
              </w:rPr>
              <w:t>品牌：提供产品的软件著作权证书加盖公章，具备自主产品的研发、生产售后能力</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5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2.</w:t>
            </w:r>
            <w:r>
              <w:rPr>
                <w:rFonts w:hint="eastAsia"/>
                <w:sz w:val="21"/>
                <w:szCs w:val="21"/>
                <w:highlight w:val="none"/>
              </w:rPr>
              <w:t xml:space="preserve"> </w:t>
            </w:r>
            <w:r>
              <w:rPr>
                <w:rFonts w:hint="eastAsia" w:ascii="宋体" w:hAnsi="宋体" w:cs="宋体"/>
                <w:color w:val="000000"/>
                <w:sz w:val="21"/>
                <w:szCs w:val="21"/>
                <w:highlight w:val="none"/>
                <w:lang w:bidi="ar"/>
              </w:rPr>
              <w:t>仪表盘：</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基本信息：用户总数、总流量、总提交数，对象总数</w:t>
            </w:r>
          </w:p>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使用记录：提交历史、对象历史记录、用户历史记录、流历史记录</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w:t>
            </w:r>
            <w:r>
              <w:rPr>
                <w:rFonts w:hint="eastAsia"/>
                <w:sz w:val="21"/>
                <w:szCs w:val="21"/>
                <w:highlight w:val="none"/>
              </w:rPr>
              <w:t xml:space="preserve"> </w:t>
            </w:r>
            <w:r>
              <w:rPr>
                <w:rFonts w:hint="eastAsia" w:ascii="宋体" w:hAnsi="宋体" w:cs="宋体"/>
                <w:color w:val="000000"/>
                <w:sz w:val="21"/>
                <w:szCs w:val="21"/>
                <w:highlight w:val="none"/>
                <w:lang w:bidi="ar"/>
              </w:rPr>
              <w:t>创建流：</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名称、说明、链接共享开启和关闭、公共流可发现和不可发现，邀请合作者（可搜索用户）</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5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w:t>
            </w:r>
            <w:r>
              <w:rPr>
                <w:rFonts w:hint="eastAsia"/>
                <w:sz w:val="21"/>
                <w:szCs w:val="21"/>
                <w:highlight w:val="none"/>
              </w:rPr>
              <w:t xml:space="preserve"> </w:t>
            </w:r>
            <w:r>
              <w:rPr>
                <w:rFonts w:hint="eastAsia" w:ascii="宋体" w:hAnsi="宋体" w:cs="宋体"/>
                <w:color w:val="000000"/>
                <w:sz w:val="21"/>
                <w:szCs w:val="21"/>
                <w:highlight w:val="none"/>
                <w:lang w:bidi="ar"/>
              </w:rPr>
              <w:t>最新活动</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可查看历史用户新建、删除流，以及项目（流）提交与接收的时间记录</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5.</w:t>
            </w:r>
            <w:r>
              <w:rPr>
                <w:rFonts w:hint="eastAsia"/>
                <w:sz w:val="21"/>
                <w:szCs w:val="21"/>
                <w:highlight w:val="none"/>
              </w:rPr>
              <w:t xml:space="preserve"> </w:t>
            </w:r>
            <w:r>
              <w:rPr>
                <w:rFonts w:hint="eastAsia" w:ascii="宋体" w:hAnsi="宋体" w:cs="宋体"/>
                <w:color w:val="000000"/>
                <w:sz w:val="21"/>
                <w:szCs w:val="21"/>
                <w:highlight w:val="none"/>
                <w:lang w:bidi="ar"/>
              </w:rPr>
              <w:t>项目（流）所有的项目（流）可通过所有者、贡献者、审稿人进行分类筛选；每个项目（流）包含首页、分支（新建和默认）、全局变量、导入文件、评论、网络钩子、合作者和设置</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w:t>
            </w:r>
            <w:r>
              <w:rPr>
                <w:rFonts w:hint="eastAsia"/>
                <w:sz w:val="21"/>
                <w:szCs w:val="21"/>
                <w:highlight w:val="none"/>
              </w:rPr>
              <w:t xml:space="preserve"> </w:t>
            </w:r>
            <w:r>
              <w:rPr>
                <w:rFonts w:hint="eastAsia" w:ascii="宋体" w:hAnsi="宋体" w:cs="宋体"/>
                <w:color w:val="000000"/>
                <w:sz w:val="21"/>
                <w:szCs w:val="21"/>
                <w:highlight w:val="none"/>
                <w:lang w:bidi="ar"/>
              </w:rPr>
              <w:t>支持导入的文件格式</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IFC、STL、MTL 和 OBJ</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w:t>
            </w:r>
            <w:r>
              <w:rPr>
                <w:rFonts w:hint="eastAsia"/>
                <w:sz w:val="21"/>
                <w:szCs w:val="21"/>
                <w:highlight w:val="none"/>
              </w:rPr>
              <w:t xml:space="preserve"> </w:t>
            </w:r>
            <w:r>
              <w:rPr>
                <w:rFonts w:hint="eastAsia" w:ascii="宋体" w:hAnsi="宋体" w:cs="宋体"/>
                <w:color w:val="000000"/>
                <w:sz w:val="21"/>
                <w:szCs w:val="21"/>
                <w:highlight w:val="none"/>
                <w:lang w:bidi="ar"/>
              </w:rPr>
              <w:t>项目（流）全局变量：位置（城市、地址、纬度和经度坐标）、自定义项目名称或标签，或者您想要跟踪的任何其他数字或文本。</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5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8.</w:t>
            </w:r>
            <w:r>
              <w:rPr>
                <w:rFonts w:hint="eastAsia"/>
                <w:sz w:val="21"/>
                <w:szCs w:val="21"/>
                <w:highlight w:val="none"/>
              </w:rPr>
              <w:t xml:space="preserve"> </w:t>
            </w:r>
            <w:r>
              <w:rPr>
                <w:rFonts w:hint="eastAsia" w:ascii="宋体" w:hAnsi="宋体" w:cs="宋体"/>
                <w:color w:val="000000"/>
                <w:sz w:val="21"/>
                <w:szCs w:val="21"/>
                <w:highlight w:val="none"/>
                <w:lang w:bidi="ar"/>
              </w:rPr>
              <w:t>项目（流）合作者</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项目所有者可邀请其他角色</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9.</w:t>
            </w:r>
            <w:r>
              <w:rPr>
                <w:rFonts w:hint="eastAsia"/>
                <w:sz w:val="21"/>
                <w:szCs w:val="21"/>
                <w:highlight w:val="none"/>
              </w:rPr>
              <w:t xml:space="preserve"> </w:t>
            </w:r>
            <w:r>
              <w:rPr>
                <w:rFonts w:hint="eastAsia" w:ascii="宋体" w:hAnsi="宋体" w:cs="宋体"/>
                <w:color w:val="000000"/>
                <w:sz w:val="21"/>
                <w:szCs w:val="21"/>
                <w:highlight w:val="none"/>
                <w:lang w:bidi="ar"/>
              </w:rPr>
              <w:t>项目（流）设置</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设置可修改名称、说明、链接共享开启和关闭、公共流可发现和不可发现，邀请合作者（可搜索用户），永久删除项目（流）。</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10.</w:t>
            </w:r>
            <w:r>
              <w:rPr>
                <w:rFonts w:hint="eastAsia"/>
                <w:sz w:val="21"/>
                <w:szCs w:val="21"/>
                <w:highlight w:val="none"/>
              </w:rPr>
              <w:t xml:space="preserve"> </w:t>
            </w:r>
            <w:r>
              <w:rPr>
                <w:rFonts w:hint="eastAsia" w:ascii="宋体" w:hAnsi="宋体" w:cs="宋体"/>
                <w:color w:val="000000"/>
                <w:sz w:val="21"/>
                <w:szCs w:val="21"/>
                <w:highlight w:val="none"/>
                <w:lang w:bidi="ar"/>
              </w:rPr>
              <w:t>模型展示</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所有提交的分支（版本）均可在平台展示；3D查看器可以直接从Web 轻松嵌入任何流、分支、提交或对象。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t>11.</w:t>
            </w:r>
            <w:r>
              <w:rPr>
                <w:rFonts w:hint="eastAsia" w:ascii="宋体" w:hAnsi="宋体" w:cs="宋体"/>
                <w:color w:val="000000"/>
                <w:sz w:val="21"/>
                <w:szCs w:val="21"/>
                <w:highlight w:val="none"/>
                <w:lang w:bidi="ar"/>
              </w:rPr>
              <w:t>3D查看器</w:t>
            </w:r>
          </w:p>
          <w:p>
            <w:pPr>
              <w:widowControl/>
              <w:ind w:firstLine="420" w:firstLineChars="200"/>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查看器帮助：回转、平移、变焦、部分透视相机和正交相机之间切换</w:t>
            </w:r>
          </w:p>
          <w:p>
            <w:pPr>
              <w:widowControl/>
              <w:ind w:firstLine="420" w:firstLineChars="200"/>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阳光和阴影设置：太阳阴影开关、阳光强度调节、太阳高度角调节、太阳方位角调节、间接光调节</w:t>
            </w:r>
          </w:p>
          <w:p>
            <w:pPr>
              <w:widowControl/>
              <w:ind w:firstLine="420" w:firstLineChars="200"/>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模型方位切换：顶部视图、正面视图、背面视图、左视图、右视图</w:t>
            </w:r>
          </w:p>
          <w:p>
            <w:pPr>
              <w:widowControl/>
              <w:ind w:firstLine="420" w:firstLineChars="200"/>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切换部分：可单独切分查看模型不同组件</w:t>
            </w:r>
          </w:p>
          <w:p>
            <w:pPr>
              <w:widowControl/>
              <w:ind w:firstLine="420" w:firstLineChars="200"/>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评论：添加评论、查看评论、删除评论、分享评论、评论可添加附件</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1</w:t>
            </w:r>
            <w:r>
              <w:rPr>
                <w:rFonts w:ascii="宋体" w:hAnsi="宋体" w:cs="宋体"/>
                <w:color w:val="000000"/>
                <w:sz w:val="21"/>
                <w:szCs w:val="21"/>
                <w:highlight w:val="none"/>
                <w:lang w:bidi="ar"/>
              </w:rPr>
              <w:t>2.</w:t>
            </w:r>
            <w:r>
              <w:rPr>
                <w:rFonts w:hint="eastAsia" w:ascii="宋体" w:hAnsi="宋体" w:cs="宋体"/>
                <w:color w:val="000000"/>
                <w:sz w:val="21"/>
                <w:szCs w:val="21"/>
                <w:highlight w:val="none"/>
                <w:lang w:bidi="ar"/>
              </w:rPr>
              <w:t>模型过滤</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根据模型中不同的参数进行过滤选择，对选择的参数进行切换可见性和隔离对象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t>13.</w:t>
            </w:r>
            <w:r>
              <w:rPr>
                <w:rFonts w:hint="eastAsia"/>
                <w:sz w:val="21"/>
                <w:szCs w:val="21"/>
                <w:highlight w:val="none"/>
              </w:rPr>
              <w:t xml:space="preserve"> </w:t>
            </w:r>
            <w:r>
              <w:rPr>
                <w:rFonts w:hint="eastAsia" w:ascii="宋体" w:hAnsi="宋体" w:cs="宋体"/>
                <w:color w:val="000000"/>
                <w:sz w:val="21"/>
                <w:szCs w:val="21"/>
                <w:highlight w:val="none"/>
                <w:lang w:bidi="ar"/>
              </w:rPr>
              <w:t>支持协同的软件：</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Revit、AutoCAD、Rhino、SketchUp、Civil3D、ArchiCAD、Unity、Unreal、Grasshopper、Blender、Excel、PowerBI等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14</w:t>
            </w:r>
            <w:r>
              <w:rPr>
                <w:rFonts w:ascii="宋体" w:hAnsi="宋体" w:cs="宋体"/>
                <w:color w:val="000000"/>
                <w:sz w:val="21"/>
                <w:szCs w:val="21"/>
                <w:highlight w:val="none"/>
                <w:lang w:bidi="ar"/>
              </w:rPr>
              <w:t>.</w:t>
            </w:r>
            <w:r>
              <w:rPr>
                <w:rFonts w:hint="eastAsia" w:ascii="宋体" w:hAnsi="宋体" w:cs="宋体"/>
                <w:color w:val="000000"/>
                <w:sz w:val="21"/>
                <w:szCs w:val="21"/>
                <w:highlight w:val="none"/>
                <w:lang w:bidi="ar"/>
              </w:rPr>
              <w:t>Revit支持的内置元素：</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发送元素：Area、Adaptive Component、eam、Brace、Building Pad、CableTray、Ceiling、Curves (Model, Detail, Room Boundary, Space Separation)、Direct Shape、Duct、Family Instance、Floor、Grid、Group、Level、Opening (Wall, Vertical, Shaft)、Pipe、Project、Information、Railing、Rebar、Roof (Extrusion, Footprint)、Room、Space、Stair、Topography、View (FloorPlan, CeilingPlan, Elevation, Section, 3D)、Wall、Wire</w:t>
            </w:r>
          </w:p>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接收元素：Adaptive Component、Beam、Brace、CableTray、Curves (Model, Detail, Room Boundary, Space Separation)、Direct Shape、Duct、Face Wall、Family Instance、Floor、Freeform Element、Grid、Level、Opening (Wall, Vertical, Shaft)、Pipe、Railing、Roof (Extrusion, Footprint)、Room、Space、Topography、Wall、Wire</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t>15.</w:t>
            </w:r>
            <w:r>
              <w:rPr>
                <w:rFonts w:hint="eastAsia" w:ascii="宋体" w:hAnsi="宋体" w:cs="宋体"/>
                <w:color w:val="000000"/>
                <w:sz w:val="21"/>
                <w:szCs w:val="21"/>
                <w:highlight w:val="none"/>
                <w:lang w:bidi="ar"/>
              </w:rPr>
              <w:t>Rhino支持的几何元素：</w:t>
            </w:r>
          </w:p>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发送元素：Point、Line、Plane、Arc、Circle、Ellipse、Polyline、Polycurve、Spline、Brep、Extrusion、Mesh</w:t>
            </w:r>
          </w:p>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接收元素：Point、Line、Plane、Arc、Circle、Ellipse、Polyline、Polycurve、Spline、Nurb Surface、Brep</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25"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t>16.</w:t>
            </w:r>
            <w:r>
              <w:rPr>
                <w:rFonts w:hint="eastAsia" w:ascii="宋体" w:hAnsi="宋体" w:cs="宋体"/>
                <w:color w:val="000000"/>
                <w:sz w:val="21"/>
                <w:szCs w:val="21"/>
                <w:highlight w:val="none"/>
                <w:lang w:bidi="ar"/>
              </w:rPr>
              <w:t>SketchUp支持的类型元素：</w:t>
            </w: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发送元素：Mesh、Line &amp; Polyline、Render Material、BlockInstance、BlockDefinition</w:t>
            </w:r>
          </w:p>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ab/>
            </w:r>
            <w:r>
              <w:rPr>
                <w:rFonts w:hint="eastAsia" w:ascii="宋体" w:hAnsi="宋体" w:cs="宋体"/>
                <w:color w:val="000000"/>
                <w:sz w:val="21"/>
                <w:szCs w:val="21"/>
                <w:highlight w:val="none"/>
                <w:lang w:bidi="ar"/>
              </w:rPr>
              <w:t>接收元素：Mesh、Line &amp; Polyline、Render Material、BlockInstance、BlockDefinition</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应用分析平台</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1.品牌：商业版软件，提供产品的软件著作权证书，具备自主产品的研发、生产售后能力；</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62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主要功能：支持通过用户名、密码登录；支持登录失败后，再次登录需要输入验证码；支持登录失败五次将锁定用户；支持首次登陆需要修改默认密码。支持登录超时自动登出；支持节点扫描、添加、删除；支持当前系统中目标节点的精确或模糊查找；支持查看当前系统中各个节点的当前状态；提供软件功能截图并加盖公章；支持作业的添加；支持作业的暂停；支持作业的删除；支持作业的查询；</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983"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高级功能模块：集群分析：支持历史、实时作业中所有节点或部分节点的性能分析；支持历史、实时作业中所选指标项的性能分析；支持历史、实时作业中性能图查看的时间段调整；提供软件功能截图并加盖公章；集群节点分析：支持对选择节点的性能分析；支持对选择节点的所选指标项分析；支持对选择指标项的各项数据统计。例如：理论值、平均值、最大值等信息；支持对选择指标项的雷达图查看；支持当前节点性能查看的时间段调整；提供软件功能截图并加盖公章；集群节点对比分析：支持当前作业中所有节点的性能对比；支持当前作业时间范围内的时间段调整；支持相同指标或不同指标间的性能对比；支持所选指标项的性能数据查看。例如：平均值、最大值、方差等；提供软件功能截图并加盖公章；网络分析：支持对系统中选择节点的ib网络分析；支持ib网络作业的提交；支持各个节点间ib网络的性能查看；GPU函数分析：支持cudnnConvolutionForward、cublasSemm、cudnnConvolutionBackwardFilter函数分析；支持各个函数执行信息的查看。例如：执行总时长、平均执行时长等；支持对当前gpu选择时间段的函数查询；支持对当前gpu函数详情的查询；支持对当前gpu函数时序图的查看；支持查看当前gpu的占空比；提供软件功能截图并加盖公章；</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运维服务平台</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1.品牌：具备自主产品的研发、生产售后能力，提供原厂生产证明材料加盖公章。</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2.资产管理系统：</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（1）针对不同厂商品牌、不同型号的设备统一监控、管理，具备统一的管理界面；</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（2）实现包括但不限于查看设备硬件状态、服务器虚拟KVM统一登录、远程电源控制等功能，提供截图证明并加盖公章；</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219"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（3）服务器的远程虚拟KVM一键化接入（无需额外输入BMC用户名、密码）；支持直接调用BMC接口实现带外OS部署功能，无需借助主机上其它工具，提供截图证明并加盖公章。</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（4）对系统内纳管的资源进行机型名称映射，便于快速的将某些OEM机型映射为已知机型进行纳管；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（5）客户不兼容设备的定制化适配，实现机型扩展功能；</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3.监控告警系统：</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（1）通过IPMI、SNMP或Redfish等协议进行主动轮询以监控设备节点的硬件状态，获取设备节点相关信息，自定义轮询范围、轮询周期等；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（2）对于不关心的告警，可以设定屏蔽规则，可根据时间段屏蔽告警；支持设备节点的被屏蔽告警的集中展现、清除、查询、定时刷新等功能；</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（3）远程自动配置设备节点的Trap告警，设置Trap目标IP，协议版本，支持通过自定义导入MIB库等方式实现不同类型报警源的SNMP Trap的解析；</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（4）从设备节点的带外硬件日志中抓取信息并进行解析，主动触发预防性告警；</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08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支持用户自定义通知内容格式、字段，自定义内容包含但不限于告警名称、告警位置、告警描述、告警级别、告警类型、清除方式、资产名称、资产序列号、告警时间、资产IP、资产位置、资产机型、资产厂商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89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（6）万余台设备秒级性能监控，实现服务器全方位性能监控 ，包括CPU 利用率、空闲时间百分比、CPU温度统计等，GPU利用率、显存利用率、显存容量等，硬盘IOPS、剩余寿命等 ，已用内存大小、缓冲区内存大小等，当前功率、总功率等，风扇转速、风扇转速百分比等，网络发送速率、接收速率等，NFS客户端及服务端读写速率等，系统负载，微架构 单精度及双精度浮点运算、CPI、PCIe设备读写速率等，电压、电流、温度等；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4.自动化管理系统：</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（1）所纳管的设备节点应该具备统一的操作管理界面，实现包括但不限于查看设备硬件状态，实现服务器虚拟KVM统一登录，实现远程电源控制等功能；</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（2）服务器的远程虚拟KVM一键化接入（BMC支持的情况下，无需额外输入BMC用户名、密码），具备虚拟KVM的各项功能（包括但不限于虚拟媒体挂载、开关机等）并拥有统一的管理界面；</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（3）直接调用BMC接口，不借助于任何主机上其它工具的带外操作系统部署；</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（4）连接官方固件镜像库，提供设备固件包。支持更新自动提醒及自动同步，支持网卡、阵列卡、硬盘等固件的批量升级；</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（5）针对不同品牌、不同型号的设备节点应具备统一的管理界面，支持服务器登录的页面跳转；</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5.无状态管理系统：</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108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（1）智能化BMC版本、BMC配置（Trap配置、SMTP配置、NTP配置）安全检测，支持BIOS版本、BIOS配置（Boot Mode、Hardware P-states、Numa、Monitor/Mwait Support、Hyper Threading Technology、VMX等）安全检测，为设备的安全运行提供了保障；</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（2）7x24小时不间断基线监控，对于偏离基线的设备能够分类告警（BMC版本告警、BIOS版本告警、BMC配置告警、BIOS配置告警）；</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35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kern w:val="2"/>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（3）服务器上线规划功能，可自动批量完成服务器BIOS配置（Boot Mode、Hardware P-states、Numa、Monitor/Mwait Support、Hyper Threading Technology、VMX等）、BMC配置（Trap配置、SMTP配置、NTP配置）、RAID配置，完成OS部署及操作系统IP配置，实现部署自动化；</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6.功耗管理系统：</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（1）对机房进行制冷分析及提高制冷优化建议（支持ASHRAE推荐温度、ASHRAE一级许可和ASHERAE二级许可三种规范进行分析。列出高温热点设备，并给出建议和提供优化方案）；</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（2）服务器型号进行功耗特征分析，便于优化或淘汰（展示型号的最低运行功耗和最高运行功耗，并能够查看分布）；</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6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（3）日使用率模式分析，跟进服务器日使用规律，分析服务器的日使用模式，以0-24小时闲/忙的图例进行展示；</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6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（4）服务器使用率分析，发现僵尸服务器（发现低功耗服务器，展示平均使用率、99%ile使用率）；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6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（5）服务器负载分析和负载迁移，便于业务迁移（不同的cups，评估系统新负载得分）；</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08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（6）服务器建立功耗模型，预测服务器负载功耗（支持以CPU计算利用率进行预测、以[cpu计算利用率、内存带宽利用率]进行预测、以[cpu计算利用率、IO带宽利用率]进行预测、以[cpu计算利用率、内存带宽利用率；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智能网关</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1.自定义仪表大厅，包含：系统信息，接口信息，DDNS状态、NTP状态、图像、接口数据、网关状态、GEOM镜像、OpenVPN、服务状态、网络唤醒、IPsec、RSS、硬盘状态、防火墙日志等。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2.支持别名管理：可根据主机、网络、端口、网址、网址表设置别名；</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3.地址转换：支持TCP、UDP、TCP/UDP、ICMP、ESP、AH、GRE、IPV6、IGMP、PIM、OSPF协议转换；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4.时间计划：可根据日期、小时、分计划策略；</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5.流量控制：可根据HFSC、CBQ、FAIRQ、CODELQ、PRIQ等调度类型控制WAN口LAN口流量；</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6.虚拟地址：支持IP别名、CARP、代理ARP以及其他类型的虚拟IP；</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7.规则策略：支持TCP、UDP、TCP/UDP、ICMP、ESP、AH、GRE、IPV6、EoIP、IGMP、PIM、OSPF、SCTP、CARP、PFSYNC等协议的防火墙规则。</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8.支持查看CARP、DHCP、DHCPv6、DNS解析、IPsec、Monitoring、NTP、OpenVPN、UPnP、服务、流量图表、系统日志等类型的状态；</w:t>
            </w:r>
          </w:p>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支持VPN：IPSec , L2TP ,OPENVPN;</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81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ascii="宋体" w:hAnsi="宋体" w:cs="宋体"/>
                <w:color w:val="000000"/>
                <w:sz w:val="21"/>
                <w:szCs w:val="21"/>
                <w:highlight w:val="none"/>
                <w:lang w:bidi="ar"/>
              </w:rPr>
              <w:t>9</w:t>
            </w:r>
            <w:r>
              <w:rPr>
                <w:rFonts w:hint="eastAsia" w:ascii="宋体" w:hAnsi="宋体" w:cs="宋体"/>
                <w:color w:val="000000"/>
                <w:sz w:val="21"/>
                <w:szCs w:val="21"/>
                <w:highlight w:val="none"/>
                <w:lang w:bidi="ar"/>
              </w:rPr>
              <w:t>.服务：支持DDNS、DHCPv6中继、DHCPv6服务、DHCP中继、DHCP服务、DNS解析、DNS转发、IGMP代理、NTP、PPPoE服务器、SNMP、UPnP、可备份设置，网络唤醒等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135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w:t>
            </w:r>
            <w:r>
              <w:rPr>
                <w:rFonts w:ascii="宋体" w:hAnsi="宋体" w:cs="宋体"/>
                <w:color w:val="000000"/>
                <w:sz w:val="21"/>
                <w:szCs w:val="21"/>
                <w:highlight w:val="none"/>
                <w:lang w:bidi="ar"/>
              </w:rPr>
              <w:t>0</w:t>
            </w:r>
            <w:r>
              <w:rPr>
                <w:rFonts w:hint="eastAsia" w:ascii="宋体" w:hAnsi="宋体" w:cs="宋体"/>
                <w:color w:val="000000"/>
                <w:sz w:val="21"/>
                <w:szCs w:val="21"/>
                <w:highlight w:val="none"/>
                <w:lang w:bidi="ar"/>
              </w:rPr>
              <w:t>.插件管理：arping、arpwatch、Avahi、bandwidthd、bind、cellular、filer、frr、haproxy、iperf、FTP_Client_Proxy，LADVD、LCDproc、Lightsquid、lldpd、mailreport、mtr-nox11、nmap、node_exporter、nrpe、ntopng、nut、zeek、zabbix-proxy6等，插件数量≥50个，使用以上插件不额外收费。</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8</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交换机①</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54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1、端口数量≥24；接口速率≥10G；交换容量≥2.56Tbps/23.04Tbps；包转发率≥480Mpps</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r>
        <w:tblPrEx>
          <w:tblCellMar>
            <w:top w:w="0" w:type="dxa"/>
            <w:left w:w="108" w:type="dxa"/>
            <w:bottom w:w="0" w:type="dxa"/>
            <w:right w:w="108" w:type="dxa"/>
          </w:tblCellMar>
        </w:tblPrEx>
        <w:trPr>
          <w:trHeight w:val="400" w:hRule="atLeast"/>
          <w:jc w:val="center"/>
        </w:trPr>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9</w:t>
            </w:r>
          </w:p>
        </w:tc>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交换机②</w:t>
            </w:r>
          </w:p>
        </w:tc>
        <w:tc>
          <w:tcPr>
            <w:tcW w:w="6388"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left"/>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一、技术参数/指标</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r>
      <w:tr>
        <w:tblPrEx>
          <w:tblCellMar>
            <w:top w:w="0" w:type="dxa"/>
            <w:left w:w="108" w:type="dxa"/>
            <w:bottom w:w="0" w:type="dxa"/>
            <w:right w:w="108" w:type="dxa"/>
          </w:tblCellMar>
        </w:tblPrEx>
        <w:trPr>
          <w:trHeight w:val="400" w:hRule="atLeast"/>
          <w:jc w:val="center"/>
        </w:trPr>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p>
        </w:tc>
        <w:tc>
          <w:tcPr>
            <w:tcW w:w="56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color w:val="000000"/>
                <w:sz w:val="21"/>
                <w:szCs w:val="21"/>
                <w:highlight w:val="none"/>
              </w:rPr>
            </w:pPr>
            <w:r>
              <w:rPr>
                <w:rFonts w:hint="eastAsia" w:ascii="宋体" w:hAnsi="宋体" w:cs="宋体"/>
                <w:color w:val="000000"/>
                <w:sz w:val="21"/>
                <w:szCs w:val="21"/>
                <w:highlight w:val="none"/>
                <w:lang w:bidi="ar"/>
              </w:rPr>
              <w:t>1.交换容量：≥336Gbps/3.36Tbps；包转发率：≥27/102Mpps；端口类型：电口&amp;光口；端口数量：≥48千兆电，≥4万兆光</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FE"/>
            </w:r>
            <w:r>
              <w:rPr>
                <w:rFonts w:hint="eastAsia" w:ascii="宋体" w:hAnsi="宋体" w:cs="宋体"/>
                <w:color w:val="000000"/>
                <w:sz w:val="21"/>
                <w:szCs w:val="21"/>
                <w:highlight w:val="none"/>
              </w:rPr>
              <w:t>否</w:t>
            </w:r>
          </w:p>
          <w:p>
            <w:pPr>
              <w:jc w:val="center"/>
              <w:rPr>
                <w:rFonts w:ascii="宋体" w:hAnsi="宋体" w:cs="宋体"/>
                <w:color w:val="000000"/>
                <w:sz w:val="21"/>
                <w:szCs w:val="21"/>
                <w:highlight w:val="none"/>
              </w:rPr>
            </w:pPr>
            <w:r>
              <w:rPr>
                <w:rFonts w:hint="eastAsia" w:ascii="宋体" w:hAnsi="宋体" w:eastAsia="宋体" w:cs="宋体"/>
                <w:sz w:val="21"/>
                <w:szCs w:val="21"/>
                <w:highlight w:val="none"/>
              </w:rPr>
              <w:sym w:font="Wingdings" w:char="00A8"/>
            </w:r>
            <w:r>
              <w:rPr>
                <w:rFonts w:hint="eastAsia" w:ascii="宋体" w:hAnsi="宋体" w:cs="宋体"/>
                <w:color w:val="000000"/>
                <w:sz w:val="21"/>
                <w:szCs w:val="21"/>
                <w:highlight w:val="none"/>
              </w:rPr>
              <w:t>是</w:t>
            </w:r>
          </w:p>
        </w:tc>
      </w:tr>
    </w:tbl>
    <w:p>
      <w:pPr>
        <w:pStyle w:val="2"/>
        <w:rPr>
          <w:rFonts w:hint="default"/>
          <w:lang w:val="en-US" w:eastAsia="zh-CN"/>
        </w:rPr>
      </w:pPr>
    </w:p>
    <w:p>
      <w:pPr>
        <w:spacing w:line="360" w:lineRule="auto"/>
        <w:ind w:firstLine="420"/>
        <w:rPr>
          <w:rFonts w:ascii="宋体" w:hAnsi="宋体" w:cs="宋体"/>
          <w:b/>
          <w:bCs/>
          <w:kern w:val="2"/>
          <w:sz w:val="21"/>
          <w:szCs w:val="21"/>
          <w:highlight w:val="none"/>
        </w:rPr>
      </w:pPr>
      <w:r>
        <w:rPr>
          <w:rFonts w:hint="eastAsia" w:ascii="宋体" w:hAnsi="宋体" w:cs="宋体"/>
          <w:b/>
          <w:bCs/>
          <w:kern w:val="2"/>
          <w:sz w:val="21"/>
          <w:szCs w:val="21"/>
          <w:highlight w:val="none"/>
        </w:rPr>
        <w:t>说明：</w:t>
      </w:r>
    </w:p>
    <w:p>
      <w:pPr>
        <w:spacing w:line="360" w:lineRule="auto"/>
        <w:ind w:firstLine="420"/>
        <w:rPr>
          <w:rFonts w:ascii="宋体" w:hAnsi="宋体" w:cs="宋体"/>
          <w:kern w:val="2"/>
          <w:sz w:val="21"/>
          <w:szCs w:val="21"/>
          <w:highlight w:val="none"/>
        </w:rPr>
      </w:pPr>
      <w:r>
        <w:rPr>
          <w:rFonts w:hint="eastAsia" w:ascii="宋体" w:hAnsi="宋体" w:cs="宋体"/>
          <w:kern w:val="2"/>
          <w:sz w:val="21"/>
          <w:szCs w:val="21"/>
          <w:highlight w:val="none"/>
        </w:rPr>
        <w:t>①本</w:t>
      </w:r>
      <w:r>
        <w:rPr>
          <w:rFonts w:hint="eastAsia" w:ascii="宋体" w:hAnsi="宋体" w:cs="宋体"/>
          <w:kern w:val="2"/>
          <w:sz w:val="21"/>
          <w:szCs w:val="21"/>
          <w:highlight w:val="none"/>
          <w:lang w:val="en-US" w:eastAsia="zh-CN"/>
        </w:rPr>
        <w:t>技术要求</w:t>
      </w:r>
      <w:r>
        <w:rPr>
          <w:rFonts w:hint="eastAsia" w:ascii="宋体" w:hAnsi="宋体" w:cs="宋体"/>
          <w:kern w:val="2"/>
          <w:sz w:val="21"/>
          <w:szCs w:val="21"/>
          <w:highlight w:val="none"/>
        </w:rPr>
        <w:t>描述中涉及品牌（如有）、规格、型号、尺寸及重量的均为参考，投标人可提供同等档次或更高档次产品，并提供相应技术参数证明其符合采购需求；</w:t>
      </w:r>
    </w:p>
    <w:p>
      <w:pPr>
        <w:spacing w:line="360" w:lineRule="auto"/>
        <w:ind w:firstLine="420"/>
        <w:rPr>
          <w:rFonts w:ascii="宋体" w:hAnsi="宋体" w:cs="宋体"/>
          <w:kern w:val="2"/>
          <w:sz w:val="21"/>
          <w:szCs w:val="21"/>
          <w:highlight w:val="none"/>
        </w:rPr>
      </w:pPr>
      <w:r>
        <w:rPr>
          <w:rFonts w:hint="eastAsia" w:ascii="宋体" w:hAnsi="宋体" w:cs="宋体"/>
          <w:kern w:val="2"/>
          <w:sz w:val="21"/>
          <w:szCs w:val="21"/>
          <w:highlight w:val="none"/>
        </w:rPr>
        <w:t>②标注“★”的代表关键指标，不满足该指标项将导致投标被拒绝，“▲”代表重要指标，无标识则表示一般指标项；“*”代表演示部分，此项仅在“现场演示”进行评分，不在“技术参数”要求中再做评分。（★符号参数的证明材料不满足按照废标处理，▲符号参数的证明材料不满足仅仅按照扣分项处理）</w:t>
      </w:r>
    </w:p>
    <w:p>
      <w:pPr>
        <w:spacing w:line="360" w:lineRule="auto"/>
        <w:ind w:firstLine="420"/>
        <w:rPr>
          <w:rFonts w:ascii="宋体" w:hAnsi="宋体" w:cs="宋体"/>
          <w:kern w:val="2"/>
          <w:sz w:val="21"/>
          <w:szCs w:val="21"/>
          <w:highlight w:val="none"/>
        </w:rPr>
      </w:pPr>
      <w:r>
        <w:rPr>
          <w:rFonts w:hint="eastAsia" w:ascii="宋体" w:hAnsi="宋体" w:cs="宋体"/>
          <w:kern w:val="2"/>
          <w:sz w:val="21"/>
          <w:szCs w:val="21"/>
          <w:highlight w:val="none"/>
        </w:rPr>
        <w:t>③投标货物如属于强制节能产品品目内的，依据财库[2019]9号文的规定，应提供节能产品认证证书证明材料，否则按无效投标处理。</w:t>
      </w:r>
    </w:p>
    <w:p>
      <w:pPr>
        <w:spacing w:line="360" w:lineRule="auto"/>
        <w:ind w:firstLine="420"/>
        <w:rPr>
          <w:rFonts w:ascii="宋体" w:hAnsi="宋体" w:cs="仿宋_GB2312"/>
          <w:snapToGrid w:val="0"/>
          <w:sz w:val="21"/>
          <w:szCs w:val="21"/>
          <w:highlight w:val="none"/>
        </w:rPr>
      </w:pPr>
      <w:r>
        <w:rPr>
          <w:rFonts w:hint="eastAsia" w:ascii="宋体" w:hAnsi="宋体" w:cs="宋体"/>
          <w:kern w:val="2"/>
          <w:sz w:val="21"/>
          <w:szCs w:val="21"/>
          <w:highlight w:val="none"/>
        </w:rPr>
        <w:t>④“证明材料要求”项</w:t>
      </w:r>
      <w:r>
        <w:rPr>
          <w:rFonts w:hint="eastAsia" w:ascii="宋体" w:hAnsi="宋体" w:cs="宋体"/>
          <w:kern w:val="2"/>
          <w:sz w:val="21"/>
          <w:szCs w:val="21"/>
          <w:highlight w:val="none"/>
          <w:lang w:val="en-US" w:eastAsia="zh-CN"/>
        </w:rPr>
        <w:t>中</w:t>
      </w:r>
      <w:r>
        <w:rPr>
          <w:rFonts w:hint="eastAsia" w:ascii="宋体" w:hAnsi="宋体" w:cs="宋体"/>
          <w:kern w:val="2"/>
          <w:sz w:val="21"/>
          <w:szCs w:val="21"/>
          <w:highlight w:val="none"/>
        </w:rPr>
        <w:t>填“是”的，供应商须提供包含相关指标项的证明材料，证明材料可以使用生产厂家出具的生产厂家官方网站截图或产品白皮书或第三方机构检验报告或其他相关证明材料（参数指标有对应证明材料要求的按对应要求提供证明材料），未提供有效证明材料或证明材料中内容与所填报指标不一致的，该指标按不满足处理。填“否”的，供应商</w:t>
      </w:r>
      <w:r>
        <w:rPr>
          <w:rFonts w:ascii="宋体" w:hAnsi="宋体" w:cs="宋体"/>
          <w:kern w:val="2"/>
          <w:sz w:val="21"/>
          <w:szCs w:val="21"/>
          <w:highlight w:val="none"/>
        </w:rPr>
        <w:t>应提供《</w:t>
      </w:r>
      <w:r>
        <w:rPr>
          <w:rFonts w:hint="eastAsia" w:ascii="宋体" w:hAnsi="宋体" w:cs="宋体"/>
          <w:kern w:val="2"/>
          <w:sz w:val="21"/>
          <w:szCs w:val="21"/>
          <w:highlight w:val="none"/>
          <w:lang w:val="en-US" w:eastAsia="zh-CN"/>
        </w:rPr>
        <w:t>技术要求偏离表</w:t>
      </w:r>
      <w:r>
        <w:rPr>
          <w:rFonts w:ascii="宋体" w:hAnsi="宋体" w:cs="宋体"/>
          <w:kern w:val="2"/>
          <w:sz w:val="21"/>
          <w:szCs w:val="21"/>
          <w:highlight w:val="none"/>
        </w:rPr>
        <w:t>》，并逐条响应</w:t>
      </w:r>
      <w:r>
        <w:rPr>
          <w:rFonts w:hint="eastAsia" w:ascii="宋体" w:hAnsi="宋体" w:cs="宋体"/>
          <w:kern w:val="2"/>
          <w:sz w:val="21"/>
          <w:szCs w:val="21"/>
          <w:highlight w:val="none"/>
        </w:rPr>
        <w:t>，如填写的内容于上述指标不一致的，该指标按不满足处理。</w:t>
      </w:r>
    </w:p>
    <w:p>
      <w:pPr>
        <w:numPr>
          <w:ilvl w:val="0"/>
          <w:numId w:val="0"/>
        </w:numPr>
        <w:wordWrap w:val="0"/>
        <w:spacing w:line="360" w:lineRule="auto"/>
        <w:ind w:left="978" w:leftChars="26" w:hanging="926" w:hangingChars="441"/>
        <w:rPr>
          <w:rFonts w:hint="eastAsia" w:ascii="Times New Roman" w:hAnsi="Times New Roman" w:eastAsia="宋体" w:cs="宋体"/>
          <w:sz w:val="21"/>
          <w:szCs w:val="21"/>
          <w:lang w:val="en-US" w:eastAsia="zh-CN" w:bidi="ar-SA"/>
        </w:rPr>
      </w:pPr>
    </w:p>
    <w:p>
      <w:pPr>
        <w:numPr>
          <w:ilvl w:val="0"/>
          <w:numId w:val="0"/>
        </w:numPr>
        <w:wordWrap w:val="0"/>
        <w:spacing w:line="360" w:lineRule="auto"/>
        <w:ind w:left="1022" w:leftChars="26" w:hanging="970" w:hangingChars="441"/>
        <w:rPr>
          <w:rFonts w:hint="default" w:eastAsia="宋体" w:cs="宋体"/>
          <w:sz w:val="22"/>
          <w:szCs w:val="32"/>
          <w:lang w:val="en-US" w:eastAsia="zh-CN"/>
        </w:rPr>
      </w:pPr>
      <w:r>
        <w:rPr>
          <w:rFonts w:hint="eastAsia" w:ascii="Times New Roman" w:hAnsi="Times New Roman" w:eastAsia="宋体" w:cs="宋体"/>
          <w:sz w:val="22"/>
          <w:szCs w:val="32"/>
          <w:lang w:val="en-US" w:eastAsia="zh-CN" w:bidi="ar-SA"/>
        </w:rPr>
        <w:t>（二）</w:t>
      </w:r>
      <w:r>
        <w:rPr>
          <w:rFonts w:hint="eastAsia" w:cs="宋体"/>
          <w:b/>
          <w:sz w:val="22"/>
          <w:szCs w:val="32"/>
          <w:lang w:val="en-US" w:eastAsia="zh-CN"/>
        </w:rPr>
        <w:t>商务要求</w:t>
      </w:r>
      <w:bookmarkStart w:id="41" w:name="_Toc102114937"/>
      <w:bookmarkStart w:id="42" w:name="_Toc102116039"/>
      <w:bookmarkStart w:id="43" w:name="_Toc511894512"/>
      <w:bookmarkStart w:id="44" w:name="_Toc102056235"/>
      <w:bookmarkStart w:id="45" w:name="_Toc102119870"/>
      <w:bookmarkStart w:id="46" w:name="hbzc_第三章_jsyq_f_技术要求_40_16_r_n"/>
      <w:bookmarkStart w:id="47" w:name="_Toc494561956"/>
      <w:bookmarkStart w:id="48" w:name="_Toc511889434"/>
      <w:bookmarkStart w:id="49" w:name="_Toc102116169"/>
      <w:bookmarkStart w:id="50" w:name="_Toc102057735"/>
    </w:p>
    <w:bookmarkEnd w:id="41"/>
    <w:bookmarkEnd w:id="42"/>
    <w:bookmarkEnd w:id="43"/>
    <w:bookmarkEnd w:id="44"/>
    <w:bookmarkEnd w:id="45"/>
    <w:bookmarkEnd w:id="46"/>
    <w:bookmarkEnd w:id="47"/>
    <w:bookmarkEnd w:id="48"/>
    <w:bookmarkEnd w:id="49"/>
    <w:bookmarkEnd w:id="50"/>
    <w:p>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以下商务条款为实质性条款，应满足或优于，须在</w:t>
      </w:r>
      <w:r>
        <w:rPr>
          <w:rFonts w:hint="eastAsia" w:ascii="宋体" w:hAnsi="宋体" w:eastAsia="宋体" w:cs="宋体"/>
          <w:kern w:val="2"/>
          <w:sz w:val="21"/>
          <w:szCs w:val="21"/>
          <w:highlight w:val="none"/>
          <w:lang w:val="en-US" w:eastAsia="zh-CN"/>
        </w:rPr>
        <w:t>响应</w:t>
      </w:r>
      <w:r>
        <w:rPr>
          <w:rFonts w:hint="eastAsia" w:ascii="宋体" w:hAnsi="宋体" w:eastAsia="宋体" w:cs="宋体"/>
          <w:kern w:val="2"/>
          <w:sz w:val="21"/>
          <w:szCs w:val="21"/>
          <w:highlight w:val="none"/>
        </w:rPr>
        <w:t>文件《</w:t>
      </w:r>
      <w:r>
        <w:rPr>
          <w:rFonts w:hint="eastAsia" w:ascii="宋体" w:hAnsi="宋体" w:eastAsia="宋体" w:cs="宋体"/>
          <w:kern w:val="2"/>
          <w:sz w:val="21"/>
          <w:szCs w:val="21"/>
          <w:highlight w:val="none"/>
          <w:lang w:val="en-US" w:eastAsia="zh-CN"/>
        </w:rPr>
        <w:t>商务要求</w:t>
      </w:r>
      <w:r>
        <w:rPr>
          <w:rFonts w:hint="eastAsia" w:ascii="宋体" w:hAnsi="宋体" w:eastAsia="宋体" w:cs="宋体"/>
          <w:kern w:val="2"/>
          <w:sz w:val="21"/>
          <w:szCs w:val="21"/>
          <w:highlight w:val="none"/>
        </w:rPr>
        <w:t>偏离表》中对以下条款进行响应描述或偏离说明。</w:t>
      </w:r>
    </w:p>
    <w:tbl>
      <w:tblPr>
        <w:tblStyle w:val="6"/>
        <w:tblW w:w="8536" w:type="dxa"/>
        <w:tblInd w:w="93" w:type="dxa"/>
        <w:tblLayout w:type="fixed"/>
        <w:tblCellMar>
          <w:top w:w="0" w:type="dxa"/>
          <w:left w:w="108" w:type="dxa"/>
          <w:bottom w:w="0" w:type="dxa"/>
          <w:right w:w="108" w:type="dxa"/>
        </w:tblCellMar>
      </w:tblPr>
      <w:tblGrid>
        <w:gridCol w:w="818"/>
        <w:gridCol w:w="1356"/>
        <w:gridCol w:w="1140"/>
        <w:gridCol w:w="5222"/>
      </w:tblGrid>
      <w:tr>
        <w:tblPrEx>
          <w:tblCellMar>
            <w:top w:w="0" w:type="dxa"/>
            <w:left w:w="108" w:type="dxa"/>
            <w:bottom w:w="0" w:type="dxa"/>
            <w:right w:w="108" w:type="dxa"/>
          </w:tblCellMar>
        </w:tblPrEx>
        <w:trPr>
          <w:trHeight w:val="6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序号</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指标项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重要性</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指标要求</w:t>
            </w:r>
          </w:p>
        </w:tc>
      </w:tr>
      <w:tr>
        <w:tblPrEx>
          <w:tblCellMar>
            <w:top w:w="0" w:type="dxa"/>
            <w:left w:w="108" w:type="dxa"/>
            <w:bottom w:w="0" w:type="dxa"/>
            <w:right w:w="108" w:type="dxa"/>
          </w:tblCellMar>
        </w:tblPrEx>
        <w:trPr>
          <w:trHeight w:val="9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1</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交货及安</w:t>
            </w:r>
          </w:p>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装期（合同履行期限）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自签订合同之日起7个日历日内完成全部货物（含配套系统、配件备件）的安装调试工作。</w:t>
            </w:r>
          </w:p>
        </w:tc>
      </w:tr>
      <w:tr>
        <w:tblPrEx>
          <w:tblCellMar>
            <w:top w:w="0" w:type="dxa"/>
            <w:left w:w="108" w:type="dxa"/>
            <w:bottom w:w="0" w:type="dxa"/>
            <w:right w:w="108" w:type="dxa"/>
          </w:tblCellMar>
        </w:tblPrEx>
        <w:trPr>
          <w:trHeight w:val="414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交货方式</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供应商负责安排运输到采购人指定地点。供应商承担货物（含配套系统、配件备件）交付采购人前的一切费用及风险（本条款所指交付是供应商将货物（含配套系统、配件备件）运送至采购人指定地点，并经采购人验收合格并出具验收合格证明后视为交付）。</w:t>
            </w:r>
          </w:p>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供应商所提供货物（含配套系统、配件备件）必须为全新无瑕疵。</w:t>
            </w:r>
          </w:p>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交货时，供应商应将货物（含配套系统、配件备件）的产品说明书、使用说明书，出厂合格证、用户手册、保修手册等单证交付给采购人，前述单证未交付完整的，视为未完全交货。</w:t>
            </w:r>
          </w:p>
          <w:p>
            <w:pPr>
              <w:widowControl/>
              <w:ind w:firstLine="420" w:firstLineChars="200"/>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如果供应商提供货物（含配套系统、配件备件）属于国家或上级部门相关法律法规管制的，则供应商应当提供相关证明并协助采购人办理相关手续。</w:t>
            </w:r>
          </w:p>
        </w:tc>
      </w:tr>
      <w:tr>
        <w:tblPrEx>
          <w:tblCellMar>
            <w:top w:w="0" w:type="dxa"/>
            <w:left w:w="108" w:type="dxa"/>
            <w:bottom w:w="0" w:type="dxa"/>
            <w:right w:w="108" w:type="dxa"/>
          </w:tblCellMar>
        </w:tblPrEx>
        <w:trPr>
          <w:trHeight w:val="27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验收标准</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采购人将确认下列条款后进行验收签字；投标文件中提供的各项服务指标经核验是真实的；在服务期内所暴露的问题已获得令采购人满意的解决；所要求的资料、设备等已按规定数、质量移交完毕。</w:t>
            </w:r>
          </w:p>
        </w:tc>
      </w:tr>
      <w:tr>
        <w:tblPrEx>
          <w:tblCellMar>
            <w:top w:w="0" w:type="dxa"/>
            <w:left w:w="108" w:type="dxa"/>
            <w:bottom w:w="0" w:type="dxa"/>
            <w:right w:w="108" w:type="dxa"/>
          </w:tblCellMar>
        </w:tblPrEx>
        <w:trPr>
          <w:trHeight w:val="432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4</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质保期及</w:t>
            </w:r>
          </w:p>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售后服务</w:t>
            </w:r>
          </w:p>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要求</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供应商承担货物的包装、运输、安装与调试，直至设备和系统正常运行的全部工作与费用。</w:t>
            </w:r>
          </w:p>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国产货物（含配套系统、配件备件）验收合格之日起质保期1年，并提供售后服务1年</w:t>
            </w:r>
          </w:p>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质保期、保修期内因国产货物（含配套系统、配件备件）质量或安装调试原因引起的全部维修费用（包括更换零配件的费用）均由供应商承担。</w:t>
            </w:r>
          </w:p>
          <w:p>
            <w:pPr>
              <w:widowControl/>
              <w:ind w:firstLine="420" w:firstLineChars="200"/>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质保期、保修期外，供应商应定期回访，发现问题及时通知甲方，国产货物（含配套系统、配件备件）维修零配件以优惠价给甲方（免收人工及差旅费）。</w:t>
            </w:r>
          </w:p>
          <w:p>
            <w:pPr>
              <w:widowControl/>
              <w:ind w:firstLine="420" w:firstLineChars="200"/>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维修时，供应商接到甲方故障通知后在24小时之内上门服务，小型故障在3天内解决，大故障在15天内解决，若供应商怠于履行维修义务，则甲方有权委托第三人维修，所产生的所有费用由供应商承担。</w:t>
            </w:r>
          </w:p>
        </w:tc>
      </w:tr>
      <w:tr>
        <w:tblPrEx>
          <w:tblCellMar>
            <w:top w:w="0" w:type="dxa"/>
            <w:left w:w="108" w:type="dxa"/>
            <w:bottom w:w="0" w:type="dxa"/>
            <w:right w:w="108" w:type="dxa"/>
          </w:tblCellMar>
        </w:tblPrEx>
        <w:trPr>
          <w:trHeight w:val="135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5</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包装和</w:t>
            </w:r>
          </w:p>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运输</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供应商负责设备的包装，包装箱必须坚固，并做到防潮、防震和防锈，货到采购人指定地点后，在后续安装、调试期间货物的堆放、保管及搬运由供应商自行负责，因保管、堆放及搬运不当造成的一切损失(含任意第三方的损失)均由供应商承担。</w:t>
            </w:r>
          </w:p>
        </w:tc>
      </w:tr>
      <w:tr>
        <w:tblPrEx>
          <w:tblCellMar>
            <w:top w:w="0" w:type="dxa"/>
            <w:left w:w="108" w:type="dxa"/>
            <w:bottom w:w="0" w:type="dxa"/>
            <w:right w:w="108" w:type="dxa"/>
          </w:tblCellMar>
        </w:tblPrEx>
        <w:trPr>
          <w:trHeight w:val="189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6</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培训要求</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供应商应为采购人提供免费培训服务，并指派专人负责与采购人联系售后服务事宜。主要培训内容为货物的基本结构、主要部件的构造，日常使用操作、保养与管理、常见故障的排除、紧急情况的处理等，如采购人未使用过同类型货物，供应商还需就货物的功能对采购人进行相应的技术培训，培训地点主要在货物安装现场或由双方约定。</w:t>
            </w:r>
          </w:p>
        </w:tc>
      </w:tr>
      <w:tr>
        <w:tblPrEx>
          <w:tblCellMar>
            <w:top w:w="0" w:type="dxa"/>
            <w:left w:w="108" w:type="dxa"/>
            <w:bottom w:w="0" w:type="dxa"/>
            <w:right w:w="108" w:type="dxa"/>
          </w:tblCellMar>
        </w:tblPrEx>
        <w:trPr>
          <w:trHeight w:val="6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7</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付款条件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firstLineChars="200"/>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本合同正式签订前，乙方需向甲方支付合同金额的5%作为履约保证金（优先以金融机构、担保机构出具的保函或者支票、汇票、本票等非现金形式提交）；</w:t>
            </w:r>
          </w:p>
          <w:p>
            <w:pPr>
              <w:widowControl/>
              <w:ind w:firstLine="420" w:firstLineChars="200"/>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全部货物（含配套系统、配件备件）经甲方验收合格后十五个工作日内，甲方向乙方支付全额货款，上述履约保证金若为现金形式提交，在产品验收合格满1年后，无质量问题甲方将全额无息退还给乙方；</w:t>
            </w:r>
          </w:p>
          <w:p>
            <w:pPr>
              <w:widowControl/>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甲方每次付款前，乙方应向甲方出具等额、合法、真实、有效的发票，国产货物（含配套系统、配件备件）须提供增值税发票，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tc>
      </w:tr>
      <w:tr>
        <w:tblPrEx>
          <w:tblCellMar>
            <w:top w:w="0" w:type="dxa"/>
            <w:left w:w="108" w:type="dxa"/>
            <w:bottom w:w="0" w:type="dxa"/>
            <w:right w:w="108" w:type="dxa"/>
          </w:tblCellMar>
        </w:tblPrEx>
        <w:trPr>
          <w:trHeight w:val="6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8</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违约条款</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其它违约责任按《中华人民共和国民法典》处理。</w:t>
            </w:r>
          </w:p>
        </w:tc>
      </w:tr>
      <w:tr>
        <w:tblPrEx>
          <w:tblCellMar>
            <w:top w:w="0" w:type="dxa"/>
            <w:left w:w="108" w:type="dxa"/>
            <w:bottom w:w="0" w:type="dxa"/>
            <w:right w:w="108" w:type="dxa"/>
          </w:tblCellMar>
        </w:tblPrEx>
        <w:trPr>
          <w:trHeight w:val="6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9</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服务地点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highlight w:val="none"/>
              </w:rPr>
            </w:pPr>
            <w:r>
              <w:rPr>
                <w:rFonts w:hint="eastAsia" w:ascii="宋体" w:hAnsi="宋体" w:eastAsia="宋体" w:cs="宋体"/>
                <w:kern w:val="2"/>
                <w:sz w:val="21"/>
                <w:szCs w:val="21"/>
                <w:highlight w:val="none"/>
              </w:rPr>
              <w:t>★</w:t>
            </w:r>
          </w:p>
        </w:tc>
        <w:tc>
          <w:tcPr>
            <w:tcW w:w="52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采购人指定地点</w:t>
            </w:r>
          </w:p>
        </w:tc>
      </w:tr>
    </w:tbl>
    <w:p>
      <w:bookmarkStart w:id="51" w:name="_GoBack"/>
      <w:bookmarkEnd w:id="5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roman"/>
    <w:pitch w:val="default"/>
    <w:sig w:usb0="00000000" w:usb1="00000000" w:usb2="00000010" w:usb3="00000000" w:csb0="00040000" w:csb1="00000000"/>
  </w:font>
  <w:font w:name="Helvetica">
    <w:panose1 w:val="020B0504020202030204"/>
    <w:charset w:val="00"/>
    <w:family w:val="swiss"/>
    <w:pitch w:val="default"/>
    <w:sig w:usb0="00000007" w:usb1="00000000"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8173C"/>
    <w:multiLevelType w:val="singleLevel"/>
    <w:tmpl w:val="9FB8173C"/>
    <w:lvl w:ilvl="0" w:tentative="0">
      <w:start w:val="3"/>
      <w:numFmt w:val="chineseCounting"/>
      <w:suff w:val="nothing"/>
      <w:lvlText w:val="（%1）"/>
      <w:lvlJc w:val="left"/>
      <w:rPr>
        <w:rFonts w:hint="eastAsia"/>
      </w:rPr>
    </w:lvl>
  </w:abstractNum>
  <w:abstractNum w:abstractNumId="1">
    <w:nsid w:val="D4A28F56"/>
    <w:multiLevelType w:val="singleLevel"/>
    <w:tmpl w:val="D4A28F56"/>
    <w:lvl w:ilvl="0" w:tentative="0">
      <w:start w:val="1"/>
      <w:numFmt w:val="chineseCounting"/>
      <w:suff w:val="nothing"/>
      <w:lvlText w:val="%1、"/>
      <w:lvlJc w:val="left"/>
      <w:pPr>
        <w:ind w:left="-42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39DC3A0A"/>
    <w:rsid w:val="39DC3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lang w:val="en-US" w:eastAsia="zh-CN" w:bidi="ar-SA"/>
    </w:rPr>
  </w:style>
  <w:style w:type="paragraph" w:styleId="3">
    <w:name w:val="heading 1"/>
    <w:basedOn w:val="1"/>
    <w:next w:val="1"/>
    <w:qFormat/>
    <w:uiPriority w:val="0"/>
    <w:pPr>
      <w:keepNext/>
      <w:keepLines/>
      <w:autoSpaceDE w:val="0"/>
      <w:autoSpaceDN w:val="0"/>
      <w:adjustRightInd w:val="0"/>
      <w:spacing w:before="340" w:after="330" w:line="578" w:lineRule="atLeast"/>
      <w:jc w:val="center"/>
      <w:outlineLvl w:val="0"/>
    </w:pPr>
    <w:rPr>
      <w:rFonts w:hint="eastAsia" w:ascii="宋体"/>
      <w:b/>
      <w:sz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kern w:val="2"/>
      <w:sz w:val="32"/>
      <w:szCs w:val="32"/>
    </w:rPr>
  </w:style>
  <w:style w:type="character" w:default="1" w:styleId="8">
    <w:name w:val="Default Paragraph Font"/>
    <w:autoRedefine/>
    <w:semiHidden/>
    <w:qFormat/>
    <w:uiPriority w:val="0"/>
  </w:style>
  <w:style w:type="table" w:default="1" w:styleId="6">
    <w:name w:val="Normal Table"/>
    <w:autoRedefin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pPr>
    <w:rPr>
      <w:rFonts w:asciiTheme="minorHAnsi" w:hAnsiTheme="minorHAnsi" w:cstheme="minorBidi"/>
      <w:kern w:val="2"/>
      <w:sz w:val="21"/>
      <w:szCs w:val="22"/>
    </w:rPr>
  </w:style>
  <w:style w:type="paragraph" w:styleId="5">
    <w:name w:val="Body Text"/>
    <w:basedOn w:val="1"/>
    <w:qFormat/>
    <w:uiPriority w:val="99"/>
    <w:pPr>
      <w:spacing w:after="120"/>
    </w:pPr>
    <w:rPr>
      <w:rFonts w:asciiTheme="minorHAnsi" w:hAnsiTheme="minorHAnsi" w:eastAsiaTheme="minorEastAsia" w:cstheme="minorBidi"/>
      <w:kern w:val="2"/>
      <w:sz w:val="21"/>
      <w:szCs w:val="24"/>
    </w:rPr>
  </w:style>
  <w:style w:type="table" w:styleId="7">
    <w:name w:val="Table Grid"/>
    <w:basedOn w:val="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2024-04-23T10:10:00Z</dcterms:created>
  <dc:creator>LOMO</dc:creator>
  <cp:lastModifiedBy>LOMO</cp:lastModifiedBy>
  <dcterms:modified xsi:type="dcterms:W3CDTF">2024-04-23T10:10:41Z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C8D24A0D5C6D4BFD85B977D2C0CC180C_11</vt:lpwstr>
  </property>
</Properties>
</file>