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insoku w:val="0"/>
        <w:overflowPunct w:val="0"/>
        <w:ind w:right="17"/>
        <w:jc w:val="center"/>
        <w:rPr>
          <w:rFonts w:asciiTheme="minorEastAsia" w:hAnsiTheme="minorEastAsia" w:eastAsiaTheme="minorEastAsia" w:cstheme="minorEastAsia"/>
          <w:sz w:val="28"/>
        </w:rPr>
      </w:pPr>
      <w:r>
        <w:rPr>
          <w:rFonts w:hint="eastAsia" w:ascii="宋体" w:hAnsi="宋体" w:cs="宋体"/>
          <w:sz w:val="28"/>
        </w:rPr>
        <w:drawing>
          <wp:anchor distT="0" distB="0" distL="114300" distR="114300" simplePos="0" relativeHeight="251661312" behindDoc="0" locked="0" layoutInCell="1" allowOverlap="1">
            <wp:simplePos x="0" y="0"/>
            <wp:positionH relativeFrom="column">
              <wp:posOffset>5117465</wp:posOffset>
            </wp:positionH>
            <wp:positionV relativeFrom="paragraph">
              <wp:posOffset>69215</wp:posOffset>
            </wp:positionV>
            <wp:extent cx="1444625" cy="341630"/>
            <wp:effectExtent l="5080" t="0" r="0" b="172720"/>
            <wp:wrapNone/>
            <wp:docPr id="4" name="图片 4" descr="20170807174919_93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0170807174919_93367"/>
                    <pic:cNvPicPr>
                      <a:picLocks noChangeAspect="1"/>
                    </pic:cNvPicPr>
                  </pic:nvPicPr>
                  <pic:blipFill>
                    <a:blip r:embed="rId13">
                      <a:clrChange>
                        <a:clrFrom>
                          <a:srgbClr val="000000">
                            <a:alpha val="0"/>
                          </a:srgbClr>
                        </a:clrFrom>
                        <a:clrTo>
                          <a:srgbClr val="000000">
                            <a:alpha val="0"/>
                            <a:alpha val="0"/>
                          </a:srgbClr>
                        </a:clrTo>
                      </a:clrChange>
                    </a:blip>
                    <a:srcRect r="10705"/>
                    <a:stretch>
                      <a:fillRect/>
                    </a:stretch>
                  </pic:blipFill>
                  <pic:spPr>
                    <a:xfrm>
                      <a:off x="0" y="0"/>
                      <a:ext cx="1444625" cy="341630"/>
                    </a:xfrm>
                    <a:prstGeom prst="rect">
                      <a:avLst/>
                    </a:prstGeom>
                    <a:effectLst>
                      <a:reflection blurRad="6350" stA="52000" endA="300" endPos="35000" dir="5400000" sy="-100000" algn="bl" rotWithShape="0"/>
                    </a:effectLst>
                  </pic:spPr>
                </pic:pic>
              </a:graphicData>
            </a:graphic>
          </wp:anchor>
        </w:drawing>
      </w:r>
      <w:r>
        <w:rPr>
          <w:rFonts w:hint="eastAsia" w:ascii="宋体" w:hAnsi="宋体" w:cs="宋体"/>
          <w:sz w:val="28"/>
        </w:rPr>
        <w:drawing>
          <wp:anchor distT="0" distB="0" distL="114300" distR="114300" simplePos="0" relativeHeight="251659264" behindDoc="1" locked="0" layoutInCell="1" allowOverlap="1">
            <wp:simplePos x="0" y="0"/>
            <wp:positionH relativeFrom="column">
              <wp:posOffset>-759460</wp:posOffset>
            </wp:positionH>
            <wp:positionV relativeFrom="paragraph">
              <wp:posOffset>-897890</wp:posOffset>
            </wp:positionV>
            <wp:extent cx="7557135" cy="10709910"/>
            <wp:effectExtent l="0" t="0" r="5715" b="15240"/>
            <wp:wrapNone/>
            <wp:docPr id="2" name="图片 3" descr="文字文稿7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文字文稿7_01"/>
                    <pic:cNvPicPr>
                      <a:picLocks noChangeAspect="1"/>
                    </pic:cNvPicPr>
                  </pic:nvPicPr>
                  <pic:blipFill>
                    <a:blip r:embed="rId14"/>
                    <a:stretch>
                      <a:fillRect/>
                    </a:stretch>
                  </pic:blipFill>
                  <pic:spPr>
                    <a:xfrm>
                      <a:off x="0" y="0"/>
                      <a:ext cx="7557135" cy="10709910"/>
                    </a:xfrm>
                    <a:prstGeom prst="rect">
                      <a:avLst/>
                    </a:prstGeom>
                    <a:noFill/>
                    <a:ln>
                      <a:noFill/>
                    </a:ln>
                  </pic:spPr>
                </pic:pic>
              </a:graphicData>
            </a:graphic>
          </wp:anchor>
        </w:drawing>
      </w:r>
    </w:p>
    <w:p>
      <w:pPr>
        <w:kinsoku w:val="0"/>
        <w:overflowPunct w:val="0"/>
        <w:ind w:right="17"/>
        <w:jc w:val="center"/>
        <w:rPr>
          <w:rFonts w:asciiTheme="minorEastAsia" w:hAnsiTheme="minorEastAsia" w:eastAsiaTheme="minorEastAsia" w:cstheme="minorEastAsia"/>
          <w:sz w:val="28"/>
        </w:rPr>
      </w:pPr>
    </w:p>
    <w:p>
      <w:pPr>
        <w:kinsoku w:val="0"/>
        <w:overflowPunct w:val="0"/>
        <w:ind w:right="17"/>
        <w:jc w:val="center"/>
        <w:rPr>
          <w:rFonts w:asciiTheme="minorEastAsia" w:hAnsiTheme="minorEastAsia" w:eastAsiaTheme="minorEastAsia" w:cstheme="minorEastAsia"/>
          <w:sz w:val="28"/>
        </w:rPr>
      </w:pPr>
    </w:p>
    <w:p>
      <w:pPr>
        <w:kinsoku w:val="0"/>
        <w:overflowPunct w:val="0"/>
        <w:ind w:right="17"/>
        <w:jc w:val="center"/>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br w:type="textWrapping"/>
      </w:r>
      <w:r>
        <w:rPr>
          <w:rFonts w:hint="eastAsia" w:asciiTheme="minorEastAsia" w:hAnsiTheme="minorEastAsia" w:eastAsiaTheme="minorEastAsia" w:cstheme="minorEastAsia"/>
          <w:sz w:val="28"/>
        </w:rPr>
        <w:br w:type="textWrapping"/>
      </w:r>
      <w:r>
        <w:rPr>
          <w:rFonts w:hint="eastAsia" w:asciiTheme="minorEastAsia" w:hAnsiTheme="minorEastAsia" w:eastAsiaTheme="minorEastAsia" w:cstheme="minorEastAsia"/>
          <w:b/>
          <w:bCs/>
          <w:sz w:val="28"/>
        </w:rPr>
        <w:t>湖 北 省 省 级 政 府 采 购 项 目</w:t>
      </w:r>
    </w:p>
    <w:p>
      <w:pPr>
        <w:pStyle w:val="10"/>
        <w:kinsoku w:val="0"/>
        <w:overflowPunct w:val="0"/>
        <w:spacing w:before="194"/>
        <w:jc w:val="center"/>
        <w:rPr>
          <w:rFonts w:asciiTheme="minorEastAsia" w:hAnsiTheme="minorEastAsia" w:eastAsiaTheme="minorEastAsia" w:cstheme="minorEastAsia"/>
          <w:sz w:val="92"/>
        </w:rPr>
      </w:pPr>
      <w:r>
        <w:rPr>
          <w:rFonts w:hint="eastAsia" w:asciiTheme="minorEastAsia" w:hAnsiTheme="minorEastAsia" w:eastAsiaTheme="minorEastAsia" w:cstheme="minorEastAsia"/>
          <w:sz w:val="92"/>
          <w14:shadow w14:blurRad="50800" w14:dist="38100" w14:dir="2700000" w14:sx="100000" w14:sy="100000" w14:kx="0" w14:ky="0" w14:algn="tl">
            <w14:srgbClr w14:val="000000">
              <w14:alpha w14:val="60000"/>
            </w14:srgbClr>
          </w14:shadow>
        </w:rPr>
        <w:t>竞争性磋商采购文件</w:t>
      </w:r>
    </w:p>
    <w:p>
      <w:pPr>
        <w:pStyle w:val="10"/>
        <w:kinsoku w:val="0"/>
        <w:overflowPunct w:val="0"/>
        <w:rPr>
          <w:rFonts w:asciiTheme="minorEastAsia" w:hAnsiTheme="minorEastAsia" w:eastAsiaTheme="minorEastAsia" w:cstheme="minorEastAsia"/>
          <w:sz w:val="20"/>
        </w:rPr>
      </w:pPr>
    </w:p>
    <w:p>
      <w:pPr>
        <w:pStyle w:val="10"/>
        <w:kinsoku w:val="0"/>
        <w:overflowPunct w:val="0"/>
        <w:jc w:val="center"/>
        <w:rPr>
          <w:rFonts w:asciiTheme="minorEastAsia" w:hAnsiTheme="minorEastAsia" w:eastAsiaTheme="minorEastAsia" w:cstheme="minorEastAsia"/>
          <w:sz w:val="20"/>
        </w:rPr>
      </w:pPr>
    </w:p>
    <w:p>
      <w:pPr>
        <w:pStyle w:val="10"/>
        <w:kinsoku w:val="0"/>
        <w:overflowPunct w:val="0"/>
        <w:rPr>
          <w:rFonts w:asciiTheme="minorEastAsia" w:hAnsiTheme="minorEastAsia" w:eastAsiaTheme="minorEastAsia" w:cstheme="minorEastAsia"/>
          <w:sz w:val="20"/>
        </w:rPr>
      </w:pPr>
    </w:p>
    <w:p>
      <w:pPr>
        <w:pStyle w:val="10"/>
        <w:kinsoku w:val="0"/>
        <w:overflowPunct w:val="0"/>
        <w:rPr>
          <w:rFonts w:asciiTheme="minorEastAsia" w:hAnsiTheme="minorEastAsia" w:eastAsiaTheme="minorEastAsia" w:cstheme="minorEastAsia"/>
          <w:sz w:val="20"/>
        </w:rPr>
      </w:pPr>
    </w:p>
    <w:p>
      <w:pPr>
        <w:pStyle w:val="10"/>
        <w:kinsoku w:val="0"/>
        <w:overflowPunct w:val="0"/>
        <w:spacing w:before="2" w:after="1"/>
        <w:rPr>
          <w:rFonts w:asciiTheme="minorEastAsia" w:hAnsiTheme="minorEastAsia" w:eastAsiaTheme="minorEastAsia" w:cstheme="minorEastAsia"/>
          <w:sz w:val="11"/>
        </w:rPr>
      </w:pPr>
    </w:p>
    <w:tbl>
      <w:tblPr>
        <w:tblStyle w:val="26"/>
        <w:tblW w:w="8405" w:type="dxa"/>
        <w:tblInd w:w="690" w:type="dxa"/>
        <w:tblLayout w:type="fixed"/>
        <w:tblCellMar>
          <w:top w:w="0" w:type="dxa"/>
          <w:left w:w="0" w:type="dxa"/>
          <w:bottom w:w="0" w:type="dxa"/>
          <w:right w:w="0" w:type="dxa"/>
        </w:tblCellMar>
      </w:tblPr>
      <w:tblGrid>
        <w:gridCol w:w="2120"/>
        <w:gridCol w:w="6285"/>
      </w:tblGrid>
      <w:tr>
        <w:tblPrEx>
          <w:tblCellMar>
            <w:top w:w="0" w:type="dxa"/>
            <w:left w:w="0" w:type="dxa"/>
            <w:bottom w:w="0" w:type="dxa"/>
            <w:right w:w="0" w:type="dxa"/>
          </w:tblCellMar>
        </w:tblPrEx>
        <w:trPr>
          <w:trHeight w:val="743" w:hRule="atLeast"/>
        </w:trPr>
        <w:tc>
          <w:tcPr>
            <w:tcW w:w="2120" w:type="dxa"/>
            <w:tcBorders>
              <w:top w:val="nil"/>
              <w:left w:val="nil"/>
              <w:bottom w:val="nil"/>
              <w:right w:val="nil"/>
              <w:tl2br w:val="nil"/>
              <w:tr2bl w:val="nil"/>
            </w:tcBorders>
            <w:vAlign w:val="center"/>
          </w:tcPr>
          <w:p>
            <w:pPr>
              <w:pStyle w:val="97"/>
              <w:kinsoku w:val="0"/>
              <w:overflowPunct w:val="0"/>
              <w:spacing w:before="122"/>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计划备案号：</w:t>
            </w:r>
          </w:p>
        </w:tc>
        <w:tc>
          <w:tcPr>
            <w:tcW w:w="6285" w:type="dxa"/>
            <w:tcBorders>
              <w:top w:val="nil"/>
              <w:left w:val="nil"/>
              <w:bottom w:val="nil"/>
              <w:right w:val="nil"/>
              <w:tl2br w:val="nil"/>
              <w:tr2bl w:val="nil"/>
            </w:tcBorders>
            <w:vAlign w:val="center"/>
          </w:tcPr>
          <w:p>
            <w:pPr>
              <w:pStyle w:val="97"/>
              <w:kinsoku w:val="0"/>
              <w:overflowPunct w:val="0"/>
              <w:spacing w:before="122"/>
              <w:ind w:left="55"/>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420000-2023-19585</w:t>
            </w:r>
          </w:p>
        </w:tc>
      </w:tr>
      <w:tr>
        <w:tblPrEx>
          <w:tblCellMar>
            <w:top w:w="0" w:type="dxa"/>
            <w:left w:w="0" w:type="dxa"/>
            <w:bottom w:w="0" w:type="dxa"/>
            <w:right w:w="0" w:type="dxa"/>
          </w:tblCellMar>
        </w:tblPrEx>
        <w:trPr>
          <w:trHeight w:val="743" w:hRule="atLeast"/>
        </w:trPr>
        <w:tc>
          <w:tcPr>
            <w:tcW w:w="2120" w:type="dxa"/>
            <w:tcBorders>
              <w:top w:val="nil"/>
              <w:left w:val="nil"/>
              <w:bottom w:val="nil"/>
              <w:right w:val="nil"/>
              <w:tl2br w:val="nil"/>
              <w:tr2bl w:val="nil"/>
            </w:tcBorders>
            <w:vAlign w:val="center"/>
          </w:tcPr>
          <w:p>
            <w:pPr>
              <w:pStyle w:val="97"/>
              <w:kinsoku w:val="0"/>
              <w:overflowPunct w:val="0"/>
              <w:spacing w:before="122"/>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项目编号：</w:t>
            </w:r>
          </w:p>
        </w:tc>
        <w:tc>
          <w:tcPr>
            <w:tcW w:w="6285" w:type="dxa"/>
            <w:tcBorders>
              <w:top w:val="nil"/>
              <w:left w:val="nil"/>
              <w:bottom w:val="nil"/>
              <w:right w:val="nil"/>
              <w:tl2br w:val="nil"/>
              <w:tr2bl w:val="nil"/>
            </w:tcBorders>
            <w:vAlign w:val="center"/>
          </w:tcPr>
          <w:p>
            <w:pPr>
              <w:pStyle w:val="97"/>
              <w:kinsoku w:val="0"/>
              <w:overflowPunct w:val="0"/>
              <w:spacing w:before="122"/>
              <w:ind w:left="55"/>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HGDXW23-131/ZCHM-ZC-202312-289</w:t>
            </w:r>
          </w:p>
        </w:tc>
      </w:tr>
      <w:tr>
        <w:tblPrEx>
          <w:tblCellMar>
            <w:top w:w="0" w:type="dxa"/>
            <w:left w:w="0" w:type="dxa"/>
            <w:bottom w:w="0" w:type="dxa"/>
            <w:right w:w="0" w:type="dxa"/>
          </w:tblCellMar>
        </w:tblPrEx>
        <w:trPr>
          <w:trHeight w:val="743" w:hRule="atLeast"/>
        </w:trPr>
        <w:tc>
          <w:tcPr>
            <w:tcW w:w="2120" w:type="dxa"/>
            <w:tcBorders>
              <w:top w:val="nil"/>
              <w:left w:val="nil"/>
              <w:bottom w:val="nil"/>
              <w:right w:val="nil"/>
              <w:tl2br w:val="nil"/>
              <w:tr2bl w:val="nil"/>
            </w:tcBorders>
            <w:vAlign w:val="center"/>
          </w:tcPr>
          <w:p>
            <w:pPr>
              <w:pStyle w:val="97"/>
              <w:kinsoku w:val="0"/>
              <w:overflowPunct w:val="0"/>
              <w:spacing w:before="122"/>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项目名称：</w:t>
            </w:r>
          </w:p>
        </w:tc>
        <w:tc>
          <w:tcPr>
            <w:tcW w:w="6285" w:type="dxa"/>
            <w:tcBorders>
              <w:top w:val="nil"/>
              <w:left w:val="nil"/>
              <w:bottom w:val="nil"/>
              <w:right w:val="nil"/>
              <w:tl2br w:val="nil"/>
              <w:tr2bl w:val="nil"/>
            </w:tcBorders>
            <w:vAlign w:val="center"/>
          </w:tcPr>
          <w:p>
            <w:pPr>
              <w:pStyle w:val="97"/>
              <w:kinsoku w:val="0"/>
              <w:overflowPunct w:val="0"/>
              <w:spacing w:before="123" w:line="242" w:lineRule="auto"/>
              <w:ind w:left="55" w:right="136"/>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湖北工业大学机械工程学院测控技术与仪器专业建设项目（一期）</w:t>
            </w:r>
          </w:p>
        </w:tc>
      </w:tr>
      <w:tr>
        <w:tblPrEx>
          <w:tblCellMar>
            <w:top w:w="0" w:type="dxa"/>
            <w:left w:w="0" w:type="dxa"/>
            <w:bottom w:w="0" w:type="dxa"/>
            <w:right w:w="0" w:type="dxa"/>
          </w:tblCellMar>
        </w:tblPrEx>
        <w:trPr>
          <w:trHeight w:val="743" w:hRule="atLeast"/>
        </w:trPr>
        <w:tc>
          <w:tcPr>
            <w:tcW w:w="2120" w:type="dxa"/>
            <w:tcBorders>
              <w:top w:val="nil"/>
              <w:left w:val="nil"/>
              <w:bottom w:val="nil"/>
              <w:right w:val="nil"/>
              <w:tl2br w:val="nil"/>
              <w:tr2bl w:val="nil"/>
            </w:tcBorders>
            <w:vAlign w:val="center"/>
          </w:tcPr>
          <w:p>
            <w:pPr>
              <w:pStyle w:val="97"/>
              <w:kinsoku w:val="0"/>
              <w:overflowPunct w:val="0"/>
              <w:spacing w:before="122" w:line="299" w:lineRule="exact"/>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采购方式：</w:t>
            </w:r>
          </w:p>
        </w:tc>
        <w:tc>
          <w:tcPr>
            <w:tcW w:w="6285" w:type="dxa"/>
            <w:tcBorders>
              <w:top w:val="nil"/>
              <w:left w:val="nil"/>
              <w:bottom w:val="nil"/>
              <w:right w:val="nil"/>
              <w:tl2br w:val="nil"/>
              <w:tr2bl w:val="nil"/>
            </w:tcBorders>
            <w:vAlign w:val="center"/>
          </w:tcPr>
          <w:p>
            <w:pPr>
              <w:pStyle w:val="97"/>
              <w:kinsoku w:val="0"/>
              <w:overflowPunct w:val="0"/>
              <w:spacing w:before="122" w:line="299" w:lineRule="exact"/>
              <w:ind w:left="55"/>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竞争性磋商</w:t>
            </w:r>
          </w:p>
        </w:tc>
      </w:tr>
      <w:tr>
        <w:tblPrEx>
          <w:tblCellMar>
            <w:top w:w="0" w:type="dxa"/>
            <w:left w:w="0" w:type="dxa"/>
            <w:bottom w:w="0" w:type="dxa"/>
            <w:right w:w="0" w:type="dxa"/>
          </w:tblCellMar>
        </w:tblPrEx>
        <w:trPr>
          <w:trHeight w:val="743" w:hRule="atLeast"/>
        </w:trPr>
        <w:tc>
          <w:tcPr>
            <w:tcW w:w="2120" w:type="dxa"/>
            <w:tcBorders>
              <w:top w:val="nil"/>
              <w:left w:val="nil"/>
              <w:bottom w:val="nil"/>
              <w:right w:val="nil"/>
              <w:tl2br w:val="nil"/>
              <w:tr2bl w:val="nil"/>
            </w:tcBorders>
            <w:vAlign w:val="center"/>
          </w:tcPr>
          <w:p>
            <w:pPr>
              <w:pStyle w:val="97"/>
              <w:kinsoku w:val="0"/>
              <w:overflowPunct w:val="0"/>
              <w:spacing w:before="122" w:line="299" w:lineRule="exact"/>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采购类别：</w:t>
            </w:r>
          </w:p>
        </w:tc>
        <w:tc>
          <w:tcPr>
            <w:tcW w:w="6285" w:type="dxa"/>
            <w:tcBorders>
              <w:top w:val="nil"/>
              <w:left w:val="nil"/>
              <w:bottom w:val="nil"/>
              <w:right w:val="nil"/>
              <w:tl2br w:val="nil"/>
              <w:tr2bl w:val="nil"/>
            </w:tcBorders>
            <w:vAlign w:val="center"/>
          </w:tcPr>
          <w:p>
            <w:pPr>
              <w:pStyle w:val="97"/>
              <w:kinsoku w:val="0"/>
              <w:overflowPunct w:val="0"/>
              <w:spacing w:before="122" w:line="299" w:lineRule="exact"/>
              <w:ind w:left="55"/>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货物</w:t>
            </w:r>
          </w:p>
        </w:tc>
      </w:tr>
    </w:tbl>
    <w:p>
      <w:pPr>
        <w:pStyle w:val="10"/>
        <w:kinsoku w:val="0"/>
        <w:overflowPunct w:val="0"/>
        <w:rPr>
          <w:rFonts w:asciiTheme="minorEastAsia" w:hAnsiTheme="minorEastAsia" w:eastAsiaTheme="minorEastAsia" w:cstheme="minorEastAsia"/>
          <w:sz w:val="20"/>
        </w:rPr>
      </w:pPr>
    </w:p>
    <w:p>
      <w:pPr>
        <w:pStyle w:val="10"/>
        <w:kinsoku w:val="0"/>
        <w:overflowPunct w:val="0"/>
        <w:rPr>
          <w:rFonts w:asciiTheme="minorEastAsia" w:hAnsiTheme="minorEastAsia" w:eastAsiaTheme="minorEastAsia" w:cstheme="minorEastAsia"/>
          <w:sz w:val="20"/>
        </w:rPr>
      </w:pPr>
    </w:p>
    <w:p>
      <w:pPr>
        <w:pStyle w:val="10"/>
        <w:kinsoku w:val="0"/>
        <w:overflowPunct w:val="0"/>
        <w:rPr>
          <w:rFonts w:asciiTheme="minorEastAsia" w:hAnsiTheme="minorEastAsia" w:eastAsiaTheme="minorEastAsia" w:cstheme="minorEastAsia"/>
          <w:sz w:val="20"/>
        </w:rPr>
      </w:pPr>
    </w:p>
    <w:p>
      <w:pPr>
        <w:pStyle w:val="10"/>
        <w:kinsoku w:val="0"/>
        <w:overflowPunct w:val="0"/>
        <w:rPr>
          <w:rFonts w:asciiTheme="minorEastAsia" w:hAnsiTheme="minorEastAsia" w:eastAsiaTheme="minorEastAsia" w:cstheme="minorEastAsia"/>
          <w:sz w:val="20"/>
        </w:rPr>
      </w:pPr>
    </w:p>
    <w:p>
      <w:pPr>
        <w:pStyle w:val="10"/>
        <w:kinsoku w:val="0"/>
        <w:overflowPunct w:val="0"/>
        <w:rPr>
          <w:rFonts w:asciiTheme="minorEastAsia" w:hAnsiTheme="minorEastAsia" w:eastAsiaTheme="minorEastAsia" w:cstheme="minorEastAsia"/>
          <w:sz w:val="20"/>
        </w:rPr>
      </w:pPr>
    </w:p>
    <w:p>
      <w:pPr>
        <w:pStyle w:val="10"/>
        <w:kinsoku w:val="0"/>
        <w:overflowPunct w:val="0"/>
        <w:rPr>
          <w:rFonts w:asciiTheme="minorEastAsia" w:hAnsiTheme="minorEastAsia" w:eastAsiaTheme="minorEastAsia" w:cstheme="minorEastAsia"/>
          <w:sz w:val="20"/>
        </w:rPr>
      </w:pPr>
    </w:p>
    <w:p>
      <w:pPr>
        <w:pStyle w:val="10"/>
        <w:kinsoku w:val="0"/>
        <w:overflowPunct w:val="0"/>
        <w:spacing w:before="4"/>
        <w:rPr>
          <w:rFonts w:asciiTheme="minorEastAsia" w:hAnsiTheme="minorEastAsia" w:eastAsiaTheme="minorEastAsia" w:cstheme="minorEastAsia"/>
          <w:sz w:val="20"/>
        </w:rPr>
      </w:pPr>
    </w:p>
    <w:tbl>
      <w:tblPr>
        <w:tblStyle w:val="26"/>
        <w:tblW w:w="8123" w:type="dxa"/>
        <w:tblInd w:w="713" w:type="dxa"/>
        <w:tblLayout w:type="fixed"/>
        <w:tblCellMar>
          <w:top w:w="0" w:type="dxa"/>
          <w:left w:w="0" w:type="dxa"/>
          <w:bottom w:w="0" w:type="dxa"/>
          <w:right w:w="0" w:type="dxa"/>
        </w:tblCellMar>
      </w:tblPr>
      <w:tblGrid>
        <w:gridCol w:w="2097"/>
        <w:gridCol w:w="6026"/>
      </w:tblGrid>
      <w:tr>
        <w:tblPrEx>
          <w:tblCellMar>
            <w:top w:w="0" w:type="dxa"/>
            <w:left w:w="0" w:type="dxa"/>
            <w:bottom w:w="0" w:type="dxa"/>
            <w:right w:w="0" w:type="dxa"/>
          </w:tblCellMar>
        </w:tblPrEx>
        <w:trPr>
          <w:trHeight w:val="441" w:hRule="atLeast"/>
        </w:trPr>
        <w:tc>
          <w:tcPr>
            <w:tcW w:w="2097" w:type="dxa"/>
            <w:tcBorders>
              <w:top w:val="nil"/>
              <w:left w:val="nil"/>
              <w:bottom w:val="nil"/>
              <w:right w:val="nil"/>
              <w:tl2br w:val="nil"/>
              <w:tr2bl w:val="nil"/>
            </w:tcBorders>
            <w:vAlign w:val="center"/>
          </w:tcPr>
          <w:p>
            <w:pPr>
              <w:pStyle w:val="97"/>
              <w:kinsoku w:val="0"/>
              <w:overflowPunct w:val="0"/>
              <w:spacing w:before="122" w:line="299" w:lineRule="exact"/>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采   购   人：</w:t>
            </w:r>
          </w:p>
        </w:tc>
        <w:tc>
          <w:tcPr>
            <w:tcW w:w="6026" w:type="dxa"/>
            <w:tcBorders>
              <w:top w:val="nil"/>
              <w:left w:val="nil"/>
              <w:bottom w:val="nil"/>
              <w:right w:val="nil"/>
              <w:tl2br w:val="nil"/>
              <w:tr2bl w:val="nil"/>
            </w:tcBorders>
            <w:vAlign w:val="center"/>
          </w:tcPr>
          <w:p>
            <w:pPr>
              <w:pStyle w:val="97"/>
              <w:kinsoku w:val="0"/>
              <w:overflowPunct w:val="0"/>
              <w:spacing w:before="122" w:line="299" w:lineRule="exact"/>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湖北工业大学</w:t>
            </w:r>
          </w:p>
        </w:tc>
      </w:tr>
      <w:tr>
        <w:tblPrEx>
          <w:tblCellMar>
            <w:top w:w="0" w:type="dxa"/>
            <w:left w:w="0" w:type="dxa"/>
            <w:bottom w:w="0" w:type="dxa"/>
            <w:right w:w="0" w:type="dxa"/>
          </w:tblCellMar>
        </w:tblPrEx>
        <w:trPr>
          <w:trHeight w:val="603" w:hRule="atLeast"/>
        </w:trPr>
        <w:tc>
          <w:tcPr>
            <w:tcW w:w="2097" w:type="dxa"/>
            <w:tcBorders>
              <w:top w:val="nil"/>
              <w:left w:val="nil"/>
              <w:bottom w:val="nil"/>
              <w:right w:val="nil"/>
              <w:tl2br w:val="nil"/>
              <w:tr2bl w:val="nil"/>
            </w:tcBorders>
            <w:vAlign w:val="center"/>
          </w:tcPr>
          <w:p>
            <w:pPr>
              <w:pStyle w:val="97"/>
              <w:kinsoku w:val="0"/>
              <w:overflowPunct w:val="0"/>
              <w:spacing w:before="122" w:line="299" w:lineRule="exact"/>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采购代理机构：</w:t>
            </w:r>
          </w:p>
        </w:tc>
        <w:tc>
          <w:tcPr>
            <w:tcW w:w="6026" w:type="dxa"/>
            <w:tcBorders>
              <w:top w:val="nil"/>
              <w:left w:val="nil"/>
              <w:bottom w:val="nil"/>
              <w:right w:val="nil"/>
              <w:tl2br w:val="nil"/>
              <w:tr2bl w:val="nil"/>
            </w:tcBorders>
            <w:vAlign w:val="center"/>
          </w:tcPr>
          <w:p>
            <w:pPr>
              <w:pStyle w:val="97"/>
              <w:kinsoku w:val="0"/>
              <w:overflowPunct w:val="0"/>
              <w:spacing w:before="122" w:line="299" w:lineRule="exact"/>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中创恒梦工程咨询有限公司</w:t>
            </w:r>
          </w:p>
        </w:tc>
      </w:tr>
      <w:tr>
        <w:tblPrEx>
          <w:tblCellMar>
            <w:top w:w="0" w:type="dxa"/>
            <w:left w:w="0" w:type="dxa"/>
            <w:bottom w:w="0" w:type="dxa"/>
            <w:right w:w="0" w:type="dxa"/>
          </w:tblCellMar>
        </w:tblPrEx>
        <w:trPr>
          <w:trHeight w:val="442" w:hRule="atLeast"/>
        </w:trPr>
        <w:tc>
          <w:tcPr>
            <w:tcW w:w="2097" w:type="dxa"/>
            <w:tcBorders>
              <w:top w:val="nil"/>
              <w:left w:val="nil"/>
              <w:bottom w:val="nil"/>
              <w:right w:val="nil"/>
              <w:tl2br w:val="nil"/>
              <w:tr2bl w:val="nil"/>
            </w:tcBorders>
            <w:vAlign w:val="center"/>
          </w:tcPr>
          <w:p>
            <w:pPr>
              <w:pStyle w:val="97"/>
              <w:kinsoku w:val="0"/>
              <w:overflowPunct w:val="0"/>
              <w:spacing w:before="122" w:line="299" w:lineRule="exact"/>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编 制 时 间：</w:t>
            </w:r>
          </w:p>
        </w:tc>
        <w:tc>
          <w:tcPr>
            <w:tcW w:w="6026" w:type="dxa"/>
            <w:tcBorders>
              <w:top w:val="nil"/>
              <w:left w:val="nil"/>
              <w:bottom w:val="nil"/>
              <w:right w:val="nil"/>
              <w:tl2br w:val="nil"/>
              <w:tr2bl w:val="nil"/>
            </w:tcBorders>
            <w:vAlign w:val="center"/>
          </w:tcPr>
          <w:p>
            <w:pPr>
              <w:pStyle w:val="97"/>
              <w:kinsoku w:val="0"/>
              <w:overflowPunct w:val="0"/>
              <w:spacing w:before="122" w:line="299" w:lineRule="exact"/>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2023年12月</w:t>
            </w:r>
          </w:p>
        </w:tc>
      </w:tr>
    </w:tbl>
    <w:p>
      <w:pPr>
        <w:rPr>
          <w:rFonts w:asciiTheme="minorEastAsia" w:hAnsiTheme="minorEastAsia" w:eastAsiaTheme="minorEastAsia" w:cstheme="minorEastAsia"/>
          <w:sz w:val="20"/>
        </w:rPr>
        <w:sectPr>
          <w:type w:val="continuous"/>
          <w:pgSz w:w="11910" w:h="16840"/>
          <w:pgMar w:top="1400" w:right="1200" w:bottom="280" w:left="1200" w:header="720" w:footer="720" w:gutter="0"/>
          <w:cols w:space="720" w:num="1"/>
        </w:sectPr>
      </w:pPr>
    </w:p>
    <w:p>
      <w:pPr>
        <w:tabs>
          <w:tab w:val="center" w:pos="4597"/>
          <w:tab w:val="left" w:pos="6772"/>
        </w:tabs>
        <w:spacing w:line="360" w:lineRule="auto"/>
        <w:jc w:val="left"/>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 w:val="44"/>
          <w:szCs w:val="44"/>
          <w:lang w:val="zh-CN"/>
        </w:rPr>
        <w:tab/>
      </w:r>
      <w:r>
        <w:rPr>
          <w:rFonts w:hint="eastAsia" w:asciiTheme="minorEastAsia" w:hAnsiTheme="minorEastAsia" w:eastAsiaTheme="minorEastAsia" w:cstheme="minorEastAsia"/>
          <w:b/>
          <w:bCs/>
          <w:sz w:val="24"/>
          <w:lang w:val="zh-CN"/>
        </w:rPr>
        <w:t>目  录</w:t>
      </w:r>
      <w:r>
        <w:rPr>
          <w:rFonts w:hint="eastAsia" w:asciiTheme="minorEastAsia" w:hAnsiTheme="minorEastAsia" w:eastAsiaTheme="minorEastAsia" w:cstheme="minorEastAsia"/>
          <w:b/>
          <w:bCs/>
          <w:szCs w:val="21"/>
          <w:lang w:val="zh-CN"/>
        </w:rPr>
        <w:tab/>
      </w:r>
    </w:p>
    <w:p>
      <w:pPr>
        <w:pStyle w:val="20"/>
        <w:tabs>
          <w:tab w:val="right" w:leader="dot" w:pos="9072"/>
        </w:tabs>
        <w:spacing w:line="30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TOC \o "1-3" \h \z \u </w:instrText>
      </w:r>
      <w:r>
        <w:rPr>
          <w:rFonts w:hint="eastAsia" w:asciiTheme="minorEastAsia" w:hAnsiTheme="minorEastAsia" w:eastAsiaTheme="minorEastAsia" w:cstheme="minorEastAsia"/>
          <w:szCs w:val="21"/>
        </w:rPr>
        <w:fldChar w:fldCharType="separate"/>
      </w:r>
      <w:r>
        <w:fldChar w:fldCharType="begin"/>
      </w:r>
      <w:r>
        <w:instrText xml:space="preserve"> HYPERLINK \l "_Toc21887" </w:instrText>
      </w:r>
      <w:r>
        <w:fldChar w:fldCharType="separate"/>
      </w:r>
      <w:r>
        <w:rPr>
          <w:bCs/>
          <w:szCs w:val="36"/>
        </w:rPr>
        <w:t xml:space="preserve">第一章 </w:t>
      </w:r>
      <w:r>
        <w:rPr>
          <w:rFonts w:hint="eastAsia" w:ascii="宋体" w:hAnsi="宋体" w:cs="宋体"/>
          <w:szCs w:val="36"/>
        </w:rPr>
        <w:t>竞争性磋商公告</w:t>
      </w:r>
      <w:r>
        <w:tab/>
      </w:r>
      <w:r>
        <w:fldChar w:fldCharType="begin"/>
      </w:r>
      <w:r>
        <w:instrText xml:space="preserve"> PAGEREF _Toc21887 \h </w:instrText>
      </w:r>
      <w:r>
        <w:fldChar w:fldCharType="separate"/>
      </w:r>
      <w:r>
        <w:t>6</w:t>
      </w:r>
      <w:r>
        <w:fldChar w:fldCharType="end"/>
      </w:r>
      <w:r>
        <w:fldChar w:fldCharType="end"/>
      </w:r>
    </w:p>
    <w:p>
      <w:pPr>
        <w:pStyle w:val="22"/>
        <w:tabs>
          <w:tab w:val="right" w:leader="dot" w:pos="9072"/>
        </w:tabs>
        <w:spacing w:line="300" w:lineRule="auto"/>
      </w:pPr>
      <w:r>
        <w:fldChar w:fldCharType="begin"/>
      </w:r>
      <w:r>
        <w:instrText xml:space="preserve"> HYPERLINK \l "_Toc1965" </w:instrText>
      </w:r>
      <w:r>
        <w:fldChar w:fldCharType="separate"/>
      </w:r>
      <w:r>
        <w:rPr>
          <w:rFonts w:hint="eastAsia" w:ascii="宋体" w:hAnsi="宋体" w:cs="宋体"/>
          <w:szCs w:val="21"/>
        </w:rPr>
        <w:t>一、项目基本情况</w:t>
      </w:r>
      <w:r>
        <w:tab/>
      </w:r>
      <w:r>
        <w:fldChar w:fldCharType="begin"/>
      </w:r>
      <w:r>
        <w:instrText xml:space="preserve"> PAGEREF _Toc1965 \h </w:instrText>
      </w:r>
      <w:r>
        <w:fldChar w:fldCharType="separate"/>
      </w:r>
      <w:r>
        <w:t>6</w:t>
      </w:r>
      <w:r>
        <w:fldChar w:fldCharType="end"/>
      </w:r>
      <w:r>
        <w:fldChar w:fldCharType="end"/>
      </w:r>
    </w:p>
    <w:p>
      <w:pPr>
        <w:pStyle w:val="22"/>
        <w:tabs>
          <w:tab w:val="right" w:leader="dot" w:pos="9072"/>
        </w:tabs>
        <w:spacing w:line="300" w:lineRule="auto"/>
      </w:pPr>
      <w:r>
        <w:fldChar w:fldCharType="begin"/>
      </w:r>
      <w:r>
        <w:instrText xml:space="preserve"> HYPERLINK \l "_Toc8621" </w:instrText>
      </w:r>
      <w:r>
        <w:fldChar w:fldCharType="separate"/>
      </w:r>
      <w:r>
        <w:rPr>
          <w:rFonts w:hint="eastAsia" w:ascii="宋体" w:hAnsi="宋体" w:cs="宋体"/>
          <w:szCs w:val="21"/>
        </w:rPr>
        <w:t>二、申请人的资格要求</w:t>
      </w:r>
      <w:r>
        <w:tab/>
      </w:r>
      <w:r>
        <w:fldChar w:fldCharType="begin"/>
      </w:r>
      <w:r>
        <w:instrText xml:space="preserve"> PAGEREF _Toc8621 \h </w:instrText>
      </w:r>
      <w:r>
        <w:fldChar w:fldCharType="separate"/>
      </w:r>
      <w:r>
        <w:t>6</w:t>
      </w:r>
      <w:r>
        <w:fldChar w:fldCharType="end"/>
      </w:r>
      <w:r>
        <w:fldChar w:fldCharType="end"/>
      </w:r>
    </w:p>
    <w:p>
      <w:pPr>
        <w:pStyle w:val="22"/>
        <w:tabs>
          <w:tab w:val="right" w:leader="dot" w:pos="9072"/>
        </w:tabs>
        <w:spacing w:line="300" w:lineRule="auto"/>
      </w:pPr>
      <w:r>
        <w:fldChar w:fldCharType="begin"/>
      </w:r>
      <w:r>
        <w:instrText xml:space="preserve"> HYPERLINK \l "_Toc9089" </w:instrText>
      </w:r>
      <w:r>
        <w:fldChar w:fldCharType="separate"/>
      </w:r>
      <w:r>
        <w:rPr>
          <w:rFonts w:hint="eastAsia" w:ascii="宋体" w:hAnsi="宋体" w:cs="宋体"/>
          <w:szCs w:val="21"/>
        </w:rPr>
        <w:t>三、获取采购文件</w:t>
      </w:r>
      <w:r>
        <w:tab/>
      </w:r>
      <w:r>
        <w:fldChar w:fldCharType="begin"/>
      </w:r>
      <w:r>
        <w:instrText xml:space="preserve"> PAGEREF _Toc9089 \h </w:instrText>
      </w:r>
      <w:r>
        <w:fldChar w:fldCharType="separate"/>
      </w:r>
      <w:r>
        <w:t>7</w:t>
      </w:r>
      <w:r>
        <w:fldChar w:fldCharType="end"/>
      </w:r>
      <w:r>
        <w:fldChar w:fldCharType="end"/>
      </w:r>
    </w:p>
    <w:p>
      <w:pPr>
        <w:pStyle w:val="22"/>
        <w:tabs>
          <w:tab w:val="right" w:leader="dot" w:pos="9072"/>
        </w:tabs>
        <w:spacing w:line="300" w:lineRule="auto"/>
      </w:pPr>
      <w:r>
        <w:fldChar w:fldCharType="begin"/>
      </w:r>
      <w:r>
        <w:instrText xml:space="preserve"> HYPERLINK \l "_Toc19003" </w:instrText>
      </w:r>
      <w:r>
        <w:fldChar w:fldCharType="separate"/>
      </w:r>
      <w:r>
        <w:rPr>
          <w:rFonts w:hint="eastAsia" w:ascii="宋体" w:hAnsi="宋体" w:cs="宋体"/>
          <w:szCs w:val="21"/>
        </w:rPr>
        <w:t>四、响应文件提交</w:t>
      </w:r>
      <w:r>
        <w:tab/>
      </w:r>
      <w:r>
        <w:fldChar w:fldCharType="begin"/>
      </w:r>
      <w:r>
        <w:instrText xml:space="preserve"> PAGEREF _Toc19003 \h </w:instrText>
      </w:r>
      <w:r>
        <w:fldChar w:fldCharType="separate"/>
      </w:r>
      <w:r>
        <w:t>8</w:t>
      </w:r>
      <w:r>
        <w:fldChar w:fldCharType="end"/>
      </w:r>
      <w:r>
        <w:fldChar w:fldCharType="end"/>
      </w:r>
    </w:p>
    <w:p>
      <w:pPr>
        <w:pStyle w:val="22"/>
        <w:tabs>
          <w:tab w:val="right" w:leader="dot" w:pos="9072"/>
        </w:tabs>
        <w:spacing w:line="300" w:lineRule="auto"/>
      </w:pPr>
      <w:r>
        <w:fldChar w:fldCharType="begin"/>
      </w:r>
      <w:r>
        <w:instrText xml:space="preserve"> HYPERLINK \l "_Toc15962" </w:instrText>
      </w:r>
      <w:r>
        <w:fldChar w:fldCharType="separate"/>
      </w:r>
      <w:r>
        <w:rPr>
          <w:rFonts w:hint="eastAsia" w:ascii="宋体" w:hAnsi="宋体" w:cs="宋体"/>
          <w:szCs w:val="21"/>
        </w:rPr>
        <w:t>五、开启</w:t>
      </w:r>
      <w:r>
        <w:tab/>
      </w:r>
      <w:r>
        <w:fldChar w:fldCharType="begin"/>
      </w:r>
      <w:r>
        <w:instrText xml:space="preserve"> PAGEREF _Toc15962 \h </w:instrText>
      </w:r>
      <w:r>
        <w:fldChar w:fldCharType="separate"/>
      </w:r>
      <w:r>
        <w:t>8</w:t>
      </w:r>
      <w:r>
        <w:fldChar w:fldCharType="end"/>
      </w:r>
      <w:r>
        <w:fldChar w:fldCharType="end"/>
      </w:r>
    </w:p>
    <w:p>
      <w:pPr>
        <w:pStyle w:val="22"/>
        <w:tabs>
          <w:tab w:val="right" w:leader="dot" w:pos="9072"/>
        </w:tabs>
        <w:spacing w:line="300" w:lineRule="auto"/>
      </w:pPr>
      <w:r>
        <w:fldChar w:fldCharType="begin"/>
      </w:r>
      <w:r>
        <w:instrText xml:space="preserve"> HYPERLINK \l "_Toc8774" </w:instrText>
      </w:r>
      <w:r>
        <w:fldChar w:fldCharType="separate"/>
      </w:r>
      <w:r>
        <w:rPr>
          <w:rFonts w:hint="eastAsia" w:ascii="宋体" w:hAnsi="宋体" w:cs="宋体"/>
          <w:szCs w:val="21"/>
        </w:rPr>
        <w:t>六、公告期限</w:t>
      </w:r>
      <w:r>
        <w:tab/>
      </w:r>
      <w:r>
        <w:fldChar w:fldCharType="begin"/>
      </w:r>
      <w:r>
        <w:instrText xml:space="preserve"> PAGEREF _Toc8774 \h </w:instrText>
      </w:r>
      <w:r>
        <w:fldChar w:fldCharType="separate"/>
      </w:r>
      <w:r>
        <w:t>8</w:t>
      </w:r>
      <w:r>
        <w:fldChar w:fldCharType="end"/>
      </w:r>
      <w:r>
        <w:fldChar w:fldCharType="end"/>
      </w:r>
    </w:p>
    <w:p>
      <w:pPr>
        <w:pStyle w:val="22"/>
        <w:tabs>
          <w:tab w:val="right" w:leader="dot" w:pos="9072"/>
        </w:tabs>
        <w:spacing w:line="300" w:lineRule="auto"/>
      </w:pPr>
      <w:r>
        <w:fldChar w:fldCharType="begin"/>
      </w:r>
      <w:r>
        <w:instrText xml:space="preserve"> HYPERLINK \l "_Toc2579" </w:instrText>
      </w:r>
      <w:r>
        <w:fldChar w:fldCharType="separate"/>
      </w:r>
      <w:r>
        <w:rPr>
          <w:rFonts w:hint="eastAsia" w:ascii="宋体" w:hAnsi="宋体" w:cs="宋体"/>
          <w:szCs w:val="21"/>
        </w:rPr>
        <w:t>七、其他补充事宜</w:t>
      </w:r>
      <w:r>
        <w:tab/>
      </w:r>
      <w:r>
        <w:fldChar w:fldCharType="begin"/>
      </w:r>
      <w:r>
        <w:instrText xml:space="preserve"> PAGEREF _Toc2579 \h </w:instrText>
      </w:r>
      <w:r>
        <w:fldChar w:fldCharType="separate"/>
      </w:r>
      <w:r>
        <w:t>8</w:t>
      </w:r>
      <w:r>
        <w:fldChar w:fldCharType="end"/>
      </w:r>
      <w:r>
        <w:fldChar w:fldCharType="end"/>
      </w:r>
    </w:p>
    <w:p>
      <w:pPr>
        <w:pStyle w:val="22"/>
        <w:tabs>
          <w:tab w:val="right" w:leader="dot" w:pos="9072"/>
        </w:tabs>
        <w:spacing w:line="300" w:lineRule="auto"/>
      </w:pPr>
      <w:r>
        <w:fldChar w:fldCharType="begin"/>
      </w:r>
      <w:r>
        <w:instrText xml:space="preserve"> HYPERLINK \l "_Toc23210" </w:instrText>
      </w:r>
      <w:r>
        <w:fldChar w:fldCharType="separate"/>
      </w:r>
      <w:r>
        <w:rPr>
          <w:rFonts w:hint="eastAsia" w:ascii="宋体" w:hAnsi="宋体" w:cs="宋体"/>
          <w:szCs w:val="21"/>
        </w:rPr>
        <w:t>八、凡对本次采购提出询问，请按以下方式联系</w:t>
      </w:r>
      <w:r>
        <w:tab/>
      </w:r>
      <w:r>
        <w:fldChar w:fldCharType="begin"/>
      </w:r>
      <w:r>
        <w:instrText xml:space="preserve"> PAGEREF _Toc23210 \h </w:instrText>
      </w:r>
      <w:r>
        <w:fldChar w:fldCharType="separate"/>
      </w:r>
      <w:r>
        <w:t>8</w:t>
      </w:r>
      <w:r>
        <w:fldChar w:fldCharType="end"/>
      </w:r>
      <w:r>
        <w:fldChar w:fldCharType="end"/>
      </w:r>
    </w:p>
    <w:p>
      <w:pPr>
        <w:pStyle w:val="20"/>
        <w:tabs>
          <w:tab w:val="right" w:leader="dot" w:pos="9072"/>
        </w:tabs>
        <w:spacing w:line="300" w:lineRule="auto"/>
      </w:pPr>
      <w:r>
        <w:fldChar w:fldCharType="begin"/>
      </w:r>
      <w:r>
        <w:instrText xml:space="preserve"> HYPERLINK \l "_Toc18655" </w:instrText>
      </w:r>
      <w:r>
        <w:fldChar w:fldCharType="separate"/>
      </w:r>
      <w:r>
        <w:rPr>
          <w:rFonts w:asciiTheme="minorEastAsia" w:hAnsiTheme="minorEastAsia" w:eastAsiaTheme="minorEastAsia" w:cstheme="minorEastAsia"/>
          <w:szCs w:val="36"/>
        </w:rPr>
        <w:t xml:space="preserve">第二章 </w:t>
      </w:r>
      <w:r>
        <w:rPr>
          <w:rFonts w:hint="eastAsia" w:asciiTheme="minorEastAsia" w:hAnsiTheme="minorEastAsia" w:eastAsiaTheme="minorEastAsia" w:cstheme="minorEastAsia"/>
          <w:szCs w:val="36"/>
        </w:rPr>
        <w:t>供应商须知</w:t>
      </w:r>
      <w:r>
        <w:tab/>
      </w:r>
      <w:r>
        <w:fldChar w:fldCharType="begin"/>
      </w:r>
      <w:r>
        <w:instrText xml:space="preserve"> PAGEREF _Toc18655 \h </w:instrText>
      </w:r>
      <w:r>
        <w:fldChar w:fldCharType="separate"/>
      </w:r>
      <w:r>
        <w:t>10</w:t>
      </w:r>
      <w:r>
        <w:fldChar w:fldCharType="end"/>
      </w:r>
      <w:r>
        <w:fldChar w:fldCharType="end"/>
      </w:r>
    </w:p>
    <w:p>
      <w:pPr>
        <w:pStyle w:val="22"/>
        <w:tabs>
          <w:tab w:val="right" w:leader="dot" w:pos="9072"/>
        </w:tabs>
        <w:spacing w:line="300" w:lineRule="auto"/>
      </w:pPr>
      <w:r>
        <w:fldChar w:fldCharType="begin"/>
      </w:r>
      <w:r>
        <w:instrText xml:space="preserve"> HYPERLINK \l "_Toc13957" </w:instrText>
      </w:r>
      <w:r>
        <w:fldChar w:fldCharType="separate"/>
      </w:r>
      <w:r>
        <w:rPr>
          <w:rFonts w:hint="eastAsia" w:asciiTheme="minorEastAsia" w:hAnsiTheme="minorEastAsia" w:eastAsiaTheme="minorEastAsia" w:cstheme="minorEastAsia"/>
          <w:szCs w:val="21"/>
        </w:rPr>
        <w:t>《供应商须知前附表》</w:t>
      </w:r>
      <w:r>
        <w:tab/>
      </w:r>
      <w:r>
        <w:fldChar w:fldCharType="begin"/>
      </w:r>
      <w:r>
        <w:instrText xml:space="preserve"> PAGEREF _Toc13957 \h </w:instrText>
      </w:r>
      <w:r>
        <w:fldChar w:fldCharType="separate"/>
      </w:r>
      <w:r>
        <w:t>10</w:t>
      </w:r>
      <w:r>
        <w:fldChar w:fldCharType="end"/>
      </w:r>
      <w:r>
        <w:fldChar w:fldCharType="end"/>
      </w:r>
    </w:p>
    <w:p>
      <w:pPr>
        <w:pStyle w:val="22"/>
        <w:tabs>
          <w:tab w:val="right" w:leader="dot" w:pos="9072"/>
        </w:tabs>
        <w:spacing w:line="300" w:lineRule="auto"/>
      </w:pPr>
      <w:r>
        <w:fldChar w:fldCharType="begin"/>
      </w:r>
      <w:r>
        <w:instrText xml:space="preserve"> HYPERLINK \l "_Toc31791" </w:instrText>
      </w:r>
      <w:r>
        <w:fldChar w:fldCharType="separate"/>
      </w:r>
      <w:r>
        <w:rPr>
          <w:rFonts w:hint="eastAsia" w:asciiTheme="minorEastAsia" w:hAnsiTheme="minorEastAsia" w:eastAsiaTheme="minorEastAsia" w:cstheme="minorEastAsia"/>
          <w:szCs w:val="21"/>
        </w:rPr>
        <w:t>供应商须知</w:t>
      </w:r>
      <w:r>
        <w:tab/>
      </w:r>
      <w:r>
        <w:fldChar w:fldCharType="begin"/>
      </w:r>
      <w:r>
        <w:instrText xml:space="preserve"> PAGEREF _Toc31791 \h </w:instrText>
      </w:r>
      <w:r>
        <w:fldChar w:fldCharType="separate"/>
      </w:r>
      <w:r>
        <w:t>14</w:t>
      </w:r>
      <w:r>
        <w:fldChar w:fldCharType="end"/>
      </w:r>
      <w:r>
        <w:fldChar w:fldCharType="end"/>
      </w:r>
    </w:p>
    <w:p>
      <w:pPr>
        <w:pStyle w:val="22"/>
        <w:tabs>
          <w:tab w:val="right" w:leader="dot" w:pos="9072"/>
        </w:tabs>
        <w:spacing w:line="300" w:lineRule="auto"/>
      </w:pPr>
      <w:r>
        <w:fldChar w:fldCharType="begin"/>
      </w:r>
      <w:r>
        <w:instrText xml:space="preserve"> HYPERLINK \l "_Toc6418" </w:instrText>
      </w:r>
      <w:r>
        <w:fldChar w:fldCharType="separate"/>
      </w:r>
      <w:r>
        <w:rPr>
          <w:rFonts w:asciiTheme="minorEastAsia" w:hAnsiTheme="minorEastAsia" w:eastAsiaTheme="minorEastAsia" w:cstheme="minorEastAsia"/>
          <w:szCs w:val="21"/>
        </w:rPr>
        <w:t xml:space="preserve">一、 </w:t>
      </w:r>
      <w:r>
        <w:rPr>
          <w:rFonts w:hint="eastAsia" w:asciiTheme="minorEastAsia" w:hAnsiTheme="minorEastAsia" w:eastAsiaTheme="minorEastAsia" w:cstheme="minorEastAsia"/>
          <w:szCs w:val="21"/>
        </w:rPr>
        <w:t>总则</w:t>
      </w:r>
      <w:r>
        <w:tab/>
      </w:r>
      <w:r>
        <w:fldChar w:fldCharType="begin"/>
      </w:r>
      <w:r>
        <w:instrText xml:space="preserve"> PAGEREF _Toc6418 \h </w:instrText>
      </w:r>
      <w:r>
        <w:fldChar w:fldCharType="separate"/>
      </w:r>
      <w:r>
        <w:t>14</w:t>
      </w:r>
      <w:r>
        <w:fldChar w:fldCharType="end"/>
      </w:r>
      <w:r>
        <w:fldChar w:fldCharType="end"/>
      </w:r>
    </w:p>
    <w:p>
      <w:pPr>
        <w:pStyle w:val="22"/>
        <w:tabs>
          <w:tab w:val="right" w:leader="dot" w:pos="9072"/>
        </w:tabs>
        <w:spacing w:line="300" w:lineRule="auto"/>
      </w:pPr>
      <w:r>
        <w:fldChar w:fldCharType="begin"/>
      </w:r>
      <w:r>
        <w:instrText xml:space="preserve"> HYPERLINK \l "_Toc27576" </w:instrText>
      </w:r>
      <w:r>
        <w:fldChar w:fldCharType="separate"/>
      </w:r>
      <w:r>
        <w:rPr>
          <w:rFonts w:asciiTheme="minorEastAsia" w:hAnsiTheme="minorEastAsia" w:eastAsiaTheme="minorEastAsia" w:cstheme="minorEastAsia"/>
          <w:szCs w:val="21"/>
        </w:rPr>
        <w:t xml:space="preserve">1、 </w:t>
      </w:r>
      <w:r>
        <w:rPr>
          <w:rFonts w:hint="eastAsia" w:asciiTheme="minorEastAsia" w:hAnsiTheme="minorEastAsia" w:eastAsiaTheme="minorEastAsia" w:cstheme="minorEastAsia"/>
          <w:szCs w:val="21"/>
        </w:rPr>
        <w:t>适用法律及范围</w:t>
      </w:r>
      <w:r>
        <w:tab/>
      </w:r>
      <w:r>
        <w:fldChar w:fldCharType="begin"/>
      </w:r>
      <w:r>
        <w:instrText xml:space="preserve"> PAGEREF _Toc27576 \h </w:instrText>
      </w:r>
      <w:r>
        <w:fldChar w:fldCharType="separate"/>
      </w:r>
      <w:r>
        <w:t>14</w:t>
      </w:r>
      <w:r>
        <w:fldChar w:fldCharType="end"/>
      </w:r>
      <w:r>
        <w:fldChar w:fldCharType="end"/>
      </w:r>
    </w:p>
    <w:p>
      <w:pPr>
        <w:pStyle w:val="22"/>
        <w:tabs>
          <w:tab w:val="right" w:leader="dot" w:pos="9072"/>
        </w:tabs>
        <w:spacing w:line="300" w:lineRule="auto"/>
      </w:pPr>
      <w:r>
        <w:fldChar w:fldCharType="begin"/>
      </w:r>
      <w:r>
        <w:instrText xml:space="preserve"> HYPERLINK \l "_Toc24324" </w:instrText>
      </w:r>
      <w:r>
        <w:fldChar w:fldCharType="separate"/>
      </w:r>
      <w:r>
        <w:rPr>
          <w:rFonts w:asciiTheme="minorEastAsia" w:hAnsiTheme="minorEastAsia" w:eastAsiaTheme="minorEastAsia" w:cstheme="minorEastAsia"/>
          <w:szCs w:val="21"/>
        </w:rPr>
        <w:t xml:space="preserve">2、 </w:t>
      </w:r>
      <w:r>
        <w:rPr>
          <w:rFonts w:hint="eastAsia" w:asciiTheme="minorEastAsia" w:hAnsiTheme="minorEastAsia" w:eastAsiaTheme="minorEastAsia" w:cstheme="minorEastAsia"/>
          <w:szCs w:val="21"/>
        </w:rPr>
        <w:t>定义</w:t>
      </w:r>
      <w:r>
        <w:tab/>
      </w:r>
      <w:r>
        <w:fldChar w:fldCharType="begin"/>
      </w:r>
      <w:r>
        <w:instrText xml:space="preserve"> PAGEREF _Toc24324 \h </w:instrText>
      </w:r>
      <w:r>
        <w:fldChar w:fldCharType="separate"/>
      </w:r>
      <w:r>
        <w:t>14</w:t>
      </w:r>
      <w:r>
        <w:fldChar w:fldCharType="end"/>
      </w:r>
      <w:r>
        <w:fldChar w:fldCharType="end"/>
      </w:r>
    </w:p>
    <w:p>
      <w:pPr>
        <w:pStyle w:val="22"/>
        <w:tabs>
          <w:tab w:val="right" w:leader="dot" w:pos="9072"/>
        </w:tabs>
        <w:spacing w:line="300" w:lineRule="auto"/>
      </w:pPr>
      <w:r>
        <w:fldChar w:fldCharType="begin"/>
      </w:r>
      <w:r>
        <w:instrText xml:space="preserve"> HYPERLINK \l "_Toc19921" </w:instrText>
      </w:r>
      <w:r>
        <w:fldChar w:fldCharType="separate"/>
      </w:r>
      <w:r>
        <w:rPr>
          <w:rFonts w:asciiTheme="minorEastAsia" w:hAnsiTheme="minorEastAsia" w:eastAsiaTheme="minorEastAsia" w:cstheme="minorEastAsia"/>
          <w:szCs w:val="21"/>
        </w:rPr>
        <w:t xml:space="preserve">3、 </w:t>
      </w:r>
      <w:r>
        <w:rPr>
          <w:rFonts w:hint="eastAsia" w:asciiTheme="minorEastAsia" w:hAnsiTheme="minorEastAsia" w:eastAsiaTheme="minorEastAsia" w:cstheme="minorEastAsia"/>
          <w:snapToGrid w:val="0"/>
          <w:kern w:val="0"/>
          <w:szCs w:val="21"/>
          <w:lang w:val="zh-CN"/>
        </w:rPr>
        <w:t>工程、货物及服务</w:t>
      </w:r>
      <w:r>
        <w:tab/>
      </w:r>
      <w:r>
        <w:fldChar w:fldCharType="begin"/>
      </w:r>
      <w:r>
        <w:instrText xml:space="preserve"> PAGEREF _Toc19921 \h </w:instrText>
      </w:r>
      <w:r>
        <w:fldChar w:fldCharType="separate"/>
      </w:r>
      <w:r>
        <w:t>14</w:t>
      </w:r>
      <w:r>
        <w:fldChar w:fldCharType="end"/>
      </w:r>
      <w:r>
        <w:fldChar w:fldCharType="end"/>
      </w:r>
    </w:p>
    <w:p>
      <w:pPr>
        <w:pStyle w:val="22"/>
        <w:tabs>
          <w:tab w:val="right" w:leader="dot" w:pos="9072"/>
        </w:tabs>
        <w:spacing w:line="300" w:lineRule="auto"/>
      </w:pPr>
      <w:r>
        <w:fldChar w:fldCharType="begin"/>
      </w:r>
      <w:r>
        <w:instrText xml:space="preserve"> HYPERLINK \l "_Toc18440" </w:instrText>
      </w:r>
      <w:r>
        <w:fldChar w:fldCharType="separate"/>
      </w:r>
      <w:r>
        <w:rPr>
          <w:rFonts w:asciiTheme="minorEastAsia" w:hAnsiTheme="minorEastAsia" w:eastAsiaTheme="minorEastAsia" w:cstheme="minorEastAsia"/>
          <w:szCs w:val="21"/>
        </w:rPr>
        <w:t xml:space="preserve">4、 </w:t>
      </w:r>
      <w:r>
        <w:rPr>
          <w:rFonts w:hint="eastAsia" w:asciiTheme="minorEastAsia" w:hAnsiTheme="minorEastAsia" w:eastAsiaTheme="minorEastAsia" w:cstheme="minorEastAsia"/>
          <w:szCs w:val="21"/>
        </w:rPr>
        <w:t>费用</w:t>
      </w:r>
      <w:r>
        <w:tab/>
      </w:r>
      <w:r>
        <w:fldChar w:fldCharType="begin"/>
      </w:r>
      <w:r>
        <w:instrText xml:space="preserve"> PAGEREF _Toc18440 \h </w:instrText>
      </w:r>
      <w:r>
        <w:fldChar w:fldCharType="separate"/>
      </w:r>
      <w:r>
        <w:t>14</w:t>
      </w:r>
      <w:r>
        <w:fldChar w:fldCharType="end"/>
      </w:r>
      <w:r>
        <w:fldChar w:fldCharType="end"/>
      </w:r>
    </w:p>
    <w:p>
      <w:pPr>
        <w:pStyle w:val="22"/>
        <w:tabs>
          <w:tab w:val="right" w:leader="dot" w:pos="9072"/>
        </w:tabs>
        <w:spacing w:line="300" w:lineRule="auto"/>
      </w:pPr>
      <w:r>
        <w:fldChar w:fldCharType="begin"/>
      </w:r>
      <w:r>
        <w:instrText xml:space="preserve"> HYPERLINK \l "_Toc25463" </w:instrText>
      </w:r>
      <w:r>
        <w:fldChar w:fldCharType="separate"/>
      </w:r>
      <w:r>
        <w:rPr>
          <w:rFonts w:asciiTheme="minorEastAsia" w:hAnsiTheme="minorEastAsia" w:eastAsiaTheme="minorEastAsia" w:cstheme="minorEastAsia"/>
          <w:szCs w:val="21"/>
        </w:rPr>
        <w:t xml:space="preserve">二、 </w:t>
      </w:r>
      <w:r>
        <w:rPr>
          <w:rFonts w:hint="eastAsia" w:asciiTheme="minorEastAsia" w:hAnsiTheme="minorEastAsia" w:eastAsiaTheme="minorEastAsia" w:cstheme="minorEastAsia"/>
          <w:szCs w:val="21"/>
        </w:rPr>
        <w:t>竞争性磋商采购文件</w:t>
      </w:r>
      <w:r>
        <w:tab/>
      </w:r>
      <w:r>
        <w:fldChar w:fldCharType="begin"/>
      </w:r>
      <w:r>
        <w:instrText xml:space="preserve"> PAGEREF _Toc25463 \h </w:instrText>
      </w:r>
      <w:r>
        <w:fldChar w:fldCharType="separate"/>
      </w:r>
      <w:r>
        <w:t>15</w:t>
      </w:r>
      <w:r>
        <w:fldChar w:fldCharType="end"/>
      </w:r>
      <w:r>
        <w:fldChar w:fldCharType="end"/>
      </w:r>
    </w:p>
    <w:p>
      <w:pPr>
        <w:pStyle w:val="22"/>
        <w:tabs>
          <w:tab w:val="right" w:leader="dot" w:pos="9072"/>
        </w:tabs>
        <w:spacing w:line="300" w:lineRule="auto"/>
      </w:pPr>
      <w:r>
        <w:fldChar w:fldCharType="begin"/>
      </w:r>
      <w:r>
        <w:instrText xml:space="preserve"> HYPERLINK \l "_Toc6431" </w:instrText>
      </w:r>
      <w:r>
        <w:fldChar w:fldCharType="separate"/>
      </w:r>
      <w:r>
        <w:rPr>
          <w:rFonts w:asciiTheme="minorEastAsia" w:hAnsiTheme="minorEastAsia" w:eastAsiaTheme="minorEastAsia" w:cstheme="minorEastAsia"/>
          <w:szCs w:val="21"/>
        </w:rPr>
        <w:t xml:space="preserve">5、 </w:t>
      </w:r>
      <w:r>
        <w:rPr>
          <w:rFonts w:hint="eastAsia" w:asciiTheme="minorEastAsia" w:hAnsiTheme="minorEastAsia" w:eastAsiaTheme="minorEastAsia" w:cstheme="minorEastAsia"/>
          <w:szCs w:val="21"/>
        </w:rPr>
        <w:t>竞争性磋商采购文件的构成</w:t>
      </w:r>
      <w:r>
        <w:tab/>
      </w:r>
      <w:r>
        <w:fldChar w:fldCharType="begin"/>
      </w:r>
      <w:r>
        <w:instrText xml:space="preserve"> PAGEREF _Toc6431 \h </w:instrText>
      </w:r>
      <w:r>
        <w:fldChar w:fldCharType="separate"/>
      </w:r>
      <w:r>
        <w:t>15</w:t>
      </w:r>
      <w:r>
        <w:fldChar w:fldCharType="end"/>
      </w:r>
      <w:r>
        <w:fldChar w:fldCharType="end"/>
      </w:r>
    </w:p>
    <w:p>
      <w:pPr>
        <w:pStyle w:val="22"/>
        <w:tabs>
          <w:tab w:val="right" w:leader="dot" w:pos="9072"/>
        </w:tabs>
        <w:spacing w:line="300" w:lineRule="auto"/>
      </w:pPr>
      <w:r>
        <w:fldChar w:fldCharType="begin"/>
      </w:r>
      <w:r>
        <w:instrText xml:space="preserve"> HYPERLINK \l "_Toc11705" </w:instrText>
      </w:r>
      <w:r>
        <w:fldChar w:fldCharType="separate"/>
      </w:r>
      <w:r>
        <w:rPr>
          <w:rFonts w:asciiTheme="minorEastAsia" w:hAnsiTheme="minorEastAsia" w:eastAsiaTheme="minorEastAsia" w:cstheme="minorEastAsia"/>
          <w:snapToGrid w:val="0"/>
          <w:kern w:val="0"/>
          <w:szCs w:val="21"/>
          <w:lang w:val="zh-CN"/>
        </w:rPr>
        <w:t xml:space="preserve">6、 </w:t>
      </w:r>
      <w:r>
        <w:rPr>
          <w:rFonts w:hint="eastAsia" w:asciiTheme="minorEastAsia" w:hAnsiTheme="minorEastAsia" w:eastAsiaTheme="minorEastAsia" w:cstheme="minorEastAsia"/>
          <w:snapToGrid w:val="0"/>
          <w:kern w:val="0"/>
          <w:szCs w:val="21"/>
          <w:lang w:val="zh-CN"/>
        </w:rPr>
        <w:t>竞争性磋商采购文件的澄清</w:t>
      </w:r>
      <w:r>
        <w:tab/>
      </w:r>
      <w:r>
        <w:fldChar w:fldCharType="begin"/>
      </w:r>
      <w:r>
        <w:instrText xml:space="preserve"> PAGEREF _Toc11705 \h </w:instrText>
      </w:r>
      <w:r>
        <w:fldChar w:fldCharType="separate"/>
      </w:r>
      <w:r>
        <w:t>15</w:t>
      </w:r>
      <w:r>
        <w:fldChar w:fldCharType="end"/>
      </w:r>
      <w:r>
        <w:fldChar w:fldCharType="end"/>
      </w:r>
    </w:p>
    <w:p>
      <w:pPr>
        <w:pStyle w:val="22"/>
        <w:tabs>
          <w:tab w:val="right" w:leader="dot" w:pos="9072"/>
        </w:tabs>
        <w:spacing w:line="300" w:lineRule="auto"/>
      </w:pPr>
      <w:r>
        <w:fldChar w:fldCharType="begin"/>
      </w:r>
      <w:r>
        <w:instrText xml:space="preserve"> HYPERLINK \l "_Toc9957" </w:instrText>
      </w:r>
      <w:r>
        <w:fldChar w:fldCharType="separate"/>
      </w:r>
      <w:r>
        <w:rPr>
          <w:rFonts w:asciiTheme="minorEastAsia" w:hAnsiTheme="minorEastAsia" w:eastAsiaTheme="minorEastAsia" w:cstheme="minorEastAsia"/>
          <w:snapToGrid w:val="0"/>
          <w:kern w:val="0"/>
          <w:szCs w:val="21"/>
          <w:lang w:val="zh-CN"/>
        </w:rPr>
        <w:t xml:space="preserve">7、 </w:t>
      </w:r>
      <w:r>
        <w:rPr>
          <w:rFonts w:hint="eastAsia" w:asciiTheme="minorEastAsia" w:hAnsiTheme="minorEastAsia" w:eastAsiaTheme="minorEastAsia" w:cstheme="minorEastAsia"/>
          <w:snapToGrid w:val="0"/>
          <w:kern w:val="0"/>
          <w:szCs w:val="21"/>
          <w:lang w:val="zh-CN"/>
        </w:rPr>
        <w:t>竞争性磋商采购文件的修改</w:t>
      </w:r>
      <w:r>
        <w:tab/>
      </w:r>
      <w:r>
        <w:fldChar w:fldCharType="begin"/>
      </w:r>
      <w:r>
        <w:instrText xml:space="preserve"> PAGEREF _Toc9957 \h </w:instrText>
      </w:r>
      <w:r>
        <w:fldChar w:fldCharType="separate"/>
      </w:r>
      <w:r>
        <w:t>16</w:t>
      </w:r>
      <w:r>
        <w:fldChar w:fldCharType="end"/>
      </w:r>
      <w:r>
        <w:fldChar w:fldCharType="end"/>
      </w:r>
    </w:p>
    <w:p>
      <w:pPr>
        <w:pStyle w:val="22"/>
        <w:tabs>
          <w:tab w:val="right" w:leader="dot" w:pos="9072"/>
        </w:tabs>
        <w:spacing w:line="300" w:lineRule="auto"/>
      </w:pPr>
      <w:r>
        <w:fldChar w:fldCharType="begin"/>
      </w:r>
      <w:r>
        <w:instrText xml:space="preserve"> HYPERLINK \l "_Toc20327" </w:instrText>
      </w:r>
      <w:r>
        <w:fldChar w:fldCharType="separate"/>
      </w:r>
      <w:r>
        <w:rPr>
          <w:rFonts w:asciiTheme="minorEastAsia" w:hAnsiTheme="minorEastAsia" w:eastAsiaTheme="minorEastAsia" w:cstheme="minorEastAsia"/>
          <w:szCs w:val="21"/>
        </w:rPr>
        <w:t xml:space="preserve">三、 </w:t>
      </w:r>
      <w:r>
        <w:rPr>
          <w:rFonts w:hint="eastAsia" w:asciiTheme="minorEastAsia" w:hAnsiTheme="minorEastAsia" w:eastAsiaTheme="minorEastAsia" w:cstheme="minorEastAsia"/>
          <w:szCs w:val="21"/>
        </w:rPr>
        <w:t>竞争性磋商响应文件</w:t>
      </w:r>
      <w:r>
        <w:tab/>
      </w:r>
      <w:r>
        <w:fldChar w:fldCharType="begin"/>
      </w:r>
      <w:r>
        <w:instrText xml:space="preserve"> PAGEREF _Toc20327 \h </w:instrText>
      </w:r>
      <w:r>
        <w:fldChar w:fldCharType="separate"/>
      </w:r>
      <w:r>
        <w:t>16</w:t>
      </w:r>
      <w:r>
        <w:fldChar w:fldCharType="end"/>
      </w:r>
      <w:r>
        <w:fldChar w:fldCharType="end"/>
      </w:r>
    </w:p>
    <w:p>
      <w:pPr>
        <w:pStyle w:val="22"/>
        <w:tabs>
          <w:tab w:val="right" w:leader="dot" w:pos="9072"/>
        </w:tabs>
        <w:spacing w:line="300" w:lineRule="auto"/>
      </w:pPr>
      <w:r>
        <w:fldChar w:fldCharType="begin"/>
      </w:r>
      <w:r>
        <w:instrText xml:space="preserve"> HYPERLINK \l "_Toc12038" </w:instrText>
      </w:r>
      <w:r>
        <w:fldChar w:fldCharType="separate"/>
      </w:r>
      <w:r>
        <w:rPr>
          <w:rFonts w:asciiTheme="minorEastAsia" w:hAnsiTheme="minorEastAsia" w:eastAsiaTheme="minorEastAsia" w:cstheme="minorEastAsia"/>
          <w:snapToGrid w:val="0"/>
          <w:kern w:val="0"/>
          <w:szCs w:val="21"/>
          <w:lang w:val="zh-CN"/>
        </w:rPr>
        <w:t xml:space="preserve">8、 </w:t>
      </w:r>
      <w:r>
        <w:rPr>
          <w:rFonts w:hint="eastAsia" w:asciiTheme="minorEastAsia" w:hAnsiTheme="minorEastAsia" w:eastAsiaTheme="minorEastAsia" w:cstheme="minorEastAsia"/>
          <w:snapToGrid w:val="0"/>
          <w:kern w:val="0"/>
          <w:szCs w:val="21"/>
          <w:lang w:val="zh-CN"/>
        </w:rPr>
        <w:t>语言和计量单位</w:t>
      </w:r>
      <w:r>
        <w:tab/>
      </w:r>
      <w:r>
        <w:fldChar w:fldCharType="begin"/>
      </w:r>
      <w:r>
        <w:instrText xml:space="preserve"> PAGEREF _Toc12038 \h </w:instrText>
      </w:r>
      <w:r>
        <w:fldChar w:fldCharType="separate"/>
      </w:r>
      <w:r>
        <w:t>16</w:t>
      </w:r>
      <w:r>
        <w:fldChar w:fldCharType="end"/>
      </w:r>
      <w:r>
        <w:fldChar w:fldCharType="end"/>
      </w:r>
    </w:p>
    <w:p>
      <w:pPr>
        <w:pStyle w:val="22"/>
        <w:tabs>
          <w:tab w:val="right" w:leader="dot" w:pos="9072"/>
        </w:tabs>
        <w:spacing w:line="300" w:lineRule="auto"/>
      </w:pPr>
      <w:r>
        <w:fldChar w:fldCharType="begin"/>
      </w:r>
      <w:r>
        <w:instrText xml:space="preserve"> HYPERLINK \l "_Toc1319" </w:instrText>
      </w:r>
      <w:r>
        <w:fldChar w:fldCharType="separate"/>
      </w:r>
      <w:r>
        <w:rPr>
          <w:rFonts w:asciiTheme="minorEastAsia" w:hAnsiTheme="minorEastAsia" w:eastAsiaTheme="minorEastAsia" w:cstheme="minorEastAsia"/>
          <w:snapToGrid w:val="0"/>
          <w:kern w:val="0"/>
          <w:szCs w:val="21"/>
          <w:lang w:val="zh-CN"/>
        </w:rPr>
        <w:t xml:space="preserve">9、 </w:t>
      </w:r>
      <w:r>
        <w:rPr>
          <w:rFonts w:hint="eastAsia" w:asciiTheme="minorEastAsia" w:hAnsiTheme="minorEastAsia" w:eastAsiaTheme="minorEastAsia" w:cstheme="minorEastAsia"/>
          <w:snapToGrid w:val="0"/>
          <w:kern w:val="0"/>
          <w:szCs w:val="21"/>
          <w:lang w:val="zh-CN"/>
        </w:rPr>
        <w:t>竞争性磋商响应文件的构成</w:t>
      </w:r>
      <w:r>
        <w:tab/>
      </w:r>
      <w:r>
        <w:fldChar w:fldCharType="begin"/>
      </w:r>
      <w:r>
        <w:instrText xml:space="preserve"> PAGEREF _Toc1319 \h </w:instrText>
      </w:r>
      <w:r>
        <w:fldChar w:fldCharType="separate"/>
      </w:r>
      <w:r>
        <w:t>16</w:t>
      </w:r>
      <w:r>
        <w:fldChar w:fldCharType="end"/>
      </w:r>
      <w:r>
        <w:fldChar w:fldCharType="end"/>
      </w:r>
    </w:p>
    <w:p>
      <w:pPr>
        <w:pStyle w:val="22"/>
        <w:tabs>
          <w:tab w:val="right" w:leader="dot" w:pos="9072"/>
        </w:tabs>
        <w:spacing w:line="300" w:lineRule="auto"/>
      </w:pPr>
      <w:r>
        <w:fldChar w:fldCharType="begin"/>
      </w:r>
      <w:r>
        <w:instrText xml:space="preserve"> HYPERLINK \l "_Toc25204" </w:instrText>
      </w:r>
      <w:r>
        <w:fldChar w:fldCharType="separate"/>
      </w:r>
      <w:r>
        <w:rPr>
          <w:rFonts w:asciiTheme="minorEastAsia" w:hAnsiTheme="minorEastAsia" w:eastAsiaTheme="minorEastAsia" w:cstheme="minorEastAsia"/>
          <w:snapToGrid w:val="0"/>
          <w:kern w:val="0"/>
          <w:szCs w:val="21"/>
          <w:lang w:val="zh-CN"/>
        </w:rPr>
        <w:t xml:space="preserve">10、 </w:t>
      </w:r>
      <w:r>
        <w:rPr>
          <w:rFonts w:hint="eastAsia" w:asciiTheme="minorEastAsia" w:hAnsiTheme="minorEastAsia" w:eastAsiaTheme="minorEastAsia" w:cstheme="minorEastAsia"/>
          <w:snapToGrid w:val="0"/>
          <w:kern w:val="0"/>
          <w:szCs w:val="21"/>
          <w:lang w:val="zh-CN"/>
        </w:rPr>
        <w:t>竞争性磋商响应文件的编制</w:t>
      </w:r>
      <w:r>
        <w:tab/>
      </w:r>
      <w:r>
        <w:fldChar w:fldCharType="begin"/>
      </w:r>
      <w:r>
        <w:instrText xml:space="preserve"> PAGEREF _Toc25204 \h </w:instrText>
      </w:r>
      <w:r>
        <w:fldChar w:fldCharType="separate"/>
      </w:r>
      <w:r>
        <w:t>16</w:t>
      </w:r>
      <w:r>
        <w:fldChar w:fldCharType="end"/>
      </w:r>
      <w:r>
        <w:fldChar w:fldCharType="end"/>
      </w:r>
    </w:p>
    <w:p>
      <w:pPr>
        <w:pStyle w:val="22"/>
        <w:tabs>
          <w:tab w:val="right" w:leader="dot" w:pos="9072"/>
        </w:tabs>
        <w:spacing w:line="300" w:lineRule="auto"/>
      </w:pPr>
      <w:r>
        <w:fldChar w:fldCharType="begin"/>
      </w:r>
      <w:r>
        <w:instrText xml:space="preserve"> HYPERLINK \l "_Toc12142" </w:instrText>
      </w:r>
      <w:r>
        <w:fldChar w:fldCharType="separate"/>
      </w:r>
      <w:r>
        <w:rPr>
          <w:rFonts w:asciiTheme="minorEastAsia" w:hAnsiTheme="minorEastAsia" w:eastAsiaTheme="minorEastAsia" w:cstheme="minorEastAsia"/>
          <w:snapToGrid w:val="0"/>
          <w:kern w:val="0"/>
          <w:szCs w:val="21"/>
          <w:lang w:val="zh-CN"/>
        </w:rPr>
        <w:t xml:space="preserve">11、 </w:t>
      </w:r>
      <w:r>
        <w:rPr>
          <w:rFonts w:hint="eastAsia" w:asciiTheme="minorEastAsia" w:hAnsiTheme="minorEastAsia" w:eastAsiaTheme="minorEastAsia" w:cstheme="minorEastAsia"/>
          <w:snapToGrid w:val="0"/>
          <w:kern w:val="0"/>
          <w:szCs w:val="21"/>
          <w:lang w:val="zh-CN"/>
        </w:rPr>
        <w:t>磋商报价</w:t>
      </w:r>
      <w:r>
        <w:tab/>
      </w:r>
      <w:r>
        <w:fldChar w:fldCharType="begin"/>
      </w:r>
      <w:r>
        <w:instrText xml:space="preserve"> PAGEREF _Toc12142 \h </w:instrText>
      </w:r>
      <w:r>
        <w:fldChar w:fldCharType="separate"/>
      </w:r>
      <w:r>
        <w:t>17</w:t>
      </w:r>
      <w:r>
        <w:fldChar w:fldCharType="end"/>
      </w:r>
      <w:r>
        <w:fldChar w:fldCharType="end"/>
      </w:r>
    </w:p>
    <w:p>
      <w:pPr>
        <w:pStyle w:val="22"/>
        <w:tabs>
          <w:tab w:val="right" w:leader="dot" w:pos="9072"/>
        </w:tabs>
        <w:spacing w:line="300" w:lineRule="auto"/>
      </w:pPr>
      <w:r>
        <w:fldChar w:fldCharType="begin"/>
      </w:r>
      <w:r>
        <w:instrText xml:space="preserve"> HYPERLINK \l "_Toc19984" </w:instrText>
      </w:r>
      <w:r>
        <w:fldChar w:fldCharType="separate"/>
      </w:r>
      <w:r>
        <w:rPr>
          <w:rFonts w:asciiTheme="minorEastAsia" w:hAnsiTheme="minorEastAsia" w:eastAsiaTheme="minorEastAsia" w:cstheme="minorEastAsia"/>
          <w:snapToGrid w:val="0"/>
          <w:kern w:val="0"/>
          <w:szCs w:val="21"/>
          <w:lang w:val="zh-CN"/>
        </w:rPr>
        <w:t xml:space="preserve">12、 </w:t>
      </w:r>
      <w:r>
        <w:rPr>
          <w:rFonts w:hint="eastAsia" w:asciiTheme="minorEastAsia" w:hAnsiTheme="minorEastAsia" w:eastAsiaTheme="minorEastAsia" w:cstheme="minorEastAsia"/>
          <w:snapToGrid w:val="0"/>
          <w:kern w:val="0"/>
          <w:szCs w:val="21"/>
          <w:lang w:val="zh-CN"/>
        </w:rPr>
        <w:t>备选方案</w:t>
      </w:r>
      <w:r>
        <w:tab/>
      </w:r>
      <w:r>
        <w:fldChar w:fldCharType="begin"/>
      </w:r>
      <w:r>
        <w:instrText xml:space="preserve"> PAGEREF _Toc19984 \h </w:instrText>
      </w:r>
      <w:r>
        <w:fldChar w:fldCharType="separate"/>
      </w:r>
      <w:r>
        <w:t>17</w:t>
      </w:r>
      <w:r>
        <w:fldChar w:fldCharType="end"/>
      </w:r>
      <w:r>
        <w:fldChar w:fldCharType="end"/>
      </w:r>
    </w:p>
    <w:p>
      <w:pPr>
        <w:pStyle w:val="22"/>
        <w:tabs>
          <w:tab w:val="right" w:leader="dot" w:pos="9072"/>
        </w:tabs>
        <w:spacing w:line="300" w:lineRule="auto"/>
      </w:pPr>
      <w:r>
        <w:fldChar w:fldCharType="begin"/>
      </w:r>
      <w:r>
        <w:instrText xml:space="preserve"> HYPERLINK \l "_Toc1252" </w:instrText>
      </w:r>
      <w:r>
        <w:fldChar w:fldCharType="separate"/>
      </w:r>
      <w:r>
        <w:rPr>
          <w:rFonts w:asciiTheme="minorEastAsia" w:hAnsiTheme="minorEastAsia" w:eastAsiaTheme="minorEastAsia" w:cstheme="minorEastAsia"/>
          <w:snapToGrid w:val="0"/>
          <w:kern w:val="0"/>
          <w:szCs w:val="21"/>
          <w:lang w:val="zh-CN"/>
        </w:rPr>
        <w:t xml:space="preserve">13、 </w:t>
      </w:r>
      <w:r>
        <w:rPr>
          <w:rFonts w:hint="eastAsia" w:asciiTheme="minorEastAsia" w:hAnsiTheme="minorEastAsia" w:eastAsiaTheme="minorEastAsia" w:cstheme="minorEastAsia"/>
          <w:snapToGrid w:val="0"/>
          <w:kern w:val="0"/>
          <w:szCs w:val="21"/>
          <w:lang w:val="zh-CN"/>
        </w:rPr>
        <w:t>联合体</w:t>
      </w:r>
      <w:r>
        <w:tab/>
      </w:r>
      <w:r>
        <w:fldChar w:fldCharType="begin"/>
      </w:r>
      <w:r>
        <w:instrText xml:space="preserve"> PAGEREF _Toc1252 \h </w:instrText>
      </w:r>
      <w:r>
        <w:fldChar w:fldCharType="separate"/>
      </w:r>
      <w:r>
        <w:t>17</w:t>
      </w:r>
      <w:r>
        <w:fldChar w:fldCharType="end"/>
      </w:r>
      <w:r>
        <w:fldChar w:fldCharType="end"/>
      </w:r>
    </w:p>
    <w:p>
      <w:pPr>
        <w:pStyle w:val="22"/>
        <w:tabs>
          <w:tab w:val="right" w:leader="dot" w:pos="9072"/>
        </w:tabs>
        <w:spacing w:line="300" w:lineRule="auto"/>
      </w:pPr>
      <w:r>
        <w:fldChar w:fldCharType="begin"/>
      </w:r>
      <w:r>
        <w:instrText xml:space="preserve"> HYPERLINK \l "_Toc32237" </w:instrText>
      </w:r>
      <w:r>
        <w:fldChar w:fldCharType="separate"/>
      </w:r>
      <w:r>
        <w:rPr>
          <w:rFonts w:asciiTheme="minorEastAsia" w:hAnsiTheme="minorEastAsia" w:eastAsiaTheme="minorEastAsia" w:cstheme="minorEastAsia"/>
          <w:snapToGrid w:val="0"/>
          <w:kern w:val="0"/>
          <w:szCs w:val="21"/>
          <w:lang w:val="zh-CN"/>
        </w:rPr>
        <w:t xml:space="preserve">14、 </w:t>
      </w:r>
      <w:r>
        <w:rPr>
          <w:rFonts w:hint="eastAsia" w:asciiTheme="minorEastAsia" w:hAnsiTheme="minorEastAsia" w:eastAsiaTheme="minorEastAsia" w:cstheme="minorEastAsia"/>
          <w:snapToGrid w:val="0"/>
          <w:kern w:val="0"/>
          <w:szCs w:val="21"/>
          <w:lang w:val="zh-CN"/>
        </w:rPr>
        <w:t>供应商资格证明文件</w:t>
      </w:r>
      <w:r>
        <w:tab/>
      </w:r>
      <w:r>
        <w:fldChar w:fldCharType="begin"/>
      </w:r>
      <w:r>
        <w:instrText xml:space="preserve"> PAGEREF _Toc32237 \h </w:instrText>
      </w:r>
      <w:r>
        <w:fldChar w:fldCharType="separate"/>
      </w:r>
      <w:r>
        <w:t>17</w:t>
      </w:r>
      <w:r>
        <w:fldChar w:fldCharType="end"/>
      </w:r>
      <w:r>
        <w:fldChar w:fldCharType="end"/>
      </w:r>
    </w:p>
    <w:p>
      <w:pPr>
        <w:pStyle w:val="22"/>
        <w:tabs>
          <w:tab w:val="right" w:leader="dot" w:pos="9072"/>
        </w:tabs>
        <w:spacing w:line="300" w:lineRule="auto"/>
      </w:pPr>
      <w:r>
        <w:fldChar w:fldCharType="begin"/>
      </w:r>
      <w:r>
        <w:instrText xml:space="preserve"> HYPERLINK \l "_Toc31032" </w:instrText>
      </w:r>
      <w:r>
        <w:fldChar w:fldCharType="separate"/>
      </w:r>
      <w:r>
        <w:rPr>
          <w:rFonts w:asciiTheme="minorEastAsia" w:hAnsiTheme="minorEastAsia" w:eastAsiaTheme="minorEastAsia" w:cstheme="minorEastAsia"/>
          <w:snapToGrid w:val="0"/>
          <w:kern w:val="0"/>
          <w:szCs w:val="21"/>
          <w:lang w:val="zh-CN"/>
        </w:rPr>
        <w:t xml:space="preserve">15、 </w:t>
      </w:r>
      <w:r>
        <w:rPr>
          <w:rFonts w:hint="eastAsia" w:asciiTheme="minorEastAsia" w:hAnsiTheme="minorEastAsia" w:eastAsiaTheme="minorEastAsia" w:cstheme="minorEastAsia"/>
          <w:snapToGrid w:val="0"/>
          <w:kern w:val="0"/>
          <w:szCs w:val="21"/>
          <w:lang w:val="zh-CN"/>
        </w:rPr>
        <w:t>证明报价内容、服务合格性和符合竞争性磋商采购文件规定的文件</w:t>
      </w:r>
      <w:r>
        <w:tab/>
      </w:r>
      <w:r>
        <w:fldChar w:fldCharType="begin"/>
      </w:r>
      <w:r>
        <w:instrText xml:space="preserve"> PAGEREF _Toc31032 \h </w:instrText>
      </w:r>
      <w:r>
        <w:fldChar w:fldCharType="separate"/>
      </w:r>
      <w:r>
        <w:t>18</w:t>
      </w:r>
      <w:r>
        <w:fldChar w:fldCharType="end"/>
      </w:r>
      <w:r>
        <w:fldChar w:fldCharType="end"/>
      </w:r>
    </w:p>
    <w:p>
      <w:pPr>
        <w:pStyle w:val="22"/>
        <w:tabs>
          <w:tab w:val="right" w:leader="dot" w:pos="9072"/>
        </w:tabs>
        <w:spacing w:line="300" w:lineRule="auto"/>
      </w:pPr>
      <w:r>
        <w:fldChar w:fldCharType="begin"/>
      </w:r>
      <w:r>
        <w:instrText xml:space="preserve"> HYPERLINK \l "_Toc22355" </w:instrText>
      </w:r>
      <w:r>
        <w:fldChar w:fldCharType="separate"/>
      </w:r>
      <w:r>
        <w:rPr>
          <w:rFonts w:asciiTheme="minorEastAsia" w:hAnsiTheme="minorEastAsia" w:eastAsiaTheme="minorEastAsia" w:cstheme="minorEastAsia"/>
          <w:snapToGrid w:val="0"/>
          <w:kern w:val="0"/>
          <w:szCs w:val="21"/>
          <w:lang w:val="zh-CN"/>
        </w:rPr>
        <w:t xml:space="preserve">16、 </w:t>
      </w:r>
      <w:r>
        <w:rPr>
          <w:rFonts w:hint="eastAsia" w:asciiTheme="minorEastAsia" w:hAnsiTheme="minorEastAsia" w:eastAsiaTheme="minorEastAsia" w:cstheme="minorEastAsia"/>
          <w:snapToGrid w:val="0"/>
          <w:kern w:val="0"/>
          <w:szCs w:val="21"/>
          <w:lang w:val="zh-CN"/>
        </w:rPr>
        <w:t>磋商保证金</w:t>
      </w:r>
      <w:r>
        <w:tab/>
      </w:r>
      <w:r>
        <w:fldChar w:fldCharType="begin"/>
      </w:r>
      <w:r>
        <w:instrText xml:space="preserve"> PAGEREF _Toc22355 \h </w:instrText>
      </w:r>
      <w:r>
        <w:fldChar w:fldCharType="separate"/>
      </w:r>
      <w:r>
        <w:t>18</w:t>
      </w:r>
      <w:r>
        <w:fldChar w:fldCharType="end"/>
      </w:r>
      <w:r>
        <w:fldChar w:fldCharType="end"/>
      </w:r>
    </w:p>
    <w:p>
      <w:pPr>
        <w:pStyle w:val="22"/>
        <w:tabs>
          <w:tab w:val="right" w:leader="dot" w:pos="9072"/>
        </w:tabs>
        <w:spacing w:line="300" w:lineRule="auto"/>
      </w:pPr>
      <w:r>
        <w:fldChar w:fldCharType="begin"/>
      </w:r>
      <w:r>
        <w:instrText xml:space="preserve"> HYPERLINK \l "_Toc897" </w:instrText>
      </w:r>
      <w:r>
        <w:fldChar w:fldCharType="separate"/>
      </w:r>
      <w:r>
        <w:rPr>
          <w:rFonts w:asciiTheme="minorEastAsia" w:hAnsiTheme="minorEastAsia" w:eastAsiaTheme="minorEastAsia" w:cstheme="minorEastAsia"/>
          <w:snapToGrid w:val="0"/>
          <w:kern w:val="0"/>
          <w:szCs w:val="21"/>
          <w:lang w:val="zh-CN"/>
        </w:rPr>
        <w:t xml:space="preserve">17、 </w:t>
      </w:r>
      <w:r>
        <w:rPr>
          <w:rFonts w:hint="eastAsia" w:asciiTheme="minorEastAsia" w:hAnsiTheme="minorEastAsia" w:eastAsiaTheme="minorEastAsia" w:cstheme="minorEastAsia"/>
          <w:snapToGrid w:val="0"/>
          <w:kern w:val="0"/>
          <w:szCs w:val="21"/>
          <w:lang w:val="zh-CN"/>
        </w:rPr>
        <w:t>磋商有效期</w:t>
      </w:r>
      <w:r>
        <w:tab/>
      </w:r>
      <w:r>
        <w:fldChar w:fldCharType="begin"/>
      </w:r>
      <w:r>
        <w:instrText xml:space="preserve"> PAGEREF _Toc897 \h </w:instrText>
      </w:r>
      <w:r>
        <w:fldChar w:fldCharType="separate"/>
      </w:r>
      <w:r>
        <w:t>18</w:t>
      </w:r>
      <w:r>
        <w:fldChar w:fldCharType="end"/>
      </w:r>
      <w:r>
        <w:fldChar w:fldCharType="end"/>
      </w:r>
    </w:p>
    <w:p>
      <w:pPr>
        <w:pStyle w:val="22"/>
        <w:tabs>
          <w:tab w:val="right" w:leader="dot" w:pos="9072"/>
        </w:tabs>
        <w:spacing w:line="300" w:lineRule="auto"/>
      </w:pPr>
      <w:r>
        <w:fldChar w:fldCharType="begin"/>
      </w:r>
      <w:r>
        <w:instrText xml:space="preserve"> HYPERLINK \l "_Toc18471" </w:instrText>
      </w:r>
      <w:r>
        <w:fldChar w:fldCharType="separate"/>
      </w:r>
      <w:r>
        <w:rPr>
          <w:rFonts w:asciiTheme="minorEastAsia" w:hAnsiTheme="minorEastAsia" w:eastAsiaTheme="minorEastAsia" w:cstheme="minorEastAsia"/>
          <w:snapToGrid w:val="0"/>
          <w:kern w:val="0"/>
          <w:szCs w:val="21"/>
          <w:lang w:val="zh-CN"/>
        </w:rPr>
        <w:t xml:space="preserve">18、 </w:t>
      </w:r>
      <w:r>
        <w:rPr>
          <w:rFonts w:hint="eastAsia" w:asciiTheme="minorEastAsia" w:hAnsiTheme="minorEastAsia" w:eastAsiaTheme="minorEastAsia" w:cstheme="minorEastAsia"/>
          <w:snapToGrid w:val="0"/>
          <w:kern w:val="0"/>
          <w:szCs w:val="21"/>
          <w:lang w:val="zh-CN"/>
        </w:rPr>
        <w:t>竞争性磋商响应文件的装订、签署和数量</w:t>
      </w:r>
      <w:r>
        <w:tab/>
      </w:r>
      <w:r>
        <w:fldChar w:fldCharType="begin"/>
      </w:r>
      <w:r>
        <w:instrText xml:space="preserve"> PAGEREF _Toc18471 \h </w:instrText>
      </w:r>
      <w:r>
        <w:fldChar w:fldCharType="separate"/>
      </w:r>
      <w:r>
        <w:t>19</w:t>
      </w:r>
      <w:r>
        <w:fldChar w:fldCharType="end"/>
      </w:r>
      <w:r>
        <w:fldChar w:fldCharType="end"/>
      </w:r>
    </w:p>
    <w:p>
      <w:pPr>
        <w:pStyle w:val="22"/>
        <w:tabs>
          <w:tab w:val="right" w:leader="dot" w:pos="9072"/>
        </w:tabs>
        <w:spacing w:line="300" w:lineRule="auto"/>
      </w:pPr>
      <w:r>
        <w:fldChar w:fldCharType="begin"/>
      </w:r>
      <w:r>
        <w:instrText xml:space="preserve"> HYPERLINK \l "_Toc2193" </w:instrText>
      </w:r>
      <w:r>
        <w:fldChar w:fldCharType="separate"/>
      </w:r>
      <w:r>
        <w:rPr>
          <w:rFonts w:asciiTheme="minorEastAsia" w:hAnsiTheme="minorEastAsia" w:eastAsiaTheme="minorEastAsia" w:cstheme="minorEastAsia"/>
          <w:szCs w:val="21"/>
        </w:rPr>
        <w:t xml:space="preserve">四、 </w:t>
      </w:r>
      <w:r>
        <w:rPr>
          <w:rFonts w:hint="eastAsia" w:asciiTheme="minorEastAsia" w:hAnsiTheme="minorEastAsia" w:eastAsiaTheme="minorEastAsia" w:cstheme="minorEastAsia"/>
          <w:szCs w:val="21"/>
        </w:rPr>
        <w:t>竞争性磋商响应文件的递交</w:t>
      </w:r>
      <w:r>
        <w:tab/>
      </w:r>
      <w:r>
        <w:fldChar w:fldCharType="begin"/>
      </w:r>
      <w:r>
        <w:instrText xml:space="preserve"> PAGEREF _Toc2193 \h </w:instrText>
      </w:r>
      <w:r>
        <w:fldChar w:fldCharType="separate"/>
      </w:r>
      <w:r>
        <w:t>19</w:t>
      </w:r>
      <w:r>
        <w:fldChar w:fldCharType="end"/>
      </w:r>
      <w:r>
        <w:fldChar w:fldCharType="end"/>
      </w:r>
    </w:p>
    <w:p>
      <w:pPr>
        <w:pStyle w:val="22"/>
        <w:tabs>
          <w:tab w:val="right" w:leader="dot" w:pos="9072"/>
        </w:tabs>
        <w:spacing w:line="300" w:lineRule="auto"/>
      </w:pPr>
      <w:r>
        <w:fldChar w:fldCharType="begin"/>
      </w:r>
      <w:r>
        <w:instrText xml:space="preserve"> HYPERLINK \l "_Toc7793" </w:instrText>
      </w:r>
      <w:r>
        <w:fldChar w:fldCharType="separate"/>
      </w:r>
      <w:r>
        <w:rPr>
          <w:rFonts w:asciiTheme="minorEastAsia" w:hAnsiTheme="minorEastAsia" w:eastAsiaTheme="minorEastAsia" w:cstheme="minorEastAsia"/>
          <w:snapToGrid w:val="0"/>
          <w:kern w:val="0"/>
          <w:szCs w:val="21"/>
          <w:lang w:val="zh-CN"/>
        </w:rPr>
        <w:t xml:space="preserve">19、 </w:t>
      </w:r>
      <w:r>
        <w:rPr>
          <w:rFonts w:hint="eastAsia" w:asciiTheme="minorEastAsia" w:hAnsiTheme="minorEastAsia" w:eastAsiaTheme="minorEastAsia" w:cstheme="minorEastAsia"/>
          <w:szCs w:val="21"/>
        </w:rPr>
        <w:t>竞争性磋商响应文件</w:t>
      </w:r>
      <w:r>
        <w:rPr>
          <w:rFonts w:hint="eastAsia" w:asciiTheme="minorEastAsia" w:hAnsiTheme="minorEastAsia" w:eastAsiaTheme="minorEastAsia" w:cstheme="minorEastAsia"/>
          <w:snapToGrid w:val="0"/>
          <w:kern w:val="0"/>
          <w:szCs w:val="21"/>
          <w:lang w:val="zh-CN"/>
        </w:rPr>
        <w:t>的密封和标记</w:t>
      </w:r>
      <w:r>
        <w:tab/>
      </w:r>
      <w:r>
        <w:fldChar w:fldCharType="begin"/>
      </w:r>
      <w:r>
        <w:instrText xml:space="preserve"> PAGEREF _Toc7793 \h </w:instrText>
      </w:r>
      <w:r>
        <w:fldChar w:fldCharType="separate"/>
      </w:r>
      <w:r>
        <w:t>19</w:t>
      </w:r>
      <w:r>
        <w:fldChar w:fldCharType="end"/>
      </w:r>
      <w:r>
        <w:fldChar w:fldCharType="end"/>
      </w:r>
    </w:p>
    <w:p>
      <w:pPr>
        <w:pStyle w:val="22"/>
        <w:tabs>
          <w:tab w:val="right" w:leader="dot" w:pos="9072"/>
        </w:tabs>
        <w:spacing w:line="300" w:lineRule="auto"/>
      </w:pPr>
      <w:r>
        <w:fldChar w:fldCharType="begin"/>
      </w:r>
      <w:r>
        <w:instrText xml:space="preserve"> HYPERLINK \l "_Toc4323" </w:instrText>
      </w:r>
      <w:r>
        <w:fldChar w:fldCharType="separate"/>
      </w:r>
      <w:r>
        <w:rPr>
          <w:rFonts w:asciiTheme="minorEastAsia" w:hAnsiTheme="minorEastAsia" w:eastAsiaTheme="minorEastAsia" w:cstheme="minorEastAsia"/>
          <w:snapToGrid w:val="0"/>
          <w:kern w:val="0"/>
          <w:szCs w:val="21"/>
          <w:lang w:val="zh-CN"/>
        </w:rPr>
        <w:t xml:space="preserve">20、 </w:t>
      </w:r>
      <w:r>
        <w:rPr>
          <w:rFonts w:hint="eastAsia" w:asciiTheme="minorEastAsia" w:hAnsiTheme="minorEastAsia" w:eastAsiaTheme="minorEastAsia" w:cstheme="minorEastAsia"/>
          <w:snapToGrid w:val="0"/>
          <w:kern w:val="0"/>
          <w:szCs w:val="21"/>
          <w:lang w:val="zh-CN"/>
        </w:rPr>
        <w:t>竞争性磋商响应文件的送达地点及截止时间</w:t>
      </w:r>
      <w:r>
        <w:tab/>
      </w:r>
      <w:r>
        <w:fldChar w:fldCharType="begin"/>
      </w:r>
      <w:r>
        <w:instrText xml:space="preserve"> PAGEREF _Toc4323 \h </w:instrText>
      </w:r>
      <w:r>
        <w:fldChar w:fldCharType="separate"/>
      </w:r>
      <w:r>
        <w:t>20</w:t>
      </w:r>
      <w:r>
        <w:fldChar w:fldCharType="end"/>
      </w:r>
      <w:r>
        <w:fldChar w:fldCharType="end"/>
      </w:r>
    </w:p>
    <w:p>
      <w:pPr>
        <w:pStyle w:val="22"/>
        <w:tabs>
          <w:tab w:val="right" w:leader="dot" w:pos="9072"/>
        </w:tabs>
        <w:spacing w:line="300" w:lineRule="auto"/>
      </w:pPr>
      <w:r>
        <w:fldChar w:fldCharType="begin"/>
      </w:r>
      <w:r>
        <w:instrText xml:space="preserve"> HYPERLINK \l "_Toc12553" </w:instrText>
      </w:r>
      <w:r>
        <w:fldChar w:fldCharType="separate"/>
      </w:r>
      <w:r>
        <w:rPr>
          <w:rFonts w:asciiTheme="minorEastAsia" w:hAnsiTheme="minorEastAsia" w:eastAsiaTheme="minorEastAsia" w:cstheme="minorEastAsia"/>
          <w:snapToGrid w:val="0"/>
          <w:kern w:val="0"/>
          <w:szCs w:val="21"/>
          <w:lang w:val="zh-CN"/>
        </w:rPr>
        <w:t xml:space="preserve">21、 </w:t>
      </w:r>
      <w:r>
        <w:rPr>
          <w:rFonts w:hint="eastAsia" w:asciiTheme="minorEastAsia" w:hAnsiTheme="minorEastAsia" w:eastAsiaTheme="minorEastAsia" w:cstheme="minorEastAsia"/>
          <w:snapToGrid w:val="0"/>
          <w:kern w:val="0"/>
          <w:szCs w:val="21"/>
          <w:lang w:val="zh-CN"/>
        </w:rPr>
        <w:t>迟交的竞争性磋商响应文件</w:t>
      </w:r>
      <w:r>
        <w:tab/>
      </w:r>
      <w:r>
        <w:fldChar w:fldCharType="begin"/>
      </w:r>
      <w:r>
        <w:instrText xml:space="preserve"> PAGEREF _Toc12553 \h </w:instrText>
      </w:r>
      <w:r>
        <w:fldChar w:fldCharType="separate"/>
      </w:r>
      <w:r>
        <w:t>20</w:t>
      </w:r>
      <w:r>
        <w:fldChar w:fldCharType="end"/>
      </w:r>
      <w:r>
        <w:fldChar w:fldCharType="end"/>
      </w:r>
    </w:p>
    <w:p>
      <w:pPr>
        <w:pStyle w:val="22"/>
        <w:tabs>
          <w:tab w:val="right" w:leader="dot" w:pos="9072"/>
        </w:tabs>
        <w:spacing w:line="300" w:lineRule="auto"/>
      </w:pPr>
      <w:r>
        <w:fldChar w:fldCharType="begin"/>
      </w:r>
      <w:r>
        <w:instrText xml:space="preserve"> HYPERLINK \l "_Toc28435" </w:instrText>
      </w:r>
      <w:r>
        <w:fldChar w:fldCharType="separate"/>
      </w:r>
      <w:r>
        <w:rPr>
          <w:rFonts w:asciiTheme="minorEastAsia" w:hAnsiTheme="minorEastAsia" w:eastAsiaTheme="minorEastAsia" w:cstheme="minorEastAsia"/>
          <w:snapToGrid w:val="0"/>
          <w:kern w:val="0"/>
          <w:szCs w:val="21"/>
          <w:lang w:val="zh-CN"/>
        </w:rPr>
        <w:t xml:space="preserve">22、 </w:t>
      </w:r>
      <w:r>
        <w:rPr>
          <w:rFonts w:hint="eastAsia" w:asciiTheme="minorEastAsia" w:hAnsiTheme="minorEastAsia" w:eastAsiaTheme="minorEastAsia" w:cstheme="minorEastAsia"/>
          <w:snapToGrid w:val="0"/>
          <w:kern w:val="0"/>
          <w:szCs w:val="21"/>
          <w:lang w:val="zh-CN"/>
        </w:rPr>
        <w:t>竞争性磋商响应文件的补充、修改或者撤回</w:t>
      </w:r>
      <w:r>
        <w:tab/>
      </w:r>
      <w:r>
        <w:fldChar w:fldCharType="begin"/>
      </w:r>
      <w:r>
        <w:instrText xml:space="preserve"> PAGEREF _Toc28435 \h </w:instrText>
      </w:r>
      <w:r>
        <w:fldChar w:fldCharType="separate"/>
      </w:r>
      <w:r>
        <w:t>20</w:t>
      </w:r>
      <w:r>
        <w:fldChar w:fldCharType="end"/>
      </w:r>
      <w:r>
        <w:fldChar w:fldCharType="end"/>
      </w:r>
    </w:p>
    <w:p>
      <w:pPr>
        <w:pStyle w:val="22"/>
        <w:tabs>
          <w:tab w:val="right" w:leader="dot" w:pos="9072"/>
        </w:tabs>
        <w:spacing w:line="300" w:lineRule="auto"/>
      </w:pPr>
      <w:r>
        <w:fldChar w:fldCharType="begin"/>
      </w:r>
      <w:r>
        <w:instrText xml:space="preserve"> HYPERLINK \l "_Toc2740" </w:instrText>
      </w:r>
      <w:r>
        <w:fldChar w:fldCharType="separate"/>
      </w:r>
      <w:r>
        <w:rPr>
          <w:rFonts w:asciiTheme="minorEastAsia" w:hAnsiTheme="minorEastAsia" w:eastAsiaTheme="minorEastAsia" w:cstheme="minorEastAsia"/>
          <w:szCs w:val="21"/>
        </w:rPr>
        <w:t xml:space="preserve">五、 </w:t>
      </w:r>
      <w:r>
        <w:rPr>
          <w:rFonts w:hint="eastAsia" w:asciiTheme="minorEastAsia" w:hAnsiTheme="minorEastAsia" w:eastAsiaTheme="minorEastAsia" w:cstheme="minorEastAsia"/>
          <w:szCs w:val="21"/>
        </w:rPr>
        <w:t>磋商程序及步骤</w:t>
      </w:r>
      <w:r>
        <w:tab/>
      </w:r>
      <w:r>
        <w:fldChar w:fldCharType="begin"/>
      </w:r>
      <w:r>
        <w:instrText xml:space="preserve"> PAGEREF _Toc2740 \h </w:instrText>
      </w:r>
      <w:r>
        <w:fldChar w:fldCharType="separate"/>
      </w:r>
      <w:r>
        <w:t>20</w:t>
      </w:r>
      <w:r>
        <w:fldChar w:fldCharType="end"/>
      </w:r>
      <w:r>
        <w:fldChar w:fldCharType="end"/>
      </w:r>
    </w:p>
    <w:p>
      <w:pPr>
        <w:pStyle w:val="22"/>
        <w:tabs>
          <w:tab w:val="right" w:leader="dot" w:pos="9072"/>
        </w:tabs>
        <w:spacing w:line="300" w:lineRule="auto"/>
      </w:pPr>
      <w:r>
        <w:fldChar w:fldCharType="begin"/>
      </w:r>
      <w:r>
        <w:instrText xml:space="preserve"> HYPERLINK \l "_Toc25344" </w:instrText>
      </w:r>
      <w:r>
        <w:fldChar w:fldCharType="separate"/>
      </w:r>
      <w:r>
        <w:rPr>
          <w:rFonts w:asciiTheme="minorEastAsia" w:hAnsiTheme="minorEastAsia" w:eastAsiaTheme="minorEastAsia" w:cstheme="minorEastAsia"/>
          <w:snapToGrid w:val="0"/>
          <w:kern w:val="0"/>
          <w:szCs w:val="21"/>
          <w:lang w:val="zh-CN"/>
        </w:rPr>
        <w:t xml:space="preserve">23、 </w:t>
      </w:r>
      <w:r>
        <w:rPr>
          <w:rFonts w:hint="eastAsia" w:asciiTheme="minorEastAsia" w:hAnsiTheme="minorEastAsia" w:eastAsiaTheme="minorEastAsia" w:cstheme="minorEastAsia"/>
        </w:rPr>
        <w:t>竞争性磋商小组</w:t>
      </w:r>
      <w:r>
        <w:tab/>
      </w:r>
      <w:r>
        <w:fldChar w:fldCharType="begin"/>
      </w:r>
      <w:r>
        <w:instrText xml:space="preserve"> PAGEREF _Toc25344 \h </w:instrText>
      </w:r>
      <w:r>
        <w:fldChar w:fldCharType="separate"/>
      </w:r>
      <w:r>
        <w:t>20</w:t>
      </w:r>
      <w:r>
        <w:fldChar w:fldCharType="end"/>
      </w:r>
      <w:r>
        <w:fldChar w:fldCharType="end"/>
      </w:r>
    </w:p>
    <w:p>
      <w:pPr>
        <w:pStyle w:val="22"/>
        <w:tabs>
          <w:tab w:val="right" w:leader="dot" w:pos="9072"/>
        </w:tabs>
        <w:spacing w:line="300" w:lineRule="auto"/>
      </w:pPr>
      <w:r>
        <w:fldChar w:fldCharType="begin"/>
      </w:r>
      <w:r>
        <w:instrText xml:space="preserve"> HYPERLINK \l "_Toc4930" </w:instrText>
      </w:r>
      <w:r>
        <w:fldChar w:fldCharType="separate"/>
      </w:r>
      <w:r>
        <w:rPr>
          <w:rFonts w:asciiTheme="minorEastAsia" w:hAnsiTheme="minorEastAsia" w:eastAsiaTheme="minorEastAsia" w:cstheme="minorEastAsia"/>
          <w:snapToGrid w:val="0"/>
          <w:kern w:val="0"/>
          <w:szCs w:val="21"/>
          <w:lang w:val="zh-CN"/>
        </w:rPr>
        <w:t xml:space="preserve">24、 </w:t>
      </w:r>
      <w:r>
        <w:rPr>
          <w:rFonts w:hint="eastAsia" w:asciiTheme="minorEastAsia" w:hAnsiTheme="minorEastAsia" w:eastAsiaTheme="minorEastAsia" w:cstheme="minorEastAsia"/>
        </w:rPr>
        <w:t>磋商代表</w:t>
      </w:r>
      <w:r>
        <w:tab/>
      </w:r>
      <w:r>
        <w:fldChar w:fldCharType="begin"/>
      </w:r>
      <w:r>
        <w:instrText xml:space="preserve"> PAGEREF _Toc4930 \h </w:instrText>
      </w:r>
      <w:r>
        <w:fldChar w:fldCharType="separate"/>
      </w:r>
      <w:r>
        <w:t>20</w:t>
      </w:r>
      <w:r>
        <w:fldChar w:fldCharType="end"/>
      </w:r>
      <w:r>
        <w:fldChar w:fldCharType="end"/>
      </w:r>
    </w:p>
    <w:p>
      <w:pPr>
        <w:pStyle w:val="22"/>
        <w:tabs>
          <w:tab w:val="right" w:leader="dot" w:pos="9072"/>
        </w:tabs>
        <w:spacing w:line="300" w:lineRule="auto"/>
      </w:pPr>
      <w:r>
        <w:fldChar w:fldCharType="begin"/>
      </w:r>
      <w:r>
        <w:instrText xml:space="preserve"> HYPERLINK \l "_Toc26370" </w:instrText>
      </w:r>
      <w:r>
        <w:fldChar w:fldCharType="separate"/>
      </w:r>
      <w:r>
        <w:rPr>
          <w:rFonts w:asciiTheme="minorEastAsia" w:hAnsiTheme="minorEastAsia" w:eastAsiaTheme="minorEastAsia" w:cstheme="minorEastAsia"/>
        </w:rPr>
        <w:t xml:space="preserve">25、 </w:t>
      </w:r>
      <w:r>
        <w:rPr>
          <w:rFonts w:hint="eastAsia" w:asciiTheme="minorEastAsia" w:hAnsiTheme="minorEastAsia" w:eastAsiaTheme="minorEastAsia" w:cstheme="minorEastAsia"/>
        </w:rPr>
        <w:t>资格审查和符合性审查</w:t>
      </w:r>
      <w:r>
        <w:tab/>
      </w:r>
      <w:r>
        <w:fldChar w:fldCharType="begin"/>
      </w:r>
      <w:r>
        <w:instrText xml:space="preserve"> PAGEREF _Toc26370 \h </w:instrText>
      </w:r>
      <w:r>
        <w:fldChar w:fldCharType="separate"/>
      </w:r>
      <w:r>
        <w:t>20</w:t>
      </w:r>
      <w:r>
        <w:fldChar w:fldCharType="end"/>
      </w:r>
      <w:r>
        <w:fldChar w:fldCharType="end"/>
      </w:r>
    </w:p>
    <w:p>
      <w:pPr>
        <w:pStyle w:val="22"/>
        <w:tabs>
          <w:tab w:val="right" w:leader="dot" w:pos="9072"/>
        </w:tabs>
        <w:spacing w:line="300" w:lineRule="auto"/>
      </w:pPr>
      <w:r>
        <w:fldChar w:fldCharType="begin"/>
      </w:r>
      <w:r>
        <w:instrText xml:space="preserve"> HYPERLINK \l "_Toc20062" </w:instrText>
      </w:r>
      <w:r>
        <w:fldChar w:fldCharType="separate"/>
      </w:r>
      <w:r>
        <w:rPr>
          <w:rFonts w:asciiTheme="minorEastAsia" w:hAnsiTheme="minorEastAsia" w:eastAsiaTheme="minorEastAsia" w:cstheme="minorEastAsia"/>
        </w:rPr>
        <w:t xml:space="preserve">26、 </w:t>
      </w:r>
      <w:r>
        <w:rPr>
          <w:rFonts w:hint="eastAsia" w:asciiTheme="minorEastAsia" w:hAnsiTheme="minorEastAsia" w:eastAsiaTheme="minorEastAsia" w:cstheme="minorEastAsia"/>
        </w:rPr>
        <w:t>磋商</w:t>
      </w:r>
      <w:r>
        <w:tab/>
      </w:r>
      <w:r>
        <w:fldChar w:fldCharType="begin"/>
      </w:r>
      <w:r>
        <w:instrText xml:space="preserve"> PAGEREF _Toc20062 \h </w:instrText>
      </w:r>
      <w:r>
        <w:fldChar w:fldCharType="separate"/>
      </w:r>
      <w:r>
        <w:t>21</w:t>
      </w:r>
      <w:r>
        <w:fldChar w:fldCharType="end"/>
      </w:r>
      <w:r>
        <w:fldChar w:fldCharType="end"/>
      </w:r>
    </w:p>
    <w:p>
      <w:pPr>
        <w:pStyle w:val="22"/>
        <w:tabs>
          <w:tab w:val="right" w:leader="dot" w:pos="9072"/>
        </w:tabs>
        <w:spacing w:line="300" w:lineRule="auto"/>
      </w:pPr>
      <w:r>
        <w:fldChar w:fldCharType="begin"/>
      </w:r>
      <w:r>
        <w:instrText xml:space="preserve"> HYPERLINK \l "_Toc32739" </w:instrText>
      </w:r>
      <w:r>
        <w:fldChar w:fldCharType="separate"/>
      </w:r>
      <w:r>
        <w:rPr>
          <w:rFonts w:asciiTheme="minorEastAsia" w:hAnsiTheme="minorEastAsia" w:eastAsiaTheme="minorEastAsia" w:cstheme="minorEastAsia"/>
          <w:lang w:val="zh-CN"/>
        </w:rPr>
        <w:t xml:space="preserve">27、 </w:t>
      </w:r>
      <w:r>
        <w:rPr>
          <w:rFonts w:hint="eastAsia" w:asciiTheme="minorEastAsia" w:hAnsiTheme="minorEastAsia" w:eastAsiaTheme="minorEastAsia" w:cstheme="minorEastAsia"/>
          <w:lang w:val="zh-CN"/>
        </w:rPr>
        <w:t>保密</w:t>
      </w:r>
      <w:r>
        <w:tab/>
      </w:r>
      <w:r>
        <w:fldChar w:fldCharType="begin"/>
      </w:r>
      <w:r>
        <w:instrText xml:space="preserve"> PAGEREF _Toc32739 \h </w:instrText>
      </w:r>
      <w:r>
        <w:fldChar w:fldCharType="separate"/>
      </w:r>
      <w:r>
        <w:t>22</w:t>
      </w:r>
      <w:r>
        <w:fldChar w:fldCharType="end"/>
      </w:r>
      <w:r>
        <w:fldChar w:fldCharType="end"/>
      </w:r>
    </w:p>
    <w:p>
      <w:pPr>
        <w:pStyle w:val="22"/>
        <w:tabs>
          <w:tab w:val="right" w:leader="dot" w:pos="9072"/>
        </w:tabs>
        <w:spacing w:line="300" w:lineRule="auto"/>
      </w:pPr>
      <w:r>
        <w:fldChar w:fldCharType="begin"/>
      </w:r>
      <w:r>
        <w:instrText xml:space="preserve"> HYPERLINK \l "_Toc17977" </w:instrText>
      </w:r>
      <w:r>
        <w:fldChar w:fldCharType="separate"/>
      </w:r>
      <w:r>
        <w:rPr>
          <w:rFonts w:asciiTheme="minorEastAsia" w:hAnsiTheme="minorEastAsia" w:eastAsiaTheme="minorEastAsia" w:cstheme="minorEastAsia"/>
          <w:szCs w:val="21"/>
        </w:rPr>
        <w:t xml:space="preserve">六、 </w:t>
      </w:r>
      <w:r>
        <w:rPr>
          <w:rFonts w:hint="eastAsia" w:asciiTheme="minorEastAsia" w:hAnsiTheme="minorEastAsia" w:eastAsiaTheme="minorEastAsia" w:cstheme="minorEastAsia"/>
          <w:szCs w:val="21"/>
        </w:rPr>
        <w:t>成交与签订合同</w:t>
      </w:r>
      <w:r>
        <w:tab/>
      </w:r>
      <w:r>
        <w:fldChar w:fldCharType="begin"/>
      </w:r>
      <w:r>
        <w:instrText xml:space="preserve"> PAGEREF _Toc17977 \h </w:instrText>
      </w:r>
      <w:r>
        <w:fldChar w:fldCharType="separate"/>
      </w:r>
      <w:r>
        <w:t>22</w:t>
      </w:r>
      <w:r>
        <w:fldChar w:fldCharType="end"/>
      </w:r>
      <w:r>
        <w:fldChar w:fldCharType="end"/>
      </w:r>
    </w:p>
    <w:p>
      <w:pPr>
        <w:pStyle w:val="22"/>
        <w:tabs>
          <w:tab w:val="right" w:leader="dot" w:pos="9072"/>
        </w:tabs>
        <w:spacing w:line="300" w:lineRule="auto"/>
      </w:pPr>
      <w:r>
        <w:fldChar w:fldCharType="begin"/>
      </w:r>
      <w:r>
        <w:instrText xml:space="preserve"> HYPERLINK \l "_Toc28020" </w:instrText>
      </w:r>
      <w:r>
        <w:fldChar w:fldCharType="separate"/>
      </w:r>
      <w:r>
        <w:rPr>
          <w:rFonts w:asciiTheme="minorEastAsia" w:hAnsiTheme="minorEastAsia" w:eastAsiaTheme="minorEastAsia" w:cstheme="minorEastAsia"/>
          <w:lang w:val="zh-CN"/>
        </w:rPr>
        <w:t xml:space="preserve">28、 </w:t>
      </w:r>
      <w:r>
        <w:rPr>
          <w:rFonts w:hint="eastAsia" w:asciiTheme="minorEastAsia" w:hAnsiTheme="minorEastAsia" w:eastAsiaTheme="minorEastAsia" w:cstheme="minorEastAsia"/>
          <w:lang w:val="zh-CN"/>
        </w:rPr>
        <w:t>合同授予标准</w:t>
      </w:r>
      <w:r>
        <w:tab/>
      </w:r>
      <w:r>
        <w:fldChar w:fldCharType="begin"/>
      </w:r>
      <w:r>
        <w:instrText xml:space="preserve"> PAGEREF _Toc28020 \h </w:instrText>
      </w:r>
      <w:r>
        <w:fldChar w:fldCharType="separate"/>
      </w:r>
      <w:r>
        <w:t>22</w:t>
      </w:r>
      <w:r>
        <w:fldChar w:fldCharType="end"/>
      </w:r>
      <w:r>
        <w:fldChar w:fldCharType="end"/>
      </w:r>
    </w:p>
    <w:p>
      <w:pPr>
        <w:pStyle w:val="22"/>
        <w:tabs>
          <w:tab w:val="right" w:leader="dot" w:pos="9072"/>
        </w:tabs>
        <w:spacing w:line="300" w:lineRule="auto"/>
      </w:pPr>
      <w:r>
        <w:fldChar w:fldCharType="begin"/>
      </w:r>
      <w:r>
        <w:instrText xml:space="preserve"> HYPERLINK \l "_Toc10298" </w:instrText>
      </w:r>
      <w:r>
        <w:fldChar w:fldCharType="separate"/>
      </w:r>
      <w:r>
        <w:rPr>
          <w:rFonts w:asciiTheme="minorEastAsia" w:hAnsiTheme="minorEastAsia" w:eastAsiaTheme="minorEastAsia" w:cstheme="minorEastAsia"/>
          <w:lang w:val="zh-CN"/>
        </w:rPr>
        <w:t xml:space="preserve">29、 </w:t>
      </w:r>
      <w:r>
        <w:rPr>
          <w:rFonts w:hint="eastAsia" w:asciiTheme="minorEastAsia" w:hAnsiTheme="minorEastAsia" w:eastAsiaTheme="minorEastAsia" w:cstheme="minorEastAsia"/>
          <w:lang w:val="zh-CN"/>
        </w:rPr>
        <w:t>签订合同</w:t>
      </w:r>
      <w:r>
        <w:tab/>
      </w:r>
      <w:r>
        <w:fldChar w:fldCharType="begin"/>
      </w:r>
      <w:r>
        <w:instrText xml:space="preserve"> PAGEREF _Toc10298 \h </w:instrText>
      </w:r>
      <w:r>
        <w:fldChar w:fldCharType="separate"/>
      </w:r>
      <w:r>
        <w:t>22</w:t>
      </w:r>
      <w:r>
        <w:fldChar w:fldCharType="end"/>
      </w:r>
      <w:r>
        <w:fldChar w:fldCharType="end"/>
      </w:r>
    </w:p>
    <w:p>
      <w:pPr>
        <w:pStyle w:val="22"/>
        <w:tabs>
          <w:tab w:val="right" w:leader="dot" w:pos="9072"/>
        </w:tabs>
        <w:spacing w:line="300" w:lineRule="auto"/>
      </w:pPr>
      <w:r>
        <w:fldChar w:fldCharType="begin"/>
      </w:r>
      <w:r>
        <w:instrText xml:space="preserve"> HYPERLINK \l "_Toc18678" </w:instrText>
      </w:r>
      <w:r>
        <w:fldChar w:fldCharType="separate"/>
      </w:r>
      <w:r>
        <w:rPr>
          <w:rFonts w:asciiTheme="minorEastAsia" w:hAnsiTheme="minorEastAsia" w:eastAsiaTheme="minorEastAsia" w:cstheme="minorEastAsia"/>
          <w:lang w:val="zh-CN"/>
        </w:rPr>
        <w:t xml:space="preserve">31、 </w:t>
      </w:r>
      <w:r>
        <w:rPr>
          <w:rFonts w:hint="eastAsia" w:asciiTheme="minorEastAsia" w:hAnsiTheme="minorEastAsia" w:eastAsiaTheme="minorEastAsia" w:cstheme="minorEastAsia"/>
          <w:lang w:val="zh-CN"/>
        </w:rPr>
        <w:t>质疑回复</w:t>
      </w:r>
      <w:r>
        <w:tab/>
      </w:r>
      <w:r>
        <w:fldChar w:fldCharType="begin"/>
      </w:r>
      <w:r>
        <w:instrText xml:space="preserve"> PAGEREF _Toc18678 \h </w:instrText>
      </w:r>
      <w:r>
        <w:fldChar w:fldCharType="separate"/>
      </w:r>
      <w:r>
        <w:t>24</w:t>
      </w:r>
      <w:r>
        <w:fldChar w:fldCharType="end"/>
      </w:r>
      <w:r>
        <w:fldChar w:fldCharType="end"/>
      </w:r>
    </w:p>
    <w:p>
      <w:pPr>
        <w:pStyle w:val="22"/>
        <w:tabs>
          <w:tab w:val="right" w:leader="dot" w:pos="9072"/>
        </w:tabs>
        <w:spacing w:line="300" w:lineRule="auto"/>
      </w:pPr>
      <w:r>
        <w:fldChar w:fldCharType="begin"/>
      </w:r>
      <w:r>
        <w:instrText xml:space="preserve"> HYPERLINK \l "_Toc3143" </w:instrText>
      </w:r>
      <w:r>
        <w:fldChar w:fldCharType="separate"/>
      </w:r>
      <w:r>
        <w:rPr>
          <w:rFonts w:asciiTheme="minorEastAsia" w:hAnsiTheme="minorEastAsia" w:eastAsiaTheme="minorEastAsia" w:cstheme="minorEastAsia"/>
          <w:lang w:val="zh-CN"/>
        </w:rPr>
        <w:t xml:space="preserve">32、 </w:t>
      </w:r>
      <w:r>
        <w:rPr>
          <w:rFonts w:hint="eastAsia" w:asciiTheme="minorEastAsia" w:hAnsiTheme="minorEastAsia" w:eastAsiaTheme="minorEastAsia" w:cstheme="minorEastAsia"/>
          <w:lang w:val="zh-CN"/>
        </w:rPr>
        <w:t>投诉</w:t>
      </w:r>
      <w:r>
        <w:tab/>
      </w:r>
      <w:r>
        <w:fldChar w:fldCharType="begin"/>
      </w:r>
      <w:r>
        <w:instrText xml:space="preserve"> PAGEREF _Toc3143 \h </w:instrText>
      </w:r>
      <w:r>
        <w:fldChar w:fldCharType="separate"/>
      </w:r>
      <w:r>
        <w:t>24</w:t>
      </w:r>
      <w:r>
        <w:fldChar w:fldCharType="end"/>
      </w:r>
      <w:r>
        <w:fldChar w:fldCharType="end"/>
      </w:r>
    </w:p>
    <w:p>
      <w:pPr>
        <w:pStyle w:val="22"/>
        <w:tabs>
          <w:tab w:val="right" w:leader="dot" w:pos="9072"/>
        </w:tabs>
        <w:spacing w:line="300" w:lineRule="auto"/>
      </w:pPr>
      <w:r>
        <w:fldChar w:fldCharType="begin"/>
      </w:r>
      <w:r>
        <w:instrText xml:space="preserve"> HYPERLINK \l "_Toc18357" </w:instrText>
      </w:r>
      <w:r>
        <w:fldChar w:fldCharType="separate"/>
      </w:r>
      <w:r>
        <w:rPr>
          <w:rFonts w:asciiTheme="minorEastAsia" w:hAnsiTheme="minorEastAsia" w:eastAsiaTheme="minorEastAsia" w:cstheme="minorEastAsia"/>
          <w:szCs w:val="21"/>
          <w:lang w:val="zh-CN"/>
        </w:rPr>
        <w:t xml:space="preserve">八、 </w:t>
      </w:r>
      <w:r>
        <w:rPr>
          <w:rFonts w:hint="eastAsia" w:asciiTheme="minorEastAsia" w:hAnsiTheme="minorEastAsia" w:eastAsiaTheme="minorEastAsia" w:cstheme="minorEastAsia"/>
          <w:szCs w:val="21"/>
          <w:lang w:val="zh-CN"/>
        </w:rPr>
        <w:t>政策</w:t>
      </w:r>
      <w:r>
        <w:tab/>
      </w:r>
      <w:r>
        <w:fldChar w:fldCharType="begin"/>
      </w:r>
      <w:r>
        <w:instrText xml:space="preserve"> PAGEREF _Toc18357 \h </w:instrText>
      </w:r>
      <w:r>
        <w:fldChar w:fldCharType="separate"/>
      </w:r>
      <w:r>
        <w:t>24</w:t>
      </w:r>
      <w:r>
        <w:fldChar w:fldCharType="end"/>
      </w:r>
      <w:r>
        <w:fldChar w:fldCharType="end"/>
      </w:r>
    </w:p>
    <w:p>
      <w:pPr>
        <w:pStyle w:val="22"/>
        <w:tabs>
          <w:tab w:val="right" w:leader="dot" w:pos="9072"/>
        </w:tabs>
        <w:spacing w:line="300" w:lineRule="auto"/>
      </w:pPr>
      <w:r>
        <w:fldChar w:fldCharType="begin"/>
      </w:r>
      <w:r>
        <w:instrText xml:space="preserve"> HYPERLINK \l "_Toc19328" </w:instrText>
      </w:r>
      <w:r>
        <w:fldChar w:fldCharType="separate"/>
      </w:r>
      <w:r>
        <w:rPr>
          <w:rFonts w:asciiTheme="minorEastAsia" w:hAnsiTheme="minorEastAsia" w:eastAsiaTheme="minorEastAsia" w:cstheme="minorEastAsia"/>
        </w:rPr>
        <w:t xml:space="preserve">33、 </w:t>
      </w:r>
      <w:r>
        <w:rPr>
          <w:rFonts w:hint="eastAsia" w:asciiTheme="minorEastAsia" w:hAnsiTheme="minorEastAsia" w:eastAsiaTheme="minorEastAsia" w:cstheme="minorEastAsia"/>
        </w:rPr>
        <w:t>政府采购政策</w:t>
      </w:r>
      <w:r>
        <w:tab/>
      </w:r>
      <w:r>
        <w:fldChar w:fldCharType="begin"/>
      </w:r>
      <w:r>
        <w:instrText xml:space="preserve"> PAGEREF _Toc19328 \h </w:instrText>
      </w:r>
      <w:r>
        <w:fldChar w:fldCharType="separate"/>
      </w:r>
      <w:r>
        <w:t>24</w:t>
      </w:r>
      <w:r>
        <w:fldChar w:fldCharType="end"/>
      </w:r>
      <w:r>
        <w:fldChar w:fldCharType="end"/>
      </w:r>
    </w:p>
    <w:p>
      <w:pPr>
        <w:pStyle w:val="22"/>
        <w:tabs>
          <w:tab w:val="right" w:leader="dot" w:pos="9072"/>
        </w:tabs>
        <w:spacing w:line="300" w:lineRule="auto"/>
      </w:pPr>
      <w:r>
        <w:fldChar w:fldCharType="begin"/>
      </w:r>
      <w:r>
        <w:instrText xml:space="preserve"> HYPERLINK \l "_Toc12581" </w:instrText>
      </w:r>
      <w:r>
        <w:fldChar w:fldCharType="separate"/>
      </w:r>
      <w:r>
        <w:rPr>
          <w:rFonts w:asciiTheme="minorEastAsia" w:hAnsiTheme="minorEastAsia" w:eastAsiaTheme="minorEastAsia" w:cstheme="minorEastAsia"/>
          <w:szCs w:val="21"/>
          <w:lang w:val="zh-CN"/>
        </w:rPr>
        <w:t xml:space="preserve">九、 </w:t>
      </w:r>
      <w:r>
        <w:rPr>
          <w:rFonts w:hint="eastAsia" w:asciiTheme="minorEastAsia" w:hAnsiTheme="minorEastAsia" w:eastAsiaTheme="minorEastAsia" w:cstheme="minorEastAsia"/>
          <w:szCs w:val="21"/>
          <w:lang w:val="zh-CN"/>
        </w:rPr>
        <w:t>其他要求</w:t>
      </w:r>
      <w:r>
        <w:tab/>
      </w:r>
      <w:r>
        <w:fldChar w:fldCharType="begin"/>
      </w:r>
      <w:r>
        <w:instrText xml:space="preserve"> PAGEREF _Toc12581 \h </w:instrText>
      </w:r>
      <w:r>
        <w:fldChar w:fldCharType="separate"/>
      </w:r>
      <w:r>
        <w:t>25</w:t>
      </w:r>
      <w:r>
        <w:fldChar w:fldCharType="end"/>
      </w:r>
      <w:r>
        <w:fldChar w:fldCharType="end"/>
      </w:r>
    </w:p>
    <w:p>
      <w:pPr>
        <w:pStyle w:val="22"/>
        <w:tabs>
          <w:tab w:val="right" w:leader="dot" w:pos="9072"/>
        </w:tabs>
        <w:spacing w:line="300" w:lineRule="auto"/>
      </w:pPr>
      <w:r>
        <w:fldChar w:fldCharType="begin"/>
      </w:r>
      <w:r>
        <w:instrText xml:space="preserve"> HYPERLINK \l "_Toc30697" </w:instrText>
      </w:r>
      <w:r>
        <w:fldChar w:fldCharType="separate"/>
      </w:r>
      <w:r>
        <w:rPr>
          <w:rFonts w:asciiTheme="minorEastAsia" w:hAnsiTheme="minorEastAsia" w:eastAsiaTheme="minorEastAsia" w:cstheme="minorEastAsia"/>
          <w:szCs w:val="21"/>
          <w:lang w:val="zh-CN"/>
        </w:rPr>
        <w:t xml:space="preserve">十、 </w:t>
      </w:r>
      <w:r>
        <w:rPr>
          <w:rFonts w:hint="eastAsia" w:asciiTheme="minorEastAsia" w:hAnsiTheme="minorEastAsia" w:eastAsiaTheme="minorEastAsia" w:cstheme="minorEastAsia"/>
          <w:szCs w:val="21"/>
          <w:lang w:val="zh-CN"/>
        </w:rPr>
        <w:t>适用法律</w:t>
      </w:r>
      <w:r>
        <w:tab/>
      </w:r>
      <w:r>
        <w:fldChar w:fldCharType="begin"/>
      </w:r>
      <w:r>
        <w:instrText xml:space="preserve"> PAGEREF _Toc30697 \h </w:instrText>
      </w:r>
      <w:r>
        <w:fldChar w:fldCharType="separate"/>
      </w:r>
      <w:r>
        <w:t>25</w:t>
      </w:r>
      <w:r>
        <w:fldChar w:fldCharType="end"/>
      </w:r>
      <w:r>
        <w:fldChar w:fldCharType="end"/>
      </w:r>
    </w:p>
    <w:p>
      <w:pPr>
        <w:pStyle w:val="20"/>
        <w:tabs>
          <w:tab w:val="right" w:leader="dot" w:pos="9072"/>
        </w:tabs>
        <w:spacing w:line="300" w:lineRule="auto"/>
      </w:pPr>
      <w:r>
        <w:fldChar w:fldCharType="begin"/>
      </w:r>
      <w:r>
        <w:instrText xml:space="preserve"> HYPERLINK \l "_Toc2486" </w:instrText>
      </w:r>
      <w:r>
        <w:fldChar w:fldCharType="separate"/>
      </w:r>
      <w:r>
        <w:rPr>
          <w:rFonts w:asciiTheme="minorEastAsia" w:hAnsiTheme="minorEastAsia" w:eastAsiaTheme="minorEastAsia" w:cstheme="minorEastAsia"/>
          <w:szCs w:val="36"/>
        </w:rPr>
        <w:t xml:space="preserve">第三章 </w:t>
      </w:r>
      <w:r>
        <w:rPr>
          <w:rFonts w:hint="eastAsia" w:asciiTheme="minorEastAsia" w:hAnsiTheme="minorEastAsia" w:eastAsiaTheme="minorEastAsia" w:cstheme="minorEastAsia"/>
          <w:bCs/>
          <w:szCs w:val="36"/>
        </w:rPr>
        <w:t>采购需求</w:t>
      </w:r>
      <w:r>
        <w:tab/>
      </w:r>
      <w:r>
        <w:fldChar w:fldCharType="begin"/>
      </w:r>
      <w:r>
        <w:instrText xml:space="preserve"> PAGEREF _Toc2486 \h </w:instrText>
      </w:r>
      <w:r>
        <w:fldChar w:fldCharType="separate"/>
      </w:r>
      <w:r>
        <w:t>27</w:t>
      </w:r>
      <w:r>
        <w:fldChar w:fldCharType="end"/>
      </w:r>
      <w:r>
        <w:fldChar w:fldCharType="end"/>
      </w:r>
    </w:p>
    <w:p>
      <w:pPr>
        <w:pStyle w:val="22"/>
        <w:tabs>
          <w:tab w:val="right" w:leader="dot" w:pos="9072"/>
        </w:tabs>
        <w:spacing w:line="300" w:lineRule="auto"/>
      </w:pPr>
      <w:r>
        <w:fldChar w:fldCharType="begin"/>
      </w:r>
      <w:r>
        <w:instrText xml:space="preserve"> HYPERLINK \l "_Toc31341" </w:instrText>
      </w:r>
      <w:r>
        <w:fldChar w:fldCharType="separate"/>
      </w:r>
      <w:r>
        <w:rPr>
          <w:rFonts w:hint="eastAsia" w:asciiTheme="minorEastAsia" w:hAnsiTheme="minorEastAsia" w:eastAsiaTheme="minorEastAsia" w:cstheme="minorEastAsia"/>
          <w:bCs/>
        </w:rPr>
        <w:t>一、技术需求</w:t>
      </w:r>
      <w:r>
        <w:tab/>
      </w:r>
      <w:r>
        <w:fldChar w:fldCharType="begin"/>
      </w:r>
      <w:r>
        <w:instrText xml:space="preserve"> PAGEREF _Toc31341 \h </w:instrText>
      </w:r>
      <w:r>
        <w:fldChar w:fldCharType="separate"/>
      </w:r>
      <w:r>
        <w:t>27</w:t>
      </w:r>
      <w:r>
        <w:fldChar w:fldCharType="end"/>
      </w:r>
      <w:r>
        <w:fldChar w:fldCharType="end"/>
      </w:r>
    </w:p>
    <w:p>
      <w:pPr>
        <w:pStyle w:val="22"/>
        <w:tabs>
          <w:tab w:val="right" w:leader="dot" w:pos="9072"/>
        </w:tabs>
        <w:spacing w:line="300" w:lineRule="auto"/>
      </w:pPr>
      <w:r>
        <w:fldChar w:fldCharType="begin"/>
      </w:r>
      <w:r>
        <w:instrText xml:space="preserve"> HYPERLINK \l "_Toc27808" </w:instrText>
      </w:r>
      <w:r>
        <w:fldChar w:fldCharType="separate"/>
      </w:r>
      <w:r>
        <w:rPr>
          <w:rFonts w:hint="eastAsia" w:asciiTheme="minorEastAsia" w:hAnsiTheme="minorEastAsia" w:eastAsiaTheme="minorEastAsia" w:cstheme="minorEastAsia"/>
          <w:bCs/>
        </w:rPr>
        <w:t>二、商务需求</w:t>
      </w:r>
      <w:r>
        <w:tab/>
      </w:r>
      <w:r>
        <w:fldChar w:fldCharType="begin"/>
      </w:r>
      <w:r>
        <w:instrText xml:space="preserve"> PAGEREF _Toc27808 \h </w:instrText>
      </w:r>
      <w:r>
        <w:fldChar w:fldCharType="separate"/>
      </w:r>
      <w:r>
        <w:t>31</w:t>
      </w:r>
      <w:r>
        <w:fldChar w:fldCharType="end"/>
      </w:r>
      <w:r>
        <w:fldChar w:fldCharType="end"/>
      </w:r>
    </w:p>
    <w:p>
      <w:pPr>
        <w:pStyle w:val="20"/>
        <w:tabs>
          <w:tab w:val="right" w:leader="dot" w:pos="9072"/>
        </w:tabs>
        <w:spacing w:line="300" w:lineRule="auto"/>
      </w:pPr>
      <w:r>
        <w:fldChar w:fldCharType="begin"/>
      </w:r>
      <w:r>
        <w:instrText xml:space="preserve"> HYPERLINK \l "_Toc25843" </w:instrText>
      </w:r>
      <w:r>
        <w:fldChar w:fldCharType="separate"/>
      </w:r>
      <w:r>
        <w:rPr>
          <w:rFonts w:asciiTheme="minorEastAsia" w:hAnsiTheme="minorEastAsia" w:eastAsiaTheme="minorEastAsia" w:cstheme="minorEastAsia"/>
          <w:szCs w:val="36"/>
        </w:rPr>
        <w:t xml:space="preserve">第四章 </w:t>
      </w:r>
      <w:r>
        <w:rPr>
          <w:rFonts w:hint="eastAsia" w:asciiTheme="minorEastAsia" w:hAnsiTheme="minorEastAsia" w:eastAsiaTheme="minorEastAsia" w:cstheme="minorEastAsia"/>
          <w:szCs w:val="36"/>
        </w:rPr>
        <w:t>竞争性磋商采购评定办法</w:t>
      </w:r>
      <w:r>
        <w:tab/>
      </w:r>
      <w:r>
        <w:fldChar w:fldCharType="begin"/>
      </w:r>
      <w:r>
        <w:instrText xml:space="preserve"> PAGEREF _Toc25843 \h </w:instrText>
      </w:r>
      <w:r>
        <w:fldChar w:fldCharType="separate"/>
      </w:r>
      <w:r>
        <w:t>34</w:t>
      </w:r>
      <w:r>
        <w:fldChar w:fldCharType="end"/>
      </w:r>
      <w:r>
        <w:fldChar w:fldCharType="end"/>
      </w:r>
    </w:p>
    <w:p>
      <w:pPr>
        <w:pStyle w:val="22"/>
        <w:tabs>
          <w:tab w:val="right" w:leader="dot" w:pos="9072"/>
        </w:tabs>
        <w:spacing w:line="300" w:lineRule="auto"/>
      </w:pPr>
      <w:r>
        <w:fldChar w:fldCharType="begin"/>
      </w:r>
      <w:r>
        <w:instrText xml:space="preserve"> HYPERLINK \l "_Toc31586" </w:instrText>
      </w:r>
      <w:r>
        <w:fldChar w:fldCharType="separate"/>
      </w:r>
      <w:r>
        <w:rPr>
          <w:rFonts w:hint="eastAsia" w:asciiTheme="minorEastAsia" w:hAnsiTheme="minorEastAsia" w:eastAsiaTheme="minorEastAsia" w:cstheme="minorEastAsia"/>
          <w:szCs w:val="21"/>
        </w:rPr>
        <w:t>一、评定办法前附表</w:t>
      </w:r>
      <w:r>
        <w:tab/>
      </w:r>
      <w:r>
        <w:fldChar w:fldCharType="begin"/>
      </w:r>
      <w:r>
        <w:instrText xml:space="preserve"> PAGEREF _Toc31586 \h </w:instrText>
      </w:r>
      <w:r>
        <w:fldChar w:fldCharType="separate"/>
      </w:r>
      <w:r>
        <w:t>34</w:t>
      </w:r>
      <w:r>
        <w:fldChar w:fldCharType="end"/>
      </w:r>
      <w:r>
        <w:fldChar w:fldCharType="end"/>
      </w:r>
    </w:p>
    <w:p>
      <w:pPr>
        <w:pStyle w:val="22"/>
        <w:tabs>
          <w:tab w:val="right" w:leader="dot" w:pos="9072"/>
        </w:tabs>
        <w:spacing w:line="300" w:lineRule="auto"/>
      </w:pPr>
      <w:r>
        <w:fldChar w:fldCharType="begin"/>
      </w:r>
      <w:r>
        <w:instrText xml:space="preserve"> HYPERLINK \l "_Toc13646" </w:instrText>
      </w:r>
      <w:r>
        <w:fldChar w:fldCharType="separate"/>
      </w:r>
      <w:r>
        <w:rPr>
          <w:rFonts w:hint="eastAsia" w:asciiTheme="minorEastAsia" w:hAnsiTheme="minorEastAsia" w:eastAsiaTheme="minorEastAsia" w:cstheme="minorEastAsia"/>
          <w:szCs w:val="21"/>
        </w:rPr>
        <w:t>二、计算办法</w:t>
      </w:r>
      <w:r>
        <w:tab/>
      </w:r>
      <w:r>
        <w:fldChar w:fldCharType="begin"/>
      </w:r>
      <w:r>
        <w:instrText xml:space="preserve"> PAGEREF _Toc13646 \h </w:instrText>
      </w:r>
      <w:r>
        <w:fldChar w:fldCharType="separate"/>
      </w:r>
      <w:r>
        <w:t>36</w:t>
      </w:r>
      <w:r>
        <w:fldChar w:fldCharType="end"/>
      </w:r>
      <w:r>
        <w:fldChar w:fldCharType="end"/>
      </w:r>
    </w:p>
    <w:p>
      <w:pPr>
        <w:pStyle w:val="22"/>
        <w:tabs>
          <w:tab w:val="right" w:leader="dot" w:pos="9072"/>
        </w:tabs>
        <w:spacing w:line="300" w:lineRule="auto"/>
      </w:pPr>
      <w:r>
        <w:fldChar w:fldCharType="begin"/>
      </w:r>
      <w:r>
        <w:instrText xml:space="preserve"> HYPERLINK \l "_Toc14742" </w:instrText>
      </w:r>
      <w:r>
        <w:fldChar w:fldCharType="separate"/>
      </w:r>
      <w:r>
        <w:rPr>
          <w:rFonts w:hint="eastAsia" w:asciiTheme="minorEastAsia" w:hAnsiTheme="minorEastAsia" w:eastAsiaTheme="minorEastAsia" w:cstheme="minorEastAsia"/>
          <w:szCs w:val="21"/>
        </w:rPr>
        <w:t>三、评分细则</w:t>
      </w:r>
      <w:r>
        <w:tab/>
      </w:r>
      <w:r>
        <w:fldChar w:fldCharType="begin"/>
      </w:r>
      <w:r>
        <w:instrText xml:space="preserve"> PAGEREF _Toc14742 \h </w:instrText>
      </w:r>
      <w:r>
        <w:fldChar w:fldCharType="separate"/>
      </w:r>
      <w:r>
        <w:t>38</w:t>
      </w:r>
      <w:r>
        <w:fldChar w:fldCharType="end"/>
      </w:r>
      <w:r>
        <w:fldChar w:fldCharType="end"/>
      </w:r>
    </w:p>
    <w:p>
      <w:pPr>
        <w:pStyle w:val="22"/>
        <w:tabs>
          <w:tab w:val="right" w:leader="dot" w:pos="9072"/>
        </w:tabs>
        <w:spacing w:line="300" w:lineRule="auto"/>
      </w:pPr>
      <w:r>
        <w:fldChar w:fldCharType="begin"/>
      </w:r>
      <w:r>
        <w:instrText xml:space="preserve"> HYPERLINK \l "_Toc25152" </w:instrText>
      </w:r>
      <w:r>
        <w:fldChar w:fldCharType="separate"/>
      </w:r>
      <w:r>
        <w:rPr>
          <w:rFonts w:hint="eastAsia" w:asciiTheme="minorEastAsia" w:hAnsiTheme="minorEastAsia" w:eastAsiaTheme="minorEastAsia" w:cstheme="minorEastAsia"/>
          <w:szCs w:val="21"/>
        </w:rPr>
        <w:t>四、评定办法</w:t>
      </w:r>
      <w:r>
        <w:tab/>
      </w:r>
      <w:r>
        <w:fldChar w:fldCharType="begin"/>
      </w:r>
      <w:r>
        <w:instrText xml:space="preserve"> PAGEREF _Toc25152 \h </w:instrText>
      </w:r>
      <w:r>
        <w:fldChar w:fldCharType="separate"/>
      </w:r>
      <w:r>
        <w:t>40</w:t>
      </w:r>
      <w:r>
        <w:fldChar w:fldCharType="end"/>
      </w:r>
      <w:r>
        <w:fldChar w:fldCharType="end"/>
      </w:r>
    </w:p>
    <w:p>
      <w:pPr>
        <w:pStyle w:val="22"/>
        <w:tabs>
          <w:tab w:val="right" w:leader="dot" w:pos="9072"/>
        </w:tabs>
        <w:spacing w:line="300" w:lineRule="auto"/>
      </w:pPr>
      <w:r>
        <w:fldChar w:fldCharType="begin"/>
      </w:r>
      <w:r>
        <w:instrText xml:space="preserve"> HYPERLINK \l "_Toc16544" </w:instrText>
      </w:r>
      <w:r>
        <w:fldChar w:fldCharType="separate"/>
      </w:r>
      <w:r>
        <w:rPr>
          <w:rFonts w:hint="eastAsia" w:asciiTheme="minorEastAsia" w:hAnsiTheme="minorEastAsia" w:eastAsiaTheme="minorEastAsia" w:cstheme="minorEastAsia"/>
          <w:szCs w:val="21"/>
        </w:rPr>
        <w:t>五、磋商及评审步骤</w:t>
      </w:r>
      <w:r>
        <w:tab/>
      </w:r>
      <w:r>
        <w:fldChar w:fldCharType="begin"/>
      </w:r>
      <w:r>
        <w:instrText xml:space="preserve"> PAGEREF _Toc16544 \h </w:instrText>
      </w:r>
      <w:r>
        <w:fldChar w:fldCharType="separate"/>
      </w:r>
      <w:r>
        <w:t>41</w:t>
      </w:r>
      <w:r>
        <w:fldChar w:fldCharType="end"/>
      </w:r>
      <w:r>
        <w:fldChar w:fldCharType="end"/>
      </w:r>
    </w:p>
    <w:p>
      <w:pPr>
        <w:pStyle w:val="20"/>
        <w:tabs>
          <w:tab w:val="right" w:leader="dot" w:pos="9072"/>
        </w:tabs>
        <w:spacing w:line="300" w:lineRule="auto"/>
      </w:pPr>
      <w:r>
        <w:fldChar w:fldCharType="begin"/>
      </w:r>
      <w:r>
        <w:instrText xml:space="preserve"> HYPERLINK \l "_Toc16090" </w:instrText>
      </w:r>
      <w:r>
        <w:fldChar w:fldCharType="separate"/>
      </w:r>
      <w:r>
        <w:rPr>
          <w:rFonts w:asciiTheme="minorEastAsia" w:hAnsiTheme="minorEastAsia" w:eastAsiaTheme="minorEastAsia" w:cstheme="minorEastAsia"/>
          <w:kern w:val="0"/>
          <w:szCs w:val="36"/>
        </w:rPr>
        <w:t xml:space="preserve">第五章 </w:t>
      </w:r>
      <w:r>
        <w:rPr>
          <w:rFonts w:hint="eastAsia" w:asciiTheme="minorEastAsia" w:hAnsiTheme="minorEastAsia" w:eastAsiaTheme="minorEastAsia" w:cstheme="minorEastAsia"/>
          <w:szCs w:val="36"/>
        </w:rPr>
        <w:t>合同书格式</w:t>
      </w:r>
      <w:r>
        <w:tab/>
      </w:r>
      <w:r>
        <w:fldChar w:fldCharType="begin"/>
      </w:r>
      <w:r>
        <w:instrText xml:space="preserve"> PAGEREF _Toc16090 \h </w:instrText>
      </w:r>
      <w:r>
        <w:fldChar w:fldCharType="separate"/>
      </w:r>
      <w:r>
        <w:t>43</w:t>
      </w:r>
      <w:r>
        <w:fldChar w:fldCharType="end"/>
      </w:r>
      <w:r>
        <w:fldChar w:fldCharType="end"/>
      </w:r>
    </w:p>
    <w:p>
      <w:pPr>
        <w:pStyle w:val="20"/>
        <w:tabs>
          <w:tab w:val="right" w:leader="dot" w:pos="9072"/>
        </w:tabs>
        <w:spacing w:line="300" w:lineRule="auto"/>
      </w:pPr>
      <w:r>
        <w:fldChar w:fldCharType="begin"/>
      </w:r>
      <w:r>
        <w:instrText xml:space="preserve"> HYPERLINK \l "_Toc12871" </w:instrText>
      </w:r>
      <w:r>
        <w:fldChar w:fldCharType="separate"/>
      </w:r>
      <w:r>
        <w:rPr>
          <w:rFonts w:asciiTheme="minorEastAsia" w:hAnsiTheme="minorEastAsia" w:eastAsiaTheme="minorEastAsia" w:cstheme="minorEastAsia"/>
          <w:szCs w:val="36"/>
        </w:rPr>
        <w:t xml:space="preserve">第六章 </w:t>
      </w:r>
      <w:r>
        <w:rPr>
          <w:rFonts w:hint="eastAsia" w:asciiTheme="minorEastAsia" w:hAnsiTheme="minorEastAsia" w:eastAsiaTheme="minorEastAsia" w:cstheme="minorEastAsia"/>
          <w:szCs w:val="36"/>
        </w:rPr>
        <w:t>竞争性磋商响应文件格式</w:t>
      </w:r>
      <w:r>
        <w:tab/>
      </w:r>
      <w:r>
        <w:fldChar w:fldCharType="begin"/>
      </w:r>
      <w:r>
        <w:instrText xml:space="preserve"> PAGEREF _Toc12871 \h </w:instrText>
      </w:r>
      <w:r>
        <w:fldChar w:fldCharType="separate"/>
      </w:r>
      <w:r>
        <w:t>49</w:t>
      </w:r>
      <w:r>
        <w:fldChar w:fldCharType="end"/>
      </w:r>
      <w:r>
        <w:fldChar w:fldCharType="end"/>
      </w:r>
    </w:p>
    <w:p>
      <w:pPr>
        <w:pStyle w:val="22"/>
        <w:tabs>
          <w:tab w:val="right" w:leader="dot" w:pos="9072"/>
        </w:tabs>
        <w:spacing w:line="300" w:lineRule="auto"/>
      </w:pPr>
      <w:r>
        <w:fldChar w:fldCharType="begin"/>
      </w:r>
      <w:r>
        <w:instrText xml:space="preserve"> HYPERLINK \l "_Toc4945" </w:instrText>
      </w:r>
      <w:r>
        <w:fldChar w:fldCharType="separate"/>
      </w:r>
      <w:r>
        <w:rPr>
          <w:rFonts w:hint="eastAsia" w:ascii="宋体" w:hAnsi="宋体" w:cs="宋体"/>
          <w:szCs w:val="21"/>
        </w:rPr>
        <w:t>一、评分标准索引表</w:t>
      </w:r>
      <w:r>
        <w:tab/>
      </w:r>
      <w:r>
        <w:fldChar w:fldCharType="begin"/>
      </w:r>
      <w:r>
        <w:instrText xml:space="preserve"> PAGEREF _Toc4945 \h </w:instrText>
      </w:r>
      <w:r>
        <w:fldChar w:fldCharType="separate"/>
      </w:r>
      <w:r>
        <w:t>50</w:t>
      </w:r>
      <w:r>
        <w:fldChar w:fldCharType="end"/>
      </w:r>
      <w:r>
        <w:fldChar w:fldCharType="end"/>
      </w:r>
    </w:p>
    <w:p>
      <w:pPr>
        <w:pStyle w:val="22"/>
        <w:tabs>
          <w:tab w:val="right" w:leader="dot" w:pos="9072"/>
        </w:tabs>
        <w:spacing w:line="300" w:lineRule="auto"/>
      </w:pPr>
      <w:r>
        <w:fldChar w:fldCharType="begin"/>
      </w:r>
      <w:r>
        <w:instrText xml:space="preserve"> HYPERLINK \l "_Toc18933" </w:instrText>
      </w:r>
      <w:r>
        <w:fldChar w:fldCharType="separate"/>
      </w:r>
      <w:r>
        <w:rPr>
          <w:rFonts w:hint="eastAsia" w:asciiTheme="minorEastAsia" w:hAnsiTheme="minorEastAsia" w:eastAsiaTheme="minorEastAsia" w:cstheme="minorEastAsia"/>
        </w:rPr>
        <w:t>二、磋商书</w:t>
      </w:r>
      <w:r>
        <w:tab/>
      </w:r>
      <w:r>
        <w:fldChar w:fldCharType="begin"/>
      </w:r>
      <w:r>
        <w:instrText xml:space="preserve"> PAGEREF _Toc18933 \h </w:instrText>
      </w:r>
      <w:r>
        <w:fldChar w:fldCharType="separate"/>
      </w:r>
      <w:r>
        <w:t>51</w:t>
      </w:r>
      <w:r>
        <w:fldChar w:fldCharType="end"/>
      </w:r>
      <w:r>
        <w:fldChar w:fldCharType="end"/>
      </w:r>
    </w:p>
    <w:p>
      <w:pPr>
        <w:pStyle w:val="22"/>
        <w:tabs>
          <w:tab w:val="right" w:leader="dot" w:pos="9072"/>
        </w:tabs>
        <w:spacing w:line="300" w:lineRule="auto"/>
      </w:pPr>
      <w:r>
        <w:fldChar w:fldCharType="begin"/>
      </w:r>
      <w:r>
        <w:instrText xml:space="preserve"> HYPERLINK \l "_Toc13746" </w:instrText>
      </w:r>
      <w:r>
        <w:fldChar w:fldCharType="separate"/>
      </w:r>
      <w:r>
        <w:rPr>
          <w:rFonts w:hint="eastAsia" w:asciiTheme="minorEastAsia" w:hAnsiTheme="minorEastAsia" w:eastAsiaTheme="minorEastAsia" w:cstheme="minorEastAsia"/>
        </w:rPr>
        <w:t>三、法定代表人授权书</w:t>
      </w:r>
      <w:r>
        <w:tab/>
      </w:r>
      <w:r>
        <w:fldChar w:fldCharType="begin"/>
      </w:r>
      <w:r>
        <w:instrText xml:space="preserve"> PAGEREF _Toc13746 \h </w:instrText>
      </w:r>
      <w:r>
        <w:fldChar w:fldCharType="separate"/>
      </w:r>
      <w:r>
        <w:t>52</w:t>
      </w:r>
      <w:r>
        <w:fldChar w:fldCharType="end"/>
      </w:r>
      <w:r>
        <w:fldChar w:fldCharType="end"/>
      </w:r>
    </w:p>
    <w:p>
      <w:pPr>
        <w:pStyle w:val="22"/>
        <w:tabs>
          <w:tab w:val="right" w:leader="dot" w:pos="9072"/>
        </w:tabs>
        <w:spacing w:line="300" w:lineRule="auto"/>
      </w:pPr>
      <w:r>
        <w:fldChar w:fldCharType="begin"/>
      </w:r>
      <w:r>
        <w:instrText xml:space="preserve"> HYPERLINK \l "_Toc11441" </w:instrText>
      </w:r>
      <w:r>
        <w:fldChar w:fldCharType="separate"/>
      </w:r>
      <w:r>
        <w:rPr>
          <w:rFonts w:hint="eastAsia" w:asciiTheme="minorEastAsia" w:hAnsiTheme="minorEastAsia" w:eastAsiaTheme="minorEastAsia" w:cstheme="minorEastAsia"/>
          <w:bCs/>
          <w:kern w:val="0"/>
          <w:szCs w:val="21"/>
        </w:rPr>
        <w:t>四、</w:t>
      </w:r>
      <w:r>
        <w:rPr>
          <w:rFonts w:hint="eastAsia" w:asciiTheme="minorEastAsia" w:hAnsiTheme="minorEastAsia" w:eastAsiaTheme="minorEastAsia" w:cstheme="minorEastAsia"/>
          <w:bCs/>
          <w:szCs w:val="21"/>
        </w:rPr>
        <w:t>法定代表人身份证明书</w:t>
      </w:r>
      <w:r>
        <w:tab/>
      </w:r>
      <w:r>
        <w:fldChar w:fldCharType="begin"/>
      </w:r>
      <w:r>
        <w:instrText xml:space="preserve"> PAGEREF _Toc11441 \h </w:instrText>
      </w:r>
      <w:r>
        <w:fldChar w:fldCharType="separate"/>
      </w:r>
      <w:r>
        <w:t>53</w:t>
      </w:r>
      <w:r>
        <w:fldChar w:fldCharType="end"/>
      </w:r>
      <w:r>
        <w:fldChar w:fldCharType="end"/>
      </w:r>
    </w:p>
    <w:p>
      <w:pPr>
        <w:pStyle w:val="22"/>
        <w:tabs>
          <w:tab w:val="right" w:leader="dot" w:pos="9072"/>
        </w:tabs>
        <w:spacing w:line="300" w:lineRule="auto"/>
      </w:pPr>
      <w:r>
        <w:fldChar w:fldCharType="begin"/>
      </w:r>
      <w:r>
        <w:instrText xml:space="preserve"> HYPERLINK \l "_Toc7552" </w:instrText>
      </w:r>
      <w:r>
        <w:fldChar w:fldCharType="separate"/>
      </w:r>
      <w:r>
        <w:rPr>
          <w:rFonts w:hint="eastAsia" w:asciiTheme="minorEastAsia" w:hAnsiTheme="minorEastAsia" w:eastAsiaTheme="minorEastAsia" w:cstheme="minorEastAsia"/>
          <w:bCs/>
          <w:szCs w:val="21"/>
        </w:rPr>
        <w:t>五、报价一览表</w:t>
      </w:r>
      <w:r>
        <w:tab/>
      </w:r>
      <w:r>
        <w:fldChar w:fldCharType="begin"/>
      </w:r>
      <w:r>
        <w:instrText xml:space="preserve"> PAGEREF _Toc7552 \h </w:instrText>
      </w:r>
      <w:r>
        <w:fldChar w:fldCharType="separate"/>
      </w:r>
      <w:r>
        <w:t>54</w:t>
      </w:r>
      <w:r>
        <w:fldChar w:fldCharType="end"/>
      </w:r>
      <w:r>
        <w:fldChar w:fldCharType="end"/>
      </w:r>
    </w:p>
    <w:p>
      <w:pPr>
        <w:pStyle w:val="22"/>
        <w:tabs>
          <w:tab w:val="right" w:leader="dot" w:pos="9072"/>
        </w:tabs>
        <w:spacing w:line="300" w:lineRule="auto"/>
      </w:pPr>
      <w:r>
        <w:fldChar w:fldCharType="begin"/>
      </w:r>
      <w:r>
        <w:instrText xml:space="preserve"> HYPERLINK \l "_Toc31837" </w:instrText>
      </w:r>
      <w:r>
        <w:fldChar w:fldCharType="separate"/>
      </w:r>
      <w:r>
        <w:rPr>
          <w:rFonts w:hint="eastAsia" w:asciiTheme="minorEastAsia" w:hAnsiTheme="minorEastAsia" w:eastAsiaTheme="minorEastAsia" w:cstheme="minorEastAsia"/>
          <w:bCs/>
          <w:szCs w:val="21"/>
        </w:rPr>
        <w:t>六、报价费用构成表</w:t>
      </w:r>
      <w:r>
        <w:tab/>
      </w:r>
      <w:r>
        <w:fldChar w:fldCharType="begin"/>
      </w:r>
      <w:r>
        <w:instrText xml:space="preserve"> PAGEREF _Toc31837 \h </w:instrText>
      </w:r>
      <w:r>
        <w:fldChar w:fldCharType="separate"/>
      </w:r>
      <w:r>
        <w:t>55</w:t>
      </w:r>
      <w:r>
        <w:fldChar w:fldCharType="end"/>
      </w:r>
      <w:r>
        <w:fldChar w:fldCharType="end"/>
      </w:r>
    </w:p>
    <w:p>
      <w:pPr>
        <w:pStyle w:val="22"/>
        <w:tabs>
          <w:tab w:val="right" w:leader="dot" w:pos="9072"/>
        </w:tabs>
        <w:spacing w:line="300" w:lineRule="auto"/>
      </w:pPr>
      <w:r>
        <w:fldChar w:fldCharType="begin"/>
      </w:r>
      <w:r>
        <w:instrText xml:space="preserve"> HYPERLINK \l "_Toc29659" </w:instrText>
      </w:r>
      <w:r>
        <w:fldChar w:fldCharType="separate"/>
      </w:r>
      <w:r>
        <w:rPr>
          <w:rFonts w:hint="eastAsia" w:asciiTheme="minorEastAsia" w:hAnsiTheme="minorEastAsia" w:eastAsiaTheme="minorEastAsia" w:cstheme="minorEastAsia"/>
          <w:bCs/>
          <w:szCs w:val="21"/>
        </w:rPr>
        <w:t>七、耗材清单</w:t>
      </w:r>
      <w:r>
        <w:tab/>
      </w:r>
      <w:r>
        <w:fldChar w:fldCharType="begin"/>
      </w:r>
      <w:r>
        <w:instrText xml:space="preserve"> PAGEREF _Toc29659 \h </w:instrText>
      </w:r>
      <w:r>
        <w:fldChar w:fldCharType="separate"/>
      </w:r>
      <w:r>
        <w:t>56</w:t>
      </w:r>
      <w:r>
        <w:fldChar w:fldCharType="end"/>
      </w:r>
      <w:r>
        <w:fldChar w:fldCharType="end"/>
      </w:r>
    </w:p>
    <w:p>
      <w:pPr>
        <w:pStyle w:val="22"/>
        <w:tabs>
          <w:tab w:val="right" w:leader="dot" w:pos="9072"/>
        </w:tabs>
        <w:spacing w:line="300" w:lineRule="auto"/>
      </w:pPr>
      <w:r>
        <w:fldChar w:fldCharType="begin"/>
      </w:r>
      <w:r>
        <w:instrText xml:space="preserve"> HYPERLINK \l "_Toc6482" </w:instrText>
      </w:r>
      <w:r>
        <w:fldChar w:fldCharType="separate"/>
      </w:r>
      <w:r>
        <w:rPr>
          <w:rFonts w:hint="eastAsia" w:asciiTheme="minorEastAsia" w:hAnsiTheme="minorEastAsia" w:eastAsiaTheme="minorEastAsia" w:cstheme="minorEastAsia"/>
          <w:bCs/>
          <w:szCs w:val="21"/>
        </w:rPr>
        <w:t>八、拟投入设备/备件、工具情况</w:t>
      </w:r>
      <w:r>
        <w:tab/>
      </w:r>
      <w:r>
        <w:fldChar w:fldCharType="begin"/>
      </w:r>
      <w:r>
        <w:instrText xml:space="preserve"> PAGEREF _Toc6482 \h </w:instrText>
      </w:r>
      <w:r>
        <w:fldChar w:fldCharType="separate"/>
      </w:r>
      <w:r>
        <w:t>57</w:t>
      </w:r>
      <w:r>
        <w:fldChar w:fldCharType="end"/>
      </w:r>
      <w:r>
        <w:fldChar w:fldCharType="end"/>
      </w:r>
    </w:p>
    <w:p>
      <w:pPr>
        <w:pStyle w:val="22"/>
        <w:tabs>
          <w:tab w:val="right" w:leader="dot" w:pos="9072"/>
        </w:tabs>
        <w:spacing w:line="300" w:lineRule="auto"/>
      </w:pPr>
      <w:r>
        <w:fldChar w:fldCharType="begin"/>
      </w:r>
      <w:r>
        <w:instrText xml:space="preserve"> HYPERLINK \l "_Toc27781" </w:instrText>
      </w:r>
      <w:r>
        <w:fldChar w:fldCharType="separate"/>
      </w:r>
      <w:r>
        <w:rPr>
          <w:rFonts w:hint="eastAsia" w:asciiTheme="minorEastAsia" w:hAnsiTheme="minorEastAsia" w:eastAsiaTheme="minorEastAsia" w:cstheme="minorEastAsia"/>
          <w:bCs/>
          <w:szCs w:val="21"/>
        </w:rPr>
        <w:t>九、缴纳保证金的银行凭证（如有）</w:t>
      </w:r>
      <w:r>
        <w:tab/>
      </w:r>
      <w:r>
        <w:fldChar w:fldCharType="begin"/>
      </w:r>
      <w:r>
        <w:instrText xml:space="preserve"> PAGEREF _Toc27781 \h </w:instrText>
      </w:r>
      <w:r>
        <w:fldChar w:fldCharType="separate"/>
      </w:r>
      <w:r>
        <w:t>58</w:t>
      </w:r>
      <w:r>
        <w:fldChar w:fldCharType="end"/>
      </w:r>
      <w:r>
        <w:fldChar w:fldCharType="end"/>
      </w:r>
    </w:p>
    <w:p>
      <w:pPr>
        <w:pStyle w:val="22"/>
        <w:tabs>
          <w:tab w:val="right" w:leader="dot" w:pos="9072"/>
        </w:tabs>
        <w:spacing w:line="300" w:lineRule="auto"/>
      </w:pPr>
      <w:r>
        <w:fldChar w:fldCharType="begin"/>
      </w:r>
      <w:r>
        <w:instrText xml:space="preserve"> HYPERLINK \l "_Toc12761" </w:instrText>
      </w:r>
      <w:r>
        <w:fldChar w:fldCharType="separate"/>
      </w:r>
      <w:r>
        <w:rPr>
          <w:rFonts w:hint="eastAsia" w:asciiTheme="minorEastAsia" w:hAnsiTheme="minorEastAsia" w:eastAsiaTheme="minorEastAsia" w:cstheme="minorEastAsia"/>
          <w:bCs/>
          <w:szCs w:val="21"/>
        </w:rPr>
        <w:t>十、偏离说明表</w:t>
      </w:r>
      <w:r>
        <w:tab/>
      </w:r>
      <w:r>
        <w:fldChar w:fldCharType="begin"/>
      </w:r>
      <w:r>
        <w:instrText xml:space="preserve"> PAGEREF _Toc12761 \h </w:instrText>
      </w:r>
      <w:r>
        <w:fldChar w:fldCharType="separate"/>
      </w:r>
      <w:r>
        <w:t>59</w:t>
      </w:r>
      <w:r>
        <w:fldChar w:fldCharType="end"/>
      </w:r>
      <w:r>
        <w:fldChar w:fldCharType="end"/>
      </w:r>
    </w:p>
    <w:p>
      <w:pPr>
        <w:pStyle w:val="22"/>
        <w:tabs>
          <w:tab w:val="right" w:leader="dot" w:pos="9072"/>
        </w:tabs>
        <w:spacing w:line="300" w:lineRule="auto"/>
      </w:pPr>
      <w:r>
        <w:fldChar w:fldCharType="begin"/>
      </w:r>
      <w:r>
        <w:instrText xml:space="preserve"> HYPERLINK \l "_Toc18439" </w:instrText>
      </w:r>
      <w:r>
        <w:fldChar w:fldCharType="separate"/>
      </w:r>
      <w:r>
        <w:rPr>
          <w:rFonts w:hint="eastAsia" w:asciiTheme="minorEastAsia" w:hAnsiTheme="minorEastAsia" w:eastAsiaTheme="minorEastAsia" w:cstheme="minorEastAsia"/>
          <w:kern w:val="0"/>
          <w:szCs w:val="21"/>
        </w:rPr>
        <w:t>十一、</w:t>
      </w:r>
      <w:r>
        <w:rPr>
          <w:rFonts w:hint="eastAsia" w:asciiTheme="minorEastAsia" w:hAnsiTheme="minorEastAsia" w:eastAsiaTheme="minorEastAsia" w:cstheme="minorEastAsia"/>
          <w:bCs/>
          <w:szCs w:val="21"/>
        </w:rPr>
        <w:t xml:space="preserve">类似业绩一览表 </w:t>
      </w:r>
      <w:r>
        <w:tab/>
      </w:r>
      <w:r>
        <w:fldChar w:fldCharType="begin"/>
      </w:r>
      <w:r>
        <w:instrText xml:space="preserve"> PAGEREF _Toc18439 \h </w:instrText>
      </w:r>
      <w:r>
        <w:fldChar w:fldCharType="separate"/>
      </w:r>
      <w:r>
        <w:t>60</w:t>
      </w:r>
      <w:r>
        <w:fldChar w:fldCharType="end"/>
      </w:r>
      <w:r>
        <w:fldChar w:fldCharType="end"/>
      </w:r>
    </w:p>
    <w:p>
      <w:pPr>
        <w:pStyle w:val="22"/>
        <w:tabs>
          <w:tab w:val="right" w:leader="dot" w:pos="9072"/>
        </w:tabs>
        <w:spacing w:line="300" w:lineRule="auto"/>
      </w:pPr>
      <w:r>
        <w:fldChar w:fldCharType="begin"/>
      </w:r>
      <w:r>
        <w:instrText xml:space="preserve"> HYPERLINK \l "_Toc10793" </w:instrText>
      </w:r>
      <w:r>
        <w:fldChar w:fldCharType="separate"/>
      </w:r>
      <w:r>
        <w:rPr>
          <w:rFonts w:hint="eastAsia" w:asciiTheme="minorEastAsia" w:hAnsiTheme="minorEastAsia" w:eastAsiaTheme="minorEastAsia" w:cstheme="minorEastAsia"/>
          <w:bCs/>
          <w:szCs w:val="21"/>
        </w:rPr>
        <w:t>十二、拟投入项目组人员一览表</w:t>
      </w:r>
      <w:r>
        <w:tab/>
      </w:r>
      <w:r>
        <w:fldChar w:fldCharType="begin"/>
      </w:r>
      <w:r>
        <w:instrText xml:space="preserve"> PAGEREF _Toc10793 \h </w:instrText>
      </w:r>
      <w:r>
        <w:fldChar w:fldCharType="separate"/>
      </w:r>
      <w:r>
        <w:t>61</w:t>
      </w:r>
      <w:r>
        <w:fldChar w:fldCharType="end"/>
      </w:r>
      <w:r>
        <w:fldChar w:fldCharType="end"/>
      </w:r>
    </w:p>
    <w:p>
      <w:pPr>
        <w:pStyle w:val="22"/>
        <w:tabs>
          <w:tab w:val="right" w:leader="dot" w:pos="9072"/>
        </w:tabs>
        <w:spacing w:line="300" w:lineRule="auto"/>
      </w:pPr>
      <w:r>
        <w:fldChar w:fldCharType="begin"/>
      </w:r>
      <w:r>
        <w:instrText xml:space="preserve"> HYPERLINK \l "_Toc20529" </w:instrText>
      </w:r>
      <w:r>
        <w:fldChar w:fldCharType="separate"/>
      </w:r>
      <w:r>
        <w:rPr>
          <w:rFonts w:hint="eastAsia" w:asciiTheme="minorEastAsia" w:hAnsiTheme="minorEastAsia" w:eastAsiaTheme="minorEastAsia" w:cstheme="minorEastAsia"/>
          <w:bCs/>
          <w:kern w:val="0"/>
          <w:szCs w:val="21"/>
        </w:rPr>
        <w:t>十三、</w:t>
      </w:r>
      <w:r>
        <w:rPr>
          <w:rFonts w:hint="eastAsia" w:asciiTheme="minorEastAsia" w:hAnsiTheme="minorEastAsia" w:eastAsiaTheme="minorEastAsia" w:cstheme="minorEastAsia"/>
          <w:bCs/>
          <w:szCs w:val="21"/>
        </w:rPr>
        <w:t>供应商的资格声明</w:t>
      </w:r>
      <w:r>
        <w:tab/>
      </w:r>
      <w:r>
        <w:fldChar w:fldCharType="begin"/>
      </w:r>
      <w:r>
        <w:instrText xml:space="preserve"> PAGEREF _Toc20529 \h </w:instrText>
      </w:r>
      <w:r>
        <w:fldChar w:fldCharType="separate"/>
      </w:r>
      <w:r>
        <w:t>62</w:t>
      </w:r>
      <w:r>
        <w:fldChar w:fldCharType="end"/>
      </w:r>
      <w:r>
        <w:fldChar w:fldCharType="end"/>
      </w:r>
    </w:p>
    <w:p>
      <w:pPr>
        <w:pStyle w:val="22"/>
        <w:tabs>
          <w:tab w:val="right" w:leader="dot" w:pos="9072"/>
        </w:tabs>
        <w:spacing w:line="300" w:lineRule="auto"/>
      </w:pPr>
      <w:r>
        <w:fldChar w:fldCharType="begin"/>
      </w:r>
      <w:r>
        <w:instrText xml:space="preserve"> HYPERLINK \l "_Toc2435" </w:instrText>
      </w:r>
      <w:r>
        <w:fldChar w:fldCharType="separate"/>
      </w:r>
      <w:r>
        <w:rPr>
          <w:rFonts w:hint="eastAsia" w:asciiTheme="minorEastAsia" w:hAnsiTheme="minorEastAsia" w:eastAsiaTheme="minorEastAsia" w:cstheme="minorEastAsia"/>
          <w:bCs/>
          <w:kern w:val="0"/>
          <w:szCs w:val="21"/>
        </w:rPr>
        <w:t>十四、</w:t>
      </w:r>
      <w:r>
        <w:rPr>
          <w:rFonts w:hint="eastAsia" w:asciiTheme="minorEastAsia" w:hAnsiTheme="minorEastAsia" w:eastAsiaTheme="minorEastAsia" w:cstheme="minorEastAsia"/>
          <w:bCs/>
          <w:szCs w:val="21"/>
        </w:rPr>
        <w:t>资格证明文件</w:t>
      </w:r>
      <w:r>
        <w:tab/>
      </w:r>
      <w:r>
        <w:fldChar w:fldCharType="begin"/>
      </w:r>
      <w:r>
        <w:instrText xml:space="preserve"> PAGEREF _Toc2435 \h </w:instrText>
      </w:r>
      <w:r>
        <w:fldChar w:fldCharType="separate"/>
      </w:r>
      <w:r>
        <w:t>63</w:t>
      </w:r>
      <w:r>
        <w:fldChar w:fldCharType="end"/>
      </w:r>
      <w:r>
        <w:fldChar w:fldCharType="end"/>
      </w:r>
    </w:p>
    <w:p>
      <w:pPr>
        <w:pStyle w:val="22"/>
        <w:tabs>
          <w:tab w:val="right" w:leader="dot" w:pos="9072"/>
        </w:tabs>
        <w:spacing w:line="300" w:lineRule="auto"/>
      </w:pPr>
      <w:r>
        <w:fldChar w:fldCharType="begin"/>
      </w:r>
      <w:r>
        <w:instrText xml:space="preserve"> HYPERLINK \l "_Toc26939" </w:instrText>
      </w:r>
      <w:r>
        <w:fldChar w:fldCharType="separate"/>
      </w:r>
      <w:r>
        <w:rPr>
          <w:rFonts w:hint="eastAsia" w:asciiTheme="minorEastAsia" w:hAnsiTheme="minorEastAsia" w:eastAsiaTheme="minorEastAsia" w:cstheme="minorEastAsia"/>
          <w:bCs/>
          <w:kern w:val="0"/>
          <w:szCs w:val="21"/>
        </w:rPr>
        <w:t>十五、报价技术文件</w:t>
      </w:r>
      <w:r>
        <w:tab/>
      </w:r>
      <w:r>
        <w:fldChar w:fldCharType="begin"/>
      </w:r>
      <w:r>
        <w:instrText xml:space="preserve"> PAGEREF _Toc26939 \h </w:instrText>
      </w:r>
      <w:r>
        <w:fldChar w:fldCharType="separate"/>
      </w:r>
      <w:r>
        <w:t>63</w:t>
      </w:r>
      <w:r>
        <w:fldChar w:fldCharType="end"/>
      </w:r>
      <w:r>
        <w:fldChar w:fldCharType="end"/>
      </w:r>
    </w:p>
    <w:p>
      <w:pPr>
        <w:pStyle w:val="22"/>
        <w:tabs>
          <w:tab w:val="right" w:leader="dot" w:pos="9072"/>
        </w:tabs>
        <w:spacing w:line="300" w:lineRule="auto"/>
      </w:pPr>
      <w:r>
        <w:fldChar w:fldCharType="begin"/>
      </w:r>
      <w:r>
        <w:instrText xml:space="preserve"> HYPERLINK \l "_Toc15669" </w:instrText>
      </w:r>
      <w:r>
        <w:fldChar w:fldCharType="separate"/>
      </w:r>
      <w:r>
        <w:rPr>
          <w:rFonts w:hint="eastAsia" w:asciiTheme="minorEastAsia" w:hAnsiTheme="minorEastAsia" w:eastAsiaTheme="minorEastAsia" w:cstheme="minorEastAsia"/>
        </w:rPr>
        <w:t>十六、</w:t>
      </w:r>
      <w:r>
        <w:rPr>
          <w:rFonts w:hint="eastAsia" w:asciiTheme="minorEastAsia" w:hAnsiTheme="minorEastAsia" w:eastAsiaTheme="minorEastAsia" w:cstheme="minorEastAsia"/>
          <w:lang w:val="zh-CN"/>
        </w:rPr>
        <w:t>中小企业声明函（</w:t>
      </w:r>
      <w:r>
        <w:rPr>
          <w:rFonts w:hint="eastAsia" w:asciiTheme="minorEastAsia" w:hAnsiTheme="minorEastAsia" w:eastAsiaTheme="minorEastAsia" w:cstheme="minorEastAsia"/>
        </w:rPr>
        <w:t>货物</w:t>
      </w:r>
      <w:r>
        <w:rPr>
          <w:rFonts w:hint="eastAsia" w:asciiTheme="minorEastAsia" w:hAnsiTheme="minorEastAsia" w:eastAsiaTheme="minorEastAsia" w:cstheme="minorEastAsia"/>
          <w:lang w:val="zh-CN"/>
        </w:rPr>
        <w:t>）</w:t>
      </w:r>
      <w:r>
        <w:tab/>
      </w:r>
      <w:r>
        <w:fldChar w:fldCharType="begin"/>
      </w:r>
      <w:r>
        <w:instrText xml:space="preserve"> PAGEREF _Toc15669 \h </w:instrText>
      </w:r>
      <w:r>
        <w:fldChar w:fldCharType="separate"/>
      </w:r>
      <w:r>
        <w:t>64</w:t>
      </w:r>
      <w:r>
        <w:fldChar w:fldCharType="end"/>
      </w:r>
      <w:r>
        <w:fldChar w:fldCharType="end"/>
      </w:r>
    </w:p>
    <w:p>
      <w:pPr>
        <w:pStyle w:val="22"/>
        <w:tabs>
          <w:tab w:val="right" w:leader="dot" w:pos="9072"/>
        </w:tabs>
        <w:spacing w:line="300" w:lineRule="auto"/>
      </w:pPr>
      <w:r>
        <w:fldChar w:fldCharType="begin"/>
      </w:r>
      <w:r>
        <w:instrText xml:space="preserve"> HYPERLINK \l "_Toc25942" </w:instrText>
      </w:r>
      <w:r>
        <w:fldChar w:fldCharType="separate"/>
      </w:r>
      <w:r>
        <w:rPr>
          <w:rFonts w:hint="eastAsia" w:asciiTheme="minorEastAsia" w:hAnsiTheme="minorEastAsia" w:eastAsiaTheme="minorEastAsia" w:cstheme="minorEastAsia"/>
          <w:bCs/>
          <w:spacing w:val="6"/>
          <w:szCs w:val="21"/>
        </w:rPr>
        <w:t>十七、</w:t>
      </w:r>
      <w:r>
        <w:rPr>
          <w:rFonts w:hint="eastAsia" w:asciiTheme="minorEastAsia" w:hAnsiTheme="minorEastAsia" w:eastAsiaTheme="minorEastAsia" w:cstheme="minorEastAsia"/>
          <w:bCs/>
          <w:lang w:val="zh-CN"/>
        </w:rPr>
        <w:t>监狱企业证</w:t>
      </w:r>
      <w:r>
        <w:rPr>
          <w:rFonts w:hint="eastAsia" w:asciiTheme="minorEastAsia" w:hAnsiTheme="minorEastAsia" w:eastAsiaTheme="minorEastAsia" w:cstheme="minorEastAsia"/>
          <w:lang w:val="zh-CN"/>
        </w:rPr>
        <w:t>明文</w:t>
      </w:r>
      <w:r>
        <w:rPr>
          <w:rFonts w:hint="eastAsia" w:asciiTheme="minorEastAsia" w:hAnsiTheme="minorEastAsia" w:eastAsiaTheme="minorEastAsia" w:cstheme="minorEastAsia"/>
        </w:rPr>
        <w:t>件</w:t>
      </w:r>
      <w:r>
        <w:rPr>
          <w:rFonts w:hint="eastAsia" w:asciiTheme="minorEastAsia" w:hAnsiTheme="minorEastAsia" w:eastAsiaTheme="minorEastAsia" w:cstheme="minorEastAsia"/>
          <w:lang w:val="zh-CN"/>
        </w:rPr>
        <w:t>（若</w:t>
      </w:r>
      <w:r>
        <w:rPr>
          <w:rFonts w:hint="eastAsia" w:asciiTheme="minorEastAsia" w:hAnsiTheme="minorEastAsia" w:eastAsiaTheme="minorEastAsia" w:cstheme="minorEastAsia"/>
        </w:rPr>
        <w:t>符合</w:t>
      </w:r>
      <w:r>
        <w:rPr>
          <w:rFonts w:hint="eastAsia" w:asciiTheme="minorEastAsia" w:hAnsiTheme="minorEastAsia" w:eastAsiaTheme="minorEastAsia" w:cstheme="minorEastAsia"/>
          <w:lang w:val="zh-CN"/>
        </w:rPr>
        <w:t>）</w:t>
      </w:r>
      <w:r>
        <w:tab/>
      </w:r>
      <w:r>
        <w:fldChar w:fldCharType="begin"/>
      </w:r>
      <w:r>
        <w:instrText xml:space="preserve"> PAGEREF _Toc25942 \h </w:instrText>
      </w:r>
      <w:r>
        <w:fldChar w:fldCharType="separate"/>
      </w:r>
      <w:r>
        <w:t>65</w:t>
      </w:r>
      <w:r>
        <w:fldChar w:fldCharType="end"/>
      </w:r>
      <w:r>
        <w:fldChar w:fldCharType="end"/>
      </w:r>
    </w:p>
    <w:p>
      <w:pPr>
        <w:pStyle w:val="22"/>
        <w:tabs>
          <w:tab w:val="right" w:leader="dot" w:pos="9072"/>
        </w:tabs>
        <w:spacing w:line="300" w:lineRule="auto"/>
      </w:pPr>
      <w:r>
        <w:fldChar w:fldCharType="begin"/>
      </w:r>
      <w:r>
        <w:instrText xml:space="preserve"> HYPERLINK \l "_Toc18551" </w:instrText>
      </w:r>
      <w:r>
        <w:fldChar w:fldCharType="separate"/>
      </w:r>
      <w:r>
        <w:rPr>
          <w:rFonts w:hint="eastAsia" w:asciiTheme="minorEastAsia" w:hAnsiTheme="minorEastAsia" w:eastAsiaTheme="minorEastAsia" w:cstheme="minorEastAsia"/>
        </w:rPr>
        <w:t>十八、</w:t>
      </w:r>
      <w:r>
        <w:rPr>
          <w:rFonts w:hint="eastAsia" w:asciiTheme="minorEastAsia" w:hAnsiTheme="minorEastAsia" w:eastAsiaTheme="minorEastAsia" w:cstheme="minorEastAsia"/>
          <w:lang w:val="zh-CN"/>
        </w:rPr>
        <w:t>残疾人福利性单位声明函（若</w:t>
      </w:r>
      <w:r>
        <w:rPr>
          <w:rFonts w:hint="eastAsia" w:asciiTheme="minorEastAsia" w:hAnsiTheme="minorEastAsia" w:eastAsiaTheme="minorEastAsia" w:cstheme="minorEastAsia"/>
        </w:rPr>
        <w:t>符合</w:t>
      </w:r>
      <w:r>
        <w:rPr>
          <w:rFonts w:hint="eastAsia" w:asciiTheme="minorEastAsia" w:hAnsiTheme="minorEastAsia" w:eastAsiaTheme="minorEastAsia" w:cstheme="minorEastAsia"/>
          <w:lang w:val="zh-CN"/>
        </w:rPr>
        <w:t>）</w:t>
      </w:r>
      <w:r>
        <w:tab/>
      </w:r>
      <w:r>
        <w:fldChar w:fldCharType="begin"/>
      </w:r>
      <w:r>
        <w:instrText xml:space="preserve"> PAGEREF _Toc18551 \h </w:instrText>
      </w:r>
      <w:r>
        <w:fldChar w:fldCharType="separate"/>
      </w:r>
      <w:r>
        <w:t>65</w:t>
      </w:r>
      <w:r>
        <w:fldChar w:fldCharType="end"/>
      </w:r>
      <w:r>
        <w:fldChar w:fldCharType="end"/>
      </w:r>
    </w:p>
    <w:p>
      <w:pPr>
        <w:pStyle w:val="22"/>
        <w:tabs>
          <w:tab w:val="right" w:leader="dot" w:pos="9072"/>
        </w:tabs>
        <w:spacing w:line="300" w:lineRule="auto"/>
      </w:pPr>
      <w:r>
        <w:fldChar w:fldCharType="begin"/>
      </w:r>
      <w:r>
        <w:instrText xml:space="preserve"> HYPERLINK \l "_Toc30070" </w:instrText>
      </w:r>
      <w:r>
        <w:fldChar w:fldCharType="separate"/>
      </w:r>
      <w:r>
        <w:rPr>
          <w:rFonts w:hint="eastAsia" w:asciiTheme="minorEastAsia" w:hAnsiTheme="minorEastAsia" w:eastAsiaTheme="minorEastAsia" w:cstheme="minorEastAsia"/>
        </w:rPr>
        <w:t>十九、节能环保产品证明材料（若符合）</w:t>
      </w:r>
      <w:r>
        <w:tab/>
      </w:r>
      <w:r>
        <w:fldChar w:fldCharType="begin"/>
      </w:r>
      <w:r>
        <w:instrText xml:space="preserve"> PAGEREF _Toc30070 \h </w:instrText>
      </w:r>
      <w:r>
        <w:fldChar w:fldCharType="separate"/>
      </w:r>
      <w:r>
        <w:t>66</w:t>
      </w:r>
      <w:r>
        <w:fldChar w:fldCharType="end"/>
      </w:r>
      <w:r>
        <w:fldChar w:fldCharType="end"/>
      </w:r>
    </w:p>
    <w:p>
      <w:pPr>
        <w:pStyle w:val="22"/>
        <w:tabs>
          <w:tab w:val="right" w:leader="dot" w:pos="9072"/>
        </w:tabs>
        <w:spacing w:line="300" w:lineRule="auto"/>
      </w:pPr>
      <w:r>
        <w:fldChar w:fldCharType="begin"/>
      </w:r>
      <w:r>
        <w:instrText xml:space="preserve"> HYPERLINK \l "_Toc28809" </w:instrText>
      </w:r>
      <w:r>
        <w:fldChar w:fldCharType="separate"/>
      </w:r>
      <w:r>
        <w:rPr>
          <w:rFonts w:hint="eastAsia" w:asciiTheme="minorEastAsia" w:hAnsiTheme="minorEastAsia" w:eastAsiaTheme="minorEastAsia" w:cstheme="minorEastAsia"/>
          <w:bCs/>
          <w:spacing w:val="6"/>
          <w:szCs w:val="21"/>
        </w:rPr>
        <w:t>二十、</w:t>
      </w:r>
      <w:r>
        <w:rPr>
          <w:rFonts w:hint="eastAsia" w:asciiTheme="minorEastAsia" w:hAnsiTheme="minorEastAsia" w:eastAsiaTheme="minorEastAsia" w:cstheme="minorEastAsia"/>
        </w:rPr>
        <w:t>无重大违法记录声明</w:t>
      </w:r>
      <w:r>
        <w:tab/>
      </w:r>
      <w:r>
        <w:fldChar w:fldCharType="begin"/>
      </w:r>
      <w:r>
        <w:instrText xml:space="preserve"> PAGEREF _Toc28809 \h </w:instrText>
      </w:r>
      <w:r>
        <w:fldChar w:fldCharType="separate"/>
      </w:r>
      <w:r>
        <w:t>67</w:t>
      </w:r>
      <w:r>
        <w:fldChar w:fldCharType="end"/>
      </w:r>
      <w:r>
        <w:fldChar w:fldCharType="end"/>
      </w:r>
    </w:p>
    <w:p>
      <w:pPr>
        <w:pStyle w:val="22"/>
        <w:tabs>
          <w:tab w:val="right" w:leader="dot" w:pos="9072"/>
        </w:tabs>
        <w:spacing w:line="300" w:lineRule="auto"/>
      </w:pPr>
      <w:r>
        <w:fldChar w:fldCharType="begin"/>
      </w:r>
      <w:r>
        <w:instrText xml:space="preserve"> HYPERLINK \l "_Toc10634" </w:instrText>
      </w:r>
      <w:r>
        <w:fldChar w:fldCharType="separate"/>
      </w:r>
      <w:r>
        <w:rPr>
          <w:rFonts w:hint="eastAsia" w:asciiTheme="minorEastAsia" w:hAnsiTheme="minorEastAsia" w:eastAsiaTheme="minorEastAsia" w:cstheme="minorEastAsia"/>
          <w:bCs/>
          <w:kern w:val="0"/>
          <w:szCs w:val="21"/>
          <w:shd w:val="clear" w:color="auto" w:fill="FFFFFF"/>
        </w:rPr>
        <w:t xml:space="preserve">二十一、磋商供应商认为应该提交的其它文件（格式自拟） </w:t>
      </w:r>
      <w:r>
        <w:tab/>
      </w:r>
      <w:r>
        <w:fldChar w:fldCharType="begin"/>
      </w:r>
      <w:r>
        <w:instrText xml:space="preserve"> PAGEREF _Toc10634 \h </w:instrText>
      </w:r>
      <w:r>
        <w:fldChar w:fldCharType="separate"/>
      </w:r>
      <w:r>
        <w:t>67</w:t>
      </w:r>
      <w:r>
        <w:fldChar w:fldCharType="end"/>
      </w:r>
      <w:r>
        <w:fldChar w:fldCharType="end"/>
      </w:r>
    </w:p>
    <w:p>
      <w:pPr>
        <w:spacing w:line="300" w:lineRule="auto"/>
        <w:jc w:val="left"/>
        <w:rPr>
          <w:rFonts w:asciiTheme="minorEastAsia" w:hAnsiTheme="minorEastAsia" w:eastAsiaTheme="minorEastAsia" w:cstheme="minorEastAsia"/>
          <w:szCs w:val="21"/>
        </w:rPr>
        <w:sectPr>
          <w:headerReference r:id="rId3" w:type="default"/>
          <w:footerReference r:id="rId5" w:type="default"/>
          <w:headerReference r:id="rId4" w:type="even"/>
          <w:footerReference r:id="rId6" w:type="even"/>
          <w:type w:val="continuous"/>
          <w:pgSz w:w="11906" w:h="16838"/>
          <w:pgMar w:top="1417" w:right="1417" w:bottom="1417" w:left="1417" w:header="851" w:footer="992" w:gutter="0"/>
          <w:pgNumType w:fmt="numberInDash"/>
          <w:cols w:space="720" w:num="1"/>
          <w:docGrid w:type="lines" w:linePitch="312" w:charSpace="0"/>
        </w:sectPr>
      </w:pPr>
      <w:r>
        <w:rPr>
          <w:rFonts w:hint="eastAsia" w:asciiTheme="minorEastAsia" w:hAnsiTheme="minorEastAsia" w:eastAsiaTheme="minorEastAsia" w:cstheme="minorEastAsia"/>
          <w:szCs w:val="21"/>
        </w:rPr>
        <w:fldChar w:fldCharType="end"/>
      </w:r>
    </w:p>
    <w:p>
      <w:pPr>
        <w:spacing w:line="360" w:lineRule="auto"/>
        <w:jc w:val="right"/>
        <w:rPr>
          <w:rFonts w:asciiTheme="minorEastAsia" w:hAnsiTheme="minorEastAsia" w:eastAsiaTheme="minorEastAsia" w:cstheme="minorEastAsia"/>
          <w:sz w:val="36"/>
          <w:szCs w:val="36"/>
        </w:rPr>
      </w:pPr>
    </w:p>
    <w:p>
      <w:pPr>
        <w:spacing w:line="360" w:lineRule="auto"/>
        <w:jc w:val="right"/>
        <w:rPr>
          <w:rFonts w:asciiTheme="minorEastAsia" w:hAnsiTheme="minorEastAsia" w:eastAsiaTheme="minorEastAsia" w:cstheme="minorEastAsia"/>
          <w:sz w:val="36"/>
          <w:szCs w:val="36"/>
        </w:rPr>
      </w:pPr>
    </w:p>
    <w:p>
      <w:pPr>
        <w:rPr>
          <w:rFonts w:eastAsia="方正小标宋简体"/>
          <w:bCs/>
          <w:sz w:val="32"/>
          <w:szCs w:val="32"/>
        </w:rPr>
      </w:pPr>
      <w:r>
        <w:rPr>
          <w:rFonts w:eastAsia="方正小标宋简体"/>
          <w:bCs/>
          <w:sz w:val="32"/>
          <w:szCs w:val="32"/>
        </w:rPr>
        <w:br w:type="page"/>
      </w:r>
    </w:p>
    <w:p>
      <w:pPr>
        <w:spacing w:line="560" w:lineRule="exact"/>
        <w:jc w:val="center"/>
        <w:rPr>
          <w:rFonts w:eastAsia="方正小标宋简体"/>
          <w:bCs/>
          <w:sz w:val="44"/>
          <w:szCs w:val="44"/>
        </w:rPr>
      </w:pPr>
      <w:r>
        <w:rPr>
          <w:rFonts w:eastAsia="方正小标宋简体"/>
          <w:bCs/>
          <w:sz w:val="32"/>
          <w:szCs w:val="32"/>
        </w:rPr>
        <w:t>特别提示：投标注意事项</w:t>
      </w:r>
    </w:p>
    <w:p>
      <w:pPr>
        <w:pStyle w:val="102"/>
        <w:spacing w:line="384" w:lineRule="auto"/>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一、投标供应商应诚实守信,不得虚假投标。投标供应商对所提供材料的真实性负责，无论何时，如发现投标供应商提供虚假的材料，将按照《中华人民共和国政府采购法》及本项目招标文件的有关规定进行严肃处理。请认真阅读本章提示内容。</w:t>
      </w:r>
    </w:p>
    <w:p>
      <w:pPr>
        <w:pStyle w:val="102"/>
        <w:spacing w:line="384" w:lineRule="auto"/>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二、投标供应商应特别留意招标文件上载明的投标起始截止时间</w:t>
      </w:r>
      <w:r>
        <w:rPr>
          <w:rFonts w:hint="eastAsia" w:asciiTheme="minorEastAsia" w:hAnsiTheme="minorEastAsia" w:eastAsiaTheme="minorEastAsia" w:cstheme="minorEastAsia"/>
          <w:b/>
          <w:color w:val="auto"/>
          <w:sz w:val="24"/>
          <w:szCs w:val="24"/>
        </w:rPr>
        <w:t>。</w:t>
      </w:r>
    </w:p>
    <w:p>
      <w:pPr>
        <w:pStyle w:val="102"/>
        <w:spacing w:line="384" w:lineRule="auto"/>
        <w:ind w:firstLine="480" w:firstLineChars="200"/>
        <w:textAlignment w:val="auto"/>
        <w:rPr>
          <w:rFonts w:asciiTheme="minorEastAsia" w:hAnsiTheme="minorEastAsia" w:eastAsiaTheme="minorEastAsia" w:cstheme="minorEastAsia"/>
          <w:color w:val="auto"/>
          <w:sz w:val="24"/>
          <w:szCs w:val="24"/>
          <w:highlight w:val="yellow"/>
        </w:rPr>
      </w:pPr>
      <w:r>
        <w:rPr>
          <w:rFonts w:hint="eastAsia" w:asciiTheme="minorEastAsia" w:hAnsiTheme="minorEastAsia" w:eastAsiaTheme="minorEastAsia" w:cstheme="minorEastAsia"/>
          <w:color w:val="auto"/>
          <w:sz w:val="24"/>
          <w:szCs w:val="24"/>
        </w:rPr>
        <w:t>三、请仔细检查投标文件是否按要求盖单位公章、签名、签署日期、胶装要求、密封。</w:t>
      </w:r>
      <w:r>
        <w:rPr>
          <w:rFonts w:hint="eastAsia" w:asciiTheme="minorEastAsia" w:hAnsiTheme="minorEastAsia" w:eastAsiaTheme="minorEastAsia" w:cstheme="minorEastAsia"/>
          <w:i/>
          <w:iCs/>
          <w:color w:val="auto"/>
          <w:sz w:val="24"/>
          <w:szCs w:val="24"/>
          <w:u w:val="single"/>
        </w:rPr>
        <w:t>（为便于评审及规范统一，建议投标文件根据编写的顺序和格式，统一编目编码及评审导航表。打印投标文件按照环保节约的原则，具备条件的建议双面打印。）</w:t>
      </w:r>
    </w:p>
    <w:p>
      <w:pPr>
        <w:pStyle w:val="102"/>
        <w:spacing w:line="384" w:lineRule="auto"/>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四、带“★”号条款均为实质性响应指标要求，必须全部响应。若有一项带“★”条款未响应或不满足，均视为非实质性响应招标文件，按无效投标处理。</w:t>
      </w:r>
    </w:p>
    <w:p>
      <w:pPr>
        <w:pStyle w:val="102"/>
        <w:spacing w:line="384" w:lineRule="auto"/>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五、投标供应商编制投标文件时，应仔细按照招标文件第四章要求的资格性审查一览表、符合性审查一览表，认真填写。资料不齐全将导致投标失败。</w:t>
      </w:r>
    </w:p>
    <w:p>
      <w:pPr>
        <w:pStyle w:val="102"/>
        <w:spacing w:line="384" w:lineRule="auto"/>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六、投标文件中相关复印资料应清晰、可辨认，如因资料模糊，导致无法正常评审的，后果自负。</w:t>
      </w:r>
    </w:p>
    <w:p>
      <w:pPr>
        <w:pStyle w:val="102"/>
        <w:spacing w:line="384" w:lineRule="auto"/>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七、请投标供应商仔细阅读本项目招标文件的全部条文，对于文件中存在的任何含糊、遗漏、相互矛盾之处，或是对于采购范围的界定和采购内容的要求不清楚，认为存在歧义的，投标供应商可按本文件规定的时限向采购代理机构寻求书面澄清；未提出澄清要求的，则认同为完全理解本文件要求并接受采购人或采购代理机构可能作出的任何最终解释。</w:t>
      </w:r>
    </w:p>
    <w:p>
      <w:pPr>
        <w:pStyle w:val="102"/>
        <w:spacing w:line="384" w:lineRule="auto"/>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八、关于本项目招标文件有关内容的澄清、修改及变更等通知将通过书面形式经邮箱通知各投标供应商同时电话告知，若采购人或采购代理机构未收到回执或回复，视为收悉，并默认通知内容。若因投标供应商自身原因接收消息不及时，导致投标受影响，其后果自行承担。</w:t>
      </w:r>
    </w:p>
    <w:p>
      <w:pPr>
        <w:spacing w:line="384" w:lineRule="auto"/>
        <w:jc w:val="left"/>
        <w:rPr>
          <w:rFonts w:asciiTheme="minorEastAsia" w:hAnsiTheme="minorEastAsia" w:eastAsiaTheme="minorEastAsia" w:cstheme="minorEastAsia"/>
        </w:rPr>
        <w:sectPr>
          <w:headerReference r:id="rId7" w:type="default"/>
          <w:footerReference r:id="rId9" w:type="default"/>
          <w:headerReference r:id="rId8" w:type="even"/>
          <w:footerReference r:id="rId10" w:type="even"/>
          <w:type w:val="continuous"/>
          <w:pgSz w:w="11906" w:h="16838"/>
          <w:pgMar w:top="1417" w:right="1417" w:bottom="1417" w:left="1417" w:header="851" w:footer="992" w:gutter="0"/>
          <w:pgNumType w:fmt="numberInDash"/>
          <w:cols w:space="720" w:num="1"/>
          <w:docGrid w:type="lines" w:linePitch="312" w:charSpace="0"/>
        </w:sectPr>
      </w:pPr>
    </w:p>
    <w:p>
      <w:pPr>
        <w:spacing w:line="360" w:lineRule="auto"/>
        <w:jc w:val="right"/>
        <w:rPr>
          <w:rFonts w:asciiTheme="minorEastAsia" w:hAnsiTheme="minorEastAsia" w:eastAsiaTheme="minorEastAsia" w:cstheme="minorEastAsia"/>
          <w:szCs w:val="21"/>
        </w:rPr>
      </w:pPr>
      <w:r>
        <w:rPr>
          <w:rFonts w:hint="eastAsia" w:asciiTheme="minorEastAsia" w:hAnsiTheme="minorEastAsia" w:eastAsiaTheme="minorEastAsia" w:cstheme="minorEastAsia"/>
          <w:sz w:val="36"/>
          <w:szCs w:val="36"/>
        </w:rPr>
        <w:br w:type="page"/>
      </w:r>
    </w:p>
    <w:p>
      <w:pPr>
        <w:numPr>
          <w:ilvl w:val="0"/>
          <w:numId w:val="5"/>
        </w:numPr>
        <w:spacing w:line="360" w:lineRule="auto"/>
        <w:jc w:val="center"/>
        <w:outlineLvl w:val="0"/>
        <w:rPr>
          <w:b/>
          <w:bCs/>
          <w:sz w:val="24"/>
        </w:rPr>
      </w:pPr>
      <w:bookmarkStart w:id="0" w:name="_Toc21887"/>
      <w:bookmarkStart w:id="1" w:name="_Toc6866"/>
      <w:r>
        <w:rPr>
          <w:rFonts w:hint="eastAsia" w:ascii="宋体" w:hAnsi="宋体" w:cs="宋体"/>
          <w:b/>
          <w:sz w:val="36"/>
          <w:szCs w:val="36"/>
        </w:rPr>
        <w:t>竞争性磋商公告</w:t>
      </w:r>
      <w:bookmarkEnd w:id="0"/>
      <w:bookmarkEnd w:id="1"/>
      <w:bookmarkStart w:id="2" w:name="_Toc524908844"/>
      <w:bookmarkStart w:id="3" w:name="_Toc152042288"/>
      <w:bookmarkStart w:id="4" w:name="_Toc152045512"/>
      <w:bookmarkStart w:id="5" w:name="_Toc144974480"/>
      <w:bookmarkStart w:id="6" w:name="_Toc179632528"/>
      <w:bookmarkStart w:id="7" w:name="_Toc9976"/>
    </w:p>
    <w:bookmarkEnd w:id="2"/>
    <w:bookmarkEnd w:id="3"/>
    <w:bookmarkEnd w:id="4"/>
    <w:bookmarkEnd w:id="5"/>
    <w:bookmarkEnd w:id="6"/>
    <w:bookmarkEnd w:id="7"/>
    <w:p>
      <w:pPr>
        <w:pBdr>
          <w:top w:val="single" w:color="auto" w:sz="4" w:space="1"/>
          <w:left w:val="single" w:color="auto" w:sz="4" w:space="4"/>
          <w:bottom w:val="single" w:color="auto" w:sz="4" w:space="1"/>
          <w:right w:val="single" w:color="auto" w:sz="4" w:space="4"/>
        </w:pBdr>
        <w:spacing w:line="360" w:lineRule="auto"/>
        <w:jc w:val="left"/>
        <w:rPr>
          <w:rFonts w:ascii="宋体" w:hAnsi="宋体" w:cs="宋体"/>
          <w:color w:val="000000"/>
          <w:szCs w:val="21"/>
        </w:rPr>
      </w:pPr>
      <w:r>
        <w:rPr>
          <w:rFonts w:hint="eastAsia" w:ascii="宋体" w:hAnsi="宋体" w:cs="宋体"/>
          <w:b/>
          <w:bCs/>
          <w:color w:val="000000"/>
          <w:szCs w:val="21"/>
        </w:rPr>
        <w:t>项目概况</w:t>
      </w:r>
    </w:p>
    <w:p>
      <w:pPr>
        <w:pBdr>
          <w:top w:val="single" w:color="auto" w:sz="4" w:space="1"/>
          <w:left w:val="single" w:color="auto" w:sz="4" w:space="4"/>
          <w:bottom w:val="single" w:color="auto" w:sz="4" w:space="1"/>
          <w:right w:val="single" w:color="auto" w:sz="4" w:space="4"/>
        </w:pBdr>
        <w:spacing w:line="360" w:lineRule="auto"/>
        <w:ind w:firstLine="420" w:firstLineChars="200"/>
        <w:jc w:val="left"/>
        <w:rPr>
          <w:rFonts w:ascii="宋体" w:hAnsi="宋体" w:cs="宋体"/>
          <w:color w:val="000000"/>
          <w:szCs w:val="21"/>
        </w:rPr>
      </w:pPr>
      <w:r>
        <w:rPr>
          <w:rFonts w:hint="eastAsia" w:ascii="宋体" w:hAnsi="宋体" w:cs="宋体"/>
          <w:szCs w:val="21"/>
          <w:u w:val="single"/>
        </w:rPr>
        <w:t>湖北工业大学机械工程学院测控技术与仪器专业建设项目（一期）</w:t>
      </w:r>
      <w:r>
        <w:rPr>
          <w:rFonts w:hint="eastAsia" w:ascii="宋体" w:hAnsi="宋体" w:cs="宋体"/>
          <w:szCs w:val="21"/>
        </w:rPr>
        <w:t>采购项目的潜在供应商应在</w:t>
      </w:r>
      <w:r>
        <w:rPr>
          <w:rFonts w:hint="eastAsia" w:ascii="宋体" w:hAnsi="宋体" w:cs="宋体"/>
          <w:szCs w:val="21"/>
          <w:u w:val="single"/>
        </w:rPr>
        <w:t>武昌区中北路岳家嘴立交山河企业大厦48楼4805室或电子服务平台或邮箱</w:t>
      </w:r>
      <w:r>
        <w:rPr>
          <w:rFonts w:hint="eastAsia" w:ascii="宋体" w:hAnsi="宋体" w:cs="宋体"/>
          <w:szCs w:val="21"/>
        </w:rPr>
        <w:t>获取采购</w:t>
      </w:r>
      <w:r>
        <w:rPr>
          <w:rFonts w:hint="eastAsia" w:ascii="宋体" w:hAnsi="宋体" w:cs="宋体"/>
          <w:color w:val="000000"/>
          <w:szCs w:val="21"/>
        </w:rPr>
        <w:t>文件，并于</w:t>
      </w:r>
      <w:r>
        <w:rPr>
          <w:rFonts w:hint="eastAsia" w:ascii="宋体" w:hAnsi="宋体" w:cs="宋体"/>
          <w:color w:val="171EEA"/>
          <w:szCs w:val="21"/>
          <w:u w:val="single"/>
          <w:lang w:val="en-US" w:eastAsia="zh-CN"/>
        </w:rPr>
        <w:t>2024</w:t>
      </w:r>
      <w:r>
        <w:rPr>
          <w:rFonts w:hint="eastAsia" w:ascii="宋体" w:hAnsi="宋体" w:cs="宋体"/>
          <w:color w:val="171EEA"/>
          <w:szCs w:val="21"/>
          <w:u w:val="single"/>
        </w:rPr>
        <w:t>年</w:t>
      </w:r>
      <w:r>
        <w:rPr>
          <w:rFonts w:hint="eastAsia" w:ascii="宋体" w:hAnsi="宋体" w:cs="宋体"/>
          <w:color w:val="171EEA"/>
          <w:szCs w:val="21"/>
          <w:u w:val="single"/>
          <w:lang w:val="en-US" w:eastAsia="zh-CN"/>
        </w:rPr>
        <w:t>1</w:t>
      </w:r>
      <w:r>
        <w:rPr>
          <w:rFonts w:hint="eastAsia" w:ascii="宋体" w:hAnsi="宋体" w:cs="宋体"/>
          <w:color w:val="171EEA"/>
          <w:szCs w:val="21"/>
          <w:u w:val="single"/>
        </w:rPr>
        <w:t>月</w:t>
      </w:r>
      <w:r>
        <w:rPr>
          <w:rFonts w:hint="eastAsia" w:ascii="宋体" w:hAnsi="宋体" w:cs="宋体"/>
          <w:color w:val="171EEA"/>
          <w:szCs w:val="21"/>
          <w:u w:val="single"/>
          <w:lang w:val="en-US" w:eastAsia="zh-CN"/>
        </w:rPr>
        <w:t>5</w:t>
      </w:r>
      <w:r>
        <w:rPr>
          <w:rFonts w:hint="eastAsia" w:ascii="宋体" w:hAnsi="宋体" w:cs="宋体"/>
          <w:color w:val="171EEA"/>
          <w:szCs w:val="21"/>
          <w:u w:val="single"/>
        </w:rPr>
        <w:t>日</w:t>
      </w:r>
      <w:r>
        <w:rPr>
          <w:rFonts w:hint="eastAsia" w:ascii="宋体" w:hAnsi="宋体" w:cs="宋体"/>
          <w:color w:val="171EEA"/>
          <w:szCs w:val="21"/>
          <w:u w:val="single"/>
          <w:lang w:val="en-US" w:eastAsia="zh-CN"/>
        </w:rPr>
        <w:t>10</w:t>
      </w:r>
      <w:r>
        <w:rPr>
          <w:rFonts w:hint="eastAsia" w:ascii="宋体" w:hAnsi="宋体" w:cs="宋体"/>
          <w:color w:val="171EEA"/>
          <w:szCs w:val="21"/>
          <w:u w:val="single"/>
        </w:rPr>
        <w:t>点</w:t>
      </w:r>
      <w:r>
        <w:rPr>
          <w:rFonts w:hint="eastAsia" w:ascii="宋体" w:hAnsi="宋体" w:cs="宋体"/>
          <w:color w:val="171EEA"/>
          <w:szCs w:val="21"/>
          <w:u w:val="single"/>
          <w:lang w:val="en-US" w:eastAsia="zh-CN"/>
        </w:rPr>
        <w:t>00</w:t>
      </w:r>
      <w:r>
        <w:rPr>
          <w:rFonts w:hint="eastAsia" w:ascii="宋体" w:hAnsi="宋体" w:cs="宋体"/>
          <w:color w:val="171EEA"/>
          <w:szCs w:val="21"/>
          <w:u w:val="single"/>
        </w:rPr>
        <w:t>分</w:t>
      </w:r>
      <w:r>
        <w:rPr>
          <w:rFonts w:hint="eastAsia" w:ascii="宋体" w:hAnsi="宋体" w:cs="宋体"/>
          <w:color w:val="000000"/>
          <w:szCs w:val="21"/>
        </w:rPr>
        <w:t>（北京时间）前递交响应文件。</w:t>
      </w:r>
    </w:p>
    <w:p>
      <w:pPr>
        <w:pStyle w:val="4"/>
        <w:spacing w:line="360" w:lineRule="auto"/>
        <w:jc w:val="left"/>
        <w:rPr>
          <w:rFonts w:ascii="宋体" w:hAnsi="宋体" w:eastAsia="宋体" w:cs="宋体"/>
          <w:color w:val="000000"/>
          <w:sz w:val="21"/>
          <w:szCs w:val="21"/>
        </w:rPr>
      </w:pPr>
      <w:bookmarkStart w:id="8" w:name="_Toc1965"/>
      <w:r>
        <w:rPr>
          <w:rFonts w:hint="eastAsia" w:ascii="宋体" w:hAnsi="宋体" w:eastAsia="宋体" w:cs="宋体"/>
          <w:color w:val="000000"/>
          <w:sz w:val="21"/>
          <w:szCs w:val="21"/>
        </w:rPr>
        <w:t>一、项目基本情况</w:t>
      </w:r>
      <w:bookmarkEnd w:id="8"/>
    </w:p>
    <w:p>
      <w:pPr>
        <w:spacing w:line="360" w:lineRule="auto"/>
        <w:jc w:val="left"/>
        <w:rPr>
          <w:rFonts w:asciiTheme="minorEastAsia" w:hAnsiTheme="minorEastAsia" w:eastAsiaTheme="minorEastAsia" w:cstheme="minorEastAsia"/>
          <w:color w:val="FF0000"/>
          <w:szCs w:val="21"/>
        </w:rPr>
      </w:pPr>
      <w:r>
        <w:rPr>
          <w:rFonts w:hint="eastAsia" w:asciiTheme="minorEastAsia" w:hAnsiTheme="minorEastAsia" w:eastAsiaTheme="minorEastAsia" w:cstheme="minorEastAsia"/>
          <w:szCs w:val="21"/>
        </w:rPr>
        <w:t>1.项目编号：HGDXW23-131/ZCHM-ZC-202312-289</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2.采购计划备案号：420000-2023-19585</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3.项目名称：湖北工业大学机械工程学院测控技术与仪器专业建设项目（一期）</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4.采购方式：竞争性磋商</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5.预算金额：人民币</w:t>
      </w:r>
      <w:r>
        <w:rPr>
          <w:rFonts w:hint="eastAsia" w:asciiTheme="minorEastAsia" w:hAnsiTheme="minorEastAsia" w:eastAsiaTheme="minorEastAsia" w:cstheme="minorEastAsia"/>
          <w:szCs w:val="21"/>
          <w:u w:val="single"/>
        </w:rPr>
        <w:t>290</w:t>
      </w:r>
      <w:r>
        <w:rPr>
          <w:rFonts w:hint="eastAsia" w:asciiTheme="minorEastAsia" w:hAnsiTheme="minorEastAsia" w:eastAsiaTheme="minorEastAsia" w:cstheme="minorEastAsia"/>
          <w:szCs w:val="21"/>
        </w:rPr>
        <w:t>万元</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6.最高限价：人民币</w:t>
      </w:r>
      <w:r>
        <w:rPr>
          <w:rFonts w:hint="eastAsia" w:asciiTheme="minorEastAsia" w:hAnsiTheme="minorEastAsia" w:eastAsiaTheme="minorEastAsia" w:cstheme="minorEastAsia"/>
          <w:szCs w:val="21"/>
          <w:u w:val="single"/>
        </w:rPr>
        <w:t>290</w:t>
      </w:r>
      <w:r>
        <w:rPr>
          <w:rFonts w:hint="eastAsia" w:asciiTheme="minorEastAsia" w:hAnsiTheme="minorEastAsia" w:eastAsiaTheme="minorEastAsia" w:cstheme="minorEastAsia"/>
          <w:szCs w:val="21"/>
        </w:rPr>
        <w:t>万元</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szCs w:val="21"/>
        </w:rPr>
        <w:t>7.采购需求：本项目共为1个</w:t>
      </w:r>
      <w:r>
        <w:rPr>
          <w:rFonts w:hint="eastAsia" w:asciiTheme="minorEastAsia" w:hAnsiTheme="minorEastAsia" w:eastAsiaTheme="minorEastAsia" w:cstheme="minorEastAsia"/>
          <w:szCs w:val="21"/>
        </w:rPr>
        <w:t>包。采购内容包含集成电路IC制造微纳缺陷在线检测仪、集成电路IC制造微纳缺陷在线检测软件； (详见采</w:t>
      </w:r>
      <w:r>
        <w:rPr>
          <w:rFonts w:hint="eastAsia" w:asciiTheme="minorEastAsia" w:hAnsiTheme="minorEastAsia" w:eastAsiaTheme="minorEastAsia" w:cstheme="minorEastAsia"/>
          <w:color w:val="000000"/>
          <w:szCs w:val="21"/>
        </w:rPr>
        <w:t>购文件第三章“项目采购需求”）</w:t>
      </w:r>
    </w:p>
    <w:p>
      <w:pPr>
        <w:spacing w:line="360" w:lineRule="auto"/>
        <w:ind w:firstLine="420" w:firstLineChars="200"/>
        <w:jc w:val="left"/>
        <w:rPr>
          <w:rFonts w:ascii="宋体" w:hAnsi="宋体" w:cs="宋体"/>
          <w:szCs w:val="21"/>
        </w:rPr>
      </w:pPr>
      <w:r>
        <w:rPr>
          <w:rFonts w:hint="eastAsia" w:ascii="宋体" w:hAnsi="宋体" w:cs="宋体"/>
          <w:szCs w:val="21"/>
        </w:rPr>
        <w:t>（1）类别：货物</w:t>
      </w:r>
    </w:p>
    <w:p>
      <w:pPr>
        <w:spacing w:line="360" w:lineRule="auto"/>
        <w:ind w:firstLine="420" w:firstLineChars="200"/>
        <w:jc w:val="left"/>
        <w:rPr>
          <w:rFonts w:ascii="宋体" w:hAnsi="宋体" w:cs="宋体"/>
          <w:szCs w:val="21"/>
        </w:rPr>
      </w:pPr>
      <w:r>
        <w:rPr>
          <w:rFonts w:hint="eastAsia" w:ascii="宋体" w:hAnsi="宋体" w:cs="宋体"/>
          <w:szCs w:val="21"/>
        </w:rPr>
        <w:t>（2）质量标准：达到国家或行业颁布的其他现行各项技术标准和验收规范规定</w:t>
      </w:r>
    </w:p>
    <w:p>
      <w:pPr>
        <w:spacing w:line="360" w:lineRule="auto"/>
        <w:ind w:firstLine="420" w:firstLineChars="200"/>
        <w:jc w:val="left"/>
        <w:rPr>
          <w:rFonts w:ascii="宋体" w:hAnsi="宋体" w:cs="宋体"/>
          <w:szCs w:val="21"/>
        </w:rPr>
      </w:pPr>
      <w:r>
        <w:rPr>
          <w:rFonts w:hint="eastAsia" w:ascii="宋体" w:hAnsi="宋体" w:cs="宋体"/>
          <w:szCs w:val="21"/>
        </w:rPr>
        <w:t>（3）其他：供应商参加竞标的报价超过该包采购最高限价的，该包竞标无效；供应商报价须包含该采购需求的全部内容。</w:t>
      </w:r>
    </w:p>
    <w:p>
      <w:pPr>
        <w:spacing w:line="360" w:lineRule="auto"/>
        <w:jc w:val="left"/>
        <w:rPr>
          <w:rFonts w:ascii="宋体" w:hAnsi="宋体" w:cs="宋体"/>
          <w:strike/>
          <w:szCs w:val="21"/>
        </w:rPr>
      </w:pPr>
      <w:r>
        <w:rPr>
          <w:rFonts w:hint="eastAsia" w:ascii="宋体" w:hAnsi="宋体" w:cs="宋体"/>
          <w:szCs w:val="21"/>
        </w:rPr>
        <w:t>8.合同履行期限：</w:t>
      </w:r>
      <w:r>
        <w:rPr>
          <w:rFonts w:hint="eastAsia" w:ascii="宋体" w:hAnsi="宋体" w:cs="宋体"/>
          <w:szCs w:val="21"/>
          <w:u w:val="single"/>
        </w:rPr>
        <w:t>交货期：</w:t>
      </w:r>
      <w:r>
        <w:rPr>
          <w:rFonts w:hint="eastAsia"/>
          <w:u w:val="single"/>
        </w:rPr>
        <w:t>自签订合同之日起</w:t>
      </w:r>
      <w:r>
        <w:rPr>
          <w:u w:val="single"/>
        </w:rPr>
        <w:t>7</w:t>
      </w:r>
      <w:r>
        <w:rPr>
          <w:rFonts w:hint="eastAsia"/>
          <w:u w:val="single"/>
        </w:rPr>
        <w:t>日内完成供货、安装、调试工作。质保期/保修期：验收合格之日起1年。</w:t>
      </w:r>
      <w:r>
        <w:rPr>
          <w:rFonts w:hint="eastAsia" w:ascii="宋体" w:hAnsi="宋体" w:cs="宋体"/>
          <w:szCs w:val="21"/>
          <w:u w:val="single"/>
        </w:rPr>
        <w:t xml:space="preserve">                  </w:t>
      </w:r>
    </w:p>
    <w:p>
      <w:pPr>
        <w:spacing w:line="360" w:lineRule="auto"/>
        <w:jc w:val="left"/>
        <w:rPr>
          <w:rFonts w:ascii="宋体" w:hAnsi="宋体" w:cs="宋体"/>
          <w:szCs w:val="21"/>
          <w:highlight w:val="yellow"/>
        </w:rPr>
      </w:pPr>
      <w:r>
        <w:rPr>
          <w:rFonts w:hint="eastAsia" w:ascii="宋体" w:hAnsi="宋体" w:cs="宋体"/>
          <w:szCs w:val="21"/>
        </w:rPr>
        <w:t>9.本项目（是/否）接受联合体投标：否</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10.是否可采购进口产品：否</w:t>
      </w:r>
    </w:p>
    <w:p>
      <w:pPr>
        <w:spacing w:line="360" w:lineRule="auto"/>
        <w:jc w:val="left"/>
        <w:rPr>
          <w:rFonts w:ascii="宋体" w:hAnsi="宋体" w:cs="宋体"/>
          <w:szCs w:val="21"/>
        </w:rPr>
      </w:pPr>
      <w:r>
        <w:rPr>
          <w:rFonts w:hint="eastAsia" w:asciiTheme="minorEastAsia" w:hAnsiTheme="minorEastAsia" w:eastAsiaTheme="minorEastAsia" w:cstheme="minorEastAsia"/>
          <w:szCs w:val="21"/>
        </w:rPr>
        <w:t>11.本项目（是/否）专门面向中小微企业：是</w:t>
      </w:r>
    </w:p>
    <w:p>
      <w:pPr>
        <w:pStyle w:val="4"/>
        <w:spacing w:line="360" w:lineRule="auto"/>
        <w:jc w:val="left"/>
        <w:rPr>
          <w:rFonts w:ascii="宋体" w:hAnsi="宋体" w:eastAsia="宋体" w:cs="宋体"/>
          <w:sz w:val="21"/>
          <w:szCs w:val="21"/>
        </w:rPr>
      </w:pPr>
      <w:bookmarkStart w:id="9" w:name="_Toc8621"/>
      <w:r>
        <w:rPr>
          <w:rFonts w:hint="eastAsia" w:ascii="宋体" w:hAnsi="宋体" w:eastAsia="宋体" w:cs="宋体"/>
          <w:sz w:val="21"/>
          <w:szCs w:val="21"/>
        </w:rPr>
        <w:t>二、申请人的资格要求</w:t>
      </w:r>
      <w:bookmarkEnd w:id="9"/>
    </w:p>
    <w:p>
      <w:pPr>
        <w:spacing w:line="360" w:lineRule="auto"/>
        <w:ind w:firstLine="420" w:firstLineChars="200"/>
        <w:jc w:val="left"/>
        <w:rPr>
          <w:rFonts w:ascii="宋体" w:hAnsi="宋体" w:cs="宋体"/>
          <w:szCs w:val="21"/>
        </w:rPr>
      </w:pPr>
      <w:r>
        <w:rPr>
          <w:rFonts w:hint="eastAsia" w:ascii="宋体" w:hAnsi="宋体" w:cs="宋体"/>
          <w:szCs w:val="21"/>
        </w:rPr>
        <w:t>1.满足《中华人民共和国政府采购法》第二十二条规定；</w:t>
      </w:r>
    </w:p>
    <w:p>
      <w:pPr>
        <w:spacing w:line="360" w:lineRule="auto"/>
        <w:ind w:firstLine="420" w:firstLineChars="200"/>
        <w:jc w:val="lef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（1）具有独立承担民事责任的能力；</w:t>
      </w:r>
    </w:p>
    <w:p>
      <w:pPr>
        <w:spacing w:line="360" w:lineRule="auto"/>
        <w:ind w:firstLine="420" w:firstLineChars="200"/>
        <w:jc w:val="lef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（2）具有良好的商业信誉和健全的财务会计制度；</w:t>
      </w:r>
    </w:p>
    <w:p>
      <w:pPr>
        <w:spacing w:line="360" w:lineRule="auto"/>
        <w:ind w:firstLine="420" w:firstLineChars="200"/>
        <w:jc w:val="lef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（3）具有履行合同所必需的设备和专业技术能力；</w:t>
      </w:r>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szCs w:val="21"/>
        </w:rPr>
        <w:t>（4）有依</w:t>
      </w:r>
      <w:r>
        <w:rPr>
          <w:rFonts w:hint="eastAsia" w:asciiTheme="minorEastAsia" w:hAnsiTheme="minorEastAsia" w:eastAsiaTheme="minorEastAsia" w:cstheme="minorEastAsia"/>
          <w:szCs w:val="21"/>
        </w:rPr>
        <w:t>法缴纳税收和社会保障资金的良好记录；</w:t>
      </w:r>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szCs w:val="21"/>
        </w:rPr>
        <w:t>（5）</w:t>
      </w:r>
      <w:r>
        <w:rPr>
          <w:rFonts w:hint="eastAsia" w:asciiTheme="minorEastAsia" w:hAnsiTheme="minorEastAsia" w:eastAsiaTheme="minorEastAsia" w:cstheme="minorEastAsia"/>
          <w:szCs w:val="21"/>
        </w:rPr>
        <w:t>参加政府采购活动前三年内，在经营活动中没有重大违法记录；</w:t>
      </w:r>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szCs w:val="21"/>
        </w:rPr>
        <w:t>（6）</w:t>
      </w:r>
      <w:r>
        <w:rPr>
          <w:rFonts w:hint="eastAsia" w:asciiTheme="minorEastAsia" w:hAnsiTheme="minorEastAsia" w:eastAsiaTheme="minorEastAsia" w:cstheme="minorEastAsia"/>
          <w:szCs w:val="21"/>
        </w:rPr>
        <w:t>法律、行政法规规定的其他条件；</w:t>
      </w:r>
    </w:p>
    <w:p>
      <w:pPr>
        <w:spacing w:line="360" w:lineRule="auto"/>
        <w:ind w:firstLine="420" w:firstLineChars="200"/>
        <w:jc w:val="left"/>
        <w:rPr>
          <w:rFonts w:ascii="宋体" w:hAnsi="宋体" w:cs="宋体"/>
          <w:szCs w:val="21"/>
        </w:rPr>
      </w:pPr>
      <w:r>
        <w:rPr>
          <w:rFonts w:hint="eastAsia" w:ascii="宋体" w:hAnsi="宋体" w:cs="宋体"/>
          <w:szCs w:val="21"/>
        </w:rPr>
        <w:t>2.单位负责人为同一人或者存在直接控股、管理关系的不同供应商，不得参加本项目同一合同项下的政府采购活动。</w:t>
      </w:r>
    </w:p>
    <w:p>
      <w:pPr>
        <w:spacing w:line="360" w:lineRule="auto"/>
        <w:ind w:firstLine="420" w:firstLineChars="200"/>
        <w:jc w:val="left"/>
        <w:rPr>
          <w:rFonts w:ascii="宋体" w:hAnsi="宋体" w:cs="宋体"/>
          <w:szCs w:val="21"/>
        </w:rPr>
      </w:pPr>
      <w:r>
        <w:rPr>
          <w:rFonts w:hint="eastAsia" w:ascii="宋体" w:hAnsi="宋体" w:cs="宋体"/>
          <w:szCs w:val="21"/>
        </w:rPr>
        <w:t>3.为本采购项目提供整体设计、规范编制或者项目管理、监理、检测等服务的，不得再参加本项目的其他招标采购活动。</w:t>
      </w:r>
    </w:p>
    <w:p>
      <w:pPr>
        <w:spacing w:line="360" w:lineRule="auto"/>
        <w:ind w:firstLine="420" w:firstLineChars="200"/>
        <w:jc w:val="left"/>
        <w:rPr>
          <w:rFonts w:ascii="宋体" w:hAnsi="宋体" w:cs="宋体"/>
          <w:szCs w:val="21"/>
        </w:rPr>
      </w:pPr>
      <w:r>
        <w:rPr>
          <w:rFonts w:hint="eastAsia" w:ascii="宋体" w:hAnsi="宋体" w:cs="宋体"/>
          <w:szCs w:val="21"/>
        </w:rPr>
        <w:t>4.未被列入失信被执行人、重大税收违法失信主体，未被列入政府采购严重违法失信行为记录名单。</w:t>
      </w:r>
    </w:p>
    <w:p>
      <w:pPr>
        <w:spacing w:line="360" w:lineRule="auto"/>
        <w:ind w:firstLine="420" w:firstLineChars="200"/>
        <w:jc w:val="left"/>
        <w:rPr>
          <w:rFonts w:ascii="宋体" w:hAnsi="宋体" w:cs="宋体"/>
          <w:szCs w:val="21"/>
        </w:rPr>
      </w:pPr>
      <w:r>
        <w:rPr>
          <w:rFonts w:hint="eastAsia" w:ascii="宋体" w:hAnsi="宋体" w:cs="宋体"/>
          <w:szCs w:val="21"/>
        </w:rPr>
        <w:t>5.落实政府采购政策需满足的资格要求：本项目整体专门面向中小企业采购，供应商所投货物全部由符合《政府采购促进中小企业发展管理办法》（财库【2020】46号）规定的中小企业制造。（监狱企业、残疾人福利性单位均视同小型、微型企业）。本项目企业划分标准所属行业为“工业”。</w:t>
      </w:r>
    </w:p>
    <w:p>
      <w:pPr>
        <w:spacing w:line="360" w:lineRule="auto"/>
        <w:ind w:firstLine="422" w:firstLineChars="200"/>
        <w:jc w:val="left"/>
        <w:rPr>
          <w:rFonts w:ascii="宋体" w:hAnsi="宋体" w:cs="宋体" w:eastAsiaTheme="minorEastAsia"/>
          <w:szCs w:val="21"/>
        </w:rPr>
      </w:pPr>
      <w:r>
        <w:rPr>
          <w:rFonts w:hint="eastAsia" w:asciiTheme="minorEastAsia" w:hAnsiTheme="minorEastAsia" w:eastAsiaTheme="minorEastAsia" w:cstheme="minorEastAsia"/>
          <w:b/>
          <w:bCs/>
          <w:szCs w:val="21"/>
        </w:rPr>
        <w:t>6.本项目的特定资格要求：无</w:t>
      </w:r>
    </w:p>
    <w:p>
      <w:pPr>
        <w:pStyle w:val="4"/>
        <w:spacing w:line="360" w:lineRule="auto"/>
        <w:jc w:val="left"/>
        <w:rPr>
          <w:rFonts w:ascii="宋体" w:hAnsi="宋体" w:eastAsia="宋体" w:cs="宋体"/>
          <w:sz w:val="21"/>
          <w:szCs w:val="21"/>
        </w:rPr>
      </w:pPr>
      <w:bookmarkStart w:id="10" w:name="_Toc9089"/>
      <w:bookmarkStart w:id="11" w:name="_Toc334539185"/>
      <w:r>
        <w:rPr>
          <w:rFonts w:hint="eastAsia" w:ascii="宋体" w:hAnsi="宋体" w:eastAsia="宋体" w:cs="宋体"/>
          <w:sz w:val="21"/>
          <w:szCs w:val="21"/>
        </w:rPr>
        <w:t>三、获取采购文件</w:t>
      </w:r>
      <w:bookmarkEnd w:id="10"/>
    </w:p>
    <w:p>
      <w:pPr>
        <w:spacing w:line="360" w:lineRule="auto"/>
        <w:ind w:firstLine="420" w:firstLineChars="200"/>
        <w:jc w:val="left"/>
        <w:rPr>
          <w:rFonts w:ascii="宋体" w:hAnsi="宋体" w:cs="宋体"/>
          <w:szCs w:val="21"/>
        </w:rPr>
      </w:pPr>
      <w:r>
        <w:rPr>
          <w:rFonts w:hint="eastAsia" w:ascii="宋体" w:hAnsi="宋体" w:cs="宋体"/>
          <w:szCs w:val="21"/>
        </w:rPr>
        <w:t>时间：</w:t>
      </w:r>
      <w:r>
        <w:rPr>
          <w:rFonts w:hint="eastAsia" w:ascii="宋体" w:hAnsi="宋体" w:cs="宋体"/>
          <w:color w:val="171EEA"/>
          <w:szCs w:val="21"/>
          <w:u w:val="single"/>
        </w:rPr>
        <w:t>2023年</w:t>
      </w:r>
      <w:r>
        <w:rPr>
          <w:rFonts w:hint="eastAsia" w:ascii="宋体" w:hAnsi="宋体" w:cs="宋体"/>
          <w:color w:val="171EEA"/>
          <w:szCs w:val="21"/>
          <w:u w:val="single"/>
          <w:lang w:val="en-US" w:eastAsia="zh-CN"/>
        </w:rPr>
        <w:t>12</w:t>
      </w:r>
      <w:r>
        <w:rPr>
          <w:rFonts w:hint="eastAsia" w:ascii="宋体" w:hAnsi="宋体" w:cs="宋体"/>
          <w:color w:val="171EEA"/>
          <w:szCs w:val="21"/>
          <w:u w:val="single"/>
        </w:rPr>
        <w:t>月</w:t>
      </w:r>
      <w:r>
        <w:rPr>
          <w:rFonts w:hint="eastAsia" w:ascii="宋体" w:hAnsi="宋体" w:cs="宋体"/>
          <w:color w:val="171EEA"/>
          <w:szCs w:val="21"/>
          <w:u w:val="single"/>
          <w:lang w:val="en-US" w:eastAsia="zh-CN"/>
        </w:rPr>
        <w:t>26</w:t>
      </w:r>
      <w:r>
        <w:rPr>
          <w:rFonts w:hint="eastAsia" w:ascii="宋体" w:hAnsi="宋体" w:cs="宋体"/>
          <w:color w:val="171EEA"/>
          <w:szCs w:val="21"/>
          <w:u w:val="single"/>
        </w:rPr>
        <w:t>日至202</w:t>
      </w:r>
      <w:r>
        <w:rPr>
          <w:rFonts w:hint="eastAsia" w:ascii="宋体" w:hAnsi="宋体" w:cs="宋体"/>
          <w:color w:val="171EEA"/>
          <w:szCs w:val="21"/>
          <w:u w:val="single"/>
          <w:lang w:val="en-US" w:eastAsia="zh-CN"/>
        </w:rPr>
        <w:t>4</w:t>
      </w:r>
      <w:r>
        <w:rPr>
          <w:rFonts w:hint="eastAsia" w:ascii="宋体" w:hAnsi="宋体" w:cs="宋体"/>
          <w:color w:val="171EEA"/>
          <w:szCs w:val="21"/>
          <w:u w:val="single"/>
        </w:rPr>
        <w:t>年</w:t>
      </w:r>
      <w:r>
        <w:rPr>
          <w:rFonts w:hint="eastAsia" w:ascii="宋体" w:hAnsi="宋体" w:cs="宋体"/>
          <w:color w:val="171EEA"/>
          <w:szCs w:val="21"/>
          <w:u w:val="single"/>
          <w:lang w:val="en-US" w:eastAsia="zh-CN"/>
        </w:rPr>
        <w:t>1</w:t>
      </w:r>
      <w:r>
        <w:rPr>
          <w:rFonts w:hint="eastAsia" w:ascii="宋体" w:hAnsi="宋体" w:cs="宋体"/>
          <w:color w:val="171EEA"/>
          <w:szCs w:val="21"/>
          <w:u w:val="single"/>
        </w:rPr>
        <w:t>月</w:t>
      </w:r>
      <w:r>
        <w:rPr>
          <w:rFonts w:hint="eastAsia" w:ascii="宋体" w:hAnsi="宋体" w:cs="宋体"/>
          <w:color w:val="171EEA"/>
          <w:szCs w:val="21"/>
          <w:u w:val="single"/>
          <w:lang w:val="en-US" w:eastAsia="zh-CN"/>
        </w:rPr>
        <w:t>2</w:t>
      </w:r>
      <w:bookmarkStart w:id="240" w:name="_GoBack"/>
      <w:bookmarkEnd w:id="240"/>
      <w:r>
        <w:rPr>
          <w:rFonts w:hint="eastAsia" w:ascii="宋体" w:hAnsi="宋体" w:cs="宋体"/>
          <w:color w:val="171EEA"/>
          <w:szCs w:val="21"/>
          <w:u w:val="single"/>
        </w:rPr>
        <w:t>日</w:t>
      </w:r>
      <w:r>
        <w:rPr>
          <w:rFonts w:hint="eastAsia" w:ascii="宋体" w:hAnsi="宋体" w:cs="宋体"/>
          <w:szCs w:val="21"/>
        </w:rPr>
        <w:t>，每天上午09:00至12:00，下午14:00至17:00（北京时间，法定节假日除外）</w:t>
      </w:r>
    </w:p>
    <w:p>
      <w:pPr>
        <w:spacing w:line="360" w:lineRule="auto"/>
        <w:ind w:firstLine="420" w:firstLineChars="200"/>
        <w:jc w:val="left"/>
        <w:rPr>
          <w:rFonts w:ascii="宋体" w:hAnsi="宋体" w:cs="宋体"/>
          <w:szCs w:val="21"/>
        </w:rPr>
      </w:pPr>
      <w:r>
        <w:rPr>
          <w:rFonts w:hint="eastAsia" w:ascii="宋体" w:hAnsi="宋体" w:cs="宋体"/>
          <w:szCs w:val="21"/>
        </w:rPr>
        <w:t>地点：武昌区中北路岳家嘴立交山河企业大厦48楼4805室或电子服务平台或邮箱；</w:t>
      </w:r>
    </w:p>
    <w:bookmarkEnd w:id="11"/>
    <w:p>
      <w:pPr>
        <w:spacing w:line="360" w:lineRule="auto"/>
        <w:ind w:firstLine="420" w:firstLineChars="200"/>
        <w:jc w:val="left"/>
        <w:rPr>
          <w:rFonts w:ascii="宋体" w:hAnsi="宋体" w:cs="宋体"/>
          <w:szCs w:val="21"/>
        </w:rPr>
      </w:pPr>
      <w:r>
        <w:rPr>
          <w:rFonts w:hint="eastAsia" w:ascii="宋体" w:hAnsi="宋体" w:cs="宋体"/>
          <w:szCs w:val="21"/>
        </w:rPr>
        <w:t>方式：以下三种方式任意一种均可，采购文件售后不退，不办理邮寄；</w:t>
      </w:r>
    </w:p>
    <w:p>
      <w:pPr>
        <w:spacing w:line="360" w:lineRule="auto"/>
        <w:ind w:firstLine="420" w:firstLineChars="200"/>
        <w:jc w:val="left"/>
        <w:rPr>
          <w:rFonts w:ascii="宋体" w:hAnsi="宋体" w:cs="宋体"/>
          <w:szCs w:val="21"/>
        </w:rPr>
      </w:pPr>
      <w:r>
        <w:rPr>
          <w:rFonts w:hint="eastAsia" w:ascii="宋体" w:hAnsi="宋体" w:cs="宋体"/>
          <w:szCs w:val="21"/>
        </w:rPr>
        <w:t>（1）现场获取:供应商将公告后附件资料加盖公章送达至指定地点；</w:t>
      </w:r>
    </w:p>
    <w:p>
      <w:pPr>
        <w:spacing w:line="360" w:lineRule="auto"/>
        <w:ind w:firstLine="420" w:firstLineChars="200"/>
        <w:jc w:val="left"/>
        <w:rPr>
          <w:rFonts w:ascii="宋体" w:hAnsi="宋体" w:cs="宋体"/>
          <w:szCs w:val="21"/>
        </w:rPr>
      </w:pPr>
      <w:r>
        <w:rPr>
          <w:rFonts w:hint="eastAsia" w:ascii="宋体" w:hAnsi="宋体" w:cs="宋体"/>
          <w:szCs w:val="21"/>
        </w:rPr>
        <w:t>（2）平台获取：供应商登陆诚亿达电子招标服务平台（http://zb.hubeidream.com/#/login），按照“操作指引”完成获取。</w:t>
      </w:r>
    </w:p>
    <w:p>
      <w:pPr>
        <w:spacing w:line="360" w:lineRule="auto"/>
        <w:ind w:firstLine="420" w:firstLineChars="200"/>
        <w:jc w:val="left"/>
        <w:rPr>
          <w:rFonts w:ascii="宋体" w:hAnsi="宋体" w:cs="宋体"/>
          <w:szCs w:val="21"/>
        </w:rPr>
      </w:pPr>
      <w:r>
        <w:rPr>
          <w:rFonts w:hint="eastAsia" w:ascii="宋体" w:hAnsi="宋体" w:cs="宋体"/>
          <w:szCs w:val="21"/>
        </w:rPr>
        <w:t>（3）邮箱获取：</w:t>
      </w:r>
      <w:r>
        <w:fldChar w:fldCharType="begin"/>
      </w:r>
      <w:r>
        <w:instrText xml:space="preserve"> HYPERLINK "mailto:供应商将公告后附件资料加盖公章扫描后传至3265768009@qq.com【邮件主题名称必须按照如下格式，否则不予受理。项目名称+公司全称+授权委托人姓名及联系方式】，以邮箱显示收到的时间为准，各供应商递交资料后请耐心等待代理机构工作人员后台确认，资料确认无误的，工作人员会及时发送采购文件。" </w:instrText>
      </w:r>
      <w:r>
        <w:fldChar w:fldCharType="separate"/>
      </w:r>
      <w:r>
        <w:rPr>
          <w:rStyle w:val="32"/>
          <w:rFonts w:hint="eastAsia" w:ascii="宋体" w:hAnsi="宋体" w:cs="宋体"/>
          <w:color w:val="auto"/>
          <w:sz w:val="21"/>
          <w:szCs w:val="21"/>
          <w:u w:val="none"/>
        </w:rPr>
        <w:t>供应商将公告后附件资料加盖公章扫描后传至3265768009@qq.com【邮件主题名称必须按照如下格式，否则不予受理。项目名称+公司全称+授权委托人姓名及联系方式】，以邮箱显示收到的时间为准，各供应商递交资料后请耐心等待代理机构工作人员后台确认，资料确认无误的，工作人员会及时发送采购文件。</w:t>
      </w:r>
      <w:r>
        <w:rPr>
          <w:rStyle w:val="32"/>
          <w:rFonts w:hint="eastAsia" w:ascii="宋体" w:hAnsi="宋体" w:cs="宋体"/>
          <w:color w:val="auto"/>
          <w:sz w:val="21"/>
          <w:szCs w:val="21"/>
          <w:u w:val="none"/>
        </w:rPr>
        <w:fldChar w:fldCharType="end"/>
      </w:r>
    </w:p>
    <w:p>
      <w:pPr>
        <w:spacing w:line="360" w:lineRule="auto"/>
        <w:ind w:firstLine="420" w:firstLineChars="200"/>
        <w:jc w:val="left"/>
        <w:rPr>
          <w:rFonts w:ascii="宋体" w:hAnsi="宋体" w:cs="宋体"/>
          <w:szCs w:val="21"/>
        </w:rPr>
      </w:pPr>
      <w:r>
        <w:rPr>
          <w:rFonts w:hint="eastAsia" w:ascii="宋体" w:hAnsi="宋体" w:cs="宋体"/>
          <w:szCs w:val="21"/>
        </w:rPr>
        <w:t>售价：0（元）；</w:t>
      </w:r>
    </w:p>
    <w:p>
      <w:pPr>
        <w:pStyle w:val="4"/>
        <w:spacing w:line="360" w:lineRule="auto"/>
        <w:jc w:val="left"/>
        <w:rPr>
          <w:rFonts w:ascii="宋体" w:hAnsi="宋体" w:eastAsia="宋体" w:cs="宋体"/>
          <w:sz w:val="21"/>
          <w:szCs w:val="21"/>
        </w:rPr>
      </w:pPr>
      <w:bookmarkStart w:id="12" w:name="_Toc19003"/>
      <w:r>
        <w:rPr>
          <w:rFonts w:hint="eastAsia" w:ascii="宋体" w:hAnsi="宋体" w:eastAsia="宋体" w:cs="宋体"/>
          <w:sz w:val="21"/>
          <w:szCs w:val="21"/>
        </w:rPr>
        <w:t>四、响应文件提交</w:t>
      </w:r>
      <w:bookmarkEnd w:id="12"/>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开始时间：</w:t>
      </w:r>
      <w:r>
        <w:rPr>
          <w:rFonts w:hint="eastAsia" w:ascii="宋体" w:hAnsi="宋体" w:cs="宋体"/>
          <w:color w:val="171EEA"/>
          <w:szCs w:val="21"/>
          <w:u w:val="none"/>
          <w:lang w:val="en-US" w:eastAsia="zh-CN"/>
        </w:rPr>
        <w:t>2024</w:t>
      </w:r>
      <w:r>
        <w:rPr>
          <w:rFonts w:hint="eastAsia" w:ascii="宋体" w:hAnsi="宋体" w:cs="宋体"/>
          <w:color w:val="171EEA"/>
          <w:szCs w:val="21"/>
          <w:u w:val="none"/>
        </w:rPr>
        <w:t>年</w:t>
      </w:r>
      <w:r>
        <w:rPr>
          <w:rFonts w:hint="eastAsia" w:ascii="宋体" w:hAnsi="宋体" w:cs="宋体"/>
          <w:color w:val="171EEA"/>
          <w:szCs w:val="21"/>
          <w:u w:val="none"/>
          <w:lang w:val="en-US" w:eastAsia="zh-CN"/>
        </w:rPr>
        <w:t>1</w:t>
      </w:r>
      <w:r>
        <w:rPr>
          <w:rFonts w:hint="eastAsia" w:ascii="宋体" w:hAnsi="宋体" w:cs="宋体"/>
          <w:color w:val="171EEA"/>
          <w:szCs w:val="21"/>
          <w:u w:val="none"/>
        </w:rPr>
        <w:t>月</w:t>
      </w:r>
      <w:r>
        <w:rPr>
          <w:rFonts w:hint="eastAsia" w:ascii="宋体" w:hAnsi="宋体" w:cs="宋体"/>
          <w:color w:val="171EEA"/>
          <w:szCs w:val="21"/>
          <w:u w:val="none"/>
          <w:lang w:val="en-US" w:eastAsia="zh-CN"/>
        </w:rPr>
        <w:t>5</w:t>
      </w:r>
      <w:r>
        <w:rPr>
          <w:rFonts w:hint="eastAsia" w:ascii="宋体" w:hAnsi="宋体" w:cs="宋体"/>
          <w:color w:val="171EEA"/>
          <w:szCs w:val="21"/>
          <w:u w:val="none"/>
        </w:rPr>
        <w:t>日</w:t>
      </w:r>
      <w:r>
        <w:rPr>
          <w:rFonts w:hint="eastAsia" w:ascii="宋体" w:hAnsi="宋体" w:cs="宋体"/>
          <w:color w:val="171EEA"/>
          <w:szCs w:val="21"/>
          <w:u w:val="none"/>
          <w:lang w:val="en-US" w:eastAsia="zh-CN"/>
        </w:rPr>
        <w:t>08</w:t>
      </w:r>
      <w:r>
        <w:rPr>
          <w:rFonts w:hint="eastAsia" w:ascii="宋体" w:hAnsi="宋体" w:cs="宋体"/>
          <w:color w:val="171EEA"/>
          <w:szCs w:val="21"/>
          <w:u w:val="none"/>
        </w:rPr>
        <w:t>点</w:t>
      </w:r>
      <w:r>
        <w:rPr>
          <w:rFonts w:hint="eastAsia" w:ascii="宋体" w:hAnsi="宋体" w:cs="宋体"/>
          <w:color w:val="171EEA"/>
          <w:szCs w:val="21"/>
          <w:u w:val="none"/>
          <w:lang w:val="en-US" w:eastAsia="zh-CN"/>
        </w:rPr>
        <w:t>30</w:t>
      </w:r>
      <w:r>
        <w:rPr>
          <w:rFonts w:hint="eastAsia" w:ascii="宋体" w:hAnsi="宋体" w:cs="宋体"/>
          <w:color w:val="171EEA"/>
          <w:szCs w:val="21"/>
          <w:u w:val="none"/>
        </w:rPr>
        <w:t>分</w:t>
      </w:r>
      <w:r>
        <w:rPr>
          <w:rFonts w:hint="eastAsia" w:asciiTheme="minorEastAsia" w:hAnsiTheme="minorEastAsia" w:eastAsiaTheme="minorEastAsia" w:cstheme="minorEastAsia"/>
          <w:szCs w:val="21"/>
        </w:rPr>
        <w:t>（北京时间）</w:t>
      </w:r>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截止时间：</w:t>
      </w:r>
      <w:r>
        <w:rPr>
          <w:rFonts w:hint="eastAsia" w:ascii="宋体" w:hAnsi="宋体" w:cs="宋体"/>
          <w:color w:val="171EEA"/>
          <w:szCs w:val="21"/>
          <w:u w:val="none"/>
          <w:lang w:val="en-US" w:eastAsia="zh-CN"/>
        </w:rPr>
        <w:t>2024</w:t>
      </w:r>
      <w:r>
        <w:rPr>
          <w:rFonts w:hint="eastAsia" w:ascii="宋体" w:hAnsi="宋体" w:cs="宋体"/>
          <w:color w:val="171EEA"/>
          <w:szCs w:val="21"/>
          <w:u w:val="none"/>
        </w:rPr>
        <w:t>年</w:t>
      </w:r>
      <w:r>
        <w:rPr>
          <w:rFonts w:hint="eastAsia" w:ascii="宋体" w:hAnsi="宋体" w:cs="宋体"/>
          <w:color w:val="171EEA"/>
          <w:szCs w:val="21"/>
          <w:u w:val="none"/>
          <w:lang w:val="en-US" w:eastAsia="zh-CN"/>
        </w:rPr>
        <w:t>1</w:t>
      </w:r>
      <w:r>
        <w:rPr>
          <w:rFonts w:hint="eastAsia" w:ascii="宋体" w:hAnsi="宋体" w:cs="宋体"/>
          <w:color w:val="171EEA"/>
          <w:szCs w:val="21"/>
          <w:u w:val="none"/>
        </w:rPr>
        <w:t>月</w:t>
      </w:r>
      <w:r>
        <w:rPr>
          <w:rFonts w:hint="eastAsia" w:ascii="宋体" w:hAnsi="宋体" w:cs="宋体"/>
          <w:color w:val="171EEA"/>
          <w:szCs w:val="21"/>
          <w:u w:val="none"/>
          <w:lang w:val="en-US" w:eastAsia="zh-CN"/>
        </w:rPr>
        <w:t>5</w:t>
      </w:r>
      <w:r>
        <w:rPr>
          <w:rFonts w:hint="eastAsia" w:ascii="宋体" w:hAnsi="宋体" w:cs="宋体"/>
          <w:color w:val="171EEA"/>
          <w:szCs w:val="21"/>
          <w:u w:val="none"/>
        </w:rPr>
        <w:t>日</w:t>
      </w:r>
      <w:r>
        <w:rPr>
          <w:rFonts w:hint="eastAsia" w:ascii="宋体" w:hAnsi="宋体" w:cs="宋体"/>
          <w:color w:val="171EEA"/>
          <w:szCs w:val="21"/>
          <w:u w:val="none"/>
          <w:lang w:val="en-US" w:eastAsia="zh-CN"/>
        </w:rPr>
        <w:t>10</w:t>
      </w:r>
      <w:r>
        <w:rPr>
          <w:rFonts w:hint="eastAsia" w:ascii="宋体" w:hAnsi="宋体" w:cs="宋体"/>
          <w:color w:val="171EEA"/>
          <w:szCs w:val="21"/>
          <w:u w:val="none"/>
        </w:rPr>
        <w:t>点</w:t>
      </w:r>
      <w:r>
        <w:rPr>
          <w:rFonts w:hint="eastAsia" w:ascii="宋体" w:hAnsi="宋体" w:cs="宋体"/>
          <w:color w:val="171EEA"/>
          <w:szCs w:val="21"/>
          <w:u w:val="none"/>
          <w:lang w:val="en-US" w:eastAsia="zh-CN"/>
        </w:rPr>
        <w:t>00</w:t>
      </w:r>
      <w:r>
        <w:rPr>
          <w:rFonts w:hint="eastAsia" w:ascii="宋体" w:hAnsi="宋体" w:cs="宋体"/>
          <w:color w:val="171EEA"/>
          <w:szCs w:val="21"/>
          <w:u w:val="none"/>
        </w:rPr>
        <w:t>分</w:t>
      </w:r>
      <w:r>
        <w:rPr>
          <w:rFonts w:hint="eastAsia" w:asciiTheme="minorEastAsia" w:hAnsiTheme="minorEastAsia" w:eastAsiaTheme="minorEastAsia" w:cstheme="minorEastAsia"/>
          <w:szCs w:val="21"/>
        </w:rPr>
        <w:t>（北京时间）</w:t>
      </w:r>
    </w:p>
    <w:p>
      <w:pPr>
        <w:spacing w:line="360" w:lineRule="auto"/>
        <w:ind w:firstLine="420" w:firstLineChars="200"/>
        <w:jc w:val="left"/>
        <w:rPr>
          <w:rFonts w:ascii="宋体" w:hAnsi="宋体" w:cs="宋体"/>
          <w:szCs w:val="21"/>
        </w:rPr>
      </w:pPr>
      <w:r>
        <w:rPr>
          <w:rFonts w:hint="eastAsia" w:asciiTheme="minorEastAsia" w:hAnsiTheme="minorEastAsia" w:eastAsiaTheme="minorEastAsia" w:cstheme="minorEastAsia"/>
          <w:szCs w:val="21"/>
        </w:rPr>
        <w:t>地点：武昌区中北路岳家嘴立交山河企业大厦4806室。</w:t>
      </w:r>
    </w:p>
    <w:p>
      <w:pPr>
        <w:pStyle w:val="4"/>
        <w:spacing w:line="360" w:lineRule="auto"/>
        <w:jc w:val="left"/>
        <w:rPr>
          <w:rFonts w:eastAsia="宋体"/>
          <w:sz w:val="21"/>
          <w:szCs w:val="21"/>
        </w:rPr>
      </w:pPr>
      <w:bookmarkStart w:id="13" w:name="_Toc15962"/>
      <w:r>
        <w:rPr>
          <w:rFonts w:hint="eastAsia" w:ascii="宋体" w:hAnsi="宋体" w:eastAsia="宋体" w:cs="宋体"/>
          <w:sz w:val="21"/>
          <w:szCs w:val="21"/>
        </w:rPr>
        <w:t>五、开启</w:t>
      </w:r>
      <w:bookmarkEnd w:id="13"/>
    </w:p>
    <w:p>
      <w:pPr>
        <w:spacing w:line="360" w:lineRule="auto"/>
        <w:ind w:firstLine="420" w:firstLineChars="200"/>
        <w:jc w:val="left"/>
        <w:rPr>
          <w:szCs w:val="21"/>
        </w:rPr>
      </w:pPr>
      <w:r>
        <w:rPr>
          <w:rFonts w:hint="eastAsia" w:ascii="宋体" w:hAnsi="宋体" w:cs="宋体"/>
          <w:szCs w:val="21"/>
        </w:rPr>
        <w:t>时间：</w:t>
      </w:r>
      <w:r>
        <w:rPr>
          <w:rFonts w:hint="eastAsia" w:ascii="宋体" w:hAnsi="宋体" w:cs="宋体"/>
          <w:color w:val="171EEA"/>
          <w:szCs w:val="21"/>
          <w:u w:val="none"/>
          <w:lang w:val="en-US" w:eastAsia="zh-CN"/>
        </w:rPr>
        <w:t>2024</w:t>
      </w:r>
      <w:r>
        <w:rPr>
          <w:rFonts w:hint="eastAsia" w:ascii="宋体" w:hAnsi="宋体" w:cs="宋体"/>
          <w:color w:val="171EEA"/>
          <w:szCs w:val="21"/>
          <w:u w:val="none"/>
        </w:rPr>
        <w:t>年</w:t>
      </w:r>
      <w:r>
        <w:rPr>
          <w:rFonts w:hint="eastAsia" w:ascii="宋体" w:hAnsi="宋体" w:cs="宋体"/>
          <w:color w:val="171EEA"/>
          <w:szCs w:val="21"/>
          <w:u w:val="none"/>
          <w:lang w:val="en-US" w:eastAsia="zh-CN"/>
        </w:rPr>
        <w:t>1</w:t>
      </w:r>
      <w:r>
        <w:rPr>
          <w:rFonts w:hint="eastAsia" w:ascii="宋体" w:hAnsi="宋体" w:cs="宋体"/>
          <w:color w:val="171EEA"/>
          <w:szCs w:val="21"/>
          <w:u w:val="none"/>
        </w:rPr>
        <w:t>月</w:t>
      </w:r>
      <w:r>
        <w:rPr>
          <w:rFonts w:hint="eastAsia" w:ascii="宋体" w:hAnsi="宋体" w:cs="宋体"/>
          <w:color w:val="171EEA"/>
          <w:szCs w:val="21"/>
          <w:u w:val="none"/>
          <w:lang w:val="en-US" w:eastAsia="zh-CN"/>
        </w:rPr>
        <w:t>5</w:t>
      </w:r>
      <w:r>
        <w:rPr>
          <w:rFonts w:hint="eastAsia" w:ascii="宋体" w:hAnsi="宋体" w:cs="宋体"/>
          <w:color w:val="171EEA"/>
          <w:szCs w:val="21"/>
          <w:u w:val="none"/>
        </w:rPr>
        <w:t>日</w:t>
      </w:r>
      <w:r>
        <w:rPr>
          <w:rFonts w:hint="eastAsia" w:ascii="宋体" w:hAnsi="宋体" w:cs="宋体"/>
          <w:color w:val="171EEA"/>
          <w:szCs w:val="21"/>
          <w:u w:val="none"/>
          <w:lang w:val="en-US" w:eastAsia="zh-CN"/>
        </w:rPr>
        <w:t>10</w:t>
      </w:r>
      <w:r>
        <w:rPr>
          <w:rFonts w:hint="eastAsia" w:ascii="宋体" w:hAnsi="宋体" w:cs="宋体"/>
          <w:color w:val="171EEA"/>
          <w:szCs w:val="21"/>
          <w:u w:val="none"/>
        </w:rPr>
        <w:t>点</w:t>
      </w:r>
      <w:r>
        <w:rPr>
          <w:rFonts w:hint="eastAsia" w:ascii="宋体" w:hAnsi="宋体" w:cs="宋体"/>
          <w:color w:val="171EEA"/>
          <w:szCs w:val="21"/>
          <w:u w:val="none"/>
          <w:lang w:val="en-US" w:eastAsia="zh-CN"/>
        </w:rPr>
        <w:t>00</w:t>
      </w:r>
      <w:r>
        <w:rPr>
          <w:rFonts w:hint="eastAsia" w:ascii="宋体" w:hAnsi="宋体" w:cs="宋体"/>
          <w:color w:val="171EEA"/>
          <w:szCs w:val="21"/>
          <w:u w:val="none"/>
        </w:rPr>
        <w:t>分</w:t>
      </w:r>
      <w:r>
        <w:rPr>
          <w:rFonts w:hint="eastAsia" w:ascii="宋体" w:hAnsi="宋体" w:cs="宋体"/>
          <w:szCs w:val="21"/>
        </w:rPr>
        <w:t>（北京时间）</w:t>
      </w:r>
    </w:p>
    <w:p>
      <w:pPr>
        <w:pStyle w:val="4"/>
        <w:spacing w:line="360" w:lineRule="auto"/>
        <w:jc w:val="left"/>
        <w:rPr>
          <w:rFonts w:ascii="宋体" w:hAnsi="宋体" w:eastAsia="宋体" w:cs="宋体"/>
          <w:sz w:val="21"/>
          <w:szCs w:val="21"/>
        </w:rPr>
      </w:pPr>
      <w:bookmarkStart w:id="14" w:name="_Toc8774"/>
      <w:r>
        <w:rPr>
          <w:rFonts w:hint="eastAsia" w:ascii="宋体" w:hAnsi="宋体" w:eastAsia="宋体" w:cs="宋体"/>
          <w:sz w:val="21"/>
          <w:szCs w:val="21"/>
        </w:rPr>
        <w:t>六、公告期限</w:t>
      </w:r>
      <w:bookmarkEnd w:id="14"/>
    </w:p>
    <w:p>
      <w:pPr>
        <w:spacing w:line="360" w:lineRule="auto"/>
        <w:ind w:firstLine="420" w:firstLineChars="200"/>
        <w:jc w:val="left"/>
        <w:rPr>
          <w:rFonts w:ascii="宋体" w:hAnsi="宋体" w:cs="宋体"/>
          <w:szCs w:val="21"/>
        </w:rPr>
      </w:pPr>
      <w:bookmarkStart w:id="15" w:name="_Toc334539188"/>
      <w:bookmarkStart w:id="16" w:name="_Toc317262251"/>
      <w:bookmarkStart w:id="17" w:name="_Toc276368888"/>
      <w:bookmarkStart w:id="18" w:name="_Toc320898024"/>
      <w:bookmarkStart w:id="19" w:name="_Toc6021"/>
      <w:bookmarkStart w:id="20" w:name="_Toc259607751"/>
      <w:r>
        <w:rPr>
          <w:rFonts w:hint="eastAsia" w:ascii="宋体" w:hAnsi="宋体" w:cs="宋体"/>
          <w:szCs w:val="21"/>
        </w:rPr>
        <w:t>自本公告发布之日起3个工作日</w:t>
      </w:r>
    </w:p>
    <w:bookmarkEnd w:id="15"/>
    <w:bookmarkEnd w:id="16"/>
    <w:bookmarkEnd w:id="17"/>
    <w:bookmarkEnd w:id="18"/>
    <w:bookmarkEnd w:id="19"/>
    <w:bookmarkEnd w:id="20"/>
    <w:p>
      <w:pPr>
        <w:pStyle w:val="4"/>
        <w:spacing w:line="360" w:lineRule="auto"/>
        <w:jc w:val="left"/>
        <w:rPr>
          <w:rFonts w:ascii="宋体" w:hAnsi="宋体" w:eastAsia="宋体" w:cs="宋体"/>
          <w:sz w:val="21"/>
          <w:szCs w:val="21"/>
        </w:rPr>
      </w:pPr>
      <w:bookmarkStart w:id="21" w:name="_Toc2579"/>
      <w:r>
        <w:rPr>
          <w:rFonts w:hint="eastAsia" w:ascii="宋体" w:hAnsi="宋体" w:eastAsia="宋体" w:cs="宋体"/>
          <w:sz w:val="21"/>
          <w:szCs w:val="21"/>
        </w:rPr>
        <w:t>七、其他补充事宜</w:t>
      </w:r>
      <w:bookmarkEnd w:id="21"/>
    </w:p>
    <w:p>
      <w:pPr>
        <w:spacing w:line="360" w:lineRule="auto"/>
        <w:ind w:firstLine="420" w:firstLineChars="200"/>
        <w:jc w:val="left"/>
        <w:rPr>
          <w:rFonts w:ascii="宋体" w:hAnsi="宋体" w:cs="宋体"/>
          <w:szCs w:val="21"/>
        </w:rPr>
      </w:pPr>
      <w:bookmarkStart w:id="22" w:name="_Toc259028279"/>
      <w:r>
        <w:rPr>
          <w:rFonts w:hint="eastAsia" w:ascii="宋体" w:hAnsi="宋体" w:cs="宋体"/>
          <w:szCs w:val="21"/>
        </w:rPr>
        <w:t>1.供应商如需查询技术要求可到我处查阅采购文件第三章相关内容。</w:t>
      </w:r>
    </w:p>
    <w:p>
      <w:pPr>
        <w:spacing w:line="360" w:lineRule="auto"/>
        <w:ind w:firstLine="420" w:firstLineChars="200"/>
        <w:jc w:val="left"/>
        <w:rPr>
          <w:rFonts w:ascii="宋体" w:hAnsi="宋体" w:cs="宋体"/>
          <w:szCs w:val="21"/>
        </w:rPr>
      </w:pPr>
      <w:r>
        <w:rPr>
          <w:rFonts w:hint="eastAsia" w:ascii="宋体" w:hAnsi="宋体" w:cs="宋体"/>
          <w:szCs w:val="21"/>
        </w:rPr>
        <w:t>2.本项目将在以下网站发布所有信息，请参加本项目竞标的供应商密切关注。</w:t>
      </w:r>
    </w:p>
    <w:p>
      <w:pPr>
        <w:spacing w:line="360" w:lineRule="auto"/>
        <w:ind w:firstLine="420" w:firstLineChars="200"/>
        <w:jc w:val="left"/>
        <w:rPr>
          <w:rFonts w:ascii="宋体" w:hAnsi="宋体" w:cs="宋体"/>
          <w:szCs w:val="21"/>
        </w:rPr>
      </w:pPr>
      <w:r>
        <w:rPr>
          <w:rFonts w:hint="eastAsia" w:ascii="宋体" w:hAnsi="宋体" w:cs="宋体"/>
          <w:szCs w:val="21"/>
        </w:rPr>
        <w:t>（1）《湖北省政府采购网》（网址：http://www.ccgp-hubei.gov.cn/）</w:t>
      </w:r>
    </w:p>
    <w:p>
      <w:pPr>
        <w:spacing w:line="360" w:lineRule="auto"/>
        <w:ind w:firstLine="420" w:firstLineChars="200"/>
        <w:jc w:val="left"/>
        <w:rPr>
          <w:rFonts w:ascii="宋体" w:hAnsi="宋体" w:cs="宋体"/>
          <w:b/>
          <w:bCs/>
          <w:szCs w:val="21"/>
        </w:rPr>
      </w:pPr>
      <w:r>
        <w:rPr>
          <w:rFonts w:hint="eastAsia" w:ascii="宋体" w:hAnsi="宋体" w:cs="宋体"/>
          <w:szCs w:val="21"/>
        </w:rPr>
        <w:t>（2）《湖北工业大学》（网址：http://tend.hbut.edu.cn/index.chtml）</w:t>
      </w:r>
    </w:p>
    <w:bookmarkEnd w:id="22"/>
    <w:p>
      <w:pPr>
        <w:pStyle w:val="4"/>
        <w:spacing w:line="360" w:lineRule="auto"/>
        <w:jc w:val="left"/>
        <w:rPr>
          <w:rFonts w:ascii="宋体" w:hAnsi="宋体" w:eastAsia="宋体" w:cs="宋体"/>
          <w:sz w:val="21"/>
          <w:szCs w:val="21"/>
        </w:rPr>
      </w:pPr>
      <w:bookmarkStart w:id="23" w:name="_Toc23210"/>
      <w:r>
        <w:rPr>
          <w:rFonts w:hint="eastAsia" w:ascii="宋体" w:hAnsi="宋体" w:eastAsia="宋体" w:cs="宋体"/>
          <w:sz w:val="21"/>
          <w:szCs w:val="21"/>
        </w:rPr>
        <w:t>八、凡对本次采购提出询问，请按以下方式联系</w:t>
      </w:r>
      <w:bookmarkEnd w:id="23"/>
    </w:p>
    <w:p>
      <w:pPr>
        <w:spacing w:line="360" w:lineRule="auto"/>
        <w:ind w:firstLine="420" w:firstLineChars="200"/>
        <w:jc w:val="left"/>
        <w:rPr>
          <w:rFonts w:ascii="宋体" w:hAnsi="宋体" w:cs="宋体"/>
          <w:szCs w:val="21"/>
        </w:rPr>
      </w:pPr>
      <w:r>
        <w:rPr>
          <w:rFonts w:hint="eastAsia" w:ascii="宋体" w:hAnsi="宋体" w:cs="宋体"/>
          <w:szCs w:val="21"/>
        </w:rPr>
        <w:t>1.采购人信息</w:t>
      </w:r>
    </w:p>
    <w:p>
      <w:pPr>
        <w:spacing w:line="360" w:lineRule="auto"/>
        <w:ind w:firstLine="420" w:firstLineChars="200"/>
        <w:jc w:val="left"/>
        <w:rPr>
          <w:rFonts w:ascii="宋体" w:hAnsi="宋体" w:cs="宋体"/>
          <w:szCs w:val="21"/>
        </w:rPr>
      </w:pPr>
      <w:r>
        <w:rPr>
          <w:rFonts w:hint="eastAsia" w:ascii="宋体" w:hAnsi="宋体" w:cs="宋体"/>
          <w:szCs w:val="21"/>
        </w:rPr>
        <w:t>名 称：湖北工业大学　　　　　　　　　　　　</w:t>
      </w:r>
    </w:p>
    <w:p>
      <w:pPr>
        <w:spacing w:line="360" w:lineRule="auto"/>
        <w:ind w:firstLine="420" w:firstLineChars="200"/>
        <w:jc w:val="left"/>
        <w:rPr>
          <w:rFonts w:ascii="宋体" w:hAnsi="宋体" w:cs="宋体"/>
          <w:szCs w:val="21"/>
        </w:rPr>
      </w:pPr>
      <w:r>
        <w:rPr>
          <w:rFonts w:hint="eastAsia" w:ascii="宋体" w:hAnsi="宋体" w:cs="宋体"/>
          <w:szCs w:val="21"/>
        </w:rPr>
        <w:t>地 址：湖北省武汉市洪山区南李路28号　　　　　　　　　　　　</w:t>
      </w:r>
    </w:p>
    <w:p>
      <w:pPr>
        <w:spacing w:line="360" w:lineRule="auto"/>
        <w:ind w:firstLine="420" w:firstLineChars="200"/>
        <w:jc w:val="left"/>
        <w:rPr>
          <w:rFonts w:ascii="宋体" w:hAnsi="宋体" w:cs="宋体"/>
          <w:szCs w:val="21"/>
        </w:rPr>
      </w:pPr>
      <w:r>
        <w:rPr>
          <w:rFonts w:hint="eastAsia" w:ascii="宋体" w:hAnsi="宋体" w:cs="宋体"/>
          <w:szCs w:val="21"/>
        </w:rPr>
        <w:t>联系方式：刘老师、027-59750213</w:t>
      </w:r>
      <w:r>
        <w:rPr>
          <w:rFonts w:hint="eastAsia" w:ascii="宋体" w:hAnsi="宋体" w:cs="宋体"/>
          <w:color w:val="FF0000"/>
          <w:szCs w:val="21"/>
        </w:rPr>
        <w:t>　　</w:t>
      </w:r>
      <w:r>
        <w:rPr>
          <w:rFonts w:hint="eastAsia" w:ascii="宋体" w:hAnsi="宋体" w:cs="宋体"/>
          <w:szCs w:val="21"/>
        </w:rPr>
        <w:t xml:space="preserve">　　　　　　　　　 </w:t>
      </w:r>
    </w:p>
    <w:p>
      <w:pPr>
        <w:spacing w:line="360" w:lineRule="auto"/>
        <w:ind w:firstLine="420" w:firstLineChars="200"/>
        <w:jc w:val="left"/>
        <w:rPr>
          <w:rFonts w:ascii="宋体" w:hAnsi="宋体" w:cs="宋体"/>
          <w:szCs w:val="21"/>
        </w:rPr>
      </w:pPr>
      <w:r>
        <w:rPr>
          <w:rFonts w:hint="eastAsia" w:ascii="宋体" w:hAnsi="宋体" w:cs="宋体"/>
          <w:szCs w:val="21"/>
        </w:rPr>
        <w:t>2.采购代理机构信息</w:t>
      </w:r>
    </w:p>
    <w:p>
      <w:pPr>
        <w:spacing w:line="360" w:lineRule="auto"/>
        <w:ind w:firstLine="420" w:firstLineChars="200"/>
        <w:jc w:val="left"/>
        <w:rPr>
          <w:rFonts w:ascii="宋体" w:hAnsi="宋体" w:cs="宋体"/>
          <w:szCs w:val="21"/>
        </w:rPr>
      </w:pPr>
      <w:r>
        <w:rPr>
          <w:rFonts w:hint="eastAsia" w:ascii="宋体" w:hAnsi="宋体" w:cs="宋体"/>
          <w:szCs w:val="21"/>
        </w:rPr>
        <w:t>名  称：中创恒梦工程咨询有限公司　　　　　　　　　　　　</w:t>
      </w:r>
    </w:p>
    <w:p>
      <w:pPr>
        <w:spacing w:line="360" w:lineRule="auto"/>
        <w:ind w:firstLine="420" w:firstLineChars="200"/>
        <w:jc w:val="left"/>
        <w:rPr>
          <w:rFonts w:ascii="宋体" w:hAnsi="宋体" w:cs="宋体"/>
          <w:szCs w:val="21"/>
        </w:rPr>
      </w:pPr>
      <w:r>
        <w:rPr>
          <w:rFonts w:hint="eastAsia" w:ascii="宋体" w:hAnsi="宋体" w:cs="宋体"/>
          <w:szCs w:val="21"/>
        </w:rPr>
        <w:t>地　址：武昌区中北路岳家嘴立交山河企业大厦48楼4805、4806室　　　　　　　　　　　　</w:t>
      </w:r>
    </w:p>
    <w:p>
      <w:pPr>
        <w:spacing w:line="360" w:lineRule="auto"/>
        <w:ind w:firstLine="420" w:firstLineChars="200"/>
        <w:jc w:val="left"/>
        <w:rPr>
          <w:rFonts w:ascii="宋体" w:hAnsi="宋体" w:cs="宋体"/>
          <w:szCs w:val="21"/>
        </w:rPr>
      </w:pPr>
      <w:r>
        <w:rPr>
          <w:rFonts w:hint="eastAsia" w:ascii="宋体" w:hAnsi="宋体" w:cs="宋体"/>
          <w:szCs w:val="21"/>
        </w:rPr>
        <w:t>联系方式：027-87820788　　</w:t>
      </w:r>
      <w:r>
        <w:rPr>
          <w:rFonts w:hint="eastAsia" w:ascii="宋体" w:hAnsi="宋体" w:cs="宋体"/>
          <w:color w:val="FF0000"/>
          <w:szCs w:val="21"/>
        </w:rPr>
        <w:t>　　</w:t>
      </w:r>
      <w:r>
        <w:rPr>
          <w:rFonts w:hint="eastAsia" w:ascii="宋体" w:hAnsi="宋体" w:cs="宋体"/>
          <w:szCs w:val="21"/>
        </w:rPr>
        <w:t>　　　　　　　　</w:t>
      </w:r>
    </w:p>
    <w:p>
      <w:pPr>
        <w:spacing w:line="360" w:lineRule="auto"/>
        <w:ind w:firstLine="420" w:firstLineChars="200"/>
        <w:jc w:val="left"/>
        <w:rPr>
          <w:rFonts w:ascii="宋体" w:hAnsi="宋体" w:cs="宋体"/>
          <w:szCs w:val="21"/>
        </w:rPr>
      </w:pPr>
      <w:r>
        <w:rPr>
          <w:rFonts w:hint="eastAsia" w:ascii="宋体" w:hAnsi="宋体" w:cs="宋体"/>
          <w:szCs w:val="21"/>
        </w:rPr>
        <w:t>3.项目联系方式</w:t>
      </w:r>
    </w:p>
    <w:p>
      <w:pPr>
        <w:spacing w:line="360" w:lineRule="auto"/>
        <w:ind w:firstLine="420" w:firstLineChars="200"/>
        <w:jc w:val="left"/>
        <w:rPr>
          <w:rFonts w:ascii="宋体" w:hAnsi="宋体" w:cs="宋体"/>
          <w:color w:val="FF0000"/>
          <w:szCs w:val="21"/>
        </w:rPr>
      </w:pPr>
      <w:r>
        <w:rPr>
          <w:rFonts w:hint="eastAsia" w:ascii="宋体" w:hAnsi="宋体" w:cs="宋体"/>
          <w:szCs w:val="21"/>
        </w:rPr>
        <w:t>项目联系人：张梦、应翠翠</w:t>
      </w:r>
    </w:p>
    <w:p>
      <w:pPr>
        <w:spacing w:line="360" w:lineRule="auto"/>
        <w:ind w:firstLine="420" w:firstLineChars="200"/>
        <w:jc w:val="left"/>
        <w:rPr>
          <w:rFonts w:asciiTheme="minorEastAsia" w:hAnsiTheme="minorEastAsia" w:eastAsiaTheme="minorEastAsia" w:cstheme="minorEastAsia"/>
          <w:szCs w:val="21"/>
        </w:rPr>
      </w:pPr>
      <w:r>
        <w:rPr>
          <w:rFonts w:hint="eastAsia" w:ascii="宋体" w:hAnsi="宋体" w:cs="宋体"/>
          <w:szCs w:val="21"/>
        </w:rPr>
        <w:t>电    　话：027-87820788　　</w:t>
      </w:r>
    </w:p>
    <w:p>
      <w:pPr>
        <w:spacing w:line="440" w:lineRule="exact"/>
        <w:jc w:val="righ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中创恒梦工程咨询有限公司</w:t>
      </w:r>
    </w:p>
    <w:p>
      <w:pPr>
        <w:spacing w:line="440" w:lineRule="exact"/>
        <w:jc w:val="center"/>
        <w:rPr>
          <w:rFonts w:asciiTheme="minorEastAsia" w:hAnsiTheme="minorEastAsia" w:eastAsiaTheme="minorEastAsia" w:cstheme="minorEastAsia"/>
        </w:rPr>
      </w:pPr>
      <w:r>
        <w:rPr>
          <w:rFonts w:hint="eastAsia" w:asciiTheme="minorEastAsia" w:hAnsiTheme="minorEastAsia" w:eastAsiaTheme="minorEastAsia" w:cstheme="minorEastAsia"/>
          <w:szCs w:val="21"/>
        </w:rPr>
        <w:t xml:space="preserve">                                                                     2023年12月</w:t>
      </w:r>
      <w:r>
        <w:rPr>
          <w:rFonts w:hint="eastAsia" w:asciiTheme="minorEastAsia" w:hAnsiTheme="minorEastAsia" w:eastAsiaTheme="minorEastAsia" w:cstheme="minorEastAsia"/>
          <w:szCs w:val="21"/>
          <w:lang w:val="en-US" w:eastAsia="zh-CN"/>
        </w:rPr>
        <w:t>25</w:t>
      </w:r>
      <w:r>
        <w:rPr>
          <w:rFonts w:hint="eastAsia" w:asciiTheme="minorEastAsia" w:hAnsiTheme="minorEastAsia" w:eastAsiaTheme="minorEastAsia" w:cstheme="minorEastAsia"/>
          <w:szCs w:val="21"/>
        </w:rPr>
        <w:t>日</w:t>
      </w:r>
    </w:p>
    <w:p>
      <w:pPr>
        <w:numPr>
          <w:ilvl w:val="0"/>
          <w:numId w:val="4"/>
        </w:numPr>
        <w:jc w:val="center"/>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 w:val="36"/>
          <w:szCs w:val="36"/>
        </w:rPr>
        <w:br w:type="page"/>
      </w:r>
    </w:p>
    <w:p>
      <w:pPr>
        <w:pStyle w:val="3"/>
        <w:numPr>
          <w:ilvl w:val="0"/>
          <w:numId w:val="4"/>
        </w:numPr>
        <w:jc w:val="center"/>
        <w:rPr>
          <w:rFonts w:asciiTheme="minorEastAsia" w:hAnsiTheme="minorEastAsia" w:eastAsiaTheme="minorEastAsia" w:cstheme="minorEastAsia"/>
          <w:sz w:val="32"/>
          <w:szCs w:val="32"/>
        </w:rPr>
      </w:pPr>
      <w:bookmarkStart w:id="24" w:name="_Toc18655"/>
      <w:r>
        <w:rPr>
          <w:rFonts w:hint="eastAsia" w:asciiTheme="minorEastAsia" w:hAnsiTheme="minorEastAsia" w:eastAsiaTheme="minorEastAsia" w:cstheme="minorEastAsia"/>
          <w:sz w:val="36"/>
          <w:szCs w:val="36"/>
        </w:rPr>
        <w:t>供应商须知</w:t>
      </w:r>
      <w:bookmarkEnd w:id="24"/>
    </w:p>
    <w:p>
      <w:pPr>
        <w:autoSpaceDE w:val="0"/>
        <w:autoSpaceDN w:val="0"/>
        <w:adjustRightInd w:val="0"/>
        <w:spacing w:line="360" w:lineRule="auto"/>
        <w:jc w:val="center"/>
        <w:outlineLvl w:val="1"/>
        <w:rPr>
          <w:rFonts w:asciiTheme="minorEastAsia" w:hAnsiTheme="minorEastAsia" w:eastAsiaTheme="minorEastAsia" w:cstheme="minorEastAsia"/>
          <w:b/>
          <w:szCs w:val="21"/>
          <w:lang w:val="zh-CN"/>
        </w:rPr>
      </w:pPr>
      <w:bookmarkStart w:id="25" w:name="_Toc13957"/>
      <w:r>
        <w:rPr>
          <w:rFonts w:hint="eastAsia" w:asciiTheme="minorEastAsia" w:hAnsiTheme="minorEastAsia" w:eastAsiaTheme="minorEastAsia" w:cstheme="minorEastAsia"/>
          <w:b/>
          <w:szCs w:val="21"/>
        </w:rPr>
        <w:t>《供应商须知前附表》</w:t>
      </w:r>
      <w:bookmarkEnd w:id="25"/>
    </w:p>
    <w:p>
      <w:pPr>
        <w:autoSpaceDE w:val="0"/>
        <w:autoSpaceDN w:val="0"/>
        <w:adjustRightInd w:val="0"/>
        <w:spacing w:line="360" w:lineRule="auto"/>
        <w:ind w:firstLine="420" w:firstLineChars="20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磋商供应商应仔细阅读竞争性磋商采购文件的第二章“供应商须知”，下面所列资料是对“供应商须知”的具体补充和说明。</w:t>
      </w:r>
      <w:r>
        <w:rPr>
          <w:rFonts w:hint="eastAsia" w:asciiTheme="minorEastAsia" w:hAnsiTheme="minorEastAsia" w:eastAsiaTheme="minorEastAsia" w:cstheme="minorEastAsia"/>
          <w:szCs w:val="21"/>
          <w:lang w:val="zh-CN"/>
        </w:rPr>
        <w:t>如有矛盾，应以本表为准。</w:t>
      </w:r>
    </w:p>
    <w:tbl>
      <w:tblPr>
        <w:tblStyle w:val="2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814"/>
        <w:gridCol w:w="2127"/>
        <w:gridCol w:w="61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tblHeader/>
          <w:jc w:val="center"/>
        </w:trPr>
        <w:tc>
          <w:tcPr>
            <w:tcW w:w="814" w:type="dxa"/>
            <w:shd w:val="clear" w:color="auto" w:fill="F1F1F1"/>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lang w:val="zh-CN"/>
              </w:rPr>
              <w:t>条款号</w:t>
            </w:r>
          </w:p>
        </w:tc>
        <w:tc>
          <w:tcPr>
            <w:tcW w:w="2127" w:type="dxa"/>
            <w:shd w:val="clear" w:color="auto" w:fill="F1F1F1"/>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条款名称</w:t>
            </w:r>
          </w:p>
        </w:tc>
        <w:tc>
          <w:tcPr>
            <w:tcW w:w="6130" w:type="dxa"/>
            <w:shd w:val="clear" w:color="auto" w:fill="F1F1F1"/>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lang w:val="zh-CN"/>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76"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2.1</w:t>
            </w:r>
          </w:p>
        </w:tc>
        <w:tc>
          <w:tcPr>
            <w:tcW w:w="2127"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采购人</w:t>
            </w:r>
          </w:p>
        </w:tc>
        <w:tc>
          <w:tcPr>
            <w:tcW w:w="6130" w:type="dxa"/>
            <w:vAlign w:val="center"/>
          </w:tcPr>
          <w:p>
            <w:pPr>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湖北工业大学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2.2</w:t>
            </w:r>
          </w:p>
        </w:tc>
        <w:tc>
          <w:tcPr>
            <w:tcW w:w="2127" w:type="dxa"/>
            <w:vAlign w:val="center"/>
          </w:tcPr>
          <w:p>
            <w:pPr>
              <w:pStyle w:val="24"/>
              <w:widowControl w:val="0"/>
              <w:autoSpaceDE w:val="0"/>
              <w:autoSpaceDN w:val="0"/>
              <w:adjustRightInd w:val="0"/>
              <w:spacing w:before="0" w:beforeAutospacing="0" w:after="0" w:afterAutospacing="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监管部门</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湖北省财政厅政府采购管理处</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地  址：武汉市武昌区中北路8号</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电</w:t>
            </w:r>
            <w:r>
              <w:rPr>
                <w:rFonts w:hint="eastAsia" w:asciiTheme="minorEastAsia" w:hAnsiTheme="minorEastAsia" w:eastAsiaTheme="minorEastAsia" w:cstheme="minorEastAsia"/>
                <w:szCs w:val="21"/>
              </w:rPr>
              <w:t xml:space="preserve">  </w:t>
            </w:r>
            <w:r>
              <w:rPr>
                <w:rFonts w:hint="eastAsia" w:asciiTheme="minorEastAsia" w:hAnsiTheme="minorEastAsia" w:eastAsiaTheme="minorEastAsia" w:cstheme="minorEastAsia"/>
                <w:szCs w:val="21"/>
                <w:lang w:val="zh-CN"/>
              </w:rPr>
              <w:t>话：</w:t>
            </w:r>
            <w:r>
              <w:rPr>
                <w:rFonts w:hint="eastAsia" w:asciiTheme="minorEastAsia" w:hAnsiTheme="minorEastAsia" w:eastAsiaTheme="minorEastAsia" w:cstheme="minorEastAsia"/>
                <w:szCs w:val="21"/>
              </w:rPr>
              <w:t>027-</w:t>
            </w:r>
            <w:r>
              <w:rPr>
                <w:rFonts w:hint="eastAsia" w:asciiTheme="minorEastAsia" w:hAnsiTheme="minorEastAsia" w:eastAsiaTheme="minorEastAsia" w:cstheme="minorEastAsia"/>
                <w:szCs w:val="21"/>
                <w:lang w:val="zh-CN"/>
              </w:rPr>
              <w:t>67818721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2.3</w:t>
            </w:r>
          </w:p>
        </w:tc>
        <w:tc>
          <w:tcPr>
            <w:tcW w:w="2127"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采购代理机构</w:t>
            </w:r>
          </w:p>
        </w:tc>
        <w:tc>
          <w:tcPr>
            <w:tcW w:w="6130"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中创恒梦工程咨询有限公司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2.5</w:t>
            </w:r>
          </w:p>
        </w:tc>
        <w:tc>
          <w:tcPr>
            <w:tcW w:w="2127"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磋商供应商</w:t>
            </w:r>
          </w:p>
        </w:tc>
        <w:tc>
          <w:tcPr>
            <w:tcW w:w="6130" w:type="dxa"/>
            <w:vAlign w:val="center"/>
          </w:tcPr>
          <w:p>
            <w:pPr>
              <w:pStyle w:val="24"/>
              <w:widowControl w:val="0"/>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sz w:val="21"/>
                <w:szCs w:val="21"/>
                <w:lang w:val="zh-CN"/>
              </w:rPr>
              <w:t>详见</w:t>
            </w:r>
            <w:r>
              <w:rPr>
                <w:rFonts w:asciiTheme="minorEastAsia" w:hAnsiTheme="minorEastAsia" w:eastAsiaTheme="minorEastAsia" w:cstheme="minorEastAsia"/>
                <w:sz w:val="21"/>
                <w:szCs w:val="21"/>
              </w:rPr>
              <w:t>第一章第二款相关要求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4.2</w:t>
            </w:r>
          </w:p>
        </w:tc>
        <w:tc>
          <w:tcPr>
            <w:tcW w:w="2127" w:type="dxa"/>
            <w:vAlign w:val="center"/>
          </w:tcPr>
          <w:p>
            <w:pPr>
              <w:autoSpaceDE w:val="0"/>
              <w:autoSpaceDN w:val="0"/>
              <w:adjustRightInd w:val="0"/>
              <w:jc w:val="cente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招标代理服务费</w:t>
            </w:r>
          </w:p>
        </w:tc>
        <w:tc>
          <w:tcPr>
            <w:tcW w:w="6130" w:type="dxa"/>
            <w:vAlign w:val="center"/>
          </w:tcPr>
          <w:p>
            <w:pPr>
              <w:autoSpaceDE w:val="0"/>
              <w:autoSpaceDN w:val="0"/>
              <w:adjustRightIn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根据国家发展与改革委员会办公厅发改办价格【2003】857号文的规定，经与采购人协商，由成交供应商按国家发展计划委员会计价格【2002】1980号文规定的取费标准的80%向采购代理机构支付招标代理服务费。招标代理服务费由成交供应商在领取成交通知书的同时，向采购代理机构支付。详见成交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24"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6.2</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提疑、</w:t>
            </w:r>
            <w:r>
              <w:rPr>
                <w:rFonts w:hint="eastAsia" w:asciiTheme="minorEastAsia" w:hAnsiTheme="minorEastAsia" w:eastAsiaTheme="minorEastAsia" w:cstheme="minorEastAsia"/>
                <w:snapToGrid w:val="0"/>
                <w:kern w:val="0"/>
                <w:szCs w:val="21"/>
              </w:rPr>
              <w:t>质疑</w:t>
            </w:r>
            <w:r>
              <w:rPr>
                <w:rFonts w:hint="eastAsia" w:asciiTheme="minorEastAsia" w:hAnsiTheme="minorEastAsia" w:eastAsiaTheme="minorEastAsia" w:cstheme="minorEastAsia"/>
                <w:snapToGrid w:val="0"/>
                <w:kern w:val="0"/>
                <w:szCs w:val="21"/>
                <w:lang w:val="zh-CN"/>
              </w:rPr>
              <w:t>截止时间</w:t>
            </w:r>
          </w:p>
        </w:tc>
        <w:tc>
          <w:tcPr>
            <w:tcW w:w="6130" w:type="dxa"/>
            <w:vAlign w:val="center"/>
          </w:tcPr>
          <w:p>
            <w:pPr>
              <w:pStyle w:val="24"/>
              <w:widowControl w:val="0"/>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sz w:val="21"/>
                <w:szCs w:val="21"/>
                <w:lang w:val="zh-CN"/>
              </w:rPr>
            </w:pPr>
            <w:r>
              <w:rPr>
                <w:rFonts w:asciiTheme="minorEastAsia" w:hAnsiTheme="minorEastAsia" w:eastAsiaTheme="minorEastAsia" w:cstheme="minorEastAsia"/>
                <w:sz w:val="21"/>
                <w:szCs w:val="21"/>
                <w:lang w:val="zh-CN"/>
              </w:rPr>
              <w:t>供应商认为磋商文件、磋商过程和成交结果使自己的权益受到损害</w:t>
            </w:r>
          </w:p>
          <w:p>
            <w:pPr>
              <w:pStyle w:val="24"/>
              <w:widowControl w:val="0"/>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sz w:val="21"/>
                <w:szCs w:val="21"/>
                <w:lang w:val="zh-CN"/>
              </w:rPr>
            </w:pPr>
            <w:r>
              <w:rPr>
                <w:rFonts w:asciiTheme="minorEastAsia" w:hAnsiTheme="minorEastAsia" w:eastAsiaTheme="minorEastAsia" w:cstheme="minorEastAsia"/>
                <w:sz w:val="21"/>
                <w:szCs w:val="21"/>
                <w:lang w:val="zh-CN"/>
              </w:rPr>
              <w:t>的，可以在知道或者应知其权益受到损害之日起7个工作日内，以</w:t>
            </w:r>
          </w:p>
          <w:p>
            <w:pPr>
              <w:pStyle w:val="24"/>
              <w:widowControl w:val="0"/>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sz w:val="21"/>
                <w:szCs w:val="21"/>
                <w:lang w:val="zh-CN"/>
              </w:rPr>
            </w:pPr>
            <w:r>
              <w:rPr>
                <w:rFonts w:asciiTheme="minorEastAsia" w:hAnsiTheme="minorEastAsia" w:eastAsiaTheme="minorEastAsia" w:cstheme="minorEastAsia"/>
                <w:sz w:val="21"/>
                <w:szCs w:val="21"/>
                <w:lang w:val="zh-CN"/>
              </w:rPr>
              <w:t>书面形式向采购人或采购代理机构提出。供应商在法定质疑期内应一次性提出针对同一采购程序环节的质疑事项。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24"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rPr>
            </w:pPr>
            <w:r>
              <w:rPr>
                <w:rFonts w:asciiTheme="minorEastAsia" w:hAnsiTheme="minorEastAsia" w:eastAsiaTheme="minorEastAsia" w:cstheme="minorEastAsia"/>
                <w:kern w:val="2"/>
                <w:sz w:val="21"/>
                <w:szCs w:val="21"/>
              </w:rPr>
              <w:t>7.1</w:t>
            </w:r>
          </w:p>
        </w:tc>
        <w:tc>
          <w:tcPr>
            <w:tcW w:w="2127" w:type="dxa"/>
            <w:vAlign w:val="center"/>
          </w:tcPr>
          <w:p>
            <w:pPr>
              <w:autoSpaceDE w:val="0"/>
              <w:autoSpaceDN w:val="0"/>
              <w:adjustRightInd w:val="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供应商确认收到磋商</w:t>
            </w:r>
          </w:p>
          <w:p>
            <w:pPr>
              <w:autoSpaceDE w:val="0"/>
              <w:autoSpaceDN w:val="0"/>
              <w:adjustRightInd w:val="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文件澄清或者修改的</w:t>
            </w:r>
          </w:p>
          <w:p>
            <w:pPr>
              <w:autoSpaceDE w:val="0"/>
              <w:autoSpaceDN w:val="0"/>
              <w:adjustRightInd w:val="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时间</w:t>
            </w:r>
          </w:p>
        </w:tc>
        <w:tc>
          <w:tcPr>
            <w:tcW w:w="6130" w:type="dxa"/>
            <w:vAlign w:val="center"/>
          </w:tcPr>
          <w:p>
            <w:pPr>
              <w:pStyle w:val="24"/>
              <w:widowControl w:val="0"/>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在收到相应修改文件后24小时内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autoSpaceDE w:val="0"/>
              <w:autoSpaceDN w:val="0"/>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10.4</w:t>
            </w:r>
          </w:p>
        </w:tc>
        <w:tc>
          <w:tcPr>
            <w:tcW w:w="2127" w:type="dxa"/>
            <w:vAlign w:val="center"/>
          </w:tcPr>
          <w:p>
            <w:pPr>
              <w:autoSpaceDE w:val="0"/>
              <w:autoSpaceDN w:val="0"/>
              <w:adjustRightInd w:val="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对多</w:t>
            </w:r>
            <w:r>
              <w:rPr>
                <w:rFonts w:hint="eastAsia" w:asciiTheme="minorEastAsia" w:hAnsiTheme="minorEastAsia" w:eastAsiaTheme="minorEastAsia" w:cstheme="minorEastAsia"/>
                <w:snapToGrid w:val="0"/>
                <w:kern w:val="0"/>
                <w:szCs w:val="21"/>
              </w:rPr>
              <w:t>包</w:t>
            </w:r>
            <w:r>
              <w:rPr>
                <w:rFonts w:hint="eastAsia" w:asciiTheme="minorEastAsia" w:hAnsiTheme="minorEastAsia" w:eastAsiaTheme="minorEastAsia" w:cstheme="minorEastAsia"/>
                <w:snapToGrid w:val="0"/>
                <w:kern w:val="0"/>
                <w:szCs w:val="21"/>
                <w:lang w:val="zh-CN"/>
              </w:rPr>
              <w:t>采购的规定</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详见</w:t>
            </w:r>
            <w:r>
              <w:rPr>
                <w:rFonts w:hint="eastAsia" w:asciiTheme="minorEastAsia" w:hAnsiTheme="minorEastAsia" w:eastAsiaTheme="minorEastAsia" w:cstheme="minorEastAsia"/>
                <w:szCs w:val="21"/>
              </w:rPr>
              <w:t>第一章第一款相关要求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12.1</w:t>
            </w:r>
          </w:p>
        </w:tc>
        <w:tc>
          <w:tcPr>
            <w:tcW w:w="2127" w:type="dxa"/>
            <w:vAlign w:val="center"/>
          </w:tcPr>
          <w:p>
            <w:pPr>
              <w:autoSpaceDE w:val="0"/>
              <w:autoSpaceDN w:val="0"/>
              <w:adjustRightInd w:val="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备选方案</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本次采购  </w:t>
            </w:r>
            <w:r>
              <w:rPr>
                <w:rFonts w:hint="eastAsia" w:asciiTheme="minorEastAsia" w:hAnsiTheme="minorEastAsia" w:eastAsiaTheme="minorEastAsia" w:cstheme="minorEastAsia"/>
                <w:szCs w:val="21"/>
                <w:u w:val="single"/>
                <w:lang w:val="zh-CN"/>
              </w:rPr>
              <w:t>不接受</w:t>
            </w:r>
            <w:r>
              <w:rPr>
                <w:rFonts w:hint="eastAsia" w:asciiTheme="minorEastAsia" w:hAnsiTheme="minorEastAsia" w:eastAsiaTheme="minorEastAsia" w:cstheme="minorEastAsia"/>
                <w:szCs w:val="21"/>
                <w:lang w:val="zh-CN"/>
              </w:rPr>
              <w:t xml:space="preserve"> 备选方案。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13.1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联合体磋商</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本次采购  </w:t>
            </w:r>
            <w:r>
              <w:rPr>
                <w:rFonts w:hint="eastAsia" w:asciiTheme="minorEastAsia" w:hAnsiTheme="minorEastAsia" w:eastAsiaTheme="minorEastAsia" w:cstheme="minorEastAsia"/>
                <w:szCs w:val="21"/>
                <w:u w:val="single"/>
                <w:lang w:val="zh-CN"/>
              </w:rPr>
              <w:t>不接受</w:t>
            </w:r>
            <w:r>
              <w:rPr>
                <w:rFonts w:hint="eastAsia" w:asciiTheme="minorEastAsia" w:hAnsiTheme="minorEastAsia" w:eastAsiaTheme="minorEastAsia" w:cstheme="minorEastAsia"/>
                <w:szCs w:val="21"/>
                <w:lang w:val="zh-CN"/>
              </w:rPr>
              <w:t xml:space="preserve"> 联合体报价。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autoSpaceDE w:val="0"/>
              <w:autoSpaceDN w:val="0"/>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14.1</w:t>
            </w:r>
          </w:p>
        </w:tc>
        <w:tc>
          <w:tcPr>
            <w:tcW w:w="2127" w:type="dxa"/>
            <w:vAlign w:val="center"/>
          </w:tcPr>
          <w:p>
            <w:pPr>
              <w:autoSpaceDE w:val="0"/>
              <w:autoSpaceDN w:val="0"/>
              <w:adjustRightInd w:val="0"/>
              <w:jc w:val="center"/>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lang w:val="zh-CN"/>
              </w:rPr>
              <w:t>应提交的其它资格证明文件</w:t>
            </w:r>
          </w:p>
          <w:p>
            <w:pPr>
              <w:autoSpaceDE w:val="0"/>
              <w:autoSpaceDN w:val="0"/>
              <w:adjustRightInd w:val="0"/>
              <w:jc w:val="center"/>
              <w:rPr>
                <w:rFonts w:asciiTheme="minorEastAsia" w:hAnsiTheme="minorEastAsia" w:eastAsiaTheme="minorEastAsia" w:cstheme="minorEastAsia"/>
                <w:color w:val="FF0000"/>
                <w:szCs w:val="21"/>
              </w:rPr>
            </w:pPr>
            <w:r>
              <w:rPr>
                <w:rFonts w:hint="eastAsia" w:asciiTheme="minorEastAsia" w:hAnsiTheme="minorEastAsia" w:eastAsiaTheme="minorEastAsia" w:cstheme="minorEastAsia"/>
                <w:b/>
                <w:bCs/>
                <w:szCs w:val="21"/>
                <w:shd w:val="clear" w:color="FFFFFF" w:fill="D9D9D9"/>
                <w:lang w:val="zh-CN"/>
              </w:rPr>
              <w:t>（实质性</w:t>
            </w:r>
            <w:r>
              <w:rPr>
                <w:rFonts w:hint="eastAsia" w:asciiTheme="minorEastAsia" w:hAnsiTheme="minorEastAsia" w:eastAsiaTheme="minorEastAsia" w:cstheme="minorEastAsia"/>
                <w:b/>
                <w:bCs/>
                <w:szCs w:val="21"/>
                <w:shd w:val="clear" w:color="FFFFFF" w:fill="D9D9D9"/>
              </w:rPr>
              <w:t>内容</w:t>
            </w:r>
            <w:r>
              <w:rPr>
                <w:rFonts w:hint="eastAsia" w:asciiTheme="minorEastAsia" w:hAnsiTheme="minorEastAsia" w:eastAsiaTheme="minorEastAsia" w:cstheme="minorEastAsia"/>
                <w:b/>
                <w:bCs/>
                <w:szCs w:val="21"/>
                <w:shd w:val="clear" w:color="FFFFFF" w:fill="D9D9D9"/>
                <w:lang w:val="zh-CN"/>
              </w:rPr>
              <w:t>要求）</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详见第一章《</w:t>
            </w:r>
            <w:r>
              <w:rPr>
                <w:rFonts w:hint="eastAsia" w:asciiTheme="minorEastAsia" w:hAnsiTheme="minorEastAsia" w:eastAsiaTheme="minorEastAsia" w:cstheme="minorEastAsia"/>
                <w:szCs w:val="21"/>
              </w:rPr>
              <w:t>竞争性磋商</w:t>
            </w:r>
            <w:r>
              <w:rPr>
                <w:rFonts w:hint="eastAsia" w:asciiTheme="minorEastAsia" w:hAnsiTheme="minorEastAsia" w:eastAsiaTheme="minorEastAsia" w:cstheme="minorEastAsia"/>
                <w:szCs w:val="21"/>
                <w:lang w:val="zh-CN"/>
              </w:rPr>
              <w:t>公告》第二款“资格要求”，须提供的证明文件包括但不限于：</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w:t>
            </w:r>
            <w:r>
              <w:rPr>
                <w:rFonts w:hint="eastAsia" w:asciiTheme="minorEastAsia" w:hAnsiTheme="minorEastAsia" w:eastAsiaTheme="minorEastAsia" w:cstheme="minorEastAsia"/>
                <w:szCs w:val="21"/>
              </w:rPr>
              <w:t>1</w:t>
            </w:r>
            <w:r>
              <w:rPr>
                <w:rFonts w:hint="eastAsia" w:asciiTheme="minorEastAsia" w:hAnsiTheme="minorEastAsia" w:eastAsiaTheme="minorEastAsia" w:cstheme="minorEastAsia"/>
                <w:szCs w:val="21"/>
                <w:lang w:val="zh-CN"/>
              </w:rPr>
              <w:t>）具有独立承担民事责任的能力；</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营业执照等证明文件或自然人的身份证明（如供应商是企业 （包括合伙企业），应提供在工商部门注册的有效“企业法人营业执照”或“营业执照”；如供应商是事业单位，应提供有效的“事业单位法人证书”；供应商是非企业专业服务机构的，应提供执业许可证等证明文件；如供应商是个体工商户，应提供有效的“个体工商户营业执照”；如供应商是自然人，应提供有效的自然人身份证明）。</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w:t>
            </w:r>
            <w:r>
              <w:rPr>
                <w:rFonts w:hint="eastAsia" w:asciiTheme="minorEastAsia" w:hAnsiTheme="minorEastAsia" w:eastAsiaTheme="minorEastAsia" w:cstheme="minorEastAsia"/>
                <w:szCs w:val="21"/>
              </w:rPr>
              <w:t>2</w:t>
            </w:r>
            <w:r>
              <w:rPr>
                <w:rFonts w:hint="eastAsia" w:asciiTheme="minorEastAsia" w:hAnsiTheme="minorEastAsia" w:eastAsiaTheme="minorEastAsia" w:cstheme="minorEastAsia"/>
                <w:szCs w:val="21"/>
                <w:lang w:val="zh-CN"/>
              </w:rPr>
              <w:t>）具有良好的商业信誉和健全的财务会计制度；</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良好的商业信誉证明材料（自拟），财务会计制度指上一年度经第三方审计的财务报告，部分其他组织和自然人，没有财务报告，</w:t>
            </w:r>
            <w:r>
              <w:rPr>
                <w:rFonts w:hint="eastAsia" w:asciiTheme="minorEastAsia" w:hAnsiTheme="minorEastAsia" w:eastAsiaTheme="minorEastAsia" w:cstheme="minorEastAsia"/>
                <w:szCs w:val="21"/>
              </w:rPr>
              <w:t>可以</w:t>
            </w:r>
            <w:r>
              <w:rPr>
                <w:rFonts w:hint="eastAsia" w:asciiTheme="minorEastAsia" w:hAnsiTheme="minorEastAsia" w:eastAsiaTheme="minorEastAsia" w:cstheme="minorEastAsia"/>
                <w:szCs w:val="21"/>
                <w:lang w:val="zh-CN"/>
              </w:rPr>
              <w:t>提供银行出具的资信证明（银行资信证明应能说明该供应商与银行之间业务往来正常，企业信誉良好等。银行出具的单纯的存款证明不能视作银行资信证明。下同）。成立不足一年的可提供存款证明即可。由财政部门认可的政府采购专业担保机构对供应商进行资信审查后出具投标担保函的，可以不用提供</w:t>
            </w:r>
            <w:r>
              <w:rPr>
                <w:rFonts w:hint="eastAsia" w:asciiTheme="minorEastAsia" w:hAnsiTheme="minorEastAsia" w:eastAsiaTheme="minorEastAsia" w:cstheme="minorEastAsia"/>
                <w:szCs w:val="21"/>
              </w:rPr>
              <w:t>财务会计制度对应的相关内容</w:t>
            </w:r>
            <w:r>
              <w:rPr>
                <w:rFonts w:hint="eastAsia" w:asciiTheme="minorEastAsia" w:hAnsiTheme="minorEastAsia" w:eastAsiaTheme="minorEastAsia" w:cstheme="minorEastAsia"/>
                <w:szCs w:val="21"/>
                <w:lang w:val="zh-CN"/>
              </w:rPr>
              <w:t>。</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w:t>
            </w:r>
            <w:r>
              <w:rPr>
                <w:rFonts w:hint="eastAsia" w:asciiTheme="minorEastAsia" w:hAnsiTheme="minorEastAsia" w:eastAsiaTheme="minorEastAsia" w:cstheme="minorEastAsia"/>
                <w:szCs w:val="21"/>
              </w:rPr>
              <w:t>3</w:t>
            </w:r>
            <w:r>
              <w:rPr>
                <w:rFonts w:hint="eastAsia" w:asciiTheme="minorEastAsia" w:hAnsiTheme="minorEastAsia" w:eastAsiaTheme="minorEastAsia" w:cstheme="minorEastAsia"/>
                <w:szCs w:val="21"/>
                <w:lang w:val="zh-CN"/>
              </w:rPr>
              <w:t>）具有履行合同所必需的设备和专业技术能力的证明材料；（自拟）</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w:t>
            </w:r>
            <w:r>
              <w:rPr>
                <w:rFonts w:hint="eastAsia" w:asciiTheme="minorEastAsia" w:hAnsiTheme="minorEastAsia" w:eastAsiaTheme="minorEastAsia" w:cstheme="minorEastAsia"/>
                <w:szCs w:val="21"/>
              </w:rPr>
              <w:t>4</w:t>
            </w:r>
            <w:r>
              <w:rPr>
                <w:rFonts w:hint="eastAsia" w:asciiTheme="minorEastAsia" w:hAnsiTheme="minorEastAsia" w:eastAsiaTheme="minorEastAsia" w:cstheme="minorEastAsia"/>
                <w:szCs w:val="21"/>
                <w:lang w:val="zh-CN"/>
              </w:rPr>
              <w:t>）具有依法缴纳税收和社会保障资金的良好记录：1）供应商依法缴纳税收的证明材料：递交响应文件截止时间往前推算</w:t>
            </w:r>
            <w:r>
              <w:rPr>
                <w:rFonts w:hint="eastAsia" w:asciiTheme="minorEastAsia" w:hAnsiTheme="minorEastAsia" w:eastAsiaTheme="minorEastAsia" w:cstheme="minorEastAsia"/>
                <w:szCs w:val="21"/>
              </w:rPr>
              <w:t>六个月</w:t>
            </w:r>
            <w:r>
              <w:rPr>
                <w:rFonts w:hint="eastAsia" w:asciiTheme="minorEastAsia" w:hAnsiTheme="minorEastAsia" w:eastAsiaTheme="minorEastAsia" w:cstheme="minorEastAsia"/>
                <w:szCs w:val="21"/>
                <w:lang w:val="zh-CN"/>
              </w:rPr>
              <w:t>以来</w:t>
            </w:r>
            <w:r>
              <w:rPr>
                <w:rFonts w:hint="eastAsia" w:asciiTheme="minorEastAsia" w:hAnsiTheme="minorEastAsia" w:eastAsiaTheme="minorEastAsia" w:cstheme="minorEastAsia"/>
                <w:szCs w:val="21"/>
              </w:rPr>
              <w:t>任意一个月</w:t>
            </w:r>
            <w:r>
              <w:rPr>
                <w:rFonts w:hint="eastAsia" w:asciiTheme="minorEastAsia" w:hAnsiTheme="minorEastAsia" w:eastAsiaTheme="minorEastAsia" w:cstheme="minorEastAsia"/>
                <w:szCs w:val="21"/>
                <w:lang w:val="zh-CN"/>
              </w:rPr>
              <w:t>缴纳税收的凭据（完税证明、缴款书、银行代扣（代缴）转账凭证等均可）；2）供应商依法缴纳社会保障资金的证明材料：递交响应文件截止时间往前推算</w:t>
            </w:r>
            <w:r>
              <w:rPr>
                <w:rFonts w:hint="eastAsia" w:asciiTheme="minorEastAsia" w:hAnsiTheme="minorEastAsia" w:eastAsiaTheme="minorEastAsia" w:cstheme="minorEastAsia"/>
                <w:szCs w:val="21"/>
              </w:rPr>
              <w:t>六个月</w:t>
            </w:r>
            <w:r>
              <w:rPr>
                <w:rFonts w:hint="eastAsia" w:asciiTheme="minorEastAsia" w:hAnsiTheme="minorEastAsia" w:eastAsiaTheme="minorEastAsia" w:cstheme="minorEastAsia"/>
                <w:szCs w:val="21"/>
                <w:lang w:val="zh-CN"/>
              </w:rPr>
              <w:t>以来</w:t>
            </w:r>
            <w:r>
              <w:rPr>
                <w:rFonts w:hint="eastAsia" w:asciiTheme="minorEastAsia" w:hAnsiTheme="minorEastAsia" w:eastAsiaTheme="minorEastAsia" w:cstheme="minorEastAsia"/>
                <w:szCs w:val="21"/>
              </w:rPr>
              <w:t>任意一个月</w:t>
            </w:r>
            <w:r>
              <w:rPr>
                <w:rFonts w:hint="eastAsia" w:asciiTheme="minorEastAsia" w:hAnsiTheme="minorEastAsia" w:eastAsiaTheme="minorEastAsia" w:cstheme="minorEastAsia"/>
                <w:szCs w:val="21"/>
                <w:lang w:val="zh-CN"/>
              </w:rPr>
              <w:t>缴纳社会保险的凭据（专用发票或社会保险缴纳清单）；3）供应商为其他组织或自然人的，也需要按此项规定提供缴纳税收的凭据和缴纳社会保险的凭据；4）递交响应文件截止时间当月成立但因税务机关原因导致其尚未依法缴纳税收的供应商，提供依法缴纳税收承诺书原件（格式自拟），该承诺书视同税收缴纳凭据。5）递交响应文件截止时间当月成立但因社会保障资金管理机关原因导致其尚未依法缴纳社会保障资金的供应商，提供依法缴纳社会保障资金承诺书原件（格式自拟），该承诺书视同社会保险凭据。6）依法免税或不需要缴纳社会保障资金的供应商，应提供相应文件证明其依法免税或不需要缴纳社会保障资金。</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w:t>
            </w:r>
            <w:r>
              <w:rPr>
                <w:rFonts w:hint="eastAsia" w:asciiTheme="minorEastAsia" w:hAnsiTheme="minorEastAsia" w:eastAsiaTheme="minorEastAsia" w:cstheme="minorEastAsia"/>
                <w:szCs w:val="21"/>
              </w:rPr>
              <w:t>5</w:t>
            </w:r>
            <w:r>
              <w:rPr>
                <w:rFonts w:hint="eastAsia" w:asciiTheme="minorEastAsia" w:hAnsiTheme="minorEastAsia" w:eastAsiaTheme="minorEastAsia" w:cstheme="minorEastAsia"/>
                <w:szCs w:val="21"/>
                <w:lang w:val="zh-CN"/>
              </w:rPr>
              <w:t>）参加政府采购活动前三年内，在经营活动中没有重大违法记录；（提供书面声明）（重大违法记录是指供应商因违法经营受到刑事处罚或者责令停产停业、吊销许可证或者执照、较大数额罚款等行政处罚）</w:t>
            </w:r>
          </w:p>
          <w:p>
            <w:pPr>
              <w:autoSpaceDE w:val="0"/>
              <w:autoSpaceDN w:val="0"/>
              <w:adjustRightInd w:val="0"/>
              <w:jc w:val="left"/>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lang w:val="zh-CN"/>
              </w:rPr>
              <w:t>（</w:t>
            </w:r>
            <w:r>
              <w:rPr>
                <w:rFonts w:hint="eastAsia" w:asciiTheme="minorEastAsia" w:hAnsiTheme="minorEastAsia" w:eastAsiaTheme="minorEastAsia" w:cstheme="minorEastAsia"/>
                <w:b/>
                <w:bCs/>
                <w:szCs w:val="21"/>
              </w:rPr>
              <w:t>6</w:t>
            </w:r>
            <w:r>
              <w:rPr>
                <w:rFonts w:hint="eastAsia" w:asciiTheme="minorEastAsia" w:hAnsiTheme="minorEastAsia" w:eastAsiaTheme="minorEastAsia" w:cstheme="minorEastAsia"/>
                <w:b/>
                <w:bCs/>
                <w:szCs w:val="21"/>
                <w:lang w:val="zh-CN"/>
              </w:rPr>
              <w:t>）符合本文件第一章第二款资格要求的所有证明资料。</w:t>
            </w:r>
          </w:p>
          <w:p>
            <w:pPr>
              <w:autoSpaceDE w:val="0"/>
              <w:autoSpaceDN w:val="0"/>
              <w:adjustRightInd w:val="0"/>
              <w:jc w:val="left"/>
              <w:rPr>
                <w:rFonts w:asciiTheme="minorEastAsia" w:hAnsiTheme="minorEastAsia" w:eastAsiaTheme="minorEastAsia" w:cstheme="minorEastAsia"/>
                <w:color w:val="FF0000"/>
                <w:szCs w:val="21"/>
                <w:lang w:val="zh-CN"/>
              </w:rPr>
            </w:pPr>
            <w:r>
              <w:rPr>
                <w:rFonts w:hint="eastAsia" w:asciiTheme="minorEastAsia" w:hAnsiTheme="minorEastAsia" w:eastAsiaTheme="minorEastAsia" w:cstheme="minorEastAsia"/>
                <w:b/>
                <w:bCs/>
                <w:szCs w:val="21"/>
                <w:lang w:val="zh-CN"/>
              </w:rPr>
              <w:t>注：除上述要求的资格证明文件外，如国家法律法规对市场准入有要求的还应提交相关资格证明文件。所有证书、证明文件包括按要求提供的官网截图必须是真实可查证的，须注明资料来源。资格证明文件应为原件清晰的扫描件），副本可用正本的复印件。所有证明材料须清晰可辨认，如因证明材料模糊无法辨认，缺页、漏页导致无法进行评审认定的，责任由供应商自负。如发现弄虚作假将按照有关规定严肃处理。证明材料仅限于投标单位本身，参股或控股单位及独立法人子公司的材料不能作为证明材料，但投标单位兼并的企业的材料可作为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15.1</w:t>
            </w:r>
          </w:p>
        </w:tc>
        <w:tc>
          <w:tcPr>
            <w:tcW w:w="2127" w:type="dxa"/>
            <w:vAlign w:val="center"/>
          </w:tcPr>
          <w:p>
            <w:pPr>
              <w:autoSpaceDE w:val="0"/>
              <w:autoSpaceDN w:val="0"/>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证明响应内容符合竞争性磋商采购文件要求的文件和竞争性磋商采购文件规定的其他资料</w:t>
            </w:r>
          </w:p>
        </w:tc>
        <w:tc>
          <w:tcPr>
            <w:tcW w:w="6130" w:type="dxa"/>
            <w:vAlign w:val="center"/>
          </w:tcPr>
          <w:p>
            <w:pPr>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证明满足磋商文件第三章中技术要求及商务要求的所有相关规定的相关内容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27"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16.1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磋商保证金金额、递交方式、时间及接受磋商保证金的帐户信息</w:t>
            </w:r>
            <w:r>
              <w:rPr>
                <w:rFonts w:hint="eastAsia" w:asciiTheme="minorEastAsia" w:hAnsiTheme="minorEastAsia" w:eastAsiaTheme="minorEastAsia" w:cstheme="minorEastAsia"/>
                <w:b/>
                <w:bCs/>
                <w:snapToGrid w:val="0"/>
                <w:kern w:val="0"/>
                <w:szCs w:val="21"/>
                <w:lang w:val="zh-CN"/>
              </w:rPr>
              <w:t>（</w:t>
            </w:r>
            <w:r>
              <w:rPr>
                <w:rFonts w:hint="eastAsia" w:asciiTheme="minorEastAsia" w:hAnsiTheme="minorEastAsia" w:eastAsiaTheme="minorEastAsia" w:cstheme="minorEastAsia"/>
                <w:b/>
                <w:bCs/>
                <w:snapToGrid w:val="0"/>
                <w:kern w:val="0"/>
                <w:szCs w:val="21"/>
              </w:rPr>
              <w:t>本项目不适用</w:t>
            </w:r>
            <w:r>
              <w:rPr>
                <w:rFonts w:hint="eastAsia" w:asciiTheme="minorEastAsia" w:hAnsiTheme="minorEastAsia" w:eastAsiaTheme="minorEastAsia" w:cstheme="minorEastAsia"/>
                <w:b/>
                <w:bCs/>
                <w:snapToGrid w:val="0"/>
                <w:kern w:val="0"/>
                <w:szCs w:val="21"/>
                <w:lang w:val="zh-CN"/>
              </w:rPr>
              <w:t>）</w:t>
            </w:r>
          </w:p>
        </w:tc>
        <w:tc>
          <w:tcPr>
            <w:tcW w:w="6130" w:type="dxa"/>
            <w:vAlign w:val="center"/>
          </w:tcPr>
          <w:p>
            <w:pPr>
              <w:ind w:right="256" w:rightChars="12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17.1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磋商有效期</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kern w:val="0"/>
                <w:szCs w:val="21"/>
              </w:rPr>
              <w:t>自磋商截止时间起共</w:t>
            </w:r>
            <w:r>
              <w:rPr>
                <w:rFonts w:hint="eastAsia" w:asciiTheme="minorEastAsia" w:hAnsiTheme="minorEastAsia" w:eastAsiaTheme="minorEastAsia" w:cstheme="minorEastAsia"/>
                <w:kern w:val="0"/>
                <w:szCs w:val="21"/>
                <w:u w:val="single"/>
              </w:rPr>
              <w:t xml:space="preserve"> 90 </w:t>
            </w:r>
            <w:r>
              <w:rPr>
                <w:rFonts w:hint="eastAsia" w:asciiTheme="minorEastAsia" w:hAnsiTheme="minorEastAsia" w:eastAsiaTheme="minorEastAsia" w:cstheme="minorEastAsia"/>
                <w:kern w:val="0"/>
                <w:szCs w:val="21"/>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18.1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竞争性磋商响应文件正、副本数量</w:t>
            </w:r>
          </w:p>
        </w:tc>
        <w:tc>
          <w:tcPr>
            <w:tcW w:w="6130" w:type="dxa"/>
            <w:vAlign w:val="center"/>
          </w:tcPr>
          <w:p>
            <w:pPr>
              <w:autoSpaceDE w:val="0"/>
              <w:autoSpaceDN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（1）响应文件纸质版：正本</w:t>
            </w:r>
            <w:r>
              <w:rPr>
                <w:rFonts w:hint="eastAsia" w:asciiTheme="minorEastAsia" w:hAnsiTheme="minorEastAsia" w:eastAsiaTheme="minorEastAsia" w:cstheme="minorEastAsia"/>
                <w:szCs w:val="21"/>
                <w:u w:val="single"/>
              </w:rPr>
              <w:t xml:space="preserve"> 壹 </w:t>
            </w:r>
            <w:r>
              <w:rPr>
                <w:rFonts w:hint="eastAsia" w:asciiTheme="minorEastAsia" w:hAnsiTheme="minorEastAsia" w:eastAsiaTheme="minorEastAsia" w:cstheme="minorEastAsia"/>
                <w:szCs w:val="21"/>
              </w:rPr>
              <w:t>份（</w:t>
            </w:r>
            <w:r>
              <w:rPr>
                <w:rFonts w:hint="eastAsia" w:asciiTheme="minorEastAsia" w:hAnsiTheme="minorEastAsia" w:eastAsiaTheme="minorEastAsia" w:cstheme="minorEastAsia"/>
                <w:szCs w:val="21"/>
                <w:highlight w:val="none"/>
              </w:rPr>
              <w:t>需为彩色打印件</w:t>
            </w:r>
            <w:r>
              <w:rPr>
                <w:rFonts w:hint="eastAsia" w:asciiTheme="minorEastAsia" w:hAnsiTheme="minorEastAsia" w:eastAsiaTheme="minorEastAsia" w:cstheme="minorEastAsia"/>
                <w:szCs w:val="21"/>
              </w:rPr>
              <w:t>），副本</w:t>
            </w:r>
            <w:r>
              <w:rPr>
                <w:rFonts w:hint="eastAsia" w:asciiTheme="minorEastAsia" w:hAnsiTheme="minorEastAsia" w:eastAsiaTheme="minorEastAsia" w:cstheme="minorEastAsia"/>
                <w:szCs w:val="21"/>
                <w:u w:val="single"/>
              </w:rPr>
              <w:t xml:space="preserve"> 贰 </w:t>
            </w:r>
            <w:r>
              <w:rPr>
                <w:rFonts w:hint="eastAsia" w:asciiTheme="minorEastAsia" w:hAnsiTheme="minorEastAsia" w:eastAsiaTheme="minorEastAsia" w:cstheme="minorEastAsia"/>
                <w:szCs w:val="21"/>
              </w:rPr>
              <w:t>份；</w:t>
            </w:r>
          </w:p>
          <w:p>
            <w:pPr>
              <w:autoSpaceDE w:val="0"/>
              <w:autoSpaceDN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（2）响应文件电子版：</w:t>
            </w:r>
          </w:p>
          <w:p>
            <w:pPr>
              <w:autoSpaceDE w:val="0"/>
              <w:autoSpaceDN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□不要求</w:t>
            </w:r>
          </w:p>
          <w:p>
            <w:pPr>
              <w:autoSpaceDE w:val="0"/>
              <w:autoSpaceDN w:val="0"/>
              <w:snapToGrid w:val="0"/>
              <w:jc w:val="lef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☑要求，响应文件电子版内容：</w:t>
            </w:r>
            <w:r>
              <w:rPr>
                <w:rFonts w:hint="eastAsia" w:asciiTheme="minorEastAsia" w:hAnsiTheme="minorEastAsia" w:eastAsiaTheme="minorEastAsia" w:cstheme="minorEastAsia"/>
                <w:szCs w:val="21"/>
                <w:u w:val="single"/>
              </w:rPr>
              <w:t>与正本保持一致</w:t>
            </w:r>
          </w:p>
          <w:p>
            <w:pPr>
              <w:autoSpaceDE w:val="0"/>
              <w:autoSpaceDN w:val="0"/>
              <w:snapToGrid w:val="0"/>
              <w:ind w:firstLine="843" w:firstLineChars="400"/>
              <w:jc w:val="left"/>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shd w:val="clear" w:color="auto" w:fill="FFFFFF"/>
              </w:rPr>
              <w:t>响应文件电子版格式：</w:t>
            </w:r>
            <w:r>
              <w:rPr>
                <w:rFonts w:hint="eastAsia" w:asciiTheme="minorEastAsia" w:hAnsiTheme="minorEastAsia" w:eastAsiaTheme="minorEastAsia" w:cstheme="minorEastAsia"/>
                <w:b/>
                <w:bCs/>
                <w:szCs w:val="21"/>
              </w:rPr>
              <w:t>WORD格式和加</w:t>
            </w:r>
            <w:r>
              <w:rPr>
                <w:rFonts w:hint="eastAsia" w:asciiTheme="minorEastAsia" w:hAnsiTheme="minorEastAsia" w:eastAsiaTheme="minorEastAsia" w:cstheme="minorEastAsia"/>
                <w:b/>
                <w:bCs/>
                <w:szCs w:val="21"/>
                <w:u w:val="single"/>
              </w:rPr>
              <w:t>盖公章后的PDF扫描件格式，如不满足作废标处理。</w:t>
            </w:r>
          </w:p>
          <w:p>
            <w:pPr>
              <w:autoSpaceDE w:val="0"/>
              <w:autoSpaceDN w:val="0"/>
              <w:adjustRightInd w:val="0"/>
              <w:jc w:val="lef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响应文件电子版形式：</w:t>
            </w:r>
            <w:r>
              <w:rPr>
                <w:rFonts w:hint="eastAsia" w:asciiTheme="minorEastAsia" w:hAnsiTheme="minorEastAsia" w:eastAsiaTheme="minorEastAsia" w:cstheme="minorEastAsia"/>
                <w:szCs w:val="21"/>
                <w:u w:val="single"/>
              </w:rPr>
              <w:t xml:space="preserve"> U盘1份，需贴标签并注明公司名称；</w:t>
            </w:r>
          </w:p>
          <w:p>
            <w:pPr>
              <w:autoSpaceDE w:val="0"/>
              <w:autoSpaceDN w:val="0"/>
              <w:adjustRightInd w:val="0"/>
              <w:jc w:val="lef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（3）手持法定代表人授权委托书（或法定代表人身份证明书）；</w:t>
            </w:r>
          </w:p>
          <w:p>
            <w:pPr>
              <w:autoSpaceDE w:val="0"/>
              <w:autoSpaceDN w:val="0"/>
              <w:adjustRightIn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所有响应文件概不退还，响应文件按包分开制作，分开密封。</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纸质响应文件应采用胶粘方</w:t>
            </w:r>
            <w:r>
              <w:rPr>
                <w:rFonts w:hint="eastAsia" w:asciiTheme="minorEastAsia" w:hAnsiTheme="minorEastAsia" w:eastAsiaTheme="minorEastAsia" w:cstheme="minorEastAsia"/>
                <w:szCs w:val="21"/>
                <w:lang w:val="zh-CN"/>
              </w:rPr>
              <w:t>式装订,装订应牢固、不易拆散和换页。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rPr>
              <w:t>19.1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竞争性磋商响应文件的密封和标记</w:t>
            </w:r>
          </w:p>
        </w:tc>
        <w:tc>
          <w:tcPr>
            <w:tcW w:w="6130" w:type="dxa"/>
            <w:vAlign w:val="center"/>
          </w:tcPr>
          <w:p>
            <w:pPr>
              <w:autoSpaceDE w:val="0"/>
              <w:autoSpaceDN w:val="0"/>
              <w:adjustRightIn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本条款细化为：响应文件正本需逐页加盖供应商单位公章，不得使用单位其他专用章代替。因签字盖章问题导致的响应材料被否决或竞标受影响的情况，其后果供应商自行承担。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19.3</w:t>
            </w:r>
          </w:p>
        </w:tc>
        <w:tc>
          <w:tcPr>
            <w:tcW w:w="2127" w:type="dxa"/>
            <w:vAlign w:val="center"/>
          </w:tcPr>
          <w:p>
            <w:pPr>
              <w:autoSpaceDE w:val="0"/>
              <w:autoSpaceDN w:val="0"/>
              <w:adjustRightInd w:val="0"/>
              <w:jc w:val="center"/>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lang w:val="zh-CN"/>
              </w:rPr>
              <w:t>样品</w:t>
            </w:r>
          </w:p>
          <w:p>
            <w:pPr>
              <w:autoSpaceDE w:val="0"/>
              <w:autoSpaceDN w:val="0"/>
              <w:adjustRightInd w:val="0"/>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b/>
                <w:bCs/>
                <w:snapToGrid w:val="0"/>
                <w:kern w:val="0"/>
                <w:szCs w:val="21"/>
                <w:lang w:val="zh-CN"/>
              </w:rPr>
              <w:t>（</w:t>
            </w:r>
            <w:r>
              <w:rPr>
                <w:rFonts w:hint="eastAsia" w:asciiTheme="minorEastAsia" w:hAnsiTheme="minorEastAsia" w:eastAsiaTheme="minorEastAsia" w:cstheme="minorEastAsia"/>
                <w:b/>
                <w:bCs/>
                <w:snapToGrid w:val="0"/>
                <w:kern w:val="0"/>
                <w:szCs w:val="21"/>
              </w:rPr>
              <w:t>本项目不适用</w:t>
            </w:r>
            <w:r>
              <w:rPr>
                <w:rFonts w:hint="eastAsia" w:asciiTheme="minorEastAsia" w:hAnsiTheme="minorEastAsia" w:eastAsiaTheme="minorEastAsia" w:cstheme="minorEastAsia"/>
                <w:b/>
                <w:bCs/>
                <w:snapToGrid w:val="0"/>
                <w:kern w:val="0"/>
                <w:szCs w:val="21"/>
                <w:lang w:val="zh-CN"/>
              </w:rPr>
              <w:t>）</w:t>
            </w:r>
          </w:p>
        </w:tc>
        <w:tc>
          <w:tcPr>
            <w:tcW w:w="6130" w:type="dxa"/>
            <w:vAlign w:val="center"/>
          </w:tcPr>
          <w:p>
            <w:pPr>
              <w:autoSpaceDE w:val="0"/>
              <w:autoSpaceDN w:val="0"/>
              <w:adjustRightInd w:val="0"/>
              <w:jc w:val="left"/>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lang w:val="zh-CN"/>
              </w:rPr>
              <w:t>提交样品的相关规定：要求在磋商时提交样品的，应在样品上标明磋商供应商名称。</w:t>
            </w:r>
            <w:r>
              <w:rPr>
                <w:rFonts w:hint="eastAsia" w:asciiTheme="minorEastAsia" w:hAnsiTheme="minorEastAsia" w:eastAsiaTheme="minorEastAsia" w:cstheme="minorEastAsia"/>
                <w:kern w:val="0"/>
                <w:szCs w:val="21"/>
                <w:lang w:val="zh-CN"/>
              </w:rPr>
              <w:br w:type="textWrapping"/>
            </w:r>
            <w:r>
              <w:rPr>
                <w:rFonts w:hint="eastAsia" w:asciiTheme="minorEastAsia" w:hAnsiTheme="minorEastAsia" w:eastAsiaTheme="minorEastAsia" w:cstheme="minorEastAsia"/>
                <w:kern w:val="0"/>
                <w:szCs w:val="21"/>
                <w:lang w:val="zh-CN"/>
              </w:rPr>
              <w:t>退还样品的相关规定：</w:t>
            </w:r>
            <w:r>
              <w:rPr>
                <w:rFonts w:hint="eastAsia" w:asciiTheme="minorEastAsia" w:hAnsiTheme="minorEastAsia" w:eastAsiaTheme="minorEastAsia" w:cstheme="minorEastAsia"/>
                <w:kern w:val="0"/>
                <w:szCs w:val="21"/>
              </w:rPr>
              <w:t>未成交供应商在成交公告发布之日起5个工作日内退还，具体电话通知。成交供应商样品移交采购人作为验收依据，不予退还。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20.1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响应文件送达地点及递交截止时间</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详见第一章第四款相关要求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23.1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磋商小组人数</w:t>
            </w:r>
          </w:p>
        </w:tc>
        <w:tc>
          <w:tcPr>
            <w:tcW w:w="6130" w:type="dxa"/>
            <w:vAlign w:val="center"/>
          </w:tcPr>
          <w:p>
            <w:pPr>
              <w:autoSpaceDE w:val="0"/>
              <w:autoSpaceDN w:val="0"/>
              <w:adjustRightInd w:val="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3人以上单数组成，其中采购人代表不超过成员总数的三分之一，外聘专家在省政府采购专家库中随机抽取。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24.1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b/>
                <w:bCs/>
                <w:snapToGrid w:val="0"/>
                <w:kern w:val="0"/>
                <w:szCs w:val="21"/>
              </w:rPr>
            </w:pPr>
            <w:r>
              <w:rPr>
                <w:rFonts w:hint="eastAsia" w:asciiTheme="minorEastAsia" w:hAnsiTheme="minorEastAsia" w:eastAsiaTheme="minorEastAsia" w:cstheme="minorEastAsia"/>
                <w:b/>
                <w:bCs/>
                <w:snapToGrid w:val="0"/>
                <w:kern w:val="0"/>
                <w:szCs w:val="21"/>
              </w:rPr>
              <w:t>磋商代表</w:t>
            </w:r>
          </w:p>
        </w:tc>
        <w:tc>
          <w:tcPr>
            <w:tcW w:w="6130" w:type="dxa"/>
            <w:vAlign w:val="center"/>
          </w:tcPr>
          <w:p>
            <w:pPr>
              <w:autoSpaceDE w:val="0"/>
              <w:autoSpaceDN w:val="0"/>
              <w:adjustRightInd w:val="0"/>
              <w:jc w:val="left"/>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lang w:val="zh-CN"/>
              </w:rPr>
              <w:t>建议供应商拟派出席磋商会议的磋商代表为熟知本项目的技术人员或商务负责人等能</w:t>
            </w:r>
            <w:r>
              <w:rPr>
                <w:rFonts w:hint="eastAsia" w:asciiTheme="minorEastAsia" w:hAnsiTheme="minorEastAsia" w:eastAsiaTheme="minorEastAsia" w:cstheme="minorEastAsia"/>
                <w:b/>
                <w:bCs/>
                <w:szCs w:val="21"/>
              </w:rPr>
              <w:t>为磋商小组详细介绍供应商公司情况及项目了解情况的人员，</w:t>
            </w:r>
            <w:r>
              <w:rPr>
                <w:rFonts w:hint="eastAsia" w:asciiTheme="minorEastAsia" w:hAnsiTheme="minorEastAsia" w:eastAsiaTheme="minorEastAsia" w:cstheme="minorEastAsia"/>
                <w:b/>
                <w:bCs/>
                <w:szCs w:val="21"/>
                <w:lang w:val="zh-CN"/>
              </w:rPr>
              <w:t>以便在评审过程中进行可能出现的答疑或澄清。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26.4</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提交最后报价供应商的确定方式</w:t>
            </w:r>
          </w:p>
        </w:tc>
        <w:tc>
          <w:tcPr>
            <w:tcW w:w="6130" w:type="dxa"/>
            <w:vAlign w:val="center"/>
          </w:tcPr>
          <w:p>
            <w:pPr>
              <w:autoSpaceDE w:val="0"/>
              <w:autoSpaceDN w:val="0"/>
              <w:adjustRightInd w:val="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采购代理机构将竞争性磋商第二轮报价表（磋商承诺书）发放至所有通过了资格审查及符合性审查的磋商供应商，磋商供应商应在指定的时间内提交满足要求的最后报价，</w:t>
            </w:r>
            <w:r>
              <w:rPr>
                <w:rFonts w:hint="eastAsia" w:asciiTheme="minorEastAsia" w:hAnsiTheme="minorEastAsia" w:eastAsiaTheme="minorEastAsia" w:cstheme="minorEastAsia"/>
                <w:snapToGrid w:val="0"/>
                <w:kern w:val="0"/>
                <w:szCs w:val="21"/>
              </w:rPr>
              <w:t>在指定地点以</w:t>
            </w:r>
            <w:r>
              <w:rPr>
                <w:rFonts w:hint="eastAsia" w:asciiTheme="minorEastAsia" w:hAnsiTheme="minorEastAsia" w:eastAsiaTheme="minorEastAsia" w:cstheme="minorEastAsia"/>
                <w:snapToGrid w:val="0"/>
                <w:kern w:val="0"/>
                <w:szCs w:val="21"/>
                <w:lang w:val="zh-CN"/>
              </w:rPr>
              <w:t>密封</w:t>
            </w:r>
            <w:r>
              <w:rPr>
                <w:rFonts w:hint="eastAsia" w:asciiTheme="minorEastAsia" w:hAnsiTheme="minorEastAsia" w:eastAsiaTheme="minorEastAsia" w:cstheme="minorEastAsia"/>
                <w:snapToGrid w:val="0"/>
                <w:kern w:val="0"/>
                <w:szCs w:val="21"/>
              </w:rPr>
              <w:t>等形式</w:t>
            </w:r>
            <w:r>
              <w:rPr>
                <w:rFonts w:hint="eastAsia" w:asciiTheme="minorEastAsia" w:hAnsiTheme="minorEastAsia" w:eastAsiaTheme="minorEastAsia" w:cstheme="minorEastAsia"/>
                <w:snapToGrid w:val="0"/>
                <w:kern w:val="0"/>
                <w:szCs w:val="21"/>
                <w:lang w:val="zh-CN"/>
              </w:rPr>
              <w:t>递交</w:t>
            </w:r>
            <w:r>
              <w:rPr>
                <w:rFonts w:hint="eastAsia" w:asciiTheme="minorEastAsia" w:hAnsiTheme="minorEastAsia" w:eastAsiaTheme="minorEastAsia" w:cstheme="minorEastAsia"/>
                <w:snapToGrid w:val="0"/>
                <w:kern w:val="0"/>
                <w:szCs w:val="21"/>
              </w:rPr>
              <w:t>给采购代理机构指定现场工作人员或</w:t>
            </w:r>
            <w:r>
              <w:rPr>
                <w:rFonts w:hint="eastAsia" w:asciiTheme="minorEastAsia" w:hAnsiTheme="minorEastAsia" w:eastAsiaTheme="minorEastAsia" w:cstheme="minorEastAsia"/>
                <w:snapToGrid w:val="0"/>
                <w:kern w:val="0"/>
                <w:szCs w:val="21"/>
                <w:lang w:val="zh-CN"/>
              </w:rPr>
              <w:t>磋商小组。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27.3</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推荐成交候选</w:t>
            </w:r>
            <w:r>
              <w:rPr>
                <w:rFonts w:hint="eastAsia" w:asciiTheme="minorEastAsia" w:hAnsiTheme="minorEastAsia" w:eastAsiaTheme="minorEastAsia" w:cstheme="minorEastAsia"/>
                <w:snapToGrid w:val="0"/>
                <w:kern w:val="0"/>
                <w:szCs w:val="21"/>
              </w:rPr>
              <w:t>供应商</w:t>
            </w:r>
            <w:r>
              <w:rPr>
                <w:rFonts w:hint="eastAsia" w:asciiTheme="minorEastAsia" w:hAnsiTheme="minorEastAsia" w:eastAsiaTheme="minorEastAsia" w:cstheme="minorEastAsia"/>
                <w:snapToGrid w:val="0"/>
                <w:kern w:val="0"/>
                <w:szCs w:val="21"/>
                <w:lang w:val="zh-CN"/>
              </w:rPr>
              <w:t>数量</w:t>
            </w:r>
          </w:p>
        </w:tc>
        <w:tc>
          <w:tcPr>
            <w:tcW w:w="6130" w:type="dxa"/>
            <w:vAlign w:val="center"/>
          </w:tcPr>
          <w:p>
            <w:pPr>
              <w:autoSpaceDE w:val="0"/>
              <w:autoSpaceDN w:val="0"/>
              <w:adjustRightInd w:val="0"/>
              <w:jc w:val="left"/>
              <w:rPr>
                <w:rFonts w:asciiTheme="minorEastAsia" w:hAnsiTheme="minorEastAsia" w:eastAsiaTheme="minorEastAsia" w:cstheme="minorEastAsia"/>
                <w:bCs/>
                <w:kern w:val="44"/>
                <w:szCs w:val="21"/>
              </w:rPr>
            </w:pPr>
            <w:r>
              <w:rPr>
                <w:rFonts w:hint="eastAsia" w:asciiTheme="minorEastAsia" w:hAnsiTheme="minorEastAsia" w:eastAsiaTheme="minorEastAsia" w:cstheme="minorEastAsia"/>
                <w:bCs/>
                <w:kern w:val="44"/>
                <w:szCs w:val="21"/>
              </w:rPr>
              <w:t>本项目推荐</w:t>
            </w:r>
            <w:r>
              <w:rPr>
                <w:rFonts w:hint="eastAsia" w:asciiTheme="minorEastAsia" w:hAnsiTheme="minorEastAsia" w:eastAsiaTheme="minorEastAsia" w:cstheme="minorEastAsia"/>
                <w:bCs/>
                <w:kern w:val="44"/>
                <w:szCs w:val="21"/>
                <w:u w:val="single"/>
              </w:rPr>
              <w:t>3</w:t>
            </w:r>
            <w:r>
              <w:rPr>
                <w:rFonts w:hint="eastAsia" w:asciiTheme="minorEastAsia" w:hAnsiTheme="minorEastAsia" w:eastAsiaTheme="minorEastAsia" w:cstheme="minorEastAsia"/>
                <w:bCs/>
                <w:kern w:val="44"/>
                <w:szCs w:val="21"/>
              </w:rPr>
              <w:t>名成交候选供应商。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28.5</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成交通知书的领取</w:t>
            </w:r>
            <w:r>
              <w:rPr>
                <w:rFonts w:hint="eastAsia" w:asciiTheme="minorEastAsia" w:hAnsiTheme="minorEastAsia" w:eastAsiaTheme="minorEastAsia" w:cstheme="minorEastAsia"/>
                <w:snapToGrid w:val="0"/>
                <w:kern w:val="0"/>
                <w:szCs w:val="21"/>
              </w:rPr>
              <w:t>时</w:t>
            </w:r>
            <w:r>
              <w:rPr>
                <w:rFonts w:hint="eastAsia" w:asciiTheme="minorEastAsia" w:hAnsiTheme="minorEastAsia" w:eastAsiaTheme="minorEastAsia" w:cstheme="minorEastAsia"/>
                <w:snapToGrid w:val="0"/>
                <w:kern w:val="0"/>
                <w:szCs w:val="21"/>
                <w:lang w:val="zh-CN"/>
              </w:rPr>
              <w:t>间</w:t>
            </w:r>
          </w:p>
        </w:tc>
        <w:tc>
          <w:tcPr>
            <w:tcW w:w="6130" w:type="dxa"/>
            <w:vAlign w:val="center"/>
          </w:tcPr>
          <w:p>
            <w:pPr>
              <w:autoSpaceDE w:val="0"/>
              <w:autoSpaceDN w:val="0"/>
              <w:adjustRightInd w:val="0"/>
              <w:jc w:val="left"/>
              <w:rPr>
                <w:rFonts w:asciiTheme="minorEastAsia" w:hAnsiTheme="minorEastAsia" w:eastAsiaTheme="minorEastAsia" w:cstheme="minorEastAsia"/>
                <w:bCs/>
                <w:kern w:val="44"/>
                <w:szCs w:val="21"/>
              </w:rPr>
            </w:pPr>
            <w:r>
              <w:rPr>
                <w:rFonts w:hint="eastAsia" w:asciiTheme="minorEastAsia" w:hAnsiTheme="minorEastAsia" w:eastAsiaTheme="minorEastAsia" w:cstheme="minorEastAsia"/>
                <w:bCs/>
                <w:kern w:val="44"/>
                <w:szCs w:val="21"/>
              </w:rPr>
              <w:t>成交通知书与成交结果公告同时发出，成交供应商在成交结果公告</w:t>
            </w:r>
          </w:p>
          <w:p>
            <w:pPr>
              <w:autoSpaceDE w:val="0"/>
              <w:autoSpaceDN w:val="0"/>
              <w:adjustRightInd w:val="0"/>
              <w:jc w:val="left"/>
              <w:rPr>
                <w:rFonts w:asciiTheme="minorEastAsia" w:hAnsiTheme="minorEastAsia" w:eastAsiaTheme="minorEastAsia" w:cstheme="minorEastAsia"/>
                <w:bCs/>
                <w:kern w:val="44"/>
                <w:szCs w:val="21"/>
              </w:rPr>
            </w:pPr>
            <w:r>
              <w:rPr>
                <w:rFonts w:hint="eastAsia" w:asciiTheme="minorEastAsia" w:hAnsiTheme="minorEastAsia" w:eastAsiaTheme="minorEastAsia" w:cstheme="minorEastAsia"/>
                <w:bCs/>
                <w:kern w:val="44"/>
                <w:szCs w:val="21"/>
              </w:rPr>
              <w:t>发布以后即可联系采购代理机构领取。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9071" w:type="dxa"/>
            <w:gridSpan w:val="3"/>
            <w:vAlign w:val="center"/>
          </w:tcPr>
          <w:p>
            <w:pPr>
              <w:autoSpaceDE w:val="0"/>
              <w:autoSpaceDN w:val="0"/>
              <w:adjustRightInd w:val="0"/>
              <w:snapToGrid w:val="0"/>
              <w:spacing w:before="31" w:beforeLines="10" w:after="31" w:afterLines="10"/>
              <w:ind w:right="21" w:rightChars="10"/>
              <w:jc w:val="center"/>
              <w:rPr>
                <w:rFonts w:asciiTheme="minorEastAsia" w:hAnsiTheme="minorEastAsia" w:eastAsiaTheme="minorEastAsia" w:cstheme="minorEastAsia"/>
                <w:color w:val="FF0000"/>
                <w:szCs w:val="21"/>
                <w:lang w:val="zh-CN"/>
              </w:rPr>
            </w:pPr>
            <w:r>
              <w:rPr>
                <w:rFonts w:hint="eastAsia" w:asciiTheme="minorEastAsia" w:hAnsiTheme="minorEastAsia" w:eastAsiaTheme="minorEastAsia" w:cstheme="minorEastAsia"/>
                <w:b/>
                <w:bCs/>
                <w:szCs w:val="21"/>
              </w:rPr>
              <w:t>其他要求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报价方式</w:t>
            </w:r>
          </w:p>
        </w:tc>
        <w:tc>
          <w:tcPr>
            <w:tcW w:w="6130" w:type="dxa"/>
            <w:vAlign w:val="center"/>
          </w:tcPr>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本项目竞标报价为“交钥匙”价。竞标报价应包括完成该项目的货物</w:t>
            </w:r>
            <w:r>
              <w:rPr>
                <w:rFonts w:hint="eastAsia" w:asciiTheme="minorEastAsia" w:hAnsiTheme="minorEastAsia" w:eastAsiaTheme="minorEastAsia" w:cstheme="minorEastAsia"/>
                <w:szCs w:val="21"/>
              </w:rPr>
              <w:t>本身</w:t>
            </w:r>
            <w:r>
              <w:rPr>
                <w:rFonts w:hint="eastAsia" w:asciiTheme="minorEastAsia" w:hAnsiTheme="minorEastAsia" w:eastAsiaTheme="minorEastAsia" w:cstheme="minorEastAsia"/>
                <w:szCs w:val="21"/>
                <w:lang w:val="zh-CN"/>
              </w:rPr>
              <w:t>、包装、人工、运输、仓储、保险、各种税费、专利技术及质保期间等一切服务费用及其他售后服务等全部相关工作。合同签订后采购人未提出增加工作内容的情况下，合同价不得调整。</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各供应商按此要求进行报价，同时在合同实施过程中还将发生的其它费用</w:t>
            </w:r>
            <w:r>
              <w:rPr>
                <w:rFonts w:hint="eastAsia" w:asciiTheme="minorEastAsia" w:hAnsiTheme="minorEastAsia" w:eastAsiaTheme="minorEastAsia" w:cstheme="minorEastAsia"/>
                <w:szCs w:val="21"/>
              </w:rPr>
              <w:t>也</w:t>
            </w:r>
            <w:r>
              <w:rPr>
                <w:rFonts w:hint="eastAsia" w:asciiTheme="minorEastAsia" w:hAnsiTheme="minorEastAsia" w:eastAsiaTheme="minorEastAsia" w:cstheme="minorEastAsia"/>
                <w:szCs w:val="21"/>
                <w:lang w:val="zh-CN"/>
              </w:rPr>
              <w:t>应包含在总价中，对在合同实施过程中可能发生的其它费用（如：增加耗材、材料涨价、人工、运输成本增加等因素），</w:t>
            </w:r>
            <w:r>
              <w:rPr>
                <w:rFonts w:hint="eastAsia" w:asciiTheme="minorEastAsia" w:hAnsiTheme="minorEastAsia" w:eastAsiaTheme="minorEastAsia" w:cstheme="minorEastAsia"/>
                <w:szCs w:val="21"/>
              </w:rPr>
              <w:t>采购人</w:t>
            </w:r>
            <w:r>
              <w:rPr>
                <w:rFonts w:hint="eastAsia" w:asciiTheme="minorEastAsia" w:hAnsiTheme="minorEastAsia" w:eastAsiaTheme="minorEastAsia" w:cstheme="minorEastAsia"/>
                <w:szCs w:val="21"/>
                <w:lang w:val="zh-CN"/>
              </w:rPr>
              <w:t>概不负责。</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val="zh-CN"/>
              </w:rPr>
              <w:t>对于</w:t>
            </w: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szCs w:val="21"/>
                <w:lang w:val="zh-CN"/>
              </w:rPr>
              <w:t>文件未列明，而</w:t>
            </w: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szCs w:val="21"/>
                <w:lang w:val="zh-CN"/>
              </w:rPr>
              <w:t>供应商认为</w:t>
            </w:r>
            <w:r>
              <w:rPr>
                <w:rFonts w:hint="eastAsia" w:asciiTheme="minorEastAsia" w:hAnsiTheme="minorEastAsia" w:eastAsiaTheme="minorEastAsia" w:cstheme="minorEastAsia"/>
                <w:szCs w:val="21"/>
              </w:rPr>
              <w:t>必须</w:t>
            </w:r>
            <w:r>
              <w:rPr>
                <w:rFonts w:hint="eastAsia" w:asciiTheme="minorEastAsia" w:hAnsiTheme="minorEastAsia" w:eastAsiaTheme="minorEastAsia" w:cstheme="minorEastAsia"/>
                <w:szCs w:val="21"/>
                <w:lang w:val="zh-CN"/>
              </w:rPr>
              <w:t>的费用也需列入总报价。在合同实施时，采购人将不予支付</w:t>
            </w:r>
            <w:r>
              <w:rPr>
                <w:rFonts w:hint="eastAsia" w:asciiTheme="minorEastAsia" w:hAnsiTheme="minorEastAsia" w:eastAsiaTheme="minorEastAsia" w:cstheme="minorEastAsia"/>
                <w:szCs w:val="21"/>
              </w:rPr>
              <w:t>成交</w:t>
            </w:r>
            <w:r>
              <w:rPr>
                <w:rFonts w:hint="eastAsia" w:asciiTheme="minorEastAsia" w:hAnsiTheme="minorEastAsia" w:eastAsiaTheme="minorEastAsia" w:cstheme="minorEastAsia"/>
                <w:szCs w:val="21"/>
                <w:lang w:val="zh-CN"/>
              </w:rPr>
              <w:t>供应商没有列入的项目费用，并认为此项目的费用已包括在投标总报价中。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踏勘现场</w:t>
            </w:r>
          </w:p>
        </w:tc>
        <w:tc>
          <w:tcPr>
            <w:tcW w:w="6130" w:type="dxa"/>
            <w:vAlign w:val="center"/>
          </w:tcPr>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☑采购人不组织统一踏勘，请各供应商自行踏勘现场；</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□组织，踏勘时间：</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踏勘集中地点：</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踏勘联系人：</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注：</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（1）供应商承担踏勘现场所发生的自身费用；</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（2）供应商应承担踏勘现场的责任和风险。</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（3）采购人在踏勘现场中介绍的项目背景及项目现场和相关的周边环境情况，供应商在编制响应文件时参考，采购人和采购代理机构不对供应商据此作出的判断和决策负责。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是否接受进口产品</w:t>
            </w:r>
          </w:p>
        </w:tc>
        <w:tc>
          <w:tcPr>
            <w:tcW w:w="6130" w:type="dxa"/>
            <w:vAlign w:val="center"/>
          </w:tcPr>
          <w:p>
            <w:pPr>
              <w:autoSpaceDE w:val="0"/>
              <w:autoSpaceDN w:val="0"/>
              <w:adjustRightInd w:val="0"/>
              <w:snapToGrid w:val="0"/>
              <w:spacing w:before="31" w:beforeLines="10" w:after="31" w:afterLines="10"/>
              <w:ind w:right="21" w:rightChars="10"/>
              <w:jc w:val="left"/>
              <w:rPr>
                <w:u w:val="single"/>
              </w:rPr>
            </w:pPr>
            <w:r>
              <w:rPr>
                <w:rFonts w:hint="eastAsia"/>
              </w:rPr>
              <w:t>☑不接受；    □接  受；</w:t>
            </w:r>
            <w:r>
              <w:rPr>
                <w:rFonts w:hint="eastAsia"/>
              </w:rPr>
              <w:br w:type="textWrapping"/>
            </w:r>
            <w:r>
              <w:rPr>
                <w:rFonts w:hint="eastAsia"/>
              </w:rPr>
              <w:t>经财政部门审核同意购买的进口产品为：</w:t>
            </w:r>
            <w:r>
              <w:rPr>
                <w:rFonts w:hint="eastAsia"/>
                <w:u w:val="single"/>
              </w:rPr>
              <w:t>         </w:t>
            </w:r>
          </w:p>
          <w:p>
            <w:pPr>
              <w:pStyle w:val="10"/>
            </w:pPr>
            <w:r>
              <w:rPr>
                <w:rFonts w:hint="eastAsia"/>
              </w:rPr>
              <w:t>备注：上述列明的货物均已履行相关论证手续，财政部门已审核同意购买进口产品。</w:t>
            </w:r>
          </w:p>
          <w:p>
            <w:pPr>
              <w:pStyle w:val="10"/>
            </w:pPr>
            <w:r>
              <w:rPr>
                <w:rFonts w:hint="eastAsia"/>
              </w:rPr>
              <w:t>在采购文件中明确规定可以采购进口产品的货物，不限制满足招标文件要求的国内产品参与竞争，如果因信息不对称等原因，仍有满足需求的国内产品要求参与采购竞争的，采购人及其委托的采购代理机构不得对其加以限制，应当按照公平竞争原则实施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相同品牌的要求【本项目不适用】</w:t>
            </w:r>
          </w:p>
        </w:tc>
        <w:tc>
          <w:tcPr>
            <w:tcW w:w="6130" w:type="dxa"/>
            <w:vAlign w:val="center"/>
          </w:tcPr>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本项目要求不同品牌的产品：</w:t>
            </w:r>
            <w:r>
              <w:rPr>
                <w:rFonts w:hint="eastAsia" w:asciiTheme="minorEastAsia" w:hAnsiTheme="minorEastAsia" w:eastAsiaTheme="minorEastAsia" w:cstheme="minorEastAsia"/>
                <w:szCs w:val="21"/>
                <w:u w:val="single"/>
              </w:rPr>
              <w:t>/</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提供相同品牌主要产品且通过资格审查、符合性审查的不同供应商参加同一合同项下竞标的，按一家供应商计算，评审后得分最高的同品牌供应商获得成交供应商推荐资格；评审得分相同的，采取随机抽取方式确定，其他同品牌供应商不作为成交候选人。</w:t>
            </w:r>
          </w:p>
        </w:tc>
      </w:tr>
    </w:tbl>
    <w:p>
      <w:pP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br w:type="page"/>
      </w:r>
    </w:p>
    <w:p>
      <w:pPr>
        <w:spacing w:line="360" w:lineRule="auto"/>
        <w:outlineLvl w:val="1"/>
        <w:rPr>
          <w:rFonts w:asciiTheme="minorEastAsia" w:hAnsiTheme="minorEastAsia" w:eastAsiaTheme="minorEastAsia" w:cstheme="minorEastAsia"/>
          <w:b/>
          <w:szCs w:val="21"/>
        </w:rPr>
      </w:pPr>
      <w:bookmarkStart w:id="26" w:name="_Toc31791"/>
      <w:r>
        <w:rPr>
          <w:rFonts w:hint="eastAsia" w:asciiTheme="minorEastAsia" w:hAnsiTheme="minorEastAsia" w:eastAsiaTheme="minorEastAsia" w:cstheme="minorEastAsia"/>
          <w:b/>
          <w:szCs w:val="21"/>
        </w:rPr>
        <w:t>供应商须知</w:t>
      </w:r>
      <w:bookmarkEnd w:id="26"/>
    </w:p>
    <w:p>
      <w:pPr>
        <w:numPr>
          <w:ilvl w:val="1"/>
          <w:numId w:val="6"/>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27" w:name="_Toc6418"/>
      <w:r>
        <w:rPr>
          <w:rFonts w:hint="eastAsia" w:asciiTheme="minorEastAsia" w:hAnsiTheme="minorEastAsia" w:eastAsiaTheme="minorEastAsia" w:cstheme="minorEastAsia"/>
          <w:b/>
          <w:szCs w:val="21"/>
        </w:rPr>
        <w:t>总则</w:t>
      </w:r>
      <w:bookmarkEnd w:id="27"/>
    </w:p>
    <w:p>
      <w:pPr>
        <w:numPr>
          <w:ilvl w:val="0"/>
          <w:numId w:val="7"/>
        </w:numPr>
        <w:spacing w:line="360" w:lineRule="auto"/>
        <w:ind w:hanging="540"/>
        <w:outlineLvl w:val="1"/>
        <w:rPr>
          <w:rFonts w:asciiTheme="minorEastAsia" w:hAnsiTheme="minorEastAsia" w:eastAsiaTheme="minorEastAsia" w:cstheme="minorEastAsia"/>
          <w:b/>
          <w:szCs w:val="21"/>
        </w:rPr>
      </w:pPr>
      <w:bookmarkStart w:id="28" w:name="_Toc27576"/>
      <w:bookmarkStart w:id="29" w:name="_Toc27243"/>
      <w:r>
        <w:rPr>
          <w:rFonts w:hint="eastAsia" w:asciiTheme="minorEastAsia" w:hAnsiTheme="minorEastAsia" w:eastAsiaTheme="minorEastAsia" w:cstheme="minorEastAsia"/>
          <w:b/>
          <w:szCs w:val="21"/>
        </w:rPr>
        <w:t>适用法律及范围</w:t>
      </w:r>
      <w:bookmarkEnd w:id="28"/>
      <w:bookmarkEnd w:id="29"/>
    </w:p>
    <w:p>
      <w:pPr>
        <w:numPr>
          <w:ilvl w:val="1"/>
          <w:numId w:val="8"/>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本竞争性磋商采购文件仅适用于本次竞争性磋商中所述的项目的采购。</w:t>
      </w:r>
    </w:p>
    <w:p>
      <w:pPr>
        <w:numPr>
          <w:ilvl w:val="0"/>
          <w:numId w:val="7"/>
        </w:numPr>
        <w:spacing w:line="360" w:lineRule="auto"/>
        <w:ind w:hanging="540"/>
        <w:outlineLvl w:val="1"/>
        <w:rPr>
          <w:rFonts w:asciiTheme="minorEastAsia" w:hAnsiTheme="minorEastAsia" w:eastAsiaTheme="minorEastAsia" w:cstheme="minorEastAsia"/>
          <w:b/>
          <w:szCs w:val="21"/>
        </w:rPr>
      </w:pPr>
      <w:bookmarkStart w:id="30" w:name="_Toc30547"/>
      <w:bookmarkStart w:id="31" w:name="_Toc24324"/>
      <w:r>
        <w:rPr>
          <w:rFonts w:hint="eastAsia" w:asciiTheme="minorEastAsia" w:hAnsiTheme="minorEastAsia" w:eastAsiaTheme="minorEastAsia" w:cstheme="minorEastAsia"/>
          <w:b/>
          <w:szCs w:val="21"/>
        </w:rPr>
        <w:t>定义</w:t>
      </w:r>
      <w:bookmarkEnd w:id="30"/>
      <w:bookmarkEnd w:id="31"/>
    </w:p>
    <w:p>
      <w:pPr>
        <w:numPr>
          <w:ilvl w:val="1"/>
          <w:numId w:val="9"/>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“采购人”：本次磋商的采购人见《供应商须知前附表》。</w:t>
      </w:r>
    </w:p>
    <w:p>
      <w:pPr>
        <w:numPr>
          <w:ilvl w:val="1"/>
          <w:numId w:val="9"/>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“监管部门”：本次磋商的监管部门见《供应商须知前附表》。</w:t>
      </w:r>
    </w:p>
    <w:p>
      <w:pPr>
        <w:numPr>
          <w:ilvl w:val="1"/>
          <w:numId w:val="9"/>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“采购代理机构”：本次磋商的采购代理机构见《供应商须知前附表》。</w:t>
      </w:r>
    </w:p>
    <w:p>
      <w:pPr>
        <w:numPr>
          <w:ilvl w:val="1"/>
          <w:numId w:val="9"/>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“供应商”是指获取本竞争性磋商采购文件的法人、其他组织或者自然人。</w:t>
      </w:r>
    </w:p>
    <w:p>
      <w:pPr>
        <w:numPr>
          <w:ilvl w:val="1"/>
          <w:numId w:val="9"/>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“磋商供应商”是指</w:t>
      </w:r>
    </w:p>
    <w:p>
      <w:pPr>
        <w:numPr>
          <w:ilvl w:val="3"/>
          <w:numId w:val="7"/>
        </w:numPr>
        <w:tabs>
          <w:tab w:val="left" w:pos="0"/>
          <w:tab w:val="clear" w:pos="2040"/>
        </w:tabs>
        <w:spacing w:line="360" w:lineRule="auto"/>
        <w:ind w:left="0" w:firstLine="0"/>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符合</w:t>
      </w:r>
      <w:r>
        <w:rPr>
          <w:rFonts w:hint="eastAsia" w:asciiTheme="minorEastAsia" w:hAnsiTheme="minorEastAsia" w:eastAsiaTheme="minorEastAsia" w:cstheme="minorEastAsia"/>
          <w:szCs w:val="21"/>
        </w:rPr>
        <w:t>具备《中华人民共和国政府采购法》第二十二条规定的条件；</w:t>
      </w:r>
    </w:p>
    <w:p>
      <w:pPr>
        <w:numPr>
          <w:ilvl w:val="3"/>
          <w:numId w:val="7"/>
        </w:numPr>
        <w:tabs>
          <w:tab w:val="left" w:pos="0"/>
          <w:tab w:val="clear" w:pos="2040"/>
        </w:tabs>
        <w:spacing w:line="360" w:lineRule="auto"/>
        <w:ind w:left="0" w:firstLine="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符合《供应商须知前附表》的相应条件；</w:t>
      </w:r>
    </w:p>
    <w:p>
      <w:pPr>
        <w:numPr>
          <w:ilvl w:val="3"/>
          <w:numId w:val="7"/>
        </w:numPr>
        <w:tabs>
          <w:tab w:val="left" w:pos="0"/>
          <w:tab w:val="clear" w:pos="2040"/>
        </w:tabs>
        <w:spacing w:line="360" w:lineRule="auto"/>
        <w:ind w:left="0" w:firstLine="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通过竞争性磋商采购评定办法中初步审核的供应商。</w:t>
      </w:r>
    </w:p>
    <w:p>
      <w:pPr>
        <w:numPr>
          <w:ilvl w:val="1"/>
          <w:numId w:val="9"/>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“成交供应商”</w:t>
      </w:r>
      <w:r>
        <w:rPr>
          <w:rFonts w:hint="eastAsia" w:asciiTheme="minorEastAsia" w:hAnsiTheme="minorEastAsia" w:eastAsiaTheme="minorEastAsia" w:cstheme="minorEastAsia"/>
          <w:snapToGrid w:val="0"/>
          <w:kern w:val="0"/>
          <w:szCs w:val="21"/>
          <w:lang w:val="zh-CN"/>
        </w:rPr>
        <w:t xml:space="preserve"> 是指经磋商小组评审推荐，采购人授予合同的供应商。</w:t>
      </w:r>
    </w:p>
    <w:p>
      <w:pPr>
        <w:numPr>
          <w:ilvl w:val="0"/>
          <w:numId w:val="7"/>
        </w:numPr>
        <w:spacing w:line="360" w:lineRule="auto"/>
        <w:ind w:hanging="540"/>
        <w:outlineLvl w:val="1"/>
        <w:rPr>
          <w:rFonts w:asciiTheme="minorEastAsia" w:hAnsiTheme="minorEastAsia" w:eastAsiaTheme="minorEastAsia" w:cstheme="minorEastAsia"/>
          <w:b/>
          <w:szCs w:val="21"/>
        </w:rPr>
      </w:pPr>
      <w:bookmarkStart w:id="32" w:name="_Toc30503"/>
      <w:bookmarkStart w:id="33" w:name="_Toc19921"/>
      <w:r>
        <w:rPr>
          <w:rFonts w:hint="eastAsia" w:asciiTheme="minorEastAsia" w:hAnsiTheme="minorEastAsia" w:eastAsiaTheme="minorEastAsia" w:cstheme="minorEastAsia"/>
          <w:b/>
          <w:snapToGrid w:val="0"/>
          <w:kern w:val="0"/>
          <w:szCs w:val="21"/>
          <w:lang w:val="zh-CN"/>
        </w:rPr>
        <w:t>工程、货物及服务</w:t>
      </w:r>
      <w:bookmarkEnd w:id="32"/>
      <w:bookmarkEnd w:id="33"/>
    </w:p>
    <w:p>
      <w:pPr>
        <w:numPr>
          <w:ilvl w:val="1"/>
          <w:numId w:val="10"/>
        </w:numPr>
        <w:tabs>
          <w:tab w:val="left" w:pos="525"/>
          <w:tab w:val="clear" w:pos="360"/>
        </w:tabs>
        <w:spacing w:line="360" w:lineRule="auto"/>
        <w:ind w:left="540" w:hanging="540"/>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“工程”是指建设工程，包括建筑物和构筑物的新建、改建、扩建及其相关的装修、拆除、修缮等。</w:t>
      </w:r>
    </w:p>
    <w:p>
      <w:pPr>
        <w:numPr>
          <w:ilvl w:val="1"/>
          <w:numId w:val="10"/>
        </w:numPr>
        <w:tabs>
          <w:tab w:val="left" w:pos="525"/>
          <w:tab w:val="clear" w:pos="360"/>
        </w:tabs>
        <w:spacing w:line="360" w:lineRule="auto"/>
        <w:ind w:left="540" w:hanging="540"/>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“货物”是指各种形态和种类的物品，包括原材料、燃料、设备、产品等。</w:t>
      </w:r>
    </w:p>
    <w:p>
      <w:pPr>
        <w:numPr>
          <w:ilvl w:val="1"/>
          <w:numId w:val="10"/>
        </w:numPr>
        <w:tabs>
          <w:tab w:val="left" w:pos="540"/>
          <w:tab w:val="clear" w:pos="360"/>
        </w:tabs>
        <w:spacing w:line="360" w:lineRule="auto"/>
        <w:ind w:left="540" w:hanging="540"/>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“服务”是指除货物（指各种形态和种类的物品，包括原材料、燃料、设备、产品等）和工程（指建设工程，包括建筑物和构筑物的新建、改建、扩建及其相关的装修、拆除、修缮等）以外的其他政府采购对象。</w:t>
      </w:r>
    </w:p>
    <w:p>
      <w:pPr>
        <w:numPr>
          <w:ilvl w:val="0"/>
          <w:numId w:val="7"/>
        </w:numPr>
        <w:spacing w:line="360" w:lineRule="auto"/>
        <w:ind w:hanging="540"/>
        <w:outlineLvl w:val="1"/>
        <w:rPr>
          <w:rFonts w:asciiTheme="minorEastAsia" w:hAnsiTheme="minorEastAsia" w:eastAsiaTheme="minorEastAsia" w:cstheme="minorEastAsia"/>
          <w:b/>
          <w:szCs w:val="21"/>
        </w:rPr>
      </w:pPr>
      <w:bookmarkStart w:id="34" w:name="_Toc9974"/>
      <w:bookmarkStart w:id="35" w:name="_Toc18440"/>
      <w:r>
        <w:rPr>
          <w:rFonts w:hint="eastAsia" w:asciiTheme="minorEastAsia" w:hAnsiTheme="minorEastAsia" w:eastAsiaTheme="minorEastAsia" w:cstheme="minorEastAsia"/>
          <w:b/>
          <w:szCs w:val="21"/>
        </w:rPr>
        <w:t>费用</w:t>
      </w:r>
      <w:bookmarkEnd w:id="34"/>
      <w:bookmarkEnd w:id="35"/>
      <w:r>
        <w:rPr>
          <w:rFonts w:hint="eastAsia" w:asciiTheme="minorEastAsia" w:hAnsiTheme="minorEastAsia" w:eastAsiaTheme="minorEastAsia" w:cstheme="minorEastAsia"/>
          <w:b/>
          <w:szCs w:val="21"/>
        </w:rPr>
        <w:t xml:space="preserve">  </w:t>
      </w:r>
    </w:p>
    <w:p>
      <w:pPr>
        <w:numPr>
          <w:ilvl w:val="1"/>
          <w:numId w:val="11"/>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供应商应承担所有与准备和参加磋商有关的费用，不论磋商的结果如何，采购人和采购代理机构均无义务和责任承担这些费用。</w:t>
      </w:r>
    </w:p>
    <w:p>
      <w:pPr>
        <w:numPr>
          <w:ilvl w:val="1"/>
          <w:numId w:val="11"/>
        </w:numPr>
        <w:tabs>
          <w:tab w:val="left" w:pos="540"/>
          <w:tab w:val="clear" w:pos="360"/>
        </w:tabs>
        <w:spacing w:line="360" w:lineRule="auto"/>
        <w:ind w:left="540" w:hanging="540"/>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招标代理服务费：成交供应商须在收到成交通知书时向采购代理机构支付招标代理服务费。服务费支付标准和方法详见《供应商须知前附表》。</w:t>
      </w:r>
    </w:p>
    <w:p>
      <w:pPr>
        <w:numPr>
          <w:ilvl w:val="1"/>
          <w:numId w:val="11"/>
        </w:numPr>
        <w:tabs>
          <w:tab w:val="left" w:pos="540"/>
          <w:tab w:val="clear" w:pos="360"/>
        </w:tabs>
        <w:spacing w:line="360" w:lineRule="auto"/>
        <w:ind w:left="540" w:hanging="540"/>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国家计委计价格[2002]1980 号规定标准收费：</w:t>
      </w:r>
    </w:p>
    <w:tbl>
      <w:tblPr>
        <w:tblStyle w:val="26"/>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23"/>
        <w:gridCol w:w="2255"/>
        <w:gridCol w:w="2255"/>
        <w:gridCol w:w="22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中标金额（万元）</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货物</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服务</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100以下</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100-500</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1.1%</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0.8%</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500-1000</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0.8%</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0.45%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1000-5000</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0.25%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5000-10000</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0.25%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0.1%</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10000-100000</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100000以上</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0.01%</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0.01%</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0.01%</w:t>
            </w:r>
          </w:p>
        </w:tc>
      </w:tr>
    </w:tbl>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注：招标代理服务收费按差额定率累进法计算。例如：某货物招标代理业务中标金额为6000万元，计算招标代理服务收费额如下：</w:t>
      </w:r>
    </w:p>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0---100：100×1.500％=15000.000元</w:t>
      </w:r>
    </w:p>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100---500：400×1.100％=44000.000元</w:t>
      </w:r>
    </w:p>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500---1000：500×0.800％=40000.000元</w:t>
      </w:r>
    </w:p>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1000---5000：4000×0.500％=200000.000元</w:t>
      </w:r>
    </w:p>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5000---6000：1000×0.250％=25000.000元</w:t>
      </w:r>
    </w:p>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合计收费=324000.000元</w:t>
      </w:r>
    </w:p>
    <w:p>
      <w:pPr>
        <w:numPr>
          <w:ilvl w:val="1"/>
          <w:numId w:val="6"/>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36" w:name="_Toc25463"/>
      <w:r>
        <w:rPr>
          <w:rFonts w:hint="eastAsia" w:asciiTheme="minorEastAsia" w:hAnsiTheme="minorEastAsia" w:eastAsiaTheme="minorEastAsia" w:cstheme="minorEastAsia"/>
          <w:b/>
          <w:szCs w:val="21"/>
        </w:rPr>
        <w:t>竞争性磋商采购文件</w:t>
      </w:r>
      <w:bookmarkEnd w:id="36"/>
    </w:p>
    <w:p>
      <w:pPr>
        <w:numPr>
          <w:ilvl w:val="0"/>
          <w:numId w:val="7"/>
        </w:numPr>
        <w:spacing w:line="360" w:lineRule="auto"/>
        <w:ind w:hanging="540"/>
        <w:outlineLvl w:val="1"/>
        <w:rPr>
          <w:rFonts w:asciiTheme="minorEastAsia" w:hAnsiTheme="minorEastAsia" w:eastAsiaTheme="minorEastAsia" w:cstheme="minorEastAsia"/>
          <w:b/>
          <w:szCs w:val="21"/>
        </w:rPr>
      </w:pPr>
      <w:bookmarkStart w:id="37" w:name="_Toc4547"/>
      <w:bookmarkStart w:id="38" w:name="_Toc6431"/>
      <w:r>
        <w:rPr>
          <w:rFonts w:hint="eastAsia" w:asciiTheme="minorEastAsia" w:hAnsiTheme="minorEastAsia" w:eastAsiaTheme="minorEastAsia" w:cstheme="minorEastAsia"/>
          <w:b/>
          <w:szCs w:val="21"/>
        </w:rPr>
        <w:t>竞争性磋商采购文件的构成</w:t>
      </w:r>
      <w:bookmarkEnd w:id="37"/>
      <w:bookmarkEnd w:id="38"/>
    </w:p>
    <w:p>
      <w:pPr>
        <w:numPr>
          <w:ilvl w:val="1"/>
          <w:numId w:val="12"/>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本竞争性磋商采购文件包括：</w:t>
      </w:r>
    </w:p>
    <w:p>
      <w:pPr>
        <w:numPr>
          <w:ilvl w:val="3"/>
          <w:numId w:val="7"/>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磋商公告</w:t>
      </w:r>
    </w:p>
    <w:p>
      <w:pPr>
        <w:numPr>
          <w:ilvl w:val="3"/>
          <w:numId w:val="7"/>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供应商须知</w:t>
      </w:r>
    </w:p>
    <w:p>
      <w:pPr>
        <w:numPr>
          <w:ilvl w:val="3"/>
          <w:numId w:val="7"/>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采购需求</w:t>
      </w:r>
    </w:p>
    <w:p>
      <w:pPr>
        <w:numPr>
          <w:ilvl w:val="3"/>
          <w:numId w:val="7"/>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竞争性磋商采购评定办法</w:t>
      </w:r>
    </w:p>
    <w:p>
      <w:pPr>
        <w:numPr>
          <w:ilvl w:val="3"/>
          <w:numId w:val="7"/>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合同书格式</w:t>
      </w:r>
    </w:p>
    <w:p>
      <w:pPr>
        <w:numPr>
          <w:ilvl w:val="3"/>
          <w:numId w:val="7"/>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竞争性磋商响应文件格式</w:t>
      </w:r>
    </w:p>
    <w:p>
      <w:pPr>
        <w:numPr>
          <w:ilvl w:val="3"/>
          <w:numId w:val="7"/>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采购过程中由采购代理机构发出的澄清和修正文件</w:t>
      </w:r>
    </w:p>
    <w:p>
      <w:pPr>
        <w:numPr>
          <w:ilvl w:val="3"/>
          <w:numId w:val="7"/>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磋商小组在磋商过程中发出的对本磋商文件的实质性变动</w:t>
      </w:r>
    </w:p>
    <w:p>
      <w:pPr>
        <w:numPr>
          <w:ilvl w:val="0"/>
          <w:numId w:val="7"/>
        </w:numPr>
        <w:spacing w:line="360" w:lineRule="auto"/>
        <w:ind w:hanging="540"/>
        <w:outlineLvl w:val="1"/>
        <w:rPr>
          <w:rFonts w:asciiTheme="minorEastAsia" w:hAnsiTheme="minorEastAsia" w:eastAsiaTheme="minorEastAsia" w:cstheme="minorEastAsia"/>
          <w:b/>
          <w:snapToGrid w:val="0"/>
          <w:kern w:val="0"/>
          <w:szCs w:val="21"/>
          <w:lang w:val="zh-CN"/>
        </w:rPr>
      </w:pPr>
      <w:bookmarkStart w:id="39" w:name="_Toc29700"/>
      <w:bookmarkStart w:id="40" w:name="_Toc11705"/>
      <w:r>
        <w:rPr>
          <w:rFonts w:hint="eastAsia" w:asciiTheme="minorEastAsia" w:hAnsiTheme="minorEastAsia" w:eastAsiaTheme="minorEastAsia" w:cstheme="minorEastAsia"/>
          <w:b/>
          <w:snapToGrid w:val="0"/>
          <w:kern w:val="0"/>
          <w:szCs w:val="21"/>
          <w:lang w:val="zh-CN"/>
        </w:rPr>
        <w:t>竞争性磋商采购文件的澄清</w:t>
      </w:r>
      <w:bookmarkEnd w:id="39"/>
      <w:bookmarkEnd w:id="40"/>
    </w:p>
    <w:p>
      <w:pPr>
        <w:numPr>
          <w:ilvl w:val="1"/>
          <w:numId w:val="13"/>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供应商获取竞争性磋商采购文件后，应认真检查，如发现页数不全、附件缺失、印刷模糊等，应通知采购代理机构补全或更换，否则风险自负。</w:t>
      </w:r>
    </w:p>
    <w:p>
      <w:pPr>
        <w:numPr>
          <w:ilvl w:val="1"/>
          <w:numId w:val="13"/>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要求对本竞争性磋商采购文件进行澄清的，应以书面形式（包括信函、电报、传真等可以有形地表现所载内容的形式，下同）在提疑截止时间以前向采购代理机构或采购人提出，提疑截止时间见《供应商须知前附表》。</w:t>
      </w:r>
    </w:p>
    <w:p>
      <w:pPr>
        <w:autoSpaceDE w:val="0"/>
        <w:autoSpaceDN w:val="0"/>
        <w:adjustRightInd w:val="0"/>
        <w:spacing w:line="360" w:lineRule="auto"/>
        <w:ind w:left="540" w:leftChars="257" w:firstLine="420" w:firstLineChars="2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采购代理机构对于符合澄清要求的，将以书面形式给所有接收磋商文件的供应商予以答复(答复中不包括问题的来源)，供应商收到答复后应在24小时内以书面形式向采购代理机构予以确认。</w:t>
      </w:r>
    </w:p>
    <w:p>
      <w:pPr>
        <w:numPr>
          <w:ilvl w:val="1"/>
          <w:numId w:val="13"/>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供应商在规定的时间内未对竞争性磋商采购文件澄清或提出疑问的，采购代理机构将视其为同意。</w:t>
      </w:r>
    </w:p>
    <w:p>
      <w:pPr>
        <w:numPr>
          <w:ilvl w:val="1"/>
          <w:numId w:val="13"/>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澄清的内容是本竞争性磋商采购文件的组成部分，当竞争性磋商采购文件</w:t>
      </w:r>
      <w:r>
        <w:rPr>
          <w:rFonts w:hint="eastAsia" w:asciiTheme="minorEastAsia" w:hAnsiTheme="minorEastAsia" w:eastAsiaTheme="minorEastAsia" w:cstheme="minorEastAsia"/>
          <w:szCs w:val="21"/>
        </w:rPr>
        <w:t>、澄清文件对同一内容的表述不一致时，以最后发出的书面文件为准。</w:t>
      </w:r>
    </w:p>
    <w:p>
      <w:pPr>
        <w:numPr>
          <w:ilvl w:val="0"/>
          <w:numId w:val="7"/>
        </w:numPr>
        <w:spacing w:line="360" w:lineRule="auto"/>
        <w:ind w:hanging="540"/>
        <w:outlineLvl w:val="1"/>
        <w:rPr>
          <w:rFonts w:asciiTheme="minorEastAsia" w:hAnsiTheme="minorEastAsia" w:eastAsiaTheme="minorEastAsia" w:cstheme="minorEastAsia"/>
          <w:b/>
          <w:snapToGrid w:val="0"/>
          <w:kern w:val="0"/>
          <w:szCs w:val="21"/>
          <w:lang w:val="zh-CN"/>
        </w:rPr>
      </w:pPr>
      <w:bookmarkStart w:id="41" w:name="_Toc31761"/>
      <w:bookmarkStart w:id="42" w:name="_Toc9957"/>
      <w:r>
        <w:rPr>
          <w:rFonts w:hint="eastAsia" w:asciiTheme="minorEastAsia" w:hAnsiTheme="minorEastAsia" w:eastAsiaTheme="minorEastAsia" w:cstheme="minorEastAsia"/>
          <w:b/>
          <w:snapToGrid w:val="0"/>
          <w:kern w:val="0"/>
          <w:szCs w:val="21"/>
          <w:lang w:val="zh-CN"/>
        </w:rPr>
        <w:t>竞争性磋商采购文件的修改</w:t>
      </w:r>
      <w:bookmarkEnd w:id="41"/>
      <w:bookmarkEnd w:id="42"/>
    </w:p>
    <w:p>
      <w:pPr>
        <w:numPr>
          <w:ilvl w:val="1"/>
          <w:numId w:val="14"/>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提交首次响应文件截止之日前，采购人、采购代理机构可以对本竞争性磋商采购文件进行必要的修改，修改的内容是磋商文件的组成部分，采购代理机构将以书面形式通知所有接受磋商文件的供应商，供应商在收到上述通知后，应在24小时内以书面形式向采购代理机构予以确认。</w:t>
      </w:r>
    </w:p>
    <w:p>
      <w:pPr>
        <w:numPr>
          <w:ilvl w:val="1"/>
          <w:numId w:val="14"/>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当磋商文件、修改文件对同一内容的表述不一致时，以最后发出的书面文件为准。</w:t>
      </w:r>
    </w:p>
    <w:p>
      <w:pPr>
        <w:numPr>
          <w:ilvl w:val="1"/>
          <w:numId w:val="14"/>
        </w:numPr>
        <w:tabs>
          <w:tab w:val="left" w:pos="525"/>
          <w:tab w:val="clear" w:pos="360"/>
        </w:tabs>
        <w:autoSpaceDE w:val="0"/>
        <w:autoSpaceDN w:val="0"/>
        <w:adjustRightInd w:val="0"/>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修改的内容可能影响响应文件编制的，修改文件应当在提交首次响应文件截止之日</w:t>
      </w:r>
      <w:r>
        <w:rPr>
          <w:rFonts w:hint="eastAsia" w:asciiTheme="minorEastAsia" w:hAnsiTheme="minorEastAsia" w:eastAsiaTheme="minorEastAsia" w:cstheme="minorEastAsia"/>
          <w:snapToGrid w:val="0"/>
          <w:kern w:val="0"/>
          <w:szCs w:val="21"/>
        </w:rPr>
        <w:t>5</w:t>
      </w:r>
      <w:r>
        <w:rPr>
          <w:rFonts w:hint="eastAsia" w:asciiTheme="minorEastAsia" w:hAnsiTheme="minorEastAsia" w:eastAsiaTheme="minorEastAsia" w:cstheme="minorEastAsia"/>
          <w:snapToGrid w:val="0"/>
          <w:kern w:val="0"/>
          <w:szCs w:val="21"/>
          <w:lang w:val="zh-CN"/>
        </w:rPr>
        <w:t>个工作日前发出，不足</w:t>
      </w:r>
      <w:r>
        <w:rPr>
          <w:rFonts w:hint="eastAsia" w:asciiTheme="minorEastAsia" w:hAnsiTheme="minorEastAsia" w:eastAsiaTheme="minorEastAsia" w:cstheme="minorEastAsia"/>
          <w:snapToGrid w:val="0"/>
          <w:kern w:val="0"/>
          <w:szCs w:val="21"/>
        </w:rPr>
        <w:t>5</w:t>
      </w:r>
      <w:r>
        <w:rPr>
          <w:rFonts w:hint="eastAsia" w:asciiTheme="minorEastAsia" w:hAnsiTheme="minorEastAsia" w:eastAsiaTheme="minorEastAsia" w:cstheme="minorEastAsia"/>
          <w:snapToGrid w:val="0"/>
          <w:kern w:val="0"/>
          <w:szCs w:val="21"/>
          <w:lang w:val="zh-CN"/>
        </w:rPr>
        <w:t>个工作日的，采购人、采购代理机构将顺延提交首次响应文件截止之日。</w:t>
      </w:r>
    </w:p>
    <w:p>
      <w:pPr>
        <w:numPr>
          <w:ilvl w:val="1"/>
          <w:numId w:val="6"/>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43" w:name="_Toc20327"/>
      <w:r>
        <w:rPr>
          <w:rFonts w:hint="eastAsia" w:asciiTheme="minorEastAsia" w:hAnsiTheme="minorEastAsia" w:eastAsiaTheme="minorEastAsia" w:cstheme="minorEastAsia"/>
          <w:b/>
          <w:szCs w:val="21"/>
        </w:rPr>
        <w:t>竞争性磋商响应文件</w:t>
      </w:r>
      <w:bookmarkEnd w:id="43"/>
    </w:p>
    <w:p>
      <w:pPr>
        <w:numPr>
          <w:ilvl w:val="0"/>
          <w:numId w:val="7"/>
        </w:numPr>
        <w:spacing w:line="360" w:lineRule="auto"/>
        <w:ind w:hanging="540"/>
        <w:outlineLvl w:val="1"/>
        <w:rPr>
          <w:rFonts w:asciiTheme="minorEastAsia" w:hAnsiTheme="minorEastAsia" w:eastAsiaTheme="minorEastAsia" w:cstheme="minorEastAsia"/>
          <w:snapToGrid w:val="0"/>
          <w:kern w:val="0"/>
          <w:szCs w:val="21"/>
          <w:lang w:val="zh-CN"/>
        </w:rPr>
      </w:pPr>
      <w:bookmarkStart w:id="44" w:name="_Toc12038"/>
      <w:bookmarkStart w:id="45" w:name="_Toc30987"/>
      <w:r>
        <w:rPr>
          <w:rFonts w:hint="eastAsia" w:asciiTheme="minorEastAsia" w:hAnsiTheme="minorEastAsia" w:eastAsiaTheme="minorEastAsia" w:cstheme="minorEastAsia"/>
          <w:b/>
          <w:snapToGrid w:val="0"/>
          <w:kern w:val="0"/>
          <w:szCs w:val="21"/>
          <w:lang w:val="zh-CN"/>
        </w:rPr>
        <w:t>语言和计量单位</w:t>
      </w:r>
      <w:bookmarkEnd w:id="44"/>
      <w:bookmarkEnd w:id="45"/>
    </w:p>
    <w:p>
      <w:pPr>
        <w:numPr>
          <w:ilvl w:val="1"/>
          <w:numId w:val="15"/>
        </w:numPr>
        <w:tabs>
          <w:tab w:val="left" w:pos="540"/>
          <w:tab w:val="clear" w:pos="360"/>
        </w:tabs>
        <w:spacing w:line="360" w:lineRule="auto"/>
        <w:ind w:left="540" w:hanging="540"/>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提交的竞争性磋商响应文件以及供应商与采购代理机构或采购人就有关磋商的所有来往信函、电报、传真等均应使用中文。供应商提交的支持文件或印刷的文献可以用另一种语言，但相应内容应附有中文翻译本，在解释竞争性磋商响应文件时以中文翻译本为准。</w:t>
      </w:r>
    </w:p>
    <w:p>
      <w:pPr>
        <w:numPr>
          <w:ilvl w:val="1"/>
          <w:numId w:val="15"/>
        </w:numPr>
        <w:tabs>
          <w:tab w:val="left" w:pos="540"/>
          <w:tab w:val="clear" w:pos="360"/>
        </w:tabs>
        <w:spacing w:line="360" w:lineRule="auto"/>
        <w:ind w:left="540" w:hanging="540"/>
        <w:rPr>
          <w:rFonts w:asciiTheme="minorEastAsia" w:hAnsiTheme="minorEastAsia" w:eastAsiaTheme="minorEastAsia" w:cstheme="minorEastAsia"/>
          <w:b/>
          <w:snapToGrid w:val="0"/>
          <w:kern w:val="0"/>
          <w:szCs w:val="21"/>
          <w:lang w:val="zh-CN"/>
        </w:rPr>
      </w:pPr>
      <w:r>
        <w:rPr>
          <w:rFonts w:hint="eastAsia" w:asciiTheme="minorEastAsia" w:hAnsiTheme="minorEastAsia" w:eastAsiaTheme="minorEastAsia" w:cstheme="minorEastAsia"/>
          <w:snapToGrid w:val="0"/>
          <w:kern w:val="0"/>
          <w:szCs w:val="21"/>
          <w:lang w:val="zh-CN"/>
        </w:rPr>
        <w:t>除非竞争性磋商采购文件中另有规定，计量单位均采用中华人民共和国法定的计量单位。</w:t>
      </w:r>
    </w:p>
    <w:p>
      <w:pPr>
        <w:numPr>
          <w:ilvl w:val="0"/>
          <w:numId w:val="7"/>
        </w:numPr>
        <w:spacing w:line="360" w:lineRule="auto"/>
        <w:ind w:hanging="540"/>
        <w:outlineLvl w:val="1"/>
        <w:rPr>
          <w:rFonts w:asciiTheme="minorEastAsia" w:hAnsiTheme="minorEastAsia" w:eastAsiaTheme="minorEastAsia" w:cstheme="minorEastAsia"/>
          <w:b/>
          <w:snapToGrid w:val="0"/>
          <w:kern w:val="0"/>
          <w:szCs w:val="21"/>
          <w:lang w:val="zh-CN"/>
        </w:rPr>
      </w:pPr>
      <w:bookmarkStart w:id="46" w:name="_Toc1319"/>
      <w:bookmarkStart w:id="47" w:name="_Toc32272"/>
      <w:r>
        <w:rPr>
          <w:rFonts w:hint="eastAsia" w:asciiTheme="minorEastAsia" w:hAnsiTheme="minorEastAsia" w:eastAsiaTheme="minorEastAsia" w:cstheme="minorEastAsia"/>
          <w:b/>
          <w:snapToGrid w:val="0"/>
          <w:kern w:val="0"/>
          <w:szCs w:val="21"/>
          <w:lang w:val="zh-CN"/>
        </w:rPr>
        <w:t>竞争性磋商响应文件的构成</w:t>
      </w:r>
      <w:bookmarkEnd w:id="46"/>
      <w:bookmarkEnd w:id="47"/>
    </w:p>
    <w:p>
      <w:pPr>
        <w:numPr>
          <w:ilvl w:val="1"/>
          <w:numId w:val="16"/>
        </w:numPr>
        <w:tabs>
          <w:tab w:val="left" w:pos="525"/>
          <w:tab w:val="clear" w:pos="360"/>
        </w:tabs>
        <w:autoSpaceDE w:val="0"/>
        <w:autoSpaceDN w:val="0"/>
        <w:adjustRightInd w:val="0"/>
        <w:spacing w:line="360" w:lineRule="auto"/>
        <w:ind w:left="0" w:firstLine="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供应商编制的竞争性磋商响应</w:t>
      </w:r>
      <w:r>
        <w:rPr>
          <w:rFonts w:hint="eastAsia" w:asciiTheme="minorEastAsia" w:hAnsiTheme="minorEastAsia" w:eastAsiaTheme="minorEastAsia" w:cstheme="minorEastAsia"/>
          <w:snapToGrid w:val="0"/>
          <w:kern w:val="0"/>
          <w:szCs w:val="21"/>
        </w:rPr>
        <w:t>文</w:t>
      </w:r>
      <w:r>
        <w:rPr>
          <w:rFonts w:hint="eastAsia" w:asciiTheme="minorEastAsia" w:hAnsiTheme="minorEastAsia" w:eastAsiaTheme="minorEastAsia" w:cstheme="minorEastAsia"/>
          <w:snapToGrid w:val="0"/>
          <w:kern w:val="0"/>
          <w:szCs w:val="21"/>
          <w:lang w:val="zh-CN"/>
        </w:rPr>
        <w:t>件应包括的内容详见本文件第六章要求。</w:t>
      </w:r>
    </w:p>
    <w:p>
      <w:pPr>
        <w:autoSpaceDE w:val="0"/>
        <w:autoSpaceDN w:val="0"/>
        <w:adjustRightInd w:val="0"/>
        <w:spacing w:line="360" w:lineRule="auto"/>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bCs/>
          <w:szCs w:val="21"/>
        </w:rPr>
        <w:t>注：响应文件目录及内容每页须顺序编写页码。</w:t>
      </w:r>
    </w:p>
    <w:p>
      <w:pPr>
        <w:numPr>
          <w:ilvl w:val="0"/>
          <w:numId w:val="7"/>
        </w:numPr>
        <w:spacing w:line="360" w:lineRule="auto"/>
        <w:ind w:hanging="540"/>
        <w:outlineLvl w:val="1"/>
        <w:rPr>
          <w:rFonts w:asciiTheme="minorEastAsia" w:hAnsiTheme="minorEastAsia" w:eastAsiaTheme="minorEastAsia" w:cstheme="minorEastAsia"/>
          <w:b/>
          <w:snapToGrid w:val="0"/>
          <w:kern w:val="0"/>
          <w:szCs w:val="21"/>
          <w:lang w:val="zh-CN"/>
        </w:rPr>
      </w:pPr>
      <w:bookmarkStart w:id="48" w:name="_Toc25204"/>
      <w:bookmarkStart w:id="49" w:name="_Toc25217"/>
      <w:r>
        <w:rPr>
          <w:rFonts w:hint="eastAsia" w:asciiTheme="minorEastAsia" w:hAnsiTheme="minorEastAsia" w:eastAsiaTheme="minorEastAsia" w:cstheme="minorEastAsia"/>
          <w:b/>
          <w:snapToGrid w:val="0"/>
          <w:kern w:val="0"/>
          <w:szCs w:val="21"/>
          <w:lang w:val="zh-CN"/>
        </w:rPr>
        <w:t>竞争性磋商响应文件的编制</w:t>
      </w:r>
      <w:bookmarkEnd w:id="48"/>
      <w:bookmarkEnd w:id="49"/>
    </w:p>
    <w:p>
      <w:pPr>
        <w:numPr>
          <w:ilvl w:val="1"/>
          <w:numId w:val="17"/>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供应商应当按照本采购文件的要求编制响应文件，并对其提交的响应文件及全部资料的真实性、合法性承担法律责任，并接受采购代理机构对其中任何资料进一步核实的要求。</w:t>
      </w:r>
    </w:p>
    <w:p>
      <w:pPr>
        <w:numPr>
          <w:ilvl w:val="1"/>
          <w:numId w:val="17"/>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 xml:space="preserve">供应商应认真阅读本采购文件中的所有内容，并对本采购文件提出的要求和条件作出实质性响应。如供应商没有按照本采购文件的要求提交全部资料，或者没有对本采购文件在各方面都做出实质性响应的，其响应文件将被视为无效文件。 </w:t>
      </w:r>
    </w:p>
    <w:p>
      <w:pPr>
        <w:numPr>
          <w:ilvl w:val="1"/>
          <w:numId w:val="17"/>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应完整地按本采购文件的要求提交所有资料并按要求的格式填写规定的所有内容，无相应内容可填项的，应填写“无”、“未测试”、“没有相应指标”等明确的回答文字。如未规定格式的，相关格式由供应商自定。</w:t>
      </w:r>
    </w:p>
    <w:p>
      <w:pPr>
        <w:numPr>
          <w:ilvl w:val="1"/>
          <w:numId w:val="17"/>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供应商在编制响应文件时应注意本次采购对多包采购的规定，多包采购的规定见《供应商须知前附表》。</w:t>
      </w:r>
    </w:p>
    <w:p>
      <w:pPr>
        <w:numPr>
          <w:ilvl w:val="0"/>
          <w:numId w:val="7"/>
        </w:numPr>
        <w:spacing w:line="360" w:lineRule="auto"/>
        <w:ind w:hanging="540"/>
        <w:outlineLvl w:val="1"/>
        <w:rPr>
          <w:rFonts w:asciiTheme="minorEastAsia" w:hAnsiTheme="minorEastAsia" w:eastAsiaTheme="minorEastAsia" w:cstheme="minorEastAsia"/>
          <w:b/>
          <w:snapToGrid w:val="0"/>
          <w:kern w:val="0"/>
          <w:szCs w:val="21"/>
          <w:lang w:val="zh-CN"/>
        </w:rPr>
      </w:pPr>
      <w:bookmarkStart w:id="50" w:name="_Toc24544"/>
      <w:bookmarkStart w:id="51" w:name="_Toc12142"/>
      <w:r>
        <w:rPr>
          <w:rFonts w:hint="eastAsia" w:asciiTheme="minorEastAsia" w:hAnsiTheme="minorEastAsia" w:eastAsiaTheme="minorEastAsia" w:cstheme="minorEastAsia"/>
          <w:b/>
          <w:snapToGrid w:val="0"/>
          <w:kern w:val="0"/>
          <w:szCs w:val="21"/>
          <w:lang w:val="zh-CN"/>
        </w:rPr>
        <w:t>磋商报价</w:t>
      </w:r>
      <w:bookmarkEnd w:id="50"/>
      <w:bookmarkEnd w:id="51"/>
    </w:p>
    <w:p>
      <w:pPr>
        <w:numPr>
          <w:ilvl w:val="1"/>
          <w:numId w:val="18"/>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磋商报价包括磋商供应商在首次提交的响应文件中的报价、磋商过程中的报价和最后报价。磋商供应商的报价均应以人民币报价。</w:t>
      </w:r>
    </w:p>
    <w:p>
      <w:pPr>
        <w:numPr>
          <w:ilvl w:val="1"/>
          <w:numId w:val="18"/>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应按照本采购文件规定的采购需求及合同条款进行报价，并按竞争性磋商采购文件确定的格式报出。报价中不得包含竞争性磋商采购文件要求以外的内容，否则，在评审时不予核减。报价中也不得缺漏竞争性磋商采购文件所要求的内容，否则，其响应文件将被视为无效文件。</w:t>
      </w:r>
    </w:p>
    <w:p>
      <w:pPr>
        <w:numPr>
          <w:ilvl w:val="1"/>
          <w:numId w:val="18"/>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zCs w:val="21"/>
        </w:rPr>
        <w:t>供应商应根据本磋商文件的规定和要求、市场价格水平及其走势、</w:t>
      </w:r>
      <w:r>
        <w:rPr>
          <w:rFonts w:hint="eastAsia" w:asciiTheme="minorEastAsia" w:hAnsiTheme="minorEastAsia" w:eastAsiaTheme="minorEastAsia" w:cstheme="minorEastAsia"/>
          <w:snapToGrid w:val="0"/>
          <w:kern w:val="0"/>
          <w:szCs w:val="21"/>
          <w:lang w:val="zh-CN"/>
        </w:rPr>
        <w:t>磋商</w:t>
      </w:r>
      <w:r>
        <w:rPr>
          <w:rFonts w:hint="eastAsia" w:asciiTheme="minorEastAsia" w:hAnsiTheme="minorEastAsia" w:eastAsiaTheme="minorEastAsia" w:cstheme="minorEastAsia"/>
          <w:szCs w:val="21"/>
        </w:rPr>
        <w:t>供应商的管理水平、</w:t>
      </w:r>
      <w:r>
        <w:rPr>
          <w:rFonts w:hint="eastAsia" w:asciiTheme="minorEastAsia" w:hAnsiTheme="minorEastAsia" w:eastAsiaTheme="minorEastAsia" w:cstheme="minorEastAsia"/>
          <w:snapToGrid w:val="0"/>
          <w:kern w:val="0"/>
          <w:szCs w:val="21"/>
          <w:lang w:val="zh-CN"/>
        </w:rPr>
        <w:t>磋商</w:t>
      </w:r>
      <w:r>
        <w:rPr>
          <w:rFonts w:hint="eastAsia" w:asciiTheme="minorEastAsia" w:hAnsiTheme="minorEastAsia" w:eastAsiaTheme="minorEastAsia" w:cstheme="minorEastAsia"/>
          <w:szCs w:val="21"/>
        </w:rPr>
        <w:t>供应商的</w:t>
      </w:r>
      <w:r>
        <w:rPr>
          <w:rFonts w:hint="eastAsia" w:asciiTheme="minorEastAsia" w:hAnsiTheme="minorEastAsia" w:eastAsiaTheme="minorEastAsia" w:cstheme="minorEastAsia"/>
          <w:snapToGrid w:val="0"/>
          <w:kern w:val="0"/>
          <w:szCs w:val="21"/>
          <w:lang w:val="zh-CN"/>
        </w:rPr>
        <w:t>方案</w:t>
      </w:r>
      <w:r>
        <w:rPr>
          <w:rFonts w:hint="eastAsia" w:asciiTheme="minorEastAsia" w:hAnsiTheme="minorEastAsia" w:eastAsiaTheme="minorEastAsia" w:cstheme="minorEastAsia"/>
          <w:szCs w:val="21"/>
        </w:rPr>
        <w:t>和由这些因素决定的磋商供应商之于本项目的成本水平等提出自己的报价。</w:t>
      </w:r>
      <w:r>
        <w:rPr>
          <w:rFonts w:hint="eastAsia" w:asciiTheme="minorEastAsia" w:hAnsiTheme="minorEastAsia" w:eastAsiaTheme="minorEastAsia" w:cstheme="minorEastAsia"/>
          <w:snapToGrid w:val="0"/>
          <w:kern w:val="0"/>
          <w:szCs w:val="21"/>
          <w:lang w:val="zh-CN"/>
        </w:rPr>
        <w:t>报价应包含完成本采购文件采购需求全部内容的所有费用，所有根据本采购文件或其它原因应由磋商供应商支付的税款和其他应缴纳的费用都应包括在报价中。</w:t>
      </w:r>
      <w:r>
        <w:rPr>
          <w:rFonts w:hint="eastAsia" w:asciiTheme="minorEastAsia" w:hAnsiTheme="minorEastAsia" w:eastAsiaTheme="minorEastAsia" w:cstheme="minorEastAsia"/>
          <w:szCs w:val="21"/>
        </w:rPr>
        <w:t>但磋商供应商不得以低于其成本的价格进行报价。</w:t>
      </w:r>
    </w:p>
    <w:p>
      <w:pPr>
        <w:numPr>
          <w:ilvl w:val="1"/>
          <w:numId w:val="18"/>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zCs w:val="21"/>
        </w:rPr>
        <w:t>供应商在响应文件中</w:t>
      </w:r>
      <w:r>
        <w:rPr>
          <w:rFonts w:hint="eastAsia" w:asciiTheme="minorEastAsia" w:hAnsiTheme="minorEastAsia" w:eastAsiaTheme="minorEastAsia" w:cstheme="minorEastAsia"/>
          <w:snapToGrid w:val="0"/>
          <w:kern w:val="0"/>
          <w:szCs w:val="21"/>
          <w:lang w:val="zh-CN"/>
        </w:rPr>
        <w:t>注明免费的项目将视为包含在报价中。</w:t>
      </w:r>
    </w:p>
    <w:p>
      <w:pPr>
        <w:numPr>
          <w:ilvl w:val="1"/>
          <w:numId w:val="18"/>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每一种采购内容只允许有一个报价，否则其响应文件将被视为无效文件。</w:t>
      </w:r>
    </w:p>
    <w:p>
      <w:pPr>
        <w:numPr>
          <w:ilvl w:val="1"/>
          <w:numId w:val="18"/>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成交供应商的报价在合同执行过程中是固定不变的，不得以任何理由予以变更。</w:t>
      </w:r>
    </w:p>
    <w:p>
      <w:pPr>
        <w:numPr>
          <w:ilvl w:val="0"/>
          <w:numId w:val="7"/>
        </w:numPr>
        <w:tabs>
          <w:tab w:val="left" w:pos="864"/>
        </w:tabs>
        <w:spacing w:line="360" w:lineRule="auto"/>
        <w:ind w:hanging="540"/>
        <w:outlineLvl w:val="1"/>
        <w:rPr>
          <w:rFonts w:asciiTheme="minorEastAsia" w:hAnsiTheme="minorEastAsia" w:eastAsiaTheme="minorEastAsia" w:cstheme="minorEastAsia"/>
          <w:b/>
          <w:snapToGrid w:val="0"/>
          <w:kern w:val="0"/>
          <w:szCs w:val="21"/>
          <w:lang w:val="zh-CN"/>
        </w:rPr>
      </w:pPr>
      <w:bookmarkStart w:id="52" w:name="_Toc6176"/>
      <w:bookmarkStart w:id="53" w:name="_Toc19984"/>
      <w:r>
        <w:rPr>
          <w:rFonts w:hint="eastAsia" w:asciiTheme="minorEastAsia" w:hAnsiTheme="minorEastAsia" w:eastAsiaTheme="minorEastAsia" w:cstheme="minorEastAsia"/>
          <w:b/>
          <w:snapToGrid w:val="0"/>
          <w:kern w:val="0"/>
          <w:szCs w:val="21"/>
          <w:lang w:val="zh-CN"/>
        </w:rPr>
        <w:t>备选方案</w:t>
      </w:r>
      <w:bookmarkEnd w:id="52"/>
      <w:bookmarkEnd w:id="53"/>
    </w:p>
    <w:p>
      <w:pPr>
        <w:numPr>
          <w:ilvl w:val="1"/>
          <w:numId w:val="19"/>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 xml:space="preserve">是否允许备选方案见《供应商须知前附表》。不允许有备选方案的，若在响应文件中提交了备选方案，其响应文件将被视为无效文件。 </w:t>
      </w:r>
    </w:p>
    <w:p>
      <w:pPr>
        <w:numPr>
          <w:ilvl w:val="0"/>
          <w:numId w:val="7"/>
        </w:numPr>
        <w:tabs>
          <w:tab w:val="left" w:pos="864"/>
        </w:tabs>
        <w:spacing w:line="360" w:lineRule="auto"/>
        <w:ind w:hanging="540"/>
        <w:outlineLvl w:val="1"/>
        <w:rPr>
          <w:rFonts w:asciiTheme="minorEastAsia" w:hAnsiTheme="minorEastAsia" w:eastAsiaTheme="minorEastAsia" w:cstheme="minorEastAsia"/>
          <w:b/>
          <w:snapToGrid w:val="0"/>
          <w:kern w:val="0"/>
          <w:szCs w:val="21"/>
          <w:lang w:val="zh-CN"/>
        </w:rPr>
      </w:pPr>
      <w:bookmarkStart w:id="54" w:name="_Toc3324"/>
      <w:bookmarkStart w:id="55" w:name="_Toc1252"/>
      <w:r>
        <w:rPr>
          <w:rFonts w:hint="eastAsia" w:asciiTheme="minorEastAsia" w:hAnsiTheme="minorEastAsia" w:eastAsiaTheme="minorEastAsia" w:cstheme="minorEastAsia"/>
          <w:b/>
          <w:snapToGrid w:val="0"/>
          <w:kern w:val="0"/>
          <w:szCs w:val="21"/>
          <w:lang w:val="zh-CN"/>
        </w:rPr>
        <w:t>联合体</w:t>
      </w:r>
      <w:bookmarkEnd w:id="54"/>
      <w:bookmarkEnd w:id="55"/>
    </w:p>
    <w:p>
      <w:pPr>
        <w:numPr>
          <w:ilvl w:val="1"/>
          <w:numId w:val="20"/>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 xml:space="preserve">本次采购是否允许联合体参加详见《供应商须知前附表》。 </w:t>
      </w:r>
    </w:p>
    <w:p>
      <w:pPr>
        <w:numPr>
          <w:ilvl w:val="1"/>
          <w:numId w:val="20"/>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本次采购允许联合体报价的，联合体各方不得再单独或者与其他供应商另外组成联合体参加本项目的报价。</w:t>
      </w:r>
    </w:p>
    <w:p>
      <w:pPr>
        <w:numPr>
          <w:ilvl w:val="0"/>
          <w:numId w:val="7"/>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56" w:name="_Toc32237"/>
      <w:bookmarkStart w:id="57" w:name="_Toc2434"/>
      <w:r>
        <w:rPr>
          <w:rFonts w:hint="eastAsia" w:asciiTheme="minorEastAsia" w:hAnsiTheme="minorEastAsia" w:eastAsiaTheme="minorEastAsia" w:cstheme="minorEastAsia"/>
          <w:b/>
          <w:snapToGrid w:val="0"/>
          <w:kern w:val="0"/>
          <w:szCs w:val="21"/>
          <w:lang w:val="zh-CN"/>
        </w:rPr>
        <w:t>供应商资格证明文件</w:t>
      </w:r>
      <w:bookmarkEnd w:id="56"/>
      <w:bookmarkEnd w:id="57"/>
    </w:p>
    <w:p>
      <w:pPr>
        <w:numPr>
          <w:ilvl w:val="1"/>
          <w:numId w:val="21"/>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供应商应在响应文件提交证明其有资格参加磋商的证明文件，证明文件应包括下列文件：</w:t>
      </w:r>
    </w:p>
    <w:p>
      <w:pPr>
        <w:numPr>
          <w:ilvl w:val="3"/>
          <w:numId w:val="22"/>
        </w:numPr>
        <w:tabs>
          <w:tab w:val="left" w:pos="540"/>
          <w:tab w:val="clear" w:pos="204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采购文件要求供应商应提交的其它资格证明文件，应提交的资格证明文件（</w:t>
      </w:r>
      <w:r>
        <w:rPr>
          <w:rFonts w:hint="eastAsia" w:asciiTheme="minorEastAsia" w:hAnsiTheme="minorEastAsia" w:eastAsiaTheme="minorEastAsia" w:cstheme="minorEastAsia"/>
          <w:snapToGrid w:val="0"/>
          <w:kern w:val="0"/>
          <w:szCs w:val="21"/>
        </w:rPr>
        <w:t>实质性要求</w:t>
      </w:r>
      <w:r>
        <w:rPr>
          <w:rFonts w:hint="eastAsia" w:asciiTheme="minorEastAsia" w:hAnsiTheme="minorEastAsia" w:eastAsiaTheme="minorEastAsia" w:cstheme="minorEastAsia"/>
          <w:snapToGrid w:val="0"/>
          <w:kern w:val="0"/>
          <w:szCs w:val="21"/>
          <w:lang w:val="zh-CN"/>
        </w:rPr>
        <w:t>）见《供应商须知前附表》。</w:t>
      </w:r>
    </w:p>
    <w:p>
      <w:pPr>
        <w:numPr>
          <w:ilvl w:val="1"/>
          <w:numId w:val="21"/>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除本须知14.1要求的资格证明文件外，如国家法律法规对市场准入有要求的还应提交相关资格证明文件。</w:t>
      </w:r>
    </w:p>
    <w:p>
      <w:pPr>
        <w:numPr>
          <w:ilvl w:val="1"/>
          <w:numId w:val="21"/>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证明材料仅限于磋商供应商单位本身，母公司、股东单位和子公司的材料不能作为证明材料，但磋商供应商单位兼并的企业的材料可作为证明材料。必须</w:t>
      </w:r>
      <w:r>
        <w:rPr>
          <w:rFonts w:hint="eastAsia" w:asciiTheme="minorEastAsia" w:hAnsiTheme="minorEastAsia" w:eastAsiaTheme="minorEastAsia" w:cstheme="minorEastAsia"/>
          <w:snapToGrid w:val="0"/>
          <w:kern w:val="0"/>
          <w:szCs w:val="21"/>
        </w:rPr>
        <w:t>每页</w:t>
      </w:r>
      <w:r>
        <w:rPr>
          <w:rFonts w:hint="eastAsia" w:asciiTheme="minorEastAsia" w:hAnsiTheme="minorEastAsia" w:eastAsiaTheme="minorEastAsia" w:cstheme="minorEastAsia"/>
          <w:snapToGrid w:val="0"/>
          <w:kern w:val="0"/>
          <w:szCs w:val="21"/>
          <w:lang w:val="zh-CN"/>
        </w:rPr>
        <w:t>加盖单位印章，</w:t>
      </w:r>
      <w:r>
        <w:rPr>
          <w:rFonts w:hint="eastAsia" w:asciiTheme="minorEastAsia" w:hAnsiTheme="minorEastAsia" w:eastAsiaTheme="minorEastAsia" w:cstheme="minorEastAsia"/>
          <w:snapToGrid w:val="0"/>
          <w:kern w:val="0"/>
          <w:szCs w:val="21"/>
        </w:rPr>
        <w:t>否则做废标处理</w:t>
      </w:r>
      <w:r>
        <w:rPr>
          <w:rFonts w:hint="eastAsia" w:asciiTheme="minorEastAsia" w:hAnsiTheme="minorEastAsia" w:eastAsiaTheme="minorEastAsia" w:cstheme="minorEastAsia"/>
          <w:snapToGrid w:val="0"/>
          <w:kern w:val="0"/>
          <w:szCs w:val="21"/>
          <w:lang w:val="zh-CN"/>
        </w:rPr>
        <w:t>。</w:t>
      </w:r>
    </w:p>
    <w:p>
      <w:pPr>
        <w:numPr>
          <w:ilvl w:val="0"/>
          <w:numId w:val="7"/>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58" w:name="_Toc31032"/>
      <w:bookmarkStart w:id="59" w:name="_Toc9935"/>
      <w:r>
        <w:rPr>
          <w:rFonts w:hint="eastAsia" w:asciiTheme="minorEastAsia" w:hAnsiTheme="minorEastAsia" w:eastAsiaTheme="minorEastAsia" w:cstheme="minorEastAsia"/>
          <w:b/>
          <w:snapToGrid w:val="0"/>
          <w:kern w:val="0"/>
          <w:szCs w:val="21"/>
          <w:lang w:val="zh-CN"/>
        </w:rPr>
        <w:t>证明报价内容、服务合格性和符合竞争性磋商采购文件规定的文件</w:t>
      </w:r>
      <w:bookmarkEnd w:id="58"/>
      <w:bookmarkEnd w:id="59"/>
    </w:p>
    <w:p>
      <w:pPr>
        <w:numPr>
          <w:ilvl w:val="1"/>
          <w:numId w:val="23"/>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证明报价内容符合竞争性磋商采购文件要求的文件和竞争性磋商采购文件规定的其他资料，具体要求见《供应商须知前附表》。</w:t>
      </w:r>
    </w:p>
    <w:p>
      <w:pPr>
        <w:numPr>
          <w:ilvl w:val="0"/>
          <w:numId w:val="7"/>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60" w:name="_Toc27068"/>
      <w:bookmarkStart w:id="61" w:name="_Toc22355"/>
      <w:r>
        <w:rPr>
          <w:rFonts w:hint="eastAsia" w:asciiTheme="minorEastAsia" w:hAnsiTheme="minorEastAsia" w:eastAsiaTheme="minorEastAsia" w:cstheme="minorEastAsia"/>
          <w:b/>
          <w:snapToGrid w:val="0"/>
          <w:kern w:val="0"/>
          <w:szCs w:val="21"/>
          <w:lang w:val="zh-CN"/>
        </w:rPr>
        <w:t>磋商保证金</w:t>
      </w:r>
      <w:bookmarkEnd w:id="60"/>
      <w:bookmarkEnd w:id="61"/>
    </w:p>
    <w:p>
      <w:pPr>
        <w:numPr>
          <w:ilvl w:val="1"/>
          <w:numId w:val="24"/>
        </w:numPr>
        <w:tabs>
          <w:tab w:val="left" w:pos="54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本采购文件是否要求递交磋商保证金及保证金金额、递交方式、递交时间、接受保证金的帐户信息等详见《供应商须知前附表》。</w:t>
      </w:r>
    </w:p>
    <w:p>
      <w:pPr>
        <w:numPr>
          <w:ilvl w:val="1"/>
          <w:numId w:val="24"/>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本采购文件要求递交磋商保证金的，磋商保证金作为竞争性磋商响应文件的组成部分，</w:t>
      </w:r>
      <w:r>
        <w:rPr>
          <w:rFonts w:hint="eastAsia" w:asciiTheme="minorEastAsia" w:hAnsiTheme="minorEastAsia" w:eastAsiaTheme="minorEastAsia" w:cstheme="minorEastAsia"/>
          <w:szCs w:val="21"/>
          <w:lang w:val="zh-CN"/>
        </w:rPr>
        <w:t>以到账为准。</w:t>
      </w:r>
      <w:r>
        <w:rPr>
          <w:rFonts w:hint="eastAsia" w:asciiTheme="minorEastAsia" w:hAnsiTheme="minorEastAsia" w:eastAsiaTheme="minorEastAsia" w:cstheme="minorEastAsia"/>
          <w:snapToGrid w:val="0"/>
          <w:kern w:val="0"/>
          <w:szCs w:val="21"/>
          <w:lang w:val="zh-CN"/>
        </w:rPr>
        <w:t>凡未按规定递交磋商保证金的报价，其响应文件将被视为无效文件。</w:t>
      </w:r>
    </w:p>
    <w:p>
      <w:pPr>
        <w:numPr>
          <w:ilvl w:val="1"/>
          <w:numId w:val="24"/>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磋商保证金有效时间：磋商保证金的有效期与本次磋商有效期一致。</w:t>
      </w:r>
    </w:p>
    <w:p>
      <w:pPr>
        <w:numPr>
          <w:ilvl w:val="1"/>
          <w:numId w:val="24"/>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供应商为联合体的，应由联合体中牵头人缴纳保证金，其缴纳的保证金对联合体各方均具有约束力。</w:t>
      </w:r>
    </w:p>
    <w:p>
      <w:pPr>
        <w:numPr>
          <w:ilvl w:val="1"/>
          <w:numId w:val="24"/>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保证金的退还：未成交的磋商供应商，其磋商保证金在成交通知书发出后5个工作日内不计利息原额退还，成交供应商的磋商保证金，在成交供应商与采购人签订合同后5个工作日内不计利息原额退还。</w:t>
      </w:r>
    </w:p>
    <w:p>
      <w:pPr>
        <w:numPr>
          <w:ilvl w:val="1"/>
          <w:numId w:val="24"/>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有下列情形之一的，磋商保证金将不予退还:</w:t>
      </w:r>
    </w:p>
    <w:p>
      <w:pPr>
        <w:numPr>
          <w:ilvl w:val="0"/>
          <w:numId w:val="25"/>
        </w:numPr>
        <w:tabs>
          <w:tab w:val="left" w:pos="525"/>
          <w:tab w:val="clear" w:pos="2040"/>
        </w:tabs>
        <w:autoSpaceDE w:val="0"/>
        <w:autoSpaceDN w:val="0"/>
        <w:adjustRightInd w:val="0"/>
        <w:spacing w:line="360" w:lineRule="auto"/>
        <w:ind w:left="540" w:hanging="539" w:hangingChars="257"/>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供应商在提交响应文件截止时间后撤回响应文件的；</w:t>
      </w:r>
    </w:p>
    <w:p>
      <w:pPr>
        <w:numPr>
          <w:ilvl w:val="0"/>
          <w:numId w:val="25"/>
        </w:numPr>
        <w:tabs>
          <w:tab w:val="left" w:pos="525"/>
          <w:tab w:val="clear" w:pos="2040"/>
        </w:tabs>
        <w:autoSpaceDE w:val="0"/>
        <w:autoSpaceDN w:val="0"/>
        <w:adjustRightInd w:val="0"/>
        <w:spacing w:line="360" w:lineRule="auto"/>
        <w:ind w:left="540" w:hanging="539" w:hangingChars="257"/>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供应商在响应文件中提供虚假材料的；</w:t>
      </w:r>
    </w:p>
    <w:p>
      <w:pPr>
        <w:numPr>
          <w:ilvl w:val="0"/>
          <w:numId w:val="25"/>
        </w:numPr>
        <w:tabs>
          <w:tab w:val="left" w:pos="525"/>
          <w:tab w:val="clear" w:pos="2040"/>
        </w:tabs>
        <w:autoSpaceDE w:val="0"/>
        <w:autoSpaceDN w:val="0"/>
        <w:adjustRightInd w:val="0"/>
        <w:spacing w:line="360" w:lineRule="auto"/>
        <w:ind w:left="540" w:hanging="539" w:hangingChars="257"/>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除因不可抗力或磋商文件认可的情形以外，成交供应商不与采购人签订合同的；</w:t>
      </w:r>
    </w:p>
    <w:p>
      <w:pPr>
        <w:numPr>
          <w:ilvl w:val="0"/>
          <w:numId w:val="25"/>
        </w:numPr>
        <w:tabs>
          <w:tab w:val="left" w:pos="525"/>
          <w:tab w:val="clear" w:pos="2040"/>
        </w:tabs>
        <w:autoSpaceDE w:val="0"/>
        <w:autoSpaceDN w:val="0"/>
        <w:adjustRightInd w:val="0"/>
        <w:spacing w:line="360" w:lineRule="auto"/>
        <w:ind w:left="540" w:hanging="539" w:hangingChars="257"/>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供应商与采购人、其他供应商或者采购代理机构恶意串通的；</w:t>
      </w:r>
    </w:p>
    <w:p>
      <w:pPr>
        <w:numPr>
          <w:ilvl w:val="0"/>
          <w:numId w:val="25"/>
        </w:numPr>
        <w:tabs>
          <w:tab w:val="left" w:pos="525"/>
          <w:tab w:val="clear" w:pos="2040"/>
        </w:tabs>
        <w:autoSpaceDE w:val="0"/>
        <w:autoSpaceDN w:val="0"/>
        <w:adjustRightInd w:val="0"/>
        <w:spacing w:line="360" w:lineRule="auto"/>
        <w:ind w:left="540" w:hanging="539" w:hangingChars="257"/>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本采购文件规定的其他情形。</w:t>
      </w:r>
    </w:p>
    <w:p>
      <w:pPr>
        <w:numPr>
          <w:ilvl w:val="0"/>
          <w:numId w:val="7"/>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62" w:name="_Toc897"/>
      <w:bookmarkStart w:id="63" w:name="_Toc5668"/>
      <w:r>
        <w:rPr>
          <w:rFonts w:hint="eastAsia" w:asciiTheme="minorEastAsia" w:hAnsiTheme="minorEastAsia" w:eastAsiaTheme="minorEastAsia" w:cstheme="minorEastAsia"/>
          <w:b/>
          <w:snapToGrid w:val="0"/>
          <w:kern w:val="0"/>
          <w:szCs w:val="21"/>
          <w:lang w:val="zh-CN"/>
        </w:rPr>
        <w:t>磋商有效期</w:t>
      </w:r>
      <w:bookmarkEnd w:id="62"/>
      <w:bookmarkEnd w:id="63"/>
    </w:p>
    <w:p>
      <w:pPr>
        <w:numPr>
          <w:ilvl w:val="1"/>
          <w:numId w:val="26"/>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磋商有效期从磋商结束之日起计算，本次采购磋商有效期见《供应商须知前附表》，磋商供应商承诺的磋商有效期不足的，其响应文件将被视为无效文件。</w:t>
      </w:r>
    </w:p>
    <w:p>
      <w:pPr>
        <w:numPr>
          <w:ilvl w:val="1"/>
          <w:numId w:val="26"/>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特殊情况下，在原磋商有效期截止之前，采购代理机构或采购人可要求供应商延长磋商有效期。需要延长磋商有效期时，采购代理机构或采购人将以书面形式通知所有磋商供应商，供应商应以书面形式答复是否同意延长磋商有效期。供应商同意延长的，其磋商保证金有效期相应延长，但不得要求或被允许修改或撤销其响应文件；供应商拒绝延长的，其响应文件在原磋商有效期满后将不再有效，供应商有权收回其投标保证金。</w:t>
      </w:r>
    </w:p>
    <w:p>
      <w:pPr>
        <w:numPr>
          <w:ilvl w:val="1"/>
          <w:numId w:val="26"/>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供应商同意延长磋商有效期的，不得要求或被允许修改或撤销其竞争性磋商响应文件；供应商拒绝延长的，其响应文件失效，但供应商有权收回其磋商保证金。</w:t>
      </w:r>
    </w:p>
    <w:p>
      <w:pPr>
        <w:numPr>
          <w:ilvl w:val="0"/>
          <w:numId w:val="7"/>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64" w:name="_Toc8272"/>
      <w:bookmarkStart w:id="65" w:name="_Toc18471"/>
      <w:r>
        <w:rPr>
          <w:rFonts w:hint="eastAsia" w:asciiTheme="minorEastAsia" w:hAnsiTheme="minorEastAsia" w:eastAsiaTheme="minorEastAsia" w:cstheme="minorEastAsia"/>
          <w:b/>
          <w:snapToGrid w:val="0"/>
          <w:kern w:val="0"/>
          <w:szCs w:val="21"/>
          <w:lang w:val="zh-CN"/>
        </w:rPr>
        <w:t>竞争性磋商响应文件的装订、签署和数量</w:t>
      </w:r>
      <w:bookmarkEnd w:id="64"/>
      <w:bookmarkEnd w:id="65"/>
    </w:p>
    <w:p>
      <w:pPr>
        <w:numPr>
          <w:ilvl w:val="1"/>
          <w:numId w:val="27"/>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供应商提交的响应文件应包括正本、副本、完整的电子文档及单独提供的法定代表人授权委托书（或</w:t>
      </w:r>
      <w:r>
        <w:rPr>
          <w:rFonts w:hint="eastAsia" w:asciiTheme="minorEastAsia" w:hAnsiTheme="minorEastAsia" w:eastAsiaTheme="minorEastAsia" w:cstheme="minorEastAsia"/>
          <w:szCs w:val="21"/>
        </w:rPr>
        <w:t>法定代表人身份证明书）</w:t>
      </w:r>
      <w:r>
        <w:rPr>
          <w:rFonts w:hint="eastAsia" w:asciiTheme="minorEastAsia" w:hAnsiTheme="minorEastAsia" w:eastAsiaTheme="minorEastAsia" w:cstheme="minorEastAsia"/>
          <w:snapToGrid w:val="0"/>
          <w:kern w:val="0"/>
          <w:szCs w:val="21"/>
          <w:lang w:val="zh-CN"/>
        </w:rPr>
        <w:t>。本次磋商供应商提交响应文件正、副本和电子文档的数量见《供应商须知前附表》。</w:t>
      </w:r>
    </w:p>
    <w:p>
      <w:pPr>
        <w:autoSpaceDE w:val="0"/>
        <w:autoSpaceDN w:val="0"/>
        <w:adjustRightInd w:val="0"/>
        <w:spacing w:line="360" w:lineRule="auto"/>
        <w:ind w:left="630" w:leftChars="300" w:firstLine="92" w:firstLineChars="44"/>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每套响应文件须清楚地标明“正本”、“副本”，响应文件的副本可采用正本的复印件，若副本与正本不符，以正本为准；如单独提供的法定代表人授权委托书（或</w:t>
      </w:r>
      <w:r>
        <w:rPr>
          <w:rFonts w:hint="eastAsia" w:asciiTheme="minorEastAsia" w:hAnsiTheme="minorEastAsia" w:eastAsiaTheme="minorEastAsia" w:cstheme="minorEastAsia"/>
          <w:szCs w:val="21"/>
        </w:rPr>
        <w:t>法定代表人身份证明书）</w:t>
      </w:r>
      <w:r>
        <w:rPr>
          <w:rFonts w:hint="eastAsia" w:asciiTheme="minorEastAsia" w:hAnsiTheme="minorEastAsia" w:eastAsiaTheme="minorEastAsia" w:cstheme="minorEastAsia"/>
          <w:snapToGrid w:val="0"/>
          <w:kern w:val="0"/>
          <w:szCs w:val="21"/>
          <w:lang w:val="zh-CN"/>
        </w:rPr>
        <w:t>与响应文件正本不符，以正本为准。电子文档与纸质文件不符，以纸质文件为准。</w:t>
      </w:r>
    </w:p>
    <w:p>
      <w:pPr>
        <w:numPr>
          <w:ilvl w:val="1"/>
          <w:numId w:val="27"/>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正本需打印或用不褪色墨水书写，并由法定代表人或授权代表签字并加盖公章。由授权代表签字的，响应文件中应提交《法定代表人授权书》。供应商为自然人的，由供应商本人签字并附身份证明。</w:t>
      </w:r>
    </w:p>
    <w:p>
      <w:pPr>
        <w:numPr>
          <w:ilvl w:val="1"/>
          <w:numId w:val="27"/>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竞争性磋商响应文件中的任何行间插字、涂改和增删，必须由法定代表人或授权代表在旁边签字才有效。</w:t>
      </w:r>
    </w:p>
    <w:p>
      <w:pPr>
        <w:numPr>
          <w:ilvl w:val="1"/>
          <w:numId w:val="27"/>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响应文件应当采用不可拆卸的方法的装订，对未经装订的竞争性磋商响应文件可能发生的文件散落或缺损及由此产生的后果由磋商供应商承担。</w:t>
      </w:r>
    </w:p>
    <w:p>
      <w:pPr>
        <w:numPr>
          <w:ilvl w:val="1"/>
          <w:numId w:val="6"/>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66" w:name="_Toc2193"/>
      <w:r>
        <w:rPr>
          <w:rFonts w:hint="eastAsia" w:asciiTheme="minorEastAsia" w:hAnsiTheme="minorEastAsia" w:eastAsiaTheme="minorEastAsia" w:cstheme="minorEastAsia"/>
          <w:b/>
          <w:szCs w:val="21"/>
        </w:rPr>
        <w:t>竞争性磋商响应文件的递交</w:t>
      </w:r>
      <w:bookmarkEnd w:id="66"/>
    </w:p>
    <w:p>
      <w:pPr>
        <w:numPr>
          <w:ilvl w:val="0"/>
          <w:numId w:val="7"/>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67" w:name="_Toc7793"/>
      <w:bookmarkStart w:id="68" w:name="_Toc27305"/>
      <w:r>
        <w:rPr>
          <w:rFonts w:hint="eastAsia" w:asciiTheme="minorEastAsia" w:hAnsiTheme="minorEastAsia" w:eastAsiaTheme="minorEastAsia" w:cstheme="minorEastAsia"/>
          <w:b/>
          <w:szCs w:val="21"/>
        </w:rPr>
        <w:t>竞争性磋商响应文件</w:t>
      </w:r>
      <w:r>
        <w:rPr>
          <w:rFonts w:hint="eastAsia" w:asciiTheme="minorEastAsia" w:hAnsiTheme="minorEastAsia" w:eastAsiaTheme="minorEastAsia" w:cstheme="minorEastAsia"/>
          <w:b/>
          <w:snapToGrid w:val="0"/>
          <w:kern w:val="0"/>
          <w:szCs w:val="21"/>
          <w:lang w:val="zh-CN"/>
        </w:rPr>
        <w:t>的密封和标记</w:t>
      </w:r>
      <w:bookmarkEnd w:id="67"/>
      <w:bookmarkEnd w:id="68"/>
    </w:p>
    <w:p>
      <w:pPr>
        <w:numPr>
          <w:ilvl w:val="1"/>
          <w:numId w:val="28"/>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响应文件的正本、所有副本和电子文档必须密封，</w:t>
      </w:r>
      <w:r>
        <w:rPr>
          <w:rFonts w:hint="eastAsia" w:asciiTheme="minorEastAsia" w:hAnsiTheme="minorEastAsia" w:eastAsiaTheme="minorEastAsia" w:cstheme="minorEastAsia"/>
          <w:snapToGrid w:val="0"/>
          <w:kern w:val="0"/>
          <w:szCs w:val="21"/>
        </w:rPr>
        <w:t>并在每一页以及骑缝处</w:t>
      </w:r>
      <w:r>
        <w:rPr>
          <w:rFonts w:hint="eastAsia" w:asciiTheme="minorEastAsia" w:hAnsiTheme="minorEastAsia" w:eastAsiaTheme="minorEastAsia" w:cstheme="minorEastAsia"/>
          <w:snapToGrid w:val="0"/>
          <w:kern w:val="0"/>
          <w:szCs w:val="21"/>
          <w:lang w:val="zh-CN"/>
        </w:rPr>
        <w:t>加盖供应商公章</w:t>
      </w:r>
      <w:r>
        <w:rPr>
          <w:rFonts w:hint="eastAsia" w:asciiTheme="minorEastAsia" w:hAnsiTheme="minorEastAsia" w:eastAsiaTheme="minorEastAsia" w:cstheme="minorEastAsia"/>
          <w:snapToGrid w:val="0"/>
          <w:kern w:val="0"/>
          <w:szCs w:val="21"/>
        </w:rPr>
        <w:t>后</w:t>
      </w:r>
      <w:r>
        <w:rPr>
          <w:rFonts w:hint="eastAsia" w:asciiTheme="minorEastAsia" w:hAnsiTheme="minorEastAsia" w:eastAsiaTheme="minorEastAsia" w:cstheme="minorEastAsia"/>
          <w:snapToGrid w:val="0"/>
          <w:kern w:val="0"/>
          <w:szCs w:val="21"/>
          <w:lang w:val="zh-CN"/>
        </w:rPr>
        <w:t>递交，包装上应注明</w:t>
      </w:r>
      <w:r>
        <w:rPr>
          <w:rFonts w:hint="eastAsia" w:asciiTheme="minorEastAsia" w:hAnsiTheme="minorEastAsia" w:eastAsiaTheme="minorEastAsia" w:cstheme="minorEastAsia"/>
          <w:snapToGrid w:val="0"/>
          <w:kern w:val="0"/>
          <w:szCs w:val="21"/>
        </w:rPr>
        <w:t>项目</w:t>
      </w:r>
      <w:r>
        <w:rPr>
          <w:rFonts w:hint="eastAsia" w:asciiTheme="minorEastAsia" w:hAnsiTheme="minorEastAsia" w:eastAsiaTheme="minorEastAsia" w:cstheme="minorEastAsia"/>
          <w:snapToGrid w:val="0"/>
          <w:kern w:val="0"/>
          <w:szCs w:val="21"/>
          <w:lang w:val="zh-CN"/>
        </w:rPr>
        <w:t>编号、项目名称、包号、供应商名称及“</w:t>
      </w:r>
      <w:r>
        <w:rPr>
          <w:rFonts w:hint="eastAsia" w:asciiTheme="minorEastAsia" w:hAnsiTheme="minorEastAsia" w:eastAsiaTheme="minorEastAsia" w:cstheme="minorEastAsia"/>
          <w:snapToGrid w:val="0"/>
          <w:kern w:val="0"/>
          <w:szCs w:val="21"/>
          <w:u w:val="single"/>
          <w:lang w:val="zh-CN"/>
        </w:rPr>
        <w:t xml:space="preserve">  （磋商</w:t>
      </w:r>
      <w:r>
        <w:rPr>
          <w:rFonts w:hint="eastAsia" w:asciiTheme="minorEastAsia" w:hAnsiTheme="minorEastAsia" w:eastAsiaTheme="minorEastAsia" w:cstheme="minorEastAsia"/>
          <w:snapToGrid w:val="0"/>
          <w:kern w:val="0"/>
          <w:szCs w:val="21"/>
          <w:u w:val="single"/>
        </w:rPr>
        <w:t>截止</w:t>
      </w:r>
      <w:r>
        <w:rPr>
          <w:rFonts w:hint="eastAsia" w:asciiTheme="minorEastAsia" w:hAnsiTheme="minorEastAsia" w:eastAsiaTheme="minorEastAsia" w:cstheme="minorEastAsia"/>
          <w:snapToGrid w:val="0"/>
          <w:kern w:val="0"/>
          <w:szCs w:val="21"/>
          <w:u w:val="single"/>
          <w:lang w:val="zh-CN"/>
        </w:rPr>
        <w:t>时间）  前</w:t>
      </w:r>
      <w:r>
        <w:rPr>
          <w:rFonts w:hint="eastAsia" w:asciiTheme="minorEastAsia" w:hAnsiTheme="minorEastAsia" w:eastAsiaTheme="minorEastAsia" w:cstheme="minorEastAsia"/>
          <w:snapToGrid w:val="0"/>
          <w:kern w:val="0"/>
          <w:szCs w:val="21"/>
          <w:lang w:val="zh-CN"/>
        </w:rPr>
        <w:t>不得启封”的字样。</w:t>
      </w:r>
    </w:p>
    <w:p>
      <w:pPr>
        <w:numPr>
          <w:ilvl w:val="1"/>
          <w:numId w:val="28"/>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未按要求密封和加写标记的响应文件为无效文件，采购人、采购代理机构将拒收。</w:t>
      </w:r>
    </w:p>
    <w:p>
      <w:pPr>
        <w:numPr>
          <w:ilvl w:val="1"/>
          <w:numId w:val="28"/>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要求在磋商时提交样品的，是否在样品上标明磋商供应商名称，有关提交及退还样品的相关规定。见《供应商须知前附表》。</w:t>
      </w:r>
    </w:p>
    <w:p>
      <w:pPr>
        <w:numPr>
          <w:ilvl w:val="0"/>
          <w:numId w:val="7"/>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69" w:name="_Toc4323"/>
      <w:bookmarkStart w:id="70" w:name="_Toc17857"/>
      <w:r>
        <w:rPr>
          <w:rFonts w:hint="eastAsia" w:asciiTheme="minorEastAsia" w:hAnsiTheme="minorEastAsia" w:eastAsiaTheme="minorEastAsia" w:cstheme="minorEastAsia"/>
          <w:b/>
          <w:snapToGrid w:val="0"/>
          <w:kern w:val="0"/>
          <w:szCs w:val="21"/>
          <w:lang w:val="zh-CN"/>
        </w:rPr>
        <w:t>竞争性磋商响应文件的送达地点及截止时间</w:t>
      </w:r>
      <w:bookmarkEnd w:id="69"/>
      <w:bookmarkEnd w:id="70"/>
    </w:p>
    <w:p>
      <w:pPr>
        <w:autoSpaceDE w:val="0"/>
        <w:autoSpaceDN w:val="0"/>
        <w:adjustRightInd w:val="0"/>
        <w:spacing w:line="360" w:lineRule="auto"/>
        <w:ind w:left="539" w:hanging="539"/>
        <w:jc w:val="left"/>
        <w:rPr>
          <w:rFonts w:asciiTheme="minorEastAsia" w:hAnsiTheme="minorEastAsia" w:eastAsiaTheme="minorEastAsia" w:cstheme="minorEastAsia"/>
          <w:b/>
          <w:snapToGrid w:val="0"/>
          <w:kern w:val="0"/>
          <w:szCs w:val="21"/>
          <w:lang w:val="zh-CN"/>
        </w:rPr>
      </w:pPr>
      <w:r>
        <w:rPr>
          <w:rFonts w:hint="eastAsia" w:asciiTheme="minorEastAsia" w:hAnsiTheme="minorEastAsia" w:eastAsiaTheme="minorEastAsia" w:cstheme="minorEastAsia"/>
          <w:b/>
          <w:snapToGrid w:val="0"/>
          <w:kern w:val="0"/>
          <w:szCs w:val="21"/>
          <w:lang w:val="zh-CN"/>
        </w:rPr>
        <w:t>20.1</w:t>
      </w:r>
      <w:r>
        <w:rPr>
          <w:rFonts w:hint="eastAsia" w:asciiTheme="minorEastAsia" w:hAnsiTheme="minorEastAsia" w:eastAsiaTheme="minorEastAsia" w:cstheme="minorEastAsia"/>
          <w:b/>
          <w:snapToGrid w:val="0"/>
          <w:kern w:val="0"/>
          <w:szCs w:val="21"/>
        </w:rPr>
        <w:t xml:space="preserve"> </w:t>
      </w:r>
      <w:r>
        <w:rPr>
          <w:rFonts w:hint="eastAsia" w:asciiTheme="minorEastAsia" w:hAnsiTheme="minorEastAsia" w:eastAsiaTheme="minorEastAsia" w:cstheme="minorEastAsia"/>
          <w:snapToGrid w:val="0"/>
          <w:kern w:val="0"/>
          <w:szCs w:val="21"/>
          <w:lang w:val="zh-CN"/>
        </w:rPr>
        <w:t>截止时间是</w:t>
      </w:r>
      <w:r>
        <w:rPr>
          <w:rFonts w:hint="eastAsia" w:asciiTheme="minorEastAsia" w:hAnsiTheme="minorEastAsia" w:eastAsiaTheme="minorEastAsia" w:cstheme="minorEastAsia"/>
          <w:b/>
          <w:snapToGrid w:val="0"/>
          <w:kern w:val="0"/>
          <w:szCs w:val="21"/>
          <w:lang w:val="zh-CN"/>
        </w:rPr>
        <w:t>竞争性磋商文件</w:t>
      </w:r>
      <w:r>
        <w:rPr>
          <w:rFonts w:hint="eastAsia" w:asciiTheme="minorEastAsia" w:hAnsiTheme="minorEastAsia" w:eastAsiaTheme="minorEastAsia" w:cstheme="minorEastAsia"/>
          <w:snapToGrid w:val="0"/>
          <w:kern w:val="0"/>
          <w:szCs w:val="21"/>
          <w:lang w:val="zh-CN"/>
        </w:rPr>
        <w:t>中规定的首次送达、提交响应文件的最后时间。本次磋商响应文件的送达地点及截止时间见《供应商须知前附表》。</w:t>
      </w:r>
    </w:p>
    <w:p>
      <w:pPr>
        <w:numPr>
          <w:ilvl w:val="0"/>
          <w:numId w:val="7"/>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71" w:name="_Toc31376"/>
      <w:bookmarkStart w:id="72" w:name="_Toc12553"/>
      <w:r>
        <w:rPr>
          <w:rFonts w:hint="eastAsia" w:asciiTheme="minorEastAsia" w:hAnsiTheme="minorEastAsia" w:eastAsiaTheme="minorEastAsia" w:cstheme="minorEastAsia"/>
          <w:b/>
          <w:snapToGrid w:val="0"/>
          <w:kern w:val="0"/>
          <w:szCs w:val="21"/>
          <w:lang w:val="zh-CN"/>
        </w:rPr>
        <w:t>迟交的竞争性磋商响应文件</w:t>
      </w:r>
      <w:bookmarkEnd w:id="71"/>
      <w:bookmarkEnd w:id="72"/>
    </w:p>
    <w:p>
      <w:pPr>
        <w:numPr>
          <w:ilvl w:val="1"/>
          <w:numId w:val="29"/>
        </w:numPr>
        <w:tabs>
          <w:tab w:val="left" w:pos="540"/>
          <w:tab w:val="clear" w:pos="48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在本次磋商递交响应文件的截止时间以后送达的响应文件，不论何种原因，采购代理机构将拒收。</w:t>
      </w:r>
    </w:p>
    <w:p>
      <w:pPr>
        <w:numPr>
          <w:ilvl w:val="0"/>
          <w:numId w:val="7"/>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73" w:name="_Toc31760"/>
      <w:bookmarkStart w:id="74" w:name="_Toc28435"/>
      <w:r>
        <w:rPr>
          <w:rFonts w:hint="eastAsia" w:asciiTheme="minorEastAsia" w:hAnsiTheme="minorEastAsia" w:eastAsiaTheme="minorEastAsia" w:cstheme="minorEastAsia"/>
          <w:b/>
          <w:snapToGrid w:val="0"/>
          <w:kern w:val="0"/>
          <w:szCs w:val="21"/>
          <w:lang w:val="zh-CN"/>
        </w:rPr>
        <w:t>竞争性磋商响应文件的补充、修改或者撤回</w:t>
      </w:r>
      <w:bookmarkEnd w:id="73"/>
      <w:bookmarkEnd w:id="74"/>
    </w:p>
    <w:p>
      <w:pPr>
        <w:numPr>
          <w:ilvl w:val="1"/>
          <w:numId w:val="30"/>
        </w:numPr>
        <w:tabs>
          <w:tab w:val="left" w:pos="54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在</w:t>
      </w:r>
      <w:r>
        <w:rPr>
          <w:rFonts w:hint="eastAsia" w:asciiTheme="minorEastAsia" w:hAnsiTheme="minorEastAsia" w:eastAsiaTheme="minorEastAsia" w:cstheme="minorEastAsia"/>
          <w:snapToGrid w:val="0"/>
          <w:kern w:val="0"/>
          <w:szCs w:val="21"/>
        </w:rPr>
        <w:t>提交</w:t>
      </w:r>
      <w:r>
        <w:rPr>
          <w:rFonts w:hint="eastAsia" w:asciiTheme="minorEastAsia" w:hAnsiTheme="minorEastAsia" w:eastAsiaTheme="minorEastAsia" w:cstheme="minorEastAsia"/>
          <w:snapToGrid w:val="0"/>
          <w:kern w:val="0"/>
          <w:szCs w:val="21"/>
          <w:lang w:val="zh-CN"/>
        </w:rPr>
        <w:t>响应文件截止时间前，供应商可以对</w:t>
      </w:r>
      <w:r>
        <w:rPr>
          <w:rFonts w:hint="eastAsia" w:asciiTheme="minorEastAsia" w:hAnsiTheme="minorEastAsia" w:eastAsiaTheme="minorEastAsia" w:cstheme="minorEastAsia"/>
          <w:snapToGrid w:val="0"/>
          <w:kern w:val="0"/>
          <w:szCs w:val="21"/>
        </w:rPr>
        <w:t>已</w:t>
      </w:r>
      <w:r>
        <w:rPr>
          <w:rFonts w:hint="eastAsia" w:asciiTheme="minorEastAsia" w:hAnsiTheme="minorEastAsia" w:eastAsiaTheme="minorEastAsia" w:cstheme="minorEastAsia"/>
          <w:snapToGrid w:val="0"/>
          <w:kern w:val="0"/>
          <w:szCs w:val="21"/>
          <w:lang w:val="zh-CN"/>
        </w:rPr>
        <w:t>提交的响应文件进行补充、修改或者撤回。供应商需要补充、修改或者撤回响应文件时，应以书面形式通知采购人、采购代理机构。补充、修改的内容是响应文件的组成部分，补充、修改的内容与响应文件不一致的，以补充、修改的内容为准。</w:t>
      </w:r>
    </w:p>
    <w:p>
      <w:pPr>
        <w:numPr>
          <w:ilvl w:val="1"/>
          <w:numId w:val="30"/>
        </w:numPr>
        <w:tabs>
          <w:tab w:val="left" w:pos="54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从</w:t>
      </w:r>
      <w:r>
        <w:rPr>
          <w:rFonts w:hint="eastAsia" w:asciiTheme="minorEastAsia" w:hAnsiTheme="minorEastAsia" w:eastAsiaTheme="minorEastAsia" w:cstheme="minorEastAsia"/>
          <w:snapToGrid w:val="0"/>
          <w:kern w:val="0"/>
          <w:szCs w:val="21"/>
        </w:rPr>
        <w:t>提交</w:t>
      </w:r>
      <w:r>
        <w:rPr>
          <w:rFonts w:hint="eastAsia" w:asciiTheme="minorEastAsia" w:hAnsiTheme="minorEastAsia" w:eastAsiaTheme="minorEastAsia" w:cstheme="minorEastAsia"/>
          <w:snapToGrid w:val="0"/>
          <w:kern w:val="0"/>
          <w:szCs w:val="21"/>
          <w:lang w:val="zh-CN"/>
        </w:rPr>
        <w:t>响应文件截止时间至磋商有效期期满这段时间，供应商不得修改或</w:t>
      </w:r>
      <w:r>
        <w:rPr>
          <w:rFonts w:hint="eastAsia" w:asciiTheme="minorEastAsia" w:hAnsiTheme="minorEastAsia" w:eastAsiaTheme="minorEastAsia" w:cstheme="minorEastAsia"/>
          <w:snapToGrid w:val="0"/>
          <w:kern w:val="0"/>
          <w:szCs w:val="21"/>
        </w:rPr>
        <w:t>撤销</w:t>
      </w:r>
      <w:r>
        <w:rPr>
          <w:rFonts w:hint="eastAsia" w:asciiTheme="minorEastAsia" w:hAnsiTheme="minorEastAsia" w:eastAsiaTheme="minorEastAsia" w:cstheme="minorEastAsia"/>
          <w:snapToGrid w:val="0"/>
          <w:kern w:val="0"/>
          <w:szCs w:val="21"/>
          <w:lang w:val="zh-CN"/>
        </w:rPr>
        <w:t>其响应文件，否则其磋商保证金将不予以退还。</w:t>
      </w:r>
    </w:p>
    <w:p>
      <w:pPr>
        <w:numPr>
          <w:ilvl w:val="1"/>
          <w:numId w:val="30"/>
        </w:numPr>
        <w:tabs>
          <w:tab w:val="left" w:pos="54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供应商所提交的响应文件在磋商结束后，无论成交与否都不退还。</w:t>
      </w:r>
    </w:p>
    <w:p>
      <w:pPr>
        <w:numPr>
          <w:ilvl w:val="1"/>
          <w:numId w:val="6"/>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75" w:name="_Toc2740"/>
      <w:r>
        <w:rPr>
          <w:rFonts w:hint="eastAsia" w:asciiTheme="minorEastAsia" w:hAnsiTheme="minorEastAsia" w:eastAsiaTheme="minorEastAsia" w:cstheme="minorEastAsia"/>
          <w:b/>
          <w:szCs w:val="21"/>
        </w:rPr>
        <w:t>磋商程序及步骤</w:t>
      </w:r>
      <w:bookmarkEnd w:id="75"/>
    </w:p>
    <w:p>
      <w:pPr>
        <w:numPr>
          <w:ilvl w:val="0"/>
          <w:numId w:val="7"/>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76" w:name="_Toc25344"/>
      <w:bookmarkStart w:id="77" w:name="_Toc22624"/>
      <w:r>
        <w:rPr>
          <w:rFonts w:hint="eastAsia" w:asciiTheme="minorEastAsia" w:hAnsiTheme="minorEastAsia" w:eastAsiaTheme="minorEastAsia" w:cstheme="minorEastAsia"/>
          <w:b/>
        </w:rPr>
        <w:t>竞争性磋商小组</w:t>
      </w:r>
      <w:bookmarkEnd w:id="76"/>
      <w:bookmarkEnd w:id="77"/>
    </w:p>
    <w:p>
      <w:pPr>
        <w:tabs>
          <w:tab w:val="left" w:pos="540"/>
        </w:tabs>
        <w:spacing w:line="360" w:lineRule="auto"/>
        <w:ind w:left="539" w:hanging="539"/>
        <w:jc w:val="left"/>
        <w:rPr>
          <w:rFonts w:asciiTheme="minorEastAsia" w:hAnsiTheme="minorEastAsia" w:eastAsiaTheme="minorEastAsia" w:cstheme="minorEastAsia"/>
        </w:rPr>
      </w:pPr>
      <w:r>
        <w:rPr>
          <w:rFonts w:hint="eastAsia" w:asciiTheme="minorEastAsia" w:hAnsiTheme="minorEastAsia" w:eastAsiaTheme="minorEastAsia" w:cstheme="minorEastAsia"/>
          <w:bCs/>
          <w:szCs w:val="21"/>
        </w:rPr>
        <w:t>23.1 采购人</w:t>
      </w:r>
      <w:r>
        <w:rPr>
          <w:rFonts w:hint="eastAsia" w:asciiTheme="minorEastAsia" w:hAnsiTheme="minorEastAsia" w:eastAsiaTheme="minorEastAsia" w:cstheme="minorEastAsia"/>
        </w:rPr>
        <w:t>依照《中华人民共和国政府采购法》、《中华人民共和国政府采购法实施条例》、《政府采购竞争性磋商采购方式管理暂行办法》及现行法律规定组建磋商小组</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rPr>
        <w:t>磋商小组由采购人代表和评审专家共3人或3人以上单数组成</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rPr>
        <w:t>磋商小组人数详见《供应商须知前附表》。</w:t>
      </w:r>
    </w:p>
    <w:p>
      <w:pPr>
        <w:spacing w:line="360" w:lineRule="auto"/>
        <w:ind w:left="539" w:hanging="539"/>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23.2 磋商小组中的评审专家人数不少于磋商小组成员总数的2/3。除本采购文件另有规定，评审专家将从政府采购评审专家库中随机抽取。 </w:t>
      </w:r>
    </w:p>
    <w:p>
      <w:pPr>
        <w:spacing w:line="360" w:lineRule="auto"/>
        <w:ind w:left="539" w:hanging="539"/>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23.3 磋商小组所有成员按事先抽取的磋商顺序，集中与单一供应商分别进行磋商，并给予所有参加磋商的供应商平等的磋商机会。</w:t>
      </w:r>
    </w:p>
    <w:p>
      <w:pPr>
        <w:numPr>
          <w:ilvl w:val="0"/>
          <w:numId w:val="7"/>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78" w:name="_Toc21483"/>
      <w:bookmarkStart w:id="79" w:name="_Toc4930"/>
      <w:r>
        <w:rPr>
          <w:rFonts w:hint="eastAsia" w:asciiTheme="minorEastAsia" w:hAnsiTheme="minorEastAsia" w:eastAsiaTheme="minorEastAsia" w:cstheme="minorEastAsia"/>
          <w:b/>
        </w:rPr>
        <w:t>磋商代表</w:t>
      </w:r>
      <w:bookmarkEnd w:id="78"/>
      <w:bookmarkEnd w:id="79"/>
    </w:p>
    <w:p>
      <w:pPr>
        <w:tabs>
          <w:tab w:val="left" w:pos="864"/>
          <w:tab w:val="left" w:pos="1080"/>
        </w:tabs>
        <w:spacing w:line="360" w:lineRule="auto"/>
        <w:ind w:left="539" w:hanging="539"/>
        <w:jc w:val="left"/>
        <w:rPr>
          <w:rFonts w:asciiTheme="minorEastAsia" w:hAnsiTheme="minorEastAsia" w:eastAsiaTheme="minorEastAsia" w:cstheme="minorEastAsia"/>
          <w:szCs w:val="21"/>
        </w:rPr>
      </w:pPr>
      <w:bookmarkStart w:id="80" w:name="_Toc9967"/>
      <w:bookmarkStart w:id="81" w:name="_Toc32662"/>
      <w:r>
        <w:rPr>
          <w:rFonts w:hint="eastAsia" w:asciiTheme="minorEastAsia" w:hAnsiTheme="minorEastAsia" w:eastAsiaTheme="minorEastAsia" w:cstheme="minorEastAsia"/>
          <w:b/>
        </w:rPr>
        <w:t xml:space="preserve">24.1 </w:t>
      </w:r>
      <w:r>
        <w:rPr>
          <w:rFonts w:hint="eastAsia" w:asciiTheme="minorEastAsia" w:hAnsiTheme="minorEastAsia" w:eastAsiaTheme="minorEastAsia" w:cstheme="minorEastAsia"/>
          <w:szCs w:val="21"/>
        </w:rPr>
        <w:t>磋商供应商法定代表人或授权代表应携带本人身份证明参加磋商，授权代表参加磋商的，还应携带法定代表人授权书原件。磋商代表经磋商小组核对身份后，方可参加磋商。</w:t>
      </w:r>
      <w:bookmarkEnd w:id="80"/>
      <w:bookmarkEnd w:id="81"/>
      <w:r>
        <w:rPr>
          <w:rFonts w:hint="eastAsia" w:asciiTheme="minorEastAsia" w:hAnsiTheme="minorEastAsia" w:eastAsiaTheme="minorEastAsia" w:cstheme="minorEastAsia"/>
          <w:szCs w:val="21"/>
        </w:rPr>
        <w:t>磋商代表的其他要求见《供应商须知前附表》。</w:t>
      </w:r>
    </w:p>
    <w:p>
      <w:pPr>
        <w:numPr>
          <w:ilvl w:val="0"/>
          <w:numId w:val="7"/>
        </w:numPr>
        <w:tabs>
          <w:tab w:val="left" w:pos="864"/>
          <w:tab w:val="left" w:pos="1080"/>
        </w:tabs>
        <w:spacing w:line="360" w:lineRule="auto"/>
        <w:ind w:hanging="540"/>
        <w:outlineLvl w:val="1"/>
        <w:rPr>
          <w:rFonts w:asciiTheme="minorEastAsia" w:hAnsiTheme="minorEastAsia" w:eastAsiaTheme="minorEastAsia" w:cstheme="minorEastAsia"/>
          <w:b/>
        </w:rPr>
      </w:pPr>
      <w:bookmarkStart w:id="82" w:name="_Toc26370"/>
      <w:r>
        <w:rPr>
          <w:rFonts w:hint="eastAsia" w:asciiTheme="minorEastAsia" w:hAnsiTheme="minorEastAsia" w:eastAsiaTheme="minorEastAsia" w:cstheme="minorEastAsia"/>
          <w:b/>
        </w:rPr>
        <w:t>资格审查和符合性审查</w:t>
      </w:r>
      <w:bookmarkEnd w:id="82"/>
    </w:p>
    <w:p>
      <w:pPr>
        <w:spacing w:line="360" w:lineRule="auto"/>
        <w:ind w:left="539" w:hanging="539"/>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25.1在正式磋商前，本磋商文件第四章规定的程序和方法，对供应商进行资格性审查和符合性审查，通过资格性审查和符合性审查，实质性响应磋商文件的供应商方可进入磋商程序。</w:t>
      </w:r>
    </w:p>
    <w:p>
      <w:pPr>
        <w:numPr>
          <w:ilvl w:val="0"/>
          <w:numId w:val="7"/>
        </w:numPr>
        <w:tabs>
          <w:tab w:val="left" w:pos="864"/>
          <w:tab w:val="left" w:pos="1080"/>
        </w:tabs>
        <w:spacing w:line="360" w:lineRule="auto"/>
        <w:ind w:hanging="540"/>
        <w:outlineLvl w:val="1"/>
        <w:rPr>
          <w:rFonts w:asciiTheme="minorEastAsia" w:hAnsiTheme="minorEastAsia" w:eastAsiaTheme="minorEastAsia" w:cstheme="minorEastAsia"/>
          <w:b/>
        </w:rPr>
      </w:pPr>
      <w:bookmarkStart w:id="83" w:name="_Toc20062"/>
      <w:r>
        <w:rPr>
          <w:rFonts w:hint="eastAsia" w:asciiTheme="minorEastAsia" w:hAnsiTheme="minorEastAsia" w:eastAsiaTheme="minorEastAsia" w:cstheme="minorEastAsia"/>
          <w:b/>
        </w:rPr>
        <w:t>磋商</w:t>
      </w:r>
      <w:bookmarkEnd w:id="83"/>
    </w:p>
    <w:p>
      <w:pPr>
        <w:spacing w:line="360" w:lineRule="auto"/>
        <w:ind w:left="539" w:hanging="539"/>
        <w:jc w:val="left"/>
        <w:rPr>
          <w:rFonts w:asciiTheme="minorEastAsia" w:hAnsiTheme="minorEastAsia" w:eastAsiaTheme="minorEastAsia" w:cstheme="minorEastAsia"/>
        </w:rPr>
      </w:pPr>
      <w:r>
        <w:rPr>
          <w:rFonts w:hint="eastAsia" w:asciiTheme="minorEastAsia" w:hAnsiTheme="minorEastAsia" w:eastAsiaTheme="minorEastAsia" w:cstheme="minorEastAsia"/>
          <w:szCs w:val="21"/>
        </w:rPr>
        <w:t>26.1磋商小组将根据本磋商文件第四章规定的程序和方法与供应商进行磋商。在磋商中，磋商的任何一方不得透露与磋商有关的其他磋商供应商的技</w:t>
      </w:r>
      <w:r>
        <w:rPr>
          <w:rFonts w:hint="eastAsia" w:asciiTheme="minorEastAsia" w:hAnsiTheme="minorEastAsia" w:eastAsiaTheme="minorEastAsia" w:cstheme="minorEastAsia"/>
        </w:rPr>
        <w:t>术资料、价格和其他信息。</w:t>
      </w:r>
    </w:p>
    <w:p>
      <w:pPr>
        <w:spacing w:line="360" w:lineRule="auto"/>
        <w:ind w:left="539" w:hanging="539"/>
        <w:jc w:val="left"/>
        <w:rPr>
          <w:rFonts w:asciiTheme="minorEastAsia" w:hAnsiTheme="minorEastAsia" w:eastAsiaTheme="minorEastAsia" w:cstheme="minorEastAsia"/>
        </w:rPr>
      </w:pPr>
      <w:r>
        <w:rPr>
          <w:rFonts w:hint="eastAsia" w:asciiTheme="minorEastAsia" w:hAnsiTheme="minorEastAsia" w:eastAsiaTheme="minorEastAsia" w:cstheme="minorEastAsia"/>
        </w:rPr>
        <w:t>26.2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将以书面形式同时通知所有磋商供应商，</w:t>
      </w:r>
      <w:r>
        <w:rPr>
          <w:rFonts w:hint="eastAsia" w:asciiTheme="minorEastAsia" w:hAnsiTheme="minorEastAsia" w:eastAsiaTheme="minorEastAsia" w:cstheme="minorEastAsia"/>
          <w:szCs w:val="21"/>
        </w:rPr>
        <w:t>并提供必要的修正时间。</w:t>
      </w:r>
    </w:p>
    <w:p>
      <w:pPr>
        <w:spacing w:line="360" w:lineRule="auto"/>
        <w:ind w:left="539" w:hanging="539"/>
        <w:jc w:val="left"/>
        <w:rPr>
          <w:rFonts w:asciiTheme="minorEastAsia" w:hAnsiTheme="minorEastAsia" w:eastAsiaTheme="minorEastAsia" w:cstheme="minorEastAsia"/>
        </w:rPr>
      </w:pPr>
      <w:r>
        <w:rPr>
          <w:rFonts w:hint="eastAsia" w:asciiTheme="minorEastAsia" w:hAnsiTheme="minorEastAsia" w:eastAsiaTheme="minorEastAsia" w:cstheme="minorEastAsia"/>
        </w:rPr>
        <w:t>26.3供应商应当按照磋商文件的变动情况和磋商小组的要求重新提交响应文件，</w:t>
      </w:r>
      <w:r>
        <w:rPr>
          <w:rFonts w:hint="eastAsia" w:asciiTheme="minorEastAsia" w:hAnsiTheme="minorEastAsia" w:eastAsiaTheme="minorEastAsia" w:cstheme="minorEastAsia"/>
          <w:szCs w:val="21"/>
        </w:rPr>
        <w:t>对原响应文件进行技术、商务、价格修正，重新提交的响应文件应实质性响应本磋商文件及</w:t>
      </w:r>
      <w:r>
        <w:rPr>
          <w:rFonts w:hint="eastAsia" w:asciiTheme="minorEastAsia" w:hAnsiTheme="minorEastAsia" w:eastAsiaTheme="minorEastAsia" w:cstheme="minorEastAsia"/>
        </w:rPr>
        <w:t>对磋商文件作出的实质性变动，</w:t>
      </w:r>
      <w:r>
        <w:rPr>
          <w:rFonts w:hint="eastAsia" w:asciiTheme="minorEastAsia" w:hAnsiTheme="minorEastAsia" w:eastAsiaTheme="minorEastAsia" w:cstheme="minorEastAsia"/>
          <w:szCs w:val="21"/>
        </w:rPr>
        <w:t>并按本采购文件的规定进行签署。重新提交的响应文件与原响应文件不一致的，以重新提交的响应文件为准。不按要求签署或逾时不提交响应文件的，视同放弃磋商，放弃磋商的</w:t>
      </w:r>
      <w:r>
        <w:rPr>
          <w:rFonts w:hint="eastAsia" w:asciiTheme="minorEastAsia" w:hAnsiTheme="minorEastAsia" w:eastAsiaTheme="minorEastAsia" w:cstheme="minorEastAsia"/>
        </w:rPr>
        <w:t>供应商的磋商保证金将在成交通知书发放后的五个工作日内退还。</w:t>
      </w:r>
    </w:p>
    <w:p>
      <w:pPr>
        <w:spacing w:line="360" w:lineRule="auto"/>
        <w:ind w:left="539" w:hanging="539"/>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26.4  竞标报价有算术错误的，磋商小组按照以下原则对磋商报价进行修正，修正的价格经供应商书面确认后具有约束力。供应商不接受修正价格的，磋商小组应当否决其竞标。</w:t>
      </w:r>
    </w:p>
    <w:p>
      <w:pPr>
        <w:spacing w:line="360" w:lineRule="auto"/>
        <w:ind w:left="539" w:hanging="539"/>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（1）响应文件中的大写金额与小写金额不一致的，以大写金额为准；</w:t>
      </w:r>
    </w:p>
    <w:p>
      <w:pPr>
        <w:spacing w:line="360" w:lineRule="auto"/>
        <w:ind w:left="539" w:hanging="539"/>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（2）总价金额与根据单价计算出的结果不一致的，以单价金额为准修正总价，但单价金额小数点有明显错误的除外。</w:t>
      </w:r>
    </w:p>
    <w:p>
      <w:pPr>
        <w:tabs>
          <w:tab w:val="left" w:pos="540"/>
        </w:tabs>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26.5最后报价</w:t>
      </w:r>
    </w:p>
    <w:p>
      <w:pPr>
        <w:spacing w:line="360" w:lineRule="auto"/>
        <w:ind w:left="420" w:leftChars="200" w:firstLine="115" w:firstLineChars="55"/>
        <w:jc w:val="left"/>
        <w:rPr>
          <w:rFonts w:asciiTheme="minorEastAsia" w:hAnsiTheme="minorEastAsia" w:eastAsiaTheme="minorEastAsia" w:cstheme="minorEastAsia"/>
        </w:rPr>
      </w:pPr>
      <w:r>
        <w:rPr>
          <w:rFonts w:hint="eastAsia" w:asciiTheme="minorEastAsia" w:hAnsiTheme="minorEastAsia" w:eastAsiaTheme="minorEastAsia" w:cstheme="minorEastAsia"/>
          <w:bCs/>
          <w:kern w:val="44"/>
          <w:szCs w:val="21"/>
        </w:rPr>
        <w:t>采购代理机构将已确定条件的最后报价书发放至所有磋商供应商，要求磋商供应商在指定的时间内提交满足要求的最后报价，密封递交磋商小组。所有磋商供应商递交最后报价后，磋商小组将记录所有磋商供应商的最终价格。</w:t>
      </w:r>
      <w:r>
        <w:rPr>
          <w:rFonts w:hint="eastAsia" w:asciiTheme="minorEastAsia" w:hAnsiTheme="minorEastAsia" w:eastAsiaTheme="minorEastAsia" w:cstheme="minorEastAsia"/>
        </w:rPr>
        <w:t>最后报价为本次竞争性磋商不可变动的最终价格。</w:t>
      </w:r>
    </w:p>
    <w:p>
      <w:pPr>
        <w:spacing w:line="360" w:lineRule="auto"/>
        <w:ind w:left="535" w:leftChars="200" w:hanging="115" w:hangingChars="55"/>
        <w:jc w:val="left"/>
        <w:rPr>
          <w:rFonts w:asciiTheme="minorEastAsia" w:hAnsiTheme="minorEastAsia" w:eastAsiaTheme="minorEastAsia" w:cstheme="minorEastAsia"/>
        </w:rPr>
      </w:pPr>
      <w:r>
        <w:rPr>
          <w:rFonts w:hint="eastAsia" w:asciiTheme="minorEastAsia" w:hAnsiTheme="minorEastAsia" w:eastAsiaTheme="minorEastAsia" w:cstheme="minorEastAsia"/>
        </w:rPr>
        <w:t>磋商文件能够详细列明采购标的的技术、服务要求的，磋商结束后，磋商小组应当要求所有继续参加磋商的供应商在规定时间内提交最后报价，提交最后报价的供应商不得少于3家。</w:t>
      </w:r>
    </w:p>
    <w:p>
      <w:pPr>
        <w:spacing w:line="360" w:lineRule="auto"/>
        <w:ind w:left="535" w:leftChars="200" w:hanging="115" w:hangingChars="55"/>
        <w:jc w:val="left"/>
        <w:rPr>
          <w:rFonts w:asciiTheme="minorEastAsia" w:hAnsiTheme="minorEastAsia" w:eastAsiaTheme="minorEastAsia" w:cstheme="minorEastAsia"/>
        </w:rPr>
      </w:pPr>
      <w:r>
        <w:rPr>
          <w:rFonts w:hint="eastAsia" w:asciiTheme="minorEastAsia" w:hAnsiTheme="minorEastAsia" w:eastAsiaTheme="minorEastAsia" w:cstheme="minorEastAsia"/>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 </w:t>
      </w:r>
    </w:p>
    <w:p>
      <w:pPr>
        <w:spacing w:line="360" w:lineRule="auto"/>
        <w:ind w:left="535" w:leftChars="200" w:hanging="115" w:hangingChars="55"/>
        <w:jc w:val="left"/>
        <w:rPr>
          <w:rFonts w:asciiTheme="minorEastAsia" w:hAnsiTheme="minorEastAsia" w:eastAsiaTheme="minorEastAsia" w:cstheme="minorEastAsia"/>
        </w:rPr>
      </w:pPr>
      <w:r>
        <w:rPr>
          <w:rFonts w:hint="eastAsia" w:asciiTheme="minorEastAsia" w:hAnsiTheme="minorEastAsia" w:eastAsiaTheme="minorEastAsia" w:cstheme="minorEastAsia"/>
        </w:rPr>
        <w:t>本采购项目提交最后报价供应商的确定方式详见《供应商须知前附表》。</w:t>
      </w:r>
    </w:p>
    <w:p>
      <w:pPr>
        <w:spacing w:line="360" w:lineRule="auto"/>
        <w:ind w:left="539" w:hanging="539"/>
        <w:jc w:val="left"/>
        <w:rPr>
          <w:rFonts w:asciiTheme="minorEastAsia" w:hAnsiTheme="minorEastAsia" w:eastAsiaTheme="minorEastAsia" w:cstheme="minorEastAsia"/>
        </w:rPr>
      </w:pPr>
      <w:r>
        <w:rPr>
          <w:rFonts w:hint="eastAsia" w:asciiTheme="minorEastAsia" w:hAnsiTheme="minorEastAsia" w:eastAsiaTheme="minorEastAsia" w:cstheme="minorEastAsia"/>
        </w:rPr>
        <w:t>26.6</w:t>
      </w:r>
      <w:r>
        <w:rPr>
          <w:rFonts w:hint="eastAsia" w:asciiTheme="minorEastAsia" w:hAnsiTheme="minorEastAsia" w:eastAsiaTheme="minorEastAsia" w:cstheme="minorEastAsia"/>
          <w:bCs/>
          <w:kern w:val="44"/>
          <w:szCs w:val="21"/>
        </w:rPr>
        <w:t>如有需要，磋商小组可进行多轮磋商，直至最终确定竞争性磋商采购文件采购需求中的技术、服务要求以及合同草案条款。如竞争性磋商采购文件无需修改，可直接要求磋商供应商</w:t>
      </w:r>
      <w:r>
        <w:rPr>
          <w:rFonts w:hint="eastAsia" w:asciiTheme="minorEastAsia" w:hAnsiTheme="minorEastAsia" w:eastAsiaTheme="minorEastAsia" w:cstheme="minorEastAsia"/>
        </w:rPr>
        <w:t>提交最后报价</w:t>
      </w:r>
      <w:r>
        <w:rPr>
          <w:rFonts w:hint="eastAsia" w:asciiTheme="minorEastAsia" w:hAnsiTheme="minorEastAsia" w:eastAsiaTheme="minorEastAsia" w:cstheme="minorEastAsia"/>
          <w:bCs/>
          <w:kern w:val="44"/>
          <w:szCs w:val="21"/>
        </w:rPr>
        <w:t>。</w:t>
      </w:r>
    </w:p>
    <w:p>
      <w:pPr>
        <w:spacing w:line="360" w:lineRule="auto"/>
        <w:ind w:left="539" w:hanging="539"/>
        <w:jc w:val="left"/>
        <w:rPr>
          <w:rFonts w:asciiTheme="minorEastAsia" w:hAnsiTheme="minorEastAsia" w:eastAsiaTheme="minorEastAsia" w:cstheme="minorEastAsia"/>
          <w:bCs/>
          <w:kern w:val="44"/>
          <w:szCs w:val="21"/>
        </w:rPr>
      </w:pPr>
      <w:r>
        <w:rPr>
          <w:rFonts w:hint="eastAsia" w:asciiTheme="minorEastAsia" w:hAnsiTheme="minorEastAsia" w:eastAsiaTheme="minorEastAsia" w:cstheme="minorEastAsia"/>
        </w:rPr>
        <w:t>26.7</w:t>
      </w:r>
      <w:r>
        <w:rPr>
          <w:rFonts w:hint="eastAsia" w:asciiTheme="minorEastAsia" w:hAnsiTheme="minorEastAsia" w:eastAsiaTheme="minorEastAsia" w:cstheme="minorEastAsia"/>
          <w:bCs/>
          <w:kern w:val="44"/>
          <w:szCs w:val="21"/>
        </w:rPr>
        <w:t xml:space="preserve"> 磋商小组审核完最终报价后，根据竞争性磋商采购文件规定的评定办法推荐成交候选人或根据采购人的书面授权直接确定成交供应商。</w:t>
      </w:r>
    </w:p>
    <w:p>
      <w:pPr>
        <w:spacing w:line="360" w:lineRule="auto"/>
        <w:rPr>
          <w:rFonts w:asciiTheme="minorEastAsia" w:hAnsiTheme="minorEastAsia" w:eastAsiaTheme="minorEastAsia" w:cstheme="minorEastAsia"/>
          <w:bCs/>
          <w:kern w:val="44"/>
          <w:szCs w:val="21"/>
        </w:rPr>
      </w:pPr>
      <w:r>
        <w:rPr>
          <w:rFonts w:hint="eastAsia" w:asciiTheme="minorEastAsia" w:hAnsiTheme="minorEastAsia" w:eastAsiaTheme="minorEastAsia" w:cstheme="minorEastAsia"/>
          <w:bCs/>
          <w:kern w:val="44"/>
          <w:szCs w:val="21"/>
        </w:rPr>
        <w:t>26.8采购代理机构对磋商过程和重要磋商内容进行记录，磋商双方在记录上签字确认。</w:t>
      </w:r>
    </w:p>
    <w:p>
      <w:pPr>
        <w:numPr>
          <w:ilvl w:val="0"/>
          <w:numId w:val="7"/>
        </w:numPr>
        <w:tabs>
          <w:tab w:val="left" w:pos="864"/>
          <w:tab w:val="left" w:pos="1080"/>
        </w:tabs>
        <w:spacing w:line="360" w:lineRule="auto"/>
        <w:ind w:hanging="540"/>
        <w:outlineLvl w:val="1"/>
        <w:rPr>
          <w:rFonts w:asciiTheme="minorEastAsia" w:hAnsiTheme="minorEastAsia" w:eastAsiaTheme="minorEastAsia" w:cstheme="minorEastAsia"/>
          <w:b/>
          <w:lang w:val="zh-CN"/>
        </w:rPr>
      </w:pPr>
      <w:bookmarkStart w:id="84" w:name="_Toc32739"/>
      <w:r>
        <w:rPr>
          <w:rFonts w:hint="eastAsia" w:asciiTheme="minorEastAsia" w:hAnsiTheme="minorEastAsia" w:eastAsiaTheme="minorEastAsia" w:cstheme="minorEastAsia"/>
          <w:b/>
          <w:lang w:val="zh-CN"/>
        </w:rPr>
        <w:t>保密</w:t>
      </w:r>
      <w:bookmarkEnd w:id="84"/>
    </w:p>
    <w:p>
      <w:pPr>
        <w:numPr>
          <w:ilvl w:val="1"/>
          <w:numId w:val="31"/>
        </w:numPr>
        <w:autoSpaceDE w:val="0"/>
        <w:autoSpaceDN w:val="0"/>
        <w:adjustRightInd w:val="0"/>
        <w:spacing w:line="360" w:lineRule="auto"/>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凡是属于审查、澄清、评价和比较的有关资料以及授标意向等，采购人、采购代理机构、监管人员、</w:t>
      </w:r>
      <w:r>
        <w:rPr>
          <w:rFonts w:hint="eastAsia" w:asciiTheme="minorEastAsia" w:hAnsiTheme="minorEastAsia" w:eastAsiaTheme="minorEastAsia" w:cstheme="minorEastAsia"/>
          <w:bCs/>
          <w:kern w:val="44"/>
          <w:szCs w:val="21"/>
        </w:rPr>
        <w:t>磋商小组</w:t>
      </w:r>
      <w:r>
        <w:rPr>
          <w:rFonts w:hint="eastAsia" w:asciiTheme="minorEastAsia" w:hAnsiTheme="minorEastAsia" w:eastAsiaTheme="minorEastAsia" w:cstheme="minorEastAsia"/>
          <w:snapToGrid w:val="0"/>
          <w:kern w:val="0"/>
          <w:szCs w:val="21"/>
          <w:lang w:val="zh-CN"/>
        </w:rPr>
        <w:t>及有关工作人员均不得向供应商或其它无关的人员透露。</w:t>
      </w:r>
    </w:p>
    <w:p>
      <w:pPr>
        <w:numPr>
          <w:ilvl w:val="1"/>
          <w:numId w:val="31"/>
        </w:numPr>
        <w:autoSpaceDE w:val="0"/>
        <w:autoSpaceDN w:val="0"/>
        <w:adjustRightInd w:val="0"/>
        <w:spacing w:line="360" w:lineRule="auto"/>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本项目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本项目具体评审因素的量化指标详见第</w:t>
      </w:r>
      <w:r>
        <w:rPr>
          <w:rFonts w:hint="eastAsia" w:asciiTheme="minorEastAsia" w:hAnsiTheme="minorEastAsia" w:eastAsiaTheme="minorEastAsia" w:cstheme="minorEastAsia"/>
          <w:snapToGrid w:val="0"/>
          <w:kern w:val="0"/>
          <w:szCs w:val="21"/>
        </w:rPr>
        <w:t>四</w:t>
      </w:r>
      <w:r>
        <w:rPr>
          <w:rFonts w:hint="eastAsia" w:asciiTheme="minorEastAsia" w:hAnsiTheme="minorEastAsia" w:eastAsiaTheme="minorEastAsia" w:cstheme="minorEastAsia"/>
          <w:snapToGrid w:val="0"/>
          <w:kern w:val="0"/>
          <w:szCs w:val="21"/>
          <w:lang w:val="zh-CN"/>
        </w:rPr>
        <w:t>章“</w:t>
      </w:r>
      <w:r>
        <w:rPr>
          <w:rFonts w:hint="eastAsia" w:asciiTheme="minorEastAsia" w:hAnsiTheme="minorEastAsia" w:eastAsiaTheme="minorEastAsia" w:cstheme="minorEastAsia"/>
          <w:snapToGrid w:val="0"/>
          <w:kern w:val="0"/>
          <w:szCs w:val="21"/>
        </w:rPr>
        <w:t>评定办法</w:t>
      </w:r>
      <w:r>
        <w:rPr>
          <w:rFonts w:hint="eastAsia" w:asciiTheme="minorEastAsia" w:hAnsiTheme="minorEastAsia" w:eastAsiaTheme="minorEastAsia" w:cstheme="minorEastAsia"/>
          <w:snapToGrid w:val="0"/>
          <w:kern w:val="0"/>
          <w:szCs w:val="21"/>
          <w:lang w:val="zh-CN"/>
        </w:rPr>
        <w:t>”。</w:t>
      </w:r>
    </w:p>
    <w:p>
      <w:pPr>
        <w:numPr>
          <w:ilvl w:val="1"/>
          <w:numId w:val="31"/>
        </w:numPr>
        <w:autoSpaceDE w:val="0"/>
        <w:autoSpaceDN w:val="0"/>
        <w:adjustRightInd w:val="0"/>
        <w:spacing w:line="360" w:lineRule="auto"/>
        <w:jc w:val="left"/>
        <w:rPr>
          <w:lang w:val="zh-CN"/>
        </w:rPr>
      </w:pPr>
      <w:r>
        <w:rPr>
          <w:rFonts w:hint="eastAsia" w:asciiTheme="minorEastAsia" w:hAnsiTheme="minorEastAsia" w:eastAsiaTheme="minorEastAsia" w:cstheme="minorEastAsia"/>
          <w:snapToGrid w:val="0"/>
          <w:kern w:val="0"/>
          <w:szCs w:val="21"/>
          <w:lang w:val="zh-CN"/>
        </w:rPr>
        <w:t>磋商小组根据综合评分情况，按照评审得分由高到低的顺序及《供应商须知前附表》规定的数量推荐成交候选供应商，并编写评审报告。评审报告应当有磋商小组全体成员签字认可。</w:t>
      </w:r>
    </w:p>
    <w:p>
      <w:pPr>
        <w:numPr>
          <w:ilvl w:val="1"/>
          <w:numId w:val="6"/>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85" w:name="_Toc17977"/>
      <w:bookmarkStart w:id="86" w:name="_Toc15936"/>
      <w:r>
        <w:rPr>
          <w:rFonts w:hint="eastAsia" w:asciiTheme="minorEastAsia" w:hAnsiTheme="minorEastAsia" w:eastAsiaTheme="minorEastAsia" w:cstheme="minorEastAsia"/>
          <w:b/>
          <w:szCs w:val="21"/>
        </w:rPr>
        <w:t>成交与签订合同</w:t>
      </w:r>
      <w:bookmarkEnd w:id="85"/>
      <w:bookmarkEnd w:id="86"/>
    </w:p>
    <w:p>
      <w:pPr>
        <w:numPr>
          <w:ilvl w:val="0"/>
          <w:numId w:val="7"/>
        </w:numPr>
        <w:tabs>
          <w:tab w:val="left" w:pos="864"/>
          <w:tab w:val="left" w:pos="1080"/>
        </w:tabs>
        <w:spacing w:line="360" w:lineRule="auto"/>
        <w:ind w:hanging="540"/>
        <w:outlineLvl w:val="1"/>
        <w:rPr>
          <w:rFonts w:asciiTheme="minorEastAsia" w:hAnsiTheme="minorEastAsia" w:eastAsiaTheme="minorEastAsia" w:cstheme="minorEastAsia"/>
          <w:b/>
          <w:lang w:val="zh-CN"/>
        </w:rPr>
      </w:pPr>
      <w:bookmarkStart w:id="87" w:name="_Toc28020"/>
      <w:bookmarkStart w:id="88" w:name="_Toc21514"/>
      <w:r>
        <w:rPr>
          <w:rFonts w:hint="eastAsia" w:asciiTheme="minorEastAsia" w:hAnsiTheme="minorEastAsia" w:eastAsiaTheme="minorEastAsia" w:cstheme="minorEastAsia"/>
          <w:b/>
          <w:lang w:val="zh-CN"/>
        </w:rPr>
        <w:t>合同授予标准</w:t>
      </w:r>
      <w:bookmarkEnd w:id="87"/>
      <w:bookmarkEnd w:id="88"/>
    </w:p>
    <w:p>
      <w:pPr>
        <w:autoSpaceDE w:val="0"/>
        <w:autoSpaceDN w:val="0"/>
        <w:adjustRightInd w:val="0"/>
        <w:spacing w:line="360" w:lineRule="auto"/>
        <w:ind w:left="630" w:hanging="630" w:hangingChars="300"/>
        <w:jc w:val="left"/>
        <w:rPr>
          <w:rFonts w:asciiTheme="minorEastAsia" w:hAnsiTheme="minorEastAsia" w:eastAsiaTheme="minorEastAsia" w:cstheme="minorEastAsia"/>
          <w:iCs/>
          <w:snapToGrid w:val="0"/>
          <w:kern w:val="0"/>
          <w:szCs w:val="21"/>
          <w:lang w:val="zh-CN"/>
        </w:rPr>
      </w:pPr>
      <w:r>
        <w:rPr>
          <w:rFonts w:hint="eastAsia" w:asciiTheme="minorEastAsia" w:hAnsiTheme="minorEastAsia" w:eastAsiaTheme="minorEastAsia" w:cstheme="minorEastAsia"/>
          <w:iCs/>
          <w:snapToGrid w:val="0"/>
          <w:kern w:val="0"/>
          <w:szCs w:val="21"/>
          <w:lang w:val="zh-CN"/>
        </w:rPr>
        <w:t>28.1</w:t>
      </w:r>
      <w:r>
        <w:rPr>
          <w:rFonts w:hint="eastAsia" w:asciiTheme="minorEastAsia" w:hAnsiTheme="minorEastAsia" w:eastAsiaTheme="minorEastAsia" w:cstheme="minorEastAsia"/>
          <w:iCs/>
          <w:snapToGrid w:val="0"/>
          <w:kern w:val="0"/>
          <w:szCs w:val="21"/>
        </w:rPr>
        <w:t xml:space="preserve">  </w:t>
      </w:r>
      <w:r>
        <w:rPr>
          <w:rFonts w:hint="eastAsia" w:asciiTheme="minorEastAsia" w:hAnsiTheme="minorEastAsia" w:eastAsiaTheme="minorEastAsia" w:cstheme="minorEastAsia"/>
          <w:iCs/>
          <w:snapToGrid w:val="0"/>
          <w:kern w:val="0"/>
          <w:szCs w:val="21"/>
          <w:lang w:val="zh-CN"/>
        </w:rPr>
        <w:t>采购人将把合同授予排名</w:t>
      </w:r>
      <w:r>
        <w:rPr>
          <w:rFonts w:hint="eastAsia" w:asciiTheme="minorEastAsia" w:hAnsiTheme="minorEastAsia" w:eastAsiaTheme="minorEastAsia" w:cstheme="minorEastAsia"/>
          <w:iCs/>
          <w:snapToGrid w:val="0"/>
          <w:kern w:val="0"/>
          <w:szCs w:val="21"/>
        </w:rPr>
        <w:t>推荐数量</w:t>
      </w:r>
      <w:r>
        <w:rPr>
          <w:rFonts w:hint="eastAsia" w:asciiTheme="minorEastAsia" w:hAnsiTheme="minorEastAsia" w:eastAsiaTheme="minorEastAsia" w:cstheme="minorEastAsia"/>
          <w:iCs/>
          <w:snapToGrid w:val="0"/>
          <w:kern w:val="0"/>
          <w:szCs w:val="21"/>
          <w:lang w:val="zh-CN"/>
        </w:rPr>
        <w:t>的供应商，特殊情况按本须知29.3的规定执行。</w:t>
      </w:r>
    </w:p>
    <w:p>
      <w:pPr>
        <w:spacing w:line="360" w:lineRule="auto"/>
        <w:ind w:left="630" w:hanging="630" w:hangingChars="300"/>
        <w:jc w:val="left"/>
        <w:rPr>
          <w:rFonts w:ascii="宋体" w:hAnsi="宋体" w:cs="宋体"/>
          <w:szCs w:val="21"/>
        </w:rPr>
      </w:pPr>
      <w:r>
        <w:rPr>
          <w:rFonts w:hint="eastAsia" w:asciiTheme="minorEastAsia" w:hAnsiTheme="minorEastAsia" w:eastAsiaTheme="minorEastAsia" w:cstheme="minorEastAsia"/>
          <w:iCs/>
          <w:snapToGrid w:val="0"/>
          <w:kern w:val="0"/>
          <w:szCs w:val="21"/>
          <w:lang w:val="zh-CN"/>
        </w:rPr>
        <w:t>28.</w:t>
      </w:r>
      <w:r>
        <w:rPr>
          <w:rFonts w:hint="eastAsia" w:asciiTheme="minorEastAsia" w:hAnsiTheme="minorEastAsia" w:eastAsiaTheme="minorEastAsia" w:cstheme="minorEastAsia"/>
          <w:iCs/>
          <w:snapToGrid w:val="0"/>
          <w:kern w:val="0"/>
          <w:szCs w:val="21"/>
        </w:rPr>
        <w:t xml:space="preserve">2  </w:t>
      </w:r>
      <w:r>
        <w:rPr>
          <w:rFonts w:hint="eastAsia" w:asciiTheme="minorEastAsia" w:hAnsiTheme="minorEastAsia" w:eastAsiaTheme="minorEastAsia" w:cstheme="minorEastAsia"/>
          <w:iCs/>
          <w:snapToGrid w:val="0"/>
          <w:kern w:val="0"/>
          <w:szCs w:val="21"/>
          <w:lang w:val="zh-CN"/>
        </w:rPr>
        <w:t>采购代理机构应当在评审结束后2个工作日内将评审报告送采购人确认。</w:t>
      </w:r>
      <w:r>
        <w:rPr>
          <w:rFonts w:ascii="宋体" w:hAnsi="宋体" w:cs="宋体"/>
          <w:szCs w:val="21"/>
        </w:rPr>
        <w:t xml:space="preserve"> </w:t>
      </w:r>
    </w:p>
    <w:p>
      <w:pPr>
        <w:autoSpaceDE w:val="0"/>
        <w:autoSpaceDN w:val="0"/>
        <w:adjustRightInd w:val="0"/>
        <w:spacing w:line="360" w:lineRule="auto"/>
        <w:ind w:left="630" w:hanging="630" w:hangingChars="300"/>
        <w:jc w:val="left"/>
        <w:rPr>
          <w:rFonts w:asciiTheme="minorEastAsia" w:hAnsiTheme="minorEastAsia" w:eastAsiaTheme="minorEastAsia" w:cstheme="minorEastAsia"/>
          <w:iCs/>
          <w:snapToGrid w:val="0"/>
          <w:kern w:val="0"/>
          <w:szCs w:val="21"/>
          <w:lang w:val="zh-CN"/>
        </w:rPr>
      </w:pPr>
      <w:r>
        <w:rPr>
          <w:rFonts w:hint="eastAsia" w:asciiTheme="minorEastAsia" w:hAnsiTheme="minorEastAsia" w:eastAsiaTheme="minorEastAsia" w:cstheme="minorEastAsia"/>
          <w:iCs/>
          <w:snapToGrid w:val="0"/>
          <w:kern w:val="0"/>
          <w:szCs w:val="21"/>
          <w:lang w:val="zh-CN"/>
        </w:rPr>
        <w:t>28.</w:t>
      </w:r>
      <w:r>
        <w:rPr>
          <w:rFonts w:hint="eastAsia" w:asciiTheme="minorEastAsia" w:hAnsiTheme="minorEastAsia" w:eastAsiaTheme="minorEastAsia" w:cstheme="minorEastAsia"/>
          <w:iCs/>
          <w:snapToGrid w:val="0"/>
          <w:kern w:val="0"/>
          <w:szCs w:val="21"/>
        </w:rPr>
        <w:t xml:space="preserve">3  </w:t>
      </w:r>
      <w:r>
        <w:rPr>
          <w:rFonts w:hint="eastAsia" w:asciiTheme="minorEastAsia" w:hAnsiTheme="minorEastAsia" w:eastAsiaTheme="minorEastAsia" w:cstheme="minorEastAsia"/>
          <w:snapToGrid w:val="0"/>
          <w:kern w:val="0"/>
          <w:szCs w:val="21"/>
          <w:lang w:val="zh-CN"/>
        </w:rPr>
        <w:t xml:space="preserve">采购人应当在收到评审报告后5个工作日内，从评审报告提出的成交候选供应商中，按照推荐排序确定成交供应商，也可以书面授权磋商小组直接确定成交供应商。采购人逾期未确定成交供应商且不提出异议的，视为确定评审报告提出的排序第一的供应商为成交供应商。 </w:t>
      </w:r>
    </w:p>
    <w:p>
      <w:pPr>
        <w:autoSpaceDE w:val="0"/>
        <w:autoSpaceDN w:val="0"/>
        <w:adjustRightInd w:val="0"/>
        <w:spacing w:line="360" w:lineRule="auto"/>
        <w:ind w:left="630" w:hanging="630" w:hangingChars="300"/>
        <w:jc w:val="left"/>
        <w:rPr>
          <w:rFonts w:asciiTheme="minorEastAsia" w:hAnsiTheme="minorEastAsia" w:eastAsiaTheme="minorEastAsia" w:cstheme="minorEastAsia"/>
          <w:iCs/>
          <w:snapToGrid w:val="0"/>
          <w:kern w:val="0"/>
          <w:szCs w:val="21"/>
          <w:lang w:val="zh-CN"/>
        </w:rPr>
      </w:pPr>
      <w:r>
        <w:rPr>
          <w:rFonts w:hint="eastAsia" w:asciiTheme="minorEastAsia" w:hAnsiTheme="minorEastAsia" w:eastAsiaTheme="minorEastAsia" w:cstheme="minorEastAsia"/>
          <w:iCs/>
          <w:snapToGrid w:val="0"/>
          <w:kern w:val="0"/>
          <w:szCs w:val="21"/>
          <w:lang w:val="zh-CN"/>
        </w:rPr>
        <w:t>28.</w:t>
      </w:r>
      <w:r>
        <w:rPr>
          <w:rFonts w:hint="eastAsia" w:asciiTheme="minorEastAsia" w:hAnsiTheme="minorEastAsia" w:eastAsiaTheme="minorEastAsia" w:cstheme="minorEastAsia"/>
          <w:iCs/>
          <w:snapToGrid w:val="0"/>
          <w:kern w:val="0"/>
          <w:szCs w:val="21"/>
        </w:rPr>
        <w:t xml:space="preserve">4  </w:t>
      </w:r>
      <w:r>
        <w:rPr>
          <w:rFonts w:hint="eastAsia" w:asciiTheme="minorEastAsia" w:hAnsiTheme="minorEastAsia" w:eastAsiaTheme="minorEastAsia" w:cstheme="minorEastAsia"/>
          <w:iCs/>
          <w:snapToGrid w:val="0"/>
          <w:kern w:val="0"/>
          <w:szCs w:val="21"/>
          <w:lang w:val="zh-CN"/>
        </w:rPr>
        <w:t xml:space="preserve">采购人或者采购代理机构应当在成交供应商确定后2个工作日内，在省级以上财政部门指定的政府采购信息发布媒体上公告成交结果，同时向成交供应商发出成交通知书，并将磋商文件随成交结果同时公告。 </w:t>
      </w:r>
    </w:p>
    <w:p>
      <w:pPr>
        <w:autoSpaceDE w:val="0"/>
        <w:autoSpaceDN w:val="0"/>
        <w:adjustRightInd w:val="0"/>
        <w:spacing w:line="360" w:lineRule="auto"/>
        <w:ind w:left="630" w:hanging="630" w:hangingChars="300"/>
        <w:jc w:val="left"/>
        <w:rPr>
          <w:rFonts w:asciiTheme="minorEastAsia" w:hAnsiTheme="minorEastAsia" w:eastAsiaTheme="minorEastAsia" w:cstheme="minorEastAsia"/>
          <w:iCs/>
          <w:snapToGrid w:val="0"/>
          <w:kern w:val="0"/>
          <w:szCs w:val="21"/>
          <w:lang w:val="zh-CN"/>
        </w:rPr>
      </w:pPr>
      <w:r>
        <w:rPr>
          <w:rFonts w:hint="eastAsia" w:asciiTheme="minorEastAsia" w:hAnsiTheme="minorEastAsia" w:eastAsiaTheme="minorEastAsia" w:cstheme="minorEastAsia"/>
          <w:iCs/>
          <w:snapToGrid w:val="0"/>
          <w:kern w:val="0"/>
          <w:szCs w:val="21"/>
          <w:lang w:val="zh-CN"/>
        </w:rPr>
        <w:t>28.</w:t>
      </w:r>
      <w:r>
        <w:rPr>
          <w:rFonts w:hint="eastAsia" w:asciiTheme="minorEastAsia" w:hAnsiTheme="minorEastAsia" w:eastAsiaTheme="minorEastAsia" w:cstheme="minorEastAsia"/>
          <w:iCs/>
          <w:snapToGrid w:val="0"/>
          <w:kern w:val="0"/>
          <w:szCs w:val="21"/>
        </w:rPr>
        <w:t xml:space="preserve">5  </w:t>
      </w:r>
      <w:r>
        <w:rPr>
          <w:rFonts w:hint="eastAsia" w:asciiTheme="minorEastAsia" w:hAnsiTheme="minorEastAsia" w:eastAsiaTheme="minorEastAsia" w:cstheme="minorEastAsia"/>
          <w:iCs/>
          <w:snapToGrid w:val="0"/>
          <w:kern w:val="0"/>
          <w:szCs w:val="21"/>
          <w:lang w:val="zh-CN"/>
        </w:rPr>
        <w:t>成交通知书的领取时间详见《供应商须知前附表》。</w:t>
      </w:r>
    </w:p>
    <w:p>
      <w:pPr>
        <w:numPr>
          <w:ilvl w:val="0"/>
          <w:numId w:val="7"/>
        </w:numPr>
        <w:tabs>
          <w:tab w:val="left" w:pos="864"/>
          <w:tab w:val="left" w:pos="1080"/>
        </w:tabs>
        <w:spacing w:line="360" w:lineRule="auto"/>
        <w:ind w:hanging="540"/>
        <w:outlineLvl w:val="1"/>
        <w:rPr>
          <w:rFonts w:asciiTheme="minorEastAsia" w:hAnsiTheme="minorEastAsia" w:eastAsiaTheme="minorEastAsia" w:cstheme="minorEastAsia"/>
          <w:b/>
          <w:lang w:val="zh-CN"/>
        </w:rPr>
      </w:pPr>
      <w:bookmarkStart w:id="89" w:name="_Toc15727"/>
      <w:bookmarkStart w:id="90" w:name="_Toc10298"/>
      <w:r>
        <w:rPr>
          <w:rFonts w:hint="eastAsia" w:asciiTheme="minorEastAsia" w:hAnsiTheme="minorEastAsia" w:eastAsiaTheme="minorEastAsia" w:cstheme="minorEastAsia"/>
          <w:b/>
          <w:lang w:val="zh-CN"/>
        </w:rPr>
        <w:t>签订合同</w:t>
      </w:r>
      <w:bookmarkEnd w:id="89"/>
      <w:bookmarkEnd w:id="90"/>
    </w:p>
    <w:p>
      <w:pPr>
        <w:tabs>
          <w:tab w:val="left" w:pos="426"/>
        </w:tabs>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 xml:space="preserve">29.1 </w:t>
      </w:r>
      <w:r>
        <w:rPr>
          <w:rFonts w:hint="eastAsia" w:asciiTheme="minorEastAsia" w:hAnsiTheme="minorEastAsia" w:eastAsiaTheme="minorEastAsia" w:cstheme="minorEastAsia"/>
          <w:snapToGrid w:val="0"/>
          <w:kern w:val="0"/>
          <w:szCs w:val="21"/>
        </w:rPr>
        <w:t xml:space="preserve"> </w:t>
      </w:r>
      <w:r>
        <w:rPr>
          <w:rFonts w:hint="eastAsia" w:asciiTheme="minorEastAsia" w:hAnsiTheme="minorEastAsia" w:eastAsiaTheme="minorEastAsia" w:cstheme="minorEastAsia"/>
          <w:snapToGrid w:val="0"/>
          <w:kern w:val="0"/>
          <w:szCs w:val="21"/>
          <w:lang w:val="zh-CN"/>
        </w:rPr>
        <w:t>竞争性磋商采购文件对履约保证金有规定的，成交供应商应按规定在签订合同前缴纳履约保证金。</w:t>
      </w:r>
    </w:p>
    <w:p>
      <w:pPr>
        <w:tabs>
          <w:tab w:val="left" w:pos="426"/>
        </w:tabs>
        <w:autoSpaceDE w:val="0"/>
        <w:autoSpaceDN w:val="0"/>
        <w:adjustRightInd w:val="0"/>
        <w:spacing w:line="360" w:lineRule="auto"/>
        <w:ind w:left="630" w:hanging="630" w:hangingChars="300"/>
        <w:jc w:val="left"/>
        <w:rPr>
          <w:rFonts w:asciiTheme="minorEastAsia" w:hAnsiTheme="minorEastAsia" w:eastAsiaTheme="minorEastAsia" w:cstheme="minorEastAsia"/>
        </w:rPr>
      </w:pPr>
      <w:r>
        <w:rPr>
          <w:rFonts w:hint="eastAsia" w:asciiTheme="minorEastAsia" w:hAnsiTheme="minorEastAsia" w:eastAsiaTheme="minorEastAsia" w:cstheme="minorEastAsia"/>
          <w:snapToGrid w:val="0"/>
          <w:szCs w:val="21"/>
          <w:lang w:val="zh-CN"/>
        </w:rPr>
        <w:t xml:space="preserve">29.2 </w:t>
      </w:r>
      <w:r>
        <w:rPr>
          <w:rFonts w:hint="eastAsia" w:asciiTheme="minorEastAsia" w:hAnsiTheme="minorEastAsia" w:eastAsiaTheme="minorEastAsia" w:cstheme="minorEastAsia"/>
          <w:snapToGrid w:val="0"/>
          <w:szCs w:val="21"/>
        </w:rPr>
        <w:t xml:space="preserve"> </w:t>
      </w:r>
      <w:r>
        <w:rPr>
          <w:rFonts w:hint="eastAsia" w:asciiTheme="minorEastAsia" w:hAnsiTheme="minorEastAsia" w:eastAsiaTheme="minorEastAsia" w:cstheme="minorEastAsia"/>
          <w:snapToGrid w:val="0"/>
          <w:szCs w:val="21"/>
          <w:lang w:val="zh-CN"/>
        </w:rPr>
        <w:t>采购人与成交供应商应当在成交通知书发出</w:t>
      </w:r>
      <w:r>
        <w:rPr>
          <w:rFonts w:hint="eastAsia" w:asciiTheme="minorEastAsia" w:hAnsiTheme="minorEastAsia" w:eastAsiaTheme="minorEastAsia" w:cstheme="minorEastAsia"/>
          <w:snapToGrid w:val="0"/>
          <w:color w:val="auto"/>
          <w:szCs w:val="21"/>
          <w:highlight w:val="none"/>
          <w:lang w:val="zh-CN"/>
        </w:rPr>
        <w:t>之日起</w:t>
      </w:r>
      <w:r>
        <w:rPr>
          <w:rFonts w:asciiTheme="minorEastAsia" w:hAnsiTheme="minorEastAsia" w:eastAsiaTheme="minorEastAsia" w:cstheme="minorEastAsia"/>
          <w:snapToGrid w:val="0"/>
          <w:color w:val="auto"/>
          <w:szCs w:val="21"/>
          <w:highlight w:val="none"/>
          <w:lang w:val="zh-CN"/>
        </w:rPr>
        <w:t>30</w:t>
      </w:r>
      <w:r>
        <w:rPr>
          <w:rFonts w:hint="eastAsia" w:asciiTheme="minorEastAsia" w:hAnsiTheme="minorEastAsia" w:eastAsiaTheme="minorEastAsia" w:cstheme="minorEastAsia"/>
          <w:snapToGrid w:val="0"/>
          <w:color w:val="auto"/>
          <w:szCs w:val="21"/>
          <w:highlight w:val="none"/>
          <w:lang w:val="zh-CN"/>
        </w:rPr>
        <w:t>日内，按照采</w:t>
      </w:r>
      <w:r>
        <w:rPr>
          <w:rFonts w:hint="eastAsia" w:asciiTheme="minorEastAsia" w:hAnsiTheme="minorEastAsia" w:eastAsiaTheme="minorEastAsia" w:cstheme="minorEastAsia"/>
          <w:snapToGrid w:val="0"/>
          <w:szCs w:val="21"/>
          <w:lang w:val="zh-CN"/>
        </w:rPr>
        <w:t>购文件确定的合同文本以及采购标的、规格型号、采购金额、采购数量、技术和服务要求等事项签订政府采购合同。</w:t>
      </w:r>
    </w:p>
    <w:p>
      <w:pPr>
        <w:autoSpaceDE w:val="0"/>
        <w:autoSpaceDN w:val="0"/>
        <w:adjustRightInd w:val="0"/>
        <w:spacing w:line="360" w:lineRule="auto"/>
        <w:ind w:left="630" w:leftChars="300"/>
        <w:jc w:val="left"/>
        <w:rPr>
          <w:rFonts w:asciiTheme="minorEastAsia" w:hAnsiTheme="minorEastAsia" w:eastAsiaTheme="minorEastAsia" w:cstheme="minorEastAsia"/>
        </w:rPr>
      </w:pPr>
      <w:r>
        <w:rPr>
          <w:rFonts w:hint="eastAsia" w:asciiTheme="minorEastAsia" w:hAnsiTheme="minorEastAsia" w:eastAsiaTheme="minorEastAsia" w:cstheme="minorEastAsia"/>
        </w:rPr>
        <w:t>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pPr>
        <w:autoSpaceDE w:val="0"/>
        <w:autoSpaceDN w:val="0"/>
        <w:adjustRightInd w:val="0"/>
        <w:spacing w:line="360" w:lineRule="auto"/>
        <w:ind w:left="630" w:leftChars="300"/>
        <w:jc w:val="left"/>
        <w:rPr>
          <w:rFonts w:asciiTheme="minorEastAsia" w:hAnsiTheme="minorEastAsia" w:eastAsiaTheme="minorEastAsia" w:cstheme="minorEastAsia"/>
        </w:rPr>
      </w:pPr>
      <w:r>
        <w:rPr>
          <w:rFonts w:hint="eastAsia" w:asciiTheme="minorEastAsia" w:hAnsiTheme="minorEastAsia" w:eastAsiaTheme="minorEastAsia" w:cstheme="minorEastAsia"/>
        </w:rPr>
        <w:t>采购人应当自政府采购合同签订之日起2个工作日内，将政府采购合同在省级以上人民政府指定的媒体上公告，但政府采购合同中涉及国家秘密、商业秘密的内容除外。</w:t>
      </w:r>
    </w:p>
    <w:p>
      <w:pPr>
        <w:autoSpaceDE w:val="0"/>
        <w:autoSpaceDN w:val="0"/>
        <w:adjustRightInd w:val="0"/>
        <w:spacing w:line="360" w:lineRule="auto"/>
        <w:ind w:left="630" w:hanging="630" w:hangingChars="300"/>
        <w:jc w:val="lef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29.3  </w:t>
      </w:r>
      <w:r>
        <w:rPr>
          <w:rFonts w:hint="eastAsia" w:asciiTheme="minorEastAsia" w:hAnsiTheme="minorEastAsia" w:eastAsiaTheme="minorEastAsia" w:cstheme="minorEastAsia"/>
          <w:lang w:val="zh-CN"/>
        </w:rPr>
        <w:t>成交供应商拒绝与采购人签订合同的，采购人可以按照评审报告推荐的中标候选人名单排序，确定下一候选人为成交供应商，也可以重新开展政府采购活动。</w:t>
      </w:r>
    </w:p>
    <w:p>
      <w:pPr>
        <w:autoSpaceDE w:val="0"/>
        <w:autoSpaceDN w:val="0"/>
        <w:adjustRightInd w:val="0"/>
        <w:spacing w:line="360" w:lineRule="auto"/>
        <w:ind w:left="630" w:hanging="630" w:hangingChars="300"/>
        <w:jc w:val="lef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29.4  </w:t>
      </w:r>
      <w:r>
        <w:rPr>
          <w:rFonts w:hint="eastAsia" w:asciiTheme="minorEastAsia" w:hAnsiTheme="minorEastAsia" w:eastAsiaTheme="minorEastAsia" w:cstheme="minorEastAsia"/>
          <w:snapToGrid w:val="0"/>
          <w:kern w:val="0"/>
          <w:szCs w:val="21"/>
          <w:lang w:val="zh-CN"/>
        </w:rPr>
        <w:t>签订政府采购合同后7个工作日内，采购人应将政府采购合同副本报同级政府采购监管部门备案。</w:t>
      </w:r>
    </w:p>
    <w:p>
      <w:pPr>
        <w:tabs>
          <w:tab w:val="left" w:pos="540"/>
        </w:tabs>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 xml:space="preserve">29.5 </w:t>
      </w:r>
      <w:r>
        <w:rPr>
          <w:rFonts w:hint="eastAsia" w:asciiTheme="minorEastAsia" w:hAnsiTheme="minorEastAsia" w:eastAsiaTheme="minorEastAsia" w:cstheme="minorEastAsia"/>
          <w:snapToGrid w:val="0"/>
          <w:kern w:val="0"/>
          <w:szCs w:val="21"/>
        </w:rPr>
        <w:t xml:space="preserve"> </w:t>
      </w:r>
      <w:r>
        <w:rPr>
          <w:rFonts w:hint="eastAsia" w:asciiTheme="minorEastAsia" w:hAnsiTheme="minorEastAsia" w:eastAsiaTheme="minorEastAsia" w:cstheme="minorEastAsia"/>
          <w:snapToGrid w:val="0"/>
          <w:kern w:val="0"/>
          <w:szCs w:val="21"/>
          <w:lang w:val="zh-CN"/>
        </w:rPr>
        <w:t>采购代理机构将配合采购人与成交供应商签订政府采购合同。采购人与成交供应商应按竞争性磋商采购文件要求和成交供应商的竞争性磋商响应文件承诺订立书面合同，不得超出竞争性磋商采购文件和成交供应商竞争性磋商响应文件的范围，也不得再行订立背离合同实质性内容的其他协议。</w:t>
      </w:r>
    </w:p>
    <w:p>
      <w:pPr>
        <w:tabs>
          <w:tab w:val="left" w:pos="540"/>
        </w:tabs>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szCs w:val="21"/>
          <w:lang w:val="zh-CN"/>
        </w:rPr>
        <w:t xml:space="preserve">29.6 </w:t>
      </w:r>
      <w:r>
        <w:rPr>
          <w:rFonts w:hint="eastAsia" w:asciiTheme="minorEastAsia" w:hAnsiTheme="minorEastAsia" w:eastAsiaTheme="minorEastAsia" w:cstheme="minorEastAsia"/>
          <w:snapToGrid w:val="0"/>
          <w:szCs w:val="21"/>
        </w:rPr>
        <w:t xml:space="preserve"> </w:t>
      </w:r>
      <w:r>
        <w:rPr>
          <w:rFonts w:hint="eastAsia" w:asciiTheme="minorEastAsia" w:hAnsiTheme="minorEastAsia" w:eastAsiaTheme="minorEastAsia" w:cstheme="minorEastAsia"/>
          <w:snapToGrid w:val="0"/>
          <w:szCs w:val="21"/>
          <w:lang w:val="zh-CN"/>
        </w:rPr>
        <w:t>除不可抗力等因素外，成交通知书发出后，采购人改变成交结果，或者成交供应商拒绝签订政府采购合同的，应当承担相应的法律责任。</w:t>
      </w:r>
    </w:p>
    <w:p>
      <w:pPr>
        <w:autoSpaceDE w:val="0"/>
        <w:autoSpaceDN w:val="0"/>
        <w:adjustRightInd w:val="0"/>
        <w:spacing w:line="360" w:lineRule="auto"/>
        <w:ind w:left="630" w:leftChars="300"/>
        <w:jc w:val="left"/>
        <w:rPr>
          <w:rFonts w:asciiTheme="minorEastAsia" w:hAnsiTheme="minorEastAsia" w:eastAsiaTheme="minorEastAsia" w:cstheme="minorEastAsia"/>
        </w:rPr>
      </w:pPr>
      <w:r>
        <w:rPr>
          <w:rFonts w:hint="eastAsia" w:asciiTheme="minorEastAsia" w:hAnsiTheme="minorEastAsia" w:eastAsiaTheme="minorEastAsia" w:cstheme="minorEastAsia"/>
        </w:rPr>
        <w:t>成交供应商拒绝签订政府采购合同的，采购人可以按照《政府采购竞争性磋商采购方式管理暂行办法》第三十三条规定的原则确定其他供应商作为成交供应商并签订政府采购合同，也可以重新开展采购活动。拒绝签订政府采购合同的成交供应商不得参加对该项目重新开展的采购活动。</w:t>
      </w:r>
    </w:p>
    <w:p>
      <w:pPr>
        <w:numPr>
          <w:ilvl w:val="1"/>
          <w:numId w:val="6"/>
        </w:numPr>
        <w:tabs>
          <w:tab w:val="left" w:pos="540"/>
          <w:tab w:val="clear" w:pos="840"/>
        </w:tabs>
        <w:spacing w:line="360" w:lineRule="auto"/>
        <w:ind w:left="632" w:hanging="632" w:hangingChars="300"/>
        <w:jc w:val="left"/>
        <w:rPr>
          <w:rFonts w:asciiTheme="minorEastAsia" w:hAnsiTheme="minorEastAsia" w:eastAsiaTheme="minorEastAsia" w:cstheme="minorEastAsia"/>
          <w:b/>
          <w:szCs w:val="21"/>
          <w:lang w:val="zh-CN"/>
        </w:rPr>
      </w:pPr>
      <w:bookmarkStart w:id="91" w:name="_Toc14510"/>
      <w:bookmarkStart w:id="92" w:name="_Toc13988"/>
      <w:bookmarkStart w:id="93" w:name="_Toc4883"/>
      <w:r>
        <w:rPr>
          <w:rFonts w:hint="eastAsia" w:asciiTheme="minorEastAsia" w:hAnsiTheme="minorEastAsia" w:eastAsiaTheme="minorEastAsia" w:cstheme="minorEastAsia"/>
          <w:b/>
          <w:szCs w:val="21"/>
          <w:lang w:val="zh-CN"/>
        </w:rPr>
        <w:t>质疑和投诉</w:t>
      </w:r>
      <w:bookmarkEnd w:id="91"/>
      <w:bookmarkEnd w:id="92"/>
      <w:bookmarkEnd w:id="93"/>
    </w:p>
    <w:p>
      <w:pPr>
        <w:numPr>
          <w:ilvl w:val="0"/>
          <w:numId w:val="7"/>
        </w:numPr>
        <w:tabs>
          <w:tab w:val="left" w:pos="864"/>
          <w:tab w:val="left" w:pos="1080"/>
        </w:tabs>
        <w:spacing w:line="360" w:lineRule="auto"/>
        <w:ind w:left="632" w:hanging="632" w:hangingChars="300"/>
        <w:jc w:val="left"/>
        <w:rPr>
          <w:rFonts w:asciiTheme="minorEastAsia" w:hAnsiTheme="minorEastAsia" w:eastAsiaTheme="minorEastAsia" w:cstheme="minorEastAsia"/>
          <w:b/>
          <w:lang w:val="zh-CN"/>
        </w:rPr>
      </w:pPr>
      <w:r>
        <w:rPr>
          <w:rFonts w:hint="eastAsia" w:asciiTheme="minorEastAsia" w:hAnsiTheme="minorEastAsia" w:eastAsiaTheme="minorEastAsia" w:cstheme="minorEastAsia"/>
          <w:b/>
          <w:lang w:val="zh-CN"/>
        </w:rPr>
        <w:t>质疑</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0</w:t>
      </w:r>
      <w:r>
        <w:rPr>
          <w:rFonts w:hint="eastAsia" w:ascii="宋体" w:hAnsi="宋体" w:cs="宋体"/>
          <w:snapToGrid w:val="0"/>
          <w:kern w:val="0"/>
          <w:szCs w:val="21"/>
          <w:lang w:val="zh-CN"/>
        </w:rPr>
        <w:t>.1</w:t>
      </w:r>
      <w:r>
        <w:rPr>
          <w:rFonts w:hint="eastAsia" w:ascii="宋体" w:hAnsi="宋体" w:cs="宋体"/>
          <w:snapToGrid w:val="0"/>
          <w:kern w:val="0"/>
          <w:szCs w:val="21"/>
        </w:rPr>
        <w:t xml:space="preserve">  </w:t>
      </w:r>
      <w:r>
        <w:rPr>
          <w:rFonts w:hint="eastAsia" w:ascii="宋体" w:hAnsi="宋体" w:cs="宋体"/>
          <w:snapToGrid w:val="0"/>
          <w:kern w:val="0"/>
          <w:szCs w:val="21"/>
          <w:lang w:val="zh-CN"/>
        </w:rPr>
        <w:t>供应商认为磋商文件、磋商过程和成交结果使自己的权益受到损害的，可以在知道或者应知其权益受到损害之日起7个工作日内，以书面形式向采购人或采购代理机构提出质疑。我公司受理项目质疑部门为业务部,联系人：张梦；联系电话：027-87820788。供应商在法定质疑期内应一次性提出针对同一采购程序环节的质疑。</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0</w:t>
      </w:r>
      <w:r>
        <w:rPr>
          <w:rFonts w:hint="eastAsia" w:ascii="宋体" w:hAnsi="宋体" w:cs="宋体"/>
          <w:snapToGrid w:val="0"/>
          <w:kern w:val="0"/>
          <w:szCs w:val="21"/>
          <w:lang w:val="zh-CN"/>
        </w:rPr>
        <w:t>.2</w:t>
      </w:r>
      <w:r>
        <w:rPr>
          <w:rFonts w:hint="eastAsia" w:ascii="宋体" w:hAnsi="宋体" w:cs="宋体"/>
          <w:snapToGrid w:val="0"/>
          <w:kern w:val="0"/>
          <w:szCs w:val="21"/>
        </w:rPr>
        <w:t xml:space="preserve">  </w:t>
      </w:r>
      <w:r>
        <w:rPr>
          <w:rFonts w:hint="eastAsia" w:ascii="宋体" w:hAnsi="宋体" w:cs="宋体"/>
          <w:snapToGrid w:val="0"/>
          <w:kern w:val="0"/>
          <w:szCs w:val="21"/>
          <w:lang w:val="zh-CN"/>
        </w:rPr>
        <w:t>质疑书应当包括下列主要内容：</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（1）</w:t>
      </w:r>
      <w:r>
        <w:rPr>
          <w:rFonts w:hint="eastAsia" w:ascii="宋体" w:hAnsi="宋体" w:cs="宋体"/>
          <w:snapToGrid w:val="0"/>
          <w:kern w:val="0"/>
          <w:szCs w:val="21"/>
        </w:rPr>
        <w:t xml:space="preserve"> </w:t>
      </w:r>
      <w:r>
        <w:rPr>
          <w:rFonts w:hint="eastAsia" w:ascii="宋体" w:hAnsi="宋体" w:cs="宋体"/>
          <w:snapToGrid w:val="0"/>
          <w:kern w:val="0"/>
          <w:szCs w:val="21"/>
          <w:lang w:val="zh-CN"/>
        </w:rPr>
        <w:t>质疑人的名称、地址、联系人及联系电话等；</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（2）</w:t>
      </w:r>
      <w:r>
        <w:rPr>
          <w:rFonts w:hint="eastAsia" w:ascii="宋体" w:hAnsi="宋体" w:cs="宋体"/>
          <w:snapToGrid w:val="0"/>
          <w:kern w:val="0"/>
          <w:szCs w:val="21"/>
        </w:rPr>
        <w:t xml:space="preserve"> </w:t>
      </w:r>
      <w:r>
        <w:rPr>
          <w:rFonts w:hint="eastAsia" w:ascii="宋体" w:hAnsi="宋体" w:cs="宋体"/>
          <w:snapToGrid w:val="0"/>
          <w:kern w:val="0"/>
          <w:szCs w:val="21"/>
          <w:lang w:val="zh-CN"/>
        </w:rPr>
        <w:t>被质疑人的名称、地址、联系人及联系电话等；</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 xml:space="preserve"> </w:t>
      </w:r>
      <w:r>
        <w:rPr>
          <w:rFonts w:hint="eastAsia" w:ascii="宋体" w:hAnsi="宋体" w:cs="宋体"/>
          <w:snapToGrid w:val="0"/>
          <w:kern w:val="0"/>
          <w:szCs w:val="21"/>
          <w:lang w:val="zh-CN"/>
        </w:rPr>
        <w:t>质疑项目名称及编号、质疑事项和明确的请求；</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（4）</w:t>
      </w:r>
      <w:r>
        <w:rPr>
          <w:rFonts w:hint="eastAsia" w:ascii="宋体" w:hAnsi="宋体" w:cs="宋体"/>
          <w:snapToGrid w:val="0"/>
          <w:kern w:val="0"/>
          <w:szCs w:val="21"/>
        </w:rPr>
        <w:t xml:space="preserve"> </w:t>
      </w:r>
      <w:r>
        <w:rPr>
          <w:rFonts w:hint="eastAsia" w:ascii="宋体" w:hAnsi="宋体" w:cs="宋体"/>
          <w:snapToGrid w:val="0"/>
          <w:kern w:val="0"/>
          <w:szCs w:val="21"/>
          <w:lang w:val="zh-CN"/>
        </w:rPr>
        <w:t>质疑事项的事实根据、法律依据及其他必要的证明材料；质疑人提供的证明材料属于其他供应商投标（响应）文件未公开内容的，应当提供书面材料证明其合法来源；</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（5）</w:t>
      </w:r>
      <w:r>
        <w:rPr>
          <w:rFonts w:hint="eastAsia" w:ascii="宋体" w:hAnsi="宋体" w:cs="宋体"/>
          <w:snapToGrid w:val="0"/>
          <w:kern w:val="0"/>
          <w:szCs w:val="21"/>
        </w:rPr>
        <w:t xml:space="preserve"> </w:t>
      </w:r>
      <w:r>
        <w:rPr>
          <w:rFonts w:hint="eastAsia" w:ascii="宋体" w:hAnsi="宋体" w:cs="宋体"/>
          <w:snapToGrid w:val="0"/>
          <w:kern w:val="0"/>
          <w:szCs w:val="21"/>
          <w:lang w:val="zh-CN"/>
        </w:rPr>
        <w:t>提出质疑的日期；</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（6）</w:t>
      </w:r>
      <w:r>
        <w:rPr>
          <w:rFonts w:hint="eastAsia" w:ascii="宋体" w:hAnsi="宋体" w:cs="宋体"/>
          <w:snapToGrid w:val="0"/>
          <w:kern w:val="0"/>
          <w:szCs w:val="21"/>
        </w:rPr>
        <w:t xml:space="preserve"> </w:t>
      </w:r>
      <w:r>
        <w:rPr>
          <w:rFonts w:hint="eastAsia" w:ascii="宋体" w:hAnsi="宋体" w:cs="宋体"/>
          <w:snapToGrid w:val="0"/>
          <w:kern w:val="0"/>
          <w:szCs w:val="21"/>
          <w:lang w:val="zh-CN"/>
        </w:rPr>
        <w:t>质疑人的署名及签章（质疑人为自然人的，应当由本人签字；质疑人为法人或者其他组织的，应当由法定代表人或者主要负责人签字盖章并加盖公章）；</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（7）</w:t>
      </w:r>
      <w:r>
        <w:rPr>
          <w:rFonts w:hint="eastAsia" w:ascii="宋体" w:hAnsi="宋体" w:cs="宋体"/>
          <w:snapToGrid w:val="0"/>
          <w:kern w:val="0"/>
          <w:szCs w:val="21"/>
        </w:rPr>
        <w:t xml:space="preserve"> </w:t>
      </w:r>
      <w:r>
        <w:rPr>
          <w:rFonts w:hint="eastAsia" w:ascii="宋体" w:hAnsi="宋体" w:cs="宋体"/>
          <w:snapToGrid w:val="0"/>
          <w:kern w:val="0"/>
          <w:szCs w:val="21"/>
          <w:lang w:val="zh-CN"/>
        </w:rPr>
        <w:t>法人授权委托书（质疑人或法人委托代理人办理质疑事务的，应当提供授权委托书，授权委托书应当载明委托代理的具体权限和事项）。</w:t>
      </w:r>
    </w:p>
    <w:p>
      <w:pPr>
        <w:autoSpaceDE w:val="0"/>
        <w:autoSpaceDN w:val="0"/>
        <w:adjustRightInd w:val="0"/>
        <w:spacing w:line="360" w:lineRule="auto"/>
        <w:ind w:left="630" w:leftChars="300"/>
        <w:jc w:val="left"/>
        <w:rPr>
          <w:rFonts w:ascii="宋体" w:hAnsi="宋体" w:cs="宋体"/>
          <w:snapToGrid w:val="0"/>
          <w:kern w:val="0"/>
          <w:szCs w:val="21"/>
          <w:lang w:val="zh-CN"/>
        </w:rPr>
      </w:pPr>
      <w:r>
        <w:rPr>
          <w:rFonts w:hint="eastAsia" w:ascii="宋体" w:hAnsi="宋体" w:cs="宋体"/>
          <w:snapToGrid w:val="0"/>
          <w:kern w:val="0"/>
          <w:szCs w:val="21"/>
          <w:lang w:val="zh-CN"/>
        </w:rPr>
        <w:t>质疑书不符合上述要求的，采购人或代理机构应书面告知具体事项，质疑人应当按要求进行修改或补充，并在质疑有效期限内提交。</w:t>
      </w:r>
    </w:p>
    <w:p>
      <w:pPr>
        <w:numPr>
          <w:ilvl w:val="0"/>
          <w:numId w:val="7"/>
        </w:numPr>
        <w:tabs>
          <w:tab w:val="left" w:pos="864"/>
          <w:tab w:val="left" w:pos="1080"/>
        </w:tabs>
        <w:spacing w:line="360" w:lineRule="auto"/>
        <w:ind w:hanging="540"/>
        <w:outlineLvl w:val="1"/>
        <w:rPr>
          <w:rFonts w:asciiTheme="minorEastAsia" w:hAnsiTheme="minorEastAsia" w:eastAsiaTheme="minorEastAsia" w:cstheme="minorEastAsia"/>
          <w:b/>
          <w:lang w:val="zh-CN"/>
        </w:rPr>
      </w:pPr>
      <w:bookmarkStart w:id="94" w:name="_Toc20387"/>
      <w:bookmarkStart w:id="95" w:name="_Toc18678"/>
      <w:r>
        <w:rPr>
          <w:rFonts w:hint="eastAsia" w:asciiTheme="minorEastAsia" w:hAnsiTheme="minorEastAsia" w:eastAsiaTheme="minorEastAsia" w:cstheme="minorEastAsia"/>
          <w:b/>
          <w:lang w:val="zh-CN"/>
        </w:rPr>
        <w:t>质疑回复</w:t>
      </w:r>
      <w:bookmarkEnd w:id="94"/>
      <w:bookmarkEnd w:id="95"/>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1</w:t>
      </w:r>
      <w:r>
        <w:rPr>
          <w:rFonts w:hint="eastAsia" w:ascii="宋体" w:hAnsi="宋体" w:cs="宋体"/>
          <w:snapToGrid w:val="0"/>
          <w:kern w:val="0"/>
          <w:szCs w:val="21"/>
          <w:lang w:val="zh-CN"/>
        </w:rPr>
        <w:t>.1</w:t>
      </w:r>
      <w:r>
        <w:rPr>
          <w:rFonts w:hint="eastAsia" w:ascii="宋体" w:hAnsi="宋体" w:cs="宋体"/>
          <w:snapToGrid w:val="0"/>
          <w:kern w:val="0"/>
          <w:szCs w:val="21"/>
        </w:rPr>
        <w:t xml:space="preserve">  </w:t>
      </w:r>
      <w:r>
        <w:rPr>
          <w:rFonts w:hint="eastAsia" w:ascii="宋体" w:hAnsi="宋体" w:cs="宋体"/>
          <w:snapToGrid w:val="0"/>
          <w:kern w:val="0"/>
          <w:szCs w:val="21"/>
          <w:lang w:val="zh-CN"/>
        </w:rPr>
        <w:t>采购人或采购代理机构应当在收到供应商的书面质疑后7个工作日内作出答复，并以书面形式通知质疑供应商和其他有关供应商，但答复的内容不得涉及商业秘密。</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1</w:t>
      </w:r>
      <w:r>
        <w:rPr>
          <w:rFonts w:hint="eastAsia" w:ascii="宋体" w:hAnsi="宋体" w:cs="宋体"/>
          <w:snapToGrid w:val="0"/>
          <w:kern w:val="0"/>
          <w:szCs w:val="21"/>
          <w:lang w:val="zh-CN"/>
        </w:rPr>
        <w:t>.2</w:t>
      </w:r>
      <w:r>
        <w:rPr>
          <w:rFonts w:hint="eastAsia" w:ascii="宋体" w:hAnsi="宋体" w:cs="宋体"/>
          <w:snapToGrid w:val="0"/>
          <w:kern w:val="0"/>
          <w:szCs w:val="21"/>
        </w:rPr>
        <w:t xml:space="preserve">  </w:t>
      </w:r>
      <w:r>
        <w:rPr>
          <w:rFonts w:hint="eastAsia" w:ascii="宋体" w:hAnsi="宋体" w:cs="宋体"/>
          <w:snapToGrid w:val="0"/>
          <w:kern w:val="0"/>
          <w:szCs w:val="21"/>
          <w:lang w:val="zh-CN"/>
        </w:rPr>
        <w:t>质疑答复应当包括下列内容：</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（1）质疑人的名称、地址、联系人及联系电话；</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（2）采购人或采购代理机构（委托项目一并列出）的名称、地址、联系人及联系电话；</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（3）受理质疑的日期、质疑项目名称及编号、质疑事项；</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（4）质疑事项答复的具体情况及事实根据、法律依据；</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（5）告知质疑人依法投诉的权利和投诉方式；</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（6）质疑答复日期。</w:t>
      </w:r>
    </w:p>
    <w:p>
      <w:pPr>
        <w:numPr>
          <w:ilvl w:val="0"/>
          <w:numId w:val="7"/>
        </w:numPr>
        <w:tabs>
          <w:tab w:val="left" w:pos="864"/>
          <w:tab w:val="left" w:pos="1080"/>
        </w:tabs>
        <w:spacing w:line="360" w:lineRule="auto"/>
        <w:ind w:hanging="540"/>
        <w:outlineLvl w:val="1"/>
        <w:rPr>
          <w:rFonts w:asciiTheme="minorEastAsia" w:hAnsiTheme="minorEastAsia" w:eastAsiaTheme="minorEastAsia" w:cstheme="minorEastAsia"/>
          <w:b/>
          <w:lang w:val="zh-CN"/>
        </w:rPr>
      </w:pPr>
      <w:bookmarkStart w:id="96" w:name="_Toc459"/>
      <w:bookmarkStart w:id="97" w:name="_Toc3143"/>
      <w:r>
        <w:rPr>
          <w:rFonts w:hint="eastAsia" w:asciiTheme="minorEastAsia" w:hAnsiTheme="minorEastAsia" w:eastAsiaTheme="minorEastAsia" w:cstheme="minorEastAsia"/>
          <w:b/>
          <w:lang w:val="zh-CN"/>
        </w:rPr>
        <w:t>投诉</w:t>
      </w:r>
      <w:bookmarkEnd w:id="96"/>
      <w:bookmarkEnd w:id="97"/>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2</w:t>
      </w:r>
      <w:r>
        <w:rPr>
          <w:rFonts w:hint="eastAsia" w:ascii="宋体" w:hAnsi="宋体" w:cs="宋体"/>
          <w:snapToGrid w:val="0"/>
          <w:kern w:val="0"/>
          <w:szCs w:val="21"/>
          <w:lang w:val="zh-CN"/>
        </w:rPr>
        <w:t>.1</w:t>
      </w:r>
      <w:r>
        <w:rPr>
          <w:rFonts w:hint="eastAsia" w:ascii="宋体" w:hAnsi="宋体" w:cs="宋体"/>
          <w:snapToGrid w:val="0"/>
          <w:kern w:val="0"/>
          <w:szCs w:val="21"/>
        </w:rPr>
        <w:t xml:space="preserve">  </w:t>
      </w:r>
      <w:r>
        <w:rPr>
          <w:rFonts w:hint="eastAsia" w:ascii="宋体" w:hAnsi="宋体" w:cs="宋体"/>
          <w:snapToGrid w:val="0"/>
          <w:kern w:val="0"/>
          <w:szCs w:val="21"/>
          <w:lang w:val="zh-CN"/>
        </w:rPr>
        <w:t>质疑供应商对采购人、采购代理机构的答复不满意或者采购人、采购代理机构未在规定的时间内作出答复的，可以在答复期满后15个工作日内向监督管理部门投诉。供应商投诉应当有明确的请求和必要的证明材料，且投诉的事项不得超出已质疑事项的范围。</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2</w:t>
      </w:r>
      <w:r>
        <w:rPr>
          <w:rFonts w:hint="eastAsia" w:ascii="宋体" w:hAnsi="宋体" w:cs="宋体"/>
          <w:snapToGrid w:val="0"/>
          <w:kern w:val="0"/>
          <w:szCs w:val="21"/>
          <w:lang w:val="zh-CN"/>
        </w:rPr>
        <w:t>.2</w:t>
      </w:r>
      <w:r>
        <w:rPr>
          <w:rFonts w:hint="eastAsia" w:ascii="宋体" w:hAnsi="宋体" w:cs="宋体"/>
          <w:snapToGrid w:val="0"/>
          <w:kern w:val="0"/>
          <w:szCs w:val="21"/>
        </w:rPr>
        <w:t xml:space="preserve">  </w:t>
      </w:r>
      <w:r>
        <w:rPr>
          <w:rFonts w:hint="eastAsia" w:ascii="宋体" w:hAnsi="宋体" w:cs="宋体"/>
          <w:snapToGrid w:val="0"/>
          <w:kern w:val="0"/>
          <w:szCs w:val="21"/>
          <w:lang w:val="zh-CN"/>
        </w:rPr>
        <w:t>监督管理部门应当在收到投诉后30个工作日内，对投诉事项作出处理决定，并以书面形式通知投诉人和与投诉事项有关的当事人。处理投诉事项，需要检验、检测、鉴定、专家评审以及需要投诉人补正材料的，所需时间不计算在投诉处理期限内。</w:t>
      </w:r>
    </w:p>
    <w:p>
      <w:pPr>
        <w:numPr>
          <w:ilvl w:val="1"/>
          <w:numId w:val="6"/>
        </w:numPr>
        <w:tabs>
          <w:tab w:val="left" w:pos="540"/>
          <w:tab w:val="clear" w:pos="840"/>
        </w:tabs>
        <w:spacing w:line="360" w:lineRule="auto"/>
        <w:ind w:left="540" w:hanging="540"/>
        <w:outlineLvl w:val="1"/>
        <w:rPr>
          <w:rFonts w:asciiTheme="minorEastAsia" w:hAnsiTheme="minorEastAsia" w:eastAsiaTheme="minorEastAsia" w:cstheme="minorEastAsia"/>
          <w:b/>
          <w:szCs w:val="21"/>
          <w:lang w:val="zh-CN"/>
        </w:rPr>
      </w:pPr>
      <w:bookmarkStart w:id="98" w:name="_Toc30010"/>
      <w:bookmarkStart w:id="99" w:name="_Toc28705"/>
      <w:bookmarkStart w:id="100" w:name="_Toc14767"/>
      <w:bookmarkStart w:id="101" w:name="_Toc18357"/>
      <w:bookmarkStart w:id="102" w:name="_Toc5571"/>
      <w:r>
        <w:rPr>
          <w:rFonts w:hint="eastAsia" w:asciiTheme="minorEastAsia" w:hAnsiTheme="minorEastAsia" w:eastAsiaTheme="minorEastAsia" w:cstheme="minorEastAsia"/>
          <w:b/>
          <w:szCs w:val="21"/>
          <w:lang w:val="zh-CN"/>
        </w:rPr>
        <w:t>政策</w:t>
      </w:r>
      <w:bookmarkEnd w:id="98"/>
      <w:bookmarkEnd w:id="99"/>
      <w:bookmarkEnd w:id="100"/>
      <w:bookmarkEnd w:id="101"/>
      <w:bookmarkEnd w:id="102"/>
    </w:p>
    <w:p>
      <w:pPr>
        <w:numPr>
          <w:ilvl w:val="0"/>
          <w:numId w:val="7"/>
        </w:numPr>
        <w:tabs>
          <w:tab w:val="left" w:pos="864"/>
          <w:tab w:val="left" w:pos="1080"/>
        </w:tabs>
        <w:spacing w:line="360" w:lineRule="auto"/>
        <w:ind w:hanging="540"/>
        <w:outlineLvl w:val="1"/>
        <w:rPr>
          <w:rFonts w:asciiTheme="minorEastAsia" w:hAnsiTheme="minorEastAsia" w:eastAsiaTheme="minorEastAsia" w:cstheme="minorEastAsia"/>
          <w:b/>
        </w:rPr>
      </w:pPr>
      <w:bookmarkStart w:id="103" w:name="_Toc28842"/>
      <w:bookmarkStart w:id="104" w:name="_Toc19328"/>
      <w:r>
        <w:rPr>
          <w:rFonts w:hint="eastAsia" w:asciiTheme="minorEastAsia" w:hAnsiTheme="minorEastAsia" w:eastAsiaTheme="minorEastAsia" w:cstheme="minorEastAsia"/>
          <w:b/>
        </w:rPr>
        <w:t>政府采购政策</w:t>
      </w:r>
      <w:bookmarkEnd w:id="103"/>
      <w:bookmarkEnd w:id="104"/>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3</w:t>
      </w:r>
      <w:r>
        <w:rPr>
          <w:rFonts w:hint="eastAsia" w:ascii="宋体" w:hAnsi="宋体" w:cs="宋体"/>
          <w:snapToGrid w:val="0"/>
          <w:kern w:val="0"/>
          <w:szCs w:val="21"/>
          <w:lang w:val="zh-CN"/>
        </w:rPr>
        <w:t>.1</w:t>
      </w:r>
      <w:r>
        <w:rPr>
          <w:rFonts w:hint="eastAsia" w:ascii="宋体" w:hAnsi="宋体" w:cs="宋体"/>
          <w:snapToGrid w:val="0"/>
          <w:kern w:val="0"/>
          <w:szCs w:val="21"/>
        </w:rPr>
        <w:t xml:space="preserve"> </w:t>
      </w:r>
      <w:r>
        <w:rPr>
          <w:rFonts w:hint="eastAsia" w:ascii="宋体" w:hAnsi="宋体" w:cs="宋体"/>
          <w:snapToGrid w:val="0"/>
          <w:spacing w:val="-2"/>
          <w:kern w:val="0"/>
          <w:szCs w:val="21"/>
          <w:lang w:val="zh-CN"/>
        </w:rPr>
        <w:t>除非“供应商须知前附表”中有特殊规定，本项目所采购的货物</w:t>
      </w:r>
      <w:r>
        <w:rPr>
          <w:rFonts w:hint="eastAsia" w:ascii="宋体" w:hAnsi="宋体" w:cs="宋体"/>
          <w:snapToGrid w:val="0"/>
          <w:spacing w:val="-2"/>
          <w:kern w:val="0"/>
          <w:szCs w:val="21"/>
        </w:rPr>
        <w:t>或服务或工程</w:t>
      </w:r>
      <w:r>
        <w:rPr>
          <w:rFonts w:hint="eastAsia" w:ascii="宋体" w:hAnsi="宋体" w:cs="宋体"/>
          <w:snapToGrid w:val="0"/>
          <w:spacing w:val="-2"/>
          <w:kern w:val="0"/>
          <w:szCs w:val="21"/>
          <w:lang w:val="zh-CN"/>
        </w:rPr>
        <w:t>应当为中华人民共和国境内提供。</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3</w:t>
      </w:r>
      <w:r>
        <w:rPr>
          <w:rFonts w:hint="eastAsia" w:ascii="宋体" w:hAnsi="宋体" w:cs="宋体"/>
          <w:snapToGrid w:val="0"/>
          <w:kern w:val="0"/>
          <w:szCs w:val="21"/>
          <w:lang w:val="zh-CN"/>
        </w:rPr>
        <w:t>.2</w:t>
      </w:r>
      <w:r>
        <w:rPr>
          <w:rFonts w:hint="eastAsia" w:ascii="宋体" w:hAnsi="宋体" w:cs="宋体"/>
          <w:snapToGrid w:val="0"/>
          <w:kern w:val="0"/>
          <w:szCs w:val="21"/>
        </w:rPr>
        <w:t xml:space="preserve">  </w:t>
      </w:r>
      <w:r>
        <w:rPr>
          <w:rFonts w:hint="eastAsia" w:ascii="宋体" w:hAnsi="宋体" w:cs="宋体"/>
          <w:snapToGrid w:val="0"/>
          <w:kern w:val="0"/>
          <w:szCs w:val="21"/>
          <w:lang w:val="zh-CN"/>
        </w:rPr>
        <w:t>为促进中小企业发展，本项目供应商如符合工信部联企业【</w:t>
      </w:r>
      <w:r>
        <w:rPr>
          <w:rFonts w:hint="eastAsia" w:ascii="宋体" w:hAnsi="宋体" w:cs="宋体"/>
          <w:snapToGrid w:val="0"/>
          <w:kern w:val="0"/>
          <w:szCs w:val="21"/>
        </w:rPr>
        <w:t>2011</w:t>
      </w:r>
      <w:r>
        <w:rPr>
          <w:rFonts w:hint="eastAsia" w:ascii="宋体" w:hAnsi="宋体" w:cs="宋体"/>
          <w:snapToGrid w:val="0"/>
          <w:kern w:val="0"/>
          <w:szCs w:val="21"/>
          <w:lang w:val="zh-CN"/>
        </w:rPr>
        <w:t>】300号文中对中小企业划型标准的，可按照“评定办法前附表”中相关规定，对产品的价格给予一定比例的扣除，用扣除后的价格参与评审。具体扣除比例详见“评定办法前附表”。</w:t>
      </w:r>
    </w:p>
    <w:p>
      <w:pPr>
        <w:autoSpaceDE w:val="0"/>
        <w:autoSpaceDN w:val="0"/>
        <w:adjustRightInd w:val="0"/>
        <w:spacing w:line="360" w:lineRule="auto"/>
        <w:ind w:left="630" w:hanging="630" w:hangingChars="300"/>
        <w:jc w:val="left"/>
        <w:rPr>
          <w:rFonts w:ascii="宋体" w:hAnsi="宋体" w:cs="宋体"/>
          <w:snapToGrid w:val="0"/>
          <w:kern w:val="0"/>
          <w:szCs w:val="21"/>
        </w:rPr>
      </w:pPr>
      <w:r>
        <w:rPr>
          <w:rFonts w:hint="eastAsia" w:ascii="宋体" w:hAnsi="宋体" w:cs="宋体"/>
          <w:snapToGrid w:val="0"/>
          <w:kern w:val="0"/>
          <w:szCs w:val="21"/>
        </w:rPr>
        <w:t>33.3  按照财政部《关于政府采购支持监狱企业发展有关问题的通知》（财库【2014】68号）的规定，在政府采购活动中，监狱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材料不全的不予折扣。经磋商小组审核确认供应商属于监狱企业的，在评定时视同中小企业，价格给予10%的扣除后的价格参与评审。</w:t>
      </w:r>
    </w:p>
    <w:p>
      <w:pPr>
        <w:autoSpaceDE w:val="0"/>
        <w:autoSpaceDN w:val="0"/>
        <w:adjustRightInd w:val="0"/>
        <w:spacing w:line="360" w:lineRule="auto"/>
        <w:ind w:left="630" w:hanging="630" w:hangingChars="300"/>
        <w:jc w:val="left"/>
        <w:rPr>
          <w:rFonts w:ascii="宋体" w:hAnsi="宋体" w:cs="宋体"/>
          <w:snapToGrid w:val="0"/>
          <w:kern w:val="0"/>
          <w:szCs w:val="21"/>
        </w:rPr>
      </w:pPr>
      <w:r>
        <w:rPr>
          <w:rFonts w:hint="eastAsia" w:ascii="宋体" w:hAnsi="宋体" w:cs="宋体"/>
          <w:snapToGrid w:val="0"/>
          <w:kern w:val="0"/>
          <w:szCs w:val="21"/>
        </w:rPr>
        <w:t>33.4  按照《三部门联合发布关于促进残疾人就业政府采购政策的通知》（财库【2017】141 号）的规定，在政府采购活动中，残疾人福利性单位视同小型、微型企业，享受预留份额、评审中价格扣除等促进中小企业发展的政府采购政策。符合条件的残疾人福利性单位在参加政府采购活动时，应当提供财库【2017】141号文规定的《残疾人福利性单位声明函》（格式见第六章），并对声明的真实性负责，未提供声明函的不予折扣。经磋商小组审核确认供应商符合残疾人福利性单位条件的，在评定时视同中小企业。残疾人福利性单位属于小型、微型企业的，不重复享受政策。</w:t>
      </w:r>
    </w:p>
    <w:p>
      <w:pPr>
        <w:autoSpaceDE w:val="0"/>
        <w:autoSpaceDN w:val="0"/>
        <w:adjustRightInd w:val="0"/>
        <w:spacing w:line="360" w:lineRule="auto"/>
        <w:ind w:left="630" w:hanging="630" w:hangingChars="300"/>
        <w:jc w:val="left"/>
        <w:rPr>
          <w:rFonts w:ascii="宋体" w:hAnsi="宋体" w:cs="宋体"/>
          <w:snapToGrid w:val="0"/>
          <w:kern w:val="0"/>
          <w:szCs w:val="21"/>
        </w:rPr>
      </w:pPr>
      <w:r>
        <w:rPr>
          <w:rFonts w:hint="eastAsia" w:ascii="宋体" w:hAnsi="宋体" w:cs="宋体"/>
          <w:snapToGrid w:val="0"/>
          <w:kern w:val="0"/>
          <w:szCs w:val="21"/>
          <w:lang w:val="zh-CN"/>
        </w:rPr>
        <w:t>3</w:t>
      </w:r>
      <w:r>
        <w:rPr>
          <w:rFonts w:hint="eastAsia" w:ascii="宋体" w:hAnsi="宋体" w:cs="宋体"/>
          <w:snapToGrid w:val="0"/>
          <w:kern w:val="0"/>
          <w:szCs w:val="21"/>
        </w:rPr>
        <w:t>3</w:t>
      </w:r>
      <w:r>
        <w:rPr>
          <w:rFonts w:hint="eastAsia" w:ascii="宋体" w:hAnsi="宋体" w:cs="宋体"/>
          <w:snapToGrid w:val="0"/>
          <w:kern w:val="0"/>
          <w:szCs w:val="21"/>
          <w:lang w:val="zh-CN"/>
        </w:rPr>
        <w:t>.</w:t>
      </w:r>
      <w:r>
        <w:rPr>
          <w:rFonts w:hint="eastAsia" w:ascii="宋体" w:hAnsi="宋体" w:cs="宋体"/>
          <w:snapToGrid w:val="0"/>
          <w:kern w:val="0"/>
          <w:szCs w:val="21"/>
        </w:rPr>
        <w:t>5  按照《财政部 发展改革委 生态环境部 市场监管总局 关于调整优化节能产品、环境标志产品政府采购执行机制的通知》（财库〔2019〕9 号）/《关于印发环境标志产品政府采购品目清单的通知》（财库〔2019〕18 号）/《关于印发节能产品政府采购品目清单的通知》（财库〔2019〕19 号）/《市场监管总局关于发布参与实施政府采购节能产品、环境标志产品认证机构名录的公告》（2019 年第 16 号）文件执行。</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33.</w:t>
      </w:r>
      <w:r>
        <w:rPr>
          <w:rFonts w:hint="eastAsia" w:ascii="宋体" w:hAnsi="宋体" w:cs="宋体"/>
          <w:snapToGrid w:val="0"/>
          <w:kern w:val="0"/>
          <w:szCs w:val="21"/>
        </w:rPr>
        <w:t xml:space="preserve">6  </w:t>
      </w:r>
      <w:r>
        <w:rPr>
          <w:rFonts w:hint="eastAsia" w:ascii="宋体" w:hAnsi="宋体" w:cs="宋体"/>
          <w:snapToGrid w:val="0"/>
          <w:kern w:val="0"/>
          <w:szCs w:val="21"/>
          <w:lang w:val="zh-CN"/>
        </w:rPr>
        <w:t>上述政府采购政策优惠须经磋商小组评审后执行，未提供单独分项报价或证明资料不全的不给予价格扣除。</w:t>
      </w:r>
    </w:p>
    <w:p>
      <w:pPr>
        <w:autoSpaceDE w:val="0"/>
        <w:autoSpaceDN w:val="0"/>
        <w:adjustRightInd w:val="0"/>
        <w:spacing w:line="360" w:lineRule="auto"/>
        <w:ind w:left="630" w:leftChars="300"/>
        <w:jc w:val="left"/>
        <w:rPr>
          <w:b/>
          <w:bCs/>
          <w:lang w:val="zh-CN"/>
        </w:rPr>
      </w:pPr>
      <w:r>
        <w:rPr>
          <w:rFonts w:hint="eastAsia" w:ascii="宋体" w:hAnsi="宋体" w:cs="宋体"/>
          <w:b/>
          <w:bCs/>
          <w:snapToGrid w:val="0"/>
          <w:kern w:val="0"/>
          <w:szCs w:val="21"/>
          <w:lang w:val="zh-CN"/>
        </w:rPr>
        <w:t>供应商应当对《中小企业声明函》、监狱企业证明文件、《残疾人福利性单位声明函》的真实性负责，上述材料与事实不符的，依照《政府采购法》第七十七条第一款的规定，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pPr>
        <w:numPr>
          <w:ilvl w:val="1"/>
          <w:numId w:val="6"/>
        </w:numPr>
        <w:tabs>
          <w:tab w:val="left" w:pos="540"/>
          <w:tab w:val="clear" w:pos="840"/>
        </w:tabs>
        <w:spacing w:line="360" w:lineRule="auto"/>
        <w:ind w:left="540" w:hanging="540"/>
        <w:outlineLvl w:val="1"/>
        <w:rPr>
          <w:rFonts w:asciiTheme="minorEastAsia" w:hAnsiTheme="minorEastAsia" w:eastAsiaTheme="minorEastAsia" w:cstheme="minorEastAsia"/>
          <w:b/>
          <w:szCs w:val="21"/>
          <w:lang w:val="zh-CN"/>
        </w:rPr>
      </w:pPr>
      <w:bookmarkStart w:id="105" w:name="_Toc12581"/>
      <w:bookmarkStart w:id="106" w:name="_Toc25296"/>
      <w:r>
        <w:rPr>
          <w:rFonts w:hint="eastAsia" w:asciiTheme="minorEastAsia" w:hAnsiTheme="minorEastAsia" w:eastAsiaTheme="minorEastAsia" w:cstheme="minorEastAsia"/>
          <w:b/>
          <w:szCs w:val="21"/>
          <w:lang w:val="zh-CN"/>
        </w:rPr>
        <w:t>其他要求</w:t>
      </w:r>
      <w:bookmarkEnd w:id="105"/>
      <w:bookmarkEnd w:id="106"/>
    </w:p>
    <w:p>
      <w:pPr>
        <w:autoSpaceDE w:val="0"/>
        <w:autoSpaceDN w:val="0"/>
        <w:adjustRightInd w:val="0"/>
        <w:spacing w:line="360" w:lineRule="auto"/>
        <w:ind w:firstLine="420" w:firstLineChars="2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见《供应商须知前附表》。</w:t>
      </w:r>
    </w:p>
    <w:p>
      <w:pPr>
        <w:numPr>
          <w:ilvl w:val="1"/>
          <w:numId w:val="6"/>
        </w:numPr>
        <w:tabs>
          <w:tab w:val="left" w:pos="540"/>
          <w:tab w:val="clear" w:pos="840"/>
        </w:tabs>
        <w:spacing w:line="360" w:lineRule="auto"/>
        <w:ind w:left="540" w:hanging="540"/>
        <w:outlineLvl w:val="1"/>
        <w:rPr>
          <w:rFonts w:asciiTheme="minorEastAsia" w:hAnsiTheme="minorEastAsia" w:eastAsiaTheme="minorEastAsia" w:cstheme="minorEastAsia"/>
          <w:b/>
          <w:szCs w:val="21"/>
          <w:lang w:val="zh-CN"/>
        </w:rPr>
      </w:pPr>
      <w:bookmarkStart w:id="107" w:name="_Toc28137"/>
      <w:bookmarkStart w:id="108" w:name="_Toc30697"/>
      <w:r>
        <w:rPr>
          <w:rFonts w:hint="eastAsia" w:asciiTheme="minorEastAsia" w:hAnsiTheme="minorEastAsia" w:eastAsiaTheme="minorEastAsia" w:cstheme="minorEastAsia"/>
          <w:b/>
          <w:szCs w:val="21"/>
          <w:lang w:val="zh-CN"/>
        </w:rPr>
        <w:t>适用法律</w:t>
      </w:r>
      <w:bookmarkEnd w:id="107"/>
      <w:bookmarkEnd w:id="108"/>
    </w:p>
    <w:p>
      <w:pPr>
        <w:autoSpaceDE w:val="0"/>
        <w:autoSpaceDN w:val="0"/>
        <w:adjustRightInd w:val="0"/>
        <w:spacing w:line="360" w:lineRule="auto"/>
        <w:ind w:left="630" w:left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采购人或者采购代理机构和供应商的一切采购活动均适用于《中华人民共和国政府采购法》、《中华人民共和国政府采购实施条例》、《政府采购竞争性磋商采购方式管理办法》等相关规定。</w:t>
      </w:r>
      <w:r>
        <w:rPr>
          <w:rFonts w:hint="eastAsia" w:asciiTheme="minorEastAsia" w:hAnsiTheme="minorEastAsia" w:eastAsiaTheme="minorEastAsia" w:cstheme="minorEastAsia"/>
          <w:snapToGrid w:val="0"/>
          <w:kern w:val="0"/>
          <w:szCs w:val="21"/>
          <w:lang w:val="zh-CN"/>
        </w:rPr>
        <w:br w:type="textWrapping"/>
      </w:r>
      <w:r>
        <w:rPr>
          <w:rFonts w:hint="eastAsia" w:asciiTheme="minorEastAsia" w:hAnsiTheme="minorEastAsia" w:eastAsiaTheme="minorEastAsia" w:cstheme="minorEastAsia"/>
          <w:b/>
          <w:bCs/>
          <w:snapToGrid w:val="0"/>
          <w:kern w:val="0"/>
          <w:szCs w:val="21"/>
          <w:lang w:val="zh-CN"/>
        </w:rPr>
        <w:t>补充说明：</w:t>
      </w:r>
    </w:p>
    <w:p>
      <w:pPr>
        <w:numPr>
          <w:ilvl w:val="0"/>
          <w:numId w:val="32"/>
        </w:numPr>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rPr>
        <w:t xml:space="preserve">  </w:t>
      </w:r>
      <w:r>
        <w:rPr>
          <w:rFonts w:hint="eastAsia" w:asciiTheme="minorEastAsia" w:hAnsiTheme="minorEastAsia" w:eastAsiaTheme="minorEastAsia" w:cstheme="minorEastAsia"/>
          <w:snapToGrid w:val="0"/>
          <w:kern w:val="0"/>
          <w:szCs w:val="21"/>
          <w:lang w:val="zh-CN"/>
        </w:rPr>
        <w:t>除本采购文件另有规定外，采购文件中出现的类似于“近三年”或“前三年”、“近五年”或“前五年”均指递交响应文件时间以前 3 年或前 5 年，以此类推。如：递交响应文件时间为 201</w:t>
      </w:r>
      <w:r>
        <w:rPr>
          <w:rFonts w:hint="eastAsia" w:asciiTheme="minorEastAsia" w:hAnsiTheme="minorEastAsia" w:eastAsiaTheme="minorEastAsia" w:cstheme="minorEastAsia"/>
          <w:snapToGrid w:val="0"/>
          <w:kern w:val="0"/>
          <w:szCs w:val="21"/>
        </w:rPr>
        <w:t>9</w:t>
      </w:r>
      <w:r>
        <w:rPr>
          <w:rFonts w:hint="eastAsia" w:asciiTheme="minorEastAsia" w:hAnsiTheme="minorEastAsia" w:eastAsiaTheme="minorEastAsia" w:cstheme="minorEastAsia"/>
          <w:snapToGrid w:val="0"/>
          <w:kern w:val="0"/>
          <w:szCs w:val="21"/>
          <w:lang w:val="zh-CN"/>
        </w:rPr>
        <w:t>年 12 月 1 日，则“近三年”是指 201</w:t>
      </w:r>
      <w:r>
        <w:rPr>
          <w:rFonts w:hint="eastAsia" w:asciiTheme="minorEastAsia" w:hAnsiTheme="minorEastAsia" w:eastAsiaTheme="minorEastAsia" w:cstheme="minorEastAsia"/>
          <w:snapToGrid w:val="0"/>
          <w:kern w:val="0"/>
          <w:szCs w:val="21"/>
        </w:rPr>
        <w:t>6</w:t>
      </w:r>
      <w:r>
        <w:rPr>
          <w:rFonts w:hint="eastAsia" w:asciiTheme="minorEastAsia" w:hAnsiTheme="minorEastAsia" w:eastAsiaTheme="minorEastAsia" w:cstheme="minorEastAsia"/>
          <w:snapToGrid w:val="0"/>
          <w:kern w:val="0"/>
          <w:szCs w:val="21"/>
          <w:lang w:val="zh-CN"/>
        </w:rPr>
        <w:t>年 12 月 1 日至 201</w:t>
      </w:r>
      <w:r>
        <w:rPr>
          <w:rFonts w:hint="eastAsia" w:asciiTheme="minorEastAsia" w:hAnsiTheme="minorEastAsia" w:eastAsiaTheme="minorEastAsia" w:cstheme="minorEastAsia"/>
          <w:snapToGrid w:val="0"/>
          <w:kern w:val="0"/>
          <w:szCs w:val="21"/>
        </w:rPr>
        <w:t>9</w:t>
      </w:r>
      <w:r>
        <w:rPr>
          <w:rFonts w:hint="eastAsia" w:asciiTheme="minorEastAsia" w:hAnsiTheme="minorEastAsia" w:eastAsiaTheme="minorEastAsia" w:cstheme="minorEastAsia"/>
          <w:snapToGrid w:val="0"/>
          <w:kern w:val="0"/>
          <w:szCs w:val="21"/>
          <w:lang w:val="zh-CN"/>
        </w:rPr>
        <w:t>年 11 月 30 日。</w:t>
      </w:r>
    </w:p>
    <w:p>
      <w:pPr>
        <w:numPr>
          <w:ilvl w:val="0"/>
          <w:numId w:val="32"/>
        </w:numPr>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rPr>
        <w:t xml:space="preserve">  </w:t>
      </w:r>
      <w:r>
        <w:rPr>
          <w:rFonts w:hint="eastAsia" w:asciiTheme="minorEastAsia" w:hAnsiTheme="minorEastAsia" w:eastAsiaTheme="minorEastAsia" w:cstheme="minorEastAsia"/>
          <w:snapToGrid w:val="0"/>
          <w:kern w:val="0"/>
          <w:szCs w:val="21"/>
          <w:lang w:val="zh-CN"/>
        </w:rPr>
        <w:t>关于提交经审计的财务报告的年份要求：递交响应文件时间如在当年 6 月 30 日以前，</w:t>
      </w:r>
      <w:r>
        <w:rPr>
          <w:rFonts w:hint="eastAsia" w:asciiTheme="minorEastAsia" w:hAnsiTheme="minorEastAsia" w:eastAsiaTheme="minorEastAsia" w:cstheme="minorEastAsia"/>
          <w:snapToGrid w:val="0"/>
          <w:kern w:val="0"/>
          <w:szCs w:val="21"/>
        </w:rPr>
        <w:t>则</w:t>
      </w:r>
      <w:r>
        <w:rPr>
          <w:rFonts w:hint="eastAsia" w:asciiTheme="minorEastAsia" w:hAnsiTheme="minorEastAsia" w:eastAsiaTheme="minorEastAsia" w:cstheme="minorEastAsia"/>
          <w:snapToGrid w:val="0"/>
          <w:kern w:val="0"/>
          <w:szCs w:val="21"/>
          <w:lang w:val="zh-CN"/>
        </w:rPr>
        <w:t>近三年指上上个年度往前推算的三年，如递交响应文件时间为 201</w:t>
      </w:r>
      <w:r>
        <w:rPr>
          <w:rFonts w:hint="eastAsia" w:asciiTheme="minorEastAsia" w:hAnsiTheme="minorEastAsia" w:eastAsiaTheme="minorEastAsia" w:cstheme="minorEastAsia"/>
          <w:snapToGrid w:val="0"/>
          <w:kern w:val="0"/>
          <w:szCs w:val="21"/>
        </w:rPr>
        <w:t>9</w:t>
      </w:r>
      <w:r>
        <w:rPr>
          <w:rFonts w:hint="eastAsia" w:asciiTheme="minorEastAsia" w:hAnsiTheme="minorEastAsia" w:eastAsiaTheme="minorEastAsia" w:cstheme="minorEastAsia"/>
          <w:snapToGrid w:val="0"/>
          <w:kern w:val="0"/>
          <w:szCs w:val="21"/>
          <w:lang w:val="zh-CN"/>
        </w:rPr>
        <w:t>年 6 月 9 日，则“近三年”</w:t>
      </w:r>
      <w:r>
        <w:rPr>
          <w:rFonts w:hint="eastAsia" w:asciiTheme="minorEastAsia" w:hAnsiTheme="minorEastAsia" w:eastAsiaTheme="minorEastAsia" w:cstheme="minorEastAsia"/>
          <w:snapToGrid w:val="0"/>
          <w:kern w:val="0"/>
          <w:szCs w:val="21"/>
        </w:rPr>
        <w:t>是</w:t>
      </w:r>
      <w:r>
        <w:rPr>
          <w:rFonts w:hint="eastAsia" w:asciiTheme="minorEastAsia" w:hAnsiTheme="minorEastAsia" w:eastAsiaTheme="minorEastAsia" w:cstheme="minorEastAsia"/>
          <w:snapToGrid w:val="0"/>
          <w:kern w:val="0"/>
          <w:szCs w:val="21"/>
          <w:lang w:val="zh-CN"/>
        </w:rPr>
        <w:t>指 201</w:t>
      </w:r>
      <w:r>
        <w:rPr>
          <w:rFonts w:hint="eastAsia" w:asciiTheme="minorEastAsia" w:hAnsiTheme="minorEastAsia" w:eastAsiaTheme="minorEastAsia" w:cstheme="minorEastAsia"/>
          <w:snapToGrid w:val="0"/>
          <w:kern w:val="0"/>
          <w:szCs w:val="21"/>
        </w:rPr>
        <w:t>5</w:t>
      </w:r>
      <w:r>
        <w:rPr>
          <w:rFonts w:hint="eastAsia" w:asciiTheme="minorEastAsia" w:hAnsiTheme="minorEastAsia" w:eastAsiaTheme="minorEastAsia" w:cstheme="minorEastAsia"/>
          <w:snapToGrid w:val="0"/>
          <w:kern w:val="0"/>
          <w:szCs w:val="21"/>
          <w:lang w:val="zh-CN"/>
        </w:rPr>
        <w:t>年度、201</w:t>
      </w:r>
      <w:r>
        <w:rPr>
          <w:rFonts w:hint="eastAsia" w:asciiTheme="minorEastAsia" w:hAnsiTheme="minorEastAsia" w:eastAsiaTheme="minorEastAsia" w:cstheme="minorEastAsia"/>
          <w:snapToGrid w:val="0"/>
          <w:kern w:val="0"/>
          <w:szCs w:val="21"/>
        </w:rPr>
        <w:t>6</w:t>
      </w:r>
      <w:r>
        <w:rPr>
          <w:rFonts w:hint="eastAsia" w:asciiTheme="minorEastAsia" w:hAnsiTheme="minorEastAsia" w:eastAsiaTheme="minorEastAsia" w:cstheme="minorEastAsia"/>
          <w:snapToGrid w:val="0"/>
          <w:kern w:val="0"/>
          <w:szCs w:val="21"/>
          <w:lang w:val="zh-CN"/>
        </w:rPr>
        <w:t>年度、201</w:t>
      </w:r>
      <w:r>
        <w:rPr>
          <w:rFonts w:hint="eastAsia" w:asciiTheme="minorEastAsia" w:hAnsiTheme="minorEastAsia" w:eastAsiaTheme="minorEastAsia" w:cstheme="minorEastAsia"/>
          <w:snapToGrid w:val="0"/>
          <w:kern w:val="0"/>
          <w:szCs w:val="21"/>
        </w:rPr>
        <w:t>7</w:t>
      </w:r>
      <w:r>
        <w:rPr>
          <w:rFonts w:hint="eastAsia" w:asciiTheme="minorEastAsia" w:hAnsiTheme="minorEastAsia" w:eastAsiaTheme="minorEastAsia" w:cstheme="minorEastAsia"/>
          <w:snapToGrid w:val="0"/>
          <w:kern w:val="0"/>
          <w:szCs w:val="21"/>
          <w:lang w:val="zh-CN"/>
        </w:rPr>
        <w:t>年度。递交响应文件时间如在当年 6 月 30 日以后，则近三年是指上个年度往前推算的 3 年，如递交响应文件时间为 201</w:t>
      </w:r>
      <w:r>
        <w:rPr>
          <w:rFonts w:hint="eastAsia" w:asciiTheme="minorEastAsia" w:hAnsiTheme="minorEastAsia" w:eastAsiaTheme="minorEastAsia" w:cstheme="minorEastAsia"/>
          <w:snapToGrid w:val="0"/>
          <w:kern w:val="0"/>
          <w:szCs w:val="21"/>
        </w:rPr>
        <w:t>9</w:t>
      </w:r>
      <w:r>
        <w:rPr>
          <w:rFonts w:hint="eastAsia" w:asciiTheme="minorEastAsia" w:hAnsiTheme="minorEastAsia" w:eastAsiaTheme="minorEastAsia" w:cstheme="minorEastAsia"/>
          <w:snapToGrid w:val="0"/>
          <w:kern w:val="0"/>
          <w:szCs w:val="21"/>
          <w:lang w:val="zh-CN"/>
        </w:rPr>
        <w:t>年 12 月 1 日，则“近三年”是指 201</w:t>
      </w:r>
      <w:r>
        <w:rPr>
          <w:rFonts w:hint="eastAsia" w:asciiTheme="minorEastAsia" w:hAnsiTheme="minorEastAsia" w:eastAsiaTheme="minorEastAsia" w:cstheme="minorEastAsia"/>
          <w:snapToGrid w:val="0"/>
          <w:kern w:val="0"/>
          <w:szCs w:val="21"/>
        </w:rPr>
        <w:t>6</w:t>
      </w:r>
      <w:r>
        <w:rPr>
          <w:rFonts w:hint="eastAsia" w:asciiTheme="minorEastAsia" w:hAnsiTheme="minorEastAsia" w:eastAsiaTheme="minorEastAsia" w:cstheme="minorEastAsia"/>
          <w:snapToGrid w:val="0"/>
          <w:kern w:val="0"/>
          <w:szCs w:val="21"/>
          <w:lang w:val="zh-CN"/>
        </w:rPr>
        <w:t>年度、201</w:t>
      </w:r>
      <w:r>
        <w:rPr>
          <w:rFonts w:hint="eastAsia" w:asciiTheme="minorEastAsia" w:hAnsiTheme="minorEastAsia" w:eastAsiaTheme="minorEastAsia" w:cstheme="minorEastAsia"/>
          <w:snapToGrid w:val="0"/>
          <w:kern w:val="0"/>
          <w:szCs w:val="21"/>
        </w:rPr>
        <w:t>7</w:t>
      </w:r>
      <w:r>
        <w:rPr>
          <w:rFonts w:hint="eastAsia" w:asciiTheme="minorEastAsia" w:hAnsiTheme="minorEastAsia" w:eastAsiaTheme="minorEastAsia" w:cstheme="minorEastAsia"/>
          <w:snapToGrid w:val="0"/>
          <w:kern w:val="0"/>
          <w:szCs w:val="21"/>
          <w:lang w:val="zh-CN"/>
        </w:rPr>
        <w:t>年度、201</w:t>
      </w:r>
      <w:r>
        <w:rPr>
          <w:rFonts w:hint="eastAsia" w:asciiTheme="minorEastAsia" w:hAnsiTheme="minorEastAsia" w:eastAsiaTheme="minorEastAsia" w:cstheme="minorEastAsia"/>
          <w:snapToGrid w:val="0"/>
          <w:kern w:val="0"/>
          <w:szCs w:val="21"/>
        </w:rPr>
        <w:t>8</w:t>
      </w:r>
      <w:r>
        <w:rPr>
          <w:rFonts w:hint="eastAsia" w:asciiTheme="minorEastAsia" w:hAnsiTheme="minorEastAsia" w:eastAsiaTheme="minorEastAsia" w:cstheme="minorEastAsia"/>
          <w:snapToGrid w:val="0"/>
          <w:kern w:val="0"/>
          <w:szCs w:val="21"/>
          <w:lang w:val="zh-CN"/>
        </w:rPr>
        <w:t>年度。</w:t>
      </w:r>
    </w:p>
    <w:p>
      <w:pPr>
        <w:numPr>
          <w:ilvl w:val="0"/>
          <w:numId w:val="32"/>
        </w:numPr>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rPr>
        <w:t xml:space="preserve">  </w:t>
      </w:r>
      <w:r>
        <w:rPr>
          <w:rFonts w:hint="eastAsia" w:asciiTheme="minorEastAsia" w:hAnsiTheme="minorEastAsia" w:eastAsiaTheme="minorEastAsia" w:cstheme="minorEastAsia"/>
          <w:snapToGrid w:val="0"/>
          <w:kern w:val="0"/>
          <w:szCs w:val="21"/>
          <w:lang w:val="zh-CN"/>
        </w:rPr>
        <w:t>本采购文件所称的“以上”、“以下”、“内”、“以内”，均包括本数；所称的“不足”，不包括本数。</w:t>
      </w:r>
    </w:p>
    <w:p>
      <w:pPr>
        <w:numPr>
          <w:ilvl w:val="0"/>
          <w:numId w:val="32"/>
        </w:numPr>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rPr>
        <w:t xml:space="preserve">  </w:t>
      </w:r>
      <w:r>
        <w:rPr>
          <w:rFonts w:hint="eastAsia" w:asciiTheme="minorEastAsia" w:hAnsiTheme="minorEastAsia" w:eastAsiaTheme="minorEastAsia" w:cstheme="minorEastAsia"/>
          <w:snapToGrid w:val="0"/>
          <w:kern w:val="0"/>
          <w:szCs w:val="21"/>
          <w:lang w:val="zh-CN"/>
        </w:rPr>
        <w:t>成立时间不足应提交财务报告年份要求的，按成立时间起算。</w:t>
      </w:r>
      <w:r>
        <w:rPr>
          <w:rFonts w:hint="eastAsia" w:asciiTheme="minorEastAsia" w:hAnsiTheme="minorEastAsia" w:eastAsiaTheme="minorEastAsia" w:cstheme="minorEastAsia"/>
          <w:snapToGrid w:val="0"/>
          <w:kern w:val="0"/>
          <w:szCs w:val="21"/>
          <w:lang w:val="zh-CN"/>
        </w:rPr>
        <w:br w:type="textWrapping"/>
      </w:r>
      <w:r>
        <w:rPr>
          <w:rFonts w:hint="eastAsia" w:asciiTheme="minorEastAsia" w:hAnsiTheme="minorEastAsia" w:eastAsiaTheme="minorEastAsia" w:cstheme="minorEastAsia"/>
          <w:snapToGrid w:val="0"/>
          <w:kern w:val="0"/>
          <w:szCs w:val="21"/>
          <w:lang w:val="zh-CN"/>
        </w:rPr>
        <w:br w:type="textWrapping"/>
      </w:r>
      <w:r>
        <w:rPr>
          <w:rFonts w:hint="eastAsia" w:asciiTheme="minorEastAsia" w:hAnsiTheme="minorEastAsia" w:eastAsiaTheme="minorEastAsia" w:cstheme="minorEastAsia"/>
          <w:snapToGrid w:val="0"/>
          <w:kern w:val="0"/>
          <w:szCs w:val="21"/>
          <w:lang w:val="zh-CN"/>
        </w:rPr>
        <w:br w:type="textWrapping"/>
      </w:r>
    </w:p>
    <w:p>
      <w:pPr>
        <w:numPr>
          <w:ilvl w:val="0"/>
          <w:numId w:val="4"/>
        </w:numPr>
        <w:jc w:val="center"/>
        <w:outlineLvl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br w:type="page"/>
      </w:r>
      <w:bookmarkStart w:id="109" w:name="_Toc2486"/>
      <w:r>
        <w:rPr>
          <w:rFonts w:hint="eastAsia" w:asciiTheme="minorEastAsia" w:hAnsiTheme="minorEastAsia" w:eastAsiaTheme="minorEastAsia" w:cstheme="minorEastAsia"/>
          <w:b/>
          <w:bCs/>
          <w:sz w:val="36"/>
          <w:szCs w:val="36"/>
        </w:rPr>
        <w:t>采购需求</w:t>
      </w:r>
      <w:bookmarkEnd w:id="109"/>
    </w:p>
    <w:p>
      <w:pPr>
        <w:autoSpaceDE w:val="0"/>
        <w:autoSpaceDN w:val="0"/>
        <w:adjustRightInd w:val="0"/>
        <w:spacing w:line="360" w:lineRule="auto"/>
        <w:outlineLvl w:val="1"/>
        <w:rPr>
          <w:rFonts w:asciiTheme="minorEastAsia" w:hAnsiTheme="minorEastAsia" w:eastAsiaTheme="minorEastAsia" w:cstheme="minorEastAsia"/>
          <w:b/>
          <w:bCs/>
          <w:sz w:val="24"/>
        </w:rPr>
      </w:pPr>
      <w:bookmarkStart w:id="110" w:name="_Toc31341"/>
      <w:r>
        <w:rPr>
          <w:rFonts w:hint="eastAsia" w:asciiTheme="minorEastAsia" w:hAnsiTheme="minorEastAsia" w:eastAsiaTheme="minorEastAsia" w:cstheme="minorEastAsia"/>
          <w:b/>
          <w:bCs/>
          <w:sz w:val="24"/>
        </w:rPr>
        <w:t>一、技术需求</w:t>
      </w:r>
      <w:bookmarkEnd w:id="110"/>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1.项目概况：</w:t>
      </w:r>
      <w:r>
        <w:rPr>
          <w:rFonts w:hint="eastAsia" w:asciiTheme="minorEastAsia" w:hAnsiTheme="minorEastAsia" w:eastAsiaTheme="minorEastAsia" w:cstheme="minorEastAsia"/>
          <w:color w:val="000000"/>
          <w:szCs w:val="21"/>
        </w:rPr>
        <w:t>本项目共为1个</w:t>
      </w:r>
      <w:r>
        <w:rPr>
          <w:rFonts w:hint="eastAsia" w:asciiTheme="minorEastAsia" w:hAnsiTheme="minorEastAsia" w:eastAsiaTheme="minorEastAsia" w:cstheme="minorEastAsia"/>
          <w:szCs w:val="21"/>
        </w:rPr>
        <w:t>包。采购内容包含集成电路IC制造微纳缺陷在线检测仪、集成电路IC制造微纳缺陷在线检测软件。</w:t>
      </w:r>
    </w:p>
    <w:p>
      <w:pPr>
        <w:autoSpaceDE w:val="0"/>
        <w:autoSpaceDN w:val="0"/>
        <w:adjustRightIn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2.设备/货物清单</w:t>
      </w:r>
    </w:p>
    <w:p>
      <w:pPr>
        <w:autoSpaceDE w:val="0"/>
        <w:autoSpaceDN w:val="0"/>
        <w:adjustRightInd w:val="0"/>
        <w:spacing w:line="360" w:lineRule="auto"/>
        <w:ind w:firstLine="211" w:firstLineChars="100"/>
        <w:rPr>
          <w:rFonts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2.1设备/货物清单</w:t>
      </w:r>
    </w:p>
    <w:tbl>
      <w:tblPr>
        <w:tblStyle w:val="26"/>
        <w:tblW w:w="95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3193"/>
        <w:gridCol w:w="1125"/>
        <w:gridCol w:w="975"/>
        <w:gridCol w:w="825"/>
        <w:gridCol w:w="1692"/>
        <w:gridCol w:w="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63" w:type="dxa"/>
            <w:vAlign w:val="center"/>
          </w:tcPr>
          <w:p>
            <w:pPr>
              <w:widowControl/>
              <w:jc w:val="center"/>
              <w:rPr>
                <w:rFonts w:ascii="宋体" w:hAnsi="宋体"/>
                <w:szCs w:val="21"/>
              </w:rPr>
            </w:pPr>
            <w:r>
              <w:rPr>
                <w:rFonts w:hint="eastAsia" w:ascii="宋体" w:hAnsi="宋体"/>
                <w:szCs w:val="21"/>
              </w:rPr>
              <w:t>序号</w:t>
            </w:r>
          </w:p>
        </w:tc>
        <w:tc>
          <w:tcPr>
            <w:tcW w:w="3193" w:type="dxa"/>
            <w:vAlign w:val="center"/>
          </w:tcPr>
          <w:p>
            <w:pPr>
              <w:widowControl/>
              <w:jc w:val="center"/>
              <w:rPr>
                <w:rFonts w:ascii="宋体" w:hAnsi="宋体"/>
                <w:szCs w:val="21"/>
              </w:rPr>
            </w:pPr>
            <w:r>
              <w:rPr>
                <w:rFonts w:hint="eastAsia" w:ascii="宋体" w:hAnsi="宋体"/>
                <w:szCs w:val="21"/>
              </w:rPr>
              <w:t>设备（服务）名称</w:t>
            </w:r>
          </w:p>
        </w:tc>
        <w:tc>
          <w:tcPr>
            <w:tcW w:w="1125" w:type="dxa"/>
            <w:vAlign w:val="center"/>
          </w:tcPr>
          <w:p>
            <w:pPr>
              <w:widowControl/>
              <w:jc w:val="center"/>
              <w:rPr>
                <w:rFonts w:ascii="宋体" w:hAnsi="宋体"/>
                <w:szCs w:val="21"/>
              </w:rPr>
            </w:pPr>
            <w:r>
              <w:rPr>
                <w:rFonts w:hint="eastAsia" w:ascii="宋体" w:hAnsi="宋体"/>
                <w:szCs w:val="21"/>
              </w:rPr>
              <w:t>计量单位</w:t>
            </w:r>
          </w:p>
        </w:tc>
        <w:tc>
          <w:tcPr>
            <w:tcW w:w="975" w:type="dxa"/>
            <w:vAlign w:val="center"/>
          </w:tcPr>
          <w:p>
            <w:pPr>
              <w:widowControl/>
              <w:jc w:val="center"/>
              <w:rPr>
                <w:rFonts w:ascii="宋体" w:hAnsi="宋体"/>
                <w:szCs w:val="21"/>
              </w:rPr>
            </w:pPr>
            <w:r>
              <w:rPr>
                <w:rFonts w:hint="eastAsia" w:ascii="宋体" w:hAnsi="宋体"/>
                <w:szCs w:val="21"/>
              </w:rPr>
              <w:t>数量</w:t>
            </w:r>
          </w:p>
        </w:tc>
        <w:tc>
          <w:tcPr>
            <w:tcW w:w="825" w:type="dxa"/>
            <w:vAlign w:val="center"/>
          </w:tcPr>
          <w:p>
            <w:pPr>
              <w:widowControl/>
              <w:jc w:val="center"/>
              <w:rPr>
                <w:rFonts w:ascii="宋体" w:hAnsi="宋体"/>
                <w:szCs w:val="21"/>
              </w:rPr>
            </w:pPr>
            <w:r>
              <w:rPr>
                <w:rFonts w:hint="eastAsia" w:ascii="宋体" w:hAnsi="宋体"/>
                <w:szCs w:val="21"/>
              </w:rPr>
              <w:t>是否</w:t>
            </w:r>
          </w:p>
          <w:p>
            <w:pPr>
              <w:widowControl/>
              <w:jc w:val="center"/>
              <w:rPr>
                <w:rFonts w:ascii="宋体" w:hAnsi="宋体"/>
                <w:szCs w:val="21"/>
              </w:rPr>
            </w:pPr>
            <w:r>
              <w:rPr>
                <w:rFonts w:hint="eastAsia" w:ascii="宋体" w:hAnsi="宋体"/>
                <w:szCs w:val="21"/>
              </w:rPr>
              <w:t>进口</w:t>
            </w:r>
          </w:p>
        </w:tc>
        <w:tc>
          <w:tcPr>
            <w:tcW w:w="1692" w:type="dxa"/>
            <w:vAlign w:val="center"/>
          </w:tcPr>
          <w:p>
            <w:pPr>
              <w:widowControl/>
              <w:jc w:val="center"/>
              <w:rPr>
                <w:rFonts w:ascii="宋体" w:hAnsi="宋体"/>
                <w:szCs w:val="21"/>
              </w:rPr>
            </w:pPr>
            <w:r>
              <w:rPr>
                <w:rFonts w:hint="eastAsia" w:ascii="宋体" w:hAnsi="宋体"/>
                <w:szCs w:val="21"/>
              </w:rPr>
              <w:t>投标最高单价限价（元）</w:t>
            </w:r>
          </w:p>
        </w:tc>
        <w:tc>
          <w:tcPr>
            <w:tcW w:w="960" w:type="dxa"/>
            <w:vAlign w:val="center"/>
          </w:tcPr>
          <w:p>
            <w:pPr>
              <w:widowControl/>
              <w:jc w:val="center"/>
              <w:rPr>
                <w:rFonts w:ascii="宋体" w:hAnsi="宋体"/>
                <w:szCs w:val="21"/>
              </w:rPr>
            </w:pPr>
            <w:r>
              <w:rPr>
                <w:rFonts w:hint="eastAsia" w:ascii="宋体" w:hAnsi="宋体"/>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763" w:type="dxa"/>
            <w:vAlign w:val="center"/>
          </w:tcPr>
          <w:p>
            <w:pPr>
              <w:jc w:val="center"/>
              <w:rPr>
                <w:rFonts w:ascii="宋体" w:hAnsi="宋体"/>
                <w:szCs w:val="21"/>
              </w:rPr>
            </w:pPr>
            <w:r>
              <w:rPr>
                <w:rFonts w:hint="eastAsia" w:ascii="宋体" w:hAnsi="宋体"/>
                <w:szCs w:val="21"/>
              </w:rPr>
              <w:t>1</w:t>
            </w:r>
          </w:p>
        </w:tc>
        <w:tc>
          <w:tcPr>
            <w:tcW w:w="3193" w:type="dxa"/>
            <w:vAlign w:val="center"/>
          </w:tcPr>
          <w:p>
            <w:r>
              <w:rPr>
                <w:szCs w:val="21"/>
              </w:rPr>
              <w:t>集成电路IC制造微纳缺陷在线检测仪</w:t>
            </w:r>
          </w:p>
        </w:tc>
        <w:tc>
          <w:tcPr>
            <w:tcW w:w="1125" w:type="dxa"/>
            <w:vAlign w:val="center"/>
          </w:tcPr>
          <w:p>
            <w:pPr>
              <w:jc w:val="center"/>
            </w:pPr>
            <w:r>
              <w:rPr>
                <w:rFonts w:hint="eastAsia"/>
              </w:rPr>
              <w:t>套</w:t>
            </w:r>
          </w:p>
        </w:tc>
        <w:tc>
          <w:tcPr>
            <w:tcW w:w="975" w:type="dxa"/>
            <w:vAlign w:val="center"/>
          </w:tcPr>
          <w:p>
            <w:pPr>
              <w:jc w:val="center"/>
            </w:pPr>
            <w:r>
              <w:rPr>
                <w:rFonts w:hint="eastAsia"/>
              </w:rPr>
              <w:t>1</w:t>
            </w:r>
          </w:p>
        </w:tc>
        <w:tc>
          <w:tcPr>
            <w:tcW w:w="825" w:type="dxa"/>
            <w:vAlign w:val="center"/>
          </w:tcPr>
          <w:p>
            <w:pPr>
              <w:jc w:val="center"/>
            </w:pPr>
            <w:r>
              <w:rPr>
                <w:rFonts w:hint="eastAsia"/>
              </w:rPr>
              <w:t>否</w:t>
            </w:r>
          </w:p>
        </w:tc>
        <w:tc>
          <w:tcPr>
            <w:tcW w:w="1692" w:type="dxa"/>
            <w:vAlign w:val="center"/>
          </w:tcPr>
          <w:p>
            <w:pPr>
              <w:jc w:val="center"/>
              <w:rPr>
                <w:rFonts w:ascii="宋体" w:hAnsi="宋体"/>
                <w:szCs w:val="21"/>
              </w:rPr>
            </w:pPr>
            <w:r>
              <w:rPr>
                <w:rFonts w:hint="eastAsia" w:ascii="宋体" w:hAnsi="宋体"/>
                <w:szCs w:val="21"/>
              </w:rPr>
              <w:t>1950000</w:t>
            </w:r>
          </w:p>
        </w:tc>
        <w:tc>
          <w:tcPr>
            <w:tcW w:w="960" w:type="dxa"/>
            <w:vAlign w:val="center"/>
          </w:tcPr>
          <w:p>
            <w:pPr>
              <w:widowControl/>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763" w:type="dxa"/>
            <w:vAlign w:val="center"/>
          </w:tcPr>
          <w:p>
            <w:pPr>
              <w:jc w:val="center"/>
              <w:rPr>
                <w:rFonts w:ascii="宋体" w:hAnsi="宋体"/>
                <w:szCs w:val="21"/>
              </w:rPr>
            </w:pPr>
            <w:r>
              <w:rPr>
                <w:rFonts w:hint="eastAsia" w:ascii="宋体" w:hAnsi="宋体"/>
                <w:szCs w:val="21"/>
              </w:rPr>
              <w:t>2</w:t>
            </w:r>
          </w:p>
        </w:tc>
        <w:tc>
          <w:tcPr>
            <w:tcW w:w="3193" w:type="dxa"/>
            <w:vAlign w:val="center"/>
          </w:tcPr>
          <w:p>
            <w:r>
              <w:rPr>
                <w:szCs w:val="21"/>
              </w:rPr>
              <w:t>集成电路IC制造微纳缺陷在线检测软件</w:t>
            </w:r>
          </w:p>
        </w:tc>
        <w:tc>
          <w:tcPr>
            <w:tcW w:w="1125" w:type="dxa"/>
            <w:vAlign w:val="center"/>
          </w:tcPr>
          <w:p>
            <w:pPr>
              <w:jc w:val="center"/>
            </w:pPr>
            <w:r>
              <w:rPr>
                <w:rFonts w:hint="eastAsia"/>
              </w:rPr>
              <w:t>套</w:t>
            </w:r>
          </w:p>
        </w:tc>
        <w:tc>
          <w:tcPr>
            <w:tcW w:w="975" w:type="dxa"/>
            <w:vAlign w:val="center"/>
          </w:tcPr>
          <w:p>
            <w:pPr>
              <w:jc w:val="center"/>
            </w:pPr>
            <w:r>
              <w:rPr>
                <w:rFonts w:hint="eastAsia"/>
              </w:rPr>
              <w:t>1</w:t>
            </w:r>
          </w:p>
        </w:tc>
        <w:tc>
          <w:tcPr>
            <w:tcW w:w="825" w:type="dxa"/>
            <w:vAlign w:val="center"/>
          </w:tcPr>
          <w:p>
            <w:pPr>
              <w:jc w:val="center"/>
            </w:pPr>
            <w:r>
              <w:rPr>
                <w:rFonts w:hint="eastAsia"/>
              </w:rPr>
              <w:t>否</w:t>
            </w:r>
          </w:p>
        </w:tc>
        <w:tc>
          <w:tcPr>
            <w:tcW w:w="1692" w:type="dxa"/>
            <w:vAlign w:val="center"/>
          </w:tcPr>
          <w:p>
            <w:pPr>
              <w:jc w:val="center"/>
              <w:rPr>
                <w:rFonts w:ascii="宋体" w:hAnsi="宋体"/>
                <w:szCs w:val="21"/>
              </w:rPr>
            </w:pPr>
            <w:r>
              <w:rPr>
                <w:rFonts w:hint="eastAsia" w:ascii="宋体" w:hAnsi="宋体"/>
                <w:szCs w:val="21"/>
              </w:rPr>
              <w:t xml:space="preserve">950000 </w:t>
            </w:r>
          </w:p>
        </w:tc>
        <w:tc>
          <w:tcPr>
            <w:tcW w:w="960" w:type="dxa"/>
            <w:vAlign w:val="center"/>
          </w:tcPr>
          <w:p>
            <w:pPr>
              <w:widowControl/>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9533" w:type="dxa"/>
            <w:gridSpan w:val="7"/>
            <w:vAlign w:val="center"/>
          </w:tcPr>
          <w:p>
            <w:pPr>
              <w:widowControl/>
              <w:jc w:val="center"/>
              <w:rPr>
                <w:rFonts w:ascii="宋体" w:hAnsi="宋体"/>
                <w:szCs w:val="21"/>
              </w:rPr>
            </w:pPr>
            <w:r>
              <w:rPr>
                <w:rFonts w:hint="eastAsia" w:ascii="宋体" w:hAnsi="宋体"/>
                <w:b/>
                <w:bCs/>
                <w:color w:val="auto"/>
                <w:szCs w:val="21"/>
              </w:rPr>
              <w:t>注：供应商所投上述产品的报价单价超过相对应的投标最高单价限价的，作废标处理。</w:t>
            </w:r>
          </w:p>
        </w:tc>
      </w:tr>
    </w:tbl>
    <w:p>
      <w:pPr>
        <w:pStyle w:val="106"/>
        <w:rPr>
          <w:rFonts w:asciiTheme="minorEastAsia" w:hAnsiTheme="minorEastAsia" w:eastAsiaTheme="minorEastAsia" w:cstheme="minorEastAsia"/>
          <w:szCs w:val="21"/>
        </w:rPr>
      </w:pPr>
    </w:p>
    <w:p>
      <w:pPr>
        <w:autoSpaceDE w:val="0"/>
        <w:autoSpaceDN w:val="0"/>
        <w:adjustRightInd w:val="0"/>
        <w:spacing w:line="360" w:lineRule="auto"/>
        <w:ind w:firstLine="211" w:firstLineChars="100"/>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szCs w:val="21"/>
        </w:rPr>
        <w:t>2.2</w:t>
      </w:r>
      <w:r>
        <w:rPr>
          <w:rFonts w:hint="eastAsia" w:asciiTheme="minorEastAsia" w:hAnsiTheme="minorEastAsia" w:eastAsiaTheme="minorEastAsia" w:cstheme="minorEastAsia"/>
          <w:b/>
          <w:bCs/>
          <w:kern w:val="0"/>
          <w:szCs w:val="21"/>
        </w:rPr>
        <w:t>技术要求</w:t>
      </w:r>
    </w:p>
    <w:tbl>
      <w:tblPr>
        <w:tblStyle w:val="27"/>
        <w:tblW w:w="97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449"/>
        <w:gridCol w:w="75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704"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1449"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设备（服务）名称</w:t>
            </w:r>
          </w:p>
        </w:tc>
        <w:tc>
          <w:tcPr>
            <w:tcW w:w="7598"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技术性能参数要求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704" w:type="dxa"/>
          </w:tcPr>
          <w:p>
            <w:pPr>
              <w:jc w:val="center"/>
              <w:rPr>
                <w:rFonts w:ascii="宋体" w:hAnsi="宋体"/>
                <w:szCs w:val="21"/>
              </w:rPr>
            </w:pPr>
            <w:r>
              <w:rPr>
                <w:rFonts w:hint="eastAsia" w:ascii="宋体" w:hAnsi="宋体"/>
                <w:szCs w:val="21"/>
              </w:rPr>
              <w:t>1</w:t>
            </w:r>
          </w:p>
        </w:tc>
        <w:tc>
          <w:tcPr>
            <w:tcW w:w="1449" w:type="dxa"/>
          </w:tcPr>
          <w:p>
            <w:pPr>
              <w:jc w:val="center"/>
            </w:pPr>
            <w:r>
              <w:rPr>
                <w:szCs w:val="21"/>
              </w:rPr>
              <w:t>集成电路IC制造微纳缺陷在线检测仪</w:t>
            </w:r>
          </w:p>
        </w:tc>
        <w:tc>
          <w:tcPr>
            <w:tcW w:w="7598" w:type="dxa"/>
          </w:tcPr>
          <w:p>
            <w:pPr>
              <w:spacing w:line="300" w:lineRule="auto"/>
              <w:rPr>
                <w:b/>
                <w:bCs/>
                <w:szCs w:val="21"/>
              </w:rPr>
            </w:pPr>
            <w:r>
              <w:rPr>
                <w:rFonts w:hint="eastAsia"/>
                <w:b/>
                <w:bCs/>
                <w:szCs w:val="21"/>
              </w:rPr>
              <w:t>一、主要功能/用途</w:t>
            </w:r>
          </w:p>
          <w:p>
            <w:pPr>
              <w:spacing w:line="300" w:lineRule="auto"/>
              <w:rPr>
                <w:color w:val="000000"/>
                <w:szCs w:val="21"/>
              </w:rPr>
            </w:pPr>
            <w:r>
              <w:rPr>
                <w:color w:val="000000"/>
                <w:szCs w:val="21"/>
              </w:rPr>
              <w:t>主要功能</w:t>
            </w:r>
            <w:r>
              <w:rPr>
                <w:rFonts w:hint="eastAsia"/>
                <w:color w:val="000000"/>
                <w:szCs w:val="21"/>
              </w:rPr>
              <w:t>包括</w:t>
            </w:r>
            <w:r>
              <w:rPr>
                <w:rFonts w:hint="eastAsia"/>
                <w:szCs w:val="21"/>
              </w:rPr>
              <w:t>用于照明被测样品的照明系统，用于照明被测样品的显微系统，用于对焦和精密位移的载物台和精密调节装置和用于形成显微干涉的系统。</w:t>
            </w:r>
            <w:r>
              <w:rPr>
                <w:szCs w:val="21"/>
              </w:rPr>
              <w:t>显微系统是</w:t>
            </w:r>
            <w:r>
              <w:rPr>
                <w:rFonts w:hint="eastAsia"/>
                <w:color w:val="000000"/>
                <w:szCs w:val="21"/>
              </w:rPr>
              <w:t>集成电路IC制造微纳缺陷检测仪</w:t>
            </w:r>
            <w:r>
              <w:rPr>
                <w:szCs w:val="21"/>
              </w:rPr>
              <w:t>的</w:t>
            </w:r>
            <w:r>
              <w:rPr>
                <w:rFonts w:hint="eastAsia"/>
                <w:szCs w:val="21"/>
              </w:rPr>
              <w:t>重要</w:t>
            </w:r>
            <w:r>
              <w:rPr>
                <w:szCs w:val="21"/>
              </w:rPr>
              <w:t>组成部分之一</w:t>
            </w:r>
            <w:r>
              <w:rPr>
                <w:rFonts w:hint="eastAsia"/>
                <w:szCs w:val="21"/>
              </w:rPr>
              <w:t>，其中包括物镜、目镜、</w:t>
            </w:r>
            <w:r>
              <w:rPr>
                <w:szCs w:val="21"/>
              </w:rPr>
              <w:t>调焦和对焦机构</w:t>
            </w:r>
            <w:r>
              <w:rPr>
                <w:rFonts w:hint="eastAsia"/>
                <w:szCs w:val="21"/>
              </w:rPr>
              <w:t>。缺陷探测模块是</w:t>
            </w:r>
            <w:r>
              <w:rPr>
                <w:rFonts w:hint="eastAsia"/>
                <w:color w:val="000000"/>
                <w:szCs w:val="21"/>
              </w:rPr>
              <w:t>集成电路IC制造微纳缺陷在线检测仪的核心功能部分，</w:t>
            </w:r>
            <w:r>
              <w:rPr>
                <w:szCs w:val="21"/>
              </w:rPr>
              <w:t>由</w:t>
            </w:r>
            <w:r>
              <w:rPr>
                <w:rFonts w:hint="eastAsia"/>
                <w:szCs w:val="21"/>
              </w:rPr>
              <w:t>高精度光路和高性能CCD</w:t>
            </w:r>
            <w:r>
              <w:rPr>
                <w:szCs w:val="21"/>
              </w:rPr>
              <w:t>构成</w:t>
            </w:r>
            <w:r>
              <w:rPr>
                <w:rFonts w:hint="eastAsia"/>
                <w:szCs w:val="21"/>
              </w:rPr>
              <w:t>，</w:t>
            </w:r>
            <w:r>
              <w:rPr>
                <w:szCs w:val="21"/>
              </w:rPr>
              <w:t>光束通过</w:t>
            </w:r>
            <w:r>
              <w:rPr>
                <w:rFonts w:hint="eastAsia"/>
                <w:szCs w:val="21"/>
              </w:rPr>
              <w:t>探测模块对样件的微纳缺陷进行检测</w:t>
            </w:r>
            <w:r>
              <w:rPr>
                <w:szCs w:val="21"/>
              </w:rPr>
              <w:t>。</w:t>
            </w:r>
            <w:r>
              <w:rPr>
                <w:rFonts w:hint="eastAsia"/>
                <w:color w:val="000000"/>
                <w:szCs w:val="21"/>
              </w:rPr>
              <w:t>这些功能使集成电路IC制造微纳缺陷在线检测仪可广泛应用于IC制造领域表面缺陷检测、IC制造工艺改进、光学材料研究等多个领域。</w:t>
            </w:r>
          </w:p>
          <w:p>
            <w:pPr>
              <w:spacing w:line="300" w:lineRule="auto"/>
              <w:rPr>
                <w:b/>
                <w:bCs/>
                <w:szCs w:val="21"/>
              </w:rPr>
            </w:pPr>
            <w:r>
              <w:rPr>
                <w:rFonts w:hint="eastAsia"/>
                <w:b/>
                <w:bCs/>
                <w:szCs w:val="21"/>
              </w:rPr>
              <w:t>二、技术参数/指标</w:t>
            </w:r>
          </w:p>
          <w:p>
            <w:pPr>
              <w:spacing w:line="300" w:lineRule="auto"/>
              <w:rPr>
                <w:szCs w:val="21"/>
              </w:rPr>
            </w:pPr>
            <w:r>
              <w:rPr>
                <w:rFonts w:hint="eastAsia"/>
                <w:szCs w:val="21"/>
              </w:rPr>
              <w:t>（一）服务器：</w:t>
            </w:r>
          </w:p>
          <w:p>
            <w:pPr>
              <w:spacing w:line="300" w:lineRule="auto"/>
              <w:rPr>
                <w:szCs w:val="21"/>
              </w:rPr>
            </w:pPr>
            <w:r>
              <w:rPr>
                <w:rFonts w:hint="eastAsia"/>
                <w:szCs w:val="21"/>
              </w:rPr>
              <w:t>1、外观：2U机架式，配置上架导轨</w:t>
            </w:r>
          </w:p>
          <w:p>
            <w:pPr>
              <w:spacing w:line="300" w:lineRule="auto"/>
              <w:rPr>
                <w:szCs w:val="21"/>
              </w:rPr>
            </w:pPr>
            <w:r>
              <w:rPr>
                <w:rFonts w:hint="eastAsia"/>
                <w:szCs w:val="21"/>
              </w:rPr>
              <w:t>2、处理器：Intel Xeon 12核及以上处理器*2颗，每颗核数≥12，24线程，动态加速频率≥2.8GHz</w:t>
            </w:r>
          </w:p>
          <w:p>
            <w:pPr>
              <w:spacing w:line="300" w:lineRule="auto"/>
              <w:rPr>
                <w:szCs w:val="21"/>
              </w:rPr>
            </w:pPr>
            <w:r>
              <w:rPr>
                <w:rFonts w:hint="eastAsia" w:asciiTheme="minorEastAsia" w:hAnsiTheme="minorEastAsia" w:eastAsiaTheme="minorEastAsia" w:cstheme="minorEastAsia"/>
                <w:sz w:val="24"/>
              </w:rPr>
              <w:t>▲</w:t>
            </w:r>
            <w:r>
              <w:rPr>
                <w:rFonts w:hint="eastAsia"/>
                <w:szCs w:val="21"/>
              </w:rPr>
              <w:t>3、内存：内存插槽≥24个；内存容量：≥128GB DDR4</w:t>
            </w:r>
          </w:p>
          <w:p>
            <w:pPr>
              <w:spacing w:line="300" w:lineRule="auto"/>
              <w:rPr>
                <w:szCs w:val="21"/>
              </w:rPr>
            </w:pPr>
            <w:r>
              <w:rPr>
                <w:rFonts w:hint="eastAsia" w:asciiTheme="minorEastAsia" w:hAnsiTheme="minorEastAsia" w:eastAsiaTheme="minorEastAsia" w:cstheme="minorEastAsia"/>
                <w:sz w:val="24"/>
              </w:rPr>
              <w:t>▲</w:t>
            </w:r>
            <w:r>
              <w:rPr>
                <w:rFonts w:hint="eastAsia"/>
                <w:szCs w:val="21"/>
              </w:rPr>
              <w:t>4、硬盘：机械硬盘容量≥4TB SAS ；固态硬盘≥2T SSD硬盘；</w:t>
            </w:r>
          </w:p>
          <w:p>
            <w:pPr>
              <w:spacing w:line="300" w:lineRule="auto"/>
              <w:rPr>
                <w:szCs w:val="21"/>
              </w:rPr>
            </w:pPr>
            <w:r>
              <w:rPr>
                <w:szCs w:val="21"/>
              </w:rPr>
              <w:t>5</w:t>
            </w:r>
            <w:r>
              <w:rPr>
                <w:rFonts w:hint="eastAsia"/>
                <w:szCs w:val="21"/>
              </w:rPr>
              <w:t>、网口及模块：千兆网口≥2个</w:t>
            </w:r>
          </w:p>
          <w:p>
            <w:pPr>
              <w:spacing w:line="300" w:lineRule="auto"/>
              <w:rPr>
                <w:szCs w:val="21"/>
              </w:rPr>
            </w:pPr>
            <w:r>
              <w:rPr>
                <w:szCs w:val="21"/>
              </w:rPr>
              <w:t>6</w:t>
            </w:r>
            <w:r>
              <w:rPr>
                <w:rFonts w:hint="eastAsia"/>
                <w:szCs w:val="21"/>
              </w:rPr>
              <w:t>、显卡：数量1块；CUDA核心≥4864个；显存容量≥8GB；显存类型：DDR6；显存位宽≥256bit</w:t>
            </w:r>
          </w:p>
          <w:p>
            <w:pPr>
              <w:spacing w:line="300" w:lineRule="auto"/>
              <w:rPr>
                <w:szCs w:val="21"/>
              </w:rPr>
            </w:pPr>
            <w:r>
              <w:rPr>
                <w:szCs w:val="21"/>
              </w:rPr>
              <w:t>7</w:t>
            </w:r>
            <w:r>
              <w:rPr>
                <w:rFonts w:hint="eastAsia"/>
                <w:szCs w:val="21"/>
              </w:rPr>
              <w:t>、系统管理软件：可通过可视化工具提供系统未来状况的可视显示</w:t>
            </w:r>
          </w:p>
          <w:p>
            <w:pPr>
              <w:spacing w:line="300" w:lineRule="auto"/>
              <w:rPr>
                <w:szCs w:val="21"/>
              </w:rPr>
            </w:pPr>
            <w:r>
              <w:rPr>
                <w:szCs w:val="21"/>
              </w:rPr>
              <w:t>8</w:t>
            </w:r>
            <w:r>
              <w:rPr>
                <w:rFonts w:hint="eastAsia"/>
                <w:szCs w:val="21"/>
              </w:rPr>
              <w:t>、远程管理控制端口：支持远程监控图形界面</w:t>
            </w:r>
          </w:p>
          <w:p>
            <w:pPr>
              <w:spacing w:line="300" w:lineRule="auto"/>
              <w:rPr>
                <w:szCs w:val="21"/>
              </w:rPr>
            </w:pPr>
            <w:r>
              <w:rPr>
                <w:rFonts w:hint="eastAsia" w:asciiTheme="minorEastAsia" w:hAnsiTheme="minorEastAsia" w:eastAsiaTheme="minorEastAsia" w:cstheme="minorEastAsia"/>
                <w:sz w:val="24"/>
              </w:rPr>
              <w:t>▲</w:t>
            </w:r>
            <w:r>
              <w:rPr>
                <w:szCs w:val="21"/>
              </w:rPr>
              <w:t>9</w:t>
            </w:r>
            <w:r>
              <w:rPr>
                <w:rFonts w:hint="eastAsia"/>
                <w:szCs w:val="21"/>
              </w:rPr>
              <w:t>、集成第三方安全软件：自定义仪表大厅，包含：系统信息，接口信息，DDNS状态、NTP状态、图像、接口数据、网关状态、GEOM镜像、OpenVPN、服务状态、网络唤醒、IPsec、RSS、硬盘状态、日志等。</w:t>
            </w:r>
          </w:p>
          <w:p>
            <w:pPr>
              <w:spacing w:line="300" w:lineRule="auto"/>
              <w:rPr>
                <w:szCs w:val="21"/>
              </w:rPr>
            </w:pPr>
            <w:r>
              <w:rPr>
                <w:rFonts w:hint="eastAsia"/>
                <w:szCs w:val="21"/>
              </w:rPr>
              <w:t>支持别名管理：可根据主机、网络、端口、网址、网址表设置别名；</w:t>
            </w:r>
          </w:p>
          <w:p>
            <w:pPr>
              <w:spacing w:line="300" w:lineRule="auto"/>
              <w:rPr>
                <w:szCs w:val="21"/>
              </w:rPr>
            </w:pPr>
            <w:r>
              <w:rPr>
                <w:rFonts w:hint="eastAsia"/>
                <w:szCs w:val="21"/>
              </w:rPr>
              <w:t xml:space="preserve">地址转换：支持TCP、UDP、TCP/UDP、ICMP、ESP、AH、GRE、IPV6、IGMP、PIM、OSPF协议转换； </w:t>
            </w:r>
          </w:p>
          <w:p>
            <w:pPr>
              <w:spacing w:line="300" w:lineRule="auto"/>
              <w:rPr>
                <w:szCs w:val="21"/>
              </w:rPr>
            </w:pPr>
            <w:r>
              <w:rPr>
                <w:rFonts w:hint="eastAsia"/>
                <w:szCs w:val="21"/>
              </w:rPr>
              <w:t>时间计划：可根据日期、小时、分计划策略；</w:t>
            </w:r>
          </w:p>
          <w:p>
            <w:pPr>
              <w:spacing w:line="300" w:lineRule="auto"/>
              <w:rPr>
                <w:szCs w:val="21"/>
              </w:rPr>
            </w:pPr>
            <w:r>
              <w:rPr>
                <w:rFonts w:hint="eastAsia"/>
                <w:szCs w:val="21"/>
              </w:rPr>
              <w:t>流量控制：可根据HFSC、CBQ、FAIRQ、CODELQ、PRIQ等调度类型控制WAN口LAN口流量；</w:t>
            </w:r>
          </w:p>
          <w:p>
            <w:pPr>
              <w:spacing w:line="300" w:lineRule="auto"/>
              <w:rPr>
                <w:szCs w:val="21"/>
              </w:rPr>
            </w:pPr>
            <w:r>
              <w:rPr>
                <w:rFonts w:hint="eastAsia"/>
                <w:szCs w:val="21"/>
              </w:rPr>
              <w:t>虚拟地址：支持IP别名、CARP、代理ARP以及其他类型的虚拟IP；</w:t>
            </w:r>
          </w:p>
          <w:p>
            <w:pPr>
              <w:spacing w:line="300" w:lineRule="auto"/>
              <w:rPr>
                <w:szCs w:val="21"/>
              </w:rPr>
            </w:pPr>
            <w:r>
              <w:rPr>
                <w:rFonts w:hint="eastAsia"/>
                <w:szCs w:val="21"/>
              </w:rPr>
              <w:t>规则策略：支持TCP、UDP、TCP/UDP、ICMP、ESP、AH、GRE、IPV6、EoIP、IGMP、PIM、OSPF、SCTP、CARP、PFSYNC等协议的防火墙规则。</w:t>
            </w:r>
          </w:p>
          <w:p>
            <w:pPr>
              <w:spacing w:line="300" w:lineRule="auto"/>
              <w:rPr>
                <w:szCs w:val="21"/>
              </w:rPr>
            </w:pPr>
            <w:r>
              <w:rPr>
                <w:rFonts w:hint="eastAsia"/>
                <w:szCs w:val="21"/>
              </w:rPr>
              <w:t>支持查看CARP、DHCP、DHCPv6、DNS解析、IPsec、Monitoring、NTP、OpenVPN、UPnP、服务、流量图表、系统日志等类型的状态。</w:t>
            </w:r>
          </w:p>
          <w:p>
            <w:pPr>
              <w:spacing w:line="300" w:lineRule="auto"/>
              <w:rPr>
                <w:szCs w:val="21"/>
              </w:rPr>
            </w:pPr>
            <w:r>
              <w:rPr>
                <w:rFonts w:hint="eastAsia"/>
                <w:szCs w:val="21"/>
              </w:rPr>
              <w:t xml:space="preserve">支持VPN：IPSec , L2TP ,OPENVPN; </w:t>
            </w:r>
          </w:p>
          <w:p>
            <w:pPr>
              <w:spacing w:line="300" w:lineRule="auto"/>
              <w:rPr>
                <w:szCs w:val="21"/>
              </w:rPr>
            </w:pPr>
            <w:r>
              <w:rPr>
                <w:rFonts w:hint="eastAsia"/>
                <w:szCs w:val="21"/>
              </w:rPr>
              <w:t>服务：支持DDNS、DHCPv6中继、DHCPv6服务、DHCP中继、DHCP服务、DNS解析、DNS转发、IGMP代理、NTP、PPPoE服务器、SNMP、UPnP、可备份设置，网络唤醒等</w:t>
            </w:r>
          </w:p>
          <w:p>
            <w:pPr>
              <w:spacing w:line="300" w:lineRule="auto"/>
              <w:rPr>
                <w:szCs w:val="21"/>
              </w:rPr>
            </w:pPr>
            <w:r>
              <w:rPr>
                <w:rFonts w:hint="eastAsia"/>
                <w:szCs w:val="21"/>
              </w:rPr>
              <w:t>插件管理：arping、arpwatch、Avahi、bandwidthd、bind、cellular、filer、frr、haproxy、iperf、FTP_Client_Proxy，LADVD、LCDproc、Lightsquid、lldpd、mailreport、mtr-nox11、nmap、node_exporter、nrpe、ntopng、nut、zeek、zabbix-proxy6等，插件数量≥50个，使用以上插件不额外收费。</w:t>
            </w:r>
          </w:p>
          <w:p>
            <w:pPr>
              <w:spacing w:line="300" w:lineRule="auto"/>
              <w:rPr>
                <w:szCs w:val="21"/>
              </w:rPr>
            </w:pPr>
            <w:r>
              <w:rPr>
                <w:rFonts w:hint="eastAsia" w:cstheme="minorEastAsia"/>
                <w:szCs w:val="21"/>
              </w:rPr>
              <w:t>（</w:t>
            </w:r>
            <w:r>
              <w:rPr>
                <w:rFonts w:hint="eastAsia"/>
                <w:szCs w:val="21"/>
              </w:rPr>
              <w:t>二）高度稳定光源系统:</w:t>
            </w:r>
          </w:p>
          <w:p>
            <w:pPr>
              <w:spacing w:line="300" w:lineRule="auto"/>
              <w:rPr>
                <w:szCs w:val="21"/>
              </w:rPr>
            </w:pPr>
            <w:r>
              <w:rPr>
                <w:rFonts w:hint="eastAsia"/>
                <w:szCs w:val="21"/>
              </w:rPr>
              <w:t>1、标称波长：</w:t>
            </w:r>
            <w:r>
              <w:rPr>
                <w:rFonts w:hint="eastAsia"/>
              </w:rPr>
              <w:t>≦</w:t>
            </w:r>
            <w:r>
              <w:rPr>
                <w:rFonts w:hint="eastAsia"/>
                <w:szCs w:val="21"/>
              </w:rPr>
              <w:t>633nm</w:t>
            </w:r>
          </w:p>
          <w:p>
            <w:pPr>
              <w:spacing w:line="300" w:lineRule="auto"/>
              <w:rPr>
                <w:szCs w:val="21"/>
              </w:rPr>
            </w:pPr>
            <w:r>
              <w:rPr>
                <w:rFonts w:hint="eastAsia" w:asciiTheme="minorEastAsia" w:hAnsiTheme="minorEastAsia" w:eastAsiaTheme="minorEastAsia" w:cstheme="minorEastAsia"/>
                <w:sz w:val="24"/>
              </w:rPr>
              <w:t>▲</w:t>
            </w:r>
            <w:r>
              <w:rPr>
                <w:rFonts w:hint="eastAsia"/>
                <w:szCs w:val="21"/>
              </w:rPr>
              <w:t>2、稳定电源：</w:t>
            </w:r>
            <w:r>
              <w:rPr>
                <w:rFonts w:hint="eastAsia"/>
              </w:rPr>
              <w:t>≧</w:t>
            </w:r>
            <w:r>
              <w:rPr>
                <w:rFonts w:hint="eastAsia"/>
                <w:szCs w:val="21"/>
              </w:rPr>
              <w:t>1.2mW</w:t>
            </w:r>
          </w:p>
          <w:p>
            <w:pPr>
              <w:spacing w:line="300" w:lineRule="auto"/>
              <w:rPr>
                <w:szCs w:val="21"/>
              </w:rPr>
            </w:pPr>
            <w:r>
              <w:rPr>
                <w:rFonts w:hint="eastAsia"/>
                <w:szCs w:val="21"/>
              </w:rPr>
              <w:t>3、偏振：线性，</w:t>
            </w:r>
            <w:r>
              <w:rPr>
                <w:rFonts w:hint="eastAsia"/>
              </w:rPr>
              <w:t>≧</w:t>
            </w:r>
            <w:r>
              <w:rPr>
                <w:rFonts w:hint="eastAsia"/>
                <w:szCs w:val="21"/>
              </w:rPr>
              <w:t>1000:1</w:t>
            </w:r>
          </w:p>
          <w:p>
            <w:pPr>
              <w:spacing w:line="300" w:lineRule="auto"/>
              <w:rPr>
                <w:szCs w:val="21"/>
              </w:rPr>
            </w:pPr>
            <w:r>
              <w:rPr>
                <w:rFonts w:hint="eastAsia" w:asciiTheme="minorEastAsia" w:hAnsiTheme="minorEastAsia" w:eastAsiaTheme="minorEastAsia" w:cstheme="minorEastAsia"/>
                <w:sz w:val="24"/>
              </w:rPr>
              <w:t>▲</w:t>
            </w:r>
            <w:r>
              <w:rPr>
                <w:rFonts w:hint="eastAsia"/>
                <w:szCs w:val="21"/>
              </w:rPr>
              <w:t>4、光束直径：0.65 ± 0.05 mm；</w:t>
            </w:r>
          </w:p>
          <w:p>
            <w:pPr>
              <w:spacing w:line="300" w:lineRule="auto"/>
              <w:rPr>
                <w:szCs w:val="21"/>
              </w:rPr>
            </w:pPr>
            <w:r>
              <w:rPr>
                <w:rFonts w:hint="eastAsia"/>
                <w:szCs w:val="21"/>
              </w:rPr>
              <w:t>5、光束发散：1.4 ± 0.2 mrad；</w:t>
            </w:r>
          </w:p>
          <w:p>
            <w:pPr>
              <w:spacing w:line="300" w:lineRule="auto"/>
              <w:rPr>
                <w:szCs w:val="21"/>
              </w:rPr>
            </w:pPr>
            <w:r>
              <w:rPr>
                <w:rFonts w:hint="eastAsia"/>
                <w:szCs w:val="21"/>
              </w:rPr>
              <w:t>6、热身期间光束漂移：</w:t>
            </w:r>
            <w:r>
              <w:rPr>
                <w:rFonts w:hint="eastAsia"/>
              </w:rPr>
              <w:t>≦</w:t>
            </w:r>
            <w:r>
              <w:rPr>
                <w:rFonts w:hint="eastAsia"/>
                <w:szCs w:val="21"/>
              </w:rPr>
              <w:t xml:space="preserve"> 0.2 mrad ；</w:t>
            </w:r>
          </w:p>
          <w:p>
            <w:pPr>
              <w:spacing w:line="300" w:lineRule="auto"/>
              <w:rPr>
                <w:szCs w:val="21"/>
              </w:rPr>
            </w:pPr>
            <w:r>
              <w:rPr>
                <w:rFonts w:hint="eastAsia" w:asciiTheme="minorEastAsia" w:hAnsiTheme="minorEastAsia" w:eastAsiaTheme="minorEastAsia" w:cstheme="minorEastAsia"/>
                <w:sz w:val="24"/>
              </w:rPr>
              <w:t>▲</w:t>
            </w:r>
            <w:r>
              <w:rPr>
                <w:rFonts w:hint="eastAsia"/>
                <w:szCs w:val="21"/>
              </w:rPr>
              <w:t>7、长时间光束漂移：</w:t>
            </w:r>
            <w:r>
              <w:rPr>
                <w:rFonts w:hint="eastAsia"/>
              </w:rPr>
              <w:t>≦</w:t>
            </w:r>
            <w:r>
              <w:rPr>
                <w:rFonts w:hint="eastAsia"/>
                <w:szCs w:val="21"/>
              </w:rPr>
              <w:t xml:space="preserve">0.02 mrad </w:t>
            </w:r>
          </w:p>
          <w:p>
            <w:pPr>
              <w:spacing w:line="300" w:lineRule="auto"/>
              <w:rPr>
                <w:szCs w:val="21"/>
              </w:rPr>
            </w:pPr>
            <w:r>
              <w:rPr>
                <w:rFonts w:hint="eastAsia"/>
                <w:szCs w:val="21"/>
              </w:rPr>
              <w:t>8、带宽：</w:t>
            </w:r>
            <w:r>
              <w:rPr>
                <w:rFonts w:hint="eastAsia"/>
              </w:rPr>
              <w:t>≦</w:t>
            </w:r>
            <w:r>
              <w:rPr>
                <w:rFonts w:hint="eastAsia"/>
                <w:szCs w:val="21"/>
              </w:rPr>
              <w:t>30nm</w:t>
            </w:r>
          </w:p>
          <w:p>
            <w:pPr>
              <w:spacing w:line="300" w:lineRule="auto"/>
              <w:rPr>
                <w:szCs w:val="21"/>
              </w:rPr>
            </w:pPr>
            <w:r>
              <w:rPr>
                <w:rFonts w:hint="eastAsia"/>
                <w:szCs w:val="21"/>
              </w:rPr>
              <w:t>9、光源噪声：</w:t>
            </w:r>
            <w:r>
              <w:rPr>
                <w:rFonts w:hint="eastAsia"/>
              </w:rPr>
              <w:t>≦</w:t>
            </w:r>
            <w:r>
              <w:rPr>
                <w:rFonts w:hint="eastAsia"/>
                <w:szCs w:val="21"/>
              </w:rPr>
              <w:t>1% rms ；</w:t>
            </w:r>
          </w:p>
          <w:p>
            <w:pPr>
              <w:spacing w:line="300" w:lineRule="auto"/>
              <w:rPr>
                <w:szCs w:val="21"/>
              </w:rPr>
            </w:pPr>
            <w:r>
              <w:rPr>
                <w:rFonts w:hint="eastAsia"/>
                <w:szCs w:val="21"/>
              </w:rPr>
              <w:t>10、工作温度：15 - 30 °C；</w:t>
            </w:r>
          </w:p>
          <w:p>
            <w:pPr>
              <w:spacing w:line="300" w:lineRule="auto"/>
              <w:rPr>
                <w:szCs w:val="21"/>
              </w:rPr>
            </w:pPr>
            <w:r>
              <w:rPr>
                <w:rFonts w:hint="eastAsia"/>
                <w:szCs w:val="21"/>
              </w:rPr>
              <w:t>11、寿命：</w:t>
            </w:r>
            <w:r>
              <w:rPr>
                <w:rFonts w:hint="eastAsia"/>
              </w:rPr>
              <w:t>≧</w:t>
            </w:r>
            <w:r>
              <w:rPr>
                <w:rFonts w:hint="eastAsia"/>
                <w:szCs w:val="21"/>
              </w:rPr>
              <w:t>50000小时</w:t>
            </w:r>
          </w:p>
          <w:p>
            <w:pPr>
              <w:spacing w:line="300" w:lineRule="auto"/>
              <w:rPr>
                <w:szCs w:val="21"/>
              </w:rPr>
            </w:pPr>
            <w:r>
              <w:rPr>
                <w:rFonts w:hint="eastAsia"/>
                <w:szCs w:val="21"/>
              </w:rPr>
              <w:t>12、重量：</w:t>
            </w:r>
            <w:r>
              <w:rPr>
                <w:rFonts w:hint="eastAsia"/>
              </w:rPr>
              <w:t>≦</w:t>
            </w:r>
            <w:r>
              <w:rPr>
                <w:rFonts w:hint="eastAsia"/>
                <w:szCs w:val="21"/>
              </w:rPr>
              <w:t>600g</w:t>
            </w:r>
          </w:p>
          <w:p>
            <w:pPr>
              <w:spacing w:line="300" w:lineRule="auto"/>
              <w:rPr>
                <w:szCs w:val="21"/>
              </w:rPr>
            </w:pPr>
            <w:r>
              <w:rPr>
                <w:rFonts w:hint="eastAsia"/>
                <w:szCs w:val="21"/>
              </w:rPr>
              <w:t>（三）高分辨率实时探测单元</w:t>
            </w:r>
          </w:p>
          <w:p>
            <w:pPr>
              <w:spacing w:line="300" w:lineRule="auto"/>
              <w:rPr>
                <w:szCs w:val="21"/>
              </w:rPr>
            </w:pPr>
            <w:r>
              <w:rPr>
                <w:rFonts w:hint="eastAsia"/>
                <w:szCs w:val="21"/>
              </w:rPr>
              <w:t>1、二维衍射光栅衍射效率：</w:t>
            </w:r>
            <w:r>
              <w:rPr>
                <w:rFonts w:hint="eastAsia"/>
              </w:rPr>
              <w:t>≧</w:t>
            </w:r>
            <w:r>
              <w:rPr>
                <w:rFonts w:hint="eastAsia"/>
                <w:szCs w:val="21"/>
              </w:rPr>
              <w:t>87%</w:t>
            </w:r>
          </w:p>
          <w:p>
            <w:pPr>
              <w:spacing w:line="300" w:lineRule="auto"/>
              <w:rPr>
                <w:szCs w:val="21"/>
              </w:rPr>
            </w:pPr>
            <w:r>
              <w:rPr>
                <w:rFonts w:hint="eastAsia"/>
                <w:szCs w:val="21"/>
              </w:rPr>
              <w:t>2、空间（横向）分辨率：</w:t>
            </w:r>
            <w:r>
              <w:rPr>
                <w:rFonts w:hint="eastAsia"/>
              </w:rPr>
              <w:t>≧</w:t>
            </w:r>
            <w:r>
              <w:rPr>
                <w:rFonts w:hint="eastAsia"/>
                <w:szCs w:val="21"/>
              </w:rPr>
              <w:t>19.5µm</w:t>
            </w:r>
          </w:p>
          <w:p>
            <w:pPr>
              <w:spacing w:line="300" w:lineRule="auto"/>
              <w:rPr>
                <w:szCs w:val="21"/>
              </w:rPr>
            </w:pPr>
            <w:r>
              <w:rPr>
                <w:rFonts w:hint="eastAsia"/>
                <w:szCs w:val="21"/>
              </w:rPr>
              <w:t>3、相位分辨率：</w:t>
            </w:r>
            <w:r>
              <w:rPr>
                <w:rFonts w:hint="eastAsia"/>
              </w:rPr>
              <w:t>≦</w:t>
            </w:r>
            <w:r>
              <w:rPr>
                <w:rFonts w:hint="eastAsia"/>
                <w:szCs w:val="21"/>
              </w:rPr>
              <w:t>3nm</w:t>
            </w:r>
          </w:p>
          <w:p>
            <w:pPr>
              <w:spacing w:line="300" w:lineRule="auto"/>
              <w:rPr>
                <w:szCs w:val="21"/>
              </w:rPr>
            </w:pPr>
            <w:r>
              <w:rPr>
                <w:rFonts w:hint="eastAsia"/>
                <w:szCs w:val="21"/>
              </w:rPr>
              <w:t>4、动态范围最高达：</w:t>
            </w:r>
            <w:r>
              <w:rPr>
                <w:rFonts w:hint="eastAsia"/>
              </w:rPr>
              <w:t>≦</w:t>
            </w:r>
            <w:r>
              <w:rPr>
                <w:rFonts w:hint="eastAsia"/>
                <w:szCs w:val="21"/>
              </w:rPr>
              <w:t>500µm</w:t>
            </w:r>
          </w:p>
          <w:p>
            <w:pPr>
              <w:spacing w:line="300" w:lineRule="auto"/>
              <w:rPr>
                <w:szCs w:val="21"/>
              </w:rPr>
            </w:pPr>
            <w:r>
              <w:rPr>
                <w:rFonts w:hint="eastAsia"/>
                <w:szCs w:val="21"/>
              </w:rPr>
              <w:t>5、芯片规格：</w:t>
            </w:r>
            <w:r>
              <w:rPr>
                <w:rFonts w:hint="eastAsia"/>
              </w:rPr>
              <w:t>≧</w:t>
            </w:r>
            <w:r>
              <w:rPr>
                <w:rFonts w:hint="eastAsia"/>
                <w:szCs w:val="21"/>
              </w:rPr>
              <w:t>2560 x 2160</w:t>
            </w:r>
          </w:p>
          <w:p>
            <w:pPr>
              <w:spacing w:line="300" w:lineRule="auto"/>
              <w:rPr>
                <w:szCs w:val="21"/>
              </w:rPr>
            </w:pPr>
            <w:r>
              <w:rPr>
                <w:rFonts w:hint="eastAsia"/>
                <w:szCs w:val="21"/>
              </w:rPr>
              <w:t>6、像素大小：</w:t>
            </w:r>
            <w:r>
              <w:rPr>
                <w:rFonts w:hint="eastAsia"/>
              </w:rPr>
              <w:t>≧</w:t>
            </w:r>
            <w:r>
              <w:rPr>
                <w:rFonts w:hint="eastAsia"/>
                <w:szCs w:val="21"/>
              </w:rPr>
              <w:t>6.5µm</w:t>
            </w:r>
          </w:p>
          <w:p>
            <w:pPr>
              <w:spacing w:line="300" w:lineRule="auto"/>
              <w:rPr>
                <w:szCs w:val="21"/>
              </w:rPr>
            </w:pPr>
            <w:r>
              <w:rPr>
                <w:rFonts w:hint="eastAsia"/>
                <w:szCs w:val="21"/>
              </w:rPr>
              <w:t>7、QE 峰值：</w:t>
            </w:r>
            <w:r>
              <w:rPr>
                <w:rFonts w:hint="eastAsia"/>
              </w:rPr>
              <w:t>≧</w:t>
            </w:r>
            <w:r>
              <w:rPr>
                <w:rFonts w:hint="eastAsia"/>
                <w:szCs w:val="21"/>
              </w:rPr>
              <w:t>82%</w:t>
            </w:r>
          </w:p>
          <w:p>
            <w:pPr>
              <w:spacing w:line="300" w:lineRule="auto"/>
              <w:rPr>
                <w:szCs w:val="21"/>
              </w:rPr>
            </w:pPr>
            <w:r>
              <w:rPr>
                <w:rFonts w:hint="eastAsia"/>
                <w:szCs w:val="21"/>
              </w:rPr>
              <w:t>8、冷却：</w:t>
            </w:r>
            <w:r>
              <w:rPr>
                <w:rFonts w:hint="eastAsia"/>
              </w:rPr>
              <w:t>≦</w:t>
            </w:r>
            <w:r>
              <w:rPr>
                <w:rFonts w:hint="eastAsia"/>
                <w:szCs w:val="21"/>
              </w:rPr>
              <w:t>-5°C</w:t>
            </w:r>
          </w:p>
          <w:p>
            <w:pPr>
              <w:spacing w:line="300" w:lineRule="auto"/>
              <w:rPr>
                <w:szCs w:val="21"/>
              </w:rPr>
            </w:pPr>
            <w:r>
              <w:rPr>
                <w:rFonts w:hint="eastAsia"/>
                <w:szCs w:val="21"/>
              </w:rPr>
              <w:t>9、帧速率：</w:t>
            </w:r>
            <w:r>
              <w:rPr>
                <w:rFonts w:hint="eastAsia"/>
              </w:rPr>
              <w:t>≧</w:t>
            </w:r>
            <w:r>
              <w:rPr>
                <w:rFonts w:hint="eastAsia"/>
                <w:szCs w:val="21"/>
              </w:rPr>
              <w:t>40fps</w:t>
            </w:r>
          </w:p>
          <w:p>
            <w:pPr>
              <w:spacing w:line="300" w:lineRule="auto"/>
              <w:rPr>
                <w:szCs w:val="21"/>
              </w:rPr>
            </w:pPr>
            <w:r>
              <w:rPr>
                <w:rFonts w:hint="eastAsia"/>
                <w:szCs w:val="21"/>
              </w:rPr>
              <w:t>10、读取噪声值：</w:t>
            </w:r>
            <w:r>
              <w:rPr>
                <w:rFonts w:hint="eastAsia"/>
              </w:rPr>
              <w:t>≦</w:t>
            </w:r>
            <w:r>
              <w:rPr>
                <w:rFonts w:hint="eastAsia"/>
                <w:szCs w:val="21"/>
              </w:rPr>
              <w:t>0.9e-</w:t>
            </w:r>
          </w:p>
          <w:p>
            <w:pPr>
              <w:spacing w:line="300" w:lineRule="auto"/>
              <w:rPr>
                <w:szCs w:val="21"/>
              </w:rPr>
            </w:pPr>
            <w:r>
              <w:rPr>
                <w:rFonts w:hint="eastAsia"/>
                <w:szCs w:val="21"/>
              </w:rPr>
              <w:t>11、接口：USB 3.0和Camera Link (10T)</w:t>
            </w:r>
          </w:p>
          <w:p>
            <w:pPr>
              <w:spacing w:line="300" w:lineRule="auto"/>
              <w:rPr>
                <w:szCs w:val="21"/>
              </w:rPr>
            </w:pPr>
            <w:r>
              <w:rPr>
                <w:rFonts w:hint="eastAsia"/>
                <w:szCs w:val="21"/>
              </w:rPr>
              <w:t>12、像素井深：</w:t>
            </w:r>
            <w:r>
              <w:rPr>
                <w:rFonts w:hint="eastAsia"/>
              </w:rPr>
              <w:t>≧</w:t>
            </w:r>
            <w:r>
              <w:rPr>
                <w:rFonts w:hint="eastAsia"/>
                <w:szCs w:val="21"/>
              </w:rPr>
              <w:t>30000e-</w:t>
            </w:r>
          </w:p>
          <w:p>
            <w:pPr>
              <w:spacing w:line="300" w:lineRule="auto"/>
              <w:rPr>
                <w:szCs w:val="21"/>
              </w:rPr>
            </w:pPr>
            <w:r>
              <w:rPr>
                <w:rFonts w:hint="eastAsia" w:cstheme="minorEastAsia"/>
                <w:szCs w:val="21"/>
              </w:rPr>
              <w:t>（</w:t>
            </w:r>
            <w:r>
              <w:rPr>
                <w:rFonts w:hint="eastAsia"/>
                <w:szCs w:val="21"/>
              </w:rPr>
              <w:t>四）精密机械系统</w:t>
            </w:r>
          </w:p>
          <w:p>
            <w:pPr>
              <w:spacing w:line="300" w:lineRule="auto"/>
              <w:rPr>
                <w:szCs w:val="21"/>
              </w:rPr>
            </w:pPr>
            <w:r>
              <w:rPr>
                <w:rFonts w:hint="eastAsia"/>
                <w:szCs w:val="21"/>
              </w:rPr>
              <w:t>1、主体材质：6061-T6铝合金；</w:t>
            </w:r>
          </w:p>
          <w:p>
            <w:pPr>
              <w:spacing w:line="300" w:lineRule="auto"/>
              <w:rPr>
                <w:szCs w:val="21"/>
              </w:rPr>
            </w:pPr>
            <w:r>
              <w:rPr>
                <w:rFonts w:hint="eastAsia"/>
                <w:szCs w:val="21"/>
              </w:rPr>
              <w:t>2、表面处理：黑色阳极氧化;</w:t>
            </w:r>
          </w:p>
          <w:p>
            <w:pPr>
              <w:spacing w:line="300" w:lineRule="auto"/>
              <w:rPr>
                <w:szCs w:val="21"/>
              </w:rPr>
            </w:pPr>
            <w:r>
              <w:rPr>
                <w:rFonts w:hint="eastAsia"/>
                <w:szCs w:val="21"/>
              </w:rPr>
              <w:t>3、重量：</w:t>
            </w:r>
            <w:r>
              <w:rPr>
                <w:rFonts w:hint="eastAsia"/>
              </w:rPr>
              <w:t>≦</w:t>
            </w:r>
            <w:r>
              <w:rPr>
                <w:rFonts w:hint="eastAsia"/>
                <w:szCs w:val="21"/>
              </w:rPr>
              <w:t>40kg;</w:t>
            </w:r>
          </w:p>
          <w:p>
            <w:pPr>
              <w:spacing w:line="300" w:lineRule="auto"/>
              <w:rPr>
                <w:szCs w:val="21"/>
              </w:rPr>
            </w:pPr>
            <w:r>
              <w:rPr>
                <w:rFonts w:hint="eastAsia"/>
                <w:szCs w:val="21"/>
              </w:rPr>
              <w:t>4、尺寸：</w:t>
            </w:r>
            <w:r>
              <w:rPr>
                <w:rFonts w:hint="eastAsia"/>
              </w:rPr>
              <w:t>≦</w:t>
            </w:r>
            <w:r>
              <w:rPr>
                <w:rFonts w:hint="eastAsia"/>
                <w:szCs w:val="21"/>
              </w:rPr>
              <w:t>50cm x40cm x 80cm;</w:t>
            </w:r>
            <w:r>
              <w:rPr>
                <w:szCs w:val="21"/>
              </w:rPr>
              <w:t xml:space="preserve"> </w:t>
            </w:r>
          </w:p>
          <w:p>
            <w:pPr>
              <w:spacing w:line="300" w:lineRule="auto"/>
              <w:rPr>
                <w:szCs w:val="21"/>
              </w:rPr>
            </w:pPr>
            <w:r>
              <w:rPr>
                <w:rFonts w:hint="eastAsia" w:asciiTheme="minorEastAsia" w:hAnsiTheme="minorEastAsia" w:eastAsiaTheme="minorEastAsia" w:cstheme="minorEastAsia"/>
                <w:sz w:val="24"/>
              </w:rPr>
              <w:t>▲</w:t>
            </w:r>
            <w:r>
              <w:rPr>
                <w:rFonts w:hint="eastAsia"/>
                <w:szCs w:val="21"/>
              </w:rPr>
              <w:t>5、载物台ＸＹ轴行程范围：</w:t>
            </w:r>
            <w:r>
              <w:rPr>
                <w:rFonts w:hint="eastAsia"/>
              </w:rPr>
              <w:t>≦</w:t>
            </w:r>
            <w:r>
              <w:rPr>
                <w:rFonts w:hint="eastAsia"/>
                <w:szCs w:val="21"/>
              </w:rPr>
              <w:t>120 mm x 110 mm;</w:t>
            </w:r>
          </w:p>
          <w:p>
            <w:pPr>
              <w:spacing w:line="300" w:lineRule="auto"/>
              <w:rPr>
                <w:szCs w:val="21"/>
              </w:rPr>
            </w:pPr>
            <w:r>
              <w:rPr>
                <w:rFonts w:hint="eastAsia"/>
                <w:szCs w:val="21"/>
              </w:rPr>
              <w:t>6、载物台ＸＹ轴分辨率：</w:t>
            </w:r>
            <w:r>
              <w:rPr>
                <w:rFonts w:hint="eastAsia"/>
              </w:rPr>
              <w:t>≧</w:t>
            </w:r>
            <w:r>
              <w:rPr>
                <w:rFonts w:hint="eastAsia"/>
                <w:szCs w:val="21"/>
              </w:rPr>
              <w:t>0.088μm;</w:t>
            </w:r>
          </w:p>
          <w:p>
            <w:pPr>
              <w:spacing w:line="300" w:lineRule="auto"/>
              <w:rPr>
                <w:szCs w:val="21"/>
              </w:rPr>
            </w:pPr>
            <w:r>
              <w:rPr>
                <w:rFonts w:hint="eastAsia" w:asciiTheme="minorEastAsia" w:hAnsiTheme="minorEastAsia" w:eastAsiaTheme="minorEastAsia" w:cstheme="minorEastAsia"/>
                <w:sz w:val="24"/>
              </w:rPr>
              <w:t>▲</w:t>
            </w:r>
            <w:r>
              <w:rPr>
                <w:rFonts w:hint="eastAsia"/>
                <w:szCs w:val="21"/>
              </w:rPr>
              <w:t>7、载物台ＸＹ轴重复精度RMS：</w:t>
            </w:r>
            <w:r>
              <w:rPr>
                <w:rFonts w:hint="eastAsia"/>
              </w:rPr>
              <w:t>≦</w:t>
            </w:r>
            <w:r>
              <w:rPr>
                <w:rFonts w:hint="eastAsia"/>
                <w:szCs w:val="21"/>
              </w:rPr>
              <w:t xml:space="preserve"> 0.7 μm;</w:t>
            </w:r>
          </w:p>
          <w:p>
            <w:pPr>
              <w:spacing w:line="300" w:lineRule="auto"/>
              <w:rPr>
                <w:szCs w:val="21"/>
              </w:rPr>
            </w:pPr>
            <w:r>
              <w:rPr>
                <w:rFonts w:hint="eastAsia" w:asciiTheme="minorEastAsia" w:hAnsiTheme="minorEastAsia" w:eastAsiaTheme="minorEastAsia" w:cstheme="minorEastAsia"/>
                <w:sz w:val="24"/>
              </w:rPr>
              <w:t>▲</w:t>
            </w:r>
            <w:r>
              <w:rPr>
                <w:rFonts w:hint="eastAsia"/>
                <w:szCs w:val="21"/>
              </w:rPr>
              <w:t>8、载物台ＸＹ轴最大速度：</w:t>
            </w:r>
            <w:r>
              <w:rPr>
                <w:rFonts w:hint="eastAsia"/>
              </w:rPr>
              <w:t>≦</w:t>
            </w:r>
            <w:r>
              <w:rPr>
                <w:rFonts w:hint="eastAsia"/>
                <w:szCs w:val="21"/>
              </w:rPr>
              <w:t>7 mm/sec;</w:t>
            </w:r>
          </w:p>
          <w:p>
            <w:pPr>
              <w:spacing w:line="300" w:lineRule="auto"/>
              <w:rPr>
                <w:szCs w:val="21"/>
              </w:rPr>
            </w:pPr>
            <w:r>
              <w:rPr>
                <w:rFonts w:hint="eastAsia"/>
                <w:szCs w:val="21"/>
              </w:rPr>
              <w:t>9、全部行程范围最大负载：</w:t>
            </w:r>
            <w:r>
              <w:rPr>
                <w:rFonts w:hint="eastAsia"/>
              </w:rPr>
              <w:t>≦</w:t>
            </w:r>
            <w:r>
              <w:rPr>
                <w:rFonts w:hint="eastAsia"/>
                <w:szCs w:val="21"/>
              </w:rPr>
              <w:t>2Kg;</w:t>
            </w:r>
          </w:p>
          <w:p>
            <w:pPr>
              <w:spacing w:line="300" w:lineRule="auto"/>
              <w:rPr>
                <w:szCs w:val="21"/>
              </w:rPr>
            </w:pPr>
            <w:r>
              <w:rPr>
                <w:rFonts w:hint="eastAsia"/>
                <w:szCs w:val="21"/>
              </w:rPr>
              <w:t>10、载物台驱动；</w:t>
            </w:r>
          </w:p>
          <w:p>
            <w:pPr>
              <w:spacing w:line="300" w:lineRule="auto"/>
              <w:rPr>
                <w:szCs w:val="21"/>
              </w:rPr>
            </w:pPr>
            <w:r>
              <w:rPr>
                <w:rFonts w:hint="eastAsia"/>
                <w:szCs w:val="21"/>
              </w:rPr>
              <w:t>（五）次微米级调节系统</w:t>
            </w:r>
          </w:p>
          <w:p>
            <w:pPr>
              <w:spacing w:line="300" w:lineRule="auto"/>
              <w:rPr>
                <w:szCs w:val="21"/>
              </w:rPr>
            </w:pPr>
            <w:r>
              <w:rPr>
                <w:rFonts w:hint="eastAsia"/>
                <w:szCs w:val="21"/>
              </w:rPr>
              <w:t>1、表面处理：黑色阳极氧化</w:t>
            </w:r>
          </w:p>
          <w:p>
            <w:pPr>
              <w:spacing w:line="300" w:lineRule="auto"/>
              <w:rPr>
                <w:szCs w:val="21"/>
              </w:rPr>
            </w:pPr>
            <w:r>
              <w:rPr>
                <w:rFonts w:hint="eastAsia" w:asciiTheme="minorEastAsia" w:hAnsiTheme="minorEastAsia" w:eastAsiaTheme="minorEastAsia" w:cstheme="minorEastAsia"/>
                <w:sz w:val="24"/>
              </w:rPr>
              <w:t>▲</w:t>
            </w:r>
            <w:r>
              <w:rPr>
                <w:rFonts w:hint="eastAsia"/>
                <w:szCs w:val="21"/>
              </w:rPr>
              <w:t>2、适用光学元件直径：</w:t>
            </w:r>
            <w:r>
              <w:rPr>
                <w:rFonts w:hint="eastAsia"/>
              </w:rPr>
              <w:t>≦</w:t>
            </w:r>
            <w:r>
              <w:rPr>
                <w:rFonts w:hint="eastAsia"/>
                <w:szCs w:val="21"/>
              </w:rPr>
              <w:t>Ø25.4 mm</w:t>
            </w:r>
          </w:p>
          <w:p>
            <w:pPr>
              <w:spacing w:line="300" w:lineRule="auto"/>
              <w:rPr>
                <w:szCs w:val="21"/>
              </w:rPr>
            </w:pPr>
            <w:r>
              <w:rPr>
                <w:rFonts w:hint="eastAsia"/>
                <w:szCs w:val="21"/>
              </w:rPr>
              <w:t>3、沉头孔数量：沉头孔/4个</w:t>
            </w:r>
          </w:p>
          <w:p>
            <w:pPr>
              <w:spacing w:line="300" w:lineRule="auto"/>
              <w:rPr>
                <w:szCs w:val="21"/>
              </w:rPr>
            </w:pPr>
            <w:r>
              <w:rPr>
                <w:rFonts w:hint="eastAsia"/>
                <w:szCs w:val="21"/>
              </w:rPr>
              <w:t>4、俯仰/偏摆角度精度：0.23°/转</w:t>
            </w:r>
          </w:p>
          <w:p>
            <w:pPr>
              <w:spacing w:line="300" w:lineRule="auto"/>
              <w:rPr>
                <w:szCs w:val="21"/>
              </w:rPr>
            </w:pPr>
            <w:r>
              <w:rPr>
                <w:rFonts w:hint="eastAsia" w:asciiTheme="minorEastAsia" w:hAnsiTheme="minorEastAsia" w:eastAsiaTheme="minorEastAsia" w:cstheme="minorEastAsia"/>
                <w:sz w:val="24"/>
              </w:rPr>
              <w:t>▲</w:t>
            </w:r>
            <w:r>
              <w:rPr>
                <w:rFonts w:hint="eastAsia"/>
                <w:szCs w:val="21"/>
              </w:rPr>
              <w:t>5、旋转角度：360°</w:t>
            </w:r>
          </w:p>
          <w:p>
            <w:pPr>
              <w:spacing w:line="300" w:lineRule="auto"/>
              <w:rPr>
                <w:szCs w:val="21"/>
              </w:rPr>
            </w:pPr>
            <w:r>
              <w:rPr>
                <w:rFonts w:hint="eastAsia"/>
                <w:szCs w:val="21"/>
              </w:rPr>
              <w:t>6、旋转分度：</w:t>
            </w:r>
            <w:r>
              <w:rPr>
                <w:rFonts w:hint="eastAsia"/>
              </w:rPr>
              <w:t>≦</w:t>
            </w:r>
            <w:r>
              <w:rPr>
                <w:rFonts w:hint="eastAsia"/>
                <w:szCs w:val="21"/>
              </w:rPr>
              <w:t>2°</w:t>
            </w:r>
          </w:p>
          <w:p>
            <w:pPr>
              <w:spacing w:line="300" w:lineRule="auto"/>
              <w:rPr>
                <w:szCs w:val="21"/>
              </w:rPr>
            </w:pPr>
            <w:r>
              <w:rPr>
                <w:rFonts w:hint="eastAsia"/>
                <w:szCs w:val="21"/>
              </w:rPr>
              <w:t>7、适用光学元件最大厚度：15.8 mm</w:t>
            </w:r>
          </w:p>
          <w:p>
            <w:pPr>
              <w:spacing w:line="300" w:lineRule="auto"/>
              <w:rPr>
                <w:szCs w:val="21"/>
              </w:rPr>
            </w:pPr>
            <w:r>
              <w:rPr>
                <w:rFonts w:hint="eastAsia"/>
                <w:szCs w:val="21"/>
              </w:rPr>
              <w:t>8、主体材质：6061-T6铝合金</w:t>
            </w:r>
          </w:p>
          <w:p>
            <w:pPr>
              <w:spacing w:line="300" w:lineRule="auto"/>
              <w:rPr>
                <w:szCs w:val="21"/>
              </w:rPr>
            </w:pPr>
            <w:r>
              <w:rPr>
                <w:rFonts w:hint="eastAsia" w:asciiTheme="minorEastAsia" w:hAnsiTheme="minorEastAsia" w:eastAsiaTheme="minorEastAsia" w:cstheme="minorEastAsia"/>
                <w:sz w:val="24"/>
              </w:rPr>
              <w:t>▲</w:t>
            </w:r>
            <w:r>
              <w:rPr>
                <w:rFonts w:hint="eastAsia"/>
                <w:szCs w:val="21"/>
              </w:rPr>
              <w:t>9、可调俯仰/偏摆角度范围：±4 °</w:t>
            </w:r>
          </w:p>
          <w:p>
            <w:pPr>
              <w:spacing w:line="300" w:lineRule="auto"/>
              <w:rPr>
                <w:szCs w:val="21"/>
              </w:rPr>
            </w:pPr>
            <w:r>
              <w:rPr>
                <w:rFonts w:hint="eastAsia"/>
                <w:szCs w:val="21"/>
              </w:rPr>
              <w:t>（六）高分辨率显微系统</w:t>
            </w:r>
          </w:p>
          <w:p>
            <w:pPr>
              <w:spacing w:line="300" w:lineRule="auto"/>
              <w:rPr>
                <w:szCs w:val="21"/>
              </w:rPr>
            </w:pPr>
            <w:r>
              <w:rPr>
                <w:rFonts w:hint="eastAsia"/>
                <w:szCs w:val="21"/>
              </w:rPr>
              <w:t>1、放大倍率：20-100x</w:t>
            </w:r>
          </w:p>
          <w:p>
            <w:pPr>
              <w:spacing w:line="300" w:lineRule="auto"/>
              <w:rPr>
                <w:szCs w:val="21"/>
              </w:rPr>
            </w:pPr>
            <w:r>
              <w:rPr>
                <w:rFonts w:hint="eastAsia"/>
                <w:szCs w:val="21"/>
              </w:rPr>
              <w:t>2、数值孔径（N.A）：</w:t>
            </w:r>
            <w:r>
              <w:rPr>
                <w:rFonts w:hint="eastAsia"/>
              </w:rPr>
              <w:t>≦</w:t>
            </w:r>
            <w:r>
              <w:rPr>
                <w:rFonts w:hint="eastAsia"/>
                <w:szCs w:val="21"/>
              </w:rPr>
              <w:t>0.6</w:t>
            </w:r>
          </w:p>
          <w:p>
            <w:pPr>
              <w:spacing w:line="300" w:lineRule="auto"/>
              <w:rPr>
                <w:szCs w:val="21"/>
              </w:rPr>
            </w:pPr>
            <w:r>
              <w:rPr>
                <w:rFonts w:hint="eastAsia"/>
                <w:szCs w:val="21"/>
              </w:rPr>
              <w:t>3、对焦行程：</w:t>
            </w:r>
            <w:r>
              <w:rPr>
                <w:rFonts w:hint="eastAsia"/>
              </w:rPr>
              <w:t>≦</w:t>
            </w:r>
            <w:r>
              <w:rPr>
                <w:rFonts w:hint="eastAsia"/>
                <w:szCs w:val="21"/>
              </w:rPr>
              <w:t>25mm</w:t>
            </w:r>
          </w:p>
          <w:p>
            <w:pPr>
              <w:spacing w:line="300" w:lineRule="auto"/>
              <w:rPr>
                <w:szCs w:val="21"/>
              </w:rPr>
            </w:pPr>
            <w:r>
              <w:rPr>
                <w:rFonts w:hint="eastAsia"/>
                <w:szCs w:val="21"/>
              </w:rPr>
              <w:t>4、工作距离：</w:t>
            </w:r>
            <w:r>
              <w:rPr>
                <w:rFonts w:hint="eastAsia"/>
              </w:rPr>
              <w:t>≦</w:t>
            </w:r>
            <w:r>
              <w:rPr>
                <w:rFonts w:hint="eastAsia"/>
                <w:szCs w:val="21"/>
              </w:rPr>
              <w:t>3mm</w:t>
            </w:r>
          </w:p>
          <w:p>
            <w:pPr>
              <w:spacing w:line="300" w:lineRule="auto"/>
              <w:rPr>
                <w:szCs w:val="21"/>
              </w:rPr>
            </w:pPr>
            <w:r>
              <w:rPr>
                <w:rFonts w:hint="eastAsia"/>
                <w:szCs w:val="21"/>
              </w:rPr>
              <w:t>5、视场数：</w:t>
            </w:r>
            <w:r>
              <w:rPr>
                <w:rFonts w:hint="eastAsia"/>
              </w:rPr>
              <w:t>≦</w:t>
            </w:r>
            <w:r>
              <w:rPr>
                <w:rFonts w:hint="eastAsia"/>
                <w:szCs w:val="21"/>
              </w:rPr>
              <w:t>26.5mm</w:t>
            </w:r>
          </w:p>
          <w:p>
            <w:pPr>
              <w:spacing w:line="300" w:lineRule="auto"/>
              <w:rPr>
                <w:szCs w:val="21"/>
              </w:rPr>
            </w:pPr>
            <w:r>
              <w:rPr>
                <w:rFonts w:hint="eastAsia"/>
                <w:szCs w:val="21"/>
              </w:rPr>
              <w:t>6、适用波段：450-1000nm</w:t>
            </w:r>
          </w:p>
          <w:p>
            <w:pPr>
              <w:spacing w:line="300" w:lineRule="auto"/>
              <w:rPr>
                <w:szCs w:val="21"/>
              </w:rPr>
            </w:pPr>
            <w:r>
              <w:rPr>
                <w:rFonts w:hint="eastAsia"/>
                <w:szCs w:val="21"/>
              </w:rPr>
              <w:t>7、最大传感器格式2/3""</w:t>
            </w:r>
          </w:p>
          <w:p>
            <w:pPr>
              <w:spacing w:line="300" w:lineRule="auto"/>
              <w:rPr>
                <w:szCs w:val="21"/>
              </w:rPr>
            </w:pPr>
            <w:r>
              <w:rPr>
                <w:rFonts w:hint="eastAsia"/>
                <w:szCs w:val="21"/>
              </w:rPr>
              <w:t>8、安装螺纹：M25 x 0.75；</w:t>
            </w:r>
          </w:p>
          <w:p>
            <w:pPr>
              <w:spacing w:line="300" w:lineRule="auto"/>
              <w:rPr>
                <w:szCs w:val="21"/>
              </w:rPr>
            </w:pPr>
            <w:r>
              <w:rPr>
                <w:rFonts w:hint="eastAsia"/>
                <w:szCs w:val="21"/>
              </w:rPr>
              <w:t>9、兼容的管透镜 ：Focal Length: 200mm</w:t>
            </w:r>
          </w:p>
          <w:p>
            <w:pPr>
              <w:spacing w:line="300" w:lineRule="auto"/>
              <w:rPr>
                <w:szCs w:val="21"/>
              </w:rPr>
            </w:pPr>
            <w:r>
              <w:rPr>
                <w:rFonts w:hint="eastAsia"/>
                <w:szCs w:val="21"/>
              </w:rPr>
              <w:t>10、物镜转换器：电动物镜转换器</w:t>
            </w:r>
          </w:p>
          <w:p>
            <w:pPr>
              <w:spacing w:line="300" w:lineRule="auto"/>
              <w:rPr>
                <w:szCs w:val="21"/>
              </w:rPr>
            </w:pPr>
            <w:r>
              <w:rPr>
                <w:rFonts w:hint="eastAsia" w:cstheme="minorEastAsia"/>
                <w:szCs w:val="21"/>
              </w:rPr>
              <w:t>（</w:t>
            </w:r>
            <w:r>
              <w:rPr>
                <w:rFonts w:hint="eastAsia"/>
                <w:szCs w:val="21"/>
              </w:rPr>
              <w:t>七）标准样件</w:t>
            </w:r>
          </w:p>
          <w:p>
            <w:pPr>
              <w:spacing w:line="300" w:lineRule="auto"/>
              <w:rPr>
                <w:szCs w:val="21"/>
              </w:rPr>
            </w:pPr>
            <w:r>
              <w:rPr>
                <w:rFonts w:hint="eastAsia"/>
                <w:szCs w:val="21"/>
              </w:rPr>
              <w:t>1、基底：采用精抛石英基底；</w:t>
            </w:r>
          </w:p>
          <w:p>
            <w:pPr>
              <w:spacing w:line="300" w:lineRule="auto"/>
              <w:rPr>
                <w:szCs w:val="21"/>
              </w:rPr>
            </w:pPr>
            <w:r>
              <w:rPr>
                <w:rFonts w:hint="eastAsia" w:asciiTheme="minorEastAsia" w:hAnsiTheme="minorEastAsia" w:eastAsiaTheme="minorEastAsia" w:cstheme="minorEastAsia"/>
                <w:sz w:val="24"/>
              </w:rPr>
              <w:t>▲</w:t>
            </w:r>
            <w:r>
              <w:rPr>
                <w:rFonts w:hint="eastAsia"/>
                <w:szCs w:val="21"/>
              </w:rPr>
              <w:t>2、采用掩膜光刻和离子束刻蚀，在基底上刻蚀出台阶形状样品;</w:t>
            </w:r>
          </w:p>
          <w:p>
            <w:pPr>
              <w:spacing w:line="300" w:lineRule="auto"/>
              <w:rPr>
                <w:szCs w:val="21"/>
              </w:rPr>
            </w:pPr>
            <w:r>
              <w:rPr>
                <w:rFonts w:hint="eastAsia"/>
                <w:szCs w:val="21"/>
              </w:rPr>
              <w:t>3、尺寸：</w:t>
            </w:r>
            <w:r>
              <w:rPr>
                <w:rFonts w:hint="eastAsia"/>
              </w:rPr>
              <w:t>≦</w:t>
            </w:r>
            <w:r>
              <w:rPr>
                <w:rFonts w:hint="eastAsia"/>
                <w:szCs w:val="21"/>
              </w:rPr>
              <w:t>22mm x 22mm x 1mm;</w:t>
            </w:r>
          </w:p>
          <w:p>
            <w:pPr>
              <w:spacing w:line="300" w:lineRule="auto"/>
              <w:rPr>
                <w:szCs w:val="21"/>
              </w:rPr>
            </w:pPr>
            <w:r>
              <w:rPr>
                <w:rFonts w:hint="eastAsia" w:asciiTheme="minorEastAsia" w:hAnsiTheme="minorEastAsia" w:eastAsiaTheme="minorEastAsia" w:cstheme="minorEastAsia"/>
                <w:sz w:val="24"/>
              </w:rPr>
              <w:t>▲</w:t>
            </w:r>
            <w:r>
              <w:rPr>
                <w:rFonts w:hint="eastAsia"/>
                <w:szCs w:val="21"/>
              </w:rPr>
              <w:t>4、刻蚀样品数量：</w:t>
            </w:r>
            <w:r>
              <w:rPr>
                <w:rFonts w:hint="eastAsia"/>
              </w:rPr>
              <w:t>≦</w:t>
            </w:r>
            <w:r>
              <w:rPr>
                <w:rFonts w:hint="eastAsia"/>
                <w:szCs w:val="21"/>
              </w:rPr>
              <w:t>16</w:t>
            </w:r>
          </w:p>
          <w:p>
            <w:pPr>
              <w:spacing w:line="300" w:lineRule="auto"/>
              <w:rPr>
                <w:szCs w:val="21"/>
              </w:rPr>
            </w:pPr>
            <w:r>
              <w:rPr>
                <w:rFonts w:hint="eastAsia" w:asciiTheme="minorEastAsia" w:hAnsiTheme="minorEastAsia" w:eastAsiaTheme="minorEastAsia" w:cstheme="minorEastAsia"/>
                <w:sz w:val="24"/>
              </w:rPr>
              <w:t>▲</w:t>
            </w:r>
            <w:r>
              <w:rPr>
                <w:rFonts w:hint="eastAsia"/>
                <w:szCs w:val="21"/>
              </w:rPr>
              <w:t>5、刻蚀深度：85-100nm</w:t>
            </w:r>
          </w:p>
          <w:p>
            <w:pPr>
              <w:spacing w:line="300" w:lineRule="auto"/>
            </w:pPr>
            <w:r>
              <w:rPr>
                <w:rFonts w:hint="eastAsia"/>
                <w:szCs w:val="21"/>
              </w:rPr>
              <w:t>6、标准偏差不高于：5nm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4" w:type="dxa"/>
          </w:tcPr>
          <w:p>
            <w:pPr>
              <w:jc w:val="center"/>
              <w:rPr>
                <w:rFonts w:ascii="宋体" w:hAnsi="宋体"/>
                <w:szCs w:val="21"/>
              </w:rPr>
            </w:pPr>
            <w:r>
              <w:rPr>
                <w:rFonts w:hint="eastAsia" w:ascii="宋体" w:hAnsi="宋体"/>
                <w:szCs w:val="21"/>
              </w:rPr>
              <w:t>2</w:t>
            </w:r>
          </w:p>
        </w:tc>
        <w:tc>
          <w:tcPr>
            <w:tcW w:w="1449" w:type="dxa"/>
          </w:tcPr>
          <w:p>
            <w:pPr>
              <w:jc w:val="center"/>
            </w:pPr>
            <w:r>
              <w:rPr>
                <w:szCs w:val="21"/>
              </w:rPr>
              <w:t>集成电路IC制造微纳缺陷在线检测软件</w:t>
            </w:r>
          </w:p>
        </w:tc>
        <w:tc>
          <w:tcPr>
            <w:tcW w:w="7598" w:type="dxa"/>
          </w:tcPr>
          <w:p>
            <w:pPr>
              <w:spacing w:line="300" w:lineRule="auto"/>
              <w:rPr>
                <w:b/>
                <w:bCs/>
                <w:szCs w:val="21"/>
              </w:rPr>
            </w:pPr>
            <w:r>
              <w:rPr>
                <w:rFonts w:hint="eastAsia"/>
                <w:b/>
                <w:bCs/>
                <w:szCs w:val="21"/>
              </w:rPr>
              <w:t>一、主要功能/用途</w:t>
            </w:r>
          </w:p>
          <w:p>
            <w:pPr>
              <w:spacing w:line="300" w:lineRule="auto"/>
              <w:rPr>
                <w:color w:val="000000"/>
                <w:szCs w:val="21"/>
              </w:rPr>
            </w:pPr>
            <w:r>
              <w:rPr>
                <w:rFonts w:hint="eastAsia"/>
                <w:color w:val="000000"/>
                <w:szCs w:val="21"/>
              </w:rPr>
              <w:t>主要功能包括图像采集、图像存储与管理、图像处理与增强和测量与分析等。软件能够实时捕获和显示集成电路IC制造微纳缺陷在线检测系统传输的图像。同时允许用户将采集的图像保存到指定的文件夹或数据库中，以便后续的分析和存档。软件提供各种图像处理功能，如样品各项参数计算、倾斜校正、滤波等，以改善图像质量。该软件还能导出图像数据、测量结果和分析数据，并生成报告，以支持决策和质量控制。这些功能使集成电路IC制造微纳缺陷在线检测软件成为图像采集和处理的关键工具，可广泛应用于IC制造领域表面缺陷检测、IC制造领域表面缺陷检测、细胞成像等领域。</w:t>
            </w:r>
          </w:p>
          <w:p>
            <w:pPr>
              <w:spacing w:line="300" w:lineRule="auto"/>
              <w:rPr>
                <w:b/>
                <w:bCs/>
                <w:szCs w:val="21"/>
              </w:rPr>
            </w:pPr>
            <w:r>
              <w:rPr>
                <w:rFonts w:hint="eastAsia"/>
                <w:b/>
                <w:bCs/>
                <w:szCs w:val="21"/>
              </w:rPr>
              <w:t>二、技术参数/指标</w:t>
            </w:r>
          </w:p>
          <w:p>
            <w:pPr>
              <w:spacing w:line="300" w:lineRule="auto"/>
              <w:rPr>
                <w:szCs w:val="21"/>
              </w:rPr>
            </w:pPr>
            <w:r>
              <w:rPr>
                <w:rFonts w:hint="eastAsia"/>
                <w:szCs w:val="21"/>
              </w:rPr>
              <w:t>1、高级纳米级IC三维形貌可视化与分析；</w:t>
            </w:r>
          </w:p>
          <w:p>
            <w:pPr>
              <w:spacing w:line="300" w:lineRule="auto"/>
              <w:rPr>
                <w:szCs w:val="21"/>
              </w:rPr>
            </w:pPr>
            <w:r>
              <w:rPr>
                <w:rFonts w:hint="eastAsia"/>
                <w:szCs w:val="21"/>
              </w:rPr>
              <w:t>2、高精度图像拟合与数据校正技术；</w:t>
            </w:r>
          </w:p>
          <w:p>
            <w:pPr>
              <w:spacing w:line="300" w:lineRule="auto"/>
              <w:rPr>
                <w:szCs w:val="21"/>
              </w:rPr>
            </w:pPr>
            <w:r>
              <w:rPr>
                <w:rFonts w:hint="eastAsia"/>
                <w:szCs w:val="21"/>
              </w:rPr>
              <w:t>3、基于高级工具的纳米级IC功能与形貌信息提取：包括台阶高度测量、形状拟合、分形分析等；</w:t>
            </w:r>
          </w:p>
          <w:p>
            <w:pPr>
              <w:spacing w:line="300" w:lineRule="auto"/>
              <w:rPr>
                <w:szCs w:val="21"/>
              </w:rPr>
            </w:pPr>
            <w:r>
              <w:rPr>
                <w:rFonts w:hint="eastAsia" w:asciiTheme="minorEastAsia" w:hAnsiTheme="minorEastAsia" w:eastAsiaTheme="minorEastAsia" w:cstheme="minorEastAsia"/>
                <w:sz w:val="24"/>
              </w:rPr>
              <w:t>▲</w:t>
            </w:r>
            <w:r>
              <w:rPr>
                <w:rFonts w:hint="eastAsia"/>
                <w:szCs w:val="21"/>
              </w:rPr>
              <w:t>4、自动化三维形貌结构准确定位；</w:t>
            </w:r>
          </w:p>
          <w:p>
            <w:pPr>
              <w:spacing w:line="300" w:lineRule="auto"/>
              <w:rPr>
                <w:szCs w:val="21"/>
              </w:rPr>
            </w:pPr>
            <w:r>
              <w:rPr>
                <w:rFonts w:hint="eastAsia"/>
                <w:szCs w:val="21"/>
              </w:rPr>
              <w:t>5、先进图像与信息存储技术。</w:t>
            </w:r>
          </w:p>
          <w:p>
            <w:pPr>
              <w:spacing w:line="300" w:lineRule="auto"/>
              <w:rPr>
                <w:szCs w:val="21"/>
              </w:rPr>
            </w:pPr>
            <w:r>
              <w:rPr>
                <w:rFonts w:hint="eastAsia" w:asciiTheme="minorEastAsia" w:hAnsiTheme="minorEastAsia" w:eastAsiaTheme="minorEastAsia" w:cstheme="minorEastAsia"/>
                <w:sz w:val="24"/>
              </w:rPr>
              <w:t>▲</w:t>
            </w:r>
            <w:r>
              <w:rPr>
                <w:rFonts w:hint="eastAsia"/>
                <w:szCs w:val="21"/>
              </w:rPr>
              <w:t>6、自动曝光 、 自动增益、自适应滤波器、像素合并；</w:t>
            </w:r>
          </w:p>
          <w:p>
            <w:pPr>
              <w:spacing w:line="300" w:lineRule="auto"/>
              <w:rPr>
                <w:szCs w:val="21"/>
              </w:rPr>
            </w:pPr>
            <w:r>
              <w:rPr>
                <w:rFonts w:hint="eastAsia"/>
                <w:szCs w:val="21"/>
              </w:rPr>
              <w:t>7、自动延时取图；</w:t>
            </w:r>
          </w:p>
          <w:p>
            <w:pPr>
              <w:spacing w:line="300" w:lineRule="auto"/>
              <w:rPr>
                <w:szCs w:val="21"/>
              </w:rPr>
            </w:pPr>
            <w:r>
              <w:rPr>
                <w:rFonts w:hint="eastAsia" w:asciiTheme="minorEastAsia" w:hAnsiTheme="minorEastAsia" w:eastAsiaTheme="minorEastAsia" w:cstheme="minorEastAsia"/>
                <w:sz w:val="24"/>
              </w:rPr>
              <w:t>▲</w:t>
            </w:r>
            <w:r>
              <w:rPr>
                <w:rFonts w:hint="eastAsia"/>
                <w:szCs w:val="21"/>
              </w:rPr>
              <w:t>8、色彩转换（包括色相，饱和度；彩色机型）、 自定义卷积、去马赛克；</w:t>
            </w:r>
          </w:p>
          <w:p>
            <w:pPr>
              <w:spacing w:line="300" w:lineRule="auto"/>
              <w:rPr>
                <w:szCs w:val="21"/>
              </w:rPr>
            </w:pPr>
            <w:r>
              <w:rPr>
                <w:rFonts w:hint="eastAsia" w:asciiTheme="minorEastAsia" w:hAnsiTheme="minorEastAsia" w:eastAsiaTheme="minorEastAsia" w:cstheme="minorEastAsia"/>
                <w:sz w:val="24"/>
              </w:rPr>
              <w:t>▲</w:t>
            </w:r>
            <w:r>
              <w:rPr>
                <w:rFonts w:hint="eastAsia"/>
                <w:szCs w:val="21"/>
              </w:rPr>
              <w:t>9、彩色解码，高达 5×5（彩色机型）、DPC（坏点校正）、FPNC（固定模式噪声校正）；</w:t>
            </w:r>
          </w:p>
          <w:p>
            <w:pPr>
              <w:spacing w:line="300" w:lineRule="auto"/>
              <w:rPr>
                <w:szCs w:val="21"/>
              </w:rPr>
            </w:pPr>
            <w:r>
              <w:rPr>
                <w:rFonts w:hint="eastAsia"/>
                <w:szCs w:val="21"/>
              </w:rPr>
              <w:t>10、输出信号脉宽：</w:t>
            </w:r>
            <w:r>
              <w:rPr>
                <w:rFonts w:hint="eastAsia"/>
              </w:rPr>
              <w:t>≦</w:t>
            </w:r>
            <w:r>
              <w:rPr>
                <w:rFonts w:hint="eastAsia"/>
                <w:szCs w:val="21"/>
              </w:rPr>
              <w:t>5ms；</w:t>
            </w:r>
          </w:p>
          <w:p>
            <w:pPr>
              <w:spacing w:line="300" w:lineRule="auto"/>
              <w:rPr>
                <w:szCs w:val="21"/>
              </w:rPr>
            </w:pPr>
            <w:r>
              <w:rPr>
                <w:rFonts w:hint="eastAsia"/>
                <w:szCs w:val="21"/>
              </w:rPr>
              <w:t>11、输出电平支持延迟配置：0；</w:t>
            </w:r>
          </w:p>
          <w:p>
            <w:pPr>
              <w:spacing w:line="300" w:lineRule="auto"/>
            </w:pPr>
            <w:r>
              <w:rPr>
                <w:rFonts w:hint="eastAsia"/>
                <w:szCs w:val="21"/>
              </w:rPr>
              <w:t>12、图像输出方式：流模式和帧模式</w:t>
            </w:r>
          </w:p>
        </w:tc>
      </w:tr>
    </w:tbl>
    <w:p>
      <w:pPr>
        <w:autoSpaceDE w:val="0"/>
        <w:autoSpaceDN w:val="0"/>
        <w:adjustRightInd w:val="0"/>
        <w:spacing w:line="360" w:lineRule="auto"/>
        <w:rPr>
          <w:rFonts w:asciiTheme="minorEastAsia" w:hAnsiTheme="minorEastAsia" w:eastAsiaTheme="minorEastAsia" w:cstheme="minorEastAsia"/>
          <w:szCs w:val="21"/>
        </w:rPr>
      </w:pP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注：</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以上清单需求表中如出现固定尺寸及重量等量化数值的均可认为参考，允许略有误差，但供应商竞标报价的产品必须符合采购人实际使用功能及质量要求，并提供相应技术参数证明其符合采购需求或优于采购需求，否则可视其为不满足采购需求。</w:t>
      </w:r>
    </w:p>
    <w:p>
      <w:pPr>
        <w:autoSpaceDE w:val="0"/>
        <w:autoSpaceDN w:val="0"/>
        <w:adjustRightInd w:val="0"/>
        <w:spacing w:line="360" w:lineRule="auto"/>
        <w:rPr>
          <w:rFonts w:asciiTheme="minorEastAsia" w:hAnsiTheme="minorEastAsia" w:eastAsiaTheme="minorEastAsia" w:cstheme="minorEastAsia"/>
          <w:b/>
          <w:bCs/>
          <w:color w:val="auto"/>
          <w:szCs w:val="21"/>
          <w:shd w:val="clear" w:color="auto" w:fill="auto"/>
        </w:rPr>
      </w:pPr>
      <w:r>
        <w:rPr>
          <w:rFonts w:hint="eastAsia" w:asciiTheme="minorEastAsia" w:hAnsiTheme="minorEastAsia" w:eastAsiaTheme="minorEastAsia" w:cstheme="minorEastAsia"/>
          <w:szCs w:val="21"/>
        </w:rPr>
        <w:t>2.如涉及固定厂家品牌或规格型号的均可认为推荐，并不要求其唯一性，供应商可提供同等质量标准或更高标准产品，并提供相应技术参数证明其符合采购需求或优于采购需求，否则可视其为不满足采购需求。</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b/>
          <w:bCs/>
          <w:color w:val="auto"/>
          <w:szCs w:val="21"/>
          <w:shd w:val="clear" w:color="auto" w:fill="auto"/>
          <w:lang w:val="en-US" w:eastAsia="zh-CN"/>
        </w:rPr>
        <w:t>3</w:t>
      </w:r>
      <w:r>
        <w:rPr>
          <w:rFonts w:hint="eastAsia" w:asciiTheme="minorEastAsia" w:hAnsiTheme="minorEastAsia" w:eastAsiaTheme="minorEastAsia" w:cstheme="minorEastAsia"/>
          <w:b/>
          <w:bCs/>
          <w:color w:val="auto"/>
          <w:szCs w:val="21"/>
          <w:shd w:val="clear" w:color="auto" w:fill="auto"/>
        </w:rPr>
        <w:t>.本项目磋商文件中标注“</w:t>
      </w:r>
      <w:r>
        <w:rPr>
          <w:rFonts w:hint="eastAsia" w:ascii="宋体" w:hAnsi="宋体" w:cs="宋体"/>
          <w:b/>
          <w:bCs/>
          <w:color w:val="auto"/>
          <w:szCs w:val="21"/>
          <w:shd w:val="clear" w:color="auto" w:fill="auto"/>
        </w:rPr>
        <w:t>★</w:t>
      </w:r>
      <w:r>
        <w:rPr>
          <w:rFonts w:hint="eastAsia" w:asciiTheme="minorEastAsia" w:hAnsiTheme="minorEastAsia" w:eastAsiaTheme="minorEastAsia" w:cstheme="minorEastAsia"/>
          <w:b/>
          <w:bCs/>
          <w:color w:val="auto"/>
          <w:szCs w:val="21"/>
          <w:shd w:val="clear" w:color="auto" w:fill="auto"/>
        </w:rPr>
        <w:t>”的条款不允许负偏离，负偏离视为无效响应文件。</w:t>
      </w:r>
    </w:p>
    <w:p>
      <w:pPr>
        <w:autoSpaceDE w:val="0"/>
        <w:autoSpaceDN w:val="0"/>
        <w:adjustRightInd w:val="0"/>
        <w:spacing w:line="360" w:lineRule="auto"/>
      </w:pPr>
      <w:r>
        <w:rPr>
          <w:rFonts w:ascii="宋体" w:hAnsi="宋体" w:cs="宋体"/>
          <w:sz w:val="24"/>
        </w:rPr>
        <w:t xml:space="preserve"> </w:t>
      </w:r>
      <w:r>
        <w:rPr>
          <w:rFonts w:hint="eastAsia" w:asciiTheme="minorEastAsia" w:hAnsiTheme="minorEastAsia" w:eastAsiaTheme="minorEastAsia" w:cstheme="minorEastAsia"/>
          <w:szCs w:val="21"/>
        </w:rPr>
        <w:br w:type="textWrapping"/>
      </w:r>
    </w:p>
    <w:p>
      <w:pPr>
        <w:autoSpaceDE w:val="0"/>
        <w:autoSpaceDN w:val="0"/>
        <w:adjustRightInd w:val="0"/>
        <w:spacing w:line="360" w:lineRule="auto"/>
        <w:outlineLvl w:val="1"/>
        <w:rPr>
          <w:rFonts w:asciiTheme="minorEastAsia" w:hAnsiTheme="minorEastAsia" w:eastAsiaTheme="minorEastAsia" w:cstheme="minorEastAsia"/>
          <w:b/>
          <w:bCs/>
          <w:sz w:val="24"/>
        </w:rPr>
      </w:pPr>
      <w:bookmarkStart w:id="111" w:name="_Toc27808"/>
      <w:r>
        <w:rPr>
          <w:rFonts w:hint="eastAsia" w:asciiTheme="minorEastAsia" w:hAnsiTheme="minorEastAsia" w:eastAsiaTheme="minorEastAsia" w:cstheme="minorEastAsia"/>
          <w:b/>
          <w:bCs/>
          <w:sz w:val="24"/>
        </w:rPr>
        <w:t>二、商务需求</w:t>
      </w:r>
      <w:bookmarkEnd w:id="111"/>
    </w:p>
    <w:p>
      <w:pPr>
        <w:autoSpaceDE w:val="0"/>
        <w:autoSpaceDN w:val="0"/>
        <w:adjustRightInd w:val="0"/>
        <w:spacing w:line="360" w:lineRule="auto"/>
        <w:jc w:val="left"/>
        <w:rPr>
          <w:rFonts w:ascii="宋体" w:hAnsi="宋体" w:cs="宋体"/>
          <w:szCs w:val="21"/>
        </w:rPr>
      </w:pPr>
      <w:r>
        <w:rPr>
          <w:rFonts w:hint="eastAsia" w:ascii="宋体" w:hAnsi="宋体" w:cs="宋体"/>
          <w:szCs w:val="21"/>
        </w:rPr>
        <w:t>1.违约责任：</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1.1 若乙方未能在规定时间前完成本合同全部货物（含配套系统、配件备件）安装调试并达到验收标准，甲方可终止本合同，并由乙方承担由此给甲方造成的一切损失。</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1.2 乙方保证本协议项下产品的权利无瑕疵，包括产品所有权及知识产权等权利无瑕疵。如任何第三方经法院（或仲裁机构）裁决有权对上述货物主张权利或国家机关依法对货物进行没收查处的，乙方除应在接到甲方全额返还已收货款通知五日内返还甲方全额返还已收货款外，还应按合同总价的5%向甲方支付违约金。违约金不足以弥补甲方损失的，还应赔偿甲方损失。</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2.产品质量要求：</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2.1乙方所提供货物（含配套系统、配件备件）必须为全新无瑕疵。</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2.2交货时，乙方应将货物（含配套系统、配件备件）的产品说明书、使用说明书，出厂合格证、用户手册、保修手册等单证交付给甲方，前述单证未交付完整的，视为未完全交货。</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2.3如果乙方提供货物（含配套系统、配件备件）属于国家或上级部门相关法律法规管制的，则乙方应当提供相关证明并协助甲方办理相关手续</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2.4投标供应商在招标及成交后，发生侵犯专利权的行为时，其侵权责任与采购人无关，应由成交供应商承担相应的责任，并不得影响采购人的利益。</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3.产品进场安装、调试：</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3.1交货地点：甲方指定地点。</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3.2乙方负责安排运输到甲方指定地点。乙方承担货物（含配套系统、配件备件）交付甲方前的一切费用及风险（本条款所指交付是乙方将货物（含配套系统、配件备件）运送至甲方指定地点，并经甲方验收合格并出具验收合格证明后视为交付）。</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3.3验收标准：本合同相关约定、国家相关规范和标准、招标文件、响应文件及磋商报告相关要求、相关技术文件验收。</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3.4甲方完成验收并不免除乙方对（含配套系统、配件备件）质量应当承担的责任。</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4.售后服务要求：</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4.1质保期、保修期内因国产货物（含配套系统、配件备件）质量或安装调试原因引起的全部维修费用（包括更换零配件的费用）均由乙方承担。。</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4.2质保期、保修期外，乙方应定期回访，发现问题及时通知甲方，国产货物（含配套系统、配件备件）维修零配件以优惠价给甲方（免收人工及差旅费）。</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4.3维修时，乙方接到甲方故障通知后在24小时之内上门服务，小型故障在3天内解决，大故障在15天内解决，若乙方怠于履行维修义务，则甲方有权委托第三人维修，所产生的所有费用由乙方承担。</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5.实施人员要求：按本项目情况配置齐全的实施人员，且分工明确。</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6.培训要求：成交供应商必须为用户单位人员（技术人员等）免费提供现场安装培训，并到达实际操作合格要求。</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7.交货地点：采购人指定地点。</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8.付款方式：</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8.1本合同正式签订前，乙方需向甲方支付合同金额的5%作为履约保证金（优先以金融机构、担保机构出具的保函或者支票、汇票、本票等非现金形式提交）；</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8.2全部货物（含配套系统、配件备件）经甲方验收合格后十五个工作日内，甲方向乙方支付全额货款，上述履约保证金若为现金形式提交，在产品验收合格满 1 年后，无质量问题甲方将全额无息退还给乙方；</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8.3甲方每次付款前，乙方应向甲方出具等额、合法、真实、有效的发票，国产货物（含配套系统、配件备件）须提供增值税专用发票，否则甲方有权不予支付，直至乙方提供等额合法有效发票且不承担违约责任。如因乙方提供发票不合规导致补交税款、滞纳金、罚款及其他相关损失的，乙方应向甲方承担不合规发票金额双倍赔偿责任，甲方有权从应付乙方货款中予以扣除。</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9.其它：</w:t>
      </w:r>
    </w:p>
    <w:p>
      <w:pPr>
        <w:autoSpaceDE w:val="0"/>
        <w:autoSpaceDN w:val="0"/>
        <w:adjustRightInd w:val="0"/>
        <w:spacing w:line="360" w:lineRule="auto"/>
        <w:ind w:firstLine="420" w:firstLineChars="200"/>
        <w:rPr>
          <w:rFonts w:ascii="宋体" w:hAnsi="宋体" w:cs="宋体"/>
          <w:szCs w:val="21"/>
        </w:rPr>
      </w:pPr>
      <w:r>
        <w:rPr>
          <w:rFonts w:hint="eastAsia" w:ascii="宋体" w:hAnsi="宋体" w:cs="宋体"/>
          <w:szCs w:val="21"/>
        </w:rPr>
        <w:t>9.1供应商需针对本项目提供相关交货方案、质量管控措施、技术培训方案、售后方案等本项目评审因素要求的相关材料。</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9.2其他未尽事宜由成交供应商和采购人按合同进行约定。</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color w:val="FF0000"/>
          <w:szCs w:val="21"/>
        </w:rPr>
        <w:t>。</w:t>
      </w:r>
      <w:r>
        <w:rPr>
          <w:rFonts w:hint="eastAsia" w:asciiTheme="minorEastAsia" w:hAnsiTheme="minorEastAsia" w:eastAsiaTheme="minorEastAsia" w:cstheme="minorEastAsia"/>
          <w:color w:val="FF0000"/>
          <w:szCs w:val="21"/>
        </w:rPr>
        <w:br w:type="textWrapping"/>
      </w:r>
      <w:r>
        <w:rPr>
          <w:rFonts w:hint="eastAsia" w:asciiTheme="minorEastAsia" w:hAnsiTheme="minorEastAsia" w:eastAsiaTheme="minorEastAsia" w:cstheme="minorEastAsia"/>
          <w:szCs w:val="21"/>
        </w:rPr>
        <w:t>注：</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（1）资格审查因素等证明材料须提供网上图片或查询方式以供磋商小组核查，响应文件内附相关证书真彩扫描件。</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如发现供应商的最后报价明显低于其他通过资格审查及符合性审查的供应商的最后报价，磋商小组认为有可能影响项目实施及服务质量或者不能诚信履约的，可启用澄清程序，有权要求供应商在合理的时间内出具最后报价的合理分析，供应商不能合理说明或者不能提供相关证明材料的，磋商小组可认定该供应商以低于成本报价竞标，有权将其报价作无效处理。</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br w:type="page"/>
      </w:r>
    </w:p>
    <w:p>
      <w:pPr>
        <w:pStyle w:val="3"/>
        <w:numPr>
          <w:ilvl w:val="0"/>
          <w:numId w:val="4"/>
        </w:numPr>
        <w:jc w:val="center"/>
        <w:rPr>
          <w:rFonts w:asciiTheme="minorEastAsia" w:hAnsiTheme="minorEastAsia" w:eastAsiaTheme="minorEastAsia" w:cstheme="minorEastAsia"/>
          <w:szCs w:val="21"/>
        </w:rPr>
      </w:pPr>
      <w:bookmarkStart w:id="112" w:name="_Toc25843"/>
      <w:r>
        <w:rPr>
          <w:rFonts w:hint="eastAsia" w:asciiTheme="minorEastAsia" w:hAnsiTheme="minorEastAsia" w:eastAsiaTheme="minorEastAsia" w:cstheme="minorEastAsia"/>
          <w:sz w:val="36"/>
          <w:szCs w:val="36"/>
        </w:rPr>
        <w:t>竞争性磋商采购评定办法</w:t>
      </w:r>
      <w:bookmarkEnd w:id="112"/>
    </w:p>
    <w:p>
      <w:pPr>
        <w:spacing w:line="360" w:lineRule="auto"/>
        <w:outlineLvl w:val="1"/>
        <w:rPr>
          <w:rFonts w:asciiTheme="minorEastAsia" w:hAnsiTheme="minorEastAsia" w:eastAsiaTheme="minorEastAsia" w:cstheme="minorEastAsia"/>
          <w:b/>
          <w:szCs w:val="21"/>
        </w:rPr>
      </w:pPr>
      <w:bookmarkStart w:id="113" w:name="_Toc31586"/>
      <w:r>
        <w:rPr>
          <w:rFonts w:hint="eastAsia" w:asciiTheme="minorEastAsia" w:hAnsiTheme="minorEastAsia" w:eastAsiaTheme="minorEastAsia" w:cstheme="minorEastAsia"/>
          <w:b/>
          <w:szCs w:val="21"/>
        </w:rPr>
        <w:t>一、评定办法前附表</w:t>
      </w:r>
      <w:bookmarkEnd w:id="113"/>
    </w:p>
    <w:tbl>
      <w:tblPr>
        <w:tblStyle w:val="26"/>
        <w:tblW w:w="93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680"/>
        <w:gridCol w:w="851"/>
        <w:gridCol w:w="2268"/>
        <w:gridCol w:w="5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tblHeader/>
          <w:jc w:val="center"/>
        </w:trPr>
        <w:tc>
          <w:tcPr>
            <w:tcW w:w="1531" w:type="dxa"/>
            <w:gridSpan w:val="2"/>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条款号</w:t>
            </w:r>
          </w:p>
        </w:tc>
        <w:tc>
          <w:tcPr>
            <w:tcW w:w="2268"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评审因素</w:t>
            </w:r>
          </w:p>
        </w:tc>
        <w:tc>
          <w:tcPr>
            <w:tcW w:w="5563"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28" w:hRule="atLeast"/>
          <w:jc w:val="center"/>
        </w:trPr>
        <w:tc>
          <w:tcPr>
            <w:tcW w:w="680" w:type="dxa"/>
            <w:vMerge w:val="restart"/>
            <w:vAlign w:val="center"/>
          </w:tcPr>
          <w:p>
            <w:pPr>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1.1</w:t>
            </w:r>
          </w:p>
        </w:tc>
        <w:tc>
          <w:tcPr>
            <w:tcW w:w="851" w:type="dxa"/>
            <w:vMerge w:val="restart"/>
            <w:vAlign w:val="center"/>
          </w:tcPr>
          <w:p>
            <w:pPr>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szCs w:val="21"/>
              </w:rPr>
              <w:t>资格性审查标准</w:t>
            </w:r>
          </w:p>
        </w:tc>
        <w:tc>
          <w:tcPr>
            <w:tcW w:w="2268"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color w:val="000000"/>
                <w:szCs w:val="21"/>
              </w:rPr>
              <w:t>满足《中华人民共和国政府采购法》第二十二条规定</w:t>
            </w:r>
          </w:p>
        </w:tc>
        <w:tc>
          <w:tcPr>
            <w:tcW w:w="5563" w:type="dxa"/>
            <w:vAlign w:val="center"/>
          </w:tcPr>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（1）具有独立承担民事责任的能力；</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（2）具有良好的商业信誉和健全的财务会计制度；</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（3）具有履行合同所必需的设备和专业技术能力；</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（4）有依法缴纳税收和社会保障资金的良好记录；</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（5）参加政府采购活动前三年内，在经营活动中没有重大违法记录；</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（6）法律、行政法规规定的其他条件；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46"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szCs w:val="21"/>
              </w:rPr>
            </w:pPr>
          </w:p>
        </w:tc>
        <w:tc>
          <w:tcPr>
            <w:tcW w:w="2268" w:type="dxa"/>
            <w:vMerge w:val="restart"/>
            <w:vAlign w:val="center"/>
          </w:tcPr>
          <w:p>
            <w:pPr>
              <w:widowControl/>
              <w:spacing w:line="280" w:lineRule="exact"/>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规定事项</w:t>
            </w:r>
          </w:p>
        </w:tc>
        <w:tc>
          <w:tcPr>
            <w:tcW w:w="5563" w:type="dxa"/>
            <w:vAlign w:val="center"/>
          </w:tcPr>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单位负责人为同一人或者存在直接控股、管理关系的不同供应商，不得参加本项目同一合同项下的政府采购活动。</w:t>
            </w:r>
            <w:r>
              <w:rPr>
                <w:rFonts w:hint="eastAsia" w:asciiTheme="minorEastAsia" w:hAnsiTheme="minorEastAsia" w:eastAsiaTheme="minorEastAsia" w:cstheme="minorEastAsia"/>
                <w:color w:val="000000"/>
                <w:szCs w:val="21"/>
              </w:rPr>
              <w:t>（按在采购代理机构获取文件的顺次序选择供应商参加本项目）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61"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szCs w:val="21"/>
              </w:rPr>
            </w:pPr>
          </w:p>
        </w:tc>
        <w:tc>
          <w:tcPr>
            <w:tcW w:w="2268" w:type="dxa"/>
            <w:vMerge w:val="continue"/>
            <w:vAlign w:val="center"/>
          </w:tcPr>
          <w:p>
            <w:pPr>
              <w:widowControl/>
              <w:spacing w:line="280" w:lineRule="exact"/>
              <w:jc w:val="center"/>
              <w:rPr>
                <w:rFonts w:asciiTheme="minorEastAsia" w:hAnsiTheme="minorEastAsia" w:eastAsiaTheme="minorEastAsia" w:cstheme="minorEastAsia"/>
                <w:szCs w:val="21"/>
                <w:lang w:val="zh-CN"/>
              </w:rPr>
            </w:pPr>
          </w:p>
        </w:tc>
        <w:tc>
          <w:tcPr>
            <w:tcW w:w="5563" w:type="dxa"/>
            <w:vAlign w:val="center"/>
          </w:tcPr>
          <w:p>
            <w:pPr>
              <w:autoSpaceDE w:val="0"/>
              <w:autoSpaceDN w:val="0"/>
              <w:adjustRightInd w:val="0"/>
              <w:spacing w:line="360" w:lineRule="auto"/>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 xml:space="preserve">为本采购项目提供整体设计、规范编制或者项目管理、监理、检测等服务的，不得再参加本项目的其他招标采购活动。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szCs w:val="21"/>
              </w:rPr>
            </w:pPr>
          </w:p>
        </w:tc>
        <w:tc>
          <w:tcPr>
            <w:tcW w:w="2268" w:type="dxa"/>
            <w:vMerge w:val="continue"/>
            <w:vAlign w:val="center"/>
          </w:tcPr>
          <w:p>
            <w:pPr>
              <w:widowControl/>
              <w:spacing w:line="280" w:lineRule="exact"/>
              <w:jc w:val="center"/>
              <w:rPr>
                <w:rFonts w:asciiTheme="minorEastAsia" w:hAnsiTheme="minorEastAsia" w:eastAsiaTheme="minorEastAsia" w:cstheme="minorEastAsia"/>
                <w:szCs w:val="21"/>
                <w:lang w:val="zh-CN"/>
              </w:rPr>
            </w:pPr>
          </w:p>
        </w:tc>
        <w:tc>
          <w:tcPr>
            <w:tcW w:w="5563" w:type="dxa"/>
            <w:vAlign w:val="center"/>
          </w:tcPr>
          <w:p>
            <w:pPr>
              <w:autoSpaceDE w:val="0"/>
              <w:autoSpaceDN w:val="0"/>
              <w:adjustRightInd w:val="0"/>
              <w:spacing w:line="360" w:lineRule="auto"/>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未被列入失信被执行人、</w:t>
            </w:r>
            <w:r>
              <w:rPr>
                <w:rFonts w:hint="eastAsia" w:ascii="宋体" w:hAnsi="宋体" w:cs="宋体"/>
                <w:color w:val="000000"/>
                <w:szCs w:val="21"/>
              </w:rPr>
              <w:t>重大税收违法失信主体</w:t>
            </w:r>
            <w:r>
              <w:rPr>
                <w:rFonts w:hint="eastAsia" w:asciiTheme="minorEastAsia" w:hAnsiTheme="minorEastAsia" w:eastAsiaTheme="minorEastAsia" w:cstheme="minorEastAsia"/>
                <w:szCs w:val="21"/>
              </w:rPr>
              <w:t>（链接：https://www.creditchina.gov.cn/），未被列入政府采购严重违法失信行为记录名单（链接：http://www.ccgp.gov.cn/search/cr/）。</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 xml:space="preserve">以递交响应文件截止之日，采购代理机构现场网络查询并打印存档。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szCs w:val="21"/>
              </w:rPr>
            </w:pPr>
          </w:p>
        </w:tc>
        <w:tc>
          <w:tcPr>
            <w:tcW w:w="2268" w:type="dxa"/>
            <w:vAlign w:val="center"/>
          </w:tcPr>
          <w:p>
            <w:pPr>
              <w:widowControl/>
              <w:spacing w:line="280" w:lineRule="exact"/>
              <w:jc w:val="center"/>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rPr>
              <w:t>落实政府采购政策需满足的资格要求</w:t>
            </w:r>
          </w:p>
        </w:tc>
        <w:tc>
          <w:tcPr>
            <w:tcW w:w="5563" w:type="dxa"/>
            <w:vAlign w:val="center"/>
          </w:tcPr>
          <w:p>
            <w:pPr>
              <w:autoSpaceDE w:val="0"/>
              <w:autoSpaceDN w:val="0"/>
              <w:adjustRightInd w:val="0"/>
              <w:spacing w:line="360" w:lineRule="auto"/>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lang w:val="zh-CN"/>
              </w:rPr>
              <w:t>本项目属于专门面向中小企业、监狱企业、残疾人福利性单位的项目，竞标产品由中小企业制造。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szCs w:val="21"/>
              </w:rPr>
            </w:pPr>
          </w:p>
        </w:tc>
        <w:tc>
          <w:tcPr>
            <w:tcW w:w="2268" w:type="dxa"/>
            <w:vAlign w:val="center"/>
          </w:tcPr>
          <w:p>
            <w:pPr>
              <w:widowControl/>
              <w:jc w:val="cente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color w:val="000000"/>
                <w:szCs w:val="21"/>
              </w:rPr>
              <w:t>特定资格要求</w:t>
            </w:r>
          </w:p>
        </w:tc>
        <w:tc>
          <w:tcPr>
            <w:tcW w:w="5563" w:type="dxa"/>
            <w:vAlign w:val="center"/>
          </w:tcPr>
          <w:p>
            <w:pPr>
              <w:autoSpaceDE w:val="0"/>
              <w:autoSpaceDN w:val="0"/>
              <w:adjustRightInd w:val="0"/>
              <w:spacing w:line="360" w:lineRule="auto"/>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 xml:space="preserve">符合本采购文件第一章第二款第六条要求，并提供合格有效的证明材料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restart"/>
            <w:vAlign w:val="center"/>
          </w:tcPr>
          <w:p>
            <w:pPr>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1.2</w:t>
            </w:r>
          </w:p>
        </w:tc>
        <w:tc>
          <w:tcPr>
            <w:tcW w:w="851" w:type="dxa"/>
            <w:vMerge w:val="restart"/>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符合性审查标准</w:t>
            </w:r>
          </w:p>
          <w:p>
            <w:pPr>
              <w:jc w:val="center"/>
              <w:rPr>
                <w:rFonts w:asciiTheme="minorEastAsia" w:hAnsiTheme="minorEastAsia" w:eastAsiaTheme="minorEastAsia" w:cstheme="minorEastAsia"/>
                <w:szCs w:val="21"/>
              </w:rPr>
            </w:pPr>
          </w:p>
        </w:tc>
        <w:tc>
          <w:tcPr>
            <w:tcW w:w="2268" w:type="dxa"/>
            <w:vAlign w:val="center"/>
          </w:tcPr>
          <w:p>
            <w:pPr>
              <w:widowControl/>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kern w:val="0"/>
                <w:szCs w:val="21"/>
              </w:rPr>
              <w:t>磋商保证金（如有）</w:t>
            </w:r>
          </w:p>
        </w:tc>
        <w:tc>
          <w:tcPr>
            <w:tcW w:w="5563" w:type="dxa"/>
            <w:vAlign w:val="center"/>
          </w:tcPr>
          <w:p>
            <w:pPr>
              <w:widowControl/>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供应商是否按照磋商文件提交投标保证金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2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磋商报价</w:t>
            </w:r>
          </w:p>
        </w:tc>
        <w:tc>
          <w:tcPr>
            <w:tcW w:w="5563"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磋商报价是否符合磋商文件要求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Align w:val="center"/>
          </w:tcPr>
          <w:p>
            <w:pPr>
              <w:widowControl/>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kern w:val="0"/>
                <w:szCs w:val="21"/>
              </w:rPr>
              <w:t>磋商书签字盖章</w:t>
            </w:r>
          </w:p>
        </w:tc>
        <w:tc>
          <w:tcPr>
            <w:tcW w:w="5563"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是否有法定代表人或其委托代理人签字并加盖单位公章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磋商有效期</w:t>
            </w:r>
          </w:p>
        </w:tc>
        <w:tc>
          <w:tcPr>
            <w:tcW w:w="5563"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磋商有效期是否满足竞争性磋商采购文件要求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Merge w:val="restart"/>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采购需求响应</w:t>
            </w:r>
          </w:p>
        </w:tc>
        <w:tc>
          <w:tcPr>
            <w:tcW w:w="5563" w:type="dxa"/>
            <w:vAlign w:val="center"/>
          </w:tcPr>
          <w:p>
            <w:pPr>
              <w:widowControl/>
              <w:rPr>
                <w:rFonts w:asciiTheme="minorEastAsia" w:hAnsiTheme="minorEastAsia" w:eastAsiaTheme="minorEastAsia" w:cstheme="minorEastAsia"/>
                <w:kern w:val="0"/>
                <w:szCs w:val="21"/>
              </w:rPr>
            </w:pPr>
            <w:r>
              <w:rPr>
                <w:rFonts w:hint="eastAsia" w:ascii="宋体" w:hAnsi="宋体" w:cs="宋体"/>
                <w:kern w:val="0"/>
                <w:szCs w:val="21"/>
                <w:shd w:val="clear" w:color="auto" w:fill="FFFFFF"/>
              </w:rPr>
              <w:t>带“★”号条款（如有）是否实质性响应磋商文件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Merge w:val="continue"/>
            <w:vAlign w:val="center"/>
          </w:tcPr>
          <w:p>
            <w:pPr>
              <w:widowControl/>
              <w:jc w:val="center"/>
              <w:rPr>
                <w:rFonts w:asciiTheme="minorEastAsia" w:hAnsiTheme="minorEastAsia" w:eastAsiaTheme="minorEastAsia" w:cstheme="minorEastAsia"/>
                <w:kern w:val="0"/>
                <w:szCs w:val="21"/>
              </w:rPr>
            </w:pPr>
          </w:p>
        </w:tc>
        <w:tc>
          <w:tcPr>
            <w:tcW w:w="5563"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是否有提出采购人不能接受的合同条件的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282"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Align w:val="center"/>
          </w:tcPr>
          <w:p>
            <w:pPr>
              <w:autoSpaceDE w:val="0"/>
              <w:autoSpaceDN w:val="0"/>
              <w:adjustRightInd w:val="0"/>
              <w:snapToGrid w:val="0"/>
              <w:jc w:val="center"/>
              <w:rPr>
                <w:rFonts w:ascii="宋体" w:hAnsi="宋体"/>
                <w:szCs w:val="21"/>
              </w:rPr>
            </w:pPr>
            <w:r>
              <w:rPr>
                <w:rFonts w:hint="eastAsia" w:ascii="宋体" w:hAnsi="宋体"/>
                <w:szCs w:val="21"/>
              </w:rPr>
              <w:t>其他要求（一）</w:t>
            </w:r>
          </w:p>
        </w:tc>
        <w:tc>
          <w:tcPr>
            <w:tcW w:w="5563" w:type="dxa"/>
            <w:vAlign w:val="center"/>
          </w:tcPr>
          <w:p>
            <w:pPr>
              <w:autoSpaceDE w:val="0"/>
              <w:autoSpaceDN w:val="0"/>
              <w:adjustRightInd w:val="0"/>
              <w:snapToGrid w:val="0"/>
              <w:rPr>
                <w:rFonts w:ascii="宋体" w:hAnsi="宋体"/>
                <w:szCs w:val="21"/>
              </w:rPr>
            </w:pPr>
            <w:r>
              <w:rPr>
                <w:rFonts w:hint="eastAsia" w:ascii="宋体" w:hAnsi="宋体"/>
                <w:szCs w:val="21"/>
              </w:rPr>
              <w:t>供应商未有下列任一情形：</w:t>
            </w:r>
          </w:p>
          <w:p>
            <w:pPr>
              <w:autoSpaceDE w:val="0"/>
              <w:autoSpaceDN w:val="0"/>
              <w:adjustRightInd w:val="0"/>
              <w:snapToGrid w:val="0"/>
              <w:rPr>
                <w:rFonts w:ascii="宋体" w:hAnsi="宋体"/>
                <w:szCs w:val="21"/>
              </w:rPr>
            </w:pPr>
            <w:r>
              <w:rPr>
                <w:rFonts w:hint="eastAsia" w:ascii="宋体" w:hAnsi="宋体"/>
                <w:szCs w:val="21"/>
              </w:rPr>
              <w:t>（1）不同供应商的响应文件由同一单位或者个人编制；</w:t>
            </w:r>
          </w:p>
          <w:p>
            <w:pPr>
              <w:autoSpaceDE w:val="0"/>
              <w:autoSpaceDN w:val="0"/>
              <w:adjustRightInd w:val="0"/>
              <w:snapToGrid w:val="0"/>
              <w:rPr>
                <w:rFonts w:ascii="宋体" w:hAnsi="宋体"/>
                <w:szCs w:val="21"/>
              </w:rPr>
            </w:pPr>
            <w:r>
              <w:rPr>
                <w:rFonts w:hint="eastAsia" w:ascii="宋体" w:hAnsi="宋体"/>
                <w:szCs w:val="21"/>
              </w:rPr>
              <w:t>（2）不同供应商委托同一单位或者个人办理投标事宜；</w:t>
            </w:r>
          </w:p>
          <w:p>
            <w:pPr>
              <w:autoSpaceDE w:val="0"/>
              <w:autoSpaceDN w:val="0"/>
              <w:adjustRightInd w:val="0"/>
              <w:snapToGrid w:val="0"/>
              <w:rPr>
                <w:rFonts w:ascii="宋体" w:hAnsi="宋体"/>
                <w:szCs w:val="21"/>
              </w:rPr>
            </w:pPr>
            <w:r>
              <w:rPr>
                <w:rFonts w:hint="eastAsia" w:ascii="宋体" w:hAnsi="宋体"/>
                <w:szCs w:val="21"/>
              </w:rPr>
              <w:t>（3）不同供应商的响应文件载明的项目管理成员或者联系人员为同一人；</w:t>
            </w:r>
          </w:p>
          <w:p>
            <w:pPr>
              <w:autoSpaceDE w:val="0"/>
              <w:autoSpaceDN w:val="0"/>
              <w:adjustRightInd w:val="0"/>
              <w:snapToGrid w:val="0"/>
              <w:rPr>
                <w:rFonts w:ascii="宋体" w:hAnsi="宋体"/>
                <w:szCs w:val="21"/>
              </w:rPr>
            </w:pPr>
            <w:r>
              <w:rPr>
                <w:rFonts w:hint="eastAsia" w:ascii="宋体" w:hAnsi="宋体"/>
                <w:szCs w:val="21"/>
              </w:rPr>
              <w:t>（4）不同供应商的响应文件异常一致或者投标报价呈规律性差异；</w:t>
            </w:r>
          </w:p>
          <w:p>
            <w:pPr>
              <w:autoSpaceDE w:val="0"/>
              <w:autoSpaceDN w:val="0"/>
              <w:adjustRightInd w:val="0"/>
              <w:snapToGrid w:val="0"/>
              <w:rPr>
                <w:rFonts w:ascii="宋体" w:hAnsi="宋体"/>
                <w:szCs w:val="21"/>
              </w:rPr>
            </w:pPr>
            <w:r>
              <w:rPr>
                <w:rFonts w:hint="eastAsia" w:ascii="宋体" w:hAnsi="宋体"/>
                <w:szCs w:val="21"/>
              </w:rPr>
              <w:t>（5）不同供应商的响应文件相互混装。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33"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其他要求（二）</w:t>
            </w:r>
          </w:p>
        </w:tc>
        <w:tc>
          <w:tcPr>
            <w:tcW w:w="5563" w:type="dxa"/>
            <w:vAlign w:val="center"/>
          </w:tcPr>
          <w:p>
            <w:pPr>
              <w:widowControl/>
              <w:rPr>
                <w:rFonts w:asciiTheme="minorEastAsia" w:hAnsiTheme="minorEastAsia" w:eastAsiaTheme="minorEastAsia" w:cstheme="minorEastAsia"/>
                <w:kern w:val="0"/>
                <w:szCs w:val="21"/>
              </w:rPr>
            </w:pPr>
            <w:r>
              <w:rPr>
                <w:rFonts w:hint="eastAsia" w:ascii="宋体" w:hAnsi="宋体" w:cs="宋体"/>
                <w:kern w:val="0"/>
                <w:szCs w:val="21"/>
              </w:rPr>
              <w:t>磋商文件中规定被视为无效投标其它条款的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33"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Align w:val="center"/>
          </w:tcPr>
          <w:p>
            <w:pPr>
              <w:widowControl/>
              <w:spacing w:line="360" w:lineRule="auto"/>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其他要求（三）（如有）</w:t>
            </w:r>
          </w:p>
        </w:tc>
        <w:tc>
          <w:tcPr>
            <w:tcW w:w="5563" w:type="dxa"/>
            <w:vAlign w:val="center"/>
          </w:tcPr>
          <w:p>
            <w:pPr>
              <w:widowControl/>
              <w:spacing w:line="360" w:lineRule="auto"/>
              <w:rPr>
                <w:rFonts w:ascii="宋体" w:hAnsi="宋体" w:cs="宋体"/>
                <w:kern w:val="0"/>
                <w:szCs w:val="21"/>
              </w:rPr>
            </w:pPr>
            <w:r>
              <w:rPr>
                <w:rFonts w:hint="eastAsia" w:ascii="宋体" w:hAnsi="宋体" w:cs="宋体"/>
                <w:kern w:val="0"/>
                <w:szCs w:val="21"/>
              </w:rPr>
              <w:t>澄清、说明或者补正等材料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25" w:hRule="atLeast"/>
          <w:jc w:val="center"/>
        </w:trPr>
        <w:tc>
          <w:tcPr>
            <w:tcW w:w="680" w:type="dxa"/>
            <w:vMerge w:val="restart"/>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2</w:t>
            </w:r>
          </w:p>
        </w:tc>
        <w:tc>
          <w:tcPr>
            <w:tcW w:w="851" w:type="dxa"/>
            <w:vMerge w:val="restart"/>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确定磋商供应商进行最后报价</w:t>
            </w:r>
          </w:p>
        </w:tc>
        <w:tc>
          <w:tcPr>
            <w:tcW w:w="2268"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磋商文件能完整、明确列明采购需求，无需要供应商提供最终设计方案或者解决方案的</w:t>
            </w:r>
          </w:p>
        </w:tc>
        <w:tc>
          <w:tcPr>
            <w:tcW w:w="5563" w:type="dxa"/>
            <w:vAlign w:val="center"/>
          </w:tcPr>
          <w:p>
            <w:pPr>
              <w:widowControl/>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在磋商结束后，磋商小组向所有通过资格性和符合性审查的磋商供应商发出报价书，并要求其在规定时间内提交最后报价。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185" w:hRule="atLeast"/>
          <w:jc w:val="center"/>
        </w:trPr>
        <w:tc>
          <w:tcPr>
            <w:tcW w:w="680" w:type="dxa"/>
            <w:vMerge w:val="continue"/>
            <w:vAlign w:val="center"/>
          </w:tcPr>
          <w:p>
            <w:pPr>
              <w:widowControl/>
              <w:jc w:val="center"/>
              <w:rPr>
                <w:rFonts w:asciiTheme="minorEastAsia" w:hAnsiTheme="minorEastAsia" w:eastAsiaTheme="minorEastAsia" w:cstheme="minorEastAsia"/>
                <w:kern w:val="0"/>
                <w:szCs w:val="21"/>
              </w:rPr>
            </w:pPr>
          </w:p>
        </w:tc>
        <w:tc>
          <w:tcPr>
            <w:tcW w:w="851" w:type="dxa"/>
            <w:vMerge w:val="continue"/>
            <w:vAlign w:val="center"/>
          </w:tcPr>
          <w:p>
            <w:pPr>
              <w:widowControl/>
              <w:jc w:val="center"/>
              <w:rPr>
                <w:rFonts w:asciiTheme="minorEastAsia" w:hAnsiTheme="minorEastAsia" w:eastAsiaTheme="minorEastAsia" w:cstheme="minorEastAsia"/>
                <w:kern w:val="0"/>
                <w:szCs w:val="21"/>
              </w:rPr>
            </w:pPr>
          </w:p>
        </w:tc>
        <w:tc>
          <w:tcPr>
            <w:tcW w:w="2268"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磋商文件不能完整、明确列明采购需求，需要由供应商提供最终设计方案或者解决方案的</w:t>
            </w:r>
          </w:p>
        </w:tc>
        <w:tc>
          <w:tcPr>
            <w:tcW w:w="5563"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在磋商结束后，磋商小组应当按照少数服从多数的原则投票推荐供应商的设计方案或者解决方案，并要求其在规定时间内提交最后报价。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74" w:hRule="atLeast"/>
          <w:jc w:val="center"/>
        </w:trPr>
        <w:tc>
          <w:tcPr>
            <w:tcW w:w="680" w:type="dxa"/>
            <w:vAlign w:val="center"/>
          </w:tcPr>
          <w:p>
            <w:pPr>
              <w:widowControl/>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3</w:t>
            </w:r>
          </w:p>
        </w:tc>
        <w:tc>
          <w:tcPr>
            <w:tcW w:w="851" w:type="dxa"/>
            <w:vAlign w:val="center"/>
          </w:tcPr>
          <w:p>
            <w:pPr>
              <w:widowControl/>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评定</w:t>
            </w:r>
          </w:p>
          <w:p>
            <w:pPr>
              <w:widowControl/>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办法</w:t>
            </w:r>
          </w:p>
        </w:tc>
        <w:tc>
          <w:tcPr>
            <w:tcW w:w="2268" w:type="dxa"/>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bCs/>
                <w:kern w:val="0"/>
                <w:szCs w:val="21"/>
              </w:rPr>
              <w:t>综合评分法</w:t>
            </w:r>
          </w:p>
        </w:tc>
        <w:tc>
          <w:tcPr>
            <w:tcW w:w="5563" w:type="dxa"/>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各供应商的最终得分为各评委所评定分数的算术平均值。磋商小组将根据供应商最终得分由高到低的照顺序推荐3名成交候选人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16" w:hRule="atLeast"/>
          <w:jc w:val="center"/>
        </w:trPr>
        <w:tc>
          <w:tcPr>
            <w:tcW w:w="9362" w:type="dxa"/>
            <w:gridSpan w:val="4"/>
            <w:vAlign w:val="center"/>
          </w:tcPr>
          <w:p>
            <w:pPr>
              <w:widowControl/>
              <w:pBdr>
                <w:between w:val="single" w:color="auto" w:sz="4" w:space="0"/>
              </w:pBd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b/>
                <w:kern w:val="0"/>
                <w:szCs w:val="21"/>
              </w:rPr>
              <w:t>政策支持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20" w:hRule="atLeast"/>
          <w:jc w:val="center"/>
        </w:trPr>
        <w:tc>
          <w:tcPr>
            <w:tcW w:w="1531" w:type="dxa"/>
            <w:gridSpan w:val="2"/>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所属行业及</w:t>
            </w:r>
          </w:p>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划型标准</w:t>
            </w:r>
          </w:p>
        </w:tc>
        <w:tc>
          <w:tcPr>
            <w:tcW w:w="7831" w:type="dxa"/>
            <w:gridSpan w:val="2"/>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类型：工业</w:t>
            </w:r>
          </w:p>
          <w:p>
            <w:pPr>
              <w:widowControl/>
              <w:rPr>
                <w:rFonts w:asciiTheme="minorEastAsia" w:hAnsiTheme="minorEastAsia" w:eastAsiaTheme="minorEastAsia" w:cstheme="minorEastAsia"/>
                <w:kern w:val="0"/>
                <w:szCs w:val="21"/>
                <w:u w:val="single"/>
              </w:rPr>
            </w:pPr>
            <w:r>
              <w:rPr>
                <w:rFonts w:hint="eastAsia" w:asciiTheme="minorEastAsia" w:hAnsiTheme="minorEastAsia" w:eastAsiaTheme="minorEastAsia" w:cstheme="minorEastAsia"/>
                <w:kern w:val="0"/>
                <w:szCs w:val="21"/>
              </w:rPr>
              <w:t>小型：从业人员</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u w:val="single"/>
              </w:rPr>
              <w:tab/>
            </w:r>
            <w:r>
              <w:rPr>
                <w:rFonts w:hint="eastAsia" w:asciiTheme="minorEastAsia" w:hAnsiTheme="minorEastAsia" w:eastAsiaTheme="minorEastAsia" w:cstheme="minorEastAsia"/>
                <w:kern w:val="0"/>
                <w:szCs w:val="21"/>
              </w:rPr>
              <w:t>营业收入</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资产总额</w:t>
            </w:r>
            <w:r>
              <w:rPr>
                <w:rFonts w:hint="eastAsia" w:asciiTheme="minorEastAsia" w:hAnsiTheme="minorEastAsia" w:eastAsiaTheme="minorEastAsia" w:cstheme="minorEastAsia"/>
                <w:kern w:val="0"/>
                <w:szCs w:val="21"/>
                <w:u w:val="single"/>
              </w:rPr>
              <w:t xml:space="preserve">     </w:t>
            </w:r>
          </w:p>
          <w:p>
            <w:pP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微型：从业人员</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u w:val="single"/>
              </w:rPr>
              <w:tab/>
            </w:r>
            <w:r>
              <w:rPr>
                <w:rFonts w:hint="eastAsia" w:asciiTheme="minorEastAsia" w:hAnsiTheme="minorEastAsia" w:eastAsiaTheme="minorEastAsia" w:cstheme="minorEastAsia"/>
                <w:kern w:val="0"/>
                <w:szCs w:val="21"/>
              </w:rPr>
              <w:t>营业收入</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资产总额</w:t>
            </w:r>
            <w:r>
              <w:rPr>
                <w:rFonts w:hint="eastAsia" w:asciiTheme="minorEastAsia" w:hAnsiTheme="minorEastAsia" w:eastAsiaTheme="minorEastAsia" w:cstheme="minorEastAsia"/>
                <w:kern w:val="0"/>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20" w:hRule="atLeast"/>
          <w:jc w:val="center"/>
        </w:trPr>
        <w:tc>
          <w:tcPr>
            <w:tcW w:w="1531" w:type="dxa"/>
            <w:gridSpan w:val="2"/>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中小企业</w:t>
            </w:r>
          </w:p>
        </w:tc>
        <w:tc>
          <w:tcPr>
            <w:tcW w:w="7831" w:type="dxa"/>
            <w:gridSpan w:val="2"/>
            <w:vAlign w:val="center"/>
          </w:tcPr>
          <w:p>
            <w:pP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如符合工信部联企业【2011】300号文中对中小企业划型标准的， 可提供本单位的 《中小企业声明函》（格式见第六章）。磋商小组将根据财库【2020】46号文《政府采购促进中小企业发展管理办法》及其它相关规定在评定时对小型和微型企业产品的价格给予10%的扣除后的价格参与评审（适用于非专门面向中小企业、监狱企业、残疾人福利性的项目）。大中型企业与小型、微型企业组成联合体共同参加非专门面向中小企业的政府采购活动，且联合体协议中约定小型、微型企业的协议合同金额占到联合体协议合同总金额30%以上的，给予联合体4%的价格扣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65" w:hRule="atLeast"/>
          <w:jc w:val="center"/>
        </w:trPr>
        <w:tc>
          <w:tcPr>
            <w:tcW w:w="1531" w:type="dxa"/>
            <w:gridSpan w:val="2"/>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监狱企业</w:t>
            </w:r>
          </w:p>
        </w:tc>
        <w:tc>
          <w:tcPr>
            <w:tcW w:w="7831" w:type="dxa"/>
            <w:gridSpan w:val="2"/>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按照财政部《关于政府采购支持监狱企业发展有关问题的通知》（财库【2014】68号）的规定，在政府采购活动中，监狱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材料不全的不予折扣。经磋商小组审核确认供应商属于监狱企业的，在评定时视同中小企业，价格给予10%的扣除后的价格参与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37" w:hRule="atLeast"/>
          <w:jc w:val="center"/>
        </w:trPr>
        <w:tc>
          <w:tcPr>
            <w:tcW w:w="1531" w:type="dxa"/>
            <w:gridSpan w:val="2"/>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促进残疾人</w:t>
            </w:r>
          </w:p>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就业</w:t>
            </w:r>
          </w:p>
        </w:tc>
        <w:tc>
          <w:tcPr>
            <w:tcW w:w="7831" w:type="dxa"/>
            <w:gridSpan w:val="2"/>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按照《三部门联合发布关于促进残疾人就业政府采购政策的通知》（财库【2017】141 号）的规定，在政府采购活动中，残疾人福利性单位视同小型、微型企业，享受预留份额、评审中价格扣除等促进中小企业发展的政府采购政策。符合条件的残疾人福利性单位在参加政府采购活动时，应当提供财库【2017】141号文规定的《残疾人福利性单位声明函》（格式见第六章），并对声明的真实性负责，未提供声明函的不予折扣。经磋商小组审核确认供应商符合残疾人福利性单位条件的，在评定时视同中小企业。残疾人福利性单位属于小型、微型企业的，不重复享受政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20" w:hRule="atLeast"/>
          <w:jc w:val="center"/>
        </w:trPr>
        <w:tc>
          <w:tcPr>
            <w:tcW w:w="1531" w:type="dxa"/>
            <w:gridSpan w:val="2"/>
            <w:vAlign w:val="center"/>
          </w:tcPr>
          <w:p>
            <w:pPr>
              <w:autoSpaceDE w:val="0"/>
              <w:autoSpaceDN w:val="0"/>
              <w:adjustRightInd w:val="0"/>
              <w:jc w:val="center"/>
              <w:rPr>
                <w:rFonts w:ascii="宋体" w:hAnsi="宋体" w:cs="宋体"/>
                <w:snapToGrid w:val="0"/>
                <w:kern w:val="0"/>
                <w:szCs w:val="21"/>
                <w:lang w:val="zh-CN"/>
              </w:rPr>
            </w:pPr>
          </w:p>
          <w:p>
            <w:pPr>
              <w:autoSpaceDE w:val="0"/>
              <w:autoSpaceDN w:val="0"/>
              <w:adjustRightInd w:val="0"/>
              <w:jc w:val="center"/>
              <w:rPr>
                <w:rFonts w:asciiTheme="minorEastAsia" w:hAnsiTheme="minorEastAsia" w:cstheme="minorEastAsia"/>
                <w:kern w:val="0"/>
                <w:szCs w:val="21"/>
              </w:rPr>
            </w:pPr>
            <w:r>
              <w:rPr>
                <w:rFonts w:hint="eastAsia" w:ascii="宋体" w:hAnsi="宋体" w:cs="宋体"/>
                <w:snapToGrid w:val="0"/>
                <w:kern w:val="0"/>
                <w:szCs w:val="21"/>
                <w:lang w:val="zh-CN"/>
              </w:rPr>
              <w:t>节能</w:t>
            </w:r>
            <w:r>
              <w:rPr>
                <w:rFonts w:hint="eastAsia" w:ascii="宋体" w:hAnsi="宋体" w:cs="宋体"/>
                <w:snapToGrid w:val="0"/>
                <w:kern w:val="0"/>
                <w:szCs w:val="21"/>
              </w:rPr>
              <w:t>环保</w:t>
            </w:r>
          </w:p>
        </w:tc>
        <w:tc>
          <w:tcPr>
            <w:tcW w:w="7831" w:type="dxa"/>
            <w:gridSpan w:val="2"/>
            <w:vAlign w:val="center"/>
          </w:tcPr>
          <w:p>
            <w:pPr>
              <w:autoSpaceDE w:val="0"/>
              <w:autoSpaceDN w:val="0"/>
              <w:adjustRightInd w:val="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按照《财政部 发展改革委 生态环境部 市场监管总局 关于调整优化节能产品、环境标志产品政府采购执行机制的通知》（财库〔2019〕9 号）/《关于印发环境标志产品政府采购品目清单的通知》（财库〔2019〕18 号）/《关于印发节能产品政府采购品目清单的通知》（财库〔2019〕19 号）/《市场监管总局关于发布参与实施政府采购节能产品、环境标志产品认证机构名录的公告》（2019 年第 16 号）文件执行。</w:t>
            </w:r>
          </w:p>
          <w:p>
            <w:pPr>
              <w:autoSpaceDE w:val="0"/>
              <w:autoSpaceDN w:val="0"/>
              <w:adjustRightInd w:val="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如供应商投标产品符合以上文件的政策支持，须提供产品认证证书（合格有效时间内的）或节能产品查（http://www、ccgp、gov、cn/search/jnqdchaxun、htm）/环境标志产品查询（http://www、ccgp、gov、cn/search/hbqdchaxun、htm）查询结果截图。经磋商小组审核确认供应商投标产品符合以上政府采购政策的，给予该项竞标产品所占价格的1%的价格扣除，用扣除后的价格参与评审。上述政府采购政策优惠须经磋商小组评审后执行，未提供单独分项报价或证明资料不全的不给予价格扣除。同一项目包内的节能产品价格扣除只对属于节能产品政府清单内的非强制类产品进行，强制类产品已作为竞标时强制性要求不再给予价格扣除。同时被认证为节能产品和环境标志产品的不重复享受价格扣除。</w:t>
            </w:r>
          </w:p>
        </w:tc>
      </w:tr>
    </w:tbl>
    <w:p>
      <w:pPr>
        <w:spacing w:line="360" w:lineRule="auto"/>
        <w:outlineLvl w:val="1"/>
        <w:rPr>
          <w:rFonts w:asciiTheme="minorEastAsia" w:hAnsiTheme="minorEastAsia" w:eastAsiaTheme="minorEastAsia" w:cstheme="minorEastAsia"/>
          <w:b/>
          <w:szCs w:val="21"/>
        </w:rPr>
      </w:pPr>
      <w:bookmarkStart w:id="114" w:name="_Toc13646"/>
      <w:r>
        <w:rPr>
          <w:rFonts w:hint="eastAsia" w:asciiTheme="minorEastAsia" w:hAnsiTheme="minorEastAsia" w:eastAsiaTheme="minorEastAsia" w:cstheme="minorEastAsia"/>
          <w:b/>
          <w:szCs w:val="21"/>
        </w:rPr>
        <w:br w:type="textWrapping"/>
      </w:r>
      <w:r>
        <w:rPr>
          <w:rFonts w:hint="eastAsia" w:asciiTheme="minorEastAsia" w:hAnsiTheme="minorEastAsia" w:eastAsiaTheme="minorEastAsia" w:cstheme="minorEastAsia"/>
          <w:b/>
          <w:szCs w:val="21"/>
        </w:rPr>
        <w:br w:type="textWrapping"/>
      </w:r>
      <w:r>
        <w:rPr>
          <w:rFonts w:hint="eastAsia" w:asciiTheme="minorEastAsia" w:hAnsiTheme="minorEastAsia" w:eastAsiaTheme="minorEastAsia" w:cstheme="minorEastAsia"/>
          <w:b/>
          <w:szCs w:val="21"/>
        </w:rPr>
        <w:t>二、计算办法</w:t>
      </w:r>
      <w:bookmarkEnd w:id="114"/>
    </w:p>
    <w:tbl>
      <w:tblPr>
        <w:tblStyle w:val="26"/>
        <w:tblW w:w="92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2940"/>
        <w:gridCol w:w="63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2940"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条款内容</w:t>
            </w:r>
          </w:p>
        </w:tc>
        <w:tc>
          <w:tcPr>
            <w:tcW w:w="6322"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82"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分值构成(总分100分)</w:t>
            </w:r>
          </w:p>
        </w:tc>
        <w:tc>
          <w:tcPr>
            <w:tcW w:w="6322"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详见评分细则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64"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评标基准价计算方法</w:t>
            </w:r>
          </w:p>
        </w:tc>
        <w:tc>
          <w:tcPr>
            <w:tcW w:w="6322"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满足采购文件要求且报价最低的竞标报价为评标基准价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2940"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评分因素</w:t>
            </w:r>
          </w:p>
        </w:tc>
        <w:tc>
          <w:tcPr>
            <w:tcW w:w="6322"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技术部分评分标准</w:t>
            </w:r>
          </w:p>
        </w:tc>
        <w:tc>
          <w:tcPr>
            <w:tcW w:w="6322"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详见评分细则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商务部分评分标准</w:t>
            </w:r>
          </w:p>
        </w:tc>
        <w:tc>
          <w:tcPr>
            <w:tcW w:w="6322"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详见评分细则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16"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竞标报价评分标准</w:t>
            </w:r>
          </w:p>
        </w:tc>
        <w:tc>
          <w:tcPr>
            <w:tcW w:w="6322" w:type="dxa"/>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低价优先法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2940"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条款内容</w:t>
            </w:r>
          </w:p>
        </w:tc>
        <w:tc>
          <w:tcPr>
            <w:tcW w:w="6322"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各供应商的最终得分计算办法</w:t>
            </w:r>
          </w:p>
        </w:tc>
        <w:tc>
          <w:tcPr>
            <w:tcW w:w="6322"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bCs/>
                <w:szCs w:val="21"/>
              </w:rPr>
              <w:t>所有评委评分的算术平均值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szCs w:val="21"/>
              </w:rPr>
              <w:t>供应商最后得分相同时对供应商进行排序的方法</w:t>
            </w:r>
          </w:p>
        </w:tc>
        <w:tc>
          <w:tcPr>
            <w:tcW w:w="6322" w:type="dxa"/>
            <w:vAlign w:val="center"/>
          </w:tcPr>
          <w:p>
            <w:pPr>
              <w:widowControl/>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zCs w:val="21"/>
              </w:rPr>
              <w:t>得分相同的供应商，按竞标报价由低到高顺序排列。得分且报价相同的，按技术指标优劣顺序排列。</w:t>
            </w:r>
          </w:p>
        </w:tc>
      </w:tr>
    </w:tbl>
    <w:p>
      <w:pPr>
        <w:pStyle w:val="20"/>
        <w:outlineLvl w:val="1"/>
        <w:rPr>
          <w:rFonts w:asciiTheme="minorEastAsia" w:hAnsiTheme="minorEastAsia" w:eastAsiaTheme="minorEastAsia" w:cstheme="minorEastAsia"/>
        </w:rPr>
        <w:sectPr>
          <w:footerReference r:id="rId11" w:type="default"/>
          <w:type w:val="continuous"/>
          <w:pgSz w:w="11906" w:h="16838"/>
          <w:pgMar w:top="1417" w:right="1417" w:bottom="1417" w:left="1417" w:header="851" w:footer="992" w:gutter="0"/>
          <w:cols w:space="720" w:num="1"/>
          <w:docGrid w:type="lines" w:linePitch="312" w:charSpace="0"/>
        </w:sectPr>
      </w:pPr>
      <w:bookmarkStart w:id="115" w:name="_Toc23956"/>
      <w:bookmarkStart w:id="116" w:name="_Toc17585"/>
      <w:bookmarkStart w:id="117" w:name="_Toc8676"/>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br w:type="textWrapping"/>
      </w:r>
      <w:bookmarkEnd w:id="115"/>
      <w:bookmarkEnd w:id="116"/>
      <w:bookmarkEnd w:id="117"/>
    </w:p>
    <w:p>
      <w:pPr>
        <w:pStyle w:val="20"/>
        <w:outlineLvl w:val="1"/>
        <w:rPr>
          <w:rStyle w:val="35"/>
        </w:rPr>
      </w:pPr>
      <w:bookmarkStart w:id="118" w:name="_Toc14742"/>
      <w:r>
        <w:rPr>
          <w:rFonts w:hint="eastAsia" w:asciiTheme="minorEastAsia" w:hAnsiTheme="minorEastAsia" w:eastAsiaTheme="minorEastAsia" w:cstheme="minorEastAsia"/>
          <w:b/>
          <w:szCs w:val="21"/>
        </w:rPr>
        <w:t>三、评分细则</w:t>
      </w:r>
      <w:bookmarkEnd w:id="118"/>
    </w:p>
    <w:tbl>
      <w:tblPr>
        <w:tblStyle w:val="26"/>
        <w:tblW w:w="9288"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36"/>
        <w:gridCol w:w="1376"/>
        <w:gridCol w:w="6512"/>
        <w:gridCol w:w="664"/>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87" w:hRule="atLeast"/>
          <w:tblHeader/>
        </w:trPr>
        <w:tc>
          <w:tcPr>
            <w:tcW w:w="736" w:type="dxa"/>
            <w:tcBorders>
              <w:top w:val="single" w:color="auto" w:sz="12" w:space="0"/>
            </w:tcBorders>
            <w:vAlign w:val="center"/>
          </w:tcPr>
          <w:p>
            <w:pPr>
              <w:spacing w:line="360" w:lineRule="atLeast"/>
              <w:jc w:val="center"/>
              <w:rPr>
                <w:rFonts w:asciiTheme="minorEastAsia" w:hAnsiTheme="minorEastAsia" w:eastAsiaTheme="minorEastAsia" w:cstheme="minorEastAsia"/>
                <w:b/>
                <w:bCs/>
                <w:spacing w:val="-6"/>
                <w:szCs w:val="21"/>
              </w:rPr>
            </w:pPr>
            <w:r>
              <w:rPr>
                <w:rFonts w:hint="eastAsia" w:asciiTheme="minorEastAsia" w:hAnsiTheme="minorEastAsia" w:eastAsiaTheme="minorEastAsia" w:cstheme="minorEastAsia"/>
                <w:b/>
                <w:bCs/>
                <w:szCs w:val="21"/>
              </w:rPr>
              <w:t>类别</w:t>
            </w:r>
          </w:p>
        </w:tc>
        <w:tc>
          <w:tcPr>
            <w:tcW w:w="1376" w:type="dxa"/>
            <w:tcBorders>
              <w:top w:val="single" w:color="auto" w:sz="12" w:space="0"/>
            </w:tcBorders>
            <w:vAlign w:val="center"/>
          </w:tcPr>
          <w:p>
            <w:pPr>
              <w:spacing w:line="360" w:lineRule="atLeast"/>
              <w:jc w:val="center"/>
              <w:rPr>
                <w:rFonts w:asciiTheme="minorEastAsia" w:hAnsiTheme="minorEastAsia" w:eastAsiaTheme="minorEastAsia" w:cstheme="minorEastAsia"/>
                <w:b/>
                <w:bCs/>
                <w:spacing w:val="-6"/>
                <w:szCs w:val="21"/>
              </w:rPr>
            </w:pPr>
            <w:r>
              <w:rPr>
                <w:rFonts w:hint="eastAsia" w:asciiTheme="minorEastAsia" w:hAnsiTheme="minorEastAsia" w:eastAsiaTheme="minorEastAsia" w:cstheme="minorEastAsia"/>
                <w:b/>
                <w:bCs/>
                <w:szCs w:val="21"/>
              </w:rPr>
              <w:t>评审因素</w:t>
            </w:r>
          </w:p>
        </w:tc>
        <w:tc>
          <w:tcPr>
            <w:tcW w:w="6512" w:type="dxa"/>
            <w:tcBorders>
              <w:top w:val="single" w:color="auto" w:sz="12" w:space="0"/>
            </w:tcBorders>
            <w:vAlign w:val="center"/>
          </w:tcPr>
          <w:p>
            <w:pPr>
              <w:spacing w:line="360" w:lineRule="atLeast"/>
              <w:jc w:val="center"/>
              <w:rPr>
                <w:rFonts w:asciiTheme="minorEastAsia" w:hAnsiTheme="minorEastAsia" w:eastAsiaTheme="minorEastAsia" w:cstheme="minorEastAsia"/>
                <w:b/>
                <w:bCs/>
                <w:spacing w:val="-6"/>
                <w:szCs w:val="21"/>
              </w:rPr>
            </w:pPr>
            <w:r>
              <w:rPr>
                <w:rFonts w:hint="eastAsia" w:asciiTheme="minorEastAsia" w:hAnsiTheme="minorEastAsia" w:eastAsiaTheme="minorEastAsia" w:cstheme="minorEastAsia"/>
                <w:b/>
                <w:bCs/>
                <w:szCs w:val="21"/>
              </w:rPr>
              <w:t>评审标准</w:t>
            </w:r>
          </w:p>
        </w:tc>
        <w:tc>
          <w:tcPr>
            <w:tcW w:w="664" w:type="dxa"/>
            <w:tcBorders>
              <w:top w:val="single" w:color="auto" w:sz="12" w:space="0"/>
            </w:tcBorders>
            <w:vAlign w:val="center"/>
          </w:tcPr>
          <w:p>
            <w:pPr>
              <w:spacing w:line="360" w:lineRule="atLeast"/>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分值</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118" w:hRule="atLeast"/>
        </w:trPr>
        <w:tc>
          <w:tcPr>
            <w:tcW w:w="736" w:type="dxa"/>
            <w:vAlign w:val="center"/>
          </w:tcPr>
          <w:p>
            <w:pPr>
              <w:widowControl/>
              <w:spacing w:line="260" w:lineRule="exact"/>
              <w:jc w:val="center"/>
              <w:textAlignment w:val="center"/>
              <w:rPr>
                <w:rFonts w:asciiTheme="minorEastAsia" w:hAnsiTheme="minorEastAsia" w:eastAsiaTheme="minorEastAsia" w:cstheme="minorEastAsia"/>
                <w:kern w:val="0"/>
                <w:szCs w:val="21"/>
                <w:lang w:bidi="ar"/>
              </w:rPr>
            </w:pPr>
            <w:r>
              <w:rPr>
                <w:rFonts w:hint="eastAsia" w:asciiTheme="minorEastAsia" w:hAnsiTheme="minorEastAsia" w:eastAsiaTheme="minorEastAsia" w:cstheme="minorEastAsia"/>
                <w:kern w:val="0"/>
                <w:szCs w:val="21"/>
                <w:lang w:bidi="ar"/>
              </w:rPr>
              <w:t>竞标报价</w:t>
            </w:r>
          </w:p>
          <w:p>
            <w:pPr>
              <w:widowControl/>
              <w:spacing w:line="260" w:lineRule="exact"/>
              <w:jc w:val="center"/>
              <w:textAlignment w:val="center"/>
              <w:rPr>
                <w:rFonts w:asciiTheme="minorEastAsia" w:hAnsiTheme="minorEastAsia" w:eastAsiaTheme="minorEastAsia" w:cstheme="minorEastAsia"/>
                <w:spacing w:val="-6"/>
                <w:szCs w:val="21"/>
              </w:rPr>
            </w:pPr>
            <w:r>
              <w:rPr>
                <w:rFonts w:asciiTheme="minorEastAsia" w:hAnsiTheme="minorEastAsia" w:eastAsiaTheme="minorEastAsia" w:cstheme="minorEastAsia"/>
                <w:kern w:val="0"/>
                <w:szCs w:val="21"/>
                <w:lang w:bidi="ar"/>
              </w:rPr>
              <w:t>35</w:t>
            </w:r>
            <w:r>
              <w:rPr>
                <w:rFonts w:hint="eastAsia" w:asciiTheme="minorEastAsia" w:hAnsiTheme="minorEastAsia" w:eastAsiaTheme="minorEastAsia" w:cstheme="minorEastAsia"/>
                <w:kern w:val="0"/>
                <w:szCs w:val="21"/>
                <w:lang w:bidi="ar"/>
              </w:rPr>
              <w:t>分</w:t>
            </w:r>
          </w:p>
        </w:tc>
        <w:tc>
          <w:tcPr>
            <w:tcW w:w="1376" w:type="dxa"/>
            <w:vAlign w:val="center"/>
          </w:tcPr>
          <w:p>
            <w:pPr>
              <w:widowControl/>
              <w:spacing w:line="260" w:lineRule="exact"/>
              <w:jc w:val="center"/>
              <w:textAlignment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kern w:val="0"/>
                <w:szCs w:val="21"/>
                <w:lang w:bidi="ar"/>
              </w:rPr>
              <w:t>最后报价</w:t>
            </w:r>
          </w:p>
        </w:tc>
        <w:tc>
          <w:tcPr>
            <w:tcW w:w="6512" w:type="dxa"/>
            <w:vAlign w:val="center"/>
          </w:tcPr>
          <w:p>
            <w:pPr>
              <w:widowControl/>
              <w:spacing w:line="260" w:lineRule="exact"/>
              <w:jc w:val="left"/>
              <w:textAlignment w:val="center"/>
              <w:rPr>
                <w:rFonts w:asciiTheme="minorEastAsia" w:hAnsiTheme="minorEastAsia" w:eastAsiaTheme="minorEastAsia" w:cstheme="minorEastAsia"/>
              </w:rPr>
            </w:pPr>
            <w:r>
              <w:rPr>
                <w:rFonts w:hint="eastAsia" w:asciiTheme="minorEastAsia" w:hAnsiTheme="minorEastAsia" w:eastAsiaTheme="minorEastAsia" w:cstheme="minorEastAsia"/>
              </w:rPr>
              <w:t>（1）报价采用低价优先法计算，即满足磋商采购文件要求且报价最低的报价为磋商基准价，其报价分为满分</w:t>
            </w:r>
            <w:r>
              <w:rPr>
                <w:rFonts w:asciiTheme="minorEastAsia" w:hAnsiTheme="minorEastAsia" w:eastAsiaTheme="minorEastAsia" w:cstheme="minorEastAsia"/>
              </w:rPr>
              <w:t>35</w:t>
            </w:r>
            <w:r>
              <w:rPr>
                <w:rFonts w:hint="eastAsia" w:asciiTheme="minorEastAsia" w:hAnsiTheme="minorEastAsia" w:eastAsiaTheme="minorEastAsia" w:cstheme="minorEastAsia"/>
              </w:rPr>
              <w:t>分；</w:t>
            </w:r>
          </w:p>
          <w:p>
            <w:pPr>
              <w:widowControl/>
              <w:spacing w:line="260" w:lineRule="exact"/>
              <w:jc w:val="left"/>
              <w:textAlignment w:val="center"/>
              <w:rPr>
                <w:rFonts w:asciiTheme="minorEastAsia" w:hAnsiTheme="minorEastAsia" w:eastAsiaTheme="minorEastAsia" w:cstheme="minorEastAsia"/>
              </w:rPr>
            </w:pPr>
            <w:r>
              <w:rPr>
                <w:rFonts w:hint="eastAsia" w:asciiTheme="minorEastAsia" w:hAnsiTheme="minorEastAsia" w:eastAsiaTheme="minorEastAsia" w:cstheme="minorEastAsia"/>
              </w:rPr>
              <w:t>（2）其他供应商的报价分按照下列公式计算：</w:t>
            </w:r>
          </w:p>
          <w:p>
            <w:pPr>
              <w:widowControl/>
              <w:spacing w:line="260" w:lineRule="exact"/>
              <w:jc w:val="left"/>
              <w:textAlignment w:val="center"/>
              <w:rPr>
                <w:rFonts w:asciiTheme="minorEastAsia" w:hAnsiTheme="minorEastAsia" w:eastAsiaTheme="minorEastAsia" w:cstheme="minorEastAsia"/>
              </w:rPr>
            </w:pPr>
            <w:r>
              <w:rPr>
                <w:rFonts w:hint="eastAsia" w:asciiTheme="minorEastAsia" w:hAnsiTheme="minorEastAsia" w:eastAsiaTheme="minorEastAsia" w:cstheme="minorEastAsia"/>
              </w:rPr>
              <w:t>报价分=（磋商基准价/磋商报价）×</w:t>
            </w:r>
            <w:r>
              <w:rPr>
                <w:rFonts w:asciiTheme="minorEastAsia" w:hAnsiTheme="minorEastAsia" w:eastAsiaTheme="minorEastAsia" w:cstheme="minorEastAsia"/>
              </w:rPr>
              <w:t>35</w:t>
            </w:r>
          </w:p>
          <w:p>
            <w:pPr>
              <w:widowControl/>
              <w:spacing w:line="260" w:lineRule="exact"/>
              <w:jc w:val="left"/>
              <w:textAlignment w:val="center"/>
              <w:rPr>
                <w:rFonts w:asciiTheme="minorEastAsia" w:hAnsiTheme="minorEastAsia" w:eastAsiaTheme="minorEastAsia" w:cstheme="minorEastAsia"/>
                <w:b/>
              </w:rPr>
            </w:pPr>
            <w:r>
              <w:rPr>
                <w:rFonts w:hint="eastAsia" w:asciiTheme="minorEastAsia" w:hAnsiTheme="minorEastAsia" w:eastAsiaTheme="minorEastAsia" w:cstheme="minorEastAsia"/>
                <w:b/>
              </w:rPr>
              <w:t>备注：</w:t>
            </w:r>
            <w:r>
              <w:rPr>
                <w:rFonts w:asciiTheme="minorEastAsia" w:hAnsiTheme="minorEastAsia" w:eastAsiaTheme="minorEastAsia" w:cstheme="minorEastAsia"/>
                <w:b/>
              </w:rPr>
              <w:t>1）如发现供应商的最后报价明显低于其他通过资格审查及符合性审查的供应商的最后报价，磋商小组认为有可能影响项目实施及服务质量或者不能诚信履约的，可启用澄清程序，有权要求供应商在合理的时间内出具最后报价的合理分析，供应商不能合理说明或者不能提供相关证明材料的，磋商小组可认定该供应商以低于成本报价竞标，有权将其报价作无效处理。</w:t>
            </w:r>
          </w:p>
          <w:p>
            <w:pPr>
              <w:widowControl/>
              <w:spacing w:line="260" w:lineRule="exact"/>
              <w:jc w:val="left"/>
              <w:textAlignment w:val="center"/>
              <w:rPr>
                <w:rFonts w:asciiTheme="minorEastAsia" w:hAnsiTheme="minorEastAsia" w:eastAsiaTheme="minorEastAsia" w:cstheme="minorEastAsia"/>
              </w:rPr>
            </w:pPr>
            <w:r>
              <w:rPr>
                <w:rFonts w:asciiTheme="minorEastAsia" w:hAnsiTheme="minorEastAsia" w:eastAsiaTheme="minorEastAsia" w:cstheme="minorEastAsia"/>
                <w:b/>
              </w:rPr>
              <w:t>2）符合本磋商文件第四章“政策支持”条件的，在评审时予以价格扣除，用扣除后的价格参与评审。</w:t>
            </w:r>
          </w:p>
        </w:tc>
        <w:tc>
          <w:tcPr>
            <w:tcW w:w="664" w:type="dxa"/>
            <w:vAlign w:val="center"/>
          </w:tcPr>
          <w:p>
            <w:pPr>
              <w:widowControl/>
              <w:spacing w:line="260" w:lineRule="exact"/>
              <w:jc w:val="center"/>
              <w:textAlignment w:val="center"/>
              <w:rPr>
                <w:rFonts w:asciiTheme="minorEastAsia" w:hAnsiTheme="minorEastAsia" w:eastAsiaTheme="minorEastAsia" w:cstheme="minorEastAsia"/>
              </w:rPr>
            </w:pPr>
            <w:r>
              <w:rPr>
                <w:rFonts w:asciiTheme="minorEastAsia" w:hAnsiTheme="minorEastAsia" w:eastAsiaTheme="minorEastAsia" w:cstheme="minorEastAsia"/>
                <w:kern w:val="0"/>
                <w:szCs w:val="21"/>
                <w:lang w:bidi="ar"/>
              </w:rPr>
              <w:t>35</w:t>
            </w:r>
            <w:r>
              <w:rPr>
                <w:rFonts w:hint="eastAsia" w:asciiTheme="minorEastAsia" w:hAnsiTheme="minorEastAsia" w:eastAsiaTheme="minorEastAsia" w:cstheme="minorEastAsia"/>
                <w:kern w:val="0"/>
                <w:szCs w:val="21"/>
                <w:lang w:bidi="ar"/>
              </w:rPr>
              <w:t>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736" w:type="dxa"/>
            <w:vAlign w:val="center"/>
          </w:tcPr>
          <w:p>
            <w:pPr>
              <w:jc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商务部分</w:t>
            </w:r>
          </w:p>
          <w:p>
            <w:pPr>
              <w:jc w:val="center"/>
              <w:rPr>
                <w:rFonts w:asciiTheme="minorEastAsia" w:hAnsiTheme="minorEastAsia" w:eastAsiaTheme="minorEastAsia" w:cstheme="minorEastAsia"/>
                <w:szCs w:val="21"/>
              </w:rPr>
            </w:pPr>
            <w:r>
              <w:rPr>
                <w:rFonts w:asciiTheme="minorEastAsia" w:hAnsiTheme="minorEastAsia" w:eastAsiaTheme="minorEastAsia" w:cstheme="minorEastAsia"/>
                <w:spacing w:val="-6"/>
                <w:szCs w:val="21"/>
              </w:rPr>
              <w:t>15</w:t>
            </w:r>
            <w:r>
              <w:rPr>
                <w:rFonts w:hint="eastAsia" w:asciiTheme="minorEastAsia" w:hAnsiTheme="minorEastAsia" w:eastAsiaTheme="minorEastAsia" w:cstheme="minorEastAsia"/>
                <w:spacing w:val="-6"/>
                <w:szCs w:val="21"/>
              </w:rPr>
              <w:t>分</w:t>
            </w:r>
          </w:p>
        </w:tc>
        <w:tc>
          <w:tcPr>
            <w:tcW w:w="1376" w:type="dxa"/>
            <w:vAlign w:val="center"/>
          </w:tcPr>
          <w:p>
            <w:pPr>
              <w:jc w:val="center"/>
              <w:rPr>
                <w:rFonts w:asciiTheme="minorEastAsia" w:hAnsiTheme="minorEastAsia" w:eastAsiaTheme="minorEastAsia" w:cstheme="minorEastAsia"/>
                <w:color w:val="auto"/>
                <w:spacing w:val="-6"/>
                <w:kern w:val="0"/>
                <w:szCs w:val="21"/>
              </w:rPr>
            </w:pPr>
            <w:r>
              <w:rPr>
                <w:rFonts w:hint="eastAsia" w:cs="仿宋" w:asciiTheme="majorEastAsia" w:hAnsiTheme="majorEastAsia" w:eastAsiaTheme="majorEastAsia"/>
                <w:color w:val="auto"/>
                <w:szCs w:val="21"/>
              </w:rPr>
              <w:t>现场演示</w:t>
            </w:r>
          </w:p>
        </w:tc>
        <w:tc>
          <w:tcPr>
            <w:tcW w:w="6512" w:type="dxa"/>
            <w:vAlign w:val="center"/>
          </w:tcPr>
          <w:p>
            <w:pPr>
              <w:spacing w:line="320" w:lineRule="exact"/>
              <w:rPr>
                <w:rFonts w:cs="仿宋" w:asciiTheme="majorEastAsia" w:hAnsiTheme="majorEastAsia" w:eastAsiaTheme="majorEastAsia"/>
                <w:color w:val="auto"/>
                <w:szCs w:val="21"/>
              </w:rPr>
            </w:pPr>
            <w:r>
              <w:rPr>
                <w:rFonts w:hint="eastAsia" w:cs="仿宋" w:asciiTheme="majorEastAsia" w:hAnsiTheme="majorEastAsia" w:eastAsiaTheme="majorEastAsia"/>
                <w:color w:val="auto"/>
                <w:szCs w:val="21"/>
              </w:rPr>
              <w:t>供应商在投标时现场通过自带设备进行实时演示，演示安全网关内容包括：</w:t>
            </w:r>
          </w:p>
          <w:p>
            <w:pPr>
              <w:spacing w:line="320" w:lineRule="exact"/>
              <w:rPr>
                <w:rFonts w:cs="仿宋" w:asciiTheme="majorEastAsia" w:hAnsiTheme="majorEastAsia" w:eastAsiaTheme="majorEastAsia"/>
                <w:color w:val="auto"/>
                <w:szCs w:val="21"/>
              </w:rPr>
            </w:pPr>
            <w:r>
              <w:rPr>
                <w:rFonts w:cs="仿宋" w:asciiTheme="majorEastAsia" w:hAnsiTheme="majorEastAsia" w:eastAsiaTheme="majorEastAsia"/>
                <w:color w:val="auto"/>
                <w:szCs w:val="21"/>
              </w:rPr>
              <w:t>1、自定义仪表大厅（包含：系统信息，接口信息，DDNS状态、NTP状态、图像、接口数据、网关状态、GEOM镜像、OpenVPN、服务状态、网络唤醒、IPsec、RSS、硬盘状态、防火墙日志等）；</w:t>
            </w:r>
          </w:p>
          <w:p>
            <w:pPr>
              <w:spacing w:line="320" w:lineRule="exact"/>
              <w:rPr>
                <w:rFonts w:cs="仿宋" w:asciiTheme="majorEastAsia" w:hAnsiTheme="majorEastAsia" w:eastAsiaTheme="majorEastAsia"/>
                <w:color w:val="auto"/>
                <w:szCs w:val="21"/>
              </w:rPr>
            </w:pPr>
            <w:r>
              <w:rPr>
                <w:rFonts w:cs="仿宋" w:asciiTheme="majorEastAsia" w:hAnsiTheme="majorEastAsia" w:eastAsiaTheme="majorEastAsia"/>
                <w:color w:val="auto"/>
                <w:szCs w:val="21"/>
              </w:rPr>
              <w:t>2、插件管理：浏览可使用插件数量≥50个；</w:t>
            </w:r>
          </w:p>
          <w:p>
            <w:pPr>
              <w:spacing w:line="320" w:lineRule="exact"/>
              <w:rPr>
                <w:rFonts w:cs="仿宋" w:asciiTheme="majorEastAsia" w:hAnsiTheme="majorEastAsia" w:eastAsiaTheme="majorEastAsia"/>
                <w:color w:val="auto"/>
                <w:szCs w:val="21"/>
              </w:rPr>
            </w:pPr>
            <w:r>
              <w:rPr>
                <w:rFonts w:cs="仿宋" w:asciiTheme="majorEastAsia" w:hAnsiTheme="majorEastAsia" w:eastAsiaTheme="majorEastAsia"/>
                <w:color w:val="auto"/>
                <w:szCs w:val="21"/>
              </w:rPr>
              <w:t>3、服务：支持DDNS、DHCPv6中继、DHCPv6服务、DHCP中继、DHCP服务、DNS解析、DNS转发、IGMP代理、NTP、PPPoE服务器、SNMP、UPnP、可备份设置，网络唤醒等。</w:t>
            </w:r>
          </w:p>
          <w:p>
            <w:pPr>
              <w:rPr>
                <w:rFonts w:cs="仿宋" w:asciiTheme="majorEastAsia" w:hAnsiTheme="majorEastAsia" w:eastAsiaTheme="majorEastAsia"/>
                <w:color w:val="auto"/>
                <w:szCs w:val="21"/>
              </w:rPr>
            </w:pPr>
            <w:r>
              <w:rPr>
                <w:rFonts w:hint="eastAsia" w:cs="仿宋" w:asciiTheme="majorEastAsia" w:hAnsiTheme="majorEastAsia" w:eastAsiaTheme="majorEastAsia"/>
                <w:color w:val="auto"/>
                <w:szCs w:val="21"/>
              </w:rPr>
              <w:t>上述3项演示内容完全满足要求的，每一项得5分；演示内容部分满足要求的，每一项得2分；未提供演示内容或演示内容完全不满足要求的，该项不得分。本部分最多得15分。</w:t>
            </w:r>
          </w:p>
          <w:p>
            <w:pPr>
              <w:rPr>
                <w:rFonts w:asciiTheme="minorEastAsia" w:hAnsiTheme="minorEastAsia" w:eastAsiaTheme="minorEastAsia" w:cstheme="minorEastAsia"/>
                <w:color w:val="auto"/>
                <w:spacing w:val="-6"/>
                <w:kern w:val="0"/>
                <w:szCs w:val="21"/>
              </w:rPr>
            </w:pPr>
            <w:r>
              <w:rPr>
                <w:rFonts w:hint="eastAsia" w:cs="仿宋" w:asciiTheme="majorEastAsia" w:hAnsiTheme="majorEastAsia" w:eastAsiaTheme="majorEastAsia"/>
                <w:color w:val="auto"/>
                <w:szCs w:val="21"/>
              </w:rPr>
              <w:t>注：演示时间10</w:t>
            </w:r>
            <w:r>
              <w:rPr>
                <w:rFonts w:cs="仿宋" w:asciiTheme="majorEastAsia" w:hAnsiTheme="majorEastAsia" w:eastAsiaTheme="majorEastAsia"/>
                <w:color w:val="auto"/>
                <w:szCs w:val="21"/>
              </w:rPr>
              <w:t>分钟，</w:t>
            </w:r>
            <w:r>
              <w:rPr>
                <w:rFonts w:hint="eastAsia" w:asciiTheme="minorEastAsia" w:hAnsiTheme="minorEastAsia" w:eastAsiaTheme="minorEastAsia" w:cstheme="minorEastAsia"/>
                <w:color w:val="auto"/>
                <w:szCs w:val="21"/>
              </w:rPr>
              <w:t>超过10分钟外的演示内容不计分。</w:t>
            </w:r>
          </w:p>
        </w:tc>
        <w:tc>
          <w:tcPr>
            <w:tcW w:w="664" w:type="dxa"/>
            <w:vAlign w:val="center"/>
          </w:tcPr>
          <w:p>
            <w:pPr>
              <w:widowControl/>
              <w:spacing w:line="260" w:lineRule="exact"/>
              <w:jc w:val="center"/>
              <w:textAlignment w:val="center"/>
              <w:rPr>
                <w:rFonts w:asciiTheme="minorEastAsia" w:hAnsiTheme="minorEastAsia" w:eastAsiaTheme="minorEastAsia" w:cstheme="minorEastAsia"/>
                <w:color w:val="auto"/>
                <w:kern w:val="0"/>
                <w:szCs w:val="21"/>
                <w:lang w:bidi="ar"/>
              </w:rPr>
            </w:pPr>
            <w:r>
              <w:rPr>
                <w:rFonts w:asciiTheme="minorEastAsia" w:hAnsiTheme="minorEastAsia" w:eastAsiaTheme="minorEastAsia" w:cstheme="minorEastAsia"/>
                <w:color w:val="auto"/>
                <w:kern w:val="0"/>
                <w:szCs w:val="21"/>
                <w:lang w:bidi="ar"/>
              </w:rPr>
              <w:t>15</w:t>
            </w:r>
            <w:r>
              <w:rPr>
                <w:rFonts w:hint="eastAsia" w:asciiTheme="minorEastAsia" w:hAnsiTheme="minorEastAsia" w:eastAsiaTheme="minorEastAsia" w:cstheme="minorEastAsia"/>
                <w:color w:val="auto"/>
                <w:kern w:val="0"/>
                <w:szCs w:val="21"/>
                <w:lang w:bidi="ar"/>
              </w:rPr>
              <w:t>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7" w:hRule="atLeast"/>
        </w:trPr>
        <w:tc>
          <w:tcPr>
            <w:tcW w:w="736" w:type="dxa"/>
            <w:vMerge w:val="restart"/>
            <w:vAlign w:val="center"/>
          </w:tcPr>
          <w:p>
            <w:pPr>
              <w:jc w:val="center"/>
              <w:rPr>
                <w:rFonts w:asciiTheme="minorEastAsia" w:hAnsiTheme="minorEastAsia" w:eastAsiaTheme="minorEastAsia" w:cstheme="minorEastAsia"/>
                <w:color w:val="auto"/>
                <w:spacing w:val="-6"/>
                <w:szCs w:val="21"/>
              </w:rPr>
            </w:pPr>
            <w:r>
              <w:rPr>
                <w:rFonts w:hint="eastAsia" w:asciiTheme="minorEastAsia" w:hAnsiTheme="minorEastAsia" w:eastAsiaTheme="minorEastAsia" w:cstheme="minorEastAsia"/>
                <w:color w:val="auto"/>
                <w:spacing w:val="-6"/>
                <w:szCs w:val="21"/>
              </w:rPr>
              <w:t>技术服务</w:t>
            </w:r>
          </w:p>
          <w:p>
            <w:pPr>
              <w:jc w:val="center"/>
              <w:rPr>
                <w:rFonts w:asciiTheme="minorEastAsia" w:hAnsiTheme="minorEastAsia" w:eastAsiaTheme="minorEastAsia" w:cstheme="minorEastAsia"/>
                <w:color w:val="auto"/>
                <w:spacing w:val="-6"/>
                <w:szCs w:val="21"/>
              </w:rPr>
            </w:pPr>
            <w:r>
              <w:rPr>
                <w:rFonts w:asciiTheme="minorEastAsia" w:hAnsiTheme="minorEastAsia" w:eastAsiaTheme="minorEastAsia" w:cstheme="minorEastAsia"/>
                <w:color w:val="auto"/>
                <w:spacing w:val="-6"/>
                <w:szCs w:val="21"/>
              </w:rPr>
              <w:t>50</w:t>
            </w:r>
            <w:r>
              <w:rPr>
                <w:rFonts w:hint="eastAsia" w:asciiTheme="minorEastAsia" w:hAnsiTheme="minorEastAsia" w:eastAsiaTheme="minorEastAsia" w:cstheme="minorEastAsia"/>
                <w:color w:val="auto"/>
                <w:spacing w:val="-6"/>
                <w:szCs w:val="21"/>
              </w:rPr>
              <w:t>分</w:t>
            </w:r>
          </w:p>
        </w:tc>
        <w:tc>
          <w:tcPr>
            <w:tcW w:w="1376" w:type="dxa"/>
            <w:vAlign w:val="center"/>
          </w:tcPr>
          <w:p>
            <w:pPr>
              <w:jc w:val="center"/>
              <w:rPr>
                <w:rFonts w:asciiTheme="minorEastAsia" w:hAnsiTheme="minorEastAsia" w:cstheme="minorEastAsia"/>
                <w:color w:val="auto"/>
                <w:spacing w:val="-6"/>
                <w:szCs w:val="21"/>
                <w:highlight w:val="none"/>
              </w:rPr>
            </w:pPr>
            <w:r>
              <w:rPr>
                <w:rFonts w:hint="eastAsia" w:ascii="宋体" w:hAnsi="宋体" w:cs="宋体"/>
                <w:color w:val="auto"/>
                <w:szCs w:val="21"/>
                <w:highlight w:val="none"/>
              </w:rPr>
              <w:t>设备技术响应</w:t>
            </w:r>
          </w:p>
        </w:tc>
        <w:tc>
          <w:tcPr>
            <w:tcW w:w="6512" w:type="dxa"/>
            <w:vAlign w:val="center"/>
          </w:tcPr>
          <w:p>
            <w:pPr>
              <w:spacing w:line="320" w:lineRule="exact"/>
              <w:rPr>
                <w:rFonts w:hint="eastAsia" w:cs="仿宋" w:asciiTheme="majorEastAsia" w:hAnsiTheme="majorEastAsia" w:eastAsiaTheme="majorEastAsia"/>
                <w:color w:val="auto"/>
                <w:szCs w:val="21"/>
              </w:rPr>
            </w:pPr>
            <w:r>
              <w:rPr>
                <w:rFonts w:hint="eastAsia" w:cs="仿宋" w:asciiTheme="majorEastAsia" w:hAnsiTheme="majorEastAsia" w:eastAsiaTheme="majorEastAsia"/>
                <w:color w:val="auto"/>
                <w:szCs w:val="21"/>
              </w:rPr>
              <w:t>设备技术性能及参数完全满足招标要求的得40分，具体由磋商小组根据投标供应商的响应文件中产品情况、《技术响应、偏离说明表》等有关资料打分。</w:t>
            </w:r>
          </w:p>
          <w:p>
            <w:pPr>
              <w:spacing w:line="320" w:lineRule="exact"/>
              <w:rPr>
                <w:rFonts w:hint="eastAsia" w:cs="仿宋" w:asciiTheme="majorEastAsia" w:hAnsiTheme="majorEastAsia" w:eastAsiaTheme="majorEastAsia"/>
                <w:color w:val="auto"/>
                <w:szCs w:val="21"/>
              </w:rPr>
            </w:pPr>
            <w:r>
              <w:rPr>
                <w:rFonts w:hint="eastAsia" w:cs="仿宋" w:asciiTheme="majorEastAsia" w:hAnsiTheme="majorEastAsia" w:eastAsiaTheme="majorEastAsia"/>
                <w:color w:val="auto"/>
                <w:szCs w:val="21"/>
              </w:rPr>
              <w:t>其中：完全满足招标技术参数要求的得40分；</w:t>
            </w:r>
          </w:p>
          <w:p>
            <w:pPr>
              <w:spacing w:line="320" w:lineRule="exact"/>
              <w:rPr>
                <w:rFonts w:hint="eastAsia" w:cs="仿宋" w:asciiTheme="majorEastAsia" w:hAnsiTheme="majorEastAsia" w:eastAsiaTheme="majorEastAsia"/>
                <w:color w:val="auto"/>
                <w:szCs w:val="21"/>
                <w:highlight w:val="none"/>
              </w:rPr>
            </w:pPr>
            <w:r>
              <w:rPr>
                <w:rFonts w:hint="eastAsia" w:cs="仿宋" w:asciiTheme="majorEastAsia" w:hAnsiTheme="majorEastAsia" w:eastAsiaTheme="majorEastAsia"/>
                <w:color w:val="auto"/>
                <w:szCs w:val="21"/>
              </w:rPr>
              <w:t>在此基础上，标注“▲”的内容为重</w:t>
            </w:r>
            <w:r>
              <w:rPr>
                <w:rFonts w:hint="eastAsia" w:cs="仿宋" w:asciiTheme="majorEastAsia" w:hAnsiTheme="majorEastAsia" w:eastAsiaTheme="majorEastAsia"/>
                <w:color w:val="auto"/>
                <w:szCs w:val="21"/>
                <w:highlight w:val="none"/>
              </w:rPr>
              <w:t>要条款，一项不满足扣</w:t>
            </w:r>
            <w:r>
              <w:rPr>
                <w:rFonts w:hint="eastAsia" w:cs="仿宋" w:asciiTheme="majorEastAsia" w:hAnsiTheme="majorEastAsia" w:eastAsiaTheme="majorEastAsia"/>
                <w:color w:val="auto"/>
                <w:szCs w:val="21"/>
                <w:highlight w:val="none"/>
                <w:lang w:val="en-US" w:eastAsia="zh-CN"/>
              </w:rPr>
              <w:t>2</w:t>
            </w:r>
            <w:r>
              <w:rPr>
                <w:rFonts w:hint="eastAsia" w:cs="仿宋" w:asciiTheme="majorEastAsia" w:hAnsiTheme="majorEastAsia" w:eastAsiaTheme="majorEastAsia"/>
                <w:color w:val="auto"/>
                <w:szCs w:val="21"/>
                <w:highlight w:val="none"/>
              </w:rPr>
              <w:t>分；未标注“▲”的一般条款内容有一项不符合的则每项扣1分；扣完为止。</w:t>
            </w:r>
          </w:p>
          <w:p>
            <w:pPr>
              <w:spacing w:line="320" w:lineRule="exact"/>
              <w:rPr>
                <w:rFonts w:hint="eastAsia" w:cs="仿宋" w:asciiTheme="majorEastAsia" w:hAnsiTheme="majorEastAsia" w:eastAsiaTheme="majorEastAsia"/>
                <w:color w:val="auto"/>
                <w:szCs w:val="21"/>
              </w:rPr>
            </w:pPr>
            <w:r>
              <w:rPr>
                <w:rFonts w:hint="eastAsia" w:cs="仿宋" w:asciiTheme="majorEastAsia" w:hAnsiTheme="majorEastAsia" w:eastAsiaTheme="majorEastAsia"/>
                <w:color w:val="auto"/>
                <w:szCs w:val="21"/>
                <w:highlight w:val="none"/>
              </w:rPr>
              <w:t>备注：标注“▲”的重要指标，投标供应商须提供包含相关指标项的证明材料，证明材料可以使用生产厂家官方网站截图或产品白皮书或第三方机构检验报告或其他相关证明材料。</w:t>
            </w:r>
            <w:r>
              <w:rPr>
                <w:rFonts w:hint="eastAsia" w:cs="仿宋" w:asciiTheme="majorEastAsia" w:hAnsiTheme="majorEastAsia" w:eastAsiaTheme="majorEastAsia"/>
                <w:color w:val="auto"/>
                <w:szCs w:val="21"/>
                <w:highlight w:val="none"/>
                <w:lang w:eastAsia="zh-CN"/>
              </w:rPr>
              <w:t>采购需求中如有相关要求，则以需求中的要求为准。</w:t>
            </w:r>
          </w:p>
        </w:tc>
        <w:tc>
          <w:tcPr>
            <w:tcW w:w="664" w:type="dxa"/>
            <w:vAlign w:val="center"/>
          </w:tcPr>
          <w:p>
            <w:pPr>
              <w:jc w:val="center"/>
              <w:rPr>
                <w:rFonts w:asciiTheme="minorEastAsia" w:hAnsiTheme="minorEastAsia" w:eastAsiaTheme="minorEastAsia" w:cstheme="minorEastAsia"/>
                <w:color w:val="auto"/>
                <w:spacing w:val="-6"/>
                <w:szCs w:val="21"/>
                <w:highlight w:val="none"/>
              </w:rPr>
            </w:pPr>
            <w:r>
              <w:rPr>
                <w:rFonts w:ascii="宋体" w:hAnsi="宋体" w:cs="宋体"/>
                <w:color w:val="auto"/>
                <w:spacing w:val="-6"/>
                <w:szCs w:val="21"/>
                <w:highlight w:val="none"/>
              </w:rPr>
              <w:t>40</w:t>
            </w:r>
            <w:r>
              <w:rPr>
                <w:rFonts w:hint="eastAsia" w:ascii="宋体" w:hAnsi="宋体" w:cs="宋体"/>
                <w:color w:val="auto"/>
                <w:spacing w:val="-6"/>
                <w:szCs w:val="21"/>
                <w:highlight w:val="none"/>
              </w:rPr>
              <w:t>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8" w:hRule="atLeast"/>
        </w:trPr>
        <w:tc>
          <w:tcPr>
            <w:tcW w:w="736" w:type="dxa"/>
            <w:vMerge w:val="continue"/>
            <w:vAlign w:val="center"/>
          </w:tcPr>
          <w:p>
            <w:pPr>
              <w:jc w:val="center"/>
              <w:rPr>
                <w:rFonts w:asciiTheme="minorEastAsia" w:hAnsiTheme="minorEastAsia" w:eastAsiaTheme="minorEastAsia" w:cstheme="minorEastAsia"/>
                <w:color w:val="auto"/>
                <w:spacing w:val="-6"/>
                <w:szCs w:val="21"/>
              </w:rPr>
            </w:pPr>
          </w:p>
        </w:tc>
        <w:tc>
          <w:tcPr>
            <w:tcW w:w="1376" w:type="dxa"/>
            <w:vAlign w:val="center"/>
          </w:tcPr>
          <w:p>
            <w:pPr>
              <w:jc w:val="center"/>
              <w:rPr>
                <w:rFonts w:ascii="宋体" w:hAnsi="宋体" w:cs="宋体"/>
                <w:color w:val="auto"/>
                <w:szCs w:val="21"/>
              </w:rPr>
            </w:pPr>
            <w:r>
              <w:rPr>
                <w:rFonts w:hint="eastAsia" w:ascii="宋体" w:hAnsi="宋体" w:cs="宋体"/>
                <w:color w:val="auto"/>
                <w:szCs w:val="21"/>
              </w:rPr>
              <w:t>交货方案</w:t>
            </w:r>
          </w:p>
        </w:tc>
        <w:tc>
          <w:tcPr>
            <w:tcW w:w="6512" w:type="dxa"/>
            <w:vAlign w:val="center"/>
          </w:tcPr>
          <w:p>
            <w:pPr>
              <w:ind w:left="-4" w:leftChars="-2" w:firstLine="2" w:firstLineChars="1"/>
              <w:rPr>
                <w:rFonts w:ascii="宋体" w:hAnsi="宋体" w:cs="宋体"/>
                <w:color w:val="auto"/>
                <w:szCs w:val="21"/>
              </w:rPr>
            </w:pPr>
            <w:r>
              <w:rPr>
                <w:rFonts w:hint="eastAsia" w:ascii="宋体" w:hAnsi="宋体" w:cs="宋体"/>
                <w:color w:val="auto"/>
                <w:szCs w:val="21"/>
              </w:rPr>
              <w:t>根据投标供应商针对本项目提供的交货方案（包含项目对接、人员安排、交货计划、货物运输、交货期保障措施、安装调试步骤及措施等）进行评分：</w:t>
            </w:r>
          </w:p>
          <w:p>
            <w:pPr>
              <w:ind w:left="-4" w:leftChars="-2" w:firstLine="2" w:firstLineChars="1"/>
              <w:rPr>
                <w:rFonts w:ascii="宋体" w:hAnsi="宋体" w:cs="宋体"/>
                <w:color w:val="auto"/>
                <w:szCs w:val="21"/>
              </w:rPr>
            </w:pPr>
            <w:r>
              <w:rPr>
                <w:rFonts w:hint="eastAsia" w:ascii="宋体" w:hAnsi="宋体" w:cs="宋体"/>
                <w:color w:val="auto"/>
                <w:szCs w:val="21"/>
              </w:rPr>
              <w:t>评审标准:</w:t>
            </w:r>
          </w:p>
          <w:p>
            <w:pPr>
              <w:ind w:left="-4" w:leftChars="-2" w:firstLine="2" w:firstLineChars="1"/>
              <w:rPr>
                <w:rFonts w:ascii="宋体" w:hAnsi="宋体" w:cs="宋体"/>
                <w:color w:val="auto"/>
                <w:szCs w:val="21"/>
              </w:rPr>
            </w:pPr>
            <w:r>
              <w:rPr>
                <w:rFonts w:hint="eastAsia" w:ascii="宋体" w:hAnsi="宋体" w:cs="宋体"/>
                <w:color w:val="auto"/>
                <w:szCs w:val="21"/>
              </w:rPr>
              <w:t>（1）合理性:方案提出的方法和标准应该符合本项目特点；</w:t>
            </w:r>
          </w:p>
          <w:p>
            <w:pPr>
              <w:ind w:left="-4" w:leftChars="-2" w:firstLine="2" w:firstLineChars="1"/>
              <w:rPr>
                <w:rFonts w:ascii="宋体" w:hAnsi="宋体" w:cs="宋体"/>
                <w:color w:val="auto"/>
                <w:szCs w:val="21"/>
              </w:rPr>
            </w:pPr>
            <w:r>
              <w:rPr>
                <w:rFonts w:hint="eastAsia" w:ascii="宋体" w:hAnsi="宋体" w:cs="宋体"/>
                <w:color w:val="auto"/>
                <w:szCs w:val="21"/>
              </w:rPr>
              <w:t>（2）可行性:方案提出的目标在所要求的时间范围应当能够完成；</w:t>
            </w:r>
          </w:p>
          <w:p>
            <w:pPr>
              <w:ind w:left="-4" w:leftChars="-2" w:firstLine="2" w:firstLineChars="1"/>
              <w:rPr>
                <w:rFonts w:ascii="宋体" w:hAnsi="宋体" w:cs="宋体"/>
                <w:color w:val="auto"/>
                <w:szCs w:val="21"/>
              </w:rPr>
            </w:pPr>
            <w:r>
              <w:rPr>
                <w:rFonts w:hint="eastAsia" w:ascii="宋体" w:hAnsi="宋体" w:cs="宋体"/>
                <w:color w:val="auto"/>
                <w:szCs w:val="21"/>
              </w:rPr>
              <w:t>（3）针对性:方案提出的方法完全适用于本项目；</w:t>
            </w:r>
          </w:p>
          <w:p>
            <w:pPr>
              <w:ind w:left="-4" w:leftChars="-2" w:firstLine="2" w:firstLineChars="1"/>
              <w:rPr>
                <w:rFonts w:ascii="宋体" w:hAnsi="宋体" w:cs="宋体"/>
                <w:color w:val="auto"/>
                <w:szCs w:val="21"/>
              </w:rPr>
            </w:pPr>
            <w:r>
              <w:rPr>
                <w:rFonts w:hint="eastAsia" w:ascii="宋体" w:hAnsi="宋体" w:cs="宋体"/>
                <w:color w:val="auto"/>
                <w:szCs w:val="21"/>
              </w:rPr>
              <w:t>（4）完整性:方案必须完整，对采购文件中的各项要求有详细描述。</w:t>
            </w:r>
          </w:p>
          <w:p>
            <w:pPr>
              <w:ind w:left="-4" w:leftChars="-2" w:firstLine="2" w:firstLineChars="1"/>
              <w:rPr>
                <w:rFonts w:ascii="宋体" w:hAnsi="宋体" w:cs="宋体"/>
                <w:color w:val="auto"/>
                <w:szCs w:val="21"/>
              </w:rPr>
            </w:pPr>
            <w:r>
              <w:rPr>
                <w:rFonts w:hint="eastAsia" w:ascii="宋体" w:hAnsi="宋体" w:cs="宋体"/>
                <w:color w:val="auto"/>
                <w:szCs w:val="21"/>
              </w:rPr>
              <w:t>评审内容完全满足</w:t>
            </w:r>
            <w:r>
              <w:rPr>
                <w:rFonts w:ascii="宋体" w:hAnsi="宋体" w:cs="宋体"/>
                <w:color w:val="auto"/>
                <w:szCs w:val="21"/>
              </w:rPr>
              <w:t>4项评审标准的得3</w:t>
            </w:r>
            <w:r>
              <w:rPr>
                <w:rFonts w:hint="eastAsia" w:ascii="宋体" w:hAnsi="宋体" w:cs="宋体"/>
                <w:color w:val="auto"/>
                <w:szCs w:val="21"/>
              </w:rPr>
              <w:t>分，满足</w:t>
            </w:r>
            <w:r>
              <w:rPr>
                <w:rFonts w:ascii="宋体" w:hAnsi="宋体" w:cs="宋体"/>
                <w:color w:val="auto"/>
                <w:szCs w:val="21"/>
              </w:rPr>
              <w:t>3项得2</w:t>
            </w:r>
            <w:r>
              <w:rPr>
                <w:rFonts w:hint="eastAsia" w:ascii="宋体" w:hAnsi="宋体" w:cs="宋体"/>
                <w:color w:val="auto"/>
                <w:szCs w:val="21"/>
              </w:rPr>
              <w:t>分，满足</w:t>
            </w:r>
            <w:r>
              <w:rPr>
                <w:rFonts w:ascii="宋体" w:hAnsi="宋体" w:cs="宋体"/>
                <w:color w:val="auto"/>
                <w:szCs w:val="21"/>
              </w:rPr>
              <w:t>2项得1</w:t>
            </w:r>
            <w:r>
              <w:rPr>
                <w:rFonts w:hint="eastAsia" w:ascii="宋体" w:hAnsi="宋体" w:cs="宋体"/>
                <w:color w:val="auto"/>
                <w:szCs w:val="21"/>
              </w:rPr>
              <w:t>分，其他情况不得分。</w:t>
            </w:r>
          </w:p>
        </w:tc>
        <w:tc>
          <w:tcPr>
            <w:tcW w:w="664" w:type="dxa"/>
            <w:vAlign w:val="center"/>
          </w:tcPr>
          <w:p>
            <w:pPr>
              <w:jc w:val="center"/>
              <w:rPr>
                <w:rFonts w:ascii="宋体" w:hAnsi="宋体" w:cs="宋体"/>
                <w:szCs w:val="21"/>
              </w:rPr>
            </w:pPr>
            <w:r>
              <w:rPr>
                <w:rFonts w:ascii="宋体" w:hAnsi="宋体" w:cs="宋体"/>
                <w:szCs w:val="21"/>
              </w:rPr>
              <w:t>3</w:t>
            </w:r>
            <w:r>
              <w:rPr>
                <w:rFonts w:hint="eastAsia" w:ascii="宋体" w:hAnsi="宋体" w:cs="宋体"/>
                <w:szCs w:val="21"/>
              </w:rPr>
              <w:t>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8" w:hRule="atLeast"/>
        </w:trPr>
        <w:tc>
          <w:tcPr>
            <w:tcW w:w="736" w:type="dxa"/>
            <w:vMerge w:val="continue"/>
            <w:vAlign w:val="center"/>
          </w:tcPr>
          <w:p>
            <w:pPr>
              <w:jc w:val="center"/>
              <w:rPr>
                <w:rFonts w:asciiTheme="minorEastAsia" w:hAnsiTheme="minorEastAsia" w:eastAsiaTheme="minorEastAsia" w:cstheme="minorEastAsia"/>
                <w:spacing w:val="-6"/>
                <w:szCs w:val="21"/>
              </w:rPr>
            </w:pPr>
          </w:p>
        </w:tc>
        <w:tc>
          <w:tcPr>
            <w:tcW w:w="1376" w:type="dxa"/>
            <w:vAlign w:val="center"/>
          </w:tcPr>
          <w:p>
            <w:pPr>
              <w:jc w:val="center"/>
              <w:rPr>
                <w:rFonts w:ascii="宋体" w:hAnsi="宋体" w:cs="宋体"/>
                <w:szCs w:val="21"/>
              </w:rPr>
            </w:pPr>
            <w:r>
              <w:rPr>
                <w:rFonts w:hint="eastAsia" w:ascii="宋体" w:hAnsi="宋体" w:cs="宋体"/>
                <w:szCs w:val="21"/>
              </w:rPr>
              <w:t>质量管控措施</w:t>
            </w:r>
          </w:p>
        </w:tc>
        <w:tc>
          <w:tcPr>
            <w:tcW w:w="6512" w:type="dxa"/>
            <w:vAlign w:val="center"/>
          </w:tcPr>
          <w:p>
            <w:pPr>
              <w:ind w:left="-4" w:leftChars="-2" w:firstLine="2" w:firstLineChars="1"/>
              <w:rPr>
                <w:rFonts w:ascii="宋体" w:hAnsi="宋体" w:cs="宋体"/>
                <w:szCs w:val="21"/>
              </w:rPr>
            </w:pPr>
            <w:r>
              <w:rPr>
                <w:rFonts w:hint="eastAsia" w:ascii="宋体" w:hAnsi="宋体" w:cs="宋体"/>
                <w:szCs w:val="21"/>
              </w:rPr>
              <w:t>根据投标供应商针对本项目提供的质量管控措施（包含质量目标、质量管理制度、质量保证措施等）进行评分：</w:t>
            </w:r>
          </w:p>
          <w:p>
            <w:pPr>
              <w:ind w:left="-4" w:leftChars="-2" w:firstLine="2" w:firstLineChars="1"/>
              <w:rPr>
                <w:rFonts w:ascii="宋体" w:hAnsi="宋体" w:cs="宋体"/>
                <w:szCs w:val="21"/>
              </w:rPr>
            </w:pPr>
            <w:r>
              <w:rPr>
                <w:rFonts w:hint="eastAsia" w:ascii="宋体" w:hAnsi="宋体" w:cs="宋体"/>
                <w:szCs w:val="21"/>
              </w:rPr>
              <w:t>评审标准:</w:t>
            </w:r>
          </w:p>
          <w:p>
            <w:pPr>
              <w:ind w:left="-4" w:leftChars="-2" w:firstLine="2" w:firstLineChars="1"/>
              <w:rPr>
                <w:rFonts w:ascii="宋体" w:hAnsi="宋体" w:cs="宋体"/>
                <w:szCs w:val="21"/>
              </w:rPr>
            </w:pPr>
            <w:r>
              <w:rPr>
                <w:rFonts w:hint="eastAsia" w:ascii="宋体" w:hAnsi="宋体" w:cs="宋体"/>
                <w:szCs w:val="21"/>
              </w:rPr>
              <w:t>（1）合理性:方案提出的方法和标准应该符合本项目特点；</w:t>
            </w:r>
          </w:p>
          <w:p>
            <w:pPr>
              <w:ind w:left="-4" w:leftChars="-2" w:firstLine="2" w:firstLineChars="1"/>
              <w:rPr>
                <w:rFonts w:ascii="宋体" w:hAnsi="宋体" w:cs="宋体"/>
                <w:szCs w:val="21"/>
              </w:rPr>
            </w:pPr>
            <w:r>
              <w:rPr>
                <w:rFonts w:hint="eastAsia" w:ascii="宋体" w:hAnsi="宋体" w:cs="宋体"/>
                <w:szCs w:val="21"/>
              </w:rPr>
              <w:t>（2）可行性:方案提出的目标在所要求的时间范围应当能够完成；</w:t>
            </w:r>
          </w:p>
          <w:p>
            <w:pPr>
              <w:ind w:left="-4" w:leftChars="-2" w:firstLine="2" w:firstLineChars="1"/>
              <w:rPr>
                <w:rFonts w:ascii="宋体" w:hAnsi="宋体" w:cs="宋体"/>
                <w:szCs w:val="21"/>
              </w:rPr>
            </w:pPr>
            <w:r>
              <w:rPr>
                <w:rFonts w:hint="eastAsia" w:ascii="宋体" w:hAnsi="宋体" w:cs="宋体"/>
                <w:szCs w:val="21"/>
              </w:rPr>
              <w:t>（3）针对性:方案提出的方法完全适用于本项目；</w:t>
            </w:r>
          </w:p>
          <w:p>
            <w:pPr>
              <w:ind w:left="-4" w:leftChars="-2" w:firstLine="2" w:firstLineChars="1"/>
              <w:rPr>
                <w:rFonts w:ascii="宋体" w:hAnsi="宋体" w:cs="宋体"/>
                <w:szCs w:val="21"/>
              </w:rPr>
            </w:pPr>
            <w:r>
              <w:rPr>
                <w:rFonts w:hint="eastAsia" w:ascii="宋体" w:hAnsi="宋体" w:cs="宋体"/>
                <w:szCs w:val="21"/>
              </w:rPr>
              <w:t>（4）完整性:方案必须完整，对采购文件中的各项要求有详细描述。</w:t>
            </w:r>
          </w:p>
          <w:p>
            <w:pPr>
              <w:ind w:left="-4" w:leftChars="-2" w:firstLine="2" w:firstLineChars="1"/>
              <w:rPr>
                <w:rFonts w:ascii="仿宋" w:hAnsi="仿宋" w:cs="仿宋"/>
                <w:szCs w:val="21"/>
              </w:rPr>
            </w:pPr>
            <w:r>
              <w:rPr>
                <w:rFonts w:hint="eastAsia" w:ascii="宋体" w:hAnsi="宋体" w:cs="宋体"/>
                <w:szCs w:val="21"/>
              </w:rPr>
              <w:t>评审内容完全满足</w:t>
            </w:r>
            <w:r>
              <w:rPr>
                <w:rFonts w:ascii="宋体" w:hAnsi="宋体" w:cs="宋体"/>
                <w:szCs w:val="21"/>
              </w:rPr>
              <w:t>4项评审标准的得3</w:t>
            </w:r>
            <w:r>
              <w:rPr>
                <w:rFonts w:hint="eastAsia" w:ascii="宋体" w:hAnsi="宋体" w:cs="宋体"/>
                <w:szCs w:val="21"/>
              </w:rPr>
              <w:t>分，满足</w:t>
            </w:r>
            <w:r>
              <w:rPr>
                <w:rFonts w:ascii="宋体" w:hAnsi="宋体" w:cs="宋体"/>
                <w:szCs w:val="21"/>
              </w:rPr>
              <w:t>3项得2</w:t>
            </w:r>
            <w:r>
              <w:rPr>
                <w:rFonts w:hint="eastAsia" w:ascii="宋体" w:hAnsi="宋体" w:cs="宋体"/>
                <w:szCs w:val="21"/>
              </w:rPr>
              <w:t>分，满足</w:t>
            </w:r>
            <w:r>
              <w:rPr>
                <w:rFonts w:ascii="宋体" w:hAnsi="宋体" w:cs="宋体"/>
                <w:szCs w:val="21"/>
              </w:rPr>
              <w:t>2项得1</w:t>
            </w:r>
            <w:r>
              <w:rPr>
                <w:rFonts w:hint="eastAsia" w:ascii="宋体" w:hAnsi="宋体" w:cs="宋体"/>
                <w:szCs w:val="21"/>
              </w:rPr>
              <w:t>分，其他情况不得分。</w:t>
            </w:r>
          </w:p>
        </w:tc>
        <w:tc>
          <w:tcPr>
            <w:tcW w:w="664" w:type="dxa"/>
            <w:vAlign w:val="center"/>
          </w:tcPr>
          <w:p>
            <w:pPr>
              <w:jc w:val="center"/>
              <w:rPr>
                <w:rFonts w:ascii="宋体" w:hAnsi="宋体" w:cs="宋体"/>
                <w:szCs w:val="21"/>
              </w:rPr>
            </w:pPr>
            <w:r>
              <w:rPr>
                <w:rFonts w:ascii="宋体" w:hAnsi="宋体" w:cs="宋体"/>
                <w:szCs w:val="21"/>
              </w:rPr>
              <w:t>3</w:t>
            </w:r>
            <w:r>
              <w:rPr>
                <w:rFonts w:hint="eastAsia" w:ascii="宋体" w:hAnsi="宋体" w:cs="宋体"/>
                <w:szCs w:val="21"/>
              </w:rPr>
              <w:t>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7" w:hRule="atLeast"/>
        </w:trPr>
        <w:tc>
          <w:tcPr>
            <w:tcW w:w="736" w:type="dxa"/>
            <w:vMerge w:val="continue"/>
            <w:vAlign w:val="center"/>
          </w:tcPr>
          <w:p>
            <w:pPr>
              <w:jc w:val="center"/>
              <w:rPr>
                <w:rFonts w:asciiTheme="minorEastAsia" w:hAnsiTheme="minorEastAsia" w:eastAsiaTheme="minorEastAsia" w:cstheme="minorEastAsia"/>
                <w:color w:val="0000FF"/>
                <w:spacing w:val="-6"/>
                <w:szCs w:val="21"/>
              </w:rPr>
            </w:pPr>
          </w:p>
        </w:tc>
        <w:tc>
          <w:tcPr>
            <w:tcW w:w="1376" w:type="dxa"/>
            <w:vAlign w:val="center"/>
          </w:tcPr>
          <w:p>
            <w:pPr>
              <w:jc w:val="center"/>
              <w:rPr>
                <w:rFonts w:ascii="宋体" w:hAnsi="宋体" w:cs="宋体"/>
                <w:szCs w:val="21"/>
              </w:rPr>
            </w:pPr>
            <w:r>
              <w:rPr>
                <w:rFonts w:hint="eastAsia" w:ascii="宋体" w:hAnsi="宋体" w:cs="宋体"/>
                <w:szCs w:val="21"/>
              </w:rPr>
              <w:t>技术培训方案</w:t>
            </w:r>
          </w:p>
        </w:tc>
        <w:tc>
          <w:tcPr>
            <w:tcW w:w="6512" w:type="dxa"/>
            <w:vAlign w:val="center"/>
          </w:tcPr>
          <w:p>
            <w:pPr>
              <w:ind w:left="-4" w:leftChars="-2" w:firstLine="2" w:firstLineChars="1"/>
              <w:rPr>
                <w:rFonts w:ascii="宋体" w:hAnsi="宋体" w:cs="宋体"/>
                <w:szCs w:val="21"/>
              </w:rPr>
            </w:pPr>
            <w:r>
              <w:rPr>
                <w:rFonts w:hint="eastAsia" w:ascii="宋体" w:hAnsi="宋体" w:cs="宋体"/>
                <w:szCs w:val="21"/>
              </w:rPr>
              <w:t>根据投标供应商针对本项目提供的技术培训方案（包含培训人员、时间、内容等）进行评分：</w:t>
            </w:r>
          </w:p>
          <w:p>
            <w:pPr>
              <w:ind w:left="-4" w:leftChars="-2" w:firstLine="2" w:firstLineChars="1"/>
              <w:rPr>
                <w:rFonts w:ascii="宋体" w:hAnsi="宋体" w:cs="宋体"/>
                <w:szCs w:val="21"/>
              </w:rPr>
            </w:pPr>
            <w:r>
              <w:rPr>
                <w:rFonts w:hint="eastAsia" w:ascii="宋体" w:hAnsi="宋体" w:cs="宋体"/>
                <w:szCs w:val="21"/>
              </w:rPr>
              <w:t>评审标准:</w:t>
            </w:r>
          </w:p>
          <w:p>
            <w:pPr>
              <w:ind w:left="-4" w:leftChars="-2" w:firstLine="2" w:firstLineChars="1"/>
              <w:rPr>
                <w:rFonts w:ascii="宋体" w:hAnsi="宋体" w:cs="宋体"/>
                <w:szCs w:val="21"/>
              </w:rPr>
            </w:pPr>
            <w:r>
              <w:rPr>
                <w:rFonts w:hint="eastAsia" w:ascii="宋体" w:hAnsi="宋体" w:cs="宋体"/>
                <w:szCs w:val="21"/>
              </w:rPr>
              <w:t>（1）合理性:方案提出的方法和标准应该符合本项目特点；</w:t>
            </w:r>
          </w:p>
          <w:p>
            <w:pPr>
              <w:ind w:left="-4" w:leftChars="-2" w:firstLine="2" w:firstLineChars="1"/>
              <w:rPr>
                <w:rFonts w:ascii="宋体" w:hAnsi="宋体" w:cs="宋体"/>
                <w:szCs w:val="21"/>
              </w:rPr>
            </w:pPr>
            <w:r>
              <w:rPr>
                <w:rFonts w:hint="eastAsia" w:ascii="宋体" w:hAnsi="宋体" w:cs="宋体"/>
                <w:szCs w:val="21"/>
              </w:rPr>
              <w:t>（2）可行性:方案提出的目标在所要求的时间范围应当能够完成；</w:t>
            </w:r>
          </w:p>
          <w:p>
            <w:pPr>
              <w:ind w:left="-4" w:leftChars="-2" w:firstLine="2" w:firstLineChars="1"/>
              <w:rPr>
                <w:rFonts w:ascii="宋体" w:hAnsi="宋体" w:cs="宋体"/>
                <w:szCs w:val="21"/>
              </w:rPr>
            </w:pPr>
            <w:r>
              <w:rPr>
                <w:rFonts w:hint="eastAsia" w:ascii="宋体" w:hAnsi="宋体" w:cs="宋体"/>
                <w:szCs w:val="21"/>
              </w:rPr>
              <w:t>（3）针对性:方案提出的方法完全适用于本项目；</w:t>
            </w:r>
          </w:p>
          <w:p>
            <w:pPr>
              <w:ind w:left="-4" w:leftChars="-2" w:firstLine="2" w:firstLineChars="1"/>
              <w:rPr>
                <w:rFonts w:ascii="宋体" w:hAnsi="宋体" w:cs="宋体"/>
                <w:szCs w:val="21"/>
              </w:rPr>
            </w:pPr>
            <w:r>
              <w:rPr>
                <w:rFonts w:hint="eastAsia" w:ascii="宋体" w:hAnsi="宋体" w:cs="宋体"/>
                <w:szCs w:val="21"/>
              </w:rPr>
              <w:t>（4）完整性:方案必须完整，对采购文件中的各项要求有详细描述。</w:t>
            </w:r>
          </w:p>
          <w:p>
            <w:pPr>
              <w:ind w:left="-4" w:leftChars="-2" w:firstLine="2" w:firstLineChars="1"/>
              <w:rPr>
                <w:sz w:val="24"/>
              </w:rPr>
            </w:pPr>
            <w:r>
              <w:rPr>
                <w:rFonts w:hint="eastAsia" w:ascii="宋体" w:hAnsi="宋体" w:cs="宋体"/>
                <w:szCs w:val="21"/>
              </w:rPr>
              <w:t>评审内容完全满足</w:t>
            </w:r>
            <w:r>
              <w:rPr>
                <w:rFonts w:ascii="宋体" w:hAnsi="宋体" w:cs="宋体"/>
                <w:szCs w:val="21"/>
              </w:rPr>
              <w:t>4项评审标准的得2</w:t>
            </w:r>
            <w:r>
              <w:rPr>
                <w:rFonts w:hint="eastAsia" w:ascii="宋体" w:hAnsi="宋体" w:cs="宋体"/>
                <w:szCs w:val="21"/>
              </w:rPr>
              <w:t>分，满足</w:t>
            </w:r>
            <w:r>
              <w:rPr>
                <w:rFonts w:ascii="宋体" w:hAnsi="宋体" w:cs="宋体"/>
                <w:szCs w:val="21"/>
              </w:rPr>
              <w:t>3项得1</w:t>
            </w:r>
            <w:r>
              <w:rPr>
                <w:rFonts w:hint="eastAsia" w:ascii="宋体" w:hAnsi="宋体" w:cs="宋体"/>
                <w:szCs w:val="21"/>
              </w:rPr>
              <w:t>分，其他情况不得分。</w:t>
            </w:r>
          </w:p>
        </w:tc>
        <w:tc>
          <w:tcPr>
            <w:tcW w:w="664" w:type="dxa"/>
            <w:vAlign w:val="center"/>
          </w:tcPr>
          <w:p>
            <w:pPr>
              <w:ind w:left="-4" w:leftChars="-2" w:firstLine="1" w:firstLineChars="1"/>
              <w:rPr>
                <w:rFonts w:ascii="宋体" w:hAnsi="宋体" w:cs="宋体"/>
                <w:spacing w:val="-6"/>
                <w:szCs w:val="21"/>
              </w:rPr>
            </w:pPr>
            <w:r>
              <w:rPr>
                <w:rFonts w:ascii="宋体" w:hAnsi="宋体" w:cs="宋体"/>
                <w:spacing w:val="-6"/>
                <w:szCs w:val="21"/>
              </w:rPr>
              <w:t>2</w:t>
            </w:r>
            <w:r>
              <w:rPr>
                <w:rFonts w:hint="eastAsia" w:ascii="宋体" w:hAnsi="宋体" w:cs="宋体"/>
                <w:spacing w:val="-6"/>
                <w:szCs w:val="21"/>
              </w:rPr>
              <w:t>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7" w:hRule="atLeast"/>
        </w:trPr>
        <w:tc>
          <w:tcPr>
            <w:tcW w:w="736" w:type="dxa"/>
            <w:vMerge w:val="continue"/>
            <w:vAlign w:val="center"/>
          </w:tcPr>
          <w:p>
            <w:pPr>
              <w:jc w:val="center"/>
              <w:rPr>
                <w:rFonts w:asciiTheme="minorEastAsia" w:hAnsiTheme="minorEastAsia" w:eastAsiaTheme="minorEastAsia" w:cstheme="minorEastAsia"/>
                <w:color w:val="0000FF"/>
                <w:spacing w:val="-6"/>
                <w:szCs w:val="21"/>
              </w:rPr>
            </w:pPr>
          </w:p>
        </w:tc>
        <w:tc>
          <w:tcPr>
            <w:tcW w:w="1376" w:type="dxa"/>
            <w:vAlign w:val="center"/>
          </w:tcPr>
          <w:p>
            <w:pPr>
              <w:jc w:val="center"/>
              <w:rPr>
                <w:rFonts w:ascii="宋体" w:hAnsi="宋体" w:cs="宋体"/>
                <w:szCs w:val="21"/>
              </w:rPr>
            </w:pPr>
            <w:r>
              <w:rPr>
                <w:rFonts w:hint="eastAsia" w:ascii="宋体" w:hAnsi="宋体" w:cs="宋体"/>
                <w:szCs w:val="21"/>
              </w:rPr>
              <w:t>售后方案</w:t>
            </w:r>
          </w:p>
        </w:tc>
        <w:tc>
          <w:tcPr>
            <w:tcW w:w="6512" w:type="dxa"/>
            <w:vAlign w:val="center"/>
          </w:tcPr>
          <w:p>
            <w:pPr>
              <w:ind w:left="-4" w:leftChars="-2" w:firstLine="2" w:firstLineChars="1"/>
              <w:rPr>
                <w:rFonts w:ascii="宋体" w:hAnsi="宋体" w:cs="宋体"/>
                <w:szCs w:val="21"/>
              </w:rPr>
            </w:pPr>
            <w:r>
              <w:rPr>
                <w:rFonts w:hint="eastAsia" w:ascii="宋体" w:hAnsi="宋体" w:cs="宋体"/>
                <w:szCs w:val="21"/>
              </w:rPr>
              <w:t>根据投标供应商针对本项目提供的售后方案（包含服务标准和应急维修时间安排、质保期满后的承诺、备品备件、其它服务承诺等）进行评分：</w:t>
            </w:r>
          </w:p>
          <w:p>
            <w:pPr>
              <w:ind w:left="-4" w:leftChars="-2" w:firstLine="2" w:firstLineChars="1"/>
              <w:rPr>
                <w:rFonts w:ascii="宋体" w:hAnsi="宋体" w:cs="宋体"/>
                <w:szCs w:val="21"/>
              </w:rPr>
            </w:pPr>
            <w:r>
              <w:rPr>
                <w:rFonts w:hint="eastAsia" w:ascii="宋体" w:hAnsi="宋体" w:cs="宋体"/>
                <w:szCs w:val="21"/>
              </w:rPr>
              <w:t>评审标准:</w:t>
            </w:r>
          </w:p>
          <w:p>
            <w:pPr>
              <w:ind w:left="-4" w:leftChars="-2" w:firstLine="2" w:firstLineChars="1"/>
              <w:rPr>
                <w:rFonts w:ascii="宋体" w:hAnsi="宋体" w:cs="宋体"/>
                <w:szCs w:val="21"/>
              </w:rPr>
            </w:pPr>
            <w:r>
              <w:rPr>
                <w:rFonts w:hint="eastAsia" w:ascii="宋体" w:hAnsi="宋体" w:cs="宋体"/>
                <w:szCs w:val="21"/>
              </w:rPr>
              <w:t>（1）合理性:方案提出的方法和标准应该符合本项目特点；</w:t>
            </w:r>
          </w:p>
          <w:p>
            <w:pPr>
              <w:ind w:left="-4" w:leftChars="-2" w:firstLine="2" w:firstLineChars="1"/>
              <w:rPr>
                <w:rFonts w:ascii="宋体" w:hAnsi="宋体" w:cs="宋体"/>
                <w:szCs w:val="21"/>
              </w:rPr>
            </w:pPr>
            <w:r>
              <w:rPr>
                <w:rFonts w:hint="eastAsia" w:ascii="宋体" w:hAnsi="宋体" w:cs="宋体"/>
                <w:szCs w:val="21"/>
              </w:rPr>
              <w:t>（2）可行性:方案提出的目标在所要求的时间范围应当能够完成；</w:t>
            </w:r>
          </w:p>
          <w:p>
            <w:pPr>
              <w:ind w:left="-4" w:leftChars="-2" w:firstLine="2" w:firstLineChars="1"/>
              <w:rPr>
                <w:rFonts w:ascii="宋体" w:hAnsi="宋体" w:cs="宋体"/>
                <w:szCs w:val="21"/>
              </w:rPr>
            </w:pPr>
            <w:r>
              <w:rPr>
                <w:rFonts w:hint="eastAsia" w:ascii="宋体" w:hAnsi="宋体" w:cs="宋体"/>
                <w:szCs w:val="21"/>
              </w:rPr>
              <w:t>（3）针对性:方案提出的方法完全适用于本项目；</w:t>
            </w:r>
          </w:p>
          <w:p>
            <w:pPr>
              <w:ind w:left="-4" w:leftChars="-2" w:firstLine="2" w:firstLineChars="1"/>
              <w:rPr>
                <w:rFonts w:ascii="宋体" w:hAnsi="宋体" w:cs="宋体"/>
                <w:szCs w:val="21"/>
              </w:rPr>
            </w:pPr>
            <w:r>
              <w:rPr>
                <w:rFonts w:hint="eastAsia" w:ascii="宋体" w:hAnsi="宋体" w:cs="宋体"/>
                <w:szCs w:val="21"/>
              </w:rPr>
              <w:t>（4）完整性:方案必须完整，对采购文件中的各项要求有详细描述。</w:t>
            </w:r>
          </w:p>
          <w:p>
            <w:pPr>
              <w:widowControl/>
              <w:rPr>
                <w:rFonts w:ascii="宋体" w:hAnsi="宋体" w:cs="宋体"/>
                <w:szCs w:val="21"/>
              </w:rPr>
            </w:pPr>
            <w:r>
              <w:rPr>
                <w:rFonts w:hint="eastAsia" w:ascii="宋体" w:hAnsi="宋体" w:cs="宋体"/>
                <w:szCs w:val="21"/>
              </w:rPr>
              <w:t>评审内容完全满足</w:t>
            </w:r>
            <w:r>
              <w:rPr>
                <w:rFonts w:ascii="宋体" w:hAnsi="宋体" w:cs="宋体"/>
                <w:szCs w:val="21"/>
              </w:rPr>
              <w:t>4项评审标准的得2</w:t>
            </w:r>
            <w:r>
              <w:rPr>
                <w:rFonts w:hint="eastAsia" w:ascii="宋体" w:hAnsi="宋体" w:cs="宋体"/>
                <w:szCs w:val="21"/>
              </w:rPr>
              <w:t>分，满足</w:t>
            </w:r>
            <w:r>
              <w:rPr>
                <w:rFonts w:ascii="宋体" w:hAnsi="宋体" w:cs="宋体"/>
                <w:szCs w:val="21"/>
              </w:rPr>
              <w:t>3项得1</w:t>
            </w:r>
            <w:r>
              <w:rPr>
                <w:rFonts w:hint="eastAsia" w:ascii="宋体" w:hAnsi="宋体" w:cs="宋体"/>
                <w:szCs w:val="21"/>
              </w:rPr>
              <w:t>分，其他情况不得分。</w:t>
            </w:r>
          </w:p>
        </w:tc>
        <w:tc>
          <w:tcPr>
            <w:tcW w:w="664" w:type="dxa"/>
            <w:vAlign w:val="center"/>
          </w:tcPr>
          <w:p>
            <w:pPr>
              <w:rPr>
                <w:rFonts w:ascii="宋体" w:hAnsi="宋体" w:cs="宋体"/>
                <w:spacing w:val="-6"/>
                <w:szCs w:val="21"/>
              </w:rPr>
            </w:pPr>
            <w:r>
              <w:rPr>
                <w:rFonts w:ascii="宋体" w:hAnsi="宋体" w:cs="宋体"/>
                <w:spacing w:val="-6"/>
                <w:szCs w:val="21"/>
              </w:rPr>
              <w:t>2</w:t>
            </w:r>
            <w:r>
              <w:rPr>
                <w:rFonts w:hint="eastAsia" w:ascii="宋体" w:hAnsi="宋体" w:cs="宋体"/>
                <w:spacing w:val="-6"/>
                <w:szCs w:val="21"/>
              </w:rPr>
              <w:t>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736"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总分</w:t>
            </w:r>
          </w:p>
        </w:tc>
        <w:tc>
          <w:tcPr>
            <w:tcW w:w="8552" w:type="dxa"/>
            <w:gridSpan w:val="3"/>
            <w:vAlign w:val="center"/>
          </w:tcPr>
          <w:p>
            <w:pPr>
              <w:jc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100</w:t>
            </w:r>
          </w:p>
        </w:tc>
      </w:tr>
    </w:tbl>
    <w:p>
      <w:pPr>
        <w:spacing w:line="360" w:lineRule="auto"/>
        <w:rPr>
          <w:rFonts w:asciiTheme="minorEastAsia" w:hAnsiTheme="minorEastAsia" w:eastAsiaTheme="minorEastAsia" w:cstheme="minorEastAsia"/>
          <w:b/>
          <w:szCs w:val="21"/>
        </w:rPr>
        <w:sectPr>
          <w:pgSz w:w="11906" w:h="16838"/>
          <w:pgMar w:top="1417" w:right="1417" w:bottom="1417" w:left="1417" w:header="851" w:footer="992" w:gutter="0"/>
          <w:cols w:space="720" w:num="1"/>
          <w:docGrid w:type="lines" w:linePitch="312" w:charSpace="0"/>
        </w:sectPr>
      </w:pPr>
      <w:r>
        <w:rPr>
          <w:rFonts w:hint="eastAsia" w:asciiTheme="minorEastAsia" w:hAnsiTheme="minorEastAsia" w:eastAsiaTheme="minorEastAsia" w:cstheme="minorEastAsia"/>
          <w:b/>
          <w:szCs w:val="21"/>
        </w:rPr>
        <w:br w:type="textWrapping"/>
      </w:r>
      <w:r>
        <w:rPr>
          <w:rFonts w:hint="eastAsia" w:asciiTheme="minorEastAsia" w:hAnsiTheme="minorEastAsia" w:eastAsiaTheme="minorEastAsia" w:cstheme="minorEastAsia"/>
          <w:b/>
          <w:szCs w:val="21"/>
        </w:rPr>
        <w:t>注：上述类似业绩证明材料是否具有类似性以及其符合性均由磋商小组判定，如果资料不全或经磋商小组认定不具有类似性的，该项业绩不计分，并由磋商小组在评审报告中记录详细原因。</w:t>
      </w:r>
    </w:p>
    <w:p>
      <w:pPr>
        <w:spacing w:line="360" w:lineRule="auto"/>
        <w:outlineLvl w:val="1"/>
        <w:rPr>
          <w:rFonts w:asciiTheme="minorEastAsia" w:hAnsiTheme="minorEastAsia" w:eastAsiaTheme="minorEastAsia" w:cstheme="minorEastAsia"/>
          <w:b/>
          <w:szCs w:val="21"/>
        </w:rPr>
      </w:pPr>
      <w:bookmarkStart w:id="119" w:name="_Toc25152"/>
      <w:r>
        <w:rPr>
          <w:rFonts w:hint="eastAsia" w:asciiTheme="minorEastAsia" w:hAnsiTheme="minorEastAsia" w:eastAsiaTheme="minorEastAsia" w:cstheme="minorEastAsia"/>
          <w:b/>
          <w:szCs w:val="21"/>
        </w:rPr>
        <w:t>四、评定办法</w:t>
      </w:r>
      <w:bookmarkEnd w:id="119"/>
    </w:p>
    <w:p>
      <w:pPr>
        <w:numPr>
          <w:ilvl w:val="3"/>
          <w:numId w:val="33"/>
        </w:numPr>
        <w:tabs>
          <w:tab w:val="left" w:pos="54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初步审查标准</w:t>
      </w:r>
    </w:p>
    <w:p>
      <w:pPr>
        <w:numPr>
          <w:ilvl w:val="1"/>
          <w:numId w:val="34"/>
        </w:numPr>
        <w:tabs>
          <w:tab w:val="left" w:pos="540"/>
          <w:tab w:val="clear" w:pos="36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资格性审查标准：见评定办法前附表。</w:t>
      </w:r>
    </w:p>
    <w:p>
      <w:pPr>
        <w:numPr>
          <w:ilvl w:val="1"/>
          <w:numId w:val="34"/>
        </w:numPr>
        <w:tabs>
          <w:tab w:val="left" w:pos="540"/>
          <w:tab w:val="clear" w:pos="36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符合性审查标准：见评定办法前附表。</w:t>
      </w:r>
    </w:p>
    <w:p>
      <w:pPr>
        <w:numPr>
          <w:ilvl w:val="1"/>
          <w:numId w:val="34"/>
        </w:numPr>
        <w:tabs>
          <w:tab w:val="left" w:pos="540"/>
          <w:tab w:val="clear" w:pos="36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确定磋商供应商进行最后报价：见评定方法前附表。</w:t>
      </w:r>
    </w:p>
    <w:p>
      <w:pPr>
        <w:numPr>
          <w:ilvl w:val="3"/>
          <w:numId w:val="33"/>
        </w:numPr>
        <w:tabs>
          <w:tab w:val="left" w:pos="54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评定方法：见评定办法前附表。</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2.1 分值构成</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（1）技术部分：见评标办法前附表；</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（2）商务部分：见评标办法前附表；</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（3）竞标报价：见评标办法前附表。</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2.2 评标基准价计算</w:t>
      </w:r>
    </w:p>
    <w:p>
      <w:pPr>
        <w:spacing w:line="360" w:lineRule="auto"/>
        <w:ind w:firstLine="840" w:firstLineChars="4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评标基准价计算方法：见评标办法前附表。</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2.3 评分标准</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（1）技术部分评分标准：见评标办法前附表；</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（2）商务部分评分标准：见评标办法前附表；</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（3）竞标报价评分标准：见评标办法前附表。</w:t>
      </w:r>
    </w:p>
    <w:p>
      <w:pPr>
        <w:numPr>
          <w:ilvl w:val="3"/>
          <w:numId w:val="33"/>
        </w:numPr>
        <w:tabs>
          <w:tab w:val="left" w:pos="54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评定结果</w:t>
      </w:r>
    </w:p>
    <w:p>
      <w:pPr>
        <w:tabs>
          <w:tab w:val="left" w:pos="540"/>
        </w:tabs>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3.1磋商小组严格按照本章要求对最终报价进行评定。</w:t>
      </w:r>
    </w:p>
    <w:p>
      <w:pPr>
        <w:tabs>
          <w:tab w:val="left" w:pos="540"/>
        </w:tabs>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3.2完成评定后，</w:t>
      </w:r>
      <w:r>
        <w:rPr>
          <w:rFonts w:hint="eastAsia" w:asciiTheme="minorEastAsia" w:hAnsiTheme="minorEastAsia" w:eastAsiaTheme="minorEastAsia" w:cstheme="minorEastAsia"/>
          <w:snapToGrid w:val="0"/>
          <w:kern w:val="0"/>
          <w:szCs w:val="21"/>
          <w:lang w:val="zh-CN"/>
        </w:rPr>
        <w:t>磋商小组</w:t>
      </w:r>
      <w:r>
        <w:rPr>
          <w:rFonts w:hint="eastAsia" w:asciiTheme="minorEastAsia" w:hAnsiTheme="minorEastAsia" w:eastAsiaTheme="minorEastAsia" w:cstheme="minorEastAsia"/>
          <w:szCs w:val="21"/>
        </w:rPr>
        <w:t>须在评审结果推荐意见上共同签字。</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rPr>
        <w:t>磋商小组成员对评审报告有异议的，磋商小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pPr>
        <w:numPr>
          <w:ilvl w:val="3"/>
          <w:numId w:val="33"/>
        </w:numPr>
        <w:tabs>
          <w:tab w:val="left" w:pos="54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其它</w:t>
      </w:r>
    </w:p>
    <w:p>
      <w:pPr>
        <w:spacing w:line="360" w:lineRule="auto"/>
        <w:ind w:firstLine="420"/>
        <w:jc w:val="left"/>
        <w:rPr>
          <w:rFonts w:asciiTheme="minorEastAsia" w:hAnsiTheme="minorEastAsia" w:eastAsiaTheme="minorEastAsia" w:cstheme="minorEastAsia"/>
        </w:rPr>
      </w:pPr>
      <w:r>
        <w:rPr>
          <w:rFonts w:hint="eastAsia" w:asciiTheme="minorEastAsia" w:hAnsiTheme="minorEastAsia" w:eastAsiaTheme="minorEastAsia" w:cstheme="minorEastAsia"/>
        </w:rPr>
        <w:t>磋商供应商的最终报价均超过了政府采购预算，采购人不能支付的，磋商活动终止；终止后，采购人需要采取调整采购预算或项目配置标准等，或采取其他采购方式的，应当在采购活动开始前获得政府采购监督管理部门批准。</w:t>
      </w:r>
    </w:p>
    <w:p/>
    <w:p/>
    <w:p/>
    <w:p/>
    <w:p>
      <w:pPr>
        <w:spacing w:line="360" w:lineRule="auto"/>
        <w:outlineLvl w:val="1"/>
        <w:rPr>
          <w:rFonts w:asciiTheme="minorEastAsia" w:hAnsiTheme="minorEastAsia" w:eastAsiaTheme="minorEastAsia" w:cstheme="minorEastAsia"/>
          <w:b/>
          <w:szCs w:val="21"/>
        </w:rPr>
      </w:pPr>
      <w:bookmarkStart w:id="120" w:name="_Toc16544"/>
      <w:r>
        <w:rPr>
          <w:rFonts w:hint="eastAsia" w:asciiTheme="minorEastAsia" w:hAnsiTheme="minorEastAsia" w:eastAsiaTheme="minorEastAsia" w:cstheme="minorEastAsia"/>
          <w:b/>
          <w:szCs w:val="21"/>
        </w:rPr>
        <w:t>五、磋商及评审步骤</w:t>
      </w:r>
      <w:bookmarkEnd w:id="120"/>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磋商及评审步骤分别依次为磋商小组对供应商及其响应文件的资格和符合性检查、磋商小组同供应商的磋商及供应商的最后报价、详细评审。</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1.验证委托代理人身份、响应文件密封检查</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主持人按以下程序进行：</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① 宣布会场纪律。</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② 公布在响应文件递交截止时间前递交响应文件的供应商名称，并点名确认供应商的委托代理人是否到场（验证委托代理人身份证原件）。</w:t>
      </w:r>
    </w:p>
    <w:p>
      <w:pPr>
        <w:spacing w:line="360" w:lineRule="auto"/>
        <w:ind w:firstLine="420" w:firstLineChars="200"/>
        <w:rPr>
          <w:rFonts w:asciiTheme="minorEastAsia" w:hAnsiTheme="minorEastAsia" w:eastAsiaTheme="minorEastAsia" w:cstheme="minorEastAsia"/>
          <w:b/>
          <w:szCs w:val="28"/>
        </w:rPr>
      </w:pPr>
      <w:r>
        <w:rPr>
          <w:rFonts w:hint="eastAsia" w:asciiTheme="minorEastAsia" w:hAnsiTheme="minorEastAsia" w:eastAsiaTheme="minorEastAsia" w:cstheme="minorEastAsia"/>
          <w:szCs w:val="28"/>
        </w:rPr>
        <w:t>③ 检查响应文件密封情况。</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2.资格和符合性审查</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2.1磋商小组审查每份响应文件是否实质上响应了采购文件的要求。磋商小组决定其是否响应只根据响应文件本身的内容，而不依据外部的证据，但响应文件有不真实不正确的内容时除外。</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2.2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为贯彻落实财政部关于促进政府采购公平竞争优化营商环境的通知（财库[2019]38号）及其他优化营商环境等政策要求，响应文件中出现的对履约服务质量不造成实质性影响的其他形式性等内容，磋商小组也可以以书面形式要求供应商作出必要的澄清、说明或者补正。</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2.3只有通过了资格和符合性审查的供应商才能进入详细评审阶段。</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3.供应商的澄清</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3.1磋商小组要求供应商澄清、说明或者更正响应文件将以书面形式作出。供应商的澄清、说明或者更正应当由法定代表人或其授权代表签字或者加盖公章。</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4.磋商及最后报价</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4.1磋商小组所有成员应当集中与单一供应商分别进行磋商，并按照磋商会随机抽签的顺序给予所有参加磋商的供应商平等的磋商机会。</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4.2</w:t>
      </w:r>
      <w:r>
        <w:rPr>
          <w:rFonts w:hint="eastAsia" w:asciiTheme="minorEastAsia" w:hAnsiTheme="minorEastAsia" w:eastAsiaTheme="minorEastAsia" w:cstheme="minorEastAsia"/>
          <w:b/>
          <w:szCs w:val="28"/>
        </w:rPr>
        <w:t>在磋商过程中，若磋商小组无法联系上供应商代表或者供应商代表在接到磋商小组通知后15分钟内不能抵达磋商会现场的，视为该供应商自动退出磋商。</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4.3</w:t>
      </w:r>
      <w:r>
        <w:rPr>
          <w:rFonts w:hint="eastAsia" w:asciiTheme="minorEastAsia" w:hAnsiTheme="minorEastAsia" w:eastAsiaTheme="minorEastAsia" w:cstheme="minorEastAsia"/>
          <w:b/>
          <w:szCs w:val="28"/>
        </w:rPr>
        <w:t>磋商小组在与供应商磋商之前，应首先对参与磋商的供应商代表的身份进行核验，未按采购文件要求提供身份证原件或经核验的供应商代表身份与证明文件（法定代表人身份证明或法定代表人授权委托书）或身份证不符的，磋商小组有权拒绝该供应商参加磋商。</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4.4在磋商过程中，磋商小组可以根据采购文件和磋商情况实质性变动采购需求中的技术、服务要求以及合同草案条款，但不得变动采购文件中的其他内容。实质性变动的内容，经采购人代表确认后，将作为采购文件的有效组成部分，磋商小组应当及时以书面形式同时通知所有参加磋商的供应商。</w:t>
      </w:r>
    </w:p>
    <w:p>
      <w:pPr>
        <w:spacing w:line="360" w:lineRule="auto"/>
        <w:ind w:left="420" w:leftChars="200"/>
        <w:jc w:val="left"/>
        <w:rPr>
          <w:rFonts w:asciiTheme="minorEastAsia" w:hAnsiTheme="minorEastAsia" w:eastAsiaTheme="minorEastAsia" w:cstheme="minorEastAsia"/>
          <w:bCs/>
          <w:szCs w:val="28"/>
        </w:rPr>
      </w:pPr>
      <w:r>
        <w:rPr>
          <w:rFonts w:hint="eastAsia" w:asciiTheme="minorEastAsia" w:hAnsiTheme="minorEastAsia" w:eastAsiaTheme="minorEastAsia" w:cstheme="minorEastAsia"/>
          <w:szCs w:val="28"/>
        </w:rPr>
        <w:t>4.5磋商结束后，磋商小组将要求所有实质性响应的供应商在规定时间内提交最后报价，最后报价是供应商响应文件的有效组成部分。</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bCs/>
          <w:szCs w:val="28"/>
        </w:rPr>
        <w:t>4.6</w:t>
      </w:r>
      <w:r>
        <w:rPr>
          <w:rFonts w:hint="eastAsia" w:asciiTheme="minorEastAsia" w:hAnsiTheme="minorEastAsia" w:eastAsiaTheme="minorEastAsia" w:cstheme="minorEastAsia"/>
          <w:szCs w:val="28"/>
        </w:rPr>
        <w:t>已提交响应文件的供应商，在提交最后报价之前，可以根据磋商情况退出磋商。</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4.7符合下列情形，在采购过程中符合要求的供应商可以为2家：</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（1）政府购买服务项目（含政府和社会资本合作项目）；</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（2）市场竞争不充分的科研项目，以及需要扶持的科技成果转化项目。</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5.详细评审</w:t>
      </w:r>
    </w:p>
    <w:p>
      <w:pPr>
        <w:spacing w:line="360" w:lineRule="auto"/>
        <w:ind w:left="420" w:left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5.1经磋商确定最终采购需求和提交最后报价的供应商后，由磋商小组采用综合评分法对提交最后报价的供应商的响应文件和最后报价进行综合评分。具体详见“评分细则”。</w:t>
      </w:r>
    </w:p>
    <w:p>
      <w:pPr>
        <w:spacing w:line="360" w:lineRule="auto"/>
        <w:ind w:left="420" w:left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5.2评审时，磋商小组各成员应当独立对每个有效响应的文件进行评价、打分，然后汇总每个供应商每项评分因素的得分。</w:t>
      </w:r>
    </w:p>
    <w:p>
      <w:pPr>
        <w:spacing w:line="360" w:lineRule="auto"/>
        <w:ind w:left="420" w:left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 xml:space="preserve">5.3采购代理机构负责对各磋商小组成员的总分进行复核和汇总。各项统计结果均精确到小数点后两位。 </w:t>
      </w:r>
    </w:p>
    <w:p>
      <w:pPr>
        <w:spacing w:line="360" w:lineRule="auto"/>
        <w:ind w:left="420" w:left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5.4磋商小组应当根据综合评分情况，按照评审得分由高到低顺序（评审得分相同的，按照最后报价由低到高的顺序确定，评审得分且最后报价相同的，按照技术指标优劣顺序确定）推荐3名成交候选供应商，并编写评审报告。</w:t>
      </w:r>
    </w:p>
    <w:p>
      <w:pPr>
        <w:spacing w:line="360" w:lineRule="auto"/>
        <w:ind w:left="420" w:left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5.5在评审期间，供应商不得干扰和阻碍评审工作，供应商不得向磋商小组询问评审情况，任何影响和干扰评审工作的行为都可能导致被取消本次评审的资格，并承担相应的法律责任。</w:t>
      </w:r>
    </w:p>
    <w:p>
      <w:pPr>
        <w:spacing w:line="360" w:lineRule="auto"/>
        <w:ind w:left="420" w:left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5.6在评审过程中，磋商小组不得与供应商私下交换意见，从采购工作开始，直到授予供应商合同止，凡是属于审查、澄清、评价和比较响应文件的有关资料以及授标意向等，均不得向供应商或其他无关的人员透露。否则，磋商小组应承担法律、法规责任。</w:t>
      </w:r>
      <w:r>
        <w:rPr>
          <w:rFonts w:hint="eastAsia" w:asciiTheme="minorEastAsia" w:hAnsiTheme="minorEastAsia" w:eastAsiaTheme="minorEastAsia" w:cstheme="minorEastAsia"/>
          <w:szCs w:val="28"/>
        </w:rPr>
        <w:br w:type="textWrapping"/>
      </w:r>
    </w:p>
    <w:p>
      <w:pPr>
        <w:spacing w:line="360" w:lineRule="auto"/>
        <w:ind w:left="420" w:leftChars="200"/>
        <w:rPr>
          <w:rFonts w:asciiTheme="minorEastAsia" w:hAnsiTheme="minorEastAsia" w:eastAsiaTheme="minorEastAsia" w:cstheme="minorEastAsia"/>
          <w:szCs w:val="28"/>
        </w:rPr>
      </w:pPr>
    </w:p>
    <w:p>
      <w:pPr>
        <w:spacing w:line="360" w:lineRule="auto"/>
        <w:ind w:left="420" w:leftChars="200"/>
        <w:rPr>
          <w:rFonts w:asciiTheme="minorEastAsia" w:hAnsiTheme="minorEastAsia" w:eastAsiaTheme="minorEastAsia" w:cstheme="minorEastAsia"/>
          <w:szCs w:val="28"/>
        </w:rPr>
      </w:pPr>
    </w:p>
    <w:p>
      <w:pPr>
        <w:pStyle w:val="3"/>
        <w:numPr>
          <w:ilvl w:val="0"/>
          <w:numId w:val="4"/>
        </w:numPr>
        <w:spacing w:line="240" w:lineRule="auto"/>
        <w:jc w:val="center"/>
        <w:rPr>
          <w:rFonts w:asciiTheme="minorEastAsia" w:hAnsiTheme="minorEastAsia" w:eastAsiaTheme="minorEastAsia" w:cstheme="minorEastAsia"/>
          <w:b w:val="0"/>
          <w:kern w:val="0"/>
          <w:szCs w:val="21"/>
        </w:rPr>
        <w:sectPr>
          <w:pgSz w:w="11906" w:h="16838"/>
          <w:pgMar w:top="1417" w:right="1417" w:bottom="1417" w:left="1417" w:header="851" w:footer="992" w:gutter="0"/>
          <w:cols w:space="720" w:num="1"/>
          <w:docGrid w:type="lines" w:linePitch="312" w:charSpace="0"/>
        </w:sectPr>
      </w:pPr>
      <w:bookmarkStart w:id="121" w:name="_Toc318643471"/>
      <w:bookmarkStart w:id="122" w:name="_Toc211783328"/>
    </w:p>
    <w:p>
      <w:pPr>
        <w:pStyle w:val="3"/>
        <w:numPr>
          <w:ilvl w:val="0"/>
          <w:numId w:val="4"/>
        </w:numPr>
        <w:spacing w:line="240" w:lineRule="auto"/>
        <w:jc w:val="center"/>
        <w:rPr>
          <w:rFonts w:asciiTheme="minorEastAsia" w:hAnsiTheme="minorEastAsia" w:eastAsiaTheme="minorEastAsia" w:cstheme="minorEastAsia"/>
          <w:b w:val="0"/>
          <w:kern w:val="0"/>
          <w:szCs w:val="21"/>
        </w:rPr>
      </w:pPr>
      <w:bookmarkStart w:id="123" w:name="_Toc16090"/>
      <w:r>
        <w:rPr>
          <w:rFonts w:hint="eastAsia" w:asciiTheme="minorEastAsia" w:hAnsiTheme="minorEastAsia" w:eastAsiaTheme="minorEastAsia" w:cstheme="minorEastAsia"/>
          <w:sz w:val="36"/>
          <w:szCs w:val="36"/>
        </w:rPr>
        <w:t>合同书</w:t>
      </w:r>
      <w:bookmarkEnd w:id="121"/>
      <w:bookmarkEnd w:id="122"/>
      <w:r>
        <w:rPr>
          <w:rFonts w:hint="eastAsia" w:asciiTheme="minorEastAsia" w:hAnsiTheme="minorEastAsia" w:eastAsiaTheme="minorEastAsia" w:cstheme="minorEastAsia"/>
          <w:sz w:val="36"/>
          <w:szCs w:val="36"/>
        </w:rPr>
        <w:t>格式</w:t>
      </w:r>
      <w:bookmarkEnd w:id="123"/>
    </w:p>
    <w:p>
      <w:pPr>
        <w:spacing w:line="360" w:lineRule="auto"/>
        <w:jc w:val="center"/>
        <w:rPr>
          <w:rFonts w:ascii="宋体" w:hAnsi="宋体" w:cs="宋体"/>
          <w:b/>
          <w:sz w:val="48"/>
          <w:szCs w:val="48"/>
          <w:u w:val="double"/>
        </w:rPr>
      </w:pPr>
      <w:r>
        <w:rPr>
          <w:rFonts w:hint="eastAsia" w:ascii="宋体" w:hAnsi="宋体" w:cs="宋体"/>
          <w:b/>
          <w:sz w:val="48"/>
          <w:szCs w:val="48"/>
          <w:u w:val="double"/>
        </w:rPr>
        <w:t>合      同</w:t>
      </w:r>
    </w:p>
    <w:p>
      <w:pPr>
        <w:spacing w:line="360" w:lineRule="auto"/>
        <w:rPr>
          <w:rFonts w:ascii="宋体" w:hAnsi="宋体" w:cs="宋体"/>
          <w:sz w:val="24"/>
        </w:rPr>
      </w:pPr>
      <w:r>
        <w:rPr>
          <w:rFonts w:hint="eastAsia" w:ascii="宋体" w:hAnsi="宋体" w:cs="宋体"/>
          <w:sz w:val="24"/>
        </w:rPr>
        <w:t>合同号：</w:t>
      </w:r>
    </w:p>
    <w:p>
      <w:pPr>
        <w:spacing w:line="360" w:lineRule="auto"/>
        <w:rPr>
          <w:rFonts w:ascii="宋体" w:hAnsi="宋体" w:cs="宋体"/>
          <w:sz w:val="24"/>
        </w:rPr>
      </w:pPr>
      <w:r>
        <w:rPr>
          <w:rFonts w:hint="eastAsia" w:ascii="宋体" w:hAnsi="宋体" w:cs="宋体"/>
          <w:sz w:val="24"/>
        </w:rPr>
        <w:t>项目编号：</w:t>
      </w:r>
    </w:p>
    <w:p>
      <w:pPr>
        <w:spacing w:line="360" w:lineRule="auto"/>
        <w:rPr>
          <w:rFonts w:ascii="宋体" w:hAnsi="宋体" w:cs="宋体"/>
          <w:sz w:val="24"/>
          <w:u w:val="single"/>
        </w:rPr>
      </w:pPr>
      <w:r>
        <w:rPr>
          <w:rFonts w:hint="eastAsia" w:ascii="宋体" w:hAnsi="宋体" w:cs="宋体"/>
          <w:sz w:val="24"/>
        </w:rPr>
        <w:t xml:space="preserve">项目名称：                                                                                            </w:t>
      </w:r>
    </w:p>
    <w:p>
      <w:pPr>
        <w:spacing w:line="360" w:lineRule="auto"/>
        <w:ind w:firstLine="4080" w:firstLineChars="1700"/>
        <w:rPr>
          <w:rFonts w:ascii="宋体" w:hAnsi="宋体" w:cs="宋体"/>
          <w:sz w:val="24"/>
          <w:u w:val="single"/>
        </w:rPr>
      </w:pPr>
    </w:p>
    <w:p>
      <w:pPr>
        <w:spacing w:line="360" w:lineRule="auto"/>
        <w:rPr>
          <w:rFonts w:ascii="宋体" w:hAnsi="宋体" w:cs="宋体"/>
          <w:b/>
          <w:sz w:val="24"/>
        </w:rPr>
      </w:pPr>
      <w:r>
        <w:rPr>
          <w:rFonts w:hint="eastAsia" w:ascii="宋体" w:hAnsi="宋体" w:cs="宋体"/>
          <w:b/>
          <w:sz w:val="24"/>
        </w:rPr>
        <w:t>购货单位：</w:t>
      </w:r>
      <w:r>
        <w:rPr>
          <w:rFonts w:hint="eastAsia" w:ascii="宋体" w:hAnsi="宋体" w:cs="宋体"/>
          <w:b/>
          <w:sz w:val="24"/>
          <w:u w:val="single"/>
        </w:rPr>
        <w:t>湖北工业大学</w:t>
      </w:r>
      <w:r>
        <w:rPr>
          <w:rFonts w:hint="eastAsia" w:ascii="宋体" w:hAnsi="宋体" w:cs="宋体"/>
          <w:b/>
          <w:sz w:val="24"/>
        </w:rPr>
        <w:t>（以下简称甲方）</w:t>
      </w:r>
    </w:p>
    <w:p>
      <w:pPr>
        <w:spacing w:line="360" w:lineRule="auto"/>
        <w:rPr>
          <w:rFonts w:ascii="宋体" w:hAnsi="宋体" w:cs="宋体"/>
          <w:b/>
          <w:sz w:val="24"/>
        </w:rPr>
      </w:pPr>
      <w:r>
        <w:rPr>
          <w:rFonts w:hint="eastAsia" w:ascii="宋体" w:hAnsi="宋体" w:cs="宋体"/>
          <w:b/>
          <w:sz w:val="24"/>
        </w:rPr>
        <w:t>住所：武汉市洪山区南李路28号</w:t>
      </w:r>
    </w:p>
    <w:p>
      <w:pPr>
        <w:spacing w:line="360" w:lineRule="auto"/>
        <w:rPr>
          <w:rFonts w:ascii="宋体" w:hAnsi="宋体" w:cs="宋体"/>
          <w:b/>
          <w:sz w:val="24"/>
        </w:rPr>
      </w:pPr>
      <w:r>
        <w:rPr>
          <w:rFonts w:hint="eastAsia" w:ascii="宋体" w:hAnsi="宋体" w:cs="宋体"/>
          <w:b/>
          <w:sz w:val="24"/>
        </w:rPr>
        <w:t>法定代表人：冯征</w:t>
      </w:r>
    </w:p>
    <w:p>
      <w:pPr>
        <w:spacing w:line="360" w:lineRule="auto"/>
        <w:rPr>
          <w:rFonts w:ascii="宋体" w:hAnsi="宋体" w:cs="宋体"/>
          <w:b/>
          <w:sz w:val="24"/>
        </w:rPr>
      </w:pPr>
    </w:p>
    <w:p>
      <w:pPr>
        <w:spacing w:line="360" w:lineRule="auto"/>
        <w:rPr>
          <w:rFonts w:ascii="宋体" w:hAnsi="宋体" w:cs="宋体"/>
          <w:b/>
          <w:sz w:val="24"/>
        </w:rPr>
      </w:pPr>
      <w:r>
        <w:rPr>
          <w:rFonts w:hint="eastAsia" w:ascii="宋体" w:hAnsi="宋体" w:cs="宋体"/>
          <w:b/>
          <w:sz w:val="24"/>
        </w:rPr>
        <w:t>供货单位：</w:t>
      </w:r>
      <w:r>
        <w:rPr>
          <w:rFonts w:hint="eastAsia" w:ascii="宋体" w:hAnsi="宋体" w:cs="宋体"/>
          <w:b/>
          <w:sz w:val="24"/>
          <w:u w:val="single"/>
        </w:rPr>
        <w:t xml:space="preserve">               </w:t>
      </w:r>
      <w:r>
        <w:rPr>
          <w:rFonts w:hint="eastAsia" w:ascii="宋体" w:hAnsi="宋体" w:cs="宋体"/>
          <w:b/>
          <w:sz w:val="24"/>
        </w:rPr>
        <w:t>（以下简称乙方）</w:t>
      </w:r>
    </w:p>
    <w:p>
      <w:pPr>
        <w:spacing w:line="360" w:lineRule="auto"/>
        <w:rPr>
          <w:rFonts w:ascii="宋体" w:hAnsi="宋体" w:cs="宋体"/>
          <w:b/>
          <w:sz w:val="24"/>
        </w:rPr>
      </w:pPr>
      <w:r>
        <w:rPr>
          <w:rFonts w:hint="eastAsia" w:ascii="宋体" w:hAnsi="宋体" w:cs="宋体"/>
          <w:b/>
          <w:sz w:val="24"/>
        </w:rPr>
        <w:t>企业类型：（</w:t>
      </w:r>
      <w:r>
        <w:rPr>
          <w:rFonts w:hint="eastAsia" w:ascii="宋体" w:hAnsi="宋体" w:cs="宋体"/>
          <w:b/>
          <w:sz w:val="24"/>
        </w:rPr>
        <w:sym w:font="Wingdings 2" w:char="00A3"/>
      </w:r>
      <w:r>
        <w:rPr>
          <w:rFonts w:hint="eastAsia" w:ascii="宋体" w:hAnsi="宋体" w:cs="宋体"/>
          <w:b/>
          <w:sz w:val="24"/>
        </w:rPr>
        <w:t>大型、</w:t>
      </w:r>
      <w:r>
        <w:rPr>
          <w:rFonts w:hint="eastAsia" w:ascii="宋体" w:hAnsi="宋体" w:cs="宋体"/>
          <w:b/>
          <w:sz w:val="24"/>
        </w:rPr>
        <w:sym w:font="Wingdings 2" w:char="00A3"/>
      </w:r>
      <w:r>
        <w:rPr>
          <w:rFonts w:hint="eastAsia" w:ascii="宋体" w:hAnsi="宋体" w:cs="宋体"/>
          <w:b/>
          <w:sz w:val="24"/>
        </w:rPr>
        <w:t>中型、</w:t>
      </w:r>
      <w:r>
        <w:rPr>
          <w:rFonts w:hint="eastAsia" w:ascii="宋体" w:hAnsi="宋体" w:cs="宋体"/>
          <w:b/>
          <w:sz w:val="24"/>
        </w:rPr>
        <w:sym w:font="Wingdings 2" w:char="00A3"/>
      </w:r>
      <w:r>
        <w:rPr>
          <w:rFonts w:hint="eastAsia" w:ascii="宋体" w:hAnsi="宋体" w:cs="宋体"/>
          <w:b/>
          <w:sz w:val="24"/>
        </w:rPr>
        <w:t>小型、</w:t>
      </w:r>
      <w:r>
        <w:rPr>
          <w:rFonts w:hint="eastAsia" w:ascii="宋体" w:hAnsi="宋体" w:cs="宋体"/>
          <w:b/>
          <w:sz w:val="24"/>
        </w:rPr>
        <w:sym w:font="Wingdings 2" w:char="00A3"/>
      </w:r>
      <w:r>
        <w:rPr>
          <w:rFonts w:hint="eastAsia" w:ascii="宋体" w:hAnsi="宋体" w:cs="宋体"/>
          <w:b/>
          <w:sz w:val="24"/>
        </w:rPr>
        <w:t>微型）</w:t>
      </w:r>
    </w:p>
    <w:p>
      <w:pPr>
        <w:spacing w:line="360" w:lineRule="auto"/>
        <w:rPr>
          <w:rFonts w:ascii="宋体" w:hAnsi="宋体" w:cs="宋体"/>
          <w:b/>
          <w:sz w:val="24"/>
        </w:rPr>
      </w:pPr>
      <w:r>
        <w:rPr>
          <w:rFonts w:hint="eastAsia" w:ascii="宋体" w:hAnsi="宋体" w:cs="宋体"/>
          <w:b/>
          <w:sz w:val="24"/>
        </w:rPr>
        <w:t>住所：</w:t>
      </w:r>
    </w:p>
    <w:p>
      <w:pPr>
        <w:spacing w:line="360" w:lineRule="auto"/>
        <w:rPr>
          <w:rFonts w:ascii="宋体" w:hAnsi="宋体" w:cs="宋体"/>
          <w:b/>
          <w:sz w:val="24"/>
        </w:rPr>
      </w:pPr>
      <w:r>
        <w:rPr>
          <w:rFonts w:hint="eastAsia" w:ascii="宋体" w:hAnsi="宋体" w:cs="宋体"/>
          <w:b/>
          <w:sz w:val="24"/>
        </w:rPr>
        <w:t>法定代表人：</w:t>
      </w:r>
    </w:p>
    <w:p>
      <w:pPr>
        <w:spacing w:line="360" w:lineRule="auto"/>
        <w:rPr>
          <w:rFonts w:ascii="宋体" w:hAnsi="宋体" w:cs="宋体"/>
          <w:b/>
          <w:sz w:val="24"/>
        </w:rPr>
      </w:pPr>
    </w:p>
    <w:p>
      <w:pPr>
        <w:spacing w:line="360" w:lineRule="auto"/>
        <w:ind w:firstLine="480" w:firstLineChars="200"/>
        <w:rPr>
          <w:rFonts w:ascii="宋体" w:hAnsi="宋体" w:cs="宋体"/>
          <w:sz w:val="24"/>
        </w:rPr>
      </w:pPr>
      <w:r>
        <w:rPr>
          <w:rFonts w:hint="eastAsia" w:ascii="宋体" w:hAnsi="宋体" w:cs="宋体"/>
          <w:sz w:val="24"/>
        </w:rPr>
        <w:t>甲乙双方根据《中华人民共和国民</w:t>
      </w:r>
      <w:r>
        <w:rPr>
          <w:rFonts w:ascii="宋体" w:hAnsi="宋体" w:cs="宋体"/>
          <w:sz w:val="24"/>
        </w:rPr>
        <w:t>法典</w:t>
      </w:r>
      <w:r>
        <w:rPr>
          <w:rFonts w:hint="eastAsia" w:ascii="宋体" w:hAnsi="宋体" w:cs="宋体"/>
          <w:sz w:val="24"/>
        </w:rPr>
        <w:t>》相关规定，为增强双方的责任，经甲乙双方协商一致，特订立本合同，以资甲乙双方共同遵守。</w:t>
      </w:r>
    </w:p>
    <w:p>
      <w:pPr>
        <w:spacing w:line="360" w:lineRule="auto"/>
        <w:ind w:firstLine="482" w:firstLineChars="200"/>
        <w:rPr>
          <w:rFonts w:ascii="宋体" w:hAnsi="宋体" w:cs="宋体"/>
          <w:b/>
          <w:bCs/>
          <w:sz w:val="24"/>
        </w:rPr>
      </w:pPr>
      <w:r>
        <w:rPr>
          <w:rFonts w:hint="eastAsia" w:ascii="宋体" w:hAnsi="宋体" w:cs="宋体"/>
          <w:b/>
          <w:sz w:val="24"/>
        </w:rPr>
        <w:t>一、货物名称、规格、配置、数量及价格如下</w:t>
      </w:r>
      <w:r>
        <w:rPr>
          <w:rFonts w:hint="eastAsia" w:ascii="宋体" w:hAnsi="宋体" w:cs="宋体"/>
          <w:b/>
          <w:bCs/>
          <w:sz w:val="24"/>
        </w:rPr>
        <w:t>:</w:t>
      </w:r>
    </w:p>
    <w:tbl>
      <w:tblPr>
        <w:tblStyle w:val="26"/>
        <w:tblW w:w="9845" w:type="dxa"/>
        <w:tblInd w:w="2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4"/>
        <w:gridCol w:w="1369"/>
        <w:gridCol w:w="806"/>
        <w:gridCol w:w="705"/>
        <w:gridCol w:w="2700"/>
        <w:gridCol w:w="720"/>
        <w:gridCol w:w="1301"/>
        <w:gridCol w:w="14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4" w:type="dxa"/>
            <w:vAlign w:val="center"/>
          </w:tcPr>
          <w:p>
            <w:pPr>
              <w:kinsoku w:val="0"/>
              <w:overflowPunct w:val="0"/>
              <w:autoSpaceDE w:val="0"/>
              <w:autoSpaceDN w:val="0"/>
              <w:adjustRightInd w:val="0"/>
              <w:snapToGrid w:val="0"/>
              <w:spacing w:line="360" w:lineRule="auto"/>
              <w:rPr>
                <w:rFonts w:ascii="宋体" w:hAnsi="宋体" w:cs="宋体"/>
                <w:b/>
                <w:bCs/>
                <w:snapToGrid w:val="0"/>
                <w:kern w:val="0"/>
                <w:sz w:val="24"/>
              </w:rPr>
            </w:pPr>
          </w:p>
        </w:tc>
        <w:tc>
          <w:tcPr>
            <w:tcW w:w="1369" w:type="dxa"/>
            <w:vAlign w:val="center"/>
          </w:tcPr>
          <w:p>
            <w:pPr>
              <w:kinsoku w:val="0"/>
              <w:overflowPunct w:val="0"/>
              <w:autoSpaceDE w:val="0"/>
              <w:autoSpaceDN w:val="0"/>
              <w:adjustRightInd w:val="0"/>
              <w:snapToGrid w:val="0"/>
              <w:spacing w:line="360" w:lineRule="auto"/>
              <w:rPr>
                <w:rFonts w:ascii="宋体" w:hAnsi="宋体" w:cs="宋体"/>
                <w:b/>
                <w:bCs/>
                <w:snapToGrid w:val="0"/>
                <w:kern w:val="0"/>
                <w:sz w:val="24"/>
              </w:rPr>
            </w:pPr>
            <w:r>
              <w:rPr>
                <w:rFonts w:hint="eastAsia" w:ascii="宋体" w:hAnsi="宋体" w:cs="宋体"/>
                <w:b/>
                <w:sz w:val="24"/>
              </w:rPr>
              <w:t>货物</w:t>
            </w:r>
            <w:r>
              <w:rPr>
                <w:rFonts w:hint="eastAsia" w:ascii="宋体" w:hAnsi="宋体" w:cs="宋体"/>
                <w:b/>
                <w:bCs/>
                <w:snapToGrid w:val="0"/>
                <w:kern w:val="0"/>
                <w:sz w:val="24"/>
              </w:rPr>
              <w:t>名称</w:t>
            </w:r>
          </w:p>
        </w:tc>
        <w:tc>
          <w:tcPr>
            <w:tcW w:w="806" w:type="dxa"/>
            <w:vAlign w:val="center"/>
          </w:tcPr>
          <w:p>
            <w:pPr>
              <w:kinsoku w:val="0"/>
              <w:overflowPunct w:val="0"/>
              <w:autoSpaceDE w:val="0"/>
              <w:autoSpaceDN w:val="0"/>
              <w:adjustRightInd w:val="0"/>
              <w:snapToGrid w:val="0"/>
              <w:spacing w:line="360" w:lineRule="auto"/>
              <w:jc w:val="center"/>
              <w:rPr>
                <w:rFonts w:ascii="宋体" w:hAnsi="宋体" w:cs="宋体"/>
                <w:b/>
                <w:bCs/>
                <w:snapToGrid w:val="0"/>
                <w:kern w:val="0"/>
                <w:sz w:val="24"/>
              </w:rPr>
            </w:pPr>
            <w:r>
              <w:rPr>
                <w:rFonts w:hint="eastAsia" w:ascii="宋体" w:hAnsi="宋体" w:cs="宋体"/>
                <w:b/>
                <w:bCs/>
                <w:snapToGrid w:val="0"/>
                <w:kern w:val="0"/>
                <w:sz w:val="24"/>
              </w:rPr>
              <w:t>品牌</w:t>
            </w:r>
          </w:p>
        </w:tc>
        <w:tc>
          <w:tcPr>
            <w:tcW w:w="705" w:type="dxa"/>
            <w:vAlign w:val="center"/>
          </w:tcPr>
          <w:p>
            <w:pPr>
              <w:kinsoku w:val="0"/>
              <w:overflowPunct w:val="0"/>
              <w:autoSpaceDE w:val="0"/>
              <w:autoSpaceDN w:val="0"/>
              <w:adjustRightInd w:val="0"/>
              <w:snapToGrid w:val="0"/>
              <w:spacing w:line="360" w:lineRule="auto"/>
              <w:jc w:val="center"/>
              <w:rPr>
                <w:rFonts w:ascii="宋体" w:hAnsi="宋体" w:cs="宋体"/>
                <w:b/>
                <w:bCs/>
                <w:snapToGrid w:val="0"/>
                <w:kern w:val="0"/>
                <w:sz w:val="24"/>
              </w:rPr>
            </w:pPr>
            <w:r>
              <w:rPr>
                <w:rFonts w:hint="eastAsia" w:ascii="宋体" w:hAnsi="宋体" w:cs="宋体"/>
                <w:b/>
                <w:bCs/>
                <w:snapToGrid w:val="0"/>
                <w:kern w:val="0"/>
                <w:sz w:val="24"/>
              </w:rPr>
              <w:t>型号</w:t>
            </w:r>
          </w:p>
        </w:tc>
        <w:tc>
          <w:tcPr>
            <w:tcW w:w="2700" w:type="dxa"/>
            <w:vAlign w:val="center"/>
          </w:tcPr>
          <w:p>
            <w:pPr>
              <w:kinsoku w:val="0"/>
              <w:overflowPunct w:val="0"/>
              <w:autoSpaceDE w:val="0"/>
              <w:autoSpaceDN w:val="0"/>
              <w:adjustRightInd w:val="0"/>
              <w:snapToGrid w:val="0"/>
              <w:spacing w:line="360" w:lineRule="auto"/>
              <w:jc w:val="center"/>
              <w:rPr>
                <w:rFonts w:ascii="宋体" w:hAnsi="宋体" w:cs="宋体"/>
                <w:b/>
                <w:bCs/>
                <w:snapToGrid w:val="0"/>
                <w:kern w:val="0"/>
                <w:sz w:val="24"/>
              </w:rPr>
            </w:pPr>
            <w:r>
              <w:rPr>
                <w:rFonts w:hint="eastAsia" w:ascii="宋体" w:hAnsi="宋体" w:cs="宋体"/>
                <w:b/>
                <w:bCs/>
                <w:snapToGrid w:val="0"/>
                <w:kern w:val="0"/>
                <w:sz w:val="24"/>
              </w:rPr>
              <w:t>配置/技术参数</w:t>
            </w:r>
          </w:p>
        </w:tc>
        <w:tc>
          <w:tcPr>
            <w:tcW w:w="720" w:type="dxa"/>
            <w:vAlign w:val="center"/>
          </w:tcPr>
          <w:p>
            <w:pPr>
              <w:kinsoku w:val="0"/>
              <w:overflowPunct w:val="0"/>
              <w:autoSpaceDE w:val="0"/>
              <w:autoSpaceDN w:val="0"/>
              <w:adjustRightInd w:val="0"/>
              <w:snapToGrid w:val="0"/>
              <w:spacing w:line="360" w:lineRule="auto"/>
              <w:jc w:val="center"/>
              <w:rPr>
                <w:rFonts w:ascii="宋体" w:hAnsi="宋体" w:cs="宋体"/>
                <w:b/>
                <w:bCs/>
                <w:snapToGrid w:val="0"/>
                <w:kern w:val="0"/>
                <w:sz w:val="24"/>
              </w:rPr>
            </w:pPr>
            <w:r>
              <w:rPr>
                <w:rFonts w:hint="eastAsia" w:ascii="宋体" w:hAnsi="宋体" w:cs="宋体"/>
                <w:b/>
                <w:bCs/>
                <w:snapToGrid w:val="0"/>
                <w:kern w:val="0"/>
                <w:sz w:val="24"/>
              </w:rPr>
              <w:t>数量</w:t>
            </w:r>
          </w:p>
        </w:tc>
        <w:tc>
          <w:tcPr>
            <w:tcW w:w="1301" w:type="dxa"/>
            <w:vAlign w:val="center"/>
          </w:tcPr>
          <w:p>
            <w:pPr>
              <w:kinsoku w:val="0"/>
              <w:overflowPunct w:val="0"/>
              <w:autoSpaceDE w:val="0"/>
              <w:autoSpaceDN w:val="0"/>
              <w:adjustRightInd w:val="0"/>
              <w:snapToGrid w:val="0"/>
              <w:spacing w:line="360" w:lineRule="auto"/>
              <w:jc w:val="center"/>
              <w:rPr>
                <w:rFonts w:ascii="宋体" w:hAnsi="宋体" w:cs="宋体"/>
                <w:b/>
                <w:bCs/>
                <w:snapToGrid w:val="0"/>
                <w:kern w:val="0"/>
                <w:sz w:val="24"/>
              </w:rPr>
            </w:pPr>
            <w:r>
              <w:rPr>
                <w:rFonts w:hint="eastAsia" w:ascii="宋体" w:hAnsi="宋体" w:cs="宋体"/>
                <w:b/>
                <w:bCs/>
                <w:snapToGrid w:val="0"/>
                <w:kern w:val="0"/>
                <w:sz w:val="24"/>
              </w:rPr>
              <w:t>单价（元）</w:t>
            </w:r>
          </w:p>
        </w:tc>
        <w:tc>
          <w:tcPr>
            <w:tcW w:w="1440" w:type="dxa"/>
            <w:vAlign w:val="center"/>
          </w:tcPr>
          <w:p>
            <w:pPr>
              <w:kinsoku w:val="0"/>
              <w:overflowPunct w:val="0"/>
              <w:autoSpaceDE w:val="0"/>
              <w:autoSpaceDN w:val="0"/>
              <w:adjustRightInd w:val="0"/>
              <w:snapToGrid w:val="0"/>
              <w:spacing w:line="360" w:lineRule="auto"/>
              <w:jc w:val="center"/>
              <w:rPr>
                <w:rFonts w:ascii="宋体" w:hAnsi="宋体" w:cs="宋体"/>
                <w:b/>
                <w:bCs/>
                <w:snapToGrid w:val="0"/>
                <w:kern w:val="0"/>
                <w:sz w:val="24"/>
              </w:rPr>
            </w:pPr>
            <w:r>
              <w:rPr>
                <w:rFonts w:hint="eastAsia" w:ascii="宋体" w:hAnsi="宋体" w:cs="宋体"/>
                <w:b/>
                <w:bCs/>
                <w:snapToGrid w:val="0"/>
                <w:kern w:val="0"/>
                <w:sz w:val="24"/>
              </w:rPr>
              <w:t>小计（元）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04" w:type="dxa"/>
            <w:vAlign w:val="center"/>
          </w:tcPr>
          <w:p>
            <w:pPr>
              <w:adjustRightInd w:val="0"/>
              <w:snapToGrid w:val="0"/>
              <w:spacing w:line="360" w:lineRule="auto"/>
              <w:jc w:val="center"/>
              <w:rPr>
                <w:rFonts w:ascii="宋体" w:hAnsi="宋体" w:cs="宋体"/>
                <w:snapToGrid w:val="0"/>
                <w:kern w:val="0"/>
                <w:sz w:val="24"/>
              </w:rPr>
            </w:pPr>
          </w:p>
        </w:tc>
        <w:tc>
          <w:tcPr>
            <w:tcW w:w="1369" w:type="dxa"/>
            <w:vAlign w:val="center"/>
          </w:tcPr>
          <w:p>
            <w:pPr>
              <w:adjustRightInd w:val="0"/>
              <w:snapToGrid w:val="0"/>
              <w:spacing w:line="360" w:lineRule="auto"/>
              <w:jc w:val="center"/>
              <w:rPr>
                <w:rFonts w:ascii="宋体" w:hAnsi="宋体" w:cs="宋体"/>
                <w:snapToGrid w:val="0"/>
                <w:kern w:val="0"/>
                <w:sz w:val="24"/>
              </w:rPr>
            </w:pPr>
          </w:p>
        </w:tc>
        <w:tc>
          <w:tcPr>
            <w:tcW w:w="806" w:type="dxa"/>
            <w:vAlign w:val="center"/>
          </w:tcPr>
          <w:p>
            <w:pPr>
              <w:adjustRightInd w:val="0"/>
              <w:snapToGrid w:val="0"/>
              <w:spacing w:line="360" w:lineRule="auto"/>
              <w:jc w:val="center"/>
              <w:rPr>
                <w:rFonts w:ascii="宋体" w:hAnsi="宋体" w:cs="宋体"/>
                <w:snapToGrid w:val="0"/>
                <w:kern w:val="0"/>
                <w:sz w:val="24"/>
              </w:rPr>
            </w:pPr>
          </w:p>
        </w:tc>
        <w:tc>
          <w:tcPr>
            <w:tcW w:w="705" w:type="dxa"/>
            <w:vAlign w:val="center"/>
          </w:tcPr>
          <w:p>
            <w:pPr>
              <w:adjustRightInd w:val="0"/>
              <w:snapToGrid w:val="0"/>
              <w:spacing w:line="360" w:lineRule="auto"/>
              <w:jc w:val="center"/>
              <w:rPr>
                <w:rFonts w:ascii="宋体" w:hAnsi="宋体" w:cs="宋体"/>
                <w:snapToGrid w:val="0"/>
                <w:kern w:val="0"/>
                <w:sz w:val="24"/>
              </w:rPr>
            </w:pPr>
          </w:p>
        </w:tc>
        <w:tc>
          <w:tcPr>
            <w:tcW w:w="2700" w:type="dxa"/>
            <w:vAlign w:val="center"/>
          </w:tcPr>
          <w:p>
            <w:pPr>
              <w:adjustRightInd w:val="0"/>
              <w:snapToGrid w:val="0"/>
              <w:spacing w:line="360" w:lineRule="auto"/>
              <w:rPr>
                <w:rFonts w:ascii="宋体" w:hAnsi="宋体" w:cs="宋体"/>
                <w:snapToGrid w:val="0"/>
                <w:kern w:val="0"/>
                <w:sz w:val="24"/>
              </w:rPr>
            </w:pPr>
          </w:p>
        </w:tc>
        <w:tc>
          <w:tcPr>
            <w:tcW w:w="720" w:type="dxa"/>
            <w:vAlign w:val="center"/>
          </w:tcPr>
          <w:p>
            <w:pPr>
              <w:adjustRightInd w:val="0"/>
              <w:snapToGrid w:val="0"/>
              <w:spacing w:line="360" w:lineRule="auto"/>
              <w:jc w:val="center"/>
              <w:rPr>
                <w:rFonts w:ascii="宋体" w:hAnsi="宋体" w:cs="宋体"/>
                <w:snapToGrid w:val="0"/>
                <w:kern w:val="0"/>
                <w:sz w:val="24"/>
              </w:rPr>
            </w:pPr>
          </w:p>
        </w:tc>
        <w:tc>
          <w:tcPr>
            <w:tcW w:w="1301" w:type="dxa"/>
            <w:vAlign w:val="center"/>
          </w:tcPr>
          <w:p>
            <w:pPr>
              <w:adjustRightInd w:val="0"/>
              <w:snapToGrid w:val="0"/>
              <w:spacing w:line="360" w:lineRule="auto"/>
              <w:rPr>
                <w:rFonts w:ascii="宋体" w:hAnsi="宋体" w:cs="宋体"/>
                <w:snapToGrid w:val="0"/>
                <w:kern w:val="0"/>
                <w:sz w:val="24"/>
              </w:rPr>
            </w:pPr>
          </w:p>
        </w:tc>
        <w:tc>
          <w:tcPr>
            <w:tcW w:w="1440" w:type="dxa"/>
            <w:vAlign w:val="center"/>
          </w:tcPr>
          <w:p>
            <w:pPr>
              <w:adjustRightInd w:val="0"/>
              <w:snapToGrid w:val="0"/>
              <w:spacing w:line="360" w:lineRule="auto"/>
              <w:rPr>
                <w:rFonts w:ascii="宋体" w:hAnsi="宋体" w:cs="宋体"/>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04"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69"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806"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705"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2700" w:type="dxa"/>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720" w:type="dxa"/>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01" w:type="dxa"/>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1440" w:type="dxa"/>
          </w:tcPr>
          <w:p>
            <w:pPr>
              <w:kinsoku w:val="0"/>
              <w:overflowPunct w:val="0"/>
              <w:autoSpaceDE w:val="0"/>
              <w:autoSpaceDN w:val="0"/>
              <w:adjustRightInd w:val="0"/>
              <w:snapToGrid w:val="0"/>
              <w:spacing w:line="360" w:lineRule="auto"/>
              <w:rPr>
                <w:rFonts w:ascii="宋体" w:hAnsi="宋体" w:cs="宋体"/>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04"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69"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806"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705"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2700" w:type="dxa"/>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720" w:type="dxa"/>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01" w:type="dxa"/>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1440" w:type="dxa"/>
          </w:tcPr>
          <w:p>
            <w:pPr>
              <w:kinsoku w:val="0"/>
              <w:overflowPunct w:val="0"/>
              <w:autoSpaceDE w:val="0"/>
              <w:autoSpaceDN w:val="0"/>
              <w:adjustRightInd w:val="0"/>
              <w:snapToGrid w:val="0"/>
              <w:spacing w:line="360" w:lineRule="auto"/>
              <w:rPr>
                <w:rFonts w:ascii="宋体" w:hAnsi="宋体" w:cs="宋体"/>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04"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69"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806"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705"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2700" w:type="dxa"/>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720" w:type="dxa"/>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01" w:type="dxa"/>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1440" w:type="dxa"/>
          </w:tcPr>
          <w:p>
            <w:pPr>
              <w:kinsoku w:val="0"/>
              <w:overflowPunct w:val="0"/>
              <w:autoSpaceDE w:val="0"/>
              <w:autoSpaceDN w:val="0"/>
              <w:adjustRightInd w:val="0"/>
              <w:snapToGrid w:val="0"/>
              <w:spacing w:line="360" w:lineRule="auto"/>
              <w:rPr>
                <w:rFonts w:ascii="宋体" w:hAnsi="宋体" w:cs="宋体"/>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04"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69"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806"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705"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2700" w:type="dxa"/>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720" w:type="dxa"/>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01" w:type="dxa"/>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1440" w:type="dxa"/>
          </w:tcPr>
          <w:p>
            <w:pPr>
              <w:kinsoku w:val="0"/>
              <w:overflowPunct w:val="0"/>
              <w:autoSpaceDE w:val="0"/>
              <w:autoSpaceDN w:val="0"/>
              <w:adjustRightInd w:val="0"/>
              <w:snapToGrid w:val="0"/>
              <w:spacing w:line="360" w:lineRule="auto"/>
              <w:rPr>
                <w:rFonts w:ascii="宋体" w:hAnsi="宋体" w:cs="宋体"/>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04"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69"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806"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705"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2700" w:type="dxa"/>
            <w:vAlign w:val="center"/>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720"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01" w:type="dxa"/>
            <w:vAlign w:val="center"/>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1440" w:type="dxa"/>
            <w:vAlign w:val="center"/>
          </w:tcPr>
          <w:p>
            <w:pPr>
              <w:kinsoku w:val="0"/>
              <w:overflowPunct w:val="0"/>
              <w:autoSpaceDE w:val="0"/>
              <w:autoSpaceDN w:val="0"/>
              <w:adjustRightInd w:val="0"/>
              <w:snapToGrid w:val="0"/>
              <w:spacing w:line="360" w:lineRule="auto"/>
              <w:rPr>
                <w:rFonts w:ascii="宋体" w:hAnsi="宋体" w:cs="宋体"/>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04"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69"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806"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705"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2700" w:type="dxa"/>
            <w:vAlign w:val="center"/>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720"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01" w:type="dxa"/>
            <w:vAlign w:val="center"/>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1440" w:type="dxa"/>
            <w:vAlign w:val="center"/>
          </w:tcPr>
          <w:p>
            <w:pPr>
              <w:kinsoku w:val="0"/>
              <w:overflowPunct w:val="0"/>
              <w:autoSpaceDE w:val="0"/>
              <w:autoSpaceDN w:val="0"/>
              <w:adjustRightInd w:val="0"/>
              <w:snapToGrid w:val="0"/>
              <w:spacing w:line="360" w:lineRule="auto"/>
              <w:rPr>
                <w:rFonts w:ascii="宋体" w:hAnsi="宋体" w:cs="宋体"/>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04"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r>
              <w:rPr>
                <w:rFonts w:hint="eastAsia" w:ascii="宋体" w:hAnsi="宋体" w:cs="宋体"/>
                <w:snapToGrid w:val="0"/>
                <w:kern w:val="0"/>
                <w:sz w:val="24"/>
              </w:rPr>
              <w:t>合计</w:t>
            </w:r>
          </w:p>
        </w:tc>
        <w:tc>
          <w:tcPr>
            <w:tcW w:w="5580" w:type="dxa"/>
            <w:gridSpan w:val="4"/>
            <w:vAlign w:val="center"/>
          </w:tcPr>
          <w:p>
            <w:pPr>
              <w:kinsoku w:val="0"/>
              <w:overflowPunct w:val="0"/>
              <w:autoSpaceDE w:val="0"/>
              <w:autoSpaceDN w:val="0"/>
              <w:adjustRightInd w:val="0"/>
              <w:snapToGrid w:val="0"/>
              <w:spacing w:line="360" w:lineRule="auto"/>
              <w:rPr>
                <w:rFonts w:ascii="宋体" w:hAnsi="宋体" w:cs="宋体"/>
                <w:snapToGrid w:val="0"/>
                <w:kern w:val="0"/>
                <w:sz w:val="24"/>
              </w:rPr>
            </w:pPr>
            <w:r>
              <w:rPr>
                <w:rFonts w:hint="eastAsia" w:ascii="宋体" w:hAnsi="宋体" w:cs="宋体"/>
                <w:b/>
                <w:bCs/>
                <w:snapToGrid w:val="0"/>
                <w:kern w:val="0"/>
                <w:sz w:val="24"/>
              </w:rPr>
              <w:t>大写</w:t>
            </w:r>
            <w:r>
              <w:rPr>
                <w:rFonts w:hint="eastAsia" w:ascii="宋体" w:hAnsi="宋体" w:cs="宋体"/>
                <w:b/>
                <w:sz w:val="24"/>
              </w:rPr>
              <w:t xml:space="preserve">（人民币）:          </w:t>
            </w:r>
            <w:r>
              <w:rPr>
                <w:rFonts w:hint="eastAsia" w:ascii="宋体" w:hAnsi="宋体" w:cs="宋体"/>
                <w:b/>
                <w:color w:val="000000"/>
                <w:kern w:val="0"/>
                <w:sz w:val="24"/>
              </w:rPr>
              <w:t>元整</w:t>
            </w:r>
          </w:p>
        </w:tc>
        <w:tc>
          <w:tcPr>
            <w:tcW w:w="720"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01" w:type="dxa"/>
            <w:vAlign w:val="center"/>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1440" w:type="dxa"/>
            <w:vAlign w:val="center"/>
          </w:tcPr>
          <w:p>
            <w:pPr>
              <w:kinsoku w:val="0"/>
              <w:overflowPunct w:val="0"/>
              <w:autoSpaceDE w:val="0"/>
              <w:autoSpaceDN w:val="0"/>
              <w:adjustRightInd w:val="0"/>
              <w:snapToGrid w:val="0"/>
              <w:spacing w:line="360" w:lineRule="auto"/>
              <w:rPr>
                <w:rFonts w:ascii="宋体" w:hAnsi="宋体" w:cs="宋体"/>
                <w:snapToGrid w:val="0"/>
                <w:kern w:val="0"/>
                <w:sz w:val="24"/>
              </w:rPr>
            </w:pPr>
          </w:p>
        </w:tc>
      </w:tr>
    </w:tbl>
    <w:p>
      <w:pPr>
        <w:spacing w:line="360" w:lineRule="auto"/>
        <w:ind w:left="359" w:leftChars="171"/>
        <w:rPr>
          <w:rFonts w:ascii="宋体" w:hAnsi="宋体" w:cs="宋体"/>
          <w:b/>
          <w:sz w:val="24"/>
        </w:rPr>
      </w:pPr>
      <w:r>
        <w:rPr>
          <w:rFonts w:hint="eastAsia" w:ascii="宋体" w:hAnsi="宋体" w:cs="宋体"/>
          <w:b/>
          <w:sz w:val="24"/>
        </w:rPr>
        <w:t>技术负责人（签字）：</w:t>
      </w:r>
      <w:r>
        <w:rPr>
          <w:rFonts w:hint="eastAsia" w:ascii="宋体" w:hAnsi="宋体" w:cs="宋体"/>
          <w:b/>
          <w:sz w:val="24"/>
          <w:u w:val="single"/>
        </w:rPr>
        <w:t xml:space="preserve">               </w:t>
      </w:r>
      <w:r>
        <w:rPr>
          <w:rFonts w:hint="eastAsia" w:ascii="宋体" w:hAnsi="宋体" w:cs="宋体"/>
          <w:b/>
          <w:sz w:val="24"/>
        </w:rPr>
        <w:t xml:space="preserve">      部门负责人（签字）：</w:t>
      </w:r>
      <w:r>
        <w:rPr>
          <w:rFonts w:hint="eastAsia" w:ascii="宋体" w:hAnsi="宋体" w:cs="宋体"/>
          <w:b/>
          <w:sz w:val="24"/>
          <w:u w:val="single"/>
        </w:rPr>
        <w:t xml:space="preserve">                 </w:t>
      </w:r>
    </w:p>
    <w:p>
      <w:pPr>
        <w:spacing w:line="360" w:lineRule="auto"/>
        <w:ind w:firstLine="482" w:firstLineChars="200"/>
        <w:rPr>
          <w:rFonts w:ascii="宋体" w:hAnsi="宋体" w:cs="宋体"/>
          <w:sz w:val="24"/>
        </w:rPr>
      </w:pPr>
      <w:r>
        <w:rPr>
          <w:rFonts w:hint="eastAsia" w:ascii="宋体" w:hAnsi="宋体" w:cs="宋体"/>
          <w:b/>
          <w:sz w:val="24"/>
        </w:rPr>
        <w:t xml:space="preserve">二、合同总金额（人民币）:          </w:t>
      </w:r>
      <w:r>
        <w:rPr>
          <w:rFonts w:hint="eastAsia" w:ascii="宋体" w:hAnsi="宋体" w:cs="宋体"/>
          <w:b/>
          <w:color w:val="000000"/>
          <w:kern w:val="0"/>
          <w:sz w:val="24"/>
        </w:rPr>
        <w:t>元整（￥：  元）</w:t>
      </w:r>
      <w:r>
        <w:rPr>
          <w:rFonts w:hint="eastAsia" w:ascii="宋体" w:hAnsi="宋体" w:cs="宋体"/>
          <w:b/>
          <w:sz w:val="24"/>
        </w:rPr>
        <w:t>。含增值税、运费、安装调试费等，甲方无需支付其他费用。</w:t>
      </w:r>
    </w:p>
    <w:p>
      <w:pPr>
        <w:spacing w:line="360" w:lineRule="auto"/>
        <w:ind w:firstLine="482" w:firstLineChars="200"/>
        <w:rPr>
          <w:rFonts w:ascii="宋体" w:hAnsi="宋体" w:cs="宋体"/>
          <w:b/>
          <w:sz w:val="24"/>
        </w:rPr>
      </w:pPr>
      <w:r>
        <w:rPr>
          <w:rFonts w:hint="eastAsia" w:ascii="宋体" w:hAnsi="宋体" w:cs="宋体"/>
          <w:b/>
          <w:sz w:val="24"/>
        </w:rPr>
        <w:t>三、交货：</w:t>
      </w:r>
    </w:p>
    <w:p>
      <w:pPr>
        <w:spacing w:line="360" w:lineRule="auto"/>
        <w:ind w:firstLine="480" w:firstLineChars="200"/>
        <w:rPr>
          <w:rFonts w:ascii="宋体" w:hAnsi="宋体" w:cs="宋体"/>
          <w:sz w:val="24"/>
        </w:rPr>
      </w:pPr>
      <w:r>
        <w:rPr>
          <w:rFonts w:hint="eastAsia" w:ascii="宋体" w:hAnsi="宋体" w:cs="宋体"/>
          <w:sz w:val="24"/>
        </w:rPr>
        <w:t>1.交货时间：乙方应在20  年 月  日前完成全部货物（含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）的安装调试工作。</w:t>
      </w:r>
    </w:p>
    <w:p>
      <w:pPr>
        <w:spacing w:line="360" w:lineRule="auto"/>
        <w:ind w:firstLine="480" w:firstLineChars="200"/>
        <w:rPr>
          <w:rFonts w:ascii="宋体" w:hAnsi="宋体" w:cs="宋体"/>
          <w:sz w:val="24"/>
        </w:rPr>
      </w:pPr>
      <w:r>
        <w:rPr>
          <w:rFonts w:hint="eastAsia" w:ascii="宋体" w:hAnsi="宋体" w:cs="宋体"/>
          <w:sz w:val="24"/>
        </w:rPr>
        <w:t>2.交货地点：甲方指定地点。</w:t>
      </w:r>
    </w:p>
    <w:p>
      <w:pPr>
        <w:spacing w:line="360" w:lineRule="auto"/>
        <w:ind w:firstLine="480" w:firstLineChars="200"/>
        <w:rPr>
          <w:rFonts w:ascii="宋体" w:hAnsi="宋体" w:cs="宋体"/>
          <w:sz w:val="24"/>
        </w:rPr>
      </w:pPr>
      <w:r>
        <w:rPr>
          <w:rFonts w:hint="eastAsia" w:ascii="宋体" w:hAnsi="宋体" w:cs="宋体"/>
          <w:sz w:val="24"/>
        </w:rPr>
        <w:t>3.交货方式：乙方负责安排运输到甲方指定地点。</w:t>
      </w:r>
      <w:r>
        <w:rPr>
          <w:rFonts w:hint="eastAsia" w:ascii="宋体" w:hAnsi="宋体" w:cs="宋体"/>
          <w:bCs/>
          <w:sz w:val="24"/>
        </w:rPr>
        <w:t>乙方承担</w:t>
      </w:r>
      <w:r>
        <w:rPr>
          <w:rFonts w:hint="eastAsia" w:ascii="宋体" w:hAnsi="宋体" w:cs="宋体"/>
          <w:sz w:val="24"/>
        </w:rPr>
        <w:t>货物（含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w:t>
      </w:r>
      <w:r>
        <w:rPr>
          <w:rFonts w:hint="eastAsia" w:ascii="宋体" w:hAnsi="宋体" w:cs="宋体"/>
          <w:bCs/>
          <w:sz w:val="24"/>
        </w:rPr>
        <w:t>交付甲方前的一切费用及风险（本条款所指交付是乙方将货物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w:t>
      </w:r>
      <w:r>
        <w:rPr>
          <w:rFonts w:hint="eastAsia" w:ascii="宋体" w:hAnsi="宋体" w:cs="宋体"/>
          <w:bCs/>
          <w:sz w:val="24"/>
        </w:rPr>
        <w:t>运送至甲方指定地点，并经甲方验收合格并出具验收合格证明后视为交付）。</w:t>
      </w:r>
    </w:p>
    <w:p>
      <w:pPr>
        <w:spacing w:line="360" w:lineRule="auto"/>
        <w:ind w:firstLine="480" w:firstLineChars="200"/>
        <w:rPr>
          <w:rFonts w:ascii="宋体" w:hAnsi="宋体" w:cs="宋体"/>
          <w:sz w:val="24"/>
        </w:rPr>
      </w:pPr>
      <w:r>
        <w:rPr>
          <w:rFonts w:hint="eastAsia" w:ascii="宋体" w:hAnsi="宋体" w:cs="宋体"/>
          <w:sz w:val="24"/>
        </w:rPr>
        <w:t>4.乙方所提供货物（含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）必须为全新无瑕疵。</w:t>
      </w:r>
    </w:p>
    <w:p>
      <w:pPr>
        <w:spacing w:line="360" w:lineRule="auto"/>
        <w:ind w:firstLine="480" w:firstLineChars="200"/>
        <w:rPr>
          <w:rFonts w:ascii="宋体" w:hAnsi="宋体" w:cs="宋体"/>
          <w:sz w:val="24"/>
        </w:rPr>
      </w:pPr>
      <w:r>
        <w:rPr>
          <w:rFonts w:hint="eastAsia" w:ascii="宋体" w:hAnsi="宋体" w:cs="宋体"/>
          <w:sz w:val="24"/>
        </w:rPr>
        <w:t>5.交货时，乙方应将货物（含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）的产品说明书、使用说明书，出厂合格证、用户手册、保修手册等单证交付给甲方，前述单证未交付完整的，视为未完全交货。</w:t>
      </w:r>
    </w:p>
    <w:p>
      <w:pPr>
        <w:spacing w:line="360" w:lineRule="auto"/>
        <w:ind w:firstLine="480" w:firstLineChars="200"/>
        <w:rPr>
          <w:rFonts w:ascii="宋体" w:hAnsi="宋体" w:cs="宋体"/>
          <w:sz w:val="24"/>
        </w:rPr>
      </w:pPr>
      <w:r>
        <w:rPr>
          <w:rFonts w:hint="eastAsia" w:ascii="宋体" w:hAnsi="宋体" w:cs="宋体"/>
          <w:sz w:val="24"/>
        </w:rPr>
        <w:t>6.如果乙</w:t>
      </w:r>
      <w:r>
        <w:rPr>
          <w:rFonts w:ascii="宋体" w:hAnsi="宋体" w:cs="宋体"/>
          <w:sz w:val="24"/>
        </w:rPr>
        <w:t>方提供</w:t>
      </w:r>
      <w:r>
        <w:rPr>
          <w:rFonts w:hint="eastAsia" w:ascii="宋体" w:hAnsi="宋体" w:cs="宋体"/>
          <w:sz w:val="24"/>
        </w:rPr>
        <w:t>货物（含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）属于国</w:t>
      </w:r>
      <w:r>
        <w:rPr>
          <w:rFonts w:ascii="宋体" w:hAnsi="宋体" w:cs="宋体"/>
          <w:sz w:val="24"/>
        </w:rPr>
        <w:t>家</w:t>
      </w:r>
      <w:r>
        <w:rPr>
          <w:rFonts w:hint="eastAsia" w:ascii="宋体" w:hAnsi="宋体" w:cs="宋体"/>
          <w:sz w:val="24"/>
        </w:rPr>
        <w:t>或</w:t>
      </w:r>
      <w:r>
        <w:rPr>
          <w:rFonts w:ascii="宋体" w:hAnsi="宋体" w:cs="宋体"/>
          <w:sz w:val="24"/>
        </w:rPr>
        <w:t>上级部门</w:t>
      </w:r>
      <w:r>
        <w:rPr>
          <w:rFonts w:hint="eastAsia" w:ascii="宋体" w:hAnsi="宋体" w:cs="宋体"/>
          <w:sz w:val="24"/>
        </w:rPr>
        <w:t>相</w:t>
      </w:r>
      <w:r>
        <w:rPr>
          <w:rFonts w:ascii="宋体" w:hAnsi="宋体" w:cs="宋体"/>
          <w:sz w:val="24"/>
        </w:rPr>
        <w:t>关法律法规管制</w:t>
      </w:r>
      <w:r>
        <w:rPr>
          <w:rFonts w:hint="eastAsia" w:ascii="宋体" w:hAnsi="宋体" w:cs="宋体"/>
          <w:sz w:val="24"/>
        </w:rPr>
        <w:t>的，则乙方应当提供相关证明并协助甲方办理相关手续。</w:t>
      </w:r>
    </w:p>
    <w:p>
      <w:pPr>
        <w:spacing w:line="360" w:lineRule="auto"/>
        <w:ind w:firstLine="482" w:firstLineChars="200"/>
        <w:rPr>
          <w:rFonts w:ascii="宋体" w:hAnsi="宋体" w:cs="宋体"/>
          <w:b/>
          <w:sz w:val="24"/>
        </w:rPr>
      </w:pPr>
      <w:r>
        <w:rPr>
          <w:rFonts w:hint="eastAsia" w:ascii="宋体" w:hAnsi="宋体" w:cs="宋体"/>
          <w:b/>
          <w:sz w:val="24"/>
        </w:rPr>
        <w:t>四、合</w:t>
      </w:r>
      <w:r>
        <w:rPr>
          <w:rFonts w:ascii="宋体" w:hAnsi="宋体" w:cs="宋体"/>
          <w:b/>
          <w:sz w:val="24"/>
        </w:rPr>
        <w:t>同</w:t>
      </w:r>
      <w:r>
        <w:rPr>
          <w:rFonts w:hint="eastAsia" w:ascii="宋体" w:hAnsi="宋体" w:cs="宋体"/>
          <w:b/>
          <w:sz w:val="24"/>
        </w:rPr>
        <w:t>验收</w:t>
      </w:r>
    </w:p>
    <w:p>
      <w:pPr>
        <w:spacing w:line="360" w:lineRule="auto"/>
        <w:ind w:firstLine="482" w:firstLineChars="200"/>
        <w:rPr>
          <w:rFonts w:ascii="宋体" w:hAnsi="宋体" w:cs="宋体"/>
          <w:sz w:val="24"/>
        </w:rPr>
      </w:pPr>
      <w:r>
        <w:rPr>
          <w:rFonts w:hint="eastAsia" w:ascii="宋体" w:hAnsi="宋体" w:cs="宋体"/>
          <w:b/>
          <w:sz w:val="24"/>
        </w:rPr>
        <w:t>1.验收标准：</w:t>
      </w:r>
      <w:r>
        <w:rPr>
          <w:rFonts w:hint="eastAsia" w:ascii="宋体" w:hAnsi="宋体" w:cs="宋体"/>
          <w:sz w:val="24"/>
        </w:rPr>
        <w:t>本合同相关约定、国家相关规范和标准、招标文件、响应文件及磋商报告相关要求、相关技术文件验收。</w:t>
      </w:r>
    </w:p>
    <w:p>
      <w:pPr>
        <w:spacing w:line="360" w:lineRule="auto"/>
        <w:ind w:firstLine="480" w:firstLineChars="200"/>
        <w:rPr>
          <w:rFonts w:ascii="宋体" w:hAnsi="宋体" w:cs="宋体"/>
          <w:sz w:val="24"/>
        </w:rPr>
      </w:pPr>
      <w:r>
        <w:rPr>
          <w:rFonts w:ascii="宋体" w:hAnsi="宋体" w:cs="宋体"/>
          <w:sz w:val="24"/>
        </w:rPr>
        <w:t>2.</w:t>
      </w:r>
      <w:r>
        <w:rPr>
          <w:rFonts w:hint="eastAsia" w:ascii="宋体" w:hAnsi="宋体" w:cs="宋体"/>
          <w:sz w:val="24"/>
        </w:rPr>
        <w:t>验</w:t>
      </w:r>
      <w:r>
        <w:rPr>
          <w:rFonts w:ascii="宋体" w:hAnsi="宋体" w:cs="宋体"/>
          <w:sz w:val="24"/>
        </w:rPr>
        <w:t>收方式：合同内</w:t>
      </w:r>
      <w:r>
        <w:rPr>
          <w:rFonts w:hint="eastAsia" w:ascii="宋体" w:hAnsi="宋体" w:cs="宋体"/>
          <w:sz w:val="24"/>
        </w:rPr>
        <w:t>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）整</w:t>
      </w:r>
      <w:r>
        <w:rPr>
          <w:rFonts w:ascii="宋体" w:hAnsi="宋体" w:cs="宋体"/>
          <w:sz w:val="24"/>
        </w:rPr>
        <w:t>体验收。</w:t>
      </w:r>
    </w:p>
    <w:p>
      <w:pPr>
        <w:spacing w:line="360" w:lineRule="auto"/>
        <w:ind w:firstLine="480" w:firstLineChars="200"/>
        <w:rPr>
          <w:rFonts w:ascii="宋体" w:hAnsi="宋体" w:cs="宋体"/>
          <w:sz w:val="24"/>
        </w:rPr>
      </w:pPr>
      <w:r>
        <w:rPr>
          <w:rFonts w:ascii="宋体" w:hAnsi="宋体" w:cs="宋体"/>
          <w:sz w:val="24"/>
        </w:rPr>
        <w:t>3</w:t>
      </w:r>
      <w:r>
        <w:rPr>
          <w:rFonts w:hint="eastAsia" w:ascii="宋体" w:hAnsi="宋体" w:cs="宋体"/>
          <w:sz w:val="24"/>
        </w:rPr>
        <w:t>.</w:t>
      </w:r>
      <w:r>
        <w:rPr>
          <w:rFonts w:ascii="宋体" w:hAnsi="宋体" w:cs="宋体"/>
          <w:sz w:val="24"/>
        </w:rPr>
        <w:t>验收</w:t>
      </w:r>
      <w:r>
        <w:rPr>
          <w:rFonts w:hint="eastAsia" w:ascii="宋体" w:hAnsi="宋体" w:cs="宋体"/>
          <w:sz w:val="24"/>
        </w:rPr>
        <w:t>组织</w:t>
      </w:r>
      <w:r>
        <w:rPr>
          <w:rFonts w:ascii="宋体" w:hAnsi="宋体" w:cs="宋体"/>
          <w:sz w:val="24"/>
        </w:rPr>
        <w:t>：</w:t>
      </w:r>
      <w:r>
        <w:rPr>
          <w:rFonts w:hint="eastAsia" w:ascii="宋体" w:hAnsi="宋体" w:cs="宋体"/>
          <w:sz w:val="24"/>
        </w:rPr>
        <w:t>甲方组织技术人员验收。（含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 xml:space="preserve">）质量验收合格的，甲方签署验收报告，验收不合格的，甲方向乙方出具书面质量异议意见。 </w:t>
      </w:r>
    </w:p>
    <w:p>
      <w:pPr>
        <w:spacing w:line="360" w:lineRule="auto"/>
        <w:ind w:firstLine="480" w:firstLineChars="200"/>
        <w:rPr>
          <w:rFonts w:ascii="宋体" w:hAnsi="宋体" w:cs="宋体"/>
          <w:sz w:val="24"/>
        </w:rPr>
      </w:pPr>
      <w:r>
        <w:rPr>
          <w:rFonts w:ascii="宋体" w:hAnsi="宋体" w:cs="宋体"/>
          <w:sz w:val="24"/>
        </w:rPr>
        <w:t>4.</w:t>
      </w:r>
      <w:r>
        <w:rPr>
          <w:rFonts w:hint="eastAsia" w:ascii="宋体" w:hAnsi="宋体" w:cs="宋体"/>
          <w:sz w:val="24"/>
        </w:rPr>
        <w:t>甲方完成验收并不免除乙方对（含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）质量应当承担的责任。</w:t>
      </w:r>
    </w:p>
    <w:p>
      <w:pPr>
        <w:spacing w:line="360" w:lineRule="auto"/>
        <w:ind w:firstLine="482" w:firstLineChars="200"/>
        <w:rPr>
          <w:rFonts w:ascii="宋体" w:hAnsi="宋体" w:cs="宋体"/>
          <w:b/>
          <w:sz w:val="24"/>
        </w:rPr>
      </w:pPr>
      <w:r>
        <w:rPr>
          <w:rFonts w:hint="eastAsia" w:ascii="宋体" w:hAnsi="宋体" w:cs="宋体"/>
          <w:b/>
          <w:sz w:val="24"/>
        </w:rPr>
        <w:t>五、付款方式：</w:t>
      </w:r>
    </w:p>
    <w:p>
      <w:pPr>
        <w:spacing w:line="360" w:lineRule="auto"/>
        <w:ind w:firstLine="480" w:firstLineChars="200"/>
        <w:rPr>
          <w:rFonts w:ascii="宋体" w:hAnsi="宋体" w:cs="宋体"/>
          <w:sz w:val="24"/>
        </w:rPr>
      </w:pPr>
      <w:r>
        <w:rPr>
          <w:rFonts w:hint="eastAsia" w:ascii="宋体" w:hAnsi="宋体" w:cs="宋体"/>
          <w:sz w:val="24"/>
        </w:rPr>
        <w:t>1.本合同正式签订前，乙方需向甲方支付合同金额的5%即人民币    元整（小写：￥    元）作为履约保证金（优先以金融机构、担保机构出具的保函或者支票、汇票、本票等非现金形式提交）；</w:t>
      </w:r>
    </w:p>
    <w:p>
      <w:pPr>
        <w:spacing w:line="360" w:lineRule="auto"/>
        <w:ind w:firstLine="480" w:firstLineChars="200"/>
        <w:rPr>
          <w:rFonts w:ascii="宋体" w:hAnsi="宋体" w:cs="宋体"/>
          <w:sz w:val="24"/>
        </w:rPr>
      </w:pPr>
      <w:r>
        <w:rPr>
          <w:rFonts w:hint="eastAsia" w:ascii="宋体" w:hAnsi="宋体" w:cs="宋体"/>
          <w:sz w:val="24"/>
        </w:rPr>
        <w:t>2.全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）经甲方验收合格后十五个工作日内，甲方向乙方支付全额货款即人民币    元整（小写：￥    元），上述履约保证金若为现金形式提交，在</w:t>
      </w:r>
      <w:r>
        <w:rPr>
          <w:rFonts w:hint="eastAsia" w:ascii="宋体" w:hAnsi="宋体" w:cs="宋体"/>
          <w:bCs/>
          <w:sz w:val="24"/>
        </w:rPr>
        <w:t>产品验收合格满</w:t>
      </w:r>
      <w:r>
        <w:rPr>
          <w:rFonts w:hint="eastAsia" w:ascii="宋体" w:hAnsi="宋体" w:cs="宋体"/>
          <w:bCs/>
          <w:sz w:val="24"/>
          <w:u w:val="single"/>
        </w:rPr>
        <w:t xml:space="preserve"> 1 </w:t>
      </w:r>
      <w:r>
        <w:rPr>
          <w:rFonts w:hint="eastAsia" w:ascii="宋体" w:hAnsi="宋体" w:cs="宋体"/>
          <w:sz w:val="24"/>
        </w:rPr>
        <w:t>年后，无质量问题甲方将全额无息退还给乙方；</w:t>
      </w:r>
    </w:p>
    <w:p>
      <w:pPr>
        <w:spacing w:line="360" w:lineRule="auto"/>
        <w:ind w:firstLine="480" w:firstLineChars="200"/>
        <w:rPr>
          <w:rFonts w:ascii="宋体" w:hAnsi="宋体" w:cs="宋体"/>
          <w:sz w:val="24"/>
        </w:rPr>
      </w:pPr>
      <w:r>
        <w:rPr>
          <w:rFonts w:hint="eastAsia" w:ascii="宋体" w:hAnsi="宋体" w:cs="宋体"/>
          <w:sz w:val="24"/>
        </w:rPr>
        <w:t>３.甲方每次付款前，乙方应向甲方出具等额、合法、真实、有效的发票，国产货物（含配套系统、配件备件）须提供增值税专用发票，否则甲方有权不予支付，直至乙方提供等额合法有效发票且不承担违约责任。如因乙方提供发票不合规导致补交税款、滞纳金、罚款及其他相关损失的，乙方应向甲方承担不合规发票金额双倍赔偿责任，甲方有权从应付乙方货款中予以扣除。</w:t>
      </w:r>
    </w:p>
    <w:p>
      <w:pPr>
        <w:spacing w:line="360" w:lineRule="auto"/>
        <w:ind w:firstLine="480" w:firstLineChars="200"/>
        <w:rPr>
          <w:rFonts w:ascii="宋体" w:hAnsi="宋体"/>
          <w:sz w:val="24"/>
        </w:rPr>
      </w:pPr>
      <w:r>
        <w:rPr>
          <w:rFonts w:hint="eastAsia" w:ascii="宋体" w:hAnsi="宋体"/>
          <w:sz w:val="24"/>
        </w:rPr>
        <w:t>4.本合同各方确认收款和纳税信息如下，因提供本方信息错误，给对方造成的损失，由责任方承担。</w:t>
      </w:r>
    </w:p>
    <w:tbl>
      <w:tblPr>
        <w:tblStyle w:val="26"/>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9"/>
        <w:gridCol w:w="2629"/>
        <w:gridCol w:w="54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99" w:type="dxa"/>
            <w:vMerge w:val="restart"/>
            <w:vAlign w:val="center"/>
          </w:tcPr>
          <w:p>
            <w:pPr>
              <w:spacing w:line="360" w:lineRule="auto"/>
              <w:ind w:firstLine="480" w:firstLineChars="200"/>
              <w:jc w:val="center"/>
              <w:rPr>
                <w:rFonts w:ascii="宋体" w:hAnsi="宋体"/>
                <w:sz w:val="24"/>
              </w:rPr>
            </w:pPr>
            <w:r>
              <w:rPr>
                <w:rFonts w:hint="eastAsia" w:ascii="宋体" w:hAnsi="宋体"/>
                <w:sz w:val="24"/>
              </w:rPr>
              <w:t>甲方开票信息</w:t>
            </w:r>
          </w:p>
        </w:tc>
        <w:tc>
          <w:tcPr>
            <w:tcW w:w="2629" w:type="dxa"/>
            <w:vAlign w:val="center"/>
          </w:tcPr>
          <w:p>
            <w:pPr>
              <w:spacing w:line="360" w:lineRule="auto"/>
              <w:ind w:left="420" w:leftChars="200" w:firstLine="480" w:firstLineChars="200"/>
              <w:jc w:val="center"/>
              <w:rPr>
                <w:rFonts w:ascii="宋体" w:hAnsi="宋体"/>
                <w:sz w:val="24"/>
              </w:rPr>
            </w:pPr>
            <w:r>
              <w:rPr>
                <w:rFonts w:hint="eastAsia" w:ascii="宋体" w:hAnsi="宋体"/>
                <w:sz w:val="24"/>
              </w:rPr>
              <w:t>单位名称</w:t>
            </w:r>
          </w:p>
        </w:tc>
        <w:tc>
          <w:tcPr>
            <w:tcW w:w="5460" w:type="dxa"/>
            <w:vAlign w:val="center"/>
          </w:tcPr>
          <w:p>
            <w:pPr>
              <w:spacing w:line="360" w:lineRule="auto"/>
              <w:ind w:firstLine="480" w:firstLineChars="200"/>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99" w:type="dxa"/>
            <w:vMerge w:val="continue"/>
            <w:vAlign w:val="center"/>
          </w:tcPr>
          <w:p>
            <w:pPr>
              <w:spacing w:line="360" w:lineRule="auto"/>
              <w:ind w:firstLine="480" w:firstLineChars="200"/>
              <w:jc w:val="center"/>
              <w:rPr>
                <w:rFonts w:ascii="宋体" w:hAnsi="宋体"/>
                <w:sz w:val="24"/>
              </w:rPr>
            </w:pPr>
          </w:p>
        </w:tc>
        <w:tc>
          <w:tcPr>
            <w:tcW w:w="2629" w:type="dxa"/>
            <w:vAlign w:val="center"/>
          </w:tcPr>
          <w:p>
            <w:pPr>
              <w:spacing w:line="360" w:lineRule="auto"/>
              <w:ind w:left="420" w:leftChars="200" w:firstLine="480" w:firstLineChars="200"/>
              <w:jc w:val="center"/>
              <w:rPr>
                <w:rFonts w:ascii="宋体" w:hAnsi="宋体"/>
                <w:sz w:val="24"/>
              </w:rPr>
            </w:pPr>
            <w:r>
              <w:rPr>
                <w:rFonts w:hint="eastAsia" w:ascii="宋体" w:hAnsi="宋体"/>
                <w:sz w:val="24"/>
              </w:rPr>
              <w:t>纳税人识别号</w:t>
            </w:r>
          </w:p>
        </w:tc>
        <w:tc>
          <w:tcPr>
            <w:tcW w:w="5460" w:type="dxa"/>
            <w:vAlign w:val="center"/>
          </w:tcPr>
          <w:p>
            <w:pPr>
              <w:spacing w:line="360" w:lineRule="auto"/>
              <w:ind w:firstLine="480" w:firstLineChars="200"/>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99" w:type="dxa"/>
            <w:vMerge w:val="continue"/>
            <w:vAlign w:val="center"/>
          </w:tcPr>
          <w:p>
            <w:pPr>
              <w:spacing w:line="360" w:lineRule="auto"/>
              <w:ind w:firstLine="480" w:firstLineChars="200"/>
              <w:jc w:val="center"/>
              <w:rPr>
                <w:rFonts w:ascii="宋体" w:hAnsi="宋体"/>
                <w:sz w:val="24"/>
              </w:rPr>
            </w:pPr>
          </w:p>
        </w:tc>
        <w:tc>
          <w:tcPr>
            <w:tcW w:w="2629" w:type="dxa"/>
            <w:vAlign w:val="center"/>
          </w:tcPr>
          <w:p>
            <w:pPr>
              <w:spacing w:line="360" w:lineRule="auto"/>
              <w:ind w:left="420" w:leftChars="200" w:firstLine="480" w:firstLineChars="200"/>
              <w:jc w:val="center"/>
              <w:rPr>
                <w:rFonts w:ascii="宋体" w:hAnsi="宋体"/>
                <w:sz w:val="24"/>
              </w:rPr>
            </w:pPr>
            <w:r>
              <w:rPr>
                <w:rFonts w:hint="eastAsia" w:ascii="宋体" w:hAnsi="宋体"/>
                <w:sz w:val="24"/>
              </w:rPr>
              <w:t>地址、电话</w:t>
            </w:r>
          </w:p>
        </w:tc>
        <w:tc>
          <w:tcPr>
            <w:tcW w:w="5460" w:type="dxa"/>
            <w:vAlign w:val="center"/>
          </w:tcPr>
          <w:p>
            <w:pPr>
              <w:spacing w:line="360" w:lineRule="auto"/>
              <w:ind w:firstLine="480" w:firstLineChars="200"/>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99" w:type="dxa"/>
            <w:vMerge w:val="continue"/>
            <w:vAlign w:val="center"/>
          </w:tcPr>
          <w:p>
            <w:pPr>
              <w:spacing w:line="360" w:lineRule="auto"/>
              <w:ind w:firstLine="480" w:firstLineChars="200"/>
              <w:jc w:val="center"/>
              <w:rPr>
                <w:rFonts w:ascii="宋体" w:hAnsi="宋体"/>
                <w:sz w:val="24"/>
              </w:rPr>
            </w:pPr>
          </w:p>
        </w:tc>
        <w:tc>
          <w:tcPr>
            <w:tcW w:w="2629" w:type="dxa"/>
            <w:vAlign w:val="center"/>
          </w:tcPr>
          <w:p>
            <w:pPr>
              <w:spacing w:line="360" w:lineRule="auto"/>
              <w:ind w:left="420" w:leftChars="200" w:firstLine="480" w:firstLineChars="200"/>
              <w:jc w:val="center"/>
              <w:rPr>
                <w:rFonts w:ascii="宋体" w:hAnsi="宋体"/>
                <w:sz w:val="24"/>
              </w:rPr>
            </w:pPr>
            <w:r>
              <w:rPr>
                <w:rFonts w:hint="eastAsia" w:ascii="宋体" w:hAnsi="宋体"/>
                <w:sz w:val="24"/>
              </w:rPr>
              <w:t>开户行</w:t>
            </w:r>
          </w:p>
        </w:tc>
        <w:tc>
          <w:tcPr>
            <w:tcW w:w="5460" w:type="dxa"/>
            <w:vAlign w:val="center"/>
          </w:tcPr>
          <w:p>
            <w:pPr>
              <w:spacing w:line="360" w:lineRule="auto"/>
              <w:ind w:firstLine="480" w:firstLineChars="200"/>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99" w:type="dxa"/>
            <w:vMerge w:val="continue"/>
            <w:vAlign w:val="center"/>
          </w:tcPr>
          <w:p>
            <w:pPr>
              <w:spacing w:line="360" w:lineRule="auto"/>
              <w:ind w:firstLine="480" w:firstLineChars="200"/>
              <w:jc w:val="center"/>
              <w:rPr>
                <w:rFonts w:ascii="宋体" w:hAnsi="宋体"/>
                <w:sz w:val="24"/>
              </w:rPr>
            </w:pPr>
          </w:p>
        </w:tc>
        <w:tc>
          <w:tcPr>
            <w:tcW w:w="2629" w:type="dxa"/>
            <w:vAlign w:val="center"/>
          </w:tcPr>
          <w:p>
            <w:pPr>
              <w:spacing w:line="360" w:lineRule="auto"/>
              <w:ind w:left="420" w:leftChars="200" w:firstLine="480" w:firstLineChars="200"/>
              <w:jc w:val="center"/>
              <w:rPr>
                <w:rFonts w:ascii="宋体" w:hAnsi="宋体"/>
                <w:sz w:val="24"/>
              </w:rPr>
            </w:pPr>
            <w:r>
              <w:rPr>
                <w:rFonts w:hint="eastAsia" w:ascii="宋体" w:hAnsi="宋体"/>
                <w:sz w:val="24"/>
              </w:rPr>
              <w:t>账号</w:t>
            </w:r>
          </w:p>
        </w:tc>
        <w:tc>
          <w:tcPr>
            <w:tcW w:w="5460" w:type="dxa"/>
            <w:vAlign w:val="center"/>
          </w:tcPr>
          <w:p>
            <w:pPr>
              <w:spacing w:line="360" w:lineRule="auto"/>
              <w:ind w:firstLine="480" w:firstLineChars="200"/>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99" w:type="dxa"/>
            <w:vMerge w:val="restart"/>
            <w:vAlign w:val="center"/>
          </w:tcPr>
          <w:p>
            <w:pPr>
              <w:spacing w:line="360" w:lineRule="auto"/>
              <w:ind w:firstLine="480" w:firstLineChars="200"/>
              <w:jc w:val="center"/>
              <w:rPr>
                <w:rFonts w:ascii="宋体" w:hAnsi="宋体"/>
                <w:sz w:val="24"/>
              </w:rPr>
            </w:pPr>
            <w:r>
              <w:rPr>
                <w:rFonts w:hint="eastAsia" w:ascii="宋体" w:hAnsi="宋体"/>
                <w:sz w:val="24"/>
              </w:rPr>
              <w:t>乙方收款信息</w:t>
            </w:r>
          </w:p>
        </w:tc>
        <w:tc>
          <w:tcPr>
            <w:tcW w:w="2629" w:type="dxa"/>
            <w:vAlign w:val="center"/>
          </w:tcPr>
          <w:p>
            <w:pPr>
              <w:spacing w:line="360" w:lineRule="auto"/>
              <w:ind w:left="420" w:leftChars="200" w:firstLine="480" w:firstLineChars="200"/>
              <w:jc w:val="center"/>
              <w:rPr>
                <w:rFonts w:ascii="宋体" w:hAnsi="宋体"/>
                <w:sz w:val="24"/>
              </w:rPr>
            </w:pPr>
            <w:r>
              <w:rPr>
                <w:rFonts w:hint="eastAsia" w:ascii="宋体" w:hAnsi="宋体"/>
                <w:sz w:val="24"/>
              </w:rPr>
              <w:t>单位名称</w:t>
            </w:r>
          </w:p>
        </w:tc>
        <w:tc>
          <w:tcPr>
            <w:tcW w:w="5460" w:type="dxa"/>
            <w:vAlign w:val="center"/>
          </w:tcPr>
          <w:p>
            <w:pPr>
              <w:spacing w:line="360" w:lineRule="auto"/>
              <w:ind w:firstLine="480" w:firstLineChars="200"/>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99" w:type="dxa"/>
            <w:vMerge w:val="continue"/>
            <w:vAlign w:val="center"/>
          </w:tcPr>
          <w:p>
            <w:pPr>
              <w:spacing w:line="360" w:lineRule="auto"/>
              <w:ind w:firstLine="480" w:firstLineChars="200"/>
              <w:jc w:val="center"/>
              <w:rPr>
                <w:rFonts w:ascii="宋体" w:hAnsi="宋体"/>
                <w:sz w:val="24"/>
              </w:rPr>
            </w:pPr>
          </w:p>
        </w:tc>
        <w:tc>
          <w:tcPr>
            <w:tcW w:w="2629" w:type="dxa"/>
            <w:vAlign w:val="center"/>
          </w:tcPr>
          <w:p>
            <w:pPr>
              <w:spacing w:line="360" w:lineRule="auto"/>
              <w:ind w:left="420" w:leftChars="200" w:firstLine="480" w:firstLineChars="200"/>
              <w:jc w:val="center"/>
              <w:rPr>
                <w:rFonts w:ascii="宋体" w:hAnsi="宋体"/>
                <w:sz w:val="24"/>
              </w:rPr>
            </w:pPr>
            <w:r>
              <w:rPr>
                <w:rFonts w:hint="eastAsia" w:ascii="宋体" w:hAnsi="宋体"/>
                <w:sz w:val="24"/>
              </w:rPr>
              <w:t>乙方收款信息</w:t>
            </w:r>
          </w:p>
        </w:tc>
        <w:tc>
          <w:tcPr>
            <w:tcW w:w="5460" w:type="dxa"/>
            <w:vAlign w:val="center"/>
          </w:tcPr>
          <w:p>
            <w:pPr>
              <w:spacing w:line="360" w:lineRule="auto"/>
              <w:ind w:firstLine="480" w:firstLineChars="200"/>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99" w:type="dxa"/>
            <w:vMerge w:val="continue"/>
            <w:vAlign w:val="center"/>
          </w:tcPr>
          <w:p>
            <w:pPr>
              <w:spacing w:line="360" w:lineRule="auto"/>
              <w:ind w:firstLine="480" w:firstLineChars="200"/>
              <w:jc w:val="center"/>
              <w:rPr>
                <w:rFonts w:ascii="宋体" w:hAnsi="宋体"/>
                <w:sz w:val="24"/>
              </w:rPr>
            </w:pPr>
          </w:p>
        </w:tc>
        <w:tc>
          <w:tcPr>
            <w:tcW w:w="2629" w:type="dxa"/>
            <w:vAlign w:val="center"/>
          </w:tcPr>
          <w:p>
            <w:pPr>
              <w:spacing w:line="360" w:lineRule="auto"/>
              <w:ind w:left="420" w:leftChars="200" w:firstLine="480" w:firstLineChars="200"/>
              <w:jc w:val="center"/>
              <w:rPr>
                <w:rFonts w:ascii="宋体" w:hAnsi="宋体"/>
                <w:sz w:val="24"/>
              </w:rPr>
            </w:pPr>
            <w:r>
              <w:rPr>
                <w:rFonts w:hint="eastAsia" w:ascii="宋体" w:hAnsi="宋体"/>
                <w:sz w:val="24"/>
              </w:rPr>
              <w:t>纳税人识别号</w:t>
            </w:r>
          </w:p>
        </w:tc>
        <w:tc>
          <w:tcPr>
            <w:tcW w:w="5460" w:type="dxa"/>
            <w:vAlign w:val="center"/>
          </w:tcPr>
          <w:p>
            <w:pPr>
              <w:spacing w:line="360" w:lineRule="auto"/>
              <w:ind w:firstLine="480" w:firstLineChars="200"/>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99" w:type="dxa"/>
            <w:vMerge w:val="continue"/>
            <w:vAlign w:val="center"/>
          </w:tcPr>
          <w:p>
            <w:pPr>
              <w:spacing w:line="360" w:lineRule="auto"/>
              <w:ind w:firstLine="480" w:firstLineChars="200"/>
              <w:jc w:val="center"/>
              <w:rPr>
                <w:rFonts w:ascii="宋体" w:hAnsi="宋体"/>
                <w:sz w:val="24"/>
              </w:rPr>
            </w:pPr>
          </w:p>
        </w:tc>
        <w:tc>
          <w:tcPr>
            <w:tcW w:w="2629" w:type="dxa"/>
            <w:vAlign w:val="center"/>
          </w:tcPr>
          <w:p>
            <w:pPr>
              <w:spacing w:line="360" w:lineRule="auto"/>
              <w:ind w:left="420" w:leftChars="200" w:firstLine="480" w:firstLineChars="200"/>
              <w:jc w:val="center"/>
              <w:rPr>
                <w:rFonts w:ascii="宋体" w:hAnsi="宋体"/>
                <w:sz w:val="24"/>
              </w:rPr>
            </w:pPr>
            <w:r>
              <w:rPr>
                <w:rFonts w:hint="eastAsia" w:ascii="宋体" w:hAnsi="宋体"/>
                <w:sz w:val="24"/>
              </w:rPr>
              <w:t>地址、电话</w:t>
            </w:r>
          </w:p>
        </w:tc>
        <w:tc>
          <w:tcPr>
            <w:tcW w:w="5460" w:type="dxa"/>
            <w:vAlign w:val="center"/>
          </w:tcPr>
          <w:p>
            <w:pPr>
              <w:spacing w:line="360" w:lineRule="auto"/>
              <w:ind w:firstLine="480" w:firstLineChars="200"/>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99" w:type="dxa"/>
            <w:vMerge w:val="continue"/>
            <w:vAlign w:val="center"/>
          </w:tcPr>
          <w:p>
            <w:pPr>
              <w:spacing w:line="360" w:lineRule="auto"/>
              <w:ind w:firstLine="480" w:firstLineChars="200"/>
              <w:jc w:val="center"/>
              <w:rPr>
                <w:rFonts w:ascii="宋体" w:hAnsi="宋体"/>
                <w:sz w:val="24"/>
              </w:rPr>
            </w:pPr>
          </w:p>
        </w:tc>
        <w:tc>
          <w:tcPr>
            <w:tcW w:w="2629" w:type="dxa"/>
            <w:vAlign w:val="center"/>
          </w:tcPr>
          <w:p>
            <w:pPr>
              <w:spacing w:line="360" w:lineRule="auto"/>
              <w:ind w:left="420" w:leftChars="200" w:firstLine="480" w:firstLineChars="200"/>
              <w:jc w:val="center"/>
              <w:rPr>
                <w:rFonts w:ascii="宋体" w:hAnsi="宋体"/>
                <w:sz w:val="24"/>
              </w:rPr>
            </w:pPr>
            <w:r>
              <w:rPr>
                <w:rFonts w:hint="eastAsia" w:ascii="宋体" w:hAnsi="宋体"/>
                <w:sz w:val="24"/>
              </w:rPr>
              <w:t>开户行</w:t>
            </w:r>
          </w:p>
        </w:tc>
        <w:tc>
          <w:tcPr>
            <w:tcW w:w="5460" w:type="dxa"/>
            <w:vAlign w:val="center"/>
          </w:tcPr>
          <w:p>
            <w:pPr>
              <w:spacing w:line="360" w:lineRule="auto"/>
              <w:ind w:firstLine="480" w:firstLineChars="200"/>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99" w:type="dxa"/>
            <w:vMerge w:val="continue"/>
            <w:vAlign w:val="center"/>
          </w:tcPr>
          <w:p>
            <w:pPr>
              <w:spacing w:line="360" w:lineRule="auto"/>
              <w:ind w:firstLine="480" w:firstLineChars="200"/>
              <w:jc w:val="center"/>
              <w:rPr>
                <w:rFonts w:ascii="宋体" w:hAnsi="宋体"/>
                <w:sz w:val="24"/>
              </w:rPr>
            </w:pPr>
          </w:p>
        </w:tc>
        <w:tc>
          <w:tcPr>
            <w:tcW w:w="2629" w:type="dxa"/>
            <w:vAlign w:val="center"/>
          </w:tcPr>
          <w:p>
            <w:pPr>
              <w:spacing w:line="360" w:lineRule="auto"/>
              <w:ind w:left="420" w:leftChars="200" w:firstLine="480" w:firstLineChars="200"/>
              <w:jc w:val="center"/>
              <w:rPr>
                <w:rFonts w:ascii="宋体" w:hAnsi="宋体"/>
                <w:sz w:val="24"/>
              </w:rPr>
            </w:pPr>
            <w:r>
              <w:rPr>
                <w:rFonts w:hint="eastAsia" w:ascii="宋体" w:hAnsi="宋体"/>
                <w:sz w:val="24"/>
              </w:rPr>
              <w:t>账号</w:t>
            </w:r>
          </w:p>
        </w:tc>
        <w:tc>
          <w:tcPr>
            <w:tcW w:w="5460" w:type="dxa"/>
            <w:vAlign w:val="center"/>
          </w:tcPr>
          <w:p>
            <w:pPr>
              <w:spacing w:line="360" w:lineRule="auto"/>
              <w:ind w:firstLine="480" w:firstLineChars="200"/>
              <w:jc w:val="center"/>
              <w:rPr>
                <w:rFonts w:ascii="宋体" w:hAnsi="宋体"/>
                <w:sz w:val="24"/>
              </w:rPr>
            </w:pPr>
          </w:p>
        </w:tc>
      </w:tr>
    </w:tbl>
    <w:p>
      <w:pPr>
        <w:spacing w:line="360" w:lineRule="auto"/>
        <w:ind w:left="360" w:firstLine="480" w:firstLineChars="200"/>
        <w:rPr>
          <w:rFonts w:ascii="宋体" w:hAnsi="宋体" w:cs="宋体"/>
          <w:sz w:val="24"/>
        </w:rPr>
      </w:pPr>
    </w:p>
    <w:p>
      <w:pPr>
        <w:spacing w:line="360" w:lineRule="auto"/>
        <w:ind w:firstLine="482" w:firstLineChars="200"/>
        <w:rPr>
          <w:rFonts w:ascii="宋体" w:hAnsi="宋体" w:cs="宋体"/>
          <w:bCs/>
          <w:sz w:val="24"/>
        </w:rPr>
      </w:pPr>
      <w:r>
        <w:rPr>
          <w:rFonts w:hint="eastAsia" w:ascii="宋体" w:hAnsi="宋体" w:cs="宋体"/>
          <w:b/>
          <w:sz w:val="24"/>
        </w:rPr>
        <w:t>六、售后服务</w:t>
      </w:r>
      <w:r>
        <w:rPr>
          <w:rFonts w:hint="eastAsia" w:ascii="宋体" w:hAnsi="宋体" w:cs="宋体"/>
          <w:b/>
          <w:bCs/>
          <w:sz w:val="24"/>
        </w:rPr>
        <w:t xml:space="preserve"> （</w:t>
      </w:r>
      <w:r>
        <w:rPr>
          <w:rFonts w:hint="eastAsia" w:ascii="宋体" w:hAnsi="宋体" w:cs="宋体"/>
          <w:bCs/>
          <w:sz w:val="24"/>
        </w:rPr>
        <w:t>根据具体项目的响应文件填写</w:t>
      </w:r>
      <w:r>
        <w:rPr>
          <w:rFonts w:hint="eastAsia" w:ascii="宋体" w:hAnsi="宋体" w:cs="宋体"/>
          <w:b/>
          <w:bCs/>
          <w:sz w:val="24"/>
        </w:rPr>
        <w:t>）</w:t>
      </w:r>
    </w:p>
    <w:p>
      <w:pPr>
        <w:spacing w:line="360" w:lineRule="auto"/>
        <w:ind w:firstLine="480" w:firstLineChars="200"/>
        <w:rPr>
          <w:rFonts w:ascii="宋体" w:hAnsi="宋体" w:cs="宋体"/>
          <w:bCs/>
          <w:sz w:val="24"/>
        </w:rPr>
      </w:pPr>
      <w:r>
        <w:rPr>
          <w:rFonts w:hint="eastAsia" w:ascii="宋体" w:hAnsi="宋体" w:cs="宋体"/>
          <w:bCs/>
          <w:sz w:val="24"/>
        </w:rPr>
        <w:t>1.</w:t>
      </w:r>
      <w:r>
        <w:rPr>
          <w:rFonts w:hint="eastAsia" w:ascii="宋体" w:hAnsi="宋体" w:cs="宋体"/>
          <w:sz w:val="24"/>
        </w:rPr>
        <w:t>国产</w:t>
      </w:r>
      <w:r>
        <w:rPr>
          <w:rFonts w:ascii="宋体" w:hAnsi="宋体" w:cs="宋体"/>
          <w:sz w:val="24"/>
        </w:rPr>
        <w:t>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w:t>
      </w:r>
      <w:r>
        <w:rPr>
          <w:rFonts w:hint="eastAsia" w:ascii="宋体" w:hAnsi="宋体" w:cs="宋体"/>
          <w:bCs/>
          <w:sz w:val="24"/>
        </w:rPr>
        <w:t>验收合格之日起质保期    年，并提供售后服务    年。</w:t>
      </w:r>
    </w:p>
    <w:p>
      <w:pPr>
        <w:spacing w:line="360" w:lineRule="auto"/>
        <w:ind w:firstLine="480" w:firstLineChars="200"/>
        <w:rPr>
          <w:rFonts w:ascii="宋体" w:hAnsi="宋体" w:cs="宋体"/>
          <w:bCs/>
          <w:sz w:val="24"/>
        </w:rPr>
      </w:pPr>
      <w:r>
        <w:rPr>
          <w:rFonts w:hint="eastAsia" w:ascii="宋体" w:hAnsi="宋体" w:cs="宋体"/>
          <w:bCs/>
          <w:sz w:val="24"/>
        </w:rPr>
        <w:t>2.质保期、保修期内因</w:t>
      </w:r>
      <w:r>
        <w:rPr>
          <w:rFonts w:hint="eastAsia" w:ascii="宋体" w:hAnsi="宋体" w:cs="宋体"/>
          <w:sz w:val="24"/>
        </w:rPr>
        <w:t>国产</w:t>
      </w:r>
      <w:r>
        <w:rPr>
          <w:rFonts w:ascii="宋体" w:hAnsi="宋体" w:cs="宋体"/>
          <w:sz w:val="24"/>
        </w:rPr>
        <w:t>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w:t>
      </w:r>
      <w:r>
        <w:rPr>
          <w:rFonts w:hint="eastAsia" w:ascii="宋体" w:hAnsi="宋体" w:cs="宋体"/>
          <w:bCs/>
          <w:sz w:val="24"/>
        </w:rPr>
        <w:t>质量或安装调试原因引起的全部维修费用（包括更换零配件的费用）均由乙方承担。</w:t>
      </w:r>
    </w:p>
    <w:p>
      <w:pPr>
        <w:spacing w:line="360" w:lineRule="auto"/>
        <w:ind w:firstLine="480" w:firstLineChars="200"/>
        <w:rPr>
          <w:rFonts w:ascii="宋体" w:hAnsi="宋体" w:cs="宋体"/>
          <w:bCs/>
          <w:sz w:val="24"/>
        </w:rPr>
      </w:pPr>
      <w:r>
        <w:rPr>
          <w:rFonts w:hint="eastAsia" w:ascii="宋体" w:hAnsi="宋体" w:cs="宋体"/>
          <w:bCs/>
          <w:sz w:val="24"/>
        </w:rPr>
        <w:t>3.质保期、保修期外，乙方应定期回访，发现问题及时通知甲方，</w:t>
      </w:r>
      <w:r>
        <w:rPr>
          <w:rFonts w:hint="eastAsia" w:ascii="宋体" w:hAnsi="宋体" w:cs="宋体"/>
          <w:sz w:val="24"/>
        </w:rPr>
        <w:t>国产</w:t>
      </w:r>
      <w:r>
        <w:rPr>
          <w:rFonts w:ascii="宋体" w:hAnsi="宋体" w:cs="宋体"/>
          <w:sz w:val="24"/>
        </w:rPr>
        <w:t>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w:t>
      </w:r>
      <w:r>
        <w:rPr>
          <w:rFonts w:hint="eastAsia" w:ascii="宋体" w:hAnsi="宋体" w:cs="宋体"/>
          <w:bCs/>
          <w:sz w:val="24"/>
        </w:rPr>
        <w:t>维修零配件以优惠价给甲方（免收人工及差旅费）。</w:t>
      </w:r>
    </w:p>
    <w:p>
      <w:pPr>
        <w:spacing w:line="360" w:lineRule="auto"/>
        <w:ind w:firstLine="480" w:firstLineChars="200"/>
        <w:rPr>
          <w:rFonts w:ascii="宋体" w:hAnsi="宋体" w:cs="宋体"/>
          <w:bCs/>
          <w:sz w:val="24"/>
        </w:rPr>
      </w:pPr>
      <w:r>
        <w:rPr>
          <w:rFonts w:hint="eastAsia" w:ascii="宋体" w:hAnsi="宋体" w:cs="宋体"/>
          <w:bCs/>
          <w:sz w:val="24"/>
        </w:rPr>
        <w:t>4.维修时，乙方接到甲方故障通知后在24小时之内上门服务，小型故障在3天内解决，大故障在15天内解决，若乙方怠于履行维修义务，则甲方有权委托第三人维修，所产生的所有费用由乙方承担。</w:t>
      </w:r>
    </w:p>
    <w:p>
      <w:pPr>
        <w:spacing w:line="360" w:lineRule="auto"/>
        <w:ind w:firstLine="482" w:firstLineChars="200"/>
        <w:rPr>
          <w:rFonts w:ascii="宋体" w:hAnsi="宋体" w:cs="宋体"/>
          <w:b/>
          <w:sz w:val="24"/>
        </w:rPr>
      </w:pPr>
      <w:r>
        <w:rPr>
          <w:rFonts w:hint="eastAsia" w:ascii="宋体" w:hAnsi="宋体" w:cs="宋体"/>
          <w:b/>
          <w:sz w:val="24"/>
        </w:rPr>
        <w:t>七、安装调试和搬运安全</w:t>
      </w:r>
    </w:p>
    <w:p>
      <w:pPr>
        <w:spacing w:line="360" w:lineRule="auto"/>
        <w:ind w:firstLine="480" w:firstLineChars="200"/>
        <w:rPr>
          <w:rFonts w:ascii="宋体" w:hAnsi="宋体" w:cs="宋体"/>
          <w:sz w:val="24"/>
        </w:rPr>
      </w:pPr>
      <w:r>
        <w:rPr>
          <w:rFonts w:hint="eastAsia" w:ascii="宋体" w:hAnsi="宋体" w:cs="宋体"/>
          <w:sz w:val="24"/>
        </w:rPr>
        <w:t>1.乙方须严格按照相关安全规范负责合同中全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）安装调试、搬运和</w:t>
      </w:r>
      <w:r>
        <w:rPr>
          <w:rFonts w:ascii="宋体" w:hAnsi="宋体" w:cs="宋体"/>
          <w:sz w:val="24"/>
        </w:rPr>
        <w:t>施工现场管理</w:t>
      </w:r>
      <w:r>
        <w:rPr>
          <w:rFonts w:hint="eastAsia" w:ascii="宋体" w:hAnsi="宋体" w:cs="宋体"/>
          <w:sz w:val="24"/>
        </w:rPr>
        <w:t>工作，并严守安装调试、搬运和</w:t>
      </w:r>
      <w:r>
        <w:rPr>
          <w:rFonts w:ascii="宋体" w:hAnsi="宋体" w:cs="宋体"/>
          <w:sz w:val="24"/>
        </w:rPr>
        <w:t>施工现场</w:t>
      </w:r>
      <w:r>
        <w:rPr>
          <w:rFonts w:hint="eastAsia" w:ascii="宋体" w:hAnsi="宋体" w:cs="宋体"/>
          <w:sz w:val="24"/>
        </w:rPr>
        <w:t>各项安全规定。</w:t>
      </w:r>
    </w:p>
    <w:p>
      <w:pPr>
        <w:spacing w:line="360" w:lineRule="auto"/>
        <w:ind w:firstLine="480" w:firstLineChars="200"/>
        <w:rPr>
          <w:rFonts w:ascii="宋体" w:hAnsi="宋体" w:cs="宋体"/>
          <w:sz w:val="24"/>
        </w:rPr>
      </w:pPr>
      <w:r>
        <w:rPr>
          <w:rFonts w:hint="eastAsia" w:ascii="宋体" w:hAnsi="宋体" w:cs="宋体"/>
          <w:sz w:val="24"/>
        </w:rPr>
        <w:t>2.乙方须安排具备相应资质的人员负责合同中全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）安装调试、搬运和</w:t>
      </w:r>
      <w:r>
        <w:rPr>
          <w:rFonts w:ascii="宋体" w:hAnsi="宋体" w:cs="宋体"/>
          <w:sz w:val="24"/>
        </w:rPr>
        <w:t>施工现场</w:t>
      </w:r>
      <w:r>
        <w:rPr>
          <w:rFonts w:hint="eastAsia" w:ascii="宋体" w:hAnsi="宋体" w:cs="宋体"/>
          <w:sz w:val="24"/>
        </w:rPr>
        <w:t>管安</w:t>
      </w:r>
      <w:r>
        <w:rPr>
          <w:rFonts w:ascii="宋体" w:hAnsi="宋体" w:cs="宋体"/>
          <w:sz w:val="24"/>
        </w:rPr>
        <w:t>全管理</w:t>
      </w:r>
      <w:r>
        <w:rPr>
          <w:rFonts w:hint="eastAsia" w:ascii="宋体" w:hAnsi="宋体" w:cs="宋体"/>
          <w:sz w:val="24"/>
        </w:rPr>
        <w:t>工作，负责监督安装调试和搬运人员按照安全规范进行安装调试、搬运和</w:t>
      </w:r>
      <w:r>
        <w:rPr>
          <w:rFonts w:ascii="宋体" w:hAnsi="宋体" w:cs="宋体"/>
          <w:sz w:val="24"/>
        </w:rPr>
        <w:t>施工现场管理</w:t>
      </w:r>
      <w:r>
        <w:rPr>
          <w:rFonts w:hint="eastAsia" w:ascii="宋体" w:hAnsi="宋体" w:cs="宋体"/>
          <w:sz w:val="24"/>
        </w:rPr>
        <w:t>，保证安装调试、搬运和</w:t>
      </w:r>
      <w:r>
        <w:rPr>
          <w:rFonts w:ascii="宋体" w:hAnsi="宋体" w:cs="宋体"/>
          <w:sz w:val="24"/>
        </w:rPr>
        <w:t>施工现场</w:t>
      </w:r>
      <w:r>
        <w:rPr>
          <w:rFonts w:hint="eastAsia" w:ascii="宋体" w:hAnsi="宋体" w:cs="宋体"/>
          <w:sz w:val="24"/>
        </w:rPr>
        <w:t>安全。若发生人员伤亡事故，乙方必须承担所有法律和经济责任，甲方概不负责；若发生房屋损坏、设备损坏丢失、线路及设备毁损等财</w:t>
      </w:r>
      <w:r>
        <w:rPr>
          <w:rFonts w:ascii="宋体" w:hAnsi="宋体" w:cs="宋体"/>
          <w:sz w:val="24"/>
        </w:rPr>
        <w:t>产</w:t>
      </w:r>
      <w:r>
        <w:rPr>
          <w:rFonts w:hint="eastAsia" w:ascii="宋体" w:hAnsi="宋体" w:cs="宋体"/>
          <w:sz w:val="24"/>
        </w:rPr>
        <w:t>损失安全事故，乙方必须承担经济赔偿。</w:t>
      </w:r>
    </w:p>
    <w:p>
      <w:pPr>
        <w:spacing w:line="360" w:lineRule="auto"/>
        <w:ind w:firstLine="482" w:firstLineChars="200"/>
        <w:rPr>
          <w:rFonts w:ascii="宋体" w:hAnsi="宋体" w:cs="宋体"/>
          <w:sz w:val="24"/>
        </w:rPr>
      </w:pPr>
      <w:r>
        <w:rPr>
          <w:rFonts w:hint="eastAsia" w:ascii="宋体" w:hAnsi="宋体" w:cs="宋体"/>
          <w:b/>
          <w:bCs/>
          <w:sz w:val="24"/>
        </w:rPr>
        <w:t>八、违约责任</w:t>
      </w:r>
    </w:p>
    <w:p>
      <w:pPr>
        <w:spacing w:line="360" w:lineRule="auto"/>
        <w:ind w:firstLine="480" w:firstLineChars="200"/>
        <w:rPr>
          <w:rFonts w:ascii="宋体" w:hAnsi="宋体" w:cs="宋体"/>
          <w:sz w:val="24"/>
        </w:rPr>
      </w:pPr>
      <w:r>
        <w:rPr>
          <w:rFonts w:hint="eastAsia" w:ascii="宋体" w:hAnsi="宋体" w:cs="宋体"/>
          <w:sz w:val="24"/>
        </w:rPr>
        <w:t>1.若乙方未能按合同所规定的交货时间前完成本合同全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）安装调试并达到验收标准，每延迟一天，按合同总额的千分之一向甲方交纳违约金，,逾期交付超过    日或单方停止供货达    日的，甲方有权解除合同，甲方解除合同的，乙方应当按合同总价款的百分之十向甲方支付违约金。违约金不足以弥补甲方损失的，还应赔偿甲方损失。</w:t>
      </w:r>
    </w:p>
    <w:p>
      <w:pPr>
        <w:spacing w:line="360" w:lineRule="auto"/>
        <w:ind w:firstLine="480" w:firstLineChars="200"/>
        <w:rPr>
          <w:rFonts w:ascii="宋体" w:hAnsi="宋体" w:cs="宋体"/>
          <w:sz w:val="24"/>
        </w:rPr>
      </w:pPr>
      <w:r>
        <w:rPr>
          <w:rFonts w:hint="eastAsia" w:ascii="宋体" w:hAnsi="宋体" w:cs="宋体"/>
          <w:sz w:val="24"/>
        </w:rPr>
        <w:t>2．若乙方未能在20  年  月  日前完成本合同全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）安装调试并达到验收标准，甲方可终止本合同，并由乙方承担由此给甲方造成的一切损失。</w:t>
      </w:r>
    </w:p>
    <w:p>
      <w:pPr>
        <w:spacing w:line="360" w:lineRule="auto"/>
        <w:ind w:firstLine="480" w:firstLineChars="200"/>
        <w:rPr>
          <w:rFonts w:ascii="宋体" w:hAnsi="宋体" w:cs="宋体"/>
          <w:sz w:val="24"/>
        </w:rPr>
      </w:pPr>
      <w:r>
        <w:rPr>
          <w:rFonts w:hint="eastAsia" w:ascii="宋体" w:hAnsi="宋体" w:cs="宋体"/>
          <w:sz w:val="24"/>
        </w:rPr>
        <w:t>3.若甲方未按本合同规定的付款方式规定逾期付款（甲方付款时间以甲方向银行提供付款凭证时间为准），每延迟一天，按合同总额的千分之一向乙方交纳违约金，违约金缴纳总额不超过合同总金额的百分之十。</w:t>
      </w:r>
    </w:p>
    <w:p>
      <w:pPr>
        <w:spacing w:line="360" w:lineRule="auto"/>
        <w:ind w:firstLine="480" w:firstLineChars="200"/>
        <w:rPr>
          <w:rFonts w:ascii="宋体" w:hAnsi="宋体" w:cs="宋体"/>
          <w:bCs/>
          <w:sz w:val="24"/>
        </w:rPr>
      </w:pPr>
      <w:r>
        <w:rPr>
          <w:rFonts w:hint="eastAsia" w:ascii="宋体" w:hAnsi="宋体" w:cs="宋体"/>
          <w:sz w:val="24"/>
        </w:rPr>
        <w:t>4．乙方交付甲方的全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）及施工过</w:t>
      </w:r>
      <w:r>
        <w:rPr>
          <w:rFonts w:ascii="宋体" w:hAnsi="宋体" w:cs="宋体"/>
          <w:sz w:val="24"/>
        </w:rPr>
        <w:t>程</w:t>
      </w:r>
      <w:r>
        <w:rPr>
          <w:rFonts w:hint="eastAsia" w:ascii="宋体" w:hAnsi="宋体" w:cs="宋体"/>
          <w:sz w:val="24"/>
        </w:rPr>
        <w:t>中使用的材料必须有合法的进货渠道，且符合合同和投标书中的质量约定，否则由乙方承担一切责任。</w:t>
      </w:r>
    </w:p>
    <w:p>
      <w:pPr>
        <w:spacing w:line="360" w:lineRule="auto"/>
        <w:ind w:firstLine="480" w:firstLineChars="200"/>
        <w:rPr>
          <w:rFonts w:ascii="宋体" w:hAnsi="宋体"/>
          <w:bCs/>
          <w:sz w:val="24"/>
        </w:rPr>
      </w:pPr>
      <w:r>
        <w:rPr>
          <w:rFonts w:hint="eastAsia" w:ascii="宋体" w:hAnsi="宋体" w:cs="宋体"/>
          <w:bCs/>
          <w:sz w:val="24"/>
        </w:rPr>
        <w:t>5.</w:t>
      </w:r>
      <w:r>
        <w:rPr>
          <w:rFonts w:hint="eastAsia" w:ascii="宋体" w:hAnsi="宋体"/>
          <w:bCs/>
          <w:sz w:val="24"/>
        </w:rPr>
        <w:t>乙方保证本协议项下产品的权利无瑕疵，包括产品所有权及知识产权等权利无瑕疵。如任何第三方经法院（或仲裁机构）裁决有权对上述货物主张权利或国家机关依法对货物进行没收查处的，乙方除应在接到甲方全额返还已收货款通知五日内返还甲方全额返还已收货款外，还应按合同总价的5%向甲方支付违约金。违约金不足以弥补甲方损失的，还应赔偿甲方损失。</w:t>
      </w:r>
    </w:p>
    <w:p>
      <w:pPr>
        <w:spacing w:line="360" w:lineRule="auto"/>
        <w:ind w:firstLine="480" w:firstLineChars="200"/>
        <w:rPr>
          <w:rFonts w:ascii="宋体" w:hAnsi="宋体" w:cs="宋体"/>
          <w:bCs/>
          <w:sz w:val="24"/>
        </w:rPr>
      </w:pPr>
      <w:r>
        <w:rPr>
          <w:rFonts w:hint="eastAsia" w:ascii="宋体" w:hAnsi="宋体"/>
          <w:bCs/>
          <w:sz w:val="24"/>
        </w:rPr>
        <w:t>6.本协议中的损失包括但不限于经济利益减损、为证明损失所支出的各项调查取证、公证费用，寻求救济支付的诉讼费用、律师费用、公证费用等。</w:t>
      </w:r>
    </w:p>
    <w:p>
      <w:pPr>
        <w:spacing w:line="360" w:lineRule="auto"/>
        <w:ind w:firstLine="482" w:firstLineChars="200"/>
        <w:rPr>
          <w:rFonts w:ascii="宋体" w:hAnsi="宋体"/>
          <w:b/>
          <w:bCs/>
          <w:sz w:val="24"/>
        </w:rPr>
      </w:pPr>
      <w:r>
        <w:rPr>
          <w:rFonts w:hint="eastAsia" w:ascii="宋体" w:hAnsi="宋体"/>
          <w:b/>
          <w:bCs/>
          <w:sz w:val="24"/>
        </w:rPr>
        <w:t>九、合同的解除</w:t>
      </w:r>
    </w:p>
    <w:p>
      <w:pPr>
        <w:spacing w:line="360" w:lineRule="auto"/>
        <w:ind w:firstLine="480" w:firstLineChars="200"/>
        <w:rPr>
          <w:rFonts w:ascii="宋体" w:hAnsi="宋体"/>
          <w:bCs/>
          <w:sz w:val="24"/>
        </w:rPr>
      </w:pPr>
      <w:r>
        <w:rPr>
          <w:rFonts w:ascii="宋体" w:hAnsi="宋体"/>
          <w:bCs/>
          <w:sz w:val="24"/>
        </w:rPr>
        <w:t>1</w:t>
      </w:r>
      <w:r>
        <w:rPr>
          <w:rFonts w:hint="eastAsia" w:ascii="宋体" w:hAnsi="宋体"/>
          <w:bCs/>
          <w:sz w:val="24"/>
        </w:rPr>
        <w:t>.</w:t>
      </w:r>
      <w:r>
        <w:rPr>
          <w:rFonts w:ascii="宋体" w:hAnsi="宋体"/>
          <w:bCs/>
          <w:sz w:val="24"/>
        </w:rPr>
        <w:t>经甲乙双方协商一致，可以解除本合同。</w:t>
      </w:r>
    </w:p>
    <w:p>
      <w:pPr>
        <w:spacing w:line="360" w:lineRule="auto"/>
        <w:ind w:firstLine="480" w:firstLineChars="200"/>
        <w:rPr>
          <w:rFonts w:ascii="宋体" w:hAnsi="宋体"/>
          <w:bCs/>
          <w:sz w:val="24"/>
        </w:rPr>
      </w:pPr>
      <w:r>
        <w:rPr>
          <w:rFonts w:ascii="宋体" w:hAnsi="宋体"/>
          <w:bCs/>
          <w:sz w:val="24"/>
        </w:rPr>
        <w:t>2</w:t>
      </w:r>
      <w:r>
        <w:rPr>
          <w:rFonts w:hint="eastAsia" w:ascii="宋体" w:hAnsi="宋体"/>
          <w:bCs/>
          <w:sz w:val="24"/>
        </w:rPr>
        <w:t>.</w:t>
      </w:r>
      <w:r>
        <w:rPr>
          <w:rFonts w:ascii="宋体" w:hAnsi="宋体"/>
          <w:bCs/>
          <w:sz w:val="24"/>
        </w:rPr>
        <w:t>因不可抗力导致合同目的无法实现的，可以解除本合同。</w:t>
      </w:r>
    </w:p>
    <w:p>
      <w:pPr>
        <w:spacing w:line="360" w:lineRule="auto"/>
        <w:ind w:firstLine="480" w:firstLineChars="200"/>
        <w:rPr>
          <w:rFonts w:ascii="宋体" w:hAnsi="宋体"/>
          <w:bCs/>
          <w:sz w:val="24"/>
        </w:rPr>
      </w:pPr>
      <w:r>
        <w:rPr>
          <w:rFonts w:ascii="宋体" w:hAnsi="宋体"/>
          <w:bCs/>
          <w:sz w:val="24"/>
        </w:rPr>
        <w:t>3</w:t>
      </w:r>
      <w:r>
        <w:rPr>
          <w:rFonts w:hint="eastAsia" w:ascii="宋体" w:hAnsi="宋体"/>
          <w:bCs/>
          <w:sz w:val="24"/>
        </w:rPr>
        <w:t>.</w:t>
      </w:r>
      <w:r>
        <w:rPr>
          <w:rFonts w:ascii="宋体" w:hAnsi="宋体"/>
          <w:bCs/>
          <w:sz w:val="24"/>
        </w:rPr>
        <w:t>出现本合同约定的可以解除合同的情形的，可以解除本合同。</w:t>
      </w:r>
    </w:p>
    <w:p>
      <w:pPr>
        <w:spacing w:line="360" w:lineRule="auto"/>
        <w:ind w:firstLine="480" w:firstLineChars="200"/>
        <w:rPr>
          <w:rFonts w:ascii="宋体" w:hAnsi="宋体"/>
          <w:bCs/>
          <w:sz w:val="24"/>
        </w:rPr>
      </w:pPr>
      <w:r>
        <w:rPr>
          <w:rFonts w:ascii="宋体" w:hAnsi="宋体"/>
          <w:bCs/>
          <w:sz w:val="24"/>
        </w:rPr>
        <w:t>4</w:t>
      </w:r>
      <w:r>
        <w:rPr>
          <w:rFonts w:hint="eastAsia" w:ascii="宋体" w:hAnsi="宋体"/>
          <w:bCs/>
          <w:sz w:val="24"/>
        </w:rPr>
        <w:t>.</w:t>
      </w:r>
      <w:r>
        <w:rPr>
          <w:rFonts w:ascii="宋体" w:hAnsi="宋体"/>
          <w:bCs/>
          <w:sz w:val="24"/>
        </w:rPr>
        <w:t>可以解除合同的其他情形：                            。</w:t>
      </w:r>
    </w:p>
    <w:p>
      <w:pPr>
        <w:spacing w:line="360" w:lineRule="auto"/>
        <w:ind w:firstLine="482" w:firstLineChars="200"/>
        <w:rPr>
          <w:rFonts w:ascii="宋体" w:hAnsi="宋体"/>
          <w:b/>
          <w:bCs/>
          <w:sz w:val="24"/>
        </w:rPr>
      </w:pPr>
      <w:r>
        <w:rPr>
          <w:rFonts w:hint="eastAsia" w:ascii="宋体" w:hAnsi="宋体"/>
          <w:b/>
          <w:bCs/>
          <w:sz w:val="24"/>
        </w:rPr>
        <w:t>十、不可抗力</w:t>
      </w:r>
    </w:p>
    <w:p>
      <w:pPr>
        <w:spacing w:line="360" w:lineRule="auto"/>
        <w:ind w:firstLine="480" w:firstLineChars="200"/>
        <w:rPr>
          <w:rFonts w:ascii="宋体" w:hAnsi="宋体"/>
          <w:bCs/>
          <w:sz w:val="24"/>
        </w:rPr>
      </w:pPr>
      <w:r>
        <w:rPr>
          <w:rFonts w:hint="eastAsia" w:ascii="宋体" w:hAnsi="宋体"/>
          <w:bCs/>
          <w:sz w:val="24"/>
        </w:rPr>
        <w:t>1.</w:t>
      </w:r>
      <w:r>
        <w:rPr>
          <w:rFonts w:ascii="宋体" w:hAnsi="宋体"/>
          <w:bCs/>
          <w:sz w:val="24"/>
        </w:rPr>
        <w:t>在本合同履行过程中，不可抗力的范围包括：地震、台风、暴雨、火灾、战争、新冠疫情，以及其他不能预见、不能避免、不能克服的客观事件。</w:t>
      </w:r>
    </w:p>
    <w:p>
      <w:pPr>
        <w:spacing w:line="360" w:lineRule="auto"/>
        <w:ind w:firstLine="480" w:firstLineChars="200"/>
        <w:rPr>
          <w:rFonts w:ascii="宋体" w:hAnsi="宋体"/>
          <w:bCs/>
          <w:sz w:val="24"/>
        </w:rPr>
      </w:pPr>
      <w:r>
        <w:rPr>
          <w:rFonts w:hint="eastAsia" w:ascii="宋体" w:hAnsi="宋体"/>
          <w:bCs/>
          <w:sz w:val="24"/>
        </w:rPr>
        <w:t>2.</w:t>
      </w:r>
      <w:r>
        <w:rPr>
          <w:rFonts w:ascii="宋体" w:hAnsi="宋体"/>
          <w:bCs/>
          <w:sz w:val="24"/>
        </w:rPr>
        <w:t>遇有不可抗力的一方，应立即以书面形式通知另一方，并在    日内提供不可抗力详情以及本合同不能履行或部分不能履行或者需要延期履行的理由的有效证明文件，按该不可抗力事件对履行本合同的影响程度，由双方协商决定是否解除本合同，或者部分免除履行本合同或对本合同进行变更。</w:t>
      </w:r>
    </w:p>
    <w:p>
      <w:pPr>
        <w:spacing w:line="360" w:lineRule="auto"/>
        <w:ind w:firstLine="482" w:firstLineChars="200"/>
        <w:rPr>
          <w:rFonts w:ascii="宋体" w:hAnsi="宋体"/>
          <w:b/>
          <w:bCs/>
          <w:sz w:val="24"/>
        </w:rPr>
      </w:pPr>
      <w:r>
        <w:rPr>
          <w:rFonts w:hint="eastAsia" w:ascii="宋体" w:hAnsi="宋体"/>
          <w:b/>
          <w:bCs/>
          <w:sz w:val="24"/>
        </w:rPr>
        <w:t>十一、通知与送达</w:t>
      </w:r>
    </w:p>
    <w:p>
      <w:pPr>
        <w:spacing w:line="360" w:lineRule="auto"/>
        <w:ind w:firstLine="480" w:firstLineChars="200"/>
        <w:rPr>
          <w:rFonts w:ascii="宋体" w:hAnsi="宋体"/>
          <w:bCs/>
          <w:sz w:val="24"/>
        </w:rPr>
      </w:pPr>
      <w:r>
        <w:rPr>
          <w:rFonts w:ascii="宋体" w:hAnsi="宋体"/>
          <w:bCs/>
          <w:sz w:val="24"/>
        </w:rPr>
        <w:t>双方因履行本合同发出的通知、文件、资料</w:t>
      </w:r>
      <w:r>
        <w:rPr>
          <w:rFonts w:hint="eastAsia" w:ascii="宋体" w:hAnsi="宋体"/>
          <w:bCs/>
          <w:sz w:val="24"/>
        </w:rPr>
        <w:t>以及争议解决时的法律文书送达</w:t>
      </w:r>
      <w:r>
        <w:rPr>
          <w:rFonts w:ascii="宋体" w:hAnsi="宋体"/>
          <w:bCs/>
          <w:sz w:val="24"/>
        </w:rPr>
        <w:t>，均按下列地址送达：</w:t>
      </w:r>
    </w:p>
    <w:p>
      <w:pPr>
        <w:spacing w:line="360" w:lineRule="auto"/>
        <w:ind w:firstLine="480" w:firstLineChars="200"/>
        <w:rPr>
          <w:rFonts w:ascii="宋体" w:hAnsi="宋体"/>
          <w:bCs/>
          <w:sz w:val="24"/>
        </w:rPr>
      </w:pPr>
      <w:r>
        <w:rPr>
          <w:rFonts w:ascii="宋体" w:hAnsi="宋体"/>
          <w:bCs/>
          <w:sz w:val="24"/>
        </w:rPr>
        <w:t xml:space="preserve">甲方：收件人        收件地址       联系电话          </w:t>
      </w:r>
      <w:r>
        <w:rPr>
          <w:rFonts w:hint="eastAsia" w:ascii="宋体" w:hAnsi="宋体"/>
          <w:bCs/>
          <w:sz w:val="24"/>
        </w:rPr>
        <w:t xml:space="preserve">电子邮箱       </w:t>
      </w:r>
    </w:p>
    <w:p>
      <w:pPr>
        <w:spacing w:line="360" w:lineRule="auto"/>
        <w:ind w:firstLine="480" w:firstLineChars="200"/>
        <w:rPr>
          <w:rFonts w:ascii="宋体" w:hAnsi="宋体"/>
          <w:bCs/>
          <w:sz w:val="24"/>
        </w:rPr>
      </w:pPr>
      <w:r>
        <w:rPr>
          <w:rFonts w:ascii="宋体" w:hAnsi="宋体"/>
          <w:bCs/>
          <w:sz w:val="24"/>
        </w:rPr>
        <w:t xml:space="preserve">乙方：收件人          收件地址       联系电话         </w:t>
      </w:r>
      <w:r>
        <w:rPr>
          <w:rFonts w:hint="eastAsia" w:ascii="宋体" w:hAnsi="宋体"/>
          <w:bCs/>
          <w:sz w:val="24"/>
        </w:rPr>
        <w:t xml:space="preserve">电子邮箱      </w:t>
      </w:r>
    </w:p>
    <w:p>
      <w:pPr>
        <w:spacing w:line="360" w:lineRule="auto"/>
        <w:ind w:firstLine="480" w:firstLineChars="200"/>
        <w:rPr>
          <w:rFonts w:ascii="宋体" w:hAnsi="宋体"/>
          <w:bCs/>
          <w:sz w:val="24"/>
        </w:rPr>
      </w:pPr>
      <w:r>
        <w:rPr>
          <w:rFonts w:ascii="宋体" w:hAnsi="宋体"/>
          <w:bCs/>
          <w:sz w:val="24"/>
        </w:rPr>
        <w:t>甲乙双方认同在本合同中留存的联系方式为有效联系方式，一方变更地址或联系人的，应当在变更后    日内书面通知对方，应联系地址和联系信息错误或单方面变更后未及时通知对方而无法送达的，自交邮后第七日视为送达。</w:t>
      </w:r>
    </w:p>
    <w:p>
      <w:pPr>
        <w:spacing w:line="360" w:lineRule="auto"/>
        <w:ind w:firstLine="480" w:firstLineChars="200"/>
        <w:rPr>
          <w:rFonts w:ascii="宋体" w:hAnsi="宋体"/>
          <w:bCs/>
          <w:sz w:val="24"/>
        </w:rPr>
      </w:pPr>
      <w:r>
        <w:rPr>
          <w:rFonts w:ascii="宋体" w:hAnsi="宋体"/>
          <w:bCs/>
          <w:sz w:val="24"/>
        </w:rPr>
        <w:t>以邮寄方式送达的，寄件人应当在邮寄详情单上注明文件名称及简要内容。</w:t>
      </w:r>
    </w:p>
    <w:p>
      <w:pPr>
        <w:spacing w:line="360" w:lineRule="auto"/>
        <w:ind w:firstLine="482" w:firstLineChars="200"/>
        <w:rPr>
          <w:rFonts w:ascii="宋体" w:hAnsi="宋体"/>
          <w:b/>
          <w:sz w:val="24"/>
        </w:rPr>
      </w:pPr>
      <w:r>
        <w:rPr>
          <w:rFonts w:hint="eastAsia" w:ascii="宋体" w:hAnsi="宋体"/>
          <w:b/>
          <w:sz w:val="24"/>
        </w:rPr>
        <w:t>十二、在履行本协议过程中，如发生争议，双方应友好协商解决，如协商不能解决，双方同意向武汉市洪山区人民法院起诉。本协议的任何变更、修改、补充须双方代表签署书面文件方为有效，补充文件为本协议不可分割的组成部分，同时具备法律效力。</w:t>
      </w:r>
    </w:p>
    <w:p>
      <w:pPr>
        <w:spacing w:line="360" w:lineRule="auto"/>
        <w:ind w:firstLine="482" w:firstLineChars="200"/>
        <w:rPr>
          <w:rFonts w:ascii="宋体" w:hAnsi="宋体"/>
          <w:b/>
          <w:sz w:val="24"/>
        </w:rPr>
      </w:pPr>
      <w:r>
        <w:rPr>
          <w:rFonts w:hint="eastAsia" w:ascii="宋体" w:hAnsi="宋体"/>
          <w:b/>
          <w:sz w:val="24"/>
        </w:rPr>
        <w:t>十三、本协议一式陆份，甲方持伍份，乙方持壹份，具有同等法律效力。</w:t>
      </w:r>
    </w:p>
    <w:p>
      <w:pPr>
        <w:spacing w:line="360" w:lineRule="auto"/>
        <w:ind w:firstLine="482" w:firstLineChars="200"/>
        <w:rPr>
          <w:rFonts w:ascii="宋体" w:hAnsi="宋体" w:cs="宋体"/>
          <w:b/>
          <w:sz w:val="24"/>
        </w:rPr>
      </w:pPr>
      <w:r>
        <w:rPr>
          <w:rFonts w:hint="eastAsia" w:ascii="宋体" w:hAnsi="宋体"/>
          <w:b/>
          <w:sz w:val="24"/>
        </w:rPr>
        <w:t>十四、本协议自双方签字并盖章之日起生效。双方应当在签订书面合同时出示各自的营业执照副本，并将复印件交付对方备案。如果合同签约人不是法定代表人，应当提交授权委托书及委托代理人身份证复印件</w:t>
      </w:r>
      <w:r>
        <w:rPr>
          <w:rFonts w:hint="eastAsia" w:ascii="宋体" w:hAnsi="宋体" w:cs="宋体"/>
          <w:b/>
          <w:sz w:val="24"/>
        </w:rPr>
        <w:t>。</w:t>
      </w:r>
    </w:p>
    <w:p>
      <w:pPr>
        <w:spacing w:line="360" w:lineRule="auto"/>
        <w:ind w:left="-178" w:leftChars="-85" w:right="-359" w:rightChars="-171" w:firstLine="144" w:firstLineChars="60"/>
        <w:rPr>
          <w:rFonts w:ascii="宋体" w:hAnsi="宋体" w:cs="宋体"/>
          <w:sz w:val="24"/>
        </w:rPr>
      </w:pPr>
    </w:p>
    <w:p>
      <w:pPr>
        <w:spacing w:line="360" w:lineRule="auto"/>
        <w:rPr>
          <w:rFonts w:ascii="宋体" w:hAnsi="宋体" w:cs="宋体"/>
          <w:sz w:val="24"/>
        </w:rPr>
      </w:pPr>
      <w:r>
        <w:rPr>
          <w:rFonts w:hint="eastAsia" w:ascii="宋体" w:hAnsi="宋体" w:cs="宋体"/>
          <w:sz w:val="24"/>
        </w:rPr>
        <w:t>（以下无正文，仅为签订信息）</w:t>
      </w:r>
    </w:p>
    <w:p>
      <w:pPr>
        <w:spacing w:line="360" w:lineRule="auto"/>
        <w:ind w:left="178" w:leftChars="85" w:right="-359" w:rightChars="-171"/>
        <w:rPr>
          <w:rFonts w:ascii="宋体" w:hAnsi="宋体" w:cs="宋体"/>
          <w:sz w:val="24"/>
        </w:rPr>
      </w:pPr>
      <w:r>
        <w:rPr>
          <w:rFonts w:hint="eastAsia" w:ascii="宋体" w:hAnsi="宋体" w:cs="宋体"/>
          <w:sz w:val="24"/>
        </w:rPr>
        <w:t>甲 方（盖章）：</w:t>
      </w:r>
      <w:r>
        <w:rPr>
          <w:rFonts w:hint="eastAsia" w:ascii="宋体" w:hAnsi="宋体" w:cs="宋体"/>
          <w:b/>
          <w:bCs/>
          <w:sz w:val="24"/>
        </w:rPr>
        <w:t xml:space="preserve">湖北工业大学                </w:t>
      </w:r>
      <w:r>
        <w:rPr>
          <w:rFonts w:hint="eastAsia" w:ascii="宋体" w:hAnsi="宋体" w:cs="宋体"/>
          <w:sz w:val="24"/>
        </w:rPr>
        <w:t>乙 方（盖章）：</w:t>
      </w:r>
      <w:r>
        <w:rPr>
          <w:rFonts w:hint="eastAsia" w:ascii="宋体" w:hAnsi="宋体" w:cs="宋体"/>
          <w:snapToGrid w:val="0"/>
          <w:kern w:val="0"/>
          <w:sz w:val="24"/>
        </w:rPr>
        <w:t xml:space="preserve">                      </w:t>
      </w:r>
    </w:p>
    <w:p>
      <w:pPr>
        <w:spacing w:line="360" w:lineRule="auto"/>
        <w:ind w:left="178" w:leftChars="85" w:right="-178" w:rightChars="-85"/>
        <w:rPr>
          <w:rFonts w:ascii="宋体" w:hAnsi="宋体" w:cs="宋体"/>
          <w:sz w:val="24"/>
        </w:rPr>
      </w:pPr>
    </w:p>
    <w:p>
      <w:pPr>
        <w:spacing w:line="360" w:lineRule="auto"/>
        <w:ind w:left="178" w:leftChars="85" w:right="-178" w:rightChars="-85"/>
        <w:rPr>
          <w:rFonts w:ascii="宋体" w:hAnsi="宋体" w:cs="宋体"/>
          <w:sz w:val="24"/>
        </w:rPr>
      </w:pPr>
      <w:r>
        <w:rPr>
          <w:rFonts w:hint="eastAsia" w:ascii="宋体" w:hAnsi="宋体" w:cs="宋体"/>
          <w:sz w:val="24"/>
        </w:rPr>
        <w:t>部门（单位）主要负责人（签名）：</w:t>
      </w:r>
    </w:p>
    <w:p>
      <w:pPr>
        <w:spacing w:line="360" w:lineRule="auto"/>
        <w:ind w:left="178" w:leftChars="85" w:right="-178" w:rightChars="-85"/>
        <w:rPr>
          <w:rFonts w:ascii="宋体" w:hAnsi="宋体" w:cs="宋体"/>
          <w:sz w:val="24"/>
        </w:rPr>
      </w:pPr>
      <w:r>
        <w:rPr>
          <w:rFonts w:hint="eastAsia" w:ascii="宋体" w:hAnsi="宋体" w:cs="宋体"/>
          <w:sz w:val="24"/>
        </w:rPr>
        <w:t>法人或授权代表（签名）：                   法人或授权代表（签名）：</w:t>
      </w:r>
    </w:p>
    <w:p>
      <w:pPr>
        <w:spacing w:line="360" w:lineRule="auto"/>
        <w:ind w:left="178" w:leftChars="85" w:right="-171"/>
        <w:rPr>
          <w:rFonts w:ascii="宋体" w:hAnsi="宋体" w:cs="宋体"/>
          <w:sz w:val="24"/>
        </w:rPr>
      </w:pPr>
    </w:p>
    <w:p>
      <w:pPr>
        <w:spacing w:line="360" w:lineRule="auto"/>
        <w:ind w:left="178" w:leftChars="85" w:right="-171"/>
        <w:rPr>
          <w:rFonts w:ascii="宋体" w:hAnsi="宋体" w:cs="宋体"/>
          <w:sz w:val="24"/>
        </w:rPr>
      </w:pPr>
      <w:r>
        <w:rPr>
          <w:rFonts w:hint="eastAsia" w:ascii="宋体" w:hAnsi="宋体" w:cs="宋体"/>
          <w:sz w:val="24"/>
        </w:rPr>
        <w:t>联系方式：02759750213                    联系方式：</w:t>
      </w:r>
    </w:p>
    <w:p>
      <w:pPr>
        <w:spacing w:line="360" w:lineRule="auto"/>
        <w:ind w:left="178" w:leftChars="85" w:right="-171"/>
        <w:rPr>
          <w:rFonts w:ascii="宋体" w:hAnsi="宋体" w:cs="宋体"/>
          <w:sz w:val="24"/>
        </w:rPr>
      </w:pPr>
      <w:r>
        <w:rPr>
          <w:rFonts w:hint="eastAsia" w:ascii="宋体" w:hAnsi="宋体" w:cs="宋体"/>
          <w:sz w:val="24"/>
        </w:rPr>
        <w:t xml:space="preserve">                                         开户银行：</w:t>
      </w:r>
    </w:p>
    <w:p>
      <w:pPr>
        <w:spacing w:line="360" w:lineRule="auto"/>
        <w:ind w:left="178" w:leftChars="85" w:right="-171"/>
        <w:rPr>
          <w:rFonts w:ascii="宋体" w:hAnsi="宋体" w:cs="宋体"/>
          <w:snapToGrid w:val="0"/>
          <w:kern w:val="0"/>
          <w:sz w:val="24"/>
        </w:rPr>
      </w:pPr>
      <w:r>
        <w:rPr>
          <w:rFonts w:hint="eastAsia" w:ascii="宋体" w:hAnsi="宋体" w:cs="宋体"/>
          <w:sz w:val="24"/>
        </w:rPr>
        <w:t xml:space="preserve">                                         银行账号：</w:t>
      </w:r>
    </w:p>
    <w:p>
      <w:pPr>
        <w:spacing w:line="360" w:lineRule="auto"/>
        <w:ind w:left="178" w:leftChars="85" w:right="-171"/>
        <w:rPr>
          <w:rFonts w:ascii="宋体" w:hAnsi="宋体" w:cs="宋体"/>
          <w:sz w:val="24"/>
        </w:rPr>
      </w:pPr>
      <w:r>
        <w:rPr>
          <w:rFonts w:hint="eastAsia" w:ascii="宋体" w:hAnsi="宋体" w:cs="宋体"/>
          <w:snapToGrid w:val="0"/>
          <w:kern w:val="0"/>
          <w:sz w:val="24"/>
        </w:rPr>
        <w:t xml:space="preserve">                                  </w:t>
      </w:r>
    </w:p>
    <w:p>
      <w:pPr>
        <w:spacing w:line="360" w:lineRule="auto"/>
        <w:ind w:left="178" w:leftChars="85"/>
        <w:jc w:val="left"/>
        <w:rPr>
          <w:rFonts w:ascii="宋体" w:hAnsi="宋体" w:cs="宋体"/>
          <w:sz w:val="24"/>
        </w:rPr>
      </w:pPr>
      <w:r>
        <w:rPr>
          <w:rFonts w:hint="eastAsia" w:ascii="宋体" w:hAnsi="宋体" w:cs="宋体"/>
          <w:sz w:val="24"/>
        </w:rPr>
        <w:t xml:space="preserve">日  期： </w:t>
      </w:r>
      <w:r>
        <w:rPr>
          <w:rFonts w:hint="eastAsia" w:ascii="宋体" w:hAnsi="宋体" w:cs="宋体"/>
          <w:b/>
          <w:sz w:val="24"/>
        </w:rPr>
        <w:t xml:space="preserve">二○   年   月    日   </w:t>
      </w:r>
      <w:r>
        <w:rPr>
          <w:rFonts w:hint="eastAsia" w:ascii="宋体" w:hAnsi="宋体" w:cs="宋体"/>
          <w:sz w:val="24"/>
        </w:rPr>
        <w:t xml:space="preserve">      日   期：二○   年   月   日</w:t>
      </w:r>
    </w:p>
    <w:p>
      <w:pPr>
        <w:spacing w:line="360" w:lineRule="auto"/>
        <w:ind w:left="420"/>
        <w:rPr>
          <w:rFonts w:ascii="宋体" w:hAnsi="宋体" w:cs="宋体"/>
          <w:sz w:val="24"/>
        </w:rPr>
      </w:pPr>
    </w:p>
    <w:p>
      <w:pPr>
        <w:spacing w:line="360" w:lineRule="auto"/>
        <w:ind w:left="420"/>
        <w:rPr>
          <w:rFonts w:ascii="宋体" w:hAnsi="宋体" w:cs="宋体"/>
          <w:sz w:val="24"/>
        </w:rPr>
      </w:pPr>
    </w:p>
    <w:p>
      <w:pPr>
        <w:pStyle w:val="15"/>
        <w:spacing w:line="360" w:lineRule="auto"/>
        <w:ind w:left="178" w:leftChars="85"/>
        <w:jc w:val="left"/>
        <w:rPr>
          <w:rFonts w:asciiTheme="minorEastAsia" w:hAnsiTheme="minorEastAsia" w:eastAsiaTheme="minorEastAsia" w:cstheme="minorEastAsia"/>
          <w:sz w:val="24"/>
          <w:szCs w:val="24"/>
        </w:rPr>
      </w:pPr>
    </w:p>
    <w:p>
      <w:pPr>
        <w:spacing w:line="360" w:lineRule="auto"/>
        <w:ind w:left="420"/>
        <w:rPr>
          <w:rFonts w:asciiTheme="minorEastAsia" w:hAnsiTheme="minorEastAsia" w:eastAsiaTheme="minorEastAsia" w:cstheme="minorEastAsia"/>
          <w:sz w:val="24"/>
        </w:rPr>
      </w:pPr>
    </w:p>
    <w:p>
      <w:r>
        <w:rPr>
          <w:rFonts w:hint="eastAsia"/>
        </w:rPr>
        <w:br w:type="page"/>
      </w:r>
    </w:p>
    <w:p>
      <w:pPr>
        <w:pStyle w:val="3"/>
        <w:numPr>
          <w:ilvl w:val="0"/>
          <w:numId w:val="4"/>
        </w:numPr>
        <w:jc w:val="center"/>
        <w:rPr>
          <w:rFonts w:asciiTheme="minorEastAsia" w:hAnsiTheme="minorEastAsia" w:eastAsiaTheme="minorEastAsia" w:cstheme="minorEastAsia"/>
          <w:sz w:val="36"/>
          <w:szCs w:val="36"/>
        </w:rPr>
      </w:pPr>
      <w:bookmarkStart w:id="124" w:name="_Toc12871"/>
      <w:r>
        <w:rPr>
          <w:rFonts w:hint="eastAsia" w:asciiTheme="minorEastAsia" w:hAnsiTheme="minorEastAsia" w:eastAsiaTheme="minorEastAsia" w:cstheme="minorEastAsia"/>
          <w:sz w:val="36"/>
          <w:szCs w:val="36"/>
        </w:rPr>
        <w:t>竞争性磋商响应文件格式</w:t>
      </w:r>
      <w:bookmarkEnd w:id="124"/>
    </w:p>
    <w:p>
      <w:pPr>
        <w:autoSpaceDE w:val="0"/>
        <w:autoSpaceDN w:val="0"/>
        <w:adjustRightInd w:val="0"/>
        <w:rPr>
          <w:rFonts w:asciiTheme="minorEastAsia" w:hAnsiTheme="minorEastAsia" w:eastAsiaTheme="minorEastAsia" w:cstheme="minorEastAsia"/>
        </w:rPr>
      </w:pPr>
      <w:r>
        <w:rPr>
          <w:rFonts w:hint="eastAsia" w:asciiTheme="minorEastAsia" w:hAnsiTheme="minorEastAsia" w:eastAsiaTheme="minorEastAsia" w:cstheme="minorEastAsia"/>
        </w:rPr>
        <w:t>封面：</w:t>
      </w:r>
    </w:p>
    <w:p>
      <w:pPr>
        <w:autoSpaceDE w:val="0"/>
        <w:autoSpaceDN w:val="0"/>
        <w:adjustRightInd w:val="0"/>
        <w:rPr>
          <w:rFonts w:asciiTheme="minorEastAsia" w:hAnsiTheme="minorEastAsia" w:eastAsiaTheme="minorEastAsia" w:cstheme="minorEastAsia"/>
        </w:rPr>
      </w:pPr>
    </w:p>
    <w:p>
      <w:pPr>
        <w:autoSpaceDE w:val="0"/>
        <w:autoSpaceDN w:val="0"/>
        <w:adjustRightInd w:val="0"/>
        <w:rPr>
          <w:rFonts w:asciiTheme="minorEastAsia" w:hAnsiTheme="minorEastAsia" w:eastAsiaTheme="minorEastAsia" w:cstheme="minorEastAsia"/>
        </w:rPr>
      </w:pPr>
    </w:p>
    <w:p>
      <w:pPr>
        <w:autoSpaceDE w:val="0"/>
        <w:autoSpaceDN w:val="0"/>
        <w:adjustRightInd w:val="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政府采购</w:t>
      </w:r>
    </w:p>
    <w:p>
      <w:pPr>
        <w:autoSpaceDE w:val="0"/>
        <w:autoSpaceDN w:val="0"/>
        <w:adjustRightInd w:val="0"/>
        <w:jc w:val="center"/>
        <w:rPr>
          <w:rFonts w:asciiTheme="minorEastAsia" w:hAnsiTheme="minorEastAsia" w:eastAsiaTheme="minorEastAsia" w:cstheme="minorEastAsia"/>
          <w:b/>
          <w:sz w:val="84"/>
          <w:szCs w:val="84"/>
        </w:rPr>
      </w:pPr>
      <w:r>
        <w:rPr>
          <w:rFonts w:hint="eastAsia" w:asciiTheme="minorEastAsia" w:hAnsiTheme="minorEastAsia" w:eastAsiaTheme="minorEastAsia" w:cstheme="minorEastAsia"/>
          <w:b/>
          <w:sz w:val="84"/>
          <w:szCs w:val="84"/>
        </w:rPr>
        <w:t>响 应 文 件</w:t>
      </w: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（正本/副本）</w:t>
      </w: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ind w:firstLine="1190" w:firstLineChars="395"/>
        <w:rPr>
          <w:rFonts w:asciiTheme="minorEastAsia" w:hAnsiTheme="minorEastAsia" w:eastAsiaTheme="minorEastAsia" w:cstheme="minorEastAsia"/>
          <w:b/>
          <w:bCs/>
          <w:sz w:val="30"/>
          <w:szCs w:val="30"/>
          <w:u w:val="single"/>
        </w:rPr>
      </w:pPr>
      <w:r>
        <w:rPr>
          <w:rFonts w:hint="eastAsia" w:asciiTheme="minorEastAsia" w:hAnsiTheme="minorEastAsia" w:eastAsiaTheme="minorEastAsia" w:cstheme="minorEastAsia"/>
          <w:b/>
          <w:bCs/>
          <w:sz w:val="30"/>
          <w:szCs w:val="30"/>
        </w:rPr>
        <w:t>项目编号：</w:t>
      </w:r>
      <w:r>
        <w:rPr>
          <w:rFonts w:hint="eastAsia" w:asciiTheme="minorEastAsia" w:hAnsiTheme="minorEastAsia" w:eastAsiaTheme="minorEastAsia" w:cstheme="minorEastAsia"/>
          <w:b/>
          <w:bCs/>
          <w:sz w:val="30"/>
          <w:szCs w:val="30"/>
          <w:u w:val="single"/>
        </w:rPr>
        <w:t xml:space="preserve">                            </w:t>
      </w:r>
    </w:p>
    <w:p>
      <w:pPr>
        <w:tabs>
          <w:tab w:val="left" w:pos="7230"/>
        </w:tabs>
        <w:ind w:firstLine="1190" w:firstLineChars="395"/>
        <w:rPr>
          <w:rFonts w:asciiTheme="minorEastAsia" w:hAnsiTheme="minorEastAsia" w:eastAsiaTheme="minorEastAsia" w:cstheme="minorEastAsia"/>
          <w:b/>
          <w:bCs/>
          <w:sz w:val="30"/>
          <w:szCs w:val="30"/>
          <w:u w:val="single"/>
        </w:rPr>
      </w:pPr>
      <w:r>
        <w:rPr>
          <w:rFonts w:hint="eastAsia" w:asciiTheme="minorEastAsia" w:hAnsiTheme="minorEastAsia" w:eastAsiaTheme="minorEastAsia" w:cstheme="minorEastAsia"/>
          <w:b/>
          <w:bCs/>
          <w:sz w:val="30"/>
          <w:szCs w:val="30"/>
        </w:rPr>
        <w:t>项目名称：</w:t>
      </w:r>
      <w:r>
        <w:rPr>
          <w:rFonts w:hint="eastAsia" w:asciiTheme="minorEastAsia" w:hAnsiTheme="minorEastAsia" w:eastAsiaTheme="minorEastAsia" w:cstheme="minorEastAsia"/>
          <w:b/>
          <w:bCs/>
          <w:sz w:val="30"/>
          <w:szCs w:val="30"/>
          <w:u w:val="single"/>
        </w:rPr>
        <w:t xml:space="preserve">                            </w:t>
      </w:r>
    </w:p>
    <w:p>
      <w:pPr>
        <w:autoSpaceDE w:val="0"/>
        <w:autoSpaceDN w:val="0"/>
        <w:adjustRightInd w:val="0"/>
        <w:ind w:firstLine="1190" w:firstLineChars="395"/>
        <w:rPr>
          <w:rFonts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 xml:space="preserve">计划备案号： </w:t>
      </w:r>
      <w:r>
        <w:rPr>
          <w:rFonts w:hint="eastAsia" w:asciiTheme="minorEastAsia" w:hAnsiTheme="minorEastAsia" w:eastAsiaTheme="minorEastAsia" w:cstheme="minorEastAsia"/>
          <w:b/>
          <w:bCs/>
          <w:sz w:val="30"/>
          <w:szCs w:val="30"/>
          <w:u w:val="single"/>
        </w:rPr>
        <w:t xml:space="preserve">                         </w:t>
      </w: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spacing w:line="360" w:lineRule="auto"/>
        <w:ind w:firstLine="1260" w:firstLineChars="450"/>
        <w:rPr>
          <w:rFonts w:asciiTheme="minorEastAsia" w:hAnsiTheme="minorEastAsia" w:eastAsiaTheme="minorEastAsia" w:cstheme="minorEastAsia"/>
          <w:b/>
          <w:bCs/>
          <w:sz w:val="32"/>
          <w:u w:val="single"/>
        </w:rPr>
      </w:pPr>
      <w:r>
        <w:rPr>
          <w:rFonts w:hint="eastAsia" w:asciiTheme="minorEastAsia" w:hAnsiTheme="minorEastAsia" w:eastAsiaTheme="minorEastAsia" w:cstheme="minorEastAsia"/>
          <w:sz w:val="28"/>
          <w:szCs w:val="28"/>
        </w:rPr>
        <w:t>磋商供应商名称（盖章）：</w:t>
      </w:r>
      <w:r>
        <w:rPr>
          <w:rFonts w:hint="eastAsia" w:asciiTheme="minorEastAsia" w:hAnsiTheme="minorEastAsia" w:eastAsiaTheme="minorEastAsia" w:cstheme="minorEastAsia"/>
          <w:b/>
          <w:bCs/>
          <w:sz w:val="32"/>
          <w:u w:val="single"/>
        </w:rPr>
        <w:t xml:space="preserve">                       </w:t>
      </w:r>
      <w:bookmarkStart w:id="125" w:name="_Toc5751"/>
      <w:bookmarkStart w:id="126" w:name="_Toc23858"/>
    </w:p>
    <w:p>
      <w:pPr>
        <w:autoSpaceDE w:val="0"/>
        <w:autoSpaceDN w:val="0"/>
        <w:adjustRightInd w:val="0"/>
        <w:spacing w:line="360" w:lineRule="auto"/>
        <w:ind w:firstLine="1260" w:firstLineChars="45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日          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日</w:t>
      </w:r>
    </w:p>
    <w:bookmarkEnd w:id="125"/>
    <w:bookmarkEnd w:id="126"/>
    <w:p>
      <w:pPr>
        <w:autoSpaceDE w:val="0"/>
        <w:autoSpaceDN w:val="0"/>
        <w:adjustRightInd w:val="0"/>
        <w:spacing w:line="360" w:lineRule="auto"/>
        <w:jc w:val="center"/>
        <w:rPr>
          <w:rFonts w:asciiTheme="minorEastAsia" w:hAnsiTheme="minorEastAsia" w:eastAsiaTheme="minorEastAsia" w:cstheme="minorEastAsia"/>
          <w:b/>
          <w:bCs/>
          <w:sz w:val="24"/>
        </w:rPr>
      </w:pPr>
      <w:bookmarkStart w:id="127" w:name="_Toc360174584"/>
      <w:bookmarkStart w:id="128" w:name="_Toc264644272"/>
      <w:bookmarkStart w:id="129" w:name="_Toc533330957"/>
      <w:bookmarkStart w:id="130" w:name="_Toc533331084"/>
      <w:bookmarkStart w:id="131" w:name="_Toc11320441"/>
      <w:bookmarkStart w:id="132" w:name="_Toc211783342"/>
      <w:r>
        <w:rPr>
          <w:rFonts w:hint="eastAsia" w:asciiTheme="minorEastAsia" w:hAnsiTheme="minorEastAsia" w:eastAsiaTheme="minorEastAsia" w:cstheme="minorEastAsia"/>
          <w:b/>
          <w:bCs/>
          <w:sz w:val="24"/>
        </w:rPr>
        <w:br w:type="page"/>
      </w:r>
      <w:r>
        <w:rPr>
          <w:rFonts w:hint="eastAsia" w:asciiTheme="minorEastAsia" w:hAnsiTheme="minorEastAsia" w:eastAsiaTheme="minorEastAsia" w:cstheme="minorEastAsia"/>
          <w:b/>
          <w:bCs/>
          <w:sz w:val="24"/>
        </w:rPr>
        <w:t>响应文件目录</w:t>
      </w:r>
      <w:bookmarkEnd w:id="127"/>
      <w:bookmarkEnd w:id="128"/>
    </w:p>
    <w:p>
      <w:pPr>
        <w:autoSpaceDE w:val="0"/>
        <w:autoSpaceDN w:val="0"/>
        <w:adjustRightInd w:val="0"/>
        <w:rPr>
          <w:rFonts w:asciiTheme="minorEastAsia" w:hAnsiTheme="minorEastAsia" w:eastAsiaTheme="minorEastAsia" w:cstheme="minorEastAsia"/>
          <w:b/>
          <w:bCs/>
          <w:szCs w:val="21"/>
        </w:rPr>
      </w:pPr>
    </w:p>
    <w:p>
      <w:pPr>
        <w:autoSpaceDE w:val="0"/>
        <w:autoSpaceDN w:val="0"/>
        <w:adjustRightInd w:val="0"/>
        <w:spacing w:line="360" w:lineRule="auto"/>
        <w:rPr>
          <w:rFonts w:ascii="宋体" w:hAnsi="宋体" w:cs="宋体"/>
          <w:b/>
          <w:szCs w:val="21"/>
        </w:rPr>
      </w:pPr>
      <w:r>
        <w:rPr>
          <w:rFonts w:hint="eastAsia" w:ascii="宋体" w:hAnsi="宋体" w:cs="宋体"/>
          <w:b/>
          <w:szCs w:val="21"/>
        </w:rPr>
        <w:t>注：响应文件目录及内容每页须顺序编写页码。</w:t>
      </w:r>
    </w:p>
    <w:p>
      <w:pPr>
        <w:autoSpaceDE w:val="0"/>
        <w:autoSpaceDN w:val="0"/>
        <w:adjustRightInd w:val="0"/>
        <w:spacing w:line="360" w:lineRule="auto"/>
        <w:jc w:val="center"/>
        <w:outlineLvl w:val="1"/>
        <w:rPr>
          <w:rFonts w:ascii="宋体" w:hAnsi="宋体" w:cs="宋体"/>
          <w:b/>
          <w:szCs w:val="21"/>
        </w:rPr>
      </w:pPr>
      <w:bookmarkStart w:id="133" w:name="_Toc4945"/>
      <w:r>
        <w:rPr>
          <w:rFonts w:hint="eastAsia" w:ascii="宋体" w:hAnsi="宋体" w:cs="宋体"/>
          <w:b/>
          <w:szCs w:val="21"/>
        </w:rPr>
        <w:br w:type="textWrapping"/>
      </w:r>
      <w:r>
        <w:rPr>
          <w:rFonts w:hint="eastAsia" w:ascii="宋体" w:hAnsi="宋体" w:cs="宋体"/>
          <w:b/>
          <w:szCs w:val="21"/>
        </w:rPr>
        <w:t>一、评分标准索引表</w:t>
      </w:r>
      <w:bookmarkEnd w:id="133"/>
    </w:p>
    <w:tbl>
      <w:tblPr>
        <w:tblStyle w:val="26"/>
        <w:tblW w:w="9288"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87"/>
        <w:gridCol w:w="1285"/>
        <w:gridCol w:w="5358"/>
        <w:gridCol w:w="825"/>
        <w:gridCol w:w="113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87" w:hRule="atLeast"/>
        </w:trPr>
        <w:tc>
          <w:tcPr>
            <w:tcW w:w="687" w:type="dxa"/>
            <w:tcBorders>
              <w:top w:val="single" w:color="auto" w:sz="12" w:space="0"/>
            </w:tcBorders>
            <w:vAlign w:val="center"/>
          </w:tcPr>
          <w:p>
            <w:pPr>
              <w:spacing w:line="360" w:lineRule="auto"/>
              <w:jc w:val="center"/>
              <w:rPr>
                <w:rFonts w:ascii="宋体" w:hAnsi="宋体" w:cs="宋体"/>
                <w:b/>
                <w:bCs/>
                <w:spacing w:val="-6"/>
                <w:szCs w:val="21"/>
              </w:rPr>
            </w:pPr>
            <w:r>
              <w:rPr>
                <w:rFonts w:hint="eastAsia" w:ascii="宋体" w:hAnsi="宋体" w:cs="宋体"/>
                <w:b/>
                <w:bCs/>
                <w:szCs w:val="21"/>
              </w:rPr>
              <w:t>类别</w:t>
            </w:r>
          </w:p>
        </w:tc>
        <w:tc>
          <w:tcPr>
            <w:tcW w:w="1285" w:type="dxa"/>
            <w:tcBorders>
              <w:top w:val="single" w:color="auto" w:sz="12" w:space="0"/>
            </w:tcBorders>
            <w:vAlign w:val="center"/>
          </w:tcPr>
          <w:p>
            <w:pPr>
              <w:spacing w:line="360" w:lineRule="auto"/>
              <w:jc w:val="center"/>
              <w:rPr>
                <w:rFonts w:ascii="宋体" w:hAnsi="宋体" w:cs="宋体"/>
                <w:b/>
                <w:bCs/>
                <w:spacing w:val="-6"/>
                <w:szCs w:val="21"/>
              </w:rPr>
            </w:pPr>
            <w:r>
              <w:rPr>
                <w:rFonts w:hint="eastAsia" w:ascii="宋体" w:hAnsi="宋体" w:cs="宋体"/>
                <w:b/>
                <w:bCs/>
                <w:szCs w:val="21"/>
              </w:rPr>
              <w:t>评审因素</w:t>
            </w:r>
          </w:p>
        </w:tc>
        <w:tc>
          <w:tcPr>
            <w:tcW w:w="5358" w:type="dxa"/>
            <w:tcBorders>
              <w:top w:val="single" w:color="auto" w:sz="12" w:space="0"/>
            </w:tcBorders>
            <w:vAlign w:val="center"/>
          </w:tcPr>
          <w:p>
            <w:pPr>
              <w:spacing w:line="360" w:lineRule="auto"/>
              <w:jc w:val="center"/>
              <w:rPr>
                <w:rFonts w:ascii="宋体" w:hAnsi="宋体" w:cs="宋体"/>
                <w:b/>
                <w:bCs/>
                <w:spacing w:val="-6"/>
                <w:szCs w:val="21"/>
              </w:rPr>
            </w:pPr>
            <w:r>
              <w:rPr>
                <w:rFonts w:hint="eastAsia" w:ascii="宋体" w:hAnsi="宋体" w:cs="宋体"/>
                <w:b/>
                <w:bCs/>
                <w:szCs w:val="21"/>
              </w:rPr>
              <w:t>评审标准</w:t>
            </w:r>
          </w:p>
        </w:tc>
        <w:tc>
          <w:tcPr>
            <w:tcW w:w="825" w:type="dxa"/>
            <w:tcBorders>
              <w:top w:val="single" w:color="auto" w:sz="12" w:space="0"/>
            </w:tcBorders>
            <w:vAlign w:val="center"/>
          </w:tcPr>
          <w:p>
            <w:pPr>
              <w:spacing w:line="360" w:lineRule="auto"/>
              <w:jc w:val="center"/>
              <w:rPr>
                <w:rFonts w:ascii="宋体" w:hAnsi="宋体" w:cs="宋体"/>
                <w:b/>
                <w:bCs/>
                <w:szCs w:val="21"/>
              </w:rPr>
            </w:pPr>
            <w:r>
              <w:rPr>
                <w:rFonts w:hint="eastAsia" w:ascii="宋体" w:hAnsi="宋体" w:cs="宋体"/>
                <w:b/>
                <w:bCs/>
                <w:szCs w:val="21"/>
              </w:rPr>
              <w:t>分值</w:t>
            </w:r>
          </w:p>
        </w:tc>
        <w:tc>
          <w:tcPr>
            <w:tcW w:w="1133" w:type="dxa"/>
            <w:tcBorders>
              <w:top w:val="single" w:color="auto" w:sz="12" w:space="0"/>
            </w:tcBorders>
            <w:vAlign w:val="center"/>
          </w:tcPr>
          <w:p>
            <w:pPr>
              <w:spacing w:line="360" w:lineRule="auto"/>
              <w:jc w:val="center"/>
              <w:rPr>
                <w:rFonts w:ascii="宋体" w:hAnsi="宋体" w:cs="宋体"/>
                <w:b/>
                <w:bCs/>
                <w:szCs w:val="21"/>
              </w:rPr>
            </w:pPr>
            <w:r>
              <w:rPr>
                <w:rFonts w:hint="eastAsia" w:ascii="宋体" w:hAnsi="宋体" w:cs="宋体"/>
                <w:b/>
                <w:bCs/>
                <w:szCs w:val="21"/>
              </w:rPr>
              <w:t>对应页码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118" w:hRule="atLeast"/>
        </w:trPr>
        <w:tc>
          <w:tcPr>
            <w:tcW w:w="687" w:type="dxa"/>
            <w:vAlign w:val="center"/>
          </w:tcPr>
          <w:p>
            <w:pPr>
              <w:widowControl/>
              <w:spacing w:line="360" w:lineRule="auto"/>
              <w:jc w:val="center"/>
              <w:textAlignment w:val="center"/>
              <w:rPr>
                <w:rFonts w:ascii="宋体" w:hAnsi="宋体" w:cs="宋体"/>
                <w:spacing w:val="-6"/>
                <w:szCs w:val="21"/>
              </w:rPr>
            </w:pPr>
          </w:p>
        </w:tc>
        <w:tc>
          <w:tcPr>
            <w:tcW w:w="1285" w:type="dxa"/>
            <w:vAlign w:val="center"/>
          </w:tcPr>
          <w:p>
            <w:pPr>
              <w:widowControl/>
              <w:spacing w:line="360" w:lineRule="auto"/>
              <w:jc w:val="center"/>
              <w:textAlignment w:val="center"/>
              <w:rPr>
                <w:rFonts w:ascii="宋体" w:hAnsi="宋体" w:cs="宋体"/>
                <w:spacing w:val="-6"/>
                <w:szCs w:val="21"/>
              </w:rPr>
            </w:pPr>
          </w:p>
        </w:tc>
        <w:tc>
          <w:tcPr>
            <w:tcW w:w="5358" w:type="dxa"/>
            <w:vAlign w:val="center"/>
          </w:tcPr>
          <w:p>
            <w:pPr>
              <w:widowControl/>
              <w:spacing w:line="360" w:lineRule="auto"/>
              <w:jc w:val="left"/>
              <w:textAlignment w:val="center"/>
              <w:rPr>
                <w:rFonts w:ascii="宋体" w:hAnsi="宋体" w:cs="宋体"/>
                <w:szCs w:val="21"/>
              </w:rPr>
            </w:pPr>
          </w:p>
        </w:tc>
        <w:tc>
          <w:tcPr>
            <w:tcW w:w="825" w:type="dxa"/>
            <w:vAlign w:val="center"/>
          </w:tcPr>
          <w:p>
            <w:pPr>
              <w:widowControl/>
              <w:spacing w:line="360" w:lineRule="auto"/>
              <w:jc w:val="center"/>
              <w:textAlignment w:val="center"/>
              <w:rPr>
                <w:rFonts w:ascii="宋体" w:hAnsi="宋体" w:cs="宋体"/>
                <w:szCs w:val="21"/>
              </w:rPr>
            </w:pPr>
          </w:p>
        </w:tc>
        <w:tc>
          <w:tcPr>
            <w:tcW w:w="1133" w:type="dxa"/>
            <w:vAlign w:val="center"/>
          </w:tcPr>
          <w:p>
            <w:pPr>
              <w:widowControl/>
              <w:spacing w:line="360" w:lineRule="auto"/>
              <w:jc w:val="center"/>
              <w:textAlignment w:val="center"/>
              <w:rPr>
                <w:rFonts w:ascii="宋体" w:hAnsi="宋体" w:cs="宋体"/>
                <w:color w:val="FF0000"/>
                <w:kern w:val="0"/>
                <w:szCs w:val="21"/>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restart"/>
            <w:vAlign w:val="center"/>
          </w:tcPr>
          <w:p>
            <w:pPr>
              <w:spacing w:line="360" w:lineRule="auto"/>
              <w:jc w:val="center"/>
              <w:rPr>
                <w:rFonts w:ascii="宋体" w:hAnsi="宋体" w:cs="宋体"/>
                <w:spacing w:val="-6"/>
                <w:szCs w:val="21"/>
              </w:rPr>
            </w:pPr>
          </w:p>
        </w:tc>
        <w:tc>
          <w:tcPr>
            <w:tcW w:w="1285" w:type="dxa"/>
            <w:vAlign w:val="center"/>
          </w:tcPr>
          <w:p>
            <w:pPr>
              <w:spacing w:line="360" w:lineRule="auto"/>
              <w:rPr>
                <w:rFonts w:ascii="宋体" w:hAnsi="宋体" w:cs="宋体"/>
                <w:spacing w:val="-6"/>
                <w:kern w:val="0"/>
                <w:szCs w:val="21"/>
              </w:rPr>
            </w:pPr>
          </w:p>
        </w:tc>
        <w:tc>
          <w:tcPr>
            <w:tcW w:w="5358" w:type="dxa"/>
            <w:vAlign w:val="center"/>
          </w:tcPr>
          <w:p>
            <w:pPr>
              <w:spacing w:line="360" w:lineRule="auto"/>
              <w:rPr>
                <w:rFonts w:ascii="宋体" w:hAnsi="宋体" w:cs="宋体"/>
                <w:spacing w:val="-6"/>
                <w:szCs w:val="21"/>
              </w:rPr>
            </w:pPr>
          </w:p>
        </w:tc>
        <w:tc>
          <w:tcPr>
            <w:tcW w:w="825" w:type="dxa"/>
            <w:vAlign w:val="center"/>
          </w:tcPr>
          <w:p>
            <w:pPr>
              <w:spacing w:line="360" w:lineRule="auto"/>
              <w:rPr>
                <w:rFonts w:ascii="宋体" w:hAnsi="宋体" w:cs="宋体"/>
                <w:spacing w:val="-6"/>
                <w:szCs w:val="21"/>
              </w:rPr>
            </w:pPr>
          </w:p>
        </w:tc>
        <w:tc>
          <w:tcPr>
            <w:tcW w:w="1133" w:type="dxa"/>
            <w:vAlign w:val="center"/>
          </w:tcPr>
          <w:p>
            <w:pPr>
              <w:spacing w:line="360" w:lineRule="auto"/>
              <w:rPr>
                <w:rFonts w:ascii="宋体" w:hAnsi="宋体" w:cs="宋体"/>
                <w:spacing w:val="-6"/>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vAlign w:val="center"/>
          </w:tcPr>
          <w:p>
            <w:pPr>
              <w:spacing w:line="360" w:lineRule="auto"/>
              <w:rPr>
                <w:rFonts w:ascii="宋体" w:hAnsi="宋体" w:cs="宋体"/>
                <w:spacing w:val="-6"/>
                <w:kern w:val="0"/>
                <w:szCs w:val="21"/>
              </w:rPr>
            </w:pPr>
          </w:p>
        </w:tc>
        <w:tc>
          <w:tcPr>
            <w:tcW w:w="5358" w:type="dxa"/>
            <w:vAlign w:val="center"/>
          </w:tcPr>
          <w:p>
            <w:pPr>
              <w:autoSpaceDE w:val="0"/>
              <w:autoSpaceDN w:val="0"/>
              <w:adjustRightInd w:val="0"/>
              <w:spacing w:line="360" w:lineRule="auto"/>
              <w:ind w:right="71" w:rightChars="34"/>
              <w:rPr>
                <w:rFonts w:ascii="宋体" w:hAnsi="宋体" w:cs="宋体"/>
                <w:spacing w:val="-6"/>
                <w:kern w:val="0"/>
                <w:szCs w:val="21"/>
              </w:rPr>
            </w:pPr>
          </w:p>
        </w:tc>
        <w:tc>
          <w:tcPr>
            <w:tcW w:w="825" w:type="dxa"/>
            <w:vAlign w:val="center"/>
          </w:tcPr>
          <w:p>
            <w:pPr>
              <w:autoSpaceDE w:val="0"/>
              <w:autoSpaceDN w:val="0"/>
              <w:adjustRightInd w:val="0"/>
              <w:spacing w:line="360" w:lineRule="auto"/>
              <w:ind w:right="71" w:rightChars="34"/>
              <w:rPr>
                <w:rFonts w:ascii="宋体" w:hAnsi="宋体" w:cs="宋体"/>
                <w:spacing w:val="-6"/>
                <w:kern w:val="0"/>
                <w:szCs w:val="21"/>
              </w:rPr>
            </w:pPr>
          </w:p>
        </w:tc>
        <w:tc>
          <w:tcPr>
            <w:tcW w:w="1133" w:type="dxa"/>
            <w:vAlign w:val="center"/>
          </w:tcPr>
          <w:p>
            <w:pPr>
              <w:autoSpaceDE w:val="0"/>
              <w:autoSpaceDN w:val="0"/>
              <w:adjustRightInd w:val="0"/>
              <w:spacing w:line="360" w:lineRule="auto"/>
              <w:ind w:right="71" w:rightChars="34"/>
              <w:rPr>
                <w:rFonts w:ascii="宋体" w:hAnsi="宋体" w:cs="宋体"/>
                <w:spacing w:val="-6"/>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vAlign w:val="center"/>
          </w:tcPr>
          <w:p>
            <w:pPr>
              <w:spacing w:line="360" w:lineRule="auto"/>
              <w:rPr>
                <w:rFonts w:ascii="宋体" w:hAnsi="宋体" w:cs="宋体"/>
                <w:color w:val="000000"/>
                <w:spacing w:val="-6"/>
                <w:szCs w:val="21"/>
              </w:rPr>
            </w:pPr>
          </w:p>
        </w:tc>
        <w:tc>
          <w:tcPr>
            <w:tcW w:w="5358" w:type="dxa"/>
            <w:vAlign w:val="center"/>
          </w:tcPr>
          <w:p>
            <w:pPr>
              <w:autoSpaceDE w:val="0"/>
              <w:autoSpaceDN w:val="0"/>
              <w:adjustRightInd w:val="0"/>
              <w:spacing w:line="360" w:lineRule="auto"/>
              <w:ind w:right="71" w:rightChars="34"/>
              <w:rPr>
                <w:rFonts w:ascii="宋体" w:hAnsi="宋体" w:cs="宋体"/>
                <w:color w:val="000000"/>
                <w:spacing w:val="-6"/>
                <w:szCs w:val="21"/>
              </w:rPr>
            </w:pPr>
          </w:p>
        </w:tc>
        <w:tc>
          <w:tcPr>
            <w:tcW w:w="825" w:type="dxa"/>
            <w:vAlign w:val="center"/>
          </w:tcPr>
          <w:p>
            <w:pPr>
              <w:autoSpaceDE w:val="0"/>
              <w:autoSpaceDN w:val="0"/>
              <w:adjustRightInd w:val="0"/>
              <w:spacing w:line="360" w:lineRule="auto"/>
              <w:ind w:right="71" w:rightChars="34"/>
              <w:rPr>
                <w:rFonts w:ascii="宋体" w:hAnsi="宋体" w:cs="宋体"/>
                <w:color w:val="000000"/>
                <w:spacing w:val="-6"/>
                <w:szCs w:val="21"/>
              </w:rPr>
            </w:pPr>
          </w:p>
        </w:tc>
        <w:tc>
          <w:tcPr>
            <w:tcW w:w="1133" w:type="dxa"/>
            <w:vAlign w:val="center"/>
          </w:tcPr>
          <w:p>
            <w:pPr>
              <w:autoSpaceDE w:val="0"/>
              <w:autoSpaceDN w:val="0"/>
              <w:adjustRightInd w:val="0"/>
              <w:spacing w:line="360" w:lineRule="auto"/>
              <w:ind w:right="71" w:rightChars="34"/>
              <w:rPr>
                <w:rFonts w:ascii="宋体" w:hAnsi="宋体" w:cs="宋体"/>
                <w:color w:val="000000"/>
                <w:spacing w:val="-6"/>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tcBorders>
              <w:bottom w:val="single" w:color="auto" w:sz="4" w:space="0"/>
            </w:tcBorders>
            <w:vAlign w:val="center"/>
          </w:tcPr>
          <w:p>
            <w:pPr>
              <w:spacing w:line="360" w:lineRule="auto"/>
              <w:rPr>
                <w:rFonts w:ascii="宋体" w:hAnsi="宋体" w:cs="宋体"/>
                <w:spacing w:val="-6"/>
                <w:kern w:val="0"/>
                <w:szCs w:val="21"/>
              </w:rPr>
            </w:pPr>
          </w:p>
        </w:tc>
        <w:tc>
          <w:tcPr>
            <w:tcW w:w="5358" w:type="dxa"/>
            <w:tcBorders>
              <w:bottom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c>
          <w:tcPr>
            <w:tcW w:w="825" w:type="dxa"/>
            <w:tcBorders>
              <w:bottom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c>
          <w:tcPr>
            <w:tcW w:w="1133" w:type="dxa"/>
            <w:tcBorders>
              <w:bottom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tcBorders>
              <w:top w:val="single" w:color="auto" w:sz="4" w:space="0"/>
            </w:tcBorders>
            <w:vAlign w:val="center"/>
          </w:tcPr>
          <w:p>
            <w:pPr>
              <w:spacing w:line="360" w:lineRule="auto"/>
              <w:rPr>
                <w:rFonts w:ascii="宋体" w:hAnsi="宋体" w:cs="宋体"/>
                <w:spacing w:val="-6"/>
                <w:kern w:val="0"/>
                <w:szCs w:val="21"/>
              </w:rPr>
            </w:pPr>
          </w:p>
        </w:tc>
        <w:tc>
          <w:tcPr>
            <w:tcW w:w="5358" w:type="dxa"/>
            <w:tcBorders>
              <w:top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c>
          <w:tcPr>
            <w:tcW w:w="825" w:type="dxa"/>
            <w:tcBorders>
              <w:top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c>
          <w:tcPr>
            <w:tcW w:w="1133" w:type="dxa"/>
            <w:tcBorders>
              <w:top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restart"/>
            <w:vAlign w:val="center"/>
          </w:tcPr>
          <w:p>
            <w:pPr>
              <w:spacing w:line="360" w:lineRule="auto"/>
              <w:jc w:val="center"/>
              <w:rPr>
                <w:rFonts w:ascii="宋体" w:hAnsi="宋体" w:cs="宋体"/>
                <w:spacing w:val="-6"/>
                <w:szCs w:val="21"/>
              </w:rPr>
            </w:pPr>
          </w:p>
        </w:tc>
        <w:tc>
          <w:tcPr>
            <w:tcW w:w="1285" w:type="dxa"/>
            <w:vAlign w:val="center"/>
          </w:tcPr>
          <w:p>
            <w:pPr>
              <w:spacing w:line="360" w:lineRule="auto"/>
              <w:rPr>
                <w:rFonts w:ascii="宋体" w:hAnsi="宋体" w:cs="宋体"/>
                <w:spacing w:val="-6"/>
                <w:szCs w:val="21"/>
              </w:rPr>
            </w:pPr>
          </w:p>
        </w:tc>
        <w:tc>
          <w:tcPr>
            <w:tcW w:w="5358" w:type="dxa"/>
            <w:vAlign w:val="center"/>
          </w:tcPr>
          <w:p>
            <w:pPr>
              <w:spacing w:line="360" w:lineRule="auto"/>
              <w:ind w:left="-4" w:leftChars="-2" w:firstLine="1" w:firstLineChars="1"/>
              <w:rPr>
                <w:rFonts w:ascii="宋体" w:hAnsi="宋体" w:cs="宋体"/>
                <w:spacing w:val="-6"/>
                <w:szCs w:val="21"/>
              </w:rPr>
            </w:pPr>
          </w:p>
        </w:tc>
        <w:tc>
          <w:tcPr>
            <w:tcW w:w="825" w:type="dxa"/>
            <w:vAlign w:val="center"/>
          </w:tcPr>
          <w:p>
            <w:pPr>
              <w:spacing w:line="360" w:lineRule="auto"/>
              <w:ind w:left="-4" w:leftChars="-2" w:firstLine="1" w:firstLineChars="1"/>
              <w:rPr>
                <w:rFonts w:ascii="宋体" w:hAnsi="宋体" w:cs="宋体"/>
                <w:spacing w:val="-6"/>
                <w:szCs w:val="21"/>
              </w:rPr>
            </w:pPr>
          </w:p>
        </w:tc>
        <w:tc>
          <w:tcPr>
            <w:tcW w:w="1133" w:type="dxa"/>
            <w:vAlign w:val="center"/>
          </w:tcPr>
          <w:p>
            <w:pPr>
              <w:spacing w:line="360" w:lineRule="auto"/>
              <w:ind w:left="-4" w:leftChars="-2" w:firstLine="1" w:firstLineChars="1"/>
              <w:rPr>
                <w:rFonts w:ascii="宋体" w:hAnsi="宋体" w:cs="宋体"/>
                <w:spacing w:val="-6"/>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ind w:left="-4" w:leftChars="-2" w:firstLine="2" w:firstLineChars="1"/>
              <w:rPr>
                <w:rFonts w:ascii="宋体" w:hAnsi="宋体" w:cs="宋体"/>
                <w:szCs w:val="21"/>
              </w:rPr>
            </w:pPr>
          </w:p>
        </w:tc>
        <w:tc>
          <w:tcPr>
            <w:tcW w:w="1285" w:type="dxa"/>
            <w:vAlign w:val="center"/>
          </w:tcPr>
          <w:p>
            <w:pPr>
              <w:spacing w:line="360" w:lineRule="auto"/>
              <w:ind w:left="-4" w:leftChars="-2" w:firstLine="2" w:firstLineChars="1"/>
              <w:rPr>
                <w:rFonts w:ascii="宋体" w:hAnsi="宋体" w:cs="宋体"/>
                <w:szCs w:val="21"/>
              </w:rPr>
            </w:pPr>
          </w:p>
        </w:tc>
        <w:tc>
          <w:tcPr>
            <w:tcW w:w="5358" w:type="dxa"/>
            <w:vAlign w:val="center"/>
          </w:tcPr>
          <w:p>
            <w:pPr>
              <w:spacing w:line="360" w:lineRule="auto"/>
              <w:ind w:left="-4" w:leftChars="-2" w:firstLine="2" w:firstLineChars="1"/>
              <w:rPr>
                <w:rFonts w:ascii="宋体" w:hAnsi="宋体" w:cs="宋体"/>
                <w:szCs w:val="21"/>
              </w:rPr>
            </w:pPr>
          </w:p>
        </w:tc>
        <w:tc>
          <w:tcPr>
            <w:tcW w:w="825" w:type="dxa"/>
            <w:vAlign w:val="center"/>
          </w:tcPr>
          <w:p>
            <w:pPr>
              <w:spacing w:line="360" w:lineRule="auto"/>
              <w:ind w:left="-4" w:leftChars="-2" w:firstLine="2" w:firstLineChars="1"/>
              <w:rPr>
                <w:rFonts w:ascii="宋体" w:hAnsi="宋体" w:cs="宋体"/>
                <w:szCs w:val="21"/>
              </w:rPr>
            </w:pPr>
          </w:p>
        </w:tc>
        <w:tc>
          <w:tcPr>
            <w:tcW w:w="1133" w:type="dxa"/>
            <w:vAlign w:val="center"/>
          </w:tcPr>
          <w:p>
            <w:pPr>
              <w:spacing w:line="360" w:lineRule="auto"/>
              <w:ind w:left="-4" w:leftChars="-2" w:firstLine="2" w:firstLineChars="1"/>
              <w:rPr>
                <w:rFonts w:ascii="宋体" w:hAnsi="宋体" w:cs="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vAlign w:val="center"/>
          </w:tcPr>
          <w:p>
            <w:pPr>
              <w:spacing w:line="360" w:lineRule="auto"/>
              <w:rPr>
                <w:rFonts w:ascii="宋体" w:hAnsi="宋体" w:cs="宋体"/>
                <w:spacing w:val="-6"/>
                <w:kern w:val="0"/>
                <w:szCs w:val="21"/>
              </w:rPr>
            </w:pPr>
          </w:p>
        </w:tc>
        <w:tc>
          <w:tcPr>
            <w:tcW w:w="5358" w:type="dxa"/>
            <w:vAlign w:val="center"/>
          </w:tcPr>
          <w:p>
            <w:pPr>
              <w:autoSpaceDE w:val="0"/>
              <w:autoSpaceDN w:val="0"/>
              <w:adjustRightInd w:val="0"/>
              <w:spacing w:line="360" w:lineRule="auto"/>
              <w:rPr>
                <w:rFonts w:ascii="宋体" w:hAnsi="宋体" w:cs="宋体"/>
                <w:spacing w:val="-6"/>
                <w:kern w:val="0"/>
                <w:szCs w:val="21"/>
              </w:rPr>
            </w:pPr>
          </w:p>
        </w:tc>
        <w:tc>
          <w:tcPr>
            <w:tcW w:w="825" w:type="dxa"/>
            <w:vAlign w:val="center"/>
          </w:tcPr>
          <w:p>
            <w:pPr>
              <w:autoSpaceDE w:val="0"/>
              <w:autoSpaceDN w:val="0"/>
              <w:adjustRightInd w:val="0"/>
              <w:spacing w:line="360" w:lineRule="auto"/>
              <w:rPr>
                <w:rFonts w:ascii="宋体" w:hAnsi="宋体" w:cs="宋体"/>
                <w:spacing w:val="-6"/>
                <w:kern w:val="0"/>
                <w:szCs w:val="21"/>
              </w:rPr>
            </w:pPr>
          </w:p>
        </w:tc>
        <w:tc>
          <w:tcPr>
            <w:tcW w:w="1133" w:type="dxa"/>
            <w:vAlign w:val="center"/>
          </w:tcPr>
          <w:p>
            <w:pPr>
              <w:autoSpaceDE w:val="0"/>
              <w:autoSpaceDN w:val="0"/>
              <w:adjustRightInd w:val="0"/>
              <w:spacing w:line="360" w:lineRule="auto"/>
              <w:rPr>
                <w:rFonts w:ascii="宋体" w:hAnsi="宋体" w:cs="宋体"/>
                <w:spacing w:val="-6"/>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vAlign w:val="center"/>
          </w:tcPr>
          <w:p>
            <w:pPr>
              <w:spacing w:line="360" w:lineRule="auto"/>
              <w:rPr>
                <w:rFonts w:ascii="宋体" w:hAnsi="宋体" w:cs="宋体"/>
                <w:spacing w:val="-6"/>
                <w:szCs w:val="21"/>
              </w:rPr>
            </w:pPr>
          </w:p>
        </w:tc>
        <w:tc>
          <w:tcPr>
            <w:tcW w:w="5358" w:type="dxa"/>
            <w:vAlign w:val="center"/>
          </w:tcPr>
          <w:p>
            <w:pPr>
              <w:spacing w:line="360" w:lineRule="auto"/>
              <w:ind w:left="-4" w:leftChars="-2" w:firstLine="1" w:firstLineChars="1"/>
              <w:rPr>
                <w:rFonts w:ascii="宋体" w:hAnsi="宋体" w:cs="宋体"/>
                <w:spacing w:val="-6"/>
                <w:szCs w:val="21"/>
              </w:rPr>
            </w:pPr>
          </w:p>
        </w:tc>
        <w:tc>
          <w:tcPr>
            <w:tcW w:w="825" w:type="dxa"/>
            <w:vAlign w:val="center"/>
          </w:tcPr>
          <w:p>
            <w:pPr>
              <w:spacing w:line="360" w:lineRule="auto"/>
              <w:ind w:left="-4" w:leftChars="-2" w:firstLine="1" w:firstLineChars="1"/>
              <w:rPr>
                <w:rFonts w:ascii="宋体" w:hAnsi="宋体" w:cs="宋体"/>
                <w:spacing w:val="-6"/>
                <w:szCs w:val="21"/>
              </w:rPr>
            </w:pPr>
          </w:p>
        </w:tc>
        <w:tc>
          <w:tcPr>
            <w:tcW w:w="1133" w:type="dxa"/>
            <w:vAlign w:val="center"/>
          </w:tcPr>
          <w:p>
            <w:pPr>
              <w:spacing w:line="360" w:lineRule="auto"/>
              <w:ind w:left="-4" w:leftChars="-2" w:firstLine="1" w:firstLineChars="1"/>
              <w:rPr>
                <w:rFonts w:ascii="宋体" w:hAnsi="宋体" w:cs="宋体"/>
                <w:spacing w:val="-6"/>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vAlign w:val="center"/>
          </w:tcPr>
          <w:p>
            <w:pPr>
              <w:spacing w:line="360" w:lineRule="auto"/>
              <w:rPr>
                <w:rFonts w:ascii="宋体" w:hAnsi="宋体" w:cs="宋体"/>
                <w:spacing w:val="-6"/>
                <w:szCs w:val="21"/>
              </w:rPr>
            </w:pPr>
          </w:p>
        </w:tc>
        <w:tc>
          <w:tcPr>
            <w:tcW w:w="5358" w:type="dxa"/>
            <w:vAlign w:val="center"/>
          </w:tcPr>
          <w:p>
            <w:pPr>
              <w:spacing w:line="360" w:lineRule="auto"/>
              <w:rPr>
                <w:rFonts w:ascii="宋体" w:hAnsi="宋体" w:cs="宋体"/>
                <w:spacing w:val="-6"/>
                <w:szCs w:val="21"/>
              </w:rPr>
            </w:pPr>
          </w:p>
        </w:tc>
        <w:tc>
          <w:tcPr>
            <w:tcW w:w="825" w:type="dxa"/>
            <w:vAlign w:val="center"/>
          </w:tcPr>
          <w:p>
            <w:pPr>
              <w:spacing w:line="360" w:lineRule="auto"/>
              <w:rPr>
                <w:rFonts w:ascii="宋体" w:hAnsi="宋体" w:cs="宋体"/>
                <w:spacing w:val="-6"/>
                <w:szCs w:val="21"/>
              </w:rPr>
            </w:pPr>
          </w:p>
        </w:tc>
        <w:tc>
          <w:tcPr>
            <w:tcW w:w="1133" w:type="dxa"/>
            <w:vAlign w:val="center"/>
          </w:tcPr>
          <w:p>
            <w:pPr>
              <w:spacing w:line="360" w:lineRule="auto"/>
              <w:rPr>
                <w:rFonts w:ascii="宋体" w:hAnsi="宋体" w:cs="宋体"/>
                <w:spacing w:val="-6"/>
                <w:szCs w:val="21"/>
              </w:rPr>
            </w:pPr>
          </w:p>
        </w:tc>
      </w:tr>
    </w:tbl>
    <w:p>
      <w:pPr>
        <w:autoSpaceDE w:val="0"/>
        <w:autoSpaceDN w:val="0"/>
        <w:adjustRightInd w:val="0"/>
        <w:spacing w:line="480" w:lineRule="auto"/>
        <w:rPr>
          <w:rFonts w:asciiTheme="minorEastAsia" w:hAnsiTheme="minorEastAsia" w:eastAsiaTheme="minorEastAsia" w:cstheme="minorEastAsia"/>
          <w:b/>
        </w:rPr>
      </w:pPr>
    </w:p>
    <w:p>
      <w:pPr>
        <w:adjustRightInd w:val="0"/>
        <w:snapToGrid w:val="0"/>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
        </w:rPr>
        <w:br w:type="textWrapping"/>
      </w:r>
    </w:p>
    <w:p>
      <w:pPr>
        <w:adjustRightInd w:val="0"/>
        <w:snapToGrid w:val="0"/>
        <w:spacing w:line="480" w:lineRule="auto"/>
        <w:jc w:val="center"/>
        <w:outlineLvl w:val="1"/>
        <w:rPr>
          <w:rFonts w:asciiTheme="minorEastAsia" w:hAnsiTheme="minorEastAsia" w:eastAsiaTheme="minorEastAsia" w:cstheme="minorEastAsia"/>
          <w:b/>
        </w:rPr>
      </w:pPr>
      <w:bookmarkStart w:id="134" w:name="_Toc479184125"/>
      <w:bookmarkStart w:id="135" w:name="_Toc15789"/>
      <w:bookmarkStart w:id="136" w:name="_Toc30144"/>
      <w:bookmarkStart w:id="137" w:name="_Toc18933"/>
      <w:r>
        <w:rPr>
          <w:rFonts w:hint="eastAsia" w:asciiTheme="minorEastAsia" w:hAnsiTheme="minorEastAsia" w:eastAsiaTheme="minorEastAsia" w:cstheme="minorEastAsia"/>
          <w:b/>
        </w:rPr>
        <w:t>二、磋商书</w:t>
      </w:r>
      <w:bookmarkEnd w:id="134"/>
      <w:bookmarkEnd w:id="135"/>
      <w:bookmarkEnd w:id="136"/>
      <w:bookmarkEnd w:id="137"/>
    </w:p>
    <w:p>
      <w:pPr>
        <w:pStyle w:val="20"/>
        <w:rPr>
          <w:rFonts w:asciiTheme="minorEastAsia" w:hAnsiTheme="minorEastAsia" w:eastAsiaTheme="minorEastAsia" w:cstheme="minorEastAsia"/>
          <w:b/>
          <w:szCs w:val="21"/>
        </w:rPr>
      </w:pPr>
    </w:p>
    <w:p>
      <w:pPr>
        <w:autoSpaceDE w:val="0"/>
        <w:autoSpaceDN w:val="0"/>
        <w:adjustRightInd w:val="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bCs/>
          <w:szCs w:val="21"/>
          <w:u w:val="single"/>
        </w:rPr>
        <w:t>（政府采购代理机构）：</w:t>
      </w:r>
    </w:p>
    <w:p>
      <w:pPr>
        <w:autoSpaceDE w:val="0"/>
        <w:autoSpaceDN w:val="0"/>
        <w:adjustRightInd w:val="0"/>
        <w:ind w:left="2" w:firstLine="462" w:firstLineChars="22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依据贵方（项目名称/项目编号）项目第</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包货物的磋商邀请，我方代表（姓名、职务）经正式授权并代表供应商（供应商的名称、地址）提交下述文件正本一份，副本</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份。</w:t>
      </w:r>
    </w:p>
    <w:p>
      <w:pPr>
        <w:numPr>
          <w:ilvl w:val="1"/>
          <w:numId w:val="35"/>
        </w:numPr>
        <w:tabs>
          <w:tab w:val="left" w:pos="840"/>
          <w:tab w:val="clear" w:pos="360"/>
        </w:tabs>
        <w:autoSpaceDE w:val="0"/>
        <w:autoSpaceDN w:val="0"/>
        <w:adjustRightInd w:val="0"/>
        <w:ind w:left="840" w:hanging="42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竞争性磋商响应文件；</w:t>
      </w:r>
    </w:p>
    <w:p>
      <w:pPr>
        <w:numPr>
          <w:ilvl w:val="1"/>
          <w:numId w:val="35"/>
        </w:numPr>
        <w:tabs>
          <w:tab w:val="left" w:pos="840"/>
          <w:tab w:val="clear" w:pos="360"/>
        </w:tabs>
        <w:autoSpaceDE w:val="0"/>
        <w:autoSpaceDN w:val="0"/>
        <w:adjustRightInd w:val="0"/>
        <w:ind w:left="840" w:hanging="42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资格证明文件；</w:t>
      </w:r>
    </w:p>
    <w:p>
      <w:pPr>
        <w:numPr>
          <w:ilvl w:val="1"/>
          <w:numId w:val="35"/>
        </w:numPr>
        <w:tabs>
          <w:tab w:val="left" w:pos="840"/>
          <w:tab w:val="clear" w:pos="360"/>
        </w:tabs>
        <w:autoSpaceDE w:val="0"/>
        <w:autoSpaceDN w:val="0"/>
        <w:adjustRightInd w:val="0"/>
        <w:ind w:left="840" w:hanging="42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按采购的规定递交</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元（人民币大写）的保证金（如有）。</w:t>
      </w:r>
    </w:p>
    <w:p>
      <w:pPr>
        <w:autoSpaceDE w:val="0"/>
        <w:autoSpaceDN w:val="0"/>
        <w:adjustRightInd w:val="0"/>
        <w:ind w:firstLine="422" w:firstLineChars="200"/>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并进行如下承诺声明：</w:t>
      </w:r>
    </w:p>
    <w:p>
      <w:pPr>
        <w:numPr>
          <w:ilvl w:val="0"/>
          <w:numId w:val="36"/>
        </w:numPr>
        <w:tabs>
          <w:tab w:val="left" w:pos="840"/>
        </w:tabs>
        <w:autoSpaceDE w:val="0"/>
        <w:autoSpaceDN w:val="0"/>
        <w:adjustRightInd w:val="0"/>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lang w:val="zh-CN"/>
        </w:rPr>
        <w:t>我公司在参加本次政府采购活动前</w:t>
      </w:r>
      <w:r>
        <w:rPr>
          <w:rFonts w:hint="eastAsia" w:asciiTheme="minorEastAsia" w:hAnsiTheme="minorEastAsia" w:eastAsiaTheme="minorEastAsia" w:cstheme="minorEastAsia"/>
          <w:kern w:val="0"/>
          <w:szCs w:val="21"/>
        </w:rPr>
        <w:t>3年内在经营活动中没有重大违法记录；</w:t>
      </w:r>
    </w:p>
    <w:p>
      <w:pPr>
        <w:numPr>
          <w:ilvl w:val="0"/>
          <w:numId w:val="36"/>
        </w:numPr>
        <w:tabs>
          <w:tab w:val="left" w:pos="840"/>
        </w:tabs>
        <w:autoSpaceDE w:val="0"/>
        <w:autoSpaceDN w:val="0"/>
        <w:adjustRightInd w:val="0"/>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我公司在本响应文件中所提供的全部资格证明文件均真实有效，我方承诺对其真实性负责并承担相应后果；</w:t>
      </w:r>
    </w:p>
    <w:p>
      <w:pPr>
        <w:numPr>
          <w:ilvl w:val="0"/>
          <w:numId w:val="36"/>
        </w:numPr>
        <w:tabs>
          <w:tab w:val="left" w:pos="840"/>
        </w:tabs>
        <w:autoSpaceDE w:val="0"/>
        <w:autoSpaceDN w:val="0"/>
        <w:adjustRightInd w:val="0"/>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我公司在本响应文件中所响应的内容均将成为签订合同的依据，并承诺按响应内容提供相应服务；</w:t>
      </w:r>
    </w:p>
    <w:p>
      <w:pPr>
        <w:numPr>
          <w:ilvl w:val="0"/>
          <w:numId w:val="36"/>
        </w:numPr>
        <w:tabs>
          <w:tab w:val="left" w:pos="840"/>
        </w:tabs>
        <w:autoSpaceDE w:val="0"/>
        <w:autoSpaceDN w:val="0"/>
        <w:adjustRightInd w:val="0"/>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kern w:val="0"/>
          <w:szCs w:val="21"/>
        </w:rPr>
        <w:t>重要声明：</w:t>
      </w:r>
    </w:p>
    <w:p>
      <w:pPr>
        <w:tabs>
          <w:tab w:val="left" w:pos="840"/>
        </w:tabs>
        <w:autoSpaceDE w:val="0"/>
        <w:autoSpaceDN w:val="0"/>
        <w:adjustRightInd w:val="0"/>
        <w:ind w:left="420" w:leftChars="200"/>
        <w:rPr>
          <w:rFonts w:asciiTheme="minorEastAsia" w:hAnsiTheme="minorEastAsia" w:eastAsiaTheme="minorEastAsia" w:cstheme="minorEastAsia"/>
        </w:rPr>
      </w:pPr>
      <w:r>
        <w:rPr>
          <w:rFonts w:hint="eastAsia" w:asciiTheme="minorEastAsia" w:hAnsiTheme="minorEastAsia" w:eastAsiaTheme="minorEastAsia" w:cstheme="minorEastAsia"/>
          <w:kern w:val="0"/>
          <w:szCs w:val="21"/>
        </w:rPr>
        <w:t>4.1</w:t>
      </w:r>
      <w:r>
        <w:rPr>
          <w:rFonts w:hint="eastAsia" w:asciiTheme="minorEastAsia" w:hAnsiTheme="minorEastAsia" w:eastAsiaTheme="minorEastAsia" w:cstheme="minorEastAsia"/>
        </w:rPr>
        <w:t>与我方单位负责人为同一人的其他单位名称：□无；□有，具体单位名称为：</w:t>
      </w:r>
      <w:r>
        <w:rPr>
          <w:rFonts w:hint="eastAsia" w:asciiTheme="minorEastAsia" w:hAnsiTheme="minorEastAsia" w:eastAsiaTheme="minorEastAsia" w:cstheme="minorEastAsia"/>
          <w:u w:val="single"/>
        </w:rPr>
        <w:t>     </w:t>
      </w:r>
      <w:r>
        <w:rPr>
          <w:rFonts w:hint="eastAsia" w:asciiTheme="minorEastAsia" w:hAnsiTheme="minorEastAsia" w:eastAsiaTheme="minorEastAsia" w:cstheme="minorEastAsia"/>
        </w:rPr>
        <w:t xml:space="preserve">      </w:t>
      </w:r>
    </w:p>
    <w:p>
      <w:pPr>
        <w:tabs>
          <w:tab w:val="left" w:pos="840"/>
        </w:tabs>
        <w:autoSpaceDE w:val="0"/>
        <w:autoSpaceDN w:val="0"/>
        <w:adjustRightInd w:val="0"/>
        <w:ind w:left="420" w:leftChars="200"/>
        <w:rPr>
          <w:rFonts w:asciiTheme="minorEastAsia" w:hAnsiTheme="minorEastAsia" w:eastAsiaTheme="minorEastAsia" w:cstheme="minorEastAsia"/>
        </w:rPr>
      </w:pPr>
      <w:r>
        <w:rPr>
          <w:rFonts w:hint="eastAsia" w:asciiTheme="minorEastAsia" w:hAnsiTheme="minorEastAsia" w:eastAsiaTheme="minorEastAsia" w:cstheme="minorEastAsia"/>
        </w:rPr>
        <w:t>4.2与我方存在控股、管理关系的其他单位的名称：□无；□有，具体单位名称为：</w:t>
      </w:r>
      <w:r>
        <w:rPr>
          <w:rFonts w:hint="eastAsia" w:asciiTheme="minorEastAsia" w:hAnsiTheme="minorEastAsia" w:eastAsiaTheme="minorEastAsia" w:cstheme="minorEastAsia"/>
          <w:u w:val="single"/>
        </w:rPr>
        <w:t>     </w:t>
      </w:r>
    </w:p>
    <w:p>
      <w:pPr>
        <w:tabs>
          <w:tab w:val="left" w:pos="840"/>
        </w:tabs>
        <w:autoSpaceDE w:val="0"/>
        <w:autoSpaceDN w:val="0"/>
        <w:adjustRightInd w:val="0"/>
        <w:ind w:left="420" w:leftChars="200"/>
        <w:rPr>
          <w:rFonts w:asciiTheme="minorEastAsia" w:hAnsiTheme="minorEastAsia" w:eastAsiaTheme="minorEastAsia" w:cstheme="minorEastAsia"/>
        </w:rPr>
      </w:pPr>
      <w:r>
        <w:rPr>
          <w:rFonts w:hint="eastAsia" w:asciiTheme="minorEastAsia" w:hAnsiTheme="minorEastAsia" w:eastAsiaTheme="minorEastAsia" w:cstheme="minorEastAsia"/>
        </w:rPr>
        <w:t>4.3参与本项目采购活动前，是否为本项目前期准备提供过整体设计、规范编制或者项目管理、监理、检测等服务：□否；□是，已提供的具体服务内容为：</w:t>
      </w:r>
      <w:r>
        <w:rPr>
          <w:rFonts w:hint="eastAsia" w:asciiTheme="minorEastAsia" w:hAnsiTheme="minorEastAsia" w:eastAsiaTheme="minorEastAsia" w:cstheme="minorEastAsia"/>
          <w:u w:val="single"/>
        </w:rPr>
        <w:t>     </w:t>
      </w:r>
    </w:p>
    <w:p>
      <w:r>
        <w:rPr>
          <w:rFonts w:hint="eastAsia" w:asciiTheme="minorEastAsia" w:hAnsiTheme="minorEastAsia" w:eastAsiaTheme="minorEastAsia" w:cstheme="minorEastAsia"/>
          <w:b/>
          <w:bCs/>
        </w:rPr>
        <w:t>（备注：以上3项声明，必须如实选择，选中项用√表示，未选中项用□表示。①“单位负责人”是指单位法定代表人或者法律、行政法规规定代表单位行使职权的主要负责人。②本条所规定的控股、管理关系仅限于直接控股、直接管理关系，不包括间接的控股或管理关系。③供应商如未如实填报，视为提供虚假材料谋取中标，应承担相应法律责任。）</w:t>
      </w:r>
    </w:p>
    <w:p>
      <w:pPr>
        <w:autoSpaceDE w:val="0"/>
        <w:autoSpaceDN w:val="0"/>
        <w:adjustRightInd w:val="0"/>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在此，我方宣布同意如下：</w:t>
      </w:r>
    </w:p>
    <w:p>
      <w:pPr>
        <w:numPr>
          <w:ilvl w:val="6"/>
          <w:numId w:val="37"/>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所附《报价一览表》中规定的应提交和交付的货物报价总价为</w:t>
      </w:r>
      <w:r>
        <w:rPr>
          <w:rFonts w:hint="eastAsia" w:asciiTheme="minorEastAsia" w:hAnsiTheme="minorEastAsia" w:eastAsiaTheme="minorEastAsia" w:cstheme="minorEastAsia"/>
          <w:kern w:val="0"/>
          <w:szCs w:val="21"/>
          <w:u w:val="single"/>
        </w:rPr>
        <w:t>（注明币种，并用文字和数字表示的报价总价）</w:t>
      </w:r>
      <w:r>
        <w:rPr>
          <w:rFonts w:hint="eastAsia" w:asciiTheme="minorEastAsia" w:hAnsiTheme="minorEastAsia" w:eastAsiaTheme="minorEastAsia" w:cstheme="minorEastAsia"/>
          <w:kern w:val="0"/>
          <w:szCs w:val="21"/>
        </w:rPr>
        <w:t>。</w:t>
      </w:r>
    </w:p>
    <w:p>
      <w:pPr>
        <w:numPr>
          <w:ilvl w:val="6"/>
          <w:numId w:val="37"/>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将按竞争性磋商采购文件的约定履行合同责任和义务。</w:t>
      </w:r>
    </w:p>
    <w:p>
      <w:pPr>
        <w:numPr>
          <w:ilvl w:val="6"/>
          <w:numId w:val="37"/>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已详细审查全部竞争性磋商采购文件，包括</w:t>
      </w:r>
      <w:r>
        <w:rPr>
          <w:rFonts w:hint="eastAsia" w:asciiTheme="minorEastAsia" w:hAnsiTheme="minorEastAsia" w:eastAsiaTheme="minorEastAsia" w:cstheme="minorEastAsia"/>
          <w:kern w:val="0"/>
          <w:szCs w:val="21"/>
          <w:u w:val="single"/>
        </w:rPr>
        <w:t>（补充文件等）</w:t>
      </w:r>
      <w:r>
        <w:rPr>
          <w:rFonts w:hint="eastAsia" w:asciiTheme="minorEastAsia" w:hAnsiTheme="minorEastAsia" w:eastAsiaTheme="minorEastAsia" w:cstheme="minorEastAsia"/>
          <w:kern w:val="0"/>
          <w:szCs w:val="21"/>
        </w:rPr>
        <w:t>，对此无异议。</w:t>
      </w:r>
    </w:p>
    <w:p>
      <w:pPr>
        <w:numPr>
          <w:ilvl w:val="6"/>
          <w:numId w:val="37"/>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本竞争性磋商响应文件的有效期自磋商截止时间起共</w:t>
      </w:r>
      <w:r>
        <w:rPr>
          <w:rFonts w:hint="eastAsia" w:asciiTheme="minorEastAsia" w:hAnsiTheme="minorEastAsia" w:eastAsiaTheme="minorEastAsia" w:cstheme="minorEastAsia"/>
          <w:kern w:val="0"/>
          <w:szCs w:val="21"/>
          <w:u w:val="single"/>
        </w:rPr>
        <w:t xml:space="preserve">  90  </w:t>
      </w:r>
      <w:r>
        <w:rPr>
          <w:rFonts w:hint="eastAsia" w:asciiTheme="minorEastAsia" w:hAnsiTheme="minorEastAsia" w:eastAsiaTheme="minorEastAsia" w:cstheme="minorEastAsia"/>
          <w:kern w:val="0"/>
          <w:szCs w:val="21"/>
        </w:rPr>
        <w:t>日历天。</w:t>
      </w:r>
    </w:p>
    <w:p>
      <w:pPr>
        <w:numPr>
          <w:ilvl w:val="6"/>
          <w:numId w:val="37"/>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接收竞争性磋商采购文件中关于没收保证金的约定。</w:t>
      </w:r>
    </w:p>
    <w:p>
      <w:pPr>
        <w:numPr>
          <w:ilvl w:val="6"/>
          <w:numId w:val="37"/>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同意提供按照贵方可能要求的与其报价有关的一切数据或资料。</w:t>
      </w:r>
    </w:p>
    <w:p>
      <w:pPr>
        <w:numPr>
          <w:ilvl w:val="6"/>
          <w:numId w:val="37"/>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与本报价有关的一切正式往来信函请寄：</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w:t>
      </w:r>
      <w:r>
        <w:rPr>
          <w:rFonts w:hint="eastAsia" w:asciiTheme="minorEastAsia" w:hAnsiTheme="minorEastAsia" w:eastAsiaTheme="minorEastAsia" w:cstheme="minorEastAsia"/>
          <w:kern w:val="0"/>
          <w:szCs w:val="21"/>
        </w:rPr>
        <w:br w:type="textWrapping"/>
      </w:r>
      <w:r>
        <w:rPr>
          <w:rFonts w:hint="eastAsia" w:asciiTheme="minorEastAsia" w:hAnsiTheme="minorEastAsia" w:eastAsiaTheme="minorEastAsia" w:cstheme="minorEastAsia"/>
          <w:kern w:val="0"/>
          <w:szCs w:val="21"/>
        </w:rPr>
        <w:t xml:space="preserve">    8.  我公司若有幸成为本项目的成交供应商，则我公司承诺按照采购文件及成交结果公告规定的方式、时间和金额向采购代理机构交纳成交服务费。</w:t>
      </w:r>
    </w:p>
    <w:p>
      <w:pPr>
        <w:autoSpaceDE w:val="0"/>
        <w:autoSpaceDN w:val="0"/>
        <w:adjustRightInd w:val="0"/>
        <w:ind w:firstLine="420" w:firstLineChars="200"/>
        <w:jc w:val="left"/>
        <w:rPr>
          <w:rFonts w:asciiTheme="minorEastAsia" w:hAnsiTheme="minorEastAsia" w:eastAsiaTheme="minorEastAsia" w:cstheme="minorEastAsia"/>
          <w:kern w:val="0"/>
          <w:szCs w:val="21"/>
        </w:rPr>
      </w:pP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供    应    商：（盖章）</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法定代表人（签字或盖章）：</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通  讯  地  址：</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传        　真：</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电          话：</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电  子  函  件：</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授权代表（签字）：</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日         期：</w:t>
      </w:r>
    </w:p>
    <w:p>
      <w:pPr>
        <w:tabs>
          <w:tab w:val="left" w:pos="540"/>
        </w:tabs>
        <w:autoSpaceDE w:val="0"/>
        <w:autoSpaceDN w:val="0"/>
        <w:adjustRightInd w:val="0"/>
        <w:jc w:val="center"/>
        <w:outlineLvl w:val="1"/>
        <w:rPr>
          <w:rFonts w:asciiTheme="minorEastAsia" w:hAnsiTheme="minorEastAsia" w:eastAsiaTheme="minorEastAsia" w:cstheme="minorEastAsia"/>
          <w:b/>
        </w:rPr>
      </w:pPr>
      <w:bookmarkStart w:id="138" w:name="_Toc24205"/>
      <w:bookmarkStart w:id="139" w:name="_Toc479184126"/>
      <w:bookmarkStart w:id="140" w:name="_Toc13746"/>
      <w:bookmarkStart w:id="141" w:name="_Toc13969"/>
      <w:r>
        <w:rPr>
          <w:rFonts w:hint="eastAsia" w:asciiTheme="minorEastAsia" w:hAnsiTheme="minorEastAsia" w:eastAsiaTheme="minorEastAsia" w:cstheme="minorEastAsia"/>
          <w:b/>
        </w:rPr>
        <w:br w:type="textWrapping"/>
      </w:r>
      <w:r>
        <w:rPr>
          <w:rFonts w:hint="eastAsia" w:asciiTheme="minorEastAsia" w:hAnsiTheme="minorEastAsia" w:eastAsiaTheme="minorEastAsia" w:cstheme="minorEastAsia"/>
          <w:b/>
        </w:rPr>
        <w:br w:type="textWrapping"/>
      </w:r>
      <w:r>
        <w:rPr>
          <w:rFonts w:hint="eastAsia" w:asciiTheme="minorEastAsia" w:hAnsiTheme="minorEastAsia" w:eastAsiaTheme="minorEastAsia" w:cstheme="minorEastAsia"/>
          <w:b/>
        </w:rPr>
        <w:br w:type="textWrapping"/>
      </w:r>
      <w:r>
        <w:rPr>
          <w:rFonts w:hint="eastAsia" w:asciiTheme="minorEastAsia" w:hAnsiTheme="minorEastAsia" w:eastAsiaTheme="minorEastAsia" w:cstheme="minorEastAsia"/>
          <w:b/>
        </w:rPr>
        <w:t>三、法定代表人授权书</w:t>
      </w:r>
      <w:bookmarkEnd w:id="138"/>
      <w:bookmarkEnd w:id="139"/>
      <w:bookmarkEnd w:id="140"/>
      <w:bookmarkEnd w:id="141"/>
    </w:p>
    <w:p>
      <w:pPr>
        <w:rPr>
          <w:rFonts w:asciiTheme="minorEastAsia" w:hAnsiTheme="minorEastAsia" w:eastAsiaTheme="minorEastAsia" w:cstheme="minorEastAsia"/>
          <w:kern w:val="0"/>
          <w:szCs w:val="21"/>
        </w:rPr>
      </w:pPr>
    </w:p>
    <w:p>
      <w:pPr>
        <w:rPr>
          <w:rFonts w:asciiTheme="minorEastAsia" w:hAnsiTheme="minorEastAsia" w:eastAsiaTheme="minorEastAsia" w:cstheme="minorEastAsia"/>
          <w:kern w:val="0"/>
          <w:szCs w:val="21"/>
        </w:rPr>
      </w:pP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兹授权</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同志为我公司参加贵单位组织的</w:t>
      </w:r>
      <w:r>
        <w:rPr>
          <w:rFonts w:hint="eastAsia" w:asciiTheme="minorEastAsia" w:hAnsiTheme="minorEastAsia" w:eastAsiaTheme="minorEastAsia" w:cstheme="minorEastAsia"/>
          <w:kern w:val="0"/>
          <w:szCs w:val="21"/>
          <w:u w:val="single"/>
        </w:rPr>
        <w:t>（项目名称）</w:t>
      </w:r>
      <w:r>
        <w:rPr>
          <w:rFonts w:hint="eastAsia" w:asciiTheme="minorEastAsia" w:hAnsiTheme="minorEastAsia" w:eastAsiaTheme="minorEastAsia" w:cstheme="minorEastAsia"/>
          <w:kern w:val="0"/>
          <w:szCs w:val="21"/>
        </w:rPr>
        <w:t>采购活动的供应商代表人（磋商代表），全权代表我公司处理在该项目采购活动中的一切事宜。代理期限从</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年 </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月</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日起至</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年 </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月</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日止。</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授权单位（盖章）：</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 </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法定代表人（签字或盖章）：</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 </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签发日期：</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年 </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月</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日         </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附：</w:t>
      </w:r>
      <w:r>
        <w:rPr>
          <w:rFonts w:hint="eastAsia" w:asciiTheme="minorEastAsia" w:hAnsiTheme="minorEastAsia" w:eastAsiaTheme="minorEastAsia" w:cstheme="minorEastAsia"/>
          <w:kern w:val="0"/>
          <w:szCs w:val="21"/>
          <w:u w:val="single"/>
        </w:rPr>
        <w:t xml:space="preserve">                               </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u w:val="single"/>
        </w:rPr>
      </w:pPr>
      <w:r>
        <w:rPr>
          <w:rFonts w:hint="eastAsia" w:asciiTheme="minorEastAsia" w:hAnsiTheme="minorEastAsia" w:eastAsiaTheme="minorEastAsia" w:cstheme="minorEastAsia"/>
          <w:kern w:val="0"/>
          <w:szCs w:val="21"/>
        </w:rPr>
        <w:t>授权代表职务：</w:t>
      </w:r>
      <w:r>
        <w:rPr>
          <w:rFonts w:hint="eastAsia" w:asciiTheme="minorEastAsia" w:hAnsiTheme="minorEastAsia" w:eastAsiaTheme="minorEastAsia" w:cstheme="minorEastAsia"/>
          <w:kern w:val="0"/>
          <w:szCs w:val="21"/>
          <w:u w:val="single"/>
        </w:rPr>
        <w:t xml:space="preserve">                            </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性别：</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  </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授权代表身份证号码：</w:t>
      </w:r>
      <w:r>
        <w:rPr>
          <w:rFonts w:hint="eastAsia" w:asciiTheme="minorEastAsia" w:hAnsiTheme="minorEastAsia" w:eastAsiaTheme="minorEastAsia" w:cstheme="minorEastAsia"/>
          <w:kern w:val="0"/>
          <w:szCs w:val="21"/>
          <w:u w:val="single"/>
        </w:rPr>
        <w:t xml:space="preserve">                                                                                    </w:t>
      </w:r>
    </w:p>
    <w:tbl>
      <w:tblPr>
        <w:tblStyle w:val="2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4" w:hRule="atLeast"/>
          <w:jc w:val="center"/>
        </w:trPr>
        <w:tc>
          <w:tcPr>
            <w:tcW w:w="9071" w:type="dxa"/>
          </w:tcPr>
          <w:p>
            <w:pPr>
              <w:autoSpaceDE w:val="0"/>
              <w:autoSpaceDN w:val="0"/>
              <w:adjustRightInd w:val="0"/>
              <w:spacing w:line="360" w:lineRule="auto"/>
              <w:jc w:val="left"/>
            </w:pPr>
            <w:r>
              <w:rPr>
                <w:rFonts w:hint="eastAsia"/>
              </w:rPr>
              <w:t>授权代表身份证正反面（真彩扫描件）：</w:t>
            </w:r>
          </w:p>
          <w:p>
            <w:pPr>
              <w:autoSpaceDE w:val="0"/>
              <w:autoSpaceDN w:val="0"/>
              <w:adjustRightInd w:val="0"/>
              <w:spacing w:line="360" w:lineRule="auto"/>
              <w:jc w:val="left"/>
            </w:pPr>
            <w:r>
              <w:rPr>
                <w:rFonts w:hint="eastAsia"/>
              </w:rPr>
              <w:t>法定代表人身份证正反面（真彩扫描件）：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9071" w:type="dxa"/>
          </w:tcPr>
          <w:p>
            <w:pPr>
              <w:autoSpaceDE w:val="0"/>
              <w:autoSpaceDN w:val="0"/>
              <w:adjustRightInd w:val="0"/>
              <w:spacing w:line="360" w:lineRule="auto"/>
              <w:jc w:val="left"/>
            </w:pPr>
            <w:r>
              <w:rPr>
                <w:rFonts w:hint="eastAsia"/>
                <w:b/>
                <w:bCs/>
              </w:rPr>
              <w:t>注：如法定代表人直接参加磋商并签署响应文件，无须提供本授权书。</w:t>
            </w:r>
          </w:p>
        </w:tc>
      </w:tr>
    </w:tbl>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bookmarkStart w:id="142" w:name="_Toc479184127"/>
      <w:bookmarkStart w:id="143" w:name="_Toc29904"/>
      <w:bookmarkStart w:id="144" w:name="_Toc30245"/>
      <w:bookmarkStart w:id="145" w:name="_Toc360120184"/>
      <w:bookmarkStart w:id="146" w:name="_Toc432149008"/>
      <w:bookmarkStart w:id="147" w:name="_Toc424832832"/>
      <w:bookmarkStart w:id="148" w:name="_Toc30476"/>
      <w:bookmarkStart w:id="149" w:name="_Toc11441"/>
      <w:r>
        <w:rPr>
          <w:rFonts w:hint="eastAsia" w:asciiTheme="minorEastAsia" w:hAnsiTheme="minorEastAsia" w:eastAsiaTheme="minorEastAsia" w:cstheme="minorEastAsia"/>
          <w:b/>
          <w:bCs/>
          <w:kern w:val="0"/>
          <w:szCs w:val="21"/>
        </w:rPr>
        <w:br w:type="textWrapping"/>
      </w:r>
      <w:r>
        <w:rPr>
          <w:rFonts w:hint="eastAsia" w:asciiTheme="minorEastAsia" w:hAnsiTheme="minorEastAsia" w:eastAsiaTheme="minorEastAsia" w:cstheme="minorEastAsia"/>
          <w:b/>
          <w:bCs/>
          <w:kern w:val="0"/>
          <w:szCs w:val="21"/>
        </w:rPr>
        <w:br w:type="textWrapping"/>
      </w:r>
      <w:r>
        <w:rPr>
          <w:rFonts w:hint="eastAsia" w:asciiTheme="minorEastAsia" w:hAnsiTheme="minorEastAsia" w:eastAsiaTheme="minorEastAsia" w:cstheme="minorEastAsia"/>
          <w:b/>
          <w:bCs/>
          <w:kern w:val="0"/>
          <w:szCs w:val="21"/>
        </w:rPr>
        <w:t>四、</w:t>
      </w:r>
      <w:r>
        <w:rPr>
          <w:rFonts w:hint="eastAsia" w:asciiTheme="minorEastAsia" w:hAnsiTheme="minorEastAsia" w:eastAsiaTheme="minorEastAsia" w:cstheme="minorEastAsia"/>
          <w:b/>
          <w:bCs/>
          <w:szCs w:val="21"/>
        </w:rPr>
        <w:t>法定代表人身份证明书</w:t>
      </w:r>
      <w:bookmarkEnd w:id="142"/>
      <w:bookmarkEnd w:id="143"/>
      <w:bookmarkEnd w:id="144"/>
      <w:bookmarkEnd w:id="145"/>
      <w:bookmarkEnd w:id="146"/>
      <w:bookmarkEnd w:id="147"/>
      <w:bookmarkEnd w:id="148"/>
      <w:bookmarkEnd w:id="149"/>
    </w:p>
    <w:p>
      <w:pPr>
        <w:spacing w:line="360" w:lineRule="auto"/>
        <w:rPr>
          <w:rFonts w:asciiTheme="minorEastAsia" w:hAnsiTheme="minorEastAsia" w:eastAsiaTheme="minorEastAsia" w:cstheme="minorEastAsia"/>
          <w:kern w:val="0"/>
          <w:szCs w:val="21"/>
        </w:rPr>
      </w:pPr>
    </w:p>
    <w:p>
      <w:pPr>
        <w:spacing w:line="360" w:lineRule="auto"/>
        <w:ind w:firstLine="630" w:firstLineChars="3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兹证明</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（姓名）</w:t>
      </w:r>
      <w:r>
        <w:rPr>
          <w:rFonts w:hint="eastAsia" w:asciiTheme="minorEastAsia" w:hAnsiTheme="minorEastAsia" w:eastAsiaTheme="minorEastAsia" w:cstheme="minorEastAsia"/>
          <w:szCs w:val="21"/>
        </w:rPr>
        <w:t>在我单位任</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职务</w:t>
      </w:r>
      <w:r>
        <w:rPr>
          <w:rFonts w:hint="eastAsia" w:asciiTheme="minorEastAsia" w:hAnsiTheme="minorEastAsia" w:eastAsiaTheme="minorEastAsia" w:cstheme="minorEastAsia"/>
          <w:kern w:val="0"/>
          <w:szCs w:val="21"/>
        </w:rPr>
        <w:t>，系</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（供应商）的法定代表人。</w:t>
      </w:r>
    </w:p>
    <w:p>
      <w:pPr>
        <w:spacing w:line="360" w:lineRule="auto"/>
        <w:ind w:firstLine="630" w:firstLineChars="300"/>
        <w:rPr>
          <w:rFonts w:asciiTheme="minorEastAsia" w:hAnsiTheme="minorEastAsia" w:eastAsiaTheme="minorEastAsia" w:cstheme="minorEastAsia"/>
          <w:kern w:val="0"/>
          <w:szCs w:val="21"/>
        </w:rPr>
      </w:pPr>
    </w:p>
    <w:p>
      <w:pPr>
        <w:spacing w:line="360" w:lineRule="auto"/>
        <w:ind w:firstLine="630" w:firstLineChars="3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供应商（盖章）：</w:t>
      </w:r>
      <w:r>
        <w:rPr>
          <w:rFonts w:hint="eastAsia" w:asciiTheme="minorEastAsia" w:hAnsiTheme="minorEastAsia" w:eastAsiaTheme="minorEastAsia" w:cstheme="minorEastAsia"/>
          <w:kern w:val="0"/>
          <w:szCs w:val="21"/>
          <w:u w:val="single"/>
        </w:rPr>
        <w:t xml:space="preserve">                             </w:t>
      </w:r>
    </w:p>
    <w:p>
      <w:pPr>
        <w:spacing w:line="360" w:lineRule="auto"/>
        <w:ind w:firstLine="630" w:firstLineChars="3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法定代表人（签字或盖章）：</w:t>
      </w:r>
      <w:r>
        <w:rPr>
          <w:rFonts w:hint="eastAsia" w:asciiTheme="minorEastAsia" w:hAnsiTheme="minorEastAsia" w:eastAsiaTheme="minorEastAsia" w:cstheme="minorEastAsia"/>
          <w:kern w:val="0"/>
          <w:szCs w:val="21"/>
          <w:u w:val="single"/>
        </w:rPr>
        <w:t xml:space="preserve">                         </w:t>
      </w:r>
    </w:p>
    <w:p>
      <w:pPr>
        <w:spacing w:line="360" w:lineRule="auto"/>
        <w:ind w:firstLine="630" w:firstLineChars="3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性别：</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年龄：</w:t>
      </w:r>
      <w:r>
        <w:rPr>
          <w:rFonts w:hint="eastAsia" w:asciiTheme="minorEastAsia" w:hAnsiTheme="minorEastAsia" w:eastAsiaTheme="minorEastAsia" w:cstheme="minorEastAsia"/>
          <w:kern w:val="0"/>
          <w:szCs w:val="21"/>
          <w:u w:val="single"/>
        </w:rPr>
        <w:t xml:space="preserve">        </w:t>
      </w:r>
    </w:p>
    <w:p>
      <w:pPr>
        <w:spacing w:line="360" w:lineRule="auto"/>
        <w:ind w:firstLine="630" w:firstLineChars="3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身份证号码：</w:t>
      </w:r>
      <w:r>
        <w:rPr>
          <w:rFonts w:hint="eastAsia" w:asciiTheme="minorEastAsia" w:hAnsiTheme="minorEastAsia" w:eastAsiaTheme="minorEastAsia" w:cstheme="minorEastAsia"/>
          <w:kern w:val="0"/>
          <w:szCs w:val="21"/>
          <w:u w:val="single"/>
        </w:rPr>
        <w:t xml:space="preserve">                  </w:t>
      </w:r>
    </w:p>
    <w:p>
      <w:pPr>
        <w:spacing w:line="360" w:lineRule="auto"/>
        <w:ind w:firstLine="5985" w:firstLineChars="285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年</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月</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日</w:t>
      </w:r>
    </w:p>
    <w:p>
      <w:pPr>
        <w:autoSpaceDE w:val="0"/>
        <w:autoSpaceDN w:val="0"/>
        <w:adjustRightInd w:val="0"/>
        <w:spacing w:line="360" w:lineRule="auto"/>
        <w:rPr>
          <w:rFonts w:asciiTheme="minorEastAsia" w:hAnsiTheme="minorEastAsia" w:eastAsiaTheme="minorEastAsia" w:cstheme="minorEastAsia"/>
          <w:kern w:val="0"/>
          <w:szCs w:val="21"/>
        </w:rPr>
      </w:pPr>
    </w:p>
    <w:p>
      <w:pPr>
        <w:autoSpaceDE w:val="0"/>
        <w:autoSpaceDN w:val="0"/>
        <w:adjustRightInd w:val="0"/>
        <w:spacing w:line="360" w:lineRule="auto"/>
        <w:rPr>
          <w:rFonts w:asciiTheme="minorEastAsia" w:hAnsiTheme="minorEastAsia" w:eastAsiaTheme="minorEastAsia" w:cstheme="minorEastAsia"/>
          <w:kern w:val="0"/>
          <w:szCs w:val="21"/>
        </w:rPr>
      </w:pPr>
    </w:p>
    <w:p>
      <w:pPr>
        <w:autoSpaceDE w:val="0"/>
        <w:autoSpaceDN w:val="0"/>
        <w:adjustRightInd w:val="0"/>
        <w:spacing w:line="360" w:lineRule="auto"/>
        <w:rPr>
          <w:rFonts w:asciiTheme="minorEastAsia" w:hAnsiTheme="minorEastAsia" w:eastAsiaTheme="minorEastAsia" w:cstheme="minorEastAsia"/>
          <w:kern w:val="0"/>
          <w:szCs w:val="21"/>
        </w:rPr>
      </w:pPr>
    </w:p>
    <w:tbl>
      <w:tblPr>
        <w:tblStyle w:val="2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5" w:hRule="atLeast"/>
          <w:jc w:val="center"/>
        </w:trPr>
        <w:tc>
          <w:tcPr>
            <w:tcW w:w="9071" w:type="dxa"/>
          </w:tcPr>
          <w:p>
            <w:pPr>
              <w:spacing w:line="360" w:lineRule="auto"/>
              <w:rPr>
                <w:rFonts w:asciiTheme="minorEastAsia" w:hAnsiTheme="minorEastAsia" w:eastAsiaTheme="minorEastAsia" w:cstheme="minorEastAsia"/>
                <w:kern w:val="0"/>
                <w:szCs w:val="21"/>
              </w:rPr>
            </w:pPr>
          </w:p>
          <w:p>
            <w:pPr>
              <w:spacing w:line="360" w:lineRule="auto"/>
              <w:rPr>
                <w:rFonts w:asciiTheme="minorEastAsia" w:hAnsiTheme="minorEastAsia" w:eastAsiaTheme="minorEastAsia" w:cstheme="minorEastAsia"/>
                <w:kern w:val="0"/>
                <w:szCs w:val="21"/>
              </w:rPr>
            </w:pPr>
            <w:r>
              <w:rPr>
                <w:rFonts w:hint="eastAsia"/>
              </w:rPr>
              <w:t>法定代表人身份证正反面（真彩扫描件）：</w:t>
            </w:r>
          </w:p>
        </w:tc>
      </w:tr>
    </w:tbl>
    <w:p>
      <w:pPr>
        <w:spacing w:line="360" w:lineRule="auto"/>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注：本表适用于供应商不授权代理人，而由法定代表人直接参加磋商并签署响应文件的情况；</w:t>
      </w:r>
    </w:p>
    <w:p>
      <w:pPr>
        <w:rPr>
          <w:rFonts w:asciiTheme="minorEastAsia" w:hAnsiTheme="minorEastAsia" w:eastAsiaTheme="minorEastAsia" w:cstheme="minorEastAsia"/>
          <w:b/>
          <w:kern w:val="0"/>
          <w:szCs w:val="21"/>
        </w:rPr>
      </w:pP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bCs/>
          <w:szCs w:val="21"/>
        </w:rPr>
      </w:pPr>
    </w:p>
    <w:p>
      <w:pPr>
        <w:tabs>
          <w:tab w:val="left" w:pos="3969"/>
        </w:tabs>
        <w:spacing w:line="500" w:lineRule="exact"/>
        <w:rPr>
          <w:rFonts w:asciiTheme="minorEastAsia" w:hAnsiTheme="minorEastAsia" w:eastAsiaTheme="minorEastAsia" w:cstheme="minorEastAsia"/>
          <w:szCs w:val="21"/>
        </w:rPr>
      </w:pP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bookmarkStart w:id="150" w:name="_Toc432149006"/>
      <w:bookmarkStart w:id="151" w:name="_Toc422466732"/>
      <w:r>
        <w:rPr>
          <w:rFonts w:hint="eastAsia" w:asciiTheme="minorEastAsia" w:hAnsiTheme="minorEastAsia" w:eastAsiaTheme="minorEastAsia" w:cstheme="minorEastAsia"/>
          <w:b/>
          <w:bCs/>
          <w:sz w:val="24"/>
        </w:rPr>
        <w:br w:type="page"/>
      </w:r>
      <w:bookmarkStart w:id="152" w:name="_Toc4301"/>
      <w:bookmarkStart w:id="153" w:name="_Toc479184128"/>
      <w:bookmarkStart w:id="154" w:name="_Toc4741"/>
      <w:bookmarkStart w:id="155" w:name="_Toc7552"/>
      <w:r>
        <w:rPr>
          <w:rFonts w:hint="eastAsia" w:asciiTheme="minorEastAsia" w:hAnsiTheme="minorEastAsia" w:eastAsiaTheme="minorEastAsia" w:cstheme="minorEastAsia"/>
          <w:b/>
          <w:bCs/>
          <w:szCs w:val="21"/>
        </w:rPr>
        <w:t>五、报价一览表</w:t>
      </w:r>
      <w:bookmarkEnd w:id="150"/>
      <w:bookmarkEnd w:id="151"/>
      <w:bookmarkEnd w:id="152"/>
      <w:bookmarkEnd w:id="153"/>
      <w:bookmarkEnd w:id="154"/>
      <w:bookmarkEnd w:id="155"/>
    </w:p>
    <w:p>
      <w:pPr>
        <w:adjustRightInd w:val="0"/>
        <w:snapToGrid w:val="0"/>
        <w:ind w:left="-88" w:leftChars="-42"/>
        <w:rPr>
          <w:rFonts w:asciiTheme="minorEastAsia" w:hAnsiTheme="minorEastAsia" w:eastAsiaTheme="minorEastAsia" w:cstheme="minorEastAsia"/>
          <w:szCs w:val="21"/>
        </w:rPr>
      </w:pPr>
      <w:r>
        <w:rPr>
          <w:rFonts w:hint="eastAsia" w:asciiTheme="minorEastAsia" w:hAnsiTheme="minorEastAsia" w:eastAsiaTheme="minorEastAsia" w:cstheme="minorEastAsia"/>
        </w:rPr>
        <w:t xml:space="preserve">            </w:t>
      </w:r>
    </w:p>
    <w:p>
      <w:pPr>
        <w:adjustRightInd w:val="0"/>
        <w:snapToGrid w:val="0"/>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项目名称：</w:t>
      </w:r>
      <w:r>
        <w:rPr>
          <w:rFonts w:hint="eastAsia" w:asciiTheme="minorEastAsia" w:hAnsiTheme="minorEastAsia" w:eastAsiaTheme="minorEastAsia" w:cstheme="minorEastAsia"/>
          <w:szCs w:val="21"/>
          <w:u w:val="single"/>
        </w:rPr>
        <w:t xml:space="preserve">                         </w:t>
      </w: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tbl>
      <w:tblPr>
        <w:tblStyle w:val="26"/>
        <w:tblW w:w="858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18"/>
        <w:gridCol w:w="616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供应商名称</w:t>
            </w:r>
          </w:p>
        </w:tc>
        <w:tc>
          <w:tcPr>
            <w:tcW w:w="6166"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宋体" w:hAnsi="宋体"/>
                <w:szCs w:val="21"/>
              </w:rPr>
              <w:t>供应商地址</w:t>
            </w:r>
          </w:p>
        </w:tc>
        <w:tc>
          <w:tcPr>
            <w:tcW w:w="6166"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竞标报价</w:t>
            </w:r>
          </w:p>
        </w:tc>
        <w:tc>
          <w:tcPr>
            <w:tcW w:w="6166" w:type="dxa"/>
            <w:tcBorders>
              <w:top w:val="single" w:color="auto" w:sz="4" w:space="0"/>
              <w:left w:val="single" w:color="auto" w:sz="4" w:space="0"/>
              <w:bottom w:val="single" w:color="auto" w:sz="4" w:space="0"/>
              <w:right w:val="single" w:color="auto" w:sz="4" w:space="0"/>
            </w:tcBorders>
            <w:vAlign w:val="center"/>
          </w:tcPr>
          <w:p>
            <w:pPr>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u w:val="single"/>
              </w:rPr>
              <w:t xml:space="preserve">大写：      </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u w:val="single"/>
              </w:rPr>
              <w:t xml:space="preserve">小写：      </w:t>
            </w:r>
            <w:r>
              <w:rPr>
                <w:rFonts w:hint="eastAsia" w:asciiTheme="minorEastAsia" w:hAnsiTheme="minorEastAsia" w:eastAsiaTheme="minorEastAsia" w:cstheme="minorEastAsia"/>
                <w:szCs w:val="21"/>
              </w:rPr>
              <w:t>万元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主要产品概况</w:t>
            </w:r>
          </w:p>
        </w:tc>
        <w:tc>
          <w:tcPr>
            <w:tcW w:w="6166"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请填写本项目主要产品的品牌、规格型号和制造商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交货期</w:t>
            </w:r>
          </w:p>
        </w:tc>
        <w:tc>
          <w:tcPr>
            <w:tcW w:w="6166"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质保期/保修期</w:t>
            </w:r>
          </w:p>
        </w:tc>
        <w:tc>
          <w:tcPr>
            <w:tcW w:w="6166"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优惠声明</w:t>
            </w:r>
          </w:p>
        </w:tc>
        <w:tc>
          <w:tcPr>
            <w:tcW w:w="6166"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t>□</w:t>
            </w:r>
            <w:r>
              <w:rPr>
                <w:rFonts w:hint="eastAsia" w:asciiTheme="minorEastAsia" w:hAnsiTheme="minorEastAsia" w:eastAsiaTheme="minorEastAsia" w:cstheme="minorEastAsia"/>
                <w:szCs w:val="21"/>
              </w:rPr>
              <w:t xml:space="preserve">有；      </w:t>
            </w:r>
            <w:r>
              <w:rPr>
                <w:rFonts w:asciiTheme="minorEastAsia" w:hAnsiTheme="minorEastAsia" w:eastAsiaTheme="minorEastAsia" w:cstheme="minorEastAsia"/>
                <w:szCs w:val="21"/>
              </w:rPr>
              <w:t>□</w:t>
            </w:r>
            <w:r>
              <w:rPr>
                <w:rFonts w:hint="eastAsia" w:asciiTheme="minorEastAsia" w:hAnsiTheme="minorEastAsia" w:eastAsiaTheme="minorEastAsia" w:cstheme="minorEastAsia"/>
                <w:szCs w:val="21"/>
              </w:rPr>
              <w:t>无；</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r>
              <w:rPr>
                <w:rFonts w:hint="eastAsia" w:asciiTheme="minorEastAsia" w:hAnsiTheme="minorEastAsia" w:eastAsiaTheme="minorEastAsia" w:cstheme="minorEastAsia"/>
                <w:szCs w:val="21"/>
              </w:rPr>
              <w:t>备注</w:t>
            </w:r>
          </w:p>
        </w:tc>
        <w:tc>
          <w:tcPr>
            <w:tcW w:w="6166" w:type="dxa"/>
            <w:tcBorders>
              <w:top w:val="single" w:color="auto" w:sz="4" w:space="0"/>
              <w:left w:val="single" w:color="auto" w:sz="4" w:space="0"/>
              <w:bottom w:val="single" w:color="auto" w:sz="4" w:space="0"/>
              <w:right w:val="single" w:color="auto" w:sz="4" w:space="0"/>
            </w:tcBorders>
            <w:vAlign w:val="center"/>
          </w:tcPr>
          <w:p>
            <w:pPr>
              <w:pStyle w:val="8"/>
            </w:pPr>
            <w:r>
              <w:rPr>
                <w:rFonts w:hint="eastAsia" w:asciiTheme="minorEastAsia" w:hAnsiTheme="minorEastAsia" w:eastAsiaTheme="minorEastAsia" w:cstheme="minorEastAsia"/>
                <w:szCs w:val="21"/>
              </w:rPr>
              <w:t>如有优惠声明，</w:t>
            </w:r>
            <w:r>
              <w:rPr>
                <w:rFonts w:asciiTheme="minorEastAsia" w:hAnsiTheme="minorEastAsia" w:eastAsiaTheme="minorEastAsia" w:cstheme="minorEastAsia"/>
                <w:szCs w:val="21"/>
              </w:rPr>
              <w:t>优惠声明</w:t>
            </w:r>
            <w:r>
              <w:rPr>
                <w:rFonts w:hint="eastAsia" w:asciiTheme="minorEastAsia" w:hAnsiTheme="minorEastAsia" w:eastAsiaTheme="minorEastAsia" w:cstheme="minorEastAsia"/>
                <w:szCs w:val="21"/>
              </w:rPr>
              <w:t>后的价格必须与竞标报价一致。</w:t>
            </w:r>
          </w:p>
        </w:tc>
      </w:tr>
    </w:tbl>
    <w:p>
      <w:pPr>
        <w:spacing w:line="360" w:lineRule="auto"/>
        <w:ind w:firstLine="525" w:firstLineChars="25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w:t>
      </w:r>
      <w:r>
        <w:rPr>
          <w:rFonts w:hint="eastAsia" w:asciiTheme="minorEastAsia" w:hAnsiTheme="minorEastAsia" w:eastAsiaTheme="minorEastAsia" w:cstheme="minorEastAsia"/>
          <w:bCs/>
          <w:szCs w:val="21"/>
        </w:rPr>
        <w:t>：</w:t>
      </w:r>
      <w:r>
        <w:rPr>
          <w:rFonts w:hint="eastAsia" w:asciiTheme="minorEastAsia" w:hAnsiTheme="minorEastAsia" w:eastAsiaTheme="minorEastAsia" w:cstheme="minorEastAsia"/>
          <w:szCs w:val="21"/>
        </w:rPr>
        <w:t>价格应按照“供应商须知” 的要求报价。</w:t>
      </w: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磋商供应商法定代表人（签字）：</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磋商供应商名称（盖章）：</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时                 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szCs w:val="21"/>
          <w:u w:val="single"/>
        </w:rPr>
      </w:pPr>
      <w:bookmarkStart w:id="156" w:name="_Toc259028723"/>
      <w:bookmarkStart w:id="157" w:name="_Toc460258117"/>
      <w:bookmarkStart w:id="158" w:name="_Toc424832831"/>
      <w:bookmarkStart w:id="159" w:name="_Toc432149007"/>
      <w:r>
        <w:rPr>
          <w:rFonts w:hint="eastAsia" w:asciiTheme="minorEastAsia" w:hAnsiTheme="minorEastAsia" w:eastAsiaTheme="minorEastAsia" w:cstheme="minorEastAsia"/>
          <w:b/>
          <w:bCs/>
          <w:sz w:val="24"/>
        </w:rPr>
        <w:br w:type="page"/>
      </w:r>
      <w:bookmarkStart w:id="160" w:name="_Toc1079"/>
      <w:bookmarkStart w:id="161" w:name="_Toc479184129"/>
      <w:bookmarkStart w:id="162" w:name="_Toc18559"/>
      <w:bookmarkStart w:id="163" w:name="_Toc31837"/>
      <w:r>
        <w:rPr>
          <w:rFonts w:hint="eastAsia" w:asciiTheme="minorEastAsia" w:hAnsiTheme="minorEastAsia" w:eastAsiaTheme="minorEastAsia" w:cstheme="minorEastAsia"/>
          <w:b/>
          <w:bCs/>
          <w:szCs w:val="21"/>
        </w:rPr>
        <w:t>六、</w:t>
      </w:r>
      <w:bookmarkEnd w:id="156"/>
      <w:bookmarkEnd w:id="157"/>
      <w:bookmarkEnd w:id="160"/>
      <w:bookmarkEnd w:id="161"/>
      <w:bookmarkEnd w:id="162"/>
      <w:r>
        <w:rPr>
          <w:rFonts w:hint="eastAsia" w:asciiTheme="minorEastAsia" w:hAnsiTheme="minorEastAsia" w:eastAsiaTheme="minorEastAsia" w:cstheme="minorEastAsia"/>
          <w:b/>
          <w:bCs/>
          <w:szCs w:val="21"/>
        </w:rPr>
        <w:t>报价费用构成表</w:t>
      </w:r>
      <w:bookmarkEnd w:id="163"/>
      <w:r>
        <w:rPr>
          <w:rFonts w:hint="eastAsia" w:asciiTheme="minorEastAsia" w:hAnsiTheme="minorEastAsia" w:eastAsiaTheme="minorEastAsia" w:cstheme="minorEastAsia"/>
          <w:szCs w:val="21"/>
          <w:u w:val="single"/>
        </w:rPr>
        <w:t xml:space="preserve">        </w:t>
      </w:r>
    </w:p>
    <w:p>
      <w:pPr>
        <w:adjustRightInd w:val="0"/>
        <w:snapToGrid w:val="0"/>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项目名称：</w:t>
      </w:r>
      <w:r>
        <w:rPr>
          <w:rFonts w:hint="eastAsia" w:asciiTheme="minorEastAsia" w:hAnsiTheme="minorEastAsia" w:eastAsiaTheme="minorEastAsia" w:cstheme="minorEastAsia"/>
          <w:szCs w:val="21"/>
          <w:u w:val="single"/>
        </w:rPr>
        <w:t xml:space="preserve">                         </w:t>
      </w: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r>
        <w:rPr>
          <w:rFonts w:hint="eastAsia" w:asciiTheme="minorEastAsia" w:hAnsiTheme="minorEastAsia" w:eastAsiaTheme="minorEastAsia" w:cstheme="minorEastAsia"/>
          <w:szCs w:val="21"/>
          <w:u w:val="single"/>
        </w:rPr>
        <w:t xml:space="preserve">                         </w:t>
      </w:r>
    </w:p>
    <w:tbl>
      <w:tblPr>
        <w:tblStyle w:val="26"/>
        <w:tblW w:w="98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6"/>
        <w:gridCol w:w="1800"/>
        <w:gridCol w:w="1120"/>
        <w:gridCol w:w="1234"/>
        <w:gridCol w:w="704"/>
        <w:gridCol w:w="1350"/>
        <w:gridCol w:w="969"/>
        <w:gridCol w:w="646"/>
        <w:gridCol w:w="866"/>
        <w:gridCol w:w="6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536"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1800"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名称</w:t>
            </w:r>
          </w:p>
        </w:tc>
        <w:tc>
          <w:tcPr>
            <w:tcW w:w="1120"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规格型号（如有）</w:t>
            </w:r>
          </w:p>
        </w:tc>
        <w:tc>
          <w:tcPr>
            <w:tcW w:w="1234"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制造商名称（如有）</w:t>
            </w:r>
          </w:p>
        </w:tc>
        <w:tc>
          <w:tcPr>
            <w:tcW w:w="704"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产地</w:t>
            </w:r>
          </w:p>
        </w:tc>
        <w:tc>
          <w:tcPr>
            <w:tcW w:w="1350" w:type="dxa"/>
            <w:vAlign w:val="center"/>
          </w:tcPr>
          <w:p>
            <w:pPr>
              <w:adjustRightInd w:val="0"/>
              <w:snapToGrid w:val="0"/>
              <w:jc w:val="center"/>
              <w:rPr>
                <w:rFonts w:asciiTheme="minorEastAsia" w:hAnsiTheme="minorEastAsia" w:eastAsiaTheme="minorEastAsia" w:cstheme="minorEastAsia"/>
                <w:color w:val="2D1CEE"/>
                <w:szCs w:val="21"/>
              </w:rPr>
            </w:pPr>
            <w:r>
              <w:rPr>
                <w:rFonts w:hint="eastAsia" w:ascii="宋体" w:hAnsi="宋体"/>
                <w:szCs w:val="21"/>
              </w:rPr>
              <w:t>投标最高单价限价（元）</w:t>
            </w:r>
          </w:p>
        </w:tc>
        <w:tc>
          <w:tcPr>
            <w:tcW w:w="969"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投标单价（元）</w:t>
            </w:r>
          </w:p>
        </w:tc>
        <w:tc>
          <w:tcPr>
            <w:tcW w:w="646"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数量</w:t>
            </w:r>
          </w:p>
        </w:tc>
        <w:tc>
          <w:tcPr>
            <w:tcW w:w="866"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投标总价（元）</w:t>
            </w:r>
          </w:p>
        </w:tc>
        <w:tc>
          <w:tcPr>
            <w:tcW w:w="657"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536"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1800" w:type="dxa"/>
            <w:vAlign w:val="center"/>
          </w:tcPr>
          <w:p>
            <w:pPr>
              <w:jc w:val="center"/>
              <w:rPr>
                <w:rFonts w:ascii="宋体" w:hAnsi="宋体"/>
                <w:szCs w:val="21"/>
              </w:rPr>
            </w:pPr>
            <w:r>
              <w:rPr>
                <w:szCs w:val="21"/>
              </w:rPr>
              <w:t>集成电路IC制造微纳缺陷在线检测仪</w:t>
            </w:r>
          </w:p>
        </w:tc>
        <w:tc>
          <w:tcPr>
            <w:tcW w:w="1120" w:type="dxa"/>
            <w:vAlign w:val="center"/>
          </w:tcPr>
          <w:p>
            <w:pPr>
              <w:adjustRightInd w:val="0"/>
              <w:snapToGrid w:val="0"/>
              <w:jc w:val="center"/>
              <w:rPr>
                <w:rFonts w:asciiTheme="minorEastAsia" w:hAnsiTheme="minorEastAsia" w:eastAsiaTheme="minorEastAsia" w:cstheme="minorEastAsia"/>
                <w:szCs w:val="21"/>
              </w:rPr>
            </w:pPr>
          </w:p>
        </w:tc>
        <w:tc>
          <w:tcPr>
            <w:tcW w:w="1234" w:type="dxa"/>
            <w:vAlign w:val="center"/>
          </w:tcPr>
          <w:p>
            <w:pPr>
              <w:adjustRightInd w:val="0"/>
              <w:snapToGrid w:val="0"/>
              <w:jc w:val="center"/>
              <w:rPr>
                <w:rFonts w:asciiTheme="minorEastAsia" w:hAnsiTheme="minorEastAsia" w:eastAsiaTheme="minorEastAsia" w:cstheme="minorEastAsia"/>
                <w:szCs w:val="21"/>
              </w:rPr>
            </w:pPr>
          </w:p>
        </w:tc>
        <w:tc>
          <w:tcPr>
            <w:tcW w:w="704" w:type="dxa"/>
            <w:vAlign w:val="center"/>
          </w:tcPr>
          <w:p>
            <w:pPr>
              <w:adjustRightInd w:val="0"/>
              <w:snapToGrid w:val="0"/>
              <w:jc w:val="center"/>
              <w:rPr>
                <w:rFonts w:asciiTheme="minorEastAsia" w:hAnsiTheme="minorEastAsia" w:eastAsiaTheme="minorEastAsia" w:cstheme="minorEastAsia"/>
                <w:szCs w:val="21"/>
              </w:rPr>
            </w:pPr>
          </w:p>
        </w:tc>
        <w:tc>
          <w:tcPr>
            <w:tcW w:w="1350" w:type="dxa"/>
            <w:vAlign w:val="center"/>
          </w:tcPr>
          <w:p>
            <w:pPr>
              <w:jc w:val="center"/>
              <w:rPr>
                <w:rFonts w:ascii="宋体" w:hAnsi="宋体"/>
                <w:szCs w:val="21"/>
              </w:rPr>
            </w:pPr>
            <w:r>
              <w:rPr>
                <w:rFonts w:hint="eastAsia" w:ascii="宋体" w:hAnsi="宋体"/>
                <w:szCs w:val="21"/>
              </w:rPr>
              <w:t>1950000</w:t>
            </w:r>
          </w:p>
        </w:tc>
        <w:tc>
          <w:tcPr>
            <w:tcW w:w="969" w:type="dxa"/>
            <w:vAlign w:val="center"/>
          </w:tcPr>
          <w:p>
            <w:pPr>
              <w:jc w:val="center"/>
              <w:rPr>
                <w:rFonts w:ascii="宋体" w:hAnsi="宋体"/>
                <w:szCs w:val="21"/>
              </w:rPr>
            </w:pPr>
          </w:p>
        </w:tc>
        <w:tc>
          <w:tcPr>
            <w:tcW w:w="646" w:type="dxa"/>
            <w:vAlign w:val="center"/>
          </w:tcPr>
          <w:p>
            <w:pPr>
              <w:jc w:val="center"/>
              <w:rPr>
                <w:rFonts w:ascii="宋体" w:hAnsi="宋体"/>
                <w:szCs w:val="21"/>
              </w:rPr>
            </w:pPr>
            <w:r>
              <w:rPr>
                <w:rFonts w:hint="eastAsia"/>
              </w:rPr>
              <w:t>1</w:t>
            </w:r>
          </w:p>
        </w:tc>
        <w:tc>
          <w:tcPr>
            <w:tcW w:w="866" w:type="dxa"/>
            <w:vAlign w:val="center"/>
          </w:tcPr>
          <w:p>
            <w:pPr>
              <w:adjustRightInd w:val="0"/>
              <w:snapToGrid w:val="0"/>
              <w:jc w:val="center"/>
              <w:rPr>
                <w:rFonts w:asciiTheme="minorEastAsia" w:hAnsiTheme="minorEastAsia" w:eastAsiaTheme="minorEastAsia" w:cstheme="minorEastAsia"/>
                <w:szCs w:val="21"/>
              </w:rPr>
            </w:pPr>
          </w:p>
        </w:tc>
        <w:tc>
          <w:tcPr>
            <w:tcW w:w="657"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536"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1800" w:type="dxa"/>
            <w:vAlign w:val="center"/>
          </w:tcPr>
          <w:p>
            <w:pPr>
              <w:jc w:val="center"/>
              <w:rPr>
                <w:rFonts w:ascii="宋体" w:hAnsi="宋体"/>
                <w:szCs w:val="21"/>
              </w:rPr>
            </w:pPr>
            <w:r>
              <w:rPr>
                <w:szCs w:val="21"/>
              </w:rPr>
              <w:t>集成电路IC制造微纳缺陷在线检测软件</w:t>
            </w:r>
          </w:p>
        </w:tc>
        <w:tc>
          <w:tcPr>
            <w:tcW w:w="1120" w:type="dxa"/>
            <w:vAlign w:val="center"/>
          </w:tcPr>
          <w:p>
            <w:pPr>
              <w:adjustRightInd w:val="0"/>
              <w:snapToGrid w:val="0"/>
              <w:jc w:val="center"/>
              <w:rPr>
                <w:rFonts w:asciiTheme="minorEastAsia" w:hAnsiTheme="minorEastAsia" w:eastAsiaTheme="minorEastAsia" w:cstheme="minorEastAsia"/>
                <w:szCs w:val="21"/>
              </w:rPr>
            </w:pPr>
          </w:p>
        </w:tc>
        <w:tc>
          <w:tcPr>
            <w:tcW w:w="1234" w:type="dxa"/>
            <w:vAlign w:val="center"/>
          </w:tcPr>
          <w:p>
            <w:pPr>
              <w:adjustRightInd w:val="0"/>
              <w:snapToGrid w:val="0"/>
              <w:jc w:val="center"/>
              <w:rPr>
                <w:rFonts w:asciiTheme="minorEastAsia" w:hAnsiTheme="minorEastAsia" w:eastAsiaTheme="minorEastAsia" w:cstheme="minorEastAsia"/>
                <w:szCs w:val="21"/>
              </w:rPr>
            </w:pPr>
          </w:p>
        </w:tc>
        <w:tc>
          <w:tcPr>
            <w:tcW w:w="704" w:type="dxa"/>
            <w:vAlign w:val="center"/>
          </w:tcPr>
          <w:p>
            <w:pPr>
              <w:adjustRightInd w:val="0"/>
              <w:snapToGrid w:val="0"/>
              <w:jc w:val="center"/>
              <w:rPr>
                <w:rFonts w:asciiTheme="minorEastAsia" w:hAnsiTheme="minorEastAsia" w:eastAsiaTheme="minorEastAsia" w:cstheme="minorEastAsia"/>
                <w:szCs w:val="21"/>
              </w:rPr>
            </w:pPr>
          </w:p>
        </w:tc>
        <w:tc>
          <w:tcPr>
            <w:tcW w:w="1350" w:type="dxa"/>
            <w:vAlign w:val="center"/>
          </w:tcPr>
          <w:p>
            <w:pPr>
              <w:jc w:val="center"/>
              <w:rPr>
                <w:rFonts w:ascii="宋体" w:hAnsi="宋体"/>
                <w:szCs w:val="21"/>
              </w:rPr>
            </w:pPr>
            <w:r>
              <w:rPr>
                <w:rFonts w:hint="eastAsia" w:ascii="宋体" w:hAnsi="宋体"/>
                <w:szCs w:val="21"/>
              </w:rPr>
              <w:t xml:space="preserve">950000 </w:t>
            </w:r>
          </w:p>
        </w:tc>
        <w:tc>
          <w:tcPr>
            <w:tcW w:w="969" w:type="dxa"/>
            <w:vAlign w:val="center"/>
          </w:tcPr>
          <w:p>
            <w:pPr>
              <w:jc w:val="center"/>
              <w:rPr>
                <w:rFonts w:ascii="宋体" w:hAnsi="宋体"/>
                <w:szCs w:val="21"/>
              </w:rPr>
            </w:pPr>
          </w:p>
        </w:tc>
        <w:tc>
          <w:tcPr>
            <w:tcW w:w="646" w:type="dxa"/>
            <w:vAlign w:val="center"/>
          </w:tcPr>
          <w:p>
            <w:pPr>
              <w:jc w:val="center"/>
              <w:rPr>
                <w:rFonts w:ascii="宋体" w:hAnsi="宋体"/>
                <w:szCs w:val="21"/>
              </w:rPr>
            </w:pPr>
            <w:r>
              <w:rPr>
                <w:rFonts w:hint="eastAsia"/>
              </w:rPr>
              <w:t>1</w:t>
            </w:r>
          </w:p>
        </w:tc>
        <w:tc>
          <w:tcPr>
            <w:tcW w:w="866" w:type="dxa"/>
            <w:vAlign w:val="center"/>
          </w:tcPr>
          <w:p>
            <w:pPr>
              <w:adjustRightInd w:val="0"/>
              <w:snapToGrid w:val="0"/>
              <w:jc w:val="center"/>
              <w:rPr>
                <w:rFonts w:asciiTheme="minorEastAsia" w:hAnsiTheme="minorEastAsia" w:eastAsiaTheme="minorEastAsia" w:cstheme="minorEastAsia"/>
                <w:szCs w:val="21"/>
              </w:rPr>
            </w:pPr>
          </w:p>
        </w:tc>
        <w:tc>
          <w:tcPr>
            <w:tcW w:w="657"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8359" w:type="dxa"/>
            <w:gridSpan w:val="8"/>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总计</w:t>
            </w:r>
          </w:p>
        </w:tc>
        <w:tc>
          <w:tcPr>
            <w:tcW w:w="866" w:type="dxa"/>
            <w:vAlign w:val="center"/>
          </w:tcPr>
          <w:p>
            <w:pPr>
              <w:adjustRightInd w:val="0"/>
              <w:snapToGrid w:val="0"/>
              <w:jc w:val="center"/>
              <w:rPr>
                <w:rFonts w:asciiTheme="minorEastAsia" w:hAnsiTheme="minorEastAsia" w:eastAsiaTheme="minorEastAsia" w:cstheme="minorEastAsia"/>
                <w:szCs w:val="21"/>
              </w:rPr>
            </w:pPr>
          </w:p>
        </w:tc>
        <w:tc>
          <w:tcPr>
            <w:tcW w:w="657" w:type="dxa"/>
            <w:vAlign w:val="center"/>
          </w:tcPr>
          <w:p>
            <w:pPr>
              <w:adjustRightInd w:val="0"/>
              <w:snapToGrid w:val="0"/>
              <w:jc w:val="center"/>
              <w:rPr>
                <w:rFonts w:asciiTheme="minorEastAsia" w:hAnsiTheme="minorEastAsia" w:eastAsiaTheme="minorEastAsia" w:cstheme="minorEastAsia"/>
                <w:szCs w:val="21"/>
              </w:rPr>
            </w:pPr>
          </w:p>
        </w:tc>
      </w:tr>
    </w:tbl>
    <w:p>
      <w:pPr>
        <w:adjustRightInd w:val="0"/>
        <w:snapToGrid w:val="0"/>
        <w:rPr>
          <w:rFonts w:asciiTheme="minorEastAsia" w:hAnsiTheme="minorEastAsia" w:eastAsiaTheme="minorEastAsia" w:cstheme="minorEastAsia"/>
          <w:szCs w:val="21"/>
        </w:rPr>
      </w:pP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w:t>
      </w:r>
    </w:p>
    <w:p>
      <w:pPr>
        <w:numPr>
          <w:ilvl w:val="0"/>
          <w:numId w:val="38"/>
        </w:num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所有价格按照“供应商须知”要求执行。</w:t>
      </w:r>
    </w:p>
    <w:p>
      <w:pPr>
        <w:numPr>
          <w:ilvl w:val="0"/>
          <w:numId w:val="38"/>
        </w:num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分项报价总计价格必须与《报价一览表》报价一致。</w:t>
      </w:r>
    </w:p>
    <w:p>
      <w:pPr>
        <w:numPr>
          <w:ilvl w:val="0"/>
          <w:numId w:val="38"/>
        </w:num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如果不提供详细的报价费用构成可能将被视为没有实质性响应磋商文件。</w:t>
      </w:r>
    </w:p>
    <w:p>
      <w:pPr>
        <w:numPr>
          <w:ilvl w:val="0"/>
          <w:numId w:val="38"/>
        </w:numPr>
        <w:adjustRightInd w:val="0"/>
        <w:snapToGrid w:val="0"/>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针对产地一栏，请供应商熟读《政府采购进口产品管理办法》，如实慎重填写；</w:t>
      </w:r>
      <w:r>
        <w:rPr>
          <w:rFonts w:hint="eastAsia" w:asciiTheme="minorEastAsia" w:hAnsiTheme="minorEastAsia" w:eastAsiaTheme="minorEastAsia" w:cstheme="minorEastAsia"/>
          <w:b/>
          <w:bCs/>
          <w:szCs w:val="21"/>
        </w:rPr>
        <w:br w:type="textWrapping"/>
      </w:r>
      <w:r>
        <w:rPr>
          <w:rFonts w:hint="eastAsia" w:asciiTheme="minorEastAsia" w:hAnsiTheme="minorEastAsia" w:eastAsiaTheme="minorEastAsia" w:cstheme="minorEastAsia"/>
          <w:b/>
          <w:bCs/>
          <w:szCs w:val="21"/>
        </w:rPr>
        <w:t>4.1国产设备请填写“中国”，国内生产的国外品牌请填写“中国”；</w:t>
      </w:r>
      <w:r>
        <w:rPr>
          <w:rFonts w:hint="eastAsia" w:asciiTheme="minorEastAsia" w:hAnsiTheme="minorEastAsia" w:eastAsiaTheme="minorEastAsia" w:cstheme="minorEastAsia"/>
          <w:b/>
          <w:bCs/>
          <w:szCs w:val="21"/>
        </w:rPr>
        <w:br w:type="textWrapping"/>
      </w:r>
      <w:r>
        <w:rPr>
          <w:rFonts w:hint="eastAsia" w:asciiTheme="minorEastAsia" w:hAnsiTheme="minorEastAsia" w:eastAsiaTheme="minorEastAsia" w:cstheme="minorEastAsia"/>
          <w:b/>
          <w:bCs/>
          <w:szCs w:val="21"/>
        </w:rPr>
        <w:t>4.2原装进口设备请填写具体生产国名称，如“美国”等，设备经过报关等手续才能供货的视同进口设备，产地请填写“进口”，并附相关说明或材料佐证其为进口设备；</w:t>
      </w:r>
    </w:p>
    <w:p>
      <w:pPr>
        <w:adjustRightInd w:val="0"/>
        <w:snapToGrid w:val="0"/>
        <w:spacing w:line="360" w:lineRule="auto"/>
        <w:ind w:left="-88" w:leftChars="-42"/>
        <w:rPr>
          <w:rFonts w:asciiTheme="minorEastAsia" w:hAnsiTheme="minorEastAsia" w:eastAsiaTheme="minorEastAsia" w:cstheme="minorEastAsia"/>
          <w:b/>
          <w:bCs/>
          <w:szCs w:val="21"/>
        </w:rPr>
      </w:pP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磋商供应商法定代表人（签字）：</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磋商供应商名称（盖章）：</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时                 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spacing w:line="360" w:lineRule="auto"/>
        <w:rPr>
          <w:rFonts w:asciiTheme="minorEastAsia" w:hAnsiTheme="minorEastAsia" w:eastAsiaTheme="minorEastAsia" w:cstheme="minorEastAsia"/>
          <w:szCs w:val="21"/>
        </w:rPr>
      </w:pP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br w:type="page"/>
      </w:r>
      <w:bookmarkStart w:id="164" w:name="_Toc29659"/>
      <w:bookmarkStart w:id="165" w:name="_Toc479184130"/>
      <w:bookmarkStart w:id="166" w:name="_Toc26825"/>
      <w:bookmarkStart w:id="167" w:name="_Toc28656"/>
      <w:r>
        <w:rPr>
          <w:rFonts w:hint="eastAsia" w:asciiTheme="minorEastAsia" w:hAnsiTheme="minorEastAsia" w:eastAsiaTheme="minorEastAsia" w:cstheme="minorEastAsia"/>
          <w:b/>
          <w:bCs/>
          <w:szCs w:val="21"/>
        </w:rPr>
        <w:t>七、耗材清单</w:t>
      </w:r>
      <w:bookmarkEnd w:id="164"/>
      <w:bookmarkEnd w:id="165"/>
      <w:bookmarkEnd w:id="166"/>
      <w:bookmarkEnd w:id="167"/>
    </w:p>
    <w:p>
      <w:pPr>
        <w:adjustRightInd w:val="0"/>
        <w:snapToGrid w:val="0"/>
        <w:rPr>
          <w:rFonts w:asciiTheme="minorEastAsia" w:hAnsiTheme="minorEastAsia" w:eastAsiaTheme="minorEastAsia" w:cstheme="minorEastAsia"/>
          <w:b/>
          <w:szCs w:val="21"/>
        </w:rPr>
      </w:pP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p>
    <w:tbl>
      <w:tblPr>
        <w:tblStyle w:val="26"/>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9"/>
        <w:gridCol w:w="2295"/>
        <w:gridCol w:w="1512"/>
        <w:gridCol w:w="1512"/>
        <w:gridCol w:w="1513"/>
        <w:gridCol w:w="709"/>
        <w:gridCol w:w="9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序号</w:t>
            </w:r>
          </w:p>
        </w:tc>
        <w:tc>
          <w:tcPr>
            <w:tcW w:w="2295"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耗材名称</w:t>
            </w:r>
          </w:p>
        </w:tc>
        <w:tc>
          <w:tcPr>
            <w:tcW w:w="1512"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规格型号</w:t>
            </w:r>
          </w:p>
        </w:tc>
        <w:tc>
          <w:tcPr>
            <w:tcW w:w="1512" w:type="dxa"/>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制造商名称</w:t>
            </w:r>
          </w:p>
        </w:tc>
        <w:tc>
          <w:tcPr>
            <w:tcW w:w="1513" w:type="dxa"/>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产地</w:t>
            </w:r>
          </w:p>
        </w:tc>
        <w:tc>
          <w:tcPr>
            <w:tcW w:w="709"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数量</w:t>
            </w:r>
          </w:p>
        </w:tc>
        <w:tc>
          <w:tcPr>
            <w:tcW w:w="958"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left"/>
              <w:rPr>
                <w:rFonts w:asciiTheme="minorEastAsia" w:hAnsiTheme="minorEastAsia" w:eastAsiaTheme="minorEastAsia" w:cstheme="minorEastAsia"/>
                <w:kern w:val="0"/>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8</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11</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12</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bl>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磋商供应商名称（盖章）：</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时                 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tabs>
          <w:tab w:val="left" w:pos="540"/>
        </w:tabs>
        <w:autoSpaceDE w:val="0"/>
        <w:autoSpaceDN w:val="0"/>
        <w:adjustRightInd w:val="0"/>
        <w:spacing w:line="360" w:lineRule="auto"/>
        <w:jc w:val="left"/>
        <w:rPr>
          <w:rFonts w:asciiTheme="minorEastAsia" w:hAnsiTheme="minorEastAsia" w:eastAsiaTheme="minorEastAsia" w:cstheme="minorEastAsia"/>
          <w:szCs w:val="21"/>
        </w:rPr>
      </w:pPr>
    </w:p>
    <w:p/>
    <w:p>
      <w:pPr>
        <w:tabs>
          <w:tab w:val="left" w:pos="540"/>
        </w:tabs>
        <w:autoSpaceDE w:val="0"/>
        <w:autoSpaceDN w:val="0"/>
        <w:adjustRightInd w:val="0"/>
        <w:spacing w:line="360" w:lineRule="auto"/>
        <w:jc w:val="left"/>
        <w:rPr>
          <w:rFonts w:asciiTheme="minorEastAsia" w:hAnsiTheme="minorEastAsia" w:eastAsiaTheme="minorEastAsia" w:cstheme="minorEastAsia"/>
          <w:szCs w:val="21"/>
        </w:rPr>
      </w:pP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br w:type="page"/>
      </w:r>
      <w:bookmarkStart w:id="168" w:name="_Toc6482"/>
      <w:bookmarkStart w:id="169" w:name="_Toc479184131"/>
      <w:bookmarkStart w:id="170" w:name="_Toc7535"/>
      <w:bookmarkStart w:id="171" w:name="_Toc32726"/>
      <w:r>
        <w:rPr>
          <w:rFonts w:hint="eastAsia" w:asciiTheme="minorEastAsia" w:hAnsiTheme="minorEastAsia" w:eastAsiaTheme="minorEastAsia" w:cstheme="minorEastAsia"/>
          <w:b/>
          <w:bCs/>
          <w:szCs w:val="21"/>
        </w:rPr>
        <w:t>八、拟投入设备/备件、工具情况</w:t>
      </w:r>
      <w:bookmarkEnd w:id="168"/>
      <w:bookmarkEnd w:id="169"/>
      <w:bookmarkEnd w:id="170"/>
      <w:bookmarkEnd w:id="171"/>
    </w:p>
    <w:p>
      <w:pPr>
        <w:spacing w:line="360" w:lineRule="auto"/>
        <w:rPr>
          <w:rFonts w:asciiTheme="minorEastAsia" w:hAnsiTheme="minorEastAsia" w:eastAsiaTheme="minorEastAsia" w:cstheme="minorEastAsia"/>
          <w:szCs w:val="21"/>
        </w:rPr>
      </w:pP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p>
    <w:tbl>
      <w:tblPr>
        <w:tblStyle w:val="26"/>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9"/>
        <w:gridCol w:w="2295"/>
        <w:gridCol w:w="1512"/>
        <w:gridCol w:w="1512"/>
        <w:gridCol w:w="1513"/>
        <w:gridCol w:w="709"/>
        <w:gridCol w:w="9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序号</w:t>
            </w:r>
          </w:p>
        </w:tc>
        <w:tc>
          <w:tcPr>
            <w:tcW w:w="2295"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设备</w:t>
            </w:r>
            <w:r>
              <w:rPr>
                <w:rFonts w:hint="eastAsia" w:asciiTheme="minorEastAsia" w:hAnsiTheme="minorEastAsia" w:eastAsiaTheme="minorEastAsia" w:cstheme="minorEastAsia"/>
                <w:b/>
                <w:bCs/>
                <w:szCs w:val="21"/>
              </w:rPr>
              <w:t>/备件</w:t>
            </w:r>
            <w:r>
              <w:rPr>
                <w:rFonts w:hint="eastAsia" w:asciiTheme="minorEastAsia" w:hAnsiTheme="minorEastAsia" w:eastAsiaTheme="minorEastAsia" w:cstheme="minorEastAsia"/>
                <w:b/>
                <w:szCs w:val="21"/>
              </w:rPr>
              <w:t>名称</w:t>
            </w:r>
          </w:p>
        </w:tc>
        <w:tc>
          <w:tcPr>
            <w:tcW w:w="1512"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规格型号</w:t>
            </w:r>
          </w:p>
        </w:tc>
        <w:tc>
          <w:tcPr>
            <w:tcW w:w="1512" w:type="dxa"/>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制造商名称</w:t>
            </w:r>
          </w:p>
        </w:tc>
        <w:tc>
          <w:tcPr>
            <w:tcW w:w="1513" w:type="dxa"/>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产地</w:t>
            </w:r>
          </w:p>
        </w:tc>
        <w:tc>
          <w:tcPr>
            <w:tcW w:w="709"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数量</w:t>
            </w:r>
          </w:p>
        </w:tc>
        <w:tc>
          <w:tcPr>
            <w:tcW w:w="958"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left"/>
              <w:rPr>
                <w:rFonts w:asciiTheme="minorEastAsia" w:hAnsiTheme="minorEastAsia" w:eastAsiaTheme="minorEastAsia" w:cstheme="minorEastAsia"/>
                <w:kern w:val="0"/>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8</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11</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12</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bl>
    <w:p>
      <w:pPr>
        <w:spacing w:line="360" w:lineRule="auto"/>
        <w:rPr>
          <w:rFonts w:asciiTheme="minorEastAsia" w:hAnsiTheme="minorEastAsia" w:eastAsiaTheme="minorEastAsia" w:cstheme="minorEastAsia"/>
          <w:szCs w:val="21"/>
        </w:rPr>
      </w:pPr>
    </w:p>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磋商供应商名称（盖章）：</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时                 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br w:type="page"/>
      </w:r>
      <w:bookmarkStart w:id="172" w:name="_Toc479184132"/>
      <w:bookmarkStart w:id="173" w:name="_Toc10449"/>
      <w:bookmarkStart w:id="174" w:name="_Toc27053"/>
      <w:bookmarkStart w:id="175" w:name="_Toc450827818"/>
      <w:bookmarkStart w:id="176" w:name="_Toc27781"/>
      <w:r>
        <w:rPr>
          <w:rFonts w:hint="eastAsia" w:asciiTheme="minorEastAsia" w:hAnsiTheme="minorEastAsia" w:eastAsiaTheme="minorEastAsia" w:cstheme="minorEastAsia"/>
          <w:b/>
          <w:bCs/>
          <w:szCs w:val="21"/>
        </w:rPr>
        <w:t>九、缴纳保证金的银行凭证</w:t>
      </w:r>
      <w:bookmarkEnd w:id="172"/>
      <w:bookmarkEnd w:id="173"/>
      <w:bookmarkEnd w:id="174"/>
      <w:bookmarkEnd w:id="175"/>
      <w:r>
        <w:rPr>
          <w:rFonts w:hint="eastAsia" w:asciiTheme="minorEastAsia" w:hAnsiTheme="minorEastAsia" w:eastAsiaTheme="minorEastAsia" w:cstheme="minorEastAsia"/>
          <w:b/>
          <w:bCs/>
          <w:szCs w:val="21"/>
        </w:rPr>
        <w:t>（如有）</w:t>
      </w:r>
      <w:bookmarkEnd w:id="176"/>
    </w:p>
    <w:p>
      <w:pPr>
        <w:spacing w:line="360" w:lineRule="auto"/>
        <w:jc w:val="cente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 xml:space="preserve">         </w:t>
      </w:r>
    </w:p>
    <w:p>
      <w:pP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中创恒梦工程咨询有限公司：</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      </w:t>
      </w:r>
      <w:r>
        <w:rPr>
          <w:rFonts w:hint="eastAsia" w:asciiTheme="minorEastAsia" w:hAnsiTheme="minorEastAsia" w:eastAsiaTheme="minorEastAsia" w:cstheme="minorEastAsia"/>
          <w:bCs/>
          <w:szCs w:val="21"/>
          <w:u w:val="single"/>
        </w:rPr>
        <w:t xml:space="preserve">                       (供应商全称)</w:t>
      </w:r>
      <w:r>
        <w:rPr>
          <w:rFonts w:hint="eastAsia" w:asciiTheme="minorEastAsia" w:hAnsiTheme="minorEastAsia" w:eastAsiaTheme="minorEastAsia" w:cstheme="minorEastAsia"/>
          <w:bCs/>
          <w:szCs w:val="21"/>
        </w:rPr>
        <w:t xml:space="preserve"> 参加贵方组织的，采购编号为</w:t>
      </w:r>
      <w:r>
        <w:rPr>
          <w:rFonts w:hint="eastAsia" w:asciiTheme="minorEastAsia" w:hAnsiTheme="minorEastAsia" w:eastAsiaTheme="minorEastAsia" w:cstheme="minorEastAsia"/>
          <w:bCs/>
          <w:szCs w:val="21"/>
          <w:u w:val="single"/>
        </w:rPr>
        <w:t xml:space="preserve">           </w:t>
      </w:r>
      <w:r>
        <w:rPr>
          <w:rFonts w:hint="eastAsia" w:asciiTheme="minorEastAsia" w:hAnsiTheme="minorEastAsia" w:eastAsiaTheme="minorEastAsia" w:cstheme="minorEastAsia"/>
          <w:bCs/>
          <w:szCs w:val="21"/>
        </w:rPr>
        <w:t>的采购活动。</w:t>
      </w:r>
      <w:r>
        <w:rPr>
          <w:rFonts w:hint="eastAsia" w:asciiTheme="minorEastAsia" w:hAnsiTheme="minorEastAsia" w:eastAsiaTheme="minorEastAsia" w:cstheme="minorEastAsia"/>
          <w:szCs w:val="21"/>
        </w:rPr>
        <w:t>按竞争性磋商文件的规定，已递交人民币</w:t>
      </w:r>
      <w:r>
        <w:rPr>
          <w:rFonts w:hint="eastAsia" w:asciiTheme="minorEastAsia" w:hAnsiTheme="minorEastAsia" w:eastAsiaTheme="minorEastAsia" w:cstheme="minorEastAsia"/>
          <w:szCs w:val="21"/>
          <w:u w:val="single"/>
        </w:rPr>
        <w:t xml:space="preserve">（大写）  　　 </w:t>
      </w:r>
      <w:r>
        <w:rPr>
          <w:rFonts w:hint="eastAsia" w:asciiTheme="minorEastAsia" w:hAnsiTheme="minorEastAsia" w:eastAsiaTheme="minorEastAsia" w:cstheme="minorEastAsia"/>
          <w:szCs w:val="21"/>
        </w:rPr>
        <w:t xml:space="preserve"> 元的保证金。</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 应 商 名 称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供应商开户银行：</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供应商银行账号：</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磋商供应商法定代表人（签字）：</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磋商供应商名称（盖章）：</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szCs w:val="21"/>
        </w:rPr>
        <w:t>时                 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tbl>
      <w:tblPr>
        <w:tblStyle w:val="26"/>
        <w:tblW w:w="882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7" w:hRule="atLeast"/>
        </w:trPr>
        <w:tc>
          <w:tcPr>
            <w:tcW w:w="8820" w:type="dxa"/>
          </w:tcPr>
          <w:p>
            <w:pP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粘贴转账或电汇银行凭证（复印件）</w:t>
            </w: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tc>
      </w:tr>
    </w:tbl>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注： 请供应商认真填写银行信息，并要求与粘贴转账或电汇银行凭证的相关信息一致，采购代理机构将依据此凭证信息退还保证金。</w:t>
      </w:r>
    </w:p>
    <w:bookmarkEnd w:id="158"/>
    <w:bookmarkEnd w:id="159"/>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 w:val="24"/>
        </w:rPr>
        <w:br w:type="page"/>
      </w:r>
      <w:bookmarkStart w:id="177" w:name="_Toc1591"/>
      <w:bookmarkStart w:id="178" w:name="_Toc12761"/>
      <w:bookmarkStart w:id="179" w:name="_Toc422466736"/>
      <w:bookmarkStart w:id="180" w:name="_Toc28200"/>
      <w:bookmarkStart w:id="181" w:name="_Toc432149012"/>
      <w:bookmarkStart w:id="182" w:name="_Toc479184133"/>
      <w:r>
        <w:rPr>
          <w:rFonts w:hint="eastAsia" w:asciiTheme="minorEastAsia" w:hAnsiTheme="minorEastAsia" w:eastAsiaTheme="minorEastAsia" w:cstheme="minorEastAsia"/>
          <w:b/>
          <w:bCs/>
          <w:szCs w:val="21"/>
        </w:rPr>
        <w:t>十、偏离说明表</w:t>
      </w:r>
      <w:bookmarkEnd w:id="177"/>
      <w:bookmarkEnd w:id="178"/>
      <w:bookmarkEnd w:id="179"/>
      <w:bookmarkEnd w:id="180"/>
      <w:bookmarkEnd w:id="181"/>
      <w:bookmarkEnd w:id="182"/>
    </w:p>
    <w:p>
      <w:pPr>
        <w:adjustRightInd w:val="0"/>
        <w:snapToGrid w:val="0"/>
        <w:rPr>
          <w:rFonts w:asciiTheme="minorEastAsia" w:hAnsiTheme="minorEastAsia" w:eastAsiaTheme="minorEastAsia" w:cstheme="minorEastAsia"/>
          <w:szCs w:val="21"/>
        </w:rPr>
      </w:pP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p>
    <w:tbl>
      <w:tblPr>
        <w:tblStyle w:val="2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3"/>
        <w:gridCol w:w="2874"/>
        <w:gridCol w:w="3449"/>
        <w:gridCol w:w="16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序号</w:t>
            </w:r>
          </w:p>
        </w:tc>
        <w:tc>
          <w:tcPr>
            <w:tcW w:w="2874" w:type="dxa"/>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采购需求</w:t>
            </w:r>
          </w:p>
        </w:tc>
        <w:tc>
          <w:tcPr>
            <w:tcW w:w="3449" w:type="dxa"/>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报价响应</w:t>
            </w:r>
          </w:p>
        </w:tc>
        <w:tc>
          <w:tcPr>
            <w:tcW w:w="1675" w:type="dxa"/>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9071" w:type="dxa"/>
            <w:gridSpan w:val="4"/>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技术需求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9071" w:type="dxa"/>
            <w:gridSpan w:val="4"/>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商务需求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9071" w:type="dxa"/>
            <w:gridSpan w:val="4"/>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资格性要求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9071" w:type="dxa"/>
            <w:gridSpan w:val="4"/>
            <w:shd w:val="clear" w:color="auto" w:fill="D7D7D7" w:themeFill="background1" w:themeFillShade="D8"/>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b/>
                <w:szCs w:val="21"/>
                <w:shd w:val="clear" w:color="auto" w:fill="D7D7D7" w:themeFill="background1" w:themeFillShade="D8"/>
              </w:rPr>
              <w:t>符合性要求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bl>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w:t>
      </w:r>
    </w:p>
    <w:p>
      <w:pPr>
        <w:numPr>
          <w:ilvl w:val="7"/>
          <w:numId w:val="39"/>
        </w:numPr>
        <w:tabs>
          <w:tab w:val="left" w:pos="540"/>
        </w:tabs>
        <w:adjustRightInd w:val="0"/>
        <w:snapToGrid w:val="0"/>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供应商应对竞争性磋商采购文件的各项要求，逐条说明竞争性磋商响应文件做出的实质性响应，并申明竞争性磋商响应文件的偏离和例外。优于竞争性磋商采购文件要求的为正偏离，不满足的为负偏离。</w:t>
      </w:r>
    </w:p>
    <w:p>
      <w:pPr>
        <w:numPr>
          <w:ilvl w:val="7"/>
          <w:numId w:val="39"/>
        </w:numPr>
        <w:tabs>
          <w:tab w:val="left" w:pos="540"/>
        </w:tabs>
        <w:adjustRightInd w:val="0"/>
        <w:snapToGrid w:val="0"/>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对有具体参数要求的指标，磋商供应商必须提供所投产品的具体参数值。如果仅注明“符合”，“满足”或简单复制竞争性磋商采购文件要求，将可能导致报价被拒绝。</w:t>
      </w:r>
    </w:p>
    <w:p>
      <w:pPr>
        <w:adjustRightInd w:val="0"/>
        <w:snapToGrid w:val="0"/>
        <w:ind w:firstLine="420"/>
        <w:rPr>
          <w:rFonts w:asciiTheme="minorEastAsia" w:hAnsiTheme="minorEastAsia" w:eastAsiaTheme="minorEastAsia" w:cstheme="minorEastAsia"/>
          <w:szCs w:val="21"/>
        </w:rPr>
      </w:pPr>
    </w:p>
    <w:p>
      <w:pPr>
        <w:adjustRightInd w:val="0"/>
        <w:snapToGrid w:val="0"/>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rPr>
          <w:rFonts w:asciiTheme="minorEastAsia" w:hAnsiTheme="minorEastAsia" w:eastAsiaTheme="minorEastAsia" w:cstheme="minorEastAsia"/>
          <w:b/>
          <w:kern w:val="0"/>
          <w:szCs w:val="21"/>
        </w:rPr>
      </w:pP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b/>
          <w:kern w:val="0"/>
          <w:szCs w:val="21"/>
        </w:rPr>
        <w:br w:type="page"/>
      </w:r>
      <w:bookmarkStart w:id="183" w:name="_Toc362935521"/>
      <w:bookmarkStart w:id="184" w:name="_Toc432149013"/>
      <w:bookmarkStart w:id="185" w:name="_Toc32060"/>
      <w:bookmarkStart w:id="186" w:name="_Toc479184134"/>
      <w:bookmarkStart w:id="187" w:name="_Toc28283"/>
      <w:bookmarkStart w:id="188" w:name="_Toc18439"/>
      <w:r>
        <w:rPr>
          <w:rFonts w:hint="eastAsia" w:asciiTheme="minorEastAsia" w:hAnsiTheme="minorEastAsia" w:eastAsiaTheme="minorEastAsia" w:cstheme="minorEastAsia"/>
          <w:b/>
          <w:kern w:val="0"/>
          <w:szCs w:val="21"/>
        </w:rPr>
        <w:t>十一、</w:t>
      </w:r>
      <w:r>
        <w:rPr>
          <w:rFonts w:hint="eastAsia" w:asciiTheme="minorEastAsia" w:hAnsiTheme="minorEastAsia" w:eastAsiaTheme="minorEastAsia" w:cstheme="minorEastAsia"/>
          <w:b/>
          <w:bCs/>
          <w:szCs w:val="21"/>
        </w:rPr>
        <w:t>类似业绩一览表</w:t>
      </w:r>
      <w:bookmarkEnd w:id="183"/>
      <w:bookmarkEnd w:id="184"/>
      <w:bookmarkEnd w:id="185"/>
      <w:bookmarkEnd w:id="186"/>
      <w:bookmarkEnd w:id="187"/>
      <w:r>
        <w:rPr>
          <w:rFonts w:hint="eastAsia" w:asciiTheme="minorEastAsia" w:hAnsiTheme="minorEastAsia" w:eastAsiaTheme="minorEastAsia" w:cstheme="minorEastAsia"/>
          <w:b/>
          <w:bCs/>
          <w:szCs w:val="21"/>
        </w:rPr>
        <w:br w:type="textWrapping"/>
      </w:r>
      <w:bookmarkEnd w:id="188"/>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rPr>
          <w:rFonts w:asciiTheme="minorEastAsia" w:hAnsiTheme="minorEastAsia" w:eastAsiaTheme="minorEastAsia" w:cstheme="minorEastAsia"/>
          <w:bCs/>
          <w:szCs w:val="21"/>
        </w:rPr>
      </w:pPr>
      <w:r>
        <w:rPr>
          <w:rFonts w:hint="eastAsia" w:asciiTheme="minorEastAsia" w:hAnsiTheme="minorEastAsia" w:eastAsiaTheme="minorEastAsia" w:cstheme="minorEastAsia"/>
          <w:szCs w:val="21"/>
        </w:rPr>
        <w:t>项目编号：</w:t>
      </w:r>
    </w:p>
    <w:tbl>
      <w:tblPr>
        <w:tblStyle w:val="26"/>
        <w:tblW w:w="92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2"/>
        <w:gridCol w:w="1330"/>
        <w:gridCol w:w="771"/>
        <w:gridCol w:w="964"/>
        <w:gridCol w:w="768"/>
        <w:gridCol w:w="756"/>
        <w:gridCol w:w="1176"/>
        <w:gridCol w:w="1212"/>
        <w:gridCol w:w="1019"/>
        <w:gridCol w:w="5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序号</w:t>
            </w:r>
          </w:p>
        </w:tc>
        <w:tc>
          <w:tcPr>
            <w:tcW w:w="1330"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项目名称</w:t>
            </w:r>
          </w:p>
        </w:tc>
        <w:tc>
          <w:tcPr>
            <w:tcW w:w="771"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业主单位</w:t>
            </w:r>
          </w:p>
        </w:tc>
        <w:tc>
          <w:tcPr>
            <w:tcW w:w="96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合同签订</w:t>
            </w: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pacing w:val="-6"/>
                <w:szCs w:val="21"/>
              </w:rPr>
              <w:t>时间</w:t>
            </w:r>
          </w:p>
        </w:tc>
        <w:tc>
          <w:tcPr>
            <w:tcW w:w="768"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合同金额</w:t>
            </w:r>
          </w:p>
        </w:tc>
        <w:tc>
          <w:tcPr>
            <w:tcW w:w="756"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项目负责人</w:t>
            </w:r>
          </w:p>
        </w:tc>
        <w:tc>
          <w:tcPr>
            <w:tcW w:w="1176"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业主单位联系人及电话</w:t>
            </w:r>
          </w:p>
        </w:tc>
        <w:tc>
          <w:tcPr>
            <w:tcW w:w="121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中标公告网页链接（如有）</w:t>
            </w:r>
          </w:p>
        </w:tc>
        <w:tc>
          <w:tcPr>
            <w:tcW w:w="101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是否投</w:t>
            </w: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入使用</w:t>
            </w:r>
          </w:p>
        </w:tc>
        <w:tc>
          <w:tcPr>
            <w:tcW w:w="59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w:t>
            </w: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bl>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1.附磋商供应商承担类似项目的情况填入本表中，提供业绩合同等评分标准要求的相关证明材料。 无证明材料的内容评审时将不予考虑。</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2.公开竞标成交的类似业绩，还应提供成交/中标公告网页链接。</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3.经查实存在虚假信息（服务单位联系人与实际不符或合同金额不符等）将被取消资格。</w:t>
      </w:r>
    </w:p>
    <w:p>
      <w:pPr>
        <w:spacing w:line="360" w:lineRule="auto"/>
        <w:rPr>
          <w:rFonts w:asciiTheme="minorEastAsia" w:hAnsiTheme="minorEastAsia" w:eastAsiaTheme="minorEastAsia" w:cstheme="minorEastAsia"/>
          <w:szCs w:val="21"/>
        </w:rPr>
      </w:pPr>
      <w:bookmarkStart w:id="189" w:name="_Toc454806053"/>
      <w:bookmarkStart w:id="190" w:name="_Toc460258118"/>
      <w:r>
        <w:rPr>
          <w:rFonts w:hint="eastAsia" w:asciiTheme="minorEastAsia" w:hAnsiTheme="minorEastAsia" w:eastAsiaTheme="minorEastAsia" w:cstheme="minorEastAsia"/>
          <w:b/>
          <w:bCs/>
          <w:sz w:val="24"/>
        </w:rPr>
        <w:br w:type="textWrapping"/>
      </w:r>
      <w:r>
        <w:rPr>
          <w:rFonts w:hint="eastAsia" w:asciiTheme="minorEastAsia" w:hAnsiTheme="minorEastAsia" w:eastAsiaTheme="minorEastAsia" w:cstheme="minorEastAsia"/>
          <w:b/>
          <w:bCs/>
          <w:sz w:val="24"/>
        </w:rPr>
        <w:br w:type="textWrapping"/>
      </w: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 w:val="24"/>
        </w:rPr>
        <w:br w:type="page"/>
      </w:r>
      <w:bookmarkStart w:id="191" w:name="_Toc479184135"/>
      <w:bookmarkStart w:id="192" w:name="_Toc30455"/>
      <w:bookmarkStart w:id="193" w:name="_Toc4834"/>
      <w:bookmarkStart w:id="194" w:name="_Toc10793"/>
      <w:r>
        <w:rPr>
          <w:rFonts w:hint="eastAsia" w:asciiTheme="minorEastAsia" w:hAnsiTheme="minorEastAsia" w:eastAsiaTheme="minorEastAsia" w:cstheme="minorEastAsia"/>
          <w:b/>
          <w:bCs/>
          <w:szCs w:val="21"/>
        </w:rPr>
        <w:t>十二、拟投入项目组人员一览表</w:t>
      </w:r>
      <w:bookmarkEnd w:id="189"/>
      <w:bookmarkEnd w:id="190"/>
      <w:bookmarkEnd w:id="191"/>
      <w:bookmarkEnd w:id="192"/>
      <w:bookmarkEnd w:id="193"/>
      <w:bookmarkEnd w:id="194"/>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adjustRightInd w:val="0"/>
        <w:snapToGrid w:val="0"/>
        <w:spacing w:line="360" w:lineRule="auto"/>
        <w:ind w:left="-181" w:leftChars="-86" w:firstLine="180" w:firstLineChars="86"/>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p>
    <w:tbl>
      <w:tblPr>
        <w:tblStyle w:val="26"/>
        <w:tblW w:w="92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3"/>
        <w:gridCol w:w="834"/>
        <w:gridCol w:w="2208"/>
        <w:gridCol w:w="850"/>
        <w:gridCol w:w="693"/>
        <w:gridCol w:w="877"/>
        <w:gridCol w:w="877"/>
        <w:gridCol w:w="1383"/>
        <w:gridCol w:w="7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姓名</w:t>
            </w: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在本项目中担当职位</w:t>
            </w: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年龄</w:t>
            </w: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学历</w:t>
            </w: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职务</w:t>
            </w: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职称</w:t>
            </w: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从业经历</w:t>
            </w: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项目负责人</w:t>
            </w: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bl>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说明：附拟投入项目组人员身份证、劳动合同、社保证明、</w:t>
      </w:r>
      <w:r>
        <w:rPr>
          <w:rFonts w:hint="eastAsia"/>
        </w:rPr>
        <w:t>职称证书、学历证书</w:t>
      </w:r>
      <w:r>
        <w:rPr>
          <w:rFonts w:hint="eastAsia" w:asciiTheme="minorEastAsia" w:hAnsiTheme="minorEastAsia" w:eastAsiaTheme="minorEastAsia" w:cstheme="minorEastAsia"/>
          <w:szCs w:val="21"/>
        </w:rPr>
        <w:t>等评分标准要求的其他相关证明材料。无证明材料的内容评审时将不予考虑。</w:t>
      </w: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br w:type="textWrapping"/>
      </w:r>
      <w:r>
        <w:rPr>
          <w:rFonts w:hint="eastAsia" w:asciiTheme="minorEastAsia" w:hAnsiTheme="minorEastAsia" w:eastAsiaTheme="minorEastAsia" w:cstheme="minorEastAsia"/>
          <w:kern w:val="0"/>
          <w:szCs w:val="21"/>
        </w:rPr>
        <w:br w:type="textWrapping"/>
      </w: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kern w:val="0"/>
          <w:szCs w:val="21"/>
        </w:rPr>
        <w:br w:type="page"/>
      </w:r>
      <w:bookmarkStart w:id="195" w:name="_Toc20529"/>
      <w:bookmarkStart w:id="196" w:name="_Toc10429"/>
      <w:bookmarkStart w:id="197" w:name="_Toc432149014"/>
      <w:bookmarkStart w:id="198" w:name="_Toc479184136"/>
      <w:bookmarkStart w:id="199" w:name="_Toc26838"/>
      <w:bookmarkStart w:id="200" w:name="_Toc422466737"/>
      <w:r>
        <w:rPr>
          <w:rFonts w:hint="eastAsia" w:asciiTheme="minorEastAsia" w:hAnsiTheme="minorEastAsia" w:eastAsiaTheme="minorEastAsia" w:cstheme="minorEastAsia"/>
          <w:b/>
          <w:bCs/>
          <w:kern w:val="0"/>
          <w:szCs w:val="21"/>
        </w:rPr>
        <w:t>十三、</w:t>
      </w:r>
      <w:r>
        <w:rPr>
          <w:rFonts w:hint="eastAsia" w:asciiTheme="minorEastAsia" w:hAnsiTheme="minorEastAsia" w:eastAsiaTheme="minorEastAsia" w:cstheme="minorEastAsia"/>
          <w:b/>
          <w:bCs/>
          <w:szCs w:val="21"/>
        </w:rPr>
        <w:t>供应商的资格声明</w:t>
      </w:r>
      <w:bookmarkEnd w:id="195"/>
      <w:bookmarkEnd w:id="196"/>
      <w:bookmarkEnd w:id="197"/>
      <w:bookmarkEnd w:id="198"/>
      <w:bookmarkEnd w:id="199"/>
      <w:bookmarkEnd w:id="200"/>
    </w:p>
    <w:p>
      <w:pPr>
        <w:rPr>
          <w:rFonts w:asciiTheme="minorEastAsia" w:hAnsiTheme="minorEastAsia" w:eastAsiaTheme="minorEastAsia" w:cstheme="minorEastAsia"/>
          <w:szCs w:val="21"/>
        </w:rPr>
      </w:pP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1.名称及基本情况：</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（1）供应商名称：</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（2）地址：</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邮箱：</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电话：</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传真：</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（3）成立或注册日期：</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（4）公司性质：</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（5）法定代表人或主要负责人：</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（6）员工人数：</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（7）注册资本：</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（8）实收资本：</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（9）上年末资产负债率：</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1）固定资产</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原值：</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净值：</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2）流动资产：</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3）长期负债：</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4）短期负债：</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2．与报价服务内容有关的情况：</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（1）供应商提供此响应服务内容的经验（包括年限、项目业主、额定能力、商业运营的起始日期等）；</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（2）服务网点分布（可另行附表）：</w:t>
      </w:r>
    </w:p>
    <w:tbl>
      <w:tblPr>
        <w:tblStyle w:val="2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97"/>
        <w:gridCol w:w="1737"/>
        <w:gridCol w:w="2269"/>
        <w:gridCol w:w="22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2797" w:type="dxa"/>
            <w:vAlign w:val="center"/>
          </w:tcPr>
          <w:p>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服务网点名称和地址</w:t>
            </w:r>
          </w:p>
        </w:tc>
        <w:tc>
          <w:tcPr>
            <w:tcW w:w="1737" w:type="dxa"/>
            <w:vAlign w:val="center"/>
          </w:tcPr>
          <w:p>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主要服务范围</w:t>
            </w:r>
          </w:p>
        </w:tc>
        <w:tc>
          <w:tcPr>
            <w:tcW w:w="2269" w:type="dxa"/>
            <w:vAlign w:val="center"/>
          </w:tcPr>
          <w:p>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服务人员数</w:t>
            </w:r>
          </w:p>
        </w:tc>
        <w:tc>
          <w:tcPr>
            <w:tcW w:w="2268" w:type="dxa"/>
            <w:vAlign w:val="center"/>
          </w:tcPr>
          <w:p>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内部等级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2797" w:type="dxa"/>
            <w:vAlign w:val="center"/>
          </w:tcPr>
          <w:p>
            <w:pPr>
              <w:spacing w:line="360" w:lineRule="auto"/>
              <w:jc w:val="center"/>
              <w:rPr>
                <w:rFonts w:asciiTheme="minorEastAsia" w:hAnsiTheme="minorEastAsia" w:eastAsiaTheme="minorEastAsia" w:cstheme="minorEastAsia"/>
                <w:szCs w:val="21"/>
              </w:rPr>
            </w:pPr>
          </w:p>
        </w:tc>
        <w:tc>
          <w:tcPr>
            <w:tcW w:w="1737" w:type="dxa"/>
            <w:vAlign w:val="center"/>
          </w:tcPr>
          <w:p>
            <w:pPr>
              <w:spacing w:line="360" w:lineRule="auto"/>
              <w:jc w:val="center"/>
              <w:rPr>
                <w:rFonts w:asciiTheme="minorEastAsia" w:hAnsiTheme="minorEastAsia" w:eastAsiaTheme="minorEastAsia" w:cstheme="minorEastAsia"/>
                <w:szCs w:val="21"/>
              </w:rPr>
            </w:pPr>
          </w:p>
        </w:tc>
        <w:tc>
          <w:tcPr>
            <w:tcW w:w="2269" w:type="dxa"/>
            <w:vAlign w:val="center"/>
          </w:tcPr>
          <w:p>
            <w:pPr>
              <w:spacing w:line="360" w:lineRule="auto"/>
              <w:jc w:val="center"/>
              <w:rPr>
                <w:rFonts w:asciiTheme="minorEastAsia" w:hAnsiTheme="minorEastAsia" w:eastAsiaTheme="minorEastAsia" w:cstheme="minorEastAsia"/>
                <w:szCs w:val="21"/>
              </w:rPr>
            </w:pPr>
          </w:p>
        </w:tc>
        <w:tc>
          <w:tcPr>
            <w:tcW w:w="2268" w:type="dxa"/>
            <w:vAlign w:val="center"/>
          </w:tcPr>
          <w:p>
            <w:pPr>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2797" w:type="dxa"/>
            <w:vAlign w:val="center"/>
          </w:tcPr>
          <w:p>
            <w:pPr>
              <w:spacing w:line="360" w:lineRule="auto"/>
              <w:jc w:val="center"/>
              <w:rPr>
                <w:rFonts w:asciiTheme="minorEastAsia" w:hAnsiTheme="minorEastAsia" w:eastAsiaTheme="minorEastAsia" w:cstheme="minorEastAsia"/>
                <w:szCs w:val="21"/>
              </w:rPr>
            </w:pPr>
          </w:p>
        </w:tc>
        <w:tc>
          <w:tcPr>
            <w:tcW w:w="1737" w:type="dxa"/>
            <w:vAlign w:val="center"/>
          </w:tcPr>
          <w:p>
            <w:pPr>
              <w:spacing w:line="360" w:lineRule="auto"/>
              <w:jc w:val="center"/>
              <w:rPr>
                <w:rFonts w:asciiTheme="minorEastAsia" w:hAnsiTheme="minorEastAsia" w:eastAsiaTheme="minorEastAsia" w:cstheme="minorEastAsia"/>
                <w:szCs w:val="21"/>
              </w:rPr>
            </w:pPr>
          </w:p>
        </w:tc>
        <w:tc>
          <w:tcPr>
            <w:tcW w:w="2269" w:type="dxa"/>
            <w:vAlign w:val="center"/>
          </w:tcPr>
          <w:p>
            <w:pPr>
              <w:spacing w:line="360" w:lineRule="auto"/>
              <w:jc w:val="center"/>
              <w:rPr>
                <w:rFonts w:asciiTheme="minorEastAsia" w:hAnsiTheme="minorEastAsia" w:eastAsiaTheme="minorEastAsia" w:cstheme="minorEastAsia"/>
                <w:szCs w:val="21"/>
              </w:rPr>
            </w:pPr>
          </w:p>
        </w:tc>
        <w:tc>
          <w:tcPr>
            <w:tcW w:w="2268" w:type="dxa"/>
            <w:vAlign w:val="center"/>
          </w:tcPr>
          <w:p>
            <w:pPr>
              <w:spacing w:line="360" w:lineRule="auto"/>
              <w:jc w:val="center"/>
              <w:rPr>
                <w:rFonts w:asciiTheme="minorEastAsia" w:hAnsiTheme="minorEastAsia" w:eastAsiaTheme="minorEastAsia" w:cstheme="minorEastAsia"/>
                <w:szCs w:val="21"/>
              </w:rPr>
            </w:pPr>
          </w:p>
        </w:tc>
      </w:tr>
    </w:tbl>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3．供应商认为需要声明的其他情况：</w:t>
      </w:r>
    </w:p>
    <w:p>
      <w:pPr>
        <w:ind w:firstLine="210" w:firstLineChars="100"/>
        <w:rPr>
          <w:rFonts w:asciiTheme="minorEastAsia" w:hAnsiTheme="minorEastAsia" w:eastAsiaTheme="minorEastAsia" w:cstheme="minorEastAsia"/>
          <w:bCs/>
          <w:szCs w:val="21"/>
        </w:rPr>
      </w:pPr>
      <w:r>
        <w:rPr>
          <w:rFonts w:hint="eastAsia" w:asciiTheme="minorEastAsia" w:hAnsiTheme="minorEastAsia" w:eastAsiaTheme="minorEastAsia" w:cstheme="minorEastAsia"/>
          <w:szCs w:val="21"/>
        </w:rPr>
        <w:t>兹证明上述声明是真实的、正确的，并提供了全部能提供的资料和数据，我们同意遵照</w:t>
      </w:r>
      <w:r>
        <w:rPr>
          <w:rFonts w:hint="eastAsia" w:asciiTheme="minorEastAsia" w:hAnsiTheme="minorEastAsia" w:eastAsiaTheme="minorEastAsia" w:cstheme="minorEastAsia"/>
          <w:bCs/>
          <w:szCs w:val="21"/>
          <w:u w:val="single"/>
        </w:rPr>
        <w:t>采购代理机构</w:t>
      </w:r>
      <w:r>
        <w:rPr>
          <w:rFonts w:hint="eastAsia" w:asciiTheme="minorEastAsia" w:hAnsiTheme="minorEastAsia" w:eastAsiaTheme="minorEastAsia" w:cstheme="minorEastAsia"/>
          <w:bCs/>
          <w:szCs w:val="21"/>
        </w:rPr>
        <w:t>要求出示的有关证明文件。</w:t>
      </w:r>
    </w:p>
    <w:p>
      <w:pPr>
        <w:spacing w:line="360" w:lineRule="auto"/>
        <w:ind w:firstLine="210" w:firstLineChars="100"/>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电      话：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传      真：</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kern w:val="0"/>
          <w:szCs w:val="21"/>
        </w:rPr>
        <w:br w:type="page"/>
      </w:r>
      <w:bookmarkStart w:id="201" w:name="_Toc450827823"/>
      <w:bookmarkStart w:id="202" w:name="_Toc259028731"/>
      <w:bookmarkStart w:id="203" w:name="_Toc2435"/>
      <w:bookmarkStart w:id="204" w:name="_Toc17331"/>
      <w:bookmarkStart w:id="205" w:name="_Toc17527"/>
      <w:bookmarkStart w:id="206" w:name="_Toc479184137"/>
      <w:r>
        <w:rPr>
          <w:rFonts w:hint="eastAsia" w:asciiTheme="minorEastAsia" w:hAnsiTheme="minorEastAsia" w:eastAsiaTheme="minorEastAsia" w:cstheme="minorEastAsia"/>
          <w:b/>
          <w:bCs/>
          <w:kern w:val="0"/>
          <w:szCs w:val="21"/>
        </w:rPr>
        <w:t>十四、</w:t>
      </w:r>
      <w:r>
        <w:rPr>
          <w:rFonts w:hint="eastAsia" w:asciiTheme="minorEastAsia" w:hAnsiTheme="minorEastAsia" w:eastAsiaTheme="minorEastAsia" w:cstheme="minorEastAsia"/>
          <w:b/>
          <w:bCs/>
          <w:szCs w:val="21"/>
        </w:rPr>
        <w:t>资格证明文件</w:t>
      </w:r>
      <w:bookmarkEnd w:id="201"/>
      <w:bookmarkEnd w:id="202"/>
      <w:bookmarkEnd w:id="203"/>
      <w:bookmarkEnd w:id="204"/>
      <w:bookmarkEnd w:id="205"/>
      <w:bookmarkEnd w:id="206"/>
    </w:p>
    <w:p>
      <w:pPr>
        <w:rPr>
          <w:rFonts w:asciiTheme="minorEastAsia" w:hAnsiTheme="minorEastAsia" w:eastAsiaTheme="minorEastAsia" w:cstheme="minorEastAsia"/>
          <w:szCs w:val="21"/>
        </w:rPr>
      </w:pP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提供第一章第二款资格要求的资格证明文件的真彩扫描件，详见第二章供应商须知前附表14.1条款内容。</w:t>
      </w:r>
    </w:p>
    <w:p>
      <w:pPr>
        <w:rPr>
          <w:rFonts w:asciiTheme="minorEastAsia" w:hAnsiTheme="minorEastAsia" w:eastAsiaTheme="minorEastAsia" w:cstheme="minorEastAsia"/>
          <w:szCs w:val="21"/>
        </w:rPr>
      </w:pPr>
    </w:p>
    <w:p>
      <w:pPr>
        <w:adjustRightInd w:val="0"/>
        <w:snapToGrid w:val="0"/>
        <w:spacing w:line="360" w:lineRule="auto"/>
        <w:ind w:left="-88" w:leftChars="-42"/>
        <w:jc w:val="center"/>
        <w:rPr>
          <w:rFonts w:asciiTheme="minorEastAsia" w:hAnsiTheme="minorEastAsia" w:eastAsiaTheme="minorEastAsia" w:cstheme="minorEastAsia"/>
          <w:szCs w:val="21"/>
        </w:rPr>
      </w:pPr>
    </w:p>
    <w:p>
      <w:pPr>
        <w:spacing w:line="360" w:lineRule="auto"/>
        <w:ind w:left="168" w:leftChars="80"/>
        <w:jc w:val="cente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p>
    <w:p>
      <w:pPr>
        <w:spacing w:line="360" w:lineRule="auto"/>
        <w:ind w:left="168" w:leftChars="80"/>
        <w:jc w:val="cente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bookmarkStart w:id="207" w:name="_Toc5793"/>
      <w:bookmarkStart w:id="208" w:name="_Toc290207179"/>
      <w:bookmarkStart w:id="209" w:name="_Toc427239751"/>
      <w:bookmarkStart w:id="210" w:name="_Toc358447587"/>
      <w:bookmarkStart w:id="211" w:name="_Toc18555"/>
      <w:bookmarkStart w:id="212" w:name="_Toc32187"/>
      <w:bookmarkStart w:id="213" w:name="_Toc364868916"/>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kern w:val="0"/>
          <w:szCs w:val="21"/>
        </w:rPr>
      </w:pPr>
      <w:bookmarkStart w:id="214" w:name="_Toc26939"/>
      <w:r>
        <w:rPr>
          <w:rFonts w:hint="eastAsia" w:asciiTheme="minorEastAsia" w:hAnsiTheme="minorEastAsia" w:eastAsiaTheme="minorEastAsia" w:cstheme="minorEastAsia"/>
          <w:b/>
          <w:bCs/>
          <w:kern w:val="0"/>
          <w:szCs w:val="21"/>
        </w:rPr>
        <w:t>十五、</w:t>
      </w:r>
      <w:bookmarkEnd w:id="207"/>
      <w:bookmarkEnd w:id="208"/>
      <w:bookmarkEnd w:id="209"/>
      <w:bookmarkEnd w:id="210"/>
      <w:bookmarkEnd w:id="211"/>
      <w:bookmarkEnd w:id="212"/>
      <w:bookmarkEnd w:id="213"/>
      <w:bookmarkStart w:id="215" w:name="_Toc29785"/>
      <w:bookmarkStart w:id="216" w:name="_Toc27229"/>
      <w:bookmarkStart w:id="217" w:name="_Toc479184138"/>
      <w:bookmarkStart w:id="218" w:name="_Toc460258123"/>
      <w:r>
        <w:rPr>
          <w:rFonts w:hint="eastAsia" w:asciiTheme="minorEastAsia" w:hAnsiTheme="minorEastAsia" w:eastAsiaTheme="minorEastAsia" w:cstheme="minorEastAsia"/>
          <w:b/>
          <w:bCs/>
          <w:kern w:val="0"/>
          <w:szCs w:val="21"/>
        </w:rPr>
        <w:t>报价技术文件</w:t>
      </w:r>
      <w:bookmarkEnd w:id="214"/>
      <w:bookmarkEnd w:id="215"/>
      <w:bookmarkEnd w:id="216"/>
      <w:bookmarkEnd w:id="217"/>
      <w:bookmarkEnd w:id="218"/>
    </w:p>
    <w:p>
      <w:pPr>
        <w:rPr>
          <w:rFonts w:asciiTheme="minorEastAsia" w:hAnsiTheme="minorEastAsia" w:eastAsiaTheme="minorEastAsia" w:cstheme="minorEastAsia"/>
          <w:szCs w:val="21"/>
        </w:rPr>
      </w:pPr>
    </w:p>
    <w:p>
      <w:pPr>
        <w:pStyle w:val="99"/>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由供应商自行编制，目录清晰、内容详尽、易于理解和评审并富有建设性的技术方案将在评审时具有优势。</w:t>
      </w:r>
    </w:p>
    <w:p>
      <w:pPr>
        <w:adjustRightInd w:val="0"/>
        <w:snapToGrid w:val="0"/>
        <w:spacing w:line="360" w:lineRule="auto"/>
        <w:ind w:left="-88" w:leftChars="-42" w:firstLine="422" w:firstLineChars="200"/>
        <w:jc w:val="left"/>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以下内容仅供参考，格式自拟。</w:t>
      </w:r>
    </w:p>
    <w:p>
      <w:pPr>
        <w:numPr>
          <w:ilvl w:val="1"/>
          <w:numId w:val="40"/>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项目概况及对本项目总体要求的理解</w:t>
      </w:r>
    </w:p>
    <w:p>
      <w:pPr>
        <w:numPr>
          <w:ilvl w:val="1"/>
          <w:numId w:val="40"/>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项目实施方案</w:t>
      </w:r>
    </w:p>
    <w:p>
      <w:pPr>
        <w:numPr>
          <w:ilvl w:val="1"/>
          <w:numId w:val="40"/>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项目重点及难点解析</w:t>
      </w:r>
    </w:p>
    <w:p>
      <w:pPr>
        <w:numPr>
          <w:ilvl w:val="1"/>
          <w:numId w:val="40"/>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质量控制措施</w:t>
      </w:r>
    </w:p>
    <w:p>
      <w:pPr>
        <w:numPr>
          <w:ilvl w:val="1"/>
          <w:numId w:val="40"/>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进度控制措施</w:t>
      </w:r>
    </w:p>
    <w:p>
      <w:pPr>
        <w:numPr>
          <w:ilvl w:val="1"/>
          <w:numId w:val="40"/>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对本项目的合理化建议</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color w:val="171EEA"/>
        </w:rPr>
      </w:pPr>
      <w:r>
        <w:rPr>
          <w:rFonts w:hint="eastAsia" w:asciiTheme="minorEastAsia" w:hAnsiTheme="minorEastAsia" w:eastAsiaTheme="minorEastAsia" w:cstheme="minorEastAsia"/>
        </w:rPr>
        <w:br w:type="page"/>
      </w:r>
      <w:bookmarkStart w:id="219" w:name="_Toc356836516"/>
      <w:bookmarkStart w:id="220" w:name="_Toc432149016"/>
      <w:bookmarkStart w:id="221" w:name="_Toc12119"/>
      <w:bookmarkStart w:id="222" w:name="_Toc22465"/>
      <w:bookmarkStart w:id="223" w:name="_Toc8098"/>
      <w:bookmarkStart w:id="224" w:name="_Toc479184140"/>
      <w:bookmarkStart w:id="225" w:name="_Toc2101"/>
      <w:bookmarkStart w:id="226" w:name="_Toc355802499"/>
      <w:bookmarkStart w:id="227" w:name="_Toc422466739"/>
      <w:bookmarkStart w:id="228" w:name="_Toc15669"/>
      <w:r>
        <w:rPr>
          <w:rFonts w:hint="eastAsia" w:asciiTheme="minorEastAsia" w:hAnsiTheme="minorEastAsia" w:eastAsiaTheme="minorEastAsia" w:cstheme="minorEastAsia"/>
          <w:b/>
        </w:rPr>
        <w:t>十六、</w:t>
      </w:r>
      <w:bookmarkEnd w:id="219"/>
      <w:bookmarkEnd w:id="220"/>
      <w:bookmarkEnd w:id="221"/>
      <w:bookmarkEnd w:id="222"/>
      <w:bookmarkEnd w:id="223"/>
      <w:bookmarkEnd w:id="224"/>
      <w:bookmarkEnd w:id="225"/>
      <w:bookmarkEnd w:id="226"/>
      <w:bookmarkEnd w:id="227"/>
      <w:r>
        <w:rPr>
          <w:rFonts w:hint="eastAsia" w:asciiTheme="minorEastAsia" w:hAnsiTheme="minorEastAsia" w:eastAsiaTheme="minorEastAsia" w:cstheme="minorEastAsia"/>
          <w:b/>
          <w:lang w:val="zh-CN"/>
        </w:rPr>
        <w:t>中小企业声明函（</w:t>
      </w:r>
      <w:r>
        <w:rPr>
          <w:rFonts w:hint="eastAsia" w:asciiTheme="minorEastAsia" w:hAnsiTheme="minorEastAsia" w:eastAsiaTheme="minorEastAsia" w:cstheme="minorEastAsia"/>
          <w:b/>
        </w:rPr>
        <w:t>货物</w:t>
      </w:r>
      <w:r>
        <w:rPr>
          <w:rFonts w:hint="eastAsia" w:asciiTheme="minorEastAsia" w:hAnsiTheme="minorEastAsia" w:eastAsiaTheme="minorEastAsia" w:cstheme="minorEastAsia"/>
          <w:b/>
          <w:lang w:val="zh-CN"/>
        </w:rPr>
        <w:t>）</w:t>
      </w:r>
      <w:r>
        <w:rPr>
          <w:rFonts w:hint="eastAsia" w:asciiTheme="minorEastAsia" w:hAnsiTheme="minorEastAsia" w:eastAsiaTheme="minorEastAsia" w:cstheme="minorEastAsia"/>
          <w:b/>
          <w:shd w:val="clear" w:color="FFFFFF" w:fill="D9D9D9"/>
          <w:lang w:val="zh-CN"/>
        </w:rPr>
        <w:t>（本项目必须提供）</w:t>
      </w:r>
      <w:bookmarkEnd w:id="228"/>
    </w:p>
    <w:p>
      <w:pPr>
        <w:spacing w:line="360" w:lineRule="auto"/>
        <w:ind w:firstLine="420" w:firstLineChars="200"/>
        <w:jc w:val="center"/>
        <w:rPr>
          <w:rFonts w:ascii="宋体" w:hAnsi="宋体" w:cs="宋体"/>
          <w:szCs w:val="21"/>
        </w:rPr>
      </w:pPr>
      <w:r>
        <w:rPr>
          <w:rFonts w:ascii="宋体" w:hAnsi="宋体" w:cs="宋体"/>
          <w:szCs w:val="21"/>
        </w:rPr>
        <w:t>中小企业声明函（</w:t>
      </w:r>
      <w:r>
        <w:rPr>
          <w:rFonts w:hint="eastAsia" w:ascii="宋体" w:hAnsi="宋体" w:cs="宋体"/>
          <w:szCs w:val="21"/>
        </w:rPr>
        <w:t>货物</w:t>
      </w:r>
      <w:r>
        <w:rPr>
          <w:rFonts w:ascii="宋体" w:hAnsi="宋体" w:cs="宋体"/>
          <w:szCs w:val="21"/>
        </w:rPr>
        <w:t>）</w:t>
      </w:r>
    </w:p>
    <w:p>
      <w:pPr>
        <w:spacing w:line="360" w:lineRule="auto"/>
        <w:ind w:firstLine="420" w:firstLineChars="200"/>
        <w:rPr>
          <w:rFonts w:ascii="宋体" w:hAnsi="宋体" w:cs="宋体"/>
          <w:szCs w:val="21"/>
        </w:rPr>
      </w:pPr>
      <w:r>
        <w:rPr>
          <w:rFonts w:ascii="宋体" w:hAnsi="宋体" w:cs="宋体"/>
          <w:szCs w:val="21"/>
        </w:rPr>
        <w:t>本公司（联合体）郑重声明，根据《政府采购促进中小企业发展管理办法》（财库﹝2020﹞</w:t>
      </w:r>
      <w:r>
        <w:rPr>
          <w:rFonts w:hint="eastAsia" w:ascii="宋体" w:hAnsi="宋体" w:cs="宋体"/>
          <w:szCs w:val="21"/>
        </w:rPr>
        <w:t>46</w:t>
      </w:r>
      <w:r>
        <w:rPr>
          <w:rFonts w:ascii="宋体" w:hAnsi="宋体" w:cs="宋体"/>
          <w:szCs w:val="21"/>
        </w:rPr>
        <w:t>号）的规定，本公司 （联合体）参加</w:t>
      </w:r>
      <w:r>
        <w:rPr>
          <w:rFonts w:hint="eastAsia" w:ascii="宋体" w:hAnsi="宋体" w:cs="宋体"/>
          <w:szCs w:val="21"/>
          <w:u w:val="single"/>
        </w:rPr>
        <w:t xml:space="preserve">          </w:t>
      </w:r>
      <w:r>
        <w:rPr>
          <w:rFonts w:ascii="宋体" w:hAnsi="宋体" w:cs="宋体"/>
          <w:szCs w:val="21"/>
          <w:u w:val="single"/>
        </w:rPr>
        <w:t>（单位名称）</w:t>
      </w:r>
      <w:r>
        <w:rPr>
          <w:rFonts w:ascii="宋体" w:hAnsi="宋体" w:cs="宋体"/>
          <w:szCs w:val="21"/>
        </w:rPr>
        <w:t>的</w:t>
      </w:r>
      <w:r>
        <w:rPr>
          <w:rFonts w:hint="eastAsia" w:ascii="宋体" w:hAnsi="宋体" w:cs="宋体"/>
          <w:szCs w:val="21"/>
          <w:u w:val="single"/>
        </w:rPr>
        <w:t xml:space="preserve">          </w:t>
      </w:r>
      <w:r>
        <w:rPr>
          <w:rFonts w:ascii="宋体" w:hAnsi="宋体" w:cs="宋体"/>
          <w:szCs w:val="21"/>
          <w:u w:val="single"/>
        </w:rPr>
        <w:t>（项目名称）</w:t>
      </w:r>
      <w:r>
        <w:rPr>
          <w:rFonts w:ascii="宋体" w:hAnsi="宋体" w:cs="宋体"/>
          <w:szCs w:val="21"/>
        </w:rPr>
        <w:t xml:space="preserve">采购活动，提供的货物全部由符合政策要求的中小企业制造。相关企业（含联合体中的中小企业、签订分包意向协议的中小企业） 的具体情况如下： </w:t>
      </w:r>
      <w:r>
        <w:rPr>
          <w:rFonts w:ascii="宋体" w:hAnsi="宋体" w:cs="宋体"/>
          <w:szCs w:val="21"/>
        </w:rPr>
        <w:br w:type="textWrapping"/>
      </w:r>
      <w:r>
        <w:rPr>
          <w:rFonts w:hint="eastAsia" w:ascii="宋体" w:hAnsi="宋体" w:cs="宋体"/>
          <w:szCs w:val="21"/>
        </w:rPr>
        <w:t xml:space="preserve">    </w:t>
      </w:r>
      <w:r>
        <w:rPr>
          <w:rFonts w:ascii="宋体" w:hAnsi="宋体" w:cs="宋体"/>
          <w:szCs w:val="21"/>
        </w:rPr>
        <w:t xml:space="preserve">1. </w:t>
      </w:r>
      <w:r>
        <w:rPr>
          <w:rFonts w:hint="eastAsia" w:ascii="宋体" w:hAnsi="宋体" w:cs="宋体"/>
          <w:szCs w:val="21"/>
          <w:u w:val="single"/>
        </w:rPr>
        <w:t xml:space="preserve">                  </w:t>
      </w:r>
      <w:r>
        <w:rPr>
          <w:rFonts w:ascii="宋体" w:hAnsi="宋体" w:cs="宋体"/>
          <w:szCs w:val="21"/>
          <w:u w:val="single"/>
        </w:rPr>
        <w:t>（标的名称）</w:t>
      </w:r>
      <w:r>
        <w:rPr>
          <w:rFonts w:ascii="宋体" w:hAnsi="宋体" w:cs="宋体"/>
          <w:szCs w:val="21"/>
        </w:rPr>
        <w:t xml:space="preserve"> ，属于</w:t>
      </w:r>
      <w:r>
        <w:rPr>
          <w:rFonts w:hint="eastAsia" w:ascii="宋体" w:hAnsi="宋体" w:cs="宋体"/>
          <w:szCs w:val="21"/>
          <w:u w:val="single"/>
        </w:rPr>
        <w:t xml:space="preserve">  工业</w:t>
      </w:r>
      <w:r>
        <w:rPr>
          <w:rFonts w:ascii="宋体" w:hAnsi="宋体" w:cs="宋体"/>
          <w:szCs w:val="21"/>
          <w:u w:val="single"/>
        </w:rPr>
        <w:t>（采购文件中明确的所属行业）</w:t>
      </w:r>
      <w:r>
        <w:rPr>
          <w:rFonts w:ascii="宋体" w:hAnsi="宋体" w:cs="宋体"/>
          <w:szCs w:val="21"/>
        </w:rPr>
        <w:t xml:space="preserve"> 行业；制造商为</w:t>
      </w:r>
      <w:r>
        <w:rPr>
          <w:rFonts w:hint="eastAsia" w:ascii="宋体" w:hAnsi="宋体" w:cs="宋体"/>
          <w:szCs w:val="21"/>
          <w:u w:val="single"/>
        </w:rPr>
        <w:t xml:space="preserve">     </w:t>
      </w:r>
      <w:r>
        <w:rPr>
          <w:rFonts w:ascii="宋体" w:hAnsi="宋体" w:cs="宋体"/>
          <w:szCs w:val="21"/>
          <w:u w:val="single"/>
        </w:rPr>
        <w:t>（企业名称）</w:t>
      </w:r>
      <w:r>
        <w:rPr>
          <w:rFonts w:ascii="宋体" w:hAnsi="宋体" w:cs="宋体"/>
          <w:szCs w:val="21"/>
        </w:rPr>
        <w:t>，从业人员</w:t>
      </w:r>
      <w:r>
        <w:rPr>
          <w:rFonts w:hint="eastAsia" w:ascii="宋体" w:hAnsi="宋体" w:cs="宋体"/>
          <w:szCs w:val="21"/>
          <w:u w:val="single"/>
        </w:rPr>
        <w:t xml:space="preserve">        </w:t>
      </w:r>
      <w:r>
        <w:rPr>
          <w:rFonts w:ascii="宋体" w:hAnsi="宋体" w:cs="宋体"/>
          <w:szCs w:val="21"/>
        </w:rPr>
        <w:t>人，营业收入为</w:t>
      </w:r>
      <w:r>
        <w:rPr>
          <w:rFonts w:hint="eastAsia" w:ascii="宋体" w:hAnsi="宋体" w:cs="宋体"/>
          <w:szCs w:val="21"/>
          <w:u w:val="single"/>
        </w:rPr>
        <w:t xml:space="preserve">        </w:t>
      </w:r>
      <w:r>
        <w:rPr>
          <w:rFonts w:ascii="宋体" w:hAnsi="宋体" w:cs="宋体"/>
          <w:szCs w:val="21"/>
        </w:rPr>
        <w:t>万元，资产总额为</w:t>
      </w:r>
      <w:r>
        <w:rPr>
          <w:rFonts w:hint="eastAsia" w:ascii="宋体" w:hAnsi="宋体" w:cs="宋体"/>
          <w:szCs w:val="21"/>
          <w:u w:val="single"/>
        </w:rPr>
        <w:t xml:space="preserve">        </w:t>
      </w:r>
      <w:r>
        <w:rPr>
          <w:rFonts w:ascii="宋体" w:hAnsi="宋体" w:cs="宋体"/>
          <w:szCs w:val="21"/>
        </w:rPr>
        <w:t>万元，属于</w:t>
      </w:r>
      <w:r>
        <w:rPr>
          <w:rFonts w:hint="eastAsia" w:ascii="宋体" w:hAnsi="宋体" w:cs="宋体"/>
          <w:szCs w:val="21"/>
          <w:u w:val="single"/>
        </w:rPr>
        <w:t xml:space="preserve">         </w:t>
      </w:r>
      <w:r>
        <w:rPr>
          <w:rFonts w:ascii="宋体" w:hAnsi="宋体" w:cs="宋体"/>
          <w:szCs w:val="21"/>
          <w:u w:val="single"/>
        </w:rPr>
        <w:t>（中型企业、小型企业、微型企业）；</w:t>
      </w:r>
      <w:r>
        <w:rPr>
          <w:rFonts w:ascii="宋体" w:hAnsi="宋体" w:cs="宋体"/>
          <w:szCs w:val="21"/>
        </w:rPr>
        <w:t xml:space="preserve"> </w:t>
      </w:r>
      <w:r>
        <w:rPr>
          <w:rFonts w:ascii="宋体" w:hAnsi="宋体" w:cs="宋体"/>
          <w:szCs w:val="21"/>
        </w:rPr>
        <w:br w:type="textWrapping"/>
      </w:r>
      <w:r>
        <w:rPr>
          <w:rFonts w:hint="eastAsia" w:ascii="宋体" w:hAnsi="宋体" w:cs="宋体"/>
          <w:szCs w:val="21"/>
        </w:rPr>
        <w:t xml:space="preserve">    </w:t>
      </w:r>
      <w:r>
        <w:rPr>
          <w:rFonts w:ascii="宋体" w:hAnsi="宋体" w:cs="宋体"/>
          <w:szCs w:val="21"/>
        </w:rPr>
        <w:t xml:space="preserve">2. </w:t>
      </w:r>
      <w:r>
        <w:rPr>
          <w:rFonts w:hint="eastAsia" w:ascii="宋体" w:hAnsi="宋体" w:cs="宋体"/>
          <w:szCs w:val="21"/>
          <w:u w:val="single"/>
        </w:rPr>
        <w:t xml:space="preserve">                  </w:t>
      </w:r>
      <w:r>
        <w:rPr>
          <w:rFonts w:ascii="宋体" w:hAnsi="宋体" w:cs="宋体"/>
          <w:szCs w:val="21"/>
          <w:u w:val="single"/>
        </w:rPr>
        <w:t>（标的名称）</w:t>
      </w:r>
      <w:r>
        <w:rPr>
          <w:rFonts w:ascii="宋体" w:hAnsi="宋体" w:cs="宋体"/>
          <w:szCs w:val="21"/>
        </w:rPr>
        <w:t xml:space="preserve"> ，属于</w:t>
      </w:r>
      <w:r>
        <w:rPr>
          <w:rFonts w:hint="eastAsia" w:ascii="宋体" w:hAnsi="宋体" w:cs="宋体"/>
          <w:szCs w:val="21"/>
          <w:u w:val="single"/>
        </w:rPr>
        <w:t xml:space="preserve">  工业</w:t>
      </w:r>
      <w:r>
        <w:rPr>
          <w:rFonts w:ascii="宋体" w:hAnsi="宋体" w:cs="宋体"/>
          <w:szCs w:val="21"/>
          <w:u w:val="single"/>
        </w:rPr>
        <w:t>（采购文件中明确的所属行业）</w:t>
      </w:r>
      <w:r>
        <w:rPr>
          <w:rFonts w:ascii="宋体" w:hAnsi="宋体" w:cs="宋体"/>
          <w:szCs w:val="21"/>
        </w:rPr>
        <w:t>行业；制造商为</w:t>
      </w:r>
      <w:r>
        <w:rPr>
          <w:rFonts w:hint="eastAsia" w:ascii="宋体" w:hAnsi="宋体" w:cs="宋体"/>
          <w:szCs w:val="21"/>
          <w:u w:val="single"/>
        </w:rPr>
        <w:t xml:space="preserve">     </w:t>
      </w:r>
      <w:r>
        <w:rPr>
          <w:rFonts w:ascii="宋体" w:hAnsi="宋体" w:cs="宋体"/>
          <w:szCs w:val="21"/>
          <w:u w:val="single"/>
        </w:rPr>
        <w:t>（企业名称）</w:t>
      </w:r>
      <w:r>
        <w:rPr>
          <w:rFonts w:ascii="宋体" w:hAnsi="宋体" w:cs="宋体"/>
          <w:szCs w:val="21"/>
        </w:rPr>
        <w:t>，从业人员</w:t>
      </w:r>
      <w:r>
        <w:rPr>
          <w:rFonts w:hint="eastAsia" w:ascii="宋体" w:hAnsi="宋体" w:cs="宋体"/>
          <w:szCs w:val="21"/>
          <w:u w:val="single"/>
        </w:rPr>
        <w:t xml:space="preserve">        </w:t>
      </w:r>
      <w:r>
        <w:rPr>
          <w:rFonts w:ascii="宋体" w:hAnsi="宋体" w:cs="宋体"/>
          <w:szCs w:val="21"/>
        </w:rPr>
        <w:t>人，营业收入为</w:t>
      </w:r>
      <w:r>
        <w:rPr>
          <w:rFonts w:hint="eastAsia" w:ascii="宋体" w:hAnsi="宋体" w:cs="宋体"/>
          <w:szCs w:val="21"/>
          <w:u w:val="single"/>
        </w:rPr>
        <w:t xml:space="preserve">        </w:t>
      </w:r>
      <w:r>
        <w:rPr>
          <w:rFonts w:ascii="宋体" w:hAnsi="宋体" w:cs="宋体"/>
          <w:szCs w:val="21"/>
        </w:rPr>
        <w:t>万元，资产总额为</w:t>
      </w:r>
      <w:r>
        <w:rPr>
          <w:rFonts w:hint="eastAsia" w:ascii="宋体" w:hAnsi="宋体" w:cs="宋体"/>
          <w:szCs w:val="21"/>
          <w:u w:val="single"/>
        </w:rPr>
        <w:t xml:space="preserve">        </w:t>
      </w:r>
      <w:r>
        <w:rPr>
          <w:rFonts w:ascii="宋体" w:hAnsi="宋体" w:cs="宋体"/>
          <w:szCs w:val="21"/>
        </w:rPr>
        <w:t>万元，属于</w:t>
      </w:r>
      <w:r>
        <w:rPr>
          <w:rFonts w:hint="eastAsia" w:ascii="宋体" w:hAnsi="宋体" w:cs="宋体"/>
          <w:szCs w:val="21"/>
          <w:u w:val="single"/>
        </w:rPr>
        <w:t xml:space="preserve">         </w:t>
      </w:r>
      <w:r>
        <w:rPr>
          <w:rFonts w:ascii="宋体" w:hAnsi="宋体" w:cs="宋体"/>
          <w:szCs w:val="21"/>
          <w:u w:val="single"/>
        </w:rPr>
        <w:t>（中型企业、小型企业、微型企业）</w:t>
      </w:r>
      <w:r>
        <w:rPr>
          <w:rFonts w:ascii="宋体" w:hAnsi="宋体" w:cs="宋体"/>
          <w:szCs w:val="21"/>
        </w:rPr>
        <w:t xml:space="preserve">； </w:t>
      </w:r>
      <w:r>
        <w:rPr>
          <w:rFonts w:ascii="宋体" w:hAnsi="宋体" w:cs="宋体"/>
          <w:szCs w:val="21"/>
        </w:rPr>
        <w:br w:type="textWrapping"/>
      </w:r>
      <w:r>
        <w:rPr>
          <w:rFonts w:hint="eastAsia" w:ascii="宋体" w:hAnsi="宋体" w:cs="宋体"/>
          <w:szCs w:val="21"/>
        </w:rPr>
        <w:t xml:space="preserve">    </w:t>
      </w:r>
      <w:r>
        <w:rPr>
          <w:rFonts w:ascii="宋体" w:hAnsi="宋体" w:cs="宋体"/>
          <w:szCs w:val="21"/>
        </w:rPr>
        <w:t xml:space="preserve">…… </w:t>
      </w:r>
      <w:r>
        <w:rPr>
          <w:rFonts w:ascii="宋体" w:hAnsi="宋体" w:cs="宋体"/>
          <w:szCs w:val="21"/>
        </w:rPr>
        <w:br w:type="textWrapping"/>
      </w:r>
      <w:r>
        <w:rPr>
          <w:rFonts w:hint="eastAsia" w:ascii="宋体" w:hAnsi="宋体" w:cs="宋体"/>
          <w:szCs w:val="21"/>
        </w:rPr>
        <w:t xml:space="preserve">    </w:t>
      </w:r>
      <w:r>
        <w:rPr>
          <w:rFonts w:ascii="宋体" w:hAnsi="宋体" w:cs="宋体"/>
          <w:szCs w:val="21"/>
        </w:rPr>
        <w:t xml:space="preserve">以上企业，不属于大企业的分支机构，不存在控股股东为大企业的情形，也不存在与大企业的负责人为同一人的情形。 </w:t>
      </w:r>
      <w:r>
        <w:rPr>
          <w:rFonts w:ascii="宋体" w:hAnsi="宋体" w:cs="宋体"/>
          <w:szCs w:val="21"/>
        </w:rPr>
        <w:br w:type="textWrapping"/>
      </w:r>
      <w:r>
        <w:rPr>
          <w:rFonts w:hint="eastAsia" w:ascii="宋体" w:hAnsi="宋体" w:cs="宋体"/>
          <w:szCs w:val="21"/>
        </w:rPr>
        <w:t xml:space="preserve">    </w:t>
      </w:r>
      <w:r>
        <w:rPr>
          <w:rFonts w:ascii="宋体" w:hAnsi="宋体" w:cs="宋体"/>
          <w:szCs w:val="21"/>
        </w:rPr>
        <w:t xml:space="preserve">本企业对上述声明内容的真实性负责。如有虚假，将依法承担相应责任。 </w:t>
      </w:r>
    </w:p>
    <w:p>
      <w:pPr>
        <w:spacing w:line="360" w:lineRule="auto"/>
        <w:ind w:firstLine="6930" w:firstLineChars="3300"/>
        <w:rPr>
          <w:rFonts w:ascii="宋体" w:hAnsi="宋体" w:cs="宋体"/>
          <w:szCs w:val="21"/>
        </w:rPr>
      </w:pPr>
      <w:r>
        <w:rPr>
          <w:rFonts w:ascii="宋体" w:hAnsi="宋体" w:cs="宋体"/>
          <w:szCs w:val="21"/>
        </w:rPr>
        <w:t xml:space="preserve">企业名称（盖章）： </w:t>
      </w:r>
    </w:p>
    <w:p>
      <w:pPr>
        <w:spacing w:line="360" w:lineRule="auto"/>
        <w:ind w:firstLine="420" w:firstLineChars="200"/>
        <w:jc w:val="center"/>
        <w:rPr>
          <w:rFonts w:ascii="宋体" w:hAnsi="宋体" w:cs="宋体"/>
          <w:szCs w:val="21"/>
        </w:rPr>
      </w:pPr>
      <w:r>
        <w:rPr>
          <w:rFonts w:hint="eastAsia" w:ascii="宋体" w:hAnsi="宋体" w:cs="宋体"/>
          <w:szCs w:val="21"/>
        </w:rPr>
        <w:t xml:space="preserve">                                                </w:t>
      </w:r>
      <w:r>
        <w:rPr>
          <w:rFonts w:ascii="宋体" w:hAnsi="宋体" w:cs="宋体"/>
          <w:szCs w:val="21"/>
        </w:rPr>
        <w:t>日 期：</w:t>
      </w:r>
    </w:p>
    <w:p>
      <w:pPr>
        <w:spacing w:line="360" w:lineRule="auto"/>
        <w:rPr>
          <w:rFonts w:ascii="宋体" w:hAnsi="宋体" w:cs="宋体"/>
          <w:szCs w:val="21"/>
        </w:rPr>
      </w:pPr>
    </w:p>
    <w:p>
      <w:pPr>
        <w:spacing w:line="360" w:lineRule="auto"/>
        <w:rPr>
          <w:rFonts w:ascii="宋体" w:hAnsi="宋体" w:cs="宋体"/>
          <w:szCs w:val="21"/>
        </w:rPr>
      </w:pPr>
    </w:p>
    <w:p>
      <w:pPr>
        <w:spacing w:line="360" w:lineRule="auto"/>
        <w:rPr>
          <w:rFonts w:ascii="宋体" w:hAnsi="宋体" w:cs="宋体"/>
          <w:szCs w:val="21"/>
        </w:rPr>
      </w:pPr>
    </w:p>
    <w:p>
      <w:pPr>
        <w:spacing w:line="360" w:lineRule="auto"/>
        <w:ind w:firstLine="420" w:firstLineChars="200"/>
      </w:pPr>
      <w:r>
        <w:rPr>
          <w:rFonts w:ascii="宋体" w:hAnsi="宋体" w:cs="宋体"/>
          <w:szCs w:val="21"/>
        </w:rPr>
        <w:t>从业人员、营业收入、资产总额填报上一年度数据，无上一年度数据的新成立企业可不填报。</w:t>
      </w:r>
    </w:p>
    <w:p>
      <w:pPr>
        <w:spacing w:line="360" w:lineRule="auto"/>
        <w:ind w:firstLine="444" w:firstLineChars="200"/>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 xml:space="preserve"> </w:t>
      </w:r>
    </w:p>
    <w:p>
      <w:pPr>
        <w:spacing w:line="360" w:lineRule="auto"/>
        <w:ind w:firstLine="444"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pacing w:val="6"/>
          <w:szCs w:val="21"/>
        </w:rPr>
        <w:br w:type="textWrapping"/>
      </w:r>
      <w:r>
        <w:rPr>
          <w:rFonts w:hint="eastAsia" w:asciiTheme="minorEastAsia" w:hAnsiTheme="minorEastAsia" w:eastAsiaTheme="minorEastAsia" w:cstheme="minorEastAsia"/>
          <w:spacing w:val="6"/>
          <w:szCs w:val="21"/>
        </w:rPr>
        <w:br w:type="textWrapping"/>
      </w: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r>
        <w:rPr>
          <w:rFonts w:hint="eastAsia" w:asciiTheme="minorEastAsia" w:hAnsiTheme="minorEastAsia" w:eastAsiaTheme="minorEastAsia" w:cstheme="minorEastAsia"/>
          <w:szCs w:val="21"/>
        </w:rPr>
        <w:br w:type="textWrapping"/>
      </w:r>
    </w:p>
    <w:bookmarkEnd w:id="129"/>
    <w:bookmarkEnd w:id="130"/>
    <w:bookmarkEnd w:id="131"/>
    <w:bookmarkEnd w:id="132"/>
    <w:p>
      <w:pPr>
        <w:rPr>
          <w:rFonts w:asciiTheme="minorEastAsia" w:hAnsiTheme="minorEastAsia" w:eastAsiaTheme="minorEastAsia" w:cstheme="minorEastAsia"/>
          <w:b/>
          <w:bCs/>
          <w:spacing w:val="6"/>
          <w:szCs w:val="21"/>
        </w:rPr>
      </w:pPr>
      <w:bookmarkStart w:id="229" w:name="_Toc30406"/>
      <w:bookmarkStart w:id="230" w:name="_Toc479184141"/>
      <w:bookmarkStart w:id="231" w:name="_Toc4320"/>
      <w:bookmarkStart w:id="232" w:name="_Toc7229"/>
      <w:bookmarkStart w:id="233" w:name="_Toc476839034"/>
      <w:r>
        <w:rPr>
          <w:rFonts w:hint="eastAsia" w:asciiTheme="minorEastAsia" w:hAnsiTheme="minorEastAsia" w:eastAsiaTheme="minorEastAsia" w:cstheme="minorEastAsia"/>
          <w:b/>
          <w:bCs/>
          <w:spacing w:val="6"/>
          <w:szCs w:val="21"/>
        </w:rPr>
        <w:br w:type="page"/>
      </w:r>
    </w:p>
    <w:p>
      <w:pPr>
        <w:adjustRightInd w:val="0"/>
        <w:snapToGrid w:val="0"/>
        <w:jc w:val="center"/>
        <w:outlineLvl w:val="1"/>
        <w:rPr>
          <w:rFonts w:asciiTheme="minorEastAsia" w:hAnsiTheme="minorEastAsia" w:eastAsiaTheme="minorEastAsia" w:cstheme="minorEastAsia"/>
          <w:b/>
        </w:rPr>
      </w:pPr>
      <w:bookmarkStart w:id="234" w:name="_Toc25942"/>
      <w:r>
        <w:rPr>
          <w:rFonts w:hint="eastAsia" w:asciiTheme="minorEastAsia" w:hAnsiTheme="minorEastAsia" w:eastAsiaTheme="minorEastAsia" w:cstheme="minorEastAsia"/>
          <w:b/>
          <w:bCs/>
          <w:spacing w:val="6"/>
          <w:szCs w:val="21"/>
        </w:rPr>
        <w:t>十七、</w:t>
      </w:r>
      <w:r>
        <w:rPr>
          <w:rFonts w:hint="eastAsia" w:asciiTheme="minorEastAsia" w:hAnsiTheme="minorEastAsia" w:eastAsiaTheme="minorEastAsia" w:cstheme="minorEastAsia"/>
          <w:b/>
          <w:bCs/>
          <w:lang w:val="zh-CN"/>
        </w:rPr>
        <w:t>监狱企业证</w:t>
      </w:r>
      <w:r>
        <w:rPr>
          <w:rFonts w:hint="eastAsia" w:asciiTheme="minorEastAsia" w:hAnsiTheme="minorEastAsia" w:eastAsiaTheme="minorEastAsia" w:cstheme="minorEastAsia"/>
          <w:b/>
          <w:lang w:val="zh-CN"/>
        </w:rPr>
        <w:t>明文</w:t>
      </w:r>
      <w:r>
        <w:rPr>
          <w:rFonts w:hint="eastAsia" w:asciiTheme="minorEastAsia" w:hAnsiTheme="minorEastAsia" w:eastAsiaTheme="minorEastAsia" w:cstheme="minorEastAsia"/>
          <w:b/>
        </w:rPr>
        <w:t>件</w:t>
      </w:r>
      <w:r>
        <w:rPr>
          <w:rFonts w:hint="eastAsia" w:asciiTheme="minorEastAsia" w:hAnsiTheme="minorEastAsia" w:eastAsiaTheme="minorEastAsia" w:cstheme="minorEastAsia"/>
          <w:b/>
          <w:lang w:val="zh-CN"/>
        </w:rPr>
        <w:t>（若</w:t>
      </w:r>
      <w:r>
        <w:rPr>
          <w:rFonts w:hint="eastAsia" w:asciiTheme="minorEastAsia" w:hAnsiTheme="minorEastAsia" w:eastAsiaTheme="minorEastAsia" w:cstheme="minorEastAsia"/>
          <w:b/>
        </w:rPr>
        <w:t>符合</w:t>
      </w:r>
      <w:r>
        <w:rPr>
          <w:rFonts w:hint="eastAsia" w:asciiTheme="minorEastAsia" w:hAnsiTheme="minorEastAsia" w:eastAsiaTheme="minorEastAsia" w:cstheme="minorEastAsia"/>
          <w:b/>
          <w:lang w:val="zh-CN"/>
        </w:rPr>
        <w:t>）</w:t>
      </w:r>
      <w:bookmarkEnd w:id="234"/>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pacing w:val="6"/>
          <w:szCs w:val="21"/>
        </w:rPr>
        <w:br w:type="textWrapping"/>
      </w:r>
      <w:r>
        <w:rPr>
          <w:rFonts w:hint="eastAsia" w:asciiTheme="minorEastAsia" w:hAnsiTheme="minorEastAsia" w:eastAsiaTheme="minorEastAsia" w:cstheme="minorEastAsia"/>
          <w:spacing w:val="6"/>
          <w:szCs w:val="21"/>
        </w:rPr>
        <w:t>供应商如是监狱企业，提供相关证明文件。</w:t>
      </w:r>
      <w:r>
        <w:rPr>
          <w:rFonts w:hint="eastAsia" w:asciiTheme="minorEastAsia" w:hAnsiTheme="minorEastAsia" w:eastAsiaTheme="minorEastAsia" w:cstheme="minorEastAsia"/>
          <w:spacing w:val="6"/>
          <w:szCs w:val="21"/>
        </w:rPr>
        <w:br w:type="textWrapping"/>
      </w: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r>
        <w:rPr>
          <w:rFonts w:hint="eastAsia" w:asciiTheme="minorEastAsia" w:hAnsiTheme="minorEastAsia" w:eastAsiaTheme="minorEastAsia" w:cstheme="minorEastAsia"/>
          <w:szCs w:val="21"/>
          <w:u w:val="single"/>
        </w:rPr>
        <w:t xml:space="preserve">                                     </w:t>
      </w: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
      <w:pPr>
        <w:adjustRightInd w:val="0"/>
        <w:snapToGrid w:val="0"/>
        <w:jc w:val="center"/>
        <w:outlineLvl w:val="1"/>
        <w:rPr>
          <w:rFonts w:asciiTheme="minorEastAsia" w:hAnsiTheme="minorEastAsia" w:eastAsiaTheme="minorEastAsia" w:cstheme="minorEastAsia"/>
          <w:b/>
          <w:lang w:val="zh-CN"/>
        </w:rPr>
      </w:pPr>
      <w:bookmarkStart w:id="235" w:name="_Toc18551"/>
      <w:r>
        <w:rPr>
          <w:rFonts w:hint="eastAsia" w:asciiTheme="minorEastAsia" w:hAnsiTheme="minorEastAsia" w:eastAsiaTheme="minorEastAsia" w:cstheme="minorEastAsia"/>
          <w:spacing w:val="6"/>
          <w:szCs w:val="21"/>
        </w:rPr>
        <w:br w:type="textWrapping"/>
      </w:r>
      <w:r>
        <w:rPr>
          <w:rFonts w:hint="eastAsia" w:asciiTheme="minorEastAsia" w:hAnsiTheme="minorEastAsia" w:eastAsiaTheme="minorEastAsia" w:cstheme="minorEastAsia"/>
          <w:b/>
        </w:rPr>
        <w:t>十八、</w:t>
      </w:r>
      <w:r>
        <w:rPr>
          <w:rFonts w:hint="eastAsia" w:asciiTheme="minorEastAsia" w:hAnsiTheme="minorEastAsia" w:eastAsiaTheme="minorEastAsia" w:cstheme="minorEastAsia"/>
          <w:b/>
          <w:lang w:val="zh-CN"/>
        </w:rPr>
        <w:t>残疾人福利性单位声明函（若</w:t>
      </w:r>
      <w:r>
        <w:rPr>
          <w:rFonts w:hint="eastAsia" w:asciiTheme="minorEastAsia" w:hAnsiTheme="minorEastAsia" w:eastAsiaTheme="minorEastAsia" w:cstheme="minorEastAsia"/>
          <w:b/>
        </w:rPr>
        <w:t>符合</w:t>
      </w:r>
      <w:r>
        <w:rPr>
          <w:rFonts w:hint="eastAsia" w:asciiTheme="minorEastAsia" w:hAnsiTheme="minorEastAsia" w:eastAsiaTheme="minorEastAsia" w:cstheme="minorEastAsia"/>
          <w:b/>
          <w:lang w:val="zh-CN"/>
        </w:rPr>
        <w:t>）</w:t>
      </w:r>
      <w:bookmarkEnd w:id="235"/>
    </w:p>
    <w:p>
      <w:pPr>
        <w:pStyle w:val="14"/>
        <w:ind w:firstLine="415" w:firstLineChars="198"/>
        <w:jc w:val="lef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本单位郑重声明，根据《财政部民政部中国残疾人联合会关于促进残疾人就业政府采购政策的通知》（财库〔2017〕141号）的规定，本单位为符合条件的残疾人福利性单位（详见“残疾人福利性单位应当满足的条件”）。</w:t>
      </w:r>
    </w:p>
    <w:p>
      <w:pPr>
        <w:pStyle w:val="14"/>
        <w:ind w:firstLine="415" w:firstLineChars="198"/>
        <w:jc w:val="lef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本单位授权</w:t>
      </w:r>
      <w:r>
        <w:rPr>
          <w:rFonts w:hint="eastAsia" w:asciiTheme="minorEastAsia" w:hAnsiTheme="minorEastAsia" w:eastAsiaTheme="minorEastAsia" w:cstheme="minorEastAsia"/>
          <w:color w:val="auto"/>
          <w:sz w:val="21"/>
          <w:u w:val="single"/>
        </w:rPr>
        <w:t xml:space="preserve">     （供应商） </w:t>
      </w:r>
      <w:r>
        <w:rPr>
          <w:rFonts w:hint="eastAsia" w:asciiTheme="minorEastAsia" w:hAnsiTheme="minorEastAsia" w:eastAsiaTheme="minorEastAsia" w:cstheme="minorEastAsia"/>
          <w:color w:val="auto"/>
          <w:sz w:val="21"/>
        </w:rPr>
        <w:t>参加</w:t>
      </w:r>
      <w:r>
        <w:rPr>
          <w:rFonts w:hint="eastAsia" w:asciiTheme="minorEastAsia" w:hAnsiTheme="minorEastAsia" w:eastAsiaTheme="minorEastAsia" w:cstheme="minorEastAsia"/>
          <w:color w:val="auto"/>
          <w:sz w:val="21"/>
          <w:u w:val="single"/>
        </w:rPr>
        <w:t xml:space="preserve">     （采购人）</w:t>
      </w:r>
      <w:r>
        <w:rPr>
          <w:rFonts w:hint="eastAsia" w:asciiTheme="minorEastAsia" w:hAnsiTheme="minorEastAsia" w:eastAsiaTheme="minorEastAsia" w:cstheme="minorEastAsia"/>
          <w:color w:val="auto"/>
          <w:sz w:val="21"/>
        </w:rPr>
        <w:t>的</w:t>
      </w:r>
      <w:r>
        <w:rPr>
          <w:rFonts w:hint="eastAsia" w:asciiTheme="minorEastAsia" w:hAnsiTheme="minorEastAsia" w:eastAsiaTheme="minorEastAsia" w:cstheme="minorEastAsia"/>
          <w:color w:val="auto"/>
          <w:sz w:val="21"/>
          <w:u w:val="single"/>
        </w:rPr>
        <w:t>    </w:t>
      </w:r>
      <w:r>
        <w:rPr>
          <w:rFonts w:hint="eastAsia" w:asciiTheme="minorEastAsia" w:hAnsiTheme="minorEastAsia" w:eastAsiaTheme="minorEastAsia" w:cstheme="minorEastAsia"/>
          <w:color w:val="auto"/>
          <w:sz w:val="21"/>
        </w:rPr>
        <w:t>项目（项目编号：_____）采购活动提供本单位制造的货物（由本单位承担工程/提供服务）。或者提供其他残疾人福利性单位制造的货物（不包括使用非残疾人福利性单位注册商标的货物）。</w:t>
      </w:r>
    </w:p>
    <w:p>
      <w:pPr>
        <w:ind w:firstLine="420" w:firstLineChars="200"/>
        <w:rPr>
          <w:rFonts w:asciiTheme="minorEastAsia" w:hAnsiTheme="minorEastAsia" w:eastAsiaTheme="minorEastAsia" w:cstheme="minorEastAsia"/>
          <w:bCs/>
          <w:szCs w:val="21"/>
        </w:rPr>
      </w:pPr>
      <w:r>
        <w:rPr>
          <w:rFonts w:hint="eastAsia" w:asciiTheme="minorEastAsia" w:hAnsiTheme="minorEastAsia" w:eastAsiaTheme="minorEastAsia" w:cstheme="minorEastAsia"/>
          <w:szCs w:val="21"/>
        </w:rPr>
        <w:t>本单位对上述声明的真实性负责。如有虚假，将依法承担相应责任。</w:t>
      </w:r>
    </w:p>
    <w:p>
      <w:pPr>
        <w:pStyle w:val="14"/>
        <w:jc w:val="lef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bCs/>
          <w:color w:val="auto"/>
          <w:sz w:val="21"/>
        </w:rPr>
        <w:t>说明：</w:t>
      </w:r>
      <w:r>
        <w:rPr>
          <w:rFonts w:hint="eastAsia" w:asciiTheme="minorEastAsia" w:hAnsiTheme="minorEastAsia" w:eastAsiaTheme="minorEastAsia" w:cstheme="minorEastAsia"/>
          <w:color w:val="auto"/>
          <w:sz w:val="21"/>
        </w:rPr>
        <w:t>1、供应商所投货物为自己制造的，也应按本声明函格式填写。</w:t>
      </w:r>
    </w:p>
    <w:p>
      <w:pPr>
        <w:pStyle w:val="14"/>
        <w:ind w:left="1033" w:leftChars="342" w:hanging="315" w:hangingChars="150"/>
        <w:jc w:val="lef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2、组成联合体的大中型企业和其他自然人、法人或者其他组织，与残疾人福利性单位之间不得存在投资关系。</w:t>
      </w:r>
    </w:p>
    <w:p>
      <w:pPr>
        <w:pStyle w:val="14"/>
        <w:ind w:left="1033" w:leftChars="342" w:hanging="315" w:hangingChars="150"/>
        <w:jc w:val="left"/>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1"/>
        </w:rPr>
        <w:t>3、如以联合体方式参与本项目响应的供应商，则应由联合体双方签字盖章。</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制造商（</w:t>
      </w:r>
      <w:r>
        <w:rPr>
          <w:rFonts w:hint="eastAsia" w:asciiTheme="minorEastAsia" w:hAnsiTheme="minorEastAsia" w:eastAsiaTheme="minorEastAsia" w:cstheme="minorEastAsia"/>
          <w:szCs w:val="21"/>
        </w:rPr>
        <w:t>盖章</w:t>
      </w:r>
      <w:r>
        <w:rPr>
          <w:rFonts w:hint="eastAsia" w:asciiTheme="minorEastAsia" w:hAnsiTheme="minorEastAsia" w:eastAsiaTheme="minorEastAsia" w:cstheme="minorEastAsia"/>
          <w:szCs w:val="21"/>
          <w:lang w:val="zh-CN"/>
        </w:rPr>
        <w:t>）：</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制造商法定代表人（签字）：</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磋商供应商法定代表人（签字）：</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磋商供应商授权代表（签字）：                        </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磋商供应商名称（</w:t>
      </w:r>
      <w:r>
        <w:rPr>
          <w:rFonts w:hint="eastAsia" w:asciiTheme="minorEastAsia" w:hAnsiTheme="minorEastAsia" w:eastAsiaTheme="minorEastAsia" w:cstheme="minorEastAsia"/>
          <w:szCs w:val="21"/>
        </w:rPr>
        <w:t>盖章</w:t>
      </w:r>
      <w:r>
        <w:rPr>
          <w:rFonts w:hint="eastAsia" w:asciiTheme="minorEastAsia" w:hAnsiTheme="minorEastAsia" w:eastAsiaTheme="minorEastAsia" w:cstheme="minorEastAsia"/>
          <w:szCs w:val="21"/>
          <w:lang w:val="zh-CN"/>
        </w:rPr>
        <w:t xml:space="preserve">）：                                     </w:t>
      </w:r>
    </w:p>
    <w:p>
      <w:p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时                 间：           年          月          日</w:t>
      </w:r>
      <w:r>
        <w:rPr>
          <w:rFonts w:hint="eastAsia" w:asciiTheme="minorEastAsia" w:hAnsiTheme="minorEastAsia" w:eastAsiaTheme="minorEastAsia" w:cstheme="minorEastAsia"/>
          <w:szCs w:val="21"/>
          <w:lang w:val="zh-CN"/>
        </w:rPr>
        <w:br w:type="textWrapping"/>
      </w:r>
      <w:r>
        <w:rPr>
          <w:rFonts w:hint="eastAsia" w:asciiTheme="minorEastAsia" w:hAnsiTheme="minorEastAsia" w:eastAsiaTheme="minorEastAsia" w:cstheme="minorEastAsia"/>
          <w:szCs w:val="21"/>
          <w:lang w:val="zh-CN"/>
        </w:rPr>
        <w:t>备注：享受政府采购支持政策的残疾人福利性单位应当同时满足以下条件：</w:t>
      </w:r>
    </w:p>
    <w:p>
      <w:pPr>
        <w:numPr>
          <w:ilvl w:val="0"/>
          <w:numId w:val="41"/>
        </w:num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安置的残疾人占本单位在职职工人数的比例不低于 25%（含 25%），并且安置的残疾人人数不少于 10 人（含 10 人）；</w:t>
      </w:r>
    </w:p>
    <w:p>
      <w:pPr>
        <w:numPr>
          <w:ilvl w:val="0"/>
          <w:numId w:val="41"/>
        </w:num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依法与安置的每位残疾人签订了一年以上（含一年）的劳动合同或服务协议；</w:t>
      </w:r>
    </w:p>
    <w:p>
      <w:pPr>
        <w:numPr>
          <w:ilvl w:val="0"/>
          <w:numId w:val="41"/>
        </w:num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为安置的每位残疾人按月足额缴纳了基本养老保险、基本医疗保险、失业保险、工伤保险和生育保险等社会保险费；</w:t>
      </w:r>
    </w:p>
    <w:p>
      <w:pPr>
        <w:numPr>
          <w:ilvl w:val="0"/>
          <w:numId w:val="41"/>
        </w:num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通过银行等金融机构向安置的每位残疾人，按月支付了不低于单位所在区县适用的经省级人民政府批准的月最低工资标准的工资；</w:t>
      </w:r>
    </w:p>
    <w:p>
      <w:pPr>
        <w:numPr>
          <w:ilvl w:val="0"/>
          <w:numId w:val="41"/>
        </w:num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提供本单位制造的货物、承担的工程或者服务（以下简称产品），或者提供其他残疾人福利性单位制造的货物（不包括使用非残疾人福利性单位注册商标的货物）。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级）》的自然人，包括具有劳动条件和劳动意愿的精神残疾人。在职职工人数是指与残疾人福利性单位建立劳动关系并依法签订劳动合同或者服务协议的雇员人数。</w:t>
      </w:r>
    </w:p>
    <w:p>
      <w:pPr>
        <w:spacing w:before="100" w:beforeAutospacing="1" w:after="100" w:afterAutospacing="1" w:line="360" w:lineRule="auto"/>
        <w:jc w:val="center"/>
        <w:outlineLvl w:val="1"/>
        <w:rPr>
          <w:rFonts w:asciiTheme="minorEastAsia" w:hAnsiTheme="minorEastAsia" w:eastAsiaTheme="minorEastAsia" w:cstheme="minorEastAsia"/>
          <w:bCs/>
          <w:szCs w:val="21"/>
          <w:u w:val="single"/>
        </w:rPr>
      </w:pPr>
      <w:bookmarkStart w:id="236" w:name="_Toc30070"/>
      <w:r>
        <w:rPr>
          <w:rFonts w:hint="eastAsia" w:asciiTheme="minorEastAsia" w:hAnsiTheme="minorEastAsia" w:eastAsiaTheme="minorEastAsia" w:cstheme="minorEastAsia"/>
          <w:b/>
        </w:rPr>
        <w:t>十九、节能环保产品证明材料（若符合）</w:t>
      </w:r>
      <w:bookmarkEnd w:id="236"/>
    </w:p>
    <w:p>
      <w:pPr>
        <w:adjustRightInd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spacing w:before="100" w:beforeAutospacing="1" w:after="100" w:afterAutospacing="1"/>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（1）节能产品：</w:t>
      </w:r>
    </w:p>
    <w:tbl>
      <w:tblPr>
        <w:tblStyle w:val="26"/>
        <w:tblW w:w="92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3"/>
        <w:gridCol w:w="1109"/>
        <w:gridCol w:w="1370"/>
        <w:gridCol w:w="639"/>
        <w:gridCol w:w="639"/>
        <w:gridCol w:w="639"/>
        <w:gridCol w:w="1383"/>
        <w:gridCol w:w="1304"/>
        <w:gridCol w:w="13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110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设备名称</w:t>
            </w:r>
          </w:p>
        </w:tc>
        <w:tc>
          <w:tcPr>
            <w:tcW w:w="1370"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制造商名称</w:t>
            </w: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品牌</w:t>
            </w: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型号</w:t>
            </w: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数量</w:t>
            </w: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单价（万元）</w:t>
            </w:r>
          </w:p>
        </w:tc>
        <w:tc>
          <w:tcPr>
            <w:tcW w:w="1304"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总价（万元）</w:t>
            </w:r>
          </w:p>
        </w:tc>
        <w:tc>
          <w:tcPr>
            <w:tcW w:w="134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属强制采购或优先采购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10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7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4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10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7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4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10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7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4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10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7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4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bl>
    <w:p>
      <w:pPr>
        <w:spacing w:before="100" w:beforeAutospacing="1" w:after="100" w:afterAutospacing="1"/>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（2）环保产品：</w:t>
      </w:r>
    </w:p>
    <w:tbl>
      <w:tblPr>
        <w:tblStyle w:val="26"/>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6"/>
        <w:gridCol w:w="1306"/>
        <w:gridCol w:w="1613"/>
        <w:gridCol w:w="849"/>
        <w:gridCol w:w="849"/>
        <w:gridCol w:w="849"/>
        <w:gridCol w:w="1487"/>
        <w:gridCol w:w="13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1306"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设备名称</w:t>
            </w:r>
          </w:p>
        </w:tc>
        <w:tc>
          <w:tcPr>
            <w:tcW w:w="161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制造商名称</w:t>
            </w: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品牌</w:t>
            </w: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型号</w:t>
            </w: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数量</w:t>
            </w:r>
          </w:p>
        </w:tc>
        <w:tc>
          <w:tcPr>
            <w:tcW w:w="1487"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单价（万元）</w:t>
            </w:r>
          </w:p>
        </w:tc>
        <w:tc>
          <w:tcPr>
            <w:tcW w:w="138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总价（万元）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61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48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61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48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61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48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30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61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48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bl>
    <w:p>
      <w:pPr>
        <w:spacing w:before="100" w:beforeAutospacing="1" w:after="100" w:afterAutospacing="1" w:line="360" w:lineRule="auto"/>
        <w:rPr>
          <w:rFonts w:asciiTheme="minorEastAsia" w:hAnsiTheme="minorEastAsia" w:eastAsiaTheme="minorEastAsia" w:cstheme="minorEastAsia"/>
          <w:bCs/>
          <w:szCs w:val="21"/>
          <w:u w:val="single"/>
        </w:rPr>
      </w:pPr>
      <w:r>
        <w:rPr>
          <w:rFonts w:hint="eastAsia" w:asciiTheme="minorEastAsia" w:hAnsiTheme="minorEastAsia" w:eastAsiaTheme="minorEastAsia" w:cstheme="minorEastAsia"/>
          <w:szCs w:val="21"/>
        </w:rPr>
        <w:t>注：供应商所提供产品如为节能环保产品，则应按本磋商文件第四章“政策支持”提供相关证明材料，并将节能、环保产品分别列入上表中，未填写本表或未提供有效认证证书的不给予价格扣除。</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br w:type="textWrapping"/>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磋商供应商授权代表（签字）：                        </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磋商供应商名称（</w:t>
      </w:r>
      <w:r>
        <w:rPr>
          <w:rFonts w:hint="eastAsia" w:asciiTheme="minorEastAsia" w:hAnsiTheme="minorEastAsia" w:eastAsiaTheme="minorEastAsia" w:cstheme="minorEastAsia"/>
          <w:szCs w:val="21"/>
        </w:rPr>
        <w:t>盖章</w:t>
      </w:r>
      <w:r>
        <w:rPr>
          <w:rFonts w:hint="eastAsia" w:asciiTheme="minorEastAsia" w:hAnsiTheme="minorEastAsia" w:eastAsiaTheme="minorEastAsia" w:cstheme="minorEastAsia"/>
          <w:szCs w:val="21"/>
          <w:lang w:val="zh-CN"/>
        </w:rPr>
        <w:t xml:space="preserve">）：                                     </w:t>
      </w:r>
    </w:p>
    <w:p>
      <w:pPr>
        <w:spacing w:before="100" w:beforeAutospacing="1" w:after="100" w:afterAutospacing="1" w:line="360" w:lineRule="auto"/>
        <w:rPr>
          <w:rFonts w:asciiTheme="minorEastAsia" w:hAnsiTheme="minorEastAsia" w:eastAsiaTheme="minorEastAsia" w:cstheme="minorEastAsia"/>
          <w:bCs/>
          <w:szCs w:val="21"/>
          <w:u w:val="single"/>
        </w:rPr>
      </w:pPr>
      <w:r>
        <w:rPr>
          <w:rFonts w:hint="eastAsia" w:asciiTheme="minorEastAsia" w:hAnsiTheme="minorEastAsia" w:eastAsiaTheme="minorEastAsia" w:cstheme="minorEastAsia"/>
          <w:szCs w:val="21"/>
          <w:lang w:val="zh-CN"/>
        </w:rPr>
        <w:t>时                 间：           年          月          日</w:t>
      </w:r>
      <w:r>
        <w:rPr>
          <w:rFonts w:hint="eastAsia" w:asciiTheme="minorEastAsia" w:hAnsiTheme="minorEastAsia" w:eastAsiaTheme="minorEastAsia" w:cstheme="minorEastAsia"/>
          <w:szCs w:val="21"/>
        </w:rPr>
        <w:t xml:space="preserve"> </w:t>
      </w:r>
    </w:p>
    <w:p>
      <w:pPr>
        <w:spacing w:before="100" w:beforeAutospacing="1" w:after="100" w:afterAutospacing="1"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u w:val="single"/>
        </w:rPr>
        <w:br w:type="textWrapping"/>
      </w:r>
    </w:p>
    <w:p>
      <w:pPr>
        <w:adjustRightInd w:val="0"/>
        <w:snapToGrid w:val="0"/>
        <w:spacing w:line="360" w:lineRule="auto"/>
        <w:jc w:val="center"/>
        <w:outlineLvl w:val="1"/>
        <w:rPr>
          <w:rFonts w:asciiTheme="minorEastAsia" w:hAnsiTheme="minorEastAsia" w:eastAsiaTheme="minorEastAsia" w:cstheme="minorEastAsia"/>
          <w:b/>
        </w:rPr>
      </w:pPr>
      <w:bookmarkStart w:id="237" w:name="_Toc28809"/>
      <w:r>
        <w:rPr>
          <w:rFonts w:hint="eastAsia" w:asciiTheme="minorEastAsia" w:hAnsiTheme="minorEastAsia" w:eastAsiaTheme="minorEastAsia" w:cstheme="minorEastAsia"/>
          <w:b/>
          <w:bCs/>
          <w:spacing w:val="6"/>
          <w:szCs w:val="21"/>
        </w:rPr>
        <w:t>二十、</w:t>
      </w:r>
      <w:r>
        <w:rPr>
          <w:rFonts w:hint="eastAsia" w:asciiTheme="minorEastAsia" w:hAnsiTheme="minorEastAsia" w:eastAsiaTheme="minorEastAsia" w:cstheme="minorEastAsia"/>
          <w:b/>
        </w:rPr>
        <w:t>无重大违法记录声明</w:t>
      </w:r>
      <w:bookmarkEnd w:id="229"/>
      <w:bookmarkEnd w:id="230"/>
      <w:bookmarkEnd w:id="231"/>
      <w:bookmarkEnd w:id="232"/>
      <w:bookmarkEnd w:id="233"/>
      <w:bookmarkEnd w:id="237"/>
    </w:p>
    <w:p>
      <w:pPr>
        <w:spacing w:line="480" w:lineRule="auto"/>
        <w:jc w:val="center"/>
        <w:rPr>
          <w:rFonts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（磋商供应商应在此基础上，根据本单位实际情况进行声明）</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采购人和采购代理机构：</w:t>
      </w:r>
    </w:p>
    <w:p>
      <w:pPr>
        <w:spacing w:line="48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我方在此声明，我方在参加本</w:t>
      </w:r>
      <w:r>
        <w:rPr>
          <w:rFonts w:hint="eastAsia" w:asciiTheme="minorEastAsia" w:hAnsiTheme="minorEastAsia" w:eastAsiaTheme="minorEastAsia" w:cstheme="minorEastAsia"/>
          <w:kern w:val="0"/>
          <w:szCs w:val="21"/>
          <w:shd w:val="clear" w:color="auto" w:fill="FFFFFF"/>
        </w:rPr>
        <w:t>次政府采购活动前三年内，在经营活动中没有以下重大违法记录：</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1.我方因违法经营被追究过刑事责任；</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2.我方因违法经营被责令停产停业、吊销许可证或者执照；</w:t>
      </w:r>
    </w:p>
    <w:p>
      <w:pPr>
        <w:spacing w:line="480" w:lineRule="auto"/>
        <w:rPr>
          <w:rFonts w:asciiTheme="minorEastAsia" w:hAnsiTheme="minorEastAsia" w:eastAsiaTheme="minorEastAsia" w:cstheme="minorEastAsia"/>
          <w:kern w:val="0"/>
          <w:szCs w:val="21"/>
          <w:shd w:val="clear" w:color="auto" w:fill="FFFFFF"/>
        </w:rPr>
      </w:pPr>
      <w:r>
        <w:rPr>
          <w:rFonts w:hint="eastAsia" w:asciiTheme="minorEastAsia" w:hAnsiTheme="minorEastAsia" w:eastAsiaTheme="minorEastAsia" w:cstheme="minorEastAsia"/>
          <w:kern w:val="0"/>
          <w:szCs w:val="21"/>
          <w:shd w:val="clear" w:color="auto" w:fill="FFFFFF"/>
        </w:rPr>
        <w:t>3.我方因违法经营被处以较大数额罚款等行政处罚；</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4.不良经济纠纷记录和违法行为。</w:t>
      </w:r>
    </w:p>
    <w:p>
      <w:pPr>
        <w:spacing w:line="48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随本声明附上我方参加本次政府采购活动前3年内发生的诉讼及仲裁情况表以及相关的法律证明文件供贵方核验。我方保证上述信息的完整、客观、真实、准确，并愿意承担我方因提供虚假材料谋骗取中标、成交所引起的一切法律后果。</w:t>
      </w:r>
    </w:p>
    <w:p>
      <w:pPr>
        <w:spacing w:line="48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特此声明！</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 </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 </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磋商供应商法定代表人（签字）：</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磋商供应商授权代表（签字）：                        </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磋商供应商名称（</w:t>
      </w:r>
      <w:r>
        <w:rPr>
          <w:rFonts w:hint="eastAsia" w:asciiTheme="minorEastAsia" w:hAnsiTheme="minorEastAsia" w:eastAsiaTheme="minorEastAsia" w:cstheme="minorEastAsia"/>
          <w:szCs w:val="21"/>
        </w:rPr>
        <w:t>盖章</w:t>
      </w:r>
      <w:r>
        <w:rPr>
          <w:rFonts w:hint="eastAsia" w:asciiTheme="minorEastAsia" w:hAnsiTheme="minorEastAsia" w:eastAsiaTheme="minorEastAsia" w:cstheme="minorEastAsia"/>
          <w:szCs w:val="21"/>
          <w:lang w:val="zh-CN"/>
        </w:rPr>
        <w:t xml:space="preserve">）：                                     </w:t>
      </w:r>
    </w:p>
    <w:p>
      <w:pPr>
        <w:spacing w:line="360" w:lineRule="auto"/>
        <w:rPr>
          <w:rFonts w:asciiTheme="minorEastAsia" w:hAnsiTheme="minorEastAsia" w:eastAsiaTheme="minorEastAsia" w:cstheme="minorEastAsia"/>
          <w:kern w:val="0"/>
          <w:szCs w:val="21"/>
          <w:shd w:val="clear" w:color="auto" w:fill="FFFFFF"/>
        </w:rPr>
      </w:pPr>
      <w:r>
        <w:rPr>
          <w:rFonts w:hint="eastAsia" w:asciiTheme="minorEastAsia" w:hAnsiTheme="minorEastAsia" w:eastAsiaTheme="minorEastAsia" w:cstheme="minorEastAsia"/>
          <w:szCs w:val="21"/>
          <w:lang w:val="zh-CN"/>
        </w:rPr>
        <w:t>时                 间：           年          月          日</w:t>
      </w:r>
      <w:r>
        <w:rPr>
          <w:rFonts w:hint="eastAsia" w:asciiTheme="minorEastAsia" w:hAnsiTheme="minorEastAsia" w:eastAsiaTheme="minorEastAsia" w:cstheme="minorEastAsia"/>
          <w:szCs w:val="21"/>
        </w:rPr>
        <w:t xml:space="preserve"> </w:t>
      </w:r>
    </w:p>
    <w:p>
      <w:pPr>
        <w:spacing w:line="360" w:lineRule="auto"/>
        <w:ind w:firstLine="420" w:firstLineChars="200"/>
        <w:rPr>
          <w:rFonts w:asciiTheme="minorEastAsia" w:hAnsiTheme="minorEastAsia" w:eastAsiaTheme="minorEastAsia" w:cstheme="minorEastAsia"/>
          <w:kern w:val="0"/>
          <w:szCs w:val="21"/>
          <w:shd w:val="clear" w:color="auto" w:fill="FFFFFF"/>
        </w:rPr>
      </w:pPr>
      <w:r>
        <w:rPr>
          <w:rFonts w:hint="eastAsia" w:asciiTheme="minorEastAsia" w:hAnsiTheme="minorEastAsia" w:eastAsiaTheme="minorEastAsia" w:cstheme="minorEastAsia"/>
          <w:kern w:val="0"/>
          <w:szCs w:val="21"/>
          <w:shd w:val="clear" w:color="auto" w:fill="FFFFFF"/>
        </w:rPr>
        <w:t>注：发生的诉讼和仲裁情况仅限于供应商败诉的，且与经营活动有关的案件，不包括调解结案的案件。与经营活动有关，但尚未裁决或终审判决的案件请单独另附《情况说明》（说明内容：案件当事人、基本案情）。</w:t>
      </w:r>
      <w:r>
        <w:rPr>
          <w:rFonts w:hint="eastAsia" w:asciiTheme="minorEastAsia" w:hAnsiTheme="minorEastAsia" w:eastAsiaTheme="minorEastAsia" w:cstheme="minorEastAsia"/>
          <w:kern w:val="0"/>
          <w:szCs w:val="21"/>
          <w:shd w:val="clear" w:color="auto" w:fill="FFFFFF"/>
        </w:rPr>
        <w:br w:type="textWrapping"/>
      </w:r>
    </w:p>
    <w:p>
      <w:pPr>
        <w:jc w:val="center"/>
        <w:outlineLvl w:val="1"/>
        <w:rPr>
          <w:rFonts w:asciiTheme="minorEastAsia" w:hAnsiTheme="minorEastAsia" w:eastAsiaTheme="minorEastAsia" w:cstheme="minorEastAsia"/>
          <w:spacing w:val="6"/>
          <w:szCs w:val="21"/>
        </w:rPr>
      </w:pPr>
      <w:bookmarkStart w:id="238" w:name="_Toc10829"/>
      <w:bookmarkStart w:id="239" w:name="_Toc10634"/>
      <w:r>
        <w:rPr>
          <w:rFonts w:hint="eastAsia" w:asciiTheme="minorEastAsia" w:hAnsiTheme="minorEastAsia" w:eastAsiaTheme="minorEastAsia" w:cstheme="minorEastAsia"/>
          <w:kern w:val="0"/>
          <w:szCs w:val="21"/>
          <w:shd w:val="clear" w:color="auto" w:fill="FFFFFF"/>
        </w:rPr>
        <w:br w:type="textWrapping"/>
      </w:r>
      <w:r>
        <w:rPr>
          <w:rFonts w:hint="eastAsia" w:asciiTheme="minorEastAsia" w:hAnsiTheme="minorEastAsia" w:eastAsiaTheme="minorEastAsia" w:cstheme="minorEastAsia"/>
          <w:b/>
          <w:bCs/>
          <w:kern w:val="0"/>
          <w:szCs w:val="21"/>
          <w:shd w:val="clear" w:color="auto" w:fill="FFFFFF"/>
        </w:rPr>
        <w:t>二十一、磋商供应商认为应该提交的其它文件（格式自拟）</w:t>
      </w:r>
      <w:bookmarkEnd w:id="238"/>
      <w:r>
        <w:rPr>
          <w:rFonts w:hint="eastAsia" w:asciiTheme="minorEastAsia" w:hAnsiTheme="minorEastAsia" w:eastAsiaTheme="minorEastAsia" w:cstheme="minorEastAsia"/>
          <w:b/>
          <w:bCs/>
          <w:kern w:val="0"/>
          <w:szCs w:val="21"/>
          <w:shd w:val="clear" w:color="auto" w:fill="FFFFFF"/>
        </w:rPr>
        <w:br w:type="textWrapping"/>
      </w:r>
      <w:bookmarkEnd w:id="239"/>
    </w:p>
    <w:tbl>
      <w:tblPr>
        <w:tblStyle w:val="26"/>
        <w:tblW w:w="9983" w:type="dxa"/>
        <w:tblInd w:w="-466" w:type="dxa"/>
        <w:tblLayout w:type="fixed"/>
        <w:tblCellMar>
          <w:top w:w="0" w:type="dxa"/>
          <w:left w:w="0" w:type="dxa"/>
          <w:bottom w:w="0" w:type="dxa"/>
          <w:right w:w="0" w:type="dxa"/>
        </w:tblCellMar>
      </w:tblPr>
      <w:tblGrid>
        <w:gridCol w:w="1163"/>
        <w:gridCol w:w="662"/>
        <w:gridCol w:w="760"/>
        <w:gridCol w:w="819"/>
        <w:gridCol w:w="665"/>
        <w:gridCol w:w="783"/>
        <w:gridCol w:w="783"/>
        <w:gridCol w:w="657"/>
        <w:gridCol w:w="767"/>
        <w:gridCol w:w="747"/>
        <w:gridCol w:w="793"/>
        <w:gridCol w:w="685"/>
        <w:gridCol w:w="699"/>
      </w:tblGrid>
      <w:tr>
        <w:tblPrEx>
          <w:tblCellMar>
            <w:top w:w="0" w:type="dxa"/>
            <w:left w:w="0" w:type="dxa"/>
            <w:bottom w:w="0" w:type="dxa"/>
            <w:right w:w="0" w:type="dxa"/>
          </w:tblCellMar>
        </w:tblPrEx>
        <w:trPr>
          <w:trHeight w:val="720" w:hRule="atLeast"/>
          <w:tblHeader/>
        </w:trPr>
        <w:tc>
          <w:tcPr>
            <w:tcW w:w="9983" w:type="dxa"/>
            <w:gridSpan w:val="13"/>
            <w:tcBorders>
              <w:top w:val="nil"/>
              <w:left w:val="nil"/>
              <w:bottom w:val="nil"/>
              <w:right w:val="nil"/>
            </w:tcBorders>
            <w:shd w:val="clear" w:color="auto" w:fill="auto"/>
            <w:noWrap/>
            <w:tcMar>
              <w:top w:w="15" w:type="dxa"/>
              <w:left w:w="15" w:type="dxa"/>
              <w:right w:w="15" w:type="dxa"/>
            </w:tcMar>
            <w:vAlign w:val="center"/>
          </w:tcPr>
          <w:p>
            <w:pPr>
              <w:widowControl/>
              <w:jc w:val="center"/>
              <w:textAlignment w:val="center"/>
              <w:rPr>
                <w:rFonts w:ascii="黑体" w:hAnsi="宋体" w:eastAsia="黑体" w:cs="黑体"/>
                <w:b/>
                <w:sz w:val="40"/>
                <w:szCs w:val="40"/>
              </w:rPr>
            </w:pPr>
            <w:r>
              <w:rPr>
                <w:rFonts w:hint="eastAsia" w:ascii="黑体" w:hAnsi="宋体" w:eastAsia="黑体" w:cs="黑体"/>
                <w:b/>
                <w:kern w:val="0"/>
                <w:sz w:val="40"/>
                <w:szCs w:val="40"/>
                <w:lang w:bidi="ar"/>
              </w:rPr>
              <w:t>中小企业划型标准规定（工信部联企业[2011]300号）</w:t>
            </w:r>
          </w:p>
        </w:tc>
      </w:tr>
      <w:tr>
        <w:tblPrEx>
          <w:tblCellMar>
            <w:top w:w="0" w:type="dxa"/>
            <w:left w:w="0" w:type="dxa"/>
            <w:bottom w:w="0" w:type="dxa"/>
            <w:right w:w="0" w:type="dxa"/>
          </w:tblCellMar>
        </w:tblPrEx>
        <w:trPr>
          <w:trHeight w:val="270" w:hRule="atLeast"/>
          <w:tblHeader/>
        </w:trPr>
        <w:tc>
          <w:tcPr>
            <w:tcW w:w="1163" w:type="dxa"/>
            <w:vMerge w:val="restart"/>
            <w:tcBorders>
              <w:top w:val="single" w:color="000000" w:sz="8"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行业</w:t>
            </w:r>
          </w:p>
        </w:tc>
        <w:tc>
          <w:tcPr>
            <w:tcW w:w="2241" w:type="dxa"/>
            <w:gridSpan w:val="3"/>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中小微型企业（</w:t>
            </w:r>
            <w:r>
              <w:rPr>
                <w:rFonts w:hint="eastAsia" w:ascii="宋体" w:hAnsi="宋体" w:cs="宋体"/>
                <w:b/>
                <w:kern w:val="0"/>
                <w:szCs w:val="21"/>
                <w:lang w:bidi="ar"/>
              </w:rPr>
              <w:t>或</w:t>
            </w:r>
            <w:r>
              <w:rPr>
                <w:rFonts w:hint="eastAsia" w:ascii="宋体" w:hAnsi="宋体" w:cs="宋体"/>
                <w:kern w:val="0"/>
                <w:szCs w:val="21"/>
                <w:lang w:bidi="ar"/>
              </w:rPr>
              <w:t>）</w:t>
            </w:r>
          </w:p>
        </w:tc>
        <w:tc>
          <w:tcPr>
            <w:tcW w:w="2231" w:type="dxa"/>
            <w:gridSpan w:val="3"/>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中型企业（</w:t>
            </w:r>
            <w:r>
              <w:rPr>
                <w:rFonts w:hint="eastAsia" w:ascii="宋体" w:hAnsi="宋体" w:cs="宋体"/>
                <w:b/>
                <w:kern w:val="0"/>
                <w:szCs w:val="21"/>
                <w:lang w:bidi="ar"/>
              </w:rPr>
              <w:t>且</w:t>
            </w:r>
            <w:r>
              <w:rPr>
                <w:rFonts w:hint="eastAsia" w:ascii="宋体" w:hAnsi="宋体" w:cs="宋体"/>
                <w:kern w:val="0"/>
                <w:szCs w:val="21"/>
                <w:lang w:bidi="ar"/>
              </w:rPr>
              <w:t>）</w:t>
            </w:r>
          </w:p>
        </w:tc>
        <w:tc>
          <w:tcPr>
            <w:tcW w:w="2171" w:type="dxa"/>
            <w:gridSpan w:val="3"/>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小型企业（</w:t>
            </w:r>
            <w:r>
              <w:rPr>
                <w:rFonts w:hint="eastAsia" w:ascii="宋体" w:hAnsi="宋体" w:cs="宋体"/>
                <w:b/>
                <w:kern w:val="0"/>
                <w:szCs w:val="21"/>
                <w:lang w:bidi="ar"/>
              </w:rPr>
              <w:t>且</w:t>
            </w:r>
            <w:r>
              <w:rPr>
                <w:rFonts w:hint="eastAsia" w:ascii="宋体" w:hAnsi="宋体" w:cs="宋体"/>
                <w:kern w:val="0"/>
                <w:szCs w:val="21"/>
                <w:lang w:bidi="ar"/>
              </w:rPr>
              <w:t>）</w:t>
            </w:r>
          </w:p>
        </w:tc>
        <w:tc>
          <w:tcPr>
            <w:tcW w:w="2177" w:type="dxa"/>
            <w:gridSpan w:val="3"/>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微型企业（</w:t>
            </w:r>
            <w:r>
              <w:rPr>
                <w:rFonts w:hint="eastAsia" w:ascii="宋体" w:hAnsi="宋体" w:cs="宋体"/>
                <w:b/>
                <w:kern w:val="0"/>
                <w:szCs w:val="21"/>
                <w:lang w:bidi="ar"/>
              </w:rPr>
              <w:t>或</w:t>
            </w:r>
            <w:r>
              <w:rPr>
                <w:rFonts w:hint="eastAsia" w:ascii="宋体" w:hAnsi="宋体" w:cs="宋体"/>
                <w:kern w:val="0"/>
                <w:szCs w:val="21"/>
                <w:lang w:bidi="ar"/>
              </w:rPr>
              <w:t>）</w:t>
            </w:r>
          </w:p>
        </w:tc>
      </w:tr>
      <w:tr>
        <w:tblPrEx>
          <w:tblCellMar>
            <w:top w:w="0" w:type="dxa"/>
            <w:left w:w="0" w:type="dxa"/>
            <w:bottom w:w="0" w:type="dxa"/>
            <w:right w:w="0" w:type="dxa"/>
          </w:tblCellMar>
        </w:tblPrEx>
        <w:trPr>
          <w:trHeight w:val="270" w:hRule="atLeast"/>
          <w:tblHeader/>
        </w:trPr>
        <w:tc>
          <w:tcPr>
            <w:tcW w:w="1163" w:type="dxa"/>
            <w:vMerge w:val="continue"/>
            <w:tcBorders>
              <w:top w:val="single" w:color="000000" w:sz="8"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c>
          <w:tcPr>
            <w:tcW w:w="6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从业人员</w:t>
            </w:r>
          </w:p>
        </w:tc>
        <w:tc>
          <w:tcPr>
            <w:tcW w:w="7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营业收入</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资产总额</w:t>
            </w:r>
          </w:p>
        </w:tc>
        <w:tc>
          <w:tcPr>
            <w:tcW w:w="6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从业人员</w:t>
            </w:r>
          </w:p>
        </w:tc>
        <w:tc>
          <w:tcPr>
            <w:tcW w:w="7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营业收入</w:t>
            </w:r>
          </w:p>
        </w:tc>
        <w:tc>
          <w:tcPr>
            <w:tcW w:w="7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资产总额</w:t>
            </w:r>
          </w:p>
        </w:tc>
        <w:tc>
          <w:tcPr>
            <w:tcW w:w="6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从业人员</w:t>
            </w:r>
          </w:p>
        </w:tc>
        <w:tc>
          <w:tcPr>
            <w:tcW w:w="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营业收入</w:t>
            </w:r>
          </w:p>
        </w:tc>
        <w:tc>
          <w:tcPr>
            <w:tcW w:w="7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资产总额</w:t>
            </w:r>
          </w:p>
        </w:tc>
        <w:tc>
          <w:tcPr>
            <w:tcW w:w="7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从业人员</w:t>
            </w:r>
          </w:p>
        </w:tc>
        <w:tc>
          <w:tcPr>
            <w:tcW w:w="6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营业收入</w:t>
            </w:r>
          </w:p>
        </w:tc>
        <w:tc>
          <w:tcPr>
            <w:tcW w:w="699" w:type="dxa"/>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资产总额</w:t>
            </w:r>
          </w:p>
        </w:tc>
      </w:tr>
      <w:tr>
        <w:tblPrEx>
          <w:tblCellMar>
            <w:top w:w="0" w:type="dxa"/>
            <w:left w:w="0" w:type="dxa"/>
            <w:bottom w:w="0" w:type="dxa"/>
            <w:right w:w="0" w:type="dxa"/>
          </w:tblCellMar>
        </w:tblPrEx>
        <w:trPr>
          <w:trHeight w:val="420" w:hRule="atLeast"/>
        </w:trPr>
        <w:tc>
          <w:tcPr>
            <w:tcW w:w="1163" w:type="dxa"/>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农、林、牧、渔业</w:t>
            </w:r>
          </w:p>
        </w:tc>
        <w:tc>
          <w:tcPr>
            <w:tcW w:w="6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7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20000万元以下</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6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7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500万元及以上</w:t>
            </w:r>
          </w:p>
        </w:tc>
        <w:tc>
          <w:tcPr>
            <w:tcW w:w="7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6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50万元及以上</w:t>
            </w:r>
          </w:p>
        </w:tc>
        <w:tc>
          <w:tcPr>
            <w:tcW w:w="7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50万元以下</w:t>
            </w:r>
          </w:p>
        </w:tc>
        <w:tc>
          <w:tcPr>
            <w:tcW w:w="699" w:type="dxa"/>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1163" w:type="dxa"/>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工业（包括采矿业，制造业，电力、热力、燃气及水生产和供应业）</w:t>
            </w:r>
          </w:p>
        </w:tc>
        <w:tc>
          <w:tcPr>
            <w:tcW w:w="6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1000人以下</w:t>
            </w:r>
          </w:p>
        </w:tc>
        <w:tc>
          <w:tcPr>
            <w:tcW w:w="7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40000万元以下</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6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300人及以上</w:t>
            </w:r>
          </w:p>
        </w:tc>
        <w:tc>
          <w:tcPr>
            <w:tcW w:w="7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2000万元及以上</w:t>
            </w:r>
          </w:p>
        </w:tc>
        <w:tc>
          <w:tcPr>
            <w:tcW w:w="7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6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20人及以上</w:t>
            </w:r>
          </w:p>
        </w:tc>
        <w:tc>
          <w:tcPr>
            <w:tcW w:w="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300万元及以上</w:t>
            </w:r>
          </w:p>
        </w:tc>
        <w:tc>
          <w:tcPr>
            <w:tcW w:w="7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20人以下</w:t>
            </w:r>
          </w:p>
        </w:tc>
        <w:tc>
          <w:tcPr>
            <w:tcW w:w="6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300万元以下</w:t>
            </w:r>
          </w:p>
        </w:tc>
        <w:tc>
          <w:tcPr>
            <w:tcW w:w="699" w:type="dxa"/>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1163" w:type="dxa"/>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建筑业</w:t>
            </w:r>
          </w:p>
        </w:tc>
        <w:tc>
          <w:tcPr>
            <w:tcW w:w="6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7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80000万元以下</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80000万元以下</w:t>
            </w:r>
          </w:p>
        </w:tc>
        <w:tc>
          <w:tcPr>
            <w:tcW w:w="6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7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6000万元及以上</w:t>
            </w:r>
          </w:p>
        </w:tc>
        <w:tc>
          <w:tcPr>
            <w:tcW w:w="7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5000万元及以上</w:t>
            </w:r>
          </w:p>
        </w:tc>
        <w:tc>
          <w:tcPr>
            <w:tcW w:w="6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300万元及以上</w:t>
            </w:r>
          </w:p>
        </w:tc>
        <w:tc>
          <w:tcPr>
            <w:tcW w:w="7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300万元及以上</w:t>
            </w:r>
          </w:p>
        </w:tc>
        <w:tc>
          <w:tcPr>
            <w:tcW w:w="7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300万元以下</w:t>
            </w:r>
          </w:p>
        </w:tc>
        <w:tc>
          <w:tcPr>
            <w:tcW w:w="699" w:type="dxa"/>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300万元以下</w:t>
            </w:r>
          </w:p>
        </w:tc>
      </w:tr>
      <w:tr>
        <w:tblPrEx>
          <w:tblCellMar>
            <w:top w:w="0" w:type="dxa"/>
            <w:left w:w="0" w:type="dxa"/>
            <w:bottom w:w="0" w:type="dxa"/>
            <w:right w:w="0" w:type="dxa"/>
          </w:tblCellMar>
        </w:tblPrEx>
        <w:trPr>
          <w:trHeight w:val="420" w:hRule="atLeast"/>
        </w:trPr>
        <w:tc>
          <w:tcPr>
            <w:tcW w:w="1163" w:type="dxa"/>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批发业</w:t>
            </w:r>
          </w:p>
        </w:tc>
        <w:tc>
          <w:tcPr>
            <w:tcW w:w="6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200人以下</w:t>
            </w:r>
          </w:p>
        </w:tc>
        <w:tc>
          <w:tcPr>
            <w:tcW w:w="7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40000万元以下</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6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20人及以上</w:t>
            </w:r>
          </w:p>
        </w:tc>
        <w:tc>
          <w:tcPr>
            <w:tcW w:w="7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5000万元及以上</w:t>
            </w:r>
          </w:p>
        </w:tc>
        <w:tc>
          <w:tcPr>
            <w:tcW w:w="7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6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5人及以上</w:t>
            </w:r>
          </w:p>
        </w:tc>
        <w:tc>
          <w:tcPr>
            <w:tcW w:w="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1000万元及以上</w:t>
            </w:r>
          </w:p>
        </w:tc>
        <w:tc>
          <w:tcPr>
            <w:tcW w:w="7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5人以下</w:t>
            </w:r>
          </w:p>
        </w:tc>
        <w:tc>
          <w:tcPr>
            <w:tcW w:w="6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1000万元以下</w:t>
            </w:r>
          </w:p>
        </w:tc>
        <w:tc>
          <w:tcPr>
            <w:tcW w:w="699" w:type="dxa"/>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1163" w:type="dxa"/>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零售业</w:t>
            </w:r>
          </w:p>
        </w:tc>
        <w:tc>
          <w:tcPr>
            <w:tcW w:w="6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300人以下</w:t>
            </w:r>
          </w:p>
        </w:tc>
        <w:tc>
          <w:tcPr>
            <w:tcW w:w="7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20000万元以下</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6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50人及以上</w:t>
            </w:r>
          </w:p>
        </w:tc>
        <w:tc>
          <w:tcPr>
            <w:tcW w:w="7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500万元及以上</w:t>
            </w:r>
          </w:p>
        </w:tc>
        <w:tc>
          <w:tcPr>
            <w:tcW w:w="7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6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10人及以上</w:t>
            </w:r>
          </w:p>
        </w:tc>
        <w:tc>
          <w:tcPr>
            <w:tcW w:w="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100万元及以上</w:t>
            </w:r>
          </w:p>
        </w:tc>
        <w:tc>
          <w:tcPr>
            <w:tcW w:w="7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10人以下</w:t>
            </w:r>
          </w:p>
        </w:tc>
        <w:tc>
          <w:tcPr>
            <w:tcW w:w="6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100万元以下</w:t>
            </w:r>
          </w:p>
        </w:tc>
        <w:tc>
          <w:tcPr>
            <w:tcW w:w="699" w:type="dxa"/>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1163" w:type="dxa"/>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交通运输业（不含铁路运输业）</w:t>
            </w:r>
          </w:p>
        </w:tc>
        <w:tc>
          <w:tcPr>
            <w:tcW w:w="6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1000人以下</w:t>
            </w:r>
          </w:p>
        </w:tc>
        <w:tc>
          <w:tcPr>
            <w:tcW w:w="7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30000万元以下</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6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300人及以上</w:t>
            </w:r>
          </w:p>
        </w:tc>
        <w:tc>
          <w:tcPr>
            <w:tcW w:w="7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3000万元及以上</w:t>
            </w:r>
          </w:p>
        </w:tc>
        <w:tc>
          <w:tcPr>
            <w:tcW w:w="7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6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20人及以上</w:t>
            </w:r>
          </w:p>
        </w:tc>
        <w:tc>
          <w:tcPr>
            <w:tcW w:w="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200万元及以上</w:t>
            </w:r>
          </w:p>
        </w:tc>
        <w:tc>
          <w:tcPr>
            <w:tcW w:w="7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20人以下</w:t>
            </w:r>
          </w:p>
        </w:tc>
        <w:tc>
          <w:tcPr>
            <w:tcW w:w="6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200万元以下</w:t>
            </w:r>
          </w:p>
        </w:tc>
        <w:tc>
          <w:tcPr>
            <w:tcW w:w="699" w:type="dxa"/>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1163" w:type="dxa"/>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仓储业</w:t>
            </w:r>
          </w:p>
        </w:tc>
        <w:tc>
          <w:tcPr>
            <w:tcW w:w="6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200人以下</w:t>
            </w:r>
          </w:p>
        </w:tc>
        <w:tc>
          <w:tcPr>
            <w:tcW w:w="7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30000万元以下</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6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100人及以上</w:t>
            </w:r>
          </w:p>
        </w:tc>
        <w:tc>
          <w:tcPr>
            <w:tcW w:w="7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1000万元及以上</w:t>
            </w:r>
          </w:p>
        </w:tc>
        <w:tc>
          <w:tcPr>
            <w:tcW w:w="7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6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20人及以上</w:t>
            </w:r>
          </w:p>
        </w:tc>
        <w:tc>
          <w:tcPr>
            <w:tcW w:w="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100万元及以上</w:t>
            </w:r>
          </w:p>
        </w:tc>
        <w:tc>
          <w:tcPr>
            <w:tcW w:w="7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20人以下</w:t>
            </w:r>
          </w:p>
        </w:tc>
        <w:tc>
          <w:tcPr>
            <w:tcW w:w="6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100万元以下</w:t>
            </w:r>
          </w:p>
        </w:tc>
        <w:tc>
          <w:tcPr>
            <w:tcW w:w="699" w:type="dxa"/>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1163" w:type="dxa"/>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邮政业</w:t>
            </w:r>
          </w:p>
        </w:tc>
        <w:tc>
          <w:tcPr>
            <w:tcW w:w="6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1000人以下</w:t>
            </w:r>
          </w:p>
        </w:tc>
        <w:tc>
          <w:tcPr>
            <w:tcW w:w="7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30000万元以下</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6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300人及以上</w:t>
            </w:r>
          </w:p>
        </w:tc>
        <w:tc>
          <w:tcPr>
            <w:tcW w:w="7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2000万元及以上</w:t>
            </w:r>
          </w:p>
        </w:tc>
        <w:tc>
          <w:tcPr>
            <w:tcW w:w="7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6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20人及以上</w:t>
            </w:r>
          </w:p>
        </w:tc>
        <w:tc>
          <w:tcPr>
            <w:tcW w:w="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100万元及以上</w:t>
            </w:r>
          </w:p>
        </w:tc>
        <w:tc>
          <w:tcPr>
            <w:tcW w:w="7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20人以下</w:t>
            </w:r>
          </w:p>
        </w:tc>
        <w:tc>
          <w:tcPr>
            <w:tcW w:w="6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100万元以下</w:t>
            </w:r>
          </w:p>
        </w:tc>
        <w:tc>
          <w:tcPr>
            <w:tcW w:w="699" w:type="dxa"/>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1163" w:type="dxa"/>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住宿业</w:t>
            </w:r>
          </w:p>
        </w:tc>
        <w:tc>
          <w:tcPr>
            <w:tcW w:w="6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300人以下</w:t>
            </w:r>
          </w:p>
        </w:tc>
        <w:tc>
          <w:tcPr>
            <w:tcW w:w="7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10000万元以下</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6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100人及以上</w:t>
            </w:r>
          </w:p>
        </w:tc>
        <w:tc>
          <w:tcPr>
            <w:tcW w:w="7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2000万元及以上</w:t>
            </w:r>
          </w:p>
        </w:tc>
        <w:tc>
          <w:tcPr>
            <w:tcW w:w="7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6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10人及以上</w:t>
            </w:r>
          </w:p>
        </w:tc>
        <w:tc>
          <w:tcPr>
            <w:tcW w:w="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100万元及以上</w:t>
            </w:r>
          </w:p>
        </w:tc>
        <w:tc>
          <w:tcPr>
            <w:tcW w:w="7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10人以下</w:t>
            </w:r>
          </w:p>
        </w:tc>
        <w:tc>
          <w:tcPr>
            <w:tcW w:w="6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100万元以下</w:t>
            </w:r>
          </w:p>
        </w:tc>
        <w:tc>
          <w:tcPr>
            <w:tcW w:w="699" w:type="dxa"/>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1163" w:type="dxa"/>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餐饮业</w:t>
            </w:r>
          </w:p>
        </w:tc>
        <w:tc>
          <w:tcPr>
            <w:tcW w:w="6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300人以下</w:t>
            </w:r>
          </w:p>
        </w:tc>
        <w:tc>
          <w:tcPr>
            <w:tcW w:w="7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10000万元以下</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6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100人及以上</w:t>
            </w:r>
          </w:p>
        </w:tc>
        <w:tc>
          <w:tcPr>
            <w:tcW w:w="7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2000万元及以上</w:t>
            </w:r>
          </w:p>
        </w:tc>
        <w:tc>
          <w:tcPr>
            <w:tcW w:w="7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6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10人及以上</w:t>
            </w:r>
          </w:p>
        </w:tc>
        <w:tc>
          <w:tcPr>
            <w:tcW w:w="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100万元及以上</w:t>
            </w:r>
          </w:p>
        </w:tc>
        <w:tc>
          <w:tcPr>
            <w:tcW w:w="7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10人以下</w:t>
            </w:r>
          </w:p>
        </w:tc>
        <w:tc>
          <w:tcPr>
            <w:tcW w:w="6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100万元以下</w:t>
            </w:r>
          </w:p>
        </w:tc>
        <w:tc>
          <w:tcPr>
            <w:tcW w:w="699" w:type="dxa"/>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1163" w:type="dxa"/>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信息传输业（包括电信、互联网和相关服务）</w:t>
            </w:r>
          </w:p>
        </w:tc>
        <w:tc>
          <w:tcPr>
            <w:tcW w:w="6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2000人以下</w:t>
            </w:r>
          </w:p>
        </w:tc>
        <w:tc>
          <w:tcPr>
            <w:tcW w:w="7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100000万元以下</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6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100人及以上</w:t>
            </w:r>
          </w:p>
        </w:tc>
        <w:tc>
          <w:tcPr>
            <w:tcW w:w="7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1000万元及以上</w:t>
            </w:r>
          </w:p>
        </w:tc>
        <w:tc>
          <w:tcPr>
            <w:tcW w:w="7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6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10人及以上</w:t>
            </w:r>
          </w:p>
        </w:tc>
        <w:tc>
          <w:tcPr>
            <w:tcW w:w="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100万元及以上</w:t>
            </w:r>
          </w:p>
        </w:tc>
        <w:tc>
          <w:tcPr>
            <w:tcW w:w="7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10人以下</w:t>
            </w:r>
          </w:p>
        </w:tc>
        <w:tc>
          <w:tcPr>
            <w:tcW w:w="6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100万元以下</w:t>
            </w:r>
          </w:p>
        </w:tc>
        <w:tc>
          <w:tcPr>
            <w:tcW w:w="699" w:type="dxa"/>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1163" w:type="dxa"/>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软件和信息技术服务业</w:t>
            </w:r>
          </w:p>
        </w:tc>
        <w:tc>
          <w:tcPr>
            <w:tcW w:w="6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300人以下</w:t>
            </w:r>
          </w:p>
        </w:tc>
        <w:tc>
          <w:tcPr>
            <w:tcW w:w="7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10000万元以下</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6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100人及以上</w:t>
            </w:r>
          </w:p>
        </w:tc>
        <w:tc>
          <w:tcPr>
            <w:tcW w:w="7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1000万元及以上</w:t>
            </w:r>
          </w:p>
        </w:tc>
        <w:tc>
          <w:tcPr>
            <w:tcW w:w="7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6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10人及以上</w:t>
            </w:r>
          </w:p>
        </w:tc>
        <w:tc>
          <w:tcPr>
            <w:tcW w:w="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50万元及以上</w:t>
            </w:r>
          </w:p>
        </w:tc>
        <w:tc>
          <w:tcPr>
            <w:tcW w:w="7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10人以下</w:t>
            </w:r>
          </w:p>
        </w:tc>
        <w:tc>
          <w:tcPr>
            <w:tcW w:w="6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50万元以下</w:t>
            </w:r>
          </w:p>
        </w:tc>
        <w:tc>
          <w:tcPr>
            <w:tcW w:w="699" w:type="dxa"/>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1163" w:type="dxa"/>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房地产开发经营</w:t>
            </w:r>
          </w:p>
        </w:tc>
        <w:tc>
          <w:tcPr>
            <w:tcW w:w="6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200000万元以下</w:t>
            </w:r>
          </w:p>
        </w:tc>
        <w:tc>
          <w:tcPr>
            <w:tcW w:w="7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10000万元以下</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6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7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1000万元及以上</w:t>
            </w:r>
          </w:p>
        </w:tc>
        <w:tc>
          <w:tcPr>
            <w:tcW w:w="7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5000万元及以上</w:t>
            </w:r>
          </w:p>
        </w:tc>
        <w:tc>
          <w:tcPr>
            <w:tcW w:w="6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100万元及以上</w:t>
            </w:r>
          </w:p>
        </w:tc>
        <w:tc>
          <w:tcPr>
            <w:tcW w:w="7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2000万元及以上</w:t>
            </w:r>
          </w:p>
        </w:tc>
        <w:tc>
          <w:tcPr>
            <w:tcW w:w="7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100万元以下</w:t>
            </w:r>
          </w:p>
        </w:tc>
        <w:tc>
          <w:tcPr>
            <w:tcW w:w="699" w:type="dxa"/>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2000万元以下</w:t>
            </w:r>
          </w:p>
        </w:tc>
      </w:tr>
      <w:tr>
        <w:tblPrEx>
          <w:tblCellMar>
            <w:top w:w="0" w:type="dxa"/>
            <w:left w:w="0" w:type="dxa"/>
            <w:bottom w:w="0" w:type="dxa"/>
            <w:right w:w="0" w:type="dxa"/>
          </w:tblCellMar>
        </w:tblPrEx>
        <w:trPr>
          <w:trHeight w:val="420" w:hRule="atLeast"/>
        </w:trPr>
        <w:tc>
          <w:tcPr>
            <w:tcW w:w="1163" w:type="dxa"/>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物业管理</w:t>
            </w:r>
          </w:p>
        </w:tc>
        <w:tc>
          <w:tcPr>
            <w:tcW w:w="6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1000人以下</w:t>
            </w:r>
          </w:p>
        </w:tc>
        <w:tc>
          <w:tcPr>
            <w:tcW w:w="7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5000万元以下</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6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300人及以上</w:t>
            </w:r>
          </w:p>
        </w:tc>
        <w:tc>
          <w:tcPr>
            <w:tcW w:w="7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1000万元及以上</w:t>
            </w:r>
          </w:p>
        </w:tc>
        <w:tc>
          <w:tcPr>
            <w:tcW w:w="7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6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100人及以上</w:t>
            </w:r>
          </w:p>
        </w:tc>
        <w:tc>
          <w:tcPr>
            <w:tcW w:w="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500万元及以上</w:t>
            </w:r>
          </w:p>
        </w:tc>
        <w:tc>
          <w:tcPr>
            <w:tcW w:w="7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100人以下</w:t>
            </w:r>
          </w:p>
        </w:tc>
        <w:tc>
          <w:tcPr>
            <w:tcW w:w="6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500万元以下</w:t>
            </w:r>
          </w:p>
        </w:tc>
        <w:tc>
          <w:tcPr>
            <w:tcW w:w="699" w:type="dxa"/>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1163" w:type="dxa"/>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租赁和商务服务业</w:t>
            </w:r>
          </w:p>
        </w:tc>
        <w:tc>
          <w:tcPr>
            <w:tcW w:w="6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300人以下</w:t>
            </w:r>
          </w:p>
        </w:tc>
        <w:tc>
          <w:tcPr>
            <w:tcW w:w="7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120000万元以下</w:t>
            </w:r>
          </w:p>
        </w:tc>
        <w:tc>
          <w:tcPr>
            <w:tcW w:w="6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100人及以上</w:t>
            </w:r>
          </w:p>
        </w:tc>
        <w:tc>
          <w:tcPr>
            <w:tcW w:w="7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7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8000万元及以上</w:t>
            </w:r>
          </w:p>
        </w:tc>
        <w:tc>
          <w:tcPr>
            <w:tcW w:w="6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10人及以上</w:t>
            </w:r>
          </w:p>
        </w:tc>
        <w:tc>
          <w:tcPr>
            <w:tcW w:w="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100万元及以上</w:t>
            </w:r>
          </w:p>
        </w:tc>
        <w:tc>
          <w:tcPr>
            <w:tcW w:w="7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10人以下</w:t>
            </w:r>
          </w:p>
        </w:tc>
        <w:tc>
          <w:tcPr>
            <w:tcW w:w="6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699" w:type="dxa"/>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100万元以下</w:t>
            </w:r>
          </w:p>
        </w:tc>
      </w:tr>
      <w:tr>
        <w:tblPrEx>
          <w:tblCellMar>
            <w:top w:w="0" w:type="dxa"/>
            <w:left w:w="0" w:type="dxa"/>
            <w:bottom w:w="0" w:type="dxa"/>
            <w:right w:w="0" w:type="dxa"/>
          </w:tblCellMar>
        </w:tblPrEx>
        <w:trPr>
          <w:trHeight w:val="1065" w:hRule="atLeast"/>
        </w:trPr>
        <w:tc>
          <w:tcPr>
            <w:tcW w:w="1163" w:type="dxa"/>
            <w:tcBorders>
              <w:top w:val="single" w:color="000000" w:sz="4" w:space="0"/>
              <w:left w:val="single" w:color="000000" w:sz="8" w:space="0"/>
              <w:bottom w:val="single" w:color="000000" w:sz="8"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其他未列明行业（包括科学研究和技术服务业，水利、环境和公共设施管理业，居民服务、修理和其他服务业，社会工作，文化、体育和娱乐业等）</w:t>
            </w:r>
          </w:p>
        </w:tc>
        <w:tc>
          <w:tcPr>
            <w:tcW w:w="662" w:type="dxa"/>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300人以下</w:t>
            </w:r>
          </w:p>
        </w:tc>
        <w:tc>
          <w:tcPr>
            <w:tcW w:w="760" w:type="dxa"/>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819" w:type="dxa"/>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665" w:type="dxa"/>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100人及以上</w:t>
            </w:r>
          </w:p>
        </w:tc>
        <w:tc>
          <w:tcPr>
            <w:tcW w:w="783" w:type="dxa"/>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783" w:type="dxa"/>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657" w:type="dxa"/>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10人及以上</w:t>
            </w:r>
          </w:p>
        </w:tc>
        <w:tc>
          <w:tcPr>
            <w:tcW w:w="767" w:type="dxa"/>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747" w:type="dxa"/>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793" w:type="dxa"/>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10人以下</w:t>
            </w:r>
          </w:p>
        </w:tc>
        <w:tc>
          <w:tcPr>
            <w:tcW w:w="685" w:type="dxa"/>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699" w:type="dxa"/>
            <w:tcBorders>
              <w:top w:val="single" w:color="000000" w:sz="4" w:space="0"/>
              <w:left w:val="single" w:color="000000" w:sz="4" w:space="0"/>
              <w:bottom w:val="single" w:color="000000" w:sz="8"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270" w:hRule="atLeast"/>
        </w:trPr>
        <w:tc>
          <w:tcPr>
            <w:tcW w:w="9983" w:type="dxa"/>
            <w:gridSpan w:val="13"/>
            <w:tcBorders>
              <w:top w:val="nil"/>
              <w:left w:val="nil"/>
              <w:bottom w:val="nil"/>
              <w:right w:val="nil"/>
            </w:tcBorders>
            <w:shd w:val="clear" w:color="auto" w:fill="auto"/>
            <w:noWrap/>
            <w:tcMar>
              <w:top w:w="15" w:type="dxa"/>
              <w:left w:w="15" w:type="dxa"/>
              <w:right w:w="15" w:type="dxa"/>
            </w:tcMar>
            <w:vAlign w:val="center"/>
          </w:tcPr>
          <w:p>
            <w:pPr>
              <w:rPr>
                <w:rFonts w:ascii="宋体" w:hAnsi="宋体" w:cs="宋体"/>
                <w:szCs w:val="21"/>
              </w:rPr>
            </w:pPr>
            <w:r>
              <w:rPr>
                <w:rFonts w:hint="eastAsia" w:ascii="宋体" w:hAnsi="宋体" w:cs="宋体"/>
                <w:kern w:val="0"/>
                <w:szCs w:val="21"/>
                <w:lang w:bidi="ar"/>
              </w:rPr>
              <w:t>本规定适用于在中华人民共和国境内依法设立的各类所有制和各种组织形式的企业。</w:t>
            </w:r>
            <w:r>
              <w:rPr>
                <w:rFonts w:hint="eastAsia" w:ascii="宋体" w:hAnsi="宋体" w:cs="宋体"/>
                <w:b/>
                <w:kern w:val="0"/>
                <w:szCs w:val="21"/>
                <w:lang w:bidi="ar"/>
              </w:rPr>
              <w:t>个体工商户</w:t>
            </w:r>
            <w:r>
              <w:rPr>
                <w:rFonts w:hint="eastAsia" w:ascii="宋体" w:hAnsi="宋体" w:cs="宋体"/>
                <w:kern w:val="0"/>
                <w:szCs w:val="21"/>
                <w:lang w:bidi="ar"/>
              </w:rPr>
              <w:t>和本规定以外的行业，参照本规定进行划型。</w:t>
            </w:r>
          </w:p>
        </w:tc>
      </w:tr>
      <w:tr>
        <w:tblPrEx>
          <w:tblCellMar>
            <w:top w:w="0" w:type="dxa"/>
            <w:left w:w="0" w:type="dxa"/>
            <w:bottom w:w="0" w:type="dxa"/>
            <w:right w:w="0" w:type="dxa"/>
          </w:tblCellMar>
        </w:tblPrEx>
        <w:trPr>
          <w:trHeight w:val="270" w:hRule="atLeast"/>
        </w:trPr>
        <w:tc>
          <w:tcPr>
            <w:tcW w:w="9983" w:type="dxa"/>
            <w:gridSpan w:val="13"/>
            <w:tcBorders>
              <w:top w:val="nil"/>
              <w:left w:val="nil"/>
              <w:bottom w:val="nil"/>
              <w:right w:val="nil"/>
            </w:tcBorders>
            <w:shd w:val="clear" w:color="auto" w:fill="auto"/>
            <w:noWrap/>
            <w:tcMar>
              <w:top w:w="15" w:type="dxa"/>
              <w:left w:w="15" w:type="dxa"/>
              <w:right w:w="15" w:type="dxa"/>
            </w:tcMar>
            <w:vAlign w:val="center"/>
          </w:tcPr>
          <w:p>
            <w:pPr>
              <w:rPr>
                <w:rFonts w:ascii="宋体" w:hAnsi="宋体" w:cs="宋体"/>
                <w:color w:val="000000"/>
                <w:szCs w:val="21"/>
              </w:rPr>
            </w:pPr>
            <w:r>
              <w:rPr>
                <w:rFonts w:hint="eastAsia" w:ascii="宋体" w:hAnsi="宋体" w:cs="宋体"/>
                <w:color w:val="000000"/>
                <w:kern w:val="0"/>
                <w:szCs w:val="21"/>
                <w:lang w:bidi="ar"/>
              </w:rPr>
              <w:t>本规定的中型企业标准上限即为大型企业标准的下限，国家统计部门据此制定大中小微型企业的统计分类。国务院有关部门据此进行相关数据分析，不得制定与本规定不一致的企业划型标准。</w:t>
            </w:r>
          </w:p>
        </w:tc>
      </w:tr>
    </w:tbl>
    <w:p>
      <w:pPr>
        <w:jc w:val="center"/>
        <w:outlineLvl w:val="1"/>
        <w:rPr>
          <w:rFonts w:asciiTheme="minorEastAsia" w:hAnsiTheme="minorEastAsia" w:eastAsiaTheme="minorEastAsia" w:cstheme="minorEastAsia"/>
          <w:spacing w:val="6"/>
          <w:szCs w:val="21"/>
        </w:rPr>
      </w:pPr>
    </w:p>
    <w:sectPr>
      <w:pgSz w:w="11906" w:h="16838"/>
      <w:pgMar w:top="1417" w:right="1417" w:bottom="1417" w:left="141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00" w:usb3="00000000" w:csb0="00040000" w:csb1="00000000"/>
  </w:font>
  <w:font w:name="楷体_GB2312">
    <w:altName w:val="楷体"/>
    <w:panose1 w:val="00000000000000000000"/>
    <w:charset w:val="86"/>
    <w:family w:val="modern"/>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10" w:usb3="00000000" w:csb0="0004009F" w:csb1="00000000"/>
  </w:font>
  <w:font w:name="Verdana">
    <w:panose1 w:val="020B0604030504040204"/>
    <w:charset w:val="00"/>
    <w:family w:val="swiss"/>
    <w:pitch w:val="default"/>
    <w:sig w:usb0="A10006FF" w:usb1="4000205B" w:usb2="00000010" w:usb3="00000000" w:csb0="2000019F" w:csb1="00000000"/>
  </w:font>
  <w:font w:name="font-weight : 400">
    <w:altName w:val="Courier New"/>
    <w:panose1 w:val="00000000000000000000"/>
    <w:charset w:val="00"/>
    <w:family w:val="auto"/>
    <w:pitch w:val="default"/>
    <w:sig w:usb0="00000000" w:usb1="00000000" w:usb2="00000000" w:usb3="00000000" w:csb0="00000001" w:csb1="00000000"/>
  </w:font>
  <w:font w:name="MS Shell Dlg">
    <w:altName w:val="Microsoft Sans Serif"/>
    <w:panose1 w:val="020B0604020202020204"/>
    <w:charset w:val="00"/>
    <w:family w:val="swiss"/>
    <w:pitch w:val="default"/>
    <w:sig w:usb0="00000000" w:usb1="00000000" w:usb2="00000029" w:usb3="00000000" w:csb0="000101FF" w:csb1="00000000"/>
  </w:font>
  <w:font w:name="方正小标宋简体">
    <w:altName w:val="黑体"/>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Wingdings 2">
    <w:altName w:val="Wingdings"/>
    <w:panose1 w:val="05020102010507070707"/>
    <w:charset w:val="02"/>
    <w:family w:val="roman"/>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楷体">
    <w:panose1 w:val="02010609060101010101"/>
    <w:charset w:val="86"/>
    <w:family w:val="auto"/>
    <w:pitch w:val="default"/>
    <w:sig w:usb0="800002BF" w:usb1="38CF7CFA" w:usb2="00000016" w:usb3="00000000" w:csb0="00040001" w:csb1="00000000"/>
  </w:font>
  <w:font w:name="Microsoft Sans Serif">
    <w:panose1 w:val="020B0604020202020204"/>
    <w:charset w:val="00"/>
    <w:family w:val="auto"/>
    <w:pitch w:val="default"/>
    <w:sig w:usb0="E1002AFF" w:usb1="C0000002" w:usb2="00000008"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right" w:y="1"/>
      <w:rPr>
        <w:rStyle w:val="30"/>
      </w:rPr>
    </w:pPr>
    <w:r>
      <w:fldChar w:fldCharType="begin"/>
    </w:r>
    <w:r>
      <w:rPr>
        <w:rStyle w:val="30"/>
      </w:rPr>
      <w:instrText xml:space="preserve">PAGE  </w:instrText>
    </w:r>
    <w:r>
      <w:fldChar w:fldCharType="end"/>
    </w:r>
  </w:p>
  <w:p>
    <w:pPr>
      <w:pStyle w:val="1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right="360"/>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right" w:y="1"/>
      <w:rPr>
        <w:rStyle w:val="30"/>
      </w:rPr>
    </w:pPr>
    <w:r>
      <w:fldChar w:fldCharType="begin"/>
    </w:r>
    <w:r>
      <w:rPr>
        <w:rStyle w:val="30"/>
      </w:rPr>
      <w:instrText xml:space="preserve">PAGE  </w:instrText>
    </w:r>
    <w:r>
      <w:fldChar w:fldCharType="end"/>
    </w:r>
  </w:p>
  <w:p>
    <w:pPr>
      <w:pStyle w:val="18"/>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center"/>
    </w:pPr>
    <w:r>
      <w:fldChar w:fldCharType="begin"/>
    </w:r>
    <w:r>
      <w:instrText xml:space="preserve"> PAGE   \* MERGEFORMAT </w:instrText>
    </w:r>
    <w:r>
      <w:fldChar w:fldCharType="separate"/>
    </w:r>
    <w:r>
      <w:rPr>
        <w:lang w:val="zh-CN"/>
      </w:rPr>
      <w:t>37</w:t>
    </w:r>
    <w:r>
      <w:fldChar w:fldCharType="end"/>
    </w:r>
  </w:p>
  <w:p>
    <w:pPr>
      <w:pStyle w:val="18"/>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pict>
        <v:shape id="PowerPlusWaterMarkObject2" o:spid="_x0000_s2049" o:spt="136" type="#_x0000_t136" style="position:absolute;left:0pt;height:200.25pt;width:600.75pt;mso-position-horizontal:center;mso-position-horizontal-relative:page;mso-position-vertical:center;mso-position-vertical-relative:page;rotation:20643840f;z-index:-251656192;mso-width-relative:page;mso-height-relative:page;" fillcolor="#FF0000" filled="t" stroked="f" coordsize="21600,21600" o:allowincell="f">
          <v:path/>
          <v:fill on="t" opacity="32768f" focussize="0,0"/>
          <v:stroke on="f"/>
          <v:imagedata o:title=""/>
          <o:lock v:ext="edit" text="f"/>
          <v:textpath on="t" fitshape="t" fitpath="t" trim="t" xscale="f" string="第一稿" style="font-family:宋体;font-size:96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pict>
        <v:shape id="_x0000_s2050" o:spid="_x0000_s2050" o:spt="136" type="#_x0000_t136" style="position:absolute;left:0pt;height:200.25pt;width:600.75pt;mso-position-horizontal:center;mso-position-horizontal-relative:page;mso-position-vertical:center;mso-position-vertical-relative:page;rotation:20643840f;z-index:-251654144;mso-width-relative:page;mso-height-relative:page;" fillcolor="#FF0000" filled="t" stroked="f" coordsize="21600,21600" o:allowincell="f">
          <v:path/>
          <v:fill on="t" opacity="32768f" focussize="0,0"/>
          <v:stroke on="f"/>
          <v:imagedata o:title=""/>
          <o:lock v:ext="edit" text="f"/>
          <v:textpath on="t" fitshape="t" fitpath="t" trim="t" xscale="f" string="第一稿" style="font-family:宋体;font-size:96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C"/>
    <w:multiLevelType w:val="multilevel"/>
    <w:tmpl w:val="0000000C"/>
    <w:lvl w:ilvl="0" w:tentative="0">
      <w:start w:val="1"/>
      <w:numFmt w:val="japaneseCounting"/>
      <w:lvlText w:val="第%1章"/>
      <w:lvlJc w:val="left"/>
      <w:pPr>
        <w:tabs>
          <w:tab w:val="left" w:pos="1605"/>
        </w:tabs>
        <w:ind w:left="1605" w:hanging="960"/>
      </w:pPr>
      <w:rPr>
        <w:rFonts w:hint="eastAsia"/>
      </w:rPr>
    </w:lvl>
    <w:lvl w:ilvl="1" w:tentative="0">
      <w:start w:val="1"/>
      <w:numFmt w:val="japaneseCounting"/>
      <w:lvlText w:val="%2、"/>
      <w:lvlJc w:val="left"/>
      <w:pPr>
        <w:tabs>
          <w:tab w:val="left" w:pos="1365"/>
        </w:tabs>
        <w:ind w:left="1365" w:hanging="525"/>
      </w:pPr>
      <w:rPr>
        <w:rFonts w:hint="default"/>
      </w:rPr>
    </w:lvl>
    <w:lvl w:ilvl="2" w:tentative="0">
      <w:start w:val="1"/>
      <w:numFmt w:val="lowerRoman"/>
      <w:lvlText w:val="%3."/>
      <w:lvlJc w:val="right"/>
      <w:pPr>
        <w:tabs>
          <w:tab w:val="left" w:pos="1905"/>
        </w:tabs>
        <w:ind w:left="1905" w:hanging="420"/>
      </w:pPr>
    </w:lvl>
    <w:lvl w:ilvl="3" w:tentative="0">
      <w:start w:val="1"/>
      <w:numFmt w:val="decimal"/>
      <w:lvlText w:val="%4."/>
      <w:lvlJc w:val="left"/>
      <w:pPr>
        <w:tabs>
          <w:tab w:val="left" w:pos="2325"/>
        </w:tabs>
        <w:ind w:left="2325" w:hanging="420"/>
      </w:pPr>
    </w:lvl>
    <w:lvl w:ilvl="4" w:tentative="0">
      <w:start w:val="1"/>
      <w:numFmt w:val="lowerLetter"/>
      <w:lvlText w:val="%5)"/>
      <w:lvlJc w:val="left"/>
      <w:pPr>
        <w:tabs>
          <w:tab w:val="left" w:pos="2745"/>
        </w:tabs>
        <w:ind w:left="2745" w:hanging="420"/>
      </w:pPr>
    </w:lvl>
    <w:lvl w:ilvl="5" w:tentative="0">
      <w:start w:val="1"/>
      <w:numFmt w:val="lowerRoman"/>
      <w:lvlText w:val="%6."/>
      <w:lvlJc w:val="right"/>
      <w:pPr>
        <w:tabs>
          <w:tab w:val="left" w:pos="3165"/>
        </w:tabs>
        <w:ind w:left="3165" w:hanging="420"/>
      </w:pPr>
    </w:lvl>
    <w:lvl w:ilvl="6" w:tentative="0">
      <w:start w:val="1"/>
      <w:numFmt w:val="decimal"/>
      <w:lvlText w:val="%7."/>
      <w:lvlJc w:val="left"/>
      <w:pPr>
        <w:tabs>
          <w:tab w:val="left" w:pos="420"/>
        </w:tabs>
        <w:ind w:left="420" w:hanging="420"/>
      </w:pPr>
    </w:lvl>
    <w:lvl w:ilvl="7" w:tentative="0">
      <w:start w:val="1"/>
      <w:numFmt w:val="lowerLetter"/>
      <w:lvlText w:val="%8)"/>
      <w:lvlJc w:val="left"/>
      <w:pPr>
        <w:tabs>
          <w:tab w:val="left" w:pos="4005"/>
        </w:tabs>
        <w:ind w:left="4005" w:hanging="420"/>
      </w:pPr>
    </w:lvl>
    <w:lvl w:ilvl="8" w:tentative="0">
      <w:start w:val="1"/>
      <w:numFmt w:val="lowerRoman"/>
      <w:lvlText w:val="%9."/>
      <w:lvlJc w:val="right"/>
      <w:pPr>
        <w:tabs>
          <w:tab w:val="left" w:pos="4425"/>
        </w:tabs>
        <w:ind w:left="4425" w:hanging="420"/>
      </w:pPr>
    </w:lvl>
  </w:abstractNum>
  <w:abstractNum w:abstractNumId="1">
    <w:nsid w:val="00F67C5B"/>
    <w:multiLevelType w:val="multilevel"/>
    <w:tmpl w:val="00F67C5B"/>
    <w:lvl w:ilvl="0" w:tentative="0">
      <w:start w:val="8"/>
      <w:numFmt w:val="decimal"/>
      <w:lvlText w:val="%1"/>
      <w:lvlJc w:val="left"/>
      <w:pPr>
        <w:tabs>
          <w:tab w:val="left" w:pos="360"/>
        </w:tabs>
        <w:ind w:left="360" w:hanging="360"/>
      </w:pPr>
      <w:rPr>
        <w:rFonts w:hint="default"/>
        <w:b/>
      </w:rPr>
    </w:lvl>
    <w:lvl w:ilvl="1" w:tentative="0">
      <w:start w:val="1"/>
      <w:numFmt w:val="decimal"/>
      <w:lvlText w:val="%1.%2"/>
      <w:lvlJc w:val="left"/>
      <w:pPr>
        <w:tabs>
          <w:tab w:val="left" w:pos="360"/>
        </w:tabs>
        <w:ind w:left="360" w:hanging="360"/>
      </w:pPr>
      <w:rPr>
        <w:rFonts w:hint="default"/>
        <w:b w:val="0"/>
      </w:rPr>
    </w:lvl>
    <w:lvl w:ilvl="2" w:tentative="0">
      <w:start w:val="1"/>
      <w:numFmt w:val="decimal"/>
      <w:lvlText w:val="%1.%2.%3"/>
      <w:lvlJc w:val="left"/>
      <w:pPr>
        <w:tabs>
          <w:tab w:val="left" w:pos="720"/>
        </w:tabs>
        <w:ind w:left="720" w:hanging="720"/>
      </w:pPr>
      <w:rPr>
        <w:rFonts w:hint="default"/>
        <w:b/>
      </w:rPr>
    </w:lvl>
    <w:lvl w:ilvl="3" w:tentative="0">
      <w:start w:val="1"/>
      <w:numFmt w:val="decimal"/>
      <w:lvlText w:val="%1.%2.%3.%4"/>
      <w:lvlJc w:val="left"/>
      <w:pPr>
        <w:tabs>
          <w:tab w:val="left" w:pos="1080"/>
        </w:tabs>
        <w:ind w:left="1080" w:hanging="1080"/>
      </w:pPr>
      <w:rPr>
        <w:rFonts w:hint="default"/>
        <w:b/>
      </w:rPr>
    </w:lvl>
    <w:lvl w:ilvl="4" w:tentative="0">
      <w:start w:val="1"/>
      <w:numFmt w:val="decimal"/>
      <w:lvlText w:val="%1.%2.%3.%4.%5"/>
      <w:lvlJc w:val="left"/>
      <w:pPr>
        <w:tabs>
          <w:tab w:val="left" w:pos="1080"/>
        </w:tabs>
        <w:ind w:left="1080" w:hanging="1080"/>
      </w:pPr>
      <w:rPr>
        <w:rFonts w:hint="default"/>
        <w:b/>
      </w:rPr>
    </w:lvl>
    <w:lvl w:ilvl="5" w:tentative="0">
      <w:start w:val="1"/>
      <w:numFmt w:val="decimal"/>
      <w:lvlText w:val="%1.%2.%3.%4.%5.%6"/>
      <w:lvlJc w:val="left"/>
      <w:pPr>
        <w:tabs>
          <w:tab w:val="left" w:pos="1440"/>
        </w:tabs>
        <w:ind w:left="1440" w:hanging="1440"/>
      </w:pPr>
      <w:rPr>
        <w:rFonts w:hint="default"/>
        <w:b/>
      </w:rPr>
    </w:lvl>
    <w:lvl w:ilvl="6" w:tentative="0">
      <w:start w:val="1"/>
      <w:numFmt w:val="decimal"/>
      <w:lvlText w:val="%1.%2.%3.%4.%5.%6.%7"/>
      <w:lvlJc w:val="left"/>
      <w:pPr>
        <w:tabs>
          <w:tab w:val="left" w:pos="1440"/>
        </w:tabs>
        <w:ind w:left="1440" w:hanging="1440"/>
      </w:pPr>
      <w:rPr>
        <w:rFonts w:hint="default"/>
        <w:b/>
      </w:rPr>
    </w:lvl>
    <w:lvl w:ilvl="7" w:tentative="0">
      <w:start w:val="1"/>
      <w:numFmt w:val="decimal"/>
      <w:lvlText w:val="%1.%2.%3.%4.%5.%6.%7.%8"/>
      <w:lvlJc w:val="left"/>
      <w:pPr>
        <w:tabs>
          <w:tab w:val="left" w:pos="1800"/>
        </w:tabs>
        <w:ind w:left="1800" w:hanging="1800"/>
      </w:pPr>
      <w:rPr>
        <w:rFonts w:hint="default"/>
        <w:b/>
      </w:rPr>
    </w:lvl>
    <w:lvl w:ilvl="8" w:tentative="0">
      <w:start w:val="1"/>
      <w:numFmt w:val="decimal"/>
      <w:lvlText w:val="%1.%2.%3.%4.%5.%6.%7.%8.%9"/>
      <w:lvlJc w:val="left"/>
      <w:pPr>
        <w:tabs>
          <w:tab w:val="left" w:pos="1800"/>
        </w:tabs>
        <w:ind w:left="1800" w:hanging="1800"/>
      </w:pPr>
      <w:rPr>
        <w:rFonts w:hint="default"/>
        <w:b/>
      </w:rPr>
    </w:lvl>
  </w:abstractNum>
  <w:abstractNum w:abstractNumId="2">
    <w:nsid w:val="044F5BAD"/>
    <w:multiLevelType w:val="singleLevel"/>
    <w:tmpl w:val="044F5BAD"/>
    <w:lvl w:ilvl="0" w:tentative="0">
      <w:start w:val="1"/>
      <w:numFmt w:val="decimal"/>
      <w:suff w:val="nothing"/>
      <w:lvlText w:val="（%1）"/>
      <w:lvlJc w:val="left"/>
    </w:lvl>
  </w:abstractNum>
  <w:abstractNum w:abstractNumId="3">
    <w:nsid w:val="06F92C31"/>
    <w:multiLevelType w:val="multilevel"/>
    <w:tmpl w:val="06F92C31"/>
    <w:lvl w:ilvl="0" w:tentative="0">
      <w:start w:val="10"/>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4">
    <w:nsid w:val="10152ABE"/>
    <w:multiLevelType w:val="multilevel"/>
    <w:tmpl w:val="10152ABE"/>
    <w:lvl w:ilvl="0" w:tentative="0">
      <w:start w:val="1"/>
      <w:numFmt w:val="decimal"/>
      <w:lvlText w:val="%1）"/>
      <w:lvlJc w:val="left"/>
      <w:pPr>
        <w:tabs>
          <w:tab w:val="left" w:pos="780"/>
        </w:tabs>
        <w:ind w:left="780" w:hanging="360"/>
      </w:pPr>
      <w:rPr>
        <w:rFonts w:hint="default"/>
      </w:rPr>
    </w:lvl>
    <w:lvl w:ilvl="1" w:tentative="0">
      <w:start w:val="1"/>
      <w:numFmt w:val="decimal"/>
      <w:lvlText w:val="%2、"/>
      <w:lvlJc w:val="left"/>
      <w:pPr>
        <w:tabs>
          <w:tab w:val="left" w:pos="0"/>
        </w:tabs>
        <w:ind w:left="0" w:firstLine="0"/>
      </w:pPr>
      <w:rPr>
        <w:rFonts w:hint="default"/>
      </w:r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5">
    <w:nsid w:val="11726340"/>
    <w:multiLevelType w:val="multilevel"/>
    <w:tmpl w:val="11726340"/>
    <w:lvl w:ilvl="0" w:tentative="0">
      <w:start w:val="15"/>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6">
    <w:nsid w:val="118D7FF0"/>
    <w:multiLevelType w:val="multilevel"/>
    <w:tmpl w:val="118D7FF0"/>
    <w:lvl w:ilvl="0" w:tentative="0">
      <w:start w:val="1"/>
      <w:numFmt w:val="chineseCountingThousand"/>
      <w:lvlText w:val="%1、"/>
      <w:lvlJc w:val="left"/>
      <w:pPr>
        <w:tabs>
          <w:tab w:val="left" w:pos="425"/>
        </w:tabs>
        <w:ind w:left="425" w:firstLine="0"/>
      </w:pPr>
      <w:rPr>
        <w:rFonts w:hint="default"/>
      </w:rPr>
    </w:lvl>
    <w:lvl w:ilvl="1" w:tentative="0">
      <w:start w:val="1"/>
      <w:numFmt w:val="japaneseCounting"/>
      <w:lvlText w:val="%2、"/>
      <w:lvlJc w:val="left"/>
      <w:pPr>
        <w:tabs>
          <w:tab w:val="left" w:pos="840"/>
        </w:tabs>
        <w:ind w:left="840" w:hanging="420"/>
      </w:pPr>
      <w:rPr>
        <w:rFonts w:hint="default"/>
      </w:rPr>
    </w:lvl>
    <w:lvl w:ilvl="2" w:tentative="0">
      <w:start w:val="1"/>
      <w:numFmt w:val="decimal"/>
      <w:lvlText w:val="%3、"/>
      <w:lvlJc w:val="left"/>
      <w:pPr>
        <w:tabs>
          <w:tab w:val="left" w:pos="1200"/>
        </w:tabs>
        <w:ind w:left="1200" w:hanging="360"/>
      </w:pPr>
      <w:rPr>
        <w:rFonts w:hint="default"/>
      </w:rPr>
    </w:lvl>
    <w:lvl w:ilvl="3" w:tentative="0">
      <w:start w:val="1"/>
      <w:numFmt w:val="decimal"/>
      <w:lvlText w:val="%4."/>
      <w:lvlJc w:val="left"/>
      <w:pPr>
        <w:tabs>
          <w:tab w:val="left" w:pos="1680"/>
        </w:tabs>
        <w:ind w:left="1680" w:hanging="420"/>
      </w:pPr>
      <w:rPr>
        <w:rFonts w:hint="default"/>
      </w:rPr>
    </w:lvl>
    <w:lvl w:ilvl="4" w:tentative="0">
      <w:start w:val="1"/>
      <w:numFmt w:val="lowerLetter"/>
      <w:lvlText w:val="%5)"/>
      <w:lvlJc w:val="left"/>
      <w:pPr>
        <w:tabs>
          <w:tab w:val="left" w:pos="2040"/>
        </w:tabs>
        <w:ind w:left="2040" w:hanging="360"/>
      </w:pPr>
      <w:rPr>
        <w:rFonts w:hint="default"/>
      </w:rPr>
    </w:lvl>
    <w:lvl w:ilvl="5" w:tentative="0">
      <w:start w:val="1"/>
      <w:numFmt w:val="lowerLetter"/>
      <w:lvlText w:val="%6）"/>
      <w:lvlJc w:val="left"/>
      <w:pPr>
        <w:tabs>
          <w:tab w:val="left" w:pos="2460"/>
        </w:tabs>
        <w:ind w:left="2460" w:hanging="360"/>
      </w:pPr>
      <w:rPr>
        <w:rFonts w:hint="default" w:ascii="宋体" w:hAnsi="宋体"/>
      </w:r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156E5987"/>
    <w:multiLevelType w:val="multilevel"/>
    <w:tmpl w:val="156E5987"/>
    <w:lvl w:ilvl="0" w:tentative="0">
      <w:start w:val="19"/>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8">
    <w:nsid w:val="15907297"/>
    <w:multiLevelType w:val="multilevel"/>
    <w:tmpl w:val="15907297"/>
    <w:lvl w:ilvl="0" w:tentative="0">
      <w:start w:val="1"/>
      <w:numFmt w:val="decimal"/>
      <w:pStyle w:val="82"/>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292"/>
      </w:pPr>
      <w:rPr>
        <w:rFonts w:hint="eastAsia"/>
      </w:rPr>
    </w:lvl>
    <w:lvl w:ilvl="2" w:tentative="0">
      <w:start w:val="1"/>
      <w:numFmt w:val="decimal"/>
      <w:pStyle w:val="94"/>
      <w:lvlText w:val="%1.%2.%3"/>
      <w:lvlJc w:val="left"/>
      <w:pPr>
        <w:tabs>
          <w:tab w:val="left" w:pos="720"/>
        </w:tabs>
        <w:ind w:left="720" w:hanging="153"/>
      </w:pPr>
      <w:rPr>
        <w:rFonts w:hint="eastAsia"/>
      </w:rPr>
    </w:lvl>
    <w:lvl w:ilvl="3" w:tentative="0">
      <w:start w:val="1"/>
      <w:numFmt w:val="decimal"/>
      <w:pStyle w:val="81"/>
      <w:lvlText w:val="%1.%2.%3.%4"/>
      <w:lvlJc w:val="left"/>
      <w:pPr>
        <w:tabs>
          <w:tab w:val="left" w:pos="864"/>
        </w:tabs>
        <w:ind w:left="864" w:hanging="13"/>
      </w:pPr>
      <w:rPr>
        <w:rFonts w:hint="eastAsia"/>
      </w:rPr>
    </w:lvl>
    <w:lvl w:ilvl="4" w:tentative="0">
      <w:start w:val="1"/>
      <w:numFmt w:val="decimal"/>
      <w:lvlText w:val="%1.%2.%3.%4.%5"/>
      <w:lvlJc w:val="left"/>
      <w:pPr>
        <w:tabs>
          <w:tab w:val="left" w:pos="1008"/>
        </w:tabs>
        <w:ind w:left="1008" w:firstLine="126"/>
      </w:pPr>
      <w:rPr>
        <w:rFonts w:hint="eastAsia"/>
        <w:b/>
      </w:rPr>
    </w:lvl>
    <w:lvl w:ilvl="5" w:tentative="0">
      <w:start w:val="1"/>
      <w:numFmt w:val="decimal"/>
      <w:lvlText w:val="%1.%2.%3.%4.%5.%6"/>
      <w:lvlJc w:val="left"/>
      <w:pPr>
        <w:tabs>
          <w:tab w:val="left" w:pos="1152"/>
        </w:tabs>
        <w:ind w:left="1152" w:firstLine="266"/>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9">
    <w:nsid w:val="159114E6"/>
    <w:multiLevelType w:val="multilevel"/>
    <w:tmpl w:val="159114E6"/>
    <w:lvl w:ilvl="0" w:tentative="0">
      <w:start w:val="14"/>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10">
    <w:nsid w:val="197549D3"/>
    <w:multiLevelType w:val="multilevel"/>
    <w:tmpl w:val="197549D3"/>
    <w:lvl w:ilvl="0" w:tentative="0">
      <w:start w:val="1"/>
      <w:numFmt w:val="japaneseCounting"/>
      <w:lvlText w:val="第%1章"/>
      <w:lvlJc w:val="left"/>
      <w:pPr>
        <w:tabs>
          <w:tab w:val="left" w:pos="1305"/>
        </w:tabs>
        <w:ind w:left="1305" w:hanging="1305"/>
      </w:pPr>
      <w:rPr>
        <w:rFonts w:hint="default"/>
        <w:b/>
        <w:sz w:val="36"/>
        <w:szCs w:val="36"/>
      </w:rPr>
    </w:lvl>
    <w:lvl w:ilvl="1" w:tentative="0">
      <w:start w:val="1"/>
      <w:numFmt w:val="japaneseCounting"/>
      <w:lvlText w:val="%2、"/>
      <w:lvlJc w:val="left"/>
      <w:pPr>
        <w:tabs>
          <w:tab w:val="left" w:pos="840"/>
        </w:tabs>
        <w:ind w:left="840" w:hanging="420"/>
      </w:pPr>
      <w:rPr>
        <w:rFonts w:hint="default"/>
        <w:b/>
        <w:sz w:val="21"/>
        <w:szCs w:val="21"/>
      </w:rPr>
    </w:lvl>
    <w:lvl w:ilvl="2" w:tentative="0">
      <w:start w:val="6"/>
      <w:numFmt w:val="decimal"/>
      <w:lvlText w:val="%3）"/>
      <w:lvlJc w:val="left"/>
      <w:pPr>
        <w:tabs>
          <w:tab w:val="left" w:pos="1200"/>
        </w:tabs>
        <w:ind w:left="1200" w:hanging="36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
    <w:nsid w:val="1C8005C7"/>
    <w:multiLevelType w:val="multilevel"/>
    <w:tmpl w:val="1C8005C7"/>
    <w:lvl w:ilvl="0" w:tentative="0">
      <w:start w:val="1"/>
      <w:numFmt w:val="decimal"/>
      <w:lvlText w:val="%1、"/>
      <w:lvlJc w:val="left"/>
      <w:pPr>
        <w:tabs>
          <w:tab w:val="left" w:pos="540"/>
        </w:tabs>
        <w:ind w:left="540" w:hanging="360"/>
      </w:pPr>
      <w:rPr>
        <w:rFonts w:hint="default"/>
        <w:b/>
      </w:rPr>
    </w:lvl>
    <w:lvl w:ilvl="1" w:tentative="0">
      <w:start w:val="1"/>
      <w:numFmt w:val="decimal"/>
      <w:lvlText w:val="（%2）"/>
      <w:lvlJc w:val="left"/>
      <w:pPr>
        <w:tabs>
          <w:tab w:val="left" w:pos="1094"/>
        </w:tabs>
        <w:ind w:left="1094" w:hanging="674"/>
      </w:pPr>
      <w:rPr>
        <w:rFonts w:hint="default"/>
      </w:rPr>
    </w:lvl>
    <w:lvl w:ilvl="2" w:tentative="0">
      <w:start w:val="1"/>
      <w:numFmt w:val="lowerLetter"/>
      <w:lvlText w:val="%3）"/>
      <w:lvlJc w:val="left"/>
      <w:pPr>
        <w:tabs>
          <w:tab w:val="left" w:pos="1620"/>
        </w:tabs>
        <w:ind w:left="1620" w:hanging="360"/>
      </w:pPr>
      <w:rPr>
        <w:rFonts w:hint="default"/>
        <w:b w:val="0"/>
      </w:rPr>
    </w:lvl>
    <w:lvl w:ilvl="3" w:tentative="0">
      <w:start w:val="1"/>
      <w:numFmt w:val="decimal"/>
      <w:lvlText w:val="%4）"/>
      <w:lvlJc w:val="left"/>
      <w:pPr>
        <w:tabs>
          <w:tab w:val="left" w:pos="2040"/>
        </w:tabs>
        <w:ind w:left="2040" w:hanging="360"/>
      </w:pPr>
      <w:rPr>
        <w:rFonts w:hint="default"/>
      </w:rPr>
    </w:lvl>
    <w:lvl w:ilvl="4" w:tentative="0">
      <w:start w:val="1"/>
      <w:numFmt w:val="decimal"/>
      <w:lvlText w:val="%5."/>
      <w:lvlJc w:val="left"/>
      <w:pPr>
        <w:tabs>
          <w:tab w:val="left" w:pos="2460"/>
        </w:tabs>
        <w:ind w:left="2460" w:hanging="360"/>
      </w:pPr>
      <w:rPr>
        <w:rFonts w:hint="default"/>
        <w:b/>
        <w:sz w:val="24"/>
        <w:szCs w:val="24"/>
      </w:r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2">
    <w:nsid w:val="20BA2AF0"/>
    <w:multiLevelType w:val="singleLevel"/>
    <w:tmpl w:val="20BA2AF0"/>
    <w:lvl w:ilvl="0" w:tentative="0">
      <w:start w:val="1"/>
      <w:numFmt w:val="decimal"/>
      <w:suff w:val="space"/>
      <w:lvlText w:val="%1）"/>
      <w:lvlJc w:val="left"/>
    </w:lvl>
  </w:abstractNum>
  <w:abstractNum w:abstractNumId="13">
    <w:nsid w:val="22D913E6"/>
    <w:multiLevelType w:val="multilevel"/>
    <w:tmpl w:val="22D913E6"/>
    <w:lvl w:ilvl="0" w:tentative="0">
      <w:start w:val="1"/>
      <w:numFmt w:val="japaneseCounting"/>
      <w:lvlText w:val="第%1章"/>
      <w:lvlJc w:val="left"/>
      <w:pPr>
        <w:tabs>
          <w:tab w:val="left" w:pos="3615"/>
        </w:tabs>
        <w:ind w:left="3615" w:hanging="1455"/>
      </w:pPr>
      <w:rPr>
        <w:rFonts w:hint="default"/>
        <w:b/>
      </w:rPr>
    </w:lvl>
    <w:lvl w:ilvl="1" w:tentative="0">
      <w:start w:val="1"/>
      <w:numFmt w:val="decimal"/>
      <w:lvlText w:val="%2、"/>
      <w:lvlJc w:val="left"/>
      <w:pPr>
        <w:tabs>
          <w:tab w:val="left" w:pos="360"/>
        </w:tabs>
        <w:ind w:left="360" w:hanging="360"/>
      </w:pPr>
      <w:rPr>
        <w:rFonts w:hint="default"/>
      </w:rPr>
    </w:lvl>
    <w:lvl w:ilvl="2" w:tentative="0">
      <w:start w:val="1"/>
      <w:numFmt w:val="lowerRoman"/>
      <w:lvlText w:val="%3."/>
      <w:lvlJc w:val="right"/>
      <w:pPr>
        <w:tabs>
          <w:tab w:val="left" w:pos="3420"/>
        </w:tabs>
        <w:ind w:left="3420" w:hanging="420"/>
      </w:pPr>
    </w:lvl>
    <w:lvl w:ilvl="3" w:tentative="0">
      <w:start w:val="1"/>
      <w:numFmt w:val="japaneseCounting"/>
      <w:lvlText w:val="%4、"/>
      <w:lvlJc w:val="left"/>
      <w:pPr>
        <w:tabs>
          <w:tab w:val="left" w:pos="3840"/>
        </w:tabs>
        <w:ind w:left="3840" w:hanging="420"/>
      </w:pPr>
      <w:rPr>
        <w:rFonts w:hint="default"/>
      </w:rPr>
    </w:lvl>
    <w:lvl w:ilvl="4" w:tentative="0">
      <w:start w:val="1"/>
      <w:numFmt w:val="japaneseCounting"/>
      <w:lvlText w:val="（%5）"/>
      <w:lvlJc w:val="left"/>
      <w:pPr>
        <w:tabs>
          <w:tab w:val="left" w:pos="4560"/>
        </w:tabs>
        <w:ind w:left="4560" w:hanging="720"/>
      </w:pPr>
      <w:rPr>
        <w:rFonts w:hint="default"/>
      </w:rPr>
    </w:lvl>
    <w:lvl w:ilvl="5" w:tentative="0">
      <w:start w:val="1"/>
      <w:numFmt w:val="decimal"/>
      <w:lvlText w:val="%6）"/>
      <w:lvlJc w:val="left"/>
      <w:pPr>
        <w:tabs>
          <w:tab w:val="left" w:pos="4605"/>
        </w:tabs>
        <w:ind w:left="4605" w:hanging="345"/>
      </w:pPr>
      <w:rPr>
        <w:rFonts w:hint="default"/>
      </w:rPr>
    </w:lvl>
    <w:lvl w:ilvl="6" w:tentative="0">
      <w:start w:val="1"/>
      <w:numFmt w:val="decimal"/>
      <w:lvlText w:val="%7．"/>
      <w:lvlJc w:val="left"/>
      <w:pPr>
        <w:tabs>
          <w:tab w:val="left" w:pos="5040"/>
        </w:tabs>
        <w:ind w:left="5040" w:hanging="360"/>
      </w:pPr>
      <w:rPr>
        <w:rFonts w:hint="default"/>
      </w:rPr>
    </w:lvl>
    <w:lvl w:ilvl="7" w:tentative="0">
      <w:start w:val="1"/>
      <w:numFmt w:val="decimal"/>
      <w:lvlText w:val="%8."/>
      <w:lvlJc w:val="left"/>
      <w:pPr>
        <w:tabs>
          <w:tab w:val="left" w:pos="5460"/>
        </w:tabs>
        <w:ind w:left="5460" w:hanging="360"/>
      </w:pPr>
      <w:rPr>
        <w:rFonts w:hint="default"/>
      </w:rPr>
    </w:lvl>
    <w:lvl w:ilvl="8" w:tentative="0">
      <w:start w:val="1"/>
      <w:numFmt w:val="lowerRoman"/>
      <w:lvlText w:val="%9."/>
      <w:lvlJc w:val="right"/>
      <w:pPr>
        <w:tabs>
          <w:tab w:val="left" w:pos="5940"/>
        </w:tabs>
        <w:ind w:left="5940" w:hanging="420"/>
      </w:pPr>
    </w:lvl>
  </w:abstractNum>
  <w:abstractNum w:abstractNumId="14">
    <w:nsid w:val="277F6DC9"/>
    <w:multiLevelType w:val="multilevel"/>
    <w:tmpl w:val="277F6DC9"/>
    <w:lvl w:ilvl="0" w:tentative="0">
      <w:start w:val="1"/>
      <w:numFmt w:val="decimal"/>
      <w:lvlText w:val="%1."/>
      <w:lvlJc w:val="left"/>
      <w:pPr>
        <w:tabs>
          <w:tab w:val="left" w:pos="990"/>
        </w:tabs>
        <w:ind w:left="990" w:hanging="360"/>
      </w:pPr>
      <w:rPr>
        <w:rFonts w:hint="default"/>
      </w:rPr>
    </w:lvl>
    <w:lvl w:ilvl="1" w:tentative="0">
      <w:start w:val="1"/>
      <w:numFmt w:val="lowerLetter"/>
      <w:lvlText w:val="%2)"/>
      <w:lvlJc w:val="left"/>
      <w:pPr>
        <w:tabs>
          <w:tab w:val="left" w:pos="1470"/>
        </w:tabs>
        <w:ind w:left="1470" w:hanging="420"/>
      </w:pPr>
    </w:lvl>
    <w:lvl w:ilvl="2" w:tentative="0">
      <w:start w:val="1"/>
      <w:numFmt w:val="lowerRoman"/>
      <w:lvlText w:val="%3."/>
      <w:lvlJc w:val="right"/>
      <w:pPr>
        <w:tabs>
          <w:tab w:val="left" w:pos="1890"/>
        </w:tabs>
        <w:ind w:left="1890" w:hanging="420"/>
      </w:pPr>
    </w:lvl>
    <w:lvl w:ilvl="3" w:tentative="0">
      <w:start w:val="1"/>
      <w:numFmt w:val="decimal"/>
      <w:lvlText w:val="%4."/>
      <w:lvlJc w:val="left"/>
      <w:pPr>
        <w:tabs>
          <w:tab w:val="left" w:pos="2310"/>
        </w:tabs>
        <w:ind w:left="2310" w:hanging="420"/>
      </w:pPr>
    </w:lvl>
    <w:lvl w:ilvl="4" w:tentative="0">
      <w:start w:val="1"/>
      <w:numFmt w:val="lowerLetter"/>
      <w:lvlText w:val="%5)"/>
      <w:lvlJc w:val="left"/>
      <w:pPr>
        <w:tabs>
          <w:tab w:val="left" w:pos="2730"/>
        </w:tabs>
        <w:ind w:left="2730" w:hanging="420"/>
      </w:pPr>
    </w:lvl>
    <w:lvl w:ilvl="5" w:tentative="0">
      <w:start w:val="1"/>
      <w:numFmt w:val="lowerRoman"/>
      <w:lvlText w:val="%6."/>
      <w:lvlJc w:val="right"/>
      <w:pPr>
        <w:tabs>
          <w:tab w:val="left" w:pos="3150"/>
        </w:tabs>
        <w:ind w:left="3150" w:hanging="420"/>
      </w:pPr>
    </w:lvl>
    <w:lvl w:ilvl="6" w:tentative="0">
      <w:start w:val="1"/>
      <w:numFmt w:val="decimal"/>
      <w:lvlText w:val="%7."/>
      <w:lvlJc w:val="left"/>
      <w:pPr>
        <w:tabs>
          <w:tab w:val="left" w:pos="3570"/>
        </w:tabs>
        <w:ind w:left="3570" w:hanging="420"/>
      </w:pPr>
    </w:lvl>
    <w:lvl w:ilvl="7" w:tentative="0">
      <w:start w:val="1"/>
      <w:numFmt w:val="lowerLetter"/>
      <w:lvlText w:val="%8)"/>
      <w:lvlJc w:val="left"/>
      <w:pPr>
        <w:tabs>
          <w:tab w:val="left" w:pos="3990"/>
        </w:tabs>
        <w:ind w:left="3990" w:hanging="420"/>
      </w:pPr>
    </w:lvl>
    <w:lvl w:ilvl="8" w:tentative="0">
      <w:start w:val="1"/>
      <w:numFmt w:val="lowerRoman"/>
      <w:lvlText w:val="%9."/>
      <w:lvlJc w:val="right"/>
      <w:pPr>
        <w:tabs>
          <w:tab w:val="left" w:pos="4410"/>
        </w:tabs>
        <w:ind w:left="4410" w:hanging="420"/>
      </w:pPr>
    </w:lvl>
  </w:abstractNum>
  <w:abstractNum w:abstractNumId="15">
    <w:nsid w:val="2AA957BB"/>
    <w:multiLevelType w:val="multilevel"/>
    <w:tmpl w:val="2AA957BB"/>
    <w:lvl w:ilvl="0" w:tentative="0">
      <w:start w:val="1"/>
      <w:numFmt w:val="decimal"/>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292"/>
      </w:pPr>
      <w:rPr>
        <w:rFonts w:hint="eastAsia"/>
      </w:rPr>
    </w:lvl>
    <w:lvl w:ilvl="2" w:tentative="0">
      <w:start w:val="1"/>
      <w:numFmt w:val="decimal"/>
      <w:lvlText w:val="%1.%2.%3"/>
      <w:lvlJc w:val="left"/>
      <w:pPr>
        <w:tabs>
          <w:tab w:val="left" w:pos="720"/>
        </w:tabs>
        <w:ind w:left="720" w:hanging="153"/>
      </w:pPr>
      <w:rPr>
        <w:rFonts w:hint="eastAsia"/>
      </w:rPr>
    </w:lvl>
    <w:lvl w:ilvl="3" w:tentative="0">
      <w:start w:val="1"/>
      <w:numFmt w:val="bullet"/>
      <w:pStyle w:val="88"/>
      <w:lvlText w:val=""/>
      <w:lvlJc w:val="left"/>
      <w:pPr>
        <w:tabs>
          <w:tab w:val="left" w:pos="1271"/>
        </w:tabs>
        <w:ind w:left="1271" w:hanging="420"/>
      </w:pPr>
      <w:rPr>
        <w:rFonts w:hint="default" w:ascii="Wingdings" w:hAnsi="Wingdings"/>
      </w:rPr>
    </w:lvl>
    <w:lvl w:ilvl="4" w:tentative="0">
      <w:start w:val="1"/>
      <w:numFmt w:val="decimal"/>
      <w:lvlText w:val="%1.%2.%3.%4.%5"/>
      <w:lvlJc w:val="left"/>
      <w:pPr>
        <w:tabs>
          <w:tab w:val="left" w:pos="1008"/>
        </w:tabs>
        <w:ind w:left="1008" w:firstLine="126"/>
      </w:pPr>
      <w:rPr>
        <w:rFonts w:hint="eastAsia"/>
        <w:b/>
      </w:rPr>
    </w:lvl>
    <w:lvl w:ilvl="5" w:tentative="0">
      <w:start w:val="1"/>
      <w:numFmt w:val="decimal"/>
      <w:lvlText w:val="%1.%2.%3.%4.%5.%6"/>
      <w:lvlJc w:val="left"/>
      <w:pPr>
        <w:tabs>
          <w:tab w:val="left" w:pos="1152"/>
        </w:tabs>
        <w:ind w:left="1152" w:firstLine="266"/>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6">
    <w:nsid w:val="2C7A7351"/>
    <w:multiLevelType w:val="multilevel"/>
    <w:tmpl w:val="2C7A7351"/>
    <w:lvl w:ilvl="0" w:tentative="0">
      <w:start w:val="21"/>
      <w:numFmt w:val="decimal"/>
      <w:lvlText w:val="%1"/>
      <w:lvlJc w:val="left"/>
      <w:pPr>
        <w:tabs>
          <w:tab w:val="left" w:pos="480"/>
        </w:tabs>
        <w:ind w:left="480" w:hanging="480"/>
      </w:pPr>
      <w:rPr>
        <w:rFonts w:hint="default"/>
      </w:rPr>
    </w:lvl>
    <w:lvl w:ilvl="1" w:tentative="0">
      <w:start w:val="1"/>
      <w:numFmt w:val="decimal"/>
      <w:lvlText w:val="%1.%2"/>
      <w:lvlJc w:val="left"/>
      <w:pPr>
        <w:tabs>
          <w:tab w:val="left" w:pos="480"/>
        </w:tabs>
        <w:ind w:left="480" w:hanging="480"/>
      </w:pPr>
      <w:rPr>
        <w:rFonts w:hint="default"/>
        <w:b w:val="0"/>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17">
    <w:nsid w:val="2F576453"/>
    <w:multiLevelType w:val="multilevel"/>
    <w:tmpl w:val="2F576453"/>
    <w:lvl w:ilvl="0" w:tentative="0">
      <w:start w:val="12"/>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18">
    <w:nsid w:val="35135A59"/>
    <w:multiLevelType w:val="multilevel"/>
    <w:tmpl w:val="35135A59"/>
    <w:lvl w:ilvl="0" w:tentative="0">
      <w:start w:val="1"/>
      <w:numFmt w:val="japaneseCounting"/>
      <w:lvlText w:val="第%1章"/>
      <w:lvlJc w:val="left"/>
      <w:pPr>
        <w:tabs>
          <w:tab w:val="left" w:pos="3615"/>
        </w:tabs>
        <w:ind w:left="3615" w:hanging="1455"/>
      </w:pPr>
      <w:rPr>
        <w:rFonts w:hint="default"/>
        <w:b/>
      </w:rPr>
    </w:lvl>
    <w:lvl w:ilvl="1" w:tentative="0">
      <w:start w:val="1"/>
      <w:numFmt w:val="decimal"/>
      <w:lvlText w:val="%2、"/>
      <w:lvlJc w:val="left"/>
      <w:pPr>
        <w:tabs>
          <w:tab w:val="left" w:pos="360"/>
        </w:tabs>
        <w:ind w:left="360" w:hanging="360"/>
      </w:pPr>
      <w:rPr>
        <w:rFonts w:hint="default"/>
      </w:rPr>
    </w:lvl>
    <w:lvl w:ilvl="2" w:tentative="0">
      <w:start w:val="1"/>
      <w:numFmt w:val="lowerRoman"/>
      <w:lvlText w:val="%3."/>
      <w:lvlJc w:val="right"/>
      <w:pPr>
        <w:tabs>
          <w:tab w:val="left" w:pos="3420"/>
        </w:tabs>
        <w:ind w:left="3420" w:hanging="420"/>
      </w:pPr>
    </w:lvl>
    <w:lvl w:ilvl="3" w:tentative="0">
      <w:start w:val="1"/>
      <w:numFmt w:val="japaneseCounting"/>
      <w:lvlText w:val="%4、"/>
      <w:lvlJc w:val="left"/>
      <w:pPr>
        <w:tabs>
          <w:tab w:val="left" w:pos="3840"/>
        </w:tabs>
        <w:ind w:left="3840" w:hanging="420"/>
      </w:pPr>
      <w:rPr>
        <w:rFonts w:hint="default"/>
      </w:rPr>
    </w:lvl>
    <w:lvl w:ilvl="4" w:tentative="0">
      <w:start w:val="1"/>
      <w:numFmt w:val="japaneseCounting"/>
      <w:lvlText w:val="（%5）"/>
      <w:lvlJc w:val="left"/>
      <w:pPr>
        <w:tabs>
          <w:tab w:val="left" w:pos="4560"/>
        </w:tabs>
        <w:ind w:left="4560" w:hanging="720"/>
      </w:pPr>
      <w:rPr>
        <w:rFonts w:hint="default"/>
      </w:rPr>
    </w:lvl>
    <w:lvl w:ilvl="5" w:tentative="0">
      <w:start w:val="1"/>
      <w:numFmt w:val="decimal"/>
      <w:lvlText w:val="%6）"/>
      <w:lvlJc w:val="left"/>
      <w:pPr>
        <w:tabs>
          <w:tab w:val="left" w:pos="4605"/>
        </w:tabs>
        <w:ind w:left="4605" w:hanging="345"/>
      </w:pPr>
      <w:rPr>
        <w:rFonts w:hint="default"/>
      </w:rPr>
    </w:lvl>
    <w:lvl w:ilvl="6" w:tentative="0">
      <w:start w:val="1"/>
      <w:numFmt w:val="decimal"/>
      <w:lvlText w:val="%7．"/>
      <w:lvlJc w:val="left"/>
      <w:pPr>
        <w:tabs>
          <w:tab w:val="left" w:pos="5040"/>
        </w:tabs>
        <w:ind w:left="5040" w:hanging="360"/>
      </w:pPr>
      <w:rPr>
        <w:rFonts w:hint="default"/>
      </w:rPr>
    </w:lvl>
    <w:lvl w:ilvl="7" w:tentative="0">
      <w:start w:val="1"/>
      <w:numFmt w:val="decimal"/>
      <w:lvlText w:val="%8."/>
      <w:lvlJc w:val="left"/>
      <w:pPr>
        <w:tabs>
          <w:tab w:val="left" w:pos="5460"/>
        </w:tabs>
        <w:ind w:left="5460" w:hanging="360"/>
      </w:pPr>
      <w:rPr>
        <w:rFonts w:hint="default"/>
      </w:rPr>
    </w:lvl>
    <w:lvl w:ilvl="8" w:tentative="0">
      <w:start w:val="1"/>
      <w:numFmt w:val="lowerRoman"/>
      <w:lvlText w:val="%9."/>
      <w:lvlJc w:val="right"/>
      <w:pPr>
        <w:tabs>
          <w:tab w:val="left" w:pos="5940"/>
        </w:tabs>
        <w:ind w:left="5940" w:hanging="420"/>
      </w:pPr>
    </w:lvl>
  </w:abstractNum>
  <w:abstractNum w:abstractNumId="19">
    <w:nsid w:val="359C51AA"/>
    <w:multiLevelType w:val="multilevel"/>
    <w:tmpl w:val="359C51AA"/>
    <w:lvl w:ilvl="0" w:tentative="0">
      <w:start w:val="18"/>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0">
    <w:nsid w:val="44274878"/>
    <w:multiLevelType w:val="multilevel"/>
    <w:tmpl w:val="44274878"/>
    <w:lvl w:ilvl="0" w:tentative="0">
      <w:start w:val="27"/>
      <w:numFmt w:val="decimal"/>
      <w:lvlText w:val="%1"/>
      <w:lvlJc w:val="left"/>
      <w:pPr>
        <w:ind w:left="360" w:hanging="360"/>
      </w:pPr>
      <w:rPr>
        <w:rFonts w:hint="default"/>
      </w:rPr>
    </w:lvl>
    <w:lvl w:ilvl="1" w:tentative="0">
      <w:start w:val="1"/>
      <w:numFmt w:val="decimal"/>
      <w:isLgl/>
      <w:lvlText w:val="%1.%2"/>
      <w:lvlJc w:val="left"/>
      <w:pPr>
        <w:ind w:left="510" w:hanging="510"/>
      </w:pPr>
      <w:rPr>
        <w:rFonts w:hint="default"/>
      </w:rPr>
    </w:lvl>
    <w:lvl w:ilvl="2" w:tentative="0">
      <w:start w:val="1"/>
      <w:numFmt w:val="decimal"/>
      <w:isLgl/>
      <w:lvlText w:val="%1.%2.%3"/>
      <w:lvlJc w:val="left"/>
      <w:pPr>
        <w:ind w:left="510" w:hanging="510"/>
      </w:pPr>
      <w:rPr>
        <w:rFonts w:hint="default"/>
      </w:rPr>
    </w:lvl>
    <w:lvl w:ilvl="3" w:tentative="0">
      <w:start w:val="1"/>
      <w:numFmt w:val="decimal"/>
      <w:isLgl/>
      <w:lvlText w:val="%1.%2.%3.%4"/>
      <w:lvlJc w:val="left"/>
      <w:pPr>
        <w:ind w:left="510" w:hanging="510"/>
      </w:pPr>
      <w:rPr>
        <w:rFonts w:hint="default"/>
      </w:rPr>
    </w:lvl>
    <w:lvl w:ilvl="4" w:tentative="0">
      <w:start w:val="1"/>
      <w:numFmt w:val="decimal"/>
      <w:isLgl/>
      <w:lvlText w:val="%1.%2.%3.%4.%5"/>
      <w:lvlJc w:val="left"/>
      <w:pPr>
        <w:ind w:left="510" w:hanging="510"/>
      </w:pPr>
      <w:rPr>
        <w:rFonts w:hint="default"/>
      </w:rPr>
    </w:lvl>
    <w:lvl w:ilvl="5" w:tentative="0">
      <w:start w:val="1"/>
      <w:numFmt w:val="decimal"/>
      <w:isLgl/>
      <w:lvlText w:val="%1.%2.%3.%4.%5.%6"/>
      <w:lvlJc w:val="left"/>
      <w:pPr>
        <w:ind w:left="510" w:hanging="510"/>
      </w:pPr>
      <w:rPr>
        <w:rFonts w:hint="default"/>
      </w:rPr>
    </w:lvl>
    <w:lvl w:ilvl="6" w:tentative="0">
      <w:start w:val="1"/>
      <w:numFmt w:val="decimal"/>
      <w:isLgl/>
      <w:lvlText w:val="%1.%2.%3.%4.%5.%6.%7"/>
      <w:lvlJc w:val="left"/>
      <w:pPr>
        <w:ind w:left="510" w:hanging="510"/>
      </w:pPr>
      <w:rPr>
        <w:rFonts w:hint="default"/>
      </w:rPr>
    </w:lvl>
    <w:lvl w:ilvl="7" w:tentative="0">
      <w:start w:val="1"/>
      <w:numFmt w:val="decimal"/>
      <w:isLgl/>
      <w:lvlText w:val="%1.%2.%3.%4.%5.%6.%7.%8"/>
      <w:lvlJc w:val="left"/>
      <w:pPr>
        <w:ind w:left="510" w:hanging="510"/>
      </w:pPr>
      <w:rPr>
        <w:rFonts w:hint="default"/>
      </w:rPr>
    </w:lvl>
    <w:lvl w:ilvl="8" w:tentative="0">
      <w:start w:val="1"/>
      <w:numFmt w:val="decimal"/>
      <w:isLgl/>
      <w:lvlText w:val="%1.%2.%3.%4.%5.%6.%7.%8.%9"/>
      <w:lvlJc w:val="left"/>
      <w:pPr>
        <w:ind w:left="510" w:hanging="510"/>
      </w:pPr>
      <w:rPr>
        <w:rFonts w:hint="default"/>
      </w:rPr>
    </w:lvl>
  </w:abstractNum>
  <w:abstractNum w:abstractNumId="21">
    <w:nsid w:val="46450AAB"/>
    <w:multiLevelType w:val="multilevel"/>
    <w:tmpl w:val="46450AAB"/>
    <w:lvl w:ilvl="0" w:tentative="0">
      <w:start w:val="11"/>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2">
    <w:nsid w:val="46C95EB7"/>
    <w:multiLevelType w:val="multilevel"/>
    <w:tmpl w:val="46C95EB7"/>
    <w:lvl w:ilvl="0" w:tentative="0">
      <w:start w:val="1"/>
      <w:numFmt w:val="decimal"/>
      <w:lvlText w:val="%1、"/>
      <w:lvlJc w:val="left"/>
      <w:pPr>
        <w:tabs>
          <w:tab w:val="left" w:pos="1305"/>
        </w:tabs>
        <w:ind w:left="1305" w:hanging="360"/>
      </w:pPr>
      <w:rPr>
        <w:rFonts w:hint="default"/>
      </w:rPr>
    </w:lvl>
    <w:lvl w:ilvl="1" w:tentative="0">
      <w:start w:val="1"/>
      <w:numFmt w:val="japaneseCounting"/>
      <w:lvlText w:val="%2、"/>
      <w:lvlJc w:val="left"/>
      <w:pPr>
        <w:tabs>
          <w:tab w:val="left" w:pos="1305"/>
        </w:tabs>
        <w:ind w:left="1305" w:hanging="465"/>
      </w:pPr>
      <w:rPr>
        <w:rFonts w:hint="default" w:cs="黑体"/>
      </w:rPr>
    </w:lvl>
    <w:lvl w:ilvl="2" w:tentative="0">
      <w:start w:val="1"/>
      <w:numFmt w:val="decimal"/>
      <w:lvlText w:val="%3)"/>
      <w:lvlJc w:val="left"/>
      <w:pPr>
        <w:tabs>
          <w:tab w:val="left" w:pos="1500"/>
        </w:tabs>
        <w:ind w:left="1500" w:hanging="240"/>
      </w:pPr>
      <w:rPr>
        <w:rFonts w:hint="default"/>
      </w:rPr>
    </w:lvl>
    <w:lvl w:ilvl="3" w:tentative="0">
      <w:start w:val="1"/>
      <w:numFmt w:val="decimal"/>
      <w:lvlText w:val="%4）"/>
      <w:lvlJc w:val="left"/>
      <w:pPr>
        <w:tabs>
          <w:tab w:val="left" w:pos="2040"/>
        </w:tabs>
        <w:ind w:left="2040" w:hanging="360"/>
      </w:pPr>
      <w:rPr>
        <w:rFonts w:hint="default"/>
      </w:rPr>
    </w:lvl>
    <w:lvl w:ilvl="4" w:tentative="0">
      <w:start w:val="4"/>
      <w:numFmt w:val="decimal"/>
      <w:lvlText w:val="%5．"/>
      <w:lvlJc w:val="left"/>
      <w:pPr>
        <w:tabs>
          <w:tab w:val="left" w:pos="2460"/>
        </w:tabs>
        <w:ind w:left="2460" w:hanging="360"/>
      </w:pPr>
      <w:rPr>
        <w:rFonts w:hint="default"/>
      </w:r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23">
    <w:nsid w:val="48D858E8"/>
    <w:multiLevelType w:val="multilevel"/>
    <w:tmpl w:val="48D858E8"/>
    <w:lvl w:ilvl="0" w:tentative="0">
      <w:start w:val="4"/>
      <w:numFmt w:val="decimal"/>
      <w:lvlText w:val="%1"/>
      <w:lvlJc w:val="left"/>
      <w:pPr>
        <w:tabs>
          <w:tab w:val="left" w:pos="360"/>
        </w:tabs>
        <w:ind w:left="360" w:hanging="360"/>
      </w:pPr>
      <w:rPr>
        <w:rFonts w:hint="default" w:cs="Times New Roman"/>
      </w:rPr>
    </w:lvl>
    <w:lvl w:ilvl="1" w:tentative="0">
      <w:start w:val="1"/>
      <w:numFmt w:val="decimal"/>
      <w:lvlText w:val="%1.%2"/>
      <w:lvlJc w:val="left"/>
      <w:pPr>
        <w:tabs>
          <w:tab w:val="left" w:pos="360"/>
        </w:tabs>
        <w:ind w:left="360" w:hanging="360"/>
      </w:pPr>
      <w:rPr>
        <w:rFonts w:hint="default" w:cs="Times New Roman"/>
      </w:rPr>
    </w:lvl>
    <w:lvl w:ilvl="2" w:tentative="0">
      <w:start w:val="1"/>
      <w:numFmt w:val="decimal"/>
      <w:lvlText w:val="%1.%2.%3"/>
      <w:lvlJc w:val="left"/>
      <w:pPr>
        <w:tabs>
          <w:tab w:val="left" w:pos="720"/>
        </w:tabs>
        <w:ind w:left="720" w:hanging="720"/>
      </w:pPr>
      <w:rPr>
        <w:rFonts w:hint="default" w:cs="Times New Roman"/>
      </w:rPr>
    </w:lvl>
    <w:lvl w:ilvl="3" w:tentative="0">
      <w:start w:val="1"/>
      <w:numFmt w:val="decimal"/>
      <w:lvlText w:val="%1.%2.%3.%4"/>
      <w:lvlJc w:val="left"/>
      <w:pPr>
        <w:tabs>
          <w:tab w:val="left" w:pos="1080"/>
        </w:tabs>
        <w:ind w:left="1080" w:hanging="1080"/>
      </w:pPr>
      <w:rPr>
        <w:rFonts w:hint="default" w:cs="Times New Roman"/>
      </w:rPr>
    </w:lvl>
    <w:lvl w:ilvl="4" w:tentative="0">
      <w:start w:val="1"/>
      <w:numFmt w:val="decimal"/>
      <w:lvlText w:val="%1.%2.%3.%4.%5"/>
      <w:lvlJc w:val="left"/>
      <w:pPr>
        <w:tabs>
          <w:tab w:val="left" w:pos="1080"/>
        </w:tabs>
        <w:ind w:left="1080" w:hanging="1080"/>
      </w:pPr>
      <w:rPr>
        <w:rFonts w:hint="default" w:cs="Times New Roman"/>
      </w:rPr>
    </w:lvl>
    <w:lvl w:ilvl="5" w:tentative="0">
      <w:start w:val="1"/>
      <w:numFmt w:val="decimal"/>
      <w:lvlText w:val="%1.%2.%3.%4.%5.%6"/>
      <w:lvlJc w:val="left"/>
      <w:pPr>
        <w:tabs>
          <w:tab w:val="left" w:pos="1440"/>
        </w:tabs>
        <w:ind w:left="1440" w:hanging="1440"/>
      </w:pPr>
      <w:rPr>
        <w:rFonts w:hint="default" w:cs="Times New Roman"/>
      </w:rPr>
    </w:lvl>
    <w:lvl w:ilvl="6" w:tentative="0">
      <w:start w:val="1"/>
      <w:numFmt w:val="decimal"/>
      <w:lvlText w:val="%1.%2.%3.%4.%5.%6.%7"/>
      <w:lvlJc w:val="left"/>
      <w:pPr>
        <w:tabs>
          <w:tab w:val="left" w:pos="1440"/>
        </w:tabs>
        <w:ind w:left="1440" w:hanging="1440"/>
      </w:pPr>
      <w:rPr>
        <w:rFonts w:hint="default" w:cs="Times New Roman"/>
      </w:rPr>
    </w:lvl>
    <w:lvl w:ilvl="7" w:tentative="0">
      <w:start w:val="1"/>
      <w:numFmt w:val="decimal"/>
      <w:lvlText w:val="%1.%2.%3.%4.%5.%6.%7.%8"/>
      <w:lvlJc w:val="left"/>
      <w:pPr>
        <w:tabs>
          <w:tab w:val="left" w:pos="1800"/>
        </w:tabs>
        <w:ind w:left="1800" w:hanging="1800"/>
      </w:pPr>
      <w:rPr>
        <w:rFonts w:hint="default" w:cs="Times New Roman"/>
      </w:rPr>
    </w:lvl>
    <w:lvl w:ilvl="8" w:tentative="0">
      <w:start w:val="1"/>
      <w:numFmt w:val="decimal"/>
      <w:lvlText w:val="%1.%2.%3.%4.%5.%6.%7.%8.%9"/>
      <w:lvlJc w:val="left"/>
      <w:pPr>
        <w:tabs>
          <w:tab w:val="left" w:pos="1800"/>
        </w:tabs>
        <w:ind w:left="1800" w:hanging="1800"/>
      </w:pPr>
      <w:rPr>
        <w:rFonts w:hint="default" w:cs="Times New Roman"/>
      </w:rPr>
    </w:lvl>
  </w:abstractNum>
  <w:abstractNum w:abstractNumId="24">
    <w:nsid w:val="4B331C36"/>
    <w:multiLevelType w:val="multilevel"/>
    <w:tmpl w:val="4B331C36"/>
    <w:lvl w:ilvl="0" w:tentative="0">
      <w:start w:val="1"/>
      <w:numFmt w:val="japaneseCounting"/>
      <w:pStyle w:val="93"/>
      <w:lvlText w:val="第%1章"/>
      <w:lvlJc w:val="left"/>
      <w:pPr>
        <w:tabs>
          <w:tab w:val="left" w:pos="1275"/>
        </w:tabs>
        <w:ind w:left="1275" w:hanging="1275"/>
      </w:pPr>
      <w:rPr>
        <w:rFonts w:hint="default"/>
        <w:b/>
        <w:sz w:val="36"/>
        <w:szCs w:val="36"/>
      </w:rPr>
    </w:lvl>
    <w:lvl w:ilvl="1" w:tentative="0">
      <w:start w:val="1"/>
      <w:numFmt w:val="japaneseCounting"/>
      <w:lvlText w:val="%2、"/>
      <w:lvlJc w:val="left"/>
      <w:pPr>
        <w:tabs>
          <w:tab w:val="left" w:pos="420"/>
        </w:tabs>
        <w:ind w:left="420" w:hanging="420"/>
      </w:pPr>
      <w:rPr>
        <w:rFonts w:hint="default"/>
        <w:sz w:val="21"/>
        <w:szCs w:val="21"/>
      </w:rPr>
    </w:lvl>
    <w:lvl w:ilvl="2" w:tentative="0">
      <w:start w:val="1"/>
      <w:numFmt w:val="decimal"/>
      <w:lvlText w:val="%3、"/>
      <w:lvlJc w:val="left"/>
      <w:pPr>
        <w:tabs>
          <w:tab w:val="left" w:pos="420"/>
        </w:tabs>
        <w:ind w:left="0" w:firstLine="420"/>
      </w:pPr>
      <w:rPr>
        <w:rFonts w:hint="default"/>
        <w:b w:val="0"/>
        <w:sz w:val="21"/>
        <w:szCs w:val="21"/>
      </w:rPr>
    </w:lvl>
    <w:lvl w:ilvl="3" w:tentative="0">
      <w:start w:val="1"/>
      <w:numFmt w:val="decimal"/>
      <w:lvlText w:val="%4."/>
      <w:lvlJc w:val="left"/>
      <w:pPr>
        <w:tabs>
          <w:tab w:val="left" w:pos="1620"/>
        </w:tabs>
        <w:ind w:left="1620" w:hanging="360"/>
      </w:pPr>
      <w:rPr>
        <w:rFonts w:hint="default"/>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5">
    <w:nsid w:val="4F7C056F"/>
    <w:multiLevelType w:val="multilevel"/>
    <w:tmpl w:val="4F7C056F"/>
    <w:lvl w:ilvl="0" w:tentative="0">
      <w:start w:val="17"/>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6">
    <w:nsid w:val="54D12799"/>
    <w:multiLevelType w:val="multilevel"/>
    <w:tmpl w:val="54D12799"/>
    <w:lvl w:ilvl="0" w:tentative="0">
      <w:start w:val="5"/>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27">
    <w:nsid w:val="552E1C8E"/>
    <w:multiLevelType w:val="singleLevel"/>
    <w:tmpl w:val="552E1C8E"/>
    <w:lvl w:ilvl="0" w:tentative="0">
      <w:start w:val="1"/>
      <w:numFmt w:val="decimal"/>
      <w:suff w:val="nothing"/>
      <w:lvlText w:val="%1．"/>
      <w:lvlJc w:val="left"/>
      <w:pPr>
        <w:ind w:left="0" w:firstLine="400"/>
      </w:pPr>
      <w:rPr>
        <w:rFonts w:hint="default"/>
      </w:rPr>
    </w:lvl>
  </w:abstractNum>
  <w:abstractNum w:abstractNumId="28">
    <w:nsid w:val="5E076C81"/>
    <w:multiLevelType w:val="multilevel"/>
    <w:tmpl w:val="5E076C81"/>
    <w:lvl w:ilvl="0" w:tentative="0">
      <w:start w:val="6"/>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29">
    <w:nsid w:val="5F4F21DF"/>
    <w:multiLevelType w:val="multilevel"/>
    <w:tmpl w:val="5F4F21DF"/>
    <w:lvl w:ilvl="0" w:tentative="0">
      <w:start w:val="1"/>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30">
    <w:nsid w:val="6065484F"/>
    <w:multiLevelType w:val="multilevel"/>
    <w:tmpl w:val="6065484F"/>
    <w:lvl w:ilvl="0" w:tentative="0">
      <w:start w:val="7"/>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31">
    <w:nsid w:val="615413D2"/>
    <w:multiLevelType w:val="multilevel"/>
    <w:tmpl w:val="615413D2"/>
    <w:lvl w:ilvl="0" w:tentative="0">
      <w:start w:val="1"/>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32">
    <w:nsid w:val="68C50813"/>
    <w:multiLevelType w:val="multilevel"/>
    <w:tmpl w:val="68C50813"/>
    <w:lvl w:ilvl="0" w:tentative="0">
      <w:start w:val="9"/>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33">
    <w:nsid w:val="6CEA2025"/>
    <w:multiLevelType w:val="multilevel"/>
    <w:tmpl w:val="6CEA2025"/>
    <w:lvl w:ilvl="0" w:tentative="0">
      <w:start w:val="1"/>
      <w:numFmt w:val="none"/>
      <w:pStyle w:val="70"/>
      <w:suff w:val="nothing"/>
      <w:lvlText w:val="%1"/>
      <w:lvlJc w:val="left"/>
      <w:pPr>
        <w:ind w:left="0" w:firstLine="0"/>
      </w:pPr>
      <w:rPr>
        <w:rFonts w:hint="default" w:ascii="Times New Roman" w:hAnsi="Times New Roman"/>
        <w:b/>
        <w:i w:val="0"/>
        <w:sz w:val="21"/>
      </w:rPr>
    </w:lvl>
    <w:lvl w:ilvl="1" w:tentative="0">
      <w:start w:val="1"/>
      <w:numFmt w:val="decimal"/>
      <w:pStyle w:val="73"/>
      <w:suff w:val="nothing"/>
      <w:lvlText w:val="%1%2　"/>
      <w:lvlJc w:val="left"/>
      <w:pPr>
        <w:ind w:left="180" w:firstLine="0"/>
      </w:pPr>
      <w:rPr>
        <w:rFonts w:hint="eastAsia" w:ascii="黑体" w:hAnsi="Times New Roman" w:eastAsia="黑体"/>
        <w:b/>
        <w:i w:val="0"/>
        <w:sz w:val="24"/>
        <w:szCs w:val="24"/>
      </w:rPr>
    </w:lvl>
    <w:lvl w:ilvl="2" w:tentative="0">
      <w:start w:val="1"/>
      <w:numFmt w:val="decimal"/>
      <w:pStyle w:val="79"/>
      <w:suff w:val="nothing"/>
      <w:lvlText w:val="%1%2.%3　"/>
      <w:lvlJc w:val="left"/>
      <w:pPr>
        <w:ind w:left="720" w:firstLine="0"/>
      </w:pPr>
      <w:rPr>
        <w:rFonts w:hint="eastAsia" w:ascii="黑体" w:hAnsi="Times New Roman" w:eastAsia="黑体"/>
        <w:b w:val="0"/>
        <w:i w:val="0"/>
        <w:sz w:val="21"/>
      </w:rPr>
    </w:lvl>
    <w:lvl w:ilvl="3" w:tentative="0">
      <w:start w:val="1"/>
      <w:numFmt w:val="decimal"/>
      <w:pStyle w:val="78"/>
      <w:suff w:val="nothing"/>
      <w:lvlText w:val="%1%2.4.%4　"/>
      <w:lvlJc w:val="left"/>
      <w:pPr>
        <w:ind w:left="420" w:firstLine="0"/>
      </w:pPr>
      <w:rPr>
        <w:rFonts w:hint="eastAsia" w:ascii="黑体" w:hAnsi="Times New Roman" w:eastAsia="黑体"/>
        <w:b w:val="0"/>
        <w:i w:val="0"/>
        <w:sz w:val="21"/>
      </w:rPr>
    </w:lvl>
    <w:lvl w:ilvl="4" w:tentative="0">
      <w:start w:val="1"/>
      <w:numFmt w:val="decimal"/>
      <w:pStyle w:val="85"/>
      <w:suff w:val="nothing"/>
      <w:lvlText w:val="5.%12.5.%5　"/>
      <w:lvlJc w:val="left"/>
      <w:pPr>
        <w:ind w:left="420" w:firstLine="0"/>
      </w:pPr>
      <w:rPr>
        <w:rFonts w:hint="eastAsia" w:ascii="黑体" w:hAnsi="Times New Roman" w:eastAsia="黑体"/>
        <w:b w:val="0"/>
        <w:i w:val="0"/>
        <w:sz w:val="21"/>
      </w:rPr>
    </w:lvl>
    <w:lvl w:ilvl="5" w:tentative="0">
      <w:start w:val="1"/>
      <w:numFmt w:val="decimal"/>
      <w:pStyle w:val="91"/>
      <w:suff w:val="nothing"/>
      <w:lvlText w:val="%1%2.%3.%4.%5.%6　"/>
      <w:lvlJc w:val="left"/>
      <w:pPr>
        <w:ind w:left="0" w:firstLine="0"/>
      </w:pPr>
      <w:rPr>
        <w:rFonts w:hint="eastAsia" w:ascii="黑体" w:hAnsi="Times New Roman" w:eastAsia="黑体"/>
        <w:b w:val="0"/>
        <w:i w:val="0"/>
        <w:sz w:val="21"/>
      </w:rPr>
    </w:lvl>
    <w:lvl w:ilvl="6" w:tentative="0">
      <w:start w:val="1"/>
      <w:numFmt w:val="decimal"/>
      <w:pStyle w:val="90"/>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34">
    <w:nsid w:val="6F113A89"/>
    <w:multiLevelType w:val="multilevel"/>
    <w:tmpl w:val="6F113A89"/>
    <w:lvl w:ilvl="0" w:tentative="0">
      <w:start w:val="16"/>
      <w:numFmt w:val="decimal"/>
      <w:lvlText w:val="%1"/>
      <w:lvlJc w:val="left"/>
      <w:pPr>
        <w:tabs>
          <w:tab w:val="left" w:pos="600"/>
        </w:tabs>
        <w:ind w:left="600" w:hanging="600"/>
      </w:pPr>
      <w:rPr>
        <w:rFonts w:hint="default"/>
      </w:rPr>
    </w:lvl>
    <w:lvl w:ilvl="1" w:tentative="0">
      <w:start w:val="1"/>
      <w:numFmt w:val="decimal"/>
      <w:lvlText w:val="%1.%2"/>
      <w:lvlJc w:val="left"/>
      <w:pPr>
        <w:tabs>
          <w:tab w:val="left" w:pos="600"/>
        </w:tabs>
        <w:ind w:left="600" w:hanging="600"/>
      </w:pPr>
      <w:rPr>
        <w:rFonts w:hint="default"/>
      </w:rPr>
    </w:lvl>
    <w:lvl w:ilvl="2" w:tentative="0">
      <w:start w:val="1"/>
      <w:numFmt w:val="decimal"/>
      <w:lvlText w:val="%1.%2.%3"/>
      <w:lvlJc w:val="left"/>
      <w:pPr>
        <w:tabs>
          <w:tab w:val="left" w:pos="600"/>
        </w:tabs>
        <w:ind w:left="600" w:hanging="600"/>
      </w:pPr>
      <w:rPr>
        <w:rFonts w:hint="default"/>
      </w:rPr>
    </w:lvl>
    <w:lvl w:ilvl="3" w:tentative="0">
      <w:start w:val="1"/>
      <w:numFmt w:val="decimal"/>
      <w:lvlText w:val="%1.%2.%3.%4"/>
      <w:lvlJc w:val="left"/>
      <w:pPr>
        <w:tabs>
          <w:tab w:val="left" w:pos="600"/>
        </w:tabs>
        <w:ind w:left="600" w:hanging="600"/>
      </w:pPr>
      <w:rPr>
        <w:rFonts w:hint="default"/>
      </w:rPr>
    </w:lvl>
    <w:lvl w:ilvl="4" w:tentative="0">
      <w:start w:val="1"/>
      <w:numFmt w:val="decimal"/>
      <w:lvlText w:val="%1.%2.%3.%4.%5"/>
      <w:lvlJc w:val="left"/>
      <w:pPr>
        <w:tabs>
          <w:tab w:val="left" w:pos="600"/>
        </w:tabs>
        <w:ind w:left="600" w:hanging="600"/>
      </w:pPr>
      <w:rPr>
        <w:rFonts w:hint="default"/>
      </w:rPr>
    </w:lvl>
    <w:lvl w:ilvl="5" w:tentative="0">
      <w:start w:val="1"/>
      <w:numFmt w:val="decimal"/>
      <w:lvlText w:val="%1.%2.%3.%4.%5.%6"/>
      <w:lvlJc w:val="left"/>
      <w:pPr>
        <w:tabs>
          <w:tab w:val="left" w:pos="600"/>
        </w:tabs>
        <w:ind w:left="600" w:hanging="600"/>
      </w:pPr>
      <w:rPr>
        <w:rFonts w:hint="default"/>
      </w:rPr>
    </w:lvl>
    <w:lvl w:ilvl="6" w:tentative="0">
      <w:start w:val="1"/>
      <w:numFmt w:val="decimal"/>
      <w:lvlText w:val="%1.%2.%3.%4.%5.%6.%7"/>
      <w:lvlJc w:val="left"/>
      <w:pPr>
        <w:tabs>
          <w:tab w:val="left" w:pos="600"/>
        </w:tabs>
        <w:ind w:left="600" w:hanging="600"/>
      </w:pPr>
      <w:rPr>
        <w:rFonts w:hint="default"/>
      </w:rPr>
    </w:lvl>
    <w:lvl w:ilvl="7" w:tentative="0">
      <w:start w:val="1"/>
      <w:numFmt w:val="decimal"/>
      <w:lvlText w:val="%1.%2.%3.%4.%5.%6.%7.%8"/>
      <w:lvlJc w:val="left"/>
      <w:pPr>
        <w:tabs>
          <w:tab w:val="left" w:pos="600"/>
        </w:tabs>
        <w:ind w:left="600" w:hanging="600"/>
      </w:pPr>
      <w:rPr>
        <w:rFonts w:hint="default"/>
      </w:rPr>
    </w:lvl>
    <w:lvl w:ilvl="8" w:tentative="0">
      <w:start w:val="1"/>
      <w:numFmt w:val="decimal"/>
      <w:lvlText w:val="%1.%2.%3.%4.%5.%6.%7.%8.%9"/>
      <w:lvlJc w:val="left"/>
      <w:pPr>
        <w:tabs>
          <w:tab w:val="left" w:pos="600"/>
        </w:tabs>
        <w:ind w:left="600" w:hanging="600"/>
      </w:pPr>
      <w:rPr>
        <w:rFonts w:hint="default"/>
      </w:rPr>
    </w:lvl>
  </w:abstractNum>
  <w:abstractNum w:abstractNumId="35">
    <w:nsid w:val="715F29F2"/>
    <w:multiLevelType w:val="multilevel"/>
    <w:tmpl w:val="715F29F2"/>
    <w:lvl w:ilvl="0" w:tentative="0">
      <w:start w:val="13"/>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36">
    <w:nsid w:val="76195D75"/>
    <w:multiLevelType w:val="multilevel"/>
    <w:tmpl w:val="76195D75"/>
    <w:lvl w:ilvl="0" w:tentative="0">
      <w:start w:val="28"/>
      <w:numFmt w:val="decimal"/>
      <w:lvlText w:val="%1、"/>
      <w:lvlJc w:val="left"/>
      <w:pPr>
        <w:ind w:left="465" w:hanging="465"/>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7">
    <w:nsid w:val="762D7317"/>
    <w:multiLevelType w:val="multilevel"/>
    <w:tmpl w:val="762D7317"/>
    <w:lvl w:ilvl="0" w:tentative="0">
      <w:start w:val="22"/>
      <w:numFmt w:val="decimal"/>
      <w:lvlText w:val="%1"/>
      <w:lvlJc w:val="left"/>
      <w:pPr>
        <w:tabs>
          <w:tab w:val="left" w:pos="480"/>
        </w:tabs>
        <w:ind w:left="480" w:hanging="480"/>
      </w:pPr>
      <w:rPr>
        <w:rFonts w:hint="default"/>
      </w:rPr>
    </w:lvl>
    <w:lvl w:ilvl="1" w:tentative="0">
      <w:start w:val="1"/>
      <w:numFmt w:val="decimal"/>
      <w:lvlText w:val="%1.%2"/>
      <w:lvlJc w:val="left"/>
      <w:pPr>
        <w:tabs>
          <w:tab w:val="left" w:pos="840"/>
        </w:tabs>
        <w:ind w:left="840" w:hanging="480"/>
      </w:pPr>
      <w:rPr>
        <w:rFonts w:hint="default"/>
        <w:b w:val="0"/>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38">
    <w:nsid w:val="7D1440D7"/>
    <w:multiLevelType w:val="multilevel"/>
    <w:tmpl w:val="7D1440D7"/>
    <w:lvl w:ilvl="0" w:tentative="0">
      <w:start w:val="1"/>
      <w:numFmt w:val="decimal"/>
      <w:lvlText w:val="%1）"/>
      <w:lvlJc w:val="left"/>
      <w:pPr>
        <w:tabs>
          <w:tab w:val="left" w:pos="2040"/>
        </w:tabs>
        <w:ind w:left="2040" w:hanging="360"/>
      </w:pPr>
      <w:rPr>
        <w:rFonts w:hint="default"/>
      </w:rPr>
    </w:lvl>
    <w:lvl w:ilvl="1" w:tentative="0">
      <w:start w:val="3"/>
      <w:numFmt w:val="japaneseCounting"/>
      <w:lvlText w:val="%2、"/>
      <w:lvlJc w:val="left"/>
      <w:pPr>
        <w:tabs>
          <w:tab w:val="left" w:pos="840"/>
        </w:tabs>
        <w:ind w:left="840" w:hanging="420"/>
      </w:pPr>
      <w:rPr>
        <w:rFonts w:hint="default"/>
      </w:rPr>
    </w:lvl>
    <w:lvl w:ilvl="2" w:tentative="0">
      <w:start w:val="1"/>
      <w:numFmt w:val="decimal"/>
      <w:lvlText w:val="%3."/>
      <w:lvlJc w:val="left"/>
      <w:pPr>
        <w:tabs>
          <w:tab w:val="left" w:pos="1200"/>
        </w:tabs>
        <w:ind w:left="1200" w:hanging="360"/>
      </w:pPr>
      <w:rPr>
        <w:rFonts w:hint="eastAsia" w:ascii="宋体" w:hAnsi="宋体" w:eastAsia="宋体" w:cs="Times New Roman"/>
      </w:rPr>
    </w:lvl>
    <w:lvl w:ilvl="3" w:tentative="0">
      <w:start w:val="1"/>
      <w:numFmt w:val="decimal"/>
      <w:lvlText w:val="%4、"/>
      <w:lvlJc w:val="left"/>
      <w:pPr>
        <w:tabs>
          <w:tab w:val="left" w:pos="1620"/>
        </w:tabs>
        <w:ind w:left="1620" w:hanging="360"/>
      </w:pPr>
      <w:rPr>
        <w:rFonts w:hint="default"/>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rPr>
        <w:b w:val="0"/>
        <w:sz w:val="21"/>
        <w:szCs w:val="21"/>
      </w:r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9">
    <w:nsid w:val="7F03740D"/>
    <w:multiLevelType w:val="multilevel"/>
    <w:tmpl w:val="7F03740D"/>
    <w:lvl w:ilvl="0" w:tentative="0">
      <w:start w:val="2"/>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40">
    <w:nsid w:val="7FC50114"/>
    <w:multiLevelType w:val="multilevel"/>
    <w:tmpl w:val="7FC50114"/>
    <w:lvl w:ilvl="0" w:tentative="0">
      <w:start w:val="3"/>
      <w:numFmt w:val="decimal"/>
      <w:lvlText w:val="%1"/>
      <w:lvlJc w:val="left"/>
      <w:pPr>
        <w:tabs>
          <w:tab w:val="left" w:pos="360"/>
        </w:tabs>
        <w:ind w:left="360" w:hanging="360"/>
      </w:pPr>
      <w:rPr>
        <w:rFonts w:hint="default" w:cs="宋体"/>
      </w:rPr>
    </w:lvl>
    <w:lvl w:ilvl="1" w:tentative="0">
      <w:start w:val="1"/>
      <w:numFmt w:val="decimal"/>
      <w:lvlText w:val="%1.%2"/>
      <w:lvlJc w:val="left"/>
      <w:pPr>
        <w:tabs>
          <w:tab w:val="left" w:pos="360"/>
        </w:tabs>
        <w:ind w:left="360" w:hanging="360"/>
      </w:pPr>
      <w:rPr>
        <w:rFonts w:hint="default" w:cs="宋体"/>
      </w:rPr>
    </w:lvl>
    <w:lvl w:ilvl="2" w:tentative="0">
      <w:start w:val="1"/>
      <w:numFmt w:val="decimal"/>
      <w:lvlText w:val="%1.%2.%3"/>
      <w:lvlJc w:val="left"/>
      <w:pPr>
        <w:tabs>
          <w:tab w:val="left" w:pos="720"/>
        </w:tabs>
        <w:ind w:left="720" w:hanging="720"/>
      </w:pPr>
      <w:rPr>
        <w:rFonts w:hint="default" w:cs="宋体"/>
      </w:rPr>
    </w:lvl>
    <w:lvl w:ilvl="3" w:tentative="0">
      <w:start w:val="1"/>
      <w:numFmt w:val="decimal"/>
      <w:lvlText w:val="%1.%2.%3.%4"/>
      <w:lvlJc w:val="left"/>
      <w:pPr>
        <w:tabs>
          <w:tab w:val="left" w:pos="1080"/>
        </w:tabs>
        <w:ind w:left="1080" w:hanging="1080"/>
      </w:pPr>
      <w:rPr>
        <w:rFonts w:hint="default" w:cs="宋体"/>
      </w:rPr>
    </w:lvl>
    <w:lvl w:ilvl="4" w:tentative="0">
      <w:start w:val="1"/>
      <w:numFmt w:val="decimal"/>
      <w:lvlText w:val="%1.%2.%3.%4.%5"/>
      <w:lvlJc w:val="left"/>
      <w:pPr>
        <w:tabs>
          <w:tab w:val="left" w:pos="1080"/>
        </w:tabs>
        <w:ind w:left="1080" w:hanging="1080"/>
      </w:pPr>
      <w:rPr>
        <w:rFonts w:hint="default" w:cs="宋体"/>
      </w:rPr>
    </w:lvl>
    <w:lvl w:ilvl="5" w:tentative="0">
      <w:start w:val="1"/>
      <w:numFmt w:val="decimal"/>
      <w:lvlText w:val="%1.%2.%3.%4.%5.%6"/>
      <w:lvlJc w:val="left"/>
      <w:pPr>
        <w:tabs>
          <w:tab w:val="left" w:pos="1440"/>
        </w:tabs>
        <w:ind w:left="1440" w:hanging="1440"/>
      </w:pPr>
      <w:rPr>
        <w:rFonts w:hint="default" w:cs="宋体"/>
      </w:rPr>
    </w:lvl>
    <w:lvl w:ilvl="6" w:tentative="0">
      <w:start w:val="1"/>
      <w:numFmt w:val="decimal"/>
      <w:lvlText w:val="%1.%2.%3.%4.%5.%6.%7"/>
      <w:lvlJc w:val="left"/>
      <w:pPr>
        <w:tabs>
          <w:tab w:val="left" w:pos="1440"/>
        </w:tabs>
        <w:ind w:left="1440" w:hanging="1440"/>
      </w:pPr>
      <w:rPr>
        <w:rFonts w:hint="default" w:cs="宋体"/>
      </w:rPr>
    </w:lvl>
    <w:lvl w:ilvl="7" w:tentative="0">
      <w:start w:val="1"/>
      <w:numFmt w:val="decimal"/>
      <w:lvlText w:val="%1.%2.%3.%4.%5.%6.%7.%8"/>
      <w:lvlJc w:val="left"/>
      <w:pPr>
        <w:tabs>
          <w:tab w:val="left" w:pos="1800"/>
        </w:tabs>
        <w:ind w:left="1800" w:hanging="1800"/>
      </w:pPr>
      <w:rPr>
        <w:rFonts w:hint="default" w:cs="宋体"/>
      </w:rPr>
    </w:lvl>
    <w:lvl w:ilvl="8" w:tentative="0">
      <w:start w:val="1"/>
      <w:numFmt w:val="decimal"/>
      <w:lvlText w:val="%1.%2.%3.%4.%5.%6.%7.%8.%9"/>
      <w:lvlJc w:val="left"/>
      <w:pPr>
        <w:tabs>
          <w:tab w:val="left" w:pos="1800"/>
        </w:tabs>
        <w:ind w:left="1800" w:hanging="1800"/>
      </w:pPr>
      <w:rPr>
        <w:rFonts w:hint="default" w:cs="宋体"/>
      </w:rPr>
    </w:lvl>
  </w:abstractNum>
  <w:num w:numId="1">
    <w:abstractNumId w:val="33"/>
  </w:num>
  <w:num w:numId="2">
    <w:abstractNumId w:val="8"/>
  </w:num>
  <w:num w:numId="3">
    <w:abstractNumId w:val="15"/>
  </w:num>
  <w:num w:numId="4">
    <w:abstractNumId w:val="24"/>
  </w:num>
  <w:num w:numId="5">
    <w:abstractNumId w:val="10"/>
  </w:num>
  <w:num w:numId="6">
    <w:abstractNumId w:val="6"/>
  </w:num>
  <w:num w:numId="7">
    <w:abstractNumId w:val="11"/>
  </w:num>
  <w:num w:numId="8">
    <w:abstractNumId w:val="29"/>
  </w:num>
  <w:num w:numId="9">
    <w:abstractNumId w:val="39"/>
  </w:num>
  <w:num w:numId="10">
    <w:abstractNumId w:val="40"/>
  </w:num>
  <w:num w:numId="11">
    <w:abstractNumId w:val="23"/>
  </w:num>
  <w:num w:numId="12">
    <w:abstractNumId w:val="26"/>
  </w:num>
  <w:num w:numId="13">
    <w:abstractNumId w:val="28"/>
  </w:num>
  <w:num w:numId="14">
    <w:abstractNumId w:val="30"/>
  </w:num>
  <w:num w:numId="15">
    <w:abstractNumId w:val="1"/>
  </w:num>
  <w:num w:numId="16">
    <w:abstractNumId w:val="32"/>
  </w:num>
  <w:num w:numId="17">
    <w:abstractNumId w:val="3"/>
  </w:num>
  <w:num w:numId="18">
    <w:abstractNumId w:val="21"/>
  </w:num>
  <w:num w:numId="19">
    <w:abstractNumId w:val="17"/>
  </w:num>
  <w:num w:numId="20">
    <w:abstractNumId w:val="35"/>
  </w:num>
  <w:num w:numId="21">
    <w:abstractNumId w:val="9"/>
  </w:num>
  <w:num w:numId="22">
    <w:abstractNumId w:val="22"/>
  </w:num>
  <w:num w:numId="23">
    <w:abstractNumId w:val="5"/>
  </w:num>
  <w:num w:numId="24">
    <w:abstractNumId w:val="34"/>
  </w:num>
  <w:num w:numId="25">
    <w:abstractNumId w:val="38"/>
  </w:num>
  <w:num w:numId="26">
    <w:abstractNumId w:val="25"/>
  </w:num>
  <w:num w:numId="27">
    <w:abstractNumId w:val="19"/>
  </w:num>
  <w:num w:numId="28">
    <w:abstractNumId w:val="7"/>
  </w:num>
  <w:num w:numId="29">
    <w:abstractNumId w:val="16"/>
  </w:num>
  <w:num w:numId="30">
    <w:abstractNumId w:val="37"/>
  </w:num>
  <w:num w:numId="31">
    <w:abstractNumId w:val="20"/>
  </w:num>
  <w:num w:numId="32">
    <w:abstractNumId w:val="12"/>
  </w:num>
  <w:num w:numId="33">
    <w:abstractNumId w:val="36"/>
  </w:num>
  <w:num w:numId="34">
    <w:abstractNumId w:val="31"/>
  </w:num>
  <w:num w:numId="35">
    <w:abstractNumId w:val="13"/>
  </w:num>
  <w:num w:numId="36">
    <w:abstractNumId w:val="27"/>
  </w:num>
  <w:num w:numId="37">
    <w:abstractNumId w:val="0"/>
  </w:num>
  <w:num w:numId="38">
    <w:abstractNumId w:val="14"/>
  </w:num>
  <w:num w:numId="39">
    <w:abstractNumId w:val="18"/>
  </w:num>
  <w:num w:numId="40">
    <w:abstractNumId w:val="4"/>
  </w:num>
  <w:num w:numId="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documentProtection w:enforcement="0"/>
  <w:defaultTabStop w:val="420"/>
  <w:drawingGridHorizontalSpacing w:val="105"/>
  <w:drawingGridVerticalSpacing w:val="156"/>
  <w:noPunctuationKerning w:val="1"/>
  <w:characterSpacingControl w:val="compressPunctuation"/>
  <w:doNotValidateAgainstSchema/>
  <w:doNotDemarcateInvalidXml/>
  <w:hdrShapeDefaults>
    <o:shapelayout v:ext="edit">
      <o:idmap v:ext="edit" data="2"/>
    </o:shapelayout>
  </w:hdrShapeDefaults>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E4N2M1ZTgyYTVmMTM3ZTYyMzBkOTkxNDIwNDViMWMifQ=="/>
  </w:docVars>
  <w:rsids>
    <w:rsidRoot w:val="00D01E68"/>
    <w:rsid w:val="000033B9"/>
    <w:rsid w:val="00003610"/>
    <w:rsid w:val="000047AE"/>
    <w:rsid w:val="00004A24"/>
    <w:rsid w:val="00004EFB"/>
    <w:rsid w:val="00007E56"/>
    <w:rsid w:val="0001587C"/>
    <w:rsid w:val="00015F4D"/>
    <w:rsid w:val="000215F4"/>
    <w:rsid w:val="00022666"/>
    <w:rsid w:val="00023392"/>
    <w:rsid w:val="000239A8"/>
    <w:rsid w:val="00024103"/>
    <w:rsid w:val="000253AD"/>
    <w:rsid w:val="0002669A"/>
    <w:rsid w:val="00026C24"/>
    <w:rsid w:val="00027066"/>
    <w:rsid w:val="0003059B"/>
    <w:rsid w:val="0003259A"/>
    <w:rsid w:val="0003403B"/>
    <w:rsid w:val="00034188"/>
    <w:rsid w:val="00034401"/>
    <w:rsid w:val="00034C37"/>
    <w:rsid w:val="00034DD0"/>
    <w:rsid w:val="00036612"/>
    <w:rsid w:val="00040CD1"/>
    <w:rsid w:val="00041FF2"/>
    <w:rsid w:val="00042CEE"/>
    <w:rsid w:val="00042D58"/>
    <w:rsid w:val="00043B68"/>
    <w:rsid w:val="00044766"/>
    <w:rsid w:val="00045299"/>
    <w:rsid w:val="00047217"/>
    <w:rsid w:val="00051932"/>
    <w:rsid w:val="00052BAD"/>
    <w:rsid w:val="00054956"/>
    <w:rsid w:val="000601EB"/>
    <w:rsid w:val="00060505"/>
    <w:rsid w:val="00061770"/>
    <w:rsid w:val="000637D5"/>
    <w:rsid w:val="00064234"/>
    <w:rsid w:val="00064EC5"/>
    <w:rsid w:val="00065B60"/>
    <w:rsid w:val="00066D4A"/>
    <w:rsid w:val="0006772A"/>
    <w:rsid w:val="0007168B"/>
    <w:rsid w:val="00073173"/>
    <w:rsid w:val="000738DC"/>
    <w:rsid w:val="000740E4"/>
    <w:rsid w:val="0007591B"/>
    <w:rsid w:val="000764B9"/>
    <w:rsid w:val="000808FD"/>
    <w:rsid w:val="00083858"/>
    <w:rsid w:val="00084E33"/>
    <w:rsid w:val="0008685D"/>
    <w:rsid w:val="000874D5"/>
    <w:rsid w:val="0008753B"/>
    <w:rsid w:val="000879E8"/>
    <w:rsid w:val="00087F0E"/>
    <w:rsid w:val="00090BB0"/>
    <w:rsid w:val="000927C7"/>
    <w:rsid w:val="000935C0"/>
    <w:rsid w:val="0009702B"/>
    <w:rsid w:val="00097DC4"/>
    <w:rsid w:val="000A08A5"/>
    <w:rsid w:val="000A1233"/>
    <w:rsid w:val="000A20A7"/>
    <w:rsid w:val="000A3F65"/>
    <w:rsid w:val="000A4BE4"/>
    <w:rsid w:val="000A50F6"/>
    <w:rsid w:val="000A54F4"/>
    <w:rsid w:val="000A6C98"/>
    <w:rsid w:val="000A779C"/>
    <w:rsid w:val="000B0404"/>
    <w:rsid w:val="000B0E4B"/>
    <w:rsid w:val="000B1147"/>
    <w:rsid w:val="000B1258"/>
    <w:rsid w:val="000B1404"/>
    <w:rsid w:val="000B25DE"/>
    <w:rsid w:val="000B27B8"/>
    <w:rsid w:val="000B3274"/>
    <w:rsid w:val="000B4D1A"/>
    <w:rsid w:val="000B6702"/>
    <w:rsid w:val="000C005A"/>
    <w:rsid w:val="000C114A"/>
    <w:rsid w:val="000C2471"/>
    <w:rsid w:val="000C3488"/>
    <w:rsid w:val="000C3DA3"/>
    <w:rsid w:val="000C420C"/>
    <w:rsid w:val="000C6D16"/>
    <w:rsid w:val="000C7ACA"/>
    <w:rsid w:val="000D017D"/>
    <w:rsid w:val="000D0DD2"/>
    <w:rsid w:val="000D3FD9"/>
    <w:rsid w:val="000D680D"/>
    <w:rsid w:val="000D75EB"/>
    <w:rsid w:val="000E044D"/>
    <w:rsid w:val="000E1552"/>
    <w:rsid w:val="000E1D32"/>
    <w:rsid w:val="000E2E3B"/>
    <w:rsid w:val="000E4823"/>
    <w:rsid w:val="000F09C3"/>
    <w:rsid w:val="000F25D9"/>
    <w:rsid w:val="000F2A59"/>
    <w:rsid w:val="000F661F"/>
    <w:rsid w:val="00100A0F"/>
    <w:rsid w:val="00101897"/>
    <w:rsid w:val="001025BD"/>
    <w:rsid w:val="00102981"/>
    <w:rsid w:val="00102DF0"/>
    <w:rsid w:val="00104978"/>
    <w:rsid w:val="001074B3"/>
    <w:rsid w:val="0010789F"/>
    <w:rsid w:val="001141C4"/>
    <w:rsid w:val="00114D60"/>
    <w:rsid w:val="001163B1"/>
    <w:rsid w:val="00116C7E"/>
    <w:rsid w:val="00124AA6"/>
    <w:rsid w:val="00125943"/>
    <w:rsid w:val="00127C5B"/>
    <w:rsid w:val="00134B30"/>
    <w:rsid w:val="00134FD7"/>
    <w:rsid w:val="0013620B"/>
    <w:rsid w:val="001408A8"/>
    <w:rsid w:val="00142545"/>
    <w:rsid w:val="0014282F"/>
    <w:rsid w:val="0014397E"/>
    <w:rsid w:val="00145432"/>
    <w:rsid w:val="001478B2"/>
    <w:rsid w:val="00150976"/>
    <w:rsid w:val="00150BBE"/>
    <w:rsid w:val="00150C35"/>
    <w:rsid w:val="00151409"/>
    <w:rsid w:val="00151CA6"/>
    <w:rsid w:val="00152FC8"/>
    <w:rsid w:val="00155948"/>
    <w:rsid w:val="001627D3"/>
    <w:rsid w:val="00162FE0"/>
    <w:rsid w:val="0016373B"/>
    <w:rsid w:val="00170342"/>
    <w:rsid w:val="00172C43"/>
    <w:rsid w:val="00173A77"/>
    <w:rsid w:val="0017427A"/>
    <w:rsid w:val="001744CA"/>
    <w:rsid w:val="001749AF"/>
    <w:rsid w:val="00175CFD"/>
    <w:rsid w:val="00175F5F"/>
    <w:rsid w:val="001777D8"/>
    <w:rsid w:val="0018039E"/>
    <w:rsid w:val="00181D66"/>
    <w:rsid w:val="00181E47"/>
    <w:rsid w:val="001839B5"/>
    <w:rsid w:val="00185050"/>
    <w:rsid w:val="00185F86"/>
    <w:rsid w:val="00186CF1"/>
    <w:rsid w:val="00187F0E"/>
    <w:rsid w:val="00191399"/>
    <w:rsid w:val="00192611"/>
    <w:rsid w:val="001930D2"/>
    <w:rsid w:val="00194A27"/>
    <w:rsid w:val="00197EF1"/>
    <w:rsid w:val="001A02ED"/>
    <w:rsid w:val="001A1937"/>
    <w:rsid w:val="001A263A"/>
    <w:rsid w:val="001A2EB5"/>
    <w:rsid w:val="001A36FE"/>
    <w:rsid w:val="001A3E2E"/>
    <w:rsid w:val="001A4886"/>
    <w:rsid w:val="001A4FEF"/>
    <w:rsid w:val="001B0296"/>
    <w:rsid w:val="001B07C7"/>
    <w:rsid w:val="001B07DE"/>
    <w:rsid w:val="001B1154"/>
    <w:rsid w:val="001B20B0"/>
    <w:rsid w:val="001B727F"/>
    <w:rsid w:val="001B78A1"/>
    <w:rsid w:val="001C1736"/>
    <w:rsid w:val="001C1DA4"/>
    <w:rsid w:val="001C33E7"/>
    <w:rsid w:val="001C3B5D"/>
    <w:rsid w:val="001C4413"/>
    <w:rsid w:val="001C5A5B"/>
    <w:rsid w:val="001C6428"/>
    <w:rsid w:val="001C6B84"/>
    <w:rsid w:val="001D4194"/>
    <w:rsid w:val="001D4319"/>
    <w:rsid w:val="001D572B"/>
    <w:rsid w:val="001D7585"/>
    <w:rsid w:val="001E0C05"/>
    <w:rsid w:val="001E3837"/>
    <w:rsid w:val="001E3E08"/>
    <w:rsid w:val="001E3F69"/>
    <w:rsid w:val="001E56C2"/>
    <w:rsid w:val="001E63BF"/>
    <w:rsid w:val="001E744E"/>
    <w:rsid w:val="001F0E30"/>
    <w:rsid w:val="001F0E43"/>
    <w:rsid w:val="001F15DC"/>
    <w:rsid w:val="001F4124"/>
    <w:rsid w:val="001F44D4"/>
    <w:rsid w:val="001F6F7C"/>
    <w:rsid w:val="00202287"/>
    <w:rsid w:val="00203024"/>
    <w:rsid w:val="00204550"/>
    <w:rsid w:val="00205017"/>
    <w:rsid w:val="00205438"/>
    <w:rsid w:val="002062AF"/>
    <w:rsid w:val="002063F0"/>
    <w:rsid w:val="00207D04"/>
    <w:rsid w:val="00207DD9"/>
    <w:rsid w:val="00211F1C"/>
    <w:rsid w:val="00213D50"/>
    <w:rsid w:val="00220C09"/>
    <w:rsid w:val="00225358"/>
    <w:rsid w:val="002261E6"/>
    <w:rsid w:val="00226C86"/>
    <w:rsid w:val="00226DC3"/>
    <w:rsid w:val="00227ED9"/>
    <w:rsid w:val="00230501"/>
    <w:rsid w:val="002339D1"/>
    <w:rsid w:val="00233ACA"/>
    <w:rsid w:val="00235704"/>
    <w:rsid w:val="002359B0"/>
    <w:rsid w:val="00235C97"/>
    <w:rsid w:val="00235F58"/>
    <w:rsid w:val="00235F62"/>
    <w:rsid w:val="00240060"/>
    <w:rsid w:val="00243A8A"/>
    <w:rsid w:val="00247965"/>
    <w:rsid w:val="002509F0"/>
    <w:rsid w:val="00251B5C"/>
    <w:rsid w:val="002530F4"/>
    <w:rsid w:val="00253653"/>
    <w:rsid w:val="00253BAC"/>
    <w:rsid w:val="0025542B"/>
    <w:rsid w:val="0025626F"/>
    <w:rsid w:val="00256A91"/>
    <w:rsid w:val="002603F9"/>
    <w:rsid w:val="002623C9"/>
    <w:rsid w:val="0026428F"/>
    <w:rsid w:val="002646B0"/>
    <w:rsid w:val="00265C3F"/>
    <w:rsid w:val="00267586"/>
    <w:rsid w:val="00267DB6"/>
    <w:rsid w:val="00270533"/>
    <w:rsid w:val="00271F95"/>
    <w:rsid w:val="002729C3"/>
    <w:rsid w:val="00273196"/>
    <w:rsid w:val="0027335E"/>
    <w:rsid w:val="002739FC"/>
    <w:rsid w:val="00273FBB"/>
    <w:rsid w:val="0027522F"/>
    <w:rsid w:val="002759DC"/>
    <w:rsid w:val="00277BCA"/>
    <w:rsid w:val="00280409"/>
    <w:rsid w:val="00281E10"/>
    <w:rsid w:val="002852EB"/>
    <w:rsid w:val="002861D3"/>
    <w:rsid w:val="00287848"/>
    <w:rsid w:val="00290E4C"/>
    <w:rsid w:val="00293D8B"/>
    <w:rsid w:val="002942BF"/>
    <w:rsid w:val="0029782F"/>
    <w:rsid w:val="0029786C"/>
    <w:rsid w:val="002A2523"/>
    <w:rsid w:val="002A4287"/>
    <w:rsid w:val="002A4B44"/>
    <w:rsid w:val="002A5FE4"/>
    <w:rsid w:val="002A6048"/>
    <w:rsid w:val="002A6253"/>
    <w:rsid w:val="002A62EA"/>
    <w:rsid w:val="002A647B"/>
    <w:rsid w:val="002A64F2"/>
    <w:rsid w:val="002A7BA2"/>
    <w:rsid w:val="002B18B4"/>
    <w:rsid w:val="002B1B84"/>
    <w:rsid w:val="002B1F08"/>
    <w:rsid w:val="002B2E16"/>
    <w:rsid w:val="002B4AA4"/>
    <w:rsid w:val="002B4E54"/>
    <w:rsid w:val="002B58F7"/>
    <w:rsid w:val="002C151B"/>
    <w:rsid w:val="002C1964"/>
    <w:rsid w:val="002C2691"/>
    <w:rsid w:val="002C2825"/>
    <w:rsid w:val="002C41E4"/>
    <w:rsid w:val="002C461D"/>
    <w:rsid w:val="002C4CD2"/>
    <w:rsid w:val="002C5671"/>
    <w:rsid w:val="002C57F2"/>
    <w:rsid w:val="002C62DA"/>
    <w:rsid w:val="002D08C7"/>
    <w:rsid w:val="002D44D6"/>
    <w:rsid w:val="002D4D2D"/>
    <w:rsid w:val="002D682B"/>
    <w:rsid w:val="002D78B4"/>
    <w:rsid w:val="002D79E1"/>
    <w:rsid w:val="002E034F"/>
    <w:rsid w:val="002E03D7"/>
    <w:rsid w:val="002E3B90"/>
    <w:rsid w:val="002E4461"/>
    <w:rsid w:val="002E5B25"/>
    <w:rsid w:val="002E621E"/>
    <w:rsid w:val="002E6941"/>
    <w:rsid w:val="002E7568"/>
    <w:rsid w:val="002E7BCB"/>
    <w:rsid w:val="002F04D7"/>
    <w:rsid w:val="002F4524"/>
    <w:rsid w:val="002F4F9A"/>
    <w:rsid w:val="00300A17"/>
    <w:rsid w:val="00300DE8"/>
    <w:rsid w:val="00301075"/>
    <w:rsid w:val="00303733"/>
    <w:rsid w:val="00304C84"/>
    <w:rsid w:val="00306010"/>
    <w:rsid w:val="003072A8"/>
    <w:rsid w:val="00307CF7"/>
    <w:rsid w:val="00310E92"/>
    <w:rsid w:val="00311692"/>
    <w:rsid w:val="0031173B"/>
    <w:rsid w:val="00311C3E"/>
    <w:rsid w:val="003120D8"/>
    <w:rsid w:val="00312B4A"/>
    <w:rsid w:val="003219E3"/>
    <w:rsid w:val="00323623"/>
    <w:rsid w:val="00326087"/>
    <w:rsid w:val="0032719C"/>
    <w:rsid w:val="003278E1"/>
    <w:rsid w:val="00330A2D"/>
    <w:rsid w:val="00330B2E"/>
    <w:rsid w:val="00330B59"/>
    <w:rsid w:val="003328A4"/>
    <w:rsid w:val="00332C49"/>
    <w:rsid w:val="00333FA6"/>
    <w:rsid w:val="00335AF3"/>
    <w:rsid w:val="00337E74"/>
    <w:rsid w:val="00340003"/>
    <w:rsid w:val="00340409"/>
    <w:rsid w:val="00341769"/>
    <w:rsid w:val="00342802"/>
    <w:rsid w:val="003433E3"/>
    <w:rsid w:val="00343E09"/>
    <w:rsid w:val="003441DC"/>
    <w:rsid w:val="003469C4"/>
    <w:rsid w:val="00346C9E"/>
    <w:rsid w:val="0034708C"/>
    <w:rsid w:val="0035254D"/>
    <w:rsid w:val="003531A5"/>
    <w:rsid w:val="0035442F"/>
    <w:rsid w:val="003544F2"/>
    <w:rsid w:val="00360437"/>
    <w:rsid w:val="003614ED"/>
    <w:rsid w:val="0036151C"/>
    <w:rsid w:val="003636FC"/>
    <w:rsid w:val="00363B0E"/>
    <w:rsid w:val="0036524C"/>
    <w:rsid w:val="00365CE5"/>
    <w:rsid w:val="00366A63"/>
    <w:rsid w:val="00371F39"/>
    <w:rsid w:val="00371F92"/>
    <w:rsid w:val="00374C54"/>
    <w:rsid w:val="00377473"/>
    <w:rsid w:val="0037775F"/>
    <w:rsid w:val="003804FB"/>
    <w:rsid w:val="00382FC0"/>
    <w:rsid w:val="00383978"/>
    <w:rsid w:val="00384AB1"/>
    <w:rsid w:val="00385E6D"/>
    <w:rsid w:val="003861E9"/>
    <w:rsid w:val="003911FB"/>
    <w:rsid w:val="00392E5E"/>
    <w:rsid w:val="003939DC"/>
    <w:rsid w:val="00395273"/>
    <w:rsid w:val="0039777F"/>
    <w:rsid w:val="003A0645"/>
    <w:rsid w:val="003A0D8F"/>
    <w:rsid w:val="003A345A"/>
    <w:rsid w:val="003A3569"/>
    <w:rsid w:val="003A3BED"/>
    <w:rsid w:val="003A40C4"/>
    <w:rsid w:val="003A53FA"/>
    <w:rsid w:val="003A6DDF"/>
    <w:rsid w:val="003B229A"/>
    <w:rsid w:val="003B2550"/>
    <w:rsid w:val="003B2851"/>
    <w:rsid w:val="003B2E90"/>
    <w:rsid w:val="003B3303"/>
    <w:rsid w:val="003C0602"/>
    <w:rsid w:val="003C09A4"/>
    <w:rsid w:val="003C25C8"/>
    <w:rsid w:val="003C26BA"/>
    <w:rsid w:val="003C347E"/>
    <w:rsid w:val="003C40BC"/>
    <w:rsid w:val="003D2108"/>
    <w:rsid w:val="003D3DE1"/>
    <w:rsid w:val="003D43F4"/>
    <w:rsid w:val="003D4CCD"/>
    <w:rsid w:val="003E1DFB"/>
    <w:rsid w:val="003E3023"/>
    <w:rsid w:val="003E434A"/>
    <w:rsid w:val="003E5FD1"/>
    <w:rsid w:val="003F2162"/>
    <w:rsid w:val="003F2483"/>
    <w:rsid w:val="003F5780"/>
    <w:rsid w:val="003F5C2F"/>
    <w:rsid w:val="003F61E2"/>
    <w:rsid w:val="003F6EBF"/>
    <w:rsid w:val="0040035B"/>
    <w:rsid w:val="00400767"/>
    <w:rsid w:val="00400FF3"/>
    <w:rsid w:val="00401592"/>
    <w:rsid w:val="00401B39"/>
    <w:rsid w:val="00401F8D"/>
    <w:rsid w:val="00403EBE"/>
    <w:rsid w:val="00403EC7"/>
    <w:rsid w:val="00404737"/>
    <w:rsid w:val="00404AC0"/>
    <w:rsid w:val="0040715A"/>
    <w:rsid w:val="0041082C"/>
    <w:rsid w:val="00412EE9"/>
    <w:rsid w:val="00413598"/>
    <w:rsid w:val="00414D62"/>
    <w:rsid w:val="004151E7"/>
    <w:rsid w:val="0041672A"/>
    <w:rsid w:val="004168C6"/>
    <w:rsid w:val="00421282"/>
    <w:rsid w:val="004212E6"/>
    <w:rsid w:val="00421300"/>
    <w:rsid w:val="004225F2"/>
    <w:rsid w:val="00423062"/>
    <w:rsid w:val="00425599"/>
    <w:rsid w:val="00426AE9"/>
    <w:rsid w:val="004317F4"/>
    <w:rsid w:val="00431F70"/>
    <w:rsid w:val="004330C5"/>
    <w:rsid w:val="00435FDF"/>
    <w:rsid w:val="004417F5"/>
    <w:rsid w:val="00441812"/>
    <w:rsid w:val="00444B91"/>
    <w:rsid w:val="00444D72"/>
    <w:rsid w:val="00450A56"/>
    <w:rsid w:val="004529FE"/>
    <w:rsid w:val="00453191"/>
    <w:rsid w:val="004536D3"/>
    <w:rsid w:val="00454F59"/>
    <w:rsid w:val="004574D4"/>
    <w:rsid w:val="00460CF7"/>
    <w:rsid w:val="00462FA9"/>
    <w:rsid w:val="0046424E"/>
    <w:rsid w:val="004650B1"/>
    <w:rsid w:val="004654A9"/>
    <w:rsid w:val="00466CD9"/>
    <w:rsid w:val="00470049"/>
    <w:rsid w:val="00471C4F"/>
    <w:rsid w:val="00473C97"/>
    <w:rsid w:val="00474CAA"/>
    <w:rsid w:val="00475D91"/>
    <w:rsid w:val="00476316"/>
    <w:rsid w:val="004813F2"/>
    <w:rsid w:val="004840EA"/>
    <w:rsid w:val="004866AA"/>
    <w:rsid w:val="004877AD"/>
    <w:rsid w:val="00487B13"/>
    <w:rsid w:val="00487CDF"/>
    <w:rsid w:val="0049128D"/>
    <w:rsid w:val="00491BD8"/>
    <w:rsid w:val="0049242C"/>
    <w:rsid w:val="00492661"/>
    <w:rsid w:val="00494B84"/>
    <w:rsid w:val="00495B23"/>
    <w:rsid w:val="004962D7"/>
    <w:rsid w:val="00497E9A"/>
    <w:rsid w:val="004A07F3"/>
    <w:rsid w:val="004A0A22"/>
    <w:rsid w:val="004A23AB"/>
    <w:rsid w:val="004A26B9"/>
    <w:rsid w:val="004A3BF6"/>
    <w:rsid w:val="004A3EC8"/>
    <w:rsid w:val="004A4250"/>
    <w:rsid w:val="004A4EB1"/>
    <w:rsid w:val="004A51E7"/>
    <w:rsid w:val="004A5714"/>
    <w:rsid w:val="004A583E"/>
    <w:rsid w:val="004A7813"/>
    <w:rsid w:val="004A7E77"/>
    <w:rsid w:val="004B1E35"/>
    <w:rsid w:val="004B3A16"/>
    <w:rsid w:val="004B3E63"/>
    <w:rsid w:val="004B4034"/>
    <w:rsid w:val="004B43E3"/>
    <w:rsid w:val="004B5BE2"/>
    <w:rsid w:val="004B673B"/>
    <w:rsid w:val="004B69BD"/>
    <w:rsid w:val="004B6BF2"/>
    <w:rsid w:val="004B7C76"/>
    <w:rsid w:val="004C01B4"/>
    <w:rsid w:val="004C36E8"/>
    <w:rsid w:val="004C3992"/>
    <w:rsid w:val="004C5ABD"/>
    <w:rsid w:val="004C7CF4"/>
    <w:rsid w:val="004D2C5A"/>
    <w:rsid w:val="004D3E0A"/>
    <w:rsid w:val="004D4E37"/>
    <w:rsid w:val="004D64B3"/>
    <w:rsid w:val="004D667C"/>
    <w:rsid w:val="004D674E"/>
    <w:rsid w:val="004D7E2E"/>
    <w:rsid w:val="004E0CE5"/>
    <w:rsid w:val="004E1FCE"/>
    <w:rsid w:val="004E5B0B"/>
    <w:rsid w:val="004E68F9"/>
    <w:rsid w:val="004F1700"/>
    <w:rsid w:val="004F1836"/>
    <w:rsid w:val="004F1C14"/>
    <w:rsid w:val="004F3520"/>
    <w:rsid w:val="004F463B"/>
    <w:rsid w:val="004F4AE7"/>
    <w:rsid w:val="004F4ED7"/>
    <w:rsid w:val="004F5FEC"/>
    <w:rsid w:val="004F62B8"/>
    <w:rsid w:val="0050076B"/>
    <w:rsid w:val="00502D31"/>
    <w:rsid w:val="00502FE2"/>
    <w:rsid w:val="00503A40"/>
    <w:rsid w:val="00503DBA"/>
    <w:rsid w:val="00504F72"/>
    <w:rsid w:val="00506AFD"/>
    <w:rsid w:val="00510CC0"/>
    <w:rsid w:val="00512066"/>
    <w:rsid w:val="00512E41"/>
    <w:rsid w:val="00513F7B"/>
    <w:rsid w:val="00514311"/>
    <w:rsid w:val="005149E1"/>
    <w:rsid w:val="00521C3F"/>
    <w:rsid w:val="00523722"/>
    <w:rsid w:val="00525EA0"/>
    <w:rsid w:val="0052675A"/>
    <w:rsid w:val="00530AC1"/>
    <w:rsid w:val="00530AEB"/>
    <w:rsid w:val="00531BAA"/>
    <w:rsid w:val="0053207C"/>
    <w:rsid w:val="00534A40"/>
    <w:rsid w:val="00535705"/>
    <w:rsid w:val="005366C2"/>
    <w:rsid w:val="00536974"/>
    <w:rsid w:val="00536F3D"/>
    <w:rsid w:val="00543F14"/>
    <w:rsid w:val="005522F1"/>
    <w:rsid w:val="005535DE"/>
    <w:rsid w:val="005538A7"/>
    <w:rsid w:val="0055465D"/>
    <w:rsid w:val="00554B6C"/>
    <w:rsid w:val="00554CD6"/>
    <w:rsid w:val="00555455"/>
    <w:rsid w:val="00555470"/>
    <w:rsid w:val="0055601F"/>
    <w:rsid w:val="00557813"/>
    <w:rsid w:val="00561D16"/>
    <w:rsid w:val="00564205"/>
    <w:rsid w:val="00567C36"/>
    <w:rsid w:val="00567F98"/>
    <w:rsid w:val="00570148"/>
    <w:rsid w:val="00570D42"/>
    <w:rsid w:val="00571337"/>
    <w:rsid w:val="00572087"/>
    <w:rsid w:val="00572729"/>
    <w:rsid w:val="00572851"/>
    <w:rsid w:val="00572CBA"/>
    <w:rsid w:val="00572F28"/>
    <w:rsid w:val="005730AB"/>
    <w:rsid w:val="0057497A"/>
    <w:rsid w:val="00575D74"/>
    <w:rsid w:val="00576EB0"/>
    <w:rsid w:val="00576FD7"/>
    <w:rsid w:val="00577616"/>
    <w:rsid w:val="00580693"/>
    <w:rsid w:val="005809F8"/>
    <w:rsid w:val="0058131F"/>
    <w:rsid w:val="005829E5"/>
    <w:rsid w:val="00583E5E"/>
    <w:rsid w:val="00590C4F"/>
    <w:rsid w:val="005913E3"/>
    <w:rsid w:val="005945E8"/>
    <w:rsid w:val="00595EB3"/>
    <w:rsid w:val="00596FB7"/>
    <w:rsid w:val="0059796C"/>
    <w:rsid w:val="005A07C7"/>
    <w:rsid w:val="005A1094"/>
    <w:rsid w:val="005A158B"/>
    <w:rsid w:val="005A18A8"/>
    <w:rsid w:val="005A5010"/>
    <w:rsid w:val="005A66DA"/>
    <w:rsid w:val="005B1331"/>
    <w:rsid w:val="005B34C8"/>
    <w:rsid w:val="005B3A1F"/>
    <w:rsid w:val="005B6422"/>
    <w:rsid w:val="005B6680"/>
    <w:rsid w:val="005B674D"/>
    <w:rsid w:val="005C1616"/>
    <w:rsid w:val="005C1B3A"/>
    <w:rsid w:val="005C4110"/>
    <w:rsid w:val="005C4B6B"/>
    <w:rsid w:val="005D08DC"/>
    <w:rsid w:val="005D2929"/>
    <w:rsid w:val="005D4A76"/>
    <w:rsid w:val="005D7313"/>
    <w:rsid w:val="005E02CE"/>
    <w:rsid w:val="005E1654"/>
    <w:rsid w:val="005E2A51"/>
    <w:rsid w:val="005E34B3"/>
    <w:rsid w:val="005E466A"/>
    <w:rsid w:val="005E6B54"/>
    <w:rsid w:val="005E754F"/>
    <w:rsid w:val="005F0A04"/>
    <w:rsid w:val="005F1228"/>
    <w:rsid w:val="005F33C9"/>
    <w:rsid w:val="005F3D99"/>
    <w:rsid w:val="005F5ED3"/>
    <w:rsid w:val="006001B3"/>
    <w:rsid w:val="00601AE5"/>
    <w:rsid w:val="0060350F"/>
    <w:rsid w:val="00603B97"/>
    <w:rsid w:val="00604B0F"/>
    <w:rsid w:val="00604C27"/>
    <w:rsid w:val="00605E39"/>
    <w:rsid w:val="00610024"/>
    <w:rsid w:val="00610A77"/>
    <w:rsid w:val="006134CF"/>
    <w:rsid w:val="00613E47"/>
    <w:rsid w:val="006146CA"/>
    <w:rsid w:val="00614F81"/>
    <w:rsid w:val="0061537F"/>
    <w:rsid w:val="006156F7"/>
    <w:rsid w:val="006158ED"/>
    <w:rsid w:val="006160A3"/>
    <w:rsid w:val="00616747"/>
    <w:rsid w:val="00617325"/>
    <w:rsid w:val="006177F7"/>
    <w:rsid w:val="0062159F"/>
    <w:rsid w:val="00623215"/>
    <w:rsid w:val="00624015"/>
    <w:rsid w:val="00624ABD"/>
    <w:rsid w:val="006256B1"/>
    <w:rsid w:val="006260DB"/>
    <w:rsid w:val="00626356"/>
    <w:rsid w:val="0062642C"/>
    <w:rsid w:val="00626EA7"/>
    <w:rsid w:val="00634D15"/>
    <w:rsid w:val="006351F3"/>
    <w:rsid w:val="00636117"/>
    <w:rsid w:val="00641E86"/>
    <w:rsid w:val="0064217E"/>
    <w:rsid w:val="00642979"/>
    <w:rsid w:val="00645283"/>
    <w:rsid w:val="006459D5"/>
    <w:rsid w:val="00646657"/>
    <w:rsid w:val="00646713"/>
    <w:rsid w:val="006477EE"/>
    <w:rsid w:val="00650533"/>
    <w:rsid w:val="00650FBC"/>
    <w:rsid w:val="0065141E"/>
    <w:rsid w:val="00653135"/>
    <w:rsid w:val="006536A2"/>
    <w:rsid w:val="006545B0"/>
    <w:rsid w:val="00654CED"/>
    <w:rsid w:val="00660348"/>
    <w:rsid w:val="006604C1"/>
    <w:rsid w:val="0066378A"/>
    <w:rsid w:val="006674BB"/>
    <w:rsid w:val="00667F16"/>
    <w:rsid w:val="00670FAB"/>
    <w:rsid w:val="00671072"/>
    <w:rsid w:val="00671594"/>
    <w:rsid w:val="0067167B"/>
    <w:rsid w:val="00671E63"/>
    <w:rsid w:val="006762CB"/>
    <w:rsid w:val="0067778A"/>
    <w:rsid w:val="006808BD"/>
    <w:rsid w:val="0068114C"/>
    <w:rsid w:val="00682105"/>
    <w:rsid w:val="0068216D"/>
    <w:rsid w:val="00682453"/>
    <w:rsid w:val="0068470E"/>
    <w:rsid w:val="00685219"/>
    <w:rsid w:val="0068527F"/>
    <w:rsid w:val="00685D09"/>
    <w:rsid w:val="006870B3"/>
    <w:rsid w:val="006879A5"/>
    <w:rsid w:val="00692797"/>
    <w:rsid w:val="00692D08"/>
    <w:rsid w:val="006938E5"/>
    <w:rsid w:val="00693DC5"/>
    <w:rsid w:val="00694BD6"/>
    <w:rsid w:val="006979DD"/>
    <w:rsid w:val="006979ED"/>
    <w:rsid w:val="006A04CE"/>
    <w:rsid w:val="006A06C3"/>
    <w:rsid w:val="006A197B"/>
    <w:rsid w:val="006A24E0"/>
    <w:rsid w:val="006A349B"/>
    <w:rsid w:val="006A4EB4"/>
    <w:rsid w:val="006B070B"/>
    <w:rsid w:val="006B1662"/>
    <w:rsid w:val="006B212E"/>
    <w:rsid w:val="006B3A4C"/>
    <w:rsid w:val="006B411E"/>
    <w:rsid w:val="006B42FC"/>
    <w:rsid w:val="006B4EC8"/>
    <w:rsid w:val="006B5102"/>
    <w:rsid w:val="006C0618"/>
    <w:rsid w:val="006C11E1"/>
    <w:rsid w:val="006C1B17"/>
    <w:rsid w:val="006C1FBB"/>
    <w:rsid w:val="006C5486"/>
    <w:rsid w:val="006C6067"/>
    <w:rsid w:val="006C667E"/>
    <w:rsid w:val="006D001D"/>
    <w:rsid w:val="006D04DA"/>
    <w:rsid w:val="006D171A"/>
    <w:rsid w:val="006D1ABC"/>
    <w:rsid w:val="006D4C38"/>
    <w:rsid w:val="006D65EF"/>
    <w:rsid w:val="006D7C32"/>
    <w:rsid w:val="006E0B77"/>
    <w:rsid w:val="006E2B1D"/>
    <w:rsid w:val="006E3DDC"/>
    <w:rsid w:val="006E4106"/>
    <w:rsid w:val="006E43A8"/>
    <w:rsid w:val="006E506B"/>
    <w:rsid w:val="006E5F4F"/>
    <w:rsid w:val="006E6948"/>
    <w:rsid w:val="006E7106"/>
    <w:rsid w:val="006E7519"/>
    <w:rsid w:val="006F04AD"/>
    <w:rsid w:val="006F1B49"/>
    <w:rsid w:val="006F571B"/>
    <w:rsid w:val="006F7746"/>
    <w:rsid w:val="0070076E"/>
    <w:rsid w:val="007018B6"/>
    <w:rsid w:val="00702B2E"/>
    <w:rsid w:val="007031A3"/>
    <w:rsid w:val="00703AC7"/>
    <w:rsid w:val="007060C5"/>
    <w:rsid w:val="00707CF9"/>
    <w:rsid w:val="00707D6D"/>
    <w:rsid w:val="00707DBC"/>
    <w:rsid w:val="00714FB9"/>
    <w:rsid w:val="00717640"/>
    <w:rsid w:val="0072062D"/>
    <w:rsid w:val="007242CF"/>
    <w:rsid w:val="007245AA"/>
    <w:rsid w:val="00725281"/>
    <w:rsid w:val="0072778E"/>
    <w:rsid w:val="00727E0F"/>
    <w:rsid w:val="00731178"/>
    <w:rsid w:val="007312BC"/>
    <w:rsid w:val="0073210B"/>
    <w:rsid w:val="00732911"/>
    <w:rsid w:val="00734D03"/>
    <w:rsid w:val="00737A9A"/>
    <w:rsid w:val="0074030C"/>
    <w:rsid w:val="007440C9"/>
    <w:rsid w:val="00744474"/>
    <w:rsid w:val="00744AF1"/>
    <w:rsid w:val="00745998"/>
    <w:rsid w:val="0074606E"/>
    <w:rsid w:val="00746605"/>
    <w:rsid w:val="00747D48"/>
    <w:rsid w:val="00750AD7"/>
    <w:rsid w:val="00752756"/>
    <w:rsid w:val="00753955"/>
    <w:rsid w:val="007540A6"/>
    <w:rsid w:val="00755C30"/>
    <w:rsid w:val="0075697C"/>
    <w:rsid w:val="00756CDD"/>
    <w:rsid w:val="00757482"/>
    <w:rsid w:val="00760970"/>
    <w:rsid w:val="00763507"/>
    <w:rsid w:val="00763BB1"/>
    <w:rsid w:val="00767104"/>
    <w:rsid w:val="007671A0"/>
    <w:rsid w:val="007704EF"/>
    <w:rsid w:val="00770A6C"/>
    <w:rsid w:val="007749F0"/>
    <w:rsid w:val="00775959"/>
    <w:rsid w:val="00776424"/>
    <w:rsid w:val="00776942"/>
    <w:rsid w:val="00777FB3"/>
    <w:rsid w:val="007804D2"/>
    <w:rsid w:val="00780BC2"/>
    <w:rsid w:val="00781507"/>
    <w:rsid w:val="00781ABE"/>
    <w:rsid w:val="007836C9"/>
    <w:rsid w:val="00785C0A"/>
    <w:rsid w:val="007864D7"/>
    <w:rsid w:val="00791159"/>
    <w:rsid w:val="00791934"/>
    <w:rsid w:val="00792D83"/>
    <w:rsid w:val="0079516C"/>
    <w:rsid w:val="00797750"/>
    <w:rsid w:val="007A196A"/>
    <w:rsid w:val="007A25EF"/>
    <w:rsid w:val="007A294B"/>
    <w:rsid w:val="007B3F0C"/>
    <w:rsid w:val="007B3F75"/>
    <w:rsid w:val="007B6DA5"/>
    <w:rsid w:val="007B732F"/>
    <w:rsid w:val="007C0895"/>
    <w:rsid w:val="007C1124"/>
    <w:rsid w:val="007C1383"/>
    <w:rsid w:val="007C1FED"/>
    <w:rsid w:val="007C31C0"/>
    <w:rsid w:val="007C3714"/>
    <w:rsid w:val="007C48B8"/>
    <w:rsid w:val="007C5ABA"/>
    <w:rsid w:val="007D050F"/>
    <w:rsid w:val="007D21B0"/>
    <w:rsid w:val="007D24DD"/>
    <w:rsid w:val="007D3CB1"/>
    <w:rsid w:val="007D45A6"/>
    <w:rsid w:val="007D45A7"/>
    <w:rsid w:val="007D6D18"/>
    <w:rsid w:val="007D72D3"/>
    <w:rsid w:val="007E5890"/>
    <w:rsid w:val="007F1C25"/>
    <w:rsid w:val="007F3188"/>
    <w:rsid w:val="007F3E56"/>
    <w:rsid w:val="007F41A7"/>
    <w:rsid w:val="007F626E"/>
    <w:rsid w:val="007F63EE"/>
    <w:rsid w:val="007F6D9D"/>
    <w:rsid w:val="007F79E9"/>
    <w:rsid w:val="007F7E37"/>
    <w:rsid w:val="00801928"/>
    <w:rsid w:val="00801FC4"/>
    <w:rsid w:val="00802723"/>
    <w:rsid w:val="00802A21"/>
    <w:rsid w:val="008030F0"/>
    <w:rsid w:val="008041E8"/>
    <w:rsid w:val="00806D9B"/>
    <w:rsid w:val="00810B21"/>
    <w:rsid w:val="0081277D"/>
    <w:rsid w:val="00814014"/>
    <w:rsid w:val="008144BF"/>
    <w:rsid w:val="00815C7B"/>
    <w:rsid w:val="00816A3A"/>
    <w:rsid w:val="00817FDB"/>
    <w:rsid w:val="00820BF3"/>
    <w:rsid w:val="00821774"/>
    <w:rsid w:val="008219F7"/>
    <w:rsid w:val="00827143"/>
    <w:rsid w:val="00827B66"/>
    <w:rsid w:val="00827F6B"/>
    <w:rsid w:val="00830F70"/>
    <w:rsid w:val="00831B41"/>
    <w:rsid w:val="00832EEC"/>
    <w:rsid w:val="00833768"/>
    <w:rsid w:val="00835BF5"/>
    <w:rsid w:val="008364C2"/>
    <w:rsid w:val="00843EAB"/>
    <w:rsid w:val="008441E4"/>
    <w:rsid w:val="0084442E"/>
    <w:rsid w:val="00845552"/>
    <w:rsid w:val="00847218"/>
    <w:rsid w:val="00850D24"/>
    <w:rsid w:val="00852233"/>
    <w:rsid w:val="00861300"/>
    <w:rsid w:val="00862348"/>
    <w:rsid w:val="00862913"/>
    <w:rsid w:val="00862D43"/>
    <w:rsid w:val="00863138"/>
    <w:rsid w:val="00863E09"/>
    <w:rsid w:val="0086480A"/>
    <w:rsid w:val="00865A89"/>
    <w:rsid w:val="0087020A"/>
    <w:rsid w:val="008725A7"/>
    <w:rsid w:val="00872D36"/>
    <w:rsid w:val="00872DBC"/>
    <w:rsid w:val="00873E1E"/>
    <w:rsid w:val="00874A3A"/>
    <w:rsid w:val="00875DC5"/>
    <w:rsid w:val="00876041"/>
    <w:rsid w:val="00877518"/>
    <w:rsid w:val="00880645"/>
    <w:rsid w:val="00880C2C"/>
    <w:rsid w:val="00880D52"/>
    <w:rsid w:val="00883BAD"/>
    <w:rsid w:val="00885A85"/>
    <w:rsid w:val="00886B49"/>
    <w:rsid w:val="00886EA3"/>
    <w:rsid w:val="00887DFA"/>
    <w:rsid w:val="008907B5"/>
    <w:rsid w:val="00891535"/>
    <w:rsid w:val="00891902"/>
    <w:rsid w:val="0089246F"/>
    <w:rsid w:val="00892800"/>
    <w:rsid w:val="0089307F"/>
    <w:rsid w:val="0089324E"/>
    <w:rsid w:val="00895994"/>
    <w:rsid w:val="008966B7"/>
    <w:rsid w:val="00896C4D"/>
    <w:rsid w:val="008A01C7"/>
    <w:rsid w:val="008A0C04"/>
    <w:rsid w:val="008A2560"/>
    <w:rsid w:val="008A4F3B"/>
    <w:rsid w:val="008A5126"/>
    <w:rsid w:val="008A66AC"/>
    <w:rsid w:val="008B0B14"/>
    <w:rsid w:val="008B134A"/>
    <w:rsid w:val="008B1B48"/>
    <w:rsid w:val="008B32F6"/>
    <w:rsid w:val="008B3BC4"/>
    <w:rsid w:val="008B3FB6"/>
    <w:rsid w:val="008B5DEC"/>
    <w:rsid w:val="008B6D40"/>
    <w:rsid w:val="008B7299"/>
    <w:rsid w:val="008C044F"/>
    <w:rsid w:val="008C0B33"/>
    <w:rsid w:val="008C100A"/>
    <w:rsid w:val="008C2D08"/>
    <w:rsid w:val="008C4638"/>
    <w:rsid w:val="008C468D"/>
    <w:rsid w:val="008C72B6"/>
    <w:rsid w:val="008C7F35"/>
    <w:rsid w:val="008D01C5"/>
    <w:rsid w:val="008D08F5"/>
    <w:rsid w:val="008D2BF3"/>
    <w:rsid w:val="008D5E9E"/>
    <w:rsid w:val="008D61BC"/>
    <w:rsid w:val="008D75BB"/>
    <w:rsid w:val="008E0380"/>
    <w:rsid w:val="008E2D0E"/>
    <w:rsid w:val="008E3209"/>
    <w:rsid w:val="008E413B"/>
    <w:rsid w:val="008E6EBC"/>
    <w:rsid w:val="008F489B"/>
    <w:rsid w:val="008F499F"/>
    <w:rsid w:val="008F4F52"/>
    <w:rsid w:val="008F51E2"/>
    <w:rsid w:val="008F5B8F"/>
    <w:rsid w:val="008F644C"/>
    <w:rsid w:val="008F7222"/>
    <w:rsid w:val="008F73EC"/>
    <w:rsid w:val="008F7D97"/>
    <w:rsid w:val="008F7DFE"/>
    <w:rsid w:val="00902321"/>
    <w:rsid w:val="00902F8F"/>
    <w:rsid w:val="00904A42"/>
    <w:rsid w:val="00907076"/>
    <w:rsid w:val="00910EA0"/>
    <w:rsid w:val="00912F2B"/>
    <w:rsid w:val="00913D05"/>
    <w:rsid w:val="0091414C"/>
    <w:rsid w:val="00914B20"/>
    <w:rsid w:val="00914BE7"/>
    <w:rsid w:val="009178A6"/>
    <w:rsid w:val="00917C1E"/>
    <w:rsid w:val="00917FB4"/>
    <w:rsid w:val="009210FA"/>
    <w:rsid w:val="00921BFC"/>
    <w:rsid w:val="00922766"/>
    <w:rsid w:val="00923012"/>
    <w:rsid w:val="00923501"/>
    <w:rsid w:val="00926F06"/>
    <w:rsid w:val="00927AB7"/>
    <w:rsid w:val="009303EC"/>
    <w:rsid w:val="009306DA"/>
    <w:rsid w:val="00931FDE"/>
    <w:rsid w:val="009328A8"/>
    <w:rsid w:val="0093528A"/>
    <w:rsid w:val="00936267"/>
    <w:rsid w:val="009374DA"/>
    <w:rsid w:val="00937BA0"/>
    <w:rsid w:val="00937E5A"/>
    <w:rsid w:val="00940072"/>
    <w:rsid w:val="00940CF1"/>
    <w:rsid w:val="00943458"/>
    <w:rsid w:val="009436EA"/>
    <w:rsid w:val="00943A5C"/>
    <w:rsid w:val="0094405F"/>
    <w:rsid w:val="00944249"/>
    <w:rsid w:val="009455B4"/>
    <w:rsid w:val="0094644D"/>
    <w:rsid w:val="009470FB"/>
    <w:rsid w:val="00952E9A"/>
    <w:rsid w:val="00954B96"/>
    <w:rsid w:val="0095669C"/>
    <w:rsid w:val="0095783C"/>
    <w:rsid w:val="00961751"/>
    <w:rsid w:val="009636A9"/>
    <w:rsid w:val="0096405B"/>
    <w:rsid w:val="00964CB2"/>
    <w:rsid w:val="00964E1C"/>
    <w:rsid w:val="00965D07"/>
    <w:rsid w:val="00965D33"/>
    <w:rsid w:val="00966EF1"/>
    <w:rsid w:val="00967882"/>
    <w:rsid w:val="0096794D"/>
    <w:rsid w:val="00967DC1"/>
    <w:rsid w:val="00970B31"/>
    <w:rsid w:val="009715EF"/>
    <w:rsid w:val="009733BE"/>
    <w:rsid w:val="00975060"/>
    <w:rsid w:val="009755FA"/>
    <w:rsid w:val="009824B0"/>
    <w:rsid w:val="00982DA0"/>
    <w:rsid w:val="00983222"/>
    <w:rsid w:val="00983DAD"/>
    <w:rsid w:val="00984980"/>
    <w:rsid w:val="00985BD5"/>
    <w:rsid w:val="00985D2D"/>
    <w:rsid w:val="009864A9"/>
    <w:rsid w:val="0098656F"/>
    <w:rsid w:val="00990834"/>
    <w:rsid w:val="009908BA"/>
    <w:rsid w:val="009928DA"/>
    <w:rsid w:val="00992BB0"/>
    <w:rsid w:val="009938D0"/>
    <w:rsid w:val="00995CC4"/>
    <w:rsid w:val="0099610A"/>
    <w:rsid w:val="00996BC0"/>
    <w:rsid w:val="009A0565"/>
    <w:rsid w:val="009A15EA"/>
    <w:rsid w:val="009A27C5"/>
    <w:rsid w:val="009A3164"/>
    <w:rsid w:val="009A4BE1"/>
    <w:rsid w:val="009A768D"/>
    <w:rsid w:val="009A7F27"/>
    <w:rsid w:val="009B1812"/>
    <w:rsid w:val="009B1C94"/>
    <w:rsid w:val="009B4F95"/>
    <w:rsid w:val="009B5055"/>
    <w:rsid w:val="009B54B9"/>
    <w:rsid w:val="009B7DF7"/>
    <w:rsid w:val="009C09E4"/>
    <w:rsid w:val="009C0F8B"/>
    <w:rsid w:val="009C7765"/>
    <w:rsid w:val="009C7D28"/>
    <w:rsid w:val="009D2759"/>
    <w:rsid w:val="009D28E3"/>
    <w:rsid w:val="009D3663"/>
    <w:rsid w:val="009D4ED9"/>
    <w:rsid w:val="009D500A"/>
    <w:rsid w:val="009D614A"/>
    <w:rsid w:val="009D6F8C"/>
    <w:rsid w:val="009D750F"/>
    <w:rsid w:val="009E0D84"/>
    <w:rsid w:val="009E282B"/>
    <w:rsid w:val="009E2EED"/>
    <w:rsid w:val="009E42F9"/>
    <w:rsid w:val="009E493A"/>
    <w:rsid w:val="009E5351"/>
    <w:rsid w:val="009E6358"/>
    <w:rsid w:val="009E7F9E"/>
    <w:rsid w:val="009F038F"/>
    <w:rsid w:val="009F066C"/>
    <w:rsid w:val="009F185E"/>
    <w:rsid w:val="009F1F76"/>
    <w:rsid w:val="009F269D"/>
    <w:rsid w:val="009F2D80"/>
    <w:rsid w:val="009F4F0D"/>
    <w:rsid w:val="009F7DF3"/>
    <w:rsid w:val="00A00F87"/>
    <w:rsid w:val="00A00F93"/>
    <w:rsid w:val="00A023CA"/>
    <w:rsid w:val="00A02467"/>
    <w:rsid w:val="00A04D12"/>
    <w:rsid w:val="00A065EA"/>
    <w:rsid w:val="00A06C3E"/>
    <w:rsid w:val="00A10636"/>
    <w:rsid w:val="00A10E37"/>
    <w:rsid w:val="00A11896"/>
    <w:rsid w:val="00A12E3B"/>
    <w:rsid w:val="00A15BC6"/>
    <w:rsid w:val="00A163B5"/>
    <w:rsid w:val="00A20CD5"/>
    <w:rsid w:val="00A219B2"/>
    <w:rsid w:val="00A21C3F"/>
    <w:rsid w:val="00A2303A"/>
    <w:rsid w:val="00A248D1"/>
    <w:rsid w:val="00A24E6E"/>
    <w:rsid w:val="00A25B12"/>
    <w:rsid w:val="00A275D2"/>
    <w:rsid w:val="00A27D50"/>
    <w:rsid w:val="00A307DD"/>
    <w:rsid w:val="00A31DDE"/>
    <w:rsid w:val="00A3507B"/>
    <w:rsid w:val="00A37517"/>
    <w:rsid w:val="00A37624"/>
    <w:rsid w:val="00A3762D"/>
    <w:rsid w:val="00A407B6"/>
    <w:rsid w:val="00A41BC5"/>
    <w:rsid w:val="00A42929"/>
    <w:rsid w:val="00A43083"/>
    <w:rsid w:val="00A442B8"/>
    <w:rsid w:val="00A468C1"/>
    <w:rsid w:val="00A47FB8"/>
    <w:rsid w:val="00A523FE"/>
    <w:rsid w:val="00A525FE"/>
    <w:rsid w:val="00A528E9"/>
    <w:rsid w:val="00A536B2"/>
    <w:rsid w:val="00A53EE5"/>
    <w:rsid w:val="00A54301"/>
    <w:rsid w:val="00A57C3F"/>
    <w:rsid w:val="00A60CC2"/>
    <w:rsid w:val="00A61805"/>
    <w:rsid w:val="00A61E5C"/>
    <w:rsid w:val="00A64C1E"/>
    <w:rsid w:val="00A66DDD"/>
    <w:rsid w:val="00A676D7"/>
    <w:rsid w:val="00A67C90"/>
    <w:rsid w:val="00A7003F"/>
    <w:rsid w:val="00A705D2"/>
    <w:rsid w:val="00A729CB"/>
    <w:rsid w:val="00A75944"/>
    <w:rsid w:val="00A77BE0"/>
    <w:rsid w:val="00A822B8"/>
    <w:rsid w:val="00A84B6B"/>
    <w:rsid w:val="00A901B3"/>
    <w:rsid w:val="00A908A8"/>
    <w:rsid w:val="00A90A4B"/>
    <w:rsid w:val="00A91316"/>
    <w:rsid w:val="00A92D14"/>
    <w:rsid w:val="00A930B3"/>
    <w:rsid w:val="00A93E19"/>
    <w:rsid w:val="00A9510F"/>
    <w:rsid w:val="00A96B78"/>
    <w:rsid w:val="00AA2694"/>
    <w:rsid w:val="00AA415B"/>
    <w:rsid w:val="00AA4552"/>
    <w:rsid w:val="00AA5C52"/>
    <w:rsid w:val="00AA679C"/>
    <w:rsid w:val="00AB0731"/>
    <w:rsid w:val="00AB1663"/>
    <w:rsid w:val="00AB4505"/>
    <w:rsid w:val="00AB550D"/>
    <w:rsid w:val="00AB6072"/>
    <w:rsid w:val="00AC0904"/>
    <w:rsid w:val="00AC28BC"/>
    <w:rsid w:val="00AC2FB0"/>
    <w:rsid w:val="00AC48C4"/>
    <w:rsid w:val="00AC5864"/>
    <w:rsid w:val="00AC5D4F"/>
    <w:rsid w:val="00AC715E"/>
    <w:rsid w:val="00AD1AC0"/>
    <w:rsid w:val="00AD304E"/>
    <w:rsid w:val="00AD39B1"/>
    <w:rsid w:val="00AD40D0"/>
    <w:rsid w:val="00AD4583"/>
    <w:rsid w:val="00AD46FB"/>
    <w:rsid w:val="00AD5216"/>
    <w:rsid w:val="00AD6354"/>
    <w:rsid w:val="00AE0801"/>
    <w:rsid w:val="00AE1389"/>
    <w:rsid w:val="00AE26A8"/>
    <w:rsid w:val="00AE34A7"/>
    <w:rsid w:val="00AE4551"/>
    <w:rsid w:val="00AE4812"/>
    <w:rsid w:val="00AE57C7"/>
    <w:rsid w:val="00AF01E1"/>
    <w:rsid w:val="00AF146D"/>
    <w:rsid w:val="00AF18C1"/>
    <w:rsid w:val="00AF29C6"/>
    <w:rsid w:val="00AF2F47"/>
    <w:rsid w:val="00AF34B1"/>
    <w:rsid w:val="00AF547E"/>
    <w:rsid w:val="00AF6159"/>
    <w:rsid w:val="00AF6971"/>
    <w:rsid w:val="00AF7C72"/>
    <w:rsid w:val="00B01171"/>
    <w:rsid w:val="00B01DFC"/>
    <w:rsid w:val="00B04E90"/>
    <w:rsid w:val="00B06876"/>
    <w:rsid w:val="00B069E1"/>
    <w:rsid w:val="00B06D52"/>
    <w:rsid w:val="00B06F27"/>
    <w:rsid w:val="00B0722E"/>
    <w:rsid w:val="00B1009C"/>
    <w:rsid w:val="00B11429"/>
    <w:rsid w:val="00B14B9C"/>
    <w:rsid w:val="00B155E2"/>
    <w:rsid w:val="00B16B10"/>
    <w:rsid w:val="00B1701C"/>
    <w:rsid w:val="00B20A90"/>
    <w:rsid w:val="00B20EFC"/>
    <w:rsid w:val="00B22A37"/>
    <w:rsid w:val="00B23DE2"/>
    <w:rsid w:val="00B249F9"/>
    <w:rsid w:val="00B24FDF"/>
    <w:rsid w:val="00B26B04"/>
    <w:rsid w:val="00B27230"/>
    <w:rsid w:val="00B27F30"/>
    <w:rsid w:val="00B3268D"/>
    <w:rsid w:val="00B32A0B"/>
    <w:rsid w:val="00B33EBA"/>
    <w:rsid w:val="00B34544"/>
    <w:rsid w:val="00B34AFF"/>
    <w:rsid w:val="00B34DA8"/>
    <w:rsid w:val="00B4076D"/>
    <w:rsid w:val="00B41659"/>
    <w:rsid w:val="00B424D0"/>
    <w:rsid w:val="00B44FCC"/>
    <w:rsid w:val="00B4537B"/>
    <w:rsid w:val="00B479C6"/>
    <w:rsid w:val="00B50799"/>
    <w:rsid w:val="00B50D1C"/>
    <w:rsid w:val="00B5371E"/>
    <w:rsid w:val="00B568EE"/>
    <w:rsid w:val="00B56F4C"/>
    <w:rsid w:val="00B62002"/>
    <w:rsid w:val="00B6448A"/>
    <w:rsid w:val="00B64578"/>
    <w:rsid w:val="00B65773"/>
    <w:rsid w:val="00B66BD3"/>
    <w:rsid w:val="00B67CB7"/>
    <w:rsid w:val="00B70006"/>
    <w:rsid w:val="00B703A6"/>
    <w:rsid w:val="00B70EED"/>
    <w:rsid w:val="00B717D9"/>
    <w:rsid w:val="00B72D8D"/>
    <w:rsid w:val="00B7432A"/>
    <w:rsid w:val="00B75CE4"/>
    <w:rsid w:val="00B82552"/>
    <w:rsid w:val="00B847BC"/>
    <w:rsid w:val="00B87D2A"/>
    <w:rsid w:val="00B90642"/>
    <w:rsid w:val="00B9095A"/>
    <w:rsid w:val="00B91BCA"/>
    <w:rsid w:val="00B91DF7"/>
    <w:rsid w:val="00B92730"/>
    <w:rsid w:val="00B93231"/>
    <w:rsid w:val="00B93373"/>
    <w:rsid w:val="00BA00F1"/>
    <w:rsid w:val="00BA19BA"/>
    <w:rsid w:val="00BA22CD"/>
    <w:rsid w:val="00BA26AC"/>
    <w:rsid w:val="00BA3F16"/>
    <w:rsid w:val="00BA4CC2"/>
    <w:rsid w:val="00BA57A4"/>
    <w:rsid w:val="00BA5C3D"/>
    <w:rsid w:val="00BB06BE"/>
    <w:rsid w:val="00BB163F"/>
    <w:rsid w:val="00BB28F5"/>
    <w:rsid w:val="00BB54AE"/>
    <w:rsid w:val="00BB5CCC"/>
    <w:rsid w:val="00BB6214"/>
    <w:rsid w:val="00BB674D"/>
    <w:rsid w:val="00BB6FAD"/>
    <w:rsid w:val="00BB70AE"/>
    <w:rsid w:val="00BB7148"/>
    <w:rsid w:val="00BB7A84"/>
    <w:rsid w:val="00BB7C5A"/>
    <w:rsid w:val="00BC0580"/>
    <w:rsid w:val="00BC2936"/>
    <w:rsid w:val="00BC2D2F"/>
    <w:rsid w:val="00BC3058"/>
    <w:rsid w:val="00BC4BC5"/>
    <w:rsid w:val="00BC618C"/>
    <w:rsid w:val="00BC668D"/>
    <w:rsid w:val="00BD0880"/>
    <w:rsid w:val="00BD41A3"/>
    <w:rsid w:val="00BD47E4"/>
    <w:rsid w:val="00BD6E58"/>
    <w:rsid w:val="00BE011D"/>
    <w:rsid w:val="00BE1CE7"/>
    <w:rsid w:val="00BE4909"/>
    <w:rsid w:val="00BE62F1"/>
    <w:rsid w:val="00BE6845"/>
    <w:rsid w:val="00BF02ED"/>
    <w:rsid w:val="00BF150C"/>
    <w:rsid w:val="00BF1EC8"/>
    <w:rsid w:val="00BF314E"/>
    <w:rsid w:val="00BF3507"/>
    <w:rsid w:val="00BF3723"/>
    <w:rsid w:val="00BF45E3"/>
    <w:rsid w:val="00BF4615"/>
    <w:rsid w:val="00BF47EA"/>
    <w:rsid w:val="00BF6183"/>
    <w:rsid w:val="00BF700F"/>
    <w:rsid w:val="00C02FDF"/>
    <w:rsid w:val="00C05D13"/>
    <w:rsid w:val="00C06A5E"/>
    <w:rsid w:val="00C07810"/>
    <w:rsid w:val="00C07DF7"/>
    <w:rsid w:val="00C110CF"/>
    <w:rsid w:val="00C1247A"/>
    <w:rsid w:val="00C128BA"/>
    <w:rsid w:val="00C12B4F"/>
    <w:rsid w:val="00C135B6"/>
    <w:rsid w:val="00C13671"/>
    <w:rsid w:val="00C13C97"/>
    <w:rsid w:val="00C14851"/>
    <w:rsid w:val="00C1499B"/>
    <w:rsid w:val="00C14CEA"/>
    <w:rsid w:val="00C1588A"/>
    <w:rsid w:val="00C163FC"/>
    <w:rsid w:val="00C16FED"/>
    <w:rsid w:val="00C21B3A"/>
    <w:rsid w:val="00C22576"/>
    <w:rsid w:val="00C2315C"/>
    <w:rsid w:val="00C240F4"/>
    <w:rsid w:val="00C24558"/>
    <w:rsid w:val="00C245ED"/>
    <w:rsid w:val="00C2619E"/>
    <w:rsid w:val="00C30F01"/>
    <w:rsid w:val="00C30FAA"/>
    <w:rsid w:val="00C310AB"/>
    <w:rsid w:val="00C33951"/>
    <w:rsid w:val="00C35D3B"/>
    <w:rsid w:val="00C4054B"/>
    <w:rsid w:val="00C41365"/>
    <w:rsid w:val="00C4455F"/>
    <w:rsid w:val="00C44DAC"/>
    <w:rsid w:val="00C466ED"/>
    <w:rsid w:val="00C47BA5"/>
    <w:rsid w:val="00C51480"/>
    <w:rsid w:val="00C51981"/>
    <w:rsid w:val="00C52068"/>
    <w:rsid w:val="00C522D0"/>
    <w:rsid w:val="00C53D0A"/>
    <w:rsid w:val="00C56227"/>
    <w:rsid w:val="00C576BB"/>
    <w:rsid w:val="00C64E40"/>
    <w:rsid w:val="00C655F9"/>
    <w:rsid w:val="00C67B1C"/>
    <w:rsid w:val="00C70B7D"/>
    <w:rsid w:val="00C7199C"/>
    <w:rsid w:val="00C71F13"/>
    <w:rsid w:val="00C74990"/>
    <w:rsid w:val="00C755C2"/>
    <w:rsid w:val="00C76323"/>
    <w:rsid w:val="00C7768B"/>
    <w:rsid w:val="00C77D8A"/>
    <w:rsid w:val="00C83AA7"/>
    <w:rsid w:val="00C843FB"/>
    <w:rsid w:val="00C84AA3"/>
    <w:rsid w:val="00C84FB0"/>
    <w:rsid w:val="00C919FC"/>
    <w:rsid w:val="00C948C2"/>
    <w:rsid w:val="00C958B5"/>
    <w:rsid w:val="00CA0315"/>
    <w:rsid w:val="00CA19E3"/>
    <w:rsid w:val="00CA23C3"/>
    <w:rsid w:val="00CA36F9"/>
    <w:rsid w:val="00CA3F1A"/>
    <w:rsid w:val="00CA4173"/>
    <w:rsid w:val="00CA4B87"/>
    <w:rsid w:val="00CA4FDC"/>
    <w:rsid w:val="00CA53F1"/>
    <w:rsid w:val="00CA5F9D"/>
    <w:rsid w:val="00CA6032"/>
    <w:rsid w:val="00CA6C52"/>
    <w:rsid w:val="00CB0AFF"/>
    <w:rsid w:val="00CB1770"/>
    <w:rsid w:val="00CB2D84"/>
    <w:rsid w:val="00CC11C4"/>
    <w:rsid w:val="00CC19CF"/>
    <w:rsid w:val="00CC1D01"/>
    <w:rsid w:val="00CC253A"/>
    <w:rsid w:val="00CC3BB3"/>
    <w:rsid w:val="00CC4DD4"/>
    <w:rsid w:val="00CC4DED"/>
    <w:rsid w:val="00CC78BB"/>
    <w:rsid w:val="00CD2DA3"/>
    <w:rsid w:val="00CD4654"/>
    <w:rsid w:val="00CD6CDB"/>
    <w:rsid w:val="00CE00BF"/>
    <w:rsid w:val="00CE12C1"/>
    <w:rsid w:val="00CE22DA"/>
    <w:rsid w:val="00CE3138"/>
    <w:rsid w:val="00CE6BBD"/>
    <w:rsid w:val="00CF1554"/>
    <w:rsid w:val="00CF176D"/>
    <w:rsid w:val="00CF39DE"/>
    <w:rsid w:val="00CF4E4F"/>
    <w:rsid w:val="00D01E68"/>
    <w:rsid w:val="00D024A3"/>
    <w:rsid w:val="00D02874"/>
    <w:rsid w:val="00D02A08"/>
    <w:rsid w:val="00D031CC"/>
    <w:rsid w:val="00D04A2A"/>
    <w:rsid w:val="00D06401"/>
    <w:rsid w:val="00D06F60"/>
    <w:rsid w:val="00D07EC6"/>
    <w:rsid w:val="00D1073A"/>
    <w:rsid w:val="00D10941"/>
    <w:rsid w:val="00D1359D"/>
    <w:rsid w:val="00D179CB"/>
    <w:rsid w:val="00D25C8B"/>
    <w:rsid w:val="00D26C1D"/>
    <w:rsid w:val="00D27170"/>
    <w:rsid w:val="00D32097"/>
    <w:rsid w:val="00D32C0C"/>
    <w:rsid w:val="00D33089"/>
    <w:rsid w:val="00D330C2"/>
    <w:rsid w:val="00D35313"/>
    <w:rsid w:val="00D35E91"/>
    <w:rsid w:val="00D366D3"/>
    <w:rsid w:val="00D370EF"/>
    <w:rsid w:val="00D41830"/>
    <w:rsid w:val="00D420DA"/>
    <w:rsid w:val="00D4244C"/>
    <w:rsid w:val="00D4482B"/>
    <w:rsid w:val="00D4634F"/>
    <w:rsid w:val="00D4649B"/>
    <w:rsid w:val="00D46A99"/>
    <w:rsid w:val="00D50289"/>
    <w:rsid w:val="00D502DF"/>
    <w:rsid w:val="00D50355"/>
    <w:rsid w:val="00D50991"/>
    <w:rsid w:val="00D54F4C"/>
    <w:rsid w:val="00D61731"/>
    <w:rsid w:val="00D62FB1"/>
    <w:rsid w:val="00D63289"/>
    <w:rsid w:val="00D6386B"/>
    <w:rsid w:val="00D63A65"/>
    <w:rsid w:val="00D64B1C"/>
    <w:rsid w:val="00D65F11"/>
    <w:rsid w:val="00D66BEF"/>
    <w:rsid w:val="00D66E0A"/>
    <w:rsid w:val="00D66F5B"/>
    <w:rsid w:val="00D7026D"/>
    <w:rsid w:val="00D71C30"/>
    <w:rsid w:val="00D73CDA"/>
    <w:rsid w:val="00D756AA"/>
    <w:rsid w:val="00D77C2D"/>
    <w:rsid w:val="00D81D88"/>
    <w:rsid w:val="00D8219D"/>
    <w:rsid w:val="00D825A8"/>
    <w:rsid w:val="00D82972"/>
    <w:rsid w:val="00D8513D"/>
    <w:rsid w:val="00D85781"/>
    <w:rsid w:val="00D879D3"/>
    <w:rsid w:val="00D90B34"/>
    <w:rsid w:val="00D91609"/>
    <w:rsid w:val="00D91C67"/>
    <w:rsid w:val="00D949F2"/>
    <w:rsid w:val="00D95270"/>
    <w:rsid w:val="00D95A49"/>
    <w:rsid w:val="00D9785E"/>
    <w:rsid w:val="00D97C18"/>
    <w:rsid w:val="00DA19F6"/>
    <w:rsid w:val="00DA2121"/>
    <w:rsid w:val="00DA2BAA"/>
    <w:rsid w:val="00DA2F10"/>
    <w:rsid w:val="00DA31EC"/>
    <w:rsid w:val="00DA795E"/>
    <w:rsid w:val="00DA7C01"/>
    <w:rsid w:val="00DB10CA"/>
    <w:rsid w:val="00DB2349"/>
    <w:rsid w:val="00DB2409"/>
    <w:rsid w:val="00DB3B8E"/>
    <w:rsid w:val="00DB4103"/>
    <w:rsid w:val="00DB443D"/>
    <w:rsid w:val="00DB4916"/>
    <w:rsid w:val="00DB4EEE"/>
    <w:rsid w:val="00DC1E5E"/>
    <w:rsid w:val="00DC40FB"/>
    <w:rsid w:val="00DC5D82"/>
    <w:rsid w:val="00DD285D"/>
    <w:rsid w:val="00DD4BB1"/>
    <w:rsid w:val="00DD582D"/>
    <w:rsid w:val="00DD6384"/>
    <w:rsid w:val="00DD779B"/>
    <w:rsid w:val="00DE1100"/>
    <w:rsid w:val="00DE2AA4"/>
    <w:rsid w:val="00DE41DA"/>
    <w:rsid w:val="00DE4C70"/>
    <w:rsid w:val="00DE516F"/>
    <w:rsid w:val="00DE553E"/>
    <w:rsid w:val="00DE6326"/>
    <w:rsid w:val="00DE704E"/>
    <w:rsid w:val="00DE72B2"/>
    <w:rsid w:val="00DE7D72"/>
    <w:rsid w:val="00DF05BA"/>
    <w:rsid w:val="00DF06F1"/>
    <w:rsid w:val="00DF2072"/>
    <w:rsid w:val="00DF3162"/>
    <w:rsid w:val="00DF4B93"/>
    <w:rsid w:val="00DF54EC"/>
    <w:rsid w:val="00DF563A"/>
    <w:rsid w:val="00DF57A2"/>
    <w:rsid w:val="00DF6CB9"/>
    <w:rsid w:val="00E00598"/>
    <w:rsid w:val="00E00A1F"/>
    <w:rsid w:val="00E04828"/>
    <w:rsid w:val="00E05138"/>
    <w:rsid w:val="00E06085"/>
    <w:rsid w:val="00E07F13"/>
    <w:rsid w:val="00E10C23"/>
    <w:rsid w:val="00E12CBE"/>
    <w:rsid w:val="00E12F48"/>
    <w:rsid w:val="00E14589"/>
    <w:rsid w:val="00E1504F"/>
    <w:rsid w:val="00E1565A"/>
    <w:rsid w:val="00E15853"/>
    <w:rsid w:val="00E169DC"/>
    <w:rsid w:val="00E17A1F"/>
    <w:rsid w:val="00E17C70"/>
    <w:rsid w:val="00E20141"/>
    <w:rsid w:val="00E2064E"/>
    <w:rsid w:val="00E20EA7"/>
    <w:rsid w:val="00E21BB1"/>
    <w:rsid w:val="00E23640"/>
    <w:rsid w:val="00E25E48"/>
    <w:rsid w:val="00E26C6A"/>
    <w:rsid w:val="00E31B9F"/>
    <w:rsid w:val="00E32C81"/>
    <w:rsid w:val="00E3476B"/>
    <w:rsid w:val="00E34992"/>
    <w:rsid w:val="00E34F15"/>
    <w:rsid w:val="00E3719A"/>
    <w:rsid w:val="00E4297C"/>
    <w:rsid w:val="00E43371"/>
    <w:rsid w:val="00E4351C"/>
    <w:rsid w:val="00E46EAE"/>
    <w:rsid w:val="00E47233"/>
    <w:rsid w:val="00E509F9"/>
    <w:rsid w:val="00E531C6"/>
    <w:rsid w:val="00E55EEF"/>
    <w:rsid w:val="00E56639"/>
    <w:rsid w:val="00E61628"/>
    <w:rsid w:val="00E631C0"/>
    <w:rsid w:val="00E636F3"/>
    <w:rsid w:val="00E65FB3"/>
    <w:rsid w:val="00E6677A"/>
    <w:rsid w:val="00E66884"/>
    <w:rsid w:val="00E675E5"/>
    <w:rsid w:val="00E6778C"/>
    <w:rsid w:val="00E70299"/>
    <w:rsid w:val="00E70F2F"/>
    <w:rsid w:val="00E7183C"/>
    <w:rsid w:val="00E7288B"/>
    <w:rsid w:val="00E73F70"/>
    <w:rsid w:val="00E76991"/>
    <w:rsid w:val="00E76CF7"/>
    <w:rsid w:val="00E801B1"/>
    <w:rsid w:val="00E805C4"/>
    <w:rsid w:val="00E8197B"/>
    <w:rsid w:val="00E83105"/>
    <w:rsid w:val="00E85D3B"/>
    <w:rsid w:val="00E87ADE"/>
    <w:rsid w:val="00E90FED"/>
    <w:rsid w:val="00E9230C"/>
    <w:rsid w:val="00E95F06"/>
    <w:rsid w:val="00E971DA"/>
    <w:rsid w:val="00EA096A"/>
    <w:rsid w:val="00EA0E26"/>
    <w:rsid w:val="00EA1449"/>
    <w:rsid w:val="00EA1636"/>
    <w:rsid w:val="00EA220B"/>
    <w:rsid w:val="00EA6092"/>
    <w:rsid w:val="00EA7517"/>
    <w:rsid w:val="00EA7BC9"/>
    <w:rsid w:val="00EB103B"/>
    <w:rsid w:val="00EB287E"/>
    <w:rsid w:val="00EB553B"/>
    <w:rsid w:val="00EB5BFE"/>
    <w:rsid w:val="00EB7491"/>
    <w:rsid w:val="00EC25B9"/>
    <w:rsid w:val="00EC4122"/>
    <w:rsid w:val="00EC61CE"/>
    <w:rsid w:val="00EC7ECD"/>
    <w:rsid w:val="00ED18AC"/>
    <w:rsid w:val="00ED298B"/>
    <w:rsid w:val="00ED5833"/>
    <w:rsid w:val="00ED59A7"/>
    <w:rsid w:val="00ED670D"/>
    <w:rsid w:val="00EE0C22"/>
    <w:rsid w:val="00EE3EA1"/>
    <w:rsid w:val="00EE7D80"/>
    <w:rsid w:val="00EF024D"/>
    <w:rsid w:val="00EF0400"/>
    <w:rsid w:val="00EF0831"/>
    <w:rsid w:val="00EF0960"/>
    <w:rsid w:val="00EF2BD1"/>
    <w:rsid w:val="00EF2BEE"/>
    <w:rsid w:val="00EF488E"/>
    <w:rsid w:val="00EF4F43"/>
    <w:rsid w:val="00EF5EB5"/>
    <w:rsid w:val="00EF5FCA"/>
    <w:rsid w:val="00EF605C"/>
    <w:rsid w:val="00EF7EEC"/>
    <w:rsid w:val="00F00AD9"/>
    <w:rsid w:val="00F04722"/>
    <w:rsid w:val="00F05F22"/>
    <w:rsid w:val="00F06418"/>
    <w:rsid w:val="00F072E6"/>
    <w:rsid w:val="00F07C47"/>
    <w:rsid w:val="00F11779"/>
    <w:rsid w:val="00F140BD"/>
    <w:rsid w:val="00F15112"/>
    <w:rsid w:val="00F23168"/>
    <w:rsid w:val="00F245B7"/>
    <w:rsid w:val="00F2575A"/>
    <w:rsid w:val="00F26A21"/>
    <w:rsid w:val="00F30ABF"/>
    <w:rsid w:val="00F30DCE"/>
    <w:rsid w:val="00F31A10"/>
    <w:rsid w:val="00F32776"/>
    <w:rsid w:val="00F32D0E"/>
    <w:rsid w:val="00F343EB"/>
    <w:rsid w:val="00F35E25"/>
    <w:rsid w:val="00F364D0"/>
    <w:rsid w:val="00F36871"/>
    <w:rsid w:val="00F40477"/>
    <w:rsid w:val="00F44260"/>
    <w:rsid w:val="00F449B9"/>
    <w:rsid w:val="00F449BD"/>
    <w:rsid w:val="00F507A1"/>
    <w:rsid w:val="00F53FEA"/>
    <w:rsid w:val="00F55C2D"/>
    <w:rsid w:val="00F56FF4"/>
    <w:rsid w:val="00F61558"/>
    <w:rsid w:val="00F62592"/>
    <w:rsid w:val="00F67C5A"/>
    <w:rsid w:val="00F73460"/>
    <w:rsid w:val="00F73F5B"/>
    <w:rsid w:val="00F74ADE"/>
    <w:rsid w:val="00F75A0B"/>
    <w:rsid w:val="00F80D96"/>
    <w:rsid w:val="00F81BC8"/>
    <w:rsid w:val="00F81D39"/>
    <w:rsid w:val="00F84475"/>
    <w:rsid w:val="00F85698"/>
    <w:rsid w:val="00F85CFD"/>
    <w:rsid w:val="00F860CA"/>
    <w:rsid w:val="00F86A96"/>
    <w:rsid w:val="00F8753D"/>
    <w:rsid w:val="00F87816"/>
    <w:rsid w:val="00F9150F"/>
    <w:rsid w:val="00F91DE5"/>
    <w:rsid w:val="00F942E1"/>
    <w:rsid w:val="00F9484D"/>
    <w:rsid w:val="00F95689"/>
    <w:rsid w:val="00F956B3"/>
    <w:rsid w:val="00F95BCA"/>
    <w:rsid w:val="00F964A8"/>
    <w:rsid w:val="00F972CC"/>
    <w:rsid w:val="00F97F5E"/>
    <w:rsid w:val="00FA056A"/>
    <w:rsid w:val="00FA0573"/>
    <w:rsid w:val="00FA21AC"/>
    <w:rsid w:val="00FA31E9"/>
    <w:rsid w:val="00FA5904"/>
    <w:rsid w:val="00FA618E"/>
    <w:rsid w:val="00FA6954"/>
    <w:rsid w:val="00FB3003"/>
    <w:rsid w:val="00FB3077"/>
    <w:rsid w:val="00FB378E"/>
    <w:rsid w:val="00FB5396"/>
    <w:rsid w:val="00FB6B63"/>
    <w:rsid w:val="00FC1687"/>
    <w:rsid w:val="00FC2B18"/>
    <w:rsid w:val="00FD04E5"/>
    <w:rsid w:val="00FD2069"/>
    <w:rsid w:val="00FD3749"/>
    <w:rsid w:val="00FD3A95"/>
    <w:rsid w:val="00FD48D9"/>
    <w:rsid w:val="00FD570D"/>
    <w:rsid w:val="00FD5DD2"/>
    <w:rsid w:val="00FE1606"/>
    <w:rsid w:val="00FE49F6"/>
    <w:rsid w:val="00FE4FCC"/>
    <w:rsid w:val="00FE5911"/>
    <w:rsid w:val="00FE74DB"/>
    <w:rsid w:val="00FE7B3D"/>
    <w:rsid w:val="00FF0B24"/>
    <w:rsid w:val="00FF14B0"/>
    <w:rsid w:val="00FF2088"/>
    <w:rsid w:val="00FF2ECB"/>
    <w:rsid w:val="00FF33F6"/>
    <w:rsid w:val="00FF349E"/>
    <w:rsid w:val="00FF3CAB"/>
    <w:rsid w:val="00FF3F80"/>
    <w:rsid w:val="00FF45DF"/>
    <w:rsid w:val="010B1330"/>
    <w:rsid w:val="014001AC"/>
    <w:rsid w:val="01461ACD"/>
    <w:rsid w:val="01757860"/>
    <w:rsid w:val="018D0205"/>
    <w:rsid w:val="01AE3368"/>
    <w:rsid w:val="01C12A88"/>
    <w:rsid w:val="01CC76EC"/>
    <w:rsid w:val="01D07706"/>
    <w:rsid w:val="0212507F"/>
    <w:rsid w:val="0221271C"/>
    <w:rsid w:val="022D649C"/>
    <w:rsid w:val="02351774"/>
    <w:rsid w:val="023A6ECB"/>
    <w:rsid w:val="02420646"/>
    <w:rsid w:val="028223A8"/>
    <w:rsid w:val="02A9706C"/>
    <w:rsid w:val="02AF6599"/>
    <w:rsid w:val="02DE374B"/>
    <w:rsid w:val="03044359"/>
    <w:rsid w:val="030D0562"/>
    <w:rsid w:val="03173665"/>
    <w:rsid w:val="031C67BA"/>
    <w:rsid w:val="03442A09"/>
    <w:rsid w:val="03511571"/>
    <w:rsid w:val="035E37BC"/>
    <w:rsid w:val="03715197"/>
    <w:rsid w:val="037526BB"/>
    <w:rsid w:val="03A25185"/>
    <w:rsid w:val="03A92E0C"/>
    <w:rsid w:val="03A93F07"/>
    <w:rsid w:val="03DD17F0"/>
    <w:rsid w:val="03F730D5"/>
    <w:rsid w:val="040E2332"/>
    <w:rsid w:val="040E4213"/>
    <w:rsid w:val="04137380"/>
    <w:rsid w:val="04160294"/>
    <w:rsid w:val="0421064D"/>
    <w:rsid w:val="0424709F"/>
    <w:rsid w:val="04273734"/>
    <w:rsid w:val="042C6AE4"/>
    <w:rsid w:val="0439748C"/>
    <w:rsid w:val="045F4428"/>
    <w:rsid w:val="04663DEE"/>
    <w:rsid w:val="048B6224"/>
    <w:rsid w:val="049C3EF3"/>
    <w:rsid w:val="04BC1BA0"/>
    <w:rsid w:val="04CB2483"/>
    <w:rsid w:val="04CC4566"/>
    <w:rsid w:val="04E52637"/>
    <w:rsid w:val="04FD23FC"/>
    <w:rsid w:val="05005426"/>
    <w:rsid w:val="053201CC"/>
    <w:rsid w:val="055A38B5"/>
    <w:rsid w:val="059C5F8E"/>
    <w:rsid w:val="05AD5736"/>
    <w:rsid w:val="05BB241B"/>
    <w:rsid w:val="05CA2818"/>
    <w:rsid w:val="05CF4780"/>
    <w:rsid w:val="05FA06DD"/>
    <w:rsid w:val="06023A8F"/>
    <w:rsid w:val="0611621E"/>
    <w:rsid w:val="063F258E"/>
    <w:rsid w:val="065044F8"/>
    <w:rsid w:val="0653482B"/>
    <w:rsid w:val="06B7286F"/>
    <w:rsid w:val="06BF75C9"/>
    <w:rsid w:val="06C116BD"/>
    <w:rsid w:val="06C767F8"/>
    <w:rsid w:val="06EA2FBD"/>
    <w:rsid w:val="06ED1770"/>
    <w:rsid w:val="06FE4AAE"/>
    <w:rsid w:val="070157D1"/>
    <w:rsid w:val="07117CDC"/>
    <w:rsid w:val="07230E2A"/>
    <w:rsid w:val="07354BE2"/>
    <w:rsid w:val="073C402C"/>
    <w:rsid w:val="07504EC1"/>
    <w:rsid w:val="07506DDE"/>
    <w:rsid w:val="078360F1"/>
    <w:rsid w:val="079555F7"/>
    <w:rsid w:val="079E3E7E"/>
    <w:rsid w:val="07AA21A6"/>
    <w:rsid w:val="07B323DD"/>
    <w:rsid w:val="07CB1191"/>
    <w:rsid w:val="07D33E7D"/>
    <w:rsid w:val="07DA2552"/>
    <w:rsid w:val="07E61182"/>
    <w:rsid w:val="07F876CF"/>
    <w:rsid w:val="07FA3FC0"/>
    <w:rsid w:val="08376BE0"/>
    <w:rsid w:val="08424D1E"/>
    <w:rsid w:val="08483779"/>
    <w:rsid w:val="085D5FC0"/>
    <w:rsid w:val="0886626A"/>
    <w:rsid w:val="08912C45"/>
    <w:rsid w:val="08A54D99"/>
    <w:rsid w:val="08AD0CF8"/>
    <w:rsid w:val="08AD503B"/>
    <w:rsid w:val="08B604BF"/>
    <w:rsid w:val="08C76CFD"/>
    <w:rsid w:val="08E340CC"/>
    <w:rsid w:val="08E95B0E"/>
    <w:rsid w:val="08FD2E27"/>
    <w:rsid w:val="09016480"/>
    <w:rsid w:val="090C54BE"/>
    <w:rsid w:val="09271627"/>
    <w:rsid w:val="092936B1"/>
    <w:rsid w:val="096A4BCE"/>
    <w:rsid w:val="09710521"/>
    <w:rsid w:val="098226D8"/>
    <w:rsid w:val="09894939"/>
    <w:rsid w:val="09A02CD8"/>
    <w:rsid w:val="09D771B0"/>
    <w:rsid w:val="09DA500D"/>
    <w:rsid w:val="0A165448"/>
    <w:rsid w:val="0A3F61A5"/>
    <w:rsid w:val="0A502EA2"/>
    <w:rsid w:val="0A5758F7"/>
    <w:rsid w:val="0A67144A"/>
    <w:rsid w:val="0A71618F"/>
    <w:rsid w:val="0A7E1671"/>
    <w:rsid w:val="0AB610B3"/>
    <w:rsid w:val="0AC16F66"/>
    <w:rsid w:val="0AE86D78"/>
    <w:rsid w:val="0B435CD5"/>
    <w:rsid w:val="0B456825"/>
    <w:rsid w:val="0B4B17AC"/>
    <w:rsid w:val="0B4C1B40"/>
    <w:rsid w:val="0B4F5787"/>
    <w:rsid w:val="0B625354"/>
    <w:rsid w:val="0B6438A9"/>
    <w:rsid w:val="0BB80799"/>
    <w:rsid w:val="0BC22757"/>
    <w:rsid w:val="0BD0342B"/>
    <w:rsid w:val="0BE3070D"/>
    <w:rsid w:val="0BE659E2"/>
    <w:rsid w:val="0BE94FBA"/>
    <w:rsid w:val="0C367BBD"/>
    <w:rsid w:val="0C3C4113"/>
    <w:rsid w:val="0C4225D4"/>
    <w:rsid w:val="0C49239C"/>
    <w:rsid w:val="0C4E57C8"/>
    <w:rsid w:val="0C7336D0"/>
    <w:rsid w:val="0C896AD7"/>
    <w:rsid w:val="0CC36F40"/>
    <w:rsid w:val="0CCE2CF7"/>
    <w:rsid w:val="0CE75800"/>
    <w:rsid w:val="0CF02600"/>
    <w:rsid w:val="0D162766"/>
    <w:rsid w:val="0D30615A"/>
    <w:rsid w:val="0D4A590E"/>
    <w:rsid w:val="0D4C5E85"/>
    <w:rsid w:val="0D50445B"/>
    <w:rsid w:val="0D7807F1"/>
    <w:rsid w:val="0D895A46"/>
    <w:rsid w:val="0D9B67EB"/>
    <w:rsid w:val="0DA45AD2"/>
    <w:rsid w:val="0DE86CEC"/>
    <w:rsid w:val="0E057004"/>
    <w:rsid w:val="0E0A51BD"/>
    <w:rsid w:val="0E141CA7"/>
    <w:rsid w:val="0E1D6D0A"/>
    <w:rsid w:val="0E386D2E"/>
    <w:rsid w:val="0E3D1DE5"/>
    <w:rsid w:val="0E442D5B"/>
    <w:rsid w:val="0E4E7B59"/>
    <w:rsid w:val="0E6E5960"/>
    <w:rsid w:val="0E855450"/>
    <w:rsid w:val="0EAB7B80"/>
    <w:rsid w:val="0EAE4301"/>
    <w:rsid w:val="0ED27024"/>
    <w:rsid w:val="0ED94F19"/>
    <w:rsid w:val="0EDC5EDB"/>
    <w:rsid w:val="0F0A381F"/>
    <w:rsid w:val="0F1B0DB7"/>
    <w:rsid w:val="0F3425BB"/>
    <w:rsid w:val="0F5A5FCA"/>
    <w:rsid w:val="0F5C32A5"/>
    <w:rsid w:val="0F6C7EA7"/>
    <w:rsid w:val="0FA03F81"/>
    <w:rsid w:val="0FC5121F"/>
    <w:rsid w:val="0FC52200"/>
    <w:rsid w:val="0FC57219"/>
    <w:rsid w:val="0FCD54FE"/>
    <w:rsid w:val="0FDB1E2E"/>
    <w:rsid w:val="0FF11896"/>
    <w:rsid w:val="0FF743B8"/>
    <w:rsid w:val="103D03D6"/>
    <w:rsid w:val="104114BC"/>
    <w:rsid w:val="1045758D"/>
    <w:rsid w:val="104F21E7"/>
    <w:rsid w:val="10522A43"/>
    <w:rsid w:val="105950B7"/>
    <w:rsid w:val="10681B45"/>
    <w:rsid w:val="10D545EB"/>
    <w:rsid w:val="10E51E7E"/>
    <w:rsid w:val="10F13271"/>
    <w:rsid w:val="110045E6"/>
    <w:rsid w:val="1109548A"/>
    <w:rsid w:val="110E4212"/>
    <w:rsid w:val="11156035"/>
    <w:rsid w:val="111F2499"/>
    <w:rsid w:val="11296D36"/>
    <w:rsid w:val="1146103D"/>
    <w:rsid w:val="116C7384"/>
    <w:rsid w:val="11C444E1"/>
    <w:rsid w:val="121865DB"/>
    <w:rsid w:val="12305D0B"/>
    <w:rsid w:val="124B307E"/>
    <w:rsid w:val="12595354"/>
    <w:rsid w:val="12676ACE"/>
    <w:rsid w:val="128C79F5"/>
    <w:rsid w:val="12987FD1"/>
    <w:rsid w:val="12D57C7C"/>
    <w:rsid w:val="12DE2F04"/>
    <w:rsid w:val="12E84200"/>
    <w:rsid w:val="12F453F7"/>
    <w:rsid w:val="135A65CD"/>
    <w:rsid w:val="13681291"/>
    <w:rsid w:val="137B2A03"/>
    <w:rsid w:val="139A72A6"/>
    <w:rsid w:val="13D75C16"/>
    <w:rsid w:val="141A71FC"/>
    <w:rsid w:val="14393E39"/>
    <w:rsid w:val="1439492C"/>
    <w:rsid w:val="144E282E"/>
    <w:rsid w:val="148B16AC"/>
    <w:rsid w:val="14905D77"/>
    <w:rsid w:val="14C13D98"/>
    <w:rsid w:val="14C818C6"/>
    <w:rsid w:val="14D17473"/>
    <w:rsid w:val="14D2285A"/>
    <w:rsid w:val="14F848F0"/>
    <w:rsid w:val="15001CD4"/>
    <w:rsid w:val="152D2F19"/>
    <w:rsid w:val="1533008F"/>
    <w:rsid w:val="153D3401"/>
    <w:rsid w:val="155142E7"/>
    <w:rsid w:val="15855A36"/>
    <w:rsid w:val="158E06A1"/>
    <w:rsid w:val="15932B1E"/>
    <w:rsid w:val="15AF36C0"/>
    <w:rsid w:val="15CA175D"/>
    <w:rsid w:val="15D73E4B"/>
    <w:rsid w:val="15EE7CEF"/>
    <w:rsid w:val="160D691C"/>
    <w:rsid w:val="16333435"/>
    <w:rsid w:val="16391530"/>
    <w:rsid w:val="16550678"/>
    <w:rsid w:val="165628A2"/>
    <w:rsid w:val="166C136C"/>
    <w:rsid w:val="168C0198"/>
    <w:rsid w:val="16C6539F"/>
    <w:rsid w:val="16C83962"/>
    <w:rsid w:val="16ED23AA"/>
    <w:rsid w:val="17195883"/>
    <w:rsid w:val="173E2364"/>
    <w:rsid w:val="173E4E07"/>
    <w:rsid w:val="1761710C"/>
    <w:rsid w:val="17812612"/>
    <w:rsid w:val="1789592C"/>
    <w:rsid w:val="17933C9F"/>
    <w:rsid w:val="17B13E29"/>
    <w:rsid w:val="17D67A38"/>
    <w:rsid w:val="17DB1463"/>
    <w:rsid w:val="17E97C5D"/>
    <w:rsid w:val="17ED5B45"/>
    <w:rsid w:val="18260DD1"/>
    <w:rsid w:val="182656C2"/>
    <w:rsid w:val="182E7A85"/>
    <w:rsid w:val="18303541"/>
    <w:rsid w:val="183735E3"/>
    <w:rsid w:val="18485D36"/>
    <w:rsid w:val="185D11EC"/>
    <w:rsid w:val="18744310"/>
    <w:rsid w:val="189F530B"/>
    <w:rsid w:val="18A12DFD"/>
    <w:rsid w:val="18A922F3"/>
    <w:rsid w:val="18B137E8"/>
    <w:rsid w:val="18BB2661"/>
    <w:rsid w:val="18D46399"/>
    <w:rsid w:val="18EA09E3"/>
    <w:rsid w:val="18F56002"/>
    <w:rsid w:val="192F50C9"/>
    <w:rsid w:val="19633F03"/>
    <w:rsid w:val="196F047E"/>
    <w:rsid w:val="197B5DCD"/>
    <w:rsid w:val="19943641"/>
    <w:rsid w:val="199E02FC"/>
    <w:rsid w:val="19BA1CE3"/>
    <w:rsid w:val="19DF55C2"/>
    <w:rsid w:val="1A0C61A8"/>
    <w:rsid w:val="1A132F57"/>
    <w:rsid w:val="1A300E03"/>
    <w:rsid w:val="1A4C1518"/>
    <w:rsid w:val="1A5F760F"/>
    <w:rsid w:val="1A6F3E95"/>
    <w:rsid w:val="1A6F6E85"/>
    <w:rsid w:val="1AD22ED2"/>
    <w:rsid w:val="1AD51B88"/>
    <w:rsid w:val="1AF06347"/>
    <w:rsid w:val="1B0167A6"/>
    <w:rsid w:val="1B2058A0"/>
    <w:rsid w:val="1B2D037E"/>
    <w:rsid w:val="1B4B5C73"/>
    <w:rsid w:val="1B566A66"/>
    <w:rsid w:val="1B8565CF"/>
    <w:rsid w:val="1B9104B0"/>
    <w:rsid w:val="1BA96293"/>
    <w:rsid w:val="1BAC363D"/>
    <w:rsid w:val="1BAD5FE6"/>
    <w:rsid w:val="1BD60F79"/>
    <w:rsid w:val="1BE364C9"/>
    <w:rsid w:val="1C075926"/>
    <w:rsid w:val="1C0C60A0"/>
    <w:rsid w:val="1C261B3D"/>
    <w:rsid w:val="1C2A710A"/>
    <w:rsid w:val="1C41527E"/>
    <w:rsid w:val="1C49412F"/>
    <w:rsid w:val="1C4D3DCD"/>
    <w:rsid w:val="1C4F5FC4"/>
    <w:rsid w:val="1C64078D"/>
    <w:rsid w:val="1C81524F"/>
    <w:rsid w:val="1CA121A3"/>
    <w:rsid w:val="1CDF257F"/>
    <w:rsid w:val="1CE40841"/>
    <w:rsid w:val="1CF405AE"/>
    <w:rsid w:val="1CFB22F4"/>
    <w:rsid w:val="1D014450"/>
    <w:rsid w:val="1D1C238E"/>
    <w:rsid w:val="1D2131AC"/>
    <w:rsid w:val="1D2A2C86"/>
    <w:rsid w:val="1D2A6659"/>
    <w:rsid w:val="1D41310E"/>
    <w:rsid w:val="1D426DC5"/>
    <w:rsid w:val="1D4377C2"/>
    <w:rsid w:val="1D54682E"/>
    <w:rsid w:val="1D575B51"/>
    <w:rsid w:val="1D83301E"/>
    <w:rsid w:val="1D836FC7"/>
    <w:rsid w:val="1D956BB8"/>
    <w:rsid w:val="1D9F4A19"/>
    <w:rsid w:val="1DA05599"/>
    <w:rsid w:val="1DAB519B"/>
    <w:rsid w:val="1DC15D79"/>
    <w:rsid w:val="1DC65420"/>
    <w:rsid w:val="1DC94DC3"/>
    <w:rsid w:val="1DD04ECF"/>
    <w:rsid w:val="1E0649A4"/>
    <w:rsid w:val="1E144E53"/>
    <w:rsid w:val="1E2E1F24"/>
    <w:rsid w:val="1E474E6F"/>
    <w:rsid w:val="1E6843C7"/>
    <w:rsid w:val="1E84688B"/>
    <w:rsid w:val="1EA3124E"/>
    <w:rsid w:val="1EA60FCA"/>
    <w:rsid w:val="1EA87417"/>
    <w:rsid w:val="1ED70A99"/>
    <w:rsid w:val="1F35766F"/>
    <w:rsid w:val="1F65672E"/>
    <w:rsid w:val="1F6B4880"/>
    <w:rsid w:val="1F6D18D3"/>
    <w:rsid w:val="1F7222CF"/>
    <w:rsid w:val="1F855EC8"/>
    <w:rsid w:val="1F865B87"/>
    <w:rsid w:val="1F8D0E35"/>
    <w:rsid w:val="1FB611E4"/>
    <w:rsid w:val="1FBA2E91"/>
    <w:rsid w:val="1FC02D54"/>
    <w:rsid w:val="1FD92D82"/>
    <w:rsid w:val="1FEE1F52"/>
    <w:rsid w:val="207471CF"/>
    <w:rsid w:val="20950348"/>
    <w:rsid w:val="20981E88"/>
    <w:rsid w:val="20A06A24"/>
    <w:rsid w:val="20A10137"/>
    <w:rsid w:val="20A76189"/>
    <w:rsid w:val="20B97750"/>
    <w:rsid w:val="20BD2343"/>
    <w:rsid w:val="20C125E5"/>
    <w:rsid w:val="20F77EBA"/>
    <w:rsid w:val="20FE0571"/>
    <w:rsid w:val="21040EE9"/>
    <w:rsid w:val="21132D8F"/>
    <w:rsid w:val="212F48FD"/>
    <w:rsid w:val="21592DC8"/>
    <w:rsid w:val="216135E4"/>
    <w:rsid w:val="218E60D2"/>
    <w:rsid w:val="21AD6D40"/>
    <w:rsid w:val="21B23C30"/>
    <w:rsid w:val="21D5663A"/>
    <w:rsid w:val="21FF37BF"/>
    <w:rsid w:val="220D5F91"/>
    <w:rsid w:val="220F017A"/>
    <w:rsid w:val="223A4047"/>
    <w:rsid w:val="223D6488"/>
    <w:rsid w:val="224F423C"/>
    <w:rsid w:val="22590C76"/>
    <w:rsid w:val="227710AB"/>
    <w:rsid w:val="229B4E78"/>
    <w:rsid w:val="22AC349C"/>
    <w:rsid w:val="22C77F82"/>
    <w:rsid w:val="22E50F21"/>
    <w:rsid w:val="22F562BD"/>
    <w:rsid w:val="23054BAA"/>
    <w:rsid w:val="231C3AC6"/>
    <w:rsid w:val="23261385"/>
    <w:rsid w:val="23272B22"/>
    <w:rsid w:val="233970A1"/>
    <w:rsid w:val="2390118C"/>
    <w:rsid w:val="239A7798"/>
    <w:rsid w:val="23A33225"/>
    <w:rsid w:val="23A3458B"/>
    <w:rsid w:val="23A83880"/>
    <w:rsid w:val="23AC3B0D"/>
    <w:rsid w:val="23AC7B00"/>
    <w:rsid w:val="23AE3EA4"/>
    <w:rsid w:val="23BD797B"/>
    <w:rsid w:val="23CC13DF"/>
    <w:rsid w:val="241374BB"/>
    <w:rsid w:val="241C0641"/>
    <w:rsid w:val="24210897"/>
    <w:rsid w:val="242E0AC8"/>
    <w:rsid w:val="24474E0A"/>
    <w:rsid w:val="244A2F6C"/>
    <w:rsid w:val="244E4AD0"/>
    <w:rsid w:val="246B4679"/>
    <w:rsid w:val="248A767B"/>
    <w:rsid w:val="249900C5"/>
    <w:rsid w:val="249A43D4"/>
    <w:rsid w:val="24BF7D42"/>
    <w:rsid w:val="255D2F2A"/>
    <w:rsid w:val="256C5A3D"/>
    <w:rsid w:val="257858B7"/>
    <w:rsid w:val="257963F1"/>
    <w:rsid w:val="257D2B89"/>
    <w:rsid w:val="257D390C"/>
    <w:rsid w:val="259734FD"/>
    <w:rsid w:val="25A7402B"/>
    <w:rsid w:val="25D966A6"/>
    <w:rsid w:val="25FE15DC"/>
    <w:rsid w:val="26272FA3"/>
    <w:rsid w:val="26571428"/>
    <w:rsid w:val="26653EC4"/>
    <w:rsid w:val="26806C09"/>
    <w:rsid w:val="26863962"/>
    <w:rsid w:val="268F15B2"/>
    <w:rsid w:val="26983FA4"/>
    <w:rsid w:val="26FA6E39"/>
    <w:rsid w:val="27160EE4"/>
    <w:rsid w:val="271E4603"/>
    <w:rsid w:val="272342DC"/>
    <w:rsid w:val="27264DFC"/>
    <w:rsid w:val="272950BB"/>
    <w:rsid w:val="272A0710"/>
    <w:rsid w:val="27555997"/>
    <w:rsid w:val="27595274"/>
    <w:rsid w:val="276E4B45"/>
    <w:rsid w:val="277E0E1B"/>
    <w:rsid w:val="27C13C20"/>
    <w:rsid w:val="27E47883"/>
    <w:rsid w:val="27EA0124"/>
    <w:rsid w:val="28060F58"/>
    <w:rsid w:val="2807271F"/>
    <w:rsid w:val="28120519"/>
    <w:rsid w:val="281327C3"/>
    <w:rsid w:val="28195AAE"/>
    <w:rsid w:val="28323569"/>
    <w:rsid w:val="28326E12"/>
    <w:rsid w:val="28504863"/>
    <w:rsid w:val="28674296"/>
    <w:rsid w:val="287013AF"/>
    <w:rsid w:val="28934004"/>
    <w:rsid w:val="28943CBF"/>
    <w:rsid w:val="28B9246E"/>
    <w:rsid w:val="28E96526"/>
    <w:rsid w:val="28F77A34"/>
    <w:rsid w:val="28FB2B17"/>
    <w:rsid w:val="2905469E"/>
    <w:rsid w:val="29213FAC"/>
    <w:rsid w:val="294019F3"/>
    <w:rsid w:val="295C30A0"/>
    <w:rsid w:val="295F6F3A"/>
    <w:rsid w:val="2978542E"/>
    <w:rsid w:val="298168E8"/>
    <w:rsid w:val="29880DC9"/>
    <w:rsid w:val="299658C8"/>
    <w:rsid w:val="29C74336"/>
    <w:rsid w:val="29FF6BE7"/>
    <w:rsid w:val="2A0C4705"/>
    <w:rsid w:val="2A104C01"/>
    <w:rsid w:val="2A2219FF"/>
    <w:rsid w:val="2A2649D3"/>
    <w:rsid w:val="2A2F0453"/>
    <w:rsid w:val="2A375CB0"/>
    <w:rsid w:val="2A4F7A8E"/>
    <w:rsid w:val="2A5C693A"/>
    <w:rsid w:val="2A783A41"/>
    <w:rsid w:val="2A7C052B"/>
    <w:rsid w:val="2A9D1044"/>
    <w:rsid w:val="2AA14EFF"/>
    <w:rsid w:val="2AC52B69"/>
    <w:rsid w:val="2AE42B9F"/>
    <w:rsid w:val="2AFA4FF0"/>
    <w:rsid w:val="2AFF35D3"/>
    <w:rsid w:val="2B0A651F"/>
    <w:rsid w:val="2B132D50"/>
    <w:rsid w:val="2B4604CF"/>
    <w:rsid w:val="2B6076B4"/>
    <w:rsid w:val="2B617D56"/>
    <w:rsid w:val="2B631EFF"/>
    <w:rsid w:val="2B6E542D"/>
    <w:rsid w:val="2BA1378B"/>
    <w:rsid w:val="2BAC408F"/>
    <w:rsid w:val="2BDD0A2E"/>
    <w:rsid w:val="2BEB27E3"/>
    <w:rsid w:val="2BEB2E9D"/>
    <w:rsid w:val="2BF61207"/>
    <w:rsid w:val="2C1713D1"/>
    <w:rsid w:val="2C2E6F83"/>
    <w:rsid w:val="2C620007"/>
    <w:rsid w:val="2CA8063D"/>
    <w:rsid w:val="2CD367CC"/>
    <w:rsid w:val="2CDD2B9E"/>
    <w:rsid w:val="2D09394F"/>
    <w:rsid w:val="2D1C132F"/>
    <w:rsid w:val="2D51298D"/>
    <w:rsid w:val="2D6345E9"/>
    <w:rsid w:val="2D7E4209"/>
    <w:rsid w:val="2D88240F"/>
    <w:rsid w:val="2D9B288E"/>
    <w:rsid w:val="2DBD42B5"/>
    <w:rsid w:val="2DCB5DC1"/>
    <w:rsid w:val="2DCE5309"/>
    <w:rsid w:val="2DE2242A"/>
    <w:rsid w:val="2E23308A"/>
    <w:rsid w:val="2E4225F7"/>
    <w:rsid w:val="2E463849"/>
    <w:rsid w:val="2E5A5340"/>
    <w:rsid w:val="2E6E3CFB"/>
    <w:rsid w:val="2E6E73D5"/>
    <w:rsid w:val="2E81141D"/>
    <w:rsid w:val="2E9A7ADA"/>
    <w:rsid w:val="2EC2396D"/>
    <w:rsid w:val="2EF80558"/>
    <w:rsid w:val="2F1B0798"/>
    <w:rsid w:val="2F491BA5"/>
    <w:rsid w:val="2F4F0438"/>
    <w:rsid w:val="2F506BFB"/>
    <w:rsid w:val="2F542F52"/>
    <w:rsid w:val="2F7E2CC0"/>
    <w:rsid w:val="2F871ABC"/>
    <w:rsid w:val="2F921764"/>
    <w:rsid w:val="2F98405A"/>
    <w:rsid w:val="2FA276F4"/>
    <w:rsid w:val="2FAF32EB"/>
    <w:rsid w:val="2FCD4A51"/>
    <w:rsid w:val="2FD11EB8"/>
    <w:rsid w:val="2FE1749B"/>
    <w:rsid w:val="303606F3"/>
    <w:rsid w:val="303D5772"/>
    <w:rsid w:val="303E2207"/>
    <w:rsid w:val="30533443"/>
    <w:rsid w:val="306E40F7"/>
    <w:rsid w:val="306F4499"/>
    <w:rsid w:val="307849BD"/>
    <w:rsid w:val="30B15581"/>
    <w:rsid w:val="30B32EF2"/>
    <w:rsid w:val="30B93848"/>
    <w:rsid w:val="30BB37BA"/>
    <w:rsid w:val="30BE1DE8"/>
    <w:rsid w:val="31253510"/>
    <w:rsid w:val="312B7C81"/>
    <w:rsid w:val="313177AD"/>
    <w:rsid w:val="31341EAD"/>
    <w:rsid w:val="313712DD"/>
    <w:rsid w:val="31423CC5"/>
    <w:rsid w:val="3157256E"/>
    <w:rsid w:val="3160159B"/>
    <w:rsid w:val="316102EA"/>
    <w:rsid w:val="31665B97"/>
    <w:rsid w:val="31711EF3"/>
    <w:rsid w:val="317433D6"/>
    <w:rsid w:val="31854B7E"/>
    <w:rsid w:val="31E86EE4"/>
    <w:rsid w:val="31EA18EB"/>
    <w:rsid w:val="31F00167"/>
    <w:rsid w:val="31FD6157"/>
    <w:rsid w:val="32171B71"/>
    <w:rsid w:val="322B53E9"/>
    <w:rsid w:val="32326DEE"/>
    <w:rsid w:val="32915ABA"/>
    <w:rsid w:val="329C1497"/>
    <w:rsid w:val="32D72576"/>
    <w:rsid w:val="32D93319"/>
    <w:rsid w:val="32E04086"/>
    <w:rsid w:val="32E225C2"/>
    <w:rsid w:val="32F96A45"/>
    <w:rsid w:val="330D0307"/>
    <w:rsid w:val="331D384C"/>
    <w:rsid w:val="332C3D97"/>
    <w:rsid w:val="335C05C6"/>
    <w:rsid w:val="3360351F"/>
    <w:rsid w:val="33620CB2"/>
    <w:rsid w:val="33777078"/>
    <w:rsid w:val="33B17CDB"/>
    <w:rsid w:val="33E04B57"/>
    <w:rsid w:val="33FA7456"/>
    <w:rsid w:val="34024883"/>
    <w:rsid w:val="342C6E98"/>
    <w:rsid w:val="344F7140"/>
    <w:rsid w:val="346911EC"/>
    <w:rsid w:val="34714E70"/>
    <w:rsid w:val="34755DB1"/>
    <w:rsid w:val="34935876"/>
    <w:rsid w:val="349E0FB2"/>
    <w:rsid w:val="34A96A1A"/>
    <w:rsid w:val="34B370D1"/>
    <w:rsid w:val="34CA52FD"/>
    <w:rsid w:val="34E622D6"/>
    <w:rsid w:val="35073B82"/>
    <w:rsid w:val="3518700F"/>
    <w:rsid w:val="352F2FF3"/>
    <w:rsid w:val="35375748"/>
    <w:rsid w:val="35486C73"/>
    <w:rsid w:val="359E09BB"/>
    <w:rsid w:val="35C556EC"/>
    <w:rsid w:val="361A4DE1"/>
    <w:rsid w:val="361F592F"/>
    <w:rsid w:val="362F79EA"/>
    <w:rsid w:val="36516B14"/>
    <w:rsid w:val="36556C85"/>
    <w:rsid w:val="365B1C96"/>
    <w:rsid w:val="36603459"/>
    <w:rsid w:val="366D2C19"/>
    <w:rsid w:val="3675230B"/>
    <w:rsid w:val="36766F5C"/>
    <w:rsid w:val="36777C43"/>
    <w:rsid w:val="367E7A3F"/>
    <w:rsid w:val="36C1347A"/>
    <w:rsid w:val="36C31B41"/>
    <w:rsid w:val="36C532A1"/>
    <w:rsid w:val="36CE234D"/>
    <w:rsid w:val="36D347D3"/>
    <w:rsid w:val="36DA50A9"/>
    <w:rsid w:val="36F46372"/>
    <w:rsid w:val="372F4949"/>
    <w:rsid w:val="3736228A"/>
    <w:rsid w:val="37671725"/>
    <w:rsid w:val="376F122C"/>
    <w:rsid w:val="3798526A"/>
    <w:rsid w:val="37B72EB1"/>
    <w:rsid w:val="37C1607A"/>
    <w:rsid w:val="37C42A0D"/>
    <w:rsid w:val="37C806F3"/>
    <w:rsid w:val="37C85C3C"/>
    <w:rsid w:val="37CF1603"/>
    <w:rsid w:val="38060B00"/>
    <w:rsid w:val="38585500"/>
    <w:rsid w:val="38591578"/>
    <w:rsid w:val="385D1C71"/>
    <w:rsid w:val="386038B3"/>
    <w:rsid w:val="38684A38"/>
    <w:rsid w:val="388E1434"/>
    <w:rsid w:val="38BA5460"/>
    <w:rsid w:val="38C62FF5"/>
    <w:rsid w:val="38D62476"/>
    <w:rsid w:val="38E27127"/>
    <w:rsid w:val="39027E88"/>
    <w:rsid w:val="39075875"/>
    <w:rsid w:val="391904A1"/>
    <w:rsid w:val="391C718D"/>
    <w:rsid w:val="394D30B0"/>
    <w:rsid w:val="394F6067"/>
    <w:rsid w:val="39624091"/>
    <w:rsid w:val="397C6037"/>
    <w:rsid w:val="39D43B66"/>
    <w:rsid w:val="39EC03FA"/>
    <w:rsid w:val="3A1D058F"/>
    <w:rsid w:val="3A1E303B"/>
    <w:rsid w:val="3A1F74C9"/>
    <w:rsid w:val="3A2A1F54"/>
    <w:rsid w:val="3A2D40D1"/>
    <w:rsid w:val="3A314B02"/>
    <w:rsid w:val="3A5C2602"/>
    <w:rsid w:val="3A79657B"/>
    <w:rsid w:val="3A8B77C7"/>
    <w:rsid w:val="3A8F7DE5"/>
    <w:rsid w:val="3A9A32EA"/>
    <w:rsid w:val="3ABA7B35"/>
    <w:rsid w:val="3ACD391F"/>
    <w:rsid w:val="3B026D00"/>
    <w:rsid w:val="3B1471CB"/>
    <w:rsid w:val="3B3836C7"/>
    <w:rsid w:val="3B5F2B46"/>
    <w:rsid w:val="3B655681"/>
    <w:rsid w:val="3B6C4553"/>
    <w:rsid w:val="3B6F3ABC"/>
    <w:rsid w:val="3B7527F4"/>
    <w:rsid w:val="3B7754EB"/>
    <w:rsid w:val="3B977FD2"/>
    <w:rsid w:val="3BAA143A"/>
    <w:rsid w:val="3BAC7D85"/>
    <w:rsid w:val="3BC378A6"/>
    <w:rsid w:val="3BDC08FD"/>
    <w:rsid w:val="3BE42ECD"/>
    <w:rsid w:val="3BFE1CAB"/>
    <w:rsid w:val="3C10260E"/>
    <w:rsid w:val="3C215F09"/>
    <w:rsid w:val="3C274A05"/>
    <w:rsid w:val="3C30530A"/>
    <w:rsid w:val="3C43437F"/>
    <w:rsid w:val="3C4F746D"/>
    <w:rsid w:val="3C6A66D6"/>
    <w:rsid w:val="3C7511AE"/>
    <w:rsid w:val="3CA977D2"/>
    <w:rsid w:val="3CAD3C40"/>
    <w:rsid w:val="3CBF0958"/>
    <w:rsid w:val="3CC733AF"/>
    <w:rsid w:val="3CCB1880"/>
    <w:rsid w:val="3CD72551"/>
    <w:rsid w:val="3CF76813"/>
    <w:rsid w:val="3CFC6063"/>
    <w:rsid w:val="3D1319B5"/>
    <w:rsid w:val="3D205B1B"/>
    <w:rsid w:val="3D260CA6"/>
    <w:rsid w:val="3D520CCB"/>
    <w:rsid w:val="3D5C6974"/>
    <w:rsid w:val="3D6678B0"/>
    <w:rsid w:val="3D772181"/>
    <w:rsid w:val="3D823D30"/>
    <w:rsid w:val="3DB35286"/>
    <w:rsid w:val="3DCE6FB3"/>
    <w:rsid w:val="3DD16176"/>
    <w:rsid w:val="3E104E3F"/>
    <w:rsid w:val="3E1D6E9C"/>
    <w:rsid w:val="3E3A052C"/>
    <w:rsid w:val="3E4A1BED"/>
    <w:rsid w:val="3E662345"/>
    <w:rsid w:val="3E82228B"/>
    <w:rsid w:val="3E8242C1"/>
    <w:rsid w:val="3E9B4698"/>
    <w:rsid w:val="3EB33AF3"/>
    <w:rsid w:val="3EEA62D8"/>
    <w:rsid w:val="3EFD0DF6"/>
    <w:rsid w:val="3EFE49C6"/>
    <w:rsid w:val="3F0A5B5C"/>
    <w:rsid w:val="3F1A0890"/>
    <w:rsid w:val="3F3F5846"/>
    <w:rsid w:val="3F71500B"/>
    <w:rsid w:val="3F7B33F8"/>
    <w:rsid w:val="3F801023"/>
    <w:rsid w:val="3F8064EB"/>
    <w:rsid w:val="3F950FB5"/>
    <w:rsid w:val="3F982DCA"/>
    <w:rsid w:val="3FA05CDE"/>
    <w:rsid w:val="3FCB5632"/>
    <w:rsid w:val="3FD12D26"/>
    <w:rsid w:val="3FDE4917"/>
    <w:rsid w:val="3FE2412F"/>
    <w:rsid w:val="402F3ADF"/>
    <w:rsid w:val="40306F5A"/>
    <w:rsid w:val="40476BB3"/>
    <w:rsid w:val="404D19C2"/>
    <w:rsid w:val="40546FB6"/>
    <w:rsid w:val="40554803"/>
    <w:rsid w:val="407A60D5"/>
    <w:rsid w:val="407D4F24"/>
    <w:rsid w:val="40961808"/>
    <w:rsid w:val="40AB4DEE"/>
    <w:rsid w:val="40D24BBE"/>
    <w:rsid w:val="40EC4043"/>
    <w:rsid w:val="41166469"/>
    <w:rsid w:val="412008E0"/>
    <w:rsid w:val="413A6D3B"/>
    <w:rsid w:val="41515AC7"/>
    <w:rsid w:val="41902B9F"/>
    <w:rsid w:val="41C02331"/>
    <w:rsid w:val="41C13A63"/>
    <w:rsid w:val="41C67037"/>
    <w:rsid w:val="41D04D90"/>
    <w:rsid w:val="41D229E1"/>
    <w:rsid w:val="41EC6E94"/>
    <w:rsid w:val="41F72149"/>
    <w:rsid w:val="4228585D"/>
    <w:rsid w:val="42415ACC"/>
    <w:rsid w:val="425360DC"/>
    <w:rsid w:val="42611755"/>
    <w:rsid w:val="427D539F"/>
    <w:rsid w:val="428E01E1"/>
    <w:rsid w:val="42991E30"/>
    <w:rsid w:val="42CC19F4"/>
    <w:rsid w:val="42CE0B28"/>
    <w:rsid w:val="42CF6367"/>
    <w:rsid w:val="42D36FBC"/>
    <w:rsid w:val="42DE1CCC"/>
    <w:rsid w:val="42E32424"/>
    <w:rsid w:val="4308546B"/>
    <w:rsid w:val="43263445"/>
    <w:rsid w:val="432B1D63"/>
    <w:rsid w:val="434157E3"/>
    <w:rsid w:val="43482915"/>
    <w:rsid w:val="43494860"/>
    <w:rsid w:val="434D380E"/>
    <w:rsid w:val="43934189"/>
    <w:rsid w:val="439D4850"/>
    <w:rsid w:val="43C27232"/>
    <w:rsid w:val="43EC5186"/>
    <w:rsid w:val="43ED069F"/>
    <w:rsid w:val="442A6E5A"/>
    <w:rsid w:val="44356E29"/>
    <w:rsid w:val="44427364"/>
    <w:rsid w:val="445C4B8F"/>
    <w:rsid w:val="447C2A1B"/>
    <w:rsid w:val="447F5CBE"/>
    <w:rsid w:val="44833851"/>
    <w:rsid w:val="44982752"/>
    <w:rsid w:val="44BF6F86"/>
    <w:rsid w:val="44C45031"/>
    <w:rsid w:val="44D53AB2"/>
    <w:rsid w:val="44DA00B4"/>
    <w:rsid w:val="44DE062F"/>
    <w:rsid w:val="44F27B0D"/>
    <w:rsid w:val="45151583"/>
    <w:rsid w:val="45174CA4"/>
    <w:rsid w:val="45485BDE"/>
    <w:rsid w:val="457D4A3F"/>
    <w:rsid w:val="458571EC"/>
    <w:rsid w:val="45945C30"/>
    <w:rsid w:val="4597723C"/>
    <w:rsid w:val="459F2306"/>
    <w:rsid w:val="45A832FE"/>
    <w:rsid w:val="45AB6174"/>
    <w:rsid w:val="45BA63E5"/>
    <w:rsid w:val="45CC5EDC"/>
    <w:rsid w:val="45CF584F"/>
    <w:rsid w:val="45E43639"/>
    <w:rsid w:val="45F73D47"/>
    <w:rsid w:val="462D2575"/>
    <w:rsid w:val="46467FD8"/>
    <w:rsid w:val="46601D33"/>
    <w:rsid w:val="4666746C"/>
    <w:rsid w:val="467505FA"/>
    <w:rsid w:val="467B6008"/>
    <w:rsid w:val="468720BA"/>
    <w:rsid w:val="46895AFC"/>
    <w:rsid w:val="468E6A9E"/>
    <w:rsid w:val="46BC623F"/>
    <w:rsid w:val="46D02A05"/>
    <w:rsid w:val="46D855B9"/>
    <w:rsid w:val="470D2C74"/>
    <w:rsid w:val="47176AEE"/>
    <w:rsid w:val="47236E19"/>
    <w:rsid w:val="473A07C7"/>
    <w:rsid w:val="476240E0"/>
    <w:rsid w:val="477570F1"/>
    <w:rsid w:val="47AD33FA"/>
    <w:rsid w:val="47B41AAA"/>
    <w:rsid w:val="47B9631D"/>
    <w:rsid w:val="47CD38AD"/>
    <w:rsid w:val="47DB16D8"/>
    <w:rsid w:val="47F91F4D"/>
    <w:rsid w:val="481726F3"/>
    <w:rsid w:val="48416760"/>
    <w:rsid w:val="48466F81"/>
    <w:rsid w:val="484D02A2"/>
    <w:rsid w:val="486B647A"/>
    <w:rsid w:val="48896934"/>
    <w:rsid w:val="489B48B9"/>
    <w:rsid w:val="48C12AEC"/>
    <w:rsid w:val="48D072A1"/>
    <w:rsid w:val="48D1341D"/>
    <w:rsid w:val="48D63F90"/>
    <w:rsid w:val="48E0279A"/>
    <w:rsid w:val="48E64C8E"/>
    <w:rsid w:val="48EC7724"/>
    <w:rsid w:val="48FA7B87"/>
    <w:rsid w:val="49023E07"/>
    <w:rsid w:val="4919356E"/>
    <w:rsid w:val="492A7740"/>
    <w:rsid w:val="49300AA7"/>
    <w:rsid w:val="49391CB0"/>
    <w:rsid w:val="493C3A20"/>
    <w:rsid w:val="49401E21"/>
    <w:rsid w:val="49526EB9"/>
    <w:rsid w:val="49684311"/>
    <w:rsid w:val="496D00AD"/>
    <w:rsid w:val="49742114"/>
    <w:rsid w:val="49754CB4"/>
    <w:rsid w:val="49921F0F"/>
    <w:rsid w:val="49CE6B8E"/>
    <w:rsid w:val="49D72FF3"/>
    <w:rsid w:val="49E0102B"/>
    <w:rsid w:val="4A2945F2"/>
    <w:rsid w:val="4A615154"/>
    <w:rsid w:val="4A844DE0"/>
    <w:rsid w:val="4A96607C"/>
    <w:rsid w:val="4AA91ED6"/>
    <w:rsid w:val="4AB92E92"/>
    <w:rsid w:val="4B2134B8"/>
    <w:rsid w:val="4B24233C"/>
    <w:rsid w:val="4B330A0B"/>
    <w:rsid w:val="4B3756CC"/>
    <w:rsid w:val="4B5E55F9"/>
    <w:rsid w:val="4B685D82"/>
    <w:rsid w:val="4B7B4674"/>
    <w:rsid w:val="4B7C663B"/>
    <w:rsid w:val="4B812078"/>
    <w:rsid w:val="4BB24DCF"/>
    <w:rsid w:val="4BF71347"/>
    <w:rsid w:val="4BF97932"/>
    <w:rsid w:val="4C107D48"/>
    <w:rsid w:val="4C141E75"/>
    <w:rsid w:val="4C2A4039"/>
    <w:rsid w:val="4C736F36"/>
    <w:rsid w:val="4C8300CC"/>
    <w:rsid w:val="4CAE60E3"/>
    <w:rsid w:val="4CC72AFC"/>
    <w:rsid w:val="4CEE1D13"/>
    <w:rsid w:val="4D032DA9"/>
    <w:rsid w:val="4D0C6DBE"/>
    <w:rsid w:val="4D25615C"/>
    <w:rsid w:val="4D36054D"/>
    <w:rsid w:val="4D41137F"/>
    <w:rsid w:val="4D4D3B7A"/>
    <w:rsid w:val="4D524AEA"/>
    <w:rsid w:val="4D5724F7"/>
    <w:rsid w:val="4D757452"/>
    <w:rsid w:val="4D8C3F82"/>
    <w:rsid w:val="4DBC14B8"/>
    <w:rsid w:val="4DE936C7"/>
    <w:rsid w:val="4DEB2922"/>
    <w:rsid w:val="4DF23555"/>
    <w:rsid w:val="4E050D4C"/>
    <w:rsid w:val="4E061402"/>
    <w:rsid w:val="4E06569E"/>
    <w:rsid w:val="4E093792"/>
    <w:rsid w:val="4E173610"/>
    <w:rsid w:val="4E1D26B7"/>
    <w:rsid w:val="4E1D3A0D"/>
    <w:rsid w:val="4E1F052C"/>
    <w:rsid w:val="4E451D41"/>
    <w:rsid w:val="4E7A454C"/>
    <w:rsid w:val="4E820B4C"/>
    <w:rsid w:val="4E85341C"/>
    <w:rsid w:val="4E8A77B4"/>
    <w:rsid w:val="4E9B7B12"/>
    <w:rsid w:val="4EC47712"/>
    <w:rsid w:val="4EDD3C61"/>
    <w:rsid w:val="4EE43E79"/>
    <w:rsid w:val="4EF1457F"/>
    <w:rsid w:val="4F265CEA"/>
    <w:rsid w:val="4F2C40A0"/>
    <w:rsid w:val="4F2F3B98"/>
    <w:rsid w:val="4F380B7A"/>
    <w:rsid w:val="4F424B82"/>
    <w:rsid w:val="4F4B0CB3"/>
    <w:rsid w:val="4F4F0EBF"/>
    <w:rsid w:val="4F586D8F"/>
    <w:rsid w:val="4F8C4B40"/>
    <w:rsid w:val="4FAA5CD5"/>
    <w:rsid w:val="4FBD187E"/>
    <w:rsid w:val="4FC56067"/>
    <w:rsid w:val="4FD11AC0"/>
    <w:rsid w:val="4FEA4E33"/>
    <w:rsid w:val="50111814"/>
    <w:rsid w:val="501119C9"/>
    <w:rsid w:val="502F75EB"/>
    <w:rsid w:val="50400243"/>
    <w:rsid w:val="50494336"/>
    <w:rsid w:val="50784012"/>
    <w:rsid w:val="50813C12"/>
    <w:rsid w:val="5087463E"/>
    <w:rsid w:val="50964CC0"/>
    <w:rsid w:val="50A11680"/>
    <w:rsid w:val="50B77550"/>
    <w:rsid w:val="50C773AE"/>
    <w:rsid w:val="50CD6602"/>
    <w:rsid w:val="50E6022F"/>
    <w:rsid w:val="510D0F23"/>
    <w:rsid w:val="51197B59"/>
    <w:rsid w:val="516105A3"/>
    <w:rsid w:val="51615030"/>
    <w:rsid w:val="51627812"/>
    <w:rsid w:val="51C136D4"/>
    <w:rsid w:val="51D33F6D"/>
    <w:rsid w:val="51DB1448"/>
    <w:rsid w:val="52045DB4"/>
    <w:rsid w:val="522C275E"/>
    <w:rsid w:val="524C13A2"/>
    <w:rsid w:val="529000F6"/>
    <w:rsid w:val="5296149A"/>
    <w:rsid w:val="52990A97"/>
    <w:rsid w:val="52A65672"/>
    <w:rsid w:val="52BA4073"/>
    <w:rsid w:val="52CA2507"/>
    <w:rsid w:val="52CD7B31"/>
    <w:rsid w:val="52D045A1"/>
    <w:rsid w:val="52D32A37"/>
    <w:rsid w:val="52D576F4"/>
    <w:rsid w:val="52DF170A"/>
    <w:rsid w:val="52E25B6D"/>
    <w:rsid w:val="52F362FB"/>
    <w:rsid w:val="52F4161A"/>
    <w:rsid w:val="52F965A5"/>
    <w:rsid w:val="53081AD8"/>
    <w:rsid w:val="53235275"/>
    <w:rsid w:val="53240623"/>
    <w:rsid w:val="53321C03"/>
    <w:rsid w:val="533415F9"/>
    <w:rsid w:val="534823B8"/>
    <w:rsid w:val="535657D0"/>
    <w:rsid w:val="535868CC"/>
    <w:rsid w:val="53597EDB"/>
    <w:rsid w:val="535A2D18"/>
    <w:rsid w:val="538D066D"/>
    <w:rsid w:val="53934B1D"/>
    <w:rsid w:val="53A2278E"/>
    <w:rsid w:val="53CB788B"/>
    <w:rsid w:val="53D17DBD"/>
    <w:rsid w:val="53E32E36"/>
    <w:rsid w:val="54203B94"/>
    <w:rsid w:val="5424233E"/>
    <w:rsid w:val="542A3DC2"/>
    <w:rsid w:val="542C299E"/>
    <w:rsid w:val="543527D7"/>
    <w:rsid w:val="543642C1"/>
    <w:rsid w:val="54506176"/>
    <w:rsid w:val="5461235D"/>
    <w:rsid w:val="54667BA2"/>
    <w:rsid w:val="547E7555"/>
    <w:rsid w:val="54806F19"/>
    <w:rsid w:val="54A01FAE"/>
    <w:rsid w:val="54A478E7"/>
    <w:rsid w:val="54AC3148"/>
    <w:rsid w:val="54C0256E"/>
    <w:rsid w:val="54C334B7"/>
    <w:rsid w:val="54D4667D"/>
    <w:rsid w:val="54D55C56"/>
    <w:rsid w:val="54DE4E87"/>
    <w:rsid w:val="54EC389B"/>
    <w:rsid w:val="54F847D9"/>
    <w:rsid w:val="55126190"/>
    <w:rsid w:val="555F3833"/>
    <w:rsid w:val="55667780"/>
    <w:rsid w:val="556E493A"/>
    <w:rsid w:val="55725F14"/>
    <w:rsid w:val="55941D63"/>
    <w:rsid w:val="559C0CE1"/>
    <w:rsid w:val="55B42D88"/>
    <w:rsid w:val="55D11119"/>
    <w:rsid w:val="55DB1F79"/>
    <w:rsid w:val="560A42BD"/>
    <w:rsid w:val="560C1D89"/>
    <w:rsid w:val="561548D9"/>
    <w:rsid w:val="56353B20"/>
    <w:rsid w:val="563A6A4D"/>
    <w:rsid w:val="56443B98"/>
    <w:rsid w:val="56453A77"/>
    <w:rsid w:val="56757259"/>
    <w:rsid w:val="568B7EB7"/>
    <w:rsid w:val="56BC078F"/>
    <w:rsid w:val="56CB4BCB"/>
    <w:rsid w:val="56D848CE"/>
    <w:rsid w:val="56FB75FE"/>
    <w:rsid w:val="572F42F6"/>
    <w:rsid w:val="57391A95"/>
    <w:rsid w:val="573F3C9E"/>
    <w:rsid w:val="574028CB"/>
    <w:rsid w:val="574C52C4"/>
    <w:rsid w:val="57526FDB"/>
    <w:rsid w:val="57572F35"/>
    <w:rsid w:val="575B33A4"/>
    <w:rsid w:val="57674A5D"/>
    <w:rsid w:val="579775E1"/>
    <w:rsid w:val="57C90530"/>
    <w:rsid w:val="57CE0836"/>
    <w:rsid w:val="58240E03"/>
    <w:rsid w:val="582F44F7"/>
    <w:rsid w:val="583F27F2"/>
    <w:rsid w:val="58455B6D"/>
    <w:rsid w:val="584D29B0"/>
    <w:rsid w:val="584F7C49"/>
    <w:rsid w:val="5888302C"/>
    <w:rsid w:val="5889129A"/>
    <w:rsid w:val="58A70AE5"/>
    <w:rsid w:val="58AD528C"/>
    <w:rsid w:val="58B31955"/>
    <w:rsid w:val="58BA45A1"/>
    <w:rsid w:val="594F6915"/>
    <w:rsid w:val="59737A65"/>
    <w:rsid w:val="59842DF4"/>
    <w:rsid w:val="59947CE9"/>
    <w:rsid w:val="59A0359A"/>
    <w:rsid w:val="59E52D9A"/>
    <w:rsid w:val="5A300449"/>
    <w:rsid w:val="5A3317D1"/>
    <w:rsid w:val="5A403EEE"/>
    <w:rsid w:val="5A482DEE"/>
    <w:rsid w:val="5A55295D"/>
    <w:rsid w:val="5A7E104A"/>
    <w:rsid w:val="5A8208A0"/>
    <w:rsid w:val="5A861FD5"/>
    <w:rsid w:val="5AE3253A"/>
    <w:rsid w:val="5AEA30C9"/>
    <w:rsid w:val="5AEA3475"/>
    <w:rsid w:val="5AF54C6B"/>
    <w:rsid w:val="5B0647F0"/>
    <w:rsid w:val="5B087B94"/>
    <w:rsid w:val="5B0C2FBE"/>
    <w:rsid w:val="5B0E3E89"/>
    <w:rsid w:val="5B124740"/>
    <w:rsid w:val="5B31434D"/>
    <w:rsid w:val="5B3A10B7"/>
    <w:rsid w:val="5B3F60FF"/>
    <w:rsid w:val="5B3F66E7"/>
    <w:rsid w:val="5B872AE6"/>
    <w:rsid w:val="5BA77753"/>
    <w:rsid w:val="5BB60E53"/>
    <w:rsid w:val="5BC025EF"/>
    <w:rsid w:val="5C077640"/>
    <w:rsid w:val="5C1203C7"/>
    <w:rsid w:val="5C1F35AE"/>
    <w:rsid w:val="5C3905BF"/>
    <w:rsid w:val="5C66397A"/>
    <w:rsid w:val="5C7349B6"/>
    <w:rsid w:val="5C824C05"/>
    <w:rsid w:val="5C8725EE"/>
    <w:rsid w:val="5CB0251A"/>
    <w:rsid w:val="5CB97030"/>
    <w:rsid w:val="5CC97332"/>
    <w:rsid w:val="5D073AE3"/>
    <w:rsid w:val="5D187049"/>
    <w:rsid w:val="5D1D2427"/>
    <w:rsid w:val="5D756277"/>
    <w:rsid w:val="5D760215"/>
    <w:rsid w:val="5D7D3B34"/>
    <w:rsid w:val="5D955FBD"/>
    <w:rsid w:val="5DA62524"/>
    <w:rsid w:val="5DAC3919"/>
    <w:rsid w:val="5DB36259"/>
    <w:rsid w:val="5DBD33B2"/>
    <w:rsid w:val="5DC223CB"/>
    <w:rsid w:val="5DF66637"/>
    <w:rsid w:val="5DFF6858"/>
    <w:rsid w:val="5E0F2B0E"/>
    <w:rsid w:val="5E185132"/>
    <w:rsid w:val="5E21523D"/>
    <w:rsid w:val="5E2A0167"/>
    <w:rsid w:val="5E5D68E8"/>
    <w:rsid w:val="5E781EA8"/>
    <w:rsid w:val="5E802A96"/>
    <w:rsid w:val="5E9074FF"/>
    <w:rsid w:val="5EAD0273"/>
    <w:rsid w:val="5EAE1AF2"/>
    <w:rsid w:val="5EB62A77"/>
    <w:rsid w:val="5EB80355"/>
    <w:rsid w:val="5EBB2226"/>
    <w:rsid w:val="5EBE5F24"/>
    <w:rsid w:val="5EF07004"/>
    <w:rsid w:val="5F0E1E9A"/>
    <w:rsid w:val="5F860C23"/>
    <w:rsid w:val="5FC44411"/>
    <w:rsid w:val="5FE05236"/>
    <w:rsid w:val="5FE426E2"/>
    <w:rsid w:val="6032020C"/>
    <w:rsid w:val="605C7AA6"/>
    <w:rsid w:val="605F132B"/>
    <w:rsid w:val="608510A4"/>
    <w:rsid w:val="608762FF"/>
    <w:rsid w:val="60997EB4"/>
    <w:rsid w:val="609E1C45"/>
    <w:rsid w:val="60B74397"/>
    <w:rsid w:val="60BD4FD1"/>
    <w:rsid w:val="60C23FA5"/>
    <w:rsid w:val="60D507D0"/>
    <w:rsid w:val="60E07610"/>
    <w:rsid w:val="60EA1511"/>
    <w:rsid w:val="60EB6C34"/>
    <w:rsid w:val="60FD5C7B"/>
    <w:rsid w:val="610C1CA3"/>
    <w:rsid w:val="612C0D28"/>
    <w:rsid w:val="613D7E7B"/>
    <w:rsid w:val="61425C7D"/>
    <w:rsid w:val="617162E9"/>
    <w:rsid w:val="61A52BAA"/>
    <w:rsid w:val="61C36FD5"/>
    <w:rsid w:val="61CF1360"/>
    <w:rsid w:val="61FA0AE4"/>
    <w:rsid w:val="621D7EC3"/>
    <w:rsid w:val="62221C10"/>
    <w:rsid w:val="623438BB"/>
    <w:rsid w:val="62352B2C"/>
    <w:rsid w:val="624B10F0"/>
    <w:rsid w:val="624F3E48"/>
    <w:rsid w:val="62516C98"/>
    <w:rsid w:val="62635981"/>
    <w:rsid w:val="629848C7"/>
    <w:rsid w:val="629B3E75"/>
    <w:rsid w:val="629B5D43"/>
    <w:rsid w:val="62A36D1F"/>
    <w:rsid w:val="62A40365"/>
    <w:rsid w:val="62A469A9"/>
    <w:rsid w:val="62A92FF1"/>
    <w:rsid w:val="62B90FFE"/>
    <w:rsid w:val="62E10186"/>
    <w:rsid w:val="62F6018D"/>
    <w:rsid w:val="63016E3A"/>
    <w:rsid w:val="63034141"/>
    <w:rsid w:val="63045E00"/>
    <w:rsid w:val="630A731B"/>
    <w:rsid w:val="631A3570"/>
    <w:rsid w:val="63386B48"/>
    <w:rsid w:val="633A3FE7"/>
    <w:rsid w:val="63410B16"/>
    <w:rsid w:val="634879EF"/>
    <w:rsid w:val="63562840"/>
    <w:rsid w:val="637141EC"/>
    <w:rsid w:val="63754C08"/>
    <w:rsid w:val="63805B1F"/>
    <w:rsid w:val="63834973"/>
    <w:rsid w:val="638F3DC7"/>
    <w:rsid w:val="6397194C"/>
    <w:rsid w:val="63A17834"/>
    <w:rsid w:val="63AB4D19"/>
    <w:rsid w:val="63D538F9"/>
    <w:rsid w:val="63DA4B5E"/>
    <w:rsid w:val="63DE2C24"/>
    <w:rsid w:val="64273E62"/>
    <w:rsid w:val="642E2892"/>
    <w:rsid w:val="643B736C"/>
    <w:rsid w:val="643E149E"/>
    <w:rsid w:val="644F0FB6"/>
    <w:rsid w:val="64AD7C37"/>
    <w:rsid w:val="64B0399F"/>
    <w:rsid w:val="64B05758"/>
    <w:rsid w:val="64BE4B0D"/>
    <w:rsid w:val="65075A96"/>
    <w:rsid w:val="650E600B"/>
    <w:rsid w:val="650F0C7B"/>
    <w:rsid w:val="651541F8"/>
    <w:rsid w:val="652B691A"/>
    <w:rsid w:val="65B221E6"/>
    <w:rsid w:val="65BB5F2E"/>
    <w:rsid w:val="65E939D5"/>
    <w:rsid w:val="66253087"/>
    <w:rsid w:val="66426031"/>
    <w:rsid w:val="66552ACF"/>
    <w:rsid w:val="66593B74"/>
    <w:rsid w:val="665D2DD8"/>
    <w:rsid w:val="66651C8A"/>
    <w:rsid w:val="66675176"/>
    <w:rsid w:val="669F2C65"/>
    <w:rsid w:val="66BE6B53"/>
    <w:rsid w:val="66C55FD8"/>
    <w:rsid w:val="66C96C89"/>
    <w:rsid w:val="66D333AF"/>
    <w:rsid w:val="67023742"/>
    <w:rsid w:val="67192A34"/>
    <w:rsid w:val="674A4927"/>
    <w:rsid w:val="6760233B"/>
    <w:rsid w:val="677243C5"/>
    <w:rsid w:val="678568CD"/>
    <w:rsid w:val="67904A3A"/>
    <w:rsid w:val="67A24F14"/>
    <w:rsid w:val="67BB4EAD"/>
    <w:rsid w:val="67E453F6"/>
    <w:rsid w:val="67F130F8"/>
    <w:rsid w:val="67F84AFE"/>
    <w:rsid w:val="680878A3"/>
    <w:rsid w:val="68340476"/>
    <w:rsid w:val="68366D6B"/>
    <w:rsid w:val="68375AD4"/>
    <w:rsid w:val="683870E8"/>
    <w:rsid w:val="68457681"/>
    <w:rsid w:val="684977D5"/>
    <w:rsid w:val="68552C50"/>
    <w:rsid w:val="685D34E7"/>
    <w:rsid w:val="686A1EFF"/>
    <w:rsid w:val="68A8123A"/>
    <w:rsid w:val="68B84F4C"/>
    <w:rsid w:val="69055229"/>
    <w:rsid w:val="6929374C"/>
    <w:rsid w:val="692F20BB"/>
    <w:rsid w:val="69784C3F"/>
    <w:rsid w:val="69C1095D"/>
    <w:rsid w:val="6A0138F7"/>
    <w:rsid w:val="6A1E155A"/>
    <w:rsid w:val="6A682BD4"/>
    <w:rsid w:val="6A7B5447"/>
    <w:rsid w:val="6AA933EA"/>
    <w:rsid w:val="6ADB012D"/>
    <w:rsid w:val="6AE3748E"/>
    <w:rsid w:val="6AE83C5F"/>
    <w:rsid w:val="6AF53FAE"/>
    <w:rsid w:val="6B1C3EC6"/>
    <w:rsid w:val="6B317586"/>
    <w:rsid w:val="6B3727A3"/>
    <w:rsid w:val="6B3F4C28"/>
    <w:rsid w:val="6B574638"/>
    <w:rsid w:val="6B5F5B98"/>
    <w:rsid w:val="6B615C8D"/>
    <w:rsid w:val="6B67068F"/>
    <w:rsid w:val="6B6E2E8D"/>
    <w:rsid w:val="6B830718"/>
    <w:rsid w:val="6B977A86"/>
    <w:rsid w:val="6BAB6FBB"/>
    <w:rsid w:val="6BB568D4"/>
    <w:rsid w:val="6BDF720E"/>
    <w:rsid w:val="6BDF79C7"/>
    <w:rsid w:val="6BE146ED"/>
    <w:rsid w:val="6C0B074D"/>
    <w:rsid w:val="6C1458EF"/>
    <w:rsid w:val="6C1E0407"/>
    <w:rsid w:val="6C231806"/>
    <w:rsid w:val="6C275F8B"/>
    <w:rsid w:val="6C2C76C9"/>
    <w:rsid w:val="6C3B15FF"/>
    <w:rsid w:val="6C3B431E"/>
    <w:rsid w:val="6C3E5116"/>
    <w:rsid w:val="6C4A65DC"/>
    <w:rsid w:val="6C725FD7"/>
    <w:rsid w:val="6C8379F5"/>
    <w:rsid w:val="6C852D02"/>
    <w:rsid w:val="6CEA2C90"/>
    <w:rsid w:val="6CFA5C74"/>
    <w:rsid w:val="6D272DFD"/>
    <w:rsid w:val="6D2C4A68"/>
    <w:rsid w:val="6D3B2E78"/>
    <w:rsid w:val="6D3C3AC0"/>
    <w:rsid w:val="6D410335"/>
    <w:rsid w:val="6D4305C3"/>
    <w:rsid w:val="6D48445E"/>
    <w:rsid w:val="6D500B73"/>
    <w:rsid w:val="6D666AA6"/>
    <w:rsid w:val="6D687043"/>
    <w:rsid w:val="6D7D6DC8"/>
    <w:rsid w:val="6D885EAB"/>
    <w:rsid w:val="6D953F0C"/>
    <w:rsid w:val="6DB67EBB"/>
    <w:rsid w:val="6DEF52E3"/>
    <w:rsid w:val="6E0E6A1E"/>
    <w:rsid w:val="6E223BFA"/>
    <w:rsid w:val="6E2D763E"/>
    <w:rsid w:val="6E420FB1"/>
    <w:rsid w:val="6E6B46D3"/>
    <w:rsid w:val="6E6F6F77"/>
    <w:rsid w:val="6E751F61"/>
    <w:rsid w:val="6E953983"/>
    <w:rsid w:val="6E95768E"/>
    <w:rsid w:val="6EA14900"/>
    <w:rsid w:val="6EB27AA3"/>
    <w:rsid w:val="6EBD1CFE"/>
    <w:rsid w:val="6EBF142E"/>
    <w:rsid w:val="6EF9461D"/>
    <w:rsid w:val="6EFA6628"/>
    <w:rsid w:val="6F1348E9"/>
    <w:rsid w:val="6F2A01FE"/>
    <w:rsid w:val="6F2A71A4"/>
    <w:rsid w:val="6F5D1EE4"/>
    <w:rsid w:val="6F9415EA"/>
    <w:rsid w:val="6FB72F84"/>
    <w:rsid w:val="6FCA5E7C"/>
    <w:rsid w:val="6FE11F22"/>
    <w:rsid w:val="6FE3419F"/>
    <w:rsid w:val="6FF778F1"/>
    <w:rsid w:val="700346D4"/>
    <w:rsid w:val="700972F0"/>
    <w:rsid w:val="70287F2C"/>
    <w:rsid w:val="70AF69EB"/>
    <w:rsid w:val="70C667BE"/>
    <w:rsid w:val="70D24CB2"/>
    <w:rsid w:val="70DE2249"/>
    <w:rsid w:val="70F97D93"/>
    <w:rsid w:val="710E13DA"/>
    <w:rsid w:val="71181113"/>
    <w:rsid w:val="711D7CA6"/>
    <w:rsid w:val="71226ACC"/>
    <w:rsid w:val="71227E63"/>
    <w:rsid w:val="71614B6B"/>
    <w:rsid w:val="718D2905"/>
    <w:rsid w:val="719909D2"/>
    <w:rsid w:val="719B61D4"/>
    <w:rsid w:val="71A10922"/>
    <w:rsid w:val="71D214DD"/>
    <w:rsid w:val="71E107C1"/>
    <w:rsid w:val="71F62920"/>
    <w:rsid w:val="72091DAA"/>
    <w:rsid w:val="72267D97"/>
    <w:rsid w:val="723734D4"/>
    <w:rsid w:val="724E29D1"/>
    <w:rsid w:val="728564F5"/>
    <w:rsid w:val="728B7ACE"/>
    <w:rsid w:val="728E70EC"/>
    <w:rsid w:val="729701CD"/>
    <w:rsid w:val="72AB431D"/>
    <w:rsid w:val="72DA09BB"/>
    <w:rsid w:val="72E745EF"/>
    <w:rsid w:val="72E97F76"/>
    <w:rsid w:val="730E0485"/>
    <w:rsid w:val="730E4D7D"/>
    <w:rsid w:val="731466EF"/>
    <w:rsid w:val="73212A01"/>
    <w:rsid w:val="73322FF0"/>
    <w:rsid w:val="733712FB"/>
    <w:rsid w:val="73460FB0"/>
    <w:rsid w:val="73513F28"/>
    <w:rsid w:val="735A7119"/>
    <w:rsid w:val="736127BE"/>
    <w:rsid w:val="73712FDC"/>
    <w:rsid w:val="739E0038"/>
    <w:rsid w:val="73B34591"/>
    <w:rsid w:val="73BE3A62"/>
    <w:rsid w:val="73D850A2"/>
    <w:rsid w:val="73DE7F6C"/>
    <w:rsid w:val="73E365CE"/>
    <w:rsid w:val="73E64B1D"/>
    <w:rsid w:val="740735EA"/>
    <w:rsid w:val="7408106C"/>
    <w:rsid w:val="7412351E"/>
    <w:rsid w:val="749F2D9C"/>
    <w:rsid w:val="74B86703"/>
    <w:rsid w:val="74BB4279"/>
    <w:rsid w:val="74BE4E97"/>
    <w:rsid w:val="74D504C8"/>
    <w:rsid w:val="74F679F1"/>
    <w:rsid w:val="74F841F7"/>
    <w:rsid w:val="75003D28"/>
    <w:rsid w:val="750445F2"/>
    <w:rsid w:val="751D637E"/>
    <w:rsid w:val="751F2555"/>
    <w:rsid w:val="753504B8"/>
    <w:rsid w:val="75466A74"/>
    <w:rsid w:val="757F267E"/>
    <w:rsid w:val="758418D8"/>
    <w:rsid w:val="75A17528"/>
    <w:rsid w:val="75AA6AC3"/>
    <w:rsid w:val="75B749A9"/>
    <w:rsid w:val="75CB1443"/>
    <w:rsid w:val="75CD3F16"/>
    <w:rsid w:val="75EA5BFB"/>
    <w:rsid w:val="75F96FD3"/>
    <w:rsid w:val="761730D6"/>
    <w:rsid w:val="761A34DA"/>
    <w:rsid w:val="764741E2"/>
    <w:rsid w:val="76781DCD"/>
    <w:rsid w:val="769B008A"/>
    <w:rsid w:val="76D84698"/>
    <w:rsid w:val="77062965"/>
    <w:rsid w:val="775865D7"/>
    <w:rsid w:val="775A33B3"/>
    <w:rsid w:val="775B4584"/>
    <w:rsid w:val="776234AF"/>
    <w:rsid w:val="776D12AE"/>
    <w:rsid w:val="776F6C29"/>
    <w:rsid w:val="77895532"/>
    <w:rsid w:val="77AD0FE0"/>
    <w:rsid w:val="77BE7384"/>
    <w:rsid w:val="780F37EC"/>
    <w:rsid w:val="784A1D68"/>
    <w:rsid w:val="787A6E12"/>
    <w:rsid w:val="78821B50"/>
    <w:rsid w:val="788E2A2A"/>
    <w:rsid w:val="78C52EE0"/>
    <w:rsid w:val="78D23C9C"/>
    <w:rsid w:val="7913610A"/>
    <w:rsid w:val="791A167A"/>
    <w:rsid w:val="792720A9"/>
    <w:rsid w:val="794D119C"/>
    <w:rsid w:val="796B6F7E"/>
    <w:rsid w:val="79773031"/>
    <w:rsid w:val="79935707"/>
    <w:rsid w:val="799A2128"/>
    <w:rsid w:val="79C0552F"/>
    <w:rsid w:val="79C30D65"/>
    <w:rsid w:val="79CC3295"/>
    <w:rsid w:val="79D37E29"/>
    <w:rsid w:val="7A0B1561"/>
    <w:rsid w:val="7A25258A"/>
    <w:rsid w:val="7A2C646D"/>
    <w:rsid w:val="7A441CE6"/>
    <w:rsid w:val="7A55546C"/>
    <w:rsid w:val="7A743686"/>
    <w:rsid w:val="7A824E2E"/>
    <w:rsid w:val="7A9E7BE0"/>
    <w:rsid w:val="7AFF6437"/>
    <w:rsid w:val="7B021BF1"/>
    <w:rsid w:val="7B4950F7"/>
    <w:rsid w:val="7B6906DD"/>
    <w:rsid w:val="7B9F2862"/>
    <w:rsid w:val="7BA01867"/>
    <w:rsid w:val="7BA9751C"/>
    <w:rsid w:val="7BAB44F6"/>
    <w:rsid w:val="7BB856C6"/>
    <w:rsid w:val="7BBB27D3"/>
    <w:rsid w:val="7BC24A45"/>
    <w:rsid w:val="7BD52A90"/>
    <w:rsid w:val="7C076616"/>
    <w:rsid w:val="7C0D60AB"/>
    <w:rsid w:val="7C295DFC"/>
    <w:rsid w:val="7C4B37FA"/>
    <w:rsid w:val="7C58255B"/>
    <w:rsid w:val="7C5B5FF8"/>
    <w:rsid w:val="7C910DB6"/>
    <w:rsid w:val="7C9E490F"/>
    <w:rsid w:val="7CF03F88"/>
    <w:rsid w:val="7CF73786"/>
    <w:rsid w:val="7D091FF0"/>
    <w:rsid w:val="7D480124"/>
    <w:rsid w:val="7D4C6AE0"/>
    <w:rsid w:val="7D573168"/>
    <w:rsid w:val="7D5E51C4"/>
    <w:rsid w:val="7D7525FB"/>
    <w:rsid w:val="7DC111D1"/>
    <w:rsid w:val="7DC43A43"/>
    <w:rsid w:val="7DC57D61"/>
    <w:rsid w:val="7DC74225"/>
    <w:rsid w:val="7DC91981"/>
    <w:rsid w:val="7DDA69EF"/>
    <w:rsid w:val="7DDD18D5"/>
    <w:rsid w:val="7E6C26A2"/>
    <w:rsid w:val="7EB35583"/>
    <w:rsid w:val="7EB5276C"/>
    <w:rsid w:val="7EBC57D7"/>
    <w:rsid w:val="7ED0794B"/>
    <w:rsid w:val="7ED70A6F"/>
    <w:rsid w:val="7EE20D78"/>
    <w:rsid w:val="7EFF38D3"/>
    <w:rsid w:val="7F3206AA"/>
    <w:rsid w:val="7F5E6382"/>
    <w:rsid w:val="7F5F2553"/>
    <w:rsid w:val="7F89742A"/>
    <w:rsid w:val="7F9B22D0"/>
    <w:rsid w:val="7F9F74D0"/>
    <w:rsid w:val="7FA200C0"/>
    <w:rsid w:val="7FA23B7F"/>
    <w:rsid w:val="7FBE60DA"/>
    <w:rsid w:val="7FBF3588"/>
    <w:rsid w:val="7FDE4F4F"/>
    <w:rsid w:val="7FEB69A3"/>
    <w:rsid w:val="7FFB01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5"/>
    <w:autoRedefine/>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100"/>
    <w:autoRedefine/>
    <w:qFormat/>
    <w:uiPriority w:val="0"/>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link w:val="36"/>
    <w:autoRedefine/>
    <w:qFormat/>
    <w:uiPriority w:val="0"/>
    <w:pPr>
      <w:keepNext/>
      <w:keepLines/>
      <w:spacing w:before="260" w:after="260" w:line="416" w:lineRule="auto"/>
      <w:outlineLvl w:val="2"/>
    </w:pPr>
    <w:rPr>
      <w:b/>
      <w:bCs/>
      <w:sz w:val="32"/>
      <w:szCs w:val="32"/>
    </w:rPr>
  </w:style>
  <w:style w:type="paragraph" w:styleId="2">
    <w:name w:val="heading 4"/>
    <w:basedOn w:val="1"/>
    <w:next w:val="1"/>
    <w:autoRedefine/>
    <w:qFormat/>
    <w:uiPriority w:val="0"/>
    <w:pPr>
      <w:keepNext/>
      <w:keepLines/>
      <w:spacing w:before="280" w:after="290" w:line="376" w:lineRule="auto"/>
      <w:outlineLvl w:val="3"/>
    </w:pPr>
    <w:rPr>
      <w:rFonts w:ascii="Cambria" w:hAnsi="Cambria"/>
      <w:b/>
      <w:bCs/>
      <w:sz w:val="28"/>
      <w:szCs w:val="28"/>
    </w:rPr>
  </w:style>
  <w:style w:type="character" w:default="1" w:styleId="28">
    <w:name w:val="Default Paragraph Font"/>
    <w:autoRedefine/>
    <w:semiHidden/>
    <w:unhideWhenUsed/>
    <w:qFormat/>
    <w:uiPriority w:val="1"/>
  </w:style>
  <w:style w:type="table" w:default="1" w:styleId="26">
    <w:name w:val="Normal Table"/>
    <w:autoRedefine/>
    <w:semiHidden/>
    <w:unhideWhenUsed/>
    <w:qFormat/>
    <w:uiPriority w:val="99"/>
    <w:tblPr>
      <w:tblCellMar>
        <w:top w:w="0" w:type="dxa"/>
        <w:left w:w="108" w:type="dxa"/>
        <w:bottom w:w="0" w:type="dxa"/>
        <w:right w:w="108" w:type="dxa"/>
      </w:tblCellMar>
    </w:tblPr>
  </w:style>
  <w:style w:type="paragraph" w:styleId="6">
    <w:name w:val="Normal Indent"/>
    <w:basedOn w:val="1"/>
    <w:autoRedefine/>
    <w:qFormat/>
    <w:uiPriority w:val="0"/>
    <w:pPr>
      <w:ind w:firstLine="420"/>
    </w:pPr>
    <w:rPr>
      <w:szCs w:val="20"/>
    </w:rPr>
  </w:style>
  <w:style w:type="paragraph" w:styleId="7">
    <w:name w:val="Document Map"/>
    <w:basedOn w:val="1"/>
    <w:link w:val="39"/>
    <w:autoRedefine/>
    <w:qFormat/>
    <w:uiPriority w:val="0"/>
    <w:rPr>
      <w:rFonts w:ascii="宋体" w:hAnsi="Tahoma"/>
      <w:sz w:val="18"/>
      <w:szCs w:val="18"/>
    </w:rPr>
  </w:style>
  <w:style w:type="paragraph" w:styleId="8">
    <w:name w:val="annotation text"/>
    <w:basedOn w:val="1"/>
    <w:link w:val="67"/>
    <w:autoRedefine/>
    <w:semiHidden/>
    <w:qFormat/>
    <w:uiPriority w:val="99"/>
    <w:pPr>
      <w:jc w:val="left"/>
    </w:pPr>
    <w:rPr>
      <w:rFonts w:ascii="Tahoma" w:hAnsi="Tahoma"/>
    </w:rPr>
  </w:style>
  <w:style w:type="paragraph" w:styleId="9">
    <w:name w:val="Body Text 3"/>
    <w:basedOn w:val="1"/>
    <w:autoRedefine/>
    <w:qFormat/>
    <w:uiPriority w:val="0"/>
    <w:rPr>
      <w:kern w:val="0"/>
      <w:sz w:val="16"/>
      <w:szCs w:val="16"/>
    </w:rPr>
  </w:style>
  <w:style w:type="paragraph" w:styleId="10">
    <w:name w:val="Body Text"/>
    <w:basedOn w:val="1"/>
    <w:next w:val="1"/>
    <w:autoRedefine/>
    <w:qFormat/>
    <w:uiPriority w:val="0"/>
    <w:pPr>
      <w:spacing w:after="120"/>
    </w:pPr>
  </w:style>
  <w:style w:type="paragraph" w:styleId="11">
    <w:name w:val="Body Text Indent"/>
    <w:basedOn w:val="1"/>
    <w:autoRedefine/>
    <w:qFormat/>
    <w:uiPriority w:val="0"/>
    <w:pPr>
      <w:spacing w:after="120"/>
      <w:ind w:left="420" w:leftChars="200"/>
    </w:pPr>
  </w:style>
  <w:style w:type="paragraph" w:styleId="12">
    <w:name w:val="Block Text"/>
    <w:basedOn w:val="1"/>
    <w:autoRedefine/>
    <w:qFormat/>
    <w:uiPriority w:val="0"/>
    <w:pPr>
      <w:autoSpaceDE w:val="0"/>
      <w:autoSpaceDN w:val="0"/>
      <w:adjustRightInd w:val="0"/>
      <w:spacing w:line="500" w:lineRule="exact"/>
      <w:ind w:left="391" w:right="246"/>
    </w:pPr>
    <w:rPr>
      <w:rFonts w:ascii="仿宋_GB2312" w:eastAsia="仿宋_GB2312"/>
      <w:kern w:val="0"/>
      <w:sz w:val="24"/>
    </w:rPr>
  </w:style>
  <w:style w:type="paragraph" w:styleId="13">
    <w:name w:val="toc 3"/>
    <w:basedOn w:val="1"/>
    <w:next w:val="1"/>
    <w:autoRedefine/>
    <w:unhideWhenUsed/>
    <w:qFormat/>
    <w:uiPriority w:val="39"/>
    <w:pPr>
      <w:ind w:left="840" w:leftChars="400"/>
    </w:pPr>
    <w:rPr>
      <w:sz w:val="28"/>
    </w:rPr>
  </w:style>
  <w:style w:type="paragraph" w:styleId="14">
    <w:name w:val="Plain Text"/>
    <w:basedOn w:val="1"/>
    <w:autoRedefine/>
    <w:qFormat/>
    <w:uiPriority w:val="0"/>
    <w:rPr>
      <w:rFonts w:ascii="宋体" w:hAnsi="Courier New" w:eastAsia="楷体_GB2312"/>
      <w:snapToGrid w:val="0"/>
      <w:color w:val="000000"/>
      <w:kern w:val="0"/>
      <w:sz w:val="32"/>
      <w:szCs w:val="21"/>
    </w:rPr>
  </w:style>
  <w:style w:type="paragraph" w:styleId="15">
    <w:name w:val="Date"/>
    <w:basedOn w:val="1"/>
    <w:next w:val="1"/>
    <w:autoRedefine/>
    <w:qFormat/>
    <w:uiPriority w:val="0"/>
    <w:rPr>
      <w:rFonts w:ascii="楷体_GB2312" w:eastAsia="楷体_GB2312"/>
      <w:color w:val="000000"/>
      <w:kern w:val="0"/>
      <w:sz w:val="32"/>
      <w:szCs w:val="32"/>
    </w:rPr>
  </w:style>
  <w:style w:type="paragraph" w:styleId="16">
    <w:name w:val="Body Text Indent 2"/>
    <w:basedOn w:val="1"/>
    <w:autoRedefine/>
    <w:qFormat/>
    <w:uiPriority w:val="0"/>
    <w:pPr>
      <w:autoSpaceDE w:val="0"/>
      <w:autoSpaceDN w:val="0"/>
      <w:adjustRightInd w:val="0"/>
      <w:spacing w:line="489" w:lineRule="atLeast"/>
      <w:ind w:firstLine="709"/>
      <w:jc w:val="left"/>
    </w:pPr>
    <w:rPr>
      <w:rFonts w:ascii="华文仿宋" w:hAnsi="华文仿宋" w:eastAsia="华文仿宋"/>
      <w:color w:val="000000"/>
      <w:kern w:val="0"/>
      <w:sz w:val="32"/>
      <w:szCs w:val="32"/>
    </w:rPr>
  </w:style>
  <w:style w:type="paragraph" w:styleId="17">
    <w:name w:val="Balloon Text"/>
    <w:basedOn w:val="1"/>
    <w:autoRedefine/>
    <w:unhideWhenUsed/>
    <w:qFormat/>
    <w:uiPriority w:val="0"/>
    <w:rPr>
      <w:sz w:val="18"/>
      <w:szCs w:val="18"/>
    </w:rPr>
  </w:style>
  <w:style w:type="paragraph" w:styleId="18">
    <w:name w:val="footer"/>
    <w:basedOn w:val="1"/>
    <w:link w:val="61"/>
    <w:autoRedefine/>
    <w:qFormat/>
    <w:uiPriority w:val="99"/>
    <w:pPr>
      <w:tabs>
        <w:tab w:val="center" w:pos="4153"/>
        <w:tab w:val="right" w:pos="8306"/>
      </w:tabs>
      <w:snapToGrid w:val="0"/>
      <w:jc w:val="left"/>
    </w:pPr>
    <w:rPr>
      <w:rFonts w:ascii="Tahoma" w:hAnsi="Tahoma"/>
      <w:sz w:val="18"/>
      <w:szCs w:val="18"/>
    </w:rPr>
  </w:style>
  <w:style w:type="paragraph" w:styleId="19">
    <w:name w:val="header"/>
    <w:basedOn w:val="1"/>
    <w:next w:val="12"/>
    <w:autoRedefine/>
    <w:qFormat/>
    <w:uiPriority w:val="0"/>
    <w:pPr>
      <w:pBdr>
        <w:bottom w:val="single" w:color="auto" w:sz="6" w:space="1"/>
      </w:pBdr>
      <w:tabs>
        <w:tab w:val="center" w:pos="4153"/>
        <w:tab w:val="right" w:pos="8306"/>
      </w:tabs>
      <w:snapToGrid w:val="0"/>
      <w:jc w:val="center"/>
    </w:pPr>
    <w:rPr>
      <w:sz w:val="18"/>
      <w:szCs w:val="18"/>
    </w:rPr>
  </w:style>
  <w:style w:type="paragraph" w:styleId="20">
    <w:name w:val="toc 1"/>
    <w:basedOn w:val="1"/>
    <w:next w:val="1"/>
    <w:autoRedefine/>
    <w:qFormat/>
    <w:uiPriority w:val="39"/>
  </w:style>
  <w:style w:type="paragraph" w:styleId="21">
    <w:name w:val="Body Text Indent 3"/>
    <w:basedOn w:val="1"/>
    <w:autoRedefine/>
    <w:qFormat/>
    <w:uiPriority w:val="0"/>
    <w:pPr>
      <w:ind w:left="359" w:leftChars="171" w:firstLine="554" w:firstLineChars="198"/>
    </w:pPr>
    <w:rPr>
      <w:sz w:val="28"/>
      <w:szCs w:val="20"/>
    </w:rPr>
  </w:style>
  <w:style w:type="paragraph" w:styleId="22">
    <w:name w:val="toc 2"/>
    <w:basedOn w:val="1"/>
    <w:next w:val="1"/>
    <w:autoRedefine/>
    <w:qFormat/>
    <w:uiPriority w:val="39"/>
    <w:pPr>
      <w:ind w:left="420" w:leftChars="200"/>
    </w:pPr>
  </w:style>
  <w:style w:type="paragraph" w:styleId="23">
    <w:name w:val="Body Text 2"/>
    <w:basedOn w:val="1"/>
    <w:autoRedefine/>
    <w:qFormat/>
    <w:uiPriority w:val="0"/>
    <w:pPr>
      <w:spacing w:after="120" w:line="480" w:lineRule="auto"/>
    </w:pPr>
  </w:style>
  <w:style w:type="paragraph" w:styleId="24">
    <w:name w:val="Normal (Web)"/>
    <w:basedOn w:val="1"/>
    <w:autoRedefine/>
    <w:qFormat/>
    <w:uiPriority w:val="99"/>
    <w:pPr>
      <w:widowControl/>
      <w:spacing w:before="100" w:beforeAutospacing="1" w:after="100" w:afterAutospacing="1"/>
      <w:jc w:val="left"/>
    </w:pPr>
    <w:rPr>
      <w:rFonts w:hint="eastAsia" w:ascii="宋体" w:hAnsi="宋体"/>
      <w:kern w:val="0"/>
      <w:sz w:val="24"/>
    </w:rPr>
  </w:style>
  <w:style w:type="paragraph" w:styleId="25">
    <w:name w:val="annotation subject"/>
    <w:basedOn w:val="8"/>
    <w:next w:val="8"/>
    <w:link w:val="65"/>
    <w:autoRedefine/>
    <w:qFormat/>
    <w:uiPriority w:val="0"/>
    <w:rPr>
      <w:b/>
      <w:bCs/>
    </w:rPr>
  </w:style>
  <w:style w:type="table" w:styleId="27">
    <w:name w:val="Table Grid"/>
    <w:basedOn w:val="26"/>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autoRedefine/>
    <w:qFormat/>
    <w:uiPriority w:val="0"/>
    <w:rPr>
      <w:rFonts w:ascii="Tahoma" w:hAnsi="Tahoma"/>
      <w:b/>
      <w:bCs/>
      <w:sz w:val="24"/>
    </w:rPr>
  </w:style>
  <w:style w:type="character" w:styleId="30">
    <w:name w:val="page number"/>
    <w:basedOn w:val="28"/>
    <w:autoRedefine/>
    <w:qFormat/>
    <w:uiPriority w:val="0"/>
  </w:style>
  <w:style w:type="character" w:styleId="31">
    <w:name w:val="FollowedHyperlink"/>
    <w:autoRedefine/>
    <w:qFormat/>
    <w:uiPriority w:val="0"/>
    <w:rPr>
      <w:rFonts w:ascii="Tahoma" w:hAnsi="Tahoma"/>
      <w:color w:val="000000"/>
      <w:sz w:val="18"/>
      <w:szCs w:val="18"/>
      <w:u w:val="none"/>
    </w:rPr>
  </w:style>
  <w:style w:type="character" w:styleId="32">
    <w:name w:val="Hyperlink"/>
    <w:autoRedefine/>
    <w:qFormat/>
    <w:uiPriority w:val="99"/>
    <w:rPr>
      <w:rFonts w:ascii="Tahoma" w:hAnsi="Tahoma"/>
      <w:color w:val="0000FF"/>
      <w:sz w:val="24"/>
      <w:u w:val="single"/>
    </w:rPr>
  </w:style>
  <w:style w:type="character" w:styleId="33">
    <w:name w:val="annotation reference"/>
    <w:autoRedefine/>
    <w:unhideWhenUsed/>
    <w:qFormat/>
    <w:uiPriority w:val="99"/>
    <w:rPr>
      <w:rFonts w:ascii="Tahoma" w:hAnsi="Tahoma"/>
      <w:sz w:val="21"/>
      <w:szCs w:val="21"/>
    </w:rPr>
  </w:style>
  <w:style w:type="character" w:customStyle="1" w:styleId="34">
    <w:name w:val="标题 2 Char"/>
    <w:autoRedefine/>
    <w:qFormat/>
    <w:uiPriority w:val="0"/>
    <w:rPr>
      <w:rFonts w:ascii="Arial" w:hAnsi="Arial" w:eastAsia="黑体"/>
      <w:b/>
      <w:bCs/>
      <w:kern w:val="2"/>
      <w:sz w:val="32"/>
      <w:szCs w:val="32"/>
      <w:lang w:val="en-US" w:eastAsia="zh-CN" w:bidi="ar-SA"/>
    </w:rPr>
  </w:style>
  <w:style w:type="character" w:customStyle="1" w:styleId="35">
    <w:name w:val="标题 1 字符"/>
    <w:link w:val="3"/>
    <w:autoRedefine/>
    <w:qFormat/>
    <w:uiPriority w:val="0"/>
    <w:rPr>
      <w:b/>
      <w:bCs/>
      <w:kern w:val="44"/>
      <w:sz w:val="44"/>
      <w:szCs w:val="44"/>
    </w:rPr>
  </w:style>
  <w:style w:type="character" w:customStyle="1" w:styleId="36">
    <w:name w:val="标题 3 字符"/>
    <w:link w:val="5"/>
    <w:autoRedefine/>
    <w:qFormat/>
    <w:uiPriority w:val="0"/>
    <w:rPr>
      <w:b/>
      <w:bCs/>
      <w:sz w:val="32"/>
      <w:szCs w:val="32"/>
    </w:rPr>
  </w:style>
  <w:style w:type="paragraph" w:styleId="37">
    <w:name w:val="List Paragraph"/>
    <w:basedOn w:val="1"/>
    <w:autoRedefine/>
    <w:qFormat/>
    <w:uiPriority w:val="34"/>
    <w:pPr>
      <w:ind w:firstLine="420" w:firstLineChars="200"/>
    </w:pPr>
    <w:rPr>
      <w:sz w:val="28"/>
    </w:rPr>
  </w:style>
  <w:style w:type="character" w:customStyle="1" w:styleId="38">
    <w:name w:val="cfdate"/>
    <w:basedOn w:val="28"/>
    <w:autoRedefine/>
    <w:qFormat/>
    <w:uiPriority w:val="0"/>
    <w:rPr>
      <w:color w:val="333333"/>
      <w:sz w:val="18"/>
      <w:szCs w:val="18"/>
    </w:rPr>
  </w:style>
  <w:style w:type="character" w:customStyle="1" w:styleId="39">
    <w:name w:val="文档结构图 字符"/>
    <w:link w:val="7"/>
    <w:autoRedefine/>
    <w:qFormat/>
    <w:uiPriority w:val="0"/>
    <w:rPr>
      <w:rFonts w:ascii="宋体" w:hAnsi="Tahoma"/>
      <w:kern w:val="2"/>
      <w:sz w:val="18"/>
      <w:szCs w:val="18"/>
    </w:rPr>
  </w:style>
  <w:style w:type="character" w:customStyle="1" w:styleId="40">
    <w:name w:val="copyright"/>
    <w:basedOn w:val="28"/>
    <w:autoRedefine/>
    <w:qFormat/>
    <w:uiPriority w:val="0"/>
  </w:style>
  <w:style w:type="character" w:customStyle="1" w:styleId="41">
    <w:name w:val="Char Char6"/>
    <w:autoRedefine/>
    <w:qFormat/>
    <w:uiPriority w:val="0"/>
    <w:rPr>
      <w:rFonts w:ascii="Tahoma" w:hAnsi="Tahoma" w:eastAsia="宋体"/>
      <w:b/>
      <w:bCs/>
      <w:kern w:val="2"/>
      <w:sz w:val="32"/>
      <w:szCs w:val="32"/>
      <w:lang w:val="en-US" w:eastAsia="zh-CN" w:bidi="ar-SA"/>
    </w:rPr>
  </w:style>
  <w:style w:type="character" w:customStyle="1" w:styleId="42">
    <w:name w:val="qxdate"/>
    <w:basedOn w:val="28"/>
    <w:autoRedefine/>
    <w:qFormat/>
    <w:uiPriority w:val="0"/>
    <w:rPr>
      <w:color w:val="333333"/>
      <w:sz w:val="18"/>
      <w:szCs w:val="18"/>
    </w:rPr>
  </w:style>
  <w:style w:type="character" w:customStyle="1" w:styleId="43">
    <w:name w:val="gjfg"/>
    <w:basedOn w:val="28"/>
    <w:autoRedefine/>
    <w:qFormat/>
    <w:uiPriority w:val="0"/>
  </w:style>
  <w:style w:type="character" w:customStyle="1" w:styleId="44">
    <w:name w:val="Char Char3"/>
    <w:autoRedefine/>
    <w:semiHidden/>
    <w:qFormat/>
    <w:uiPriority w:val="0"/>
    <w:rPr>
      <w:rFonts w:ascii="Tahoma" w:hAnsi="Tahoma" w:eastAsia="宋体"/>
      <w:kern w:val="2"/>
      <w:sz w:val="18"/>
      <w:szCs w:val="18"/>
      <w:lang w:val="en-US" w:eastAsia="zh-CN" w:bidi="ar-SA"/>
    </w:rPr>
  </w:style>
  <w:style w:type="character" w:customStyle="1" w:styleId="45">
    <w:name w:val="普通文字 Char2"/>
    <w:autoRedefine/>
    <w:qFormat/>
    <w:uiPriority w:val="0"/>
    <w:rPr>
      <w:rFonts w:ascii="宋体" w:hAnsi="Courier New" w:eastAsia="楷体_GB2312"/>
      <w:snapToGrid w:val="0"/>
      <w:color w:val="000000"/>
      <w:sz w:val="32"/>
      <w:szCs w:val="21"/>
      <w:lang w:val="en-US" w:eastAsia="zh-CN" w:bidi="ar-SA"/>
    </w:rPr>
  </w:style>
  <w:style w:type="character" w:customStyle="1" w:styleId="46">
    <w:name w:val="Char Char4"/>
    <w:autoRedefine/>
    <w:qFormat/>
    <w:uiPriority w:val="0"/>
    <w:rPr>
      <w:rFonts w:ascii="Tahoma" w:hAnsi="Tahoma" w:eastAsia="宋体"/>
      <w:kern w:val="2"/>
      <w:sz w:val="18"/>
      <w:szCs w:val="18"/>
      <w:lang w:val="en-US" w:eastAsia="zh-CN" w:bidi="ar-SA"/>
    </w:rPr>
  </w:style>
  <w:style w:type="character" w:customStyle="1" w:styleId="47">
    <w:name w:val="font51"/>
    <w:autoRedefine/>
    <w:qFormat/>
    <w:uiPriority w:val="0"/>
    <w:rPr>
      <w:rFonts w:hint="eastAsia" w:ascii="宋体" w:hAnsi="宋体" w:eastAsia="宋体" w:cs="宋体"/>
      <w:color w:val="000000"/>
      <w:sz w:val="21"/>
      <w:szCs w:val="21"/>
      <w:u w:val="none"/>
    </w:rPr>
  </w:style>
  <w:style w:type="character" w:customStyle="1" w:styleId="48">
    <w:name w:val="Char Char1"/>
    <w:autoRedefine/>
    <w:semiHidden/>
    <w:qFormat/>
    <w:uiPriority w:val="0"/>
    <w:rPr>
      <w:rFonts w:ascii="Tahoma" w:hAnsi="Tahoma" w:eastAsia="宋体"/>
      <w:kern w:val="2"/>
      <w:sz w:val="28"/>
      <w:lang w:val="en-US" w:eastAsia="zh-CN" w:bidi="ar-SA"/>
    </w:rPr>
  </w:style>
  <w:style w:type="character" w:customStyle="1" w:styleId="49">
    <w:name w:val="profont1"/>
    <w:autoRedefine/>
    <w:qFormat/>
    <w:uiPriority w:val="0"/>
    <w:rPr>
      <w:rFonts w:hint="default" w:ascii="Verdana" w:hAnsi="Verdana"/>
      <w:b/>
      <w:bCs/>
      <w:color w:val="333333"/>
      <w:sz w:val="24"/>
      <w:szCs w:val="24"/>
      <w:u w:val="none"/>
    </w:rPr>
  </w:style>
  <w:style w:type="character" w:customStyle="1" w:styleId="50">
    <w:name w:val="Char Char5"/>
    <w:autoRedefine/>
    <w:qFormat/>
    <w:uiPriority w:val="0"/>
    <w:rPr>
      <w:rFonts w:ascii="Tahoma" w:hAnsi="Tahoma" w:eastAsia="宋体"/>
      <w:kern w:val="2"/>
      <w:sz w:val="18"/>
      <w:szCs w:val="18"/>
      <w:lang w:val="en-US" w:eastAsia="zh-CN" w:bidi="ar-SA"/>
    </w:rPr>
  </w:style>
  <w:style w:type="character" w:customStyle="1" w:styleId="51">
    <w:name w:val="标题 1.1 Char1"/>
    <w:autoRedefine/>
    <w:qFormat/>
    <w:uiPriority w:val="0"/>
    <w:rPr>
      <w:rFonts w:ascii="Arial" w:hAnsi="Arial" w:eastAsia="黑体"/>
      <w:b/>
      <w:bCs/>
      <w:kern w:val="2"/>
      <w:sz w:val="32"/>
      <w:szCs w:val="32"/>
      <w:lang w:val="en-US" w:eastAsia="zh-CN" w:bidi="ar-SA"/>
    </w:rPr>
  </w:style>
  <w:style w:type="character" w:customStyle="1" w:styleId="52">
    <w:name w:val="font01"/>
    <w:autoRedefine/>
    <w:qFormat/>
    <w:uiPriority w:val="0"/>
    <w:rPr>
      <w:rFonts w:hint="eastAsia" w:ascii="宋体" w:hAnsi="宋体" w:eastAsia="宋体" w:cs="宋体"/>
      <w:color w:val="000000"/>
      <w:sz w:val="24"/>
      <w:szCs w:val="24"/>
      <w:u w:val="none"/>
    </w:rPr>
  </w:style>
  <w:style w:type="character" w:customStyle="1" w:styleId="53">
    <w:name w:val="font11"/>
    <w:autoRedefine/>
    <w:qFormat/>
    <w:uiPriority w:val="0"/>
    <w:rPr>
      <w:rFonts w:hint="eastAsia" w:ascii="宋体" w:hAnsi="宋体" w:eastAsia="宋体" w:cs="宋体"/>
      <w:b/>
      <w:color w:val="000000"/>
      <w:sz w:val="24"/>
      <w:szCs w:val="24"/>
      <w:u w:val="none"/>
    </w:rPr>
  </w:style>
  <w:style w:type="character" w:customStyle="1" w:styleId="54">
    <w:name w:val="Char Char"/>
    <w:autoRedefine/>
    <w:qFormat/>
    <w:uiPriority w:val="0"/>
    <w:rPr>
      <w:rFonts w:ascii="Tahoma" w:hAnsi="Tahoma"/>
      <w:kern w:val="2"/>
      <w:sz w:val="21"/>
      <w:szCs w:val="24"/>
    </w:rPr>
  </w:style>
  <w:style w:type="character" w:customStyle="1" w:styleId="55">
    <w:name w:val="style111"/>
    <w:autoRedefine/>
    <w:qFormat/>
    <w:uiPriority w:val="0"/>
    <w:rPr>
      <w:rFonts w:ascii="Tahoma" w:hAnsi="Tahoma"/>
      <w:sz w:val="22"/>
      <w:szCs w:val="22"/>
    </w:rPr>
  </w:style>
  <w:style w:type="character" w:customStyle="1" w:styleId="56">
    <w:name w:val="displayarti"/>
    <w:basedOn w:val="28"/>
    <w:autoRedefine/>
    <w:qFormat/>
    <w:uiPriority w:val="0"/>
    <w:rPr>
      <w:color w:val="FFFFFF"/>
      <w:shd w:val="clear" w:color="auto" w:fill="A00000"/>
    </w:rPr>
  </w:style>
  <w:style w:type="character" w:customStyle="1" w:styleId="57">
    <w:name w:val="Char Char7"/>
    <w:autoRedefine/>
    <w:qFormat/>
    <w:uiPriority w:val="0"/>
    <w:rPr>
      <w:rFonts w:ascii="Tahoma" w:hAnsi="Tahoma" w:eastAsia="宋体"/>
      <w:b/>
      <w:bCs/>
      <w:kern w:val="44"/>
      <w:sz w:val="44"/>
      <w:szCs w:val="44"/>
      <w:lang w:val="en-US" w:eastAsia="zh-CN" w:bidi="ar-SA"/>
    </w:rPr>
  </w:style>
  <w:style w:type="character" w:customStyle="1" w:styleId="58">
    <w:name w:val="font31"/>
    <w:autoRedefine/>
    <w:qFormat/>
    <w:uiPriority w:val="0"/>
    <w:rPr>
      <w:rFonts w:hint="eastAsia" w:ascii="宋体" w:hAnsi="宋体" w:eastAsia="宋体" w:cs="宋体"/>
      <w:color w:val="000000"/>
      <w:sz w:val="21"/>
      <w:szCs w:val="21"/>
      <w:u w:val="none"/>
    </w:rPr>
  </w:style>
  <w:style w:type="character" w:customStyle="1" w:styleId="59">
    <w:name w:val="Char Char2"/>
    <w:autoRedefine/>
    <w:qFormat/>
    <w:uiPriority w:val="0"/>
    <w:rPr>
      <w:rFonts w:ascii="华文仿宋" w:hAnsi="华文仿宋" w:eastAsia="华文仿宋"/>
      <w:color w:val="000000"/>
      <w:sz w:val="32"/>
      <w:szCs w:val="32"/>
      <w:lang w:val="en-US" w:eastAsia="zh-CN" w:bidi="ar-SA"/>
    </w:rPr>
  </w:style>
  <w:style w:type="character" w:customStyle="1" w:styleId="60">
    <w:name w:val="style51"/>
    <w:autoRedefine/>
    <w:qFormat/>
    <w:uiPriority w:val="0"/>
    <w:rPr>
      <w:rFonts w:ascii="Tahoma" w:hAnsi="Tahoma"/>
      <w:b/>
      <w:bCs/>
      <w:color w:val="814107"/>
      <w:sz w:val="21"/>
      <w:szCs w:val="21"/>
    </w:rPr>
  </w:style>
  <w:style w:type="character" w:customStyle="1" w:styleId="61">
    <w:name w:val="页脚 字符"/>
    <w:link w:val="18"/>
    <w:autoRedefine/>
    <w:qFormat/>
    <w:uiPriority w:val="99"/>
    <w:rPr>
      <w:rFonts w:ascii="Tahoma" w:hAnsi="Tahoma"/>
      <w:kern w:val="2"/>
      <w:sz w:val="18"/>
      <w:szCs w:val="18"/>
    </w:rPr>
  </w:style>
  <w:style w:type="character" w:customStyle="1" w:styleId="62">
    <w:name w:val="标题 1.1 Char"/>
    <w:autoRedefine/>
    <w:qFormat/>
    <w:uiPriority w:val="0"/>
    <w:rPr>
      <w:rFonts w:ascii="仿宋_GB2312" w:hAnsi="Arial" w:eastAsia="仿宋_GB2312" w:cs="Arial"/>
      <w:b/>
      <w:bCs/>
      <w:kern w:val="2"/>
      <w:sz w:val="24"/>
      <w:szCs w:val="24"/>
      <w:lang w:val="en-US" w:eastAsia="zh-CN" w:bidi="ar-SA"/>
    </w:rPr>
  </w:style>
  <w:style w:type="character" w:customStyle="1" w:styleId="63">
    <w:name w:val="普通文字 Char1"/>
    <w:autoRedefine/>
    <w:qFormat/>
    <w:uiPriority w:val="0"/>
    <w:rPr>
      <w:rFonts w:ascii="宋体" w:hAnsi="Courier New" w:eastAsia="宋体"/>
      <w:kern w:val="2"/>
      <w:sz w:val="21"/>
      <w:szCs w:val="21"/>
      <w:lang w:val="en-US" w:eastAsia="zh-CN" w:bidi="ar-SA"/>
    </w:rPr>
  </w:style>
  <w:style w:type="character" w:customStyle="1" w:styleId="64">
    <w:name w:val="font41"/>
    <w:autoRedefine/>
    <w:qFormat/>
    <w:uiPriority w:val="0"/>
    <w:rPr>
      <w:rFonts w:ascii="font-weight : 400" w:hAnsi="font-weight : 400" w:eastAsia="font-weight : 400" w:cs="font-weight : 400"/>
      <w:color w:val="000000"/>
      <w:sz w:val="21"/>
      <w:szCs w:val="21"/>
      <w:u w:val="none"/>
    </w:rPr>
  </w:style>
  <w:style w:type="character" w:customStyle="1" w:styleId="65">
    <w:name w:val="批注主题 字符"/>
    <w:link w:val="25"/>
    <w:autoRedefine/>
    <w:qFormat/>
    <w:uiPriority w:val="0"/>
    <w:rPr>
      <w:rFonts w:ascii="Tahoma" w:hAnsi="Tahoma"/>
      <w:b/>
      <w:bCs/>
      <w:kern w:val="2"/>
      <w:sz w:val="21"/>
      <w:szCs w:val="24"/>
    </w:rPr>
  </w:style>
  <w:style w:type="character" w:customStyle="1" w:styleId="66">
    <w:name w:val="redfilefwwh"/>
    <w:basedOn w:val="28"/>
    <w:autoRedefine/>
    <w:qFormat/>
    <w:uiPriority w:val="0"/>
    <w:rPr>
      <w:color w:val="BA2636"/>
      <w:sz w:val="18"/>
      <w:szCs w:val="18"/>
    </w:rPr>
  </w:style>
  <w:style w:type="character" w:customStyle="1" w:styleId="67">
    <w:name w:val="批注文字 字符"/>
    <w:link w:val="8"/>
    <w:autoRedefine/>
    <w:semiHidden/>
    <w:qFormat/>
    <w:uiPriority w:val="99"/>
    <w:rPr>
      <w:rFonts w:ascii="Tahoma" w:hAnsi="Tahoma"/>
      <w:kern w:val="2"/>
      <w:sz w:val="21"/>
      <w:szCs w:val="24"/>
    </w:rPr>
  </w:style>
  <w:style w:type="character" w:customStyle="1" w:styleId="68">
    <w:name w:val="redfilenumber"/>
    <w:basedOn w:val="28"/>
    <w:autoRedefine/>
    <w:qFormat/>
    <w:uiPriority w:val="0"/>
    <w:rPr>
      <w:color w:val="BA2636"/>
      <w:sz w:val="18"/>
      <w:szCs w:val="18"/>
    </w:rPr>
  </w:style>
  <w:style w:type="paragraph" w:customStyle="1" w:styleId="69">
    <w:name w:val="Char1 Char Char Char"/>
    <w:basedOn w:val="1"/>
    <w:autoRedefine/>
    <w:qFormat/>
    <w:uiPriority w:val="0"/>
    <w:pPr>
      <w:adjustRightInd w:val="0"/>
      <w:spacing w:line="360" w:lineRule="auto"/>
    </w:pPr>
    <w:rPr>
      <w:kern w:val="0"/>
      <w:sz w:val="24"/>
      <w:szCs w:val="20"/>
    </w:rPr>
  </w:style>
  <w:style w:type="paragraph" w:customStyle="1" w:styleId="70">
    <w:name w:val="前言、引言标题"/>
    <w:next w:val="1"/>
    <w:autoRedefine/>
    <w:qFormat/>
    <w:uiPriority w:val="0"/>
    <w:pPr>
      <w:numPr>
        <w:ilvl w:val="0"/>
        <w:numId w:val="1"/>
      </w:num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71">
    <w:name w:val="_Style 2"/>
    <w:basedOn w:val="1"/>
    <w:autoRedefine/>
    <w:qFormat/>
    <w:uiPriority w:val="34"/>
    <w:pPr>
      <w:ind w:firstLine="420" w:firstLineChars="200"/>
    </w:pPr>
  </w:style>
  <w:style w:type="paragraph" w:customStyle="1" w:styleId="72">
    <w:name w:val="Char Char Char Char Char Char"/>
    <w:basedOn w:val="1"/>
    <w:autoRedefine/>
    <w:qFormat/>
    <w:uiPriority w:val="0"/>
    <w:rPr>
      <w:rFonts w:ascii="Tahoma" w:hAnsi="Tahoma"/>
      <w:sz w:val="24"/>
    </w:rPr>
  </w:style>
  <w:style w:type="paragraph" w:customStyle="1" w:styleId="73">
    <w:name w:val="章标题"/>
    <w:next w:val="1"/>
    <w:autoRedefine/>
    <w:qFormat/>
    <w:uiPriority w:val="0"/>
    <w:pPr>
      <w:numPr>
        <w:ilvl w:val="1"/>
        <w:numId w:val="1"/>
      </w:numPr>
      <w:spacing w:beforeLines="50" w:afterLines="50"/>
      <w:jc w:val="both"/>
      <w:outlineLvl w:val="1"/>
    </w:pPr>
    <w:rPr>
      <w:rFonts w:ascii="黑体" w:hAnsi="Times New Roman" w:eastAsia="黑体" w:cs="Times New Roman"/>
      <w:sz w:val="21"/>
      <w:lang w:val="en-US" w:eastAsia="zh-CN" w:bidi="ar-SA"/>
    </w:rPr>
  </w:style>
  <w:style w:type="paragraph" w:customStyle="1" w:styleId="74">
    <w:name w:val="Char Char Char"/>
    <w:basedOn w:val="1"/>
    <w:autoRedefine/>
    <w:qFormat/>
    <w:uiPriority w:val="0"/>
    <w:rPr>
      <w:rFonts w:ascii="Tahoma" w:hAnsi="Tahoma"/>
      <w:sz w:val="24"/>
      <w:szCs w:val="20"/>
    </w:rPr>
  </w:style>
  <w:style w:type="paragraph" w:customStyle="1" w:styleId="75">
    <w:name w:val="6'"/>
    <w:basedOn w:val="1"/>
    <w:autoRedefine/>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76">
    <w:name w:val="样式 宋体 三号 加粗 居中 行距: 最小值 12 磅"/>
    <w:basedOn w:val="1"/>
    <w:autoRedefine/>
    <w:qFormat/>
    <w:uiPriority w:val="0"/>
    <w:pPr>
      <w:spacing w:line="240" w:lineRule="atLeast"/>
      <w:jc w:val="center"/>
    </w:pPr>
    <w:rPr>
      <w:rFonts w:ascii="宋体" w:hAnsi="宋体" w:cs="宋体"/>
      <w:b/>
      <w:bCs/>
      <w:szCs w:val="20"/>
    </w:rPr>
  </w:style>
  <w:style w:type="paragraph" w:customStyle="1" w:styleId="77">
    <w:name w:val="普通(网站)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78">
    <w:name w:val="二级条标题"/>
    <w:basedOn w:val="79"/>
    <w:next w:val="1"/>
    <w:autoRedefine/>
    <w:qFormat/>
    <w:uiPriority w:val="0"/>
    <w:pPr>
      <w:numPr>
        <w:ilvl w:val="3"/>
      </w:numPr>
      <w:outlineLvl w:val="3"/>
    </w:pPr>
  </w:style>
  <w:style w:type="paragraph" w:customStyle="1" w:styleId="79">
    <w:name w:val="一级条标题"/>
    <w:basedOn w:val="73"/>
    <w:next w:val="1"/>
    <w:autoRedefine/>
    <w:qFormat/>
    <w:uiPriority w:val="0"/>
    <w:pPr>
      <w:numPr>
        <w:ilvl w:val="2"/>
      </w:numPr>
      <w:spacing w:beforeLines="0" w:afterLines="0"/>
      <w:outlineLvl w:val="2"/>
    </w:pPr>
  </w:style>
  <w:style w:type="paragraph" w:customStyle="1" w:styleId="80">
    <w:name w:val="Char Char Char1"/>
    <w:basedOn w:val="1"/>
    <w:autoRedefine/>
    <w:qFormat/>
    <w:uiPriority w:val="0"/>
    <w:rPr>
      <w:rFonts w:ascii="Tahoma" w:hAnsi="Tahoma"/>
      <w:sz w:val="24"/>
      <w:szCs w:val="20"/>
    </w:rPr>
  </w:style>
  <w:style w:type="paragraph" w:customStyle="1" w:styleId="81">
    <w:name w:val="样式5"/>
    <w:basedOn w:val="82"/>
    <w:autoRedefine/>
    <w:qFormat/>
    <w:uiPriority w:val="0"/>
    <w:pPr>
      <w:numPr>
        <w:ilvl w:val="3"/>
      </w:numPr>
      <w:tabs>
        <w:tab w:val="left" w:pos="432"/>
      </w:tabs>
      <w:spacing w:before="156"/>
    </w:pPr>
  </w:style>
  <w:style w:type="paragraph" w:customStyle="1" w:styleId="82">
    <w:name w:val="样式4"/>
    <w:basedOn w:val="1"/>
    <w:autoRedefine/>
    <w:qFormat/>
    <w:uiPriority w:val="0"/>
    <w:pPr>
      <w:numPr>
        <w:ilvl w:val="0"/>
        <w:numId w:val="2"/>
      </w:numPr>
      <w:spacing w:beforeLines="50"/>
      <w:outlineLvl w:val="2"/>
    </w:pPr>
    <w:rPr>
      <w:rFonts w:ascii="宋体" w:hAnsi="宋体" w:cs="MS Shell Dlg"/>
      <w:b/>
      <w:kern w:val="0"/>
      <w:szCs w:val="21"/>
    </w:rPr>
  </w:style>
  <w:style w:type="paragraph" w:customStyle="1" w:styleId="83">
    <w:name w:val="Char"/>
    <w:basedOn w:val="1"/>
    <w:autoRedefine/>
    <w:qFormat/>
    <w:uiPriority w:val="0"/>
    <w:pPr>
      <w:adjustRightInd w:val="0"/>
      <w:spacing w:line="360" w:lineRule="auto"/>
    </w:pPr>
    <w:rPr>
      <w:kern w:val="0"/>
      <w:sz w:val="24"/>
      <w:szCs w:val="20"/>
    </w:rPr>
  </w:style>
  <w:style w:type="paragraph" w:customStyle="1" w:styleId="84">
    <w:name w:val="Char1"/>
    <w:basedOn w:val="1"/>
    <w:autoRedefine/>
    <w:qFormat/>
    <w:uiPriority w:val="0"/>
    <w:pPr>
      <w:adjustRightInd w:val="0"/>
      <w:spacing w:line="360" w:lineRule="auto"/>
    </w:pPr>
    <w:rPr>
      <w:kern w:val="0"/>
      <w:sz w:val="24"/>
      <w:szCs w:val="20"/>
    </w:rPr>
  </w:style>
  <w:style w:type="paragraph" w:customStyle="1" w:styleId="85">
    <w:name w:val="三级条标题"/>
    <w:basedOn w:val="78"/>
    <w:next w:val="1"/>
    <w:autoRedefine/>
    <w:qFormat/>
    <w:uiPriority w:val="0"/>
    <w:pPr>
      <w:numPr>
        <w:ilvl w:val="4"/>
      </w:numPr>
      <w:outlineLvl w:val="4"/>
    </w:pPr>
  </w:style>
  <w:style w:type="paragraph" w:customStyle="1" w:styleId="86">
    <w:name w:val="Char Char8"/>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87">
    <w:name w:val="Char Char Char Char Char Char Char"/>
    <w:basedOn w:val="1"/>
    <w:autoRedefine/>
    <w:qFormat/>
    <w:uiPriority w:val="0"/>
    <w:rPr>
      <w:rFonts w:ascii="Tahoma" w:hAnsi="Tahoma" w:cs="Arial"/>
      <w:szCs w:val="21"/>
    </w:rPr>
  </w:style>
  <w:style w:type="paragraph" w:customStyle="1" w:styleId="88">
    <w:name w:val="样式8"/>
    <w:basedOn w:val="1"/>
    <w:autoRedefine/>
    <w:qFormat/>
    <w:uiPriority w:val="0"/>
    <w:pPr>
      <w:numPr>
        <w:ilvl w:val="3"/>
        <w:numId w:val="3"/>
      </w:numPr>
      <w:tabs>
        <w:tab w:val="left" w:pos="1838"/>
        <w:tab w:val="clear" w:pos="1271"/>
      </w:tabs>
      <w:ind w:left="1838"/>
      <w:outlineLvl w:val="2"/>
    </w:pPr>
    <w:rPr>
      <w:rFonts w:ascii="宋体" w:hAnsi="宋体" w:cs="MS Shell Dlg"/>
      <w:kern w:val="0"/>
      <w:szCs w:val="21"/>
    </w:rPr>
  </w:style>
  <w:style w:type="paragraph" w:customStyle="1" w:styleId="89">
    <w:name w:val="px12black"/>
    <w:basedOn w:val="1"/>
    <w:autoRedefine/>
    <w:qFormat/>
    <w:uiPriority w:val="0"/>
    <w:pPr>
      <w:widowControl/>
      <w:spacing w:before="100" w:beforeAutospacing="1" w:after="100" w:afterAutospacing="1"/>
      <w:jc w:val="left"/>
    </w:pPr>
    <w:rPr>
      <w:rFonts w:ascii="宋体" w:hAnsi="宋体"/>
      <w:kern w:val="0"/>
      <w:sz w:val="24"/>
      <w:szCs w:val="20"/>
    </w:rPr>
  </w:style>
  <w:style w:type="paragraph" w:customStyle="1" w:styleId="90">
    <w:name w:val="五级条标题"/>
    <w:basedOn w:val="91"/>
    <w:next w:val="1"/>
    <w:autoRedefine/>
    <w:qFormat/>
    <w:uiPriority w:val="0"/>
    <w:pPr>
      <w:numPr>
        <w:ilvl w:val="6"/>
      </w:numPr>
      <w:outlineLvl w:val="6"/>
    </w:pPr>
  </w:style>
  <w:style w:type="paragraph" w:customStyle="1" w:styleId="91">
    <w:name w:val="四级条标题"/>
    <w:basedOn w:val="85"/>
    <w:next w:val="1"/>
    <w:autoRedefine/>
    <w:qFormat/>
    <w:uiPriority w:val="0"/>
    <w:pPr>
      <w:numPr>
        <w:ilvl w:val="5"/>
      </w:numPr>
      <w:outlineLvl w:val="5"/>
    </w:pPr>
  </w:style>
  <w:style w:type="paragraph" w:customStyle="1" w:styleId="92">
    <w:name w:val="Normal Indent1"/>
    <w:basedOn w:val="1"/>
    <w:autoRedefine/>
    <w:qFormat/>
    <w:uiPriority w:val="99"/>
    <w:pPr>
      <w:autoSpaceDE w:val="0"/>
      <w:autoSpaceDN w:val="0"/>
      <w:adjustRightInd w:val="0"/>
      <w:ind w:firstLine="420"/>
    </w:pPr>
    <w:rPr>
      <w:kern w:val="0"/>
      <w:szCs w:val="21"/>
    </w:rPr>
  </w:style>
  <w:style w:type="paragraph" w:customStyle="1" w:styleId="93">
    <w:name w:val="样式1"/>
    <w:basedOn w:val="1"/>
    <w:autoRedefine/>
    <w:qFormat/>
    <w:uiPriority w:val="0"/>
    <w:pPr>
      <w:numPr>
        <w:ilvl w:val="0"/>
        <w:numId w:val="4"/>
      </w:numPr>
      <w:adjustRightInd w:val="0"/>
      <w:textAlignment w:val="baseline"/>
    </w:pPr>
    <w:rPr>
      <w:rFonts w:ascii="宋体" w:hAnsi="宋体"/>
      <w:kern w:val="0"/>
      <w:szCs w:val="21"/>
    </w:rPr>
  </w:style>
  <w:style w:type="paragraph" w:customStyle="1" w:styleId="94">
    <w:name w:val="样式6"/>
    <w:basedOn w:val="82"/>
    <w:autoRedefine/>
    <w:qFormat/>
    <w:uiPriority w:val="0"/>
    <w:pPr>
      <w:numPr>
        <w:ilvl w:val="2"/>
      </w:numPr>
      <w:tabs>
        <w:tab w:val="clear" w:pos="432"/>
      </w:tabs>
      <w:spacing w:before="156"/>
      <w:outlineLvl w:val="4"/>
    </w:pPr>
    <w:rPr>
      <w:rFonts w:ascii="MS Shell Dlg" w:hAnsi="MS Shell Dlg"/>
    </w:rPr>
  </w:style>
  <w:style w:type="paragraph" w:customStyle="1" w:styleId="95">
    <w:name w:val="列出段落1"/>
    <w:basedOn w:val="1"/>
    <w:autoRedefine/>
    <w:qFormat/>
    <w:uiPriority w:val="0"/>
    <w:pPr>
      <w:ind w:firstLine="420" w:firstLineChars="200"/>
    </w:pPr>
    <w:rPr>
      <w:rFonts w:ascii="Calibri" w:hAnsi="Calibri"/>
      <w:kern w:val="0"/>
      <w:sz w:val="20"/>
      <w:szCs w:val="20"/>
    </w:rPr>
  </w:style>
  <w:style w:type="paragraph" w:customStyle="1" w:styleId="96">
    <w:name w:val="样式 标题 2 + Times New Roman 四号 非加粗 段前: 5 磅 段后: 0 磅 行距: 固定值 20..."/>
    <w:basedOn w:val="4"/>
    <w:autoRedefine/>
    <w:qFormat/>
    <w:uiPriority w:val="0"/>
    <w:pPr>
      <w:spacing w:before="100" w:after="0" w:line="400" w:lineRule="exact"/>
    </w:pPr>
    <w:rPr>
      <w:rFonts w:ascii="Times New Roman" w:hAnsi="Times New Roman" w:cs="宋体"/>
      <w:b w:val="0"/>
      <w:bCs w:val="0"/>
      <w:sz w:val="28"/>
      <w:szCs w:val="20"/>
    </w:rPr>
  </w:style>
  <w:style w:type="paragraph" w:customStyle="1" w:styleId="97">
    <w:name w:val="Table Paragraph"/>
    <w:basedOn w:val="1"/>
    <w:autoRedefine/>
    <w:unhideWhenUsed/>
    <w:qFormat/>
    <w:uiPriority w:val="1"/>
    <w:rPr>
      <w:rFonts w:hint="eastAsia"/>
      <w:sz w:val="24"/>
    </w:rPr>
  </w:style>
  <w:style w:type="paragraph" w:customStyle="1" w:styleId="98">
    <w:name w:val="样式 标题 3 + (中文) 黑体 小四 非加粗 段前: 7.8 磅 段后: 0 磅 行距: 固定值 20 磅"/>
    <w:basedOn w:val="5"/>
    <w:autoRedefine/>
    <w:qFormat/>
    <w:uiPriority w:val="0"/>
    <w:pPr>
      <w:spacing w:before="0" w:after="0" w:line="400" w:lineRule="exact"/>
    </w:pPr>
    <w:rPr>
      <w:rFonts w:eastAsia="黑体" w:cs="宋体"/>
      <w:b w:val="0"/>
      <w:bCs w:val="0"/>
      <w:sz w:val="24"/>
      <w:szCs w:val="20"/>
    </w:rPr>
  </w:style>
  <w:style w:type="paragraph" w:customStyle="1" w:styleId="99">
    <w:name w:val="正文_0_0"/>
    <w:autoRedefine/>
    <w:qFormat/>
    <w:uiPriority w:val="0"/>
    <w:pPr>
      <w:widowControl w:val="0"/>
      <w:jc w:val="both"/>
    </w:pPr>
    <w:rPr>
      <w:rFonts w:ascii="Calibri" w:hAnsi="Calibri" w:eastAsia="宋体" w:cs="Times New Roman"/>
      <w:kern w:val="2"/>
      <w:sz w:val="21"/>
      <w:szCs w:val="22"/>
      <w:lang w:val="en-US" w:eastAsia="zh-CN" w:bidi="ar-SA"/>
    </w:rPr>
  </w:style>
  <w:style w:type="character" w:customStyle="1" w:styleId="100">
    <w:name w:val="标题 2 字符"/>
    <w:link w:val="4"/>
    <w:autoRedefine/>
    <w:qFormat/>
    <w:uiPriority w:val="0"/>
    <w:rPr>
      <w:rFonts w:ascii="Arial" w:hAnsi="Arial" w:eastAsia="黑体"/>
      <w:b/>
      <w:bCs/>
      <w:sz w:val="32"/>
      <w:szCs w:val="32"/>
    </w:rPr>
  </w:style>
  <w:style w:type="paragraph" w:customStyle="1" w:styleId="101">
    <w:name w:val="段"/>
    <w:next w:val="1"/>
    <w:autoRedefine/>
    <w:qFormat/>
    <w:uiPriority w:val="0"/>
    <w:pPr>
      <w:autoSpaceDE w:val="0"/>
      <w:autoSpaceDN w:val="0"/>
      <w:adjustRightInd w:val="0"/>
      <w:snapToGrid w:val="0"/>
      <w:spacing w:line="360" w:lineRule="auto"/>
      <w:ind w:firstLine="200" w:firstLineChars="200"/>
      <w:jc w:val="both"/>
    </w:pPr>
    <w:rPr>
      <w:rFonts w:ascii="宋体" w:hAnsi="Times New Roman" w:eastAsia="宋体" w:cs="Times New Roman"/>
      <w:sz w:val="24"/>
      <w:szCs w:val="22"/>
      <w:lang w:val="en-US" w:eastAsia="zh-CN" w:bidi="ar-SA"/>
    </w:rPr>
  </w:style>
  <w:style w:type="paragraph" w:customStyle="1" w:styleId="102">
    <w:name w:val="正文文字缩进"/>
    <w:autoRedefine/>
    <w:qFormat/>
    <w:uiPriority w:val="0"/>
    <w:pPr>
      <w:spacing w:line="351" w:lineRule="atLeast"/>
      <w:ind w:firstLine="555"/>
      <w:textAlignment w:val="baseline"/>
    </w:pPr>
    <w:rPr>
      <w:rFonts w:ascii="Times New Roman" w:hAnsi="Times New Roman" w:eastAsia="宋体" w:cs="Times New Roman"/>
      <w:color w:val="000000"/>
      <w:sz w:val="28"/>
      <w:lang w:val="en-US" w:eastAsia="zh-CN" w:bidi="ar-SA"/>
    </w:rPr>
  </w:style>
  <w:style w:type="character" w:customStyle="1" w:styleId="103">
    <w:name w:val="label"/>
    <w:basedOn w:val="28"/>
    <w:autoRedefine/>
    <w:qFormat/>
    <w:uiPriority w:val="0"/>
    <w:rPr>
      <w:color w:val="999999"/>
    </w:rPr>
  </w:style>
  <w:style w:type="character" w:customStyle="1" w:styleId="104">
    <w:name w:val="layui-laypage-curr"/>
    <w:basedOn w:val="28"/>
    <w:autoRedefine/>
    <w:qFormat/>
    <w:uiPriority w:val="0"/>
  </w:style>
  <w:style w:type="character" w:customStyle="1" w:styleId="105">
    <w:name w:val="hover11"/>
    <w:basedOn w:val="28"/>
    <w:autoRedefine/>
    <w:qFormat/>
    <w:uiPriority w:val="0"/>
  </w:style>
  <w:style w:type="paragraph" w:customStyle="1" w:styleId="106">
    <w:name w:val="Default"/>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character" w:customStyle="1" w:styleId="107">
    <w:name w:val="hover10"/>
    <w:basedOn w:val="28"/>
    <w:autoRedefine/>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2.jpeg"/><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2049"/>
    <customShpInfo spid="_x0000_s2050"/>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24AEDE0-52E1-4C9D-96DA-998CB2E360CE}">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Pages>
  <Words>7843</Words>
  <Characters>44706</Characters>
  <Lines>372</Lines>
  <Paragraphs>104</Paragraphs>
  <TotalTime>1</TotalTime>
  <ScaleCrop>false</ScaleCrop>
  <LinksUpToDate>false</LinksUpToDate>
  <CharactersWithSpaces>52445</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2018-07-02T23:53:00Z</dcterms:created>
  <dc:creator>风之客</dc:creator>
  <cp:lastModifiedBy>ying</cp:lastModifiedBy>
  <cp:lastPrinted>2023-12-21T08:32:00Z</cp:lastPrinted>
  <dcterms:modified xsi:type="dcterms:W3CDTF">2023-12-25T09:07:33Z</dcterms:modified>
  <dc:title>湖 北  招 标</dc:title>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0893775613E244AFB9EB63BD0AF6EFDD</vt:lpwstr>
  </property>
</Properties>
</file>