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375364">
      <w:pPr>
        <w:rPr>
          <w:rFonts w:hint="eastAsia" w:eastAsia="宋体"/>
          <w:lang w:val="en-US" w:eastAsia="zh-CN"/>
        </w:rPr>
      </w:pPr>
      <w:r>
        <w:rPr>
          <w:rFonts w:hint="eastAsia"/>
          <w:lang w:val="en-US" w:eastAsia="zh-CN"/>
        </w:rPr>
        <w:t>采购清单</w:t>
      </w:r>
      <w:bookmarkStart w:id="3" w:name="_GoBack"/>
      <w:bookmarkEnd w:id="3"/>
    </w:p>
    <w:tbl>
      <w:tblPr>
        <w:tblStyle w:val="2"/>
        <w:tblpPr w:leftFromText="180" w:rightFromText="180" w:vertAnchor="text" w:horzAnchor="page" w:tblpX="1284" w:tblpY="142"/>
        <w:tblOverlap w:val="never"/>
        <w:tblW w:w="9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7"/>
        <w:gridCol w:w="983"/>
        <w:gridCol w:w="1077"/>
        <w:gridCol w:w="1703"/>
        <w:gridCol w:w="1029"/>
        <w:gridCol w:w="657"/>
        <w:gridCol w:w="1134"/>
        <w:gridCol w:w="1179"/>
        <w:gridCol w:w="841"/>
      </w:tblGrid>
      <w:tr w14:paraId="22B2E5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1103" w:hRule="atLeast"/>
        </w:trPr>
        <w:tc>
          <w:tcPr>
            <w:tcW w:w="597" w:type="dxa"/>
            <w:vAlign w:val="center"/>
          </w:tcPr>
          <w:p w14:paraId="027E8028">
            <w:pPr>
              <w:shd w:val="clear"/>
              <w:spacing w:line="240" w:lineRule="auto"/>
              <w:jc w:val="center"/>
              <w:rPr>
                <w:rFonts w:hint="eastAsia" w:cs="宋体"/>
                <w:b/>
                <w:bCs/>
                <w:color w:val="auto"/>
                <w:szCs w:val="24"/>
                <w:highlight w:val="none"/>
              </w:rPr>
            </w:pPr>
            <w:bookmarkStart w:id="0" w:name="_Toc155185889"/>
            <w:bookmarkStart w:id="1" w:name="_Toc17639"/>
            <w:bookmarkStart w:id="2" w:name="_Toc140132812"/>
            <w:r>
              <w:rPr>
                <w:rFonts w:hint="eastAsia" w:cs="宋体"/>
                <w:b/>
                <w:bCs/>
                <w:color w:val="auto"/>
                <w:szCs w:val="24"/>
                <w:highlight w:val="none"/>
              </w:rPr>
              <w:t>序号</w:t>
            </w:r>
          </w:p>
        </w:tc>
        <w:tc>
          <w:tcPr>
            <w:tcW w:w="983" w:type="dxa"/>
            <w:vAlign w:val="center"/>
          </w:tcPr>
          <w:p w14:paraId="79D43E7A">
            <w:pPr>
              <w:shd w:val="clear"/>
              <w:spacing w:line="240" w:lineRule="auto"/>
              <w:jc w:val="center"/>
              <w:rPr>
                <w:rFonts w:hint="default" w:cs="宋体"/>
                <w:b/>
                <w:bCs/>
                <w:color w:val="auto"/>
                <w:szCs w:val="24"/>
                <w:highlight w:val="none"/>
                <w:lang w:val="en-US" w:eastAsia="zh-CN"/>
              </w:rPr>
            </w:pPr>
            <w:r>
              <w:rPr>
                <w:rFonts w:hint="eastAsia" w:cs="宋体"/>
                <w:b/>
                <w:bCs/>
                <w:color w:val="auto"/>
                <w:szCs w:val="24"/>
                <w:highlight w:val="none"/>
                <w:lang w:val="en-US" w:eastAsia="zh-CN"/>
              </w:rPr>
              <w:t>房间类型</w:t>
            </w:r>
          </w:p>
        </w:tc>
        <w:tc>
          <w:tcPr>
            <w:tcW w:w="1077" w:type="dxa"/>
            <w:vAlign w:val="center"/>
          </w:tcPr>
          <w:p w14:paraId="3B36BD18">
            <w:pPr>
              <w:shd w:val="clear"/>
              <w:spacing w:line="240" w:lineRule="auto"/>
              <w:jc w:val="center"/>
              <w:rPr>
                <w:rFonts w:hint="default" w:cs="宋体"/>
                <w:b/>
                <w:bCs/>
                <w:color w:val="auto"/>
                <w:szCs w:val="24"/>
                <w:highlight w:val="none"/>
                <w:lang w:val="en-US" w:eastAsia="zh-CN"/>
              </w:rPr>
            </w:pPr>
            <w:r>
              <w:rPr>
                <w:rFonts w:hint="eastAsia" w:cs="宋体"/>
                <w:b/>
                <w:bCs/>
                <w:color w:val="auto"/>
                <w:szCs w:val="24"/>
                <w:highlight w:val="none"/>
                <w:lang w:val="en-US" w:eastAsia="zh-CN"/>
              </w:rPr>
              <w:t>房间数量</w:t>
            </w:r>
          </w:p>
        </w:tc>
        <w:tc>
          <w:tcPr>
            <w:tcW w:w="1703" w:type="dxa"/>
            <w:vAlign w:val="center"/>
          </w:tcPr>
          <w:p w14:paraId="01A6A650">
            <w:pPr>
              <w:shd w:val="clear"/>
              <w:spacing w:line="240" w:lineRule="auto"/>
              <w:jc w:val="center"/>
              <w:rPr>
                <w:rFonts w:hint="eastAsia" w:eastAsia="宋体" w:cs="宋体"/>
                <w:b/>
                <w:bCs/>
                <w:color w:val="auto"/>
                <w:szCs w:val="24"/>
                <w:highlight w:val="none"/>
                <w:lang w:eastAsia="zh-CN"/>
              </w:rPr>
            </w:pPr>
            <w:r>
              <w:rPr>
                <w:rFonts w:hint="eastAsia" w:cs="宋体"/>
                <w:b/>
                <w:bCs/>
                <w:color w:val="auto"/>
                <w:szCs w:val="24"/>
                <w:highlight w:val="none"/>
                <w:lang w:val="en-US" w:eastAsia="zh-CN"/>
              </w:rPr>
              <w:t>标的名称</w:t>
            </w:r>
          </w:p>
        </w:tc>
        <w:tc>
          <w:tcPr>
            <w:tcW w:w="1029" w:type="dxa"/>
            <w:vAlign w:val="center"/>
          </w:tcPr>
          <w:p w14:paraId="540875FB">
            <w:pPr>
              <w:shd w:val="clear"/>
              <w:spacing w:line="240" w:lineRule="auto"/>
              <w:jc w:val="center"/>
              <w:rPr>
                <w:rFonts w:hint="eastAsia" w:cs="宋体"/>
                <w:b/>
                <w:bCs/>
                <w:color w:val="auto"/>
                <w:szCs w:val="24"/>
                <w:highlight w:val="none"/>
              </w:rPr>
            </w:pPr>
            <w:r>
              <w:rPr>
                <w:rFonts w:hint="eastAsia" w:cs="宋体"/>
                <w:b/>
                <w:bCs/>
                <w:color w:val="auto"/>
                <w:szCs w:val="24"/>
                <w:highlight w:val="none"/>
              </w:rPr>
              <w:t>数量</w:t>
            </w:r>
          </w:p>
        </w:tc>
        <w:tc>
          <w:tcPr>
            <w:tcW w:w="657" w:type="dxa"/>
            <w:vAlign w:val="center"/>
          </w:tcPr>
          <w:p w14:paraId="04D07FE5">
            <w:pPr>
              <w:shd w:val="clear"/>
              <w:spacing w:line="240" w:lineRule="auto"/>
              <w:jc w:val="center"/>
              <w:rPr>
                <w:rFonts w:hint="eastAsia" w:cs="宋体"/>
                <w:b/>
                <w:bCs/>
                <w:color w:val="auto"/>
                <w:szCs w:val="24"/>
                <w:highlight w:val="none"/>
              </w:rPr>
            </w:pPr>
            <w:r>
              <w:rPr>
                <w:rFonts w:hint="eastAsia" w:cs="宋体"/>
                <w:b/>
                <w:bCs/>
                <w:color w:val="auto"/>
                <w:szCs w:val="24"/>
                <w:highlight w:val="none"/>
              </w:rPr>
              <w:t>单位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F5BB6A">
            <w:pPr>
              <w:shd w:val="clear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cs="宋体"/>
                <w:b/>
                <w:bCs/>
                <w:color w:val="auto"/>
                <w:szCs w:val="24"/>
                <w:highlight w:val="none"/>
              </w:rPr>
              <w:t>是否为核心产品</w:t>
            </w:r>
          </w:p>
        </w:tc>
        <w:tc>
          <w:tcPr>
            <w:tcW w:w="1179" w:type="dxa"/>
            <w:shd w:val="clear" w:color="auto" w:fill="auto"/>
            <w:vAlign w:val="center"/>
          </w:tcPr>
          <w:p w14:paraId="0F1F1A48">
            <w:pPr>
              <w:shd w:val="clear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cs="宋体"/>
                <w:b/>
                <w:bCs/>
                <w:color w:val="auto"/>
                <w:szCs w:val="24"/>
                <w:highlight w:val="none"/>
              </w:rPr>
              <w:t>服务/货物/工程</w:t>
            </w:r>
          </w:p>
        </w:tc>
        <w:tc>
          <w:tcPr>
            <w:tcW w:w="841" w:type="dxa"/>
            <w:shd w:val="clear" w:color="auto" w:fill="auto"/>
            <w:vAlign w:val="center"/>
          </w:tcPr>
          <w:p w14:paraId="37892700">
            <w:pPr>
              <w:shd w:val="clear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cs="宋体"/>
                <w:b/>
                <w:bCs/>
                <w:color w:val="auto"/>
                <w:szCs w:val="24"/>
                <w:highlight w:val="none"/>
              </w:rPr>
              <w:t>所属行业</w:t>
            </w:r>
          </w:p>
        </w:tc>
      </w:tr>
      <w:tr w14:paraId="52CB09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936" w:hRule="atLeast"/>
        </w:trPr>
        <w:tc>
          <w:tcPr>
            <w:tcW w:w="597" w:type="dxa"/>
            <w:noWrap/>
            <w:vAlign w:val="center"/>
          </w:tcPr>
          <w:p w14:paraId="7DDD9534">
            <w:pPr>
              <w:shd w:val="clear"/>
              <w:jc w:val="center"/>
              <w:rPr>
                <w:rFonts w:hint="eastAsia" w:cs="宋体"/>
                <w:color w:val="auto"/>
                <w:szCs w:val="24"/>
                <w:highlight w:val="none"/>
              </w:rPr>
            </w:pPr>
            <w:r>
              <w:rPr>
                <w:rFonts w:hint="eastAsia" w:cs="宋体"/>
                <w:color w:val="auto"/>
                <w:szCs w:val="24"/>
                <w:highlight w:val="none"/>
              </w:rPr>
              <w:t>1</w:t>
            </w:r>
          </w:p>
        </w:tc>
        <w:tc>
          <w:tcPr>
            <w:tcW w:w="983" w:type="dxa"/>
            <w:vMerge w:val="restart"/>
            <w:vAlign w:val="center"/>
          </w:tcPr>
          <w:p w14:paraId="37A81334">
            <w:pPr>
              <w:shd w:val="clear"/>
              <w:jc w:val="center"/>
              <w:rPr>
                <w:rFonts w:hint="eastAsia" w:cs="宋体"/>
                <w:color w:val="auto"/>
                <w:szCs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szCs w:val="32"/>
                <w:highlight w:val="none"/>
              </w:rPr>
              <w:t>标准四人间</w:t>
            </w:r>
          </w:p>
        </w:tc>
        <w:tc>
          <w:tcPr>
            <w:tcW w:w="1077" w:type="dxa"/>
            <w:vMerge w:val="restart"/>
            <w:vAlign w:val="center"/>
          </w:tcPr>
          <w:p w14:paraId="106F8AEB">
            <w:pPr>
              <w:shd w:val="clear"/>
              <w:jc w:val="center"/>
              <w:rPr>
                <w:rFonts w:hint="eastAsia"/>
                <w:color w:val="auto"/>
                <w:sz w:val="24"/>
                <w:szCs w:val="32"/>
                <w:highlight w:val="none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477</w:t>
            </w:r>
            <w:r>
              <w:rPr>
                <w:rFonts w:hint="eastAsia"/>
                <w:color w:val="auto"/>
                <w:highlight w:val="none"/>
              </w:rPr>
              <w:t>间</w:t>
            </w:r>
          </w:p>
        </w:tc>
        <w:tc>
          <w:tcPr>
            <w:tcW w:w="1703" w:type="dxa"/>
            <w:vAlign w:val="center"/>
          </w:tcPr>
          <w:p w14:paraId="79336529">
            <w:pPr>
              <w:shd w:val="clear"/>
              <w:spacing w:line="120" w:lineRule="auto"/>
              <w:jc w:val="center"/>
              <w:rPr>
                <w:rFonts w:hint="eastAsia" w:cs="宋体"/>
                <w:color w:val="auto"/>
                <w:szCs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szCs w:val="32"/>
                <w:highlight w:val="none"/>
              </w:rPr>
              <w:t>研究生公寓套装家具(床、衣柜、书桌、书架、步梯、学习座椅)(加长型)</w:t>
            </w:r>
          </w:p>
        </w:tc>
        <w:tc>
          <w:tcPr>
            <w:tcW w:w="1029" w:type="dxa"/>
            <w:noWrap/>
            <w:vAlign w:val="center"/>
          </w:tcPr>
          <w:p w14:paraId="02837164">
            <w:pPr>
              <w:shd w:val="clear"/>
              <w:jc w:val="center"/>
              <w:rPr>
                <w:rFonts w:hint="default" w:eastAsia="宋体" w:cs="宋体"/>
                <w:color w:val="auto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32"/>
                <w:highlight w:val="none"/>
                <w:lang w:val="en-US" w:eastAsia="zh-CN"/>
              </w:rPr>
              <w:t>954</w:t>
            </w:r>
          </w:p>
        </w:tc>
        <w:tc>
          <w:tcPr>
            <w:tcW w:w="657" w:type="dxa"/>
            <w:noWrap/>
            <w:vAlign w:val="center"/>
          </w:tcPr>
          <w:p w14:paraId="690F4A91">
            <w:pPr>
              <w:shd w:val="clear"/>
              <w:jc w:val="center"/>
              <w:rPr>
                <w:rFonts w:hint="eastAsia" w:eastAsia="宋体" w:cs="宋体"/>
                <w:color w:val="auto"/>
                <w:szCs w:val="24"/>
                <w:highlight w:val="none"/>
                <w:lang w:eastAsia="zh-CN"/>
              </w:rPr>
            </w:pPr>
            <w:r>
              <w:rPr>
                <w:rFonts w:hint="eastAsia"/>
                <w:color w:val="auto"/>
                <w:sz w:val="24"/>
                <w:szCs w:val="32"/>
                <w:highlight w:val="none"/>
                <w:lang w:val="en-US" w:eastAsia="zh-CN"/>
              </w:rPr>
              <w:t>位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3111716E">
            <w:pPr>
              <w:widowControl/>
              <w:shd w:val="clear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cs="宋体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  <w:t>是</w:t>
            </w:r>
          </w:p>
        </w:tc>
        <w:tc>
          <w:tcPr>
            <w:tcW w:w="1179" w:type="dxa"/>
            <w:vMerge w:val="restart"/>
            <w:shd w:val="clear" w:color="auto" w:fill="auto"/>
            <w:noWrap/>
            <w:vAlign w:val="center"/>
          </w:tcPr>
          <w:p w14:paraId="126F75E3">
            <w:pPr>
              <w:shd w:val="clear"/>
              <w:jc w:val="center"/>
              <w:rPr>
                <w:rFonts w:hint="eastAsia" w:cs="宋体"/>
                <w:color w:val="auto"/>
                <w:szCs w:val="24"/>
                <w:highlight w:val="none"/>
              </w:rPr>
            </w:pPr>
            <w:r>
              <w:rPr>
                <w:rFonts w:hint="eastAsia" w:cs="宋体"/>
                <w:color w:val="auto"/>
                <w:szCs w:val="24"/>
                <w:highlight w:val="none"/>
              </w:rPr>
              <w:t>货物</w:t>
            </w:r>
          </w:p>
          <w:p w14:paraId="0C5C3E18">
            <w:pPr>
              <w:shd w:val="clear"/>
              <w:jc w:val="center"/>
              <w:rPr>
                <w:rFonts w:hint="eastAsia" w:cs="宋体"/>
                <w:color w:val="auto"/>
                <w:szCs w:val="24"/>
                <w:highlight w:val="none"/>
              </w:rPr>
            </w:pPr>
          </w:p>
        </w:tc>
        <w:tc>
          <w:tcPr>
            <w:tcW w:w="841" w:type="dxa"/>
            <w:vMerge w:val="restart"/>
            <w:shd w:val="clear" w:color="auto" w:fill="auto"/>
            <w:noWrap/>
            <w:vAlign w:val="center"/>
          </w:tcPr>
          <w:p w14:paraId="76B52FF4">
            <w:pPr>
              <w:shd w:val="clear"/>
              <w:jc w:val="center"/>
              <w:rPr>
                <w:rFonts w:hint="eastAsia" w:cs="宋体"/>
                <w:color w:val="auto"/>
                <w:szCs w:val="24"/>
                <w:highlight w:val="none"/>
              </w:rPr>
            </w:pPr>
            <w:r>
              <w:rPr>
                <w:rFonts w:hint="eastAsia" w:cs="宋体"/>
                <w:color w:val="auto"/>
                <w:szCs w:val="24"/>
                <w:highlight w:val="none"/>
              </w:rPr>
              <w:t>工业</w:t>
            </w:r>
          </w:p>
          <w:p w14:paraId="17750F1B">
            <w:pPr>
              <w:shd w:val="clear"/>
              <w:jc w:val="center"/>
              <w:rPr>
                <w:rFonts w:hint="eastAsia" w:cs="宋体"/>
                <w:color w:val="auto"/>
                <w:szCs w:val="24"/>
                <w:highlight w:val="none"/>
              </w:rPr>
            </w:pPr>
          </w:p>
        </w:tc>
      </w:tr>
      <w:tr w14:paraId="6EA8F9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936" w:hRule="atLeast"/>
        </w:trPr>
        <w:tc>
          <w:tcPr>
            <w:tcW w:w="597" w:type="dxa"/>
            <w:noWrap/>
            <w:vAlign w:val="center"/>
          </w:tcPr>
          <w:p w14:paraId="40A19FE7">
            <w:pPr>
              <w:shd w:val="clear"/>
              <w:jc w:val="center"/>
              <w:rPr>
                <w:rFonts w:hint="eastAsia" w:eastAsia="宋体" w:cs="宋体"/>
                <w:color w:val="auto"/>
                <w:szCs w:val="24"/>
                <w:highlight w:val="none"/>
                <w:lang w:val="en-US" w:eastAsia="zh-CN"/>
              </w:rPr>
            </w:pPr>
            <w:r>
              <w:rPr>
                <w:rFonts w:hint="eastAsia" w:cs="宋体"/>
                <w:color w:val="auto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983" w:type="dxa"/>
            <w:vMerge w:val="continue"/>
            <w:vAlign w:val="center"/>
          </w:tcPr>
          <w:p w14:paraId="35316994">
            <w:pPr>
              <w:shd w:val="clear"/>
              <w:jc w:val="center"/>
              <w:rPr>
                <w:rFonts w:hint="eastAsia"/>
                <w:color w:val="auto"/>
                <w:sz w:val="24"/>
                <w:szCs w:val="32"/>
                <w:highlight w:val="none"/>
              </w:rPr>
            </w:pPr>
          </w:p>
        </w:tc>
        <w:tc>
          <w:tcPr>
            <w:tcW w:w="1077" w:type="dxa"/>
            <w:vMerge w:val="continue"/>
            <w:vAlign w:val="center"/>
          </w:tcPr>
          <w:p w14:paraId="32A84C9D">
            <w:pPr>
              <w:shd w:val="clear"/>
              <w:jc w:val="center"/>
              <w:rPr>
                <w:rFonts w:hint="eastAsia"/>
                <w:color w:val="auto"/>
                <w:sz w:val="24"/>
                <w:szCs w:val="32"/>
                <w:highlight w:val="none"/>
              </w:rPr>
            </w:pPr>
          </w:p>
        </w:tc>
        <w:tc>
          <w:tcPr>
            <w:tcW w:w="1703" w:type="dxa"/>
            <w:vAlign w:val="center"/>
          </w:tcPr>
          <w:p w14:paraId="77A4097B">
            <w:pPr>
              <w:shd w:val="clear"/>
              <w:spacing w:line="120" w:lineRule="auto"/>
              <w:jc w:val="center"/>
              <w:rPr>
                <w:rFonts w:hint="eastAsia" w:cs="宋体"/>
                <w:color w:val="auto"/>
                <w:szCs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szCs w:val="32"/>
                <w:highlight w:val="none"/>
              </w:rPr>
              <w:t>研究生公寓套装家具(床、衣柜、书桌、书架、步梯</w:t>
            </w:r>
            <w:r>
              <w:rPr>
                <w:rFonts w:hint="eastAsia"/>
                <w:color w:val="auto"/>
                <w:sz w:val="24"/>
                <w:szCs w:val="32"/>
                <w:highlight w:val="none"/>
                <w:lang w:eastAsia="zh-CN"/>
              </w:rPr>
              <w:t>、</w:t>
            </w:r>
            <w:r>
              <w:rPr>
                <w:rFonts w:hint="eastAsia"/>
                <w:color w:val="auto"/>
                <w:sz w:val="24"/>
                <w:szCs w:val="32"/>
                <w:highlight w:val="none"/>
              </w:rPr>
              <w:t>学习座椅)(标准型)</w:t>
            </w:r>
          </w:p>
        </w:tc>
        <w:tc>
          <w:tcPr>
            <w:tcW w:w="1029" w:type="dxa"/>
            <w:noWrap/>
            <w:vAlign w:val="center"/>
          </w:tcPr>
          <w:p w14:paraId="147EAD98">
            <w:pPr>
              <w:shd w:val="clear"/>
              <w:jc w:val="center"/>
              <w:rPr>
                <w:rFonts w:hint="default" w:eastAsia="宋体" w:cs="宋体"/>
                <w:color w:val="auto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32"/>
                <w:highlight w:val="none"/>
                <w:lang w:val="en-US" w:eastAsia="zh-CN"/>
              </w:rPr>
              <w:t>954</w:t>
            </w:r>
          </w:p>
        </w:tc>
        <w:tc>
          <w:tcPr>
            <w:tcW w:w="657" w:type="dxa"/>
            <w:noWrap/>
            <w:vAlign w:val="center"/>
          </w:tcPr>
          <w:p w14:paraId="53C88C58">
            <w:pPr>
              <w:shd w:val="clear"/>
              <w:jc w:val="center"/>
              <w:rPr>
                <w:rFonts w:hint="eastAsia" w:cs="宋体"/>
                <w:color w:val="auto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32"/>
                <w:highlight w:val="none"/>
                <w:lang w:val="en-US" w:eastAsia="zh-CN"/>
              </w:rPr>
              <w:t>位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F362747">
            <w:pPr>
              <w:widowControl/>
              <w:shd w:val="clear"/>
              <w:jc w:val="center"/>
              <w:textAlignment w:val="center"/>
              <w:rPr>
                <w:rFonts w:hint="eastAsia" w:eastAsia="宋体" w:cs="宋体"/>
                <w:color w:val="auto"/>
                <w:sz w:val="22"/>
                <w:highlight w:val="none"/>
                <w:lang w:val="en-US" w:eastAsia="zh-CN"/>
              </w:rPr>
            </w:pPr>
            <w:r>
              <w:rPr>
                <w:rFonts w:hint="eastAsia" w:cs="宋体"/>
                <w:color w:val="auto"/>
                <w:sz w:val="22"/>
                <w:highlight w:val="none"/>
                <w:lang w:val="en-US" w:eastAsia="zh-CN"/>
              </w:rPr>
              <w:t>否</w:t>
            </w:r>
          </w:p>
        </w:tc>
        <w:tc>
          <w:tcPr>
            <w:tcW w:w="1179" w:type="dxa"/>
            <w:vMerge w:val="continue"/>
            <w:shd w:val="clear" w:color="auto" w:fill="auto"/>
            <w:noWrap/>
            <w:vAlign w:val="center"/>
          </w:tcPr>
          <w:p w14:paraId="0CF75CD1">
            <w:pPr>
              <w:shd w:val="clear"/>
              <w:jc w:val="center"/>
              <w:rPr>
                <w:rFonts w:hint="eastAsia" w:cs="宋体"/>
                <w:color w:val="auto"/>
                <w:szCs w:val="24"/>
                <w:highlight w:val="none"/>
              </w:rPr>
            </w:pPr>
          </w:p>
        </w:tc>
        <w:tc>
          <w:tcPr>
            <w:tcW w:w="841" w:type="dxa"/>
            <w:vMerge w:val="continue"/>
            <w:shd w:val="clear" w:color="auto" w:fill="auto"/>
            <w:noWrap/>
            <w:vAlign w:val="center"/>
          </w:tcPr>
          <w:p w14:paraId="0080E207">
            <w:pPr>
              <w:shd w:val="clear"/>
              <w:jc w:val="center"/>
              <w:rPr>
                <w:rFonts w:hint="eastAsia" w:cs="宋体"/>
                <w:color w:val="auto"/>
                <w:szCs w:val="24"/>
                <w:highlight w:val="none"/>
              </w:rPr>
            </w:pPr>
          </w:p>
        </w:tc>
      </w:tr>
      <w:tr w14:paraId="4B459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553" w:hRule="atLeast"/>
        </w:trPr>
        <w:tc>
          <w:tcPr>
            <w:tcW w:w="597" w:type="dxa"/>
            <w:noWrap/>
            <w:vAlign w:val="center"/>
          </w:tcPr>
          <w:p w14:paraId="239C378E">
            <w:pPr>
              <w:shd w:val="clear"/>
              <w:jc w:val="center"/>
              <w:rPr>
                <w:rFonts w:hint="default" w:eastAsia="宋体" w:cs="宋体"/>
                <w:color w:val="auto"/>
                <w:szCs w:val="24"/>
                <w:highlight w:val="none"/>
                <w:lang w:val="en-US" w:eastAsia="zh-CN"/>
              </w:rPr>
            </w:pPr>
            <w:r>
              <w:rPr>
                <w:rFonts w:hint="eastAsia" w:cs="宋体"/>
                <w:color w:val="auto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983" w:type="dxa"/>
            <w:vMerge w:val="continue"/>
            <w:vAlign w:val="center"/>
          </w:tcPr>
          <w:p w14:paraId="6CED618F">
            <w:pPr>
              <w:shd w:val="clear"/>
              <w:jc w:val="center"/>
              <w:rPr>
                <w:rFonts w:hint="eastAsia" w:cs="宋体"/>
                <w:color w:val="auto"/>
                <w:szCs w:val="24"/>
                <w:highlight w:val="none"/>
              </w:rPr>
            </w:pPr>
          </w:p>
        </w:tc>
        <w:tc>
          <w:tcPr>
            <w:tcW w:w="1077" w:type="dxa"/>
            <w:vMerge w:val="continue"/>
            <w:vAlign w:val="center"/>
          </w:tcPr>
          <w:p w14:paraId="417DA021">
            <w:pPr>
              <w:shd w:val="clear"/>
              <w:jc w:val="center"/>
              <w:rPr>
                <w:rFonts w:hint="eastAsia"/>
                <w:color w:val="auto"/>
                <w:sz w:val="24"/>
                <w:szCs w:val="32"/>
                <w:highlight w:val="none"/>
                <w:lang w:val="en-US" w:eastAsia="zh-CN"/>
              </w:rPr>
            </w:pPr>
          </w:p>
        </w:tc>
        <w:tc>
          <w:tcPr>
            <w:tcW w:w="1703" w:type="dxa"/>
            <w:vAlign w:val="center"/>
          </w:tcPr>
          <w:p w14:paraId="7175E416">
            <w:pPr>
              <w:shd w:val="clear"/>
              <w:spacing w:line="120" w:lineRule="auto"/>
              <w:jc w:val="center"/>
              <w:rPr>
                <w:rFonts w:hint="eastAsia" w:cs="宋体"/>
                <w:color w:val="auto"/>
                <w:szCs w:val="24"/>
                <w:highlight w:val="none"/>
              </w:rPr>
            </w:pPr>
            <w:r>
              <w:rPr>
                <w:rFonts w:hint="eastAsia" w:cs="宋体"/>
                <w:color w:val="auto"/>
                <w:szCs w:val="24"/>
                <w:highlight w:val="none"/>
              </w:rPr>
              <w:t>储物架</w:t>
            </w:r>
          </w:p>
        </w:tc>
        <w:tc>
          <w:tcPr>
            <w:tcW w:w="1029" w:type="dxa"/>
            <w:noWrap/>
            <w:vAlign w:val="center"/>
          </w:tcPr>
          <w:p w14:paraId="1D44853D">
            <w:pPr>
              <w:shd w:val="clear"/>
              <w:jc w:val="center"/>
              <w:rPr>
                <w:rFonts w:hint="eastAsia" w:cstheme="minorBidi"/>
                <w:color w:val="auto"/>
                <w:szCs w:val="32"/>
                <w:highlight w:val="none"/>
              </w:rPr>
            </w:pPr>
            <w:r>
              <w:rPr>
                <w:rFonts w:hint="eastAsia" w:ascii="宋体" w:hAnsi="宋体" w:eastAsia="宋体" w:cstheme="minorBidi"/>
                <w:i w:val="0"/>
                <w:iCs w:val="0"/>
                <w:caps w:val="0"/>
                <w:color w:val="auto"/>
                <w:spacing w:val="0"/>
                <w:sz w:val="24"/>
                <w:szCs w:val="32"/>
                <w:highlight w:val="none"/>
              </w:rPr>
              <w:t>477</w:t>
            </w:r>
          </w:p>
        </w:tc>
        <w:tc>
          <w:tcPr>
            <w:tcW w:w="657" w:type="dxa"/>
            <w:noWrap/>
            <w:vAlign w:val="center"/>
          </w:tcPr>
          <w:p w14:paraId="5F663782">
            <w:pPr>
              <w:shd w:val="clear"/>
              <w:jc w:val="center"/>
              <w:rPr>
                <w:rFonts w:hint="eastAsia" w:cstheme="minorBidi"/>
                <w:color w:val="auto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theme="minorBidi"/>
                <w:i w:val="0"/>
                <w:iCs w:val="0"/>
                <w:caps w:val="0"/>
                <w:color w:val="auto"/>
                <w:spacing w:val="0"/>
                <w:sz w:val="24"/>
                <w:szCs w:val="32"/>
                <w:highlight w:val="none"/>
              </w:rPr>
              <w:t>个</w:t>
            </w:r>
          </w:p>
        </w:tc>
        <w:tc>
          <w:tcPr>
            <w:tcW w:w="1134" w:type="dxa"/>
            <w:noWrap/>
            <w:vAlign w:val="center"/>
          </w:tcPr>
          <w:p w14:paraId="1CB83375">
            <w:pPr>
              <w:shd w:val="clear"/>
              <w:jc w:val="center"/>
              <w:rPr>
                <w:rFonts w:hint="eastAsia" w:eastAsia="宋体" w:cs="宋体"/>
                <w:color w:val="auto"/>
                <w:szCs w:val="24"/>
                <w:highlight w:val="none"/>
                <w:lang w:val="en-US" w:eastAsia="zh-CN"/>
              </w:rPr>
            </w:pPr>
            <w:r>
              <w:rPr>
                <w:rFonts w:hint="eastAsia" w:cs="宋体"/>
                <w:color w:val="auto"/>
                <w:szCs w:val="24"/>
                <w:highlight w:val="none"/>
                <w:lang w:val="en-US" w:eastAsia="zh-CN"/>
              </w:rPr>
              <w:t>否</w:t>
            </w:r>
          </w:p>
        </w:tc>
        <w:tc>
          <w:tcPr>
            <w:tcW w:w="1179" w:type="dxa"/>
            <w:vMerge w:val="continue"/>
            <w:noWrap/>
            <w:vAlign w:val="center"/>
          </w:tcPr>
          <w:p w14:paraId="42DAD085">
            <w:pPr>
              <w:shd w:val="clear"/>
              <w:jc w:val="center"/>
              <w:rPr>
                <w:rFonts w:hint="eastAsia" w:cs="宋体"/>
                <w:color w:val="auto"/>
                <w:szCs w:val="24"/>
                <w:highlight w:val="none"/>
              </w:rPr>
            </w:pPr>
          </w:p>
        </w:tc>
        <w:tc>
          <w:tcPr>
            <w:tcW w:w="841" w:type="dxa"/>
            <w:vMerge w:val="continue"/>
            <w:noWrap/>
            <w:vAlign w:val="center"/>
          </w:tcPr>
          <w:p w14:paraId="288C67F7">
            <w:pPr>
              <w:shd w:val="clear"/>
              <w:jc w:val="center"/>
              <w:rPr>
                <w:rFonts w:hint="eastAsia" w:cs="宋体"/>
                <w:color w:val="auto"/>
                <w:szCs w:val="24"/>
                <w:highlight w:val="none"/>
              </w:rPr>
            </w:pPr>
          </w:p>
        </w:tc>
      </w:tr>
      <w:tr w14:paraId="11B157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553" w:hRule="atLeast"/>
        </w:trPr>
        <w:tc>
          <w:tcPr>
            <w:tcW w:w="6046" w:type="dxa"/>
            <w:gridSpan w:val="6"/>
            <w:noWrap/>
            <w:vAlign w:val="center"/>
          </w:tcPr>
          <w:p w14:paraId="464B5F95">
            <w:pPr>
              <w:shd w:val="clear"/>
              <w:jc w:val="center"/>
              <w:rPr>
                <w:rFonts w:hint="default" w:ascii="宋体" w:hAnsi="宋体" w:eastAsia="宋体" w:cstheme="minorBidi"/>
                <w:i w:val="0"/>
                <w:iCs w:val="0"/>
                <w:caps w:val="0"/>
                <w:color w:val="auto"/>
                <w:spacing w:val="0"/>
                <w:sz w:val="24"/>
                <w:szCs w:val="32"/>
                <w:highlight w:val="none"/>
                <w:lang w:val="en-US" w:eastAsia="zh-CN"/>
              </w:rPr>
            </w:pPr>
            <w:r>
              <w:rPr>
                <w:rFonts w:hint="eastAsia" w:cstheme="minorBidi"/>
                <w:i w:val="0"/>
                <w:iCs w:val="0"/>
                <w:caps w:val="0"/>
                <w:color w:val="auto"/>
                <w:spacing w:val="0"/>
                <w:sz w:val="24"/>
                <w:szCs w:val="32"/>
                <w:highlight w:val="none"/>
                <w:lang w:val="en-US" w:eastAsia="zh-CN"/>
              </w:rPr>
              <w:t>最高限价（合计）</w:t>
            </w:r>
          </w:p>
        </w:tc>
        <w:tc>
          <w:tcPr>
            <w:tcW w:w="3154" w:type="dxa"/>
            <w:gridSpan w:val="3"/>
            <w:noWrap/>
            <w:vAlign w:val="center"/>
          </w:tcPr>
          <w:p w14:paraId="3EA45185">
            <w:pPr>
              <w:shd w:val="clear"/>
              <w:jc w:val="center"/>
              <w:rPr>
                <w:rFonts w:hint="eastAsia" w:cs="宋体"/>
                <w:color w:val="auto"/>
                <w:szCs w:val="24"/>
                <w:highlight w:val="none"/>
                <w:lang w:eastAsia="zh-CN"/>
              </w:rPr>
            </w:pPr>
            <w:r>
              <w:rPr>
                <w:rFonts w:hint="eastAsia" w:cs="宋体"/>
                <w:color w:val="auto"/>
                <w:szCs w:val="24"/>
                <w:highlight w:val="none"/>
                <w:lang w:eastAsia="zh-CN"/>
              </w:rPr>
              <w:t>572.4万</w:t>
            </w:r>
            <w:r>
              <w:rPr>
                <w:rFonts w:hint="eastAsia" w:cs="宋体"/>
                <w:color w:val="auto"/>
                <w:szCs w:val="24"/>
                <w:highlight w:val="none"/>
              </w:rPr>
              <w:t>元</w:t>
            </w:r>
          </w:p>
        </w:tc>
      </w:tr>
      <w:tr w14:paraId="4A5CE4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9200" w:type="dxa"/>
            <w:gridSpan w:val="9"/>
            <w:noWrap/>
            <w:vAlign w:val="center"/>
          </w:tcPr>
          <w:p w14:paraId="5A63E1FA">
            <w:pPr>
              <w:shd w:val="clear"/>
              <w:jc w:val="both"/>
              <w:rPr>
                <w:rFonts w:hint="eastAsia" w:cs="宋体"/>
                <w:color w:val="auto"/>
                <w:szCs w:val="24"/>
                <w:highlight w:val="none"/>
                <w:lang w:val="en-US" w:eastAsia="zh-CN"/>
              </w:rPr>
            </w:pPr>
            <w:r>
              <w:rPr>
                <w:rFonts w:hint="eastAsia" w:cs="宋体"/>
                <w:color w:val="auto"/>
                <w:szCs w:val="24"/>
                <w:highlight w:val="none"/>
                <w:lang w:val="en-US" w:eastAsia="zh-CN"/>
              </w:rPr>
              <w:t>注：投标人总报价不得超项目</w:t>
            </w:r>
            <w:r>
              <w:rPr>
                <w:rFonts w:hint="eastAsia" w:cstheme="minorBidi"/>
                <w:i w:val="0"/>
                <w:iCs w:val="0"/>
                <w:caps w:val="0"/>
                <w:color w:val="auto"/>
                <w:spacing w:val="0"/>
                <w:sz w:val="24"/>
                <w:szCs w:val="32"/>
                <w:highlight w:val="none"/>
                <w:lang w:val="en-US" w:eastAsia="zh-CN"/>
              </w:rPr>
              <w:t>最高限价，否则为无效投标。</w:t>
            </w:r>
          </w:p>
        </w:tc>
      </w:tr>
      <w:bookmarkEnd w:id="0"/>
      <w:bookmarkEnd w:id="1"/>
      <w:bookmarkEnd w:id="2"/>
    </w:tbl>
    <w:p w14:paraId="42EBECD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B140288"/>
    <w:rsid w:val="52591BF1"/>
    <w:rsid w:val="56222B52"/>
    <w:rsid w:val="5A7E26D3"/>
    <w:rsid w:val="5A910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</w:pPr>
    <w:rPr>
      <w:rFonts w:ascii="宋体" w:hAnsi="宋体" w:eastAsia="宋体" w:cstheme="minorBidi"/>
      <w:kern w:val="2"/>
      <w:sz w:val="24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18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2025-04-23T05:53:45Z</dcterms:created>
  <dc:creator>FZ006</dc:creator>
  <cp:lastModifiedBy>法正</cp:lastModifiedBy>
  <dcterms:modified xsi:type="dcterms:W3CDTF">2025-04-23T06:19:07Z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eyJoZGlkIjoiZTg4Y2I0MGVjYmE3ZTg3YzBjNGM5NTk3NzdjYTJiOTUiLCJ1c2VySWQiOiIxNDc0ODA3NTIyIn0=</vt:lpwstr>
  </property>
  <property fmtid="{D5CDD505-2E9C-101B-9397-08002B2CF9AE}" pid="4" name="ICV">
    <vt:lpwstr>BE04BF708DFD40958F479CFB145F8801_12</vt:lpwstr>
  </property>
</Properties>
</file>